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p w:rsidR="0097239C" w:rsidRPr="0097239C" w:rsidP="00C603CF">
      <w:pPr>
        <w:pStyle w:val="Heading1"/>
        <w:spacing w:line="269" w:lineRule="auto"/>
        <w:rPr>
          <w:rtl/>
        </w:rPr>
      </w:pPr>
      <w:bookmarkStart w:id="0" w:name="_Toc46906216"/>
      <w:r w:rsidRPr="0097239C">
        <w:rPr>
          <w:rFonts w:hint="cs"/>
          <w:rtl/>
        </w:rPr>
        <w:t>התייעלות אנרגטית</w:t>
      </w:r>
    </w:p>
    <w:p w:rsidR="00D20111" w:rsidP="00D20111">
      <w:pPr>
        <w:rPr>
          <w:rtl/>
        </w:rPr>
      </w:pPr>
    </w:p>
    <w:p w:rsidR="00D20111" w:rsidP="00D20111">
      <w:pPr>
        <w:rPr>
          <w:rtl/>
        </w:rPr>
      </w:pPr>
    </w:p>
    <w:p w:rsidR="0097239C" w:rsidRPr="0097239C" w:rsidP="00C603CF">
      <w:pPr>
        <w:pStyle w:val="Heading3"/>
        <w:spacing w:before="0" w:line="269" w:lineRule="auto"/>
        <w:rPr>
          <w:rtl/>
        </w:rPr>
      </w:pPr>
      <w:r w:rsidRPr="0097239C">
        <w:rPr>
          <w:rFonts w:hint="eastAsia"/>
          <w:rtl/>
        </w:rPr>
        <w:t>מבוא</w:t>
      </w:r>
      <w:bookmarkEnd w:id="0"/>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אחד התנאים לקיום חיים על פני כדור הארץ הוא הימצאותם של גזי חממה (להלן גם - </w:t>
      </w:r>
      <w:r w:rsidRPr="0097239C">
        <w:rPr>
          <w:rFonts w:hint="cs"/>
          <w:b/>
          <w:rtl/>
        </w:rPr>
        <w:t>גז"ח</w:t>
      </w:r>
      <w:r w:rsidRPr="0097239C">
        <w:rPr>
          <w:rFonts w:hint="cs"/>
          <w:b/>
          <w:rtl/>
        </w:rPr>
        <w:t>)</w:t>
      </w:r>
      <w:r>
        <w:rPr>
          <w:b/>
          <w:vertAlign w:val="superscript"/>
          <w:rtl/>
        </w:rPr>
        <w:footnoteReference w:id="2"/>
      </w:r>
      <w:r w:rsidRPr="0097239C">
        <w:rPr>
          <w:rFonts w:hint="cs"/>
          <w:b/>
          <w:rtl/>
        </w:rPr>
        <w:t xml:space="preserve"> באטמוספרה, אשר כולאים חלק מהקרינה ארוכת הגל המוקרנת מפני הקרקע ומומרת לחום. ואולם, ריכוז יתר של </w:t>
      </w:r>
      <w:r w:rsidRPr="0097239C">
        <w:rPr>
          <w:rFonts w:hint="cs"/>
          <w:b/>
          <w:rtl/>
        </w:rPr>
        <w:t>גז"ח</w:t>
      </w:r>
      <w:r w:rsidRPr="0097239C">
        <w:rPr>
          <w:rFonts w:hint="cs"/>
          <w:b/>
          <w:rtl/>
        </w:rPr>
        <w:t xml:space="preserve"> עלול לגרום להתחממות כדור הארץ ולשינויי אקלים. שריפה של </w:t>
      </w:r>
      <w:r w:rsidRPr="0097239C">
        <w:rPr>
          <w:rFonts w:hint="cs"/>
          <w:b/>
          <w:rtl/>
        </w:rPr>
        <w:t>דלקים</w:t>
      </w:r>
      <w:r w:rsidRPr="0097239C">
        <w:rPr>
          <w:rFonts w:hint="cs"/>
          <w:b/>
          <w:rtl/>
        </w:rPr>
        <w:t xml:space="preserve"> </w:t>
      </w:r>
      <w:r w:rsidRPr="0097239C">
        <w:rPr>
          <w:rFonts w:hint="cs"/>
          <w:b/>
          <w:rtl/>
        </w:rPr>
        <w:t>פוסיליים</w:t>
      </w:r>
      <w:r w:rsidRPr="0097239C">
        <w:rPr>
          <w:rFonts w:hint="cs"/>
          <w:b/>
          <w:rtl/>
        </w:rPr>
        <w:t xml:space="preserve"> (דלקי מאובנים)</w:t>
      </w:r>
      <w:r>
        <w:rPr>
          <w:b/>
          <w:vertAlign w:val="superscript"/>
          <w:rtl/>
        </w:rPr>
        <w:footnoteReference w:id="3"/>
      </w:r>
      <w:r w:rsidRPr="0097239C">
        <w:rPr>
          <w:rFonts w:hint="cs"/>
          <w:b/>
          <w:rtl/>
        </w:rPr>
        <w:t xml:space="preserve"> היא הסיבה העיקרית לעלייה בריכוז גזי החממה באטמוספרה</w:t>
      </w:r>
      <w:r>
        <w:rPr>
          <w:b/>
          <w:vertAlign w:val="superscript"/>
          <w:rtl/>
        </w:rPr>
        <w:footnoteReference w:id="4"/>
      </w:r>
      <w:r w:rsidRPr="0097239C">
        <w:rPr>
          <w:rFonts w:hint="cs"/>
          <w:b/>
          <w:rtl/>
        </w:rPr>
        <w:t>.</w:t>
      </w:r>
    </w:p>
    <w:p w:rsidR="0097239C" w:rsidP="00C603CF">
      <w:pPr>
        <w:pStyle w:val="a"/>
        <w:spacing w:line="269" w:lineRule="auto"/>
        <w:rPr>
          <w:rtl/>
        </w:rPr>
      </w:pPr>
    </w:p>
    <w:p w:rsidR="0097239C" w:rsidRPr="0097239C" w:rsidP="00C603CF">
      <w:pPr>
        <w:spacing w:line="269" w:lineRule="auto"/>
        <w:rPr>
          <w:rtl/>
        </w:rPr>
      </w:pPr>
      <w:r w:rsidRPr="0097239C">
        <w:rPr>
          <w:rFonts w:hint="cs"/>
          <w:rtl/>
        </w:rPr>
        <w:t xml:space="preserve">בשנים האחרונות התחזקו הראיות המדעיות המעידות שהיקף הנזקים הצפויים לכלכלה העולמית עקב ההשפעות של שינויי האקלים גדול מכפי שנצפה אך לפני עשור. נזקים אלה כוללים גלי חום, שיטפונות, תנאי בצורת, עליית מפלס הים, שינויים במשטר המשקעים, התפשטות מחלות, אובדן יבולים ועוד. על מנת להתמודד עם ההשפעות הצפויות של שינויי האקלים, נעשו בשלושת העשורים האחרונים פעולות בין-לאומיות להפחתת פליטת </w:t>
      </w:r>
      <w:r w:rsidRPr="0097239C">
        <w:rPr>
          <w:rFonts w:hint="cs"/>
          <w:b/>
          <w:rtl/>
        </w:rPr>
        <w:t>גז"ח</w:t>
      </w:r>
      <w:r w:rsidRPr="0097239C">
        <w:rPr>
          <w:rFonts w:hint="cs"/>
          <w:rtl/>
        </w:rPr>
        <w:t xml:space="preserve">. עם זאת, מניתוחים מדעיים עדכניים עולה כי אם מדינות העולם לא ירחיבו ויעמיקו במידה ניכרת את התחייבויותיהן הקודמות להפחתת </w:t>
      </w:r>
      <w:r w:rsidRPr="0097239C">
        <w:rPr>
          <w:rFonts w:hint="cs"/>
          <w:b/>
          <w:rtl/>
        </w:rPr>
        <w:t>גז"ח</w:t>
      </w:r>
      <w:r w:rsidRPr="0097239C">
        <w:rPr>
          <w:rFonts w:hint="cs"/>
          <w:b/>
          <w:rtl/>
        </w:rPr>
        <w:t xml:space="preserve"> ולא יממשו אותן</w:t>
      </w:r>
      <w:r w:rsidRPr="0097239C">
        <w:rPr>
          <w:rFonts w:hint="cs"/>
          <w:rtl/>
        </w:rPr>
        <w:t>, לא ניתן יהיה לעמוד ביעד לפיו הטמפרטורה הגלובלית לא תהיה גבוהה ביותר משתי מעלות צלזיוס (להלן - מ"צ) מהטמפרטורה ששררה לפני המהפכה התעשייתית.</w:t>
      </w:r>
    </w:p>
    <w:p w:rsidR="0097239C" w:rsidP="00C603CF">
      <w:pPr>
        <w:pStyle w:val="a"/>
        <w:spacing w:line="269" w:lineRule="auto"/>
        <w:rPr>
          <w:rtl/>
        </w:rPr>
      </w:pPr>
    </w:p>
    <w:p w:rsidR="0097239C" w:rsidRPr="0097239C" w:rsidP="00C603CF">
      <w:pPr>
        <w:spacing w:line="269" w:lineRule="auto"/>
        <w:rPr>
          <w:rtl/>
        </w:rPr>
      </w:pPr>
      <w:r w:rsidRPr="0097239C">
        <w:rPr>
          <w:rFonts w:hint="cs"/>
          <w:rtl/>
        </w:rPr>
        <w:t>על פי מחקר של השירות המטאורולוגי</w:t>
      </w:r>
      <w:r>
        <w:rPr>
          <w:b/>
          <w:vertAlign w:val="superscript"/>
          <w:rtl/>
        </w:rPr>
        <w:footnoteReference w:id="5"/>
      </w:r>
      <w:r w:rsidRPr="0097239C">
        <w:rPr>
          <w:rFonts w:hint="cs"/>
          <w:rtl/>
        </w:rPr>
        <w:t xml:space="preserve">, הטמפרטורה הממוצעת בישראל עלתה בכ-1.4 מ"צ בשנים 1950 - 2017. טמפרטורה זו צפויה לעלות בשנים 2018 - 2050 בעוד 0.9 מ"צ לפי התרחיש האופטימי, או בכ-1.2 מ"צ לפי התרחיש הפסימי, אם לא יינקטו פעולות לצמצום פליטות גזי החממה. כמו כן, נמצאה עלייה בתדירות הימים והלילות החמים, ובד בבד ירידה בתדירות הימים והלילות הקרים. מגמת ההתחממות בולטת יותר בעונת הקיץ, הן לפי מדידות עבר והן לפי תחזיות. ממסמכי המשרד להגנת הסביבה (להלן - </w:t>
      </w:r>
      <w:r w:rsidRPr="0097239C">
        <w:rPr>
          <w:rFonts w:hint="cs"/>
          <w:rtl/>
        </w:rPr>
        <w:t>להג"ס</w:t>
      </w:r>
      <w:r w:rsidRPr="0097239C">
        <w:rPr>
          <w:rFonts w:hint="cs"/>
          <w:rtl/>
        </w:rPr>
        <w:t xml:space="preserve">) עולה כי ההשפעות של שינויי האקלים על ישראל הן בין היתר אלו: הפחתה במשקעים ועלייה בביקוש למים; עלייה בביקוש </w:t>
      </w:r>
      <w:r w:rsidRPr="0097239C">
        <w:rPr>
          <w:rFonts w:hint="cs"/>
          <w:rtl/>
        </w:rPr>
        <w:t>לאנרגייה</w:t>
      </w:r>
      <w:r w:rsidRPr="0097239C">
        <w:rPr>
          <w:rFonts w:hint="cs"/>
          <w:rtl/>
        </w:rPr>
        <w:t>; גידול בתחלואה ובתמותה בעקבות גלי חום, התפשטות מוגברת של מחלות, פגיעה בתשתיות בשל אירועי מזג אוויר קיצוניים; התגברות הסיכון לשריפות יער</w:t>
      </w:r>
      <w:r>
        <w:rPr>
          <w:rFonts w:hint="cs"/>
          <w:rtl/>
        </w:rPr>
        <w:t>.</w:t>
      </w:r>
    </w:p>
    <w:p w:rsidR="0097239C" w:rsidP="00C603CF">
      <w:pPr>
        <w:pStyle w:val="a"/>
        <w:spacing w:line="269" w:lineRule="auto"/>
        <w:rPr>
          <w:rtl/>
        </w:rPr>
      </w:pPr>
    </w:p>
    <w:p w:rsidR="0097239C" w:rsidP="00C603CF">
      <w:pPr>
        <w:spacing w:line="269" w:lineRule="auto"/>
        <w:rPr>
          <w:rtl/>
        </w:rPr>
      </w:pPr>
      <w:r w:rsidRPr="0097239C">
        <w:rPr>
          <w:rFonts w:hint="cs"/>
          <w:rtl/>
        </w:rPr>
        <w:t>מחקר מאוגוסט 2019</w:t>
      </w:r>
      <w:r>
        <w:rPr>
          <w:vertAlign w:val="superscript"/>
          <w:rtl/>
        </w:rPr>
        <w:footnoteReference w:id="6"/>
      </w:r>
      <w:r w:rsidRPr="0097239C">
        <w:rPr>
          <w:rFonts w:hint="cs"/>
          <w:rtl/>
        </w:rPr>
        <w:t xml:space="preserve"> מעריך כי אם לא תינקט כל פעולה למניעת ההתחממות הגלובלית, צפוי להיגרם אובדן הכנסות פוטנציאלי של 2.51% </w:t>
      </w:r>
      <w:r w:rsidRPr="0097239C">
        <w:rPr>
          <w:rFonts w:hint="cs"/>
          <w:rtl/>
        </w:rPr>
        <w:t>מהתמ"ג</w:t>
      </w:r>
      <w:r w:rsidRPr="0097239C">
        <w:rPr>
          <w:rFonts w:hint="cs"/>
          <w:rtl/>
        </w:rPr>
        <w:t xml:space="preserve"> העולמי לנפש בשנת 2050, ושל 7.22% </w:t>
      </w:r>
      <w:r w:rsidRPr="0097239C">
        <w:rPr>
          <w:rFonts w:hint="cs"/>
          <w:rtl/>
        </w:rPr>
        <w:t>מהתמ"ג</w:t>
      </w:r>
      <w:r w:rsidRPr="0097239C">
        <w:rPr>
          <w:rFonts w:hint="cs"/>
          <w:rtl/>
        </w:rPr>
        <w:t xml:space="preserve"> לנפש עד שנת 2100. נקיטת אמצעים להפחתת פליטות </w:t>
      </w:r>
      <w:r w:rsidRPr="0097239C">
        <w:rPr>
          <w:rFonts w:hint="cs"/>
          <w:rtl/>
        </w:rPr>
        <w:t>גז</w:t>
      </w:r>
      <w:r w:rsidRPr="0097239C">
        <w:rPr>
          <w:rtl/>
        </w:rPr>
        <w:t>"</w:t>
      </w:r>
      <w:r w:rsidRPr="0097239C">
        <w:rPr>
          <w:rFonts w:hint="cs"/>
          <w:rtl/>
        </w:rPr>
        <w:t>ח</w:t>
      </w:r>
      <w:r w:rsidRPr="0097239C">
        <w:rPr>
          <w:rFonts w:hint="cs"/>
          <w:rtl/>
        </w:rPr>
        <w:t xml:space="preserve"> בהתאם ליעדי הסכם פריז</w:t>
      </w:r>
      <w:r>
        <w:rPr>
          <w:vertAlign w:val="superscript"/>
          <w:rtl/>
        </w:rPr>
        <w:footnoteReference w:id="7"/>
      </w:r>
      <w:r w:rsidRPr="0097239C">
        <w:rPr>
          <w:rFonts w:hint="cs"/>
          <w:rtl/>
        </w:rPr>
        <w:t xml:space="preserve"> (ראו בהמשך) עשויה להפחית אובדן זה ל-0.11% בשנת 2050 ול-1.07% בשנת 2100. אם לא יינקטו פעולות להפחתת פליטות </w:t>
      </w:r>
      <w:r w:rsidRPr="0097239C">
        <w:rPr>
          <w:rFonts w:hint="cs"/>
          <w:rtl/>
        </w:rPr>
        <w:t>גז</w:t>
      </w:r>
      <w:r w:rsidRPr="0097239C">
        <w:rPr>
          <w:rtl/>
        </w:rPr>
        <w:t>"</w:t>
      </w:r>
      <w:r w:rsidRPr="0097239C">
        <w:rPr>
          <w:rFonts w:hint="cs"/>
          <w:rtl/>
        </w:rPr>
        <w:t>ח</w:t>
      </w:r>
      <w:r w:rsidRPr="0097239C">
        <w:rPr>
          <w:rFonts w:hint="cs"/>
          <w:rtl/>
        </w:rPr>
        <w:t xml:space="preserve">, צפוי כי אובדן ההכנסות מהתוצר בישראל יהיה 1.15% עד שנת </w:t>
      </w:r>
      <w:r w:rsidRPr="0097239C">
        <w:rPr>
          <w:rFonts w:hint="cs"/>
          <w:rtl/>
        </w:rPr>
        <w:t>2050 ו-3.87% עד שנת 2100. נזק זה יצומצם ל-0.24% בשנת 2050 ול-0.08% בשנת 2100 אם כלל המדינות יעמדו ביעדים שהתחייבו עליהם בהסכם פריז.</w:t>
      </w:r>
    </w:p>
    <w:p w:rsidR="0097239C" w:rsidP="00C603CF">
      <w:pPr>
        <w:pStyle w:val="a"/>
        <w:spacing w:line="269" w:lineRule="auto"/>
        <w:rPr>
          <w:rtl/>
        </w:rPr>
      </w:pPr>
    </w:p>
    <w:p w:rsidR="0097239C" w:rsidRPr="0097239C" w:rsidP="00C603CF">
      <w:pPr>
        <w:spacing w:line="269" w:lineRule="auto"/>
        <w:rPr>
          <w:rtl/>
        </w:rPr>
      </w:pPr>
      <w:r w:rsidRPr="0097239C">
        <w:rPr>
          <w:rFonts w:hint="cs"/>
          <w:rtl/>
        </w:rPr>
        <w:t xml:space="preserve">העלייה ברמת החיים, בד בבד עם הגידול באוכלוסייה, הביאו לעלייה מתמשכת בביקוש </w:t>
      </w:r>
      <w:r w:rsidRPr="0097239C">
        <w:rPr>
          <w:rFonts w:hint="cs"/>
          <w:rtl/>
        </w:rPr>
        <w:t>לאנרגייה</w:t>
      </w:r>
      <w:r w:rsidRPr="0097239C">
        <w:rPr>
          <w:rFonts w:hint="cs"/>
          <w:rtl/>
        </w:rPr>
        <w:t xml:space="preserve">. השימוש הגובר </w:t>
      </w:r>
      <w:r w:rsidRPr="0097239C">
        <w:rPr>
          <w:rFonts w:hint="cs"/>
          <w:rtl/>
        </w:rPr>
        <w:t>באנרגייה</w:t>
      </w:r>
      <w:r w:rsidRPr="0097239C">
        <w:rPr>
          <w:rFonts w:hint="cs"/>
          <w:rtl/>
        </w:rPr>
        <w:t xml:space="preserve">, הכרוך בשריפת </w:t>
      </w:r>
      <w:r w:rsidRPr="0097239C">
        <w:rPr>
          <w:rFonts w:hint="cs"/>
          <w:rtl/>
        </w:rPr>
        <w:t>דלקים</w:t>
      </w:r>
      <w:r w:rsidRPr="0097239C">
        <w:rPr>
          <w:rFonts w:hint="cs"/>
          <w:rtl/>
        </w:rPr>
        <w:t xml:space="preserve"> </w:t>
      </w:r>
      <w:r w:rsidRPr="0097239C">
        <w:rPr>
          <w:rFonts w:hint="cs"/>
          <w:rtl/>
        </w:rPr>
        <w:t>פוסיליים</w:t>
      </w:r>
      <w:r w:rsidRPr="0097239C">
        <w:rPr>
          <w:rFonts w:hint="cs"/>
          <w:rtl/>
        </w:rPr>
        <w:t xml:space="preserve">, הוא המקור העיקרי לפליטת </w:t>
      </w:r>
      <w:r w:rsidRPr="0097239C">
        <w:rPr>
          <w:rFonts w:hint="cs"/>
          <w:rtl/>
        </w:rPr>
        <w:t>גז</w:t>
      </w:r>
      <w:r w:rsidRPr="0097239C">
        <w:rPr>
          <w:rtl/>
        </w:rPr>
        <w:t>"</w:t>
      </w:r>
      <w:r w:rsidRPr="0097239C">
        <w:rPr>
          <w:rFonts w:hint="cs"/>
          <w:rtl/>
        </w:rPr>
        <w:t>ח</w:t>
      </w:r>
      <w:r w:rsidRPr="0097239C">
        <w:rPr>
          <w:rFonts w:hint="cs"/>
          <w:rtl/>
        </w:rPr>
        <w:t>, הגורמים להתגברות שינויי האקלים וכן לזיהום אוויר</w:t>
      </w:r>
      <w:r>
        <w:rPr>
          <w:vertAlign w:val="superscript"/>
          <w:rtl/>
        </w:rPr>
        <w:footnoteReference w:id="8"/>
      </w:r>
      <w:r w:rsidRPr="0097239C">
        <w:rPr>
          <w:rFonts w:hint="cs"/>
          <w:rtl/>
        </w:rPr>
        <w:t xml:space="preserve">, המשפיע על הבריאות. הן עם הביקוש הגדל </w:t>
      </w:r>
      <w:r w:rsidRPr="0097239C">
        <w:rPr>
          <w:rFonts w:hint="cs"/>
          <w:rtl/>
        </w:rPr>
        <w:t>לאנרגייה</w:t>
      </w:r>
      <w:r w:rsidRPr="0097239C">
        <w:rPr>
          <w:rFonts w:hint="cs"/>
          <w:rtl/>
        </w:rPr>
        <w:t xml:space="preserve"> והן עם הגידול בזיהום האוויר ניתן להתמודד, בין היתר, באמצעות התייעלות אנרגטית</w:t>
      </w:r>
      <w:r>
        <w:rPr>
          <w:vertAlign w:val="superscript"/>
          <w:rtl/>
        </w:rPr>
        <w:footnoteReference w:id="9"/>
      </w:r>
      <w:r w:rsidRPr="0097239C">
        <w:rPr>
          <w:rFonts w:hint="cs"/>
          <w:rtl/>
        </w:rPr>
        <w:t xml:space="preserve">. לשם כך גיבשה ממשלת ישראל במרוצת השנים </w:t>
      </w:r>
      <w:r w:rsidRPr="0097239C">
        <w:rPr>
          <w:rFonts w:hint="cs"/>
          <w:rtl/>
        </w:rPr>
        <w:t>תוכניות</w:t>
      </w:r>
      <w:r w:rsidRPr="0097239C">
        <w:rPr>
          <w:rFonts w:hint="cs"/>
          <w:rtl/>
        </w:rPr>
        <w:t xml:space="preserve"> פעולה שמטרתן להביא לצמצום בצריכת </w:t>
      </w:r>
      <w:r w:rsidRPr="0097239C">
        <w:rPr>
          <w:rFonts w:hint="cs"/>
          <w:rtl/>
        </w:rPr>
        <w:t>האנרגייה</w:t>
      </w:r>
      <w:r w:rsidRPr="0097239C">
        <w:rPr>
          <w:rFonts w:hint="cs"/>
          <w:rtl/>
        </w:rPr>
        <w:t xml:space="preserve">. בין היתר היא חוקקה חוקים, ובהם חוק מקורות אנרגיה, התש"ן-1989 (להלן - חוק מקורות </w:t>
      </w:r>
      <w:r w:rsidRPr="0097239C">
        <w:rPr>
          <w:rFonts w:hint="cs"/>
          <w:rtl/>
        </w:rPr>
        <w:t>אנרגייה</w:t>
      </w:r>
      <w:r w:rsidRPr="0097239C">
        <w:rPr>
          <w:rFonts w:hint="cs"/>
          <w:rtl/>
        </w:rPr>
        <w:t xml:space="preserve">), התקינה תקנות מכוחו, וכן קיבלה החלטות שמטרתן לצמצם ולמנוע זיהום אוויר. </w:t>
      </w:r>
    </w:p>
    <w:p w:rsidR="0097239C" w:rsidP="00C603CF">
      <w:pPr>
        <w:pStyle w:val="a"/>
        <w:spacing w:line="269" w:lineRule="auto"/>
        <w:rPr>
          <w:rtl/>
        </w:rPr>
      </w:pPr>
    </w:p>
    <w:p w:rsidR="0097239C" w:rsidRPr="0097239C" w:rsidP="00C603CF">
      <w:pPr>
        <w:spacing w:line="269" w:lineRule="auto"/>
        <w:rPr>
          <w:rtl/>
        </w:rPr>
      </w:pPr>
      <w:r w:rsidRPr="0097239C">
        <w:rPr>
          <w:rFonts w:hint="cs"/>
          <w:rtl/>
        </w:rPr>
        <w:t xml:space="preserve">התייעלות אנרגטית מוגדרת כניצול מושכל של משאבי </w:t>
      </w:r>
      <w:r w:rsidRPr="0097239C">
        <w:rPr>
          <w:rFonts w:hint="cs"/>
          <w:rtl/>
        </w:rPr>
        <w:t>האנרגייה</w:t>
      </w:r>
      <w:r w:rsidRPr="0097239C">
        <w:rPr>
          <w:rFonts w:hint="cs"/>
          <w:rtl/>
        </w:rPr>
        <w:t xml:space="preserve">, כלומר הפקת מוצרים ותועלות כלכליות ושמירה על איכות החיים המודרנית תוך שימוש מופחת </w:t>
      </w:r>
      <w:r w:rsidRPr="0097239C">
        <w:rPr>
          <w:rFonts w:hint="cs"/>
          <w:rtl/>
        </w:rPr>
        <w:t>באנרגייה</w:t>
      </w:r>
      <w:r>
        <w:rPr>
          <w:vertAlign w:val="superscript"/>
          <w:rtl/>
        </w:rPr>
        <w:footnoteReference w:id="10"/>
      </w:r>
      <w:r w:rsidRPr="0097239C">
        <w:rPr>
          <w:rFonts w:hint="cs"/>
          <w:rtl/>
        </w:rPr>
        <w:t xml:space="preserve">. משרד </w:t>
      </w:r>
      <w:r w:rsidRPr="0097239C">
        <w:rPr>
          <w:rFonts w:hint="cs"/>
          <w:rtl/>
        </w:rPr>
        <w:t>האנרגייה</w:t>
      </w:r>
      <w:r w:rsidRPr="0097239C">
        <w:rPr>
          <w:rFonts w:hint="cs"/>
          <w:rtl/>
        </w:rPr>
        <w:t xml:space="preserve"> הגדיר את ההתייעלות האנרגטית כ"פתרונות טכנולוגיים שמביאים לצריכה קטנה יותר של אנרגיה לביצוע אותה פעולה". התייעלות אנרגטית היא מפתח להבטחת משק </w:t>
      </w:r>
      <w:r w:rsidRPr="0097239C">
        <w:rPr>
          <w:rFonts w:hint="cs"/>
          <w:rtl/>
        </w:rPr>
        <w:t>אנרגייה</w:t>
      </w:r>
      <w:r w:rsidRPr="0097239C">
        <w:rPr>
          <w:rFonts w:hint="cs"/>
          <w:rtl/>
        </w:rPr>
        <w:t xml:space="preserve"> עתידי בטוח, אמין, זול ונקי, תורמת לחיסכון בעלויות, לשיפור איכות החיים, להפחתת זיהום האוויר ומקורות המים, ובמישור הלאומי - להפחתת הנטל הכלכלי והתלות בייבוא </w:t>
      </w:r>
      <w:r w:rsidRPr="0097239C">
        <w:rPr>
          <w:rFonts w:hint="cs"/>
          <w:rtl/>
        </w:rPr>
        <w:t>אנרגייה</w:t>
      </w:r>
      <w:r w:rsidRPr="0097239C">
        <w:rPr>
          <w:rFonts w:hint="cs"/>
          <w:rtl/>
        </w:rPr>
        <w:t xml:space="preserve"> ולהגברת העצמאות האנרגטית של המשק הישראל</w:t>
      </w:r>
      <w:r w:rsidRPr="0097239C">
        <w:rPr>
          <w:rFonts w:hint="eastAsia"/>
          <w:rtl/>
        </w:rPr>
        <w:t>י</w:t>
      </w:r>
      <w:r w:rsidRPr="0097239C">
        <w:rPr>
          <w:rFonts w:hint="cs"/>
          <w:rtl/>
        </w:rPr>
        <w:t>.</w:t>
      </w:r>
    </w:p>
    <w:p w:rsidR="0097239C" w:rsidP="00C603CF">
      <w:pPr>
        <w:pStyle w:val="a"/>
        <w:spacing w:line="269" w:lineRule="auto"/>
        <w:rPr>
          <w:rtl/>
        </w:rPr>
      </w:pPr>
    </w:p>
    <w:p w:rsidR="0097239C" w:rsidRPr="0097239C" w:rsidP="00C603CF">
      <w:pPr>
        <w:spacing w:line="269" w:lineRule="auto"/>
        <w:rPr>
          <w:rtl/>
        </w:rPr>
      </w:pPr>
      <w:r w:rsidRPr="0097239C">
        <w:rPr>
          <w:rFonts w:hint="cs"/>
          <w:rtl/>
        </w:rPr>
        <w:t>בספטמבר 2015 התחייבה ממשלת ישראל</w:t>
      </w:r>
      <w:r>
        <w:rPr>
          <w:vertAlign w:val="superscript"/>
          <w:rtl/>
        </w:rPr>
        <w:footnoteReference w:id="11"/>
      </w:r>
      <w:r w:rsidRPr="0097239C">
        <w:rPr>
          <w:rFonts w:hint="cs"/>
          <w:rtl/>
        </w:rPr>
        <w:t>, בהתבסס על עבודת ועדה בין-משרדית</w:t>
      </w:r>
      <w:r>
        <w:rPr>
          <w:vertAlign w:val="superscript"/>
          <w:rtl/>
        </w:rPr>
        <w:footnoteReference w:id="12"/>
      </w:r>
      <w:r w:rsidRPr="0097239C">
        <w:rPr>
          <w:rFonts w:hint="cs"/>
          <w:rtl/>
        </w:rPr>
        <w:t xml:space="preserve"> לבחינת הפוטנציאל להפחתת הפליטות, לקבוע יעד לצמצום פליטת גזי החממה בשנת 2030. זאת במסגרת התחייבותה לתרום למאמץ העולמי להשגת המטרה שנקבעה באמנת המסגרת של האו"ם בנושא שינוי האקלים </w:t>
      </w:r>
      <w:r w:rsidRPr="0097239C">
        <w:rPr>
          <w:rFonts w:hint="cs"/>
          <w:b/>
          <w:rtl/>
        </w:rPr>
        <w:t>(להלן - אמנת האקלים)</w:t>
      </w:r>
      <w:r>
        <w:rPr>
          <w:vertAlign w:val="superscript"/>
          <w:rtl/>
        </w:rPr>
        <w:footnoteReference w:id="13"/>
      </w:r>
      <w:r w:rsidRPr="0097239C">
        <w:rPr>
          <w:rFonts w:hint="cs"/>
          <w:rtl/>
        </w:rPr>
        <w:t xml:space="preserve">. לשם השגת היעד האמור קבעה הממשלה יעדים לאומיים להפחתה ולייעול של צריכת </w:t>
      </w:r>
      <w:r w:rsidRPr="0097239C">
        <w:rPr>
          <w:rFonts w:hint="cs"/>
          <w:rtl/>
        </w:rPr>
        <w:t>האנרגייה</w:t>
      </w:r>
      <w:r w:rsidRPr="0097239C">
        <w:rPr>
          <w:rFonts w:hint="cs"/>
          <w:rtl/>
        </w:rPr>
        <w:t xml:space="preserve"> במשק: צמצום</w:t>
      </w:r>
      <w:r w:rsidRPr="0097239C">
        <w:t xml:space="preserve"> </w:t>
      </w:r>
      <w:r w:rsidRPr="0097239C">
        <w:rPr>
          <w:rFonts w:hint="cs"/>
          <w:rtl/>
        </w:rPr>
        <w:t>צריכת</w:t>
      </w:r>
      <w:r w:rsidRPr="0097239C">
        <w:t xml:space="preserve"> </w:t>
      </w:r>
      <w:r w:rsidRPr="0097239C">
        <w:rPr>
          <w:rFonts w:hint="cs"/>
          <w:rtl/>
        </w:rPr>
        <w:t>החשמל</w:t>
      </w:r>
      <w:r w:rsidRPr="0097239C">
        <w:t xml:space="preserve"> </w:t>
      </w:r>
      <w:r w:rsidRPr="0097239C">
        <w:rPr>
          <w:rFonts w:hint="cs"/>
          <w:rtl/>
        </w:rPr>
        <w:t>בשיעור</w:t>
      </w:r>
      <w:r w:rsidRPr="0097239C">
        <w:t xml:space="preserve"> </w:t>
      </w:r>
      <w:r w:rsidRPr="0097239C">
        <w:rPr>
          <w:rFonts w:hint="cs"/>
          <w:rtl/>
        </w:rPr>
        <w:t>של</w:t>
      </w:r>
      <w:r w:rsidRPr="0097239C">
        <w:t xml:space="preserve"> </w:t>
      </w:r>
      <w:r w:rsidRPr="0097239C">
        <w:rPr>
          <w:rFonts w:hint="cs"/>
          <w:rtl/>
        </w:rPr>
        <w:t>לפחות</w:t>
      </w:r>
      <w:r w:rsidRPr="0097239C">
        <w:t xml:space="preserve"> </w:t>
      </w:r>
      <w:r w:rsidRPr="0097239C">
        <w:rPr>
          <w:rFonts w:hint="cs"/>
          <w:rtl/>
        </w:rPr>
        <w:t>17%</w:t>
      </w:r>
      <w:r w:rsidRPr="0097239C">
        <w:t xml:space="preserve"> </w:t>
      </w:r>
      <w:r w:rsidRPr="0097239C">
        <w:rPr>
          <w:rFonts w:hint="cs"/>
          <w:rtl/>
        </w:rPr>
        <w:t>עד שנת</w:t>
      </w:r>
      <w:r w:rsidRPr="0097239C">
        <w:t xml:space="preserve"> </w:t>
      </w:r>
      <w:r w:rsidRPr="0097239C">
        <w:rPr>
          <w:rFonts w:hint="cs"/>
          <w:rtl/>
        </w:rPr>
        <w:t>2030,</w:t>
      </w:r>
      <w:r w:rsidRPr="0097239C">
        <w:t xml:space="preserve"> </w:t>
      </w:r>
      <w:r w:rsidRPr="0097239C">
        <w:rPr>
          <w:rFonts w:hint="cs"/>
          <w:rtl/>
        </w:rPr>
        <w:t>יחסית</w:t>
      </w:r>
      <w:r w:rsidRPr="0097239C">
        <w:t xml:space="preserve"> </w:t>
      </w:r>
      <w:r w:rsidRPr="0097239C">
        <w:rPr>
          <w:rFonts w:hint="cs"/>
          <w:rtl/>
        </w:rPr>
        <w:t>לצריכת</w:t>
      </w:r>
      <w:r w:rsidRPr="0097239C">
        <w:t xml:space="preserve"> </w:t>
      </w:r>
      <w:r w:rsidRPr="0097239C">
        <w:rPr>
          <w:rFonts w:hint="cs"/>
          <w:rtl/>
        </w:rPr>
        <w:t>החשמל</w:t>
      </w:r>
      <w:r w:rsidRPr="0097239C">
        <w:t xml:space="preserve"> </w:t>
      </w:r>
      <w:r w:rsidRPr="0097239C">
        <w:rPr>
          <w:rFonts w:hint="cs"/>
          <w:rtl/>
        </w:rPr>
        <w:t>הצפויה</w:t>
      </w:r>
      <w:r w:rsidRPr="0097239C">
        <w:t xml:space="preserve"> </w:t>
      </w:r>
      <w:r w:rsidRPr="0097239C">
        <w:rPr>
          <w:rFonts w:hint="cs"/>
          <w:rtl/>
        </w:rPr>
        <w:t>באותה</w:t>
      </w:r>
      <w:r w:rsidRPr="0097239C">
        <w:t xml:space="preserve"> </w:t>
      </w:r>
      <w:r w:rsidRPr="0097239C">
        <w:rPr>
          <w:rFonts w:hint="cs"/>
          <w:rtl/>
        </w:rPr>
        <w:t>השנה</w:t>
      </w:r>
      <w:r w:rsidRPr="0097239C">
        <w:t xml:space="preserve"> </w:t>
      </w:r>
      <w:r w:rsidRPr="0097239C">
        <w:rPr>
          <w:rFonts w:hint="cs"/>
          <w:rtl/>
        </w:rPr>
        <w:t>לפי תרחיש</w:t>
      </w:r>
      <w:r w:rsidRPr="0097239C">
        <w:t xml:space="preserve"> </w:t>
      </w:r>
      <w:r w:rsidRPr="0097239C">
        <w:rPr>
          <w:rFonts w:hint="cs"/>
          <w:rtl/>
        </w:rPr>
        <w:t>"עסקים</w:t>
      </w:r>
      <w:r w:rsidRPr="0097239C">
        <w:t xml:space="preserve"> </w:t>
      </w:r>
      <w:r w:rsidRPr="0097239C">
        <w:rPr>
          <w:rFonts w:hint="cs"/>
          <w:rtl/>
        </w:rPr>
        <w:t>כרגיל"</w:t>
      </w:r>
      <w:r>
        <w:rPr>
          <w:vertAlign w:val="superscript"/>
          <w:rtl/>
        </w:rPr>
        <w:footnoteReference w:id="14"/>
      </w:r>
      <w:r w:rsidRPr="0097239C">
        <w:rPr>
          <w:rFonts w:hint="cs"/>
          <w:rtl/>
        </w:rPr>
        <w:t>; ייצור של 17% מהחשמל בשנת 2030 באמצעות אנרגיות מתחדשות</w:t>
      </w:r>
      <w:r>
        <w:rPr>
          <w:vertAlign w:val="superscript"/>
          <w:rtl/>
        </w:rPr>
        <w:footnoteReference w:id="15"/>
      </w:r>
      <w:r w:rsidRPr="0097239C">
        <w:rPr>
          <w:rFonts w:hint="cs"/>
          <w:rtl/>
        </w:rPr>
        <w:t>; הסטת 20% מהנסועה (קילומטראז') מכלי רכב פרטיים לתחבורה ציבורית.</w:t>
      </w:r>
    </w:p>
    <w:p w:rsidR="0097239C" w:rsidP="00C603CF">
      <w:pPr>
        <w:pStyle w:val="a"/>
        <w:spacing w:line="269" w:lineRule="auto"/>
        <w:rPr>
          <w:rtl/>
        </w:rPr>
      </w:pPr>
    </w:p>
    <w:p w:rsidR="0097239C" w:rsidRPr="0097239C" w:rsidP="00C603CF">
      <w:pPr>
        <w:spacing w:line="269" w:lineRule="auto"/>
        <w:rPr>
          <w:rtl/>
        </w:rPr>
      </w:pPr>
      <w:r w:rsidRPr="0097239C">
        <w:rPr>
          <w:rFonts w:hint="cs"/>
          <w:rtl/>
        </w:rPr>
        <w:t xml:space="preserve">האגף לשימור </w:t>
      </w:r>
      <w:r w:rsidRPr="0097239C">
        <w:rPr>
          <w:rFonts w:hint="cs"/>
          <w:rtl/>
        </w:rPr>
        <w:t>אנרגייה</w:t>
      </w:r>
      <w:r w:rsidRPr="0097239C">
        <w:rPr>
          <w:rFonts w:hint="cs"/>
          <w:rtl/>
        </w:rPr>
        <w:t xml:space="preserve"> במשרד </w:t>
      </w:r>
      <w:r w:rsidRPr="0097239C">
        <w:rPr>
          <w:rFonts w:hint="cs"/>
          <w:rtl/>
        </w:rPr>
        <w:t>האנרגייה</w:t>
      </w:r>
      <w:r w:rsidRPr="0097239C">
        <w:rPr>
          <w:rFonts w:hint="cs"/>
          <w:rtl/>
        </w:rPr>
        <w:t xml:space="preserve"> פועל לשיפור מאזן </w:t>
      </w:r>
      <w:r w:rsidRPr="0097239C">
        <w:rPr>
          <w:rFonts w:hint="cs"/>
          <w:rtl/>
        </w:rPr>
        <w:t>האנרגייה</w:t>
      </w:r>
      <w:r w:rsidRPr="0097239C">
        <w:rPr>
          <w:rFonts w:hint="cs"/>
          <w:rtl/>
        </w:rPr>
        <w:t xml:space="preserve"> של ישראל באמצעות ייעול השימוש </w:t>
      </w:r>
      <w:r w:rsidRPr="0097239C">
        <w:rPr>
          <w:rFonts w:hint="cs"/>
          <w:rtl/>
        </w:rPr>
        <w:t>באנרגייה</w:t>
      </w:r>
      <w:r w:rsidRPr="0097239C">
        <w:rPr>
          <w:rFonts w:hint="cs"/>
          <w:rtl/>
        </w:rPr>
        <w:t xml:space="preserve"> וניצולה המיטבי. האגף מקדם התייעלות אנרגטית במגזרים השונים באמצעות מכרזים לביצוע פרויקטים להתייעלות אנרגטית ועוסק בהסברה והדרכה בתחום.</w:t>
      </w:r>
    </w:p>
    <w:p w:rsidR="0097239C" w:rsidRPr="0097239C" w:rsidP="00C603CF">
      <w:pPr>
        <w:spacing w:line="269" w:lineRule="auto"/>
        <w:rPr>
          <w:rtl/>
        </w:rPr>
      </w:pPr>
    </w:p>
    <w:p w:rsidR="0097239C" w:rsidP="00C603CF">
      <w:pPr>
        <w:pStyle w:val="Heading3"/>
        <w:spacing w:before="0" w:line="269" w:lineRule="auto"/>
        <w:rPr>
          <w:rtl/>
        </w:rPr>
      </w:pPr>
      <w:bookmarkStart w:id="1" w:name="_Toc46906217"/>
      <w:r w:rsidRPr="0097239C">
        <w:rPr>
          <w:rFonts w:hint="eastAsia"/>
          <w:rtl/>
        </w:rPr>
        <w:t>פעולות</w:t>
      </w:r>
      <w:r w:rsidRPr="0097239C">
        <w:rPr>
          <w:rtl/>
        </w:rPr>
        <w:t xml:space="preserve"> </w:t>
      </w:r>
      <w:r w:rsidRPr="0097239C">
        <w:rPr>
          <w:rFonts w:hint="eastAsia"/>
          <w:rtl/>
        </w:rPr>
        <w:t>הביקורת</w:t>
      </w:r>
      <w:bookmarkEnd w:id="1"/>
    </w:p>
    <w:p w:rsidR="0097239C" w:rsidRPr="0097239C" w:rsidP="00C603CF">
      <w:pPr>
        <w:pStyle w:val="a"/>
        <w:spacing w:line="269" w:lineRule="auto"/>
        <w:rPr>
          <w:rtl/>
        </w:rPr>
      </w:pPr>
    </w:p>
    <w:p w:rsidR="0097239C" w:rsidP="00C603CF">
      <w:pPr>
        <w:spacing w:line="269" w:lineRule="auto"/>
        <w:rPr>
          <w:rtl/>
        </w:rPr>
      </w:pPr>
      <w:r w:rsidRPr="0097239C">
        <w:rPr>
          <w:rFonts w:hint="cs"/>
          <w:rtl/>
        </w:rPr>
        <w:t>בחודשים יולי 2019</w:t>
      </w:r>
      <w:r w:rsidRPr="0097239C">
        <w:t xml:space="preserve"> </w:t>
      </w:r>
      <w:r w:rsidRPr="0097239C">
        <w:rPr>
          <w:rFonts w:hint="cs"/>
          <w:rtl/>
        </w:rPr>
        <w:t xml:space="preserve">עד ינואר 2020 בדק משרד מבקר המדינה את הפעולות שנקטו משרדי ממשלה להתייעלות </w:t>
      </w:r>
      <w:r w:rsidRPr="0097239C">
        <w:rPr>
          <w:rFonts w:hint="cs"/>
          <w:rtl/>
        </w:rPr>
        <w:t>באנרגייה</w:t>
      </w:r>
      <w:r w:rsidRPr="0097239C">
        <w:rPr>
          <w:rFonts w:hint="cs"/>
          <w:rtl/>
        </w:rPr>
        <w:t xml:space="preserve"> במשק ולהשגת יעדי הממשלה בנושא. בין היתר נבדקה ההתייעלות במגזרי החשמל והתחבורה, במגזר הציבורי ובענף הבנייה. הביקורת בוצעה במשרד </w:t>
      </w:r>
      <w:r w:rsidRPr="0097239C">
        <w:rPr>
          <w:rFonts w:hint="cs"/>
          <w:rtl/>
        </w:rPr>
        <w:t>האנרגייה</w:t>
      </w:r>
      <w:r w:rsidRPr="0097239C">
        <w:rPr>
          <w:rFonts w:hint="cs"/>
          <w:rtl/>
        </w:rPr>
        <w:t xml:space="preserve">, בחברת </w:t>
      </w:r>
      <w:r w:rsidRPr="0097239C">
        <w:rPr>
          <w:rFonts w:hint="cs"/>
          <w:rtl/>
        </w:rPr>
        <w:t xml:space="preserve">החשמל לישראל בע"מ (להלן - </w:t>
      </w:r>
      <w:r w:rsidRPr="0097239C">
        <w:rPr>
          <w:rFonts w:hint="cs"/>
          <w:rtl/>
        </w:rPr>
        <w:t>חח"י</w:t>
      </w:r>
      <w:r w:rsidRPr="0097239C">
        <w:rPr>
          <w:rFonts w:hint="cs"/>
          <w:rtl/>
        </w:rPr>
        <w:t xml:space="preserve">), ברשות החשמל, במשרד </w:t>
      </w:r>
      <w:r w:rsidRPr="0097239C">
        <w:rPr>
          <w:rFonts w:hint="cs"/>
          <w:rtl/>
        </w:rPr>
        <w:t>להג"ס</w:t>
      </w:r>
      <w:r w:rsidRPr="0097239C">
        <w:rPr>
          <w:rFonts w:hint="cs"/>
          <w:rtl/>
        </w:rPr>
        <w:t xml:space="preserve">, במשרד התחבורה והבטיחות בדרכים (להלן - משרד התחבורה), ברשות המיסים בישראל (להלן - רשות המיסים), </w:t>
      </w:r>
      <w:r w:rsidRPr="0097239C">
        <w:rPr>
          <w:rFonts w:hint="cs"/>
          <w:rtl/>
        </w:rPr>
        <w:t>במינהל</w:t>
      </w:r>
      <w:r w:rsidRPr="0097239C">
        <w:rPr>
          <w:rFonts w:hint="cs"/>
          <w:rtl/>
        </w:rPr>
        <w:t xml:space="preserve"> התכנון, במשרד הבינוי והשיכון, וכן במשרד האוצר - באגף התקציבים (להלן - </w:t>
      </w:r>
      <w:r w:rsidRPr="0097239C">
        <w:rPr>
          <w:rFonts w:hint="cs"/>
          <w:rtl/>
        </w:rPr>
        <w:t>אג"ת</w:t>
      </w:r>
      <w:r w:rsidRPr="0097239C">
        <w:rPr>
          <w:rFonts w:hint="cs"/>
          <w:rtl/>
        </w:rPr>
        <w:t xml:space="preserve">) ובאגף החשב הכללי (להלן - </w:t>
      </w:r>
      <w:r w:rsidRPr="0097239C">
        <w:rPr>
          <w:rFonts w:hint="cs"/>
          <w:rtl/>
        </w:rPr>
        <w:t>החשכ"ל</w:t>
      </w:r>
      <w:r w:rsidRPr="0097239C">
        <w:rPr>
          <w:rFonts w:hint="cs"/>
          <w:rtl/>
        </w:rPr>
        <w:t>).</w:t>
      </w:r>
    </w:p>
    <w:p w:rsidR="0097239C" w:rsidRPr="0097239C" w:rsidP="00C603CF">
      <w:pPr>
        <w:spacing w:line="269" w:lineRule="auto"/>
        <w:rPr>
          <w:rtl/>
        </w:rPr>
      </w:pPr>
    </w:p>
    <w:p w:rsidR="0097239C" w:rsidRPr="0097239C" w:rsidP="00C603CF">
      <w:pPr>
        <w:pStyle w:val="Heading2"/>
        <w:spacing w:before="0" w:line="269" w:lineRule="auto"/>
        <w:rPr>
          <w:rtl/>
        </w:rPr>
      </w:pPr>
      <w:bookmarkStart w:id="2" w:name="_Toc46906218"/>
      <w:r w:rsidRPr="0097239C">
        <w:rPr>
          <w:rFonts w:hint="cs"/>
          <w:rtl/>
        </w:rPr>
        <w:t>תמונת מצב</w:t>
      </w:r>
      <w:bookmarkEnd w:id="2"/>
    </w:p>
    <w:p w:rsidR="0097239C" w:rsidP="00C603CF">
      <w:pPr>
        <w:pStyle w:val="a"/>
        <w:spacing w:line="269" w:lineRule="auto"/>
        <w:rPr>
          <w:rtl/>
        </w:rPr>
      </w:pPr>
    </w:p>
    <w:p w:rsidR="0097239C" w:rsidP="00C603CF">
      <w:pPr>
        <w:spacing w:line="269" w:lineRule="auto"/>
        <w:rPr>
          <w:b/>
          <w:rtl/>
        </w:rPr>
      </w:pPr>
      <w:r w:rsidRPr="0097239C">
        <w:rPr>
          <w:rFonts w:hint="cs"/>
          <w:b/>
          <w:rtl/>
        </w:rPr>
        <w:t xml:space="preserve">אחד הגורמים להתגברות תופעות שינויי האקלים כאמור הוא פליטת </w:t>
      </w:r>
      <w:r w:rsidRPr="0097239C">
        <w:rPr>
          <w:rFonts w:hint="cs"/>
          <w:b/>
          <w:rtl/>
        </w:rPr>
        <w:t>גז"ח</w:t>
      </w:r>
      <w:r>
        <w:rPr>
          <w:b/>
          <w:vertAlign w:val="superscript"/>
          <w:rtl/>
        </w:rPr>
        <w:footnoteReference w:id="16"/>
      </w:r>
      <w:r w:rsidRPr="0097239C">
        <w:rPr>
          <w:rFonts w:hint="cs"/>
          <w:b/>
          <w:rtl/>
        </w:rPr>
        <w:t xml:space="preserve">. גזים אלה נפלטים ממקורות רבים ומגוונים, בעיקר משריפת </w:t>
      </w:r>
      <w:r w:rsidRPr="0097239C">
        <w:rPr>
          <w:rFonts w:hint="cs"/>
          <w:b/>
          <w:rtl/>
        </w:rPr>
        <w:t>דלקים</w:t>
      </w:r>
      <w:r w:rsidRPr="0097239C">
        <w:rPr>
          <w:rFonts w:hint="cs"/>
          <w:b/>
          <w:rtl/>
        </w:rPr>
        <w:t xml:space="preserve"> </w:t>
      </w:r>
      <w:r w:rsidRPr="0097239C">
        <w:rPr>
          <w:rFonts w:hint="cs"/>
          <w:b/>
          <w:rtl/>
        </w:rPr>
        <w:t>פוסיליים</w:t>
      </w:r>
      <w:r w:rsidRPr="0097239C">
        <w:rPr>
          <w:rFonts w:hint="cs"/>
          <w:b/>
          <w:rtl/>
        </w:rPr>
        <w:t>, המשמשים להנעת כלי תחבורה, לייצור חשמל ולפעילותם של מפעלי תעשייה</w:t>
      </w:r>
      <w:r>
        <w:rPr>
          <w:b/>
          <w:vertAlign w:val="superscript"/>
          <w:rtl/>
        </w:rPr>
        <w:footnoteReference w:id="17"/>
      </w:r>
      <w:r w:rsidRPr="0097239C">
        <w:rPr>
          <w:rFonts w:hint="cs"/>
          <w:b/>
          <w:rtl/>
        </w:rPr>
        <w:t xml:space="preserve">. להלן מוצגים שיעורי פליטת גזי החממה בישראל ובשאר מדינות </w:t>
      </w:r>
      <w:r w:rsidR="00C603CF">
        <w:rPr>
          <w:rFonts w:hint="cs"/>
          <w:b/>
          <w:rtl/>
        </w:rPr>
        <w:t>ה-</w:t>
      </w:r>
      <w:r w:rsidRPr="0097239C">
        <w:rPr>
          <w:rFonts w:hint="cs"/>
          <w:bCs/>
        </w:rPr>
        <w:t>OECD</w:t>
      </w:r>
      <w:r w:rsidR="00F73E98">
        <w:rPr>
          <w:rFonts w:hint="cs"/>
          <w:b/>
          <w:rtl/>
        </w:rPr>
        <w:t xml:space="preserve"> </w:t>
      </w:r>
      <w:r w:rsidRPr="0097239C">
        <w:rPr>
          <w:rFonts w:hint="cs"/>
          <w:b/>
          <w:rtl/>
        </w:rPr>
        <w:t>בשנת 2017.</w:t>
      </w:r>
    </w:p>
    <w:p w:rsidR="0097239C" w:rsidRPr="0097239C" w:rsidP="00C603CF">
      <w:pPr>
        <w:pStyle w:val="a"/>
        <w:spacing w:line="269" w:lineRule="auto"/>
        <w:rPr>
          <w:rtl/>
        </w:rPr>
      </w:pPr>
    </w:p>
    <w:p w:rsidR="0097239C" w:rsidRPr="0097239C" w:rsidP="003A6DD0">
      <w:pPr>
        <w:spacing w:after="120" w:line="240" w:lineRule="exact"/>
        <w:jc w:val="center"/>
        <w:rPr>
          <w:bCs/>
          <w:rtl/>
        </w:rPr>
      </w:pPr>
      <w:r w:rsidRPr="0097239C">
        <w:rPr>
          <w:rFonts w:hint="eastAsia"/>
          <w:bCs/>
          <w:rtl/>
        </w:rPr>
        <w:t>תרשים</w:t>
      </w:r>
      <w:r w:rsidRPr="0097239C">
        <w:rPr>
          <w:bCs/>
          <w:rtl/>
        </w:rPr>
        <w:t xml:space="preserve"> </w:t>
      </w:r>
      <w:r w:rsidRPr="0097239C">
        <w:rPr>
          <w:rFonts w:hint="cs"/>
          <w:bCs/>
          <w:rtl/>
        </w:rPr>
        <w:t>1</w:t>
      </w:r>
      <w:r w:rsidRPr="0097239C">
        <w:rPr>
          <w:bCs/>
          <w:rtl/>
        </w:rPr>
        <w:t xml:space="preserve">: </w:t>
      </w:r>
      <w:r w:rsidRPr="0097239C">
        <w:rPr>
          <w:rFonts w:hint="eastAsia"/>
          <w:bCs/>
          <w:rtl/>
        </w:rPr>
        <w:t>פליטות</w:t>
      </w:r>
      <w:r w:rsidRPr="0097239C">
        <w:rPr>
          <w:bCs/>
          <w:rtl/>
        </w:rPr>
        <w:t xml:space="preserve"> </w:t>
      </w:r>
      <w:r w:rsidRPr="0097239C">
        <w:rPr>
          <w:rFonts w:hint="eastAsia"/>
          <w:bCs/>
          <w:rtl/>
        </w:rPr>
        <w:t>גזי</w:t>
      </w:r>
      <w:r w:rsidRPr="0097239C">
        <w:rPr>
          <w:bCs/>
          <w:rtl/>
        </w:rPr>
        <w:t xml:space="preserve"> </w:t>
      </w:r>
      <w:r w:rsidRPr="0097239C">
        <w:rPr>
          <w:rFonts w:hint="eastAsia"/>
          <w:bCs/>
          <w:rtl/>
        </w:rPr>
        <w:t>חממה</w:t>
      </w:r>
      <w:r w:rsidRPr="0097239C">
        <w:rPr>
          <w:bCs/>
          <w:rtl/>
        </w:rPr>
        <w:t xml:space="preserve"> </w:t>
      </w:r>
      <w:r w:rsidRPr="0097239C">
        <w:rPr>
          <w:rFonts w:hint="eastAsia"/>
          <w:bCs/>
          <w:rtl/>
        </w:rPr>
        <w:t>לנפש</w:t>
      </w:r>
      <w:r w:rsidRPr="0097239C">
        <w:rPr>
          <w:rFonts w:hint="cs"/>
          <w:bCs/>
          <w:rtl/>
        </w:rPr>
        <w:t>,</w:t>
      </w:r>
      <w:r w:rsidRPr="0097239C">
        <w:rPr>
          <w:bCs/>
          <w:rtl/>
        </w:rPr>
        <w:t xml:space="preserve"> 2017</w:t>
      </w:r>
    </w:p>
    <w:p w:rsidR="0097239C" w:rsidRPr="0097239C" w:rsidP="00CA245B">
      <w:pPr>
        <w:spacing w:line="269" w:lineRule="auto"/>
        <w:jc w:val="center"/>
        <w:rPr>
          <w:b/>
          <w:rtl/>
        </w:rPr>
      </w:pPr>
      <w:r>
        <w:rPr>
          <w:b/>
          <w:noProof/>
          <w:rtl/>
        </w:rPr>
        <w:drawing>
          <wp:inline distT="0" distB="0" distL="0" distR="0">
            <wp:extent cx="4325121" cy="2386589"/>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90383" name="energy-g-1.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86589"/>
                    </a:xfrm>
                    <a:prstGeom prst="rect">
                      <a:avLst/>
                    </a:prstGeom>
                  </pic:spPr>
                </pic:pic>
              </a:graphicData>
            </a:graphic>
          </wp:inline>
        </w:drawing>
      </w:r>
    </w:p>
    <w:p w:rsidR="0097239C" w:rsidRPr="00810E1E" w:rsidP="003A6DD0">
      <w:pPr>
        <w:spacing w:before="120" w:line="240" w:lineRule="exact"/>
        <w:rPr>
          <w:b/>
          <w:sz w:val="22"/>
          <w:szCs w:val="22"/>
          <w:rtl/>
        </w:rPr>
      </w:pPr>
      <w:r w:rsidRPr="00810E1E">
        <w:rPr>
          <w:rFonts w:hint="cs"/>
          <w:b/>
          <w:sz w:val="22"/>
          <w:szCs w:val="22"/>
          <w:rtl/>
        </w:rPr>
        <w:t>המקור: אתר האינטרנט של ה-</w:t>
      </w:r>
      <w:r w:rsidRPr="00810E1E">
        <w:rPr>
          <w:rFonts w:hint="cs"/>
          <w:bCs/>
          <w:sz w:val="22"/>
          <w:szCs w:val="22"/>
        </w:rPr>
        <w:t>OECD</w:t>
      </w:r>
      <w:r w:rsidRPr="00810E1E">
        <w:rPr>
          <w:rFonts w:hint="cs"/>
          <w:b/>
          <w:sz w:val="22"/>
          <w:szCs w:val="22"/>
          <w:rtl/>
        </w:rPr>
        <w:t xml:space="preserve">: </w:t>
      </w:r>
      <w:r w:rsidRPr="00810E1E">
        <w:rPr>
          <w:b/>
          <w:sz w:val="22"/>
          <w:szCs w:val="22"/>
        </w:rPr>
        <w:t>https://www.oecd-ilibrary.org/sites/5584ad47-en/index.html?itemId=/content/component/5584ad47-en</w:t>
      </w:r>
    </w:p>
    <w:p w:rsidR="0097239C" w:rsidP="00C603CF">
      <w:pPr>
        <w:pStyle w:val="a"/>
        <w:spacing w:line="269" w:lineRule="auto"/>
        <w:rPr>
          <w:rtl/>
        </w:rPr>
      </w:pPr>
    </w:p>
    <w:p w:rsidR="0097239C" w:rsidRPr="00B66C3E" w:rsidP="00C603CF">
      <w:pPr>
        <w:spacing w:line="269" w:lineRule="auto"/>
        <w:rPr>
          <w:rtl/>
        </w:rPr>
      </w:pPr>
      <w:r w:rsidRPr="00B66C3E">
        <w:rPr>
          <w:rFonts w:hint="cs"/>
          <w:rtl/>
        </w:rPr>
        <w:t xml:space="preserve">שיעור פליטות </w:t>
      </w:r>
      <w:r w:rsidRPr="00B66C3E">
        <w:rPr>
          <w:rFonts w:hint="cs"/>
          <w:rtl/>
        </w:rPr>
        <w:t>גז"ח</w:t>
      </w:r>
      <w:r w:rsidRPr="00B66C3E">
        <w:rPr>
          <w:rFonts w:hint="cs"/>
          <w:rtl/>
        </w:rPr>
        <w:t xml:space="preserve"> בישראל קטן משיעור הפליטות הממוצע של מדינות ה-</w:t>
      </w:r>
      <w:r w:rsidRPr="00B66C3E">
        <w:rPr>
          <w:rFonts w:hint="cs"/>
        </w:rPr>
        <w:t>OECD</w:t>
      </w:r>
      <w:r w:rsidRPr="00B66C3E">
        <w:rPr>
          <w:rFonts w:hint="cs"/>
          <w:rtl/>
        </w:rPr>
        <w:t xml:space="preserve">, ועם זאת הוא גדול משיעור הפליטות ב-27 מדינות אירופה החברות בארגון. גם שיעור פליטת הפחמן הדו-חמצני (להלן גם - </w:t>
      </w:r>
      <w:r w:rsidRPr="00B66C3E">
        <w:rPr>
          <w:rFonts w:hint="cs"/>
          <w:rtl/>
        </w:rPr>
        <w:t>פד"ח</w:t>
      </w:r>
      <w:r w:rsidRPr="00B66C3E">
        <w:rPr>
          <w:rFonts w:hint="cs"/>
          <w:rtl/>
        </w:rPr>
        <w:t>), שהוא גז החממה העיקרי, גדול בישראל לעומת מדינות אירופה החברות בארגון ה-</w:t>
      </w:r>
      <w:r w:rsidRPr="00B66C3E">
        <w:rPr>
          <w:rFonts w:hint="cs"/>
        </w:rPr>
        <w:t>OECD</w:t>
      </w:r>
      <w:r w:rsidRPr="00B66C3E">
        <w:rPr>
          <w:rFonts w:hint="cs"/>
          <w:rtl/>
        </w:rPr>
        <w:t>. ואולם נמצאה מגמת הפחתה בשיעור זה, כמתואר בתרשים 2.</w:t>
      </w:r>
    </w:p>
    <w:p w:rsidR="009F2885">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F15F55">
      <w:pPr>
        <w:spacing w:after="120" w:line="269" w:lineRule="auto"/>
        <w:jc w:val="center"/>
        <w:rPr>
          <w:rFonts w:hint="cs"/>
          <w:bCs/>
          <w:rtl/>
        </w:rPr>
      </w:pPr>
      <w:r w:rsidRPr="0097239C">
        <w:rPr>
          <w:rFonts w:hint="eastAsia"/>
          <w:bCs/>
          <w:rtl/>
        </w:rPr>
        <w:t>תרשים</w:t>
      </w:r>
      <w:r w:rsidRPr="0097239C">
        <w:rPr>
          <w:bCs/>
          <w:rtl/>
        </w:rPr>
        <w:t xml:space="preserve"> </w:t>
      </w:r>
      <w:r w:rsidRPr="0097239C">
        <w:rPr>
          <w:rFonts w:hint="cs"/>
          <w:bCs/>
          <w:rtl/>
        </w:rPr>
        <w:t>2</w:t>
      </w:r>
      <w:r w:rsidRPr="0097239C">
        <w:rPr>
          <w:bCs/>
          <w:rtl/>
        </w:rPr>
        <w:t xml:space="preserve">: פליטות פחמן </w:t>
      </w:r>
      <w:r w:rsidRPr="0097239C">
        <w:rPr>
          <w:rFonts w:hint="eastAsia"/>
          <w:bCs/>
          <w:rtl/>
        </w:rPr>
        <w:t>דו</w:t>
      </w:r>
      <w:r w:rsidRPr="0097239C">
        <w:rPr>
          <w:rFonts w:hint="cs"/>
          <w:bCs/>
          <w:rtl/>
        </w:rPr>
        <w:t>-</w:t>
      </w:r>
      <w:r w:rsidRPr="0097239C">
        <w:rPr>
          <w:rFonts w:hint="eastAsia"/>
          <w:bCs/>
          <w:rtl/>
        </w:rPr>
        <w:t>חמצני</w:t>
      </w:r>
      <w:r w:rsidRPr="0097239C">
        <w:rPr>
          <w:bCs/>
          <w:rtl/>
        </w:rPr>
        <w:t xml:space="preserve"> </w:t>
      </w:r>
      <w:r w:rsidRPr="0097239C">
        <w:rPr>
          <w:rFonts w:hint="eastAsia"/>
          <w:bCs/>
          <w:rtl/>
        </w:rPr>
        <w:t>לנפש</w:t>
      </w:r>
      <w:r w:rsidRPr="0097239C">
        <w:rPr>
          <w:bCs/>
          <w:rtl/>
        </w:rPr>
        <w:t xml:space="preserve">, </w:t>
      </w:r>
      <w:r w:rsidRPr="0097239C">
        <w:rPr>
          <w:rFonts w:hint="eastAsia"/>
          <w:bCs/>
          <w:rtl/>
        </w:rPr>
        <w:t>בישראל</w:t>
      </w:r>
      <w:r w:rsidRPr="0097239C">
        <w:rPr>
          <w:bCs/>
          <w:rtl/>
        </w:rPr>
        <w:t xml:space="preserve"> </w:t>
      </w:r>
      <w:r w:rsidRPr="0097239C">
        <w:rPr>
          <w:rFonts w:hint="eastAsia"/>
          <w:bCs/>
          <w:rtl/>
        </w:rPr>
        <w:t>ובמדינות</w:t>
      </w:r>
      <w:r w:rsidRPr="0097239C">
        <w:rPr>
          <w:bCs/>
          <w:rtl/>
        </w:rPr>
        <w:t xml:space="preserve"> </w:t>
      </w:r>
      <w:r w:rsidRPr="0097239C">
        <w:rPr>
          <w:rFonts w:hint="eastAsia"/>
          <w:bCs/>
          <w:rtl/>
        </w:rPr>
        <w:t>אירופה</w:t>
      </w:r>
      <w:r w:rsidRPr="0097239C">
        <w:rPr>
          <w:bCs/>
          <w:rtl/>
        </w:rPr>
        <w:t xml:space="preserve"> </w:t>
      </w:r>
      <w:r w:rsidRPr="0097239C">
        <w:rPr>
          <w:rFonts w:hint="eastAsia"/>
          <w:bCs/>
          <w:rtl/>
        </w:rPr>
        <w:t>החברות</w:t>
      </w:r>
      <w:r w:rsidRPr="0097239C">
        <w:rPr>
          <w:bCs/>
          <w:rtl/>
        </w:rPr>
        <w:t xml:space="preserve"> </w:t>
      </w:r>
      <w:r w:rsidRPr="0097239C">
        <w:rPr>
          <w:rFonts w:hint="eastAsia"/>
          <w:bCs/>
          <w:rtl/>
        </w:rPr>
        <w:t>בארגון</w:t>
      </w:r>
      <w:r w:rsidRPr="0097239C">
        <w:rPr>
          <w:bCs/>
          <w:rtl/>
        </w:rPr>
        <w:t xml:space="preserve"> </w:t>
      </w:r>
      <w:r w:rsidRPr="0097239C">
        <w:rPr>
          <w:rFonts w:hint="eastAsia"/>
          <w:bCs/>
          <w:rtl/>
        </w:rPr>
        <w:t>ה</w:t>
      </w:r>
      <w:r w:rsidRPr="0097239C">
        <w:rPr>
          <w:bCs/>
          <w:rtl/>
        </w:rPr>
        <w:t>-</w:t>
      </w:r>
      <w:r w:rsidR="00F15F55">
        <w:rPr>
          <w:bCs/>
        </w:rPr>
        <w:t xml:space="preserve"> </w:t>
      </w:r>
      <w:r>
        <w:rPr>
          <w:b/>
          <w:bCs/>
          <w:vertAlign w:val="superscript"/>
        </w:rPr>
        <w:footnoteReference w:id="18"/>
      </w:r>
      <w:r w:rsidRPr="0097239C">
        <w:rPr>
          <w:b/>
        </w:rPr>
        <w:t>OECD</w:t>
      </w:r>
      <w:r w:rsidRPr="0097239C">
        <w:rPr>
          <w:rFonts w:hint="cs"/>
          <w:bCs/>
          <w:rtl/>
        </w:rPr>
        <w:t>, 2000 - 2018</w:t>
      </w:r>
    </w:p>
    <w:p w:rsidR="0097239C" w:rsidRPr="0097239C" w:rsidP="00CA245B">
      <w:pPr>
        <w:spacing w:line="269" w:lineRule="auto"/>
        <w:jc w:val="center"/>
        <w:rPr>
          <w:b/>
          <w:rtl/>
        </w:rPr>
      </w:pPr>
      <w:r>
        <w:rPr>
          <w:b/>
          <w:noProof/>
          <w:rtl/>
        </w:rPr>
        <w:drawing>
          <wp:inline distT="0" distB="0" distL="0" distR="0">
            <wp:extent cx="4322073" cy="2450597"/>
            <wp:effectExtent l="0" t="0" r="254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432181" name="energy-g-2.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50597"/>
                    </a:xfrm>
                    <a:prstGeom prst="rect">
                      <a:avLst/>
                    </a:prstGeom>
                  </pic:spPr>
                </pic:pic>
              </a:graphicData>
            </a:graphic>
          </wp:inline>
        </w:drawing>
      </w:r>
    </w:p>
    <w:p w:rsidR="0097239C" w:rsidRPr="009F2885" w:rsidP="003A6DD0">
      <w:pPr>
        <w:spacing w:before="120" w:line="269" w:lineRule="auto"/>
        <w:rPr>
          <w:b/>
          <w:sz w:val="22"/>
          <w:szCs w:val="22"/>
          <w:rtl/>
        </w:rPr>
      </w:pPr>
      <w:r w:rsidRPr="009F2885">
        <w:rPr>
          <w:rFonts w:hint="cs"/>
          <w:b/>
          <w:sz w:val="22"/>
          <w:szCs w:val="22"/>
          <w:rtl/>
        </w:rPr>
        <w:t xml:space="preserve">נתוני השנים 2000 - 2017: על פי נתוני אתר האינטרנט של </w:t>
      </w:r>
      <w:r w:rsidRPr="009F2885">
        <w:rPr>
          <w:rFonts w:hint="cs"/>
          <w:bCs/>
          <w:sz w:val="22"/>
          <w:szCs w:val="22"/>
        </w:rPr>
        <w:t>I</w:t>
      </w:r>
      <w:r w:rsidRPr="009F2885">
        <w:rPr>
          <w:bCs/>
          <w:sz w:val="22"/>
          <w:szCs w:val="22"/>
        </w:rPr>
        <w:t>EA - International energy agency</w:t>
      </w:r>
      <w:r w:rsidRPr="009F2885">
        <w:rPr>
          <w:rFonts w:hint="cs"/>
          <w:bCs/>
          <w:sz w:val="22"/>
          <w:szCs w:val="22"/>
          <w:rtl/>
        </w:rPr>
        <w:t xml:space="preserve">, </w:t>
      </w:r>
      <w:r w:rsidRPr="009F2885">
        <w:rPr>
          <w:rFonts w:hint="cs"/>
          <w:b/>
          <w:sz w:val="22"/>
          <w:szCs w:val="22"/>
          <w:rtl/>
        </w:rPr>
        <w:t>בעיבוד משרד מבקר המדינה;</w:t>
      </w:r>
      <w:r w:rsidRPr="009F2885">
        <w:rPr>
          <w:rFonts w:hint="cs"/>
          <w:bCs/>
          <w:sz w:val="22"/>
          <w:szCs w:val="22"/>
          <w:rtl/>
        </w:rPr>
        <w:t xml:space="preserve"> </w:t>
      </w:r>
      <w:r w:rsidRPr="009F2885">
        <w:rPr>
          <w:rFonts w:hint="cs"/>
          <w:b/>
          <w:sz w:val="22"/>
          <w:szCs w:val="22"/>
          <w:rtl/>
        </w:rPr>
        <w:t>נתוני שנת 2018: על פי אתר האינטרנט של ה-</w:t>
      </w:r>
      <w:r w:rsidRPr="009F2885">
        <w:rPr>
          <w:rFonts w:hint="cs"/>
          <w:b/>
          <w:sz w:val="22"/>
          <w:szCs w:val="22"/>
        </w:rPr>
        <w:t>OECD</w:t>
      </w:r>
      <w:r w:rsidRPr="009F2885">
        <w:rPr>
          <w:rFonts w:hint="cs"/>
          <w:b/>
          <w:sz w:val="22"/>
          <w:szCs w:val="22"/>
          <w:rtl/>
        </w:rPr>
        <w:t>, בעיבוד משרד מבקר המדינה.</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מהתרשים עולה כי חלה הפחתה בפליטות </w:t>
      </w:r>
      <w:r w:rsidRPr="0097239C">
        <w:rPr>
          <w:rFonts w:hint="cs"/>
          <w:b/>
          <w:rtl/>
        </w:rPr>
        <w:t>פד"ח</w:t>
      </w:r>
      <w:r w:rsidRPr="0097239C">
        <w:rPr>
          <w:rFonts w:hint="cs"/>
          <w:b/>
          <w:rtl/>
        </w:rPr>
        <w:t xml:space="preserve"> בשנים 2010 - 2017. עם זאת, מגמת ההפחתה בשנים 2015 - 2017 היא מתונה. מדוח המשרד </w:t>
      </w:r>
      <w:r w:rsidRPr="0097239C">
        <w:rPr>
          <w:rFonts w:hint="cs"/>
          <w:rtl/>
        </w:rPr>
        <w:t>להג"ס</w:t>
      </w:r>
      <w:r w:rsidRPr="0097239C">
        <w:rPr>
          <w:rFonts w:hint="cs"/>
          <w:b/>
          <w:rtl/>
        </w:rPr>
        <w:t xml:space="preserve"> מנובמבר 2018 עולה כי כמות פליטות </w:t>
      </w:r>
      <w:r w:rsidRPr="0097239C">
        <w:rPr>
          <w:rFonts w:hint="cs"/>
          <w:b/>
          <w:rtl/>
        </w:rPr>
        <w:t>הפד"ח</w:t>
      </w:r>
      <w:r w:rsidRPr="0097239C">
        <w:rPr>
          <w:rFonts w:hint="cs"/>
          <w:b/>
          <w:rtl/>
        </w:rPr>
        <w:t xml:space="preserve"> לא פחתה במידה ניכרת בשנים 2015 - 2017, מאחר שבד בבד עם ההפחתה, שמקורה בהגברת השימוש בגז טבעי לייצור חשמל, חלה עלייה בסך ייצור החשמל בשנים אלו.</w:t>
      </w:r>
    </w:p>
    <w:p w:rsid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ממסמכי </w:t>
      </w:r>
      <w:r w:rsidRPr="0097239C">
        <w:rPr>
          <w:rFonts w:hint="cs"/>
          <w:b/>
          <w:rtl/>
        </w:rPr>
        <w:t>חח"י</w:t>
      </w:r>
      <w:r w:rsidRPr="0097239C">
        <w:rPr>
          <w:rFonts w:hint="cs"/>
          <w:b/>
          <w:rtl/>
        </w:rPr>
        <w:t xml:space="preserve"> מאוגוסט 2017 עולה כי מגמת ההפחתה בפליטות </w:t>
      </w:r>
      <w:r w:rsidRPr="0097239C">
        <w:rPr>
          <w:rFonts w:hint="cs"/>
          <w:b/>
          <w:rtl/>
        </w:rPr>
        <w:t>גז</w:t>
      </w:r>
      <w:r w:rsidRPr="0097239C">
        <w:rPr>
          <w:b/>
          <w:rtl/>
        </w:rPr>
        <w:t>"</w:t>
      </w:r>
      <w:r w:rsidRPr="0097239C">
        <w:rPr>
          <w:rFonts w:hint="cs"/>
          <w:b/>
          <w:rtl/>
        </w:rPr>
        <w:t>ח</w:t>
      </w:r>
      <w:r w:rsidRPr="0097239C">
        <w:rPr>
          <w:rFonts w:hint="cs"/>
          <w:b/>
          <w:rtl/>
        </w:rPr>
        <w:t xml:space="preserve"> נובעת, </w:t>
      </w:r>
      <w:r w:rsidRPr="0097239C">
        <w:rPr>
          <w:rFonts w:hint="cs"/>
          <w:rtl/>
        </w:rPr>
        <w:t>בין היתר, מהפחתת שיעור הגידול בביקוש לחשמל</w:t>
      </w:r>
      <w:r>
        <w:rPr>
          <w:vertAlign w:val="superscript"/>
          <w:rtl/>
        </w:rPr>
        <w:footnoteReference w:id="19"/>
      </w:r>
      <w:r w:rsidRPr="0097239C">
        <w:rPr>
          <w:rFonts w:hint="cs"/>
          <w:rtl/>
        </w:rPr>
        <w:t>, ה</w:t>
      </w:r>
      <w:r w:rsidRPr="0097239C">
        <w:rPr>
          <w:rtl/>
        </w:rPr>
        <w:t>מאפיי</w:t>
      </w:r>
      <w:r w:rsidRPr="0097239C">
        <w:rPr>
          <w:rFonts w:hint="cs"/>
          <w:rtl/>
        </w:rPr>
        <w:t>נת</w:t>
      </w:r>
      <w:r w:rsidRPr="0097239C">
        <w:rPr>
          <w:rtl/>
        </w:rPr>
        <w:t xml:space="preserve"> מדינות מתפתחות </w:t>
      </w:r>
      <w:r w:rsidRPr="0097239C">
        <w:rPr>
          <w:rFonts w:hint="cs"/>
          <w:rtl/>
        </w:rPr>
        <w:t>שבמשך</w:t>
      </w:r>
      <w:r w:rsidRPr="0097239C">
        <w:rPr>
          <w:rtl/>
        </w:rPr>
        <w:t xml:space="preserve"> השנים הפכו למפותחות</w:t>
      </w:r>
      <w:r w:rsidRPr="0097239C">
        <w:rPr>
          <w:rFonts w:hint="cs"/>
          <w:rtl/>
        </w:rPr>
        <w:t xml:space="preserve">, </w:t>
      </w:r>
      <w:r w:rsidRPr="0097239C">
        <w:rPr>
          <w:rtl/>
        </w:rPr>
        <w:t>כמו ישראל</w:t>
      </w:r>
      <w:r w:rsidRPr="0097239C">
        <w:rPr>
          <w:rFonts w:hint="cs"/>
          <w:rtl/>
        </w:rPr>
        <w:t xml:space="preserve">; מהמעבר לשימוש בגז טבעי; ומהתייעלות אנרגטית. להלן נתונים על אספקת </w:t>
      </w:r>
      <w:r w:rsidRPr="0097239C">
        <w:rPr>
          <w:rFonts w:hint="cs"/>
          <w:rtl/>
        </w:rPr>
        <w:t>האנרגייה</w:t>
      </w:r>
      <w:r w:rsidRPr="0097239C">
        <w:rPr>
          <w:rFonts w:hint="cs"/>
          <w:rtl/>
        </w:rPr>
        <w:t xml:space="preserve"> בישראל לעומת מדינות </w:t>
      </w:r>
      <w:r w:rsidR="00C603CF">
        <w:rPr>
          <w:rFonts w:hint="cs"/>
          <w:rtl/>
        </w:rPr>
        <w:t>ה-</w:t>
      </w:r>
      <w:r w:rsidR="004F0E02">
        <w:t xml:space="preserve"> </w:t>
      </w:r>
      <w:r w:rsidRPr="0097239C">
        <w:t>OECD</w:t>
      </w:r>
      <w:r w:rsidRPr="0097239C">
        <w:rPr>
          <w:rFonts w:hint="cs"/>
          <w:b/>
          <w:rtl/>
        </w:rPr>
        <w:t>בשנת 2018.</w:t>
      </w:r>
    </w:p>
    <w:p w:rsidR="009F2885">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184048">
      <w:pPr>
        <w:spacing w:line="269" w:lineRule="auto"/>
        <w:jc w:val="center"/>
        <w:rPr>
          <w:bCs/>
          <w:rtl/>
        </w:rPr>
      </w:pPr>
      <w:r w:rsidRPr="0097239C">
        <w:rPr>
          <w:rFonts w:hint="eastAsia"/>
          <w:bCs/>
          <w:rtl/>
        </w:rPr>
        <w:t>תרשים</w:t>
      </w:r>
      <w:r w:rsidRPr="0097239C">
        <w:rPr>
          <w:bCs/>
          <w:rtl/>
        </w:rPr>
        <w:t xml:space="preserve"> </w:t>
      </w:r>
      <w:r w:rsidRPr="0097239C">
        <w:rPr>
          <w:rFonts w:hint="cs"/>
          <w:bCs/>
          <w:rtl/>
        </w:rPr>
        <w:t>3</w:t>
      </w:r>
      <w:r w:rsidRPr="0097239C">
        <w:rPr>
          <w:bCs/>
          <w:rtl/>
        </w:rPr>
        <w:t xml:space="preserve">: </w:t>
      </w:r>
      <w:r w:rsidRPr="0097239C">
        <w:rPr>
          <w:rFonts w:hint="eastAsia"/>
          <w:bCs/>
          <w:rtl/>
        </w:rPr>
        <w:t>אספקת</w:t>
      </w:r>
      <w:r w:rsidRPr="0097239C">
        <w:rPr>
          <w:bCs/>
          <w:rtl/>
        </w:rPr>
        <w:t xml:space="preserve"> </w:t>
      </w:r>
      <w:r w:rsidRPr="0097239C">
        <w:rPr>
          <w:rFonts w:hint="eastAsia"/>
          <w:bCs/>
          <w:rtl/>
        </w:rPr>
        <w:t>אנרגייה</w:t>
      </w:r>
      <w:r w:rsidRPr="0097239C">
        <w:rPr>
          <w:bCs/>
          <w:rtl/>
        </w:rPr>
        <w:t xml:space="preserve"> ליחידת תוצר, </w:t>
      </w:r>
      <w:r w:rsidRPr="0097239C">
        <w:rPr>
          <w:rFonts w:hint="eastAsia"/>
          <w:bCs/>
          <w:rtl/>
        </w:rPr>
        <w:t>שווה</w:t>
      </w:r>
      <w:r w:rsidRPr="0097239C">
        <w:rPr>
          <w:bCs/>
          <w:rtl/>
        </w:rPr>
        <w:t xml:space="preserve"> </w:t>
      </w:r>
      <w:r w:rsidRPr="0097239C">
        <w:rPr>
          <w:rFonts w:hint="eastAsia"/>
          <w:bCs/>
          <w:rtl/>
        </w:rPr>
        <w:t>ערך</w:t>
      </w:r>
      <w:r w:rsidRPr="0097239C">
        <w:rPr>
          <w:bCs/>
          <w:rtl/>
        </w:rPr>
        <w:t xml:space="preserve"> </w:t>
      </w:r>
      <w:r w:rsidRPr="0097239C">
        <w:rPr>
          <w:rFonts w:hint="cs"/>
          <w:bCs/>
          <w:rtl/>
        </w:rPr>
        <w:t xml:space="preserve">לטונה </w:t>
      </w:r>
      <w:r w:rsidRPr="0097239C">
        <w:rPr>
          <w:rFonts w:hint="eastAsia"/>
          <w:bCs/>
          <w:rtl/>
        </w:rPr>
        <w:t>נפט</w:t>
      </w:r>
      <w:r>
        <w:rPr>
          <w:bCs/>
          <w:vertAlign w:val="superscript"/>
          <w:rtl/>
        </w:rPr>
        <w:footnoteReference w:id="20"/>
      </w:r>
      <w:r w:rsidRPr="0097239C">
        <w:rPr>
          <w:bCs/>
          <w:rtl/>
        </w:rPr>
        <w:t xml:space="preserve"> לאלף </w:t>
      </w:r>
      <w:r w:rsidRPr="0097239C">
        <w:rPr>
          <w:rFonts w:hint="cs"/>
          <w:bCs/>
          <w:rtl/>
        </w:rPr>
        <w:t>דולר</w:t>
      </w:r>
    </w:p>
    <w:p w:rsidR="0097239C" w:rsidRPr="0097239C" w:rsidP="00CA245B">
      <w:pPr>
        <w:spacing w:before="120" w:after="240" w:line="269" w:lineRule="auto"/>
        <w:jc w:val="center"/>
        <w:rPr>
          <w:rtl/>
        </w:rPr>
      </w:pPr>
      <w:r>
        <w:rPr>
          <w:noProof/>
          <w:rtl/>
        </w:rPr>
        <w:drawing>
          <wp:inline distT="0" distB="0" distL="0" distR="0">
            <wp:extent cx="4325121" cy="2304293"/>
            <wp:effectExtent l="0" t="0" r="0" b="127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55575" name="energy-g-3.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04293"/>
                    </a:xfrm>
                    <a:prstGeom prst="rect">
                      <a:avLst/>
                    </a:prstGeom>
                  </pic:spPr>
                </pic:pic>
              </a:graphicData>
            </a:graphic>
          </wp:inline>
        </w:drawing>
      </w:r>
    </w:p>
    <w:p w:rsidR="0097239C" w:rsidRPr="00810E1E" w:rsidP="00C603CF">
      <w:pPr>
        <w:spacing w:line="269" w:lineRule="auto"/>
        <w:rPr>
          <w:b/>
          <w:sz w:val="22"/>
          <w:szCs w:val="22"/>
          <w:rtl/>
        </w:rPr>
      </w:pPr>
      <w:r w:rsidRPr="00810E1E">
        <w:rPr>
          <w:b/>
          <w:sz w:val="22"/>
          <w:szCs w:val="22"/>
          <w:rtl/>
        </w:rPr>
        <w:t xml:space="preserve"> </w:t>
      </w:r>
      <w:r w:rsidRPr="00810E1E">
        <w:rPr>
          <w:rFonts w:hint="eastAsia"/>
          <w:b/>
          <w:sz w:val="22"/>
          <w:szCs w:val="22"/>
          <w:rtl/>
        </w:rPr>
        <w:t>ה</w:t>
      </w:r>
      <w:r w:rsidRPr="00810E1E">
        <w:rPr>
          <w:rFonts w:hint="cs"/>
          <w:b/>
          <w:sz w:val="22"/>
          <w:szCs w:val="22"/>
          <w:rtl/>
        </w:rPr>
        <w:t>מקור: אתר האינטרנט של ה-</w:t>
      </w:r>
      <w:r w:rsidRPr="00810E1E">
        <w:rPr>
          <w:rFonts w:hint="cs"/>
          <w:bCs/>
          <w:sz w:val="22"/>
          <w:szCs w:val="22"/>
        </w:rPr>
        <w:t>OECD</w:t>
      </w:r>
      <w:r w:rsidRPr="00810E1E">
        <w:rPr>
          <w:rFonts w:hint="cs"/>
          <w:b/>
          <w:sz w:val="22"/>
          <w:szCs w:val="22"/>
          <w:rtl/>
        </w:rPr>
        <w:t xml:space="preserve">. </w:t>
      </w:r>
    </w:p>
    <w:p w:rsidR="0097239C" w:rsidP="00C603CF">
      <w:pPr>
        <w:pStyle w:val="a"/>
        <w:spacing w:line="269" w:lineRule="auto"/>
        <w:rPr>
          <w:rtl/>
        </w:rPr>
      </w:pPr>
    </w:p>
    <w:p w:rsidR="0097239C" w:rsidP="00C603CF">
      <w:pPr>
        <w:spacing w:line="269" w:lineRule="auto"/>
        <w:rPr>
          <w:b/>
          <w:rtl/>
        </w:rPr>
      </w:pPr>
      <w:r w:rsidRPr="0097239C">
        <w:rPr>
          <w:rFonts w:hint="cs"/>
          <w:b/>
          <w:rtl/>
        </w:rPr>
        <w:t>מהתרשים עולה כי העצימות האנרגטית</w:t>
      </w:r>
      <w:r>
        <w:rPr>
          <w:b/>
          <w:vertAlign w:val="superscript"/>
          <w:rtl/>
        </w:rPr>
        <w:footnoteReference w:id="21"/>
      </w:r>
      <w:r w:rsidRPr="0097239C">
        <w:rPr>
          <w:rFonts w:hint="cs"/>
          <w:b/>
          <w:rtl/>
        </w:rPr>
        <w:t xml:space="preserve"> של מדינת ישראל נמוכה מהממוצע במדינות </w:t>
      </w:r>
      <w:r w:rsidR="00C603CF">
        <w:rPr>
          <w:rFonts w:hint="cs"/>
          <w:b/>
          <w:rtl/>
        </w:rPr>
        <w:t>ה-</w:t>
      </w:r>
      <w:r w:rsidRPr="0097239C">
        <w:rPr>
          <w:rFonts w:hint="cs"/>
          <w:bCs/>
        </w:rPr>
        <w:t>OEC</w:t>
      </w:r>
      <w:r w:rsidRPr="0097239C">
        <w:rPr>
          <w:bCs/>
        </w:rPr>
        <w:t>D</w:t>
      </w:r>
      <w:r w:rsidRPr="0097239C">
        <w:rPr>
          <w:rFonts w:hint="cs"/>
          <w:b/>
          <w:rtl/>
        </w:rPr>
        <w:t>. הדבר יכול להעיד על התייעלות אנרגטית, אך גם על ריכוז של התוצר בענפים שאינם עתירי חשמל, כגון ענף השירותים. להלן נתונים על פליטות הפחמן הדו</w:t>
      </w:r>
      <w:r w:rsidR="00735BA1">
        <w:rPr>
          <w:rFonts w:hint="cs"/>
          <w:b/>
          <w:rtl/>
        </w:rPr>
        <w:t xml:space="preserve">-חמצני משריפת </w:t>
      </w:r>
      <w:r w:rsidR="00735BA1">
        <w:rPr>
          <w:rFonts w:hint="cs"/>
          <w:b/>
          <w:rtl/>
        </w:rPr>
        <w:t>דלקים</w:t>
      </w:r>
      <w:r w:rsidR="00735BA1">
        <w:rPr>
          <w:rFonts w:hint="cs"/>
          <w:b/>
          <w:rtl/>
        </w:rPr>
        <w:t xml:space="preserve"> לפי מגזרים.</w:t>
      </w:r>
    </w:p>
    <w:p w:rsidR="0097239C" w:rsidP="00C603CF">
      <w:pPr>
        <w:pStyle w:val="a"/>
        <w:spacing w:line="269" w:lineRule="auto"/>
        <w:rPr>
          <w:rtl/>
        </w:rPr>
      </w:pPr>
    </w:p>
    <w:p w:rsidR="0097239C" w:rsidRPr="0097239C" w:rsidP="009F2885">
      <w:pPr>
        <w:spacing w:line="269" w:lineRule="auto"/>
        <w:jc w:val="center"/>
        <w:rPr>
          <w:bCs/>
          <w:rtl/>
        </w:rPr>
      </w:pPr>
      <w:r w:rsidRPr="0097239C">
        <w:rPr>
          <w:rFonts w:hint="eastAsia"/>
          <w:bCs/>
          <w:rtl/>
        </w:rPr>
        <w:t>תרשים</w:t>
      </w:r>
      <w:r w:rsidRPr="0097239C">
        <w:rPr>
          <w:bCs/>
          <w:rtl/>
        </w:rPr>
        <w:t xml:space="preserve"> </w:t>
      </w:r>
      <w:r w:rsidRPr="0097239C">
        <w:rPr>
          <w:rFonts w:hint="cs"/>
          <w:bCs/>
          <w:rtl/>
        </w:rPr>
        <w:t>4</w:t>
      </w:r>
      <w:r w:rsidRPr="0097239C">
        <w:rPr>
          <w:bCs/>
          <w:rtl/>
        </w:rPr>
        <w:t xml:space="preserve">: </w:t>
      </w:r>
      <w:r w:rsidRPr="0097239C">
        <w:rPr>
          <w:rFonts w:hint="eastAsia"/>
          <w:bCs/>
          <w:rtl/>
        </w:rPr>
        <w:t>שיעור</w:t>
      </w:r>
      <w:r w:rsidRPr="0097239C">
        <w:rPr>
          <w:bCs/>
          <w:rtl/>
        </w:rPr>
        <w:t xml:space="preserve"> </w:t>
      </w:r>
      <w:r w:rsidRPr="0097239C">
        <w:rPr>
          <w:rFonts w:hint="eastAsia"/>
          <w:bCs/>
          <w:rtl/>
        </w:rPr>
        <w:t>פליטות</w:t>
      </w:r>
      <w:r w:rsidRPr="0097239C">
        <w:rPr>
          <w:bCs/>
          <w:rtl/>
        </w:rPr>
        <w:t xml:space="preserve"> </w:t>
      </w:r>
      <w:r w:rsidRPr="0097239C">
        <w:rPr>
          <w:rFonts w:hint="eastAsia"/>
          <w:bCs/>
          <w:rtl/>
        </w:rPr>
        <w:t>פד</w:t>
      </w:r>
      <w:r w:rsidRPr="0097239C">
        <w:rPr>
          <w:bCs/>
          <w:rtl/>
        </w:rPr>
        <w:t>"ח</w:t>
      </w:r>
      <w:r w:rsidRPr="0097239C">
        <w:rPr>
          <w:bCs/>
          <w:rtl/>
        </w:rPr>
        <w:t xml:space="preserve"> </w:t>
      </w:r>
      <w:r w:rsidRPr="0097239C">
        <w:rPr>
          <w:rFonts w:hint="eastAsia"/>
          <w:bCs/>
          <w:rtl/>
        </w:rPr>
        <w:t>לפי</w:t>
      </w:r>
      <w:r w:rsidRPr="0097239C">
        <w:rPr>
          <w:bCs/>
          <w:rtl/>
        </w:rPr>
        <w:t xml:space="preserve"> </w:t>
      </w:r>
      <w:r w:rsidRPr="0097239C">
        <w:rPr>
          <w:rFonts w:hint="eastAsia"/>
          <w:bCs/>
          <w:rtl/>
        </w:rPr>
        <w:t>מגזר</w:t>
      </w:r>
      <w:r w:rsidRPr="0097239C">
        <w:rPr>
          <w:rFonts w:hint="cs"/>
          <w:bCs/>
          <w:rtl/>
        </w:rPr>
        <w:t>ים</w:t>
      </w:r>
      <w:r w:rsidRPr="0097239C">
        <w:rPr>
          <w:bCs/>
          <w:rtl/>
        </w:rPr>
        <w:t>, 2018</w:t>
      </w:r>
    </w:p>
    <w:p w:rsidR="0097239C" w:rsidRPr="0097239C" w:rsidP="00CA245B">
      <w:pPr>
        <w:spacing w:before="240" w:after="240" w:line="269" w:lineRule="auto"/>
        <w:jc w:val="center"/>
        <w:rPr>
          <w:b/>
          <w:rtl/>
        </w:rPr>
      </w:pPr>
      <w:r>
        <w:rPr>
          <w:b/>
          <w:noProof/>
          <w:rtl/>
        </w:rPr>
        <w:drawing>
          <wp:inline distT="0" distB="0" distL="0" distR="0">
            <wp:extent cx="2365200" cy="2563200"/>
            <wp:effectExtent l="0" t="0" r="0" b="889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39160" name="energy-g-4.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65200" cy="2563200"/>
                    </a:xfrm>
                    <a:prstGeom prst="rect">
                      <a:avLst/>
                    </a:prstGeom>
                  </pic:spPr>
                </pic:pic>
              </a:graphicData>
            </a:graphic>
          </wp:inline>
        </w:drawing>
      </w:r>
    </w:p>
    <w:p w:rsidR="0097239C" w:rsidRPr="00810E1E" w:rsidP="00CA245B">
      <w:pPr>
        <w:spacing w:before="240" w:line="269" w:lineRule="auto"/>
        <w:rPr>
          <w:b/>
          <w:sz w:val="22"/>
          <w:szCs w:val="22"/>
          <w:rtl/>
        </w:rPr>
      </w:pPr>
      <w:r w:rsidRPr="00810E1E">
        <w:rPr>
          <w:rFonts w:hint="cs"/>
          <w:b/>
          <w:sz w:val="22"/>
          <w:szCs w:val="22"/>
          <w:rtl/>
        </w:rPr>
        <w:t xml:space="preserve">המקור: הלשכה המרכזית לסטטיסטיקה (להלן - </w:t>
      </w:r>
      <w:r w:rsidRPr="00810E1E">
        <w:rPr>
          <w:rFonts w:hint="cs"/>
          <w:b/>
          <w:sz w:val="22"/>
          <w:szCs w:val="22"/>
          <w:rtl/>
        </w:rPr>
        <w:t>למ"ס</w:t>
      </w:r>
      <w:r w:rsidRPr="00810E1E">
        <w:rPr>
          <w:rFonts w:hint="cs"/>
          <w:b/>
          <w:sz w:val="22"/>
          <w:szCs w:val="22"/>
          <w:rtl/>
        </w:rPr>
        <w:t xml:space="preserve">), </w:t>
      </w:r>
      <w:r w:rsidRPr="00810E1E">
        <w:rPr>
          <w:rFonts w:hint="eastAsia"/>
          <w:bCs/>
          <w:sz w:val="22"/>
          <w:szCs w:val="22"/>
          <w:rtl/>
        </w:rPr>
        <w:t>פליטות</w:t>
      </w:r>
      <w:r w:rsidRPr="00810E1E">
        <w:rPr>
          <w:bCs/>
          <w:sz w:val="22"/>
          <w:szCs w:val="22"/>
          <w:rtl/>
        </w:rPr>
        <w:t xml:space="preserve"> </w:t>
      </w:r>
      <w:r w:rsidRPr="00810E1E">
        <w:rPr>
          <w:rFonts w:hint="eastAsia"/>
          <w:bCs/>
          <w:sz w:val="22"/>
          <w:szCs w:val="22"/>
          <w:rtl/>
        </w:rPr>
        <w:t>משריפת</w:t>
      </w:r>
      <w:r w:rsidRPr="00810E1E">
        <w:rPr>
          <w:bCs/>
          <w:sz w:val="22"/>
          <w:szCs w:val="22"/>
          <w:rtl/>
        </w:rPr>
        <w:t xml:space="preserve"> </w:t>
      </w:r>
      <w:r w:rsidRPr="00810E1E">
        <w:rPr>
          <w:rFonts w:hint="eastAsia"/>
          <w:bCs/>
          <w:sz w:val="22"/>
          <w:szCs w:val="22"/>
          <w:rtl/>
        </w:rPr>
        <w:t>דלקים</w:t>
      </w:r>
      <w:r w:rsidRPr="00810E1E">
        <w:rPr>
          <w:bCs/>
          <w:sz w:val="22"/>
          <w:szCs w:val="22"/>
          <w:rtl/>
        </w:rPr>
        <w:t xml:space="preserve"> לפי סוגי דלק</w:t>
      </w:r>
      <w:r w:rsidRPr="00810E1E">
        <w:rPr>
          <w:rFonts w:hint="cs"/>
          <w:b/>
          <w:sz w:val="22"/>
          <w:szCs w:val="22"/>
          <w:rtl/>
        </w:rPr>
        <w:t xml:space="preserve"> (ספטמבר 2019).</w:t>
      </w:r>
    </w:p>
    <w:p w:rsidR="009F2885">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9F2885">
      <w:pPr>
        <w:spacing w:line="269" w:lineRule="auto"/>
        <w:jc w:val="center"/>
        <w:rPr>
          <w:bCs/>
          <w:rtl/>
        </w:rPr>
      </w:pPr>
      <w:r w:rsidRPr="0097239C">
        <w:rPr>
          <w:rFonts w:hint="eastAsia"/>
          <w:bCs/>
          <w:rtl/>
        </w:rPr>
        <w:t>תרשים</w:t>
      </w:r>
      <w:r w:rsidRPr="0097239C">
        <w:rPr>
          <w:bCs/>
          <w:rtl/>
        </w:rPr>
        <w:t xml:space="preserve"> </w:t>
      </w:r>
      <w:r w:rsidRPr="0097239C">
        <w:rPr>
          <w:rFonts w:hint="cs"/>
          <w:bCs/>
          <w:rtl/>
        </w:rPr>
        <w:t>5</w:t>
      </w:r>
      <w:r w:rsidRPr="0097239C">
        <w:rPr>
          <w:bCs/>
          <w:rtl/>
        </w:rPr>
        <w:t xml:space="preserve">: </w:t>
      </w:r>
      <w:r w:rsidRPr="0097239C">
        <w:rPr>
          <w:rFonts w:hint="eastAsia"/>
          <w:bCs/>
          <w:rtl/>
        </w:rPr>
        <w:t>שיעור</w:t>
      </w:r>
      <w:r w:rsidRPr="0097239C">
        <w:rPr>
          <w:bCs/>
          <w:rtl/>
        </w:rPr>
        <w:t xml:space="preserve"> </w:t>
      </w:r>
      <w:r w:rsidRPr="0097239C">
        <w:rPr>
          <w:rFonts w:hint="eastAsia"/>
          <w:bCs/>
          <w:rtl/>
        </w:rPr>
        <w:t>פליטות</w:t>
      </w:r>
      <w:r w:rsidRPr="0097239C">
        <w:rPr>
          <w:bCs/>
          <w:rtl/>
        </w:rPr>
        <w:t xml:space="preserve"> </w:t>
      </w:r>
      <w:r w:rsidRPr="0097239C">
        <w:rPr>
          <w:rFonts w:hint="eastAsia"/>
          <w:bCs/>
          <w:rtl/>
        </w:rPr>
        <w:t>פד</w:t>
      </w:r>
      <w:r w:rsidRPr="0097239C">
        <w:rPr>
          <w:bCs/>
          <w:rtl/>
        </w:rPr>
        <w:t>"ח</w:t>
      </w:r>
      <w:r w:rsidRPr="0097239C">
        <w:rPr>
          <w:bCs/>
          <w:rtl/>
        </w:rPr>
        <w:t xml:space="preserve"> </w:t>
      </w:r>
      <w:r w:rsidRPr="0097239C">
        <w:rPr>
          <w:rFonts w:hint="eastAsia"/>
          <w:bCs/>
          <w:rtl/>
        </w:rPr>
        <w:t>לפי</w:t>
      </w:r>
      <w:r w:rsidRPr="0097239C">
        <w:rPr>
          <w:bCs/>
          <w:rtl/>
        </w:rPr>
        <w:t xml:space="preserve"> </w:t>
      </w:r>
      <w:r w:rsidRPr="0097239C">
        <w:rPr>
          <w:rFonts w:hint="eastAsia"/>
          <w:bCs/>
          <w:rtl/>
        </w:rPr>
        <w:t>מגזר</w:t>
      </w:r>
      <w:r w:rsidRPr="0097239C">
        <w:rPr>
          <w:rFonts w:hint="cs"/>
          <w:bCs/>
          <w:rtl/>
        </w:rPr>
        <w:t>ים</w:t>
      </w:r>
      <w:r w:rsidRPr="0097239C">
        <w:rPr>
          <w:bCs/>
          <w:rtl/>
        </w:rPr>
        <w:t xml:space="preserve"> </w:t>
      </w:r>
      <w:r w:rsidRPr="0097239C">
        <w:rPr>
          <w:rFonts w:hint="cs"/>
          <w:bCs/>
          <w:rtl/>
        </w:rPr>
        <w:t xml:space="preserve">מכלל </w:t>
      </w:r>
      <w:r w:rsidRPr="0097239C">
        <w:rPr>
          <w:rFonts w:hint="eastAsia"/>
          <w:bCs/>
          <w:rtl/>
        </w:rPr>
        <w:t>פליטות</w:t>
      </w:r>
      <w:r w:rsidRPr="0097239C">
        <w:rPr>
          <w:bCs/>
          <w:rtl/>
        </w:rPr>
        <w:t xml:space="preserve"> </w:t>
      </w:r>
      <w:r w:rsidRPr="0097239C">
        <w:rPr>
          <w:rFonts w:hint="eastAsia"/>
          <w:bCs/>
          <w:rtl/>
        </w:rPr>
        <w:t>פד</w:t>
      </w:r>
      <w:r w:rsidRPr="0097239C">
        <w:rPr>
          <w:bCs/>
          <w:rtl/>
        </w:rPr>
        <w:t>"ח</w:t>
      </w:r>
      <w:r w:rsidRPr="0097239C">
        <w:rPr>
          <w:bCs/>
          <w:rtl/>
        </w:rPr>
        <w:t>,</w:t>
      </w:r>
      <w:r w:rsidRPr="0097239C">
        <w:rPr>
          <w:rFonts w:hint="cs"/>
          <w:bCs/>
          <w:rtl/>
        </w:rPr>
        <w:t xml:space="preserve"> 2000 - 2018</w:t>
      </w:r>
    </w:p>
    <w:p w:rsidR="0097239C" w:rsidRPr="0097239C" w:rsidP="00CA245B">
      <w:pPr>
        <w:spacing w:before="240" w:after="240" w:line="269" w:lineRule="auto"/>
        <w:jc w:val="center"/>
        <w:rPr>
          <w:b/>
          <w:rtl/>
        </w:rPr>
      </w:pPr>
      <w:r>
        <w:rPr>
          <w:b/>
          <w:noProof/>
          <w:rtl/>
        </w:rPr>
        <w:drawing>
          <wp:inline distT="0" distB="0" distL="0" distR="0">
            <wp:extent cx="4325121" cy="2450597"/>
            <wp:effectExtent l="0" t="0" r="0" b="698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59490" name="energy-g-5.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50597"/>
                    </a:xfrm>
                    <a:prstGeom prst="rect">
                      <a:avLst/>
                    </a:prstGeom>
                  </pic:spPr>
                </pic:pic>
              </a:graphicData>
            </a:graphic>
          </wp:inline>
        </w:drawing>
      </w:r>
    </w:p>
    <w:p w:rsidR="0097239C" w:rsidRPr="00810E1E" w:rsidP="005B263A">
      <w:pPr>
        <w:spacing w:line="269" w:lineRule="auto"/>
        <w:rPr>
          <w:b/>
          <w:sz w:val="22"/>
          <w:szCs w:val="22"/>
          <w:rtl/>
        </w:rPr>
      </w:pPr>
      <w:r w:rsidRPr="00810E1E">
        <w:rPr>
          <w:rFonts w:hint="cs"/>
          <w:b/>
          <w:sz w:val="22"/>
          <w:szCs w:val="22"/>
          <w:rtl/>
        </w:rPr>
        <w:t xml:space="preserve">המקור: </w:t>
      </w:r>
      <w:r w:rsidRPr="00810E1E">
        <w:rPr>
          <w:rFonts w:hint="cs"/>
          <w:b/>
          <w:sz w:val="22"/>
          <w:szCs w:val="22"/>
          <w:rtl/>
        </w:rPr>
        <w:t>למ"ס</w:t>
      </w:r>
      <w:r w:rsidRPr="00810E1E">
        <w:rPr>
          <w:rFonts w:hint="cs"/>
          <w:b/>
          <w:sz w:val="22"/>
          <w:szCs w:val="22"/>
          <w:rtl/>
        </w:rPr>
        <w:t xml:space="preserve">, </w:t>
      </w:r>
      <w:r w:rsidRPr="00184048">
        <w:rPr>
          <w:rFonts w:hint="eastAsia"/>
          <w:bCs/>
          <w:sz w:val="22"/>
          <w:szCs w:val="22"/>
          <w:rtl/>
        </w:rPr>
        <w:t>פליטות</w:t>
      </w:r>
      <w:r w:rsidRPr="00184048">
        <w:rPr>
          <w:bCs/>
          <w:sz w:val="22"/>
          <w:szCs w:val="22"/>
          <w:rtl/>
        </w:rPr>
        <w:t xml:space="preserve"> </w:t>
      </w:r>
      <w:r w:rsidRPr="00184048">
        <w:rPr>
          <w:rFonts w:hint="eastAsia"/>
          <w:bCs/>
          <w:sz w:val="22"/>
          <w:szCs w:val="22"/>
          <w:rtl/>
        </w:rPr>
        <w:t>משרפת</w:t>
      </w:r>
      <w:r w:rsidRPr="00184048">
        <w:rPr>
          <w:bCs/>
          <w:sz w:val="22"/>
          <w:szCs w:val="22"/>
          <w:rtl/>
        </w:rPr>
        <w:t xml:space="preserve"> </w:t>
      </w:r>
      <w:r w:rsidRPr="00184048">
        <w:rPr>
          <w:rFonts w:hint="eastAsia"/>
          <w:bCs/>
          <w:sz w:val="22"/>
          <w:szCs w:val="22"/>
          <w:rtl/>
        </w:rPr>
        <w:t>דלקים</w:t>
      </w:r>
      <w:r w:rsidRPr="00184048">
        <w:rPr>
          <w:bCs/>
          <w:sz w:val="22"/>
          <w:szCs w:val="22"/>
          <w:rtl/>
        </w:rPr>
        <w:t xml:space="preserve">, </w:t>
      </w:r>
      <w:r w:rsidRPr="00184048">
        <w:rPr>
          <w:rFonts w:hint="eastAsia"/>
          <w:bCs/>
          <w:sz w:val="22"/>
          <w:szCs w:val="22"/>
          <w:rtl/>
        </w:rPr>
        <w:t>לפי</w:t>
      </w:r>
      <w:r w:rsidRPr="00184048">
        <w:rPr>
          <w:bCs/>
          <w:sz w:val="22"/>
          <w:szCs w:val="22"/>
          <w:rtl/>
        </w:rPr>
        <w:t xml:space="preserve"> </w:t>
      </w:r>
      <w:r w:rsidRPr="00184048">
        <w:rPr>
          <w:rFonts w:hint="eastAsia"/>
          <w:bCs/>
          <w:sz w:val="22"/>
          <w:szCs w:val="22"/>
          <w:rtl/>
        </w:rPr>
        <w:t>סוג</w:t>
      </w:r>
      <w:r w:rsidRPr="00184048">
        <w:rPr>
          <w:bCs/>
          <w:sz w:val="22"/>
          <w:szCs w:val="22"/>
          <w:rtl/>
        </w:rPr>
        <w:t xml:space="preserve"> </w:t>
      </w:r>
      <w:r w:rsidRPr="00184048">
        <w:rPr>
          <w:rFonts w:hint="eastAsia"/>
          <w:bCs/>
          <w:sz w:val="22"/>
          <w:szCs w:val="22"/>
          <w:rtl/>
        </w:rPr>
        <w:t>דלק</w:t>
      </w:r>
      <w:r w:rsidRPr="00810E1E">
        <w:rPr>
          <w:rFonts w:hint="cs"/>
          <w:b/>
          <w:sz w:val="22"/>
          <w:szCs w:val="22"/>
          <w:rtl/>
        </w:rPr>
        <w:t>, ספטמבר 2019.</w:t>
      </w:r>
    </w:p>
    <w:p w:rsid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מהתרשים עולה כי שיעור פליטות </w:t>
      </w:r>
      <w:r w:rsidRPr="0097239C">
        <w:rPr>
          <w:rFonts w:hint="cs"/>
          <w:b/>
          <w:rtl/>
        </w:rPr>
        <w:t>הפד"ח</w:t>
      </w:r>
      <w:r w:rsidRPr="0097239C">
        <w:rPr>
          <w:rFonts w:hint="cs"/>
          <w:b/>
          <w:rtl/>
        </w:rPr>
        <w:t xml:space="preserve"> במגזר החשמל מכלל הפליטות פחת מ-59% בשנת 2000 ל-55% בשנת 2018. לעומת זאת, במגזר התחבורה הסתמן גידול מכ-23% מכלל הפליטות בשנת 2000 ל-28% מכלל הפליטות בשנת 2018. יצוין כי מנתוני </w:t>
      </w:r>
      <w:r w:rsidR="00B52906">
        <w:rPr>
          <w:rFonts w:hint="cs"/>
          <w:b/>
          <w:rtl/>
        </w:rPr>
        <w:t>ה</w:t>
      </w:r>
      <w:r w:rsidRPr="0097239C">
        <w:rPr>
          <w:rFonts w:hint="cs"/>
          <w:b/>
          <w:rtl/>
        </w:rPr>
        <w:t>למ"ס</w:t>
      </w:r>
      <w:r w:rsidRPr="0097239C">
        <w:rPr>
          <w:rFonts w:hint="cs"/>
          <w:b/>
          <w:rtl/>
        </w:rPr>
        <w:t xml:space="preserve"> עולה כי בסה"כ נרשם גידול של 37% בפליטות </w:t>
      </w:r>
      <w:r w:rsidRPr="0097239C">
        <w:rPr>
          <w:rFonts w:hint="cs"/>
          <w:b/>
          <w:rtl/>
        </w:rPr>
        <w:t>פד"ח</w:t>
      </w:r>
      <w:r w:rsidRPr="0097239C">
        <w:rPr>
          <w:rFonts w:hint="cs"/>
          <w:b/>
          <w:rtl/>
        </w:rPr>
        <w:t xml:space="preserve"> ממגזר התחבורה בין שנת 2000 לשנת 2018.</w:t>
      </w:r>
    </w:p>
    <w:p w:rsidR="0097239C" w:rsidP="00C603CF">
      <w:pPr>
        <w:pStyle w:val="a"/>
        <w:spacing w:line="269" w:lineRule="auto"/>
        <w:rPr>
          <w:rtl/>
        </w:rPr>
      </w:pPr>
    </w:p>
    <w:p w:rsidR="0097239C" w:rsidP="00C603CF">
      <w:pPr>
        <w:spacing w:line="269" w:lineRule="auto"/>
        <w:rPr>
          <w:b/>
          <w:rtl/>
        </w:rPr>
      </w:pPr>
      <w:r w:rsidRPr="0097239C">
        <w:rPr>
          <w:rFonts w:hint="cs"/>
          <w:b/>
          <w:rtl/>
        </w:rPr>
        <w:t xml:space="preserve">המשרד </w:t>
      </w:r>
      <w:r w:rsidRPr="0097239C">
        <w:rPr>
          <w:rFonts w:hint="cs"/>
          <w:rtl/>
        </w:rPr>
        <w:t>להג"ס</w:t>
      </w:r>
      <w:r w:rsidRPr="0097239C">
        <w:rPr>
          <w:rFonts w:hint="cs"/>
          <w:b/>
          <w:rtl/>
        </w:rPr>
        <w:t xml:space="preserve"> מתמחר את העלויות החיצוניות של </w:t>
      </w:r>
      <w:r w:rsidRPr="0097239C">
        <w:rPr>
          <w:rFonts w:hint="cs"/>
          <w:b/>
          <w:rtl/>
        </w:rPr>
        <w:t>מזהמי</w:t>
      </w:r>
      <w:r w:rsidRPr="0097239C">
        <w:rPr>
          <w:rFonts w:hint="cs"/>
          <w:b/>
          <w:rtl/>
        </w:rPr>
        <w:t xml:space="preserve"> אוויר </w:t>
      </w:r>
      <w:r w:rsidRPr="0097239C">
        <w:rPr>
          <w:rFonts w:hint="cs"/>
          <w:b/>
          <w:rtl/>
        </w:rPr>
        <w:t>וגז</w:t>
      </w:r>
      <w:r w:rsidRPr="0097239C">
        <w:rPr>
          <w:b/>
          <w:rtl/>
        </w:rPr>
        <w:t>"</w:t>
      </w:r>
      <w:r w:rsidRPr="0097239C">
        <w:rPr>
          <w:rFonts w:hint="cs"/>
          <w:b/>
          <w:rtl/>
        </w:rPr>
        <w:t>ח</w:t>
      </w:r>
      <w:r w:rsidRPr="0097239C">
        <w:rPr>
          <w:rFonts w:hint="cs"/>
          <w:b/>
          <w:rtl/>
        </w:rPr>
        <w:t xml:space="preserve"> בישראל כלהלן: בשנת 2017 הייתה עלות הנזק מפליטת טונה </w:t>
      </w:r>
      <w:r w:rsidRPr="0097239C">
        <w:rPr>
          <w:rFonts w:hint="cs"/>
          <w:b/>
          <w:rtl/>
        </w:rPr>
        <w:t>פד"ח</w:t>
      </w:r>
      <w:r w:rsidRPr="0097239C">
        <w:rPr>
          <w:rFonts w:hint="cs"/>
          <w:b/>
          <w:rtl/>
        </w:rPr>
        <w:t xml:space="preserve"> 119 ש"ח; בשנת 2018 הייתה העלות 121 ש"ח; ובשנת 2019 - 130.96 ש"ח. זהו גידול של 10% במצטבר בשלוש השנים האמורות. בהתבסס על נתון זה, להלן יוצגו העלויות הכוללות ש</w:t>
      </w:r>
      <w:r w:rsidR="00735BA1">
        <w:rPr>
          <w:rFonts w:hint="cs"/>
          <w:b/>
          <w:rtl/>
        </w:rPr>
        <w:t xml:space="preserve">ל נזקי </w:t>
      </w:r>
      <w:r w:rsidR="00735BA1">
        <w:rPr>
          <w:rFonts w:hint="cs"/>
          <w:b/>
          <w:rtl/>
        </w:rPr>
        <w:t>גז"ח</w:t>
      </w:r>
      <w:r w:rsidR="00735BA1">
        <w:rPr>
          <w:rFonts w:hint="cs"/>
          <w:b/>
          <w:rtl/>
        </w:rPr>
        <w:t xml:space="preserve"> בשנים 2017 עד 2019.</w:t>
      </w:r>
    </w:p>
    <w:p w:rsidR="0097239C" w:rsidP="00C603CF">
      <w:pPr>
        <w:pStyle w:val="a"/>
        <w:spacing w:line="269" w:lineRule="auto"/>
        <w:rPr>
          <w:rtl/>
        </w:rPr>
      </w:pPr>
    </w:p>
    <w:p w:rsidR="0097239C" w:rsidRPr="0097239C" w:rsidP="003A6DD0">
      <w:pPr>
        <w:spacing w:after="180" w:line="269" w:lineRule="auto"/>
        <w:jc w:val="center"/>
        <w:rPr>
          <w:bCs/>
          <w:rtl/>
        </w:rPr>
      </w:pPr>
      <w:r w:rsidRPr="0097239C">
        <w:rPr>
          <w:rFonts w:hint="eastAsia"/>
          <w:bCs/>
          <w:rtl/>
        </w:rPr>
        <w:t>לוח</w:t>
      </w:r>
      <w:r w:rsidRPr="0097239C">
        <w:rPr>
          <w:bCs/>
          <w:rtl/>
        </w:rPr>
        <w:t xml:space="preserve"> 1: </w:t>
      </w:r>
      <w:r w:rsidRPr="0097239C">
        <w:rPr>
          <w:rFonts w:hint="eastAsia"/>
          <w:bCs/>
          <w:rtl/>
        </w:rPr>
        <w:t>עלות</w:t>
      </w:r>
      <w:r w:rsidRPr="0097239C">
        <w:rPr>
          <w:bCs/>
          <w:rtl/>
        </w:rPr>
        <w:t xml:space="preserve"> </w:t>
      </w:r>
      <w:r w:rsidRPr="0097239C">
        <w:rPr>
          <w:rFonts w:hint="eastAsia"/>
          <w:bCs/>
          <w:rtl/>
        </w:rPr>
        <w:t>הנזק</w:t>
      </w:r>
      <w:r w:rsidRPr="0097239C">
        <w:rPr>
          <w:bCs/>
          <w:rtl/>
        </w:rPr>
        <w:t xml:space="preserve"> מפליטות </w:t>
      </w:r>
      <w:r w:rsidRPr="0097239C">
        <w:rPr>
          <w:rFonts w:hint="cs"/>
          <w:bCs/>
          <w:rtl/>
        </w:rPr>
        <w:t>גז"ח</w:t>
      </w:r>
      <w:r w:rsidRPr="0097239C">
        <w:rPr>
          <w:rFonts w:hint="cs"/>
          <w:bCs/>
          <w:rtl/>
        </w:rPr>
        <w:t>,</w:t>
      </w:r>
      <w:r w:rsidRPr="0097239C">
        <w:rPr>
          <w:bCs/>
          <w:rtl/>
        </w:rPr>
        <w:t xml:space="preserve"> 2017 - 201</w:t>
      </w:r>
      <w:r w:rsidRPr="0097239C">
        <w:rPr>
          <w:rFonts w:hint="cs"/>
          <w:bCs/>
          <w:rtl/>
        </w:rPr>
        <w:t>9</w:t>
      </w:r>
    </w:p>
    <w:tbl>
      <w:tblPr>
        <w:tblStyle w:val="11"/>
        <w:bidiVisual/>
        <w:tblW w:w="5000" w:type="pct"/>
        <w:jc w:val="center"/>
        <w:tblLook w:val="04A0"/>
      </w:tblPr>
      <w:tblGrid>
        <w:gridCol w:w="2052"/>
        <w:gridCol w:w="2053"/>
        <w:gridCol w:w="2053"/>
        <w:gridCol w:w="2053"/>
      </w:tblGrid>
      <w:tr w:rsidTr="003A6DD0">
        <w:tblPrEx>
          <w:tblW w:w="5000" w:type="pct"/>
          <w:jc w:val="center"/>
          <w:tblLook w:val="04A0"/>
        </w:tblPrEx>
        <w:trPr>
          <w:jc w:val="center"/>
        </w:trPr>
        <w:tc>
          <w:tcPr>
            <w:tcW w:w="1250" w:type="pct"/>
            <w:vAlign w:val="center"/>
          </w:tcPr>
          <w:p w:rsidR="0097239C" w:rsidRPr="003A6DD0" w:rsidP="003A6DD0">
            <w:pPr>
              <w:spacing w:before="60" w:after="60" w:line="240" w:lineRule="exact"/>
              <w:rPr>
                <w:bCs/>
                <w:sz w:val="22"/>
                <w:szCs w:val="22"/>
                <w:rtl/>
              </w:rPr>
            </w:pPr>
          </w:p>
        </w:tc>
        <w:tc>
          <w:tcPr>
            <w:tcW w:w="1250" w:type="pct"/>
            <w:vAlign w:val="center"/>
          </w:tcPr>
          <w:p w:rsidR="0097239C" w:rsidRPr="003A6DD0" w:rsidP="003A6DD0">
            <w:pPr>
              <w:spacing w:before="60" w:after="60" w:line="240" w:lineRule="exact"/>
              <w:jc w:val="center"/>
              <w:rPr>
                <w:bCs/>
                <w:sz w:val="22"/>
                <w:szCs w:val="22"/>
                <w:rtl/>
              </w:rPr>
            </w:pPr>
            <w:r w:rsidRPr="003A6DD0">
              <w:rPr>
                <w:rFonts w:hint="cs"/>
                <w:bCs/>
                <w:sz w:val="22"/>
                <w:szCs w:val="22"/>
                <w:rtl/>
              </w:rPr>
              <w:t>2017</w:t>
            </w:r>
          </w:p>
        </w:tc>
        <w:tc>
          <w:tcPr>
            <w:tcW w:w="1250" w:type="pct"/>
            <w:vAlign w:val="center"/>
          </w:tcPr>
          <w:p w:rsidR="0097239C" w:rsidRPr="003A6DD0" w:rsidP="003A6DD0">
            <w:pPr>
              <w:spacing w:before="60" w:after="60" w:line="240" w:lineRule="exact"/>
              <w:jc w:val="center"/>
              <w:rPr>
                <w:bCs/>
                <w:sz w:val="22"/>
                <w:szCs w:val="22"/>
                <w:rtl/>
              </w:rPr>
            </w:pPr>
            <w:r w:rsidRPr="003A6DD0">
              <w:rPr>
                <w:rFonts w:hint="cs"/>
                <w:bCs/>
                <w:sz w:val="22"/>
                <w:szCs w:val="22"/>
                <w:rtl/>
              </w:rPr>
              <w:t>2018</w:t>
            </w:r>
          </w:p>
        </w:tc>
        <w:tc>
          <w:tcPr>
            <w:tcW w:w="1250" w:type="pct"/>
            <w:vAlign w:val="center"/>
          </w:tcPr>
          <w:p w:rsidR="0097239C" w:rsidRPr="003A6DD0" w:rsidP="003A6DD0">
            <w:pPr>
              <w:spacing w:before="60" w:after="60" w:line="240" w:lineRule="exact"/>
              <w:jc w:val="center"/>
              <w:rPr>
                <w:bCs/>
                <w:sz w:val="22"/>
                <w:szCs w:val="22"/>
                <w:rtl/>
              </w:rPr>
            </w:pPr>
            <w:r w:rsidRPr="003A6DD0">
              <w:rPr>
                <w:rFonts w:hint="cs"/>
                <w:bCs/>
                <w:sz w:val="22"/>
                <w:szCs w:val="22"/>
                <w:rtl/>
              </w:rPr>
              <w:t>2019</w:t>
            </w:r>
          </w:p>
        </w:tc>
      </w:tr>
      <w:tr w:rsidTr="003A6DD0">
        <w:tblPrEx>
          <w:tblW w:w="5000" w:type="pct"/>
          <w:jc w:val="center"/>
          <w:tblLook w:val="04A0"/>
        </w:tblPrEx>
        <w:trPr>
          <w:jc w:val="center"/>
        </w:trPr>
        <w:tc>
          <w:tcPr>
            <w:tcW w:w="1250" w:type="pct"/>
            <w:vAlign w:val="center"/>
          </w:tcPr>
          <w:p w:rsidR="0097239C" w:rsidRPr="003A6DD0" w:rsidP="003A6DD0">
            <w:pPr>
              <w:spacing w:before="60" w:after="60" w:line="240" w:lineRule="exact"/>
              <w:rPr>
                <w:bCs/>
                <w:sz w:val="22"/>
                <w:szCs w:val="22"/>
                <w:rtl/>
              </w:rPr>
            </w:pPr>
            <w:r w:rsidRPr="003A6DD0">
              <w:rPr>
                <w:rFonts w:hint="cs"/>
                <w:bCs/>
                <w:sz w:val="22"/>
                <w:szCs w:val="22"/>
                <w:rtl/>
              </w:rPr>
              <w:t xml:space="preserve">סך פליטות </w:t>
            </w:r>
            <w:r w:rsidRPr="003A6DD0">
              <w:rPr>
                <w:rFonts w:hint="cs"/>
                <w:bCs/>
                <w:sz w:val="22"/>
                <w:szCs w:val="22"/>
                <w:rtl/>
              </w:rPr>
              <w:t>גז"ח</w:t>
            </w:r>
            <w:r w:rsidRPr="003A6DD0">
              <w:rPr>
                <w:rFonts w:hint="cs"/>
                <w:bCs/>
                <w:sz w:val="22"/>
                <w:szCs w:val="22"/>
                <w:rtl/>
              </w:rPr>
              <w:t xml:space="preserve"> שווה ערך טונה </w:t>
            </w:r>
            <w:r w:rsidRPr="003A6DD0">
              <w:rPr>
                <w:rFonts w:hint="cs"/>
                <w:bCs/>
                <w:sz w:val="22"/>
                <w:szCs w:val="22"/>
                <w:rtl/>
              </w:rPr>
              <w:t>פד"ח</w:t>
            </w:r>
            <w:r w:rsidRPr="003A6DD0">
              <w:rPr>
                <w:rFonts w:hint="cs"/>
                <w:bCs/>
                <w:sz w:val="22"/>
                <w:szCs w:val="22"/>
                <w:rtl/>
              </w:rPr>
              <w:t>, באלפי טון</w:t>
            </w:r>
            <w:r>
              <w:rPr>
                <w:bCs/>
                <w:sz w:val="22"/>
                <w:szCs w:val="22"/>
                <w:vertAlign w:val="superscript"/>
                <w:rtl/>
              </w:rPr>
              <w:footnoteReference w:id="22"/>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79,026</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81,295</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83,053*</w:t>
            </w:r>
          </w:p>
        </w:tc>
      </w:tr>
      <w:tr w:rsidTr="003A6DD0">
        <w:tblPrEx>
          <w:tblW w:w="5000" w:type="pct"/>
          <w:jc w:val="center"/>
          <w:tblLook w:val="04A0"/>
        </w:tblPrEx>
        <w:trPr>
          <w:jc w:val="center"/>
        </w:trPr>
        <w:tc>
          <w:tcPr>
            <w:tcW w:w="1250" w:type="pct"/>
            <w:vAlign w:val="center"/>
          </w:tcPr>
          <w:p w:rsidR="0097239C" w:rsidRPr="003A6DD0" w:rsidP="003A6DD0">
            <w:pPr>
              <w:spacing w:before="60" w:after="60" w:line="240" w:lineRule="exact"/>
              <w:rPr>
                <w:bCs/>
                <w:sz w:val="22"/>
                <w:szCs w:val="22"/>
                <w:rtl/>
              </w:rPr>
            </w:pPr>
            <w:r w:rsidRPr="003A6DD0">
              <w:rPr>
                <w:rFonts w:hint="cs"/>
                <w:bCs/>
                <w:sz w:val="22"/>
                <w:szCs w:val="22"/>
                <w:rtl/>
              </w:rPr>
              <w:t>עלות לטון</w:t>
            </w:r>
            <w:r>
              <w:rPr>
                <w:bCs/>
                <w:sz w:val="22"/>
                <w:szCs w:val="22"/>
                <w:vertAlign w:val="superscript"/>
                <w:rtl/>
              </w:rPr>
              <w:footnoteReference w:id="23"/>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119</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121</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130.96</w:t>
            </w:r>
          </w:p>
        </w:tc>
      </w:tr>
      <w:tr w:rsidTr="003A6DD0">
        <w:tblPrEx>
          <w:tblW w:w="5000" w:type="pct"/>
          <w:jc w:val="center"/>
          <w:tblLook w:val="04A0"/>
        </w:tblPrEx>
        <w:trPr>
          <w:jc w:val="center"/>
        </w:trPr>
        <w:tc>
          <w:tcPr>
            <w:tcW w:w="1250" w:type="pct"/>
            <w:vAlign w:val="center"/>
          </w:tcPr>
          <w:p w:rsidR="0097239C" w:rsidRPr="003A6DD0" w:rsidP="003A6DD0">
            <w:pPr>
              <w:spacing w:before="60" w:after="60" w:line="240" w:lineRule="exact"/>
              <w:rPr>
                <w:bCs/>
                <w:sz w:val="22"/>
                <w:szCs w:val="22"/>
                <w:rtl/>
              </w:rPr>
            </w:pPr>
            <w:r w:rsidRPr="003A6DD0">
              <w:rPr>
                <w:rFonts w:hint="cs"/>
                <w:bCs/>
                <w:sz w:val="22"/>
                <w:szCs w:val="22"/>
                <w:rtl/>
              </w:rPr>
              <w:t>עלות הנזק במיליארד ש"ח</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9.4</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9.8</w:t>
            </w:r>
          </w:p>
        </w:tc>
        <w:tc>
          <w:tcPr>
            <w:tcW w:w="1250" w:type="pct"/>
            <w:vAlign w:val="center"/>
          </w:tcPr>
          <w:p w:rsidR="0097239C" w:rsidRPr="003A6DD0" w:rsidP="003A6DD0">
            <w:pPr>
              <w:spacing w:before="60" w:after="60" w:line="240" w:lineRule="exact"/>
              <w:rPr>
                <w:b/>
                <w:sz w:val="22"/>
                <w:szCs w:val="22"/>
                <w:rtl/>
              </w:rPr>
            </w:pPr>
            <w:r w:rsidRPr="003A6DD0">
              <w:rPr>
                <w:rFonts w:hint="cs"/>
                <w:b/>
                <w:sz w:val="22"/>
                <w:szCs w:val="22"/>
                <w:rtl/>
              </w:rPr>
              <w:t>10.9</w:t>
            </w:r>
          </w:p>
        </w:tc>
      </w:tr>
    </w:tbl>
    <w:p w:rsidR="0097239C" w:rsidRPr="009F2885" w:rsidP="003A6DD0">
      <w:pPr>
        <w:spacing w:before="180" w:line="269" w:lineRule="auto"/>
        <w:rPr>
          <w:b/>
          <w:sz w:val="22"/>
          <w:szCs w:val="22"/>
          <w:rtl/>
        </w:rPr>
      </w:pPr>
      <w:r w:rsidRPr="009F2885">
        <w:rPr>
          <w:rFonts w:hint="cs"/>
          <w:b/>
          <w:sz w:val="22"/>
          <w:szCs w:val="22"/>
          <w:rtl/>
        </w:rPr>
        <w:t xml:space="preserve">על פי נתונים ומסמכים של המשרד </w:t>
      </w:r>
      <w:r w:rsidRPr="009F2885">
        <w:rPr>
          <w:rFonts w:hint="cs"/>
          <w:b/>
          <w:sz w:val="22"/>
          <w:szCs w:val="22"/>
          <w:rtl/>
        </w:rPr>
        <w:t>להג"ס</w:t>
      </w:r>
      <w:r w:rsidRPr="009F2885">
        <w:rPr>
          <w:rFonts w:hint="cs"/>
          <w:b/>
          <w:sz w:val="22"/>
          <w:szCs w:val="22"/>
          <w:rtl/>
        </w:rPr>
        <w:t xml:space="preserve"> לתקופה 2017 - 2019, בעיבוד משרד מבקר המדינה.</w:t>
      </w:r>
    </w:p>
    <w:p w:rsidR="0097239C" w:rsidRPr="009F2885" w:rsidP="00C603CF">
      <w:pPr>
        <w:spacing w:line="269" w:lineRule="auto"/>
        <w:rPr>
          <w:b/>
          <w:sz w:val="22"/>
          <w:szCs w:val="22"/>
          <w:rtl/>
        </w:rPr>
      </w:pPr>
      <w:r w:rsidRPr="009F2885">
        <w:rPr>
          <w:rFonts w:hint="cs"/>
          <w:b/>
          <w:sz w:val="22"/>
          <w:szCs w:val="22"/>
          <w:rtl/>
        </w:rPr>
        <w:t>* הנתון משקף תחזית בהתאם למדיניות ממשלתית שיושמה בפועל עד סוף שנת 2018.</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מהלוח עולה כי עלויות הנזק מפליטות </w:t>
      </w:r>
      <w:r w:rsidRPr="0097239C">
        <w:rPr>
          <w:rFonts w:hint="cs"/>
          <w:b/>
          <w:rtl/>
        </w:rPr>
        <w:t>גז"ח</w:t>
      </w:r>
      <w:r w:rsidRPr="0097239C">
        <w:rPr>
          <w:rFonts w:hint="cs"/>
          <w:b/>
          <w:rtl/>
        </w:rPr>
        <w:t xml:space="preserve"> עלו בין השנים 2017 - 2019 בכ-16%. יצוין כי פליטת </w:t>
      </w:r>
      <w:r w:rsidRPr="0097239C">
        <w:rPr>
          <w:rFonts w:hint="cs"/>
          <w:b/>
          <w:rtl/>
        </w:rPr>
        <w:t>גז"ח</w:t>
      </w:r>
      <w:r w:rsidRPr="0097239C">
        <w:rPr>
          <w:rFonts w:hint="cs"/>
          <w:b/>
          <w:rtl/>
        </w:rPr>
        <w:t xml:space="preserve"> לנפש בשנים אלה ירדה מ-9.3 טון שווה ערך </w:t>
      </w:r>
      <w:r w:rsidRPr="0097239C">
        <w:rPr>
          <w:rFonts w:hint="cs"/>
          <w:b/>
          <w:rtl/>
        </w:rPr>
        <w:t>פד"ח</w:t>
      </w:r>
      <w:r w:rsidRPr="0097239C">
        <w:rPr>
          <w:rFonts w:hint="cs"/>
          <w:b/>
          <w:rtl/>
        </w:rPr>
        <w:t xml:space="preserve"> ל-9.1 טון שווה ערך </w:t>
      </w:r>
      <w:r w:rsidRPr="0097239C">
        <w:rPr>
          <w:rFonts w:hint="cs"/>
          <w:b/>
          <w:rtl/>
        </w:rPr>
        <w:t>פד"ח</w:t>
      </w:r>
      <w:r w:rsidRPr="0097239C">
        <w:rPr>
          <w:rFonts w:hint="cs"/>
          <w:b/>
          <w:rtl/>
        </w:rPr>
        <w:t xml:space="preserve">. </w:t>
      </w:r>
    </w:p>
    <w:p w:rsidR="0097239C" w:rsidRPr="0097239C" w:rsidP="00C603CF">
      <w:pPr>
        <w:pStyle w:val="a"/>
        <w:spacing w:line="269" w:lineRule="auto"/>
        <w:rPr>
          <w:rtl/>
        </w:rPr>
      </w:pPr>
    </w:p>
    <w:p w:rsidR="0097239C" w:rsidP="00C603CF">
      <w:pPr>
        <w:spacing w:line="269" w:lineRule="auto"/>
        <w:rPr>
          <w:bCs/>
          <w:rtl/>
        </w:rPr>
      </w:pPr>
      <w:r w:rsidRPr="0097239C">
        <w:rPr>
          <w:rFonts w:hint="cs"/>
          <w:bCs/>
          <w:rtl/>
        </w:rPr>
        <w:t xml:space="preserve">נוכח עלויות הנזק הגבוהות של </w:t>
      </w:r>
      <w:r w:rsidRPr="0097239C">
        <w:rPr>
          <w:rFonts w:hint="cs"/>
          <w:bCs/>
          <w:rtl/>
        </w:rPr>
        <w:t>פד"ח</w:t>
      </w:r>
      <w:r w:rsidRPr="0097239C">
        <w:rPr>
          <w:rFonts w:hint="cs"/>
          <w:bCs/>
          <w:rtl/>
        </w:rPr>
        <w:t xml:space="preserve">, מומלץ כי </w:t>
      </w:r>
      <w:r w:rsidRPr="0097239C">
        <w:rPr>
          <w:rFonts w:hint="eastAsia"/>
          <w:bCs/>
          <w:rtl/>
        </w:rPr>
        <w:t>כלל</w:t>
      </w:r>
      <w:r w:rsidRPr="0097239C">
        <w:rPr>
          <w:bCs/>
          <w:rtl/>
        </w:rPr>
        <w:t xml:space="preserve"> </w:t>
      </w:r>
      <w:r w:rsidRPr="0097239C">
        <w:rPr>
          <w:rFonts w:hint="eastAsia"/>
          <w:bCs/>
          <w:rtl/>
        </w:rPr>
        <w:t>הגורמים</w:t>
      </w:r>
      <w:r w:rsidRPr="0097239C">
        <w:rPr>
          <w:bCs/>
          <w:rtl/>
        </w:rPr>
        <w:t xml:space="preserve"> </w:t>
      </w:r>
      <w:r w:rsidRPr="0097239C">
        <w:rPr>
          <w:rFonts w:hint="eastAsia"/>
          <w:bCs/>
          <w:rtl/>
        </w:rPr>
        <w:t>הנוגעים</w:t>
      </w:r>
      <w:r w:rsidRPr="0097239C">
        <w:rPr>
          <w:bCs/>
          <w:rtl/>
        </w:rPr>
        <w:t xml:space="preserve"> </w:t>
      </w:r>
      <w:r w:rsidRPr="0097239C">
        <w:rPr>
          <w:rFonts w:hint="eastAsia"/>
          <w:bCs/>
          <w:rtl/>
        </w:rPr>
        <w:t>בדבר</w:t>
      </w:r>
      <w:r w:rsidRPr="0097239C">
        <w:rPr>
          <w:rFonts w:hint="cs"/>
          <w:bCs/>
          <w:rtl/>
        </w:rPr>
        <w:t xml:space="preserve"> -</w:t>
      </w:r>
      <w:r w:rsidRPr="0097239C">
        <w:rPr>
          <w:bCs/>
          <w:rtl/>
        </w:rPr>
        <w:t xml:space="preserve"> </w:t>
      </w:r>
      <w:r w:rsidRPr="0097239C">
        <w:rPr>
          <w:rFonts w:hint="eastAsia"/>
          <w:bCs/>
          <w:rtl/>
        </w:rPr>
        <w:t>משרד</w:t>
      </w:r>
      <w:r w:rsidRPr="0097239C">
        <w:rPr>
          <w:bCs/>
          <w:rtl/>
        </w:rPr>
        <w:t xml:space="preserve"> </w:t>
      </w:r>
      <w:r w:rsidRPr="0097239C">
        <w:rPr>
          <w:rFonts w:hint="eastAsia"/>
          <w:bCs/>
          <w:rtl/>
        </w:rPr>
        <w:t>האנרגי</w:t>
      </w:r>
      <w:r w:rsidRPr="0097239C">
        <w:rPr>
          <w:rFonts w:hint="cs"/>
          <w:bCs/>
          <w:rtl/>
        </w:rPr>
        <w:t>י</w:t>
      </w:r>
      <w:r w:rsidRPr="0097239C">
        <w:rPr>
          <w:rFonts w:hint="eastAsia"/>
          <w:bCs/>
          <w:rtl/>
        </w:rPr>
        <w:t>ה</w:t>
      </w:r>
      <w:r w:rsidRPr="0097239C">
        <w:rPr>
          <w:bCs/>
          <w:rtl/>
        </w:rPr>
        <w:t xml:space="preserve">, </w:t>
      </w:r>
      <w:r w:rsidRPr="0097239C">
        <w:rPr>
          <w:rFonts w:hint="eastAsia"/>
          <w:bCs/>
          <w:rtl/>
        </w:rPr>
        <w:t>המשרד</w:t>
      </w:r>
      <w:r w:rsidRPr="0097239C">
        <w:rPr>
          <w:bCs/>
          <w:rtl/>
        </w:rPr>
        <w:t xml:space="preserve"> </w:t>
      </w:r>
      <w:r w:rsidRPr="0097239C">
        <w:rPr>
          <w:rFonts w:hint="eastAsia"/>
          <w:bCs/>
          <w:rtl/>
        </w:rPr>
        <w:t>להג</w:t>
      </w:r>
      <w:r w:rsidRPr="0097239C">
        <w:rPr>
          <w:bCs/>
          <w:rtl/>
        </w:rPr>
        <w:t>"ס</w:t>
      </w:r>
      <w:r w:rsidRPr="0097239C">
        <w:rPr>
          <w:bCs/>
          <w:rtl/>
        </w:rPr>
        <w:t xml:space="preserve">, </w:t>
      </w:r>
      <w:r w:rsidRPr="0097239C">
        <w:rPr>
          <w:rFonts w:hint="eastAsia"/>
          <w:bCs/>
          <w:rtl/>
        </w:rPr>
        <w:t>משרד</w:t>
      </w:r>
      <w:r w:rsidRPr="0097239C">
        <w:rPr>
          <w:bCs/>
          <w:rtl/>
        </w:rPr>
        <w:t xml:space="preserve"> </w:t>
      </w:r>
      <w:r w:rsidRPr="0097239C">
        <w:rPr>
          <w:rFonts w:hint="eastAsia"/>
          <w:bCs/>
          <w:rtl/>
        </w:rPr>
        <w:t>התחבורה</w:t>
      </w:r>
      <w:r w:rsidRPr="0097239C">
        <w:rPr>
          <w:bCs/>
          <w:rtl/>
        </w:rPr>
        <w:t xml:space="preserve"> </w:t>
      </w:r>
      <w:r w:rsidRPr="0097239C">
        <w:rPr>
          <w:rFonts w:hint="eastAsia"/>
          <w:bCs/>
          <w:rtl/>
        </w:rPr>
        <w:t>ומשרד</w:t>
      </w:r>
      <w:r w:rsidRPr="0097239C">
        <w:rPr>
          <w:bCs/>
          <w:rtl/>
        </w:rPr>
        <w:t xml:space="preserve"> </w:t>
      </w:r>
      <w:r w:rsidRPr="0097239C">
        <w:rPr>
          <w:rFonts w:hint="eastAsia"/>
          <w:bCs/>
          <w:rtl/>
        </w:rPr>
        <w:t>האוצר</w:t>
      </w:r>
      <w:r w:rsidRPr="0097239C">
        <w:rPr>
          <w:rFonts w:hint="cs"/>
          <w:bCs/>
          <w:rtl/>
        </w:rPr>
        <w:t xml:space="preserve"> - </w:t>
      </w:r>
      <w:r w:rsidRPr="0097239C">
        <w:rPr>
          <w:rFonts w:hint="eastAsia"/>
          <w:bCs/>
          <w:rtl/>
        </w:rPr>
        <w:t>ימשיכו</w:t>
      </w:r>
      <w:r w:rsidRPr="0097239C">
        <w:rPr>
          <w:bCs/>
          <w:rtl/>
        </w:rPr>
        <w:t xml:space="preserve"> </w:t>
      </w:r>
      <w:r w:rsidRPr="0097239C">
        <w:rPr>
          <w:rFonts w:hint="eastAsia"/>
          <w:bCs/>
          <w:rtl/>
        </w:rPr>
        <w:t>ל</w:t>
      </w:r>
      <w:r w:rsidRPr="0097239C">
        <w:rPr>
          <w:rFonts w:hint="cs"/>
          <w:bCs/>
          <w:rtl/>
        </w:rPr>
        <w:t xml:space="preserve">פעול להפחתת פליטות גזי החממה, בייחוד במגזר התחבורה, בין היתר על ידי צמצום הנסועה הפרטית ומעבר </w:t>
      </w:r>
      <w:r w:rsidRPr="0097239C">
        <w:rPr>
          <w:rFonts w:hint="cs"/>
          <w:bCs/>
          <w:rtl/>
        </w:rPr>
        <w:t>לדלקים</w:t>
      </w:r>
      <w:r w:rsidRPr="0097239C">
        <w:rPr>
          <w:rFonts w:hint="cs"/>
          <w:bCs/>
          <w:rtl/>
        </w:rPr>
        <w:t xml:space="preserve"> נקיים (ראו להלן); ובמגזר החשמל על ידי מעבר לשימוש באנרגיות נקיות</w:t>
      </w:r>
      <w:r>
        <w:rPr>
          <w:bCs/>
          <w:vertAlign w:val="superscript"/>
          <w:rtl/>
        </w:rPr>
        <w:footnoteReference w:id="24"/>
      </w:r>
      <w:r w:rsidRPr="0097239C">
        <w:rPr>
          <w:rFonts w:hint="cs"/>
          <w:bCs/>
          <w:rtl/>
        </w:rPr>
        <w:t>.</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משרד </w:t>
      </w:r>
      <w:r w:rsidRPr="0097239C">
        <w:rPr>
          <w:rFonts w:hint="cs"/>
          <w:b/>
          <w:rtl/>
        </w:rPr>
        <w:t>האנרגייה</w:t>
      </w:r>
      <w:r w:rsidRPr="0097239C">
        <w:rPr>
          <w:rFonts w:hint="cs"/>
          <w:b/>
          <w:rtl/>
        </w:rPr>
        <w:t xml:space="preserve"> השיב למשרד מבקר המדינה ביוני 2020, כי הוא פועל להפחתת פליטות ממגזר התחבורה באמצעות קידום נושא ההנעה החלופית בחשמל ובגז טבעי. כן הוא פועל למעבר לייצור חשמל באמצעות גז טבעי ולהטמעת אנרגיות מתחדשות.</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חח"י</w:t>
      </w:r>
      <w:r w:rsidRPr="0097239C">
        <w:rPr>
          <w:rFonts w:hint="cs"/>
          <w:b/>
          <w:rtl/>
        </w:rPr>
        <w:t xml:space="preserve"> השיבה למשרד מבקר המדינה במאי 2020 כי היא</w:t>
      </w:r>
      <w:r w:rsidRPr="0097239C">
        <w:rPr>
          <w:rFonts w:hint="eastAsia"/>
          <w:b/>
          <w:rtl/>
        </w:rPr>
        <w:t> פועלת</w:t>
      </w:r>
      <w:r w:rsidRPr="0097239C">
        <w:rPr>
          <w:b/>
          <w:rtl/>
        </w:rPr>
        <w:t xml:space="preserve"> </w:t>
      </w:r>
      <w:r w:rsidRPr="0097239C">
        <w:rPr>
          <w:rFonts w:hint="eastAsia"/>
          <w:b/>
          <w:rtl/>
        </w:rPr>
        <w:t>לצמצום</w:t>
      </w:r>
      <w:r w:rsidRPr="0097239C">
        <w:rPr>
          <w:b/>
          <w:rtl/>
        </w:rPr>
        <w:t xml:space="preserve"> </w:t>
      </w:r>
      <w:r w:rsidRPr="0097239C">
        <w:rPr>
          <w:rFonts w:hint="eastAsia"/>
          <w:b/>
          <w:rtl/>
        </w:rPr>
        <w:t>פליטת</w:t>
      </w:r>
      <w:r w:rsidRPr="0097239C">
        <w:rPr>
          <w:b/>
          <w:rtl/>
        </w:rPr>
        <w:t xml:space="preserve"> </w:t>
      </w:r>
      <w:r w:rsidRPr="0097239C">
        <w:rPr>
          <w:rFonts w:hint="cs"/>
          <w:b/>
          <w:rtl/>
        </w:rPr>
        <w:t>גז"ח</w:t>
      </w:r>
      <w:r w:rsidRPr="0097239C">
        <w:rPr>
          <w:b/>
          <w:rtl/>
        </w:rPr>
        <w:t xml:space="preserve">, </w:t>
      </w:r>
      <w:r w:rsidRPr="0097239C">
        <w:rPr>
          <w:rFonts w:hint="eastAsia"/>
          <w:b/>
          <w:rtl/>
        </w:rPr>
        <w:t>ברוח</w:t>
      </w:r>
      <w:r w:rsidRPr="0097239C">
        <w:rPr>
          <w:b/>
          <w:rtl/>
        </w:rPr>
        <w:t xml:space="preserve"> </w:t>
      </w:r>
      <w:r w:rsidRPr="0097239C">
        <w:rPr>
          <w:rFonts w:hint="eastAsia"/>
          <w:b/>
          <w:rtl/>
        </w:rPr>
        <w:t>האמנות</w:t>
      </w:r>
      <w:r w:rsidRPr="0097239C">
        <w:rPr>
          <w:b/>
          <w:rtl/>
        </w:rPr>
        <w:t xml:space="preserve"> </w:t>
      </w:r>
      <w:r w:rsidRPr="0097239C">
        <w:rPr>
          <w:rFonts w:hint="eastAsia"/>
          <w:b/>
          <w:rtl/>
        </w:rPr>
        <w:t>הבינלאומיות</w:t>
      </w:r>
      <w:r w:rsidRPr="0097239C">
        <w:rPr>
          <w:b/>
          <w:rtl/>
        </w:rPr>
        <w:t xml:space="preserve"> </w:t>
      </w:r>
      <w:r w:rsidRPr="0097239C">
        <w:rPr>
          <w:rFonts w:hint="eastAsia"/>
          <w:b/>
          <w:rtl/>
        </w:rPr>
        <w:t>להן</w:t>
      </w:r>
      <w:r w:rsidRPr="0097239C">
        <w:rPr>
          <w:b/>
          <w:rtl/>
        </w:rPr>
        <w:t xml:space="preserve"> </w:t>
      </w:r>
      <w:r w:rsidRPr="0097239C">
        <w:rPr>
          <w:rFonts w:hint="eastAsia"/>
          <w:b/>
          <w:rtl/>
        </w:rPr>
        <w:t>שותפה</w:t>
      </w:r>
      <w:r w:rsidRPr="0097239C">
        <w:rPr>
          <w:b/>
          <w:rtl/>
        </w:rPr>
        <w:t xml:space="preserve"> </w:t>
      </w:r>
      <w:r w:rsidRPr="0097239C">
        <w:rPr>
          <w:rFonts w:hint="eastAsia"/>
          <w:b/>
          <w:rtl/>
        </w:rPr>
        <w:t>מדינת</w:t>
      </w:r>
      <w:r w:rsidRPr="0097239C">
        <w:rPr>
          <w:b/>
          <w:rtl/>
        </w:rPr>
        <w:t xml:space="preserve"> </w:t>
      </w:r>
      <w:r w:rsidRPr="0097239C">
        <w:rPr>
          <w:rFonts w:hint="eastAsia"/>
          <w:b/>
          <w:rtl/>
        </w:rPr>
        <w:t>ישראל</w:t>
      </w:r>
      <w:r w:rsidRPr="0097239C">
        <w:rPr>
          <w:b/>
          <w:rtl/>
        </w:rPr>
        <w:t xml:space="preserve">, </w:t>
      </w:r>
      <w:r w:rsidRPr="0097239C">
        <w:rPr>
          <w:rFonts w:hint="eastAsia"/>
          <w:b/>
          <w:rtl/>
        </w:rPr>
        <w:t>על</w:t>
      </w:r>
      <w:r w:rsidRPr="0097239C">
        <w:rPr>
          <w:b/>
          <w:rtl/>
        </w:rPr>
        <w:t xml:space="preserve">-ידי </w:t>
      </w:r>
      <w:r w:rsidRPr="0097239C">
        <w:rPr>
          <w:rFonts w:hint="eastAsia"/>
          <w:b/>
          <w:rtl/>
        </w:rPr>
        <w:t>הגדלת</w:t>
      </w:r>
      <w:r w:rsidRPr="0097239C">
        <w:rPr>
          <w:b/>
          <w:rtl/>
        </w:rPr>
        <w:t xml:space="preserve"> </w:t>
      </w:r>
      <w:r w:rsidRPr="0097239C">
        <w:rPr>
          <w:rFonts w:hint="eastAsia"/>
          <w:b/>
          <w:rtl/>
        </w:rPr>
        <w:t>נצילות</w:t>
      </w:r>
      <w:r w:rsidRPr="0097239C">
        <w:rPr>
          <w:b/>
          <w:rtl/>
        </w:rPr>
        <w:t xml:space="preserve"> </w:t>
      </w:r>
      <w:r w:rsidRPr="0097239C">
        <w:rPr>
          <w:rFonts w:hint="eastAsia"/>
          <w:b/>
          <w:rtl/>
        </w:rPr>
        <w:t>תחנות</w:t>
      </w:r>
      <w:r w:rsidRPr="0097239C">
        <w:rPr>
          <w:rFonts w:hint="cs"/>
          <w:b/>
          <w:rtl/>
        </w:rPr>
        <w:t xml:space="preserve"> </w:t>
      </w:r>
      <w:r w:rsidRPr="0097239C">
        <w:rPr>
          <w:b/>
          <w:rtl/>
        </w:rPr>
        <w:t xml:space="preserve">כוח, </w:t>
      </w:r>
      <w:r w:rsidRPr="0097239C">
        <w:rPr>
          <w:rFonts w:hint="eastAsia"/>
          <w:b/>
          <w:rtl/>
        </w:rPr>
        <w:t>הרחבת</w:t>
      </w:r>
      <w:r w:rsidRPr="0097239C">
        <w:rPr>
          <w:b/>
          <w:rtl/>
        </w:rPr>
        <w:t xml:space="preserve"> </w:t>
      </w:r>
      <w:r w:rsidRPr="0097239C">
        <w:rPr>
          <w:rFonts w:hint="eastAsia"/>
          <w:b/>
          <w:rtl/>
        </w:rPr>
        <w:t>השימוש</w:t>
      </w:r>
      <w:r w:rsidRPr="0097239C">
        <w:rPr>
          <w:b/>
          <w:rtl/>
        </w:rPr>
        <w:t xml:space="preserve"> </w:t>
      </w:r>
      <w:r w:rsidRPr="0097239C">
        <w:rPr>
          <w:rFonts w:hint="eastAsia"/>
          <w:b/>
          <w:rtl/>
        </w:rPr>
        <w:t>בדלקים</w:t>
      </w:r>
      <w:r w:rsidRPr="0097239C">
        <w:rPr>
          <w:b/>
          <w:rtl/>
        </w:rPr>
        <w:t xml:space="preserve"> </w:t>
      </w:r>
      <w:r w:rsidRPr="0097239C">
        <w:rPr>
          <w:rFonts w:hint="eastAsia"/>
          <w:b/>
          <w:rtl/>
        </w:rPr>
        <w:t>ובמקורות</w:t>
      </w:r>
      <w:r w:rsidRPr="0097239C">
        <w:rPr>
          <w:b/>
          <w:rtl/>
        </w:rPr>
        <w:t xml:space="preserve"> </w:t>
      </w:r>
      <w:r w:rsidRPr="0097239C">
        <w:rPr>
          <w:rFonts w:hint="eastAsia"/>
          <w:b/>
          <w:rtl/>
        </w:rPr>
        <w:t>אנרגי</w:t>
      </w:r>
      <w:r w:rsidRPr="0097239C">
        <w:rPr>
          <w:rFonts w:hint="cs"/>
          <w:b/>
          <w:rtl/>
        </w:rPr>
        <w:t>י</w:t>
      </w:r>
      <w:r w:rsidRPr="0097239C">
        <w:rPr>
          <w:rFonts w:hint="eastAsia"/>
          <w:b/>
          <w:rtl/>
        </w:rPr>
        <w:t>ה</w:t>
      </w:r>
      <w:r w:rsidRPr="0097239C">
        <w:rPr>
          <w:b/>
          <w:rtl/>
        </w:rPr>
        <w:t xml:space="preserve"> </w:t>
      </w:r>
      <w:r w:rsidRPr="0097239C">
        <w:rPr>
          <w:rFonts w:hint="eastAsia"/>
          <w:b/>
          <w:rtl/>
        </w:rPr>
        <w:t>ידידותיים</w:t>
      </w:r>
      <w:r w:rsidRPr="0097239C">
        <w:rPr>
          <w:b/>
          <w:rtl/>
        </w:rPr>
        <w:t xml:space="preserve"> </w:t>
      </w:r>
      <w:r w:rsidRPr="0097239C">
        <w:rPr>
          <w:rFonts w:hint="eastAsia"/>
          <w:b/>
          <w:rtl/>
        </w:rPr>
        <w:t>לסביבה</w:t>
      </w:r>
      <w:r w:rsidRPr="0097239C">
        <w:rPr>
          <w:b/>
          <w:rtl/>
        </w:rPr>
        <w:t xml:space="preserve"> </w:t>
      </w:r>
      <w:r w:rsidRPr="0097239C">
        <w:rPr>
          <w:rFonts w:hint="eastAsia"/>
          <w:b/>
          <w:rtl/>
        </w:rPr>
        <w:t>ועידוד</w:t>
      </w:r>
      <w:r w:rsidRPr="0097239C">
        <w:rPr>
          <w:b/>
          <w:rtl/>
        </w:rPr>
        <w:t xml:space="preserve"> </w:t>
      </w:r>
      <w:r w:rsidRPr="0097239C">
        <w:rPr>
          <w:rFonts w:hint="eastAsia"/>
          <w:b/>
          <w:rtl/>
        </w:rPr>
        <w:t>החיסכון</w:t>
      </w:r>
      <w:r w:rsidRPr="0097239C">
        <w:rPr>
          <w:b/>
          <w:rtl/>
        </w:rPr>
        <w:t xml:space="preserve"> </w:t>
      </w:r>
      <w:r w:rsidRPr="0097239C">
        <w:rPr>
          <w:rFonts w:hint="eastAsia"/>
          <w:b/>
          <w:rtl/>
        </w:rPr>
        <w:t>בחשמל</w:t>
      </w:r>
      <w:r w:rsidRPr="0097239C">
        <w:rPr>
          <w:b/>
          <w:rtl/>
        </w:rPr>
        <w:t>.</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ממחקר של בנק ישראל משנת 2019 עולה כי מצבה של ישראל בתחום תשתיות </w:t>
      </w:r>
      <w:r w:rsidRPr="0097239C">
        <w:rPr>
          <w:rFonts w:hint="cs"/>
          <w:b/>
          <w:rtl/>
        </w:rPr>
        <w:t>האנרגייה</w:t>
      </w:r>
      <w:r w:rsidRPr="0097239C">
        <w:rPr>
          <w:rFonts w:hint="cs"/>
          <w:b/>
          <w:rtl/>
        </w:rPr>
        <w:t xml:space="preserve"> "סביר"</w:t>
      </w:r>
      <w:r>
        <w:rPr>
          <w:b/>
          <w:vertAlign w:val="superscript"/>
          <w:rtl/>
        </w:rPr>
        <w:footnoteReference w:id="25"/>
      </w:r>
      <w:r w:rsidRPr="0097239C">
        <w:rPr>
          <w:rFonts w:hint="cs"/>
          <w:b/>
          <w:rtl/>
        </w:rPr>
        <w:t xml:space="preserve">, אך המשק אינו ערוך לשינויים באסדרה העולמית, שיחייבו את ישראל לבצע התאמות בתחום הפחתת הפליטות. לפיכך יש צורך לקדם </w:t>
      </w:r>
      <w:r w:rsidRPr="0097239C">
        <w:rPr>
          <w:rFonts w:hint="cs"/>
          <w:b/>
          <w:rtl/>
        </w:rPr>
        <w:t>תוכנית</w:t>
      </w:r>
      <w:r w:rsidRPr="0097239C">
        <w:rPr>
          <w:rFonts w:hint="cs"/>
          <w:b/>
          <w:rtl/>
        </w:rPr>
        <w:t xml:space="preserve"> אב למשק </w:t>
      </w:r>
      <w:r w:rsidRPr="0097239C">
        <w:rPr>
          <w:rFonts w:hint="cs"/>
          <w:b/>
          <w:rtl/>
        </w:rPr>
        <w:t>האנרגייה</w:t>
      </w:r>
      <w:r w:rsidRPr="0097239C">
        <w:rPr>
          <w:rFonts w:hint="cs"/>
          <w:b/>
          <w:rtl/>
        </w:rPr>
        <w:t xml:space="preserve"> בישראל שתביא בחשבון, </w:t>
      </w:r>
      <w:r w:rsidRPr="0097239C">
        <w:rPr>
          <w:rFonts w:hint="eastAsia"/>
          <w:b/>
          <w:rtl/>
        </w:rPr>
        <w:t>בין</w:t>
      </w:r>
      <w:r w:rsidRPr="0097239C">
        <w:rPr>
          <w:b/>
          <w:rtl/>
        </w:rPr>
        <w:t xml:space="preserve"> </w:t>
      </w:r>
      <w:r w:rsidRPr="0097239C">
        <w:rPr>
          <w:rFonts w:hint="eastAsia"/>
          <w:b/>
          <w:rtl/>
        </w:rPr>
        <w:t>היתר</w:t>
      </w:r>
      <w:r w:rsidRPr="0097239C">
        <w:rPr>
          <w:b/>
          <w:rtl/>
        </w:rPr>
        <w:t>,</w:t>
      </w:r>
      <w:r w:rsidRPr="0097239C">
        <w:rPr>
          <w:rFonts w:hint="cs"/>
          <w:b/>
          <w:rtl/>
        </w:rPr>
        <w:t xml:space="preserve"> את הצורך לפתח את מערכת ההולכה לשימוש באנרגיות מתחדשות, להגביר את התחרות ולשמור על הביטחון האנרגטי של המדינה. כן יש לפתח את החברה לניהול המערכת</w:t>
      </w:r>
      <w:r>
        <w:rPr>
          <w:b/>
          <w:vertAlign w:val="superscript"/>
          <w:rtl/>
        </w:rPr>
        <w:footnoteReference w:id="26"/>
      </w:r>
      <w:r w:rsidRPr="0097239C">
        <w:rPr>
          <w:rFonts w:hint="cs"/>
          <w:b/>
          <w:rtl/>
        </w:rPr>
        <w:t>, שתכלול יחידה למעקב ולניתוח בנושא הרגלי צריכת החשמל של משקי הבית וענפי הכלכלה</w:t>
      </w:r>
      <w:r>
        <w:rPr>
          <w:b/>
          <w:vertAlign w:val="superscript"/>
          <w:rtl/>
        </w:rPr>
        <w:footnoteReference w:id="27"/>
      </w:r>
      <w:r w:rsidRPr="0097239C">
        <w:rPr>
          <w:rFonts w:hint="cs"/>
          <w:b/>
          <w:rtl/>
        </w:rPr>
        <w:t xml:space="preserve">. בשנים האחרונות עמד משרד מבקר המדינה כמה פעמים על הצורך להכין </w:t>
      </w:r>
      <w:r w:rsidRPr="0097239C">
        <w:rPr>
          <w:rFonts w:hint="cs"/>
          <w:b/>
          <w:rtl/>
        </w:rPr>
        <w:t>תוכנית</w:t>
      </w:r>
      <w:r w:rsidRPr="0097239C">
        <w:rPr>
          <w:rFonts w:hint="cs"/>
          <w:b/>
          <w:rtl/>
        </w:rPr>
        <w:t xml:space="preserve"> אב כאמור</w:t>
      </w:r>
      <w:r>
        <w:rPr>
          <w:b/>
          <w:vertAlign w:val="superscript"/>
          <w:rtl/>
        </w:rPr>
        <w:footnoteReference w:id="28"/>
      </w:r>
      <w:r w:rsidRPr="0097239C">
        <w:rPr>
          <w:rFonts w:hint="cs"/>
          <w:b/>
          <w:rtl/>
        </w:rPr>
        <w:t>.</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 xml:space="preserve">מומלץ כי משרד </w:t>
      </w:r>
      <w:r w:rsidRPr="0097239C">
        <w:rPr>
          <w:rFonts w:hint="cs"/>
          <w:bCs/>
          <w:rtl/>
        </w:rPr>
        <w:t>האנרגייה</w:t>
      </w:r>
      <w:r w:rsidRPr="0097239C">
        <w:rPr>
          <w:rFonts w:hint="cs"/>
          <w:bCs/>
          <w:rtl/>
        </w:rPr>
        <w:t xml:space="preserve"> ימשיך לפעול להתאמת משק </w:t>
      </w:r>
      <w:r w:rsidRPr="0097239C">
        <w:rPr>
          <w:rFonts w:hint="cs"/>
          <w:bCs/>
          <w:rtl/>
        </w:rPr>
        <w:t>האנרגייה</w:t>
      </w:r>
      <w:r w:rsidRPr="0097239C">
        <w:rPr>
          <w:rFonts w:hint="cs"/>
          <w:bCs/>
          <w:rtl/>
        </w:rPr>
        <w:t xml:space="preserve"> לאתגרים העתידיים ולשינויים באסדרה העולמית, ולהיערך למעבר לעידן שבו יישען ייצור החשמל על מקורות מתחדשים, ורמת הפליטות בו תהיה מזערית. הכנת </w:t>
      </w:r>
      <w:r w:rsidRPr="0097239C">
        <w:rPr>
          <w:rFonts w:hint="cs"/>
          <w:bCs/>
          <w:rtl/>
        </w:rPr>
        <w:t>תוכנית</w:t>
      </w:r>
      <w:r w:rsidRPr="0097239C">
        <w:rPr>
          <w:rFonts w:hint="cs"/>
          <w:bCs/>
          <w:rtl/>
        </w:rPr>
        <w:t xml:space="preserve"> אב למשק </w:t>
      </w:r>
      <w:r w:rsidRPr="0097239C">
        <w:rPr>
          <w:rFonts w:hint="cs"/>
          <w:bCs/>
          <w:rtl/>
        </w:rPr>
        <w:t>האנרגייה</w:t>
      </w:r>
      <w:r w:rsidRPr="0097239C">
        <w:rPr>
          <w:rFonts w:hint="cs"/>
          <w:bCs/>
          <w:rtl/>
        </w:rPr>
        <w:t xml:space="preserve"> בראייה</w:t>
      </w:r>
      <w:r w:rsidRPr="0097239C">
        <w:rPr>
          <w:bCs/>
        </w:rPr>
        <w:t xml:space="preserve"> </w:t>
      </w:r>
      <w:r w:rsidRPr="0097239C">
        <w:rPr>
          <w:rFonts w:hint="cs"/>
          <w:bCs/>
          <w:rtl/>
        </w:rPr>
        <w:t>כוללת ארוכת</w:t>
      </w:r>
      <w:r w:rsidRPr="0097239C">
        <w:rPr>
          <w:bCs/>
        </w:rPr>
        <w:t xml:space="preserve"> </w:t>
      </w:r>
      <w:r w:rsidRPr="0097239C">
        <w:rPr>
          <w:rFonts w:hint="cs"/>
          <w:bCs/>
          <w:rtl/>
        </w:rPr>
        <w:t>טווח - בהתאם</w:t>
      </w:r>
      <w:r w:rsidRPr="0097239C">
        <w:rPr>
          <w:bCs/>
        </w:rPr>
        <w:t xml:space="preserve"> </w:t>
      </w:r>
      <w:r w:rsidRPr="0097239C">
        <w:rPr>
          <w:rFonts w:hint="cs"/>
          <w:bCs/>
          <w:rtl/>
        </w:rPr>
        <w:t>לצורכי</w:t>
      </w:r>
      <w:r w:rsidRPr="0097239C">
        <w:rPr>
          <w:bCs/>
        </w:rPr>
        <w:t xml:space="preserve"> </w:t>
      </w:r>
      <w:r w:rsidRPr="0097239C">
        <w:rPr>
          <w:rFonts w:hint="cs"/>
          <w:bCs/>
          <w:rtl/>
        </w:rPr>
        <w:t>הפיתוח</w:t>
      </w:r>
      <w:r w:rsidRPr="0097239C">
        <w:rPr>
          <w:bCs/>
        </w:rPr>
        <w:t xml:space="preserve"> </w:t>
      </w:r>
      <w:r w:rsidRPr="0097239C">
        <w:rPr>
          <w:rFonts w:hint="cs"/>
          <w:bCs/>
          <w:rtl/>
        </w:rPr>
        <w:t>העתידיים,</w:t>
      </w:r>
      <w:r w:rsidRPr="0097239C">
        <w:rPr>
          <w:bCs/>
        </w:rPr>
        <w:t xml:space="preserve"> </w:t>
      </w:r>
      <w:r w:rsidRPr="0097239C">
        <w:rPr>
          <w:rFonts w:hint="cs"/>
          <w:bCs/>
          <w:rtl/>
        </w:rPr>
        <w:t>ליעדים</w:t>
      </w:r>
      <w:r w:rsidRPr="0097239C">
        <w:rPr>
          <w:bCs/>
        </w:rPr>
        <w:t xml:space="preserve"> </w:t>
      </w:r>
      <w:r w:rsidRPr="0097239C">
        <w:rPr>
          <w:rFonts w:hint="cs"/>
          <w:bCs/>
          <w:rtl/>
        </w:rPr>
        <w:t>שקבעה</w:t>
      </w:r>
      <w:r w:rsidRPr="0097239C">
        <w:rPr>
          <w:bCs/>
        </w:rPr>
        <w:t xml:space="preserve"> </w:t>
      </w:r>
      <w:r w:rsidRPr="0097239C">
        <w:rPr>
          <w:rFonts w:hint="cs"/>
          <w:bCs/>
          <w:rtl/>
        </w:rPr>
        <w:t xml:space="preserve">הממשלה ולאתגרים הצפויים במשק </w:t>
      </w:r>
      <w:r w:rsidRPr="0097239C">
        <w:rPr>
          <w:rFonts w:hint="cs"/>
          <w:bCs/>
          <w:rtl/>
        </w:rPr>
        <w:t>האנרגייה</w:t>
      </w:r>
      <w:r w:rsidRPr="0097239C">
        <w:rPr>
          <w:rFonts w:hint="cs"/>
          <w:bCs/>
          <w:rtl/>
        </w:rPr>
        <w:t xml:space="preserve"> - תתרום למוכנות מיטבית של המשק.</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משרד </w:t>
      </w:r>
      <w:r w:rsidRPr="0097239C">
        <w:rPr>
          <w:rFonts w:hint="cs"/>
          <w:b/>
          <w:rtl/>
        </w:rPr>
        <w:t>האנרגייה</w:t>
      </w:r>
      <w:r w:rsidRPr="0097239C">
        <w:rPr>
          <w:rFonts w:hint="cs"/>
          <w:b/>
          <w:rtl/>
        </w:rPr>
        <w:t xml:space="preserve"> השיב למשרד מבקר המדינה ביוני 2020 כי בשנתיים האחרונות ערך עם רשות החשמל מספר </w:t>
      </w:r>
      <w:r w:rsidRPr="0097239C">
        <w:rPr>
          <w:rFonts w:hint="cs"/>
          <w:b/>
          <w:rtl/>
        </w:rPr>
        <w:t>תוכניות</w:t>
      </w:r>
      <w:r w:rsidRPr="0097239C">
        <w:rPr>
          <w:rFonts w:hint="cs"/>
          <w:b/>
          <w:rtl/>
        </w:rPr>
        <w:t xml:space="preserve"> אסטרטגיות למשק - </w:t>
      </w:r>
      <w:r w:rsidRPr="0097239C">
        <w:rPr>
          <w:rFonts w:hint="cs"/>
          <w:b/>
          <w:rtl/>
        </w:rPr>
        <w:t>תוכנית</w:t>
      </w:r>
      <w:r w:rsidRPr="0097239C">
        <w:rPr>
          <w:rFonts w:hint="cs"/>
          <w:b/>
          <w:rtl/>
        </w:rPr>
        <w:t xml:space="preserve"> 2030, תמ"א 41 ותוכנית הפיתוח של משק החשמל - הכוללות יעדים קצרי טווח וארוכי טווח וכן שורה ארוכה של צעדי מדיניות. משרד </w:t>
      </w:r>
      <w:r w:rsidRPr="0097239C">
        <w:rPr>
          <w:rFonts w:hint="cs"/>
          <w:b/>
          <w:rtl/>
        </w:rPr>
        <w:t>האנרגייה</w:t>
      </w:r>
      <w:r w:rsidRPr="0097239C">
        <w:rPr>
          <w:rFonts w:hint="cs"/>
          <w:b/>
          <w:rtl/>
        </w:rPr>
        <w:t xml:space="preserve"> הוסיף כי בימים אלה נערכת עבודה לכתיבת התוכנית הלאומית להתייעלות </w:t>
      </w:r>
      <w:r w:rsidRPr="0097239C">
        <w:rPr>
          <w:rFonts w:hint="cs"/>
          <w:b/>
          <w:rtl/>
        </w:rPr>
        <w:t>באנרגייה</w:t>
      </w:r>
      <w:r w:rsidRPr="0097239C">
        <w:rPr>
          <w:rFonts w:hint="cs"/>
          <w:b/>
          <w:rtl/>
        </w:rPr>
        <w:t xml:space="preserve"> ותוכנית לעדכון היעדים </w:t>
      </w:r>
      <w:r w:rsidRPr="0097239C">
        <w:rPr>
          <w:rFonts w:hint="cs"/>
          <w:b/>
          <w:rtl/>
        </w:rPr>
        <w:t>לאנרגייה</w:t>
      </w:r>
      <w:r w:rsidRPr="0097239C">
        <w:rPr>
          <w:rFonts w:hint="cs"/>
          <w:b/>
          <w:rtl/>
        </w:rPr>
        <w:t xml:space="preserve"> מתחדשת לשנת 2030, וכן נערכת עבודת מטה אסטרטגית הכוללת מודל חיזוי לבחינת יעדי המשק לשנת 2050. </w:t>
      </w:r>
      <w:r w:rsidRPr="0097239C">
        <w:rPr>
          <w:rFonts w:hint="cs"/>
          <w:b/>
          <w:rtl/>
        </w:rPr>
        <w:t>תוכניות</w:t>
      </w:r>
      <w:r w:rsidRPr="0097239C">
        <w:rPr>
          <w:rFonts w:hint="cs"/>
          <w:b/>
          <w:rtl/>
        </w:rPr>
        <w:t xml:space="preserve"> אלה הן הבסיס האסטרטגי לפעילות המשרד, ומהוות למעשה את </w:t>
      </w:r>
      <w:r w:rsidRPr="0097239C">
        <w:rPr>
          <w:rFonts w:hint="cs"/>
          <w:b/>
          <w:rtl/>
        </w:rPr>
        <w:t>תוכנית</w:t>
      </w:r>
      <w:r w:rsidRPr="0097239C">
        <w:rPr>
          <w:rFonts w:hint="cs"/>
          <w:b/>
          <w:rtl/>
        </w:rPr>
        <w:t xml:space="preserve"> האב למשק </w:t>
      </w:r>
      <w:r w:rsidRPr="0097239C">
        <w:rPr>
          <w:rFonts w:hint="cs"/>
          <w:b/>
          <w:rtl/>
        </w:rPr>
        <w:t>האנרגייה</w:t>
      </w:r>
      <w:r w:rsidRPr="0097239C">
        <w:rPr>
          <w:rFonts w:hint="cs"/>
          <w:b/>
          <w:rtl/>
        </w:rPr>
        <w:t xml:space="preserve"> בראייה עתידית. </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 xml:space="preserve">מומלץ כי משרד </w:t>
      </w:r>
      <w:r w:rsidRPr="0097239C">
        <w:rPr>
          <w:rFonts w:hint="cs"/>
          <w:bCs/>
          <w:rtl/>
        </w:rPr>
        <w:t>האנרגייה</w:t>
      </w:r>
      <w:r w:rsidRPr="0097239C">
        <w:rPr>
          <w:rFonts w:hint="cs"/>
          <w:bCs/>
          <w:rtl/>
        </w:rPr>
        <w:t xml:space="preserve"> ישלים את העבודה על התוכניות השונות שציין, אשר מהוות את </w:t>
      </w:r>
      <w:r w:rsidRPr="0097239C">
        <w:rPr>
          <w:rFonts w:hint="cs"/>
          <w:bCs/>
          <w:rtl/>
        </w:rPr>
        <w:t>תוכנית</w:t>
      </w:r>
      <w:r w:rsidRPr="0097239C">
        <w:rPr>
          <w:rFonts w:hint="cs"/>
          <w:bCs/>
          <w:rtl/>
        </w:rPr>
        <w:t xml:space="preserve"> האב למשק </w:t>
      </w:r>
      <w:r w:rsidRPr="0097239C">
        <w:rPr>
          <w:rFonts w:hint="cs"/>
          <w:bCs/>
          <w:rtl/>
        </w:rPr>
        <w:t>האנרגייה</w:t>
      </w:r>
      <w:r w:rsidRPr="0097239C">
        <w:rPr>
          <w:rFonts w:hint="cs"/>
          <w:bCs/>
          <w:rtl/>
        </w:rPr>
        <w:t xml:space="preserve">. כן מומלץ כי </w:t>
      </w:r>
      <w:r w:rsidRPr="0097239C">
        <w:rPr>
          <w:rFonts w:hint="cs"/>
          <w:bCs/>
          <w:rtl/>
        </w:rPr>
        <w:t>תוכניות</w:t>
      </w:r>
      <w:r w:rsidRPr="0097239C">
        <w:rPr>
          <w:rFonts w:hint="cs"/>
          <w:bCs/>
          <w:rtl/>
        </w:rPr>
        <w:t xml:space="preserve"> אלה יעוגנו במסמך אחד, </w:t>
      </w:r>
      <w:r w:rsidRPr="0097239C">
        <w:rPr>
          <w:rFonts w:hint="cs"/>
          <w:bCs/>
          <w:rtl/>
        </w:rPr>
        <w:t>שיתכלל</w:t>
      </w:r>
      <w:r w:rsidRPr="0097239C">
        <w:rPr>
          <w:rFonts w:hint="cs"/>
          <w:bCs/>
          <w:rtl/>
        </w:rPr>
        <w:t xml:space="preserve"> את כלל ההיבטים ואת היעדים השונים של משק </w:t>
      </w:r>
      <w:r w:rsidRPr="0097239C">
        <w:rPr>
          <w:rFonts w:hint="cs"/>
          <w:bCs/>
          <w:rtl/>
        </w:rPr>
        <w:t>האנרגייה</w:t>
      </w:r>
      <w:r w:rsidRPr="0097239C">
        <w:rPr>
          <w:rFonts w:hint="cs"/>
          <w:bCs/>
          <w:rtl/>
        </w:rPr>
        <w:t xml:space="preserve">, וישמש בסיס לתכנון ארוך טווח בכלל המגזרים.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במרץ 2019 החל המשרד </w:t>
      </w:r>
      <w:r w:rsidRPr="0097239C">
        <w:rPr>
          <w:rFonts w:hint="cs"/>
          <w:b/>
          <w:rtl/>
        </w:rPr>
        <w:t>להג"ס</w:t>
      </w:r>
      <w:r w:rsidRPr="0097239C">
        <w:rPr>
          <w:rFonts w:hint="cs"/>
          <w:b/>
          <w:rtl/>
        </w:rPr>
        <w:t xml:space="preserve"> לקדם עם משרד </w:t>
      </w:r>
      <w:r w:rsidRPr="0097239C">
        <w:rPr>
          <w:rFonts w:hint="cs"/>
          <w:b/>
          <w:rtl/>
        </w:rPr>
        <w:t>האנרגייה</w:t>
      </w:r>
      <w:r w:rsidRPr="0097239C">
        <w:rPr>
          <w:rFonts w:hint="cs"/>
          <w:b/>
          <w:rtl/>
        </w:rPr>
        <w:t xml:space="preserve">, משרד הכלכלה, משרד האוצר </w:t>
      </w:r>
      <w:r w:rsidRPr="0097239C">
        <w:rPr>
          <w:rFonts w:hint="cs"/>
          <w:b/>
          <w:rtl/>
        </w:rPr>
        <w:t>ומינהל</w:t>
      </w:r>
      <w:r w:rsidRPr="0097239C">
        <w:rPr>
          <w:rFonts w:hint="cs"/>
          <w:b/>
          <w:rtl/>
        </w:rPr>
        <w:t xml:space="preserve"> התכנון - בשיתוף ארגון ה-</w:t>
      </w:r>
      <w:r w:rsidRPr="0097239C">
        <w:rPr>
          <w:rFonts w:hint="cs"/>
          <w:bCs/>
        </w:rPr>
        <w:t>OECD</w:t>
      </w:r>
      <w:r w:rsidRPr="0097239C">
        <w:rPr>
          <w:rFonts w:hint="cs"/>
          <w:b/>
          <w:rtl/>
        </w:rPr>
        <w:t xml:space="preserve"> וגורמים נוספים</w:t>
      </w:r>
      <w:r w:rsidRPr="0097239C">
        <w:rPr>
          <w:b/>
          <w:rtl/>
        </w:rPr>
        <w:t xml:space="preserve"> -</w:t>
      </w:r>
      <w:r w:rsidRPr="0097239C">
        <w:rPr>
          <w:rFonts w:hint="cs"/>
          <w:b/>
          <w:rtl/>
        </w:rPr>
        <w:t xml:space="preserve"> תהליך לגיבוש חזון למעבר לכלכלה דלת פחמן </w:t>
      </w:r>
      <w:r w:rsidRPr="0097239C">
        <w:rPr>
          <w:rFonts w:hint="cs"/>
          <w:b/>
          <w:rtl/>
        </w:rPr>
        <w:t xml:space="preserve">ומשגשגת עד שנת 2050 ולהתוויית מפת דרכים ליישום החזון והיעדים שנקבעו לפיו. ממסמכי המשרד </w:t>
      </w:r>
      <w:r w:rsidRPr="0097239C">
        <w:rPr>
          <w:rFonts w:hint="cs"/>
          <w:b/>
          <w:rtl/>
        </w:rPr>
        <w:t>להג"ס</w:t>
      </w:r>
      <w:r w:rsidRPr="0097239C">
        <w:rPr>
          <w:rFonts w:hint="cs"/>
          <w:b/>
          <w:rtl/>
        </w:rPr>
        <w:t xml:space="preserve"> עולה כי התהליך מתוכנן להסתיים בשנת 2020, בהתאם ללוחות הזמנים שעליהם הוסכם בוועידת פריז</w:t>
      </w:r>
      <w:r>
        <w:rPr>
          <w:b/>
          <w:vertAlign w:val="superscript"/>
          <w:rtl/>
        </w:rPr>
        <w:footnoteReference w:id="29"/>
      </w:r>
      <w:r w:rsidRPr="0097239C">
        <w:rPr>
          <w:rFonts w:hint="cs"/>
          <w:b/>
          <w:rtl/>
        </w:rPr>
        <w:t xml:space="preserve">.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המעבר לכלכלה דלת פחמן מבוסס על מכלול שינויים מבניים, תשתיתיים וטכנולוגיים לרבות אלו: מעבר לייצור חשמל נקי שאינו מבוסס על </w:t>
      </w:r>
      <w:r w:rsidRPr="0097239C">
        <w:rPr>
          <w:rFonts w:hint="cs"/>
          <w:b/>
          <w:rtl/>
        </w:rPr>
        <w:t>דלקים</w:t>
      </w:r>
      <w:r w:rsidRPr="0097239C">
        <w:rPr>
          <w:rFonts w:hint="cs"/>
          <w:b/>
          <w:rtl/>
        </w:rPr>
        <w:t xml:space="preserve"> </w:t>
      </w:r>
      <w:r w:rsidRPr="0097239C">
        <w:rPr>
          <w:rFonts w:hint="cs"/>
          <w:b/>
          <w:rtl/>
        </w:rPr>
        <w:t>פוסיליים</w:t>
      </w:r>
      <w:r w:rsidRPr="0097239C">
        <w:rPr>
          <w:rFonts w:hint="cs"/>
          <w:b/>
          <w:rtl/>
        </w:rPr>
        <w:t xml:space="preserve">; ייעול צריכת </w:t>
      </w:r>
      <w:r w:rsidRPr="0097239C">
        <w:rPr>
          <w:rFonts w:hint="cs"/>
          <w:b/>
          <w:rtl/>
        </w:rPr>
        <w:t>האנרגייה</w:t>
      </w:r>
      <w:r w:rsidRPr="0097239C">
        <w:rPr>
          <w:rFonts w:hint="cs"/>
          <w:b/>
          <w:rtl/>
        </w:rPr>
        <w:t xml:space="preserve"> במבנים ובתעשייה ומעבר לתהליכי ייצור המבוססים על </w:t>
      </w:r>
      <w:r w:rsidRPr="0097239C">
        <w:rPr>
          <w:rFonts w:hint="cs"/>
          <w:b/>
          <w:rtl/>
        </w:rPr>
        <w:t>דלקים</w:t>
      </w:r>
      <w:r w:rsidRPr="0097239C">
        <w:rPr>
          <w:rFonts w:hint="cs"/>
          <w:b/>
          <w:rtl/>
        </w:rPr>
        <w:t xml:space="preserve"> שאינם </w:t>
      </w:r>
      <w:r w:rsidRPr="0097239C">
        <w:rPr>
          <w:rFonts w:hint="cs"/>
          <w:b/>
          <w:rtl/>
        </w:rPr>
        <w:t>פוסיליים</w:t>
      </w:r>
      <w:r w:rsidRPr="0097239C">
        <w:rPr>
          <w:rFonts w:hint="cs"/>
          <w:b/>
          <w:rtl/>
        </w:rPr>
        <w:t xml:space="preserve"> ועל חשמל מאנרגיות מתחדשות; הפחתת הנסועה הפרטית על ידי אמצעי תחבורה ציבורית, אופניים והליכה; הפסקת הפליטות מתחבורה על ידי חשמול כלי רכב פרטיים, מסחריים וציבוריים; תכנון אינטגרטיבי של המרחב העירוני באופן המאפשר עירוב שימושים ושילוב תשתיות </w:t>
      </w:r>
      <w:r w:rsidRPr="0097239C">
        <w:rPr>
          <w:rFonts w:hint="cs"/>
          <w:b/>
          <w:rtl/>
        </w:rPr>
        <w:t>אנרגייה</w:t>
      </w:r>
      <w:r w:rsidRPr="0097239C">
        <w:rPr>
          <w:rFonts w:hint="cs"/>
          <w:b/>
          <w:rtl/>
        </w:rPr>
        <w:t xml:space="preserve">, תחבורה ותעשייה המייעלים את התנועה במרחב ואת השימוש בקרקע; ייעול צריכת חומרי גלם ומשאבים בתעשייה, במסחר ובשירותים והפסקת ייצור והטמנה של פסולת. המשרד </w:t>
      </w:r>
      <w:r w:rsidRPr="0097239C">
        <w:rPr>
          <w:rFonts w:hint="cs"/>
          <w:b/>
          <w:rtl/>
        </w:rPr>
        <w:t>להג"ס</w:t>
      </w:r>
      <w:r w:rsidRPr="0097239C">
        <w:rPr>
          <w:rFonts w:hint="cs"/>
          <w:b/>
          <w:rtl/>
        </w:rPr>
        <w:t xml:space="preserve"> השיב למשרד מבקר המדינה במאי 2020 כי על מנת שיישום היעדים יצליח לייצר ודאות רגולטורית והשקעתית, ההכרחית לביצוע השקעות ארוכות טווח בתחום, קיים צורך לעגן בחקיקה את היעדים והאסטרטגיה לכלכלה דלת פחמן.</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 xml:space="preserve">משרד מבקר המדינה רואה בחיוב את תהליך גיבוש החזון למעבר לכלכלה דלת פחמן בשנת 2050, תהליך שכאמור צריך להיות מלווה בתוכנית פעולה אופרטיבית, הנשענת בין היתר על </w:t>
      </w:r>
      <w:r w:rsidRPr="0097239C">
        <w:rPr>
          <w:rFonts w:hint="cs"/>
          <w:bCs/>
          <w:rtl/>
        </w:rPr>
        <w:t>תוכנית</w:t>
      </w:r>
      <w:r w:rsidRPr="0097239C">
        <w:rPr>
          <w:rFonts w:hint="cs"/>
          <w:bCs/>
          <w:rtl/>
        </w:rPr>
        <w:t xml:space="preserve"> האב למשק </w:t>
      </w:r>
      <w:r w:rsidRPr="0097239C">
        <w:rPr>
          <w:rFonts w:hint="cs"/>
          <w:bCs/>
          <w:rtl/>
        </w:rPr>
        <w:t>האנרגייה</w:t>
      </w:r>
      <w:r w:rsidRPr="0097239C">
        <w:rPr>
          <w:rFonts w:hint="cs"/>
          <w:bCs/>
          <w:rtl/>
        </w:rPr>
        <w:t xml:space="preserve">, ובה יוגדרו יעדי ביניים, לוחות זמנים להשגתם ומדדים למעקב אחר מידת העמידה בהם.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המשרד </w:t>
      </w:r>
      <w:r w:rsidRPr="0097239C">
        <w:rPr>
          <w:rFonts w:hint="cs"/>
          <w:b/>
          <w:rtl/>
        </w:rPr>
        <w:t>להג"ס</w:t>
      </w:r>
      <w:r w:rsidRPr="0097239C">
        <w:rPr>
          <w:rFonts w:hint="cs"/>
          <w:b/>
          <w:rtl/>
        </w:rPr>
        <w:t xml:space="preserve"> השיב למשרד מבקר המדינה במאי 2020 כי לנושא</w:t>
      </w:r>
      <w:r w:rsidRPr="0097239C">
        <w:rPr>
          <w:b/>
        </w:rPr>
        <w:t xml:space="preserve"> </w:t>
      </w:r>
      <w:r w:rsidRPr="0097239C">
        <w:rPr>
          <w:rFonts w:hint="cs"/>
          <w:b/>
          <w:rtl/>
        </w:rPr>
        <w:t>ההתייעלות האנרגטית</w:t>
      </w:r>
      <w:r w:rsidRPr="0097239C">
        <w:rPr>
          <w:b/>
        </w:rPr>
        <w:t xml:space="preserve"> </w:t>
      </w:r>
      <w:r w:rsidRPr="0097239C">
        <w:rPr>
          <w:rFonts w:hint="cs"/>
          <w:b/>
          <w:rtl/>
        </w:rPr>
        <w:t>יש השלכות רוחביות</w:t>
      </w:r>
      <w:r w:rsidRPr="0097239C">
        <w:rPr>
          <w:b/>
        </w:rPr>
        <w:t xml:space="preserve"> </w:t>
      </w:r>
      <w:r w:rsidRPr="0097239C">
        <w:rPr>
          <w:rFonts w:hint="cs"/>
          <w:b/>
          <w:rtl/>
        </w:rPr>
        <w:t>ומשמעותיות</w:t>
      </w:r>
      <w:r w:rsidRPr="0097239C">
        <w:rPr>
          <w:b/>
        </w:rPr>
        <w:t xml:space="preserve"> </w:t>
      </w:r>
      <w:r w:rsidRPr="0097239C">
        <w:rPr>
          <w:rFonts w:hint="cs"/>
          <w:b/>
          <w:rtl/>
        </w:rPr>
        <w:t>לסביבה, לכלכלה, לביטחון</w:t>
      </w:r>
      <w:r w:rsidRPr="0097239C">
        <w:rPr>
          <w:b/>
        </w:rPr>
        <w:t xml:space="preserve"> </w:t>
      </w:r>
      <w:r w:rsidRPr="0097239C">
        <w:rPr>
          <w:rFonts w:hint="cs"/>
          <w:b/>
          <w:rtl/>
        </w:rPr>
        <w:t>האנרגטי</w:t>
      </w:r>
      <w:r w:rsidRPr="0097239C">
        <w:rPr>
          <w:b/>
        </w:rPr>
        <w:t xml:space="preserve"> </w:t>
      </w:r>
      <w:r w:rsidRPr="0097239C">
        <w:rPr>
          <w:rFonts w:hint="cs"/>
          <w:b/>
          <w:rtl/>
        </w:rPr>
        <w:t>ולמשק</w:t>
      </w:r>
      <w:r w:rsidRPr="0097239C">
        <w:rPr>
          <w:b/>
        </w:rPr>
        <w:t xml:space="preserve"> </w:t>
      </w:r>
      <w:r w:rsidRPr="0097239C">
        <w:rPr>
          <w:rFonts w:hint="cs"/>
          <w:b/>
          <w:rtl/>
        </w:rPr>
        <w:t>החשמל,</w:t>
      </w:r>
      <w:r w:rsidRPr="0097239C">
        <w:rPr>
          <w:b/>
        </w:rPr>
        <w:t xml:space="preserve"> </w:t>
      </w:r>
      <w:r w:rsidRPr="0097239C">
        <w:rPr>
          <w:rFonts w:hint="cs"/>
          <w:b/>
          <w:rtl/>
        </w:rPr>
        <w:t>וגם</w:t>
      </w:r>
      <w:r w:rsidRPr="0097239C">
        <w:rPr>
          <w:b/>
        </w:rPr>
        <w:t xml:space="preserve"> </w:t>
      </w:r>
      <w:r w:rsidRPr="0097239C">
        <w:rPr>
          <w:rFonts w:hint="cs"/>
          <w:b/>
          <w:rtl/>
        </w:rPr>
        <w:t>על החברה</w:t>
      </w:r>
      <w:r w:rsidRPr="0097239C">
        <w:rPr>
          <w:b/>
        </w:rPr>
        <w:t xml:space="preserve"> </w:t>
      </w:r>
      <w:r w:rsidRPr="0097239C">
        <w:rPr>
          <w:rFonts w:hint="cs"/>
          <w:b/>
          <w:rtl/>
        </w:rPr>
        <w:t>והפערים בין</w:t>
      </w:r>
      <w:r w:rsidRPr="0097239C">
        <w:rPr>
          <w:b/>
        </w:rPr>
        <w:t xml:space="preserve"> </w:t>
      </w:r>
      <w:r w:rsidRPr="0097239C">
        <w:rPr>
          <w:rFonts w:hint="cs"/>
          <w:b/>
          <w:rtl/>
        </w:rPr>
        <w:t>חלקיה</w:t>
      </w:r>
      <w:r w:rsidRPr="0097239C">
        <w:rPr>
          <w:b/>
        </w:rPr>
        <w:t xml:space="preserve"> </w:t>
      </w:r>
      <w:r w:rsidRPr="0097239C">
        <w:rPr>
          <w:rFonts w:hint="cs"/>
          <w:b/>
          <w:rtl/>
        </w:rPr>
        <w:t>השונים,</w:t>
      </w:r>
      <w:r w:rsidRPr="0097239C">
        <w:rPr>
          <w:b/>
        </w:rPr>
        <w:t xml:space="preserve"> </w:t>
      </w:r>
      <w:r w:rsidRPr="0097239C">
        <w:rPr>
          <w:rFonts w:hint="cs"/>
          <w:b/>
          <w:rtl/>
        </w:rPr>
        <w:t>אשר משפיעים</w:t>
      </w:r>
      <w:r w:rsidRPr="0097239C">
        <w:rPr>
          <w:b/>
        </w:rPr>
        <w:t xml:space="preserve"> </w:t>
      </w:r>
      <w:r w:rsidRPr="0097239C">
        <w:rPr>
          <w:rFonts w:hint="cs"/>
          <w:b/>
          <w:rtl/>
        </w:rPr>
        <w:t>במישרין</w:t>
      </w:r>
      <w:r w:rsidRPr="0097239C">
        <w:rPr>
          <w:b/>
        </w:rPr>
        <w:t xml:space="preserve"> </w:t>
      </w:r>
      <w:r w:rsidRPr="0097239C">
        <w:rPr>
          <w:rFonts w:hint="cs"/>
          <w:b/>
          <w:rtl/>
        </w:rPr>
        <w:t>ובעקיפין</w:t>
      </w:r>
      <w:r w:rsidRPr="0097239C">
        <w:rPr>
          <w:b/>
        </w:rPr>
        <w:t xml:space="preserve"> </w:t>
      </w:r>
      <w:r w:rsidRPr="0097239C">
        <w:rPr>
          <w:rFonts w:hint="cs"/>
          <w:b/>
          <w:rtl/>
        </w:rPr>
        <w:t>על</w:t>
      </w:r>
      <w:r w:rsidRPr="0097239C">
        <w:rPr>
          <w:b/>
        </w:rPr>
        <w:t xml:space="preserve"> </w:t>
      </w:r>
      <w:r w:rsidRPr="0097239C">
        <w:rPr>
          <w:rFonts w:hint="cs"/>
          <w:b/>
          <w:rtl/>
        </w:rPr>
        <w:t>המאמץ</w:t>
      </w:r>
      <w:r w:rsidRPr="0097239C">
        <w:rPr>
          <w:b/>
        </w:rPr>
        <w:t xml:space="preserve"> </w:t>
      </w:r>
      <w:r w:rsidRPr="0097239C">
        <w:rPr>
          <w:rFonts w:hint="cs"/>
          <w:b/>
          <w:rtl/>
        </w:rPr>
        <w:t>להתמודד עם משבר</w:t>
      </w:r>
      <w:r w:rsidRPr="0097239C">
        <w:rPr>
          <w:b/>
        </w:rPr>
        <w:t xml:space="preserve"> </w:t>
      </w:r>
      <w:r w:rsidRPr="0097239C">
        <w:rPr>
          <w:rFonts w:hint="cs"/>
          <w:b/>
          <w:rtl/>
        </w:rPr>
        <w:t>האקלים</w:t>
      </w:r>
      <w:r w:rsidRPr="0097239C">
        <w:rPr>
          <w:b/>
        </w:rPr>
        <w:t xml:space="preserve"> </w:t>
      </w:r>
      <w:r w:rsidRPr="0097239C">
        <w:rPr>
          <w:rFonts w:hint="cs"/>
          <w:b/>
          <w:rtl/>
        </w:rPr>
        <w:t>באמצעות,</w:t>
      </w:r>
      <w:r w:rsidRPr="0097239C">
        <w:rPr>
          <w:b/>
        </w:rPr>
        <w:t xml:space="preserve"> </w:t>
      </w:r>
      <w:r w:rsidRPr="0097239C">
        <w:rPr>
          <w:rFonts w:hint="cs"/>
          <w:b/>
          <w:rtl/>
        </w:rPr>
        <w:t>בין</w:t>
      </w:r>
      <w:r w:rsidRPr="0097239C">
        <w:rPr>
          <w:b/>
        </w:rPr>
        <w:t xml:space="preserve"> </w:t>
      </w:r>
      <w:r w:rsidRPr="0097239C">
        <w:rPr>
          <w:rFonts w:hint="cs"/>
          <w:b/>
          <w:rtl/>
        </w:rPr>
        <w:t>השאר,</w:t>
      </w:r>
      <w:r w:rsidRPr="0097239C">
        <w:rPr>
          <w:b/>
        </w:rPr>
        <w:t xml:space="preserve"> </w:t>
      </w:r>
      <w:r w:rsidRPr="0097239C">
        <w:rPr>
          <w:rFonts w:hint="cs"/>
          <w:b/>
          <w:rtl/>
        </w:rPr>
        <w:t>הפחתת</w:t>
      </w:r>
      <w:r w:rsidRPr="0097239C">
        <w:rPr>
          <w:b/>
        </w:rPr>
        <w:t xml:space="preserve"> </w:t>
      </w:r>
      <w:r w:rsidRPr="0097239C">
        <w:rPr>
          <w:rFonts w:hint="cs"/>
          <w:b/>
          <w:rtl/>
        </w:rPr>
        <w:t>פליטות</w:t>
      </w:r>
      <w:r w:rsidRPr="0097239C">
        <w:rPr>
          <w:b/>
        </w:rPr>
        <w:t xml:space="preserve"> </w:t>
      </w:r>
      <w:r w:rsidRPr="0097239C">
        <w:rPr>
          <w:rFonts w:hint="cs"/>
          <w:b/>
          <w:rtl/>
        </w:rPr>
        <w:t>גזי</w:t>
      </w:r>
      <w:r w:rsidRPr="0097239C">
        <w:rPr>
          <w:b/>
        </w:rPr>
        <w:t xml:space="preserve"> </w:t>
      </w:r>
      <w:r w:rsidRPr="0097239C">
        <w:rPr>
          <w:rFonts w:hint="cs"/>
          <w:b/>
          <w:rtl/>
        </w:rPr>
        <w:t>חממה. על</w:t>
      </w:r>
      <w:r w:rsidRPr="0097239C">
        <w:rPr>
          <w:b/>
        </w:rPr>
        <w:t xml:space="preserve"> </w:t>
      </w:r>
      <w:r w:rsidRPr="0097239C">
        <w:rPr>
          <w:rFonts w:hint="cs"/>
          <w:b/>
          <w:rtl/>
        </w:rPr>
        <w:t>כן, הטיפול</w:t>
      </w:r>
      <w:r w:rsidRPr="0097239C">
        <w:rPr>
          <w:b/>
        </w:rPr>
        <w:t xml:space="preserve"> </w:t>
      </w:r>
      <w:r w:rsidRPr="0097239C">
        <w:rPr>
          <w:rFonts w:hint="cs"/>
          <w:b/>
          <w:rtl/>
        </w:rPr>
        <w:t>בהתייעלות אנרגטית</w:t>
      </w:r>
      <w:r w:rsidRPr="0097239C">
        <w:rPr>
          <w:b/>
        </w:rPr>
        <w:t xml:space="preserve"> </w:t>
      </w:r>
      <w:r w:rsidRPr="0097239C">
        <w:rPr>
          <w:rFonts w:hint="cs"/>
          <w:b/>
          <w:rtl/>
        </w:rPr>
        <w:t>צריך</w:t>
      </w:r>
      <w:r w:rsidRPr="0097239C">
        <w:rPr>
          <w:b/>
        </w:rPr>
        <w:t xml:space="preserve"> </w:t>
      </w:r>
      <w:r w:rsidRPr="0097239C">
        <w:rPr>
          <w:rFonts w:hint="cs"/>
          <w:b/>
          <w:rtl/>
        </w:rPr>
        <w:t>להיות</w:t>
      </w:r>
      <w:r w:rsidRPr="0097239C">
        <w:rPr>
          <w:b/>
        </w:rPr>
        <w:t xml:space="preserve"> </w:t>
      </w:r>
      <w:r w:rsidRPr="0097239C">
        <w:rPr>
          <w:rFonts w:hint="cs"/>
          <w:b/>
          <w:rtl/>
        </w:rPr>
        <w:t>משולב באסטרטגיה</w:t>
      </w:r>
      <w:r w:rsidRPr="0097239C">
        <w:rPr>
          <w:b/>
        </w:rPr>
        <w:t xml:space="preserve"> </w:t>
      </w:r>
      <w:r w:rsidRPr="0097239C">
        <w:rPr>
          <w:rFonts w:hint="cs"/>
          <w:b/>
          <w:rtl/>
        </w:rPr>
        <w:t>הלאומית</w:t>
      </w:r>
      <w:r w:rsidRPr="0097239C">
        <w:rPr>
          <w:b/>
        </w:rPr>
        <w:t xml:space="preserve"> </w:t>
      </w:r>
      <w:r w:rsidRPr="0097239C">
        <w:rPr>
          <w:rFonts w:hint="cs"/>
          <w:b/>
          <w:rtl/>
        </w:rPr>
        <w:t>להפחתת</w:t>
      </w:r>
      <w:r w:rsidRPr="0097239C">
        <w:rPr>
          <w:b/>
        </w:rPr>
        <w:t xml:space="preserve"> </w:t>
      </w:r>
      <w:r w:rsidRPr="0097239C">
        <w:rPr>
          <w:rFonts w:hint="cs"/>
          <w:b/>
          <w:rtl/>
        </w:rPr>
        <w:t>פליטות</w:t>
      </w:r>
      <w:r w:rsidRPr="0097239C">
        <w:rPr>
          <w:b/>
        </w:rPr>
        <w:t xml:space="preserve"> </w:t>
      </w:r>
      <w:r w:rsidRPr="0097239C">
        <w:rPr>
          <w:rFonts w:hint="cs"/>
          <w:b/>
          <w:rtl/>
        </w:rPr>
        <w:t>גזי</w:t>
      </w:r>
      <w:r w:rsidRPr="0097239C">
        <w:rPr>
          <w:b/>
        </w:rPr>
        <w:t xml:space="preserve"> </w:t>
      </w:r>
      <w:r w:rsidRPr="0097239C">
        <w:rPr>
          <w:rFonts w:hint="cs"/>
          <w:b/>
          <w:rtl/>
        </w:rPr>
        <w:t>החממה.</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eastAsia"/>
          <w:b/>
          <w:rtl/>
        </w:rPr>
        <w:t>אגף</w:t>
      </w:r>
      <w:r w:rsidRPr="0097239C">
        <w:rPr>
          <w:b/>
          <w:rtl/>
        </w:rPr>
        <w:t xml:space="preserve"> </w:t>
      </w:r>
      <w:r w:rsidRPr="0097239C">
        <w:rPr>
          <w:rFonts w:hint="eastAsia"/>
          <w:b/>
          <w:rtl/>
        </w:rPr>
        <w:t>התקציבים</w:t>
      </w:r>
      <w:r w:rsidRPr="0097239C">
        <w:rPr>
          <w:b/>
          <w:rtl/>
        </w:rPr>
        <w:t xml:space="preserve"> </w:t>
      </w:r>
      <w:r w:rsidRPr="0097239C">
        <w:rPr>
          <w:rFonts w:hint="eastAsia"/>
          <w:b/>
          <w:rtl/>
        </w:rPr>
        <w:t>במשרד</w:t>
      </w:r>
      <w:r w:rsidRPr="0097239C">
        <w:rPr>
          <w:b/>
          <w:rtl/>
        </w:rPr>
        <w:t xml:space="preserve"> </w:t>
      </w:r>
      <w:r w:rsidRPr="0097239C">
        <w:rPr>
          <w:rFonts w:hint="eastAsia"/>
          <w:b/>
          <w:rtl/>
        </w:rPr>
        <w:t>האוצר</w:t>
      </w:r>
      <w:r w:rsidRPr="0097239C">
        <w:rPr>
          <w:rFonts w:hint="cs"/>
          <w:b/>
          <w:rtl/>
        </w:rPr>
        <w:t xml:space="preserve"> (להלן - </w:t>
      </w:r>
      <w:r w:rsidRPr="0097239C">
        <w:rPr>
          <w:rFonts w:hint="cs"/>
          <w:b/>
          <w:rtl/>
        </w:rPr>
        <w:t>אג"ת</w:t>
      </w:r>
      <w:r w:rsidRPr="0097239C">
        <w:rPr>
          <w:rFonts w:hint="cs"/>
          <w:b/>
          <w:rtl/>
        </w:rPr>
        <w:t xml:space="preserve">) השיב למשרד מבקר המדינה במאי 2020, כי הוא רואה חשיבות רבה בקידום התייעלות אנרגטית, כיוון שהיא מאפשרת לצמצם את ייצור החשמל ולפיכך מובילה להגדלת ההכנסה הפנויה של האזרחים, לצמצום הקרקע התפוסה לתשתיות ולצמצום העלויות החיצוניות כתוצאה מזיהום. </w:t>
      </w:r>
    </w:p>
    <w:p w:rsidR="00735BA1" w:rsidRPr="0097239C" w:rsidP="00C603CF">
      <w:pPr>
        <w:spacing w:line="269" w:lineRule="auto"/>
        <w:rPr>
          <w:b/>
          <w:rtl/>
        </w:rPr>
      </w:pPr>
    </w:p>
    <w:p w:rsidR="0097239C" w:rsidRPr="0097239C" w:rsidP="00C603CF">
      <w:pPr>
        <w:pStyle w:val="Heading2"/>
        <w:spacing w:before="0" w:line="269" w:lineRule="auto"/>
        <w:rPr>
          <w:rtl/>
        </w:rPr>
      </w:pPr>
      <w:bookmarkStart w:id="3" w:name="_Toc46906219"/>
      <w:r w:rsidRPr="0097239C">
        <w:rPr>
          <w:rFonts w:hint="cs"/>
          <w:rtl/>
        </w:rPr>
        <w:t>תוכניות</w:t>
      </w:r>
      <w:r w:rsidRPr="0097239C">
        <w:rPr>
          <w:rFonts w:hint="cs"/>
          <w:rtl/>
        </w:rPr>
        <w:t xml:space="preserve"> להפחתת פליטות גזי חממה והתייעלות אנרגטית</w:t>
      </w:r>
      <w:bookmarkEnd w:id="3"/>
      <w:r w:rsidRPr="0097239C">
        <w:rPr>
          <w:rFonts w:hint="cs"/>
          <w:rtl/>
        </w:rPr>
        <w:t xml:space="preserve"> </w:t>
      </w:r>
    </w:p>
    <w:p w:rsidR="0097239C" w:rsidRPr="0097239C" w:rsidP="00C603CF">
      <w:pPr>
        <w:pStyle w:val="a"/>
        <w:spacing w:line="269" w:lineRule="auto"/>
        <w:rPr>
          <w:rtl/>
        </w:rPr>
      </w:pPr>
    </w:p>
    <w:p w:rsidR="0097239C" w:rsidRPr="0097239C" w:rsidP="002C6AAF">
      <w:pPr>
        <w:spacing w:line="269" w:lineRule="auto"/>
        <w:rPr>
          <w:b/>
          <w:rtl/>
        </w:rPr>
      </w:pPr>
      <w:r w:rsidRPr="0097239C">
        <w:rPr>
          <w:rFonts w:hint="cs"/>
          <w:b/>
          <w:rtl/>
        </w:rPr>
        <w:t>אמנת האקלים -</w:t>
      </w:r>
      <w:r w:rsidRPr="002C6AAF" w:rsidR="002C6AAF">
        <w:rPr>
          <w:bCs/>
        </w:rPr>
        <w:t>UNFCCC</w:t>
      </w:r>
      <w:r>
        <w:rPr>
          <w:bCs/>
          <w:vertAlign w:val="superscript"/>
        </w:rPr>
        <w:footnoteReference w:id="30"/>
      </w:r>
      <w:r w:rsidR="002C6AAF">
        <w:rPr>
          <w:bCs/>
        </w:rPr>
        <w:t xml:space="preserve"> </w:t>
      </w:r>
      <w:r w:rsidR="002C6AAF">
        <w:rPr>
          <w:rFonts w:hint="cs"/>
          <w:b/>
          <w:rtl/>
        </w:rPr>
        <w:t xml:space="preserve"> </w:t>
      </w:r>
      <w:r w:rsidRPr="0097239C">
        <w:rPr>
          <w:rFonts w:hint="cs"/>
          <w:b/>
          <w:rtl/>
        </w:rPr>
        <w:t xml:space="preserve">משנת 1992 גובשה כדי להביא לידי ייצוב של ריכוז גזי החממה באטמוספרה לרמה שאינה מסכנת את מערכת האקלים העולמית, וכדי לאפשר התמודדות עם השפעות שינויי האקלים. ממשלת ישראל החלה אף היא להיערך להפחתת פליטות גזי החממה. בשנת 1996 אישרה הממשלה אמנה זו, ובשנת 2004 אשררה הממשלה את פרוטוקול </w:t>
      </w:r>
      <w:r w:rsidRPr="0097239C">
        <w:rPr>
          <w:rFonts w:hint="cs"/>
          <w:b/>
          <w:rtl/>
        </w:rPr>
        <w:t>קיוטו</w:t>
      </w:r>
      <w:r>
        <w:rPr>
          <w:b/>
          <w:vertAlign w:val="superscript"/>
          <w:rtl/>
        </w:rPr>
        <w:footnoteReference w:id="31"/>
      </w:r>
      <w:r w:rsidRPr="0097239C">
        <w:rPr>
          <w:rFonts w:hint="cs"/>
          <w:b/>
          <w:rtl/>
        </w:rPr>
        <w:t xml:space="preserve">, שהטיל על המדינות המפותחות מכסות להפחתת פליטות </w:t>
      </w:r>
      <w:r w:rsidRPr="0097239C">
        <w:rPr>
          <w:rFonts w:hint="cs"/>
          <w:b/>
          <w:rtl/>
        </w:rPr>
        <w:t>גז</w:t>
      </w:r>
      <w:r w:rsidRPr="0097239C">
        <w:rPr>
          <w:b/>
          <w:rtl/>
        </w:rPr>
        <w:t>"</w:t>
      </w:r>
      <w:r w:rsidRPr="0097239C">
        <w:rPr>
          <w:rFonts w:hint="cs"/>
          <w:b/>
          <w:rtl/>
        </w:rPr>
        <w:t>ח</w:t>
      </w:r>
      <w:r w:rsidRPr="0097239C">
        <w:rPr>
          <w:rFonts w:hint="cs"/>
          <w:b/>
          <w:rtl/>
        </w:rPr>
        <w:t>. ישראל נחשבה למדינה מתפתחת, ולא חלו עליה הדרישות להפחתה</w:t>
      </w:r>
      <w:r>
        <w:rPr>
          <w:b/>
          <w:vertAlign w:val="superscript"/>
          <w:rtl/>
        </w:rPr>
        <w:footnoteReference w:id="32"/>
      </w:r>
      <w:r w:rsidRPr="0097239C">
        <w:rPr>
          <w:rFonts w:hint="cs"/>
          <w:b/>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עם זאת, מדינת ישראל הכירה באחריותה לצמצם את פליטות גזי החממה. לשם כך החליטה לנקוט כמה צעדים, ובהם הפחתת הביקוש </w:t>
      </w:r>
      <w:r w:rsidRPr="0097239C">
        <w:rPr>
          <w:rFonts w:hint="cs"/>
          <w:rtl/>
        </w:rPr>
        <w:t>לאנרגייה</w:t>
      </w:r>
      <w:r w:rsidRPr="0097239C">
        <w:rPr>
          <w:rFonts w:hint="cs"/>
          <w:rtl/>
        </w:rPr>
        <w:t xml:space="preserve"> והתייעלות בצריכתה. נושא ההתייעלות האנרגטית נידון בחוק משק החשמל, התשנ"ו-1996 (להלן - חוק משק החשמל), ובו נקבע כי מטרתו </w:t>
      </w:r>
      <w:r w:rsidRPr="0097239C">
        <w:rPr>
          <w:rFonts w:hint="cs"/>
          <w:rtl/>
        </w:rPr>
        <w:t xml:space="preserve">של החוק היא להסדיר את הפעילות במשק החשמל לטובת הציבור תוך הבטחת אמינות, זמינות, איכות, יעילות והתייעלות אנרגטית, והכול תוך יצירת תנאים לתחרות ומזעור עלויות. הבסיס לפעילות הממשלתית להתייעלות אנרגטית מוסדר בחוק מקורות </w:t>
      </w:r>
      <w:r w:rsidRPr="0097239C">
        <w:rPr>
          <w:rFonts w:hint="cs"/>
          <w:rtl/>
        </w:rPr>
        <w:t>אנרגייה</w:t>
      </w:r>
      <w:r w:rsidRPr="0097239C">
        <w:rPr>
          <w:rFonts w:hint="cs"/>
          <w:rtl/>
        </w:rPr>
        <w:t>, שמטרתו לאפשר</w:t>
      </w:r>
      <w:r w:rsidRPr="0097239C">
        <w:t xml:space="preserve"> </w:t>
      </w:r>
      <w:r w:rsidRPr="0097239C">
        <w:rPr>
          <w:rFonts w:hint="cs"/>
          <w:rtl/>
        </w:rPr>
        <w:t>הסדרה</w:t>
      </w:r>
      <w:r w:rsidRPr="0097239C">
        <w:t xml:space="preserve"> </w:t>
      </w:r>
      <w:r w:rsidRPr="0097239C">
        <w:rPr>
          <w:rFonts w:hint="cs"/>
          <w:rtl/>
        </w:rPr>
        <w:t>של</w:t>
      </w:r>
      <w:r w:rsidRPr="0097239C">
        <w:t xml:space="preserve"> </w:t>
      </w:r>
      <w:r w:rsidRPr="0097239C">
        <w:rPr>
          <w:rFonts w:hint="cs"/>
          <w:rtl/>
        </w:rPr>
        <w:t>ניצול</w:t>
      </w:r>
      <w:r w:rsidRPr="0097239C">
        <w:t xml:space="preserve"> </w:t>
      </w:r>
      <w:r w:rsidRPr="0097239C">
        <w:rPr>
          <w:rFonts w:hint="cs"/>
          <w:rtl/>
        </w:rPr>
        <w:t>מקורות</w:t>
      </w:r>
      <w:r w:rsidRPr="0097239C">
        <w:t xml:space="preserve"> </w:t>
      </w:r>
      <w:r w:rsidRPr="0097239C">
        <w:rPr>
          <w:rFonts w:hint="cs"/>
          <w:rtl/>
        </w:rPr>
        <w:t>האנרגייה</w:t>
      </w:r>
      <w:r w:rsidRPr="0097239C">
        <w:rPr>
          <w:rFonts w:hint="cs"/>
          <w:rtl/>
        </w:rPr>
        <w:t>,</w:t>
      </w:r>
      <w:r w:rsidRPr="0097239C">
        <w:t xml:space="preserve"> </w:t>
      </w:r>
      <w:r w:rsidRPr="0097239C">
        <w:rPr>
          <w:rFonts w:hint="cs"/>
          <w:rtl/>
        </w:rPr>
        <w:t>להקצותם</w:t>
      </w:r>
      <w:r w:rsidRPr="0097239C">
        <w:t xml:space="preserve"> </w:t>
      </w:r>
      <w:r w:rsidRPr="0097239C">
        <w:rPr>
          <w:rFonts w:hint="cs"/>
          <w:rtl/>
        </w:rPr>
        <w:t>בהתאם</w:t>
      </w:r>
      <w:r w:rsidRPr="0097239C">
        <w:t xml:space="preserve"> </w:t>
      </w:r>
      <w:r w:rsidRPr="0097239C">
        <w:rPr>
          <w:rFonts w:hint="cs"/>
          <w:rtl/>
        </w:rPr>
        <w:t>לצורכי</w:t>
      </w:r>
      <w:r w:rsidRPr="0097239C">
        <w:t xml:space="preserve"> </w:t>
      </w:r>
      <w:r w:rsidRPr="0097239C">
        <w:rPr>
          <w:rFonts w:hint="cs"/>
          <w:rtl/>
        </w:rPr>
        <w:t>המשק השונים ולהשתמש</w:t>
      </w:r>
      <w:r w:rsidRPr="0097239C">
        <w:t xml:space="preserve"> </w:t>
      </w:r>
      <w:r w:rsidRPr="0097239C">
        <w:rPr>
          <w:rFonts w:hint="cs"/>
          <w:rtl/>
        </w:rPr>
        <w:t>בהם</w:t>
      </w:r>
      <w:r w:rsidRPr="0097239C">
        <w:t xml:space="preserve"> </w:t>
      </w:r>
      <w:r w:rsidRPr="0097239C">
        <w:rPr>
          <w:rFonts w:hint="cs"/>
          <w:rtl/>
        </w:rPr>
        <w:t>ביעילות</w:t>
      </w:r>
      <w:r w:rsidRPr="0097239C">
        <w:t xml:space="preserve"> </w:t>
      </w:r>
      <w:r w:rsidRPr="0097239C">
        <w:rPr>
          <w:rFonts w:hint="cs"/>
          <w:rtl/>
        </w:rPr>
        <w:t>ובחסכנות; בתקנות שהותקנו מכוח חוק זה</w:t>
      </w:r>
      <w:r>
        <w:rPr>
          <w:vertAlign w:val="superscript"/>
          <w:rtl/>
        </w:rPr>
        <w:footnoteReference w:id="33"/>
      </w:r>
      <w:r w:rsidRPr="0097239C">
        <w:rPr>
          <w:rFonts w:hint="cs"/>
          <w:rtl/>
        </w:rPr>
        <w:t xml:space="preserve"> ומהחלטות ממשלה שהתקבלו בנושא</w:t>
      </w:r>
      <w:r>
        <w:rPr>
          <w:vertAlign w:val="superscript"/>
          <w:rtl/>
        </w:rPr>
        <w:footnoteReference w:id="34"/>
      </w:r>
      <w:r w:rsidRPr="0097239C">
        <w:rPr>
          <w:rFonts w:hint="cs"/>
          <w:rtl/>
        </w:rPr>
        <w:t>, בהן חמש החלטות ממשלה עיקריות שהתקבלו בשנים 2010 - 2017 ובתוכניות שונות שאישרה הממשלה. להלן תובא סקירה של החלטות הממשלה העיקריות בתחום.</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על רקע ועידת האו"ם בקופנהגן</w:t>
      </w:r>
      <w:r>
        <w:rPr>
          <w:b/>
          <w:vertAlign w:val="superscript"/>
          <w:rtl/>
        </w:rPr>
        <w:footnoteReference w:id="35"/>
      </w:r>
      <w:r w:rsidRPr="0097239C">
        <w:rPr>
          <w:rFonts w:hint="cs"/>
          <w:b/>
          <w:rtl/>
        </w:rPr>
        <w:t xml:space="preserve"> החליטה הממשלה</w:t>
      </w:r>
      <w:r>
        <w:rPr>
          <w:b/>
          <w:vertAlign w:val="superscript"/>
          <w:rtl/>
        </w:rPr>
        <w:footnoteReference w:id="36"/>
      </w:r>
      <w:r w:rsidRPr="0097239C">
        <w:rPr>
          <w:rFonts w:hint="cs"/>
          <w:b/>
          <w:rtl/>
        </w:rPr>
        <w:t xml:space="preserve"> בפברואר 2008 על "גיבוש צעדים להתייעלות אנרגטית - צמצום צריכת החשמל". בהחלטתה האמורה</w:t>
      </w:r>
      <w:r w:rsidRPr="0097239C">
        <w:rPr>
          <w:rFonts w:hint="cs"/>
          <w:b/>
        </w:rPr>
        <w:t xml:space="preserve"> </w:t>
      </w:r>
      <w:r w:rsidRPr="0097239C">
        <w:rPr>
          <w:rFonts w:hint="cs"/>
          <w:b/>
          <w:rtl/>
        </w:rPr>
        <w:t xml:space="preserve">נקבע יעד מנחה לצמצום צריכת החשמל במשק בשיעור של 20% לפחות מצריכת החשמל הצפויה בשנת 2020. ביולי 2010 פרסם משרד </w:t>
      </w:r>
      <w:r w:rsidRPr="0097239C">
        <w:rPr>
          <w:rFonts w:hint="cs"/>
          <w:b/>
          <w:rtl/>
        </w:rPr>
        <w:t>האנרגייה</w:t>
      </w:r>
      <w:r w:rsidRPr="0097239C">
        <w:rPr>
          <w:rFonts w:hint="cs"/>
          <w:b/>
          <w:rtl/>
        </w:rPr>
        <w:t xml:space="preserve"> את "התכנית הלאומית להתייעלות אנרגטית, צמצום צריכת החשמל 2010 - 2020".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במאי 2013 החליטה הממשלה</w:t>
      </w:r>
      <w:r>
        <w:rPr>
          <w:b/>
          <w:vertAlign w:val="superscript"/>
          <w:rtl/>
        </w:rPr>
        <w:footnoteReference w:id="37"/>
      </w:r>
      <w:r w:rsidRPr="0097239C">
        <w:rPr>
          <w:rFonts w:hint="cs"/>
          <w:b/>
          <w:rtl/>
        </w:rPr>
        <w:t xml:space="preserve"> לדחות את יישום התוכנית להפחתת פליטות </w:t>
      </w:r>
      <w:r w:rsidRPr="0097239C">
        <w:rPr>
          <w:rFonts w:hint="cs"/>
          <w:b/>
          <w:rtl/>
        </w:rPr>
        <w:t>גז</w:t>
      </w:r>
      <w:r w:rsidRPr="0097239C">
        <w:rPr>
          <w:b/>
          <w:rtl/>
        </w:rPr>
        <w:t>"</w:t>
      </w:r>
      <w:r w:rsidRPr="0097239C">
        <w:rPr>
          <w:rFonts w:hint="cs"/>
          <w:b/>
          <w:rtl/>
        </w:rPr>
        <w:t>ח</w:t>
      </w:r>
      <w:r w:rsidRPr="0097239C">
        <w:rPr>
          <w:rFonts w:hint="cs"/>
          <w:b/>
          <w:rtl/>
        </w:rPr>
        <w:t xml:space="preserve"> בשלוש שנים - לשנים 2016 - 2023. באוגוסט 2015 החליטה הממשלה</w:t>
      </w:r>
      <w:r>
        <w:rPr>
          <w:b/>
          <w:vertAlign w:val="superscript"/>
          <w:rtl/>
        </w:rPr>
        <w:footnoteReference w:id="38"/>
      </w:r>
      <w:r w:rsidRPr="0097239C">
        <w:rPr>
          <w:rFonts w:hint="cs"/>
          <w:b/>
          <w:rtl/>
        </w:rPr>
        <w:t xml:space="preserve"> לבטל את יישומה של התוכנית ולהטיל על השר </w:t>
      </w:r>
      <w:r w:rsidRPr="0097239C">
        <w:rPr>
          <w:rFonts w:hint="cs"/>
          <w:b/>
          <w:rtl/>
        </w:rPr>
        <w:t>להג"ס</w:t>
      </w:r>
      <w:r w:rsidRPr="0097239C">
        <w:rPr>
          <w:rFonts w:hint="cs"/>
          <w:b/>
          <w:rtl/>
        </w:rPr>
        <w:t xml:space="preserve">, שר </w:t>
      </w:r>
      <w:r w:rsidRPr="0097239C">
        <w:rPr>
          <w:rFonts w:hint="cs"/>
          <w:b/>
          <w:rtl/>
        </w:rPr>
        <w:t>האנרגייה</w:t>
      </w:r>
      <w:r w:rsidRPr="0097239C">
        <w:rPr>
          <w:rFonts w:hint="cs"/>
          <w:b/>
          <w:rtl/>
        </w:rPr>
        <w:t xml:space="preserve"> ושר האוצר להגיש לממשלה </w:t>
      </w:r>
      <w:r w:rsidRPr="0097239C">
        <w:rPr>
          <w:rFonts w:hint="cs"/>
          <w:b/>
          <w:rtl/>
        </w:rPr>
        <w:t>תוכנית</w:t>
      </w:r>
      <w:r w:rsidRPr="0097239C">
        <w:rPr>
          <w:rFonts w:hint="cs"/>
          <w:b/>
          <w:rtl/>
        </w:rPr>
        <w:t xml:space="preserve"> חלופית לקראת דיוני ועידת האקלים בפריז בסוף שנת 2015.</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לקראת הסכם פריז קבעה הממשלה בספטמבר 2015</w:t>
      </w:r>
      <w:r>
        <w:rPr>
          <w:b/>
          <w:vertAlign w:val="superscript"/>
          <w:rtl/>
        </w:rPr>
        <w:footnoteReference w:id="39"/>
      </w:r>
      <w:r w:rsidRPr="0097239C">
        <w:rPr>
          <w:rFonts w:hint="cs"/>
          <w:b/>
          <w:rtl/>
        </w:rPr>
        <w:t xml:space="preserve"> (להלן - החלטת הממשלה מספטמבר 2015) יעד לאומי, ולפיו פליטת </w:t>
      </w:r>
      <w:r w:rsidRPr="0097239C">
        <w:rPr>
          <w:rFonts w:hint="cs"/>
          <w:b/>
          <w:rtl/>
        </w:rPr>
        <w:t>גז</w:t>
      </w:r>
      <w:r w:rsidRPr="0097239C">
        <w:rPr>
          <w:b/>
          <w:rtl/>
        </w:rPr>
        <w:t>"</w:t>
      </w:r>
      <w:r w:rsidRPr="0097239C">
        <w:rPr>
          <w:rFonts w:hint="cs"/>
          <w:b/>
          <w:rtl/>
        </w:rPr>
        <w:t>ח</w:t>
      </w:r>
      <w:r w:rsidRPr="0097239C">
        <w:rPr>
          <w:rFonts w:hint="cs"/>
          <w:b/>
          <w:rtl/>
        </w:rPr>
        <w:t xml:space="preserve"> לנפש בשנת 2025 תהיה 8.8 טונות, ופליטת </w:t>
      </w:r>
      <w:r w:rsidRPr="0097239C">
        <w:rPr>
          <w:rFonts w:hint="cs"/>
          <w:b/>
          <w:rtl/>
        </w:rPr>
        <w:t>גז</w:t>
      </w:r>
      <w:r w:rsidRPr="0097239C">
        <w:rPr>
          <w:b/>
          <w:rtl/>
        </w:rPr>
        <w:t>"</w:t>
      </w:r>
      <w:r w:rsidRPr="0097239C">
        <w:rPr>
          <w:rFonts w:hint="cs"/>
          <w:b/>
          <w:rtl/>
        </w:rPr>
        <w:t>ח</w:t>
      </w:r>
      <w:r w:rsidRPr="0097239C">
        <w:rPr>
          <w:rFonts w:hint="cs"/>
          <w:b/>
          <w:rtl/>
        </w:rPr>
        <w:t xml:space="preserve"> לנפש בשנת 2030 תהיה 7.7 טונות. לשם עמידה ביעדים אלו יידרש המשק להפחית עד שנת 2030 כ-24.5 מיליון טונות </w:t>
      </w:r>
      <w:r w:rsidRPr="0097239C">
        <w:rPr>
          <w:rFonts w:hint="cs"/>
          <w:b/>
          <w:rtl/>
        </w:rPr>
        <w:t>גז</w:t>
      </w:r>
      <w:r w:rsidRPr="0097239C">
        <w:rPr>
          <w:b/>
          <w:rtl/>
        </w:rPr>
        <w:t>"</w:t>
      </w:r>
      <w:r w:rsidRPr="0097239C">
        <w:rPr>
          <w:rFonts w:hint="cs"/>
          <w:b/>
          <w:rtl/>
        </w:rPr>
        <w:t>ח</w:t>
      </w:r>
      <w:r w:rsidRPr="0097239C">
        <w:rPr>
          <w:rFonts w:hint="cs"/>
          <w:b/>
          <w:rtl/>
        </w:rPr>
        <w:t xml:space="preserve"> יחסית לפליטות הצפויות לפי תרחיש "עסקים כרגיל"</w:t>
      </w:r>
      <w:r>
        <w:rPr>
          <w:b/>
          <w:vertAlign w:val="superscript"/>
          <w:rtl/>
        </w:rPr>
        <w:footnoteReference w:id="40"/>
      </w:r>
      <w:r w:rsidRPr="0097239C">
        <w:rPr>
          <w:rFonts w:hint="cs"/>
          <w:b/>
          <w:rtl/>
        </w:rPr>
        <w:t>.</w:t>
      </w:r>
      <w:r w:rsidRPr="0097239C">
        <w:rPr>
          <w:rFonts w:hint="cs"/>
          <w:bCs/>
          <w:rtl/>
        </w:rPr>
        <w:t xml:space="preserve"> </w:t>
      </w:r>
      <w:r w:rsidRPr="0097239C">
        <w:rPr>
          <w:rFonts w:hint="cs"/>
          <w:b/>
          <w:rtl/>
        </w:rPr>
        <w:t xml:space="preserve">היעד האמור משמעו הפחתה של 26% בפליטות </w:t>
      </w:r>
      <w:r w:rsidRPr="0097239C">
        <w:rPr>
          <w:rFonts w:hint="cs"/>
          <w:b/>
          <w:rtl/>
        </w:rPr>
        <w:t>גז</w:t>
      </w:r>
      <w:r w:rsidRPr="0097239C">
        <w:rPr>
          <w:b/>
          <w:rtl/>
        </w:rPr>
        <w:t>"</w:t>
      </w:r>
      <w:r w:rsidRPr="0097239C">
        <w:rPr>
          <w:rFonts w:hint="cs"/>
          <w:b/>
          <w:rtl/>
        </w:rPr>
        <w:t>ח</w:t>
      </w:r>
      <w:r w:rsidRPr="0097239C">
        <w:rPr>
          <w:rFonts w:hint="cs"/>
          <w:b/>
          <w:rtl/>
        </w:rPr>
        <w:t xml:space="preserve"> לנפש יחסית לשנת 2005, ולמעשה משתמע מכך גידול של 12.5% בשיעור הפליטות בין שנת 2005 (שבה נפלטו 72 מיליון טונות) לשנת היעד 2030 (שבה צפויות הפליטות להסתכם ב-81 מיליון טונות)</w:t>
      </w:r>
      <w:r>
        <w:rPr>
          <w:b/>
          <w:vertAlign w:val="superscript"/>
          <w:rtl/>
        </w:rPr>
        <w:footnoteReference w:id="41"/>
      </w:r>
      <w:r w:rsidRPr="0097239C">
        <w:rPr>
          <w:rFonts w:hint="cs"/>
          <w:b/>
          <w:rtl/>
        </w:rPr>
        <w:t>, וגידול של 203% בשיעור הפליטות לעומת שנת 1990. להלן יוצגו היעדים להפחתת הפליטות שקבעה מדינת ישראל לעומת יעדי הפחתת הפליטות במדינות אחרות.</w:t>
      </w:r>
    </w:p>
    <w:p w:rsidR="009F2885">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9F2885">
      <w:pPr>
        <w:spacing w:line="269" w:lineRule="auto"/>
        <w:jc w:val="center"/>
        <w:rPr>
          <w:bCs/>
          <w:rtl/>
        </w:rPr>
      </w:pPr>
      <w:r w:rsidRPr="0097239C">
        <w:rPr>
          <w:rFonts w:hint="eastAsia"/>
          <w:bCs/>
          <w:rtl/>
        </w:rPr>
        <w:t>תרשים</w:t>
      </w:r>
      <w:r w:rsidRPr="0097239C">
        <w:rPr>
          <w:bCs/>
          <w:rtl/>
        </w:rPr>
        <w:t xml:space="preserve"> </w:t>
      </w:r>
      <w:r w:rsidRPr="0097239C">
        <w:rPr>
          <w:rFonts w:hint="cs"/>
          <w:bCs/>
          <w:rtl/>
        </w:rPr>
        <w:t>6</w:t>
      </w:r>
      <w:r w:rsidRPr="0097239C">
        <w:rPr>
          <w:bCs/>
          <w:rtl/>
        </w:rPr>
        <w:t xml:space="preserve">: </w:t>
      </w:r>
      <w:r w:rsidRPr="0097239C">
        <w:rPr>
          <w:rFonts w:hint="eastAsia"/>
          <w:bCs/>
          <w:rtl/>
        </w:rPr>
        <w:t>יעדי</w:t>
      </w:r>
      <w:r w:rsidRPr="0097239C">
        <w:rPr>
          <w:bCs/>
          <w:rtl/>
        </w:rPr>
        <w:t xml:space="preserve"> </w:t>
      </w:r>
      <w:r w:rsidRPr="0097239C">
        <w:rPr>
          <w:rFonts w:hint="eastAsia"/>
          <w:bCs/>
          <w:rtl/>
        </w:rPr>
        <w:t>הפחתת</w:t>
      </w:r>
      <w:r w:rsidRPr="0097239C">
        <w:rPr>
          <w:bCs/>
          <w:rtl/>
        </w:rPr>
        <w:t xml:space="preserve"> </w:t>
      </w:r>
      <w:r w:rsidRPr="0097239C">
        <w:rPr>
          <w:rFonts w:hint="eastAsia"/>
          <w:bCs/>
          <w:rtl/>
        </w:rPr>
        <w:t>הפליטות</w:t>
      </w:r>
      <w:r w:rsidRPr="0097239C">
        <w:rPr>
          <w:bCs/>
          <w:rtl/>
        </w:rPr>
        <w:t xml:space="preserve"> </w:t>
      </w:r>
      <w:r w:rsidRPr="0097239C">
        <w:rPr>
          <w:rFonts w:hint="eastAsia"/>
          <w:bCs/>
          <w:rtl/>
        </w:rPr>
        <w:t>בישראל</w:t>
      </w:r>
      <w:r w:rsidRPr="0097239C">
        <w:rPr>
          <w:bCs/>
          <w:rtl/>
        </w:rPr>
        <w:t xml:space="preserve"> </w:t>
      </w:r>
      <w:r w:rsidRPr="0097239C">
        <w:rPr>
          <w:rFonts w:hint="eastAsia"/>
          <w:bCs/>
          <w:rtl/>
        </w:rPr>
        <w:t>לעומת</w:t>
      </w:r>
      <w:r w:rsidRPr="0097239C">
        <w:rPr>
          <w:bCs/>
          <w:rtl/>
        </w:rPr>
        <w:t xml:space="preserve"> </w:t>
      </w:r>
      <w:r w:rsidRPr="0097239C">
        <w:rPr>
          <w:rFonts w:hint="cs"/>
          <w:bCs/>
          <w:rtl/>
        </w:rPr>
        <w:t>היעדים שנקבעו ב</w:t>
      </w:r>
      <w:r w:rsidRPr="0097239C">
        <w:rPr>
          <w:bCs/>
          <w:rtl/>
        </w:rPr>
        <w:t>תרחיש "</w:t>
      </w:r>
      <w:r w:rsidRPr="0097239C">
        <w:rPr>
          <w:rFonts w:hint="eastAsia"/>
          <w:bCs/>
          <w:rtl/>
        </w:rPr>
        <w:t>עסקים</w:t>
      </w:r>
      <w:r w:rsidRPr="0097239C">
        <w:rPr>
          <w:bCs/>
          <w:rtl/>
        </w:rPr>
        <w:t xml:space="preserve"> </w:t>
      </w:r>
      <w:r w:rsidRPr="0097239C">
        <w:rPr>
          <w:rFonts w:hint="eastAsia"/>
          <w:bCs/>
          <w:rtl/>
        </w:rPr>
        <w:t>כרגיל</w:t>
      </w:r>
      <w:r w:rsidRPr="0097239C">
        <w:rPr>
          <w:bCs/>
          <w:rtl/>
        </w:rPr>
        <w:t xml:space="preserve">", </w:t>
      </w:r>
      <w:r w:rsidRPr="0097239C">
        <w:rPr>
          <w:rFonts w:hint="eastAsia"/>
          <w:bCs/>
          <w:rtl/>
        </w:rPr>
        <w:t>ו</w:t>
      </w:r>
      <w:r w:rsidRPr="0097239C">
        <w:rPr>
          <w:rFonts w:hint="cs"/>
          <w:bCs/>
          <w:rtl/>
        </w:rPr>
        <w:t>כן לעומת יעדי הפחתת פליטות</w:t>
      </w:r>
      <w:r w:rsidRPr="0097239C">
        <w:rPr>
          <w:bCs/>
          <w:rtl/>
        </w:rPr>
        <w:t xml:space="preserve"> </w:t>
      </w:r>
      <w:r w:rsidRPr="0097239C">
        <w:rPr>
          <w:rFonts w:hint="eastAsia"/>
          <w:bCs/>
          <w:rtl/>
        </w:rPr>
        <w:t>במדינות</w:t>
      </w:r>
      <w:r w:rsidRPr="0097239C">
        <w:rPr>
          <w:bCs/>
          <w:rtl/>
        </w:rPr>
        <w:t xml:space="preserve"> </w:t>
      </w:r>
      <w:r w:rsidRPr="0097239C">
        <w:rPr>
          <w:rFonts w:hint="eastAsia"/>
          <w:bCs/>
          <w:rtl/>
        </w:rPr>
        <w:t>נבחרות</w:t>
      </w:r>
      <w:r w:rsidRPr="0097239C">
        <w:rPr>
          <w:rFonts w:hint="cs"/>
          <w:bCs/>
          <w:rtl/>
        </w:rPr>
        <w:t>*</w:t>
      </w:r>
    </w:p>
    <w:p w:rsidR="0097239C" w:rsidRPr="0097239C" w:rsidP="00F82CCB">
      <w:pPr>
        <w:spacing w:before="240" w:after="240" w:line="269" w:lineRule="auto"/>
        <w:jc w:val="center"/>
        <w:rPr>
          <w:b/>
          <w:rtl/>
        </w:rPr>
      </w:pPr>
      <w:r>
        <w:rPr>
          <w:b/>
          <w:noProof/>
          <w:rtl/>
        </w:rPr>
        <w:drawing>
          <wp:inline distT="0" distB="0" distL="0" distR="0">
            <wp:extent cx="4320000" cy="2289104"/>
            <wp:effectExtent l="0" t="0" r="444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62236" name="gra-6.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289104"/>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המקור: המועצה הלאומית לכלכלה (דצמבר 2015).</w:t>
      </w:r>
    </w:p>
    <w:p w:rsidR="0097239C" w:rsidRPr="00810E1E" w:rsidP="00F82CCB">
      <w:pPr>
        <w:spacing w:before="120" w:line="269" w:lineRule="auto"/>
        <w:rPr>
          <w:sz w:val="22"/>
          <w:szCs w:val="22"/>
          <w:rtl/>
        </w:rPr>
      </w:pPr>
      <w:r w:rsidRPr="00810E1E">
        <w:rPr>
          <w:rFonts w:hint="cs"/>
          <w:sz w:val="22"/>
          <w:szCs w:val="22"/>
          <w:rtl/>
        </w:rPr>
        <w:t>* היעד של מדינת ישראל לשנת 2030 משקף גידול של 203% בפליטות לנפש לעומת שנת 1990. זאת לעומת התרחיש של "עסקים כרגיל", שבו הגידול בפליטות לנפש היה צפוי להגיע ל-263% (הקו האדום בתרשים).</w:t>
      </w:r>
    </w:p>
    <w:p w:rsidR="00F82CCB" w:rsidP="003A6DD0">
      <w:pPr>
        <w:spacing w:before="60" w:line="269" w:lineRule="auto"/>
        <w:rPr>
          <w:sz w:val="22"/>
          <w:szCs w:val="22"/>
          <w:rtl/>
        </w:rPr>
      </w:pPr>
      <w:r w:rsidRPr="00810E1E">
        <w:rPr>
          <w:rFonts w:hint="cs"/>
          <w:sz w:val="22"/>
          <w:szCs w:val="22"/>
          <w:rtl/>
        </w:rPr>
        <w:t>** הממוצע כולל את מדינות ה-</w:t>
      </w:r>
      <w:r w:rsidRPr="00810E1E">
        <w:rPr>
          <w:rFonts w:hint="cs"/>
          <w:sz w:val="22"/>
          <w:szCs w:val="22"/>
        </w:rPr>
        <w:t>OECD</w:t>
      </w:r>
      <w:r w:rsidRPr="00810E1E">
        <w:rPr>
          <w:rFonts w:hint="cs"/>
          <w:sz w:val="22"/>
          <w:szCs w:val="22"/>
          <w:rtl/>
        </w:rPr>
        <w:t>, רוסיה ומדינות באיחוד האירופ</w:t>
      </w:r>
      <w:r w:rsidRPr="00810E1E">
        <w:rPr>
          <w:rFonts w:hint="eastAsia"/>
          <w:sz w:val="22"/>
          <w:szCs w:val="22"/>
          <w:rtl/>
        </w:rPr>
        <w:t>י</w:t>
      </w:r>
      <w:r w:rsidRPr="00810E1E">
        <w:rPr>
          <w:rFonts w:hint="cs"/>
          <w:sz w:val="22"/>
          <w:szCs w:val="22"/>
          <w:rtl/>
        </w:rPr>
        <w:t xml:space="preserve"> שאינן חברות ב-</w:t>
      </w:r>
      <w:r w:rsidRPr="00810E1E">
        <w:rPr>
          <w:rFonts w:hint="cs"/>
          <w:sz w:val="22"/>
          <w:szCs w:val="22"/>
        </w:rPr>
        <w:t>OECD</w:t>
      </w:r>
      <w:r w:rsidRPr="00810E1E">
        <w:rPr>
          <w:rFonts w:hint="cs"/>
          <w:sz w:val="22"/>
          <w:szCs w:val="22"/>
          <w:rtl/>
        </w:rPr>
        <w:t>, ואינו כולל את מדינת ישראל.</w:t>
      </w:r>
    </w:p>
    <w:p w:rsidR="0097239C" w:rsidRPr="00F82CCB" w:rsidP="003A6DD0">
      <w:pPr>
        <w:spacing w:before="240" w:line="269" w:lineRule="auto"/>
        <w:rPr>
          <w:sz w:val="22"/>
          <w:szCs w:val="22"/>
          <w:rtl/>
        </w:rPr>
      </w:pPr>
      <w:r w:rsidRPr="0097239C">
        <w:rPr>
          <w:rFonts w:hint="cs"/>
          <w:rtl/>
        </w:rPr>
        <w:t>מהתרשים עולה כי מדינת ישראל קבעה יעד של הפחתת פליטות לעומת תרחיש "עסקים כרגיל", באופן ששיעור הפליטות צפוי לגדול בשנת היעד 2030, אולם במונחי פליטות לנפש צפויה הפחתה של 26% לעומת שנת 2005 ו-11% לעומת שנת 1990. יצוין כי מאחר שבין היתר קצב גידול האוכלוסייה בישראל מהיר בהרבה מבשאר המדינות, נקבעו יעדים בהתאם ליעדי תרחיש "עסקים כרגיל", ולא יעדי הפחתה מוחלטים. להלן תרשים המתאר יעדי הפחתת פליטות שהציבו מדינות שונות בעולם לעומת הפליטות בפועל באותן מדינות:</w:t>
      </w:r>
    </w:p>
    <w:p w:rsidR="0097239C" w:rsidRPr="0097239C" w:rsidP="00C603CF">
      <w:pPr>
        <w:pStyle w:val="a"/>
        <w:spacing w:line="269" w:lineRule="auto"/>
        <w:rPr>
          <w:rtl/>
        </w:rPr>
      </w:pPr>
    </w:p>
    <w:p w:rsidR="0097239C" w:rsidRPr="0097239C" w:rsidP="009F2885">
      <w:pPr>
        <w:spacing w:line="269" w:lineRule="auto"/>
        <w:jc w:val="center"/>
        <w:rPr>
          <w:b/>
          <w:bCs/>
          <w:rtl/>
        </w:rPr>
      </w:pPr>
      <w:r w:rsidRPr="0097239C">
        <w:rPr>
          <w:rFonts w:hint="cs"/>
          <w:b/>
          <w:bCs/>
          <w:rtl/>
        </w:rPr>
        <w:t xml:space="preserve">תרשים 7:פליטות </w:t>
      </w:r>
      <w:r w:rsidRPr="0097239C">
        <w:rPr>
          <w:rFonts w:hint="cs"/>
          <w:b/>
          <w:bCs/>
          <w:rtl/>
        </w:rPr>
        <w:t>פד"ח</w:t>
      </w:r>
      <w:r>
        <w:rPr>
          <w:b/>
          <w:bCs/>
          <w:vertAlign w:val="superscript"/>
          <w:rtl/>
        </w:rPr>
        <w:footnoteReference w:id="42"/>
      </w:r>
      <w:r w:rsidRPr="0097239C">
        <w:rPr>
          <w:rFonts w:hint="cs"/>
          <w:b/>
          <w:bCs/>
          <w:rtl/>
        </w:rPr>
        <w:t xml:space="preserve"> במדינות נבחרות (1990 - 2017) ויעדי הפחתה </w:t>
      </w:r>
      <w:r w:rsidR="009F2885">
        <w:rPr>
          <w:b/>
          <w:bCs/>
          <w:rtl/>
        </w:rPr>
        <w:br/>
      </w:r>
      <w:r w:rsidRPr="0097239C">
        <w:rPr>
          <w:rFonts w:hint="cs"/>
          <w:b/>
          <w:bCs/>
          <w:rtl/>
        </w:rPr>
        <w:t>לשנים 2020, 2025, 2030</w:t>
      </w:r>
    </w:p>
    <w:p w:rsidR="0097239C" w:rsidRPr="0097239C" w:rsidP="00F82CCB">
      <w:pPr>
        <w:spacing w:before="120" w:after="120" w:line="269" w:lineRule="auto"/>
        <w:jc w:val="center"/>
        <w:rPr>
          <w:rtl/>
        </w:rPr>
      </w:pPr>
      <w:r>
        <w:rPr>
          <w:noProof/>
          <w:rtl/>
        </w:rPr>
        <w:drawing>
          <wp:inline distT="0" distB="0" distL="0" distR="0">
            <wp:extent cx="3777615" cy="2047875"/>
            <wp:effectExtent l="0" t="0" r="0" b="9525"/>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01259" name="energy-g-7.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83186" cy="2050895"/>
                    </a:xfrm>
                    <a:prstGeom prst="rect">
                      <a:avLst/>
                    </a:prstGeom>
                  </pic:spPr>
                </pic:pic>
              </a:graphicData>
            </a:graphic>
          </wp:inline>
        </w:drawing>
      </w:r>
    </w:p>
    <w:p w:rsidR="0097239C" w:rsidRPr="00F82CCB" w:rsidP="00F82CCB">
      <w:pPr>
        <w:spacing w:line="269" w:lineRule="auto"/>
        <w:rPr>
          <w:sz w:val="22"/>
          <w:szCs w:val="22"/>
          <w:rtl/>
        </w:rPr>
      </w:pPr>
      <w:r w:rsidRPr="00810E1E">
        <w:rPr>
          <w:rFonts w:hint="cs"/>
          <w:sz w:val="22"/>
          <w:szCs w:val="22"/>
          <w:rtl/>
        </w:rPr>
        <w:t xml:space="preserve">המקור: </w:t>
      </w:r>
      <w:r w:rsidRPr="00810E1E">
        <w:rPr>
          <w:sz w:val="22"/>
          <w:szCs w:val="22"/>
        </w:rPr>
        <w:t>emissions from fuel combustion (2019)</w:t>
      </w:r>
      <w:r w:rsidRPr="00810E1E">
        <w:rPr>
          <w:rFonts w:hint="cs"/>
          <w:sz w:val="22"/>
          <w:szCs w:val="22"/>
          <w:rtl/>
        </w:rPr>
        <w:t xml:space="preserve"> </w:t>
      </w:r>
      <w:r w:rsidRPr="00810E1E">
        <w:rPr>
          <w:sz w:val="22"/>
          <w:szCs w:val="22"/>
        </w:rPr>
        <w:t>IEA, CO</w:t>
      </w:r>
      <w:r w:rsidRPr="00810E1E">
        <w:rPr>
          <w:sz w:val="22"/>
          <w:szCs w:val="22"/>
          <w:vertAlign w:val="subscript"/>
        </w:rPr>
        <w:t>2</w:t>
      </w:r>
      <w:r w:rsidRPr="00810E1E">
        <w:rPr>
          <w:rFonts w:hint="cs"/>
          <w:sz w:val="22"/>
          <w:szCs w:val="22"/>
          <w:vertAlign w:val="subscript"/>
          <w:rtl/>
        </w:rPr>
        <w:t>.</w:t>
      </w:r>
    </w:p>
    <w:p w:rsidR="0097239C" w:rsidRPr="0097239C" w:rsidP="00F82CCB">
      <w:pPr>
        <w:spacing w:before="120" w:line="269" w:lineRule="auto"/>
        <w:rPr>
          <w:b/>
          <w:rtl/>
        </w:rPr>
      </w:pPr>
      <w:r w:rsidRPr="0097239C">
        <w:rPr>
          <w:rFonts w:hint="cs"/>
          <w:b/>
          <w:rtl/>
        </w:rPr>
        <w:t xml:space="preserve">בהחלטת ממשלה מספטמבר 2015 נקבע כי לצורך השגת היעד הלאומי להפחתת פליטות </w:t>
      </w:r>
      <w:r w:rsidRPr="0097239C">
        <w:rPr>
          <w:rFonts w:hint="cs"/>
          <w:b/>
          <w:rtl/>
        </w:rPr>
        <w:t>גז</w:t>
      </w:r>
      <w:r w:rsidRPr="0097239C">
        <w:rPr>
          <w:b/>
          <w:rtl/>
        </w:rPr>
        <w:t>"</w:t>
      </w:r>
      <w:r w:rsidRPr="0097239C">
        <w:rPr>
          <w:rFonts w:hint="cs"/>
          <w:b/>
          <w:rtl/>
        </w:rPr>
        <w:t>ח</w:t>
      </w:r>
      <w:r w:rsidRPr="0097239C">
        <w:rPr>
          <w:rFonts w:hint="cs"/>
          <w:b/>
          <w:rtl/>
        </w:rPr>
        <w:t xml:space="preserve">, נקבעו יעדים להפחתה ולייעול של צריכת החשמל בשיעור של לפחות 17%, לייצור חשמל </w:t>
      </w:r>
      <w:r w:rsidRPr="0097239C">
        <w:rPr>
          <w:rFonts w:hint="cs"/>
          <w:b/>
          <w:rtl/>
        </w:rPr>
        <w:t>מאנרגייה</w:t>
      </w:r>
      <w:r w:rsidRPr="0097239C">
        <w:rPr>
          <w:rFonts w:hint="cs"/>
          <w:b/>
          <w:rtl/>
        </w:rPr>
        <w:t xml:space="preserve"> מתחדשת בשיעור של 17% לפחות ולצמצום הנסועה הפרטית בשיעור של 20%, יחסית לנסועה הצפויה לפי תרחיש "עסקים כרגיל", באמצעות הסטתה לתחבורה ציבורית.</w:t>
      </w:r>
      <w:r w:rsidRPr="0097239C">
        <w:rPr>
          <w:rFonts w:hint="cs"/>
          <w:bCs/>
          <w:rtl/>
        </w:rPr>
        <w:t xml:space="preserve"> </w:t>
      </w:r>
      <w:r w:rsidRPr="0097239C">
        <w:rPr>
          <w:rFonts w:hint="cs"/>
          <w:b/>
          <w:rtl/>
        </w:rPr>
        <w:t xml:space="preserve">ממסמכי המשרד </w:t>
      </w:r>
      <w:r w:rsidRPr="0097239C">
        <w:rPr>
          <w:rFonts w:hint="cs"/>
          <w:b/>
          <w:rtl/>
        </w:rPr>
        <w:t>להג"ס</w:t>
      </w:r>
      <w:r w:rsidRPr="0097239C">
        <w:rPr>
          <w:rFonts w:hint="cs"/>
          <w:b/>
          <w:rtl/>
        </w:rPr>
        <w:t xml:space="preserve"> מיולי 2017 עולה כי "יעדים אלו </w:t>
      </w:r>
      <w:r w:rsidRPr="0097239C">
        <w:rPr>
          <w:rFonts w:hint="cs"/>
          <w:bCs/>
          <w:rtl/>
        </w:rPr>
        <w:t>מתווספים</w:t>
      </w:r>
      <w:r w:rsidRPr="0097239C">
        <w:rPr>
          <w:rFonts w:hint="cs"/>
          <w:b/>
          <w:rtl/>
        </w:rPr>
        <w:t xml:space="preserve"> ליעדים הלאומיים שנקבעו בעבר על ידי הממשלה לתקופה של עד שנת 2020 ובפרט... יעד הפחתה של צריכת החשמל בשיעור 20% עד שנת 2020 לעומת תרחיש עסקים כרגיל" (ההדגשה במקור).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בדצמבר 2015 אימצו המדינות שחתמו על אמנת האקלים של האו"ם, ובהן ישראל, את הסכם פריז, המסדיר את </w:t>
      </w:r>
      <w:r w:rsidRPr="0097239C">
        <w:rPr>
          <w:rFonts w:hint="cs"/>
          <w:b/>
          <w:rtl/>
        </w:rPr>
        <w:t>תוכנית</w:t>
      </w:r>
      <w:r w:rsidRPr="0097239C">
        <w:rPr>
          <w:rFonts w:hint="cs"/>
          <w:b/>
          <w:rtl/>
        </w:rPr>
        <w:t xml:space="preserve"> הפעולה העולמית להתמודדות עם שינויי האקלים ואת החובות המוטלות על המדינות השונות במסגרת ההסכם.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לשם עמידה ביעדי הסכם פריז, ובהמשך להחלטתה מספטמבר 2015, קבעה הממשלה</w:t>
      </w:r>
      <w:r>
        <w:rPr>
          <w:b/>
          <w:vertAlign w:val="superscript"/>
          <w:rtl/>
        </w:rPr>
        <w:footnoteReference w:id="43"/>
      </w:r>
      <w:r w:rsidRPr="0097239C">
        <w:rPr>
          <w:rFonts w:hint="cs"/>
          <w:b/>
          <w:rtl/>
        </w:rPr>
        <w:t xml:space="preserve"> באפריל 2016 </w:t>
      </w:r>
      <w:r w:rsidRPr="0097239C">
        <w:rPr>
          <w:rFonts w:hint="cs"/>
          <w:b/>
          <w:rtl/>
        </w:rPr>
        <w:t>תוכנית</w:t>
      </w:r>
      <w:r w:rsidRPr="0097239C">
        <w:rPr>
          <w:rFonts w:hint="cs"/>
          <w:b/>
          <w:rtl/>
        </w:rPr>
        <w:t xml:space="preserve"> לאומית ליישום היעדים להפחתת פליטות </w:t>
      </w:r>
      <w:r w:rsidRPr="0097239C">
        <w:rPr>
          <w:rFonts w:hint="cs"/>
          <w:b/>
          <w:rtl/>
        </w:rPr>
        <w:t>גז</w:t>
      </w:r>
      <w:r w:rsidRPr="0097239C">
        <w:rPr>
          <w:b/>
          <w:rtl/>
        </w:rPr>
        <w:t>"</w:t>
      </w:r>
      <w:r w:rsidRPr="0097239C">
        <w:rPr>
          <w:rFonts w:hint="cs"/>
          <w:b/>
          <w:rtl/>
        </w:rPr>
        <w:t>ח</w:t>
      </w:r>
      <w:r w:rsidRPr="0097239C">
        <w:rPr>
          <w:rFonts w:hint="cs"/>
          <w:b/>
          <w:rtl/>
        </w:rPr>
        <w:t xml:space="preserve"> ולהתייעלות אנרגטית. ההחלטה כללה צעדים שיש לנקוט על מנת לגבש </w:t>
      </w:r>
      <w:r w:rsidRPr="0097239C">
        <w:rPr>
          <w:rFonts w:hint="cs"/>
          <w:b/>
          <w:rtl/>
        </w:rPr>
        <w:t>תוכנית</w:t>
      </w:r>
      <w:r w:rsidRPr="0097239C">
        <w:rPr>
          <w:rFonts w:hint="cs"/>
          <w:b/>
          <w:rtl/>
        </w:rPr>
        <w:t xml:space="preserve"> למתן ערבויות מדינה בהיקף של 500 מיליון ש"ח למשך עשר שנים ותוכנית מענקים להתייעלות אנרגטית בהיקף של 300 מיליון ש"ח (בעניין המימוש הכספי של הערבויות והמענקים, ראו בהמשך בפרק "התוכנית הלאומית להתייעלות אנרגטית ולצמצום צריכת החשמל לשנים 2016 - 2030").</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בספטמבר 2016 גיבש המשרד </w:t>
      </w:r>
      <w:r w:rsidRPr="0097239C">
        <w:rPr>
          <w:rFonts w:hint="cs"/>
          <w:b/>
          <w:rtl/>
        </w:rPr>
        <w:t>להג"ס</w:t>
      </w:r>
      <w:r w:rsidRPr="0097239C">
        <w:rPr>
          <w:rFonts w:hint="cs"/>
          <w:b/>
          <w:rtl/>
        </w:rPr>
        <w:t xml:space="preserve">, על בסיס החלטות אלה, </w:t>
      </w:r>
      <w:r w:rsidRPr="0097239C">
        <w:rPr>
          <w:rFonts w:hint="cs"/>
          <w:b/>
          <w:rtl/>
        </w:rPr>
        <w:t>תוכנית</w:t>
      </w:r>
      <w:r w:rsidRPr="0097239C">
        <w:rPr>
          <w:rFonts w:hint="cs"/>
          <w:b/>
          <w:rtl/>
        </w:rPr>
        <w:t xml:space="preserve"> לאומית לעמידה ביעדי הסכם פריז, ובה פירט המשרד את אמצעי ההפחתה לפי מגזרים ולפי מקור הפליטה ואת פוטנציאל ההפחתה של כל אחד מהצעדים. על פי התוכנית, הפוטנציאל להפחתת גזי החממה באמצעות התייעלות אנרגטית הוא 7.1 מיליון טונות, ששיעורם </w:t>
      </w:r>
      <w:r w:rsidR="00C603CF">
        <w:rPr>
          <w:rFonts w:hint="cs"/>
          <w:b/>
          <w:rtl/>
        </w:rPr>
        <w:t>כ-</w:t>
      </w:r>
      <w:r w:rsidRPr="0097239C">
        <w:rPr>
          <w:rFonts w:hint="cs"/>
          <w:b/>
          <w:rtl/>
        </w:rPr>
        <w:t>26% - 33% מהפוטנציאל הכולל להפחתת פליטות בישראל</w:t>
      </w:r>
      <w:r>
        <w:rPr>
          <w:b/>
          <w:vertAlign w:val="superscript"/>
          <w:rtl/>
        </w:rPr>
        <w:footnoteReference w:id="44"/>
      </w:r>
      <w:r w:rsidRPr="0097239C">
        <w:rPr>
          <w:rFonts w:hint="cs"/>
          <w:b/>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למועד סיום הביקורת יש לישראל כמה </w:t>
      </w:r>
      <w:r w:rsidRPr="0097239C">
        <w:rPr>
          <w:rFonts w:hint="cs"/>
          <w:rtl/>
        </w:rPr>
        <w:t>תוכניות</w:t>
      </w:r>
      <w:r w:rsidRPr="0097239C">
        <w:rPr>
          <w:rFonts w:hint="cs"/>
          <w:rtl/>
        </w:rPr>
        <w:t xml:space="preserve"> לאומיות העוסקות בהיבטים שונים של התייעל</w:t>
      </w:r>
      <w:r w:rsidR="00735BA1">
        <w:rPr>
          <w:rFonts w:hint="cs"/>
          <w:rtl/>
        </w:rPr>
        <w:t>ות אנרגטית, כמתואר בלוח 2 להלן:</w:t>
      </w:r>
    </w:p>
    <w:p w:rsidR="009F2885">
      <w:pPr>
        <w:bidi w:val="0"/>
        <w:spacing w:after="200" w:line="276" w:lineRule="auto"/>
        <w:rPr>
          <w:szCs w:val="20"/>
          <w:rtl/>
        </w:rPr>
      </w:pPr>
      <w:r>
        <w:rPr>
          <w:rtl/>
        </w:rPr>
        <w:br w:type="page"/>
      </w:r>
    </w:p>
    <w:p w:rsidR="0097239C" w:rsidRPr="0097239C" w:rsidP="00C603CF">
      <w:pPr>
        <w:spacing w:line="269" w:lineRule="auto"/>
        <w:jc w:val="center"/>
        <w:rPr>
          <w:b/>
          <w:bCs/>
          <w:rtl/>
        </w:rPr>
      </w:pPr>
      <w:r w:rsidRPr="0097239C">
        <w:rPr>
          <w:rFonts w:hint="eastAsia"/>
          <w:b/>
          <w:bCs/>
          <w:rtl/>
        </w:rPr>
        <w:t>לוח</w:t>
      </w:r>
      <w:r w:rsidRPr="0097239C">
        <w:rPr>
          <w:b/>
          <w:bCs/>
          <w:rtl/>
        </w:rPr>
        <w:t xml:space="preserve"> 2: </w:t>
      </w:r>
      <w:r w:rsidRPr="0097239C">
        <w:rPr>
          <w:rFonts w:hint="eastAsia"/>
          <w:b/>
          <w:bCs/>
          <w:rtl/>
        </w:rPr>
        <w:t>תוכניות</w:t>
      </w:r>
      <w:r w:rsidRPr="0097239C">
        <w:rPr>
          <w:b/>
          <w:bCs/>
          <w:rtl/>
        </w:rPr>
        <w:t xml:space="preserve"> </w:t>
      </w:r>
      <w:r w:rsidRPr="0097239C">
        <w:rPr>
          <w:rFonts w:hint="eastAsia"/>
          <w:b/>
          <w:bCs/>
          <w:rtl/>
        </w:rPr>
        <w:t>לאומיות</w:t>
      </w:r>
      <w:r w:rsidRPr="0097239C">
        <w:rPr>
          <w:rFonts w:hint="cs"/>
          <w:b/>
          <w:bCs/>
          <w:rtl/>
        </w:rPr>
        <w:t xml:space="preserve"> - התייעלות אנרגטית</w:t>
      </w:r>
    </w:p>
    <w:tbl>
      <w:tblPr>
        <w:tblStyle w:val="11"/>
        <w:bidiVisual/>
        <w:tblW w:w="4873" w:type="pct"/>
        <w:tblInd w:w="107" w:type="dxa"/>
        <w:tblLook w:val="04A0"/>
      </w:tblPr>
      <w:tblGrid>
        <w:gridCol w:w="1562"/>
        <w:gridCol w:w="1431"/>
        <w:gridCol w:w="2189"/>
        <w:gridCol w:w="2820"/>
      </w:tblGrid>
      <w:tr w:rsidTr="003A6DD0">
        <w:tblPrEx>
          <w:tblW w:w="4873" w:type="pct"/>
          <w:tblInd w:w="107" w:type="dxa"/>
          <w:tblLook w:val="04A0"/>
        </w:tblPrEx>
        <w:tc>
          <w:tcPr>
            <w:tcW w:w="976" w:type="pct"/>
            <w:vAlign w:val="bottom"/>
          </w:tcPr>
          <w:p w:rsidR="0097239C" w:rsidRPr="003A6DD0" w:rsidP="003A6DD0">
            <w:pPr>
              <w:spacing w:before="60" w:after="60" w:line="240" w:lineRule="exact"/>
              <w:jc w:val="center"/>
              <w:rPr>
                <w:b/>
                <w:bCs/>
                <w:sz w:val="22"/>
                <w:szCs w:val="22"/>
                <w:rtl/>
              </w:rPr>
            </w:pPr>
            <w:r w:rsidRPr="003A6DD0">
              <w:rPr>
                <w:rFonts w:hint="cs"/>
                <w:b/>
                <w:bCs/>
                <w:sz w:val="22"/>
                <w:szCs w:val="22"/>
                <w:rtl/>
              </w:rPr>
              <w:t>שם התוכנית</w:t>
            </w:r>
          </w:p>
        </w:tc>
        <w:tc>
          <w:tcPr>
            <w:tcW w:w="894" w:type="pct"/>
            <w:vAlign w:val="bottom"/>
          </w:tcPr>
          <w:p w:rsidR="0097239C" w:rsidRPr="003A6DD0" w:rsidP="003A6DD0">
            <w:pPr>
              <w:spacing w:before="60" w:after="60" w:line="240" w:lineRule="exact"/>
              <w:jc w:val="center"/>
              <w:rPr>
                <w:b/>
                <w:bCs/>
                <w:sz w:val="22"/>
                <w:szCs w:val="22"/>
                <w:rtl/>
              </w:rPr>
            </w:pPr>
            <w:r w:rsidRPr="003A6DD0">
              <w:rPr>
                <w:rFonts w:hint="cs"/>
                <w:b/>
                <w:bCs/>
                <w:sz w:val="22"/>
                <w:szCs w:val="22"/>
                <w:rtl/>
              </w:rPr>
              <w:t>המשרד האחראי</w:t>
            </w:r>
          </w:p>
        </w:tc>
        <w:tc>
          <w:tcPr>
            <w:tcW w:w="1368" w:type="pct"/>
            <w:vAlign w:val="bottom"/>
          </w:tcPr>
          <w:p w:rsidR="0097239C" w:rsidRPr="003A6DD0" w:rsidP="003A6DD0">
            <w:pPr>
              <w:spacing w:before="60" w:after="60" w:line="240" w:lineRule="exact"/>
              <w:jc w:val="center"/>
              <w:rPr>
                <w:b/>
                <w:bCs/>
                <w:sz w:val="22"/>
                <w:szCs w:val="22"/>
                <w:rtl/>
              </w:rPr>
            </w:pPr>
            <w:r w:rsidRPr="003A6DD0">
              <w:rPr>
                <w:rFonts w:hint="cs"/>
                <w:b/>
                <w:bCs/>
                <w:sz w:val="22"/>
                <w:szCs w:val="22"/>
                <w:rtl/>
              </w:rPr>
              <w:t>תאריך האישור</w:t>
            </w:r>
          </w:p>
        </w:tc>
        <w:tc>
          <w:tcPr>
            <w:tcW w:w="1762" w:type="pct"/>
            <w:vAlign w:val="bottom"/>
          </w:tcPr>
          <w:p w:rsidR="0097239C" w:rsidRPr="003A6DD0" w:rsidP="003A6DD0">
            <w:pPr>
              <w:spacing w:before="60" w:after="60" w:line="240" w:lineRule="exact"/>
              <w:jc w:val="center"/>
              <w:rPr>
                <w:b/>
                <w:bCs/>
                <w:sz w:val="22"/>
                <w:szCs w:val="22"/>
                <w:rtl/>
              </w:rPr>
            </w:pPr>
            <w:r w:rsidRPr="003A6DD0">
              <w:rPr>
                <w:rFonts w:hint="cs"/>
                <w:b/>
                <w:bCs/>
                <w:sz w:val="22"/>
                <w:szCs w:val="22"/>
                <w:rtl/>
              </w:rPr>
              <w:t>עיקרי התוכנית</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התוכנית הלאומית להתייעלות אנרגטית - צמצום בצריכת החשמל 2010 - 2020</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משרד </w:t>
            </w:r>
            <w:r w:rsidRPr="003A6DD0">
              <w:rPr>
                <w:rFonts w:hint="cs"/>
                <w:sz w:val="22"/>
                <w:szCs w:val="22"/>
                <w:rtl/>
              </w:rPr>
              <w:t>האנרגייה</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גובשה ביולי 2010. במאי 2015 החליטה הממשלה על דחיית יישום התוכנית, ובאוגוסט 2015 החליטה הממשלה על ביטולה.</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 xml:space="preserve">גיבוש </w:t>
            </w:r>
            <w:r w:rsidRPr="003A6DD0">
              <w:rPr>
                <w:rFonts w:hint="cs"/>
                <w:sz w:val="22"/>
                <w:szCs w:val="22"/>
                <w:rtl/>
              </w:rPr>
              <w:t>תוכנית</w:t>
            </w:r>
            <w:r w:rsidRPr="003A6DD0">
              <w:rPr>
                <w:rFonts w:hint="cs"/>
                <w:sz w:val="22"/>
                <w:szCs w:val="22"/>
                <w:rtl/>
              </w:rPr>
              <w:t xml:space="preserve"> לשם עמידה ביעד הפחתת הפליטות שעליו התחייבה המדינה בוועידת קופנהגן - לפחות</w:t>
            </w:r>
            <w:r w:rsidRPr="003A6DD0">
              <w:rPr>
                <w:rFonts w:hint="cs"/>
                <w:b/>
                <w:sz w:val="22"/>
                <w:szCs w:val="22"/>
                <w:rtl/>
              </w:rPr>
              <w:t xml:space="preserve"> </w:t>
            </w:r>
            <w:r w:rsidRPr="003A6DD0">
              <w:rPr>
                <w:rFonts w:hint="cs"/>
                <w:sz w:val="22"/>
                <w:szCs w:val="22"/>
                <w:rtl/>
              </w:rPr>
              <w:t>20% על בסיס נתוני הצריכה הצפויה ב-2020, באופן ששנת הייחוס היא 2006</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תוכנית</w:t>
            </w:r>
            <w:r w:rsidRPr="003A6DD0">
              <w:rPr>
                <w:rFonts w:hint="cs"/>
                <w:sz w:val="22"/>
                <w:szCs w:val="22"/>
                <w:rtl/>
              </w:rPr>
              <w:t xml:space="preserve"> לאומית למניעה ולצמצום של זיהום האוויר בישראל</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המשרד </w:t>
            </w:r>
            <w:r w:rsidRPr="003A6DD0">
              <w:rPr>
                <w:rFonts w:hint="cs"/>
                <w:sz w:val="22"/>
                <w:szCs w:val="22"/>
                <w:rtl/>
              </w:rPr>
              <w:t>להג"ס</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גובשה בינואר 2012;</w:t>
            </w:r>
          </w:p>
          <w:p w:rsidR="0097239C" w:rsidRPr="003A6DD0" w:rsidP="003A6DD0">
            <w:pPr>
              <w:spacing w:before="60" w:after="60" w:line="240" w:lineRule="exact"/>
              <w:jc w:val="left"/>
              <w:rPr>
                <w:sz w:val="22"/>
                <w:szCs w:val="22"/>
                <w:rtl/>
              </w:rPr>
            </w:pPr>
            <w:r w:rsidRPr="003A6DD0">
              <w:rPr>
                <w:rFonts w:hint="cs"/>
                <w:sz w:val="22"/>
                <w:szCs w:val="22"/>
                <w:rtl/>
              </w:rPr>
              <w:t>אושרה בממשלה באוגוסט 2013.</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 xml:space="preserve">החלת תעריפי </w:t>
            </w:r>
            <w:r w:rsidRPr="003A6DD0">
              <w:rPr>
                <w:rFonts w:hint="cs"/>
                <w:sz w:val="22"/>
                <w:szCs w:val="22"/>
                <w:rtl/>
              </w:rPr>
              <w:t>תעו"ז</w:t>
            </w:r>
            <w:r>
              <w:rPr>
                <w:sz w:val="22"/>
                <w:szCs w:val="22"/>
                <w:vertAlign w:val="superscript"/>
                <w:rtl/>
              </w:rPr>
              <w:footnoteReference w:id="45"/>
            </w:r>
            <w:r w:rsidRPr="003A6DD0">
              <w:rPr>
                <w:rFonts w:hint="cs"/>
                <w:sz w:val="22"/>
                <w:szCs w:val="22"/>
                <w:rtl/>
              </w:rPr>
              <w:t xml:space="preserve"> במשקי הבית;</w:t>
            </w:r>
          </w:p>
          <w:p w:rsidR="0097239C" w:rsidRPr="003A6DD0" w:rsidP="003A6DD0">
            <w:pPr>
              <w:spacing w:before="60" w:after="60" w:line="240" w:lineRule="exact"/>
              <w:jc w:val="left"/>
              <w:rPr>
                <w:sz w:val="22"/>
                <w:szCs w:val="22"/>
                <w:rtl/>
              </w:rPr>
            </w:pPr>
            <w:r w:rsidRPr="003A6DD0">
              <w:rPr>
                <w:rFonts w:hint="cs"/>
                <w:sz w:val="22"/>
                <w:szCs w:val="22"/>
                <w:rtl/>
              </w:rPr>
              <w:t>תעריף חשמל דיפרנציאלי המגלם עלויות חיצוניות;</w:t>
            </w:r>
          </w:p>
          <w:p w:rsidR="0097239C" w:rsidRPr="003A6DD0" w:rsidP="003A6DD0">
            <w:pPr>
              <w:spacing w:before="60" w:after="60" w:line="240" w:lineRule="exact"/>
              <w:jc w:val="left"/>
              <w:rPr>
                <w:sz w:val="22"/>
                <w:szCs w:val="22"/>
                <w:rtl/>
              </w:rPr>
            </w:pPr>
            <w:r w:rsidRPr="003A6DD0">
              <w:rPr>
                <w:rFonts w:hint="cs"/>
                <w:sz w:val="22"/>
                <w:szCs w:val="22"/>
                <w:rtl/>
              </w:rPr>
              <w:t>גריטת כלי רכב פרטיים ומזהמים;</w:t>
            </w:r>
          </w:p>
          <w:p w:rsidR="0097239C" w:rsidRPr="003A6DD0" w:rsidP="003A6DD0">
            <w:pPr>
              <w:spacing w:before="60" w:after="60" w:line="240" w:lineRule="exact"/>
              <w:jc w:val="left"/>
              <w:rPr>
                <w:sz w:val="22"/>
                <w:szCs w:val="22"/>
                <w:rtl/>
              </w:rPr>
            </w:pPr>
            <w:r w:rsidRPr="003A6DD0">
              <w:rPr>
                <w:rFonts w:hint="cs"/>
                <w:sz w:val="22"/>
                <w:szCs w:val="22"/>
                <w:rtl/>
              </w:rPr>
              <w:t>תמיכה למעסיקים לעידוד הפחתת הנסועה של עובדיהם</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תוכנית</w:t>
            </w:r>
            <w:r w:rsidRPr="003A6DD0">
              <w:rPr>
                <w:rFonts w:hint="cs"/>
                <w:sz w:val="22"/>
                <w:szCs w:val="22"/>
                <w:rtl/>
              </w:rPr>
              <w:t xml:space="preserve"> לאומית ליישום היעדים להפחתת פליטות גזי חממה ולהתייעלות אנרגטית</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משרד </w:t>
            </w:r>
            <w:r w:rsidRPr="003A6DD0">
              <w:rPr>
                <w:rFonts w:hint="cs"/>
                <w:sz w:val="22"/>
                <w:szCs w:val="22"/>
                <w:rtl/>
              </w:rPr>
              <w:t>האנרגייה</w:t>
            </w:r>
            <w:r w:rsidRPr="003A6DD0">
              <w:rPr>
                <w:rFonts w:hint="cs"/>
                <w:sz w:val="22"/>
                <w:szCs w:val="22"/>
                <w:rtl/>
              </w:rPr>
              <w:t>,</w:t>
            </w:r>
          </w:p>
          <w:p w:rsidR="0097239C" w:rsidRPr="003A6DD0" w:rsidP="003A6DD0">
            <w:pPr>
              <w:spacing w:before="60" w:after="60" w:line="240" w:lineRule="exact"/>
              <w:jc w:val="left"/>
              <w:rPr>
                <w:sz w:val="22"/>
                <w:szCs w:val="22"/>
                <w:rtl/>
              </w:rPr>
            </w:pPr>
            <w:r w:rsidRPr="003A6DD0">
              <w:rPr>
                <w:rFonts w:hint="cs"/>
                <w:sz w:val="22"/>
                <w:szCs w:val="22"/>
                <w:rtl/>
              </w:rPr>
              <w:t xml:space="preserve">המשרד </w:t>
            </w:r>
            <w:r w:rsidRPr="003A6DD0">
              <w:rPr>
                <w:rFonts w:hint="cs"/>
                <w:sz w:val="22"/>
                <w:szCs w:val="22"/>
                <w:rtl/>
              </w:rPr>
              <w:t>להג"ס</w:t>
            </w:r>
            <w:r w:rsidRPr="003A6DD0">
              <w:rPr>
                <w:rFonts w:hint="cs"/>
                <w:sz w:val="22"/>
                <w:szCs w:val="22"/>
                <w:rtl/>
              </w:rPr>
              <w:t>,</w:t>
            </w:r>
          </w:p>
          <w:p w:rsidR="0097239C" w:rsidRPr="003A6DD0" w:rsidP="003A6DD0">
            <w:pPr>
              <w:spacing w:before="60" w:after="60" w:line="240" w:lineRule="exact"/>
              <w:jc w:val="left"/>
              <w:rPr>
                <w:sz w:val="22"/>
                <w:szCs w:val="22"/>
                <w:rtl/>
              </w:rPr>
            </w:pPr>
            <w:r w:rsidRPr="003A6DD0">
              <w:rPr>
                <w:rFonts w:hint="cs"/>
                <w:sz w:val="22"/>
                <w:szCs w:val="22"/>
                <w:rtl/>
              </w:rPr>
              <w:t>משרד האוצר, משרד הכלכלה</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אפריל 2016</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הקמת צוות מייעץ לצורך הקצאת מענקים והלוואות בערבות מדינה;</w:t>
            </w:r>
          </w:p>
          <w:p w:rsidR="0097239C" w:rsidRPr="003A6DD0" w:rsidP="003A6DD0">
            <w:pPr>
              <w:spacing w:before="60" w:after="60" w:line="240" w:lineRule="exact"/>
              <w:jc w:val="left"/>
              <w:rPr>
                <w:sz w:val="22"/>
                <w:szCs w:val="22"/>
                <w:rtl/>
              </w:rPr>
            </w:pPr>
            <w:r w:rsidRPr="003A6DD0">
              <w:rPr>
                <w:rFonts w:hint="cs"/>
                <w:sz w:val="22"/>
                <w:szCs w:val="22"/>
                <w:rtl/>
              </w:rPr>
              <w:t xml:space="preserve">שר </w:t>
            </w:r>
            <w:r w:rsidRPr="003A6DD0">
              <w:rPr>
                <w:rFonts w:hint="cs"/>
                <w:sz w:val="22"/>
                <w:szCs w:val="22"/>
                <w:rtl/>
              </w:rPr>
              <w:t>האנרגייה</w:t>
            </w:r>
            <w:r w:rsidRPr="003A6DD0">
              <w:rPr>
                <w:rFonts w:hint="cs"/>
                <w:sz w:val="22"/>
                <w:szCs w:val="22"/>
                <w:rtl/>
              </w:rPr>
              <w:t xml:space="preserve"> יכין </w:t>
            </w:r>
            <w:r w:rsidRPr="003A6DD0">
              <w:rPr>
                <w:rFonts w:hint="cs"/>
                <w:sz w:val="22"/>
                <w:szCs w:val="22"/>
                <w:rtl/>
              </w:rPr>
              <w:t>תוכנית</w:t>
            </w:r>
            <w:r w:rsidRPr="003A6DD0">
              <w:rPr>
                <w:rFonts w:hint="cs"/>
                <w:sz w:val="22"/>
                <w:szCs w:val="22"/>
                <w:rtl/>
              </w:rPr>
              <w:t xml:space="preserve"> להתייעלות אנרגטית;</w:t>
            </w:r>
          </w:p>
          <w:p w:rsidR="0097239C" w:rsidRPr="003A6DD0" w:rsidP="003A6DD0">
            <w:pPr>
              <w:spacing w:before="60" w:after="60" w:line="240" w:lineRule="exact"/>
              <w:jc w:val="left"/>
              <w:rPr>
                <w:sz w:val="22"/>
                <w:szCs w:val="22"/>
                <w:rtl/>
              </w:rPr>
            </w:pPr>
            <w:r w:rsidRPr="003A6DD0">
              <w:rPr>
                <w:rFonts w:hint="cs"/>
                <w:sz w:val="22"/>
                <w:szCs w:val="22"/>
                <w:rtl/>
              </w:rPr>
              <w:t xml:space="preserve">צמצום צריכת </w:t>
            </w:r>
            <w:r w:rsidRPr="003A6DD0">
              <w:rPr>
                <w:rFonts w:hint="cs"/>
                <w:sz w:val="22"/>
                <w:szCs w:val="22"/>
                <w:rtl/>
              </w:rPr>
              <w:t>האנרגייה</w:t>
            </w:r>
            <w:r w:rsidRPr="003A6DD0">
              <w:rPr>
                <w:rFonts w:hint="cs"/>
                <w:sz w:val="22"/>
                <w:szCs w:val="22"/>
                <w:rtl/>
              </w:rPr>
              <w:t xml:space="preserve"> במשרדי הממשלה</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התוכנית הלאומית ליישום הסכם פריז</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המשרד </w:t>
            </w:r>
            <w:r w:rsidRPr="003A6DD0">
              <w:rPr>
                <w:rFonts w:hint="cs"/>
                <w:sz w:val="22"/>
                <w:szCs w:val="22"/>
                <w:rtl/>
              </w:rPr>
              <w:t>להג"ס</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ספטמבר 2016</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צעדי התייעלות שיביאו להפחתה של 7.1 מיליון טונות של גזי חממה. הצעדים אושרו בהחלטת הממשלה 1403</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תוכנית</w:t>
            </w:r>
            <w:r w:rsidRPr="003A6DD0">
              <w:rPr>
                <w:rFonts w:hint="cs"/>
                <w:sz w:val="22"/>
                <w:szCs w:val="22"/>
                <w:rtl/>
              </w:rPr>
              <w:t xml:space="preserve"> לאומית להתייעלות אנרגטית ולצמצום צריכת החשמל לשנים 2016 - 2030</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משרד </w:t>
            </w:r>
            <w:r w:rsidRPr="003A6DD0">
              <w:rPr>
                <w:rFonts w:hint="cs"/>
                <w:sz w:val="22"/>
                <w:szCs w:val="22"/>
                <w:rtl/>
              </w:rPr>
              <w:t>האנרגייה</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דצמבר 2017</w:t>
            </w:r>
          </w:p>
        </w:tc>
        <w:tc>
          <w:tcPr>
            <w:tcW w:w="1762" w:type="pct"/>
          </w:tcPr>
          <w:p w:rsidR="0097239C" w:rsidRPr="003A6DD0" w:rsidP="003A6DD0">
            <w:pPr>
              <w:spacing w:before="60" w:after="60" w:line="240" w:lineRule="exact"/>
              <w:jc w:val="left"/>
              <w:rPr>
                <w:sz w:val="22"/>
                <w:szCs w:val="22"/>
              </w:rPr>
            </w:pPr>
            <w:r w:rsidRPr="003A6DD0">
              <w:rPr>
                <w:sz w:val="22"/>
                <w:szCs w:val="22"/>
                <w:rtl/>
              </w:rPr>
              <w:t>צמצום צריכת החשמל ב-17% עד</w:t>
            </w:r>
            <w:r w:rsidRPr="003A6DD0">
              <w:rPr>
                <w:rFonts w:hint="cs"/>
                <w:sz w:val="22"/>
                <w:szCs w:val="22"/>
                <w:rtl/>
              </w:rPr>
              <w:t xml:space="preserve"> שנת</w:t>
            </w:r>
            <w:r w:rsidRPr="003A6DD0">
              <w:rPr>
                <w:sz w:val="22"/>
                <w:szCs w:val="22"/>
                <w:rtl/>
              </w:rPr>
              <w:t xml:space="preserve"> 2030</w:t>
            </w:r>
          </w:p>
          <w:p w:rsidR="0097239C" w:rsidRPr="003A6DD0" w:rsidP="003A6DD0">
            <w:pPr>
              <w:spacing w:before="60" w:after="60" w:line="240" w:lineRule="exact"/>
              <w:jc w:val="left"/>
              <w:rPr>
                <w:sz w:val="22"/>
                <w:szCs w:val="22"/>
                <w:rtl/>
              </w:rPr>
            </w:pP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תוכנית</w:t>
            </w:r>
            <w:r w:rsidRPr="003A6DD0">
              <w:rPr>
                <w:rFonts w:hint="cs"/>
                <w:sz w:val="22"/>
                <w:szCs w:val="22"/>
                <w:rtl/>
              </w:rPr>
              <w:t xml:space="preserve"> להצלת ישראל </w:t>
            </w:r>
            <w:r w:rsidRPr="003A6DD0">
              <w:rPr>
                <w:rFonts w:hint="cs"/>
                <w:sz w:val="22"/>
                <w:szCs w:val="22"/>
                <w:rtl/>
              </w:rPr>
              <w:t>מאנרגייה</w:t>
            </w:r>
            <w:r w:rsidRPr="003A6DD0">
              <w:rPr>
                <w:rFonts w:hint="cs"/>
                <w:sz w:val="22"/>
                <w:szCs w:val="22"/>
                <w:rtl/>
              </w:rPr>
              <w:t xml:space="preserve"> מזהמת</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משרד </w:t>
            </w:r>
            <w:r w:rsidRPr="003A6DD0">
              <w:rPr>
                <w:rFonts w:hint="cs"/>
                <w:sz w:val="22"/>
                <w:szCs w:val="22"/>
                <w:rtl/>
              </w:rPr>
              <w:t>האנרגייה</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דצמבר 2018</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הפסקת השימוש בפחם; 100% מכלי הרכב החדשים שייכנסו למשק בשנת 2030 יהיו חשמליים; חיבור מפעלי תעשייה לרשת החלוקה של הגז הטבעי</w:t>
            </w:r>
          </w:p>
        </w:tc>
      </w:tr>
      <w:tr w:rsidTr="003A6DD0">
        <w:tblPrEx>
          <w:tblW w:w="4873" w:type="pct"/>
          <w:tblInd w:w="107" w:type="dxa"/>
          <w:tblLook w:val="04A0"/>
        </w:tblPrEx>
        <w:tc>
          <w:tcPr>
            <w:tcW w:w="976" w:type="pct"/>
          </w:tcPr>
          <w:p w:rsidR="0097239C" w:rsidRPr="003A6DD0" w:rsidP="003A6DD0">
            <w:pPr>
              <w:spacing w:before="60" w:after="60" w:line="240" w:lineRule="exact"/>
              <w:jc w:val="left"/>
              <w:rPr>
                <w:sz w:val="22"/>
                <w:szCs w:val="22"/>
                <w:rtl/>
              </w:rPr>
            </w:pPr>
            <w:r w:rsidRPr="003A6DD0">
              <w:rPr>
                <w:rFonts w:hint="cs"/>
                <w:sz w:val="22"/>
                <w:szCs w:val="22"/>
                <w:rtl/>
              </w:rPr>
              <w:t>מדדים ויעדים 2050</w:t>
            </w:r>
          </w:p>
        </w:tc>
        <w:tc>
          <w:tcPr>
            <w:tcW w:w="894" w:type="pct"/>
          </w:tcPr>
          <w:p w:rsidR="0097239C" w:rsidRPr="003A6DD0" w:rsidP="003A6DD0">
            <w:pPr>
              <w:spacing w:before="60" w:after="60" w:line="240" w:lineRule="exact"/>
              <w:jc w:val="left"/>
              <w:rPr>
                <w:sz w:val="22"/>
                <w:szCs w:val="22"/>
                <w:rtl/>
              </w:rPr>
            </w:pPr>
            <w:r w:rsidRPr="003A6DD0">
              <w:rPr>
                <w:rFonts w:hint="cs"/>
                <w:sz w:val="22"/>
                <w:szCs w:val="22"/>
                <w:rtl/>
              </w:rPr>
              <w:t xml:space="preserve">המשרד </w:t>
            </w:r>
            <w:r w:rsidRPr="003A6DD0">
              <w:rPr>
                <w:rFonts w:hint="cs"/>
                <w:sz w:val="22"/>
                <w:szCs w:val="22"/>
                <w:rtl/>
              </w:rPr>
              <w:t>להג"ס</w:t>
            </w:r>
          </w:p>
        </w:tc>
        <w:tc>
          <w:tcPr>
            <w:tcW w:w="1368" w:type="pct"/>
          </w:tcPr>
          <w:p w:rsidR="0097239C" w:rsidRPr="003A6DD0" w:rsidP="003A6DD0">
            <w:pPr>
              <w:spacing w:before="60" w:after="60" w:line="240" w:lineRule="exact"/>
              <w:jc w:val="left"/>
              <w:rPr>
                <w:sz w:val="22"/>
                <w:szCs w:val="22"/>
                <w:rtl/>
              </w:rPr>
            </w:pPr>
            <w:r w:rsidRPr="003A6DD0">
              <w:rPr>
                <w:rFonts w:hint="cs"/>
                <w:sz w:val="22"/>
                <w:szCs w:val="22"/>
                <w:rtl/>
              </w:rPr>
              <w:t>בהכנה</w:t>
            </w:r>
          </w:p>
        </w:tc>
        <w:tc>
          <w:tcPr>
            <w:tcW w:w="1762" w:type="pct"/>
          </w:tcPr>
          <w:p w:rsidR="0097239C" w:rsidRPr="003A6DD0" w:rsidP="003A6DD0">
            <w:pPr>
              <w:spacing w:before="60" w:after="60" w:line="240" w:lineRule="exact"/>
              <w:jc w:val="left"/>
              <w:rPr>
                <w:sz w:val="22"/>
                <w:szCs w:val="22"/>
                <w:rtl/>
              </w:rPr>
            </w:pPr>
            <w:r w:rsidRPr="003A6DD0">
              <w:rPr>
                <w:rFonts w:hint="cs"/>
                <w:sz w:val="22"/>
                <w:szCs w:val="22"/>
                <w:rtl/>
              </w:rPr>
              <w:t>תהליך רב-מגזרי לגיבוש חזון ואסטרטגיה לכלכלה דלת פחמן ב-2050. התהליך כולל קביעת יעדים במגזרי התחבורה, החשמל, התעשייה ותכנון מבנים וערים/ יישובים לשנת 2050</w:t>
            </w:r>
          </w:p>
        </w:tc>
      </w:tr>
    </w:tbl>
    <w:p w:rsidR="0097239C" w:rsidRPr="0097239C" w:rsidP="00C603CF">
      <w:pPr>
        <w:pStyle w:val="a"/>
        <w:spacing w:line="269" w:lineRule="auto"/>
        <w:rPr>
          <w:rtl/>
        </w:rPr>
      </w:pPr>
    </w:p>
    <w:p w:rsidR="0097239C" w:rsidRPr="0097239C" w:rsidP="00C603CF">
      <w:pPr>
        <w:spacing w:line="269" w:lineRule="auto"/>
        <w:rPr>
          <w:rtl/>
        </w:rPr>
      </w:pPr>
      <w:r w:rsidRPr="0097239C">
        <w:rPr>
          <w:rFonts w:hint="cs"/>
          <w:b/>
          <w:bCs/>
          <w:rtl/>
        </w:rPr>
        <w:t>ריבוי החלטות הממשלה והתוכניות השונות בנושא ההתייעלות האנרגטית עשוי ללמד על חשיבותו של נושא זה ועל מקומו בסדר היום הלאומי, המשתנה בשנים האחרונות. עם זאת, החלטות רבות מתקבלות בעקבות אי-עמידה ביעדי החלטות קודמות ובשל הצורך להגדיר יעדים ריאליים ומחודשים.</w:t>
      </w:r>
      <w:r w:rsidRPr="0097239C">
        <w:rPr>
          <w:b/>
          <w:bCs/>
          <w:rtl/>
        </w:rPr>
        <w:t xml:space="preserve"> ריבוי </w:t>
      </w:r>
      <w:r w:rsidRPr="0097239C">
        <w:rPr>
          <w:rFonts w:hint="cs"/>
          <w:b/>
          <w:bCs/>
          <w:rtl/>
        </w:rPr>
        <w:t>ה</w:t>
      </w:r>
      <w:r w:rsidRPr="0097239C">
        <w:rPr>
          <w:b/>
          <w:bCs/>
          <w:rtl/>
        </w:rPr>
        <w:t>ת</w:t>
      </w:r>
      <w:r w:rsidRPr="0097239C">
        <w:rPr>
          <w:rFonts w:hint="cs"/>
          <w:b/>
          <w:bCs/>
          <w:rtl/>
        </w:rPr>
        <w:t>ו</w:t>
      </w:r>
      <w:r w:rsidRPr="0097239C">
        <w:rPr>
          <w:b/>
          <w:bCs/>
          <w:rtl/>
        </w:rPr>
        <w:t>כניות</w:t>
      </w:r>
      <w:r w:rsidRPr="0097239C">
        <w:rPr>
          <w:rFonts w:hint="cs"/>
          <w:b/>
          <w:bCs/>
          <w:rtl/>
        </w:rPr>
        <w:t>,</w:t>
      </w:r>
      <w:r w:rsidRPr="0097239C">
        <w:rPr>
          <w:b/>
          <w:bCs/>
          <w:rtl/>
        </w:rPr>
        <w:t> </w:t>
      </w:r>
      <w:r w:rsidRPr="0097239C">
        <w:rPr>
          <w:rFonts w:hint="cs"/>
          <w:b/>
          <w:bCs/>
          <w:rtl/>
        </w:rPr>
        <w:t>שלעיתים אינן מתואמות ביניהן, עלול לפגוע</w:t>
      </w:r>
      <w:r w:rsidRPr="0097239C">
        <w:rPr>
          <w:b/>
          <w:bCs/>
          <w:rtl/>
        </w:rPr>
        <w:t xml:space="preserve"> באיכות התכנון והפיתו</w:t>
      </w:r>
      <w:r w:rsidRPr="0097239C">
        <w:rPr>
          <w:rFonts w:hint="cs"/>
          <w:b/>
          <w:bCs/>
          <w:rtl/>
        </w:rPr>
        <w:t xml:space="preserve">ח ולא לאפשר את ביצועו של טיפול מיטבי, המאפשר </w:t>
      </w:r>
      <w:r w:rsidRPr="0097239C">
        <w:rPr>
          <w:b/>
          <w:bCs/>
          <w:rtl/>
        </w:rPr>
        <w:t>פיתוח מושכל של מרחב עירוני בעל איכויות מבניות, סביבתיות, ערכיות וחברתיות</w:t>
      </w:r>
      <w:r w:rsidRPr="0097239C">
        <w:rPr>
          <w:rFonts w:hint="cs"/>
          <w:b/>
          <w:bCs/>
          <w:rtl/>
        </w:rPr>
        <w:t>.</w:t>
      </w:r>
      <w:r w:rsidRPr="0097239C">
        <w:rPr>
          <w:rtl/>
        </w:rPr>
        <w:t xml:space="preserve">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אף שיש בנמצא כמה </w:t>
      </w:r>
      <w:r w:rsidRPr="0097239C">
        <w:rPr>
          <w:rFonts w:hint="cs"/>
          <w:b/>
          <w:rtl/>
        </w:rPr>
        <w:t>תוכניות</w:t>
      </w:r>
      <w:r w:rsidRPr="0097239C">
        <w:rPr>
          <w:rFonts w:hint="cs"/>
          <w:b/>
          <w:rtl/>
        </w:rPr>
        <w:t xml:space="preserve"> לאומיות בנושא הפחתת פליטות והתייעלות אנרגטית, מרביתן מתמקדות בהתייעלות במגזר החשמל, והן אינן בעלות ראייה </w:t>
      </w:r>
      <w:r w:rsidRPr="0097239C">
        <w:rPr>
          <w:rFonts w:hint="cs"/>
          <w:b/>
          <w:rtl/>
        </w:rPr>
        <w:t>מתכללת</w:t>
      </w:r>
      <w:r w:rsidRPr="0097239C">
        <w:rPr>
          <w:rFonts w:hint="cs"/>
          <w:b/>
          <w:rtl/>
        </w:rPr>
        <w:t>. הדבר</w:t>
      </w:r>
      <w:r w:rsidRPr="0097239C">
        <w:rPr>
          <w:b/>
          <w:rtl/>
        </w:rPr>
        <w:t xml:space="preserve"> בא לידי ביטוי </w:t>
      </w:r>
      <w:r w:rsidRPr="0097239C">
        <w:rPr>
          <w:rFonts w:hint="cs"/>
          <w:b/>
          <w:rtl/>
        </w:rPr>
        <w:t>בעצם הדבר</w:t>
      </w:r>
      <w:r w:rsidRPr="0097239C">
        <w:rPr>
          <w:b/>
          <w:rtl/>
        </w:rPr>
        <w:t xml:space="preserve"> </w:t>
      </w:r>
      <w:r w:rsidRPr="0097239C">
        <w:rPr>
          <w:rFonts w:hint="eastAsia"/>
          <w:b/>
          <w:rtl/>
        </w:rPr>
        <w:t>ש</w:t>
      </w:r>
      <w:r w:rsidRPr="0097239C">
        <w:rPr>
          <w:b/>
          <w:rtl/>
        </w:rPr>
        <w:t xml:space="preserve">החלטות </w:t>
      </w:r>
      <w:r w:rsidRPr="0097239C">
        <w:rPr>
          <w:rFonts w:hint="eastAsia"/>
          <w:b/>
          <w:rtl/>
        </w:rPr>
        <w:t>לגבי</w:t>
      </w:r>
      <w:r w:rsidRPr="0097239C">
        <w:rPr>
          <w:b/>
          <w:rtl/>
        </w:rPr>
        <w:t xml:space="preserve"> כל נושא </w:t>
      </w:r>
      <w:r w:rsidRPr="0097239C">
        <w:rPr>
          <w:rFonts w:hint="eastAsia"/>
          <w:b/>
          <w:rtl/>
        </w:rPr>
        <w:t>מתקבלות</w:t>
      </w:r>
      <w:r w:rsidRPr="0097239C">
        <w:rPr>
          <w:b/>
          <w:rtl/>
        </w:rPr>
        <w:t xml:space="preserve"> בנפרד</w:t>
      </w:r>
      <w:r w:rsidRPr="0097239C">
        <w:rPr>
          <w:rFonts w:hint="cs"/>
          <w:b/>
          <w:rtl/>
        </w:rPr>
        <w:t>,</w:t>
      </w:r>
      <w:r w:rsidRPr="0097239C">
        <w:rPr>
          <w:b/>
          <w:rtl/>
        </w:rPr>
        <w:t xml:space="preserve"> בלא שניתן המשקל הראוי ל</w:t>
      </w:r>
      <w:r w:rsidRPr="0097239C">
        <w:rPr>
          <w:rFonts w:hint="eastAsia"/>
          <w:b/>
          <w:rtl/>
        </w:rPr>
        <w:t>מכלול</w:t>
      </w:r>
      <w:r w:rsidRPr="0097239C">
        <w:rPr>
          <w:b/>
          <w:rtl/>
        </w:rPr>
        <w:t xml:space="preserve"> </w:t>
      </w:r>
      <w:r w:rsidRPr="0097239C">
        <w:rPr>
          <w:rFonts w:hint="eastAsia"/>
          <w:b/>
          <w:rtl/>
        </w:rPr>
        <w:t>ה</w:t>
      </w:r>
      <w:r w:rsidRPr="0097239C">
        <w:rPr>
          <w:b/>
          <w:rtl/>
        </w:rPr>
        <w:t xml:space="preserve">שיקולים </w:t>
      </w:r>
      <w:r w:rsidRPr="0097239C">
        <w:rPr>
          <w:rFonts w:hint="eastAsia"/>
          <w:b/>
          <w:rtl/>
        </w:rPr>
        <w:t>ולאיזונים</w:t>
      </w:r>
      <w:r w:rsidRPr="0097239C">
        <w:rPr>
          <w:b/>
          <w:rtl/>
        </w:rPr>
        <w:t xml:space="preserve"> </w:t>
      </w:r>
      <w:r w:rsidRPr="0097239C">
        <w:rPr>
          <w:rFonts w:hint="eastAsia"/>
          <w:b/>
          <w:rtl/>
        </w:rPr>
        <w:t>בין</w:t>
      </w:r>
      <w:r w:rsidRPr="0097239C">
        <w:rPr>
          <w:b/>
          <w:rtl/>
        </w:rPr>
        <w:t xml:space="preserve"> </w:t>
      </w:r>
      <w:r w:rsidRPr="0097239C">
        <w:rPr>
          <w:rFonts w:hint="eastAsia"/>
          <w:b/>
          <w:rtl/>
        </w:rPr>
        <w:t>ההיבטים</w:t>
      </w:r>
      <w:r w:rsidRPr="0097239C">
        <w:rPr>
          <w:b/>
          <w:rtl/>
        </w:rPr>
        <w:t xml:space="preserve"> </w:t>
      </w:r>
      <w:r w:rsidRPr="0097239C">
        <w:rPr>
          <w:rFonts w:hint="eastAsia"/>
          <w:b/>
          <w:rtl/>
        </w:rPr>
        <w:t>הכלכליים</w:t>
      </w:r>
      <w:r w:rsidRPr="0097239C">
        <w:rPr>
          <w:b/>
          <w:rtl/>
        </w:rPr>
        <w:t xml:space="preserve">, </w:t>
      </w:r>
      <w:r w:rsidRPr="0097239C">
        <w:rPr>
          <w:rFonts w:hint="eastAsia"/>
          <w:b/>
          <w:rtl/>
        </w:rPr>
        <w:t>הסביבתיים</w:t>
      </w:r>
      <w:r w:rsidRPr="0097239C">
        <w:rPr>
          <w:b/>
          <w:rtl/>
        </w:rPr>
        <w:t xml:space="preserve"> </w:t>
      </w:r>
      <w:r w:rsidRPr="0097239C">
        <w:rPr>
          <w:rFonts w:hint="eastAsia"/>
          <w:b/>
          <w:rtl/>
        </w:rPr>
        <w:t>והחברתיים</w:t>
      </w:r>
      <w:r w:rsidRPr="0097239C">
        <w:rPr>
          <w:b/>
          <w:rtl/>
        </w:rPr>
        <w:t xml:space="preserve"> </w:t>
      </w:r>
      <w:r w:rsidRPr="0097239C">
        <w:rPr>
          <w:rFonts w:hint="eastAsia"/>
          <w:b/>
          <w:rtl/>
        </w:rPr>
        <w:t>של</w:t>
      </w:r>
      <w:r w:rsidRPr="0097239C">
        <w:rPr>
          <w:b/>
          <w:rtl/>
        </w:rPr>
        <w:t xml:space="preserve"> </w:t>
      </w:r>
      <w:r w:rsidRPr="0097239C">
        <w:rPr>
          <w:rFonts w:hint="eastAsia"/>
          <w:b/>
          <w:rtl/>
        </w:rPr>
        <w:t>כל</w:t>
      </w:r>
      <w:r w:rsidRPr="0097239C">
        <w:rPr>
          <w:b/>
          <w:rtl/>
        </w:rPr>
        <w:t xml:space="preserve"> </w:t>
      </w:r>
      <w:r w:rsidRPr="0097239C">
        <w:rPr>
          <w:rFonts w:hint="eastAsia"/>
          <w:b/>
          <w:rtl/>
        </w:rPr>
        <w:t>החלטה</w:t>
      </w:r>
      <w:r w:rsidRPr="0097239C">
        <w:rPr>
          <w:b/>
          <w:rtl/>
        </w:rPr>
        <w:t xml:space="preserve">. </w:t>
      </w:r>
      <w:r w:rsidRPr="0097239C">
        <w:rPr>
          <w:rFonts w:hint="eastAsia"/>
          <w:b/>
          <w:rtl/>
        </w:rPr>
        <w:t>לדוגמה</w:t>
      </w:r>
      <w:r w:rsidRPr="0097239C">
        <w:rPr>
          <w:b/>
          <w:rtl/>
        </w:rPr>
        <w:t xml:space="preserve">, </w:t>
      </w:r>
      <w:r w:rsidRPr="0097239C">
        <w:rPr>
          <w:rFonts w:hint="eastAsia"/>
          <w:b/>
          <w:rtl/>
        </w:rPr>
        <w:t>במסגרת</w:t>
      </w:r>
      <w:r w:rsidRPr="0097239C">
        <w:rPr>
          <w:b/>
          <w:rtl/>
        </w:rPr>
        <w:t xml:space="preserve"> </w:t>
      </w:r>
      <w:r w:rsidRPr="0097239C">
        <w:rPr>
          <w:rFonts w:hint="eastAsia"/>
          <w:b/>
          <w:rtl/>
        </w:rPr>
        <w:t>הטיפול</w:t>
      </w:r>
      <w:r w:rsidRPr="0097239C">
        <w:rPr>
          <w:b/>
          <w:rtl/>
        </w:rPr>
        <w:t xml:space="preserve"> </w:t>
      </w:r>
      <w:r w:rsidRPr="0097239C">
        <w:rPr>
          <w:rFonts w:hint="eastAsia"/>
          <w:b/>
          <w:rtl/>
        </w:rPr>
        <w:t>במצוקת</w:t>
      </w:r>
      <w:r w:rsidRPr="0097239C">
        <w:rPr>
          <w:b/>
          <w:rtl/>
        </w:rPr>
        <w:t xml:space="preserve"> </w:t>
      </w:r>
      <w:r w:rsidRPr="0097239C">
        <w:rPr>
          <w:rFonts w:hint="eastAsia"/>
          <w:b/>
          <w:rtl/>
        </w:rPr>
        <w:t>הדיור</w:t>
      </w:r>
      <w:r w:rsidRPr="0097239C">
        <w:rPr>
          <w:b/>
          <w:rtl/>
        </w:rPr>
        <w:t xml:space="preserve"> </w:t>
      </w:r>
      <w:r w:rsidRPr="0097239C">
        <w:rPr>
          <w:rFonts w:hint="eastAsia"/>
          <w:b/>
          <w:rtl/>
        </w:rPr>
        <w:t>יזמה</w:t>
      </w:r>
      <w:r w:rsidRPr="0097239C">
        <w:rPr>
          <w:b/>
          <w:rtl/>
        </w:rPr>
        <w:t xml:space="preserve"> </w:t>
      </w:r>
      <w:r w:rsidRPr="0097239C">
        <w:rPr>
          <w:rFonts w:hint="eastAsia"/>
          <w:b/>
          <w:rtl/>
        </w:rPr>
        <w:t>המדינה</w:t>
      </w:r>
      <w:r w:rsidRPr="0097239C">
        <w:rPr>
          <w:b/>
          <w:rtl/>
        </w:rPr>
        <w:t xml:space="preserve"> </w:t>
      </w:r>
      <w:r w:rsidRPr="0097239C">
        <w:rPr>
          <w:rFonts w:hint="eastAsia"/>
          <w:b/>
          <w:rtl/>
        </w:rPr>
        <w:t>תוכניות</w:t>
      </w:r>
      <w:r w:rsidRPr="0097239C">
        <w:rPr>
          <w:b/>
          <w:rtl/>
        </w:rPr>
        <w:t xml:space="preserve"> </w:t>
      </w:r>
      <w:r w:rsidRPr="0097239C">
        <w:rPr>
          <w:rFonts w:hint="eastAsia"/>
          <w:b/>
          <w:rtl/>
        </w:rPr>
        <w:t>בנייה</w:t>
      </w:r>
      <w:r w:rsidRPr="0097239C">
        <w:rPr>
          <w:b/>
          <w:rtl/>
        </w:rPr>
        <w:t xml:space="preserve"> </w:t>
      </w:r>
      <w:r w:rsidRPr="0097239C">
        <w:rPr>
          <w:rFonts w:hint="eastAsia"/>
          <w:b/>
          <w:rtl/>
        </w:rPr>
        <w:t>שונות</w:t>
      </w:r>
      <w:r w:rsidRPr="0097239C">
        <w:rPr>
          <w:b/>
          <w:rtl/>
        </w:rPr>
        <w:t xml:space="preserve">, </w:t>
      </w:r>
      <w:r w:rsidRPr="0097239C">
        <w:rPr>
          <w:rFonts w:hint="eastAsia"/>
          <w:b/>
          <w:rtl/>
        </w:rPr>
        <w:t>בלי</w:t>
      </w:r>
      <w:r w:rsidRPr="0097239C">
        <w:rPr>
          <w:b/>
          <w:rtl/>
        </w:rPr>
        <w:t xml:space="preserve"> </w:t>
      </w:r>
      <w:r w:rsidRPr="0097239C">
        <w:rPr>
          <w:rFonts w:hint="eastAsia"/>
          <w:b/>
          <w:rtl/>
        </w:rPr>
        <w:t>שחייבה</w:t>
      </w:r>
      <w:r w:rsidRPr="0097239C">
        <w:rPr>
          <w:b/>
          <w:rtl/>
        </w:rPr>
        <w:t xml:space="preserve"> </w:t>
      </w:r>
      <w:r w:rsidRPr="0097239C">
        <w:rPr>
          <w:rFonts w:hint="eastAsia"/>
          <w:b/>
          <w:rtl/>
        </w:rPr>
        <w:t>את</w:t>
      </w:r>
      <w:r w:rsidRPr="0097239C">
        <w:rPr>
          <w:b/>
          <w:rtl/>
        </w:rPr>
        <w:t xml:space="preserve"> </w:t>
      </w:r>
      <w:r w:rsidRPr="0097239C">
        <w:rPr>
          <w:rFonts w:hint="eastAsia"/>
          <w:b/>
          <w:rtl/>
        </w:rPr>
        <w:t>היזמים</w:t>
      </w:r>
      <w:r w:rsidRPr="0097239C">
        <w:rPr>
          <w:b/>
          <w:rtl/>
        </w:rPr>
        <w:t xml:space="preserve"> </w:t>
      </w:r>
      <w:r w:rsidRPr="0097239C">
        <w:rPr>
          <w:rFonts w:hint="eastAsia"/>
          <w:b/>
          <w:rtl/>
        </w:rPr>
        <w:t>לעמוד</w:t>
      </w:r>
      <w:r w:rsidRPr="0097239C">
        <w:rPr>
          <w:b/>
          <w:rtl/>
        </w:rPr>
        <w:t xml:space="preserve"> </w:t>
      </w:r>
      <w:r w:rsidRPr="0097239C">
        <w:rPr>
          <w:rFonts w:hint="eastAsia"/>
          <w:b/>
          <w:rtl/>
        </w:rPr>
        <w:t>בתקנים</w:t>
      </w:r>
      <w:r w:rsidRPr="0097239C">
        <w:rPr>
          <w:b/>
          <w:rtl/>
        </w:rPr>
        <w:t xml:space="preserve"> </w:t>
      </w:r>
      <w:r w:rsidRPr="0097239C">
        <w:rPr>
          <w:rFonts w:hint="eastAsia"/>
          <w:b/>
          <w:rtl/>
        </w:rPr>
        <w:t>בסיסיים</w:t>
      </w:r>
      <w:r w:rsidRPr="0097239C">
        <w:rPr>
          <w:b/>
          <w:rtl/>
        </w:rPr>
        <w:t xml:space="preserve"> </w:t>
      </w:r>
      <w:r w:rsidRPr="0097239C">
        <w:rPr>
          <w:rFonts w:hint="eastAsia"/>
          <w:b/>
          <w:rtl/>
        </w:rPr>
        <w:t>של</w:t>
      </w:r>
      <w:r w:rsidRPr="0097239C">
        <w:rPr>
          <w:b/>
          <w:rtl/>
        </w:rPr>
        <w:t xml:space="preserve"> </w:t>
      </w:r>
      <w:r w:rsidRPr="0097239C">
        <w:rPr>
          <w:rFonts w:hint="eastAsia"/>
          <w:b/>
          <w:rtl/>
        </w:rPr>
        <w:t>בנייה</w:t>
      </w:r>
      <w:r w:rsidRPr="0097239C">
        <w:rPr>
          <w:b/>
          <w:rtl/>
        </w:rPr>
        <w:t xml:space="preserve"> </w:t>
      </w:r>
      <w:r w:rsidRPr="0097239C">
        <w:rPr>
          <w:rFonts w:hint="eastAsia"/>
          <w:b/>
          <w:rtl/>
        </w:rPr>
        <w:t>ירוקה</w:t>
      </w:r>
      <w:r w:rsidRPr="0097239C">
        <w:rPr>
          <w:rFonts w:hint="cs"/>
          <w:b/>
          <w:rtl/>
        </w:rPr>
        <w:t>.</w:t>
      </w:r>
      <w:r w:rsidRPr="0097239C">
        <w:rPr>
          <w:rFonts w:hint="cs"/>
          <w:rtl/>
        </w:rPr>
        <w:t xml:space="preserve"> עם זאת יצוין כי במרץ 2020 אישרה המועצה הארצית לתכנון ובנייה תקנות המחייבות לאמץ את תקן הבנייה הירוקה באופן מדורג החל משנת 2021 (ראו בהמשך).</w:t>
      </w:r>
      <w:r w:rsidRPr="0097239C">
        <w:rPr>
          <w:rFonts w:hint="cs"/>
          <w:b/>
          <w:rtl/>
        </w:rPr>
        <w:t xml:space="preserve"> משרד </w:t>
      </w:r>
      <w:r w:rsidRPr="0097239C">
        <w:rPr>
          <w:rFonts w:hint="cs"/>
          <w:b/>
          <w:rtl/>
        </w:rPr>
        <w:t>האנרגייה</w:t>
      </w:r>
      <w:r w:rsidRPr="0097239C">
        <w:rPr>
          <w:rFonts w:hint="cs"/>
          <w:b/>
          <w:rtl/>
        </w:rPr>
        <w:t xml:space="preserve"> קבע יעדים לצמצום צריכת החשמל, ומצד שני הצהיר על מדיניות של ייבוא מכוניות חשמליות בלבד החל משנת 2030 (ראו בהמשך). כן העלתה הביקורת כי מרבית הת</w:t>
      </w:r>
      <w:r w:rsidRPr="0097239C">
        <w:rPr>
          <w:rFonts w:hint="eastAsia"/>
          <w:b/>
          <w:rtl/>
        </w:rPr>
        <w:t>וכניות</w:t>
      </w:r>
      <w:r w:rsidRPr="0097239C">
        <w:rPr>
          <w:b/>
          <w:rtl/>
        </w:rPr>
        <w:t xml:space="preserve"> </w:t>
      </w:r>
      <w:r w:rsidRPr="0097239C">
        <w:rPr>
          <w:rFonts w:hint="eastAsia"/>
          <w:b/>
          <w:rtl/>
        </w:rPr>
        <w:t>עוסקות</w:t>
      </w:r>
      <w:r w:rsidRPr="0097239C">
        <w:rPr>
          <w:b/>
          <w:rtl/>
        </w:rPr>
        <w:t xml:space="preserve"> </w:t>
      </w:r>
      <w:r w:rsidRPr="0097239C">
        <w:rPr>
          <w:rFonts w:hint="eastAsia"/>
          <w:b/>
          <w:rtl/>
        </w:rPr>
        <w:t>במגזר</w:t>
      </w:r>
      <w:r w:rsidRPr="0097239C">
        <w:rPr>
          <w:b/>
          <w:rtl/>
        </w:rPr>
        <w:t xml:space="preserve"> </w:t>
      </w:r>
      <w:r w:rsidRPr="0097239C">
        <w:rPr>
          <w:rFonts w:hint="eastAsia"/>
          <w:b/>
          <w:rtl/>
        </w:rPr>
        <w:t>החשמל</w:t>
      </w:r>
      <w:r w:rsidRPr="0097239C">
        <w:rPr>
          <w:b/>
          <w:rtl/>
        </w:rPr>
        <w:t xml:space="preserve"> </w:t>
      </w:r>
      <w:r w:rsidRPr="0097239C">
        <w:rPr>
          <w:rFonts w:hint="eastAsia"/>
          <w:b/>
          <w:rtl/>
        </w:rPr>
        <w:t>בלבד</w:t>
      </w:r>
      <w:r w:rsidRPr="0097239C">
        <w:rPr>
          <w:b/>
          <w:rtl/>
        </w:rPr>
        <w:t xml:space="preserve">, </w:t>
      </w:r>
      <w:r w:rsidRPr="0097239C">
        <w:rPr>
          <w:rFonts w:hint="eastAsia"/>
          <w:b/>
          <w:rtl/>
        </w:rPr>
        <w:t>ואינן</w:t>
      </w:r>
      <w:r w:rsidRPr="0097239C">
        <w:rPr>
          <w:b/>
          <w:rtl/>
        </w:rPr>
        <w:t xml:space="preserve"> </w:t>
      </w:r>
      <w:r w:rsidRPr="0097239C">
        <w:rPr>
          <w:rFonts w:hint="eastAsia"/>
          <w:b/>
          <w:rtl/>
        </w:rPr>
        <w:t>דנות</w:t>
      </w:r>
      <w:r w:rsidRPr="0097239C">
        <w:rPr>
          <w:b/>
          <w:rtl/>
        </w:rPr>
        <w:t xml:space="preserve"> </w:t>
      </w:r>
      <w:r w:rsidRPr="0097239C">
        <w:rPr>
          <w:rFonts w:hint="eastAsia"/>
          <w:b/>
          <w:rtl/>
        </w:rPr>
        <w:t>בצורכי</w:t>
      </w:r>
      <w:r w:rsidRPr="0097239C">
        <w:rPr>
          <w:b/>
          <w:rtl/>
        </w:rPr>
        <w:t xml:space="preserve"> </w:t>
      </w:r>
      <w:r w:rsidRPr="0097239C">
        <w:rPr>
          <w:rFonts w:hint="eastAsia"/>
          <w:b/>
          <w:rtl/>
        </w:rPr>
        <w:t>ההתייעלות</w:t>
      </w:r>
      <w:r w:rsidRPr="0097239C">
        <w:rPr>
          <w:b/>
          <w:rtl/>
        </w:rPr>
        <w:t xml:space="preserve"> </w:t>
      </w:r>
      <w:r w:rsidRPr="0097239C">
        <w:rPr>
          <w:rFonts w:hint="eastAsia"/>
          <w:b/>
          <w:rtl/>
        </w:rPr>
        <w:t>במגזרים</w:t>
      </w:r>
      <w:r w:rsidRPr="0097239C">
        <w:rPr>
          <w:b/>
          <w:rtl/>
        </w:rPr>
        <w:t xml:space="preserve"> </w:t>
      </w:r>
      <w:r w:rsidRPr="0097239C">
        <w:rPr>
          <w:rFonts w:hint="eastAsia"/>
          <w:b/>
          <w:rtl/>
        </w:rPr>
        <w:t>אחרים</w:t>
      </w:r>
      <w:r w:rsidRPr="0097239C">
        <w:rPr>
          <w:b/>
          <w:rtl/>
        </w:rPr>
        <w:t xml:space="preserve"> </w:t>
      </w:r>
      <w:r w:rsidRPr="0097239C">
        <w:rPr>
          <w:rFonts w:hint="eastAsia"/>
          <w:b/>
          <w:rtl/>
        </w:rPr>
        <w:t>כגון</w:t>
      </w:r>
      <w:r w:rsidRPr="0097239C">
        <w:rPr>
          <w:b/>
          <w:rtl/>
        </w:rPr>
        <w:t xml:space="preserve"> </w:t>
      </w:r>
      <w:r w:rsidRPr="0097239C">
        <w:rPr>
          <w:rFonts w:hint="eastAsia"/>
          <w:b/>
          <w:rtl/>
        </w:rPr>
        <w:t>התחבורה</w:t>
      </w:r>
      <w:r w:rsidRPr="0097239C">
        <w:rPr>
          <w:b/>
          <w:rtl/>
        </w:rPr>
        <w:t xml:space="preserve">, </w:t>
      </w:r>
      <w:r w:rsidRPr="0097239C">
        <w:rPr>
          <w:rFonts w:hint="cs"/>
          <w:b/>
          <w:rtl/>
        </w:rPr>
        <w:t>ו</w:t>
      </w:r>
      <w:r w:rsidRPr="0097239C">
        <w:rPr>
          <w:rFonts w:hint="eastAsia"/>
          <w:b/>
          <w:rtl/>
        </w:rPr>
        <w:t>זו</w:t>
      </w:r>
      <w:r w:rsidRPr="0097239C">
        <w:rPr>
          <w:b/>
          <w:rtl/>
        </w:rPr>
        <w:t xml:space="preserve"> </w:t>
      </w:r>
      <w:r w:rsidRPr="0097239C">
        <w:rPr>
          <w:rFonts w:hint="eastAsia"/>
          <w:b/>
          <w:rtl/>
        </w:rPr>
        <w:t>נקבעת</w:t>
      </w:r>
      <w:r w:rsidRPr="0097239C">
        <w:rPr>
          <w:b/>
          <w:rtl/>
        </w:rPr>
        <w:t xml:space="preserve"> </w:t>
      </w:r>
      <w:r w:rsidRPr="0097239C">
        <w:rPr>
          <w:rFonts w:hint="eastAsia"/>
          <w:b/>
          <w:rtl/>
        </w:rPr>
        <w:t>במסגרת</w:t>
      </w:r>
      <w:r w:rsidRPr="0097239C">
        <w:rPr>
          <w:b/>
          <w:rtl/>
        </w:rPr>
        <w:t xml:space="preserve"> </w:t>
      </w:r>
      <w:r w:rsidRPr="0097239C">
        <w:rPr>
          <w:rFonts w:hint="eastAsia"/>
          <w:b/>
          <w:rtl/>
        </w:rPr>
        <w:t>תוכניות</w:t>
      </w:r>
      <w:r w:rsidRPr="0097239C">
        <w:rPr>
          <w:b/>
          <w:rtl/>
        </w:rPr>
        <w:t xml:space="preserve"> </w:t>
      </w:r>
      <w:r w:rsidRPr="0097239C">
        <w:rPr>
          <w:rFonts w:hint="eastAsia"/>
          <w:b/>
          <w:rtl/>
        </w:rPr>
        <w:t>נפרדות</w:t>
      </w:r>
      <w:r w:rsidRPr="0097239C">
        <w:rPr>
          <w:b/>
          <w:rtl/>
        </w:rPr>
        <w:t xml:space="preserve"> (ראו </w:t>
      </w:r>
      <w:r w:rsidRPr="0097239C">
        <w:rPr>
          <w:rFonts w:hint="eastAsia"/>
          <w:b/>
          <w:rtl/>
        </w:rPr>
        <w:t>בהמשך</w:t>
      </w:r>
      <w:r w:rsidRPr="0097239C">
        <w:rPr>
          <w:b/>
          <w:rtl/>
        </w:rPr>
        <w:t>)</w:t>
      </w:r>
      <w:r>
        <w:rPr>
          <w:b/>
          <w:vertAlign w:val="superscript"/>
          <w:rtl/>
        </w:rPr>
        <w:footnoteReference w:id="46"/>
      </w:r>
      <w:r w:rsidRPr="0097239C">
        <w:rPr>
          <w:rFonts w:hint="cs"/>
          <w:b/>
          <w:rtl/>
        </w:rPr>
        <w:t>.</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 xml:space="preserve">מומלץ כי משרדי הממשלה הנוגעים בדבר, לרבות משרד </w:t>
      </w:r>
      <w:r w:rsidRPr="0097239C">
        <w:rPr>
          <w:rFonts w:hint="cs"/>
          <w:bCs/>
          <w:rtl/>
        </w:rPr>
        <w:t>האנרגייה</w:t>
      </w:r>
      <w:r w:rsidRPr="0097239C">
        <w:rPr>
          <w:rFonts w:hint="cs"/>
          <w:bCs/>
          <w:rtl/>
        </w:rPr>
        <w:t xml:space="preserve">, המשרד </w:t>
      </w:r>
      <w:r w:rsidRPr="0097239C">
        <w:rPr>
          <w:rFonts w:hint="cs"/>
          <w:bCs/>
          <w:rtl/>
        </w:rPr>
        <w:t>להג"ס</w:t>
      </w:r>
      <w:r w:rsidRPr="0097239C">
        <w:rPr>
          <w:rFonts w:hint="cs"/>
          <w:bCs/>
          <w:rtl/>
        </w:rPr>
        <w:t xml:space="preserve">, משרד האוצר ומשרד התחבורה, יכינו </w:t>
      </w:r>
      <w:r w:rsidRPr="0097239C">
        <w:rPr>
          <w:rFonts w:hint="cs"/>
          <w:bCs/>
          <w:rtl/>
        </w:rPr>
        <w:t>תוכנית</w:t>
      </w:r>
      <w:r w:rsidRPr="0097239C">
        <w:rPr>
          <w:rFonts w:hint="cs"/>
          <w:bCs/>
          <w:rtl/>
        </w:rPr>
        <w:t xml:space="preserve"> כוללת להתייעלות אנרגטית </w:t>
      </w:r>
      <w:r w:rsidRPr="0097239C">
        <w:rPr>
          <w:rFonts w:hint="cs"/>
          <w:bCs/>
          <w:rtl/>
        </w:rPr>
        <w:t>המתכללת</w:t>
      </w:r>
      <w:r w:rsidRPr="0097239C">
        <w:rPr>
          <w:rFonts w:hint="cs"/>
          <w:bCs/>
          <w:rtl/>
        </w:rPr>
        <w:t xml:space="preserve"> את הפעולות בכל המגזרים </w:t>
      </w:r>
      <w:r>
        <w:rPr>
          <w:rFonts w:hint="cs"/>
          <w:bCs/>
          <w:rtl/>
        </w:rPr>
        <w:t>-</w:t>
      </w:r>
      <w:r w:rsidRPr="0097239C">
        <w:rPr>
          <w:rFonts w:hint="cs"/>
          <w:bCs/>
          <w:rtl/>
        </w:rPr>
        <w:t xml:space="preserve"> החשמל, התחבורה והתעשייה - </w:t>
      </w:r>
      <w:r w:rsidRPr="0097239C">
        <w:rPr>
          <w:rFonts w:hint="eastAsia"/>
          <w:bCs/>
          <w:rtl/>
        </w:rPr>
        <w:t>לרבות</w:t>
      </w:r>
      <w:r w:rsidRPr="0097239C">
        <w:rPr>
          <w:bCs/>
          <w:rtl/>
        </w:rPr>
        <w:t xml:space="preserve"> הגדרת יעדים, לוחות זמנים לביצוע והקצאת משאבים תקציביים לכל </w:t>
      </w:r>
      <w:r w:rsidRPr="0097239C">
        <w:rPr>
          <w:rFonts w:hint="eastAsia"/>
          <w:bCs/>
          <w:rtl/>
        </w:rPr>
        <w:t>רכיב</w:t>
      </w:r>
      <w:r w:rsidRPr="0097239C">
        <w:rPr>
          <w:bCs/>
          <w:rtl/>
        </w:rPr>
        <w:t xml:space="preserve"> </w:t>
      </w:r>
      <w:r w:rsidRPr="0097239C">
        <w:rPr>
          <w:rFonts w:hint="eastAsia"/>
          <w:bCs/>
          <w:rtl/>
        </w:rPr>
        <w:t>בת</w:t>
      </w:r>
      <w:r w:rsidRPr="0097239C">
        <w:rPr>
          <w:rFonts w:hint="cs"/>
          <w:bCs/>
          <w:rtl/>
        </w:rPr>
        <w:t>ו</w:t>
      </w:r>
      <w:r w:rsidRPr="0097239C">
        <w:rPr>
          <w:rFonts w:hint="eastAsia"/>
          <w:bCs/>
          <w:rtl/>
        </w:rPr>
        <w:t>כנית</w:t>
      </w:r>
      <w:r w:rsidRPr="0097239C">
        <w:rPr>
          <w:rFonts w:hint="cs"/>
          <w:bCs/>
          <w:rtl/>
        </w:rPr>
        <w:t>. כן מומלץ כי המשרדים יבצעו הערכה כוללת, אשר במסגרתה</w:t>
      </w:r>
      <w:r w:rsidRPr="0097239C">
        <w:rPr>
          <w:bCs/>
          <w:rtl/>
        </w:rPr>
        <w:t xml:space="preserve"> יש לבצע תחשיבי עלות </w:t>
      </w:r>
      <w:r w:rsidRPr="0097239C">
        <w:rPr>
          <w:rFonts w:hint="cs"/>
          <w:bCs/>
          <w:rtl/>
        </w:rPr>
        <w:t>לעומת</w:t>
      </w:r>
      <w:r w:rsidRPr="0097239C">
        <w:rPr>
          <w:bCs/>
          <w:rtl/>
        </w:rPr>
        <w:t xml:space="preserve"> תועלת ולהביא בחשבון, נוסף</w:t>
      </w:r>
      <w:r w:rsidRPr="0097239C">
        <w:rPr>
          <w:bCs/>
        </w:rPr>
        <w:t xml:space="preserve"> </w:t>
      </w:r>
      <w:r w:rsidRPr="0097239C">
        <w:rPr>
          <w:bCs/>
          <w:rtl/>
        </w:rPr>
        <w:t xml:space="preserve">על שיקולים תעסוקתיים וכלכליים, את הנזקים </w:t>
      </w:r>
      <w:r w:rsidRPr="0097239C">
        <w:rPr>
          <w:rFonts w:hint="cs"/>
          <w:bCs/>
          <w:rtl/>
        </w:rPr>
        <w:t xml:space="preserve">שמקורם בפליטות גזי חממה </w:t>
      </w:r>
      <w:r w:rsidRPr="0097239C">
        <w:rPr>
          <w:bCs/>
          <w:rtl/>
        </w:rPr>
        <w:t>ו</w:t>
      </w:r>
      <w:r w:rsidRPr="0097239C">
        <w:rPr>
          <w:rFonts w:hint="cs"/>
          <w:bCs/>
          <w:rtl/>
        </w:rPr>
        <w:t>את ה</w:t>
      </w:r>
      <w:r w:rsidRPr="0097239C">
        <w:rPr>
          <w:bCs/>
          <w:rtl/>
        </w:rPr>
        <w:t>עלויות המושתות</w:t>
      </w:r>
      <w:r w:rsidRPr="0097239C">
        <w:rPr>
          <w:rFonts w:hint="cs"/>
          <w:bCs/>
          <w:rtl/>
        </w:rPr>
        <w:t xml:space="preserve"> בגינן</w:t>
      </w:r>
      <w:r w:rsidRPr="0097239C">
        <w:rPr>
          <w:bCs/>
          <w:rtl/>
        </w:rPr>
        <w:t xml:space="preserve"> על הציבור</w:t>
      </w:r>
      <w:r w:rsidRPr="0097239C">
        <w:rPr>
          <w:bCs/>
        </w:rPr>
        <w:t xml:space="preserve"> </w:t>
      </w:r>
      <w:r w:rsidRPr="0097239C">
        <w:rPr>
          <w:bCs/>
          <w:rtl/>
        </w:rPr>
        <w:t>ועל מוסדות המדינה, הנאמד</w:t>
      </w:r>
      <w:r w:rsidRPr="0097239C">
        <w:rPr>
          <w:rFonts w:hint="cs"/>
          <w:bCs/>
          <w:rtl/>
        </w:rPr>
        <w:t>ות</w:t>
      </w:r>
      <w:r w:rsidRPr="0097239C">
        <w:rPr>
          <w:bCs/>
          <w:rtl/>
        </w:rPr>
        <w:t xml:space="preserve"> במיליארדי שקלים בשנה</w:t>
      </w:r>
      <w:r w:rsidRPr="0097239C">
        <w:rPr>
          <w:rFonts w:hint="cs"/>
          <w:b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מסר למשרד מבקר המדינה בדצמבר 2019 כי אחד מאגפיו - אגף שימור </w:t>
      </w:r>
      <w:r w:rsidRPr="0097239C">
        <w:rPr>
          <w:rFonts w:hint="cs"/>
          <w:rtl/>
        </w:rPr>
        <w:t>אנרגייה</w:t>
      </w:r>
      <w:r w:rsidRPr="0097239C">
        <w:rPr>
          <w:rFonts w:hint="cs"/>
          <w:rtl/>
        </w:rPr>
        <w:t xml:space="preserve"> - מגבש </w:t>
      </w:r>
      <w:r w:rsidRPr="0097239C">
        <w:rPr>
          <w:rFonts w:hint="cs"/>
          <w:rtl/>
        </w:rPr>
        <w:t>תוכנית</w:t>
      </w:r>
      <w:r w:rsidRPr="0097239C">
        <w:rPr>
          <w:rFonts w:hint="cs"/>
          <w:rtl/>
        </w:rPr>
        <w:t xml:space="preserve"> לאומית חדשה להתייעלות </w:t>
      </w:r>
      <w:r w:rsidRPr="0097239C">
        <w:rPr>
          <w:rFonts w:hint="cs"/>
          <w:rtl/>
        </w:rPr>
        <w:t>באנרגייה</w:t>
      </w:r>
      <w:r w:rsidRPr="0097239C">
        <w:rPr>
          <w:rFonts w:hint="cs"/>
          <w:rtl/>
        </w:rPr>
        <w:t>.</w:t>
      </w:r>
      <w:r w:rsidRPr="0097239C">
        <w:rPr>
          <w:rFonts w:hint="cs"/>
          <w:b/>
          <w:rtl/>
        </w:rPr>
        <w:t xml:space="preserve"> </w:t>
      </w:r>
      <w:r w:rsidRPr="0097239C">
        <w:rPr>
          <w:rFonts w:hint="cs"/>
          <w:rtl/>
        </w:rPr>
        <w:t xml:space="preserve">במסגרת התוכנית, המשרד מקדם שינוי גישה, לרבות עדכון היעד להתייעלות </w:t>
      </w:r>
      <w:r w:rsidRPr="0097239C">
        <w:rPr>
          <w:rFonts w:hint="cs"/>
          <w:rtl/>
        </w:rPr>
        <w:t>באנרגייה</w:t>
      </w:r>
      <w:r w:rsidRPr="0097239C">
        <w:rPr>
          <w:rFonts w:hint="cs"/>
          <w:rtl/>
        </w:rPr>
        <w:t xml:space="preserve"> מיעד המוגדר במונחי התייעלות בצריכת החשמל בלבד ליעד המגדיר התייעלות כוללת במונחי </w:t>
      </w:r>
      <w:r w:rsidRPr="0097239C">
        <w:rPr>
          <w:rFonts w:hint="cs"/>
          <w:rtl/>
        </w:rPr>
        <w:t>אנרגייה</w:t>
      </w:r>
      <w:r w:rsidRPr="0097239C">
        <w:rPr>
          <w:rFonts w:hint="cs"/>
          <w:rtl/>
        </w:rPr>
        <w:t>.</w:t>
      </w:r>
      <w:r w:rsidRPr="0097239C">
        <w:rPr>
          <w:rtl/>
        </w:rPr>
        <w:t xml:space="preserve"> </w:t>
      </w:r>
      <w:r w:rsidRPr="0097239C">
        <w:rPr>
          <w:rFonts w:hint="cs"/>
          <w:rtl/>
        </w:rPr>
        <w:t xml:space="preserve">עדכון זה נועד להתאים את יעד ההתייעלות למגמות ולתמורות במשק </w:t>
      </w:r>
      <w:r w:rsidRPr="0097239C">
        <w:rPr>
          <w:rFonts w:hint="cs"/>
          <w:rtl/>
        </w:rPr>
        <w:t>האנרגייה</w:t>
      </w:r>
      <w:r w:rsidRPr="0097239C">
        <w:rPr>
          <w:rFonts w:hint="cs"/>
          <w:rtl/>
        </w:rPr>
        <w:t xml:space="preserve">, בדגש על מהלכים שנועדו להגביר את צריכת החשמל. ייצור חשמל ממקורות חלופיים על חשבון </w:t>
      </w:r>
      <w:r w:rsidRPr="0097239C">
        <w:rPr>
          <w:rFonts w:hint="cs"/>
          <w:rtl/>
        </w:rPr>
        <w:t>דלקים</w:t>
      </w:r>
      <w:r w:rsidRPr="0097239C">
        <w:rPr>
          <w:rFonts w:hint="cs"/>
          <w:rtl/>
        </w:rPr>
        <w:t xml:space="preserve"> מזהמים, לרבות באמצעות הגדלת הייצור בגז טבעי והגדלת היקף האנרגיות המתחדשות, הוא בעל חשיבות ממשית. אחת המגמות המשמעותיות בהקשר זה היא מהלך רחב היקף שמטרתו להביא לחשמול התחבורה בישראל. מעבר לכלי רכב חשמליים מביא למעשה להוצאה של שריפת </w:t>
      </w:r>
      <w:r w:rsidRPr="0097239C">
        <w:rPr>
          <w:rFonts w:hint="cs"/>
          <w:rtl/>
        </w:rPr>
        <w:t>דלקים</w:t>
      </w:r>
      <w:r w:rsidRPr="0097239C">
        <w:rPr>
          <w:rFonts w:hint="cs"/>
          <w:rtl/>
        </w:rPr>
        <w:t xml:space="preserve"> אל מחוץ לריכוזי אוכלוסיי</w:t>
      </w:r>
      <w:r w:rsidRPr="0097239C">
        <w:rPr>
          <w:rFonts w:hint="eastAsia"/>
          <w:rtl/>
        </w:rPr>
        <w:t>ה</w:t>
      </w:r>
      <w:r w:rsidRPr="0097239C">
        <w:rPr>
          <w:rFonts w:hint="cs"/>
          <w:rtl/>
        </w:rPr>
        <w:t>, ובכך מצמצם השפעות בריאותיות וסביבתיות שליליות</w:t>
      </w:r>
      <w:r>
        <w:rPr>
          <w:vertAlign w:val="superscript"/>
          <w:rtl/>
        </w:rPr>
        <w:footnoteReference w:id="47"/>
      </w:r>
      <w:r w:rsidRPr="0097239C">
        <w:rPr>
          <w:rFonts w:hint="cs"/>
          <w:rtl/>
        </w:rPr>
        <w:t xml:space="preserve">. מסיבות אלה, וכדי להימנע מהסתירה המובנית שבקביעת יעד במונחי חשמל בלבד, בד בבד עם המגמה לחשמל תהליכים רבים במשק הישראלי, הכנת </w:t>
      </w:r>
      <w:r w:rsidRPr="0097239C">
        <w:rPr>
          <w:rFonts w:hint="cs"/>
          <w:rtl/>
        </w:rPr>
        <w:t>תוכנית</w:t>
      </w:r>
      <w:r w:rsidRPr="0097239C">
        <w:rPr>
          <w:rFonts w:hint="cs"/>
          <w:rtl/>
        </w:rPr>
        <w:t xml:space="preserve"> כאמור היא מחויבת המציאות.</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הביקורת העלתה כי</w:t>
      </w:r>
      <w:r w:rsidRPr="0097239C">
        <w:rPr>
          <w:bCs/>
          <w:rtl/>
        </w:rPr>
        <w:t xml:space="preserve"> הטיפול </w:t>
      </w:r>
      <w:r w:rsidRPr="0097239C">
        <w:rPr>
          <w:rFonts w:hint="cs"/>
          <w:bCs/>
          <w:rtl/>
        </w:rPr>
        <w:t>בהפחתת הפליטות</w:t>
      </w:r>
      <w:r w:rsidRPr="0097239C">
        <w:rPr>
          <w:bCs/>
          <w:rtl/>
        </w:rPr>
        <w:t xml:space="preserve"> </w:t>
      </w:r>
      <w:r w:rsidRPr="0097239C">
        <w:rPr>
          <w:rFonts w:hint="cs"/>
          <w:bCs/>
          <w:rtl/>
        </w:rPr>
        <w:t>התאפיין לעיתים</w:t>
      </w:r>
      <w:r w:rsidRPr="0097239C">
        <w:rPr>
          <w:bCs/>
          <w:rtl/>
        </w:rPr>
        <w:t xml:space="preserve"> </w:t>
      </w:r>
      <w:r w:rsidRPr="0097239C">
        <w:rPr>
          <w:rFonts w:hint="cs"/>
          <w:bCs/>
          <w:rtl/>
        </w:rPr>
        <w:t>בכך</w:t>
      </w:r>
      <w:r w:rsidRPr="0097239C">
        <w:rPr>
          <w:bCs/>
          <w:rtl/>
        </w:rPr>
        <w:t xml:space="preserve"> </w:t>
      </w:r>
      <w:r w:rsidRPr="0097239C">
        <w:rPr>
          <w:rFonts w:hint="cs"/>
          <w:bCs/>
          <w:rtl/>
        </w:rPr>
        <w:t>ש</w:t>
      </w:r>
      <w:r w:rsidRPr="0097239C">
        <w:rPr>
          <w:bCs/>
          <w:rtl/>
        </w:rPr>
        <w:t>כל גורם נקט</w:t>
      </w:r>
      <w:r w:rsidRPr="0097239C">
        <w:rPr>
          <w:bCs/>
        </w:rPr>
        <w:t xml:space="preserve"> </w:t>
      </w:r>
      <w:r w:rsidRPr="0097239C">
        <w:rPr>
          <w:bCs/>
          <w:rtl/>
        </w:rPr>
        <w:t>פעולות מנקודת מבט צרה</w:t>
      </w:r>
      <w:r w:rsidRPr="0097239C">
        <w:rPr>
          <w:rFonts w:hint="cs"/>
          <w:bCs/>
          <w:rtl/>
        </w:rPr>
        <w:t>,</w:t>
      </w:r>
      <w:r w:rsidRPr="0097239C">
        <w:rPr>
          <w:bCs/>
          <w:rtl/>
        </w:rPr>
        <w:t xml:space="preserve"> </w:t>
      </w:r>
      <w:r w:rsidRPr="0097239C">
        <w:rPr>
          <w:rFonts w:hint="cs"/>
          <w:bCs/>
          <w:rtl/>
        </w:rPr>
        <w:t>הנוגעת ל</w:t>
      </w:r>
      <w:r w:rsidRPr="0097239C">
        <w:rPr>
          <w:bCs/>
          <w:rtl/>
        </w:rPr>
        <w:t>תחום פעילותו</w:t>
      </w:r>
      <w:r w:rsidRPr="0097239C">
        <w:rPr>
          <w:rFonts w:hint="cs"/>
          <w:bCs/>
          <w:rtl/>
        </w:rPr>
        <w:t>,</w:t>
      </w:r>
      <w:r w:rsidRPr="0097239C">
        <w:rPr>
          <w:bCs/>
          <w:rtl/>
        </w:rPr>
        <w:t xml:space="preserve"> בלי להביא בחשבון את השפעת</w:t>
      </w:r>
      <w:r w:rsidRPr="0097239C">
        <w:rPr>
          <w:bCs/>
        </w:rPr>
        <w:t xml:space="preserve"> </w:t>
      </w:r>
      <w:r w:rsidRPr="0097239C">
        <w:rPr>
          <w:bCs/>
          <w:rtl/>
        </w:rPr>
        <w:t>פעולותיו על תחומים אחרים</w:t>
      </w:r>
      <w:r w:rsidRPr="0097239C">
        <w:rPr>
          <w:rFonts w:hint="cs"/>
          <w:bCs/>
          <w:rtl/>
        </w:rPr>
        <w:t>.</w:t>
      </w:r>
      <w:r w:rsidRPr="0097239C">
        <w:rPr>
          <w:rFonts w:hint="cs"/>
          <w:b/>
          <w:rtl/>
        </w:rPr>
        <w:t xml:space="preserve"> </w:t>
      </w:r>
      <w:r w:rsidRPr="0097239C">
        <w:rPr>
          <w:rFonts w:hint="cs"/>
          <w:bCs/>
          <w:rtl/>
        </w:rPr>
        <w:t xml:space="preserve">הכנת </w:t>
      </w:r>
      <w:r w:rsidRPr="0097239C">
        <w:rPr>
          <w:rFonts w:hint="cs"/>
          <w:bCs/>
          <w:rtl/>
        </w:rPr>
        <w:t>תוכנית</w:t>
      </w:r>
      <w:r w:rsidRPr="0097239C">
        <w:rPr>
          <w:rFonts w:hint="cs"/>
          <w:bCs/>
          <w:rtl/>
        </w:rPr>
        <w:t xml:space="preserve"> להתייעלות </w:t>
      </w:r>
      <w:r w:rsidRPr="0097239C">
        <w:rPr>
          <w:rFonts w:hint="cs"/>
          <w:bCs/>
          <w:rtl/>
        </w:rPr>
        <w:t>באנרגייה</w:t>
      </w:r>
      <w:r w:rsidRPr="0097239C">
        <w:rPr>
          <w:rFonts w:hint="cs"/>
          <w:bCs/>
          <w:rtl/>
        </w:rPr>
        <w:t xml:space="preserve"> בראייה כוללת היא צעד הכרחי. מכיוון שבתהליך זה מעורבים גורמים רבים, ובהם המשרד </w:t>
      </w:r>
      <w:r w:rsidRPr="0097239C">
        <w:rPr>
          <w:rFonts w:hint="cs"/>
          <w:bCs/>
          <w:rtl/>
        </w:rPr>
        <w:t>להג"ס</w:t>
      </w:r>
      <w:r w:rsidRPr="0097239C">
        <w:rPr>
          <w:rFonts w:hint="cs"/>
          <w:bCs/>
          <w:rtl/>
        </w:rPr>
        <w:t xml:space="preserve">, משרד </w:t>
      </w:r>
      <w:r w:rsidRPr="0097239C">
        <w:rPr>
          <w:rFonts w:hint="cs"/>
          <w:bCs/>
          <w:rtl/>
        </w:rPr>
        <w:t>האנרגייה</w:t>
      </w:r>
      <w:r w:rsidRPr="0097239C">
        <w:rPr>
          <w:rFonts w:hint="cs"/>
          <w:bCs/>
          <w:rtl/>
        </w:rPr>
        <w:t xml:space="preserve">, משרד התחבורה ומשרד האוצר, משרד מבקר המדינה ממליץ למנות מבין המשרדים האמורים משרד שיוגדר כגורם המוביל, </w:t>
      </w:r>
      <w:r w:rsidRPr="0097239C">
        <w:rPr>
          <w:rFonts w:hint="cs"/>
          <w:bCs/>
          <w:rtl/>
        </w:rPr>
        <w:t>המתכלל</w:t>
      </w:r>
      <w:r w:rsidRPr="0097239C">
        <w:rPr>
          <w:rFonts w:hint="cs"/>
          <w:bCs/>
          <w:rtl/>
        </w:rPr>
        <w:t xml:space="preserve"> והמתאם. גורם זה יפעל להשלמת התוכנית הכוללת על מנת שתוצריה ישמשו </w:t>
      </w:r>
      <w:r w:rsidRPr="0097239C">
        <w:rPr>
          <w:rFonts w:hint="cs"/>
          <w:bCs/>
          <w:rtl/>
        </w:rPr>
        <w:t xml:space="preserve">תשומה למקבלי החלטות במגזרים השונים במשק ובסיס לתכנון ארוך טווח של הכלכלה הישראלית.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משרד </w:t>
      </w:r>
      <w:r w:rsidRPr="0097239C">
        <w:rPr>
          <w:rFonts w:hint="cs"/>
          <w:b/>
          <w:rtl/>
        </w:rPr>
        <w:t>האנרגייה</w:t>
      </w:r>
      <w:r w:rsidRPr="0097239C">
        <w:rPr>
          <w:rFonts w:hint="cs"/>
          <w:b/>
          <w:rtl/>
        </w:rPr>
        <w:t xml:space="preserve"> השיב למשרד מבקר המדינה ביוני 2020 כי הוא בדעה שיש למנות גורם ממשלתי אחד שירכז את כלל פעילות הממשלה בתחום ההתייעלות </w:t>
      </w:r>
      <w:r w:rsidRPr="0097239C">
        <w:rPr>
          <w:rFonts w:hint="cs"/>
          <w:b/>
          <w:rtl/>
        </w:rPr>
        <w:t>באנרגייה</w:t>
      </w:r>
      <w:r w:rsidRPr="0097239C">
        <w:rPr>
          <w:rFonts w:hint="cs"/>
          <w:b/>
          <w:rtl/>
        </w:rPr>
        <w:t xml:space="preserve">. עוד השיב משרד </w:t>
      </w:r>
      <w:r w:rsidRPr="0097239C">
        <w:rPr>
          <w:rFonts w:hint="cs"/>
          <w:b/>
          <w:rtl/>
        </w:rPr>
        <w:t>האנרגייה</w:t>
      </w:r>
      <w:r w:rsidRPr="0097239C">
        <w:rPr>
          <w:rFonts w:hint="cs"/>
          <w:b/>
          <w:rtl/>
        </w:rPr>
        <w:t xml:space="preserve"> כי המצב הנוכחי, שבו משרדים אחדים פועלים במקביל, אינו מביא למקסום התועלות בתחום ההתייעלות </w:t>
      </w:r>
      <w:r w:rsidRPr="0097239C">
        <w:rPr>
          <w:rFonts w:hint="cs"/>
          <w:b/>
          <w:rtl/>
        </w:rPr>
        <w:t>באנרגייה</w:t>
      </w:r>
      <w:r w:rsidRPr="0097239C">
        <w:rPr>
          <w:rFonts w:hint="cs"/>
          <w:b/>
          <w:rtl/>
        </w:rPr>
        <w:t xml:space="preserve">, וחשובה בעניין זה ראייה הוליסטית </w:t>
      </w:r>
      <w:r w:rsidRPr="0097239C">
        <w:rPr>
          <w:rFonts w:hint="cs"/>
          <w:b/>
          <w:rtl/>
        </w:rPr>
        <w:t>ומתכללת</w:t>
      </w:r>
      <w:r w:rsidRPr="0097239C">
        <w:rPr>
          <w:rFonts w:hint="cs"/>
          <w:b/>
          <w:rtl/>
        </w:rPr>
        <w:t xml:space="preserve">. </w:t>
      </w:r>
    </w:p>
    <w:p w:rsidR="0097239C" w:rsidRPr="0097239C" w:rsidP="00C603CF">
      <w:pPr>
        <w:spacing w:line="269" w:lineRule="auto"/>
        <w:rPr>
          <w:b/>
          <w:rtl/>
        </w:rPr>
      </w:pPr>
    </w:p>
    <w:p w:rsidR="009F2885">
      <w:pPr>
        <w:bidi w:val="0"/>
        <w:spacing w:after="200" w:line="276" w:lineRule="auto"/>
        <w:rPr>
          <w:rFonts w:eastAsiaTheme="majorEastAsia"/>
          <w:bCs/>
          <w:szCs w:val="32"/>
          <w:rtl/>
        </w:rPr>
      </w:pPr>
      <w:bookmarkStart w:id="4" w:name="_Toc46906220"/>
      <w:r>
        <w:rPr>
          <w:rtl/>
        </w:rPr>
        <w:br w:type="page"/>
      </w:r>
    </w:p>
    <w:p w:rsidR="0097239C" w:rsidP="00C603CF">
      <w:pPr>
        <w:pStyle w:val="Heading2"/>
        <w:spacing w:before="0" w:line="269" w:lineRule="auto"/>
        <w:rPr>
          <w:rtl/>
        </w:rPr>
      </w:pPr>
      <w:r w:rsidRPr="0097239C">
        <w:rPr>
          <w:rFonts w:hint="cs"/>
          <w:rtl/>
        </w:rPr>
        <w:t>התייעלות במגזר החשמל</w:t>
      </w:r>
      <w:bookmarkEnd w:id="4"/>
    </w:p>
    <w:p w:rsidR="00305CB3" w:rsidRPr="0097239C" w:rsidP="00C603CF">
      <w:pPr>
        <w:pStyle w:val="a"/>
        <w:spacing w:line="269" w:lineRule="auto"/>
        <w:rPr>
          <w:rtl/>
        </w:rPr>
      </w:pPr>
    </w:p>
    <w:p w:rsidR="0097239C" w:rsidRPr="0097239C" w:rsidP="00C603CF">
      <w:pPr>
        <w:spacing w:line="269" w:lineRule="auto"/>
        <w:rPr>
          <w:rtl/>
        </w:rPr>
      </w:pPr>
      <w:r w:rsidRPr="0097239C">
        <w:rPr>
          <w:rFonts w:hint="cs"/>
          <w:rtl/>
        </w:rPr>
        <w:t>משרד</w:t>
      </w:r>
      <w:r w:rsidRPr="0097239C">
        <w:t xml:space="preserve"> </w:t>
      </w:r>
      <w:r w:rsidRPr="0097239C">
        <w:rPr>
          <w:rFonts w:hint="cs"/>
          <w:rtl/>
        </w:rPr>
        <w:t>מבקר המדינה העיר בעבר</w:t>
      </w:r>
      <w:r>
        <w:rPr>
          <w:vertAlign w:val="superscript"/>
          <w:rtl/>
        </w:rPr>
        <w:footnoteReference w:id="48"/>
      </w:r>
      <w:r w:rsidRPr="0097239C">
        <w:rPr>
          <w:rFonts w:hint="cs"/>
          <w:rtl/>
        </w:rPr>
        <w:t xml:space="preserve"> כי בתהליכי שריפת</w:t>
      </w:r>
      <w:r w:rsidRPr="0097239C">
        <w:t xml:space="preserve"> </w:t>
      </w:r>
      <w:r w:rsidRPr="0097239C">
        <w:rPr>
          <w:rFonts w:hint="cs"/>
          <w:rtl/>
        </w:rPr>
        <w:t>דלקים</w:t>
      </w:r>
      <w:r w:rsidRPr="0097239C">
        <w:t xml:space="preserve"> </w:t>
      </w:r>
      <w:r w:rsidRPr="0097239C">
        <w:rPr>
          <w:rFonts w:hint="cs"/>
          <w:rtl/>
        </w:rPr>
        <w:t>פוסיליים</w:t>
      </w:r>
      <w:r w:rsidRPr="0097239C">
        <w:rPr>
          <w:rFonts w:hint="cs"/>
          <w:rtl/>
        </w:rPr>
        <w:t>, שמשמשים להנעת</w:t>
      </w:r>
      <w:r w:rsidRPr="0097239C">
        <w:t xml:space="preserve"> </w:t>
      </w:r>
      <w:r w:rsidRPr="0097239C">
        <w:rPr>
          <w:rFonts w:hint="cs"/>
          <w:rtl/>
        </w:rPr>
        <w:t>כלי</w:t>
      </w:r>
      <w:r w:rsidRPr="0097239C">
        <w:t xml:space="preserve"> </w:t>
      </w:r>
      <w:r w:rsidRPr="0097239C">
        <w:rPr>
          <w:rFonts w:hint="cs"/>
          <w:rtl/>
        </w:rPr>
        <w:t>תחבורה, לייצור</w:t>
      </w:r>
      <w:r w:rsidRPr="0097239C">
        <w:t xml:space="preserve"> </w:t>
      </w:r>
      <w:r w:rsidRPr="0097239C">
        <w:rPr>
          <w:rFonts w:hint="cs"/>
          <w:rtl/>
        </w:rPr>
        <w:t>חשמל</w:t>
      </w:r>
      <w:r w:rsidRPr="0097239C">
        <w:t xml:space="preserve"> </w:t>
      </w:r>
      <w:r w:rsidRPr="0097239C">
        <w:rPr>
          <w:rFonts w:hint="cs"/>
          <w:rtl/>
        </w:rPr>
        <w:t>ולפעילותם</w:t>
      </w:r>
      <w:r w:rsidRPr="0097239C">
        <w:t xml:space="preserve"> </w:t>
      </w:r>
      <w:r w:rsidRPr="0097239C">
        <w:rPr>
          <w:rFonts w:hint="cs"/>
          <w:rtl/>
        </w:rPr>
        <w:t>של</w:t>
      </w:r>
      <w:r w:rsidRPr="0097239C">
        <w:t xml:space="preserve"> </w:t>
      </w:r>
      <w:r w:rsidRPr="0097239C">
        <w:rPr>
          <w:rFonts w:hint="cs"/>
          <w:rtl/>
        </w:rPr>
        <w:t>מפעלי</w:t>
      </w:r>
      <w:r w:rsidRPr="0097239C">
        <w:t xml:space="preserve"> </w:t>
      </w:r>
      <w:r w:rsidRPr="0097239C">
        <w:rPr>
          <w:rFonts w:hint="cs"/>
          <w:rtl/>
        </w:rPr>
        <w:t>תעשייה,</w:t>
      </w:r>
      <w:r w:rsidRPr="0097239C">
        <w:t xml:space="preserve"> </w:t>
      </w:r>
      <w:r w:rsidRPr="0097239C">
        <w:rPr>
          <w:rFonts w:hint="cs"/>
          <w:rtl/>
        </w:rPr>
        <w:t>נפלטים</w:t>
      </w:r>
      <w:r w:rsidRPr="0097239C">
        <w:t xml:space="preserve"> </w:t>
      </w:r>
      <w:r w:rsidRPr="0097239C">
        <w:rPr>
          <w:rFonts w:hint="cs"/>
          <w:rtl/>
        </w:rPr>
        <w:t>גזי</w:t>
      </w:r>
      <w:r w:rsidRPr="0097239C">
        <w:t xml:space="preserve"> </w:t>
      </w:r>
      <w:r w:rsidRPr="0097239C">
        <w:rPr>
          <w:rFonts w:hint="cs"/>
          <w:rtl/>
        </w:rPr>
        <w:t>חממה הפוגעים</w:t>
      </w:r>
      <w:r w:rsidRPr="0097239C">
        <w:t xml:space="preserve"> </w:t>
      </w:r>
      <w:r w:rsidRPr="0097239C">
        <w:rPr>
          <w:rFonts w:hint="cs"/>
          <w:rtl/>
        </w:rPr>
        <w:t>בסביבה</w:t>
      </w:r>
      <w:r w:rsidRPr="0097239C">
        <w:t xml:space="preserve"> </w:t>
      </w:r>
      <w:r w:rsidRPr="0097239C">
        <w:rPr>
          <w:rFonts w:hint="cs"/>
          <w:rtl/>
        </w:rPr>
        <w:t>וגורמים לשינויי</w:t>
      </w:r>
      <w:r w:rsidRPr="0097239C">
        <w:t xml:space="preserve"> </w:t>
      </w:r>
      <w:r w:rsidRPr="0097239C">
        <w:rPr>
          <w:rFonts w:hint="cs"/>
          <w:rtl/>
        </w:rPr>
        <w:t xml:space="preserve">אקלים, ונפלטים </w:t>
      </w:r>
      <w:r w:rsidRPr="0097239C">
        <w:rPr>
          <w:rFonts w:hint="cs"/>
          <w:rtl/>
        </w:rPr>
        <w:t>מזהמי</w:t>
      </w:r>
      <w:r w:rsidRPr="0097239C">
        <w:t xml:space="preserve"> </w:t>
      </w:r>
      <w:r w:rsidRPr="0097239C">
        <w:rPr>
          <w:rFonts w:hint="cs"/>
          <w:rtl/>
        </w:rPr>
        <w:t>אוויר</w:t>
      </w:r>
      <w:r w:rsidRPr="0097239C">
        <w:t xml:space="preserve"> </w:t>
      </w:r>
      <w:r w:rsidRPr="0097239C">
        <w:rPr>
          <w:rFonts w:hint="cs"/>
          <w:rtl/>
        </w:rPr>
        <w:t>הפוגעים</w:t>
      </w:r>
      <w:r w:rsidRPr="0097239C">
        <w:t xml:space="preserve"> </w:t>
      </w:r>
      <w:r w:rsidRPr="0097239C">
        <w:rPr>
          <w:rFonts w:hint="cs"/>
          <w:rtl/>
        </w:rPr>
        <w:t>בבריאות</w:t>
      </w:r>
      <w:r w:rsidRPr="0097239C">
        <w:t xml:space="preserve"> </w:t>
      </w:r>
      <w:r w:rsidRPr="0097239C">
        <w:rPr>
          <w:rFonts w:hint="cs"/>
          <w:rtl/>
        </w:rPr>
        <w:t>וגורמים</w:t>
      </w:r>
      <w:r w:rsidRPr="0097239C">
        <w:t xml:space="preserve"> </w:t>
      </w:r>
      <w:r w:rsidRPr="0097239C">
        <w:rPr>
          <w:rFonts w:hint="cs"/>
          <w:rtl/>
        </w:rPr>
        <w:t>על</w:t>
      </w:r>
      <w:r w:rsidRPr="0097239C">
        <w:t xml:space="preserve"> </w:t>
      </w:r>
      <w:r w:rsidRPr="0097239C">
        <w:rPr>
          <w:rFonts w:hint="cs"/>
          <w:rtl/>
        </w:rPr>
        <w:t>פי</w:t>
      </w:r>
      <w:r w:rsidRPr="0097239C">
        <w:t xml:space="preserve"> </w:t>
      </w:r>
      <w:r w:rsidRPr="0097239C">
        <w:rPr>
          <w:rFonts w:hint="cs"/>
          <w:rtl/>
        </w:rPr>
        <w:t>מחקרים</w:t>
      </w:r>
      <w:r w:rsidRPr="0097239C">
        <w:t xml:space="preserve"> </w:t>
      </w:r>
      <w:r w:rsidRPr="0097239C">
        <w:rPr>
          <w:rFonts w:hint="cs"/>
          <w:rtl/>
        </w:rPr>
        <w:t>מדעיים להגברת</w:t>
      </w:r>
      <w:r w:rsidRPr="0097239C">
        <w:t xml:space="preserve"> </w:t>
      </w:r>
      <w:r w:rsidRPr="0097239C">
        <w:rPr>
          <w:rFonts w:hint="cs"/>
          <w:rtl/>
        </w:rPr>
        <w:t>התחלואה, בין</w:t>
      </w:r>
      <w:r w:rsidRPr="0097239C">
        <w:t xml:space="preserve"> </w:t>
      </w:r>
      <w:r w:rsidRPr="0097239C">
        <w:rPr>
          <w:rFonts w:hint="cs"/>
          <w:rtl/>
        </w:rPr>
        <w:t>היתר</w:t>
      </w:r>
      <w:r w:rsidRPr="0097239C">
        <w:t xml:space="preserve"> </w:t>
      </w:r>
      <w:r w:rsidRPr="0097239C">
        <w:rPr>
          <w:rFonts w:hint="cs"/>
          <w:rtl/>
        </w:rPr>
        <w:t>בסרטן</w:t>
      </w:r>
      <w:r w:rsidRPr="0097239C">
        <w:t xml:space="preserve"> </w:t>
      </w:r>
      <w:r w:rsidRPr="0097239C">
        <w:rPr>
          <w:rFonts w:hint="cs"/>
          <w:rtl/>
        </w:rPr>
        <w:t>הריאות</w:t>
      </w:r>
      <w:r w:rsidRPr="0097239C">
        <w:t xml:space="preserve"> </w:t>
      </w:r>
      <w:r w:rsidRPr="0097239C">
        <w:rPr>
          <w:rFonts w:hint="cs"/>
          <w:rtl/>
        </w:rPr>
        <w:t>ובקצרת (אסתמה), מחלות שאף גורמות</w:t>
      </w:r>
      <w:r w:rsidRPr="0097239C">
        <w:rPr>
          <w:rtl/>
        </w:rPr>
        <w:t xml:space="preserve"> </w:t>
      </w:r>
      <w:r w:rsidRPr="0097239C">
        <w:rPr>
          <w:rFonts w:hint="eastAsia"/>
          <w:rtl/>
        </w:rPr>
        <w:t>לנזק</w:t>
      </w:r>
      <w:r w:rsidRPr="0097239C">
        <w:rPr>
          <w:rtl/>
        </w:rPr>
        <w:t xml:space="preserve"> </w:t>
      </w:r>
      <w:r w:rsidRPr="0097239C">
        <w:rPr>
          <w:rFonts w:hint="eastAsia"/>
          <w:rtl/>
        </w:rPr>
        <w:t>כספי</w:t>
      </w:r>
      <w:r w:rsidRPr="0097239C">
        <w:rPr>
          <w:rtl/>
        </w:rPr>
        <w:t xml:space="preserve"> </w:t>
      </w:r>
      <w:r w:rsidRPr="0097239C">
        <w:rPr>
          <w:rFonts w:hint="eastAsia"/>
          <w:rtl/>
        </w:rPr>
        <w:t>בהיקף</w:t>
      </w:r>
      <w:r w:rsidRPr="0097239C">
        <w:rPr>
          <w:rtl/>
        </w:rPr>
        <w:t xml:space="preserve"> </w:t>
      </w:r>
      <w:r w:rsidRPr="0097239C">
        <w:rPr>
          <w:rFonts w:hint="eastAsia"/>
          <w:rtl/>
        </w:rPr>
        <w:t>של</w:t>
      </w:r>
      <w:r w:rsidRPr="0097239C">
        <w:rPr>
          <w:rtl/>
        </w:rPr>
        <w:t xml:space="preserve"> </w:t>
      </w:r>
      <w:r w:rsidRPr="0097239C">
        <w:rPr>
          <w:rFonts w:hint="eastAsia"/>
          <w:rtl/>
        </w:rPr>
        <w:t>מיליארדי</w:t>
      </w:r>
      <w:r w:rsidRPr="0097239C">
        <w:rPr>
          <w:rtl/>
        </w:rPr>
        <w:t xml:space="preserve"> </w:t>
      </w:r>
      <w:r w:rsidRPr="0097239C">
        <w:rPr>
          <w:rFonts w:hint="eastAsia"/>
          <w:rtl/>
        </w:rPr>
        <w:t>ש</w:t>
      </w:r>
      <w:r w:rsidRPr="0097239C">
        <w:rPr>
          <w:rtl/>
        </w:rPr>
        <w:t>"ח</w:t>
      </w:r>
      <w:r>
        <w:rPr>
          <w:vertAlign w:val="superscript"/>
          <w:rtl/>
        </w:rPr>
        <w:footnoteReference w:id="49"/>
      </w:r>
      <w:r w:rsidRPr="0097239C">
        <w:t>.</w:t>
      </w:r>
    </w:p>
    <w:p w:rsidR="0097239C" w:rsidRPr="0097239C" w:rsidP="00C603CF">
      <w:pPr>
        <w:pStyle w:val="a"/>
        <w:spacing w:line="269" w:lineRule="auto"/>
        <w:rPr>
          <w:rtl/>
        </w:rPr>
      </w:pPr>
    </w:p>
    <w:p w:rsidR="00735BA1" w:rsidP="001D7824">
      <w:pPr>
        <w:spacing w:line="269" w:lineRule="auto"/>
        <w:rPr>
          <w:rtl/>
        </w:rPr>
      </w:pPr>
      <w:r w:rsidRPr="0097239C">
        <w:rPr>
          <w:rFonts w:hint="cs"/>
          <w:rtl/>
        </w:rPr>
        <w:t xml:space="preserve">ממסמכי רשות החשמל מיוני 2018 עולה כי משק החשמל אחראי כיום לפליטה של כ-5 טונות </w:t>
      </w:r>
      <w:r w:rsidRPr="0097239C">
        <w:rPr>
          <w:rFonts w:hint="cs"/>
          <w:rtl/>
        </w:rPr>
        <w:t>גז</w:t>
      </w:r>
      <w:r w:rsidRPr="0097239C">
        <w:rPr>
          <w:rtl/>
        </w:rPr>
        <w:t>"</w:t>
      </w:r>
      <w:r w:rsidRPr="0097239C">
        <w:rPr>
          <w:rFonts w:hint="cs"/>
          <w:rtl/>
        </w:rPr>
        <w:t>ח</w:t>
      </w:r>
      <w:r w:rsidRPr="0097239C">
        <w:rPr>
          <w:rFonts w:hint="cs"/>
          <w:rtl/>
        </w:rPr>
        <w:t xml:space="preserve"> לנפש וכ-42 מיליון טונות בשנה בסה"כ. עוד עולה ממסמכי </w:t>
      </w:r>
      <w:r w:rsidR="001D7824">
        <w:rPr>
          <w:rFonts w:hint="cs"/>
          <w:rtl/>
        </w:rPr>
        <w:t>רשות החשמל</w:t>
      </w:r>
      <w:r w:rsidRPr="0097239C">
        <w:rPr>
          <w:rFonts w:hint="cs"/>
          <w:rtl/>
        </w:rPr>
        <w:t xml:space="preserve"> מאותו מועד כי אם ימשיך משק החשמל להיות אחראי לפליטת מחצית מהשיעור הכולל של גזי החממה במשק, אזי על מנת לעמוד ביעדי הממשלה לצמצום פליטת גזי החממה, יהיה צורך בהגבלת הפליטות במגזר זה לכ-3.8 טונות לנפש בשנת 2030. יעד זה משמעו שנדרש להגביל את שיעור הפליטות הכולל של משק החשמל לכ-40 מיליון טונות בשנה</w:t>
      </w:r>
      <w:r>
        <w:rPr>
          <w:vertAlign w:val="superscript"/>
          <w:rtl/>
        </w:rPr>
        <w:footnoteReference w:id="50"/>
      </w:r>
      <w:r w:rsidRPr="0097239C">
        <w:rPr>
          <w:rFonts w:hint="cs"/>
          <w:rtl/>
        </w:rPr>
        <w:t>. להלן תרשים המתאר את קצב הגידול בביקוש לחשמל.</w:t>
      </w:r>
    </w:p>
    <w:p w:rsidR="0097239C" w:rsidRPr="0097239C" w:rsidP="00C603CF">
      <w:pPr>
        <w:pStyle w:val="a"/>
        <w:spacing w:line="269" w:lineRule="auto"/>
        <w:rPr>
          <w:rtl/>
        </w:rPr>
      </w:pPr>
    </w:p>
    <w:p w:rsidR="0097239C" w:rsidRPr="0097239C" w:rsidP="009F2885">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8</w:t>
      </w:r>
      <w:r w:rsidRPr="0097239C">
        <w:rPr>
          <w:b/>
          <w:bCs/>
          <w:rtl/>
        </w:rPr>
        <w:t xml:space="preserve">: </w:t>
      </w:r>
      <w:r w:rsidRPr="0097239C">
        <w:rPr>
          <w:rFonts w:hint="eastAsia"/>
          <w:b/>
          <w:bCs/>
          <w:rtl/>
        </w:rPr>
        <w:t>שיעורי</w:t>
      </w:r>
      <w:r w:rsidRPr="0097239C">
        <w:rPr>
          <w:b/>
          <w:bCs/>
          <w:rtl/>
        </w:rPr>
        <w:t xml:space="preserve"> </w:t>
      </w:r>
      <w:r w:rsidRPr="0097239C">
        <w:rPr>
          <w:rFonts w:hint="eastAsia"/>
          <w:b/>
          <w:bCs/>
          <w:rtl/>
        </w:rPr>
        <w:t>שינוי</w:t>
      </w:r>
      <w:r w:rsidRPr="0097239C">
        <w:rPr>
          <w:rFonts w:hint="cs"/>
          <w:b/>
          <w:bCs/>
          <w:rtl/>
        </w:rPr>
        <w:t xml:space="preserve"> הביקוש לחשמל, </w:t>
      </w:r>
      <w:r w:rsidRPr="0097239C">
        <w:rPr>
          <w:b/>
          <w:bCs/>
          <w:rtl/>
        </w:rPr>
        <w:t>1994 - 2025</w:t>
      </w:r>
    </w:p>
    <w:p w:rsidR="0097239C" w:rsidRPr="0097239C" w:rsidP="00F82CCB">
      <w:pPr>
        <w:spacing w:before="240" w:after="120" w:line="269" w:lineRule="auto"/>
        <w:jc w:val="center"/>
        <w:rPr>
          <w:b/>
          <w:rtl/>
        </w:rPr>
      </w:pPr>
      <w:r>
        <w:rPr>
          <w:b/>
          <w:noProof/>
          <w:rtl/>
        </w:rPr>
        <w:drawing>
          <wp:inline distT="0" distB="0" distL="0" distR="0">
            <wp:extent cx="4328169" cy="2438405"/>
            <wp:effectExtent l="0" t="0" r="0"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37794" name="energy-g-8.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438405"/>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 xml:space="preserve">המקור: </w:t>
      </w:r>
      <w:r w:rsidRPr="00810E1E">
        <w:rPr>
          <w:rFonts w:hint="eastAsia"/>
          <w:b/>
          <w:bCs/>
          <w:sz w:val="22"/>
          <w:szCs w:val="22"/>
          <w:rtl/>
        </w:rPr>
        <w:t>דוח</w:t>
      </w:r>
      <w:r w:rsidRPr="00810E1E">
        <w:rPr>
          <w:b/>
          <w:bCs/>
          <w:sz w:val="22"/>
          <w:szCs w:val="22"/>
          <w:rtl/>
        </w:rPr>
        <w:t xml:space="preserve"> </w:t>
      </w:r>
      <w:r w:rsidRPr="00810E1E">
        <w:rPr>
          <w:rFonts w:hint="cs"/>
          <w:b/>
          <w:bCs/>
          <w:sz w:val="22"/>
          <w:szCs w:val="22"/>
          <w:rtl/>
        </w:rPr>
        <w:t xml:space="preserve">מצב </w:t>
      </w:r>
      <w:r w:rsidRPr="00810E1E">
        <w:rPr>
          <w:rFonts w:hint="eastAsia"/>
          <w:b/>
          <w:bCs/>
          <w:sz w:val="22"/>
          <w:szCs w:val="22"/>
          <w:rtl/>
        </w:rPr>
        <w:t>משק</w:t>
      </w:r>
      <w:r w:rsidRPr="00810E1E">
        <w:rPr>
          <w:b/>
          <w:bCs/>
          <w:sz w:val="22"/>
          <w:szCs w:val="22"/>
          <w:rtl/>
        </w:rPr>
        <w:t xml:space="preserve"> </w:t>
      </w:r>
      <w:r w:rsidRPr="00810E1E">
        <w:rPr>
          <w:rFonts w:hint="eastAsia"/>
          <w:b/>
          <w:bCs/>
          <w:sz w:val="22"/>
          <w:szCs w:val="22"/>
          <w:rtl/>
        </w:rPr>
        <w:t>החשמל</w:t>
      </w:r>
      <w:r w:rsidRPr="00810E1E">
        <w:rPr>
          <w:b/>
          <w:bCs/>
          <w:sz w:val="22"/>
          <w:szCs w:val="22"/>
          <w:rtl/>
        </w:rPr>
        <w:t xml:space="preserve"> </w:t>
      </w:r>
      <w:r w:rsidRPr="00810E1E">
        <w:rPr>
          <w:rFonts w:hint="eastAsia"/>
          <w:b/>
          <w:bCs/>
          <w:sz w:val="22"/>
          <w:szCs w:val="22"/>
          <w:rtl/>
        </w:rPr>
        <w:t>לשנת</w:t>
      </w:r>
      <w:r w:rsidRPr="00810E1E">
        <w:rPr>
          <w:b/>
          <w:bCs/>
          <w:sz w:val="22"/>
          <w:szCs w:val="22"/>
          <w:rtl/>
        </w:rPr>
        <w:t xml:space="preserve"> 2018</w:t>
      </w:r>
      <w:r w:rsidRPr="00810E1E">
        <w:rPr>
          <w:rFonts w:hint="cs"/>
          <w:sz w:val="22"/>
          <w:szCs w:val="22"/>
          <w:rtl/>
        </w:rPr>
        <w:t>, רשות החשמל.</w:t>
      </w:r>
    </w:p>
    <w:p w:rsidR="0097239C" w:rsidRPr="00184048" w:rsidP="00F82CCB">
      <w:pPr>
        <w:spacing w:before="120" w:line="269" w:lineRule="auto"/>
        <w:rPr>
          <w:sz w:val="24"/>
          <w:rtl/>
        </w:rPr>
      </w:pPr>
      <w:r w:rsidRPr="00184048">
        <w:rPr>
          <w:rFonts w:hint="eastAsia"/>
          <w:sz w:val="24"/>
          <w:rtl/>
        </w:rPr>
        <w:t>מהתרשים</w:t>
      </w:r>
      <w:r w:rsidRPr="00184048">
        <w:rPr>
          <w:sz w:val="24"/>
          <w:rtl/>
        </w:rPr>
        <w:t xml:space="preserve"> עולה כי קיימת מגמת גידול בביקוש לחשמל, בד בבד עם מגמה של ירידה בשיעורי הגידול.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rtl/>
        </w:rPr>
        <w:t>על פי דוח רשות החשמל מיוני 2019</w:t>
      </w:r>
      <w:r>
        <w:rPr>
          <w:vertAlign w:val="superscript"/>
          <w:rtl/>
        </w:rPr>
        <w:footnoteReference w:id="51"/>
      </w:r>
      <w:r w:rsidRPr="0097239C">
        <w:rPr>
          <w:rFonts w:hint="cs"/>
          <w:rtl/>
        </w:rPr>
        <w:t xml:space="preserve">, בשנת 2025 משק החשמל צפוי לעמוד ביעד המשתמע מהחלטת הממשלה להפחתת פליטות למשק החשמל לשנת 2030. זאת בזכות </w:t>
      </w:r>
      <w:r w:rsidRPr="0097239C">
        <w:rPr>
          <w:rFonts w:hint="eastAsia"/>
          <w:rtl/>
        </w:rPr>
        <w:t>מעבר</w:t>
      </w:r>
      <w:r w:rsidRPr="0097239C">
        <w:rPr>
          <w:rtl/>
        </w:rPr>
        <w:t xml:space="preserve"> לגז טבעי</w:t>
      </w:r>
      <w:r w:rsidRPr="0097239C">
        <w:rPr>
          <w:rFonts w:hint="cs"/>
          <w:rtl/>
        </w:rPr>
        <w:t>,</w:t>
      </w:r>
      <w:r w:rsidRPr="0097239C">
        <w:rPr>
          <w:rtl/>
        </w:rPr>
        <w:t xml:space="preserve"> </w:t>
      </w:r>
      <w:r w:rsidRPr="0097239C">
        <w:rPr>
          <w:rFonts w:hint="eastAsia"/>
          <w:rtl/>
        </w:rPr>
        <w:t>ה</w:t>
      </w:r>
      <w:r w:rsidRPr="0097239C">
        <w:rPr>
          <w:rFonts w:hint="cs"/>
          <w:rtl/>
        </w:rPr>
        <w:t xml:space="preserve">פחתת השימוש בפחם וגידול בשימוש </w:t>
      </w:r>
      <w:r w:rsidRPr="0097239C">
        <w:rPr>
          <w:rFonts w:hint="cs"/>
          <w:rtl/>
        </w:rPr>
        <w:t>באנרגייה</w:t>
      </w:r>
      <w:r w:rsidRPr="0097239C">
        <w:rPr>
          <w:rFonts w:hint="cs"/>
          <w:rtl/>
        </w:rPr>
        <w:t xml:space="preserve"> מתחדשת. עם זאת, על מנת לעמוד ביעדים, יש ליישם מדיניות רחבה ומתמשכת לעידוד </w:t>
      </w:r>
      <w:r w:rsidRPr="0097239C">
        <w:rPr>
          <w:rFonts w:hint="cs"/>
          <w:rtl/>
        </w:rPr>
        <w:t>ותמרוץ</w:t>
      </w:r>
      <w:r w:rsidRPr="0097239C">
        <w:rPr>
          <w:rFonts w:hint="cs"/>
          <w:rtl/>
        </w:rPr>
        <w:t xml:space="preserve"> התייעלות אנרגטית בכל אחד מהמגזרים העיקריים. </w:t>
      </w:r>
      <w:r w:rsidRPr="0097239C">
        <w:rPr>
          <w:rFonts w:hint="cs"/>
          <w:b/>
          <w:rtl/>
        </w:rPr>
        <w:t>כאמור, מדינת ישראל קבעה יעדים להפחתת פליטות במגזרים השונים, ובהם מגזר החשמל.</w:t>
      </w:r>
    </w:p>
    <w:p w:rsidR="009F2885">
      <w:pPr>
        <w:bidi w:val="0"/>
        <w:spacing w:after="200" w:line="276" w:lineRule="auto"/>
        <w:rPr>
          <w:rFonts w:eastAsiaTheme="majorEastAsia"/>
          <w:bCs/>
          <w:szCs w:val="28"/>
          <w:u w:val="single"/>
          <w:rtl/>
        </w:rPr>
      </w:pPr>
      <w:bookmarkStart w:id="5" w:name="_Toc46906221"/>
    </w:p>
    <w:p w:rsidR="0097239C" w:rsidP="00C603CF">
      <w:pPr>
        <w:pStyle w:val="Heading3"/>
        <w:spacing w:before="0" w:line="269" w:lineRule="auto"/>
        <w:rPr>
          <w:rtl/>
        </w:rPr>
      </w:pPr>
      <w:r w:rsidRPr="0097239C">
        <w:rPr>
          <w:rFonts w:hint="cs"/>
          <w:rtl/>
        </w:rPr>
        <w:t>יעדים לשנת 2020</w:t>
      </w:r>
      <w:bookmarkEnd w:id="5"/>
    </w:p>
    <w:p w:rsidR="00305CB3"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כאמור, הממשלה קבעה יעד התייעלות אנרגטית (הפחתה בצריכת החשמל) של לפחות 20% על בסיס נתוני הצריכה הצפויה ב-2020. שנת הייחוס של יעד זה היא 2006, ומשמעו של היעד הוא הפחתה בצריכת החשמל מ-80 מיליארד קילוואט-שעה (להלן - </w:t>
      </w:r>
      <w:r w:rsidRPr="0097239C">
        <w:rPr>
          <w:rFonts w:hint="cs"/>
          <w:b/>
          <w:rtl/>
        </w:rPr>
        <w:t>קוט"ש</w:t>
      </w:r>
      <w:r w:rsidRPr="0097239C">
        <w:rPr>
          <w:rFonts w:hint="cs"/>
          <w:b/>
          <w:rtl/>
        </w:rPr>
        <w:t xml:space="preserve">) שהיו צפויים בשנת 2020 לכ-64 מיליארד </w:t>
      </w:r>
      <w:r w:rsidRPr="0097239C">
        <w:rPr>
          <w:rFonts w:hint="cs"/>
          <w:b/>
          <w:rtl/>
        </w:rPr>
        <w:t>קוט"ש</w:t>
      </w:r>
      <w:r w:rsidRPr="0097239C">
        <w:rPr>
          <w:rFonts w:hint="cs"/>
          <w:b/>
          <w:rtl/>
        </w:rPr>
        <w:t xml:space="preserve"> בשנה זו, על פי החלטת ממשלה ממרץ 2008. אם כן, לצורך השגת היעד, נדרש שהחיסכון יעמוד על 16 מיליארד </w:t>
      </w:r>
      <w:r w:rsidRPr="0097239C">
        <w:rPr>
          <w:rFonts w:hint="cs"/>
          <w:b/>
          <w:rtl/>
        </w:rPr>
        <w:t>קוט"ש</w:t>
      </w:r>
      <w:r>
        <w:rPr>
          <w:b/>
          <w:vertAlign w:val="superscript"/>
          <w:rtl/>
        </w:rPr>
        <w:footnoteReference w:id="52"/>
      </w:r>
      <w:r w:rsidRPr="0097239C">
        <w:rPr>
          <w:rFonts w:hint="cs"/>
          <w:b/>
          <w:rtl/>
        </w:rPr>
        <w:t xml:space="preserve">. בפועל, צריכת החשמל בשנת 2018 הסתכמה ב-69.6 מיליארד </w:t>
      </w:r>
      <w:r w:rsidRPr="0097239C">
        <w:rPr>
          <w:rFonts w:hint="cs"/>
          <w:b/>
          <w:rtl/>
        </w:rPr>
        <w:t>קוט"ש</w:t>
      </w:r>
      <w:r w:rsidRPr="0097239C">
        <w:rPr>
          <w:rFonts w:hint="cs"/>
          <w:b/>
          <w:rtl/>
        </w:rPr>
        <w:t xml:space="preserve">. על פי תחזיות הביקוש של </w:t>
      </w:r>
      <w:r w:rsidRPr="0097239C">
        <w:rPr>
          <w:rFonts w:hint="cs"/>
          <w:b/>
          <w:rtl/>
        </w:rPr>
        <w:t>חח"י</w:t>
      </w:r>
      <w:r w:rsidRPr="0097239C">
        <w:rPr>
          <w:rFonts w:hint="cs"/>
          <w:b/>
          <w:rtl/>
        </w:rPr>
        <w:t xml:space="preserve"> מאוגוסט 2017, היקף צריכת החשמל בשנים 2019 ו-2020 צפוי להיות 72,000 ו-74,000 </w:t>
      </w:r>
      <w:r w:rsidRPr="0097239C">
        <w:rPr>
          <w:rFonts w:hint="cs"/>
          <w:b/>
          <w:rtl/>
        </w:rPr>
        <w:t>קוט"ש</w:t>
      </w:r>
      <w:r>
        <w:rPr>
          <w:b/>
          <w:vertAlign w:val="superscript"/>
          <w:rtl/>
        </w:rPr>
        <w:footnoteReference w:id="53"/>
      </w:r>
      <w:r w:rsidRPr="0097239C">
        <w:rPr>
          <w:rFonts w:hint="cs"/>
          <w:b/>
          <w:rtl/>
        </w:rPr>
        <w:t xml:space="preserve"> בהתאמה, צריכה הגבוהה </w:t>
      </w:r>
      <w:r w:rsidR="00C603CF">
        <w:rPr>
          <w:rFonts w:hint="cs"/>
          <w:b/>
          <w:rtl/>
        </w:rPr>
        <w:t>ב-</w:t>
      </w:r>
      <w:r w:rsidRPr="0097239C">
        <w:rPr>
          <w:rFonts w:hint="cs"/>
          <w:b/>
          <w:rtl/>
        </w:rPr>
        <w:t>12% - 15% מהיעד, בהתאמה. צריכה כזאת מבטאת התייעלות של כ-7.5% בלבד לעומת התרחיש של "עסקים כרגיל". אם כך, ההתייעלות בפועל הייתה נמוכה ב-62% מיעד ההפחתה שנקבע בתוכנית ההתייעלות (20%) במצב "עסקים כרגיל".</w:t>
      </w:r>
    </w:p>
    <w:p w:rsidR="0097239C" w:rsidRPr="0097239C" w:rsidP="00C603CF">
      <w:pPr>
        <w:pStyle w:val="a"/>
        <w:spacing w:line="269" w:lineRule="auto"/>
        <w:rPr>
          <w:rtl/>
        </w:rPr>
      </w:pPr>
    </w:p>
    <w:p w:rsidR="0097239C" w:rsidP="00C603CF">
      <w:pPr>
        <w:spacing w:line="269" w:lineRule="auto"/>
        <w:rPr>
          <w:b/>
          <w:rtl/>
        </w:rPr>
      </w:pPr>
      <w:r w:rsidRPr="0097239C">
        <w:rPr>
          <w:rFonts w:hint="cs"/>
          <w:b/>
          <w:rtl/>
        </w:rPr>
        <w:t>בנובמבר 2010 אישרה הממשלה</w:t>
      </w:r>
      <w:r>
        <w:rPr>
          <w:b/>
          <w:vertAlign w:val="superscript"/>
          <w:rtl/>
        </w:rPr>
        <w:footnoteReference w:id="54"/>
      </w:r>
      <w:r w:rsidRPr="0097239C">
        <w:rPr>
          <w:rFonts w:hint="cs"/>
          <w:b/>
          <w:rtl/>
        </w:rPr>
        <w:t xml:space="preserve"> </w:t>
      </w:r>
      <w:r w:rsidRPr="0097239C">
        <w:rPr>
          <w:rFonts w:hint="cs"/>
          <w:b/>
          <w:rtl/>
        </w:rPr>
        <w:t>תוכנית</w:t>
      </w:r>
      <w:r w:rsidRPr="0097239C">
        <w:rPr>
          <w:rFonts w:hint="cs"/>
          <w:b/>
          <w:rtl/>
        </w:rPr>
        <w:t xml:space="preserve"> פעולה רב-שנתית להפחתת פליטות של </w:t>
      </w:r>
      <w:r w:rsidRPr="0097239C">
        <w:rPr>
          <w:rFonts w:hint="cs"/>
          <w:b/>
          <w:rtl/>
        </w:rPr>
        <w:t>גז</w:t>
      </w:r>
      <w:r w:rsidRPr="0097239C">
        <w:rPr>
          <w:b/>
          <w:rtl/>
        </w:rPr>
        <w:t>"</w:t>
      </w:r>
      <w:r w:rsidRPr="0097239C">
        <w:rPr>
          <w:rFonts w:hint="cs"/>
          <w:b/>
          <w:rtl/>
        </w:rPr>
        <w:t>ח</w:t>
      </w:r>
      <w:r w:rsidRPr="0097239C">
        <w:rPr>
          <w:rFonts w:hint="cs"/>
          <w:b/>
          <w:rtl/>
        </w:rPr>
        <w:t xml:space="preserve"> ליישום בשנים 2010 - 2020 בעלות כוללת של 2.2 מיליארד ש"ח. מרבית הפעולות בתוכנית עוסקות בהתייעלות אנרגטית. הממשלה תקצבה את התוכנית ב-539 מיליון ש"ח בשנים 2011 ו-2012. כ-70% מתקציב התוכנית (383 מיליון ש"ח) יועדו להפחתת צריכת החשמל במגזר הביתי ולתמיכה בהשקעות להפחתת פליטות </w:t>
      </w:r>
      <w:r w:rsidRPr="0097239C">
        <w:rPr>
          <w:rFonts w:hint="cs"/>
          <w:b/>
          <w:rtl/>
        </w:rPr>
        <w:t>גז"ח</w:t>
      </w:r>
      <w:r w:rsidRPr="0097239C">
        <w:rPr>
          <w:rFonts w:hint="cs"/>
          <w:b/>
          <w:rtl/>
        </w:rPr>
        <w:t xml:space="preserve"> בשאר המגזרים. </w:t>
      </w:r>
      <w:r w:rsidRPr="0097239C">
        <w:rPr>
          <w:rFonts w:hint="cs"/>
          <w:rtl/>
        </w:rPr>
        <w:t>החיסכון מהתוכנית עד שנת 2020 היה צפוי להסתכם בכ-46 מיליארד ש"ח</w:t>
      </w:r>
      <w:r w:rsidRPr="0097239C">
        <w:rPr>
          <w:rFonts w:hint="cs"/>
          <w:b/>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ממסמכי המשרד </w:t>
      </w:r>
      <w:r w:rsidRPr="0097239C">
        <w:rPr>
          <w:rFonts w:hint="cs"/>
          <w:rtl/>
        </w:rPr>
        <w:t>להג"ס</w:t>
      </w:r>
      <w:r w:rsidRPr="0097239C">
        <w:rPr>
          <w:rFonts w:hint="cs"/>
          <w:rtl/>
        </w:rPr>
        <w:t xml:space="preserve"> מיולי 2014 עולה כי הפחתת פליטות </w:t>
      </w:r>
      <w:r w:rsidRPr="0097239C">
        <w:rPr>
          <w:rFonts w:hint="cs"/>
          <w:rtl/>
        </w:rPr>
        <w:t>גז"ח</w:t>
      </w:r>
      <w:r w:rsidRPr="0097239C">
        <w:rPr>
          <w:rFonts w:hint="cs"/>
          <w:rtl/>
        </w:rPr>
        <w:t xml:space="preserve"> כתוצאה מהפעולות שתוקצבו ויושמו במסגרת התוכנית בשנים 2011 - 2012 הסתכמה ב-0.67 מיליון טון </w:t>
      </w:r>
      <w:r w:rsidRPr="0097239C">
        <w:rPr>
          <w:rFonts w:hint="cs"/>
          <w:rtl/>
        </w:rPr>
        <w:t>גז"ח</w:t>
      </w:r>
      <w:r w:rsidRPr="0097239C">
        <w:rPr>
          <w:rFonts w:hint="cs"/>
          <w:rtl/>
        </w:rPr>
        <w:t xml:space="preserve"> לשנה, וכי כלל הפעולות שנקטה הממשלה במסגרת התוכנית הלאומית להפחתת פליטות גזי החממה הביאו להפחתה מסוימת בביקוש לחשמל, אולם לא ברמה הנדרשת לצורך עמידה ביעדים שהוצבו. המשרד </w:t>
      </w:r>
      <w:r w:rsidRPr="0097239C">
        <w:rPr>
          <w:rFonts w:hint="cs"/>
          <w:rtl/>
        </w:rPr>
        <w:t>להג"ס</w:t>
      </w:r>
      <w:r w:rsidRPr="0097239C">
        <w:rPr>
          <w:rFonts w:hint="cs"/>
          <w:rtl/>
        </w:rPr>
        <w:t xml:space="preserve"> ציין באותם מסמכים כי "תמונה חמורה אף יותר עולה כאשר בוחנים את התקדמות הממשלה לקראת עמידה ביעד הלאומי לצמצום של 20% בצריכת החשמל ב-2020 ביחס לתרחיש עסקים כרגיל".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b/>
          <w:rtl/>
        </w:rPr>
        <w:t>במאי 2013 החליטה הממשלה</w:t>
      </w:r>
      <w:r>
        <w:rPr>
          <w:b/>
          <w:vertAlign w:val="superscript"/>
          <w:rtl/>
        </w:rPr>
        <w:footnoteReference w:id="55"/>
      </w:r>
      <w:r w:rsidRPr="0097239C">
        <w:rPr>
          <w:rFonts w:hint="cs"/>
          <w:b/>
          <w:rtl/>
        </w:rPr>
        <w:t xml:space="preserve"> על דחיית יישום התוכנית להפחתת פליטות </w:t>
      </w:r>
      <w:r w:rsidRPr="0097239C">
        <w:rPr>
          <w:rFonts w:hint="cs"/>
          <w:b/>
          <w:rtl/>
        </w:rPr>
        <w:t>גז</w:t>
      </w:r>
      <w:r w:rsidRPr="0097239C">
        <w:rPr>
          <w:b/>
          <w:rtl/>
        </w:rPr>
        <w:t>"</w:t>
      </w:r>
      <w:r w:rsidRPr="0097239C">
        <w:rPr>
          <w:rFonts w:hint="cs"/>
          <w:b/>
          <w:rtl/>
        </w:rPr>
        <w:t>ח</w:t>
      </w:r>
      <w:r w:rsidRPr="0097239C">
        <w:rPr>
          <w:rFonts w:hint="cs"/>
          <w:b/>
          <w:rtl/>
        </w:rPr>
        <w:t xml:space="preserve"> בשלוש שנים, וליישמה במהלך שבע שנים, דהיינו 2016 - 2023. באוגוסט 2015 החליטה הממשלה</w:t>
      </w:r>
      <w:r>
        <w:rPr>
          <w:b/>
          <w:vertAlign w:val="superscript"/>
          <w:rtl/>
        </w:rPr>
        <w:footnoteReference w:id="56"/>
      </w:r>
      <w:r w:rsidRPr="0097239C">
        <w:rPr>
          <w:rFonts w:hint="cs"/>
          <w:b/>
          <w:rtl/>
        </w:rPr>
        <w:t xml:space="preserve"> לבטל את יישום התוכנית ולהטיל על השר </w:t>
      </w:r>
      <w:r w:rsidRPr="0097239C">
        <w:rPr>
          <w:rFonts w:hint="cs"/>
          <w:b/>
          <w:rtl/>
        </w:rPr>
        <w:t>להג"ס</w:t>
      </w:r>
      <w:r w:rsidRPr="0097239C">
        <w:rPr>
          <w:rFonts w:hint="cs"/>
          <w:b/>
          <w:rtl/>
        </w:rPr>
        <w:t xml:space="preserve">, שר </w:t>
      </w:r>
      <w:r w:rsidRPr="0097239C">
        <w:rPr>
          <w:rFonts w:hint="cs"/>
          <w:b/>
          <w:rtl/>
        </w:rPr>
        <w:t>האנרגייה</w:t>
      </w:r>
      <w:r w:rsidRPr="0097239C">
        <w:rPr>
          <w:rFonts w:hint="cs"/>
          <w:b/>
          <w:rtl/>
        </w:rPr>
        <w:t xml:space="preserve"> ושר האוצר להגיש לממשלה </w:t>
      </w:r>
      <w:r w:rsidRPr="0097239C">
        <w:rPr>
          <w:rFonts w:hint="cs"/>
          <w:b/>
          <w:rtl/>
        </w:rPr>
        <w:t>תוכנית</w:t>
      </w:r>
      <w:r w:rsidRPr="0097239C">
        <w:rPr>
          <w:rFonts w:hint="cs"/>
          <w:b/>
          <w:rtl/>
        </w:rPr>
        <w:t xml:space="preserve"> חלופית לקראת דיוני ועידת האקלים בפריז בסוף שנת 2015. </w:t>
      </w:r>
      <w:r w:rsidRPr="0097239C">
        <w:rPr>
          <w:rFonts w:hint="cs"/>
          <w:rtl/>
        </w:rPr>
        <w:t>באפריל 2016 הטילה הממשלה</w:t>
      </w:r>
      <w:r>
        <w:rPr>
          <w:vertAlign w:val="superscript"/>
          <w:rtl/>
        </w:rPr>
        <w:footnoteReference w:id="57"/>
      </w:r>
      <w:r w:rsidRPr="0097239C">
        <w:rPr>
          <w:rFonts w:hint="cs"/>
          <w:rtl/>
        </w:rPr>
        <w:t xml:space="preserve"> על משרד </w:t>
      </w:r>
      <w:r w:rsidRPr="0097239C">
        <w:rPr>
          <w:rFonts w:hint="cs"/>
          <w:rtl/>
        </w:rPr>
        <w:t>האנרגייה</w:t>
      </w:r>
      <w:r w:rsidRPr="0097239C">
        <w:rPr>
          <w:rFonts w:hint="cs"/>
          <w:rtl/>
        </w:rPr>
        <w:t xml:space="preserve"> לגבש </w:t>
      </w:r>
      <w:r w:rsidRPr="0097239C">
        <w:rPr>
          <w:rFonts w:hint="cs"/>
          <w:rtl/>
        </w:rPr>
        <w:t>תוכנית</w:t>
      </w:r>
      <w:r w:rsidRPr="0097239C">
        <w:rPr>
          <w:rFonts w:hint="cs"/>
          <w:rtl/>
        </w:rPr>
        <w:t xml:space="preserve"> ארוכת טווח להתייעלות אנרגטית</w:t>
      </w:r>
      <w:r>
        <w:rPr>
          <w:vertAlign w:val="superscript"/>
          <w:rtl/>
        </w:rPr>
        <w:footnoteReference w:id="58"/>
      </w:r>
      <w:r w:rsidRPr="0097239C">
        <w:rPr>
          <w:rFonts w:hint="cs"/>
          <w:rtl/>
        </w:rPr>
        <w:t>.</w:t>
      </w:r>
      <w:r w:rsidRPr="0097239C">
        <w:rPr>
          <w:rFonts w:hint="cs"/>
          <w:b/>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מהמסמכים של המשרד </w:t>
      </w:r>
      <w:r w:rsidRPr="0097239C">
        <w:rPr>
          <w:rFonts w:hint="cs"/>
          <w:rtl/>
        </w:rPr>
        <w:t>להג"ס</w:t>
      </w:r>
      <w:r w:rsidRPr="0097239C">
        <w:rPr>
          <w:rFonts w:hint="cs"/>
          <w:rtl/>
        </w:rPr>
        <w:t xml:space="preserve"> מנובמבר 2018 עולה כי המדיניות שיושמה עד שנת 2017 אינה מביאה לעמידה ביעדי הממשלה שנקבעו. להלן נתונים על ייצור החשמל בכל אחת מהשנים 2015 - 2018 ועל היקף הייצור הצפוי לשנים 2019 ו-2020:</w:t>
      </w:r>
    </w:p>
    <w:p w:rsidR="009F2885">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4C0F07">
      <w:pPr>
        <w:spacing w:after="180" w:line="269" w:lineRule="auto"/>
        <w:jc w:val="center"/>
        <w:rPr>
          <w:b/>
          <w:bCs/>
        </w:rPr>
      </w:pPr>
      <w:r w:rsidRPr="0097239C">
        <w:rPr>
          <w:rFonts w:hint="eastAsia"/>
          <w:b/>
          <w:bCs/>
          <w:rtl/>
        </w:rPr>
        <w:t>לוח</w:t>
      </w:r>
      <w:r w:rsidRPr="0097239C">
        <w:rPr>
          <w:b/>
          <w:bCs/>
          <w:rtl/>
        </w:rPr>
        <w:t xml:space="preserve"> 3: </w:t>
      </w:r>
      <w:r w:rsidRPr="0097239C">
        <w:rPr>
          <w:rFonts w:hint="eastAsia"/>
          <w:b/>
          <w:bCs/>
          <w:rtl/>
        </w:rPr>
        <w:t>ייצור</w:t>
      </w:r>
      <w:r w:rsidRPr="0097239C">
        <w:rPr>
          <w:b/>
          <w:bCs/>
          <w:rtl/>
        </w:rPr>
        <w:t xml:space="preserve"> </w:t>
      </w:r>
      <w:r w:rsidRPr="0097239C">
        <w:rPr>
          <w:rFonts w:hint="cs"/>
          <w:b/>
          <w:bCs/>
          <w:rtl/>
        </w:rPr>
        <w:t>ה</w:t>
      </w:r>
      <w:r w:rsidRPr="0097239C">
        <w:rPr>
          <w:rFonts w:hint="eastAsia"/>
          <w:b/>
          <w:bCs/>
          <w:rtl/>
        </w:rPr>
        <w:t>חשמל</w:t>
      </w:r>
      <w:r w:rsidRPr="0097239C">
        <w:rPr>
          <w:rFonts w:hint="cs"/>
          <w:b/>
          <w:bCs/>
          <w:rtl/>
        </w:rPr>
        <w:t xml:space="preserve"> בשנים</w:t>
      </w:r>
      <w:r w:rsidRPr="0097239C">
        <w:rPr>
          <w:b/>
          <w:bCs/>
          <w:rtl/>
        </w:rPr>
        <w:t xml:space="preserve"> 2015 - 2019 במיליארד </w:t>
      </w:r>
      <w:r w:rsidRPr="0097239C">
        <w:rPr>
          <w:rFonts w:hint="eastAsia"/>
          <w:b/>
          <w:bCs/>
          <w:rtl/>
        </w:rPr>
        <w:t>קוט</w:t>
      </w:r>
      <w:r w:rsidRPr="0097239C">
        <w:rPr>
          <w:b/>
          <w:bCs/>
          <w:rtl/>
        </w:rPr>
        <w:t>"ש</w:t>
      </w:r>
      <w:r w:rsidRPr="0097239C">
        <w:rPr>
          <w:b/>
          <w:bCs/>
          <w:rtl/>
        </w:rPr>
        <w:t xml:space="preserve"> (</w:t>
      </w:r>
      <w:r w:rsidRPr="0097239C">
        <w:rPr>
          <w:b/>
          <w:bCs/>
        </w:rPr>
        <w:t>(</w:t>
      </w:r>
      <w:r w:rsidRPr="0097239C">
        <w:rPr>
          <w:b/>
          <w:bCs/>
        </w:rPr>
        <w:t>TWh</w:t>
      </w:r>
      <w:r w:rsidRPr="0097239C">
        <w:rPr>
          <w:b/>
          <w:bCs/>
          <w:rtl/>
        </w:rPr>
        <w:t xml:space="preserve"> ושיעורי </w:t>
      </w:r>
      <w:r w:rsidRPr="0097239C">
        <w:rPr>
          <w:rFonts w:hint="cs"/>
          <w:b/>
          <w:bCs/>
          <w:rtl/>
        </w:rPr>
        <w:t>ה</w:t>
      </w:r>
      <w:r w:rsidRPr="0097239C">
        <w:rPr>
          <w:b/>
          <w:bCs/>
          <w:rtl/>
        </w:rPr>
        <w:t>שינוי</w:t>
      </w:r>
      <w:r w:rsidRPr="0097239C">
        <w:rPr>
          <w:rFonts w:hint="cs"/>
          <w:b/>
          <w:bCs/>
          <w:rtl/>
        </w:rPr>
        <w:t xml:space="preserve"> בייצור</w:t>
      </w:r>
    </w:p>
    <w:tbl>
      <w:tblPr>
        <w:tblStyle w:val="11"/>
        <w:bidiVisual/>
        <w:tblW w:w="5000" w:type="pct"/>
        <w:jc w:val="center"/>
        <w:tblLook w:val="04A0"/>
      </w:tblPr>
      <w:tblGrid>
        <w:gridCol w:w="2517"/>
        <w:gridCol w:w="667"/>
        <w:gridCol w:w="665"/>
        <w:gridCol w:w="726"/>
        <w:gridCol w:w="665"/>
        <w:gridCol w:w="754"/>
        <w:gridCol w:w="754"/>
        <w:gridCol w:w="1463"/>
      </w:tblGrid>
      <w:tr w:rsidTr="004C0F07">
        <w:tblPrEx>
          <w:tblW w:w="5000" w:type="pct"/>
          <w:jc w:val="center"/>
          <w:tblLook w:val="04A0"/>
        </w:tblPrEx>
        <w:trPr>
          <w:jc w:val="center"/>
        </w:trPr>
        <w:tc>
          <w:tcPr>
            <w:tcW w:w="1533" w:type="pct"/>
            <w:vAlign w:val="center"/>
          </w:tcPr>
          <w:p w:rsidR="0097239C" w:rsidRPr="001B1BDC" w:rsidP="004C0F07">
            <w:pPr>
              <w:spacing w:before="60" w:after="60" w:line="269" w:lineRule="auto"/>
              <w:rPr>
                <w:szCs w:val="20"/>
                <w:rtl/>
              </w:rPr>
            </w:pPr>
          </w:p>
        </w:tc>
        <w:tc>
          <w:tcPr>
            <w:tcW w:w="406" w:type="pct"/>
            <w:vAlign w:val="center"/>
          </w:tcPr>
          <w:p w:rsidR="0097239C" w:rsidRPr="001B1BDC" w:rsidP="004C0F07">
            <w:pPr>
              <w:spacing w:before="60" w:after="60" w:line="269" w:lineRule="auto"/>
              <w:rPr>
                <w:b/>
                <w:bCs/>
                <w:szCs w:val="20"/>
                <w:rtl/>
              </w:rPr>
            </w:pPr>
            <w:r w:rsidRPr="001B1BDC">
              <w:rPr>
                <w:rFonts w:hint="cs"/>
                <w:b/>
                <w:bCs/>
                <w:szCs w:val="20"/>
                <w:rtl/>
              </w:rPr>
              <w:t>2015</w:t>
            </w:r>
          </w:p>
        </w:tc>
        <w:tc>
          <w:tcPr>
            <w:tcW w:w="405" w:type="pct"/>
            <w:vAlign w:val="center"/>
          </w:tcPr>
          <w:p w:rsidR="0097239C" w:rsidRPr="001B1BDC" w:rsidP="004C0F07">
            <w:pPr>
              <w:spacing w:before="60" w:after="60" w:line="269" w:lineRule="auto"/>
              <w:rPr>
                <w:b/>
                <w:bCs/>
                <w:szCs w:val="20"/>
                <w:rtl/>
              </w:rPr>
            </w:pPr>
            <w:r w:rsidRPr="001B1BDC">
              <w:rPr>
                <w:rFonts w:hint="cs"/>
                <w:b/>
                <w:bCs/>
                <w:szCs w:val="20"/>
                <w:rtl/>
              </w:rPr>
              <w:t>2016</w:t>
            </w:r>
          </w:p>
        </w:tc>
        <w:tc>
          <w:tcPr>
            <w:tcW w:w="442" w:type="pct"/>
            <w:vAlign w:val="center"/>
          </w:tcPr>
          <w:p w:rsidR="0097239C" w:rsidRPr="001B1BDC" w:rsidP="004C0F07">
            <w:pPr>
              <w:spacing w:before="60" w:after="60" w:line="269" w:lineRule="auto"/>
              <w:rPr>
                <w:b/>
                <w:bCs/>
                <w:szCs w:val="20"/>
                <w:rtl/>
              </w:rPr>
            </w:pPr>
            <w:r w:rsidRPr="001B1BDC">
              <w:rPr>
                <w:rFonts w:hint="cs"/>
                <w:b/>
                <w:bCs/>
                <w:szCs w:val="20"/>
                <w:rtl/>
              </w:rPr>
              <w:t>2017</w:t>
            </w:r>
          </w:p>
        </w:tc>
        <w:tc>
          <w:tcPr>
            <w:tcW w:w="405" w:type="pct"/>
            <w:vAlign w:val="center"/>
          </w:tcPr>
          <w:p w:rsidR="0097239C" w:rsidRPr="001B1BDC" w:rsidP="004C0F07">
            <w:pPr>
              <w:spacing w:before="60" w:after="60" w:line="269" w:lineRule="auto"/>
              <w:rPr>
                <w:b/>
                <w:bCs/>
                <w:szCs w:val="20"/>
                <w:rtl/>
              </w:rPr>
            </w:pPr>
            <w:r w:rsidRPr="001B1BDC">
              <w:rPr>
                <w:rFonts w:hint="cs"/>
                <w:b/>
                <w:bCs/>
                <w:szCs w:val="20"/>
                <w:rtl/>
              </w:rPr>
              <w:t>2018</w:t>
            </w:r>
          </w:p>
        </w:tc>
        <w:tc>
          <w:tcPr>
            <w:tcW w:w="459" w:type="pct"/>
            <w:vAlign w:val="center"/>
          </w:tcPr>
          <w:p w:rsidR="0097239C" w:rsidRPr="001B1BDC" w:rsidP="004C0F07">
            <w:pPr>
              <w:spacing w:before="60" w:after="60" w:line="269" w:lineRule="auto"/>
              <w:rPr>
                <w:b/>
                <w:bCs/>
                <w:szCs w:val="20"/>
                <w:rtl/>
              </w:rPr>
            </w:pPr>
            <w:r w:rsidRPr="001B1BDC">
              <w:rPr>
                <w:rFonts w:hint="cs"/>
                <w:b/>
                <w:bCs/>
                <w:szCs w:val="20"/>
                <w:rtl/>
              </w:rPr>
              <w:t>2019*</w:t>
            </w:r>
          </w:p>
        </w:tc>
        <w:tc>
          <w:tcPr>
            <w:tcW w:w="459" w:type="pct"/>
            <w:vAlign w:val="center"/>
          </w:tcPr>
          <w:p w:rsidR="0097239C" w:rsidRPr="001B1BDC" w:rsidP="004C0F07">
            <w:pPr>
              <w:spacing w:before="60" w:after="60" w:line="269" w:lineRule="auto"/>
              <w:rPr>
                <w:b/>
                <w:bCs/>
                <w:szCs w:val="20"/>
                <w:rtl/>
              </w:rPr>
            </w:pPr>
            <w:r w:rsidRPr="001B1BDC">
              <w:rPr>
                <w:rFonts w:hint="cs"/>
                <w:b/>
                <w:bCs/>
                <w:szCs w:val="20"/>
                <w:rtl/>
              </w:rPr>
              <w:t>2020*</w:t>
            </w:r>
          </w:p>
        </w:tc>
        <w:tc>
          <w:tcPr>
            <w:tcW w:w="891" w:type="pct"/>
            <w:vAlign w:val="center"/>
          </w:tcPr>
          <w:p w:rsidR="0097239C" w:rsidRPr="001B1BDC" w:rsidP="004C0F07">
            <w:pPr>
              <w:spacing w:before="60" w:after="60" w:line="269" w:lineRule="auto"/>
              <w:rPr>
                <w:b/>
                <w:bCs/>
                <w:szCs w:val="20"/>
                <w:rtl/>
              </w:rPr>
            </w:pPr>
            <w:r w:rsidRPr="001B1BDC">
              <w:rPr>
                <w:rFonts w:hint="cs"/>
                <w:b/>
                <w:bCs/>
                <w:szCs w:val="20"/>
                <w:rtl/>
              </w:rPr>
              <w:t>סה"כ מצטבר</w:t>
            </w:r>
          </w:p>
        </w:tc>
      </w:tr>
      <w:tr w:rsidTr="004C0F07">
        <w:tblPrEx>
          <w:tblW w:w="5000" w:type="pct"/>
          <w:jc w:val="center"/>
          <w:tblLook w:val="04A0"/>
        </w:tblPrEx>
        <w:trPr>
          <w:jc w:val="center"/>
        </w:trPr>
        <w:tc>
          <w:tcPr>
            <w:tcW w:w="1533" w:type="pct"/>
            <w:vAlign w:val="center"/>
          </w:tcPr>
          <w:p w:rsidR="0097239C" w:rsidRPr="004C0F07" w:rsidP="004C0F07">
            <w:pPr>
              <w:spacing w:before="60" w:after="60" w:line="240" w:lineRule="exact"/>
              <w:rPr>
                <w:sz w:val="22"/>
                <w:szCs w:val="22"/>
              </w:rPr>
            </w:pPr>
            <w:r w:rsidRPr="004C0F07">
              <w:rPr>
                <w:rFonts w:hint="cs"/>
                <w:sz w:val="22"/>
                <w:szCs w:val="22"/>
                <w:rtl/>
              </w:rPr>
              <w:t xml:space="preserve">ייצור חשמל </w:t>
            </w:r>
            <w:r w:rsidRPr="004C0F07">
              <w:rPr>
                <w:rFonts w:hint="cs"/>
                <w:sz w:val="22"/>
                <w:szCs w:val="22"/>
                <w:rtl/>
              </w:rPr>
              <w:t>טרהוואט</w:t>
            </w:r>
            <w:r w:rsidRPr="004C0F07">
              <w:rPr>
                <w:rFonts w:hint="cs"/>
                <w:sz w:val="22"/>
                <w:szCs w:val="22"/>
                <w:rtl/>
              </w:rPr>
              <w:t>-שעה</w:t>
            </w:r>
            <w:r>
              <w:rPr>
                <w:sz w:val="22"/>
                <w:szCs w:val="22"/>
                <w:vertAlign w:val="superscript"/>
                <w:rtl/>
              </w:rPr>
              <w:footnoteReference w:id="59"/>
            </w:r>
            <w:r w:rsidRPr="004C0F07">
              <w:rPr>
                <w:rFonts w:hint="cs"/>
                <w:sz w:val="22"/>
                <w:szCs w:val="22"/>
                <w:rtl/>
              </w:rPr>
              <w:t xml:space="preserve"> (להלן - </w:t>
            </w:r>
            <w:r w:rsidRPr="004C0F07">
              <w:rPr>
                <w:rFonts w:hint="cs"/>
                <w:sz w:val="22"/>
                <w:szCs w:val="22"/>
              </w:rPr>
              <w:t>TW</w:t>
            </w:r>
            <w:r w:rsidRPr="004C0F07">
              <w:rPr>
                <w:sz w:val="22"/>
                <w:szCs w:val="22"/>
              </w:rPr>
              <w:t>h</w:t>
            </w:r>
            <w:r w:rsidRPr="004C0F07">
              <w:rPr>
                <w:rFonts w:hint="cs"/>
                <w:sz w:val="22"/>
                <w:szCs w:val="22"/>
                <w:rtl/>
              </w:rPr>
              <w:t>)</w:t>
            </w:r>
          </w:p>
        </w:tc>
        <w:tc>
          <w:tcPr>
            <w:tcW w:w="406" w:type="pct"/>
          </w:tcPr>
          <w:p w:rsidR="0097239C" w:rsidRPr="004C0F07" w:rsidP="004C0F07">
            <w:pPr>
              <w:spacing w:before="60" w:after="60" w:line="240" w:lineRule="exact"/>
              <w:rPr>
                <w:sz w:val="22"/>
                <w:szCs w:val="22"/>
                <w:rtl/>
              </w:rPr>
            </w:pPr>
            <w:r w:rsidRPr="004C0F07">
              <w:rPr>
                <w:rFonts w:hint="cs"/>
                <w:sz w:val="22"/>
                <w:szCs w:val="22"/>
                <w:rtl/>
              </w:rPr>
              <w:t>65.4</w:t>
            </w:r>
          </w:p>
        </w:tc>
        <w:tc>
          <w:tcPr>
            <w:tcW w:w="405" w:type="pct"/>
          </w:tcPr>
          <w:p w:rsidR="0097239C" w:rsidRPr="004C0F07" w:rsidP="004C0F07">
            <w:pPr>
              <w:spacing w:before="60" w:after="60" w:line="240" w:lineRule="exact"/>
              <w:rPr>
                <w:sz w:val="22"/>
                <w:szCs w:val="22"/>
                <w:rtl/>
              </w:rPr>
            </w:pPr>
            <w:r w:rsidRPr="004C0F07">
              <w:rPr>
                <w:rFonts w:hint="cs"/>
                <w:sz w:val="22"/>
                <w:szCs w:val="22"/>
                <w:rtl/>
              </w:rPr>
              <w:t>67.4</w:t>
            </w:r>
          </w:p>
        </w:tc>
        <w:tc>
          <w:tcPr>
            <w:tcW w:w="442" w:type="pct"/>
          </w:tcPr>
          <w:p w:rsidR="0097239C" w:rsidRPr="004C0F07" w:rsidP="004C0F07">
            <w:pPr>
              <w:spacing w:before="60" w:after="60" w:line="240" w:lineRule="exact"/>
              <w:rPr>
                <w:sz w:val="22"/>
                <w:szCs w:val="22"/>
                <w:rtl/>
              </w:rPr>
            </w:pPr>
            <w:r w:rsidRPr="004C0F07">
              <w:rPr>
                <w:rFonts w:hint="cs"/>
                <w:sz w:val="22"/>
                <w:szCs w:val="22"/>
                <w:rtl/>
              </w:rPr>
              <w:t>68.3</w:t>
            </w:r>
          </w:p>
        </w:tc>
        <w:tc>
          <w:tcPr>
            <w:tcW w:w="405" w:type="pct"/>
          </w:tcPr>
          <w:p w:rsidR="0097239C" w:rsidRPr="004C0F07" w:rsidP="004C0F07">
            <w:pPr>
              <w:spacing w:before="60" w:after="60" w:line="240" w:lineRule="exact"/>
              <w:rPr>
                <w:sz w:val="22"/>
                <w:szCs w:val="22"/>
                <w:rtl/>
              </w:rPr>
            </w:pPr>
            <w:r w:rsidRPr="004C0F07">
              <w:rPr>
                <w:rFonts w:hint="cs"/>
                <w:sz w:val="22"/>
                <w:szCs w:val="22"/>
                <w:rtl/>
              </w:rPr>
              <w:t>69.6</w:t>
            </w:r>
          </w:p>
        </w:tc>
        <w:tc>
          <w:tcPr>
            <w:tcW w:w="459" w:type="pct"/>
          </w:tcPr>
          <w:p w:rsidR="0097239C" w:rsidRPr="004C0F07" w:rsidP="004C0F07">
            <w:pPr>
              <w:spacing w:before="60" w:after="60" w:line="240" w:lineRule="exact"/>
              <w:rPr>
                <w:sz w:val="22"/>
                <w:szCs w:val="22"/>
                <w:rtl/>
              </w:rPr>
            </w:pPr>
            <w:r w:rsidRPr="004C0F07">
              <w:rPr>
                <w:rFonts w:hint="cs"/>
                <w:sz w:val="22"/>
                <w:szCs w:val="22"/>
                <w:rtl/>
              </w:rPr>
              <w:t>72</w:t>
            </w:r>
          </w:p>
        </w:tc>
        <w:tc>
          <w:tcPr>
            <w:tcW w:w="459" w:type="pct"/>
          </w:tcPr>
          <w:p w:rsidR="0097239C" w:rsidRPr="004C0F07" w:rsidP="004C0F07">
            <w:pPr>
              <w:spacing w:before="60" w:after="60" w:line="240" w:lineRule="exact"/>
              <w:rPr>
                <w:sz w:val="22"/>
                <w:szCs w:val="22"/>
                <w:rtl/>
              </w:rPr>
            </w:pPr>
            <w:r w:rsidRPr="004C0F07">
              <w:rPr>
                <w:rFonts w:hint="cs"/>
                <w:sz w:val="22"/>
                <w:szCs w:val="22"/>
                <w:rtl/>
              </w:rPr>
              <w:t>74</w:t>
            </w:r>
          </w:p>
        </w:tc>
        <w:tc>
          <w:tcPr>
            <w:tcW w:w="891" w:type="pct"/>
          </w:tcPr>
          <w:p w:rsidR="0097239C" w:rsidRPr="004C0F07" w:rsidP="004C0F07">
            <w:pPr>
              <w:spacing w:before="60" w:after="60" w:line="240" w:lineRule="exact"/>
              <w:rPr>
                <w:sz w:val="22"/>
                <w:szCs w:val="22"/>
                <w:rtl/>
              </w:rPr>
            </w:pPr>
          </w:p>
        </w:tc>
      </w:tr>
      <w:tr w:rsidTr="004C0F07">
        <w:tblPrEx>
          <w:tblW w:w="5000" w:type="pct"/>
          <w:jc w:val="center"/>
          <w:tblLook w:val="04A0"/>
        </w:tblPrEx>
        <w:trPr>
          <w:jc w:val="center"/>
        </w:trPr>
        <w:tc>
          <w:tcPr>
            <w:tcW w:w="1533" w:type="pct"/>
            <w:vAlign w:val="center"/>
          </w:tcPr>
          <w:p w:rsidR="0097239C" w:rsidRPr="004C0F07" w:rsidP="004C0F07">
            <w:pPr>
              <w:spacing w:before="60" w:after="60" w:line="269" w:lineRule="auto"/>
              <w:rPr>
                <w:sz w:val="22"/>
                <w:szCs w:val="22"/>
                <w:rtl/>
              </w:rPr>
            </w:pPr>
            <w:r w:rsidRPr="004C0F07">
              <w:rPr>
                <w:rFonts w:hint="cs"/>
                <w:sz w:val="22"/>
                <w:szCs w:val="22"/>
                <w:rtl/>
              </w:rPr>
              <w:t>שיעורי שינוי שנתיים ב-%</w:t>
            </w:r>
          </w:p>
        </w:tc>
        <w:tc>
          <w:tcPr>
            <w:tcW w:w="406" w:type="pct"/>
            <w:vAlign w:val="center"/>
          </w:tcPr>
          <w:p w:rsidR="0097239C" w:rsidRPr="004C0F07" w:rsidP="004C0F07">
            <w:pPr>
              <w:spacing w:before="60" w:after="60" w:line="269" w:lineRule="auto"/>
              <w:rPr>
                <w:sz w:val="22"/>
                <w:szCs w:val="22"/>
                <w:rtl/>
              </w:rPr>
            </w:pPr>
          </w:p>
        </w:tc>
        <w:tc>
          <w:tcPr>
            <w:tcW w:w="405" w:type="pct"/>
            <w:vAlign w:val="center"/>
          </w:tcPr>
          <w:p w:rsidR="0097239C" w:rsidRPr="004C0F07" w:rsidP="004C0F07">
            <w:pPr>
              <w:spacing w:before="60" w:after="60" w:line="269" w:lineRule="auto"/>
              <w:rPr>
                <w:sz w:val="22"/>
                <w:szCs w:val="22"/>
                <w:rtl/>
              </w:rPr>
            </w:pPr>
            <w:r w:rsidRPr="004C0F07">
              <w:rPr>
                <w:rFonts w:hint="cs"/>
                <w:sz w:val="22"/>
                <w:szCs w:val="22"/>
                <w:rtl/>
              </w:rPr>
              <w:t>3.06</w:t>
            </w:r>
          </w:p>
        </w:tc>
        <w:tc>
          <w:tcPr>
            <w:tcW w:w="442" w:type="pct"/>
            <w:vAlign w:val="center"/>
          </w:tcPr>
          <w:p w:rsidR="0097239C" w:rsidRPr="004C0F07" w:rsidP="004C0F07">
            <w:pPr>
              <w:spacing w:before="60" w:after="60" w:line="269" w:lineRule="auto"/>
              <w:rPr>
                <w:sz w:val="22"/>
                <w:szCs w:val="22"/>
                <w:rtl/>
              </w:rPr>
            </w:pPr>
            <w:r w:rsidRPr="004C0F07">
              <w:rPr>
                <w:rFonts w:hint="cs"/>
                <w:sz w:val="22"/>
                <w:szCs w:val="22"/>
                <w:rtl/>
              </w:rPr>
              <w:t>1.335</w:t>
            </w:r>
          </w:p>
        </w:tc>
        <w:tc>
          <w:tcPr>
            <w:tcW w:w="405" w:type="pct"/>
            <w:vAlign w:val="center"/>
          </w:tcPr>
          <w:p w:rsidR="0097239C" w:rsidRPr="004C0F07" w:rsidP="004C0F07">
            <w:pPr>
              <w:spacing w:before="60" w:after="60" w:line="269" w:lineRule="auto"/>
              <w:rPr>
                <w:sz w:val="22"/>
                <w:szCs w:val="22"/>
                <w:rtl/>
              </w:rPr>
            </w:pPr>
            <w:r w:rsidRPr="004C0F07">
              <w:rPr>
                <w:rFonts w:hint="cs"/>
                <w:sz w:val="22"/>
                <w:szCs w:val="22"/>
                <w:rtl/>
              </w:rPr>
              <w:t>1.9</w:t>
            </w:r>
          </w:p>
        </w:tc>
        <w:tc>
          <w:tcPr>
            <w:tcW w:w="459" w:type="pct"/>
            <w:vAlign w:val="center"/>
          </w:tcPr>
          <w:p w:rsidR="0097239C" w:rsidRPr="004C0F07" w:rsidP="004C0F07">
            <w:pPr>
              <w:spacing w:before="60" w:after="60" w:line="269" w:lineRule="auto"/>
              <w:rPr>
                <w:sz w:val="22"/>
                <w:szCs w:val="22"/>
                <w:rtl/>
              </w:rPr>
            </w:pPr>
            <w:r w:rsidRPr="004C0F07">
              <w:rPr>
                <w:rFonts w:hint="cs"/>
                <w:sz w:val="22"/>
                <w:szCs w:val="22"/>
                <w:rtl/>
              </w:rPr>
              <w:t>3.45</w:t>
            </w:r>
          </w:p>
        </w:tc>
        <w:tc>
          <w:tcPr>
            <w:tcW w:w="459" w:type="pct"/>
            <w:vAlign w:val="center"/>
          </w:tcPr>
          <w:p w:rsidR="0097239C" w:rsidRPr="004C0F07" w:rsidP="004C0F07">
            <w:pPr>
              <w:spacing w:before="60" w:after="60" w:line="269" w:lineRule="auto"/>
              <w:rPr>
                <w:sz w:val="22"/>
                <w:szCs w:val="22"/>
                <w:rtl/>
              </w:rPr>
            </w:pPr>
            <w:r w:rsidRPr="004C0F07">
              <w:rPr>
                <w:rFonts w:hint="cs"/>
                <w:sz w:val="22"/>
                <w:szCs w:val="22"/>
                <w:rtl/>
              </w:rPr>
              <w:t>2.78</w:t>
            </w:r>
          </w:p>
        </w:tc>
        <w:tc>
          <w:tcPr>
            <w:tcW w:w="891" w:type="pct"/>
            <w:vAlign w:val="center"/>
          </w:tcPr>
          <w:p w:rsidR="0097239C" w:rsidRPr="004C0F07" w:rsidP="004C0F07">
            <w:pPr>
              <w:spacing w:before="60" w:after="60" w:line="269" w:lineRule="auto"/>
              <w:rPr>
                <w:sz w:val="22"/>
                <w:szCs w:val="22"/>
                <w:rtl/>
              </w:rPr>
            </w:pPr>
            <w:r w:rsidRPr="004C0F07">
              <w:rPr>
                <w:rFonts w:hint="cs"/>
                <w:sz w:val="22"/>
                <w:szCs w:val="22"/>
                <w:rtl/>
              </w:rPr>
              <w:t>13.1</w:t>
            </w:r>
          </w:p>
        </w:tc>
      </w:tr>
    </w:tbl>
    <w:p w:rsidR="0097239C" w:rsidRPr="00810E1E" w:rsidP="004C0F07">
      <w:pPr>
        <w:spacing w:before="180" w:line="269" w:lineRule="auto"/>
        <w:rPr>
          <w:sz w:val="22"/>
          <w:szCs w:val="22"/>
          <w:rtl/>
        </w:rPr>
      </w:pPr>
      <w:r w:rsidRPr="00810E1E">
        <w:rPr>
          <w:rFonts w:hint="cs"/>
          <w:sz w:val="22"/>
          <w:szCs w:val="22"/>
          <w:rtl/>
        </w:rPr>
        <w:t>על פי נתוני רשות החשמל לשנת 2019, בעיבוד משרד מבקר המדינה.</w:t>
      </w:r>
    </w:p>
    <w:p w:rsidR="0097239C" w:rsidRPr="00810E1E" w:rsidP="00C603CF">
      <w:pPr>
        <w:spacing w:line="269" w:lineRule="auto"/>
        <w:rPr>
          <w:sz w:val="22"/>
          <w:szCs w:val="22"/>
          <w:rtl/>
        </w:rPr>
      </w:pPr>
      <w:r w:rsidRPr="00810E1E">
        <w:rPr>
          <w:rFonts w:hint="cs"/>
          <w:sz w:val="22"/>
          <w:szCs w:val="22"/>
          <w:rtl/>
        </w:rPr>
        <w:t>* תחזית.</w:t>
      </w:r>
    </w:p>
    <w:p w:rsidR="0097239C" w:rsidRPr="0097239C" w:rsidP="004C0F07">
      <w:pPr>
        <w:spacing w:before="120" w:line="269" w:lineRule="auto"/>
        <w:rPr>
          <w:b/>
          <w:bCs/>
          <w:rtl/>
        </w:rPr>
      </w:pPr>
      <w:r w:rsidRPr="0097239C">
        <w:rPr>
          <w:rFonts w:hint="cs"/>
          <w:b/>
          <w:bCs/>
          <w:rtl/>
        </w:rPr>
        <w:t>מהלוח עולה כי בשנים 2015 - 2020 חל גידול מצטבר של 13.1% בביקוש לחשמל. הדבר מבטא התייעלות של 7.5% בלבד לעומת היעד של 20% ביחס לתרחיש "עסקים כרגיל".</w:t>
      </w:r>
    </w:p>
    <w:p w:rsidR="00305CB3" w:rsidP="00C603CF">
      <w:pPr>
        <w:spacing w:line="269" w:lineRule="auto"/>
        <w:rPr>
          <w:rtl/>
        </w:rPr>
      </w:pPr>
      <w:bookmarkStart w:id="6" w:name="_Toc46906222"/>
    </w:p>
    <w:p w:rsidR="0097239C" w:rsidP="0045798E">
      <w:pPr>
        <w:pStyle w:val="Heading3"/>
        <w:spacing w:before="0" w:line="269" w:lineRule="auto"/>
        <w:rPr>
          <w:rtl/>
        </w:rPr>
      </w:pPr>
      <w:r w:rsidRPr="0097239C">
        <w:rPr>
          <w:rFonts w:hint="cs"/>
          <w:rtl/>
        </w:rPr>
        <w:t>התוכנית הלאומית להתייעלות אנרגטית</w:t>
      </w:r>
      <w:r w:rsidR="00810E1E">
        <w:rPr>
          <w:rFonts w:hint="cs"/>
          <w:rtl/>
        </w:rPr>
        <w:t xml:space="preserve"> ולצמצום צריכת החשמל בשנים</w:t>
      </w:r>
      <w:r w:rsidR="0045798E">
        <w:rPr>
          <w:rFonts w:hint="cs"/>
          <w:rtl/>
        </w:rPr>
        <w:t xml:space="preserve"> 2016 - 2030 </w:t>
      </w:r>
      <w:bookmarkEnd w:id="6"/>
    </w:p>
    <w:p w:rsidR="00305CB3" w:rsidRPr="0097239C" w:rsidP="00C603CF">
      <w:pPr>
        <w:pStyle w:val="a"/>
        <w:spacing w:line="269" w:lineRule="auto"/>
        <w:rPr>
          <w:rtl/>
        </w:rPr>
      </w:pPr>
    </w:p>
    <w:p w:rsidR="004C0F07" w:rsidP="004C0F07">
      <w:pPr>
        <w:spacing w:line="269" w:lineRule="auto"/>
        <w:rPr>
          <w:rtl/>
        </w:rPr>
      </w:pPr>
      <w:r w:rsidRPr="0097239C">
        <w:rPr>
          <w:rFonts w:hint="cs"/>
          <w:rtl/>
        </w:rPr>
        <w:t xml:space="preserve">בהחלטת הממשלה מספטמבר 2015 הוטל על שר </w:t>
      </w:r>
      <w:r w:rsidRPr="0097239C">
        <w:rPr>
          <w:rFonts w:hint="cs"/>
          <w:rtl/>
        </w:rPr>
        <w:t>האנרגייה</w:t>
      </w:r>
      <w:r w:rsidRPr="0097239C">
        <w:rPr>
          <w:rFonts w:hint="cs"/>
          <w:rtl/>
        </w:rPr>
        <w:t xml:space="preserve">, השר </w:t>
      </w:r>
      <w:r w:rsidRPr="0097239C">
        <w:rPr>
          <w:rFonts w:hint="cs"/>
          <w:rtl/>
        </w:rPr>
        <w:t>להג"ס</w:t>
      </w:r>
      <w:r w:rsidRPr="0097239C">
        <w:rPr>
          <w:rFonts w:hint="cs"/>
          <w:rtl/>
        </w:rPr>
        <w:t xml:space="preserve">, שר האוצר ושר הכלכלה להציג צעדים שבכוונת הממשלה לנקוט על מנת לעמוד ביעדים להפחתת פליטות </w:t>
      </w:r>
      <w:r w:rsidRPr="0097239C">
        <w:rPr>
          <w:rFonts w:hint="cs"/>
          <w:rtl/>
        </w:rPr>
        <w:t>גז</w:t>
      </w:r>
      <w:r w:rsidRPr="0097239C">
        <w:rPr>
          <w:rtl/>
        </w:rPr>
        <w:t>"</w:t>
      </w:r>
      <w:r w:rsidRPr="0097239C">
        <w:rPr>
          <w:rFonts w:hint="cs"/>
          <w:rtl/>
        </w:rPr>
        <w:t>ח</w:t>
      </w:r>
      <w:r w:rsidRPr="0097239C">
        <w:rPr>
          <w:rFonts w:hint="cs"/>
          <w:rtl/>
        </w:rPr>
        <w:t xml:space="preserve"> ולייעול צריכת </w:t>
      </w:r>
      <w:r w:rsidRPr="0097239C">
        <w:rPr>
          <w:rFonts w:hint="cs"/>
          <w:rtl/>
        </w:rPr>
        <w:t>האנרגייה</w:t>
      </w:r>
      <w:r w:rsidRPr="0097239C">
        <w:rPr>
          <w:rFonts w:hint="cs"/>
          <w:rtl/>
        </w:rPr>
        <w:t xml:space="preserve"> במשק. אחד היעדים שנקבעו הוא הפחתת צריכת החשמל בהיקף של 17% עד שנת 2030.</w:t>
      </w:r>
    </w:p>
    <w:p w:rsidR="0097239C" w:rsidP="004C0F07">
      <w:pPr>
        <w:spacing w:before="180" w:line="269" w:lineRule="auto"/>
        <w:rPr>
          <w:rtl/>
        </w:rPr>
      </w:pPr>
      <w:r w:rsidRPr="0097239C">
        <w:rPr>
          <w:rFonts w:hint="cs"/>
          <w:rtl/>
        </w:rPr>
        <w:t xml:space="preserve">משרד </w:t>
      </w:r>
      <w:r w:rsidRPr="0097239C">
        <w:rPr>
          <w:rFonts w:hint="cs"/>
          <w:rtl/>
        </w:rPr>
        <w:t>האנרגייה</w:t>
      </w:r>
      <w:r w:rsidRPr="0097239C">
        <w:rPr>
          <w:rFonts w:hint="cs"/>
          <w:rtl/>
        </w:rPr>
        <w:t xml:space="preserve"> פרסם </w:t>
      </w:r>
      <w:r w:rsidRPr="0097239C">
        <w:rPr>
          <w:rFonts w:hint="cs"/>
          <w:rtl/>
        </w:rPr>
        <w:t>תוכנית</w:t>
      </w:r>
      <w:r w:rsidRPr="0097239C">
        <w:rPr>
          <w:rFonts w:hint="cs"/>
          <w:rtl/>
        </w:rPr>
        <w:t xml:space="preserve"> לאומית להתייעלות אנרגטית ולצמצום צריכת החשמל בשנים 2016 - 2030, שמפרטת צעדים להפחתת ההוצאות על </w:t>
      </w:r>
      <w:r w:rsidRPr="0097239C">
        <w:rPr>
          <w:rFonts w:hint="cs"/>
          <w:rtl/>
        </w:rPr>
        <w:t>אנרגייה</w:t>
      </w:r>
      <w:r w:rsidRPr="0097239C">
        <w:rPr>
          <w:rFonts w:hint="cs"/>
          <w:rtl/>
        </w:rPr>
        <w:t xml:space="preserve"> ולייעול השימוש בה, בלי לפגוע ברמת השירות ותוך שמירה על מאזן אקולוגי חיובי. בתוכנית מפורטים צעדים שיש לבצע במגזרים שונים - המגזר הביתי, המגזר התעשייתי, המגזר הציבורי-מסחרי ומגזר המים. בתוכנית מוגדרים סדרי עדיפויות ומוצגות בה הפעולות הנדרשות ליישום ושיטת היישום המומלצת. נכללים בה תמריצים כלכליים - כגון הטבות מס, סובסידיות או מימון ישיר - אסדרה וחקיקה או תקנות שיש לקדם, חינוך באמצעות הסברה, פרסום ומהלכי העלאת מודעות בציבור. על פי התוכנית של משרד </w:t>
      </w:r>
      <w:r w:rsidRPr="0097239C">
        <w:rPr>
          <w:rFonts w:hint="cs"/>
          <w:rtl/>
        </w:rPr>
        <w:t>האנרגייה</w:t>
      </w:r>
      <w:r w:rsidRPr="0097239C">
        <w:rPr>
          <w:rFonts w:hint="cs"/>
          <w:rtl/>
        </w:rPr>
        <w:t>, בהתאם לתרחיש "עסקים כרגיל", צריכת החשמל בישראל צפויה לגדול ב-71% עד שנת 2030 לעומת שנת 2014, ולהגיע לצריכה של 96</w:t>
      </w:r>
      <w:r w:rsidRPr="0097239C">
        <w:t>.</w:t>
      </w:r>
      <w:r w:rsidRPr="0097239C">
        <w:t>TWh</w:t>
      </w:r>
      <w:r w:rsidR="00CD6C0F">
        <w:rPr>
          <w:rtl/>
        </w:rPr>
        <w:t xml:space="preserve"> </w:t>
      </w:r>
      <w:r w:rsidRPr="0097239C">
        <w:rPr>
          <w:rFonts w:hint="cs"/>
          <w:rtl/>
        </w:rPr>
        <w:t xml:space="preserve">כדי לעמוד ביעד הלאומי לצמצום צריכת החשמל ב-17%, יש להפחית את צריכת החשמל ב-16 </w:t>
      </w:r>
      <w:r w:rsidRPr="0097239C">
        <w:rPr>
          <w:rFonts w:hint="cs"/>
        </w:rPr>
        <w:t>TW</w:t>
      </w:r>
      <w:r w:rsidRPr="0097239C">
        <w:t>h</w:t>
      </w:r>
      <w:r w:rsidRPr="0097239C">
        <w:rPr>
          <w:rFonts w:hint="cs"/>
          <w:rtl/>
        </w:rPr>
        <w:t xml:space="preserve">, באופן שרמת הצריכה תהיה 80 </w:t>
      </w:r>
      <w:r w:rsidRPr="0097239C">
        <w:rPr>
          <w:rFonts w:hint="cs"/>
        </w:rPr>
        <w:t>TW</w:t>
      </w:r>
      <w:r w:rsidRPr="0097239C">
        <w:t>h</w:t>
      </w:r>
      <w:r w:rsidR="00735BA1">
        <w:rPr>
          <w:rFonts w:hint="cs"/>
          <w:rtl/>
        </w:rPr>
        <w:t>.</w:t>
      </w:r>
    </w:p>
    <w:p w:rsidR="0097239C" w:rsidRPr="0097239C" w:rsidP="00C603CF">
      <w:pPr>
        <w:pStyle w:val="a"/>
        <w:spacing w:line="269" w:lineRule="auto"/>
        <w:rPr>
          <w:rtl/>
        </w:rPr>
      </w:pPr>
    </w:p>
    <w:p w:rsidR="0097239C" w:rsidRPr="0097239C" w:rsidP="00184048">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9</w:t>
      </w:r>
      <w:r w:rsidRPr="0097239C">
        <w:rPr>
          <w:b/>
          <w:bCs/>
          <w:rtl/>
        </w:rPr>
        <w:t xml:space="preserve">: תחזית צריכת החשמל </w:t>
      </w:r>
      <w:r w:rsidRPr="0097239C">
        <w:rPr>
          <w:rFonts w:hint="cs"/>
          <w:b/>
          <w:bCs/>
          <w:rtl/>
        </w:rPr>
        <w:t xml:space="preserve">לפי </w:t>
      </w:r>
      <w:r w:rsidRPr="0097239C">
        <w:rPr>
          <w:rFonts w:hint="eastAsia"/>
          <w:b/>
          <w:bCs/>
          <w:rtl/>
        </w:rPr>
        <w:t>תרחיש</w:t>
      </w:r>
      <w:r w:rsidRPr="0097239C">
        <w:rPr>
          <w:b/>
          <w:bCs/>
          <w:rtl/>
        </w:rPr>
        <w:t xml:space="preserve"> </w:t>
      </w:r>
      <w:r w:rsidRPr="0097239C">
        <w:rPr>
          <w:rFonts w:hint="cs"/>
          <w:b/>
          <w:bCs/>
          <w:rtl/>
        </w:rPr>
        <w:t>"</w:t>
      </w:r>
      <w:r w:rsidRPr="0097239C">
        <w:rPr>
          <w:rFonts w:hint="eastAsia"/>
          <w:b/>
          <w:bCs/>
          <w:rtl/>
        </w:rPr>
        <w:t>עסקים</w:t>
      </w:r>
      <w:r w:rsidRPr="0097239C">
        <w:rPr>
          <w:b/>
          <w:bCs/>
          <w:rtl/>
        </w:rPr>
        <w:t xml:space="preserve"> </w:t>
      </w:r>
      <w:r w:rsidRPr="0097239C">
        <w:rPr>
          <w:rFonts w:hint="eastAsia"/>
          <w:b/>
          <w:bCs/>
          <w:rtl/>
        </w:rPr>
        <w:t>כרגיל</w:t>
      </w:r>
      <w:r w:rsidRPr="0097239C">
        <w:rPr>
          <w:rFonts w:hint="cs"/>
          <w:b/>
          <w:bCs/>
          <w:rtl/>
        </w:rPr>
        <w:t>"</w:t>
      </w:r>
      <w:r w:rsidRPr="0097239C">
        <w:rPr>
          <w:b/>
          <w:bCs/>
          <w:rtl/>
        </w:rPr>
        <w:t xml:space="preserve"> ולאחר יישום האמצעים להתייעלות אנרגטית עד שנת 2030</w:t>
      </w:r>
      <w:r w:rsidRPr="0097239C">
        <w:rPr>
          <w:rFonts w:hint="cs"/>
          <w:b/>
          <w:bCs/>
          <w:rtl/>
        </w:rPr>
        <w:t>, בחלוקה למגזרים</w:t>
      </w:r>
    </w:p>
    <w:p w:rsidR="0097239C" w:rsidRPr="0097239C" w:rsidP="00F82CCB">
      <w:pPr>
        <w:spacing w:before="240" w:after="240" w:line="269" w:lineRule="auto"/>
        <w:jc w:val="center"/>
        <w:rPr>
          <w:b/>
          <w:bCs/>
          <w:rtl/>
        </w:rPr>
      </w:pPr>
      <w:r>
        <w:rPr>
          <w:b/>
          <w:bCs/>
          <w:noProof/>
          <w:rtl/>
        </w:rPr>
        <w:drawing>
          <wp:inline distT="0" distB="0" distL="0" distR="0">
            <wp:extent cx="4319016" cy="1847088"/>
            <wp:effectExtent l="0" t="0" r="5715" b="127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174" name="gra-9.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9016" cy="1847088"/>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המקור: התוכנית הלאומית להתייעלות אנרגטית, צמצום צריכת החשמל בשנים 2016 - 2030.</w:t>
      </w: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העריך כי הפחתת הצריכה המתקבלת על ידי האמצעים השונים המוצעים בתוכנית מסתכמת ב-10.82 </w:t>
      </w:r>
      <w:r w:rsidRPr="0097239C">
        <w:t>TWh</w:t>
      </w:r>
      <w:r w:rsidRPr="0097239C">
        <w:rPr>
          <w:rFonts w:hint="cs"/>
          <w:rtl/>
        </w:rPr>
        <w:t xml:space="preserve">. כן העריך המשרד כי העלות הכללית של התוכנית למשק היא </w:t>
      </w:r>
      <w:r w:rsidR="009F2885">
        <w:rPr>
          <w:rtl/>
        </w:rPr>
        <w:br/>
      </w:r>
      <w:r w:rsidRPr="0097239C">
        <w:rPr>
          <w:rFonts w:hint="cs"/>
          <w:rtl/>
        </w:rPr>
        <w:t xml:space="preserve">כ-24.3 מיליארד ש"ח, וכי התועלת למשק היא כ-79.9 מיליארד ש"ח, באופן שמושג חיסכון של </w:t>
      </w:r>
      <w:r w:rsidR="009F2885">
        <w:rPr>
          <w:rtl/>
        </w:rPr>
        <w:br/>
      </w:r>
      <w:r w:rsidRPr="0097239C">
        <w:rPr>
          <w:rFonts w:hint="cs"/>
          <w:rtl/>
        </w:rPr>
        <w:t>כ-56 מיליארד ש"ח</w:t>
      </w:r>
      <w:r>
        <w:rPr>
          <w:vertAlign w:val="superscript"/>
          <w:rtl/>
        </w:rPr>
        <w:footnoteReference w:id="60"/>
      </w:r>
      <w:r w:rsidRPr="0097239C">
        <w:rPr>
          <w:rFonts w:hint="cs"/>
          <w:rtl/>
        </w:rPr>
        <w:t xml:space="preserve">. משרד </w:t>
      </w:r>
      <w:r w:rsidRPr="0097239C">
        <w:rPr>
          <w:rFonts w:hint="cs"/>
          <w:rtl/>
        </w:rPr>
        <w:t>האנרגייה</w:t>
      </w:r>
      <w:r w:rsidRPr="0097239C">
        <w:rPr>
          <w:rFonts w:hint="cs"/>
          <w:rtl/>
        </w:rPr>
        <w:t xml:space="preserve"> כלל בתוכנית גם צעדים רוחביים (ראו בהמשך), שמימושם צפוי להפחית את צריכת החשמל בכ-6 </w:t>
      </w:r>
      <w:r w:rsidRPr="0097239C">
        <w:t>TWh</w:t>
      </w:r>
      <w:r w:rsidRPr="0097239C">
        <w:rPr>
          <w:rFonts w:hint="cs"/>
          <w:rtl/>
        </w:rPr>
        <w:t xml:space="preserve">, באופן שצריכת החשמל תסתכם בשנת 2030 ב-79.2 </w:t>
      </w:r>
      <w:r w:rsidRPr="0097239C">
        <w:t>TWh</w:t>
      </w:r>
      <w:r>
        <w:rPr>
          <w:vertAlign w:val="superscript"/>
          <w:rtl/>
        </w:rPr>
        <w:footnoteReference w:id="61"/>
      </w:r>
      <w:r w:rsidRPr="0097239C">
        <w:rPr>
          <w:rFonts w:hint="cs"/>
          <w:rtl/>
        </w:rPr>
        <w:t>, הפחתה של 17.5% לעומת תרחיש "עסקים כרגיל".</w:t>
      </w:r>
    </w:p>
    <w:p w:rsidR="00305CB3" w:rsidP="00C603CF">
      <w:pPr>
        <w:spacing w:line="269" w:lineRule="auto"/>
        <w:rPr>
          <w:rtl/>
        </w:rPr>
      </w:pPr>
    </w:p>
    <w:p w:rsidR="0097239C" w:rsidP="00C603CF">
      <w:pPr>
        <w:pStyle w:val="Heading4"/>
        <w:spacing w:before="0" w:line="269" w:lineRule="auto"/>
        <w:rPr>
          <w:rtl/>
        </w:rPr>
      </w:pPr>
      <w:r w:rsidRPr="0097239C">
        <w:rPr>
          <w:rFonts w:hint="cs"/>
          <w:rtl/>
        </w:rPr>
        <w:t>תאריכי יעד ליישום התוכנית</w:t>
      </w:r>
    </w:p>
    <w:p w:rsidR="00305CB3" w:rsidRPr="0097239C" w:rsidP="00C603CF">
      <w:pPr>
        <w:pStyle w:val="a"/>
        <w:spacing w:line="269" w:lineRule="auto"/>
        <w:rPr>
          <w:rtl/>
        </w:rPr>
      </w:pPr>
    </w:p>
    <w:p w:rsidR="0097239C" w:rsidP="00C603CF">
      <w:pPr>
        <w:spacing w:line="269" w:lineRule="auto"/>
        <w:rPr>
          <w:rtl/>
        </w:rPr>
      </w:pPr>
      <w:r w:rsidRPr="0097239C">
        <w:rPr>
          <w:rFonts w:hint="cs"/>
          <w:rtl/>
        </w:rPr>
        <w:t>במדריך התכנון הממשלתי משנת 2010 נקבע כי בתוכניות העבודה יפורטו משימות וייקבעו לוחות זמנים שיאפשרו לציבור לעקוב אחר פעילות הממשלה ומידת עמידתה ביעדיה.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מבקר המדינה</w:t>
      </w:r>
      <w:r>
        <w:rPr>
          <w:vertAlign w:val="superscript"/>
          <w:rtl/>
        </w:rPr>
        <w:footnoteReference w:id="62"/>
      </w:r>
      <w:r w:rsidRPr="0097239C">
        <w:rPr>
          <w:rFonts w:hint="cs"/>
          <w:rtl/>
        </w:rPr>
        <w:t xml:space="preserve"> כבר העיר כי קביעת </w:t>
      </w:r>
      <w:r w:rsidRPr="0097239C">
        <w:rPr>
          <w:rFonts w:hint="cs"/>
          <w:rtl/>
        </w:rPr>
        <w:t>תוכנית</w:t>
      </w:r>
      <w:r w:rsidRPr="0097239C">
        <w:rPr>
          <w:rFonts w:hint="cs"/>
          <w:rtl/>
        </w:rPr>
        <w:t xml:space="preserve"> פעולה שיישומה יימשך תקופה ארוכה ויכלול פעולות רבות, שחלקן אמורות להתבצע בד בבד וחלקן בזו אחר זו, מחייבת קביעת לוח זמנים ברור לביצוע כל אחת מן הפעולות הנדרשות.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התוכנית הלאומית להתייעלות אנרגטית היא כאמור </w:t>
      </w:r>
      <w:r w:rsidRPr="0097239C">
        <w:rPr>
          <w:rFonts w:hint="cs"/>
          <w:rtl/>
        </w:rPr>
        <w:t>תוכנית</w:t>
      </w:r>
      <w:r w:rsidRPr="0097239C">
        <w:rPr>
          <w:rFonts w:hint="cs"/>
          <w:rtl/>
        </w:rPr>
        <w:t xml:space="preserve"> לשנת 2030, הכוללת מצבור של צעדים שיישומם אמור להביא לצמצום של 20% בצריכת החשמל יחסית לתרחיש "עסקים כרגיל". נמצא כי בתוכנית הלאומית לצמצום צריכת החשמל לא נקבעו יעדים המאפשרים מעקב אחר התקדמות ביצועה.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על משרד </w:t>
      </w:r>
      <w:r w:rsidRPr="0097239C">
        <w:rPr>
          <w:rFonts w:hint="cs"/>
          <w:b/>
          <w:bCs/>
          <w:rtl/>
        </w:rPr>
        <w:t>האנרגייה</w:t>
      </w:r>
      <w:r w:rsidRPr="0097239C">
        <w:rPr>
          <w:rFonts w:hint="cs"/>
          <w:b/>
          <w:bCs/>
          <w:rtl/>
        </w:rPr>
        <w:t xml:space="preserve"> להשלים קביעת לוחות זמנים ותאריכי יעד כדי לאפשר מעקב אחר יישום התוכנית על מרכיביה.</w:t>
      </w:r>
    </w:p>
    <w:p w:rsidR="00305CB3" w:rsidP="00C603CF">
      <w:pPr>
        <w:spacing w:line="269" w:lineRule="auto"/>
        <w:rPr>
          <w:bCs/>
          <w:rtl/>
        </w:rPr>
      </w:pPr>
    </w:p>
    <w:p w:rsidR="0097239C" w:rsidP="00C603CF">
      <w:pPr>
        <w:pStyle w:val="Heading4"/>
        <w:spacing w:before="0" w:line="269" w:lineRule="auto"/>
        <w:rPr>
          <w:rtl/>
        </w:rPr>
      </w:pPr>
      <w:r w:rsidRPr="0097239C">
        <w:rPr>
          <w:rFonts w:hint="cs"/>
          <w:rtl/>
        </w:rPr>
        <w:t>הערכה ומדידה</w:t>
      </w:r>
    </w:p>
    <w:p w:rsidR="00305CB3" w:rsidRPr="0097239C" w:rsidP="00C603CF">
      <w:pPr>
        <w:pStyle w:val="a"/>
        <w:spacing w:line="269" w:lineRule="auto"/>
        <w:rPr>
          <w:rtl/>
        </w:rPr>
      </w:pPr>
    </w:p>
    <w:p w:rsidR="0097239C" w:rsidRPr="0097239C" w:rsidP="00C603CF">
      <w:pPr>
        <w:spacing w:line="269" w:lineRule="auto"/>
        <w:rPr>
          <w:rtl/>
        </w:rPr>
      </w:pPr>
      <w:r w:rsidRPr="0097239C">
        <w:rPr>
          <w:rFonts w:hint="cs"/>
          <w:rtl/>
        </w:rPr>
        <w:t>מדידה ואימות (בקרה) יעילים של תהליכי התייעלות אנרגטית חשובים להצלחתם של פרויקטים בתחום זה ועשויים לסייע לקבוע באופן מהימן את שיעור החיסכון שהושג. לפיכך, לפני שנערכים ליישום פרויקטים של התייעלות אנרגטית, חשוב להתוות מתודולוגי</w:t>
      </w:r>
      <w:r w:rsidRPr="0097239C">
        <w:rPr>
          <w:rFonts w:hint="eastAsia"/>
          <w:rtl/>
        </w:rPr>
        <w:t>ה</w:t>
      </w:r>
      <w:r w:rsidRPr="0097239C">
        <w:rPr>
          <w:rFonts w:hint="cs"/>
          <w:rtl/>
        </w:rPr>
        <w:t xml:space="preserve"> ברורה ומסודרת ולקבוע שיטות למדידת נתונים ולמעקב אחריהם. זאת לצד מדדים של התייעלות אנרגטית, אשר מציגים את היעילות האנרגטית של המתקן ונותנים ביטוי לשינויים במתקן שיש בהם כדי להשפיע על צריכת </w:t>
      </w:r>
      <w:r w:rsidRPr="0097239C">
        <w:rPr>
          <w:rFonts w:hint="cs"/>
          <w:rtl/>
        </w:rPr>
        <w:t>האנרגייה</w:t>
      </w:r>
      <w:r w:rsidRPr="0097239C">
        <w:rPr>
          <w:rFonts w:hint="cs"/>
          <w:rtl/>
        </w:rPr>
        <w:t xml:space="preserve"> שלו.</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 מנת להעריך את האפקטיביות של ההתייעלות האנרגטית, את התועלת והחיסכון שהיא מניבה במישור הפרט, המתקן, המגזר והמדינה כולה, חיוני תחילה לבצע תהליך יסודי של מדידה, מעקב ובקרה בנושא צריכת </w:t>
      </w:r>
      <w:r w:rsidRPr="0097239C">
        <w:rPr>
          <w:rFonts w:hint="cs"/>
          <w:rtl/>
        </w:rPr>
        <w:t>האנרגייה</w:t>
      </w:r>
      <w:r w:rsidRPr="0097239C">
        <w:rPr>
          <w:rFonts w:hint="cs"/>
          <w:rtl/>
        </w:rPr>
        <w:t>. הצבת יעדים להתייעלות ללא קביעת מתודולוגי</w:t>
      </w:r>
      <w:r w:rsidRPr="0097239C">
        <w:rPr>
          <w:rFonts w:hint="eastAsia"/>
          <w:rtl/>
        </w:rPr>
        <w:t>ה</w:t>
      </w:r>
      <w:r w:rsidRPr="0097239C">
        <w:rPr>
          <w:rFonts w:hint="cs"/>
          <w:rtl/>
        </w:rPr>
        <w:t xml:space="preserve"> סדורה להערכה ולמדידה של אותם יעדים אינה מאפשרת לבחון את האפקטיביות של הצעדים השונים שננקטו.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הוא מקיים מעקב אחר ביצוע של כלל הפרויקטים שהוא מוציא לפועל או שותף להם, וכי בתוכנית הלאומית להתייעלות </w:t>
      </w:r>
      <w:r w:rsidRPr="0097239C">
        <w:rPr>
          <w:rFonts w:hint="cs"/>
          <w:rtl/>
        </w:rPr>
        <w:t>באנרגייה</w:t>
      </w:r>
      <w:r w:rsidRPr="0097239C">
        <w:rPr>
          <w:rFonts w:hint="cs"/>
          <w:rtl/>
        </w:rPr>
        <w:t xml:space="preserve"> לשנים 2016 - 2030 נקבעו התועלות וההתייעלות שניתן להשיג באמצעות הוצאתם לפועל של הצעדים שפורטו בה. כיוון שיישום התוכנית דורש תקציב משמעותי, ותקציב זה טרם אושר, לא ניתן לקבוע מראש מדדים כאמור.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בתוכנית הלאומית להתייעלות אנרגטית נקבעו התועלות וההתייעלות שניתן להשיג מכל אחד מהצעדים שפורטו בה, אולם אלו אינם מספקים מעקב סדור אחר השגת יעדי ההתייעלות האנרגטית באופן תקופתי. עקב כך צפוי קושי לבחון את ההתפתחויות ואת תוצאות הפעילות שנעשתה בכל מגזר, בכל תקופה ובמצטבר מתחילת יישום התוכנית. מומלץ כי משרד </w:t>
      </w:r>
      <w:r w:rsidRPr="0097239C">
        <w:rPr>
          <w:rFonts w:hint="cs"/>
          <w:b/>
          <w:bCs/>
          <w:rtl/>
        </w:rPr>
        <w:t>האנרגייה</w:t>
      </w:r>
      <w:r w:rsidRPr="0097239C">
        <w:rPr>
          <w:rFonts w:hint="cs"/>
          <w:b/>
          <w:bCs/>
          <w:rtl/>
        </w:rPr>
        <w:t xml:space="preserve"> יקיים מעקב אחר מיזמים להתייעלות אנרגטית שהוא מוציא לפועל, יאסוף נתונים לגבי המיזמים וההשקעות שבוצעו במימון המדינה, יבצע מעקב אחר הישגיהם לאורך זמן, ויקבע מתכונת דיווח למעקב אחר מיזמים שביצועם אינו באחריותו. כך ייווצ</w:t>
      </w:r>
      <w:r w:rsidRPr="0097239C">
        <w:rPr>
          <w:rFonts w:hint="eastAsia"/>
          <w:b/>
          <w:bCs/>
          <w:rtl/>
        </w:rPr>
        <w:t>ר</w:t>
      </w:r>
      <w:r w:rsidRPr="0097239C">
        <w:rPr>
          <w:rFonts w:hint="cs"/>
          <w:b/>
          <w:bCs/>
          <w:rtl/>
        </w:rPr>
        <w:t xml:space="preserve"> מאגר של מידע חיוני לצורך </w:t>
      </w:r>
      <w:r w:rsidRPr="0097239C">
        <w:rPr>
          <w:rFonts w:hint="cs"/>
          <w:b/>
          <w:bCs/>
          <w:rtl/>
        </w:rPr>
        <w:t>תיעדוף</w:t>
      </w:r>
      <w:r w:rsidRPr="0097239C">
        <w:rPr>
          <w:rFonts w:hint="cs"/>
          <w:b/>
          <w:bCs/>
          <w:rtl/>
        </w:rPr>
        <w:t xml:space="preserve"> ובחירה של הצעדים השונים להתייעלות אנרגטית ומעקב אחר התועלות מן ההשקעה במיזם. </w:t>
      </w:r>
    </w:p>
    <w:p w:rsidR="00305CB3" w:rsidP="00C603CF">
      <w:pPr>
        <w:spacing w:line="269" w:lineRule="auto"/>
        <w:rPr>
          <w:rtl/>
        </w:rPr>
      </w:pPr>
    </w:p>
    <w:p w:rsidR="0097239C" w:rsidP="00C603CF">
      <w:pPr>
        <w:pStyle w:val="Heading4"/>
        <w:spacing w:before="0" w:line="269" w:lineRule="auto"/>
        <w:rPr>
          <w:rtl/>
        </w:rPr>
      </w:pPr>
      <w:r w:rsidRPr="0097239C">
        <w:rPr>
          <w:rFonts w:hint="cs"/>
          <w:rtl/>
        </w:rPr>
        <w:t>תקציבים ויעדי ביניים</w:t>
      </w:r>
    </w:p>
    <w:p w:rsidR="00305CB3" w:rsidRPr="0097239C" w:rsidP="00C603CF">
      <w:pPr>
        <w:pStyle w:val="a"/>
        <w:spacing w:line="269" w:lineRule="auto"/>
        <w:rPr>
          <w:rtl/>
        </w:rPr>
      </w:pPr>
    </w:p>
    <w:p w:rsidR="0097239C" w:rsidP="00C603CF">
      <w:pPr>
        <w:spacing w:line="269" w:lineRule="auto"/>
        <w:rPr>
          <w:b/>
          <w:rtl/>
        </w:rPr>
      </w:pPr>
      <w:r w:rsidRPr="0097239C">
        <w:rPr>
          <w:rFonts w:hint="cs"/>
          <w:b/>
          <w:rtl/>
        </w:rPr>
        <w:t xml:space="preserve">כאמור, על אף המשאבים שהושקעו בהתייעלות אנרגטית, ובהם פרסום </w:t>
      </w:r>
      <w:r w:rsidRPr="0097239C">
        <w:rPr>
          <w:rFonts w:hint="cs"/>
          <w:b/>
          <w:rtl/>
        </w:rPr>
        <w:t>תוכניות</w:t>
      </w:r>
      <w:r w:rsidRPr="0097239C">
        <w:rPr>
          <w:rFonts w:hint="cs"/>
          <w:b/>
          <w:rtl/>
        </w:rPr>
        <w:t xml:space="preserve"> לאומיות להתייעלות אנרגטית והפעלתן של </w:t>
      </w:r>
      <w:r w:rsidRPr="0097239C">
        <w:rPr>
          <w:rFonts w:hint="cs"/>
          <w:b/>
          <w:rtl/>
        </w:rPr>
        <w:t>תוכניות</w:t>
      </w:r>
      <w:r w:rsidRPr="0097239C">
        <w:rPr>
          <w:rFonts w:hint="cs"/>
          <w:b/>
          <w:rtl/>
        </w:rPr>
        <w:t xml:space="preserve"> תמיכה ממשלתיות, עדיין לא הושגה התייעלות משמעותית בישראל, ועדיין לא מומש מלוא פוטנציאל ההתייעלות האנרגטי-כלכלי. מבדיקה שערך משרד מבקר המדינה נמצא כי הממשלה החליטה מאז שנת 2009 על צעדים להשגת התייעלות אנרגטית שהיקפם הכספי כ-1.5 מיליארד ש"ח</w:t>
      </w:r>
      <w:r>
        <w:rPr>
          <w:b/>
          <w:vertAlign w:val="superscript"/>
          <w:rtl/>
        </w:rPr>
        <w:footnoteReference w:id="63"/>
      </w:r>
      <w:r w:rsidRPr="0097239C">
        <w:rPr>
          <w:rFonts w:hint="cs"/>
          <w:b/>
          <w:rtl/>
        </w:rPr>
        <w:t xml:space="preserve"> (לא כולל תקציבים שהוקצו במסגרת התוכניות הלאומיות). </w:t>
      </w:r>
      <w:r w:rsidRPr="0097239C">
        <w:rPr>
          <w:rFonts w:hint="eastAsia"/>
          <w:b/>
          <w:rtl/>
        </w:rPr>
        <w:t>להלן</w:t>
      </w:r>
      <w:r w:rsidRPr="0097239C">
        <w:rPr>
          <w:b/>
          <w:rtl/>
        </w:rPr>
        <w:t xml:space="preserve"> </w:t>
      </w:r>
      <w:r w:rsidRPr="0097239C">
        <w:rPr>
          <w:rFonts w:hint="eastAsia"/>
          <w:b/>
          <w:rtl/>
        </w:rPr>
        <w:t>פירוט</w:t>
      </w:r>
      <w:r w:rsidRPr="0097239C">
        <w:rPr>
          <w:b/>
          <w:rtl/>
        </w:rPr>
        <w:t xml:space="preserve"> </w:t>
      </w:r>
      <w:r w:rsidRPr="0097239C">
        <w:rPr>
          <w:rFonts w:hint="cs"/>
          <w:b/>
          <w:rtl/>
        </w:rPr>
        <w:t>ה</w:t>
      </w:r>
      <w:r w:rsidRPr="0097239C">
        <w:rPr>
          <w:rFonts w:hint="eastAsia"/>
          <w:b/>
          <w:rtl/>
        </w:rPr>
        <w:t>תקציבים</w:t>
      </w:r>
      <w:r w:rsidRPr="0097239C">
        <w:rPr>
          <w:b/>
          <w:rtl/>
        </w:rPr>
        <w:t xml:space="preserve"> </w:t>
      </w:r>
      <w:r w:rsidRPr="0097239C">
        <w:rPr>
          <w:rFonts w:hint="eastAsia"/>
          <w:b/>
          <w:rtl/>
        </w:rPr>
        <w:t>שה</w:t>
      </w:r>
      <w:r w:rsidRPr="0097239C">
        <w:rPr>
          <w:rFonts w:hint="cs"/>
          <w:b/>
          <w:rtl/>
        </w:rPr>
        <w:t xml:space="preserve">קצה משרד </w:t>
      </w:r>
      <w:r w:rsidRPr="0097239C">
        <w:rPr>
          <w:rFonts w:hint="cs"/>
          <w:b/>
          <w:rtl/>
        </w:rPr>
        <w:t>האנרגייה</w:t>
      </w:r>
      <w:r w:rsidRPr="0097239C">
        <w:rPr>
          <w:b/>
          <w:rtl/>
        </w:rPr>
        <w:t xml:space="preserve"> </w:t>
      </w:r>
      <w:r w:rsidRPr="0097239C">
        <w:rPr>
          <w:rFonts w:hint="cs"/>
          <w:b/>
          <w:rtl/>
        </w:rPr>
        <w:t xml:space="preserve">בפועל </w:t>
      </w:r>
      <w:r w:rsidRPr="0097239C">
        <w:rPr>
          <w:b/>
          <w:rtl/>
        </w:rPr>
        <w:t xml:space="preserve">להתייעלות אנרגטית </w:t>
      </w:r>
      <w:r w:rsidRPr="0097239C">
        <w:rPr>
          <w:rFonts w:hint="cs"/>
          <w:b/>
          <w:rtl/>
        </w:rPr>
        <w:t>בשנים 2012 - 2018 ושיעור ההתייעלות שתוכננה בהם:</w:t>
      </w:r>
    </w:p>
    <w:p w:rsidR="0097239C" w:rsidRPr="0097239C" w:rsidP="00C603CF">
      <w:pPr>
        <w:pStyle w:val="a"/>
        <w:spacing w:line="269" w:lineRule="auto"/>
        <w:rPr>
          <w:rtl/>
        </w:rPr>
      </w:pPr>
    </w:p>
    <w:p w:rsidR="0097239C" w:rsidRPr="0097239C" w:rsidP="00AE3072">
      <w:pPr>
        <w:spacing w:after="180" w:line="269" w:lineRule="auto"/>
        <w:jc w:val="center"/>
        <w:rPr>
          <w:bCs/>
          <w:rtl/>
        </w:rPr>
      </w:pPr>
      <w:r w:rsidRPr="0097239C">
        <w:rPr>
          <w:rFonts w:hint="cs"/>
          <w:bCs/>
          <w:rtl/>
        </w:rPr>
        <w:t xml:space="preserve">לוח 4: תקציבים שהקצה משרד </w:t>
      </w:r>
      <w:r w:rsidRPr="0097239C">
        <w:rPr>
          <w:rFonts w:hint="cs"/>
          <w:bCs/>
          <w:rtl/>
        </w:rPr>
        <w:t>האנרגייה</w:t>
      </w:r>
      <w:r w:rsidRPr="0097239C">
        <w:rPr>
          <w:rFonts w:hint="cs"/>
          <w:bCs/>
          <w:rtl/>
        </w:rPr>
        <w:t xml:space="preserve"> להתייעלות אנרגטית</w:t>
      </w:r>
      <w:r>
        <w:rPr>
          <w:bCs/>
          <w:vertAlign w:val="superscript"/>
          <w:rtl/>
        </w:rPr>
        <w:footnoteReference w:id="64"/>
      </w:r>
    </w:p>
    <w:tbl>
      <w:tblPr>
        <w:tblStyle w:val="TableGrid"/>
        <w:bidiVisual/>
        <w:tblW w:w="0" w:type="auto"/>
        <w:jc w:val="center"/>
        <w:tblLook w:val="04A0"/>
      </w:tblPr>
      <w:tblGrid>
        <w:gridCol w:w="3436"/>
        <w:gridCol w:w="606"/>
        <w:gridCol w:w="1915"/>
        <w:gridCol w:w="2079"/>
      </w:tblGrid>
      <w:tr w:rsidTr="00AE3072">
        <w:tblPrEx>
          <w:tblW w:w="0" w:type="auto"/>
          <w:jc w:val="center"/>
          <w:tblLook w:val="04A0"/>
        </w:tblPrEx>
        <w:trPr>
          <w:trHeight w:val="725"/>
          <w:jc w:val="center"/>
        </w:trPr>
        <w:tc>
          <w:tcPr>
            <w:tcW w:w="0" w:type="auto"/>
            <w:vAlign w:val="bottom"/>
          </w:tcPr>
          <w:p w:rsidR="0097239C" w:rsidRPr="004C0F07" w:rsidP="00AE3072">
            <w:pPr>
              <w:spacing w:before="60" w:after="300" w:line="240" w:lineRule="exact"/>
              <w:rPr>
                <w:rFonts w:ascii="Times New Roman" w:hAnsi="Times New Roman" w:cs="David"/>
                <w:b/>
                <w:bCs/>
                <w:rtl/>
              </w:rPr>
            </w:pPr>
            <w:r w:rsidRPr="004C0F07">
              <w:rPr>
                <w:rFonts w:ascii="Times New Roman" w:hAnsi="Times New Roman" w:cs="David" w:hint="cs"/>
                <w:b/>
                <w:bCs/>
                <w:rtl/>
              </w:rPr>
              <w:t>תיאור המכרז</w:t>
            </w:r>
          </w:p>
        </w:tc>
        <w:tc>
          <w:tcPr>
            <w:tcW w:w="0" w:type="auto"/>
            <w:vAlign w:val="bottom"/>
          </w:tcPr>
          <w:p w:rsidR="0097239C" w:rsidRPr="004C0F07" w:rsidP="00AE3072">
            <w:pPr>
              <w:spacing w:before="60" w:after="300" w:line="240" w:lineRule="exact"/>
              <w:rPr>
                <w:rFonts w:ascii="Times New Roman" w:hAnsi="Times New Roman" w:cs="David"/>
                <w:b/>
                <w:bCs/>
                <w:rtl/>
              </w:rPr>
            </w:pPr>
            <w:r w:rsidRPr="004C0F07">
              <w:rPr>
                <w:rFonts w:ascii="Times New Roman" w:hAnsi="Times New Roman" w:cs="David" w:hint="cs"/>
                <w:b/>
                <w:bCs/>
                <w:rtl/>
              </w:rPr>
              <w:t>שנה</w:t>
            </w:r>
          </w:p>
        </w:tc>
        <w:tc>
          <w:tcPr>
            <w:tcW w:w="0" w:type="auto"/>
            <w:vAlign w:val="bottom"/>
          </w:tcPr>
          <w:p w:rsidR="0097239C" w:rsidRPr="004C0F07" w:rsidP="00AE3072">
            <w:pPr>
              <w:spacing w:before="60" w:after="300" w:line="240" w:lineRule="exact"/>
              <w:rPr>
                <w:rFonts w:ascii="Times New Roman" w:hAnsi="Times New Roman" w:cs="David"/>
                <w:b/>
                <w:bCs/>
                <w:rtl/>
              </w:rPr>
            </w:pPr>
            <w:r w:rsidRPr="004C0F07">
              <w:rPr>
                <w:rFonts w:ascii="Times New Roman" w:hAnsi="Times New Roman" w:cs="David" w:hint="cs"/>
                <w:b/>
                <w:bCs/>
                <w:rtl/>
              </w:rPr>
              <w:t>תקציב במיליוני ש"ח</w:t>
            </w:r>
          </w:p>
        </w:tc>
        <w:tc>
          <w:tcPr>
            <w:tcW w:w="0" w:type="auto"/>
            <w:vAlign w:val="bottom"/>
          </w:tcPr>
          <w:p w:rsidR="0097239C" w:rsidRPr="004C0F07" w:rsidP="00AE3072">
            <w:pPr>
              <w:spacing w:before="60" w:after="300" w:line="240" w:lineRule="exact"/>
              <w:rPr>
                <w:rFonts w:ascii="Times New Roman" w:hAnsi="Times New Roman" w:cs="David"/>
                <w:b/>
                <w:bCs/>
                <w:rtl/>
              </w:rPr>
            </w:pPr>
            <w:r w:rsidRPr="004C0F07">
              <w:rPr>
                <w:rFonts w:ascii="Times New Roman" w:hAnsi="Times New Roman" w:cs="David" w:hint="cs"/>
                <w:b/>
                <w:bCs/>
                <w:rtl/>
              </w:rPr>
              <w:t>התייעלות מתוכננת</w:t>
            </w:r>
            <w:r w:rsidR="00AE3072">
              <w:rPr>
                <w:rFonts w:ascii="Times New Roman" w:hAnsi="Times New Roman" w:cs="David"/>
                <w:b/>
                <w:bCs/>
                <w:rtl/>
              </w:rPr>
              <w:br/>
            </w:r>
            <w:r w:rsidRPr="004C0F07">
              <w:rPr>
                <w:rFonts w:ascii="Times New Roman" w:hAnsi="Times New Roman" w:cs="David" w:hint="cs"/>
                <w:b/>
                <w:bCs/>
                <w:rtl/>
              </w:rPr>
              <w:t xml:space="preserve">(במיליון </w:t>
            </w:r>
            <w:r w:rsidRPr="004C0F07">
              <w:rPr>
                <w:rFonts w:ascii="Times New Roman" w:hAnsi="Times New Roman" w:cs="David" w:hint="cs"/>
                <w:b/>
                <w:bCs/>
                <w:rtl/>
              </w:rPr>
              <w:t>קוט"ש</w:t>
            </w:r>
            <w:r w:rsidRPr="004C0F07">
              <w:rPr>
                <w:rFonts w:ascii="Times New Roman" w:hAnsi="Times New Roman" w:cs="David" w:hint="cs"/>
                <w:b/>
                <w:bCs/>
                <w:rtl/>
              </w:rPr>
              <w:t xml:space="preserve"> לשנה)</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 xml:space="preserve">מכרז התייעלות </w:t>
            </w:r>
            <w:r w:rsidRPr="004C0F07">
              <w:rPr>
                <w:rFonts w:ascii="Times New Roman" w:hAnsi="Times New Roman" w:cs="David" w:hint="cs"/>
                <w:rtl/>
              </w:rPr>
              <w:t>באנרגייה</w:t>
            </w:r>
            <w:r w:rsidRPr="004C0F07">
              <w:rPr>
                <w:rFonts w:ascii="Times New Roman" w:hAnsi="Times New Roman" w:cs="David" w:hint="cs"/>
                <w:rtl/>
              </w:rPr>
              <w:t xml:space="preserve"> בכלל המגזרים</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2012</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1.7~</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3.3~</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 xml:space="preserve">מכרז החלפת </w:t>
            </w:r>
            <w:r w:rsidRPr="004C0F07">
              <w:rPr>
                <w:rFonts w:ascii="Times New Roman" w:hAnsi="Times New Roman" w:cs="David" w:hint="cs"/>
                <w:rtl/>
              </w:rPr>
              <w:t>צ'ילרים</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2013</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3.3~</w:t>
            </w:r>
          </w:p>
        </w:tc>
        <w:tc>
          <w:tcPr>
            <w:tcW w:w="0" w:type="auto"/>
          </w:tcPr>
          <w:p w:rsidR="0097239C" w:rsidRPr="004C0F07" w:rsidP="00AE3072">
            <w:pPr>
              <w:spacing w:before="30" w:after="72" w:afterLines="30" w:line="220" w:lineRule="exact"/>
              <w:jc w:val="both"/>
              <w:rPr>
                <w:rFonts w:ascii="Times New Roman" w:hAnsi="Times New Roman" w:cs="David"/>
                <w:rtl/>
              </w:rPr>
            </w:pP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מכרז התייעלות בבתי מלון</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2013</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2.7~</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12.2~</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מכרז 1 התייעלות ביישובי הדרום</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2014</w:t>
            </w:r>
          </w:p>
        </w:tc>
        <w:tc>
          <w:tcPr>
            <w:tcW w:w="0" w:type="auto"/>
            <w:vMerge w:val="restart"/>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3.8~</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1.3 ~</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מכרז 2 התייעלות ביישובי הדרום</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2014</w:t>
            </w:r>
          </w:p>
        </w:tc>
        <w:tc>
          <w:tcPr>
            <w:tcW w:w="0" w:type="auto"/>
            <w:vMerge/>
          </w:tcPr>
          <w:p w:rsidR="0097239C" w:rsidRPr="004C0F07" w:rsidP="00AE3072">
            <w:pPr>
              <w:spacing w:before="30" w:after="72" w:afterLines="30" w:line="220" w:lineRule="exact"/>
              <w:jc w:val="both"/>
              <w:rPr>
                <w:rFonts w:ascii="Times New Roman" w:hAnsi="Times New Roman" w:cs="David"/>
                <w:rtl/>
              </w:rPr>
            </w:pP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 ~</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מכרז התייעלות בכלל המגזרים</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2014</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10.5~</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26~</w:t>
            </w:r>
          </w:p>
        </w:tc>
      </w:tr>
      <w:tr w:rsidTr="004C0F07">
        <w:tblPrEx>
          <w:tblW w:w="0" w:type="auto"/>
          <w:jc w:val="center"/>
          <w:tblLook w:val="04A0"/>
        </w:tblPrEx>
        <w:trPr>
          <w:jc w:val="center"/>
        </w:trPr>
        <w:tc>
          <w:tcPr>
            <w:tcW w:w="0" w:type="auto"/>
          </w:tcPr>
          <w:p w:rsidR="0097239C" w:rsidRPr="004C0F07" w:rsidP="00AE3072">
            <w:pPr>
              <w:spacing w:before="30" w:after="72" w:afterLines="30" w:line="220" w:lineRule="exact"/>
              <w:rPr>
                <w:rFonts w:ascii="Times New Roman" w:hAnsi="Times New Roman" w:cs="David"/>
                <w:rtl/>
              </w:rPr>
            </w:pPr>
            <w:r w:rsidRPr="004C0F07">
              <w:rPr>
                <w:rFonts w:ascii="Times New Roman" w:hAnsi="Times New Roman" w:cs="David" w:hint="cs"/>
                <w:rtl/>
              </w:rPr>
              <w:t>מכרז התייעלות ברשויות מקומיות</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2014</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11.8~</w:t>
            </w:r>
          </w:p>
        </w:tc>
        <w:tc>
          <w:tcPr>
            <w:tcW w:w="0" w:type="auto"/>
          </w:tcPr>
          <w:p w:rsidR="0097239C" w:rsidRPr="004C0F07" w:rsidP="00AE3072">
            <w:pPr>
              <w:spacing w:before="30" w:after="72" w:afterLines="30" w:line="220" w:lineRule="exact"/>
              <w:jc w:val="both"/>
              <w:rPr>
                <w:rFonts w:ascii="Times New Roman" w:hAnsi="Times New Roman" w:cs="David"/>
                <w:rtl/>
              </w:rPr>
            </w:pPr>
            <w:r w:rsidRPr="004C0F07">
              <w:rPr>
                <w:rFonts w:ascii="Times New Roman" w:hAnsi="Times New Roman" w:cs="David" w:hint="cs"/>
                <w:rtl/>
              </w:rPr>
              <w:t>17.9~</w:t>
            </w:r>
          </w:p>
        </w:tc>
      </w:tr>
      <w:tr w:rsidTr="004C0F07">
        <w:tblPrEx>
          <w:tblW w:w="0" w:type="auto"/>
          <w:jc w:val="center"/>
          <w:tblLook w:val="04A0"/>
        </w:tblPrEx>
        <w:trPr>
          <w:jc w:val="center"/>
        </w:trPr>
        <w:tc>
          <w:tcPr>
            <w:tcW w:w="0" w:type="auto"/>
          </w:tcPr>
          <w:p w:rsidR="0097239C" w:rsidRPr="00AE3072" w:rsidP="00AE3072">
            <w:pPr>
              <w:spacing w:before="30" w:after="72" w:afterLines="30" w:line="220" w:lineRule="exact"/>
              <w:rPr>
                <w:rFonts w:ascii="Times New Roman" w:hAnsi="Times New Roman" w:cs="David"/>
                <w:rtl/>
              </w:rPr>
            </w:pPr>
            <w:r w:rsidRPr="00AE3072">
              <w:rPr>
                <w:rFonts w:ascii="Times New Roman" w:hAnsi="Times New Roman" w:cs="David" w:hint="cs"/>
                <w:rtl/>
              </w:rPr>
              <w:t xml:space="preserve">מכרז החלפת </w:t>
            </w:r>
            <w:r w:rsidRPr="00AE3072">
              <w:rPr>
                <w:rFonts w:ascii="Times New Roman" w:hAnsi="Times New Roman" w:cs="David" w:hint="cs"/>
                <w:rtl/>
              </w:rPr>
              <w:t>צ'ילרים</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2014</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9.2~</w:t>
            </w:r>
          </w:p>
        </w:tc>
        <w:tc>
          <w:tcPr>
            <w:tcW w:w="0" w:type="auto"/>
          </w:tcPr>
          <w:p w:rsidR="0097239C" w:rsidRPr="00AE3072" w:rsidP="00AE3072">
            <w:pPr>
              <w:spacing w:before="30" w:after="72" w:afterLines="30" w:line="220" w:lineRule="exact"/>
              <w:jc w:val="both"/>
              <w:rPr>
                <w:rFonts w:ascii="Times New Roman" w:hAnsi="Times New Roman" w:cs="David"/>
                <w:rtl/>
              </w:rPr>
            </w:pPr>
          </w:p>
        </w:tc>
      </w:tr>
      <w:tr w:rsidTr="004C0F07">
        <w:tblPrEx>
          <w:tblW w:w="0" w:type="auto"/>
          <w:jc w:val="center"/>
          <w:tblLook w:val="04A0"/>
        </w:tblPrEx>
        <w:trPr>
          <w:jc w:val="center"/>
        </w:trPr>
        <w:tc>
          <w:tcPr>
            <w:tcW w:w="0" w:type="auto"/>
          </w:tcPr>
          <w:p w:rsidR="0097239C" w:rsidRPr="00AE3072" w:rsidP="00AE3072">
            <w:pPr>
              <w:spacing w:before="30" w:after="72" w:afterLines="30" w:line="220" w:lineRule="exact"/>
              <w:rPr>
                <w:rFonts w:ascii="Times New Roman" w:hAnsi="Times New Roman" w:cs="David"/>
                <w:rtl/>
              </w:rPr>
            </w:pPr>
            <w:r w:rsidRPr="00AE3072">
              <w:rPr>
                <w:rFonts w:ascii="Times New Roman" w:hAnsi="Times New Roman" w:cs="David" w:hint="cs"/>
                <w:rtl/>
              </w:rPr>
              <w:t xml:space="preserve">מכרז החלפת </w:t>
            </w:r>
            <w:r w:rsidRPr="00AE3072">
              <w:rPr>
                <w:rFonts w:ascii="Times New Roman" w:hAnsi="Times New Roman" w:cs="David" w:hint="cs"/>
                <w:rtl/>
              </w:rPr>
              <w:t>צ'ילרים</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2015</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7~</w:t>
            </w:r>
          </w:p>
        </w:tc>
        <w:tc>
          <w:tcPr>
            <w:tcW w:w="0" w:type="auto"/>
          </w:tcPr>
          <w:p w:rsidR="0097239C" w:rsidRPr="00AE3072" w:rsidP="00AE3072">
            <w:pPr>
              <w:spacing w:before="30" w:after="72" w:afterLines="30" w:line="220" w:lineRule="exact"/>
              <w:jc w:val="both"/>
              <w:rPr>
                <w:rFonts w:ascii="Times New Roman" w:hAnsi="Times New Roman" w:cs="David"/>
                <w:rtl/>
              </w:rPr>
            </w:pPr>
          </w:p>
        </w:tc>
      </w:tr>
      <w:tr w:rsidTr="004C0F07">
        <w:tblPrEx>
          <w:tblW w:w="0" w:type="auto"/>
          <w:jc w:val="center"/>
          <w:tblLook w:val="04A0"/>
        </w:tblPrEx>
        <w:trPr>
          <w:trHeight w:val="218"/>
          <w:jc w:val="center"/>
        </w:trPr>
        <w:tc>
          <w:tcPr>
            <w:tcW w:w="0" w:type="auto"/>
          </w:tcPr>
          <w:p w:rsidR="0097239C" w:rsidRPr="00AE3072" w:rsidP="00AE3072">
            <w:pPr>
              <w:spacing w:before="30" w:after="72" w:afterLines="30" w:line="220" w:lineRule="exact"/>
              <w:rPr>
                <w:rFonts w:ascii="Times New Roman" w:hAnsi="Times New Roman" w:cs="David"/>
                <w:rtl/>
              </w:rPr>
            </w:pPr>
            <w:r w:rsidRPr="00AE3072">
              <w:rPr>
                <w:rFonts w:ascii="Times New Roman" w:hAnsi="Times New Roman" w:cs="David" w:hint="cs"/>
                <w:rtl/>
              </w:rPr>
              <w:t xml:space="preserve">מכרז החלפת </w:t>
            </w:r>
            <w:r w:rsidRPr="00AE3072">
              <w:rPr>
                <w:rFonts w:ascii="Times New Roman" w:hAnsi="Times New Roman" w:cs="David" w:hint="cs"/>
                <w:rtl/>
              </w:rPr>
              <w:t>צ'ילרים</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2015</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8.5~</w:t>
            </w:r>
          </w:p>
        </w:tc>
        <w:tc>
          <w:tcPr>
            <w:tcW w:w="0" w:type="auto"/>
          </w:tcPr>
          <w:p w:rsidR="0097239C" w:rsidRPr="00AE3072" w:rsidP="00AE3072">
            <w:pPr>
              <w:spacing w:before="30" w:after="72" w:afterLines="30" w:line="220" w:lineRule="exact"/>
              <w:jc w:val="both"/>
              <w:rPr>
                <w:rFonts w:ascii="Times New Roman" w:hAnsi="Times New Roman" w:cs="David"/>
                <w:rtl/>
              </w:rPr>
            </w:pPr>
          </w:p>
        </w:tc>
      </w:tr>
      <w:tr w:rsidTr="004C0F07">
        <w:tblPrEx>
          <w:tblW w:w="0" w:type="auto"/>
          <w:jc w:val="center"/>
          <w:tblLook w:val="04A0"/>
        </w:tblPrEx>
        <w:trPr>
          <w:jc w:val="center"/>
        </w:trPr>
        <w:tc>
          <w:tcPr>
            <w:tcW w:w="0" w:type="auto"/>
          </w:tcPr>
          <w:p w:rsidR="0097239C" w:rsidRPr="00AE3072" w:rsidP="00AE3072">
            <w:pPr>
              <w:spacing w:before="30" w:after="72" w:afterLines="30" w:line="220" w:lineRule="exact"/>
              <w:rPr>
                <w:rFonts w:ascii="Times New Roman" w:hAnsi="Times New Roman" w:cs="David"/>
                <w:rtl/>
              </w:rPr>
            </w:pPr>
            <w:r w:rsidRPr="00AE3072">
              <w:rPr>
                <w:rFonts w:ascii="Times New Roman" w:hAnsi="Times New Roman" w:cs="David" w:hint="cs"/>
                <w:rtl/>
              </w:rPr>
              <w:t>מכרז התייעלות ביישובי הדרום</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2016</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5.6~</w:t>
            </w:r>
          </w:p>
        </w:tc>
        <w:tc>
          <w:tcPr>
            <w:tcW w:w="0" w:type="auto"/>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5.2~</w:t>
            </w:r>
          </w:p>
        </w:tc>
      </w:tr>
      <w:tr w:rsidTr="004C0F07">
        <w:tblPrEx>
          <w:tblW w:w="0" w:type="auto"/>
          <w:jc w:val="center"/>
          <w:tblLook w:val="04A0"/>
        </w:tblPrEx>
        <w:trPr>
          <w:jc w:val="center"/>
        </w:trPr>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מכרז התייעלות ביישובי הדרום</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2017</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5.1~</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7.9~</w:t>
            </w:r>
          </w:p>
        </w:tc>
      </w:tr>
      <w:tr w:rsidTr="004C0F07">
        <w:tblPrEx>
          <w:tblW w:w="0" w:type="auto"/>
          <w:jc w:val="center"/>
          <w:tblLook w:val="04A0"/>
        </w:tblPrEx>
        <w:trPr>
          <w:jc w:val="center"/>
        </w:trPr>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מכרז התייעלות ביישובי הדרום</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2018</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1.5~</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3.4~</w:t>
            </w:r>
          </w:p>
        </w:tc>
      </w:tr>
      <w:tr w:rsidTr="004C0F07">
        <w:tblPrEx>
          <w:tblW w:w="0" w:type="auto"/>
          <w:jc w:val="center"/>
          <w:tblLook w:val="04A0"/>
        </w:tblPrEx>
        <w:trPr>
          <w:jc w:val="center"/>
        </w:trPr>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סה"כ 2012 - 2018</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70.7</w:t>
            </w:r>
          </w:p>
        </w:tc>
        <w:tc>
          <w:tcPr>
            <w:tcW w:w="0" w:type="auto"/>
            <w:vAlign w:val="center"/>
          </w:tcPr>
          <w:p w:rsidR="0097239C" w:rsidRPr="00AE3072" w:rsidP="00AE3072">
            <w:pPr>
              <w:spacing w:before="30" w:after="72" w:afterLines="30" w:line="220" w:lineRule="exact"/>
              <w:jc w:val="both"/>
              <w:rPr>
                <w:rFonts w:ascii="Times New Roman" w:hAnsi="Times New Roman" w:cs="David"/>
                <w:rtl/>
              </w:rPr>
            </w:pPr>
            <w:r w:rsidRPr="00AE3072">
              <w:rPr>
                <w:rFonts w:ascii="Times New Roman" w:hAnsi="Times New Roman" w:cs="David" w:hint="cs"/>
                <w:rtl/>
              </w:rPr>
              <w:t>78.2</w:t>
            </w:r>
          </w:p>
        </w:tc>
      </w:tr>
    </w:tbl>
    <w:p w:rsidR="0097239C" w:rsidRPr="00810E1E" w:rsidP="00AE3072">
      <w:pPr>
        <w:spacing w:before="120" w:line="269" w:lineRule="auto"/>
        <w:rPr>
          <w:b/>
          <w:sz w:val="22"/>
          <w:szCs w:val="22"/>
          <w:rtl/>
        </w:rPr>
      </w:pPr>
      <w:r w:rsidRPr="00810E1E">
        <w:rPr>
          <w:rFonts w:hint="cs"/>
          <w:b/>
          <w:sz w:val="22"/>
          <w:szCs w:val="22"/>
          <w:rtl/>
        </w:rPr>
        <w:t xml:space="preserve">המקור: נתונים שמסר משרד </w:t>
      </w:r>
      <w:r w:rsidRPr="00810E1E">
        <w:rPr>
          <w:rFonts w:hint="cs"/>
          <w:b/>
          <w:sz w:val="22"/>
          <w:szCs w:val="22"/>
          <w:rtl/>
        </w:rPr>
        <w:t>האנרגייה</w:t>
      </w:r>
      <w:r w:rsidRPr="00810E1E">
        <w:rPr>
          <w:rFonts w:hint="cs"/>
          <w:b/>
          <w:sz w:val="22"/>
          <w:szCs w:val="22"/>
          <w:rtl/>
        </w:rPr>
        <w:t xml:space="preserve"> למשרד מבקר המדינה בספטמבר 2019.</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כאמור על פי החלטת הממשלה ממרץ 2008, כדי לעמוד ביעדי הממשלה לשנת 2020, היקף החיסכון צריך לעמוד על 16 מיליארד </w:t>
      </w:r>
      <w:r w:rsidRPr="0097239C">
        <w:rPr>
          <w:rFonts w:hint="cs"/>
          <w:b/>
          <w:rtl/>
        </w:rPr>
        <w:t>קוט"ש</w:t>
      </w:r>
      <w:r w:rsidRPr="0097239C">
        <w:rPr>
          <w:rFonts w:hint="cs"/>
          <w:b/>
          <w:rtl/>
        </w:rPr>
        <w:t xml:space="preserve">. התקציבים שהקצה משרד </w:t>
      </w:r>
      <w:r w:rsidRPr="0097239C">
        <w:rPr>
          <w:rFonts w:hint="cs"/>
          <w:b/>
          <w:rtl/>
        </w:rPr>
        <w:t>האנרגייה</w:t>
      </w:r>
      <w:r w:rsidRPr="0097239C">
        <w:rPr>
          <w:rFonts w:hint="cs"/>
          <w:b/>
          <w:rtl/>
        </w:rPr>
        <w:t xml:space="preserve">, כפי שמופיע בלוח, צפויים להביא לחיסכון של 78.2 מיליון </w:t>
      </w:r>
      <w:r w:rsidRPr="0097239C">
        <w:rPr>
          <w:rFonts w:hint="cs"/>
          <w:b/>
          <w:rtl/>
        </w:rPr>
        <w:t>קוט"ש</w:t>
      </w:r>
      <w:r w:rsidRPr="0097239C">
        <w:rPr>
          <w:rFonts w:hint="cs"/>
          <w:b/>
          <w:rtl/>
        </w:rPr>
        <w:t>, כ-0.5% מיעד החיסכון בלבד.</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כמה חסמים מקשים על ביצוע פרויקטים של התייעלות אנרגטית ובהם אלו: היעדר מודעות לתחום ההתייעלות האנרגטית ולהיקפי החיסכון הכלכלי הפוטנציאלי הגלום בה; לעיתים </w:t>
      </w:r>
      <w:r w:rsidRPr="0097239C">
        <w:rPr>
          <w:rFonts w:hint="cs"/>
          <w:b/>
          <w:rtl/>
        </w:rPr>
        <w:t>תוכניות</w:t>
      </w:r>
      <w:r w:rsidRPr="0097239C">
        <w:rPr>
          <w:rFonts w:hint="cs"/>
          <w:b/>
          <w:rtl/>
        </w:rPr>
        <w:t xml:space="preserve"> התמיכה הממשלתיות הקיימות מציבות תנאים מורכבים, המקשים על גורמים ציבוריים ופרטיים להשתתף בתמיכה זו; משאבים מוגבלים, הדוחקים את ההשקעה בהתייעלות אנרגטית למקום נמוך בסולם העדיפויות הן בחברות והן ברשויות מקומיות; ביצוע סקר </w:t>
      </w:r>
      <w:r w:rsidRPr="0097239C">
        <w:rPr>
          <w:rFonts w:hint="cs"/>
          <w:b/>
          <w:rtl/>
        </w:rPr>
        <w:t>אנרגייה</w:t>
      </w:r>
      <w:r w:rsidRPr="0097239C">
        <w:rPr>
          <w:rFonts w:hint="cs"/>
          <w:b/>
          <w:rtl/>
        </w:rPr>
        <w:t xml:space="preserve"> לאיתור מוקדי התייעלות פוטנציאליים כרוך בעלויות ראשוניות גבוהות, ללא ודאות כלשהי לגבי רמת ההתייעלות הפוטנציאלית; דרישות להון עצמי או לגופי מימון לשם ביצוע מיזמים להתייעלות אנרגטית.</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ממסמכי </w:t>
      </w:r>
      <w:r w:rsidR="00010DDD">
        <w:rPr>
          <w:rFonts w:hint="cs"/>
          <w:rtl/>
        </w:rPr>
        <w:t>ה</w:t>
      </w:r>
      <w:r w:rsidRPr="0097239C">
        <w:rPr>
          <w:rFonts w:hint="eastAsia"/>
          <w:rtl/>
        </w:rPr>
        <w:t>למ</w:t>
      </w:r>
      <w:r w:rsidRPr="0097239C">
        <w:rPr>
          <w:rtl/>
        </w:rPr>
        <w:t>"ס</w:t>
      </w:r>
      <w:r w:rsidRPr="0097239C">
        <w:rPr>
          <w:rFonts w:hint="cs"/>
          <w:rtl/>
        </w:rPr>
        <w:t xml:space="preserve"> מדצמבר 2019 עולה כי במסגרת סקר איכות סביבה בענפי התעשייה והחשמל לשנת 2017 נשאלו חברות לראשונה על ביצוע פעולות להתייעלות אנרגטית בהיבט של פעולות בקרה ושיפורים. להלן התוצאות עבור חברות שצריכת </w:t>
      </w:r>
      <w:r w:rsidRPr="0097239C">
        <w:rPr>
          <w:rFonts w:hint="cs"/>
          <w:rtl/>
        </w:rPr>
        <w:t>האנרגייה</w:t>
      </w:r>
      <w:r w:rsidRPr="0097239C">
        <w:rPr>
          <w:rFonts w:hint="cs"/>
          <w:rtl/>
        </w:rPr>
        <w:t xml:space="preserve"> שלהן גבוהה מ-2000 שווה ערך טונה נפט</w:t>
      </w:r>
      <w:r>
        <w:rPr>
          <w:vertAlign w:val="superscript"/>
          <w:rtl/>
        </w:rPr>
        <w:footnoteReference w:id="65"/>
      </w:r>
      <w:r w:rsidRPr="0097239C">
        <w:rPr>
          <w:rFonts w:hint="cs"/>
          <w:rtl/>
        </w:rPr>
        <w:t xml:space="preserve">. יצוין כי צריכת </w:t>
      </w:r>
      <w:r w:rsidRPr="0097239C">
        <w:rPr>
          <w:rFonts w:hint="cs"/>
          <w:rtl/>
        </w:rPr>
        <w:t>האנרגייה</w:t>
      </w:r>
      <w:r w:rsidRPr="0097239C">
        <w:rPr>
          <w:rFonts w:hint="cs"/>
          <w:rtl/>
        </w:rPr>
        <w:t xml:space="preserve"> של החברות הללו היא כ-94% מכלל צריכת </w:t>
      </w:r>
      <w:r w:rsidRPr="0097239C">
        <w:rPr>
          <w:rFonts w:hint="cs"/>
          <w:rtl/>
        </w:rPr>
        <w:t>האנרגייה</w:t>
      </w:r>
      <w:r w:rsidRPr="0097239C">
        <w:rPr>
          <w:rFonts w:hint="cs"/>
          <w:rtl/>
        </w:rPr>
        <w:t xml:space="preserve"> בענפי התעשייה והחשמל.</w:t>
      </w:r>
    </w:p>
    <w:p w:rsidR="0097239C" w:rsidRPr="0097239C" w:rsidP="00C603CF">
      <w:pPr>
        <w:pStyle w:val="a"/>
        <w:spacing w:line="269" w:lineRule="auto"/>
        <w:rPr>
          <w:rtl/>
        </w:rPr>
      </w:pPr>
    </w:p>
    <w:p w:rsidR="0097239C" w:rsidRPr="0097239C" w:rsidP="00C839A0">
      <w:pPr>
        <w:spacing w:line="269" w:lineRule="auto"/>
        <w:jc w:val="center"/>
        <w:rPr>
          <w:rtl/>
        </w:rPr>
      </w:pPr>
      <w:r w:rsidRPr="0097239C">
        <w:rPr>
          <w:rFonts w:hint="eastAsia"/>
          <w:b/>
          <w:bCs/>
          <w:rtl/>
        </w:rPr>
        <w:t>תרשים</w:t>
      </w:r>
      <w:r w:rsidRPr="0097239C">
        <w:rPr>
          <w:b/>
          <w:bCs/>
          <w:rtl/>
        </w:rPr>
        <w:t xml:space="preserve"> </w:t>
      </w:r>
      <w:r w:rsidRPr="0097239C">
        <w:rPr>
          <w:rFonts w:hint="cs"/>
          <w:b/>
          <w:bCs/>
          <w:rtl/>
        </w:rPr>
        <w:t>10</w:t>
      </w:r>
      <w:r w:rsidRPr="0097239C">
        <w:rPr>
          <w:b/>
          <w:bCs/>
          <w:rtl/>
        </w:rPr>
        <w:t xml:space="preserve">: </w:t>
      </w:r>
      <w:r w:rsidRPr="0097239C">
        <w:rPr>
          <w:rFonts w:hint="cs"/>
          <w:b/>
          <w:bCs/>
          <w:rtl/>
        </w:rPr>
        <w:t xml:space="preserve">שיעור החברות שביצעו פעולות לבקרה על צריכת </w:t>
      </w:r>
      <w:r w:rsidRPr="0097239C">
        <w:rPr>
          <w:rFonts w:hint="cs"/>
          <w:b/>
          <w:bCs/>
          <w:rtl/>
        </w:rPr>
        <w:t>האנרגייה</w:t>
      </w:r>
    </w:p>
    <w:p w:rsidR="0097239C" w:rsidRPr="0097239C" w:rsidP="00F82CCB">
      <w:pPr>
        <w:spacing w:before="240" w:after="240" w:line="269" w:lineRule="auto"/>
        <w:jc w:val="center"/>
        <w:rPr>
          <w:rtl/>
        </w:rPr>
      </w:pPr>
      <w:r>
        <w:rPr>
          <w:noProof/>
          <w:rtl/>
        </w:rPr>
        <w:drawing>
          <wp:inline distT="0" distB="0" distL="0" distR="0">
            <wp:extent cx="4322073" cy="2249429"/>
            <wp:effectExtent l="0" t="0" r="254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14036" name="energy-g-10.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49429"/>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 xml:space="preserve">מתוך </w:t>
      </w:r>
      <w:r w:rsidRPr="00810E1E">
        <w:rPr>
          <w:rFonts w:hint="cs"/>
          <w:b/>
          <w:bCs/>
          <w:sz w:val="22"/>
          <w:szCs w:val="22"/>
          <w:rtl/>
        </w:rPr>
        <w:t xml:space="preserve">הודעה לתקשורת - </w:t>
      </w:r>
      <w:r w:rsidRPr="00810E1E">
        <w:rPr>
          <w:rFonts w:hint="eastAsia"/>
          <w:b/>
          <w:bCs/>
          <w:sz w:val="22"/>
          <w:szCs w:val="22"/>
          <w:rtl/>
        </w:rPr>
        <w:t>סקר</w:t>
      </w:r>
      <w:r w:rsidRPr="00810E1E">
        <w:rPr>
          <w:b/>
          <w:bCs/>
          <w:sz w:val="22"/>
          <w:szCs w:val="22"/>
          <w:rtl/>
        </w:rPr>
        <w:t xml:space="preserve"> </w:t>
      </w:r>
      <w:r w:rsidRPr="00810E1E">
        <w:rPr>
          <w:rFonts w:hint="eastAsia"/>
          <w:b/>
          <w:bCs/>
          <w:sz w:val="22"/>
          <w:szCs w:val="22"/>
          <w:rtl/>
        </w:rPr>
        <w:t>איכות</w:t>
      </w:r>
      <w:r w:rsidRPr="00810E1E">
        <w:rPr>
          <w:b/>
          <w:bCs/>
          <w:sz w:val="22"/>
          <w:szCs w:val="22"/>
          <w:rtl/>
        </w:rPr>
        <w:t xml:space="preserve"> </w:t>
      </w:r>
      <w:r w:rsidRPr="00810E1E">
        <w:rPr>
          <w:rFonts w:hint="eastAsia"/>
          <w:b/>
          <w:bCs/>
          <w:sz w:val="22"/>
          <w:szCs w:val="22"/>
          <w:rtl/>
        </w:rPr>
        <w:t>סביבה</w:t>
      </w:r>
      <w:r w:rsidRPr="00810E1E">
        <w:rPr>
          <w:b/>
          <w:bCs/>
          <w:sz w:val="22"/>
          <w:szCs w:val="22"/>
          <w:rtl/>
        </w:rPr>
        <w:t xml:space="preserve"> </w:t>
      </w:r>
      <w:r w:rsidRPr="00810E1E">
        <w:rPr>
          <w:rFonts w:hint="eastAsia"/>
          <w:b/>
          <w:bCs/>
          <w:sz w:val="22"/>
          <w:szCs w:val="22"/>
          <w:rtl/>
        </w:rPr>
        <w:t>בענפי</w:t>
      </w:r>
      <w:r w:rsidRPr="00810E1E">
        <w:rPr>
          <w:b/>
          <w:bCs/>
          <w:sz w:val="22"/>
          <w:szCs w:val="22"/>
          <w:rtl/>
        </w:rPr>
        <w:t xml:space="preserve"> </w:t>
      </w:r>
      <w:r w:rsidRPr="00810E1E">
        <w:rPr>
          <w:rFonts w:hint="eastAsia"/>
          <w:b/>
          <w:bCs/>
          <w:sz w:val="22"/>
          <w:szCs w:val="22"/>
          <w:rtl/>
        </w:rPr>
        <w:t>התעשייה</w:t>
      </w:r>
      <w:r w:rsidRPr="00810E1E">
        <w:rPr>
          <w:b/>
          <w:bCs/>
          <w:sz w:val="22"/>
          <w:szCs w:val="22"/>
          <w:rtl/>
        </w:rPr>
        <w:t xml:space="preserve"> </w:t>
      </w:r>
      <w:r w:rsidRPr="00810E1E">
        <w:rPr>
          <w:rFonts w:hint="eastAsia"/>
          <w:b/>
          <w:bCs/>
          <w:sz w:val="22"/>
          <w:szCs w:val="22"/>
          <w:rtl/>
        </w:rPr>
        <w:t>והחשמל</w:t>
      </w:r>
      <w:r w:rsidRPr="00810E1E">
        <w:rPr>
          <w:b/>
          <w:bCs/>
          <w:sz w:val="22"/>
          <w:szCs w:val="22"/>
          <w:rtl/>
        </w:rPr>
        <w:t>,</w:t>
      </w:r>
      <w:r w:rsidRPr="00810E1E">
        <w:rPr>
          <w:rFonts w:hint="cs"/>
          <w:sz w:val="22"/>
          <w:szCs w:val="22"/>
          <w:rtl/>
        </w:rPr>
        <w:t xml:space="preserve"> </w:t>
      </w:r>
      <w:r w:rsidRPr="00810E1E">
        <w:rPr>
          <w:b/>
          <w:bCs/>
          <w:sz w:val="22"/>
          <w:szCs w:val="22"/>
          <w:rtl/>
        </w:rPr>
        <w:t>2017</w:t>
      </w:r>
      <w:r w:rsidRPr="00810E1E">
        <w:rPr>
          <w:rFonts w:hint="cs"/>
          <w:sz w:val="22"/>
          <w:szCs w:val="22"/>
          <w:rtl/>
        </w:rPr>
        <w:t xml:space="preserve">, </w:t>
      </w:r>
      <w:r w:rsidRPr="00810E1E">
        <w:rPr>
          <w:rFonts w:hint="cs"/>
          <w:sz w:val="22"/>
          <w:szCs w:val="22"/>
          <w:rtl/>
        </w:rPr>
        <w:t>למ"ס</w:t>
      </w:r>
      <w:r w:rsidRPr="00810E1E">
        <w:rPr>
          <w:rFonts w:hint="cs"/>
          <w:sz w:val="22"/>
          <w:szCs w:val="22"/>
          <w:rtl/>
        </w:rPr>
        <w:t xml:space="preserve"> (2.12.19), בעיבוד משרד מבקר המדינה.</w:t>
      </w:r>
    </w:p>
    <w:p w:rsidR="00C839A0">
      <w:pPr>
        <w:bidi w:val="0"/>
        <w:spacing w:after="200" w:line="276" w:lineRule="auto"/>
        <w:rPr>
          <w:szCs w:val="20"/>
          <w:rtl/>
        </w:rPr>
      </w:pPr>
      <w:r>
        <w:rPr>
          <w:szCs w:val="20"/>
          <w:rtl/>
        </w:rPr>
        <w:br w:type="page"/>
      </w:r>
    </w:p>
    <w:p w:rsidR="0097239C" w:rsidRPr="0097239C" w:rsidP="00C839A0">
      <w:pPr>
        <w:spacing w:line="269" w:lineRule="auto"/>
        <w:jc w:val="center"/>
        <w:rPr>
          <w:b/>
          <w:bCs/>
          <w:rtl/>
        </w:rPr>
      </w:pPr>
      <w:r w:rsidRPr="0097239C">
        <w:rPr>
          <w:rFonts w:hint="cs"/>
          <w:b/>
          <w:bCs/>
          <w:rtl/>
        </w:rPr>
        <w:t>תרשים 11: שיעור החברות שנקטו פעולות לשיפור היעילות האנרגטית</w:t>
      </w:r>
    </w:p>
    <w:p w:rsidR="0097239C" w:rsidRPr="0097239C" w:rsidP="00F82CCB">
      <w:pPr>
        <w:spacing w:before="240" w:after="240" w:line="269" w:lineRule="auto"/>
        <w:jc w:val="center"/>
        <w:rPr>
          <w:rtl/>
        </w:rPr>
      </w:pPr>
      <w:r>
        <w:rPr>
          <w:noProof/>
          <w:rtl/>
        </w:rPr>
        <w:drawing>
          <wp:inline distT="0" distB="0" distL="0" distR="0">
            <wp:extent cx="4322073" cy="2249429"/>
            <wp:effectExtent l="0" t="0" r="254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75883" name="energy-g-11.pn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249429"/>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 xml:space="preserve">מתוך </w:t>
      </w:r>
      <w:r w:rsidRPr="00810E1E">
        <w:rPr>
          <w:rFonts w:hint="eastAsia"/>
          <w:b/>
          <w:bCs/>
          <w:sz w:val="22"/>
          <w:szCs w:val="22"/>
          <w:rtl/>
        </w:rPr>
        <w:t>הודעה</w:t>
      </w:r>
      <w:r w:rsidRPr="00810E1E">
        <w:rPr>
          <w:b/>
          <w:bCs/>
          <w:sz w:val="22"/>
          <w:szCs w:val="22"/>
          <w:rtl/>
        </w:rPr>
        <w:t xml:space="preserve"> לתקשורת - </w:t>
      </w:r>
      <w:r w:rsidRPr="00810E1E">
        <w:rPr>
          <w:rFonts w:hint="eastAsia"/>
          <w:b/>
          <w:bCs/>
          <w:sz w:val="22"/>
          <w:szCs w:val="22"/>
          <w:rtl/>
        </w:rPr>
        <w:t>סקר</w:t>
      </w:r>
      <w:r w:rsidRPr="00810E1E">
        <w:rPr>
          <w:b/>
          <w:bCs/>
          <w:sz w:val="22"/>
          <w:szCs w:val="22"/>
          <w:rtl/>
        </w:rPr>
        <w:t xml:space="preserve"> </w:t>
      </w:r>
      <w:r w:rsidRPr="00810E1E">
        <w:rPr>
          <w:rFonts w:hint="eastAsia"/>
          <w:b/>
          <w:bCs/>
          <w:sz w:val="22"/>
          <w:szCs w:val="22"/>
          <w:rtl/>
        </w:rPr>
        <w:t>איכות</w:t>
      </w:r>
      <w:r w:rsidRPr="00810E1E">
        <w:rPr>
          <w:b/>
          <w:bCs/>
          <w:sz w:val="22"/>
          <w:szCs w:val="22"/>
          <w:rtl/>
        </w:rPr>
        <w:t xml:space="preserve"> </w:t>
      </w:r>
      <w:r w:rsidRPr="00810E1E">
        <w:rPr>
          <w:rFonts w:hint="eastAsia"/>
          <w:b/>
          <w:bCs/>
          <w:sz w:val="22"/>
          <w:szCs w:val="22"/>
          <w:rtl/>
        </w:rPr>
        <w:t>סביבה</w:t>
      </w:r>
      <w:r w:rsidRPr="00810E1E">
        <w:rPr>
          <w:b/>
          <w:bCs/>
          <w:sz w:val="22"/>
          <w:szCs w:val="22"/>
          <w:rtl/>
        </w:rPr>
        <w:t xml:space="preserve"> </w:t>
      </w:r>
      <w:r w:rsidRPr="00810E1E">
        <w:rPr>
          <w:rFonts w:hint="eastAsia"/>
          <w:b/>
          <w:bCs/>
          <w:sz w:val="22"/>
          <w:szCs w:val="22"/>
          <w:rtl/>
        </w:rPr>
        <w:t>בענפי</w:t>
      </w:r>
      <w:r w:rsidRPr="00810E1E">
        <w:rPr>
          <w:b/>
          <w:bCs/>
          <w:sz w:val="22"/>
          <w:szCs w:val="22"/>
          <w:rtl/>
        </w:rPr>
        <w:t xml:space="preserve"> </w:t>
      </w:r>
      <w:r w:rsidRPr="00810E1E">
        <w:rPr>
          <w:rFonts w:hint="eastAsia"/>
          <w:b/>
          <w:bCs/>
          <w:sz w:val="22"/>
          <w:szCs w:val="22"/>
          <w:rtl/>
        </w:rPr>
        <w:t>התעשייה</w:t>
      </w:r>
      <w:r w:rsidRPr="00810E1E">
        <w:rPr>
          <w:b/>
          <w:bCs/>
          <w:sz w:val="22"/>
          <w:szCs w:val="22"/>
          <w:rtl/>
        </w:rPr>
        <w:t xml:space="preserve"> </w:t>
      </w:r>
      <w:r w:rsidRPr="00810E1E">
        <w:rPr>
          <w:rFonts w:hint="eastAsia"/>
          <w:b/>
          <w:bCs/>
          <w:sz w:val="22"/>
          <w:szCs w:val="22"/>
          <w:rtl/>
        </w:rPr>
        <w:t>והחשמל</w:t>
      </w:r>
      <w:r w:rsidRPr="00810E1E">
        <w:rPr>
          <w:rFonts w:hint="cs"/>
          <w:sz w:val="22"/>
          <w:szCs w:val="22"/>
          <w:rtl/>
        </w:rPr>
        <w:t xml:space="preserve">, </w:t>
      </w:r>
      <w:r w:rsidRPr="00810E1E">
        <w:rPr>
          <w:b/>
          <w:bCs/>
          <w:sz w:val="22"/>
          <w:szCs w:val="22"/>
          <w:rtl/>
        </w:rPr>
        <w:t>2017</w:t>
      </w:r>
      <w:r w:rsidRPr="00810E1E">
        <w:rPr>
          <w:rFonts w:hint="cs"/>
          <w:sz w:val="22"/>
          <w:szCs w:val="22"/>
          <w:rtl/>
        </w:rPr>
        <w:t xml:space="preserve">, </w:t>
      </w:r>
      <w:r w:rsidRPr="00810E1E">
        <w:rPr>
          <w:rFonts w:hint="cs"/>
          <w:sz w:val="22"/>
          <w:szCs w:val="22"/>
          <w:rtl/>
        </w:rPr>
        <w:t>למ"ס</w:t>
      </w:r>
      <w:r w:rsidRPr="00810E1E">
        <w:rPr>
          <w:rFonts w:hint="cs"/>
          <w:sz w:val="22"/>
          <w:szCs w:val="22"/>
          <w:rtl/>
        </w:rPr>
        <w:t xml:space="preserve"> (2.12.19), בעיבוד משרד מבקר המדינה.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המשרד </w:t>
      </w:r>
      <w:r w:rsidRPr="0097239C">
        <w:rPr>
          <w:rFonts w:hint="cs"/>
          <w:rtl/>
        </w:rPr>
        <w:t>להג"ס</w:t>
      </w:r>
      <w:r w:rsidRPr="0097239C">
        <w:rPr>
          <w:rFonts w:hint="cs"/>
          <w:rtl/>
        </w:rPr>
        <w:t xml:space="preserve"> השיב למשרד מבקר המדינה במאי 2020, כי כבר היום הוא פועל ליישום והטמעה של התייעלות אנרגטית במפעלים טעוני היתר פליטה בהתאם לחוק אוויר נקי התשס"ח-2008</w:t>
      </w:r>
      <w:r>
        <w:rPr>
          <w:vertAlign w:val="superscript"/>
          <w:rtl/>
        </w:rPr>
        <w:footnoteReference w:id="66"/>
      </w:r>
      <w:r w:rsidRPr="0097239C">
        <w:rPr>
          <w:rFonts w:hint="cs"/>
          <w:rtl/>
        </w:rPr>
        <w:t xml:space="preserve">, וכי המפעלים נדרשים להכין וליישם </w:t>
      </w:r>
      <w:r w:rsidRPr="0097239C">
        <w:rPr>
          <w:rFonts w:hint="cs"/>
          <w:rtl/>
        </w:rPr>
        <w:t>תוכנית</w:t>
      </w:r>
      <w:r w:rsidRPr="0097239C">
        <w:rPr>
          <w:rFonts w:hint="cs"/>
          <w:rtl/>
        </w:rPr>
        <w:t xml:space="preserve"> להתייעלות אנרגטית ולדווח על התוצאות של ההתייעלות. בנוסף, בהיתרי פליטה חדשים החל מהשנה הנוכחית מפעלים יחויבו לעמוד בתקן לניהול מערכות </w:t>
      </w:r>
      <w:r w:rsidRPr="0097239C">
        <w:rPr>
          <w:rFonts w:hint="cs"/>
          <w:rtl/>
        </w:rPr>
        <w:t>אנרגייה</w:t>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 פי התוכנית הלאומית להתייעלות אנרגטית משנת 2016, היקף החיסכון מיישום צעדי המדיניות במגזר התעשייה צפוי להגיע לכ-4,561 </w:t>
      </w:r>
      <w:r w:rsidRPr="0097239C">
        <w:rPr>
          <w:rFonts w:hint="cs"/>
        </w:rPr>
        <w:t>GW</w:t>
      </w:r>
      <w:r w:rsidRPr="0097239C">
        <w:t>h</w:t>
      </w:r>
      <w:r w:rsidRPr="0097239C">
        <w:rPr>
          <w:rFonts w:hint="cs"/>
          <w:rtl/>
        </w:rPr>
        <w:t xml:space="preserve"> (4.56 </w:t>
      </w:r>
      <w:r w:rsidRPr="0097239C">
        <w:rPr>
          <w:rFonts w:hint="cs"/>
        </w:rPr>
        <w:t>TW</w:t>
      </w:r>
      <w:r w:rsidRPr="0097239C">
        <w:t>h</w:t>
      </w:r>
      <w:r w:rsidRPr="0097239C">
        <w:rPr>
          <w:rFonts w:hint="cs"/>
          <w:rtl/>
        </w:rPr>
        <w:t xml:space="preserve">), שהם כ-42% מכלל החיסכון </w:t>
      </w:r>
      <w:r w:rsidRPr="0097239C">
        <w:rPr>
          <w:rFonts w:hint="cs"/>
          <w:rtl/>
        </w:rPr>
        <w:t>באנרגייה</w:t>
      </w:r>
      <w:r w:rsidRPr="0097239C">
        <w:rPr>
          <w:rFonts w:hint="cs"/>
          <w:rtl/>
        </w:rPr>
        <w:t xml:space="preserve"> שצפוי מיישום מלא של התוכנית. עלות הצעדים המוצעים במגזר התעשייה היא כ-2.2 מיליארד ש"ח, והם צפויים להביא לחיסכון נטו של כ-2.7 מיליארד ש"ח עד 2030. </w:t>
      </w:r>
      <w:r w:rsidRPr="0097239C">
        <w:rPr>
          <w:rFonts w:hint="eastAsia"/>
          <w:rtl/>
        </w:rPr>
        <w:t>יצוין</w:t>
      </w:r>
      <w:r w:rsidRPr="0097239C">
        <w:rPr>
          <w:rtl/>
        </w:rPr>
        <w:t xml:space="preserve"> כי </w:t>
      </w:r>
      <w:r w:rsidRPr="0097239C">
        <w:rPr>
          <w:rFonts w:hint="eastAsia"/>
          <w:rtl/>
        </w:rPr>
        <w:t>המטרה</w:t>
      </w:r>
      <w:r w:rsidRPr="0097239C">
        <w:rPr>
          <w:rtl/>
        </w:rPr>
        <w:t xml:space="preserve"> </w:t>
      </w:r>
      <w:r w:rsidRPr="0097239C">
        <w:rPr>
          <w:rFonts w:hint="eastAsia"/>
          <w:rtl/>
        </w:rPr>
        <w:t>העיקרית</w:t>
      </w:r>
      <w:r w:rsidRPr="0097239C">
        <w:rPr>
          <w:rtl/>
        </w:rPr>
        <w:t xml:space="preserve"> </w:t>
      </w:r>
      <w:r w:rsidRPr="0097239C">
        <w:rPr>
          <w:rFonts w:hint="cs"/>
          <w:rtl/>
        </w:rPr>
        <w:t>ב</w:t>
      </w:r>
      <w:r w:rsidRPr="0097239C">
        <w:rPr>
          <w:rtl/>
        </w:rPr>
        <w:t xml:space="preserve">צעדים אלו הינה התייעלות אנרגטית והפחתת פליטות </w:t>
      </w:r>
      <w:r w:rsidRPr="0097239C">
        <w:rPr>
          <w:rtl/>
        </w:rPr>
        <w:t>גז"ח</w:t>
      </w:r>
      <w:r w:rsidRPr="0097239C">
        <w:rPr>
          <w:rtl/>
        </w:rPr>
        <w:t xml:space="preserve">, והחיסכון הכספי הינו ערך מוסף הנלווה </w:t>
      </w:r>
      <w:r w:rsidRPr="0097239C">
        <w:rPr>
          <w:rFonts w:hint="eastAsia"/>
          <w:rtl/>
        </w:rPr>
        <w:t>לכך</w:t>
      </w:r>
      <w:r w:rsidRPr="0097239C">
        <w:rPr>
          <w:rtl/>
        </w:rPr>
        <w:t>.</w:t>
      </w:r>
      <w:r w:rsidRPr="0097239C">
        <w:rPr>
          <w:rFonts w:hint="cs"/>
          <w:rtl/>
        </w:rPr>
        <w:t xml:space="preserve"> </w:t>
      </w:r>
      <w:r w:rsidRPr="0097239C">
        <w:rPr>
          <w:rtl/>
        </w:rPr>
        <w:tab/>
      </w:r>
    </w:p>
    <w:p w:rsidR="0097239C" w:rsidRPr="0097239C" w:rsidP="00C603CF">
      <w:pPr>
        <w:pStyle w:val="a"/>
        <w:spacing w:line="269" w:lineRule="auto"/>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מקיים פעילויות שונות לצורך הגברת המודעות לתחום ההתייעלות האנרגטית. בין היתר, הוא יוזם קורס הדרכה לממוני </w:t>
      </w:r>
      <w:r w:rsidRPr="0097239C">
        <w:rPr>
          <w:rFonts w:hint="cs"/>
          <w:rtl/>
        </w:rPr>
        <w:t>אנרגייה</w:t>
      </w:r>
      <w:r w:rsidRPr="0097239C">
        <w:rPr>
          <w:rFonts w:hint="cs"/>
          <w:rtl/>
        </w:rPr>
        <w:t xml:space="preserve">, ומקיים </w:t>
      </w:r>
      <w:r w:rsidRPr="0097239C">
        <w:rPr>
          <w:rFonts w:hint="cs"/>
          <w:rtl/>
        </w:rPr>
        <w:t>תוכניות</w:t>
      </w:r>
      <w:r w:rsidRPr="0097239C">
        <w:rPr>
          <w:rFonts w:hint="cs"/>
          <w:rtl/>
        </w:rPr>
        <w:t xml:space="preserve"> הסברה שונות כדי להגביר את המודעות לתחום. כמו כן, הוא מנהל בשיתוף משרד הכלכלה והמשרד </w:t>
      </w:r>
      <w:r w:rsidRPr="0097239C">
        <w:rPr>
          <w:rFonts w:hint="cs"/>
          <w:rtl/>
        </w:rPr>
        <w:t>להג"ס</w:t>
      </w:r>
      <w:r w:rsidRPr="0097239C">
        <w:rPr>
          <w:rFonts w:hint="cs"/>
          <w:rtl/>
        </w:rPr>
        <w:t xml:space="preserve"> </w:t>
      </w:r>
      <w:r w:rsidRPr="0097239C">
        <w:rPr>
          <w:rFonts w:hint="cs"/>
          <w:rtl/>
        </w:rPr>
        <w:t>תוכניות</w:t>
      </w:r>
      <w:r w:rsidRPr="0097239C">
        <w:rPr>
          <w:rFonts w:hint="cs"/>
          <w:rtl/>
        </w:rPr>
        <w:t xml:space="preserve"> למתן מענקים והלוואות למיזמים להתייעלות אנרגטית מתוקף החלטות ממשלה שונות.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הממשלה הקצתה בהחלטותיה</w:t>
      </w:r>
      <w:r>
        <w:rPr>
          <w:vertAlign w:val="superscript"/>
          <w:rtl/>
        </w:rPr>
        <w:footnoteReference w:id="67"/>
      </w:r>
      <w:r w:rsidRPr="0097239C">
        <w:rPr>
          <w:rFonts w:hint="cs"/>
          <w:rtl/>
        </w:rPr>
        <w:t xml:space="preserve"> מענקים למיזמים להתייעלות אנרגטית. </w:t>
      </w:r>
      <w:r w:rsidRPr="0097239C">
        <w:rPr>
          <w:rtl/>
        </w:rPr>
        <w:t>סך המענקים הכולל לת</w:t>
      </w:r>
      <w:r w:rsidRPr="0097239C">
        <w:rPr>
          <w:rFonts w:hint="cs"/>
          <w:rtl/>
        </w:rPr>
        <w:t>ו</w:t>
      </w:r>
      <w:r w:rsidRPr="0097239C">
        <w:rPr>
          <w:rtl/>
        </w:rPr>
        <w:t xml:space="preserve">כנית </w:t>
      </w:r>
      <w:r w:rsidRPr="0097239C">
        <w:rPr>
          <w:rFonts w:hint="cs"/>
          <w:rtl/>
        </w:rPr>
        <w:t>הוא</w:t>
      </w:r>
      <w:r w:rsidRPr="0097239C">
        <w:rPr>
          <w:rtl/>
        </w:rPr>
        <w:t xml:space="preserve"> כ-300 </w:t>
      </w:r>
      <w:r w:rsidRPr="0097239C">
        <w:rPr>
          <w:rFonts w:hint="cs"/>
          <w:rtl/>
        </w:rPr>
        <w:t>מיליון ש"ח,</w:t>
      </w:r>
      <w:r w:rsidRPr="0097239C">
        <w:rPr>
          <w:rtl/>
        </w:rPr>
        <w:t xml:space="preserve"> </w:t>
      </w:r>
      <w:r w:rsidRPr="0097239C">
        <w:rPr>
          <w:rFonts w:hint="cs"/>
          <w:rtl/>
        </w:rPr>
        <w:t>והם</w:t>
      </w:r>
      <w:r w:rsidRPr="0097239C">
        <w:rPr>
          <w:rtl/>
        </w:rPr>
        <w:t xml:space="preserve"> עתידים להביא למינוף השקעות בסך מוערך של כ-1.6 מיליארד שקל בהתייעלות אנרגטית ו</w:t>
      </w:r>
      <w:r w:rsidRPr="0097239C">
        <w:rPr>
          <w:rFonts w:hint="cs"/>
          <w:rtl/>
        </w:rPr>
        <w:t>ב</w:t>
      </w:r>
      <w:r w:rsidRPr="0097239C">
        <w:rPr>
          <w:rtl/>
        </w:rPr>
        <w:t xml:space="preserve">הפחתת פליטות </w:t>
      </w:r>
      <w:r w:rsidRPr="0097239C">
        <w:rPr>
          <w:rtl/>
        </w:rPr>
        <w:t>גז"ח</w:t>
      </w:r>
      <w:r w:rsidRPr="0097239C">
        <w:rPr>
          <w:rtl/>
        </w:rPr>
        <w:t xml:space="preserve"> וזיהום אוויר. </w:t>
      </w:r>
      <w:r w:rsidRPr="0097239C">
        <w:rPr>
          <w:rFonts w:hint="cs"/>
          <w:rtl/>
        </w:rPr>
        <w:t xml:space="preserve">מנתוני משרד הכלכלה מנובמבר 2019 עולה כי התקיימו שלושה מקצים של הקצאת מענקים לפרויקטים של התייעלות אנרגטית, ובמסגרתם זכו 293 פרויקטים במענקים בשווי כולל של כ-214.4 מיליון ש"ח, ששיעורם כ-18% מהעלות הכוללת של פרויקטים אלה (המסתכמת ב-1.209 מיליארד ש"ח). משרד הכלכלה העריך כי הפרויקטים האלה יניבו חיסכון של כ-524 מיליון </w:t>
      </w:r>
      <w:r w:rsidRPr="0097239C">
        <w:rPr>
          <w:rFonts w:hint="cs"/>
          <w:rtl/>
        </w:rPr>
        <w:t>קוט"ש</w:t>
      </w:r>
      <w:r w:rsidRPr="0097239C">
        <w:rPr>
          <w:rFonts w:hint="cs"/>
          <w:rtl/>
        </w:rPr>
        <w:t xml:space="preserve"> בשנה ולהפחתה של כ-306,000 </w:t>
      </w:r>
      <w:r w:rsidRPr="0097239C">
        <w:rPr>
          <w:rFonts w:hint="cs"/>
          <w:rtl/>
        </w:rPr>
        <w:t xml:space="preserve">טונות של פליטות </w:t>
      </w:r>
      <w:r w:rsidRPr="0097239C">
        <w:rPr>
          <w:rFonts w:hint="cs"/>
          <w:rtl/>
        </w:rPr>
        <w:t>גז</w:t>
      </w:r>
      <w:r w:rsidRPr="0097239C">
        <w:rPr>
          <w:rtl/>
        </w:rPr>
        <w:t>"</w:t>
      </w:r>
      <w:r w:rsidRPr="0097239C">
        <w:rPr>
          <w:rFonts w:hint="cs"/>
          <w:rtl/>
        </w:rPr>
        <w:t>ח</w:t>
      </w:r>
      <w:r w:rsidRPr="0097239C">
        <w:rPr>
          <w:rFonts w:hint="cs"/>
          <w:rtl/>
        </w:rPr>
        <w:t>. על פי אומדן שהכין משרד הכלכלה, חיסכון זה שיעורו 1.23% מסך התקבולים ממכירת חשמל במשק וכ-3% מיעד ההפחתה הנדרש.</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כמו כן, הממשלה החליטה להפעיל </w:t>
      </w:r>
      <w:r w:rsidRPr="0097239C">
        <w:rPr>
          <w:rFonts w:hint="cs"/>
          <w:rtl/>
        </w:rPr>
        <w:t>תוכנית</w:t>
      </w:r>
      <w:r w:rsidRPr="0097239C">
        <w:rPr>
          <w:rFonts w:hint="cs"/>
          <w:rtl/>
        </w:rPr>
        <w:t xml:space="preserve"> למתן ערבויות מדינה בהיקף של 500 מיליון ש"ח לתקופה של עשר שנים להלוואות לשם השקעה בהתייעלות אנרגטית והפחתת פליטות </w:t>
      </w:r>
      <w:r w:rsidRPr="0097239C">
        <w:rPr>
          <w:rFonts w:hint="cs"/>
          <w:rtl/>
        </w:rPr>
        <w:t>גז</w:t>
      </w:r>
      <w:r w:rsidRPr="0097239C">
        <w:rPr>
          <w:rtl/>
        </w:rPr>
        <w:t>"</w:t>
      </w:r>
      <w:r w:rsidRPr="0097239C">
        <w:rPr>
          <w:rFonts w:hint="cs"/>
          <w:rtl/>
        </w:rPr>
        <w:t>ח</w:t>
      </w:r>
      <w:r w:rsidRPr="0097239C">
        <w:rPr>
          <w:rFonts w:hint="cs"/>
          <w:rtl/>
        </w:rPr>
        <w:t xml:space="preserve">. בנובמבר 2018 </w:t>
      </w:r>
      <w:r w:rsidRPr="0097239C">
        <w:rPr>
          <w:rtl/>
        </w:rPr>
        <w:t xml:space="preserve">נבחרו </w:t>
      </w:r>
      <w:r w:rsidRPr="0097239C">
        <w:rPr>
          <w:rFonts w:hint="cs"/>
          <w:rtl/>
        </w:rPr>
        <w:t>ארבעה בנקים לתת</w:t>
      </w:r>
      <w:r w:rsidRPr="0097239C">
        <w:rPr>
          <w:rtl/>
        </w:rPr>
        <w:t xml:space="preserve"> הלוואות לפרויקטי</w:t>
      </w:r>
      <w:r w:rsidRPr="0097239C">
        <w:rPr>
          <w:rFonts w:hint="cs"/>
          <w:rtl/>
        </w:rPr>
        <w:t>ם</w:t>
      </w:r>
      <w:r w:rsidRPr="0097239C">
        <w:rPr>
          <w:rtl/>
        </w:rPr>
        <w:t xml:space="preserve"> </w:t>
      </w:r>
      <w:r w:rsidRPr="0097239C">
        <w:rPr>
          <w:rFonts w:hint="cs"/>
          <w:rtl/>
        </w:rPr>
        <w:t>ל</w:t>
      </w:r>
      <w:r w:rsidRPr="0097239C">
        <w:rPr>
          <w:rtl/>
        </w:rPr>
        <w:t>התייעלות אנרגטית בערבות המדינה על</w:t>
      </w:r>
      <w:r w:rsidRPr="0097239C">
        <w:rPr>
          <w:rFonts w:hint="cs"/>
          <w:rtl/>
        </w:rPr>
        <w:t xml:space="preserve"> </w:t>
      </w:r>
      <w:r w:rsidRPr="0097239C">
        <w:rPr>
          <w:rtl/>
        </w:rPr>
        <w:t>ידי ועדת מכרזים בין</w:t>
      </w:r>
      <w:r w:rsidRPr="0097239C">
        <w:rPr>
          <w:rFonts w:hint="cs"/>
          <w:rtl/>
        </w:rPr>
        <w:t>-</w:t>
      </w:r>
      <w:r w:rsidRPr="0097239C">
        <w:rPr>
          <w:rtl/>
        </w:rPr>
        <w:t>משרדית</w:t>
      </w:r>
      <w:r w:rsidRPr="0097239C">
        <w:rPr>
          <w:rFonts w:hint="cs"/>
          <w:rtl/>
        </w:rPr>
        <w:t>,</w:t>
      </w:r>
      <w:r w:rsidRPr="0097239C">
        <w:rPr>
          <w:rtl/>
        </w:rPr>
        <w:t xml:space="preserve"> בהשתתפות נציגים ממשרד </w:t>
      </w:r>
      <w:r w:rsidRPr="0097239C">
        <w:rPr>
          <w:rtl/>
        </w:rPr>
        <w:t>האנרג</w:t>
      </w:r>
      <w:r w:rsidRPr="0097239C">
        <w:rPr>
          <w:rFonts w:hint="cs"/>
          <w:rtl/>
        </w:rPr>
        <w:t>י</w:t>
      </w:r>
      <w:r w:rsidRPr="0097239C">
        <w:rPr>
          <w:rtl/>
        </w:rPr>
        <w:t>יה</w:t>
      </w:r>
      <w:r w:rsidRPr="0097239C">
        <w:rPr>
          <w:rtl/>
        </w:rPr>
        <w:t xml:space="preserve">, </w:t>
      </w:r>
      <w:r w:rsidRPr="0097239C">
        <w:rPr>
          <w:rFonts w:hint="cs"/>
          <w:rtl/>
        </w:rPr>
        <w:t>מ</w:t>
      </w:r>
      <w:r w:rsidRPr="0097239C">
        <w:rPr>
          <w:rtl/>
        </w:rPr>
        <w:t xml:space="preserve">המשרד </w:t>
      </w:r>
      <w:r w:rsidRPr="0097239C">
        <w:rPr>
          <w:rFonts w:hint="cs"/>
          <w:rtl/>
        </w:rPr>
        <w:t>להג"ס</w:t>
      </w:r>
      <w:r w:rsidRPr="0097239C">
        <w:rPr>
          <w:rtl/>
        </w:rPr>
        <w:t xml:space="preserve"> ו</w:t>
      </w:r>
      <w:r w:rsidRPr="0097239C">
        <w:rPr>
          <w:rFonts w:hint="cs"/>
          <w:rtl/>
        </w:rPr>
        <w:t>מ</w:t>
      </w:r>
      <w:r w:rsidRPr="0097239C">
        <w:rPr>
          <w:rtl/>
        </w:rPr>
        <w:t>משרד האוצר</w:t>
      </w:r>
      <w:r w:rsidRPr="0097239C">
        <w:t>.</w:t>
      </w:r>
      <w:r w:rsidRPr="0097239C">
        <w:rPr>
          <w:rFonts w:hint="cs"/>
          <w:rtl/>
        </w:rPr>
        <w:t xml:space="preserve"> </w:t>
      </w:r>
      <w:r w:rsidRPr="0097239C">
        <w:rPr>
          <w:rtl/>
        </w:rPr>
        <w:t xml:space="preserve">סך ההלוואות שיועמדו במסגרת פעילותה של הקרן </w:t>
      </w:r>
      <w:r w:rsidRPr="0097239C">
        <w:rPr>
          <w:rFonts w:hint="cs"/>
          <w:rtl/>
        </w:rPr>
        <w:t xml:space="preserve">יהיה </w:t>
      </w:r>
      <w:r w:rsidRPr="0097239C">
        <w:rPr>
          <w:rtl/>
        </w:rPr>
        <w:t>כ-3.5 מיליארד שקל</w:t>
      </w:r>
      <w:r w:rsidRPr="0097239C">
        <w:t>.</w:t>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אג"ת</w:t>
      </w:r>
      <w:r w:rsidRPr="0097239C">
        <w:rPr>
          <w:rFonts w:hint="cs"/>
          <w:rtl/>
        </w:rPr>
        <w:t xml:space="preserve"> מסר למשרד מבקר המדינה בנובמבר 2019 כי טרם מומשו הלוואות במסגרת התוכנית. האגף לשימור </w:t>
      </w:r>
      <w:r w:rsidRPr="0097239C">
        <w:rPr>
          <w:rFonts w:hint="cs"/>
          <w:rtl/>
        </w:rPr>
        <w:t>אנרגייה</w:t>
      </w:r>
      <w:r w:rsidRPr="0097239C">
        <w:rPr>
          <w:rFonts w:hint="cs"/>
          <w:rtl/>
        </w:rPr>
        <w:t xml:space="preserve"> במשרד </w:t>
      </w:r>
      <w:r w:rsidRPr="0097239C">
        <w:rPr>
          <w:rFonts w:hint="cs"/>
          <w:rtl/>
        </w:rPr>
        <w:t>האנרגייה</w:t>
      </w:r>
      <w:r w:rsidRPr="0097239C">
        <w:rPr>
          <w:rFonts w:hint="cs"/>
          <w:rtl/>
        </w:rPr>
        <w:t xml:space="preserve"> ואגף </w:t>
      </w:r>
      <w:r w:rsidRPr="0097239C">
        <w:rPr>
          <w:rFonts w:hint="cs"/>
          <w:rtl/>
        </w:rPr>
        <w:t>החשכ"ל</w:t>
      </w:r>
      <w:r w:rsidRPr="0097239C">
        <w:rPr>
          <w:rFonts w:hint="cs"/>
          <w:rtl/>
        </w:rPr>
        <w:t xml:space="preserve"> מסרו למשרד מבקר המדינה בינואר 2020 כי הם בוחנים את הסיבות והחסמים למימוש ההלוואות, ומגבשים צעדים להסדרת הנושא. משרד </w:t>
      </w:r>
      <w:r w:rsidRPr="0097239C">
        <w:rPr>
          <w:rFonts w:hint="cs"/>
          <w:rtl/>
        </w:rPr>
        <w:t>האנרגייה</w:t>
      </w:r>
      <w:r w:rsidRPr="0097239C">
        <w:rPr>
          <w:rFonts w:hint="cs"/>
          <w:rtl/>
        </w:rPr>
        <w:t xml:space="preserve"> השיב למשרד מבקר המדינה ביוני 2020 כי ביצע יחד עם שאר השותפים בקרן מהלכים משמעותיים לקידום נטילת הלוואות לפרויקטים להתייעלות </w:t>
      </w:r>
      <w:r w:rsidRPr="0097239C">
        <w:rPr>
          <w:rFonts w:hint="cs"/>
          <w:rtl/>
        </w:rPr>
        <w:t>באנרגייה</w:t>
      </w:r>
      <w:r w:rsidRPr="0097239C">
        <w:rPr>
          <w:rFonts w:hint="cs"/>
          <w:rtl/>
        </w:rPr>
        <w:t>, וכי הוא פועל מול כלל הגורמים הרלוונטיים למינוף הקרן ולהתנעת ההלוואות. יצוין כי במועד סיום הביקורת טרם ניטלו הלוואות מהקרן.</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נמצא כי הממשלה הקצתה תקציב של 300 מיליון ש"ח במענקים ו-500 מיליון ש"ח בערבויות שטרם מומשו למימון התוכנית להתייעלות אנרגטית לשנים 2016 - 2030, שעלותה נאמדת כאמור בכ-24 מיליארד ש"ח.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מציין כי היקף ההתייעלות הצפוי מפרויקטים של התייעלות אנרגטית שבוצעו במסגרת החלטה זו עד כה הינו מוגבל, ושיעורו כ-3% מהיעד בלבד. על משרד </w:t>
      </w:r>
      <w:r w:rsidRPr="0097239C">
        <w:rPr>
          <w:rFonts w:hint="cs"/>
          <w:b/>
          <w:bCs/>
          <w:rtl/>
        </w:rPr>
        <w:t>האנרגייה</w:t>
      </w:r>
      <w:r w:rsidRPr="0097239C">
        <w:rPr>
          <w:rFonts w:hint="cs"/>
          <w:b/>
          <w:bCs/>
          <w:rtl/>
        </w:rPr>
        <w:t xml:space="preserve"> ומשרד האוצר לבחון מקורות תקציביים הנדרשים לתקצוב התוכנית בכללותה, לצד בחינת החסמים לאי-מימוש ההלוואות בקרן, שהוקמה בהיקף של 3.5 מיליארד ש"ח. עוד מומלץ לבצע הערכה עיתית של תרומת </w:t>
      </w:r>
      <w:r w:rsidRPr="0097239C">
        <w:rPr>
          <w:rFonts w:hint="cs"/>
          <w:b/>
          <w:bCs/>
          <w:rtl/>
        </w:rPr>
        <w:t>תוכנית</w:t>
      </w:r>
      <w:r w:rsidRPr="0097239C">
        <w:rPr>
          <w:rFonts w:hint="cs"/>
          <w:b/>
          <w:bCs/>
          <w:rtl/>
        </w:rPr>
        <w:t xml:space="preserve"> המענקים ויעילותה.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הממשלה אישרה בהחלטתה מדצמבר 2017</w:t>
      </w:r>
      <w:r>
        <w:rPr>
          <w:vertAlign w:val="superscript"/>
          <w:rtl/>
        </w:rPr>
        <w:footnoteReference w:id="68"/>
      </w:r>
      <w:r w:rsidRPr="0097239C">
        <w:rPr>
          <w:rFonts w:hint="cs"/>
          <w:rtl/>
        </w:rPr>
        <w:t xml:space="preserve"> את התוכנית להתייעלות אנרגטית בהתאם להצעת שר </w:t>
      </w:r>
      <w:r w:rsidRPr="0097239C">
        <w:rPr>
          <w:rFonts w:hint="cs"/>
          <w:rtl/>
        </w:rPr>
        <w:t>האנרגייה</w:t>
      </w:r>
      <w:r w:rsidRPr="0097239C">
        <w:rPr>
          <w:rFonts w:hint="cs"/>
          <w:rtl/>
        </w:rPr>
        <w:t xml:space="preserve">. עם זאת, הממשלה הנחתה את שר </w:t>
      </w:r>
      <w:r w:rsidRPr="0097239C">
        <w:rPr>
          <w:rFonts w:hint="cs"/>
          <w:rtl/>
        </w:rPr>
        <w:t>האנרגייה</w:t>
      </w:r>
      <w:r w:rsidRPr="0097239C">
        <w:rPr>
          <w:rFonts w:hint="cs"/>
          <w:rtl/>
        </w:rPr>
        <w:t xml:space="preserve"> להגיש לאישורה עדכון לתוכנית הלאומית להתייעלות אנרגטית עד 31.12.19, בהסכמת שר האוצר ולאחר התייעצות עם המשרד </w:t>
      </w:r>
      <w:r w:rsidRPr="0097239C">
        <w:rPr>
          <w:rFonts w:hint="cs"/>
          <w:rtl/>
        </w:rPr>
        <w:t>להג"ס</w:t>
      </w:r>
      <w:r w:rsidRPr="0097239C">
        <w:rPr>
          <w:rFonts w:hint="cs"/>
          <w:rtl/>
        </w:rPr>
        <w:t xml:space="preserve">. העדכון יכלול את "הצעדים הנוספים ככל שנדרש, לשם עמידה ביעדי ההתייעלות האנרגטית לשנת 2030, לוחות זמנים ואופן יישומם; כימות ההתייעלות האנרגטית הצפויה מהצעדים המפורטים אשר יושמו בתכנית לצורך עמידה ביעד לשנת 2030; המשאבים הנדרשים ליישום התכנית, לרבות התקציבים הנדרשים לעמידה ביעדים". העדכון יכלול גם הצעה ליעד ביניים להתייעלות אנרגטית.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כאמור, משרד </w:t>
      </w:r>
      <w:r w:rsidRPr="0097239C">
        <w:rPr>
          <w:rFonts w:hint="cs"/>
          <w:rtl/>
        </w:rPr>
        <w:t>האנרגייה</w:t>
      </w:r>
      <w:r w:rsidRPr="0097239C">
        <w:rPr>
          <w:rFonts w:hint="cs"/>
          <w:rtl/>
        </w:rPr>
        <w:t xml:space="preserve"> מסר למשרד מבקר המדינה בדצמבר 2019 כי אחד מאגפיו - אגף שימור </w:t>
      </w:r>
      <w:r w:rsidRPr="0097239C">
        <w:rPr>
          <w:rFonts w:hint="cs"/>
          <w:rtl/>
        </w:rPr>
        <w:t>אנרגייה</w:t>
      </w:r>
      <w:r w:rsidRPr="0097239C">
        <w:rPr>
          <w:rFonts w:hint="cs"/>
          <w:rtl/>
        </w:rPr>
        <w:t xml:space="preserve"> - מגבש </w:t>
      </w:r>
      <w:r w:rsidRPr="0097239C">
        <w:rPr>
          <w:rFonts w:hint="cs"/>
          <w:rtl/>
        </w:rPr>
        <w:t>תוכנית</w:t>
      </w:r>
      <w:r w:rsidRPr="0097239C">
        <w:rPr>
          <w:rFonts w:hint="cs"/>
          <w:rtl/>
        </w:rPr>
        <w:t xml:space="preserve"> לאומית חדשה להתייעלות </w:t>
      </w:r>
      <w:r w:rsidRPr="0097239C">
        <w:rPr>
          <w:rFonts w:hint="cs"/>
          <w:rtl/>
        </w:rPr>
        <w:t>באנרגייה</w:t>
      </w:r>
      <w:r w:rsidRPr="0097239C">
        <w:rPr>
          <w:rFonts w:hint="cs"/>
          <w:rtl/>
        </w:rPr>
        <w:t xml:space="preserve">. כשתקום ממשלה חדשה התוכנית תובא לאישורה.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רואה בחיוב את הצעדים שנוקט משרד </w:t>
      </w:r>
      <w:r w:rsidRPr="0097239C">
        <w:rPr>
          <w:rFonts w:hint="cs"/>
          <w:b/>
          <w:bCs/>
          <w:rtl/>
        </w:rPr>
        <w:t>האנרגייה</w:t>
      </w:r>
      <w:r w:rsidRPr="0097239C">
        <w:rPr>
          <w:rFonts w:hint="cs"/>
          <w:b/>
          <w:bCs/>
          <w:rtl/>
        </w:rPr>
        <w:t xml:space="preserve"> במסגרת עדכון התוכנית הלאומית להתייעלות אנרגטית. משרד מבקר המדינה ממליץ למשרד </w:t>
      </w:r>
      <w:r w:rsidRPr="0097239C">
        <w:rPr>
          <w:rFonts w:hint="cs"/>
          <w:b/>
          <w:bCs/>
          <w:rtl/>
        </w:rPr>
        <w:t>האנרגייה</w:t>
      </w:r>
      <w:r w:rsidRPr="0097239C">
        <w:rPr>
          <w:rFonts w:hint="cs"/>
          <w:b/>
          <w:bCs/>
          <w:rtl/>
        </w:rPr>
        <w:t xml:space="preserve"> לכלול בתוכנית לוח זמנים, אבני דרך ויעדי ביניים, וכן לקבוע מדדים למעקב ולבקרה אחר העמידה ביעדים אלה בתדירות קבועה.</w:t>
      </w:r>
    </w:p>
    <w:p w:rsidR="00C839A0">
      <w:pPr>
        <w:bidi w:val="0"/>
        <w:spacing w:after="200" w:line="276" w:lineRule="auto"/>
        <w:rPr>
          <w:rtl/>
        </w:rPr>
      </w:pPr>
      <w:r>
        <w:rPr>
          <w:bCs/>
          <w:rtl/>
        </w:rPr>
        <w:br w:type="page"/>
      </w:r>
    </w:p>
    <w:p w:rsidR="0097239C" w:rsidP="00C603CF">
      <w:pPr>
        <w:pStyle w:val="Heading4"/>
        <w:spacing w:before="0" w:line="269" w:lineRule="auto"/>
        <w:rPr>
          <w:rtl/>
        </w:rPr>
      </w:pPr>
      <w:r w:rsidRPr="0097239C">
        <w:rPr>
          <w:rFonts w:hint="cs"/>
          <w:rtl/>
        </w:rPr>
        <w:t>הטבות מס למוצרים יעילים אנרגטית</w:t>
      </w:r>
    </w:p>
    <w:p w:rsidR="00C87287" w:rsidRPr="0097239C" w:rsidP="00C603CF">
      <w:pPr>
        <w:pStyle w:val="a"/>
        <w:spacing w:line="269" w:lineRule="auto"/>
        <w:rPr>
          <w:rtl/>
        </w:rPr>
      </w:pPr>
    </w:p>
    <w:p w:rsidR="0097239C" w:rsidP="00C603CF">
      <w:pPr>
        <w:spacing w:line="269" w:lineRule="auto"/>
        <w:rPr>
          <w:rtl/>
        </w:rPr>
      </w:pPr>
      <w:r w:rsidRPr="0097239C">
        <w:rPr>
          <w:rFonts w:hint="cs"/>
          <w:rtl/>
        </w:rPr>
        <w:t>בדצמבר 2017 הכריז שר האוצר דאז על ביטול מס קנייה ומכסים על מוצרי חשמל לבית, תאורה ועוד במסגרת התוכנית "נטו הוזלות", כדי להוריד את יוקר המחיה ולהקל על האזרחים. התוכנית הביאה לביטול מיסי הקנייה, בין היתר, על המוצרים האלה:</w:t>
      </w:r>
    </w:p>
    <w:p w:rsidR="0097239C" w:rsidRPr="0097239C" w:rsidP="00C603CF">
      <w:pPr>
        <w:pStyle w:val="a"/>
        <w:spacing w:line="269" w:lineRule="auto"/>
        <w:rPr>
          <w:rtl/>
        </w:rPr>
      </w:pPr>
    </w:p>
    <w:p w:rsidR="0097239C" w:rsidRPr="0097239C" w:rsidP="00C839A0">
      <w:pPr>
        <w:spacing w:after="120" w:line="269" w:lineRule="auto"/>
        <w:jc w:val="center"/>
        <w:rPr>
          <w:b/>
          <w:bCs/>
        </w:rPr>
      </w:pPr>
      <w:r w:rsidRPr="0097239C">
        <w:rPr>
          <w:rFonts w:hint="eastAsia"/>
          <w:b/>
          <w:bCs/>
          <w:rtl/>
        </w:rPr>
        <w:t>לוח</w:t>
      </w:r>
      <w:r w:rsidRPr="0097239C">
        <w:rPr>
          <w:b/>
          <w:bCs/>
          <w:rtl/>
        </w:rPr>
        <w:t xml:space="preserve"> </w:t>
      </w:r>
      <w:r w:rsidRPr="0097239C">
        <w:rPr>
          <w:rFonts w:hint="cs"/>
          <w:b/>
          <w:bCs/>
          <w:rtl/>
        </w:rPr>
        <w:t>5</w:t>
      </w:r>
      <w:r w:rsidRPr="0097239C">
        <w:rPr>
          <w:b/>
          <w:bCs/>
          <w:rtl/>
        </w:rPr>
        <w:t xml:space="preserve">: </w:t>
      </w:r>
      <w:r w:rsidRPr="0097239C">
        <w:rPr>
          <w:rFonts w:hint="eastAsia"/>
          <w:b/>
          <w:bCs/>
          <w:rtl/>
        </w:rPr>
        <w:t>שיעור</w:t>
      </w:r>
      <w:r w:rsidRPr="0097239C">
        <w:rPr>
          <w:b/>
          <w:bCs/>
          <w:rtl/>
        </w:rPr>
        <w:t xml:space="preserve"> </w:t>
      </w:r>
      <w:r w:rsidRPr="0097239C">
        <w:rPr>
          <w:rFonts w:hint="eastAsia"/>
          <w:b/>
          <w:bCs/>
          <w:rtl/>
        </w:rPr>
        <w:t>המכס</w:t>
      </w:r>
      <w:r w:rsidRPr="0097239C">
        <w:rPr>
          <w:b/>
          <w:bCs/>
          <w:rtl/>
        </w:rPr>
        <w:t xml:space="preserve"> </w:t>
      </w:r>
      <w:r w:rsidRPr="0097239C">
        <w:rPr>
          <w:rFonts w:hint="eastAsia"/>
          <w:b/>
          <w:bCs/>
          <w:rtl/>
        </w:rPr>
        <w:t>ומס</w:t>
      </w:r>
      <w:r w:rsidRPr="0097239C">
        <w:rPr>
          <w:b/>
          <w:bCs/>
          <w:rtl/>
        </w:rPr>
        <w:t xml:space="preserve"> </w:t>
      </w:r>
      <w:r w:rsidRPr="0097239C">
        <w:rPr>
          <w:rFonts w:hint="eastAsia"/>
          <w:b/>
          <w:bCs/>
          <w:rtl/>
        </w:rPr>
        <w:t>הקני</w:t>
      </w:r>
      <w:r w:rsidRPr="0097239C">
        <w:rPr>
          <w:rFonts w:hint="cs"/>
          <w:b/>
          <w:bCs/>
          <w:rtl/>
        </w:rPr>
        <w:t>י</w:t>
      </w:r>
      <w:r w:rsidRPr="0097239C">
        <w:rPr>
          <w:rFonts w:hint="eastAsia"/>
          <w:b/>
          <w:bCs/>
          <w:rtl/>
        </w:rPr>
        <w:t>ה</w:t>
      </w:r>
      <w:r w:rsidRPr="0097239C">
        <w:rPr>
          <w:b/>
          <w:bCs/>
          <w:rtl/>
        </w:rPr>
        <w:t xml:space="preserve"> </w:t>
      </w:r>
      <w:r w:rsidRPr="0097239C">
        <w:rPr>
          <w:rFonts w:hint="eastAsia"/>
          <w:b/>
          <w:bCs/>
          <w:rtl/>
        </w:rPr>
        <w:t>על</w:t>
      </w:r>
      <w:r w:rsidRPr="0097239C">
        <w:rPr>
          <w:b/>
          <w:bCs/>
          <w:rtl/>
        </w:rPr>
        <w:t xml:space="preserve"> </w:t>
      </w:r>
      <w:r w:rsidRPr="0097239C">
        <w:rPr>
          <w:rFonts w:hint="eastAsia"/>
          <w:b/>
          <w:bCs/>
          <w:rtl/>
        </w:rPr>
        <w:t>מוצרים</w:t>
      </w:r>
      <w:r w:rsidRPr="0097239C">
        <w:rPr>
          <w:b/>
          <w:bCs/>
          <w:rtl/>
        </w:rPr>
        <w:t xml:space="preserve"> </w:t>
      </w:r>
      <w:r w:rsidRPr="0097239C">
        <w:rPr>
          <w:rFonts w:hint="eastAsia"/>
          <w:b/>
          <w:bCs/>
          <w:rtl/>
        </w:rPr>
        <w:t>שונים</w:t>
      </w:r>
      <w:r w:rsidRPr="0097239C">
        <w:rPr>
          <w:b/>
          <w:bCs/>
          <w:rtl/>
        </w:rPr>
        <w:t xml:space="preserve"> </w:t>
      </w:r>
      <w:r w:rsidRPr="0097239C">
        <w:rPr>
          <w:rFonts w:hint="eastAsia"/>
          <w:b/>
          <w:bCs/>
          <w:rtl/>
        </w:rPr>
        <w:t>לפני</w:t>
      </w:r>
      <w:r w:rsidRPr="0097239C">
        <w:rPr>
          <w:b/>
          <w:bCs/>
          <w:rtl/>
        </w:rPr>
        <w:t xml:space="preserve"> </w:t>
      </w:r>
      <w:r w:rsidRPr="0097239C">
        <w:rPr>
          <w:rFonts w:hint="eastAsia"/>
          <w:b/>
          <w:bCs/>
          <w:rtl/>
        </w:rPr>
        <w:t>ואחרי</w:t>
      </w:r>
      <w:r w:rsidRPr="0097239C">
        <w:rPr>
          <w:b/>
          <w:bCs/>
          <w:rtl/>
        </w:rPr>
        <w:t xml:space="preserve"> </w:t>
      </w:r>
      <w:r w:rsidRPr="0097239C">
        <w:rPr>
          <w:rFonts w:hint="eastAsia"/>
          <w:b/>
          <w:bCs/>
          <w:rtl/>
        </w:rPr>
        <w:t>ת</w:t>
      </w:r>
      <w:r w:rsidRPr="0097239C">
        <w:rPr>
          <w:rFonts w:hint="cs"/>
          <w:b/>
          <w:bCs/>
          <w:rtl/>
        </w:rPr>
        <w:t>ו</w:t>
      </w:r>
      <w:r w:rsidRPr="0097239C">
        <w:rPr>
          <w:rFonts w:hint="eastAsia"/>
          <w:b/>
          <w:bCs/>
          <w:rtl/>
        </w:rPr>
        <w:t>כנית</w:t>
      </w:r>
      <w:r w:rsidRPr="0097239C">
        <w:rPr>
          <w:b/>
          <w:bCs/>
          <w:rtl/>
        </w:rPr>
        <w:t xml:space="preserve"> "נטו </w:t>
      </w:r>
      <w:r w:rsidRPr="0097239C">
        <w:rPr>
          <w:rFonts w:hint="eastAsia"/>
          <w:b/>
          <w:bCs/>
          <w:rtl/>
        </w:rPr>
        <w:t>הוזלות</w:t>
      </w:r>
      <w:r w:rsidRPr="0097239C">
        <w:rPr>
          <w:b/>
          <w:bCs/>
          <w:rtl/>
        </w:rPr>
        <w:t>"</w:t>
      </w:r>
      <w:r>
        <w:rPr>
          <w:b/>
          <w:bCs/>
          <w:vertAlign w:val="superscript"/>
          <w:rtl/>
        </w:rPr>
        <w:footnoteReference w:id="69"/>
      </w:r>
    </w:p>
    <w:tbl>
      <w:tblPr>
        <w:tblStyle w:val="11"/>
        <w:bidiVisual/>
        <w:tblW w:w="4873" w:type="pct"/>
        <w:tblInd w:w="107" w:type="dxa"/>
        <w:tblLook w:val="04A0"/>
      </w:tblPr>
      <w:tblGrid>
        <w:gridCol w:w="1510"/>
        <w:gridCol w:w="2746"/>
        <w:gridCol w:w="1304"/>
        <w:gridCol w:w="1322"/>
        <w:gridCol w:w="1120"/>
      </w:tblGrid>
      <w:tr w:rsidTr="00AE3072">
        <w:tblPrEx>
          <w:tblW w:w="4873" w:type="pct"/>
          <w:tblInd w:w="107" w:type="dxa"/>
          <w:tblLook w:val="04A0"/>
        </w:tblPrEx>
        <w:tc>
          <w:tcPr>
            <w:tcW w:w="943" w:type="pct"/>
            <w:vAlign w:val="bottom"/>
          </w:tcPr>
          <w:p w:rsidR="0097239C" w:rsidRPr="00AE3072" w:rsidP="00AE3072">
            <w:pPr>
              <w:spacing w:before="30" w:after="30" w:line="240" w:lineRule="exact"/>
              <w:jc w:val="left"/>
              <w:rPr>
                <w:b/>
                <w:bCs/>
                <w:sz w:val="22"/>
                <w:szCs w:val="22"/>
                <w:rtl/>
              </w:rPr>
            </w:pPr>
            <w:r w:rsidRPr="00AE3072">
              <w:rPr>
                <w:rFonts w:hint="cs"/>
                <w:b/>
                <w:bCs/>
                <w:sz w:val="22"/>
                <w:szCs w:val="22"/>
                <w:rtl/>
              </w:rPr>
              <w:t>המוצר</w:t>
            </w:r>
          </w:p>
        </w:tc>
        <w:tc>
          <w:tcPr>
            <w:tcW w:w="1716" w:type="pct"/>
            <w:vAlign w:val="bottom"/>
          </w:tcPr>
          <w:p w:rsidR="0097239C" w:rsidRPr="00AE3072" w:rsidP="00AE3072">
            <w:pPr>
              <w:spacing w:before="30" w:after="30" w:line="240" w:lineRule="exact"/>
              <w:jc w:val="left"/>
              <w:rPr>
                <w:b/>
                <w:bCs/>
                <w:sz w:val="22"/>
                <w:szCs w:val="22"/>
                <w:rtl/>
              </w:rPr>
            </w:pPr>
            <w:r w:rsidRPr="00AE3072">
              <w:rPr>
                <w:rFonts w:hint="cs"/>
                <w:b/>
                <w:bCs/>
                <w:sz w:val="22"/>
                <w:szCs w:val="22"/>
                <w:rtl/>
              </w:rPr>
              <w:t>פירוט</w:t>
            </w:r>
          </w:p>
        </w:tc>
        <w:tc>
          <w:tcPr>
            <w:tcW w:w="815" w:type="pct"/>
            <w:vAlign w:val="bottom"/>
          </w:tcPr>
          <w:p w:rsidR="0097239C" w:rsidRPr="00AE3072" w:rsidP="00AE3072">
            <w:pPr>
              <w:spacing w:before="30" w:after="30" w:line="240" w:lineRule="exact"/>
              <w:jc w:val="left"/>
              <w:rPr>
                <w:b/>
                <w:bCs/>
                <w:sz w:val="22"/>
                <w:szCs w:val="22"/>
                <w:rtl/>
              </w:rPr>
            </w:pPr>
            <w:r w:rsidRPr="00AE3072">
              <w:rPr>
                <w:rFonts w:hint="cs"/>
                <w:b/>
                <w:bCs/>
                <w:sz w:val="22"/>
                <w:szCs w:val="22"/>
                <w:rtl/>
              </w:rPr>
              <w:t>מכס או מס קנייה לפני התוכנית</w:t>
            </w:r>
          </w:p>
        </w:tc>
        <w:tc>
          <w:tcPr>
            <w:tcW w:w="826" w:type="pct"/>
            <w:vAlign w:val="bottom"/>
          </w:tcPr>
          <w:p w:rsidR="0097239C" w:rsidRPr="00AE3072" w:rsidP="00AE3072">
            <w:pPr>
              <w:spacing w:before="30" w:after="30" w:line="240" w:lineRule="exact"/>
              <w:jc w:val="left"/>
              <w:rPr>
                <w:b/>
                <w:bCs/>
                <w:sz w:val="22"/>
                <w:szCs w:val="22"/>
                <w:rtl/>
              </w:rPr>
            </w:pPr>
            <w:r w:rsidRPr="00AE3072">
              <w:rPr>
                <w:rFonts w:hint="cs"/>
                <w:b/>
                <w:bCs/>
                <w:sz w:val="22"/>
                <w:szCs w:val="22"/>
                <w:rtl/>
              </w:rPr>
              <w:t>מכס או מס קנייה לאחר התוכנית</w:t>
            </w:r>
          </w:p>
        </w:tc>
        <w:tc>
          <w:tcPr>
            <w:tcW w:w="700" w:type="pct"/>
            <w:vAlign w:val="bottom"/>
          </w:tcPr>
          <w:p w:rsidR="0097239C" w:rsidRPr="00AE3072" w:rsidP="00AE3072">
            <w:pPr>
              <w:spacing w:before="30" w:after="30" w:line="240" w:lineRule="exact"/>
              <w:jc w:val="left"/>
              <w:rPr>
                <w:b/>
                <w:bCs/>
                <w:sz w:val="22"/>
                <w:szCs w:val="22"/>
                <w:rtl/>
              </w:rPr>
            </w:pPr>
            <w:r w:rsidRPr="00AE3072">
              <w:rPr>
                <w:rFonts w:hint="cs"/>
                <w:b/>
                <w:bCs/>
                <w:sz w:val="22"/>
                <w:szCs w:val="22"/>
                <w:rtl/>
              </w:rPr>
              <w:t>עלות המהלך במיליוני ש"ח</w:t>
            </w:r>
          </w:p>
        </w:tc>
      </w:tr>
      <w:tr w:rsidTr="00AE3072">
        <w:tblPrEx>
          <w:tblW w:w="4873" w:type="pct"/>
          <w:tblInd w:w="107" w:type="dxa"/>
          <w:tblLook w:val="04A0"/>
        </w:tblPrEx>
        <w:tc>
          <w:tcPr>
            <w:tcW w:w="943" w:type="pct"/>
          </w:tcPr>
          <w:p w:rsidR="0097239C" w:rsidRPr="00AE3072" w:rsidP="00AE3072">
            <w:pPr>
              <w:spacing w:before="30" w:after="30" w:line="240" w:lineRule="exact"/>
              <w:jc w:val="left"/>
              <w:rPr>
                <w:sz w:val="22"/>
                <w:szCs w:val="22"/>
                <w:rtl/>
              </w:rPr>
            </w:pPr>
            <w:r w:rsidRPr="00AE3072">
              <w:rPr>
                <w:rFonts w:hint="cs"/>
                <w:sz w:val="22"/>
                <w:szCs w:val="22"/>
                <w:rtl/>
              </w:rPr>
              <w:t>מוצרי אלקטרוניקה</w:t>
            </w:r>
          </w:p>
        </w:tc>
        <w:tc>
          <w:tcPr>
            <w:tcW w:w="1716" w:type="pct"/>
          </w:tcPr>
          <w:p w:rsidR="0097239C" w:rsidRPr="00AE3072" w:rsidP="00AE3072">
            <w:pPr>
              <w:spacing w:before="30" w:after="30" w:line="240" w:lineRule="exact"/>
              <w:jc w:val="left"/>
              <w:rPr>
                <w:sz w:val="22"/>
                <w:szCs w:val="22"/>
              </w:rPr>
            </w:pPr>
            <w:r w:rsidRPr="00AE3072">
              <w:rPr>
                <w:rFonts w:hint="cs"/>
                <w:sz w:val="22"/>
                <w:szCs w:val="22"/>
                <w:rtl/>
              </w:rPr>
              <w:t xml:space="preserve">טלוויזיות, רמקולים, מסכי תצוגה, מכשירי וידאו, מקרנים, מגברים, מערכות הגברה, מיקרופונים, אוזניות, צגי </w:t>
            </w:r>
            <w:r w:rsidRPr="00AE3072">
              <w:rPr>
                <w:rFonts w:hint="cs"/>
                <w:sz w:val="22"/>
                <w:szCs w:val="22"/>
              </w:rPr>
              <w:t>LCD</w:t>
            </w:r>
          </w:p>
        </w:tc>
        <w:tc>
          <w:tcPr>
            <w:tcW w:w="815" w:type="pct"/>
          </w:tcPr>
          <w:p w:rsidR="0097239C" w:rsidRPr="00AE3072" w:rsidP="00AE3072">
            <w:pPr>
              <w:spacing w:before="30" w:after="30" w:line="240" w:lineRule="exact"/>
              <w:jc w:val="left"/>
              <w:rPr>
                <w:sz w:val="22"/>
                <w:szCs w:val="22"/>
                <w:rtl/>
              </w:rPr>
            </w:pPr>
            <w:r w:rsidRPr="00AE3072">
              <w:rPr>
                <w:rFonts w:hint="cs"/>
                <w:sz w:val="22"/>
                <w:szCs w:val="22"/>
                <w:rtl/>
              </w:rPr>
              <w:t>10% - 30%</w:t>
            </w:r>
          </w:p>
        </w:tc>
        <w:tc>
          <w:tcPr>
            <w:tcW w:w="826" w:type="pct"/>
          </w:tcPr>
          <w:p w:rsidR="0097239C" w:rsidRPr="00AE3072" w:rsidP="00AE3072">
            <w:pPr>
              <w:spacing w:before="30" w:after="30" w:line="240" w:lineRule="exact"/>
              <w:jc w:val="left"/>
              <w:rPr>
                <w:sz w:val="22"/>
                <w:szCs w:val="22"/>
                <w:rtl/>
              </w:rPr>
            </w:pPr>
            <w:r w:rsidRPr="00AE3072">
              <w:rPr>
                <w:rFonts w:hint="cs"/>
                <w:sz w:val="22"/>
                <w:szCs w:val="22"/>
                <w:rtl/>
              </w:rPr>
              <w:t>0%</w:t>
            </w:r>
          </w:p>
        </w:tc>
        <w:tc>
          <w:tcPr>
            <w:tcW w:w="700" w:type="pct"/>
          </w:tcPr>
          <w:p w:rsidR="0097239C" w:rsidRPr="00AE3072" w:rsidP="00AE3072">
            <w:pPr>
              <w:spacing w:before="30" w:after="30" w:line="240" w:lineRule="exact"/>
              <w:jc w:val="left"/>
              <w:rPr>
                <w:sz w:val="22"/>
                <w:szCs w:val="22"/>
                <w:rtl/>
              </w:rPr>
            </w:pPr>
            <w:r w:rsidRPr="00AE3072">
              <w:rPr>
                <w:rFonts w:hint="cs"/>
                <w:sz w:val="22"/>
                <w:szCs w:val="22"/>
                <w:rtl/>
              </w:rPr>
              <w:t>245</w:t>
            </w:r>
          </w:p>
        </w:tc>
      </w:tr>
      <w:tr w:rsidTr="00AE3072">
        <w:tblPrEx>
          <w:tblW w:w="4873" w:type="pct"/>
          <w:tblInd w:w="107" w:type="dxa"/>
          <w:tblLook w:val="04A0"/>
        </w:tblPrEx>
        <w:tc>
          <w:tcPr>
            <w:tcW w:w="943" w:type="pct"/>
          </w:tcPr>
          <w:p w:rsidR="0097239C" w:rsidRPr="00AE3072" w:rsidP="00AE3072">
            <w:pPr>
              <w:spacing w:before="30" w:after="30" w:line="240" w:lineRule="exact"/>
              <w:jc w:val="left"/>
              <w:rPr>
                <w:sz w:val="22"/>
                <w:szCs w:val="22"/>
                <w:rtl/>
              </w:rPr>
            </w:pPr>
            <w:r w:rsidRPr="00AE3072">
              <w:rPr>
                <w:rFonts w:hint="cs"/>
                <w:sz w:val="22"/>
                <w:szCs w:val="22"/>
                <w:rtl/>
              </w:rPr>
              <w:t>מוצרי חשמל</w:t>
            </w:r>
          </w:p>
        </w:tc>
        <w:tc>
          <w:tcPr>
            <w:tcW w:w="1716" w:type="pct"/>
          </w:tcPr>
          <w:p w:rsidR="0097239C" w:rsidRPr="00AE3072" w:rsidP="00AE3072">
            <w:pPr>
              <w:spacing w:before="30" w:after="30" w:line="240" w:lineRule="exact"/>
              <w:jc w:val="left"/>
              <w:rPr>
                <w:sz w:val="22"/>
                <w:szCs w:val="22"/>
                <w:rtl/>
              </w:rPr>
            </w:pPr>
            <w:r w:rsidRPr="00AE3072">
              <w:rPr>
                <w:rFonts w:hint="cs"/>
                <w:sz w:val="22"/>
                <w:szCs w:val="22"/>
                <w:rtl/>
              </w:rPr>
              <w:t>מקררים, תנורים לחימום המרחב, תנורים חשמליים לבישול, מערבלי מזון, מסחטות לפירות וירקות, מקפיא ביתי ועוד</w:t>
            </w:r>
          </w:p>
        </w:tc>
        <w:tc>
          <w:tcPr>
            <w:tcW w:w="815" w:type="pct"/>
          </w:tcPr>
          <w:p w:rsidR="0097239C" w:rsidRPr="00AE3072" w:rsidP="00AE3072">
            <w:pPr>
              <w:spacing w:before="30" w:after="30" w:line="240" w:lineRule="exact"/>
              <w:jc w:val="left"/>
              <w:rPr>
                <w:sz w:val="22"/>
                <w:szCs w:val="22"/>
                <w:rtl/>
              </w:rPr>
            </w:pPr>
            <w:r w:rsidRPr="00AE3072">
              <w:rPr>
                <w:rFonts w:hint="cs"/>
                <w:sz w:val="22"/>
                <w:szCs w:val="22"/>
                <w:rtl/>
              </w:rPr>
              <w:t>12%</w:t>
            </w:r>
          </w:p>
        </w:tc>
        <w:tc>
          <w:tcPr>
            <w:tcW w:w="826" w:type="pct"/>
          </w:tcPr>
          <w:p w:rsidR="0097239C" w:rsidRPr="00AE3072" w:rsidP="00AE3072">
            <w:pPr>
              <w:spacing w:before="30" w:after="30" w:line="240" w:lineRule="exact"/>
              <w:jc w:val="left"/>
              <w:rPr>
                <w:sz w:val="22"/>
                <w:szCs w:val="22"/>
                <w:rtl/>
              </w:rPr>
            </w:pPr>
            <w:r w:rsidRPr="00AE3072">
              <w:rPr>
                <w:rFonts w:hint="cs"/>
                <w:sz w:val="22"/>
                <w:szCs w:val="22"/>
                <w:rtl/>
              </w:rPr>
              <w:t>0%</w:t>
            </w:r>
          </w:p>
        </w:tc>
        <w:tc>
          <w:tcPr>
            <w:tcW w:w="700" w:type="pct"/>
          </w:tcPr>
          <w:p w:rsidR="0097239C" w:rsidRPr="00AE3072" w:rsidP="00AE3072">
            <w:pPr>
              <w:spacing w:before="30" w:after="30" w:line="240" w:lineRule="exact"/>
              <w:jc w:val="left"/>
              <w:rPr>
                <w:sz w:val="22"/>
                <w:szCs w:val="22"/>
                <w:rtl/>
              </w:rPr>
            </w:pPr>
            <w:r w:rsidRPr="00AE3072">
              <w:rPr>
                <w:rFonts w:hint="cs"/>
                <w:sz w:val="22"/>
                <w:szCs w:val="22"/>
                <w:rtl/>
              </w:rPr>
              <w:t>60</w:t>
            </w:r>
          </w:p>
        </w:tc>
      </w:tr>
      <w:tr w:rsidTr="00AE3072">
        <w:tblPrEx>
          <w:tblW w:w="4873" w:type="pct"/>
          <w:tblInd w:w="107" w:type="dxa"/>
          <w:tblLook w:val="04A0"/>
        </w:tblPrEx>
        <w:tc>
          <w:tcPr>
            <w:tcW w:w="943" w:type="pct"/>
          </w:tcPr>
          <w:p w:rsidR="0097239C" w:rsidRPr="00AE3072" w:rsidP="00AE3072">
            <w:pPr>
              <w:spacing w:before="30" w:after="30" w:line="240" w:lineRule="exact"/>
              <w:jc w:val="left"/>
              <w:rPr>
                <w:sz w:val="22"/>
                <w:szCs w:val="22"/>
                <w:rtl/>
              </w:rPr>
            </w:pPr>
            <w:r w:rsidRPr="00AE3072">
              <w:rPr>
                <w:rFonts w:hint="cs"/>
                <w:sz w:val="22"/>
                <w:szCs w:val="22"/>
                <w:rtl/>
              </w:rPr>
              <w:t>מנורות, נברשות ומתאמי תאורה</w:t>
            </w:r>
          </w:p>
        </w:tc>
        <w:tc>
          <w:tcPr>
            <w:tcW w:w="1716" w:type="pct"/>
          </w:tcPr>
          <w:p w:rsidR="0097239C" w:rsidRPr="00AE3072" w:rsidP="00AE3072">
            <w:pPr>
              <w:spacing w:before="30" w:after="30" w:line="240" w:lineRule="exact"/>
              <w:jc w:val="left"/>
              <w:rPr>
                <w:sz w:val="22"/>
                <w:szCs w:val="22"/>
                <w:rtl/>
              </w:rPr>
            </w:pPr>
          </w:p>
        </w:tc>
        <w:tc>
          <w:tcPr>
            <w:tcW w:w="815" w:type="pct"/>
          </w:tcPr>
          <w:p w:rsidR="0097239C" w:rsidRPr="00AE3072" w:rsidP="00AE3072">
            <w:pPr>
              <w:spacing w:before="30" w:after="30" w:line="240" w:lineRule="exact"/>
              <w:jc w:val="left"/>
              <w:rPr>
                <w:sz w:val="22"/>
                <w:szCs w:val="22"/>
                <w:rtl/>
              </w:rPr>
            </w:pPr>
            <w:r w:rsidRPr="00AE3072">
              <w:rPr>
                <w:rFonts w:hint="cs"/>
                <w:sz w:val="22"/>
                <w:szCs w:val="22"/>
                <w:rtl/>
              </w:rPr>
              <w:t xml:space="preserve">8% - </w:t>
            </w:r>
            <w:r w:rsidRPr="00AE3072" w:rsidR="005B263A">
              <w:rPr>
                <w:rFonts w:hint="cs"/>
                <w:sz w:val="22"/>
                <w:szCs w:val="22"/>
                <w:rtl/>
              </w:rPr>
              <w:t>12%</w:t>
            </w:r>
          </w:p>
        </w:tc>
        <w:tc>
          <w:tcPr>
            <w:tcW w:w="826" w:type="pct"/>
          </w:tcPr>
          <w:p w:rsidR="0097239C" w:rsidRPr="00AE3072" w:rsidP="00AE3072">
            <w:pPr>
              <w:spacing w:before="30" w:after="30" w:line="240" w:lineRule="exact"/>
              <w:jc w:val="left"/>
              <w:rPr>
                <w:sz w:val="22"/>
                <w:szCs w:val="22"/>
                <w:rtl/>
              </w:rPr>
            </w:pPr>
            <w:r w:rsidRPr="00AE3072">
              <w:rPr>
                <w:rFonts w:hint="cs"/>
                <w:sz w:val="22"/>
                <w:szCs w:val="22"/>
                <w:rtl/>
              </w:rPr>
              <w:t>0%</w:t>
            </w:r>
          </w:p>
        </w:tc>
        <w:tc>
          <w:tcPr>
            <w:tcW w:w="700" w:type="pct"/>
          </w:tcPr>
          <w:p w:rsidR="0097239C" w:rsidRPr="00AE3072" w:rsidP="00AE3072">
            <w:pPr>
              <w:spacing w:before="30" w:after="30" w:line="240" w:lineRule="exact"/>
              <w:jc w:val="left"/>
              <w:rPr>
                <w:sz w:val="22"/>
                <w:szCs w:val="22"/>
                <w:rtl/>
              </w:rPr>
            </w:pPr>
            <w:r w:rsidRPr="00AE3072">
              <w:rPr>
                <w:rFonts w:hint="cs"/>
                <w:sz w:val="22"/>
                <w:szCs w:val="22"/>
                <w:rtl/>
              </w:rPr>
              <w:t>61</w:t>
            </w:r>
          </w:p>
        </w:tc>
      </w:tr>
    </w:tbl>
    <w:p w:rsidR="0097239C" w:rsidRPr="0097239C" w:rsidP="00C603CF">
      <w:pPr>
        <w:pStyle w:val="a"/>
        <w:spacing w:line="269" w:lineRule="auto"/>
        <w:rPr>
          <w:rtl/>
        </w:rPr>
      </w:pPr>
    </w:p>
    <w:p w:rsidR="0097239C" w:rsidP="00C603CF">
      <w:pPr>
        <w:spacing w:line="269" w:lineRule="auto"/>
        <w:rPr>
          <w:rtl/>
        </w:rPr>
      </w:pPr>
      <w:r w:rsidRPr="0097239C">
        <w:rPr>
          <w:rFonts w:hint="cs"/>
          <w:rtl/>
        </w:rPr>
        <w:t>באותו חודש פרסמה רשות המיסים הודעה בעניין "ביטול המכס ביבוא מוצרי חשמל נבחרים, כלי תאורה, תמרוקים, ביגוד ומוצרי טקסטיל, צעצועים נבחרים וציוד לספורט" מכוח הוראת שעה עד סוף שנת 2018. רשות המיסים הזמינה כל גורם אשר יש לו עניין בביטול המְכָסים לשלוח לה הערות בכתב עד 7.1.18.</w:t>
      </w:r>
    </w:p>
    <w:p w:rsidR="0097239C" w:rsidRPr="0097239C" w:rsidP="00C603CF">
      <w:pPr>
        <w:pStyle w:val="a"/>
        <w:spacing w:line="269" w:lineRule="auto"/>
        <w:rPr>
          <w:rtl/>
        </w:rPr>
      </w:pPr>
    </w:p>
    <w:p w:rsidR="0097239C" w:rsidRPr="0097239C" w:rsidP="00C63933">
      <w:pPr>
        <w:spacing w:line="269" w:lineRule="auto"/>
        <w:rPr>
          <w:rtl/>
        </w:rPr>
      </w:pPr>
      <w:r w:rsidRPr="0097239C">
        <w:rPr>
          <w:rFonts w:hint="cs"/>
          <w:rtl/>
        </w:rPr>
        <w:t xml:space="preserve">בינואר 2018 פנה משרד </w:t>
      </w:r>
      <w:r w:rsidRPr="0097239C">
        <w:rPr>
          <w:rFonts w:hint="cs"/>
          <w:rtl/>
        </w:rPr>
        <w:t>האנרגייה</w:t>
      </w:r>
      <w:r w:rsidRPr="0097239C">
        <w:rPr>
          <w:rFonts w:hint="cs"/>
          <w:rtl/>
        </w:rPr>
        <w:t xml:space="preserve"> לרשות המיסים וביקש לקבוע הפחתת מיסים דיפרנציאלית למוצרים יעילים </w:t>
      </w:r>
      <w:r w:rsidRPr="0097239C">
        <w:rPr>
          <w:rFonts w:hint="cs"/>
          <w:rtl/>
        </w:rPr>
        <w:t>באנרגייה</w:t>
      </w:r>
      <w:r w:rsidRPr="0097239C">
        <w:rPr>
          <w:rFonts w:hint="cs"/>
          <w:rtl/>
        </w:rPr>
        <w:t xml:space="preserve">, לדוגמה, הפחתת מיסים למכשירי חשמל ביתיים בעלי דירוג אנרגטי </w:t>
      </w:r>
      <w:r w:rsidR="00C63933">
        <w:t>A-C</w:t>
      </w:r>
      <w:r w:rsidRPr="0097239C">
        <w:rPr>
          <w:rFonts w:hint="cs"/>
          <w:rtl/>
        </w:rPr>
        <w:t xml:space="preserve">, אך לא לאותם מוצרים בזבזניים בעלי דירוג נמוך יותר, </w:t>
      </w:r>
      <w:r w:rsidRPr="0097239C">
        <w:rPr>
          <w:rFonts w:hint="cs"/>
        </w:rPr>
        <w:t>G</w:t>
      </w:r>
      <w:r w:rsidRPr="0097239C">
        <w:rPr>
          <w:rFonts w:hint="cs"/>
          <w:rtl/>
        </w:rPr>
        <w:t>-</w:t>
      </w:r>
      <w:r w:rsidRPr="0097239C">
        <w:rPr>
          <w:rFonts w:hint="cs"/>
        </w:rPr>
        <w:t>D</w:t>
      </w:r>
      <w:r>
        <w:rPr>
          <w:vertAlign w:val="superscript"/>
          <w:rtl/>
        </w:rPr>
        <w:footnoteReference w:id="70"/>
      </w:r>
      <w:r w:rsidRPr="0097239C">
        <w:rPr>
          <w:rFonts w:hint="cs"/>
          <w:rtl/>
        </w:rPr>
        <w:t xml:space="preserve">. משרד </w:t>
      </w:r>
      <w:r w:rsidRPr="0097239C">
        <w:rPr>
          <w:rFonts w:hint="cs"/>
          <w:rtl/>
        </w:rPr>
        <w:t>האנרגייה</w:t>
      </w:r>
      <w:r w:rsidRPr="0097239C">
        <w:rPr>
          <w:rFonts w:hint="cs"/>
          <w:rtl/>
        </w:rPr>
        <w:t xml:space="preserve"> ציין כי ביטול המכס עלול להביא לעלייה ברכישת מוצרים בזבזני </w:t>
      </w:r>
      <w:r w:rsidRPr="0097239C">
        <w:rPr>
          <w:rFonts w:hint="cs"/>
          <w:rtl/>
        </w:rPr>
        <w:t>אנרגייה</w:t>
      </w:r>
      <w:r w:rsidRPr="0097239C">
        <w:rPr>
          <w:rFonts w:hint="cs"/>
          <w:rtl/>
        </w:rPr>
        <w:t xml:space="preserve"> בעלי דירוג אנרגטי נמוך. עוד ציין משרד </w:t>
      </w:r>
      <w:r w:rsidRPr="0097239C">
        <w:rPr>
          <w:rFonts w:hint="cs"/>
          <w:rtl/>
        </w:rPr>
        <w:t>האנרגייה</w:t>
      </w:r>
      <w:r w:rsidRPr="0097239C">
        <w:rPr>
          <w:rFonts w:hint="cs"/>
          <w:rtl/>
        </w:rPr>
        <w:t xml:space="preserve"> כי מחיר המוצר הוא רכיב משמעותי ביותר בשיקולים שלפיהם מחליטים צרכנים איזה מוצר לרכוש. למרות המידע המוצג על גבי המכשיר בדבר היעילות האנרגטית שלו, ועל אף מודעות הצרכנים לנושא, יש חשש שהצרכן יביא בחשבון את עלות המכשיר בלבד ולא את צריכת </w:t>
      </w:r>
      <w:r w:rsidRPr="0097239C">
        <w:rPr>
          <w:rFonts w:hint="cs"/>
          <w:rtl/>
        </w:rPr>
        <w:t>האנרגייה</w:t>
      </w:r>
      <w:r w:rsidRPr="0097239C">
        <w:rPr>
          <w:rFonts w:hint="cs"/>
          <w:rtl/>
        </w:rPr>
        <w:t xml:space="preserve"> שלו בשנים הרבות שלאחר הרכישה. כך עלול לצאת שכרו של הצרכן בהפסדו. המחיר בעת הרכישה יהיה נמוך יותר, אך הצרכן ישלם סכום גדול הרבה יותר במשך השנים עבור צריכת </w:t>
      </w:r>
      <w:r w:rsidRPr="0097239C">
        <w:rPr>
          <w:rFonts w:hint="cs"/>
          <w:rtl/>
        </w:rPr>
        <w:t>אנרגייה</w:t>
      </w:r>
      <w:r w:rsidRPr="0097239C">
        <w:rPr>
          <w:rFonts w:hint="cs"/>
          <w:rtl/>
        </w:rPr>
        <w:t xml:space="preserve"> גבוהה הרבה יותר. ההבדל בין צריכת </w:t>
      </w:r>
      <w:r w:rsidRPr="0097239C">
        <w:rPr>
          <w:rFonts w:hint="cs"/>
          <w:rtl/>
        </w:rPr>
        <w:t>האנרגייה</w:t>
      </w:r>
      <w:r w:rsidRPr="0097239C">
        <w:rPr>
          <w:rFonts w:hint="cs"/>
          <w:rtl/>
        </w:rPr>
        <w:t xml:space="preserve"> של המכשיר היעיל ביותר למכשיר הבזבזני ביותר יכול להסתכם בסכומים משמעותיים, הגדולים מהפרש הרכישה בין מוצר יעיל לבזבזני. משרד </w:t>
      </w:r>
      <w:r w:rsidRPr="0097239C">
        <w:rPr>
          <w:rFonts w:hint="cs"/>
          <w:rtl/>
        </w:rPr>
        <w:t>האנרגייה</w:t>
      </w:r>
      <w:r w:rsidRPr="0097239C">
        <w:rPr>
          <w:rFonts w:hint="cs"/>
          <w:rtl/>
        </w:rPr>
        <w:t xml:space="preserve"> הציע אף להרחיב את הפחתת המכס באופן דיפרנציאלי למוצרי חשמל יעילים אנרגטית נוספים, כגון </w:t>
      </w:r>
      <w:r w:rsidRPr="0097239C">
        <w:rPr>
          <w:rFonts w:hint="cs"/>
          <w:rtl/>
        </w:rPr>
        <w:t>צ'ילרים</w:t>
      </w:r>
      <w:r w:rsidRPr="0097239C">
        <w:rPr>
          <w:rFonts w:hint="cs"/>
          <w:rtl/>
        </w:rPr>
        <w:t xml:space="preserve"> ומזגנים.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בצו תעריף המכס והפטורים ומס קנייה על טובין (תיקון מס' 9 והוראת שעה 11), התשע"ח-2018, נקבע כי עד 31.12.18 יינתן פטור ממכס כללי על המוצרים האמורים. הצו אינו עוסק ברמת הדירוג האנרגטי של המכשירים השונים. רשות המיסים מסרה למשרד מבקר המדינה בפברואר 2019, כי משרד האוצר החליט להאריך את</w:t>
      </w:r>
      <w:r w:rsidRPr="0097239C">
        <w:rPr>
          <w:rtl/>
        </w:rPr>
        <w:t xml:space="preserve"> תוקף הוראת </w:t>
      </w:r>
      <w:r w:rsidRPr="0097239C">
        <w:rPr>
          <w:rFonts w:hint="cs"/>
          <w:rtl/>
        </w:rPr>
        <w:t>ה</w:t>
      </w:r>
      <w:r w:rsidRPr="0097239C">
        <w:rPr>
          <w:rtl/>
        </w:rPr>
        <w:t>שעה לשנה נוספת (עד סוף</w:t>
      </w:r>
      <w:r w:rsidRPr="0097239C">
        <w:rPr>
          <w:rFonts w:hint="cs"/>
          <w:rtl/>
        </w:rPr>
        <w:t xml:space="preserve"> שנת</w:t>
      </w:r>
      <w:r w:rsidRPr="0097239C">
        <w:rPr>
          <w:rtl/>
        </w:rPr>
        <w:t xml:space="preserve"> 2019) לאחר </w:t>
      </w:r>
      <w:r w:rsidRPr="0097239C">
        <w:rPr>
          <w:rFonts w:hint="cs"/>
          <w:rtl/>
        </w:rPr>
        <w:t>שנבחנה</w:t>
      </w:r>
      <w:r w:rsidRPr="0097239C">
        <w:rPr>
          <w:rtl/>
        </w:rPr>
        <w:t xml:space="preserve"> התועלת מההפחתה</w:t>
      </w:r>
      <w:r w:rsidRPr="0097239C">
        <w:rPr>
          <w:rFonts w:hint="cs"/>
          <w:rtl/>
        </w:rPr>
        <w:t xml:space="preserve">, וכי </w:t>
      </w:r>
      <w:r w:rsidRPr="0097239C">
        <w:rPr>
          <w:rtl/>
        </w:rPr>
        <w:t xml:space="preserve">בסוף שנת 2019 הוארכה הוראת השעה אוטומטית עד אמצע יוני עקב </w:t>
      </w:r>
      <w:r w:rsidRPr="0097239C">
        <w:rPr>
          <w:rFonts w:hint="cs"/>
          <w:rtl/>
        </w:rPr>
        <w:t>ה</w:t>
      </w:r>
      <w:r w:rsidRPr="0097239C">
        <w:rPr>
          <w:rtl/>
        </w:rPr>
        <w:t>בחירות, בהתאם לסעיף 38 לחוק</w:t>
      </w:r>
      <w:r w:rsidRPr="0097239C">
        <w:rPr>
          <w:rFonts w:hint="cs"/>
          <w:rtl/>
        </w:rPr>
        <w:t xml:space="preserve"> </w:t>
      </w:r>
      <w:r w:rsidRPr="0097239C">
        <w:rPr>
          <w:rtl/>
        </w:rPr>
        <w:t>יסוד</w:t>
      </w:r>
      <w:r w:rsidRPr="0097239C">
        <w:rPr>
          <w:rFonts w:hint="cs"/>
          <w:rtl/>
        </w:rPr>
        <w:t>:</w:t>
      </w:r>
      <w:r w:rsidRPr="0097239C">
        <w:rPr>
          <w:rtl/>
        </w:rPr>
        <w:t xml:space="preserve"> הכנסת.</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צעדי מיסוי הם כלי מרכזי לקביעה ולניהול של מדיניות בתחומים רבים, אך נדרש לוודא את התאמתם למדיניות הממשלתית בתחומים אחרים. מומלץ כי משרד האוצר יבצע בחינת עלות-תועלת וכדאיות של יישום צעדי מדיניות בתחום המיסוי, תוך התחשבות ביעדים הממשלתיים בתחום ההתייעלות האנרגטית.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רשות המיסים השיבה למשרד מבקר המדינה במאי 2020 כי </w:t>
      </w:r>
      <w:r w:rsidRPr="0097239C">
        <w:rPr>
          <w:rFonts w:hint="eastAsia"/>
          <w:rtl/>
        </w:rPr>
        <w:t>היא</w:t>
      </w:r>
      <w:r w:rsidRPr="0097239C">
        <w:rPr>
          <w:rtl/>
        </w:rPr>
        <w:t xml:space="preserve"> </w:t>
      </w:r>
      <w:r w:rsidRPr="0097239C">
        <w:rPr>
          <w:rFonts w:hint="eastAsia"/>
          <w:rtl/>
        </w:rPr>
        <w:t>רואה</w:t>
      </w:r>
      <w:r w:rsidRPr="0097239C">
        <w:rPr>
          <w:rtl/>
        </w:rPr>
        <w:t xml:space="preserve"> </w:t>
      </w:r>
      <w:r w:rsidRPr="0097239C">
        <w:rPr>
          <w:rFonts w:hint="eastAsia"/>
          <w:rtl/>
        </w:rPr>
        <w:t>במס</w:t>
      </w:r>
      <w:r w:rsidRPr="0097239C">
        <w:rPr>
          <w:rtl/>
        </w:rPr>
        <w:t xml:space="preserve"> </w:t>
      </w:r>
      <w:r w:rsidRPr="0097239C">
        <w:rPr>
          <w:rFonts w:hint="eastAsia"/>
          <w:rtl/>
        </w:rPr>
        <w:t>הקנייה</w:t>
      </w:r>
      <w:r w:rsidRPr="0097239C">
        <w:rPr>
          <w:rtl/>
        </w:rPr>
        <w:t xml:space="preserve"> </w:t>
      </w:r>
      <w:r w:rsidRPr="0097239C">
        <w:rPr>
          <w:rFonts w:hint="eastAsia"/>
          <w:rtl/>
        </w:rPr>
        <w:t>את</w:t>
      </w:r>
      <w:r w:rsidRPr="0097239C">
        <w:rPr>
          <w:rtl/>
        </w:rPr>
        <w:t xml:space="preserve"> </w:t>
      </w:r>
      <w:r w:rsidRPr="0097239C">
        <w:rPr>
          <w:rFonts w:hint="eastAsia"/>
          <w:rtl/>
        </w:rPr>
        <w:t>הכלי</w:t>
      </w:r>
      <w:r w:rsidRPr="0097239C">
        <w:rPr>
          <w:rtl/>
        </w:rPr>
        <w:t xml:space="preserve"> </w:t>
      </w:r>
      <w:r w:rsidRPr="0097239C">
        <w:rPr>
          <w:rFonts w:hint="eastAsia"/>
          <w:rtl/>
        </w:rPr>
        <w:t>המתאים</w:t>
      </w:r>
      <w:r w:rsidRPr="0097239C">
        <w:rPr>
          <w:rtl/>
        </w:rPr>
        <w:t xml:space="preserve"> </w:t>
      </w:r>
      <w:r w:rsidRPr="0097239C">
        <w:rPr>
          <w:rFonts w:hint="eastAsia"/>
          <w:rtl/>
        </w:rPr>
        <w:t>לעידוד</w:t>
      </w:r>
      <w:r w:rsidRPr="0097239C">
        <w:rPr>
          <w:rtl/>
        </w:rPr>
        <w:t xml:space="preserve"> </w:t>
      </w:r>
      <w:r w:rsidRPr="0097239C">
        <w:rPr>
          <w:rFonts w:hint="eastAsia"/>
          <w:rtl/>
        </w:rPr>
        <w:t>מוצרים</w:t>
      </w:r>
      <w:r w:rsidRPr="0097239C">
        <w:rPr>
          <w:rtl/>
        </w:rPr>
        <w:t xml:space="preserve"> </w:t>
      </w:r>
      <w:r w:rsidRPr="0097239C">
        <w:rPr>
          <w:rFonts w:hint="eastAsia"/>
          <w:rtl/>
        </w:rPr>
        <w:t>יעילים</w:t>
      </w:r>
      <w:r w:rsidRPr="0097239C">
        <w:rPr>
          <w:rtl/>
        </w:rPr>
        <w:t xml:space="preserve"> </w:t>
      </w:r>
      <w:r w:rsidRPr="0097239C">
        <w:rPr>
          <w:rFonts w:hint="eastAsia"/>
          <w:rtl/>
        </w:rPr>
        <w:t>אנרגטית</w:t>
      </w:r>
      <w:r w:rsidRPr="0097239C">
        <w:rPr>
          <w:rtl/>
        </w:rPr>
        <w:t xml:space="preserve">, </w:t>
      </w:r>
      <w:r w:rsidRPr="0097239C">
        <w:rPr>
          <w:rFonts w:hint="eastAsia"/>
          <w:rtl/>
        </w:rPr>
        <w:t>ולא</w:t>
      </w:r>
      <w:r w:rsidRPr="0097239C">
        <w:rPr>
          <w:rtl/>
        </w:rPr>
        <w:t xml:space="preserve"> </w:t>
      </w:r>
      <w:r w:rsidRPr="0097239C">
        <w:rPr>
          <w:rFonts w:hint="eastAsia"/>
          <w:rtl/>
        </w:rPr>
        <w:t>מכס</w:t>
      </w:r>
      <w:r w:rsidRPr="0097239C">
        <w:rPr>
          <w:rtl/>
        </w:rPr>
        <w:t xml:space="preserve"> </w:t>
      </w:r>
      <w:r w:rsidRPr="0097239C">
        <w:rPr>
          <w:rFonts w:hint="eastAsia"/>
          <w:rtl/>
        </w:rPr>
        <w:t>הנועד</w:t>
      </w:r>
      <w:r w:rsidRPr="0097239C">
        <w:rPr>
          <w:rtl/>
        </w:rPr>
        <w:t xml:space="preserve"> </w:t>
      </w:r>
      <w:r w:rsidRPr="0097239C">
        <w:rPr>
          <w:rFonts w:hint="eastAsia"/>
          <w:rtl/>
        </w:rPr>
        <w:t>להגן</w:t>
      </w:r>
      <w:r w:rsidRPr="0097239C">
        <w:rPr>
          <w:rtl/>
        </w:rPr>
        <w:t xml:space="preserve"> </w:t>
      </w:r>
      <w:r w:rsidRPr="0097239C">
        <w:rPr>
          <w:rFonts w:hint="eastAsia"/>
          <w:rtl/>
        </w:rPr>
        <w:t>על</w:t>
      </w:r>
      <w:r w:rsidRPr="0097239C">
        <w:rPr>
          <w:rtl/>
        </w:rPr>
        <w:t xml:space="preserve"> </w:t>
      </w:r>
      <w:r w:rsidRPr="0097239C">
        <w:rPr>
          <w:rFonts w:hint="eastAsia"/>
          <w:rtl/>
        </w:rPr>
        <w:t>הייצור</w:t>
      </w:r>
      <w:r w:rsidRPr="0097239C">
        <w:rPr>
          <w:rtl/>
        </w:rPr>
        <w:t xml:space="preserve"> </w:t>
      </w:r>
      <w:r w:rsidRPr="0097239C">
        <w:rPr>
          <w:rFonts w:hint="eastAsia"/>
          <w:rtl/>
        </w:rPr>
        <w:t>המקומי</w:t>
      </w:r>
      <w:r w:rsidRPr="0097239C">
        <w:rPr>
          <w:rtl/>
        </w:rPr>
        <w:t xml:space="preserve"> אשר לגביו יש למדינת ישראל התחייבויות כלפי מדינות שונות במסגרת הסכמי אזור סחר חופשי </w:t>
      </w:r>
      <w:r w:rsidRPr="0097239C">
        <w:rPr>
          <w:rFonts w:hint="eastAsia"/>
          <w:rtl/>
        </w:rPr>
        <w:t>שונים</w:t>
      </w:r>
      <w:r w:rsidRPr="0097239C">
        <w:rPr>
          <w:rtl/>
        </w:rPr>
        <w:t>.</w:t>
      </w:r>
      <w:r w:rsidRPr="0097239C">
        <w:rPr>
          <w:rFonts w:hint="cs"/>
          <w:rtl/>
        </w:rPr>
        <w:t xml:space="preserve"> עוד מסרה רשות המיסים כי היא הקימה </w:t>
      </w:r>
      <w:r w:rsidRPr="0097239C">
        <w:rPr>
          <w:rtl/>
        </w:rPr>
        <w:t>ועדה בי</w:t>
      </w:r>
      <w:r w:rsidRPr="0097239C">
        <w:rPr>
          <w:rFonts w:hint="cs"/>
          <w:rtl/>
        </w:rPr>
        <w:t>ן-</w:t>
      </w:r>
      <w:r w:rsidRPr="0097239C">
        <w:rPr>
          <w:rtl/>
        </w:rPr>
        <w:t>משרדית, שבחנה הטלת מס קני</w:t>
      </w:r>
      <w:r w:rsidRPr="0097239C">
        <w:rPr>
          <w:rFonts w:hint="cs"/>
          <w:rtl/>
        </w:rPr>
        <w:t>י</w:t>
      </w:r>
      <w:r w:rsidRPr="0097239C">
        <w:rPr>
          <w:rtl/>
        </w:rPr>
        <w:t>ה על מקררים ומזגנים על פי דירוגם האנרגטי, כך שמקררים ומזגנים עם ד</w:t>
      </w:r>
      <w:r w:rsidRPr="0097239C">
        <w:rPr>
          <w:rFonts w:hint="cs"/>
          <w:rtl/>
        </w:rPr>
        <w:t>י</w:t>
      </w:r>
      <w:r w:rsidRPr="0097239C">
        <w:rPr>
          <w:rtl/>
        </w:rPr>
        <w:t xml:space="preserve">רוג </w:t>
      </w:r>
      <w:r w:rsidRPr="0097239C">
        <w:t>A</w:t>
      </w:r>
      <w:r w:rsidRPr="0097239C">
        <w:rPr>
          <w:rtl/>
        </w:rPr>
        <w:t xml:space="preserve"> או </w:t>
      </w:r>
      <w:r w:rsidRPr="0097239C">
        <w:t>B</w:t>
      </w:r>
      <w:r w:rsidRPr="0097239C">
        <w:rPr>
          <w:rtl/>
        </w:rPr>
        <w:t xml:space="preserve"> יהיו פטורים ממס קני</w:t>
      </w:r>
      <w:r w:rsidRPr="0097239C">
        <w:rPr>
          <w:rFonts w:hint="cs"/>
          <w:rtl/>
        </w:rPr>
        <w:t>י</w:t>
      </w:r>
      <w:r w:rsidRPr="0097239C">
        <w:rPr>
          <w:rtl/>
        </w:rPr>
        <w:t>ה</w:t>
      </w:r>
      <w:r w:rsidRPr="0097239C">
        <w:rPr>
          <w:rFonts w:hint="cs"/>
          <w:rtl/>
        </w:rPr>
        <w:t>,</w:t>
      </w:r>
      <w:r w:rsidRPr="0097239C">
        <w:rPr>
          <w:rtl/>
        </w:rPr>
        <w:t xml:space="preserve"> וככל שהד</w:t>
      </w:r>
      <w:r w:rsidRPr="0097239C">
        <w:rPr>
          <w:rFonts w:hint="cs"/>
          <w:rtl/>
        </w:rPr>
        <w:t>י</w:t>
      </w:r>
      <w:r w:rsidRPr="0097239C">
        <w:rPr>
          <w:rtl/>
        </w:rPr>
        <w:t>רוג האנרגטי עולה, כך גם מס הקני</w:t>
      </w:r>
      <w:r w:rsidRPr="0097239C">
        <w:rPr>
          <w:rFonts w:hint="cs"/>
          <w:rtl/>
        </w:rPr>
        <w:t>י</w:t>
      </w:r>
      <w:r w:rsidRPr="0097239C">
        <w:rPr>
          <w:rtl/>
        </w:rPr>
        <w:t>ה עולה, וזאת על מנת לעודד צרכנים לרכוש מוצרים החוסכים בצריכת חשמל. בסיום בחינת הנושא</w:t>
      </w:r>
      <w:r w:rsidRPr="0097239C">
        <w:rPr>
          <w:rFonts w:hint="cs"/>
          <w:rtl/>
        </w:rPr>
        <w:t>, באפריל 2011,</w:t>
      </w:r>
      <w:r w:rsidRPr="0097239C">
        <w:rPr>
          <w:rtl/>
        </w:rPr>
        <w:t xml:space="preserve"> הוכנו טיוטות של צווים</w:t>
      </w:r>
      <w:r w:rsidRPr="0097239C">
        <w:rPr>
          <w:rFonts w:hint="cs"/>
          <w:rtl/>
        </w:rPr>
        <w:t>,</w:t>
      </w:r>
      <w:r w:rsidRPr="0097239C">
        <w:rPr>
          <w:rtl/>
        </w:rPr>
        <w:t xml:space="preserve"> </w:t>
      </w:r>
      <w:r w:rsidRPr="0097239C">
        <w:rPr>
          <w:rFonts w:hint="cs"/>
          <w:rtl/>
        </w:rPr>
        <w:t xml:space="preserve">אולם התהליך לא הושלם בעת ההיא. בהיערכות לתקציב 2021 תבחן רשות המיסים בשיתוף </w:t>
      </w:r>
      <w:r w:rsidRPr="0097239C">
        <w:rPr>
          <w:rFonts w:hint="cs"/>
          <w:rtl/>
        </w:rPr>
        <w:t>אג"ת</w:t>
      </w:r>
      <w:r w:rsidRPr="0097239C">
        <w:rPr>
          <w:rFonts w:hint="cs"/>
          <w:rtl/>
        </w:rPr>
        <w:t xml:space="preserve"> היתכנות של שינוי צו תעריף המכס בהוראת שעה, המטילה מס קנייה דיפרנציאלי על מקררים ומזגנים שאינם יעילים אנרגטית. </w:t>
      </w:r>
      <w:r w:rsidRPr="0097239C">
        <w:rPr>
          <w:rFonts w:hint="cs"/>
          <w:rtl/>
        </w:rPr>
        <w:t>אג"ת</w:t>
      </w:r>
      <w:r w:rsidRPr="0097239C">
        <w:rPr>
          <w:rFonts w:hint="cs"/>
          <w:rtl/>
        </w:rPr>
        <w:t xml:space="preserve"> השיב למשרד מבקר המדינה במאי 2020 כי הוא סבור שהטבות מס אינן האמצעי הנכון לעידוד התייעלות אנרגטית, ושניתן לעודד התייעלות באמצעות מנגנון תעריפים דיפרנציאלי במשק החשמל.</w:t>
      </w:r>
    </w:p>
    <w:p w:rsidR="0097239C" w:rsidP="00C603CF">
      <w:pPr>
        <w:spacing w:line="269" w:lineRule="auto"/>
        <w:rPr>
          <w:rtl/>
        </w:rPr>
      </w:pPr>
    </w:p>
    <w:p w:rsidR="00C839A0" w:rsidRPr="0097239C" w:rsidP="00C603CF">
      <w:pPr>
        <w:spacing w:line="269" w:lineRule="auto"/>
        <w:rPr>
          <w:rtl/>
        </w:rPr>
      </w:pPr>
    </w:p>
    <w:p w:rsidR="0097239C" w:rsidRPr="0097239C" w:rsidP="00C603CF">
      <w:pPr>
        <w:pStyle w:val="Heading3"/>
        <w:spacing w:before="0" w:line="269" w:lineRule="auto"/>
        <w:rPr>
          <w:rtl/>
        </w:rPr>
      </w:pPr>
      <w:bookmarkStart w:id="7" w:name="_Toc46906223"/>
      <w:r w:rsidRPr="0097239C">
        <w:rPr>
          <w:rFonts w:hint="cs"/>
          <w:rtl/>
        </w:rPr>
        <w:t>מנייה חכמה ותעריפי עומס זמן</w:t>
      </w:r>
      <w:bookmarkEnd w:id="7"/>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"מונים חכמים", אשר</w:t>
      </w:r>
      <w:r w:rsidRPr="0097239C">
        <w:t xml:space="preserve"> </w:t>
      </w:r>
      <w:r w:rsidRPr="0097239C">
        <w:rPr>
          <w:rFonts w:hint="cs"/>
          <w:rtl/>
        </w:rPr>
        <w:t>מיזם</w:t>
      </w:r>
      <w:r w:rsidRPr="0097239C">
        <w:t xml:space="preserve"> </w:t>
      </w:r>
      <w:r w:rsidRPr="0097239C">
        <w:rPr>
          <w:rFonts w:hint="cs"/>
          <w:rtl/>
        </w:rPr>
        <w:t>פריסתם</w:t>
      </w:r>
      <w:r w:rsidRPr="0097239C">
        <w:t xml:space="preserve"> </w:t>
      </w:r>
      <w:r w:rsidRPr="0097239C">
        <w:rPr>
          <w:rFonts w:hint="cs"/>
          <w:rtl/>
        </w:rPr>
        <w:t>מכונה</w:t>
      </w:r>
      <w:r w:rsidRPr="0097239C">
        <w:t xml:space="preserve">" </w:t>
      </w:r>
      <w:r w:rsidRPr="0097239C">
        <w:rPr>
          <w:rFonts w:hint="cs"/>
          <w:rtl/>
        </w:rPr>
        <w:t>מנייה</w:t>
      </w:r>
      <w:r w:rsidRPr="0097239C">
        <w:t xml:space="preserve"> </w:t>
      </w:r>
      <w:r w:rsidRPr="0097239C">
        <w:rPr>
          <w:rFonts w:hint="cs"/>
          <w:rtl/>
        </w:rPr>
        <w:t>חכמה", מאפשרים</w:t>
      </w:r>
      <w:r w:rsidRPr="0097239C">
        <w:t xml:space="preserve"> </w:t>
      </w:r>
      <w:r w:rsidRPr="0097239C">
        <w:rPr>
          <w:rFonts w:hint="cs"/>
          <w:rtl/>
        </w:rPr>
        <w:t>מדידה</w:t>
      </w:r>
      <w:r w:rsidRPr="0097239C">
        <w:t xml:space="preserve"> </w:t>
      </w:r>
      <w:r w:rsidRPr="0097239C">
        <w:rPr>
          <w:rFonts w:hint="cs"/>
          <w:rtl/>
        </w:rPr>
        <w:t>רציפה</w:t>
      </w:r>
      <w:r w:rsidRPr="0097239C">
        <w:t xml:space="preserve"> </w:t>
      </w:r>
      <w:r w:rsidRPr="0097239C">
        <w:rPr>
          <w:rFonts w:hint="cs"/>
          <w:rtl/>
        </w:rPr>
        <w:t>מרחוק</w:t>
      </w:r>
      <w:r w:rsidRPr="0097239C">
        <w:t xml:space="preserve"> </w:t>
      </w:r>
      <w:r w:rsidRPr="0097239C">
        <w:rPr>
          <w:rFonts w:hint="cs"/>
          <w:rtl/>
        </w:rPr>
        <w:t>של צריכת</w:t>
      </w:r>
      <w:r w:rsidRPr="0097239C">
        <w:t xml:space="preserve"> </w:t>
      </w:r>
      <w:r w:rsidRPr="0097239C">
        <w:rPr>
          <w:rFonts w:hint="cs"/>
          <w:rtl/>
        </w:rPr>
        <w:t>האנרגייה</w:t>
      </w:r>
      <w:r w:rsidRPr="0097239C">
        <w:rPr>
          <w:rFonts w:hint="cs"/>
          <w:rtl/>
        </w:rPr>
        <w:t xml:space="preserve"> ואיסוף</w:t>
      </w:r>
      <w:r w:rsidRPr="0097239C">
        <w:t xml:space="preserve"> </w:t>
      </w:r>
      <w:r w:rsidRPr="0097239C">
        <w:rPr>
          <w:rFonts w:hint="cs"/>
          <w:rtl/>
        </w:rPr>
        <w:t>נתונים</w:t>
      </w:r>
      <w:r w:rsidRPr="0097239C">
        <w:t xml:space="preserve"> </w:t>
      </w:r>
      <w:r w:rsidRPr="0097239C">
        <w:rPr>
          <w:rFonts w:hint="cs"/>
          <w:rtl/>
        </w:rPr>
        <w:t>אחרים</w:t>
      </w:r>
      <w:r w:rsidRPr="0097239C">
        <w:t xml:space="preserve"> </w:t>
      </w:r>
      <w:r w:rsidRPr="0097239C">
        <w:rPr>
          <w:rFonts w:hint="cs"/>
          <w:rtl/>
        </w:rPr>
        <w:t>הקשורים</w:t>
      </w:r>
      <w:r w:rsidRPr="0097239C">
        <w:t xml:space="preserve"> </w:t>
      </w:r>
      <w:r w:rsidRPr="0097239C">
        <w:rPr>
          <w:rFonts w:hint="cs"/>
          <w:rtl/>
        </w:rPr>
        <w:t>לנושא</w:t>
      </w:r>
      <w:r w:rsidRPr="0097239C">
        <w:t xml:space="preserve"> </w:t>
      </w:r>
      <w:r w:rsidRPr="0097239C">
        <w:rPr>
          <w:rFonts w:hint="cs"/>
          <w:rtl/>
        </w:rPr>
        <w:t>צריכת החשמל.</w:t>
      </w:r>
      <w:r w:rsidRPr="0097239C">
        <w:t xml:space="preserve"> </w:t>
      </w:r>
      <w:r w:rsidRPr="0097239C">
        <w:rPr>
          <w:rFonts w:hint="cs"/>
          <w:rtl/>
        </w:rPr>
        <w:t>מונים</w:t>
      </w:r>
      <w:r w:rsidRPr="0097239C">
        <w:t xml:space="preserve"> </w:t>
      </w:r>
      <w:r w:rsidRPr="0097239C">
        <w:rPr>
          <w:rFonts w:hint="cs"/>
          <w:rtl/>
        </w:rPr>
        <w:t>אלה</w:t>
      </w:r>
      <w:r w:rsidRPr="0097239C">
        <w:t xml:space="preserve"> </w:t>
      </w:r>
      <w:r w:rsidRPr="0097239C">
        <w:rPr>
          <w:rFonts w:hint="cs"/>
          <w:rtl/>
        </w:rPr>
        <w:t>מאפשרים להחיל</w:t>
      </w:r>
      <w:r w:rsidRPr="0097239C">
        <w:t xml:space="preserve"> </w:t>
      </w:r>
      <w:r w:rsidRPr="0097239C">
        <w:rPr>
          <w:rFonts w:hint="cs"/>
          <w:rtl/>
        </w:rPr>
        <w:t>תוכניות</w:t>
      </w:r>
      <w:r w:rsidRPr="0097239C">
        <w:t xml:space="preserve"> </w:t>
      </w:r>
      <w:r w:rsidRPr="0097239C">
        <w:rPr>
          <w:rFonts w:hint="cs"/>
          <w:rtl/>
        </w:rPr>
        <w:t>ולקבוע</w:t>
      </w:r>
      <w:r w:rsidRPr="0097239C">
        <w:t xml:space="preserve"> </w:t>
      </w:r>
      <w:r w:rsidRPr="0097239C">
        <w:rPr>
          <w:rFonts w:hint="cs"/>
          <w:rtl/>
        </w:rPr>
        <w:t>תעריפים</w:t>
      </w:r>
      <w:r w:rsidRPr="0097239C">
        <w:t xml:space="preserve"> </w:t>
      </w:r>
      <w:r w:rsidRPr="0097239C">
        <w:rPr>
          <w:rFonts w:hint="cs"/>
          <w:rtl/>
        </w:rPr>
        <w:t>דינמיים שישקפו</w:t>
      </w:r>
      <w:r w:rsidRPr="0097239C">
        <w:t xml:space="preserve"> </w:t>
      </w:r>
      <w:r w:rsidRPr="0097239C">
        <w:rPr>
          <w:rFonts w:hint="cs"/>
          <w:rtl/>
        </w:rPr>
        <w:t>את</w:t>
      </w:r>
      <w:r w:rsidRPr="0097239C">
        <w:t xml:space="preserve"> </w:t>
      </w:r>
      <w:r w:rsidRPr="0097239C">
        <w:rPr>
          <w:rFonts w:hint="cs"/>
          <w:rtl/>
        </w:rPr>
        <w:t>עלות</w:t>
      </w:r>
      <w:r w:rsidRPr="0097239C">
        <w:t xml:space="preserve"> </w:t>
      </w:r>
      <w:r w:rsidRPr="0097239C">
        <w:rPr>
          <w:rFonts w:hint="cs"/>
          <w:rtl/>
        </w:rPr>
        <w:t>הייצור</w:t>
      </w:r>
      <w:r w:rsidRPr="0097239C">
        <w:t xml:space="preserve"> </w:t>
      </w:r>
      <w:r w:rsidRPr="0097239C">
        <w:rPr>
          <w:rFonts w:hint="cs"/>
          <w:rtl/>
        </w:rPr>
        <w:t>והאספקה</w:t>
      </w:r>
      <w:r w:rsidRPr="0097239C">
        <w:t xml:space="preserve"> </w:t>
      </w:r>
      <w:r w:rsidRPr="0097239C">
        <w:rPr>
          <w:rFonts w:hint="cs"/>
          <w:rtl/>
        </w:rPr>
        <w:t>ויתמרצו</w:t>
      </w:r>
      <w:r w:rsidRPr="0097239C">
        <w:t xml:space="preserve"> </w:t>
      </w:r>
      <w:r w:rsidRPr="0097239C">
        <w:rPr>
          <w:rFonts w:hint="cs"/>
          <w:rtl/>
        </w:rPr>
        <w:t>את הצרכנים</w:t>
      </w:r>
      <w:r w:rsidRPr="0097239C">
        <w:t xml:space="preserve"> </w:t>
      </w:r>
      <w:r w:rsidRPr="0097239C">
        <w:rPr>
          <w:rFonts w:hint="cs"/>
          <w:rtl/>
        </w:rPr>
        <w:t>להסיט</w:t>
      </w:r>
      <w:r w:rsidRPr="0097239C">
        <w:t xml:space="preserve"> </w:t>
      </w:r>
      <w:r w:rsidRPr="0097239C">
        <w:rPr>
          <w:rFonts w:hint="cs"/>
          <w:rtl/>
        </w:rPr>
        <w:t xml:space="preserve">את </w:t>
      </w:r>
      <w:r w:rsidRPr="0097239C">
        <w:rPr>
          <w:rFonts w:hint="cs"/>
          <w:rtl/>
        </w:rPr>
        <w:t>הביקושים</w:t>
      </w:r>
      <w:r w:rsidRPr="0097239C">
        <w:t xml:space="preserve"> </w:t>
      </w:r>
      <w:r w:rsidRPr="0097239C">
        <w:rPr>
          <w:rFonts w:hint="cs"/>
          <w:rtl/>
        </w:rPr>
        <w:t>ולהפחית</w:t>
      </w:r>
      <w:r w:rsidRPr="0097239C">
        <w:t xml:space="preserve"> </w:t>
      </w:r>
      <w:r w:rsidRPr="0097239C">
        <w:rPr>
          <w:rFonts w:hint="cs"/>
          <w:rtl/>
        </w:rPr>
        <w:t>את</w:t>
      </w:r>
      <w:r w:rsidRPr="0097239C">
        <w:t xml:space="preserve"> </w:t>
      </w:r>
      <w:r w:rsidRPr="0097239C">
        <w:rPr>
          <w:rFonts w:hint="cs"/>
          <w:rtl/>
        </w:rPr>
        <w:t>הצריכה</w:t>
      </w:r>
      <w:r w:rsidRPr="0097239C">
        <w:t xml:space="preserve"> </w:t>
      </w:r>
      <w:r w:rsidRPr="0097239C">
        <w:rPr>
          <w:rFonts w:hint="cs"/>
          <w:rtl/>
        </w:rPr>
        <w:t>הכוללת. "מונים חכמים" מאפשרים להציג</w:t>
      </w:r>
      <w:r w:rsidRPr="0097239C">
        <w:t xml:space="preserve"> </w:t>
      </w:r>
      <w:r w:rsidRPr="0097239C">
        <w:rPr>
          <w:rFonts w:hint="cs"/>
          <w:rtl/>
        </w:rPr>
        <w:t>ללקוח</w:t>
      </w:r>
      <w:r w:rsidRPr="0097239C">
        <w:t xml:space="preserve"> </w:t>
      </w:r>
      <w:r w:rsidRPr="0097239C">
        <w:rPr>
          <w:rFonts w:hint="cs"/>
          <w:rtl/>
        </w:rPr>
        <w:t>מידע</w:t>
      </w:r>
      <w:r w:rsidRPr="0097239C">
        <w:t xml:space="preserve"> </w:t>
      </w:r>
      <w:r w:rsidRPr="0097239C">
        <w:rPr>
          <w:rFonts w:hint="cs"/>
          <w:rtl/>
        </w:rPr>
        <w:t>השוואתי תדיר,</w:t>
      </w:r>
      <w:r w:rsidRPr="0097239C">
        <w:t xml:space="preserve"> </w:t>
      </w:r>
      <w:r w:rsidRPr="0097239C">
        <w:rPr>
          <w:rFonts w:hint="cs"/>
          <w:rtl/>
        </w:rPr>
        <w:t>הכולל</w:t>
      </w:r>
      <w:r w:rsidRPr="0097239C">
        <w:t xml:space="preserve"> </w:t>
      </w:r>
      <w:r w:rsidRPr="0097239C">
        <w:rPr>
          <w:rFonts w:hint="cs"/>
          <w:rtl/>
        </w:rPr>
        <w:t>רישום</w:t>
      </w:r>
      <w:r w:rsidRPr="0097239C">
        <w:t xml:space="preserve"> </w:t>
      </w:r>
      <w:r w:rsidRPr="0097239C">
        <w:rPr>
          <w:rFonts w:hint="cs"/>
          <w:rtl/>
        </w:rPr>
        <w:t>רציף</w:t>
      </w:r>
      <w:r w:rsidRPr="0097239C">
        <w:t xml:space="preserve"> </w:t>
      </w:r>
      <w:r w:rsidRPr="0097239C">
        <w:rPr>
          <w:rFonts w:hint="cs"/>
          <w:rtl/>
        </w:rPr>
        <w:t>של</w:t>
      </w:r>
      <w:r w:rsidRPr="0097239C">
        <w:t xml:space="preserve"> </w:t>
      </w:r>
      <w:r w:rsidRPr="0097239C">
        <w:rPr>
          <w:rFonts w:hint="cs"/>
          <w:rtl/>
        </w:rPr>
        <w:t>צריכתו</w:t>
      </w:r>
      <w:r w:rsidRPr="0097239C">
        <w:t xml:space="preserve"> </w:t>
      </w:r>
      <w:r w:rsidRPr="0097239C">
        <w:rPr>
          <w:rFonts w:hint="cs"/>
          <w:rtl/>
        </w:rPr>
        <w:t>לעומת הצריכה של שכניו, ומתמרצים אותו</w:t>
      </w:r>
      <w:r w:rsidRPr="0097239C">
        <w:t xml:space="preserve"> </w:t>
      </w:r>
      <w:r w:rsidRPr="0097239C">
        <w:rPr>
          <w:rFonts w:hint="cs"/>
          <w:rtl/>
        </w:rPr>
        <w:t>לנקוט</w:t>
      </w:r>
      <w:r w:rsidRPr="0097239C">
        <w:t xml:space="preserve"> </w:t>
      </w:r>
      <w:r w:rsidRPr="0097239C">
        <w:rPr>
          <w:rFonts w:hint="cs"/>
          <w:rtl/>
        </w:rPr>
        <w:t>אמצעים</w:t>
      </w:r>
      <w:r w:rsidRPr="0097239C">
        <w:t xml:space="preserve"> </w:t>
      </w:r>
      <w:r w:rsidRPr="0097239C">
        <w:rPr>
          <w:rFonts w:hint="cs"/>
          <w:rtl/>
        </w:rPr>
        <w:t>להפחתת</w:t>
      </w:r>
      <w:r w:rsidRPr="0097239C">
        <w:t xml:space="preserve"> </w:t>
      </w:r>
      <w:r w:rsidRPr="0097239C">
        <w:rPr>
          <w:rFonts w:hint="cs"/>
          <w:rtl/>
        </w:rPr>
        <w:t>צריכתו</w:t>
      </w:r>
      <w:r w:rsidRPr="0097239C">
        <w:t xml:space="preserve"> </w:t>
      </w:r>
      <w:r w:rsidRPr="0097239C">
        <w:rPr>
          <w:rFonts w:hint="cs"/>
          <w:rtl/>
        </w:rPr>
        <w:t>הכוללת</w:t>
      </w:r>
      <w:r w:rsidRPr="0097239C">
        <w:t>.</w:t>
      </w:r>
      <w:r w:rsidRPr="0097239C">
        <w:rPr>
          <w:rFonts w:hint="cs"/>
          <w:rtl/>
        </w:rPr>
        <w:t xml:space="preserve"> "מונים חכמים" מאפשרים גם החלת</w:t>
      </w:r>
      <w:r w:rsidRPr="0097239C">
        <w:t xml:space="preserve"> </w:t>
      </w:r>
      <w:r w:rsidRPr="0097239C">
        <w:rPr>
          <w:rFonts w:hint="cs"/>
          <w:rtl/>
        </w:rPr>
        <w:t>תעריפי</w:t>
      </w:r>
      <w:r w:rsidRPr="0097239C">
        <w:t xml:space="preserve"> </w:t>
      </w:r>
      <w:r w:rsidRPr="0097239C">
        <w:rPr>
          <w:rFonts w:hint="cs"/>
          <w:rtl/>
        </w:rPr>
        <w:t>חשמל</w:t>
      </w:r>
      <w:r w:rsidRPr="0097239C">
        <w:t xml:space="preserve"> </w:t>
      </w:r>
      <w:r w:rsidRPr="0097239C">
        <w:rPr>
          <w:rFonts w:hint="cs"/>
          <w:rtl/>
        </w:rPr>
        <w:t>משתנים בשעות</w:t>
      </w:r>
      <w:r w:rsidRPr="0097239C">
        <w:t xml:space="preserve"> </w:t>
      </w:r>
      <w:r w:rsidRPr="0097239C">
        <w:rPr>
          <w:rFonts w:hint="cs"/>
          <w:rtl/>
        </w:rPr>
        <w:t xml:space="preserve">היממה (להלן - "תעריפי עומס זמן" או </w:t>
      </w:r>
      <w:r w:rsidRPr="0097239C">
        <w:rPr>
          <w:rFonts w:hint="cs"/>
          <w:rtl/>
        </w:rPr>
        <w:t>תעו"ז</w:t>
      </w:r>
      <w:r w:rsidRPr="0097239C">
        <w:rPr>
          <w:rFonts w:hint="cs"/>
          <w:rtl/>
        </w:rPr>
        <w:t>),</w:t>
      </w:r>
      <w:r w:rsidRPr="0097239C">
        <w:t xml:space="preserve"> </w:t>
      </w:r>
      <w:r w:rsidRPr="0097239C">
        <w:rPr>
          <w:rFonts w:hint="cs"/>
          <w:rtl/>
        </w:rPr>
        <w:t>אשר באמצעותם ניתן</w:t>
      </w:r>
      <w:r w:rsidRPr="0097239C">
        <w:t xml:space="preserve"> </w:t>
      </w:r>
      <w:r w:rsidRPr="0097239C">
        <w:rPr>
          <w:rFonts w:hint="cs"/>
          <w:rtl/>
        </w:rPr>
        <w:t>לשנות</w:t>
      </w:r>
      <w:r w:rsidRPr="0097239C">
        <w:t xml:space="preserve"> </w:t>
      </w:r>
      <w:r w:rsidRPr="0097239C">
        <w:rPr>
          <w:rFonts w:hint="cs"/>
          <w:rtl/>
        </w:rPr>
        <w:t>דפוסי</w:t>
      </w:r>
      <w:r w:rsidRPr="0097239C">
        <w:t xml:space="preserve"> </w:t>
      </w:r>
      <w:r w:rsidRPr="0097239C">
        <w:rPr>
          <w:rFonts w:hint="cs"/>
          <w:rtl/>
        </w:rPr>
        <w:t>צריכת</w:t>
      </w:r>
      <w:r w:rsidRPr="0097239C">
        <w:t xml:space="preserve"> </w:t>
      </w:r>
      <w:r w:rsidRPr="0097239C">
        <w:rPr>
          <w:rFonts w:hint="cs"/>
          <w:rtl/>
        </w:rPr>
        <w:t>חשמל</w:t>
      </w:r>
      <w:r w:rsidRPr="0097239C">
        <w:t xml:space="preserve"> </w:t>
      </w:r>
      <w:r w:rsidRPr="0097239C">
        <w:rPr>
          <w:rFonts w:hint="cs"/>
          <w:rtl/>
        </w:rPr>
        <w:t>בקרב</w:t>
      </w:r>
      <w:r w:rsidRPr="0097239C">
        <w:t xml:space="preserve"> </w:t>
      </w:r>
      <w:r w:rsidRPr="0097239C">
        <w:rPr>
          <w:rFonts w:hint="cs"/>
          <w:rtl/>
        </w:rPr>
        <w:t xml:space="preserve">צרכנים. תעריפי </w:t>
      </w:r>
      <w:r w:rsidRPr="0097239C">
        <w:rPr>
          <w:rFonts w:hint="cs"/>
          <w:rtl/>
        </w:rPr>
        <w:t>תעו"ז</w:t>
      </w:r>
      <w:r w:rsidRPr="0097239C">
        <w:rPr>
          <w:rFonts w:hint="cs"/>
          <w:rtl/>
        </w:rPr>
        <w:t xml:space="preserve"> חלים</w:t>
      </w:r>
      <w:r w:rsidRPr="0097239C">
        <w:t xml:space="preserve"> </w:t>
      </w:r>
      <w:r w:rsidRPr="0097239C">
        <w:rPr>
          <w:rFonts w:hint="cs"/>
          <w:rtl/>
        </w:rPr>
        <w:t>כיום</w:t>
      </w:r>
      <w:r w:rsidRPr="0097239C">
        <w:t xml:space="preserve"> </w:t>
      </w:r>
      <w:r w:rsidRPr="0097239C">
        <w:rPr>
          <w:rFonts w:hint="cs"/>
          <w:rtl/>
        </w:rPr>
        <w:t>בעיקר</w:t>
      </w:r>
      <w:r w:rsidRPr="0097239C">
        <w:t xml:space="preserve"> </w:t>
      </w:r>
      <w:r w:rsidRPr="0097239C">
        <w:rPr>
          <w:rFonts w:hint="cs"/>
          <w:rtl/>
        </w:rPr>
        <w:t>על צרכני החשמל</w:t>
      </w:r>
      <w:r w:rsidRPr="0097239C">
        <w:t xml:space="preserve"> </w:t>
      </w:r>
      <w:r w:rsidRPr="0097239C">
        <w:rPr>
          <w:rFonts w:hint="cs"/>
          <w:rtl/>
        </w:rPr>
        <w:t>הגדולים. פריסת</w:t>
      </w:r>
      <w:r w:rsidRPr="0097239C">
        <w:t xml:space="preserve"> </w:t>
      </w:r>
      <w:r w:rsidRPr="0097239C">
        <w:rPr>
          <w:rFonts w:hint="cs"/>
          <w:rtl/>
        </w:rPr>
        <w:t>מונים חכמים</w:t>
      </w:r>
      <w:r w:rsidRPr="0097239C">
        <w:t xml:space="preserve"> </w:t>
      </w:r>
      <w:r w:rsidRPr="0097239C">
        <w:rPr>
          <w:rFonts w:hint="cs"/>
          <w:rtl/>
        </w:rPr>
        <w:t>בקרב</w:t>
      </w:r>
      <w:r w:rsidRPr="0097239C">
        <w:t xml:space="preserve"> </w:t>
      </w:r>
      <w:r w:rsidRPr="0097239C">
        <w:rPr>
          <w:rFonts w:hint="cs"/>
          <w:rtl/>
        </w:rPr>
        <w:t>צרכנים</w:t>
      </w:r>
      <w:r w:rsidRPr="0097239C">
        <w:t xml:space="preserve"> </w:t>
      </w:r>
      <w:r w:rsidRPr="0097239C">
        <w:rPr>
          <w:rFonts w:hint="cs"/>
          <w:rtl/>
        </w:rPr>
        <w:t>נוספים</w:t>
      </w:r>
      <w:r w:rsidRPr="0097239C">
        <w:t xml:space="preserve"> </w:t>
      </w:r>
      <w:r w:rsidRPr="0097239C">
        <w:rPr>
          <w:rFonts w:hint="cs"/>
          <w:rtl/>
        </w:rPr>
        <w:t>תאפשר</w:t>
      </w:r>
      <w:r w:rsidRPr="0097239C">
        <w:t xml:space="preserve"> </w:t>
      </w:r>
      <w:r w:rsidRPr="0097239C">
        <w:rPr>
          <w:rFonts w:hint="cs"/>
          <w:rtl/>
        </w:rPr>
        <w:t>בין</w:t>
      </w:r>
      <w:r w:rsidRPr="0097239C">
        <w:t xml:space="preserve"> </w:t>
      </w:r>
      <w:r w:rsidRPr="0097239C">
        <w:rPr>
          <w:rFonts w:hint="cs"/>
          <w:rtl/>
        </w:rPr>
        <w:t>היתר</w:t>
      </w:r>
      <w:r w:rsidRPr="0097239C">
        <w:t xml:space="preserve"> </w:t>
      </w:r>
      <w:r w:rsidRPr="0097239C">
        <w:rPr>
          <w:rFonts w:hint="cs"/>
          <w:rtl/>
        </w:rPr>
        <w:t>החלת תעריפים</w:t>
      </w:r>
      <w:r w:rsidRPr="0097239C">
        <w:t xml:space="preserve"> </w:t>
      </w:r>
      <w:r w:rsidRPr="0097239C">
        <w:rPr>
          <w:rFonts w:hint="cs"/>
          <w:rtl/>
        </w:rPr>
        <w:t>כאלה</w:t>
      </w:r>
      <w:r w:rsidRPr="0097239C">
        <w:t xml:space="preserve"> </w:t>
      </w:r>
      <w:r w:rsidRPr="0097239C">
        <w:rPr>
          <w:rFonts w:hint="cs"/>
          <w:rtl/>
        </w:rPr>
        <w:t>על צרכנים</w:t>
      </w:r>
      <w:r w:rsidRPr="0097239C">
        <w:t xml:space="preserve"> </w:t>
      </w:r>
      <w:r w:rsidRPr="0097239C">
        <w:rPr>
          <w:rFonts w:hint="cs"/>
          <w:rtl/>
        </w:rPr>
        <w:t>רבים</w:t>
      </w:r>
      <w:r w:rsidRPr="0097239C">
        <w:t xml:space="preserve"> </w:t>
      </w:r>
      <w:r w:rsidRPr="0097239C">
        <w:rPr>
          <w:rFonts w:hint="cs"/>
          <w:rtl/>
        </w:rPr>
        <w:t>יותר, ובהם צרכנים ביתיים.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על</w:t>
      </w:r>
      <w:r w:rsidRPr="0097239C">
        <w:t xml:space="preserve"> </w:t>
      </w:r>
      <w:r w:rsidRPr="0097239C">
        <w:rPr>
          <w:rFonts w:hint="cs"/>
          <w:rtl/>
        </w:rPr>
        <w:t>פי</w:t>
      </w:r>
      <w:r w:rsidRPr="0097239C">
        <w:t xml:space="preserve"> </w:t>
      </w:r>
      <w:r w:rsidRPr="0097239C">
        <w:rPr>
          <w:rFonts w:hint="cs"/>
          <w:rtl/>
        </w:rPr>
        <w:t>אומדן</w:t>
      </w:r>
      <w:r w:rsidRPr="0097239C">
        <w:t xml:space="preserve"> </w:t>
      </w:r>
      <w:r w:rsidRPr="0097239C">
        <w:rPr>
          <w:rFonts w:hint="cs"/>
          <w:rtl/>
        </w:rPr>
        <w:t>תיאורטי</w:t>
      </w:r>
      <w:r w:rsidRPr="0097239C">
        <w:t xml:space="preserve"> </w:t>
      </w:r>
      <w:r w:rsidRPr="0097239C">
        <w:rPr>
          <w:rFonts w:hint="cs"/>
          <w:rtl/>
        </w:rPr>
        <w:t>שביצע</w:t>
      </w:r>
      <w:r w:rsidRPr="0097239C">
        <w:t xml:space="preserve"> </w:t>
      </w:r>
      <w:r w:rsidRPr="0097239C">
        <w:rPr>
          <w:rFonts w:hint="cs"/>
          <w:rtl/>
        </w:rPr>
        <w:t>משרד</w:t>
      </w:r>
      <w:r w:rsidRPr="0097239C">
        <w:t xml:space="preserve"> </w:t>
      </w:r>
      <w:r w:rsidRPr="0097239C">
        <w:rPr>
          <w:rFonts w:hint="cs"/>
          <w:rtl/>
        </w:rPr>
        <w:t>מבקר</w:t>
      </w:r>
      <w:r w:rsidRPr="0097239C">
        <w:t xml:space="preserve"> </w:t>
      </w:r>
      <w:r w:rsidRPr="0097239C">
        <w:rPr>
          <w:rFonts w:hint="cs"/>
          <w:rtl/>
        </w:rPr>
        <w:t>המדינה</w:t>
      </w:r>
      <w:r>
        <w:rPr>
          <w:vertAlign w:val="superscript"/>
          <w:rtl/>
        </w:rPr>
        <w:footnoteReference w:id="71"/>
      </w:r>
      <w:r w:rsidRPr="0097239C">
        <w:rPr>
          <w:rFonts w:hint="cs"/>
          <w:rtl/>
        </w:rPr>
        <w:t>,</w:t>
      </w:r>
      <w:r w:rsidRPr="0097239C">
        <w:t xml:space="preserve"> </w:t>
      </w:r>
      <w:r w:rsidRPr="0097239C">
        <w:rPr>
          <w:rFonts w:hint="cs"/>
          <w:rtl/>
        </w:rPr>
        <w:t>פוטנציאל</w:t>
      </w:r>
      <w:r w:rsidRPr="0097239C">
        <w:t xml:space="preserve"> </w:t>
      </w:r>
      <w:r w:rsidRPr="0097239C">
        <w:rPr>
          <w:rFonts w:hint="cs"/>
          <w:rtl/>
        </w:rPr>
        <w:t>החיסכון</w:t>
      </w:r>
      <w:r w:rsidRPr="0097239C">
        <w:t xml:space="preserve"> </w:t>
      </w:r>
      <w:r w:rsidRPr="0097239C">
        <w:rPr>
          <w:rFonts w:hint="cs"/>
          <w:rtl/>
        </w:rPr>
        <w:t>מהסטה של</w:t>
      </w:r>
      <w:r w:rsidRPr="0097239C">
        <w:t>10%</w:t>
      </w:r>
      <w:r w:rsidR="00C603CF">
        <w:t xml:space="preserve"> </w:t>
      </w:r>
      <w:r w:rsidRPr="0097239C">
        <w:rPr>
          <w:rFonts w:hint="cs"/>
          <w:rtl/>
        </w:rPr>
        <w:t>מהביקוש</w:t>
      </w:r>
      <w:r w:rsidRPr="0097239C">
        <w:t xml:space="preserve"> </w:t>
      </w:r>
      <w:r w:rsidRPr="0097239C">
        <w:rPr>
          <w:rFonts w:hint="cs"/>
          <w:rtl/>
        </w:rPr>
        <w:t>לחשמל</w:t>
      </w:r>
      <w:r w:rsidRPr="0097239C">
        <w:t xml:space="preserve"> </w:t>
      </w:r>
      <w:r w:rsidRPr="0097239C">
        <w:rPr>
          <w:rFonts w:hint="cs"/>
          <w:rtl/>
        </w:rPr>
        <w:t>בשעות</w:t>
      </w:r>
      <w:r w:rsidRPr="0097239C">
        <w:t xml:space="preserve"> </w:t>
      </w:r>
      <w:r w:rsidRPr="0097239C">
        <w:rPr>
          <w:rFonts w:hint="cs"/>
          <w:rtl/>
        </w:rPr>
        <w:t>השיא</w:t>
      </w:r>
      <w:r w:rsidRPr="0097239C">
        <w:t xml:space="preserve"> </w:t>
      </w:r>
      <w:r w:rsidRPr="0097239C">
        <w:rPr>
          <w:rFonts w:hint="cs"/>
          <w:rtl/>
        </w:rPr>
        <w:t>הוא</w:t>
      </w:r>
      <w:r w:rsidRPr="0097239C">
        <w:t xml:space="preserve"> </w:t>
      </w:r>
      <w:r w:rsidRPr="0097239C">
        <w:rPr>
          <w:rFonts w:hint="cs"/>
          <w:rtl/>
        </w:rPr>
        <w:t>עד כ-8.1 מיליארד</w:t>
      </w:r>
      <w:r w:rsidRPr="0097239C">
        <w:t xml:space="preserve"> </w:t>
      </w:r>
      <w:r w:rsidRPr="0097239C">
        <w:rPr>
          <w:rFonts w:hint="cs"/>
          <w:rtl/>
        </w:rPr>
        <w:t>ש</w:t>
      </w:r>
      <w:r w:rsidRPr="0097239C">
        <w:t>"</w:t>
      </w:r>
      <w:r w:rsidRPr="0097239C">
        <w:rPr>
          <w:rFonts w:hint="cs"/>
          <w:rtl/>
        </w:rPr>
        <w:t>ח</w:t>
      </w:r>
      <w:r w:rsidRPr="0097239C">
        <w:t xml:space="preserve"> </w:t>
      </w:r>
      <w:r w:rsidRPr="0097239C">
        <w:rPr>
          <w:rFonts w:hint="cs"/>
          <w:rtl/>
        </w:rPr>
        <w:t>בשנים 2011 - 2027, ונובע</w:t>
      </w:r>
      <w:r w:rsidRPr="0097239C">
        <w:t xml:space="preserve"> </w:t>
      </w:r>
      <w:r w:rsidRPr="0097239C">
        <w:rPr>
          <w:rFonts w:hint="cs"/>
          <w:rtl/>
        </w:rPr>
        <w:t>מדחיית</w:t>
      </w:r>
      <w:r w:rsidRPr="0097239C">
        <w:t xml:space="preserve"> </w:t>
      </w:r>
      <w:r w:rsidRPr="0097239C">
        <w:rPr>
          <w:rFonts w:hint="cs"/>
          <w:rtl/>
        </w:rPr>
        <w:t>השקעות</w:t>
      </w:r>
      <w:r w:rsidRPr="0097239C">
        <w:t xml:space="preserve"> </w:t>
      </w:r>
      <w:r w:rsidRPr="0097239C">
        <w:rPr>
          <w:rFonts w:hint="cs"/>
          <w:rtl/>
        </w:rPr>
        <w:t>בהקמת</w:t>
      </w:r>
      <w:r w:rsidRPr="0097239C">
        <w:t xml:space="preserve"> </w:t>
      </w:r>
      <w:r w:rsidRPr="0097239C">
        <w:rPr>
          <w:rFonts w:hint="cs"/>
          <w:rtl/>
        </w:rPr>
        <w:t>תחנות</w:t>
      </w:r>
      <w:r w:rsidRPr="0097239C">
        <w:t xml:space="preserve"> </w:t>
      </w:r>
      <w:r w:rsidRPr="0097239C">
        <w:rPr>
          <w:rFonts w:hint="cs"/>
          <w:rtl/>
        </w:rPr>
        <w:t>חדשות</w:t>
      </w:r>
      <w:r w:rsidRPr="0097239C">
        <w:t xml:space="preserve"> </w:t>
      </w:r>
      <w:r w:rsidRPr="0097239C">
        <w:rPr>
          <w:rFonts w:hint="cs"/>
          <w:rtl/>
        </w:rPr>
        <w:t>ומהפחתה</w:t>
      </w:r>
      <w:r w:rsidRPr="0097239C">
        <w:t xml:space="preserve"> </w:t>
      </w:r>
      <w:r w:rsidRPr="0097239C">
        <w:rPr>
          <w:rFonts w:hint="cs"/>
          <w:rtl/>
        </w:rPr>
        <w:t>בעלות תחזוקתן</w:t>
      </w:r>
      <w:r w:rsidRPr="0097239C">
        <w:t xml:space="preserve"> </w:t>
      </w:r>
      <w:r w:rsidRPr="0097239C">
        <w:rPr>
          <w:rFonts w:hint="cs"/>
          <w:rtl/>
        </w:rPr>
        <w:t>של</w:t>
      </w:r>
      <w:r w:rsidRPr="0097239C">
        <w:t xml:space="preserve"> </w:t>
      </w:r>
      <w:r w:rsidRPr="0097239C">
        <w:rPr>
          <w:rFonts w:hint="cs"/>
          <w:rtl/>
        </w:rPr>
        <w:t>תחנות כוח.</w:t>
      </w:r>
    </w:p>
    <w:p w:rsidR="0097239C" w:rsidRPr="0097239C" w:rsidP="00C603CF">
      <w:pPr>
        <w:pStyle w:val="a"/>
        <w:spacing w:line="269" w:lineRule="auto"/>
        <w:rPr>
          <w:rtl/>
        </w:rPr>
      </w:pPr>
    </w:p>
    <w:p w:rsidR="0097239C" w:rsidP="00C603CF">
      <w:pPr>
        <w:spacing w:line="269" w:lineRule="auto"/>
        <w:rPr>
          <w:rtl/>
        </w:rPr>
      </w:pPr>
      <w:r w:rsidRPr="0097239C">
        <w:rPr>
          <w:rFonts w:hint="cs"/>
          <w:rtl/>
        </w:rPr>
        <w:t>משרד מבקר המדינה העיר למשרד</w:t>
      </w:r>
      <w:r w:rsidRPr="0097239C">
        <w:t xml:space="preserve"> </w:t>
      </w:r>
      <w:r w:rsidRPr="0097239C">
        <w:rPr>
          <w:rFonts w:hint="cs"/>
          <w:rtl/>
        </w:rPr>
        <w:t>האנרגייה</w:t>
      </w:r>
      <w:r>
        <w:rPr>
          <w:vertAlign w:val="superscript"/>
          <w:rtl/>
        </w:rPr>
        <w:footnoteReference w:id="72"/>
      </w:r>
      <w:r w:rsidRPr="0097239C">
        <w:rPr>
          <w:rFonts w:hint="cs"/>
          <w:rtl/>
        </w:rPr>
        <w:t xml:space="preserve"> על שלא</w:t>
      </w:r>
      <w:r w:rsidRPr="0097239C">
        <w:t xml:space="preserve"> </w:t>
      </w:r>
      <w:r w:rsidRPr="0097239C">
        <w:rPr>
          <w:rFonts w:hint="cs"/>
          <w:rtl/>
        </w:rPr>
        <w:t>יישם</w:t>
      </w:r>
      <w:r w:rsidRPr="0097239C">
        <w:t xml:space="preserve"> </w:t>
      </w:r>
      <w:r w:rsidRPr="0097239C">
        <w:rPr>
          <w:rFonts w:hint="cs"/>
          <w:rtl/>
        </w:rPr>
        <w:t>את</w:t>
      </w:r>
      <w:r w:rsidRPr="0097239C">
        <w:t xml:space="preserve"> </w:t>
      </w:r>
      <w:r w:rsidRPr="0097239C">
        <w:rPr>
          <w:rFonts w:hint="cs"/>
          <w:rtl/>
        </w:rPr>
        <w:t>המוטל</w:t>
      </w:r>
      <w:r w:rsidRPr="0097239C">
        <w:t xml:space="preserve"> </w:t>
      </w:r>
      <w:r w:rsidRPr="0097239C">
        <w:rPr>
          <w:rFonts w:hint="cs"/>
          <w:rtl/>
        </w:rPr>
        <w:t>עליו</w:t>
      </w:r>
      <w:r w:rsidRPr="0097239C">
        <w:t xml:space="preserve"> </w:t>
      </w:r>
      <w:r w:rsidRPr="0097239C">
        <w:rPr>
          <w:rFonts w:hint="cs"/>
          <w:rtl/>
        </w:rPr>
        <w:t>בהחלטות הממשלה</w:t>
      </w:r>
      <w:r w:rsidRPr="0097239C">
        <w:t xml:space="preserve"> </w:t>
      </w:r>
      <w:r w:rsidRPr="0097239C">
        <w:rPr>
          <w:rFonts w:hint="cs"/>
          <w:rtl/>
        </w:rPr>
        <w:t>מהשנים</w:t>
      </w:r>
      <w:r w:rsidR="00C87287">
        <w:rPr>
          <w:rFonts w:hint="cs"/>
          <w:rtl/>
        </w:rPr>
        <w:t xml:space="preserve"> 2010</w:t>
      </w:r>
      <w:r w:rsidRPr="0097239C">
        <w:rPr>
          <w:rFonts w:hint="cs"/>
          <w:rtl/>
        </w:rPr>
        <w:t xml:space="preserve"> </w:t>
      </w:r>
      <w:r w:rsidR="00C87287">
        <w:rPr>
          <w:rFonts w:hint="cs"/>
          <w:rtl/>
        </w:rPr>
        <w:t>ו</w:t>
      </w:r>
      <w:r w:rsidRPr="0097239C">
        <w:rPr>
          <w:rFonts w:hint="cs"/>
          <w:rtl/>
        </w:rPr>
        <w:t>-2013, ולא גיבש</w:t>
      </w:r>
      <w:r w:rsidRPr="0097239C">
        <w:t xml:space="preserve"> </w:t>
      </w:r>
      <w:r w:rsidRPr="0097239C">
        <w:rPr>
          <w:rFonts w:hint="cs"/>
          <w:rtl/>
        </w:rPr>
        <w:t>המלצות</w:t>
      </w:r>
      <w:r w:rsidRPr="0097239C">
        <w:t xml:space="preserve"> </w:t>
      </w:r>
      <w:r w:rsidRPr="0097239C">
        <w:rPr>
          <w:rFonts w:hint="cs"/>
          <w:rtl/>
        </w:rPr>
        <w:t>שיאפשרו</w:t>
      </w:r>
      <w:r w:rsidRPr="0097239C">
        <w:t xml:space="preserve"> </w:t>
      </w:r>
      <w:r w:rsidRPr="0097239C">
        <w:rPr>
          <w:rFonts w:hint="cs"/>
          <w:rtl/>
        </w:rPr>
        <w:t>להכין</w:t>
      </w:r>
      <w:r w:rsidRPr="0097239C">
        <w:t xml:space="preserve"> </w:t>
      </w:r>
      <w:r w:rsidRPr="0097239C">
        <w:rPr>
          <w:rFonts w:hint="cs"/>
          <w:rtl/>
        </w:rPr>
        <w:t>תוכנית</w:t>
      </w:r>
      <w:r w:rsidRPr="0097239C">
        <w:t xml:space="preserve"> </w:t>
      </w:r>
      <w:r w:rsidRPr="0097239C">
        <w:rPr>
          <w:rFonts w:hint="cs"/>
          <w:rtl/>
        </w:rPr>
        <w:t>ממשלתית</w:t>
      </w:r>
      <w:r w:rsidRPr="0097239C">
        <w:t xml:space="preserve"> </w:t>
      </w:r>
      <w:r w:rsidRPr="0097239C">
        <w:rPr>
          <w:rFonts w:hint="cs"/>
          <w:rtl/>
        </w:rPr>
        <w:t>ליישום המיזם "מנייה</w:t>
      </w:r>
      <w:r w:rsidRPr="0097239C">
        <w:t xml:space="preserve"> </w:t>
      </w:r>
      <w:r w:rsidRPr="0097239C">
        <w:rPr>
          <w:rFonts w:hint="cs"/>
          <w:rtl/>
        </w:rPr>
        <w:t>חכמה",</w:t>
      </w:r>
      <w:r w:rsidRPr="0097239C">
        <w:t xml:space="preserve"> </w:t>
      </w:r>
      <w:r w:rsidRPr="0097239C">
        <w:rPr>
          <w:rFonts w:hint="cs"/>
          <w:rtl/>
        </w:rPr>
        <w:t>אף</w:t>
      </w:r>
      <w:r w:rsidRPr="0097239C">
        <w:t xml:space="preserve"> </w:t>
      </w:r>
      <w:r w:rsidRPr="0097239C">
        <w:rPr>
          <w:rFonts w:hint="cs"/>
          <w:rtl/>
        </w:rPr>
        <w:t>שיישום</w:t>
      </w:r>
      <w:r w:rsidRPr="0097239C">
        <w:t xml:space="preserve"> </w:t>
      </w:r>
      <w:r w:rsidRPr="0097239C">
        <w:rPr>
          <w:rFonts w:hint="cs"/>
          <w:rtl/>
        </w:rPr>
        <w:t>כאמור</w:t>
      </w:r>
      <w:r w:rsidRPr="0097239C">
        <w:t xml:space="preserve"> </w:t>
      </w:r>
      <w:r w:rsidRPr="0097239C">
        <w:rPr>
          <w:rFonts w:hint="cs"/>
          <w:rtl/>
        </w:rPr>
        <w:t>עשוי</w:t>
      </w:r>
      <w:r w:rsidRPr="0097239C">
        <w:t xml:space="preserve"> </w:t>
      </w:r>
      <w:r w:rsidRPr="0097239C">
        <w:rPr>
          <w:rFonts w:hint="cs"/>
          <w:rtl/>
        </w:rPr>
        <w:t>לתרום</w:t>
      </w:r>
      <w:r w:rsidRPr="0097239C">
        <w:t xml:space="preserve"> </w:t>
      </w:r>
      <w:r w:rsidRPr="0097239C">
        <w:rPr>
          <w:rFonts w:hint="cs"/>
          <w:rtl/>
        </w:rPr>
        <w:t>לקידום</w:t>
      </w:r>
      <w:r w:rsidRPr="0097239C">
        <w:t xml:space="preserve"> </w:t>
      </w:r>
      <w:r w:rsidRPr="0097239C">
        <w:rPr>
          <w:rFonts w:hint="cs"/>
          <w:rtl/>
        </w:rPr>
        <w:t>יעדי</w:t>
      </w:r>
      <w:r w:rsidRPr="0097239C">
        <w:t xml:space="preserve"> </w:t>
      </w:r>
      <w:r w:rsidRPr="0097239C">
        <w:rPr>
          <w:rFonts w:hint="cs"/>
          <w:rtl/>
        </w:rPr>
        <w:t>הממשלה</w:t>
      </w:r>
      <w:r w:rsidRPr="0097239C">
        <w:t xml:space="preserve"> </w:t>
      </w:r>
      <w:r w:rsidRPr="0097239C">
        <w:rPr>
          <w:rFonts w:hint="cs"/>
          <w:rtl/>
        </w:rPr>
        <w:t>בנוגע לצמצום ביקושים,</w:t>
      </w:r>
      <w:r w:rsidRPr="0097239C">
        <w:t xml:space="preserve"> </w:t>
      </w:r>
      <w:r w:rsidRPr="0097239C">
        <w:rPr>
          <w:rFonts w:hint="cs"/>
          <w:rtl/>
        </w:rPr>
        <w:t>התייעלות</w:t>
      </w:r>
      <w:r w:rsidRPr="0097239C">
        <w:t xml:space="preserve"> </w:t>
      </w:r>
      <w:r w:rsidRPr="0097239C">
        <w:rPr>
          <w:rFonts w:hint="cs"/>
          <w:rtl/>
        </w:rPr>
        <w:t>אנרגטית</w:t>
      </w:r>
      <w:r w:rsidRPr="0097239C">
        <w:t xml:space="preserve"> </w:t>
      </w:r>
      <w:r w:rsidRPr="0097239C">
        <w:rPr>
          <w:rFonts w:hint="cs"/>
          <w:rtl/>
        </w:rPr>
        <w:t>והפחתת</w:t>
      </w:r>
      <w:r w:rsidRPr="0097239C">
        <w:t xml:space="preserve"> </w:t>
      </w:r>
      <w:r w:rsidRPr="0097239C">
        <w:rPr>
          <w:rFonts w:hint="cs"/>
          <w:rtl/>
        </w:rPr>
        <w:t>פליטות.</w:t>
      </w:r>
    </w:p>
    <w:p w:rsidR="0097239C" w:rsidRPr="0097239C" w:rsidP="00C603CF">
      <w:pPr>
        <w:pStyle w:val="a"/>
        <w:spacing w:line="269" w:lineRule="auto"/>
        <w:rPr>
          <w:rtl/>
        </w:rPr>
      </w:pPr>
    </w:p>
    <w:p w:rsidR="0097239C" w:rsidP="00C603CF">
      <w:pPr>
        <w:spacing w:line="269" w:lineRule="auto"/>
        <w:rPr>
          <w:rtl/>
        </w:rPr>
      </w:pPr>
      <w:r w:rsidRPr="0097239C">
        <w:rPr>
          <w:rFonts w:hint="cs"/>
          <w:rtl/>
        </w:rPr>
        <w:t>עוד העיר משרד מבקר המדינה כי נוכח</w:t>
      </w:r>
      <w:r w:rsidRPr="0097239C">
        <w:t xml:space="preserve"> </w:t>
      </w:r>
      <w:r w:rsidRPr="0097239C">
        <w:rPr>
          <w:rFonts w:hint="cs"/>
          <w:rtl/>
        </w:rPr>
        <w:t>התועלת</w:t>
      </w:r>
      <w:r w:rsidRPr="0097239C">
        <w:t xml:space="preserve"> </w:t>
      </w:r>
      <w:r w:rsidRPr="0097239C">
        <w:rPr>
          <w:rFonts w:hint="cs"/>
          <w:rtl/>
        </w:rPr>
        <w:t>הרבה</w:t>
      </w:r>
      <w:r w:rsidRPr="0097239C">
        <w:t xml:space="preserve"> </w:t>
      </w:r>
      <w:r w:rsidRPr="0097239C">
        <w:rPr>
          <w:rFonts w:hint="cs"/>
          <w:rtl/>
        </w:rPr>
        <w:t>הגלומה ב"מונים</w:t>
      </w:r>
      <w:r w:rsidRPr="0097239C">
        <w:t xml:space="preserve"> </w:t>
      </w:r>
      <w:r w:rsidRPr="0097239C">
        <w:rPr>
          <w:rFonts w:hint="cs"/>
          <w:rtl/>
        </w:rPr>
        <w:t>החכמים"</w:t>
      </w:r>
      <w:r w:rsidRPr="0097239C">
        <w:t xml:space="preserve"> </w:t>
      </w:r>
      <w:r w:rsidRPr="0097239C">
        <w:rPr>
          <w:rFonts w:hint="cs"/>
          <w:rtl/>
        </w:rPr>
        <w:t>והיתרונות התפעוליים,</w:t>
      </w:r>
      <w:r w:rsidRPr="0097239C">
        <w:t xml:space="preserve"> </w:t>
      </w:r>
      <w:r w:rsidRPr="0097239C">
        <w:rPr>
          <w:rFonts w:hint="cs"/>
          <w:rtl/>
        </w:rPr>
        <w:t>הכלכליים והסביבתיים</w:t>
      </w:r>
      <w:r w:rsidRPr="0097239C">
        <w:t xml:space="preserve"> </w:t>
      </w:r>
      <w:r w:rsidRPr="0097239C">
        <w:rPr>
          <w:rFonts w:hint="cs"/>
          <w:rtl/>
        </w:rPr>
        <w:t>שתקנה</w:t>
      </w:r>
      <w:r w:rsidRPr="0097239C">
        <w:t xml:space="preserve"> </w:t>
      </w:r>
      <w:r w:rsidRPr="0097239C">
        <w:rPr>
          <w:rFonts w:hint="cs"/>
          <w:rtl/>
        </w:rPr>
        <w:t>התקנתם, ראוי</w:t>
      </w:r>
      <w:r w:rsidRPr="0097239C">
        <w:t xml:space="preserve"> </w:t>
      </w:r>
      <w:r w:rsidRPr="0097239C">
        <w:rPr>
          <w:rFonts w:hint="cs"/>
          <w:rtl/>
        </w:rPr>
        <w:t>כי</w:t>
      </w:r>
      <w:r w:rsidRPr="0097239C">
        <w:t xml:space="preserve"> </w:t>
      </w:r>
      <w:r w:rsidRPr="0097239C">
        <w:rPr>
          <w:rFonts w:hint="cs"/>
          <w:rtl/>
        </w:rPr>
        <w:t>משרד</w:t>
      </w:r>
      <w:r w:rsidRPr="0097239C">
        <w:t xml:space="preserve"> </w:t>
      </w:r>
      <w:r w:rsidRPr="0097239C">
        <w:rPr>
          <w:rFonts w:hint="cs"/>
          <w:rtl/>
        </w:rPr>
        <w:t>האנרגייה</w:t>
      </w:r>
      <w:r w:rsidRPr="0097239C">
        <w:t xml:space="preserve"> </w:t>
      </w:r>
      <w:r w:rsidRPr="0097239C">
        <w:rPr>
          <w:rFonts w:hint="cs"/>
          <w:rtl/>
        </w:rPr>
        <w:t>ורשות</w:t>
      </w:r>
      <w:r w:rsidRPr="0097239C">
        <w:t xml:space="preserve"> </w:t>
      </w:r>
      <w:r w:rsidRPr="0097239C">
        <w:rPr>
          <w:rFonts w:hint="cs"/>
          <w:rtl/>
        </w:rPr>
        <w:t>החשמל יבחנו</w:t>
      </w:r>
      <w:r w:rsidRPr="0097239C">
        <w:t xml:space="preserve"> </w:t>
      </w:r>
      <w:r w:rsidRPr="0097239C">
        <w:rPr>
          <w:rFonts w:hint="cs"/>
          <w:rtl/>
        </w:rPr>
        <w:t>בהקדם</w:t>
      </w:r>
      <w:r w:rsidRPr="0097239C">
        <w:t xml:space="preserve"> </w:t>
      </w:r>
      <w:r w:rsidRPr="0097239C">
        <w:rPr>
          <w:rFonts w:hint="cs"/>
          <w:rtl/>
        </w:rPr>
        <w:t>את</w:t>
      </w:r>
      <w:r w:rsidRPr="0097239C">
        <w:t xml:space="preserve"> </w:t>
      </w:r>
      <w:r w:rsidRPr="0097239C">
        <w:rPr>
          <w:rFonts w:hint="cs"/>
          <w:rtl/>
        </w:rPr>
        <w:t>הכדאיות</w:t>
      </w:r>
      <w:r w:rsidRPr="0097239C">
        <w:t xml:space="preserve"> </w:t>
      </w:r>
      <w:r w:rsidRPr="0097239C">
        <w:rPr>
          <w:rFonts w:hint="cs"/>
          <w:rtl/>
        </w:rPr>
        <w:t>הכלכלית</w:t>
      </w:r>
      <w:r w:rsidRPr="0097239C">
        <w:t xml:space="preserve"> </w:t>
      </w:r>
      <w:r w:rsidRPr="0097239C">
        <w:rPr>
          <w:rFonts w:hint="cs"/>
          <w:rtl/>
        </w:rPr>
        <w:t>של</w:t>
      </w:r>
      <w:r w:rsidRPr="0097239C">
        <w:t xml:space="preserve"> </w:t>
      </w:r>
      <w:r w:rsidRPr="0097239C">
        <w:rPr>
          <w:rFonts w:hint="cs"/>
          <w:rtl/>
        </w:rPr>
        <w:t>מיזם</w:t>
      </w:r>
      <w:r w:rsidRPr="0097239C">
        <w:t xml:space="preserve"> </w:t>
      </w:r>
      <w:r w:rsidRPr="0097239C">
        <w:rPr>
          <w:rFonts w:hint="cs"/>
          <w:rtl/>
        </w:rPr>
        <w:t>"מנייה</w:t>
      </w:r>
      <w:r w:rsidRPr="0097239C">
        <w:t xml:space="preserve"> </w:t>
      </w:r>
      <w:r w:rsidRPr="0097239C">
        <w:rPr>
          <w:rFonts w:hint="cs"/>
          <w:rtl/>
        </w:rPr>
        <w:t>חכמה", יגבשו</w:t>
      </w:r>
      <w:r w:rsidRPr="0097239C">
        <w:t xml:space="preserve"> </w:t>
      </w:r>
      <w:r w:rsidRPr="0097239C">
        <w:rPr>
          <w:rFonts w:hint="cs"/>
          <w:rtl/>
        </w:rPr>
        <w:t xml:space="preserve">בהתאם לכך </w:t>
      </w:r>
      <w:r w:rsidRPr="0097239C">
        <w:rPr>
          <w:rFonts w:hint="cs"/>
          <w:rtl/>
        </w:rPr>
        <w:t>תוכנית</w:t>
      </w:r>
      <w:r w:rsidRPr="0097239C">
        <w:rPr>
          <w:rFonts w:hint="cs"/>
          <w:rtl/>
        </w:rPr>
        <w:t xml:space="preserve"> להטמעת</w:t>
      </w:r>
      <w:r w:rsidRPr="0097239C">
        <w:t xml:space="preserve"> </w:t>
      </w:r>
      <w:r w:rsidRPr="0097239C">
        <w:rPr>
          <w:rFonts w:hint="cs"/>
          <w:rtl/>
        </w:rPr>
        <w:t>השימוש</w:t>
      </w:r>
      <w:r w:rsidRPr="0097239C">
        <w:t xml:space="preserve"> </w:t>
      </w:r>
      <w:r w:rsidRPr="0097239C">
        <w:rPr>
          <w:rFonts w:hint="cs"/>
          <w:rtl/>
        </w:rPr>
        <w:t>במונים</w:t>
      </w:r>
      <w:r w:rsidRPr="0097239C">
        <w:t xml:space="preserve"> </w:t>
      </w:r>
      <w:r w:rsidRPr="0097239C">
        <w:rPr>
          <w:rFonts w:hint="cs"/>
          <w:rtl/>
        </w:rPr>
        <w:t>חכמים</w:t>
      </w:r>
      <w:r w:rsidRPr="0097239C">
        <w:t xml:space="preserve"> </w:t>
      </w:r>
      <w:r w:rsidRPr="0097239C">
        <w:rPr>
          <w:rFonts w:hint="cs"/>
          <w:rtl/>
        </w:rPr>
        <w:t>ולזיהוי</w:t>
      </w:r>
      <w:r w:rsidRPr="0097239C">
        <w:t xml:space="preserve"> </w:t>
      </w:r>
      <w:r w:rsidRPr="0097239C">
        <w:rPr>
          <w:rFonts w:hint="cs"/>
          <w:rtl/>
        </w:rPr>
        <w:t>החסמים</w:t>
      </w:r>
      <w:r w:rsidRPr="0097239C">
        <w:t xml:space="preserve"> </w:t>
      </w:r>
      <w:r w:rsidRPr="0097239C">
        <w:rPr>
          <w:rFonts w:hint="cs"/>
          <w:rtl/>
        </w:rPr>
        <w:t>המקשים</w:t>
      </w:r>
      <w:r w:rsidRPr="0097239C">
        <w:t xml:space="preserve"> </w:t>
      </w:r>
      <w:r w:rsidRPr="0097239C">
        <w:rPr>
          <w:rFonts w:hint="cs"/>
          <w:rtl/>
        </w:rPr>
        <w:t>לממש את</w:t>
      </w:r>
      <w:r w:rsidRPr="0097239C">
        <w:t xml:space="preserve"> </w:t>
      </w:r>
      <w:r w:rsidRPr="0097239C">
        <w:rPr>
          <w:rFonts w:hint="cs"/>
          <w:rtl/>
        </w:rPr>
        <w:t>המיזם,</w:t>
      </w:r>
      <w:r w:rsidRPr="0097239C">
        <w:t xml:space="preserve"> </w:t>
      </w:r>
      <w:r w:rsidRPr="0097239C">
        <w:rPr>
          <w:rFonts w:hint="cs"/>
          <w:rtl/>
        </w:rPr>
        <w:t>ויגדירו</w:t>
      </w:r>
      <w:r w:rsidRPr="0097239C">
        <w:t xml:space="preserve"> </w:t>
      </w:r>
      <w:r w:rsidRPr="0097239C">
        <w:rPr>
          <w:rFonts w:hint="cs"/>
          <w:rtl/>
        </w:rPr>
        <w:t>יעדים ולוחות</w:t>
      </w:r>
      <w:r w:rsidRPr="0097239C">
        <w:t xml:space="preserve"> </w:t>
      </w:r>
      <w:r w:rsidRPr="0097239C">
        <w:rPr>
          <w:rFonts w:hint="cs"/>
          <w:rtl/>
        </w:rPr>
        <w:t>זמנים</w:t>
      </w:r>
      <w:r w:rsidRPr="0097239C">
        <w:t xml:space="preserve"> </w:t>
      </w:r>
      <w:r w:rsidRPr="0097239C">
        <w:rPr>
          <w:rFonts w:hint="cs"/>
          <w:rtl/>
        </w:rPr>
        <w:t>ליישומה</w:t>
      </w:r>
      <w:r w:rsidRPr="0097239C">
        <w:t>.</w:t>
      </w:r>
    </w:p>
    <w:p w:rsidR="0097239C" w:rsidRPr="0097239C" w:rsidP="00C603CF">
      <w:pPr>
        <w:pStyle w:val="a"/>
        <w:spacing w:line="269" w:lineRule="auto"/>
        <w:rPr>
          <w:rtl/>
        </w:rPr>
      </w:pPr>
    </w:p>
    <w:p w:rsidR="0097239C" w:rsidRPr="0097239C" w:rsidP="003F2044">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12</w:t>
      </w:r>
      <w:r w:rsidRPr="0097239C">
        <w:rPr>
          <w:b/>
          <w:bCs/>
          <w:rtl/>
        </w:rPr>
        <w:t>: שיעור פריסת "</w:t>
      </w:r>
      <w:r w:rsidRPr="0097239C">
        <w:rPr>
          <w:rFonts w:hint="eastAsia"/>
          <w:b/>
          <w:bCs/>
          <w:rtl/>
        </w:rPr>
        <w:t>מונים</w:t>
      </w:r>
      <w:r w:rsidRPr="0097239C">
        <w:rPr>
          <w:b/>
          <w:bCs/>
          <w:rtl/>
        </w:rPr>
        <w:t xml:space="preserve"> </w:t>
      </w:r>
      <w:r w:rsidRPr="0097239C">
        <w:rPr>
          <w:rFonts w:hint="eastAsia"/>
          <w:b/>
          <w:bCs/>
          <w:rtl/>
        </w:rPr>
        <w:t>חכמים</w:t>
      </w:r>
      <w:r w:rsidRPr="0097239C">
        <w:rPr>
          <w:b/>
          <w:bCs/>
          <w:rtl/>
        </w:rPr>
        <w:t>" במדינות האיחוד האירופ</w:t>
      </w:r>
      <w:r w:rsidRPr="0097239C">
        <w:rPr>
          <w:rFonts w:hint="eastAsia"/>
          <w:b/>
          <w:bCs/>
          <w:rtl/>
        </w:rPr>
        <w:t>י</w:t>
      </w:r>
      <w:r w:rsidRPr="0097239C">
        <w:rPr>
          <w:b/>
          <w:bCs/>
          <w:rtl/>
        </w:rPr>
        <w:t xml:space="preserve"> בשנת 2018</w:t>
      </w:r>
      <w:r>
        <w:rPr>
          <w:vertAlign w:val="superscript"/>
          <w:rtl/>
        </w:rPr>
        <w:footnoteReference w:id="73"/>
      </w:r>
    </w:p>
    <w:p w:rsidR="0097239C" w:rsidRPr="0097239C" w:rsidP="008A1C81">
      <w:pPr>
        <w:spacing w:before="240" w:after="240" w:line="269" w:lineRule="auto"/>
        <w:jc w:val="center"/>
      </w:pPr>
      <w:r>
        <w:rPr>
          <w:noProof/>
        </w:rPr>
        <w:drawing>
          <wp:inline distT="0" distB="0" distL="0" distR="0">
            <wp:extent cx="4325121" cy="2304293"/>
            <wp:effectExtent l="0" t="0" r="0" b="127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1300" name="energy-g-12.pn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04293"/>
                    </a:xfrm>
                    <a:prstGeom prst="rect">
                      <a:avLst/>
                    </a:prstGeom>
                  </pic:spPr>
                </pic:pic>
              </a:graphicData>
            </a:graphic>
          </wp:inline>
        </w:drawing>
      </w:r>
    </w:p>
    <w:p w:rsidR="0097239C" w:rsidRPr="00810E1E" w:rsidP="00C603CF">
      <w:pPr>
        <w:spacing w:line="269" w:lineRule="auto"/>
        <w:rPr>
          <w:sz w:val="22"/>
          <w:szCs w:val="22"/>
          <w:rtl/>
        </w:rPr>
      </w:pPr>
      <w:r w:rsidRPr="00810E1E">
        <w:rPr>
          <w:rFonts w:hint="eastAsia"/>
          <w:sz w:val="22"/>
          <w:szCs w:val="22"/>
          <w:rtl/>
        </w:rPr>
        <w:t>המקור</w:t>
      </w:r>
      <w:r w:rsidRPr="00810E1E">
        <w:rPr>
          <w:sz w:val="22"/>
          <w:szCs w:val="22"/>
          <w:rtl/>
        </w:rPr>
        <w:t xml:space="preserve">: </w:t>
      </w:r>
      <w:r w:rsidRPr="00810E1E">
        <w:rPr>
          <w:sz w:val="22"/>
          <w:szCs w:val="22"/>
        </w:rPr>
        <w:t>European smart metering benchmark, European commission DG energy (2019)</w:t>
      </w:r>
      <w:r w:rsidRPr="00810E1E">
        <w:rPr>
          <w:sz w:val="22"/>
          <w:szCs w:val="22"/>
          <w:rtl/>
        </w:rPr>
        <w:t xml:space="preserve">. </w:t>
      </w:r>
      <w:r w:rsidRPr="00810E1E">
        <w:rPr>
          <w:rFonts w:hint="cs"/>
          <w:sz w:val="22"/>
          <w:szCs w:val="22"/>
          <w:rtl/>
        </w:rPr>
        <w:t xml:space="preserve">הנתון לגבי ישראל התקבל </w:t>
      </w:r>
      <w:r w:rsidRPr="00810E1E">
        <w:rPr>
          <w:rFonts w:hint="cs"/>
          <w:sz w:val="22"/>
          <w:szCs w:val="22"/>
          <w:rtl/>
        </w:rPr>
        <w:t>מחח"י</w:t>
      </w:r>
      <w:r w:rsidRPr="00810E1E">
        <w:rPr>
          <w:rFonts w:hint="cs"/>
          <w:sz w:val="22"/>
          <w:szCs w:val="22"/>
          <w:rtl/>
        </w:rPr>
        <w:t>.</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מנתונים שהעבירה </w:t>
      </w:r>
      <w:r w:rsidRPr="0097239C">
        <w:rPr>
          <w:rFonts w:hint="cs"/>
          <w:rtl/>
        </w:rPr>
        <w:t>חח"י</w:t>
      </w:r>
      <w:r w:rsidRPr="0097239C">
        <w:rPr>
          <w:rFonts w:hint="cs"/>
          <w:rtl/>
        </w:rPr>
        <w:t xml:space="preserve"> למשרד מבקר המדינה בדצמבר 2019 עולה כי עד סוף שנת 2019 הותקנו בישראל 87,153 נקודות מנייה מרחוק, בין היתר בערים מודיעין, בנימינה, נתניה, באר שבע וירושלים; בתחנות כוח ואצל יצרני חשמל פרטיים; וכן אצל לקוחות בהסכמים מיוחדים. עוד עולה מאותם מסמכים כי </w:t>
      </w:r>
      <w:r w:rsidRPr="0097239C">
        <w:rPr>
          <w:rFonts w:hint="cs"/>
          <w:rtl/>
        </w:rPr>
        <w:t>חח"י</w:t>
      </w:r>
      <w:r w:rsidRPr="0097239C">
        <w:rPr>
          <w:rFonts w:hint="cs"/>
          <w:rtl/>
        </w:rPr>
        <w:t xml:space="preserve"> מתכוונת לפרוס כמיליון "מונים חכמים" עד סוף שנת 2023, וכי משנת 2021 היא תתקין אך ורק "מונים חכמים". בפברואר 2020 אישר דירקטוריון </w:t>
      </w:r>
      <w:r w:rsidRPr="0097239C">
        <w:rPr>
          <w:rFonts w:hint="cs"/>
          <w:rtl/>
        </w:rPr>
        <w:t>חח"י</w:t>
      </w:r>
      <w:r w:rsidRPr="0097239C">
        <w:rPr>
          <w:rFonts w:hint="cs"/>
          <w:rtl/>
        </w:rPr>
        <w:t xml:space="preserve"> </w:t>
      </w:r>
      <w:r w:rsidRPr="0097239C">
        <w:rPr>
          <w:rtl/>
        </w:rPr>
        <w:t xml:space="preserve">קידום פריסה ארצית </w:t>
      </w:r>
      <w:r w:rsidRPr="0097239C">
        <w:rPr>
          <w:rFonts w:hint="cs"/>
          <w:rtl/>
        </w:rPr>
        <w:t xml:space="preserve">של מיזם מנייה חכמה </w:t>
      </w:r>
      <w:r w:rsidRPr="0097239C">
        <w:rPr>
          <w:rtl/>
        </w:rPr>
        <w:t>באופן מדורג</w:t>
      </w:r>
      <w:r w:rsidRPr="0097239C">
        <w:rPr>
          <w:rFonts w:hint="cs"/>
          <w:rtl/>
        </w:rPr>
        <w:t>. להלן שיעור נקודות "מנייה חכמה" הנקראות מרחוק מתוך כלל המונים בישראל - ללקוחות גדולים ולמגזר הביתי.</w:t>
      </w:r>
    </w:p>
    <w:p w:rsidR="0097239C" w:rsidRPr="0097239C" w:rsidP="00C603CF">
      <w:pPr>
        <w:pStyle w:val="a"/>
        <w:spacing w:line="269" w:lineRule="auto"/>
        <w:rPr>
          <w:rtl/>
        </w:rPr>
      </w:pPr>
    </w:p>
    <w:p w:rsidR="0097239C" w:rsidRPr="0097239C" w:rsidP="00AE3072">
      <w:pPr>
        <w:spacing w:after="120" w:line="269" w:lineRule="auto"/>
        <w:jc w:val="center"/>
      </w:pPr>
      <w:r w:rsidRPr="0097239C">
        <w:rPr>
          <w:rFonts w:hint="eastAsia"/>
          <w:b/>
          <w:bCs/>
          <w:rtl/>
        </w:rPr>
        <w:t>לוח</w:t>
      </w:r>
      <w:r w:rsidRPr="0097239C">
        <w:rPr>
          <w:b/>
          <w:bCs/>
          <w:rtl/>
        </w:rPr>
        <w:t xml:space="preserve"> </w:t>
      </w:r>
      <w:r w:rsidRPr="0097239C">
        <w:rPr>
          <w:rFonts w:hint="cs"/>
          <w:b/>
          <w:bCs/>
          <w:rtl/>
        </w:rPr>
        <w:t>6</w:t>
      </w:r>
      <w:r w:rsidRPr="0097239C">
        <w:rPr>
          <w:b/>
          <w:bCs/>
          <w:rtl/>
        </w:rPr>
        <w:t xml:space="preserve">: נקודות </w:t>
      </w:r>
      <w:r w:rsidRPr="0097239C">
        <w:rPr>
          <w:rFonts w:hint="cs"/>
          <w:b/>
          <w:bCs/>
          <w:rtl/>
        </w:rPr>
        <w:t>"</w:t>
      </w:r>
      <w:r w:rsidRPr="0097239C">
        <w:rPr>
          <w:rFonts w:hint="eastAsia"/>
          <w:b/>
          <w:bCs/>
          <w:rtl/>
        </w:rPr>
        <w:t>מני</w:t>
      </w:r>
      <w:r w:rsidRPr="0097239C">
        <w:rPr>
          <w:rFonts w:hint="cs"/>
          <w:b/>
          <w:bCs/>
          <w:rtl/>
        </w:rPr>
        <w:t>י</w:t>
      </w:r>
      <w:r w:rsidRPr="0097239C">
        <w:rPr>
          <w:rFonts w:hint="eastAsia"/>
          <w:b/>
          <w:bCs/>
          <w:rtl/>
        </w:rPr>
        <w:t>ה</w:t>
      </w:r>
      <w:r w:rsidRPr="0097239C">
        <w:rPr>
          <w:b/>
          <w:bCs/>
          <w:rtl/>
        </w:rPr>
        <w:t xml:space="preserve"> </w:t>
      </w:r>
      <w:r w:rsidRPr="0097239C">
        <w:rPr>
          <w:rFonts w:hint="eastAsia"/>
          <w:b/>
          <w:bCs/>
          <w:rtl/>
        </w:rPr>
        <w:t>חכמה</w:t>
      </w:r>
      <w:r w:rsidRPr="0097239C">
        <w:rPr>
          <w:rFonts w:hint="cs"/>
          <w:b/>
          <w:bCs/>
          <w:rtl/>
        </w:rPr>
        <w:t>"</w:t>
      </w:r>
      <w:r w:rsidRPr="0097239C">
        <w:rPr>
          <w:b/>
          <w:bCs/>
          <w:rtl/>
        </w:rPr>
        <w:t xml:space="preserve"> הנקראות מרחוק מתוך </w:t>
      </w:r>
      <w:r w:rsidRPr="0097239C">
        <w:rPr>
          <w:rFonts w:hint="cs"/>
          <w:b/>
          <w:bCs/>
          <w:rtl/>
        </w:rPr>
        <w:t>כלל</w:t>
      </w:r>
      <w:r w:rsidRPr="0097239C">
        <w:rPr>
          <w:b/>
          <w:bCs/>
          <w:rtl/>
        </w:rPr>
        <w:t xml:space="preserve"> </w:t>
      </w:r>
      <w:r w:rsidRPr="0097239C">
        <w:rPr>
          <w:rFonts w:hint="cs"/>
          <w:b/>
          <w:bCs/>
          <w:rtl/>
        </w:rPr>
        <w:t>ה</w:t>
      </w:r>
      <w:r w:rsidRPr="0097239C">
        <w:rPr>
          <w:rFonts w:hint="eastAsia"/>
          <w:b/>
          <w:bCs/>
          <w:rtl/>
        </w:rPr>
        <w:t>מונים</w:t>
      </w:r>
      <w:r w:rsidRPr="0097239C">
        <w:rPr>
          <w:b/>
          <w:bCs/>
          <w:rtl/>
        </w:rPr>
        <w:t xml:space="preserve"> </w:t>
      </w:r>
      <w:r w:rsidRPr="0097239C">
        <w:rPr>
          <w:rFonts w:hint="eastAsia"/>
          <w:b/>
          <w:bCs/>
          <w:rtl/>
        </w:rPr>
        <w:t>בישראל</w:t>
      </w:r>
    </w:p>
    <w:tbl>
      <w:tblPr>
        <w:tblStyle w:val="11"/>
        <w:bidiVisual/>
        <w:tblW w:w="0" w:type="auto"/>
        <w:jc w:val="center"/>
        <w:tblLook w:val="04A0"/>
      </w:tblPr>
      <w:tblGrid>
        <w:gridCol w:w="606"/>
        <w:gridCol w:w="2721"/>
        <w:gridCol w:w="2376"/>
        <w:gridCol w:w="2310"/>
      </w:tblGrid>
      <w:tr w:rsidTr="00AE3072">
        <w:tblPrEx>
          <w:tblW w:w="0" w:type="auto"/>
          <w:jc w:val="center"/>
          <w:tblLook w:val="04A0"/>
        </w:tblPrEx>
        <w:trPr>
          <w:jc w:val="center"/>
        </w:trPr>
        <w:tc>
          <w:tcPr>
            <w:tcW w:w="0" w:type="auto"/>
          </w:tcPr>
          <w:p w:rsidR="0097239C" w:rsidRPr="00AE3072" w:rsidP="00AE3072">
            <w:pPr>
              <w:spacing w:before="30" w:after="30" w:line="240" w:lineRule="exact"/>
              <w:rPr>
                <w:b/>
                <w:bCs/>
                <w:sz w:val="22"/>
                <w:szCs w:val="22"/>
                <w:rtl/>
              </w:rPr>
            </w:pPr>
          </w:p>
        </w:tc>
        <w:tc>
          <w:tcPr>
            <w:tcW w:w="2721" w:type="dxa"/>
          </w:tcPr>
          <w:p w:rsidR="0097239C" w:rsidRPr="00AE3072" w:rsidP="00AE3072">
            <w:pPr>
              <w:spacing w:before="30" w:after="30" w:line="240" w:lineRule="exact"/>
              <w:jc w:val="left"/>
              <w:rPr>
                <w:b/>
                <w:bCs/>
                <w:sz w:val="22"/>
                <w:szCs w:val="22"/>
                <w:rtl/>
              </w:rPr>
            </w:pPr>
            <w:r w:rsidRPr="00AE3072">
              <w:rPr>
                <w:rFonts w:hint="cs"/>
                <w:b/>
                <w:bCs/>
                <w:sz w:val="22"/>
                <w:szCs w:val="22"/>
                <w:rtl/>
              </w:rPr>
              <w:t>כלל נקודות מנייה חכמה הנקראות מרחוק</w:t>
            </w:r>
          </w:p>
        </w:tc>
        <w:tc>
          <w:tcPr>
            <w:tcW w:w="2376" w:type="dxa"/>
          </w:tcPr>
          <w:p w:rsidR="0097239C" w:rsidRPr="00AE3072" w:rsidP="00AE3072">
            <w:pPr>
              <w:spacing w:before="30" w:after="30" w:line="240" w:lineRule="exact"/>
              <w:jc w:val="left"/>
              <w:rPr>
                <w:b/>
                <w:bCs/>
                <w:sz w:val="22"/>
                <w:szCs w:val="22"/>
                <w:rtl/>
              </w:rPr>
            </w:pPr>
            <w:r w:rsidRPr="00AE3072">
              <w:rPr>
                <w:rFonts w:hint="cs"/>
                <w:b/>
                <w:bCs/>
                <w:sz w:val="22"/>
                <w:szCs w:val="22"/>
                <w:rtl/>
              </w:rPr>
              <w:t>כלל המונים המותקנים</w:t>
            </w:r>
          </w:p>
        </w:tc>
        <w:tc>
          <w:tcPr>
            <w:tcW w:w="0" w:type="auto"/>
          </w:tcPr>
          <w:p w:rsidR="0097239C" w:rsidRPr="00AE3072" w:rsidP="00AE3072">
            <w:pPr>
              <w:spacing w:before="30" w:after="30" w:line="240" w:lineRule="exact"/>
              <w:jc w:val="left"/>
              <w:rPr>
                <w:b/>
                <w:bCs/>
                <w:sz w:val="22"/>
                <w:szCs w:val="22"/>
                <w:rtl/>
              </w:rPr>
            </w:pPr>
            <w:r w:rsidRPr="00AE3072">
              <w:rPr>
                <w:rFonts w:hint="cs"/>
                <w:b/>
                <w:bCs/>
                <w:sz w:val="22"/>
                <w:szCs w:val="22"/>
                <w:rtl/>
              </w:rPr>
              <w:t>שיעור "המונים החכמים"</w:t>
            </w:r>
          </w:p>
        </w:tc>
      </w:tr>
      <w:tr w:rsidTr="00AE3072">
        <w:tblPrEx>
          <w:tblW w:w="0" w:type="auto"/>
          <w:jc w:val="center"/>
          <w:tblLook w:val="04A0"/>
        </w:tblPrEx>
        <w:trPr>
          <w:jc w:val="center"/>
        </w:trPr>
        <w:tc>
          <w:tcPr>
            <w:tcW w:w="0" w:type="auto"/>
          </w:tcPr>
          <w:p w:rsidR="0097239C" w:rsidRPr="00AE3072" w:rsidP="00AE3072">
            <w:pPr>
              <w:spacing w:before="30" w:after="30" w:line="240" w:lineRule="exact"/>
              <w:rPr>
                <w:sz w:val="22"/>
                <w:szCs w:val="22"/>
                <w:rtl/>
              </w:rPr>
            </w:pPr>
            <w:r w:rsidRPr="00AE3072">
              <w:rPr>
                <w:rFonts w:hint="cs"/>
                <w:sz w:val="22"/>
                <w:szCs w:val="22"/>
                <w:rtl/>
              </w:rPr>
              <w:t>2015</w:t>
            </w:r>
          </w:p>
        </w:tc>
        <w:tc>
          <w:tcPr>
            <w:tcW w:w="2721" w:type="dxa"/>
          </w:tcPr>
          <w:p w:rsidR="0097239C" w:rsidRPr="00AE3072" w:rsidP="00AE3072">
            <w:pPr>
              <w:spacing w:before="30" w:after="30" w:line="240" w:lineRule="exact"/>
              <w:rPr>
                <w:sz w:val="22"/>
                <w:szCs w:val="22"/>
                <w:rtl/>
              </w:rPr>
            </w:pPr>
            <w:r w:rsidRPr="00AE3072">
              <w:rPr>
                <w:rFonts w:hint="cs"/>
                <w:sz w:val="22"/>
                <w:szCs w:val="22"/>
                <w:rtl/>
              </w:rPr>
              <w:t>21,000</w:t>
            </w:r>
          </w:p>
        </w:tc>
        <w:tc>
          <w:tcPr>
            <w:tcW w:w="2376" w:type="dxa"/>
          </w:tcPr>
          <w:p w:rsidR="0097239C" w:rsidRPr="00AE3072" w:rsidP="00AE3072">
            <w:pPr>
              <w:spacing w:before="30" w:after="30" w:line="240" w:lineRule="exact"/>
              <w:rPr>
                <w:sz w:val="22"/>
                <w:szCs w:val="22"/>
                <w:rtl/>
              </w:rPr>
            </w:pPr>
            <w:r w:rsidRPr="00AE3072">
              <w:rPr>
                <w:rFonts w:hint="cs"/>
                <w:sz w:val="22"/>
                <w:szCs w:val="22"/>
                <w:rtl/>
              </w:rPr>
              <w:t>2,900,000</w:t>
            </w:r>
          </w:p>
        </w:tc>
        <w:tc>
          <w:tcPr>
            <w:tcW w:w="0" w:type="auto"/>
          </w:tcPr>
          <w:p w:rsidR="0097239C" w:rsidRPr="00AE3072" w:rsidP="00AE3072">
            <w:pPr>
              <w:spacing w:before="30" w:after="30" w:line="240" w:lineRule="exact"/>
              <w:rPr>
                <w:sz w:val="22"/>
                <w:szCs w:val="22"/>
                <w:rtl/>
              </w:rPr>
            </w:pPr>
            <w:r w:rsidRPr="00AE3072">
              <w:rPr>
                <w:rFonts w:hint="cs"/>
                <w:sz w:val="22"/>
                <w:szCs w:val="22"/>
                <w:rtl/>
              </w:rPr>
              <w:t>0.7%</w:t>
            </w:r>
          </w:p>
        </w:tc>
      </w:tr>
      <w:tr w:rsidTr="00AE3072">
        <w:tblPrEx>
          <w:tblW w:w="0" w:type="auto"/>
          <w:jc w:val="center"/>
          <w:tblLook w:val="04A0"/>
        </w:tblPrEx>
        <w:trPr>
          <w:jc w:val="center"/>
        </w:trPr>
        <w:tc>
          <w:tcPr>
            <w:tcW w:w="0" w:type="auto"/>
          </w:tcPr>
          <w:p w:rsidR="0097239C" w:rsidRPr="00AE3072" w:rsidP="00AE3072">
            <w:pPr>
              <w:spacing w:before="30" w:after="30" w:line="240" w:lineRule="exact"/>
              <w:rPr>
                <w:sz w:val="22"/>
                <w:szCs w:val="22"/>
                <w:rtl/>
              </w:rPr>
            </w:pPr>
            <w:r w:rsidRPr="00AE3072">
              <w:rPr>
                <w:rFonts w:hint="cs"/>
                <w:sz w:val="22"/>
                <w:szCs w:val="22"/>
                <w:rtl/>
              </w:rPr>
              <w:t>2016</w:t>
            </w:r>
          </w:p>
        </w:tc>
        <w:tc>
          <w:tcPr>
            <w:tcW w:w="2721" w:type="dxa"/>
          </w:tcPr>
          <w:p w:rsidR="0097239C" w:rsidRPr="00AE3072" w:rsidP="00AE3072">
            <w:pPr>
              <w:spacing w:before="30" w:after="30" w:line="240" w:lineRule="exact"/>
              <w:rPr>
                <w:sz w:val="22"/>
                <w:szCs w:val="22"/>
                <w:rtl/>
              </w:rPr>
            </w:pPr>
            <w:r w:rsidRPr="00AE3072">
              <w:rPr>
                <w:rFonts w:hint="cs"/>
                <w:sz w:val="22"/>
                <w:szCs w:val="22"/>
                <w:rtl/>
              </w:rPr>
              <w:t>31,000</w:t>
            </w:r>
          </w:p>
        </w:tc>
        <w:tc>
          <w:tcPr>
            <w:tcW w:w="2376" w:type="dxa"/>
          </w:tcPr>
          <w:p w:rsidR="0097239C" w:rsidRPr="00AE3072" w:rsidP="00AE3072">
            <w:pPr>
              <w:spacing w:before="30" w:after="30" w:line="240" w:lineRule="exact"/>
              <w:rPr>
                <w:sz w:val="22"/>
                <w:szCs w:val="22"/>
                <w:rtl/>
              </w:rPr>
            </w:pPr>
            <w:r w:rsidRPr="00AE3072">
              <w:rPr>
                <w:rFonts w:hint="cs"/>
                <w:sz w:val="22"/>
                <w:szCs w:val="22"/>
                <w:rtl/>
              </w:rPr>
              <w:t>2,950,000</w:t>
            </w:r>
          </w:p>
        </w:tc>
        <w:tc>
          <w:tcPr>
            <w:tcW w:w="0" w:type="auto"/>
          </w:tcPr>
          <w:p w:rsidR="0097239C" w:rsidRPr="00AE3072" w:rsidP="00AE3072">
            <w:pPr>
              <w:spacing w:before="30" w:after="30" w:line="240" w:lineRule="exact"/>
              <w:rPr>
                <w:sz w:val="22"/>
                <w:szCs w:val="22"/>
                <w:rtl/>
              </w:rPr>
            </w:pPr>
            <w:r w:rsidRPr="00AE3072">
              <w:rPr>
                <w:rFonts w:hint="cs"/>
                <w:sz w:val="22"/>
                <w:szCs w:val="22"/>
                <w:rtl/>
              </w:rPr>
              <w:t>1.1%</w:t>
            </w:r>
          </w:p>
        </w:tc>
      </w:tr>
      <w:tr w:rsidTr="00AE3072">
        <w:tblPrEx>
          <w:tblW w:w="0" w:type="auto"/>
          <w:jc w:val="center"/>
          <w:tblLook w:val="04A0"/>
        </w:tblPrEx>
        <w:trPr>
          <w:jc w:val="center"/>
        </w:trPr>
        <w:tc>
          <w:tcPr>
            <w:tcW w:w="0" w:type="auto"/>
          </w:tcPr>
          <w:p w:rsidR="0097239C" w:rsidRPr="00AE3072" w:rsidP="00AE3072">
            <w:pPr>
              <w:spacing w:before="30" w:after="30" w:line="240" w:lineRule="exact"/>
              <w:rPr>
                <w:sz w:val="22"/>
                <w:szCs w:val="22"/>
                <w:rtl/>
              </w:rPr>
            </w:pPr>
            <w:r w:rsidRPr="00AE3072">
              <w:rPr>
                <w:rFonts w:hint="cs"/>
                <w:sz w:val="22"/>
                <w:szCs w:val="22"/>
                <w:rtl/>
              </w:rPr>
              <w:t>2017</w:t>
            </w:r>
          </w:p>
        </w:tc>
        <w:tc>
          <w:tcPr>
            <w:tcW w:w="2721" w:type="dxa"/>
          </w:tcPr>
          <w:p w:rsidR="0097239C" w:rsidRPr="00AE3072" w:rsidP="00AE3072">
            <w:pPr>
              <w:spacing w:before="30" w:after="30" w:line="240" w:lineRule="exact"/>
              <w:rPr>
                <w:sz w:val="22"/>
                <w:szCs w:val="22"/>
                <w:rtl/>
              </w:rPr>
            </w:pPr>
            <w:r w:rsidRPr="00AE3072">
              <w:rPr>
                <w:rFonts w:hint="cs"/>
                <w:sz w:val="22"/>
                <w:szCs w:val="22"/>
                <w:rtl/>
              </w:rPr>
              <w:t>41,000</w:t>
            </w:r>
          </w:p>
        </w:tc>
        <w:tc>
          <w:tcPr>
            <w:tcW w:w="2376" w:type="dxa"/>
          </w:tcPr>
          <w:p w:rsidR="0097239C" w:rsidRPr="00AE3072" w:rsidP="00AE3072">
            <w:pPr>
              <w:spacing w:before="30" w:after="30" w:line="240" w:lineRule="exact"/>
              <w:rPr>
                <w:sz w:val="22"/>
                <w:szCs w:val="22"/>
                <w:rtl/>
              </w:rPr>
            </w:pPr>
            <w:r w:rsidRPr="00AE3072">
              <w:rPr>
                <w:rFonts w:hint="cs"/>
                <w:sz w:val="22"/>
                <w:szCs w:val="22"/>
                <w:rtl/>
              </w:rPr>
              <w:t>3,000,000</w:t>
            </w:r>
          </w:p>
        </w:tc>
        <w:tc>
          <w:tcPr>
            <w:tcW w:w="0" w:type="auto"/>
          </w:tcPr>
          <w:p w:rsidR="0097239C" w:rsidRPr="00AE3072" w:rsidP="00AE3072">
            <w:pPr>
              <w:spacing w:before="30" w:after="30" w:line="240" w:lineRule="exact"/>
              <w:rPr>
                <w:sz w:val="22"/>
                <w:szCs w:val="22"/>
                <w:rtl/>
              </w:rPr>
            </w:pPr>
            <w:r w:rsidRPr="00AE3072">
              <w:rPr>
                <w:rFonts w:hint="cs"/>
                <w:sz w:val="22"/>
                <w:szCs w:val="22"/>
                <w:rtl/>
              </w:rPr>
              <w:t>1.4%</w:t>
            </w:r>
          </w:p>
        </w:tc>
      </w:tr>
      <w:tr w:rsidTr="00AE3072">
        <w:tblPrEx>
          <w:tblW w:w="0" w:type="auto"/>
          <w:jc w:val="center"/>
          <w:tblLook w:val="04A0"/>
        </w:tblPrEx>
        <w:trPr>
          <w:jc w:val="center"/>
        </w:trPr>
        <w:tc>
          <w:tcPr>
            <w:tcW w:w="0" w:type="auto"/>
          </w:tcPr>
          <w:p w:rsidR="0097239C" w:rsidRPr="00AE3072" w:rsidP="00AE3072">
            <w:pPr>
              <w:spacing w:before="30" w:after="30" w:line="240" w:lineRule="exact"/>
              <w:rPr>
                <w:sz w:val="22"/>
                <w:szCs w:val="22"/>
                <w:rtl/>
              </w:rPr>
            </w:pPr>
            <w:r w:rsidRPr="00AE3072">
              <w:rPr>
                <w:rFonts w:hint="cs"/>
                <w:sz w:val="22"/>
                <w:szCs w:val="22"/>
                <w:rtl/>
              </w:rPr>
              <w:t>2018</w:t>
            </w:r>
          </w:p>
        </w:tc>
        <w:tc>
          <w:tcPr>
            <w:tcW w:w="2721" w:type="dxa"/>
          </w:tcPr>
          <w:p w:rsidR="0097239C" w:rsidRPr="00AE3072" w:rsidP="00AE3072">
            <w:pPr>
              <w:spacing w:before="30" w:after="30" w:line="240" w:lineRule="exact"/>
              <w:rPr>
                <w:sz w:val="22"/>
                <w:szCs w:val="22"/>
                <w:rtl/>
              </w:rPr>
            </w:pPr>
            <w:r w:rsidRPr="00AE3072">
              <w:rPr>
                <w:rFonts w:hint="cs"/>
                <w:sz w:val="22"/>
                <w:szCs w:val="22"/>
                <w:rtl/>
              </w:rPr>
              <w:t>53,000</w:t>
            </w:r>
          </w:p>
        </w:tc>
        <w:tc>
          <w:tcPr>
            <w:tcW w:w="2376" w:type="dxa"/>
          </w:tcPr>
          <w:p w:rsidR="0097239C" w:rsidRPr="00AE3072" w:rsidP="00AE3072">
            <w:pPr>
              <w:spacing w:before="30" w:after="30" w:line="240" w:lineRule="exact"/>
              <w:rPr>
                <w:sz w:val="22"/>
                <w:szCs w:val="22"/>
                <w:rtl/>
              </w:rPr>
            </w:pPr>
            <w:r w:rsidRPr="00AE3072">
              <w:rPr>
                <w:rFonts w:hint="cs"/>
                <w:sz w:val="22"/>
                <w:szCs w:val="22"/>
                <w:rtl/>
              </w:rPr>
              <w:t>3,050,000</w:t>
            </w:r>
          </w:p>
        </w:tc>
        <w:tc>
          <w:tcPr>
            <w:tcW w:w="0" w:type="auto"/>
          </w:tcPr>
          <w:p w:rsidR="0097239C" w:rsidRPr="00AE3072" w:rsidP="00AE3072">
            <w:pPr>
              <w:spacing w:before="30" w:after="30" w:line="240" w:lineRule="exact"/>
              <w:rPr>
                <w:sz w:val="22"/>
                <w:szCs w:val="22"/>
                <w:rtl/>
              </w:rPr>
            </w:pPr>
            <w:r w:rsidRPr="00AE3072">
              <w:rPr>
                <w:rFonts w:hint="cs"/>
                <w:sz w:val="22"/>
                <w:szCs w:val="22"/>
                <w:rtl/>
              </w:rPr>
              <w:t>1.7%</w:t>
            </w:r>
          </w:p>
        </w:tc>
      </w:tr>
      <w:tr w:rsidTr="00AE3072">
        <w:tblPrEx>
          <w:tblW w:w="0" w:type="auto"/>
          <w:jc w:val="center"/>
          <w:tblLook w:val="04A0"/>
        </w:tblPrEx>
        <w:trPr>
          <w:jc w:val="center"/>
        </w:trPr>
        <w:tc>
          <w:tcPr>
            <w:tcW w:w="0" w:type="auto"/>
          </w:tcPr>
          <w:p w:rsidR="0097239C" w:rsidRPr="00AE3072" w:rsidP="00AE3072">
            <w:pPr>
              <w:spacing w:before="30" w:after="30" w:line="240" w:lineRule="exact"/>
              <w:rPr>
                <w:sz w:val="22"/>
                <w:szCs w:val="22"/>
                <w:rtl/>
              </w:rPr>
            </w:pPr>
            <w:r w:rsidRPr="00AE3072">
              <w:rPr>
                <w:rFonts w:hint="cs"/>
                <w:sz w:val="22"/>
                <w:szCs w:val="22"/>
                <w:rtl/>
              </w:rPr>
              <w:t>2019</w:t>
            </w:r>
          </w:p>
        </w:tc>
        <w:tc>
          <w:tcPr>
            <w:tcW w:w="2721" w:type="dxa"/>
          </w:tcPr>
          <w:p w:rsidR="0097239C" w:rsidRPr="00AE3072" w:rsidP="00AE3072">
            <w:pPr>
              <w:spacing w:before="30" w:after="30" w:line="240" w:lineRule="exact"/>
              <w:rPr>
                <w:sz w:val="22"/>
                <w:szCs w:val="22"/>
                <w:rtl/>
              </w:rPr>
            </w:pPr>
            <w:r w:rsidRPr="00AE3072">
              <w:rPr>
                <w:rFonts w:hint="cs"/>
                <w:sz w:val="22"/>
                <w:szCs w:val="22"/>
                <w:rtl/>
              </w:rPr>
              <w:t>87,153</w:t>
            </w:r>
          </w:p>
        </w:tc>
        <w:tc>
          <w:tcPr>
            <w:tcW w:w="2376" w:type="dxa"/>
          </w:tcPr>
          <w:p w:rsidR="0097239C" w:rsidRPr="00AE3072" w:rsidP="00AE3072">
            <w:pPr>
              <w:spacing w:before="30" w:after="30" w:line="240" w:lineRule="exact"/>
              <w:rPr>
                <w:sz w:val="22"/>
                <w:szCs w:val="22"/>
                <w:rtl/>
              </w:rPr>
            </w:pPr>
            <w:r w:rsidRPr="00AE3072">
              <w:rPr>
                <w:rFonts w:hint="cs"/>
                <w:sz w:val="22"/>
                <w:szCs w:val="22"/>
                <w:rtl/>
              </w:rPr>
              <w:t>3,100,000</w:t>
            </w:r>
          </w:p>
        </w:tc>
        <w:tc>
          <w:tcPr>
            <w:tcW w:w="0" w:type="auto"/>
          </w:tcPr>
          <w:p w:rsidR="0097239C" w:rsidRPr="00AE3072" w:rsidP="00AE3072">
            <w:pPr>
              <w:spacing w:before="30" w:after="30" w:line="240" w:lineRule="exact"/>
              <w:rPr>
                <w:sz w:val="22"/>
                <w:szCs w:val="22"/>
                <w:rtl/>
              </w:rPr>
            </w:pPr>
            <w:r w:rsidRPr="00AE3072">
              <w:rPr>
                <w:rFonts w:hint="cs"/>
                <w:sz w:val="22"/>
                <w:szCs w:val="22"/>
                <w:rtl/>
              </w:rPr>
              <w:t>2.8%</w:t>
            </w:r>
          </w:p>
        </w:tc>
      </w:tr>
    </w:tbl>
    <w:p w:rsidR="0097239C" w:rsidRPr="00810E1E" w:rsidP="00AE3072">
      <w:pPr>
        <w:spacing w:before="120" w:line="269" w:lineRule="auto"/>
        <w:rPr>
          <w:sz w:val="22"/>
          <w:szCs w:val="22"/>
          <w:rtl/>
        </w:rPr>
      </w:pPr>
      <w:r w:rsidRPr="00810E1E">
        <w:rPr>
          <w:rFonts w:hint="cs"/>
          <w:sz w:val="22"/>
          <w:szCs w:val="22"/>
          <w:rtl/>
        </w:rPr>
        <w:t xml:space="preserve">על פי נתונים שמסרה </w:t>
      </w:r>
      <w:r w:rsidRPr="00810E1E">
        <w:rPr>
          <w:rFonts w:hint="cs"/>
          <w:sz w:val="22"/>
          <w:szCs w:val="22"/>
          <w:rtl/>
        </w:rPr>
        <w:t>חח"י</w:t>
      </w:r>
      <w:r w:rsidRPr="00810E1E">
        <w:rPr>
          <w:rFonts w:hint="cs"/>
          <w:sz w:val="22"/>
          <w:szCs w:val="22"/>
          <w:rtl/>
        </w:rPr>
        <w:t xml:space="preserve"> למשרד מבקר המדינה בינואר 2020.</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מציין את ההתקדמות בהתקנת מונים חכמים ואת </w:t>
      </w:r>
      <w:r w:rsidRPr="0097239C">
        <w:rPr>
          <w:rFonts w:hint="cs"/>
          <w:b/>
          <w:bCs/>
          <w:rtl/>
        </w:rPr>
        <w:t>תוכניות</w:t>
      </w:r>
      <w:r w:rsidRPr="0097239C">
        <w:rPr>
          <w:rFonts w:hint="cs"/>
          <w:b/>
          <w:bCs/>
          <w:rtl/>
        </w:rPr>
        <w:t xml:space="preserve"> </w:t>
      </w:r>
      <w:r w:rsidRPr="0097239C">
        <w:rPr>
          <w:rFonts w:hint="cs"/>
          <w:b/>
          <w:bCs/>
          <w:rtl/>
        </w:rPr>
        <w:t>חח"י</w:t>
      </w:r>
      <w:r w:rsidRPr="0097239C">
        <w:rPr>
          <w:rFonts w:hint="cs"/>
          <w:b/>
          <w:bCs/>
          <w:rtl/>
        </w:rPr>
        <w:t xml:space="preserve"> להתקנות נוספות. עם זאת, על פי נתוני שנת 2019, שיעור "המונים החכמים" בישראל מזערי יחסית לשיעורם במדינות האיחוד האירופי. על משרד </w:t>
      </w:r>
      <w:r w:rsidRPr="0097239C">
        <w:rPr>
          <w:rFonts w:hint="cs"/>
          <w:b/>
          <w:bCs/>
          <w:rtl/>
        </w:rPr>
        <w:t>האנרגייה</w:t>
      </w:r>
      <w:r w:rsidRPr="0097239C">
        <w:rPr>
          <w:rFonts w:hint="cs"/>
          <w:b/>
          <w:bCs/>
          <w:rtl/>
        </w:rPr>
        <w:t xml:space="preserve">, רשות החשמל וחברת החשמל </w:t>
      </w:r>
      <w:r w:rsidRPr="0097239C">
        <w:rPr>
          <w:rFonts w:hint="cs"/>
          <w:b/>
          <w:bCs/>
          <w:rtl/>
        </w:rPr>
        <w:t>להמשיך ולעקוב אחר יישום מיזם "מנייה חכמה" ולקבל החלטות בעניינו, כדי לייעל את משק החשמל ולממש את החיסכון הפוטנציאלי הגלום בהתייעלות זו, וכן על מנת לצמצם את הפערים בהתקנת מונים כאמור אל מול מדינות האיחוד האירופ</w:t>
      </w:r>
      <w:r w:rsidRPr="0097239C">
        <w:rPr>
          <w:rFonts w:hint="eastAsia"/>
          <w:b/>
          <w:bCs/>
          <w:rtl/>
        </w:rPr>
        <w:t>י</w:t>
      </w:r>
      <w:r w:rsidRPr="0097239C">
        <w:rPr>
          <w:rFonts w:hint="cs"/>
          <w:b/>
          <w:b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רשות החשמל השיבה למשרד מבקר המדינה במאי 2020 כי היא שותפה לעמדה שישנה </w:t>
      </w:r>
      <w:r w:rsidRPr="0097239C">
        <w:rPr>
          <w:rtl/>
        </w:rPr>
        <w:t>חשיבות רבה ל</w:t>
      </w:r>
      <w:r w:rsidRPr="0097239C">
        <w:rPr>
          <w:rFonts w:hint="cs"/>
          <w:rtl/>
        </w:rPr>
        <w:t>פריסת מערכת מנייה חכמה שתאפשר איסוף, ניהול והנגשה של המידע לגורמים הרלוונטיים. בצד זאת, על מנת שפריסת מערכת כאמור תוביל לתועלת המרבית למשק החשמל, יש צורך לקבוע עקרונות לאיסוף וניהול המידע במערכת</w:t>
      </w:r>
      <w:r w:rsidRPr="0097239C">
        <w:rPr>
          <w:rtl/>
        </w:rPr>
        <w:t>.</w:t>
      </w:r>
      <w:r w:rsidRPr="0097239C">
        <w:rPr>
          <w:rFonts w:hint="cs"/>
          <w:rtl/>
        </w:rPr>
        <w:t xml:space="preserve"> הרשות מבצעת עבודת מטה לקביעת כללים ועקרונות הנוגעים לאיסוף המידע ולניהולו, ובכוונתה לפרסם הצעת החלטה לשימוע ציבורי בעניין זה, ובהמשך לקבוע כללים ועקרונות לניהול המידע כאמור. משרד </w:t>
      </w:r>
      <w:r w:rsidRPr="0097239C">
        <w:rPr>
          <w:rFonts w:hint="cs"/>
          <w:rtl/>
        </w:rPr>
        <w:t>האנרגייה</w:t>
      </w:r>
      <w:r w:rsidRPr="0097239C">
        <w:rPr>
          <w:rFonts w:hint="cs"/>
          <w:rtl/>
        </w:rPr>
        <w:t xml:space="preserve"> השיב למשרד מבקר המדינה במאי 2020 כי הוא בדעה שבקידום מנייה חכמה יש פוטנציאל לחיסכון </w:t>
      </w:r>
      <w:r w:rsidRPr="0097239C">
        <w:rPr>
          <w:rFonts w:hint="cs"/>
          <w:rtl/>
        </w:rPr>
        <w:t>באנרגייה</w:t>
      </w:r>
      <w:r w:rsidRPr="0097239C">
        <w:rPr>
          <w:rFonts w:hint="cs"/>
          <w:rtl/>
        </w:rPr>
        <w:t xml:space="preserve">, והנושא נכלל בתוכנית הלאומית להתייעלות </w:t>
      </w:r>
      <w:r w:rsidRPr="0097239C">
        <w:rPr>
          <w:rFonts w:hint="cs"/>
          <w:rtl/>
        </w:rPr>
        <w:t>באנרגייה</w:t>
      </w:r>
      <w:r w:rsidRPr="0097239C">
        <w:rPr>
          <w:rFonts w:hint="cs"/>
          <w:rtl/>
        </w:rPr>
        <w:t xml:space="preserve">. </w:t>
      </w:r>
    </w:p>
    <w:p w:rsidR="0097239C" w:rsidRPr="0097239C" w:rsidP="00C603CF">
      <w:pPr>
        <w:pStyle w:val="a"/>
        <w:spacing w:line="269" w:lineRule="auto"/>
      </w:pPr>
    </w:p>
    <w:p w:rsidR="0097239C" w:rsidRPr="0097239C" w:rsidP="00C63933">
      <w:pPr>
        <w:spacing w:line="269" w:lineRule="auto"/>
        <w:rPr>
          <w:rtl/>
        </w:rPr>
      </w:pPr>
      <w:r w:rsidRPr="0097239C">
        <w:rPr>
          <w:rFonts w:hint="cs"/>
          <w:rtl/>
        </w:rPr>
        <w:t xml:space="preserve">ממסמכי </w:t>
      </w:r>
      <w:r w:rsidRPr="0097239C">
        <w:rPr>
          <w:rFonts w:hint="cs"/>
          <w:rtl/>
        </w:rPr>
        <w:t>חח"י</w:t>
      </w:r>
      <w:r w:rsidRPr="0097239C">
        <w:rPr>
          <w:rFonts w:hint="cs"/>
          <w:rtl/>
        </w:rPr>
        <w:t xml:space="preserve"> מיוני 2019 עולה כי פריסת "מונים חכמים" תורמת לחיסכון בעלויות קריאת מונים, להפחתת </w:t>
      </w:r>
      <w:r w:rsidRPr="0097239C">
        <w:rPr>
          <w:rFonts w:hint="cs"/>
          <w:rtl/>
        </w:rPr>
        <w:t>איבודים</w:t>
      </w:r>
      <w:r w:rsidRPr="0097239C">
        <w:rPr>
          <w:rFonts w:hint="cs"/>
          <w:rtl/>
        </w:rPr>
        <w:t xml:space="preserve"> במערכת הולכת החשמל ובמערכת החלוקה, לצמצום </w:t>
      </w:r>
      <w:r w:rsidRPr="0097239C">
        <w:rPr>
          <w:rFonts w:hint="cs"/>
          <w:rtl/>
        </w:rPr>
        <w:t>קוט"שים</w:t>
      </w:r>
      <w:r w:rsidRPr="0097239C">
        <w:rPr>
          <w:rFonts w:hint="cs"/>
          <w:rtl/>
        </w:rPr>
        <w:t xml:space="preserve"> בלתי מסופקים, לשינויים במועדי הקמת תחנות כוח עקב הסטת ביקושים משעות השיא, להפחתת הצורך ברזרבה גדולה וכן להפחתת פליטות מזהמים. לפי חישובי </w:t>
      </w:r>
      <w:r w:rsidRPr="0097239C">
        <w:rPr>
          <w:rFonts w:hint="cs"/>
          <w:rtl/>
        </w:rPr>
        <w:t>חח"י</w:t>
      </w:r>
      <w:r w:rsidRPr="0097239C">
        <w:rPr>
          <w:rFonts w:hint="cs"/>
          <w:rtl/>
        </w:rPr>
        <w:t xml:space="preserve">, החלת תעריפי </w:t>
      </w:r>
      <w:r w:rsidRPr="0097239C">
        <w:rPr>
          <w:rFonts w:hint="cs"/>
          <w:rtl/>
        </w:rPr>
        <w:t>תעו"ז</w:t>
      </w:r>
      <w:r w:rsidRPr="0097239C">
        <w:rPr>
          <w:rFonts w:hint="cs"/>
          <w:rtl/>
        </w:rPr>
        <w:t xml:space="preserve"> על צרכנים ביתיים שתביא להסטת</w:t>
      </w:r>
      <w:r w:rsidRPr="0097239C">
        <w:t xml:space="preserve"> </w:t>
      </w:r>
      <w:r w:rsidRPr="0097239C">
        <w:rPr>
          <w:rFonts w:hint="cs"/>
          <w:rtl/>
        </w:rPr>
        <w:t>ביקושים</w:t>
      </w:r>
      <w:r w:rsidRPr="0097239C">
        <w:t xml:space="preserve"> </w:t>
      </w:r>
      <w:r w:rsidRPr="0097239C">
        <w:rPr>
          <w:rFonts w:hint="cs"/>
          <w:rtl/>
        </w:rPr>
        <w:t>של</w:t>
      </w:r>
      <w:r w:rsidRPr="0097239C">
        <w:t xml:space="preserve"> </w:t>
      </w:r>
      <w:r w:rsidR="00C63933">
        <w:rPr>
          <w:rFonts w:hint="cs"/>
          <w:rtl/>
        </w:rPr>
        <w:t>1.2%</w:t>
      </w:r>
      <w:r w:rsidRPr="0097239C">
        <w:t xml:space="preserve"> </w:t>
      </w:r>
      <w:r w:rsidRPr="0097239C">
        <w:rPr>
          <w:rFonts w:hint="cs"/>
          <w:rtl/>
        </w:rPr>
        <w:t>עד</w:t>
      </w:r>
      <w:r w:rsidR="00C603CF">
        <w:rPr>
          <w:rFonts w:hint="cs"/>
          <w:rtl/>
        </w:rPr>
        <w:t xml:space="preserve"> </w:t>
      </w:r>
      <w:r w:rsidR="00C63933">
        <w:rPr>
          <w:rFonts w:hint="cs"/>
          <w:rtl/>
        </w:rPr>
        <w:t>2.2%</w:t>
      </w:r>
      <w:r w:rsidR="005B263A">
        <w:rPr>
          <w:rFonts w:hint="cs"/>
          <w:rtl/>
        </w:rPr>
        <w:t xml:space="preserve"> </w:t>
      </w:r>
      <w:r w:rsidRPr="0097239C">
        <w:rPr>
          <w:rFonts w:hint="cs"/>
          <w:rtl/>
        </w:rPr>
        <w:t>תביא לחיסכון</w:t>
      </w:r>
      <w:r w:rsidRPr="0097239C">
        <w:t xml:space="preserve"> </w:t>
      </w:r>
      <w:r w:rsidRPr="0097239C">
        <w:rPr>
          <w:rFonts w:hint="cs"/>
          <w:rtl/>
        </w:rPr>
        <w:t xml:space="preserve">של 1.5 - 2.2 מיליארד ש"ח. תועלת נוספת מהמיזם היא הפחתת צריכת החשמל הכוללת, הגורמת להפחתת העלויות המשתנות של ייצור החשמל, בעיקר עלויות של </w:t>
      </w:r>
      <w:r w:rsidRPr="0097239C">
        <w:rPr>
          <w:rFonts w:hint="cs"/>
          <w:rtl/>
        </w:rPr>
        <w:t>דלקים</w:t>
      </w:r>
      <w:r w:rsidRPr="0097239C">
        <w:rPr>
          <w:rFonts w:hint="cs"/>
          <w:rtl/>
        </w:rPr>
        <w:t xml:space="preserve">, ולחיסכון בהפחתת פליטות מזהמים. </w:t>
      </w:r>
      <w:r w:rsidRPr="0097239C">
        <w:rPr>
          <w:rFonts w:hint="cs"/>
          <w:rtl/>
        </w:rPr>
        <w:t>חח"י</w:t>
      </w:r>
      <w:r w:rsidRPr="0097239C">
        <w:rPr>
          <w:rFonts w:hint="cs"/>
          <w:rtl/>
        </w:rPr>
        <w:t xml:space="preserve"> העריכה את התועלת הגלומה בהפחתה של 1% </w:t>
      </w:r>
      <w:r w:rsidRPr="0097239C">
        <w:rPr>
          <w:rFonts w:hint="cs"/>
          <w:rtl/>
        </w:rPr>
        <w:t>בביקושים</w:t>
      </w:r>
      <w:r w:rsidRPr="0097239C">
        <w:rPr>
          <w:rFonts w:hint="cs"/>
          <w:rtl/>
        </w:rPr>
        <w:t xml:space="preserve"> בכמיליארד ש"ח</w:t>
      </w:r>
      <w:r>
        <w:rPr>
          <w:vertAlign w:val="superscript"/>
          <w:rtl/>
        </w:rPr>
        <w:footnoteReference w:id="74"/>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במחקר של ה-</w:t>
      </w:r>
      <w:r w:rsidRPr="0097239C">
        <w:rPr>
          <w:rFonts w:hint="cs"/>
        </w:rPr>
        <w:t>OECD</w:t>
      </w:r>
      <w:r w:rsidRPr="0097239C">
        <w:rPr>
          <w:rFonts w:hint="cs"/>
          <w:rtl/>
        </w:rPr>
        <w:t xml:space="preserve"> משנת 2018, שבו נבדקו 7,000 משקי בית המחוברים ל"מונים חכמים" באונטריו שבקנדה, נמצא כי חשיפה לנתוני צריכת החשמל בזמן אמת גרמה לצמצום צריכת החשמל בכ-3%</w:t>
      </w:r>
      <w:r>
        <w:rPr>
          <w:vertAlign w:val="superscript"/>
          <w:rtl/>
        </w:rPr>
        <w:footnoteReference w:id="75"/>
      </w:r>
      <w:r w:rsidRPr="0097239C">
        <w:rPr>
          <w:rFonts w:hint="cs"/>
          <w:rtl/>
        </w:rPr>
        <w:t xml:space="preserve">. לפי מחקר של האיחוד האירופי מיולי 2019, החיסכון </w:t>
      </w:r>
      <w:r w:rsidRPr="0097239C">
        <w:rPr>
          <w:rFonts w:hint="cs"/>
          <w:rtl/>
        </w:rPr>
        <w:t>באנרגייה</w:t>
      </w:r>
      <w:r w:rsidRPr="0097239C">
        <w:rPr>
          <w:rFonts w:hint="cs"/>
          <w:rtl/>
        </w:rPr>
        <w:t xml:space="preserve"> שמקורו במונים חכמים מוערך בכ-5.42% - 7.85%</w:t>
      </w:r>
      <w:r>
        <w:rPr>
          <w:vertAlign w:val="superscript"/>
          <w:rtl/>
        </w:rPr>
        <w:footnoteReference w:id="76"/>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על פי החלטת רשות החשמל</w:t>
      </w:r>
      <w:r>
        <w:rPr>
          <w:vertAlign w:val="superscript"/>
          <w:rtl/>
        </w:rPr>
        <w:footnoteReference w:id="77"/>
      </w:r>
      <w:r w:rsidRPr="0097239C">
        <w:rPr>
          <w:rFonts w:hint="cs"/>
          <w:rtl/>
        </w:rPr>
        <w:t xml:space="preserve"> משנת 2011, צרכנים שצריכת החשמל שלהם עולה על 40,000 </w:t>
      </w:r>
      <w:r w:rsidRPr="0097239C">
        <w:rPr>
          <w:rFonts w:hint="cs"/>
          <w:rtl/>
        </w:rPr>
        <w:t>קוט"ש</w:t>
      </w:r>
      <w:r w:rsidRPr="0097239C">
        <w:rPr>
          <w:rFonts w:hint="cs"/>
          <w:rtl/>
        </w:rPr>
        <w:t xml:space="preserve"> בשנה מחויבים בתעריף </w:t>
      </w:r>
      <w:r w:rsidRPr="0097239C">
        <w:rPr>
          <w:rFonts w:hint="cs"/>
          <w:rtl/>
        </w:rPr>
        <w:t>תעו"ז</w:t>
      </w:r>
      <w:r w:rsidRPr="0097239C">
        <w:rPr>
          <w:rFonts w:hint="cs"/>
          <w:rtl/>
        </w:rPr>
        <w:t xml:space="preserve">. צרכנים אלה שיעורם כ-60% מכלל צרכני החשמל במשק, והם כוללים בעיקר צרכנים גדולים כגון מפעלי תעשייה.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בשנת 2017 בחנה </w:t>
      </w:r>
      <w:r w:rsidRPr="0097239C">
        <w:rPr>
          <w:rFonts w:hint="cs"/>
          <w:rtl/>
        </w:rPr>
        <w:t>חח"י</w:t>
      </w:r>
      <w:r w:rsidRPr="0097239C">
        <w:rPr>
          <w:rFonts w:hint="cs"/>
          <w:rtl/>
        </w:rPr>
        <w:t xml:space="preserve"> לבקשת רשות החשמל את כדאיותו של מיזם לפריסה מלאה של מונים חכמים בשלושה תרחישים שונים. להערכת </w:t>
      </w:r>
      <w:r w:rsidRPr="0097239C">
        <w:rPr>
          <w:rFonts w:hint="cs"/>
          <w:rtl/>
        </w:rPr>
        <w:t>חח"י</w:t>
      </w:r>
      <w:r w:rsidRPr="0097239C">
        <w:rPr>
          <w:rFonts w:hint="cs"/>
          <w:rtl/>
        </w:rPr>
        <w:t>, התועלת מהמיזם צפויה להיות בין 3 ל-4 מיליארד ש"ח</w:t>
      </w:r>
      <w:r>
        <w:rPr>
          <w:vertAlign w:val="superscript"/>
          <w:rtl/>
        </w:rPr>
        <w:footnoteReference w:id="78"/>
      </w:r>
      <w:r w:rsidRPr="0097239C">
        <w:rPr>
          <w:rFonts w:hint="cs"/>
          <w:rtl/>
        </w:rPr>
        <w:t xml:space="preserve">. מחישובי </w:t>
      </w:r>
      <w:r w:rsidRPr="0097239C">
        <w:rPr>
          <w:rFonts w:hint="cs"/>
          <w:rtl/>
        </w:rPr>
        <w:t>חח"י</w:t>
      </w:r>
      <w:r w:rsidRPr="0097239C">
        <w:rPr>
          <w:rFonts w:hint="cs"/>
          <w:rtl/>
        </w:rPr>
        <w:t xml:space="preserve"> עולה כי תוספת העלויות של פריסה מלאה של "מונים חכמים" בכל הארץ לעומת המצב כיום היא כ-4 מיליארד ש"ח. רשות החשמל חלקה על חלק מההנחות שעליהן הסתמך החישוב, יש</w:t>
      </w:r>
      <w:r w:rsidRPr="0097239C">
        <w:t xml:space="preserve"> </w:t>
      </w:r>
      <w:r w:rsidRPr="0097239C">
        <w:rPr>
          <w:rFonts w:hint="cs"/>
          <w:rtl/>
        </w:rPr>
        <w:t>חשש</w:t>
      </w:r>
      <w:r w:rsidRPr="0097239C">
        <w:t xml:space="preserve"> </w:t>
      </w:r>
      <w:r w:rsidRPr="0097239C">
        <w:rPr>
          <w:rFonts w:hint="cs"/>
          <w:rtl/>
        </w:rPr>
        <w:t>סביר</w:t>
      </w:r>
      <w:r w:rsidRPr="0097239C">
        <w:t xml:space="preserve"> </w:t>
      </w:r>
      <w:r w:rsidRPr="0097239C">
        <w:rPr>
          <w:rFonts w:hint="cs"/>
          <w:rtl/>
        </w:rPr>
        <w:t>שהעברת צרכנים</w:t>
      </w:r>
      <w:r w:rsidRPr="0097239C">
        <w:t xml:space="preserve"> </w:t>
      </w:r>
      <w:r w:rsidRPr="0097239C">
        <w:rPr>
          <w:rFonts w:hint="cs"/>
          <w:rtl/>
        </w:rPr>
        <w:t>ביתיים</w:t>
      </w:r>
      <w:r w:rsidRPr="0097239C">
        <w:t xml:space="preserve"> </w:t>
      </w:r>
      <w:r w:rsidRPr="0097239C">
        <w:rPr>
          <w:rFonts w:hint="cs"/>
          <w:rtl/>
        </w:rPr>
        <w:t>לתעו</w:t>
      </w:r>
      <w:r w:rsidRPr="0097239C">
        <w:t>"</w:t>
      </w:r>
      <w:r w:rsidRPr="0097239C">
        <w:rPr>
          <w:rFonts w:hint="cs"/>
          <w:rtl/>
        </w:rPr>
        <w:t>ז אינה ישימה, וכי גם</w:t>
      </w:r>
      <w:r w:rsidRPr="0097239C">
        <w:t xml:space="preserve"> </w:t>
      </w:r>
      <w:r w:rsidRPr="0097239C">
        <w:rPr>
          <w:rFonts w:hint="cs"/>
          <w:rtl/>
        </w:rPr>
        <w:t>אם</w:t>
      </w:r>
      <w:r w:rsidRPr="0097239C">
        <w:t xml:space="preserve"> </w:t>
      </w:r>
      <w:r w:rsidRPr="0097239C">
        <w:rPr>
          <w:rFonts w:hint="cs"/>
          <w:rtl/>
        </w:rPr>
        <w:t>זו</w:t>
      </w:r>
      <w:r w:rsidRPr="0097239C">
        <w:t xml:space="preserve"> </w:t>
      </w:r>
      <w:r w:rsidRPr="0097239C">
        <w:rPr>
          <w:rFonts w:hint="cs"/>
          <w:rtl/>
        </w:rPr>
        <w:t>תתאפשר, התועלת הגלומה בכך</w:t>
      </w:r>
      <w:r w:rsidRPr="0097239C">
        <w:t xml:space="preserve"> </w:t>
      </w:r>
      <w:r w:rsidRPr="0097239C">
        <w:rPr>
          <w:rFonts w:hint="cs"/>
          <w:rtl/>
        </w:rPr>
        <w:t>עלולה</w:t>
      </w:r>
      <w:r w:rsidRPr="0097239C">
        <w:t xml:space="preserve"> </w:t>
      </w:r>
      <w:r w:rsidRPr="0097239C">
        <w:rPr>
          <w:rFonts w:hint="cs"/>
          <w:rtl/>
        </w:rPr>
        <w:t>להיות</w:t>
      </w:r>
      <w:r w:rsidRPr="0097239C">
        <w:t xml:space="preserve"> </w:t>
      </w:r>
      <w:r w:rsidRPr="0097239C">
        <w:rPr>
          <w:rFonts w:hint="cs"/>
          <w:rtl/>
        </w:rPr>
        <w:t>צנועה ביותר,</w:t>
      </w:r>
      <w:r w:rsidRPr="0097239C">
        <w:t xml:space="preserve"> </w:t>
      </w:r>
      <w:r w:rsidRPr="0097239C">
        <w:rPr>
          <w:rFonts w:hint="cs"/>
          <w:rtl/>
        </w:rPr>
        <w:t>וייתכן שתיווצר</w:t>
      </w:r>
      <w:r w:rsidRPr="0097239C">
        <w:t xml:space="preserve"> </w:t>
      </w:r>
      <w:r w:rsidRPr="0097239C">
        <w:rPr>
          <w:rFonts w:hint="cs"/>
          <w:rtl/>
        </w:rPr>
        <w:t>תקופת</w:t>
      </w:r>
      <w:r w:rsidRPr="0097239C">
        <w:t xml:space="preserve"> </w:t>
      </w:r>
      <w:r w:rsidRPr="0097239C">
        <w:rPr>
          <w:rFonts w:hint="cs"/>
          <w:rtl/>
        </w:rPr>
        <w:t>מעבר</w:t>
      </w:r>
      <w:r w:rsidRPr="0097239C">
        <w:t xml:space="preserve"> </w:t>
      </w:r>
      <w:r w:rsidRPr="0097239C">
        <w:rPr>
          <w:rFonts w:hint="cs"/>
          <w:rtl/>
        </w:rPr>
        <w:t>לא-מוגדרת</w:t>
      </w:r>
      <w:r w:rsidRPr="0097239C">
        <w:t xml:space="preserve"> </w:t>
      </w:r>
      <w:r w:rsidRPr="0097239C">
        <w:rPr>
          <w:rFonts w:hint="cs"/>
          <w:rtl/>
        </w:rPr>
        <w:t>מהבחינה</w:t>
      </w:r>
      <w:r w:rsidRPr="0097239C">
        <w:t xml:space="preserve"> </w:t>
      </w:r>
      <w:r w:rsidRPr="0097239C">
        <w:rPr>
          <w:rFonts w:hint="cs"/>
          <w:rtl/>
        </w:rPr>
        <w:t>התעריפית</w:t>
      </w:r>
      <w:r w:rsidRPr="0097239C">
        <w:t xml:space="preserve"> </w:t>
      </w:r>
      <w:r w:rsidRPr="0097239C">
        <w:rPr>
          <w:rFonts w:hint="cs"/>
          <w:rtl/>
        </w:rPr>
        <w:t>ואי-ודאות</w:t>
      </w:r>
      <w:r w:rsidRPr="0097239C">
        <w:t xml:space="preserve"> </w:t>
      </w:r>
      <w:r w:rsidRPr="0097239C">
        <w:rPr>
          <w:rFonts w:hint="cs"/>
          <w:rtl/>
        </w:rPr>
        <w:t>גדולה</w:t>
      </w:r>
      <w:r w:rsidRPr="0097239C">
        <w:t xml:space="preserve"> </w:t>
      </w:r>
      <w:r w:rsidRPr="0097239C">
        <w:rPr>
          <w:rFonts w:hint="cs"/>
          <w:rtl/>
        </w:rPr>
        <w:t>לגבי</w:t>
      </w:r>
      <w:r w:rsidRPr="0097239C">
        <w:t xml:space="preserve"> </w:t>
      </w:r>
      <w:r w:rsidRPr="0097239C">
        <w:rPr>
          <w:rFonts w:hint="cs"/>
          <w:rtl/>
        </w:rPr>
        <w:t>התועלות הגלומות בכך. זאת למול פריסה מלאה של מונים חכמים, שהתועלת ממנה מוערכת ב</w:t>
      </w:r>
      <w:r w:rsidR="00C603CF">
        <w:rPr>
          <w:rFonts w:hint="cs"/>
          <w:rtl/>
        </w:rPr>
        <w:t>כ-</w:t>
      </w:r>
      <w:r w:rsidRPr="0097239C">
        <w:rPr>
          <w:rFonts w:hint="cs"/>
          <w:rtl/>
        </w:rPr>
        <w:t xml:space="preserve">3 - 4 מיליארד ש"ח כאמור.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נוסף על התקנת "מונים חכמים", </w:t>
      </w:r>
      <w:r w:rsidRPr="0097239C">
        <w:rPr>
          <w:rFonts w:hint="cs"/>
          <w:rtl/>
        </w:rPr>
        <w:t>חח"י</w:t>
      </w:r>
      <w:r w:rsidRPr="0097239C">
        <w:rPr>
          <w:rFonts w:hint="cs"/>
          <w:rtl/>
        </w:rPr>
        <w:t xml:space="preserve"> בדקה לבקשת רשות החשמל חלופה של התקנת מונים דיגיטליים (מוני </w:t>
      </w:r>
      <w:r w:rsidRPr="0097239C">
        <w:rPr>
          <w:rFonts w:hint="cs"/>
          <w:rtl/>
        </w:rPr>
        <w:t>תעו"ז</w:t>
      </w:r>
      <w:r w:rsidRPr="0097239C">
        <w:rPr>
          <w:rFonts w:hint="cs"/>
          <w:rtl/>
        </w:rPr>
        <w:t>), אשר מציגים את צריכת החשמל של הצרכן על גבי צג דיגיטל</w:t>
      </w:r>
      <w:r w:rsidRPr="0097239C">
        <w:rPr>
          <w:rFonts w:hint="eastAsia"/>
          <w:rtl/>
        </w:rPr>
        <w:t>י</w:t>
      </w:r>
      <w:r w:rsidRPr="0097239C">
        <w:rPr>
          <w:rFonts w:hint="cs"/>
          <w:rtl/>
        </w:rPr>
        <w:t xml:space="preserve"> בבית. </w:t>
      </w:r>
      <w:r w:rsidRPr="0097239C">
        <w:rPr>
          <w:rFonts w:hint="cs"/>
          <w:rtl/>
        </w:rPr>
        <w:t xml:space="preserve">ממסמכי </w:t>
      </w:r>
      <w:r w:rsidRPr="0097239C">
        <w:rPr>
          <w:rFonts w:hint="cs"/>
          <w:rtl/>
        </w:rPr>
        <w:t>חח"י</w:t>
      </w:r>
      <w:r w:rsidRPr="0097239C">
        <w:rPr>
          <w:rFonts w:hint="cs"/>
          <w:rtl/>
        </w:rPr>
        <w:t xml:space="preserve"> ממאי 2018 עולה כי מונים אלה אינם מחוברים לרשת החשמל, אינם מספקים מידע למערכת מרכזית ואינם תורמים לתועלות המערכתיות השונות הכרוכות בהתקנת "מונים חכמים", כגון צמצום </w:t>
      </w:r>
      <w:r w:rsidRPr="0097239C">
        <w:rPr>
          <w:rFonts w:hint="cs"/>
          <w:rtl/>
        </w:rPr>
        <w:t>קוט"שים</w:t>
      </w:r>
      <w:r w:rsidRPr="0097239C">
        <w:rPr>
          <w:rFonts w:hint="cs"/>
          <w:rtl/>
        </w:rPr>
        <w:t xml:space="preserve"> בלתי מסופקים, הפחתת איבודי </w:t>
      </w:r>
      <w:r w:rsidRPr="0097239C">
        <w:rPr>
          <w:rFonts w:hint="cs"/>
          <w:rtl/>
        </w:rPr>
        <w:t>אנרגייה</w:t>
      </w:r>
      <w:r w:rsidRPr="0097239C">
        <w:rPr>
          <w:rFonts w:hint="cs"/>
          <w:rtl/>
        </w:rPr>
        <w:t xml:space="preserve"> במערכת ההולכה והחלוקה וצמצום גניבות ופחת. </w:t>
      </w:r>
      <w:r w:rsidRPr="0097239C">
        <w:rPr>
          <w:rFonts w:hint="cs"/>
          <w:rtl/>
        </w:rPr>
        <w:t>חח"י</w:t>
      </w:r>
      <w:r w:rsidRPr="0097239C">
        <w:rPr>
          <w:rFonts w:hint="cs"/>
          <w:rtl/>
        </w:rPr>
        <w:t xml:space="preserve"> העריכה את התועלת שבהתקנת מונים דיגיטליים בכ-344 מיליון ש"ח.</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 פי מסמכי רשות החשמל ממרץ 2018, הורדת רף החיוב בתעריף </w:t>
      </w:r>
      <w:r w:rsidRPr="0097239C">
        <w:rPr>
          <w:rFonts w:hint="cs"/>
          <w:rtl/>
        </w:rPr>
        <w:t>תעו"ז</w:t>
      </w:r>
      <w:r w:rsidRPr="0097239C">
        <w:rPr>
          <w:rFonts w:hint="cs"/>
          <w:rtl/>
        </w:rPr>
        <w:t xml:space="preserve"> מ-40,000 ל-10,000 </w:t>
      </w:r>
      <w:r w:rsidRPr="0097239C">
        <w:rPr>
          <w:rFonts w:hint="cs"/>
          <w:rtl/>
        </w:rPr>
        <w:t>קוט"שים</w:t>
      </w:r>
      <w:r w:rsidRPr="0097239C">
        <w:rPr>
          <w:rFonts w:hint="cs"/>
          <w:rtl/>
        </w:rPr>
        <w:t xml:space="preserve"> תביא להגדלת שיעור הצריכה המשקית המחויבת בתעריף </w:t>
      </w:r>
      <w:r w:rsidRPr="0097239C">
        <w:rPr>
          <w:rFonts w:hint="cs"/>
          <w:rtl/>
        </w:rPr>
        <w:t>תעו"ז</w:t>
      </w:r>
      <w:r w:rsidRPr="0097239C">
        <w:rPr>
          <w:rFonts w:hint="cs"/>
          <w:rtl/>
        </w:rPr>
        <w:t xml:space="preserve"> לרמה של מעל ל-80%. על פי מסמכי הרשות ניתן לעשות זאת באמצעים זולים, עד כדי אפס עלות השקעה, למשל באמצעות התקנה של מוני </w:t>
      </w:r>
      <w:r w:rsidRPr="0097239C">
        <w:rPr>
          <w:rFonts w:hint="cs"/>
          <w:rtl/>
        </w:rPr>
        <w:t>תעו"ז</w:t>
      </w:r>
      <w:r w:rsidRPr="0097239C">
        <w:rPr>
          <w:rFonts w:hint="cs"/>
          <w:rtl/>
        </w:rPr>
        <w:t xml:space="preserve"> דיגיטליים פשוטים במקום פריסה של "מונים חכמים". רשות החשמל מסרה למשרד מבקר המדינה ביולי 2019, כי החלת חובת התקנת מונה </w:t>
      </w:r>
      <w:r w:rsidRPr="0097239C">
        <w:rPr>
          <w:rFonts w:hint="cs"/>
          <w:rtl/>
        </w:rPr>
        <w:t>תעו"ז</w:t>
      </w:r>
      <w:r w:rsidRPr="0097239C">
        <w:rPr>
          <w:rFonts w:hint="cs"/>
          <w:rtl/>
        </w:rPr>
        <w:t xml:space="preserve"> על צרכנים מסוג מסוים מאפשרת לכוון את התנהגותם כצרכני חשמל, ובכך לייעל את צריכת החשמל שלהם. עוד מסרה רשות החשמל למשרד מבקר המדינה כי פרסמה שתי החלטות בעניין</w:t>
      </w:r>
      <w:r>
        <w:rPr>
          <w:rStyle w:val="FootnoteReference1"/>
          <w:rtl/>
        </w:rPr>
        <w:footnoteReference w:id="79"/>
      </w:r>
      <w:r w:rsidRPr="0097239C">
        <w:rPr>
          <w:rFonts w:hint="cs"/>
          <w:rtl/>
        </w:rPr>
        <w:t xml:space="preserve">: </w:t>
      </w:r>
      <w:r w:rsidRPr="0097239C">
        <w:rPr>
          <w:rFonts w:hint="cs"/>
          <w:rtl/>
        </w:rPr>
        <w:t>תעו"ז</w:t>
      </w:r>
      <w:r w:rsidRPr="0097239C">
        <w:rPr>
          <w:rFonts w:hint="cs"/>
          <w:rtl/>
        </w:rPr>
        <w:t xml:space="preserve"> וולונטרי </w:t>
      </w:r>
      <w:r w:rsidRPr="0097239C">
        <w:rPr>
          <w:rFonts w:hint="cs"/>
          <w:rtl/>
        </w:rPr>
        <w:t>ותעו"ז</w:t>
      </w:r>
      <w:r w:rsidRPr="0097239C">
        <w:rPr>
          <w:rFonts w:hint="cs"/>
          <w:rtl/>
        </w:rPr>
        <w:t xml:space="preserve"> ביתי ללקוחות ביתיים. במסגרת שתי החלטות אלה רשאים הצרכנים לעבור לתעריף </w:t>
      </w:r>
      <w:r w:rsidRPr="0097239C">
        <w:rPr>
          <w:rFonts w:hint="cs"/>
          <w:rtl/>
        </w:rPr>
        <w:t>תעו"ז</w:t>
      </w:r>
      <w:r w:rsidRPr="0097239C">
        <w:rPr>
          <w:rFonts w:hint="cs"/>
          <w:rtl/>
        </w:rPr>
        <w:t xml:space="preserve"> למשך שנה, ובסיומה הם צריכים לבחור אם להישאר בתעריף </w:t>
      </w:r>
      <w:r w:rsidRPr="0097239C">
        <w:rPr>
          <w:rFonts w:hint="cs"/>
          <w:rtl/>
        </w:rPr>
        <w:t>תעו"ז</w:t>
      </w:r>
      <w:r w:rsidRPr="0097239C">
        <w:rPr>
          <w:rFonts w:hint="cs"/>
          <w:rtl/>
        </w:rPr>
        <w:t xml:space="preserve"> או לחזור לתעריף האחיד.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רשות החשמל הוסיפה כי ההחלטה לגבי החלת </w:t>
      </w:r>
      <w:r w:rsidRPr="0097239C">
        <w:rPr>
          <w:rFonts w:hint="cs"/>
          <w:rtl/>
        </w:rPr>
        <w:t>תעו"ז</w:t>
      </w:r>
      <w:r w:rsidRPr="0097239C">
        <w:rPr>
          <w:rFonts w:hint="cs"/>
          <w:rtl/>
        </w:rPr>
        <w:t xml:space="preserve"> באופן מנדטורי על אוכלוסייה רחבה צריכה להיבחן בהיבט של ייעול המשק, ובין היתר ייבחנו פוטנציאל חיסכון הצריכה בשעות השיא ומנגד עלויות החלפת המונים האחידים למוני </w:t>
      </w:r>
      <w:r w:rsidRPr="0097239C">
        <w:rPr>
          <w:rFonts w:hint="cs"/>
          <w:rtl/>
        </w:rPr>
        <w:t>תעו"ז</w:t>
      </w:r>
      <w:r w:rsidRPr="0097239C">
        <w:rPr>
          <w:rFonts w:hint="cs"/>
          <w:rtl/>
        </w:rPr>
        <w:t>, תוך בחינת הנטל שיוטל על האוכלוסייה, ובפרט על האוכלוסיות החלשות.</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rtl/>
        </w:rPr>
        <w:t xml:space="preserve">רשות החשמל השיבה למשרד מבקר המדינה במאי 2020 כי על אף היתרונות בהחלת תעריף </w:t>
      </w:r>
      <w:r w:rsidRPr="0097239C">
        <w:rPr>
          <w:rFonts w:hint="cs"/>
          <w:rtl/>
        </w:rPr>
        <w:t>תעו"ז</w:t>
      </w:r>
      <w:r w:rsidRPr="0097239C">
        <w:rPr>
          <w:rFonts w:hint="cs"/>
          <w:rtl/>
        </w:rPr>
        <w:t xml:space="preserve">, החלת תעריף זה אינה מקטינה בהכרח את סך הצריכה במשק ועשויה אף להביא להגדלתה. היינו, הגידול בצריכה בשעות השפל, שבהן התעריף נמוך, עשוי לעלות על הקיטון בצריכה בשעות השיא, שבהן התעריף גבוה, ובכך למעשה לגרום לחוסר יעילות בהחלת תעריף </w:t>
      </w:r>
      <w:r w:rsidRPr="0097239C">
        <w:rPr>
          <w:rFonts w:hint="cs"/>
          <w:rtl/>
        </w:rPr>
        <w:t>התעו"ז</w:t>
      </w:r>
      <w:r w:rsidRPr="0097239C">
        <w:rPr>
          <w:rFonts w:hint="cs"/>
          <w:rtl/>
        </w:rPr>
        <w:t>.</w:t>
      </w:r>
      <w:r w:rsidRPr="0097239C">
        <w:rPr>
          <w:rFonts w:hint="cs"/>
          <w:b/>
          <w:bCs/>
          <w:rtl/>
        </w:rPr>
        <w:t xml:space="preserve"> </w:t>
      </w:r>
      <w:r w:rsidRPr="0097239C">
        <w:rPr>
          <w:rFonts w:hint="cs"/>
          <w:rtl/>
        </w:rPr>
        <w:t xml:space="preserve">בנוסף, לצד התועלת בהחלת תעריף </w:t>
      </w:r>
      <w:r w:rsidRPr="0097239C">
        <w:rPr>
          <w:rFonts w:hint="cs"/>
          <w:rtl/>
        </w:rPr>
        <w:t>התעו"ז</w:t>
      </w:r>
      <w:r w:rsidRPr="0097239C">
        <w:rPr>
          <w:rFonts w:hint="cs"/>
          <w:rtl/>
        </w:rPr>
        <w:t xml:space="preserve">, ישנה גם עלות הנובעת מהחלפת המונים הקיימים במוני </w:t>
      </w:r>
      <w:r w:rsidRPr="0097239C">
        <w:rPr>
          <w:rFonts w:hint="cs"/>
          <w:rtl/>
        </w:rPr>
        <w:t>התעו"ז</w:t>
      </w:r>
      <w:r w:rsidRPr="0097239C">
        <w:rPr>
          <w:rFonts w:hint="cs"/>
          <w:rtl/>
        </w:rPr>
        <w:t>, היקרים ממונים אחידים.</w:t>
      </w:r>
      <w:r w:rsidRPr="0097239C">
        <w:rPr>
          <w:rFonts w:hint="cs"/>
          <w:b/>
          <w:bCs/>
          <w:rtl/>
        </w:rPr>
        <w:t xml:space="preserve"> </w:t>
      </w:r>
      <w:r w:rsidRPr="0097239C">
        <w:rPr>
          <w:rFonts w:hint="cs"/>
          <w:rtl/>
        </w:rPr>
        <w:t xml:space="preserve">על מנת לאזן בין התועלת לעלות קבעה הרשות, שתעריף </w:t>
      </w:r>
      <w:r w:rsidRPr="0097239C">
        <w:rPr>
          <w:rFonts w:hint="cs"/>
          <w:rtl/>
        </w:rPr>
        <w:t>תעו"ז</w:t>
      </w:r>
      <w:r w:rsidRPr="0097239C">
        <w:rPr>
          <w:rFonts w:hint="cs"/>
          <w:rtl/>
        </w:rPr>
        <w:t xml:space="preserve"> מנדטורי יחול רק על צרכנים בעלי היקף צריכה הגבוה מ-40 אלף </w:t>
      </w:r>
      <w:r w:rsidRPr="0097239C">
        <w:rPr>
          <w:rFonts w:hint="cs"/>
          <w:rtl/>
        </w:rPr>
        <w:t>קוט"ש</w:t>
      </w:r>
      <w:r w:rsidRPr="0097239C">
        <w:rPr>
          <w:rFonts w:hint="cs"/>
          <w:rtl/>
        </w:rPr>
        <w:t xml:space="preserve"> ב</w:t>
      </w:r>
      <w:r w:rsidRPr="0097239C">
        <w:rPr>
          <w:rFonts w:hint="eastAsia"/>
          <w:rtl/>
        </w:rPr>
        <w:t>שנה</w:t>
      </w:r>
      <w:r w:rsidRPr="0097239C">
        <w:rPr>
          <w:rFonts w:hint="cs"/>
          <w:rtl/>
        </w:rPr>
        <w:t xml:space="preserve">. עוד הוסיפה רשות החשמל כי תמשיך לפעול לבחינת ההיבטים הקשורים לתעריף </w:t>
      </w:r>
      <w:r w:rsidRPr="0097239C">
        <w:rPr>
          <w:rFonts w:hint="cs"/>
          <w:rtl/>
        </w:rPr>
        <w:t>התעו"ז</w:t>
      </w:r>
      <w:r w:rsidRPr="0097239C">
        <w:rPr>
          <w:rFonts w:hint="cs"/>
          <w:rtl/>
        </w:rPr>
        <w:t>, לעדכונו ולהחלתו על המשק.</w:t>
      </w:r>
    </w:p>
    <w:p w:rsidR="0097239C" w:rsidRPr="0097239C" w:rsidP="00C603CF">
      <w:pPr>
        <w:pStyle w:val="a"/>
        <w:spacing w:line="269" w:lineRule="auto"/>
      </w:pPr>
    </w:p>
    <w:p w:rsidR="0097239C" w:rsidRPr="0097239C" w:rsidP="00C603CF">
      <w:pPr>
        <w:spacing w:line="269" w:lineRule="auto"/>
        <w:rPr>
          <w:b/>
          <w:bCs/>
          <w:rtl/>
        </w:rPr>
      </w:pPr>
      <w:r w:rsidRPr="0097239C">
        <w:rPr>
          <w:rFonts w:hint="cs"/>
          <w:b/>
          <w:bCs/>
          <w:rtl/>
        </w:rPr>
        <w:t xml:space="preserve">משרד מבקר המדינה ממליץ לרשות החשמל כי נוכח היתרון שבהחלת תעריף </w:t>
      </w:r>
      <w:r w:rsidRPr="0097239C">
        <w:rPr>
          <w:rFonts w:hint="cs"/>
          <w:b/>
          <w:bCs/>
          <w:rtl/>
        </w:rPr>
        <w:t>תעו"ז</w:t>
      </w:r>
      <w:r w:rsidRPr="0097239C">
        <w:rPr>
          <w:rFonts w:hint="cs"/>
          <w:b/>
          <w:bCs/>
          <w:rtl/>
        </w:rPr>
        <w:t xml:space="preserve">, שהיא עצמה עמדה עליו, עליה להמשיך לבחון את כלל ההיבטים הקשורים להחלת תעריף </w:t>
      </w:r>
      <w:r w:rsidRPr="0097239C">
        <w:rPr>
          <w:rFonts w:hint="cs"/>
          <w:b/>
          <w:bCs/>
          <w:rtl/>
        </w:rPr>
        <w:t>תעו"ז</w:t>
      </w:r>
      <w:r w:rsidRPr="0097239C">
        <w:rPr>
          <w:rFonts w:hint="cs"/>
          <w:b/>
          <w:bCs/>
          <w:rtl/>
        </w:rPr>
        <w:t xml:space="preserve"> במקרים שבהם קיימת כדאיות כלכלית. </w:t>
      </w:r>
    </w:p>
    <w:p w:rsidR="0097239C" w:rsidRPr="0097239C" w:rsidP="00C603CF">
      <w:pPr>
        <w:pStyle w:val="a"/>
        <w:spacing w:line="269" w:lineRule="auto"/>
        <w:rPr>
          <w:rtl/>
        </w:rPr>
      </w:pPr>
    </w:p>
    <w:p w:rsidR="0097239C" w:rsidRPr="0097239C" w:rsidP="005B263A">
      <w:pPr>
        <w:spacing w:line="269" w:lineRule="auto"/>
        <w:rPr>
          <w:rtl/>
        </w:rPr>
      </w:pPr>
      <w:r w:rsidRPr="0097239C">
        <w:rPr>
          <w:rFonts w:hint="cs"/>
          <w:rtl/>
        </w:rPr>
        <w:t>רשות החשמל המליצה במרץ 2018 שלא</w:t>
      </w:r>
      <w:r w:rsidRPr="0097239C">
        <w:t xml:space="preserve"> </w:t>
      </w:r>
      <w:r w:rsidRPr="0097239C">
        <w:rPr>
          <w:rFonts w:hint="cs"/>
          <w:rtl/>
        </w:rPr>
        <w:t>לאשר</w:t>
      </w:r>
      <w:r w:rsidRPr="0097239C">
        <w:t xml:space="preserve"> </w:t>
      </w:r>
      <w:r w:rsidRPr="0097239C">
        <w:rPr>
          <w:rFonts w:hint="cs"/>
          <w:rtl/>
        </w:rPr>
        <w:t>לחברת</w:t>
      </w:r>
      <w:r w:rsidRPr="0097239C">
        <w:t xml:space="preserve"> </w:t>
      </w:r>
      <w:r w:rsidRPr="0097239C">
        <w:rPr>
          <w:rFonts w:hint="cs"/>
          <w:rtl/>
        </w:rPr>
        <w:t>החשמל</w:t>
      </w:r>
      <w:r w:rsidRPr="0097239C">
        <w:t xml:space="preserve"> </w:t>
      </w:r>
      <w:r w:rsidRPr="0097239C">
        <w:rPr>
          <w:rFonts w:hint="cs"/>
          <w:rtl/>
        </w:rPr>
        <w:t>לקדם</w:t>
      </w:r>
      <w:r w:rsidRPr="0097239C">
        <w:t xml:space="preserve"> </w:t>
      </w:r>
      <w:r w:rsidRPr="0097239C">
        <w:rPr>
          <w:rFonts w:hint="cs"/>
          <w:rtl/>
        </w:rPr>
        <w:t>פרויקט</w:t>
      </w:r>
      <w:r w:rsidRPr="0097239C">
        <w:t xml:space="preserve"> </w:t>
      </w:r>
      <w:r w:rsidRPr="0097239C">
        <w:rPr>
          <w:rFonts w:hint="cs"/>
          <w:rtl/>
        </w:rPr>
        <w:t>פריסת</w:t>
      </w:r>
      <w:r w:rsidRPr="0097239C">
        <w:t xml:space="preserve"> </w:t>
      </w:r>
      <w:r w:rsidRPr="0097239C">
        <w:rPr>
          <w:rFonts w:hint="cs"/>
          <w:rtl/>
        </w:rPr>
        <w:t>"מונים חכמים"</w:t>
      </w:r>
      <w:r w:rsidRPr="0097239C">
        <w:t xml:space="preserve"> </w:t>
      </w:r>
      <w:r w:rsidRPr="0097239C">
        <w:rPr>
          <w:rFonts w:hint="cs"/>
          <w:rtl/>
        </w:rPr>
        <w:t>בקרב כלל הצרכנים</w:t>
      </w:r>
      <w:r w:rsidRPr="0097239C">
        <w:t xml:space="preserve"> </w:t>
      </w:r>
      <w:r w:rsidRPr="0097239C">
        <w:rPr>
          <w:rFonts w:hint="cs"/>
          <w:rtl/>
        </w:rPr>
        <w:t>הביתיים, והציעה כי</w:t>
      </w:r>
      <w:r w:rsidR="008C395A">
        <w:rPr>
          <w:rFonts w:hint="cs"/>
          <w:rtl/>
        </w:rPr>
        <w:t>"</w:t>
      </w:r>
      <w:r w:rsidRPr="0097239C" w:rsidR="008C395A">
        <w:t xml:space="preserve"> </w:t>
      </w:r>
      <w:r w:rsidRPr="0097239C">
        <w:rPr>
          <w:rFonts w:hint="cs"/>
          <w:rtl/>
        </w:rPr>
        <w:t>עם</w:t>
      </w:r>
      <w:r w:rsidRPr="0097239C">
        <w:t xml:space="preserve"> </w:t>
      </w:r>
      <w:r w:rsidRPr="0097239C">
        <w:rPr>
          <w:rFonts w:hint="cs"/>
          <w:rtl/>
        </w:rPr>
        <w:t>סיום</w:t>
      </w:r>
      <w:r w:rsidRPr="0097239C">
        <w:t xml:space="preserve"> </w:t>
      </w:r>
      <w:r w:rsidRPr="0097239C">
        <w:rPr>
          <w:rFonts w:hint="cs"/>
          <w:rtl/>
        </w:rPr>
        <w:t>תוכנית</w:t>
      </w:r>
      <w:r w:rsidRPr="0097239C">
        <w:t xml:space="preserve"> </w:t>
      </w:r>
      <w:r w:rsidRPr="0097239C">
        <w:rPr>
          <w:rFonts w:hint="cs"/>
          <w:rtl/>
        </w:rPr>
        <w:t>הפיתוח</w:t>
      </w:r>
      <w:r w:rsidRPr="0097239C">
        <w:t xml:space="preserve"> </w:t>
      </w:r>
      <w:r w:rsidRPr="0097239C">
        <w:rPr>
          <w:rFonts w:hint="cs"/>
          <w:rtl/>
        </w:rPr>
        <w:t>של</w:t>
      </w:r>
      <w:r w:rsidRPr="0097239C">
        <w:t xml:space="preserve"> </w:t>
      </w:r>
      <w:r w:rsidRPr="0097239C">
        <w:rPr>
          <w:rFonts w:hint="cs"/>
          <w:rtl/>
        </w:rPr>
        <w:t>החברה</w:t>
      </w:r>
      <w:r w:rsidRPr="0097239C">
        <w:t xml:space="preserve"> </w:t>
      </w:r>
      <w:r w:rsidRPr="0097239C">
        <w:rPr>
          <w:rFonts w:hint="cs"/>
          <w:rtl/>
        </w:rPr>
        <w:t>לחומש הקרוב</w:t>
      </w:r>
      <w:r w:rsidRPr="0097239C">
        <w:t xml:space="preserve"> </w:t>
      </w:r>
      <w:r w:rsidRPr="0097239C">
        <w:rPr>
          <w:rFonts w:hint="cs"/>
          <w:rtl/>
        </w:rPr>
        <w:t>בשנים 2018 עד 2022 ובכפוף</w:t>
      </w:r>
      <w:r w:rsidRPr="0097239C">
        <w:t xml:space="preserve"> </w:t>
      </w:r>
      <w:r w:rsidRPr="0097239C">
        <w:rPr>
          <w:rFonts w:hint="cs"/>
          <w:rtl/>
        </w:rPr>
        <w:t>להשלמת</w:t>
      </w:r>
      <w:r w:rsidRPr="0097239C">
        <w:t xml:space="preserve"> </w:t>
      </w:r>
      <w:r w:rsidRPr="0097239C">
        <w:rPr>
          <w:rFonts w:hint="cs"/>
          <w:rtl/>
        </w:rPr>
        <w:t>פרויקטים</w:t>
      </w:r>
      <w:r w:rsidRPr="0097239C">
        <w:t xml:space="preserve"> </w:t>
      </w:r>
      <w:r w:rsidRPr="0097239C">
        <w:rPr>
          <w:rFonts w:hint="cs"/>
          <w:rtl/>
        </w:rPr>
        <w:t>נדרשים</w:t>
      </w:r>
      <w:r w:rsidRPr="0097239C">
        <w:t xml:space="preserve"> </w:t>
      </w:r>
      <w:r w:rsidRPr="0097239C">
        <w:rPr>
          <w:rFonts w:hint="cs"/>
          <w:rtl/>
        </w:rPr>
        <w:t>במסגרת</w:t>
      </w:r>
      <w:r w:rsidRPr="0097239C">
        <w:t xml:space="preserve"> </w:t>
      </w:r>
      <w:r w:rsidRPr="0097239C">
        <w:rPr>
          <w:rFonts w:hint="cs"/>
          <w:rtl/>
        </w:rPr>
        <w:t>זו,</w:t>
      </w:r>
      <w:r w:rsidRPr="0097239C">
        <w:t xml:space="preserve"> </w:t>
      </w:r>
      <w:r w:rsidRPr="0097239C">
        <w:rPr>
          <w:rFonts w:hint="cs"/>
          <w:rtl/>
        </w:rPr>
        <w:t>וכן</w:t>
      </w:r>
      <w:r w:rsidRPr="0097239C">
        <w:t xml:space="preserve"> </w:t>
      </w:r>
      <w:r w:rsidRPr="0097239C">
        <w:rPr>
          <w:rFonts w:hint="cs"/>
          <w:rtl/>
        </w:rPr>
        <w:t>לאחר</w:t>
      </w:r>
      <w:r w:rsidRPr="0097239C">
        <w:t xml:space="preserve"> </w:t>
      </w:r>
      <w:r w:rsidRPr="0097239C">
        <w:rPr>
          <w:rFonts w:hint="cs"/>
          <w:rtl/>
        </w:rPr>
        <w:t>קבלת ממצאים מהעולם</w:t>
      </w:r>
      <w:r w:rsidRPr="0097239C">
        <w:t xml:space="preserve"> </w:t>
      </w:r>
      <w:r w:rsidRPr="0097239C">
        <w:rPr>
          <w:rFonts w:hint="cs"/>
          <w:rtl/>
        </w:rPr>
        <w:t>ומהפיילוט</w:t>
      </w:r>
      <w:r w:rsidRPr="0097239C">
        <w:t xml:space="preserve"> </w:t>
      </w:r>
      <w:r w:rsidRPr="0097239C">
        <w:rPr>
          <w:rFonts w:hint="cs"/>
          <w:rtl/>
        </w:rPr>
        <w:t>שהרשות</w:t>
      </w:r>
      <w:r w:rsidRPr="0097239C">
        <w:t xml:space="preserve"> </w:t>
      </w:r>
      <w:r w:rsidRPr="0097239C">
        <w:rPr>
          <w:rFonts w:hint="cs"/>
          <w:rtl/>
        </w:rPr>
        <w:t>אישרה</w:t>
      </w:r>
      <w:r w:rsidRPr="0097239C">
        <w:t xml:space="preserve"> </w:t>
      </w:r>
      <w:r w:rsidRPr="0097239C">
        <w:rPr>
          <w:rFonts w:hint="cs"/>
          <w:rtl/>
        </w:rPr>
        <w:t>לחברה</w:t>
      </w:r>
      <w:r w:rsidRPr="0097239C">
        <w:t xml:space="preserve"> </w:t>
      </w:r>
      <w:r w:rsidRPr="0097239C">
        <w:rPr>
          <w:rFonts w:hint="cs"/>
          <w:rtl/>
        </w:rPr>
        <w:t>לבצע</w:t>
      </w:r>
      <w:r w:rsidRPr="0097239C">
        <w:t xml:space="preserve"> </w:t>
      </w:r>
      <w:r w:rsidRPr="0097239C">
        <w:rPr>
          <w:rFonts w:hint="cs"/>
          <w:rtl/>
        </w:rPr>
        <w:t>בהחלטה</w:t>
      </w:r>
      <w:r w:rsidRPr="0097239C">
        <w:t xml:space="preserve"> </w:t>
      </w:r>
      <w:r w:rsidRPr="0097239C">
        <w:rPr>
          <w:rFonts w:hint="cs"/>
          <w:rtl/>
        </w:rPr>
        <w:t>מיום</w:t>
      </w:r>
      <w:r w:rsidRPr="0097239C">
        <w:t xml:space="preserve"> </w:t>
      </w:r>
      <w:r w:rsidR="005B263A">
        <w:rPr>
          <w:rFonts w:hint="cs"/>
          <w:rtl/>
        </w:rPr>
        <w:t>21.1.13</w:t>
      </w:r>
      <w:r w:rsidRPr="0097239C">
        <w:t xml:space="preserve"> </w:t>
      </w:r>
      <w:r w:rsidRPr="0097239C">
        <w:rPr>
          <w:rFonts w:hint="cs"/>
          <w:rtl/>
        </w:rPr>
        <w:t>על התועלות שעשויות</w:t>
      </w:r>
      <w:r w:rsidRPr="0097239C">
        <w:t xml:space="preserve"> </w:t>
      </w:r>
      <w:r w:rsidRPr="0097239C">
        <w:rPr>
          <w:rFonts w:hint="cs"/>
          <w:rtl/>
        </w:rPr>
        <w:t>להתממש</w:t>
      </w:r>
      <w:r w:rsidRPr="0097239C">
        <w:t xml:space="preserve"> </w:t>
      </w:r>
      <w:r w:rsidRPr="0097239C">
        <w:rPr>
          <w:rFonts w:hint="cs"/>
          <w:rtl/>
        </w:rPr>
        <w:t>מהפרויקט, יתקיים</w:t>
      </w:r>
      <w:r w:rsidRPr="0097239C">
        <w:t xml:space="preserve"> </w:t>
      </w:r>
      <w:r w:rsidRPr="0097239C">
        <w:rPr>
          <w:rFonts w:hint="cs"/>
          <w:rtl/>
        </w:rPr>
        <w:t>דיון</w:t>
      </w:r>
      <w:r w:rsidRPr="0097239C">
        <w:t xml:space="preserve"> </w:t>
      </w:r>
      <w:r w:rsidRPr="0097239C">
        <w:rPr>
          <w:rFonts w:hint="cs"/>
          <w:rtl/>
        </w:rPr>
        <w:t>חוזר</w:t>
      </w:r>
      <w:r w:rsidRPr="0097239C">
        <w:t xml:space="preserve"> </w:t>
      </w:r>
      <w:r w:rsidRPr="0097239C">
        <w:rPr>
          <w:rFonts w:hint="cs"/>
          <w:rtl/>
        </w:rPr>
        <w:t xml:space="preserve">בנושא". </w:t>
      </w:r>
      <w:r w:rsidRPr="0097239C">
        <w:rPr>
          <w:rFonts w:hint="cs"/>
          <w:rtl/>
        </w:rPr>
        <w:t>חח"י</w:t>
      </w:r>
      <w:r w:rsidRPr="0097239C">
        <w:rPr>
          <w:rFonts w:hint="cs"/>
          <w:rtl/>
        </w:rPr>
        <w:t xml:space="preserve"> החלה לקדם את הניסוי </w:t>
      </w:r>
      <w:r w:rsidRPr="0097239C">
        <w:rPr>
          <w:rFonts w:hint="cs"/>
          <w:rtl/>
        </w:rPr>
        <w:t>התעריפי</w:t>
      </w:r>
      <w:r w:rsidRPr="0097239C">
        <w:rPr>
          <w:rFonts w:hint="cs"/>
          <w:rtl/>
        </w:rPr>
        <w:t xml:space="preserve"> בעיר מודיעין, והתקינה "מונים חכמים" בכ-12,600 בתי אב בעיר. הניסוי היה צפוי לארוך שנתיים.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ממליץ לרשות החשמל כי נוכח התועלות הצפויות מהסטת ביקושים בשעות השיא ומצמצום צריכת החשמל, ראוי כי תבחן את כלל האפשרויות ותנקוט את הצעדים הנדרשים על מנת לקדם שינויים בהרגלי צריכת החשמל בקרב הצרכנים הביתיים, שיביאו להתייעלות אנרגטית ולצמצום הנזקים הסביבתיים והבריאותיים הנובעים מייצור חשמל. בכלל זה, עליה לשקול כיצד יש לקדם התקנת מונים חכמים ומוני </w:t>
      </w:r>
      <w:r w:rsidRPr="0097239C">
        <w:rPr>
          <w:rFonts w:hint="cs"/>
          <w:b/>
          <w:bCs/>
          <w:rtl/>
        </w:rPr>
        <w:t>תעו"ז</w:t>
      </w:r>
      <w:r w:rsidRPr="0097239C">
        <w:rPr>
          <w:rFonts w:hint="cs"/>
          <w:b/>
          <w:bCs/>
          <w:rtl/>
        </w:rPr>
        <w:t xml:space="preserve">, כאמור בכפוף לבחינת עלות-תועלת וכדאיות כלכלית.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רשות החשמל השיבה למשרד מבקר המדינה במאי 2020 כי אינה רואה את עצמה כגורם האחראי המוביל לקידום שינוי הרגלי צריכת החשמל של הציבור הישראלי. עם זאת, היא מעוניינת כי צריכת חשמל תיעשה באופן מודע להשלכות הצריכה - בהתאם למועד הצריכה וליכולות הייצור של המשק בכל זמן נתון. </w:t>
      </w:r>
      <w:r w:rsidRPr="0097239C">
        <w:rPr>
          <w:rFonts w:hint="eastAsia"/>
          <w:rtl/>
        </w:rPr>
        <w:t>בימים</w:t>
      </w:r>
      <w:r w:rsidRPr="0097239C">
        <w:rPr>
          <w:rtl/>
        </w:rPr>
        <w:t xml:space="preserve"> אלה בוחנת הרשות </w:t>
      </w:r>
      <w:r w:rsidRPr="0097239C">
        <w:rPr>
          <w:rFonts w:hint="cs"/>
          <w:rtl/>
        </w:rPr>
        <w:t xml:space="preserve">כאמור </w:t>
      </w:r>
      <w:r w:rsidRPr="0097239C">
        <w:rPr>
          <w:rtl/>
        </w:rPr>
        <w:t>את הכדאיות של הכנסה הדרגתית של מונים חכמים</w:t>
      </w:r>
      <w:r w:rsidRPr="0097239C">
        <w:rPr>
          <w:rFonts w:hint="cs"/>
          <w:rtl/>
        </w:rPr>
        <w:t xml:space="preserve">. בנוסף, הרשות מקדמת עם משרד </w:t>
      </w:r>
      <w:r w:rsidRPr="0097239C">
        <w:rPr>
          <w:rFonts w:hint="cs"/>
          <w:rtl/>
        </w:rPr>
        <w:t>האנרגייה</w:t>
      </w:r>
      <w:r w:rsidRPr="0097239C">
        <w:rPr>
          <w:rFonts w:hint="cs"/>
          <w:rtl/>
        </w:rPr>
        <w:t xml:space="preserve"> ניסוי להרחבת הסדר "השלה מרצון"</w:t>
      </w:r>
      <w:r>
        <w:rPr>
          <w:vertAlign w:val="superscript"/>
          <w:rtl/>
        </w:rPr>
        <w:footnoteReference w:id="80"/>
      </w:r>
      <w:r w:rsidRPr="0097239C">
        <w:rPr>
          <w:rFonts w:hint="cs"/>
          <w:rtl/>
        </w:rPr>
        <w:t xml:space="preserve"> של צרכנים ולניטור המידע בעת ההשלה, באופן שיאפשר הגדלת כמות ההספק המוּשל </w:t>
      </w:r>
      <w:r w:rsidRPr="0097239C">
        <w:rPr>
          <w:rFonts w:hint="cs"/>
          <w:rtl/>
        </w:rPr>
        <w:t>בעיתות</w:t>
      </w:r>
      <w:r w:rsidRPr="0097239C">
        <w:rPr>
          <w:rFonts w:hint="cs"/>
          <w:rtl/>
        </w:rPr>
        <w:t xml:space="preserve"> מצוקה. עוד השיבה רשות החשמל כי היא צופה התייעלות בצריכת החשמל </w:t>
      </w:r>
      <w:r w:rsidRPr="0097239C">
        <w:rPr>
          <w:rFonts w:hint="cs"/>
          <w:rtl/>
        </w:rPr>
        <w:t>כשחח"י</w:t>
      </w:r>
      <w:r w:rsidRPr="0097239C">
        <w:rPr>
          <w:rFonts w:hint="cs"/>
          <w:rtl/>
        </w:rPr>
        <w:t xml:space="preserve"> תחל בפריסת מונים חכמים בהתאם לעקרונות הרשות, וכי הרשות תוכל לפעול באופן נרחב יותר להתאמת תעריפי הצריכה למועדי הצריכה.</w:t>
      </w:r>
    </w:p>
    <w:p w:rsidR="0097239C" w:rsidRPr="0097239C" w:rsidP="00C603CF">
      <w:pPr>
        <w:pStyle w:val="a"/>
        <w:spacing w:line="269" w:lineRule="auto"/>
      </w:pPr>
    </w:p>
    <w:p w:rsidR="0097239C" w:rsidRPr="0097239C" w:rsidP="00C603CF">
      <w:pPr>
        <w:spacing w:line="269" w:lineRule="auto"/>
        <w:rPr>
          <w:b/>
          <w:bCs/>
          <w:rtl/>
        </w:rPr>
      </w:pPr>
      <w:r w:rsidRPr="0097239C">
        <w:rPr>
          <w:rFonts w:hint="cs"/>
          <w:b/>
          <w:bCs/>
          <w:rtl/>
        </w:rPr>
        <w:t>תעריף החשמל הינו אחד הכלים המרכזיים העשויים לסייע בשינוי הביקוש לחשמל ולפריסת צריכת החשמל על פני היממה. קביעת תעריפים הינה באחריותה הבלעדית של רשות החשמל. על כן ממליץ משרד מבקר המדינה לרשות לבחון את שינויי התעריפים על מנת להביא לחיסכון בצריכת החשמל ולפריסתה על פני היממה.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פריסת מונים חכמים מאפשרת לקדם יעדים ממשלתיים בתחום </w:t>
      </w:r>
      <w:r w:rsidRPr="0097239C">
        <w:rPr>
          <w:rFonts w:hint="cs"/>
          <w:rtl/>
        </w:rPr>
        <w:t>האנרגייה</w:t>
      </w:r>
      <w:r w:rsidRPr="0097239C">
        <w:rPr>
          <w:rFonts w:hint="cs"/>
          <w:rtl/>
        </w:rPr>
        <w:t>, ובהם פתיחת מקטע אספקת החשמל</w:t>
      </w:r>
      <w:r>
        <w:rPr>
          <w:vertAlign w:val="superscript"/>
          <w:rtl/>
        </w:rPr>
        <w:footnoteReference w:id="81"/>
      </w:r>
      <w:r w:rsidRPr="0097239C">
        <w:rPr>
          <w:rFonts w:hint="cs"/>
          <w:rtl/>
        </w:rPr>
        <w:t xml:space="preserve"> לתחרות. בנובמבר 2019 פרסמה רשות החשמל עקרונות שימוע בנושא עקרונות לפיילוט לפתיחת מקטע האספקה במשק החשמל לתחרות. הרשות קבעה כי המכירה במסגרת הפיילוט תוגבל לאנשים שמותקן להם מונה רציף. לפי עמדת הרשות, מטרת פתיחת מקטע האספקה לתחרות היא לשכלל את התחרות בשוק </w:t>
      </w:r>
      <w:r w:rsidRPr="0097239C">
        <w:rPr>
          <w:rFonts w:hint="cs"/>
          <w:rtl/>
        </w:rPr>
        <w:t>האנרגייה</w:t>
      </w:r>
      <w:r w:rsidRPr="0097239C">
        <w:rPr>
          <w:rFonts w:hint="cs"/>
          <w:rtl/>
        </w:rPr>
        <w:t xml:space="preserve"> באמצעות הוספת צד הביקוש לתחרות, להעביר את התועלת מהתחרות לצרכנים, לעודד התייעלות אנרגטית ולשפר את השירות לצרכן. לשם כך קבעה רשות החשמל מנגנון תמחור חצי-שעתי, בהתאם לביקוש, לזמינות מתקני הייצור ולמחירים שנקבעו בתחרות במקטע הייצור. תמחור כזה מבטא את עלות ייצור </w:t>
      </w:r>
      <w:r w:rsidRPr="0097239C">
        <w:rPr>
          <w:rFonts w:hint="cs"/>
          <w:rtl/>
        </w:rPr>
        <w:t>האנרגייה</w:t>
      </w:r>
      <w:r w:rsidRPr="0097239C">
        <w:rPr>
          <w:rFonts w:hint="cs"/>
          <w:rtl/>
        </w:rPr>
        <w:t xml:space="preserve"> שנצרכה, ומעודד הסטת הצריכה לשעות שבהן מחיר </w:t>
      </w:r>
      <w:r w:rsidRPr="0097239C">
        <w:rPr>
          <w:rFonts w:hint="cs"/>
          <w:rtl/>
        </w:rPr>
        <w:t>האנרגייה</w:t>
      </w:r>
      <w:r w:rsidRPr="0097239C">
        <w:rPr>
          <w:rFonts w:hint="cs"/>
          <w:rtl/>
        </w:rPr>
        <w:t xml:space="preserve"> זול יותר. יישום מחיר כאמור מחייב מונה צריכה רציף. ממסמכי השימוע עולה כי ללא מונים רציפים לא ניתן לעודד התייעלות אנרגטית באמצעות תחרות באספקה, ולא ניתן לתמחר באופן מדויק את עלות רכישת </w:t>
      </w:r>
      <w:r w:rsidRPr="0097239C">
        <w:rPr>
          <w:rFonts w:hint="cs"/>
          <w:rtl/>
        </w:rPr>
        <w:t>האנרגייה</w:t>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רשות החשמל מסרה למשרד מבקר המדינה בינואר 2020 כי פרסמה בנובמבר 2019 קול קורא, ולפיו הציבור מוזמן להציג את עמדתו בנושא שילוב מנייה רציפה לצרכני המגזר הביתי לשם קידום שירותים מתקדמים ברשת החלוקה. רשות החשמל הוסיפה כי עד סוף אוקטובר התקבלו תגובות הציבור על הקול הקורא, וכי "הרשות בוחנת בימים אלה את התוואי המתאים לקידום מונים חכמים תוך בחינה ביקורתית של התועלות ממונים בשים לב למזעור עלויות במשק". בחינה זו כוללת קידום פריסה באופן מדורג ובדגש על הצרכנים הגדולים ביותר בשלב ראשון; בחינת המאפיינים הטכנולוגיים של המונים לצורך הבטחת תחרות בשירותי האספקה ובשירותים נלווים שנותנים ספקי שירות שונים לצרכנים הביתיים; בחינת שיטת התקשורת מהמונה לצורך איסוף נתוני צריכה מהספקים והצגתם לצרכנים; בחינת נושא האיסוף, הריכוז, השמירה והעיבוד של נתוני הצריכה במשק וקביעת מתווה להעברת המידע מהצרכנים לספקים. בתום הליך הבחינה תפרסם הרשות החלטה לשימוע ציבורי בדבר מתווה לקידום "מונים חכמים" בקרב הצרכנים הביתיים.</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הכנסת תחרות במקטע האספקה עשויה אף היא לתרום לייעול מערכת החשמל. ספקי חשמל פרטיים עשויים להציע הן שירותי ניהול </w:t>
      </w:r>
      <w:r w:rsidRPr="0097239C">
        <w:rPr>
          <w:rFonts w:hint="cs"/>
          <w:b/>
          <w:bCs/>
          <w:rtl/>
        </w:rPr>
        <w:t>אנרגייה</w:t>
      </w:r>
      <w:r w:rsidRPr="0097239C">
        <w:rPr>
          <w:rFonts w:hint="cs"/>
          <w:b/>
          <w:bCs/>
          <w:rtl/>
        </w:rPr>
        <w:t xml:space="preserve"> והן דרכים לייעול צריכת </w:t>
      </w:r>
      <w:r w:rsidRPr="0097239C">
        <w:rPr>
          <w:rFonts w:hint="cs"/>
          <w:b/>
          <w:bCs/>
          <w:rtl/>
        </w:rPr>
        <w:t>האנרגייה</w:t>
      </w:r>
      <w:r w:rsidRPr="0097239C">
        <w:rPr>
          <w:rFonts w:hint="cs"/>
          <w:b/>
          <w:bCs/>
          <w:rtl/>
        </w:rPr>
        <w:t xml:space="preserve"> של הצרכנים הביתיים. מומלץ כי רשות החשמל בשיתוף משרד </w:t>
      </w:r>
      <w:r w:rsidRPr="0097239C">
        <w:rPr>
          <w:rFonts w:hint="cs"/>
          <w:b/>
          <w:bCs/>
          <w:rtl/>
        </w:rPr>
        <w:t>האנרגייה</w:t>
      </w:r>
      <w:r w:rsidRPr="0097239C">
        <w:rPr>
          <w:rFonts w:hint="cs"/>
          <w:b/>
          <w:bCs/>
          <w:rtl/>
        </w:rPr>
        <w:t xml:space="preserve"> </w:t>
      </w:r>
      <w:r w:rsidRPr="0097239C">
        <w:rPr>
          <w:rFonts w:hint="cs"/>
          <w:b/>
          <w:bCs/>
          <w:rtl/>
        </w:rPr>
        <w:t>וחח"י</w:t>
      </w:r>
      <w:r w:rsidRPr="0097239C">
        <w:rPr>
          <w:rFonts w:hint="cs"/>
          <w:b/>
          <w:bCs/>
          <w:rtl/>
        </w:rPr>
        <w:t xml:space="preserve"> ישלימו את הליכי הבחינה בעניין קידום המונים החכמים, וכן תקודם החלטת הממשלה להפעלת חברת ניהול המערכת.</w:t>
      </w:r>
    </w:p>
    <w:p w:rsidR="0097239C" w:rsidRPr="0097239C" w:rsidP="00C603CF">
      <w:pPr>
        <w:pStyle w:val="a"/>
        <w:spacing w:line="269" w:lineRule="auto"/>
        <w:rPr>
          <w:rtl/>
        </w:rPr>
      </w:pPr>
    </w:p>
    <w:p w:rsidR="0097239C" w:rsidP="00C603CF">
      <w:pPr>
        <w:spacing w:line="269" w:lineRule="auto"/>
        <w:rPr>
          <w:rtl/>
        </w:rPr>
      </w:pPr>
      <w:r w:rsidRPr="0097239C">
        <w:rPr>
          <w:rFonts w:hint="cs"/>
          <w:rtl/>
        </w:rPr>
        <w:t>רשות החשמל השיבה למשרד מבקר המדינה במאי 2020 כי בהתאם להחלטת ממשלה 3859, שקבעה כי מקטע האספקה ייפתח לתחרות באופן הדרגתי, ומתוך כוונה להבטיח שהתחרות באספקה תהיה יעילה ותביא את התועלות המצופות לצרכני החשמל, בנובמבר 2019 פרסמה לשימוע ציבורי מתווה לפיילוט לפתיחת מקטע האספקה לתחרות, ו"בחודש הקרוב"</w:t>
      </w:r>
      <w:r w:rsidRPr="0097239C">
        <w:rPr>
          <w:rtl/>
        </w:rPr>
        <w:t xml:space="preserve"> מתוכננת החלטה סופית בעניין </w:t>
      </w:r>
      <w:r w:rsidRPr="0097239C">
        <w:rPr>
          <w:rFonts w:hint="cs"/>
          <w:rtl/>
        </w:rPr>
        <w:t xml:space="preserve">הפיילוט </w:t>
      </w:r>
      <w:r w:rsidRPr="0097239C">
        <w:rPr>
          <w:rtl/>
        </w:rPr>
        <w:t>לאחר קבלת התייחסויות מהציבור</w:t>
      </w:r>
      <w:r w:rsidRPr="0097239C">
        <w:rPr>
          <w:rFonts w:hint="cs"/>
          <w:rtl/>
        </w:rPr>
        <w:t>. עוד ציינה הרשות כי</w:t>
      </w:r>
      <w:r w:rsidRPr="0097239C">
        <w:rPr>
          <w:rtl/>
        </w:rPr>
        <w:t xml:space="preserve"> הפיילוט מתוכנן לצאת לדרך במהלך השנה הבאה</w:t>
      </w:r>
      <w:r w:rsidRPr="0097239C">
        <w:rPr>
          <w:rFonts w:hint="cs"/>
          <w:rtl/>
        </w:rPr>
        <w:t>,</w:t>
      </w:r>
      <w:r w:rsidRPr="0097239C">
        <w:rPr>
          <w:rtl/>
        </w:rPr>
        <w:t xml:space="preserve"> ובמסגרתו יוכלו ספקים למכור חשמל לצרכנים להם מותקן כבר מונה רציף בהיקף של עד 300 </w:t>
      </w:r>
      <w:r w:rsidRPr="0097239C">
        <w:rPr>
          <w:rtl/>
        </w:rPr>
        <w:t>מגהוואט</w:t>
      </w:r>
      <w:r w:rsidRPr="0097239C">
        <w:rPr>
          <w:rFonts w:hint="cs"/>
          <w:rtl/>
        </w:rPr>
        <w:t>-שעה. ביוני 2020 פרסמה רשות החשמל שימוע "משלים" בנושא "עקרונות לפתיחת מקטע האספקה במשק החשמל לתחרות באופן הדרגתי", וזאת עקב שינויים מהותיים אחדים שנערכו, בפרט ביחס למבנה התעריף ולאופן ניהול הפיילוט, והציבור נדרש להתייחס לשימוע עד סוף חודש יוני 2020. לעניין חברת ניהול המערכת, הרשות השיבה כי הופצה טיוטת רישיון לחברה לעיון ולהערות הציבור, כשלב אחרון לפני הענקת הרישיון לחברת ניהול המערכת ותחילת פעילותה. כמו כן</w:t>
      </w:r>
      <w:r w:rsidRPr="0097239C">
        <w:rPr>
          <w:rtl/>
        </w:rPr>
        <w:t>, הרשות קבעה אמות מידה שעיקרן ביסוס שוק סיטונאי לחשמל</w:t>
      </w:r>
      <w:r>
        <w:rPr>
          <w:vertAlign w:val="superscript"/>
          <w:rtl/>
        </w:rPr>
        <w:footnoteReference w:id="82"/>
      </w:r>
      <w:r w:rsidRPr="0097239C">
        <w:rPr>
          <w:rtl/>
        </w:rPr>
        <w:t>.</w:t>
      </w:r>
    </w:p>
    <w:p w:rsidR="003F2044" w:rsidRPr="0097239C" w:rsidP="00C603CF">
      <w:pPr>
        <w:spacing w:line="269" w:lineRule="auto"/>
        <w:rPr>
          <w:rtl/>
        </w:rPr>
      </w:pPr>
    </w:p>
    <w:p w:rsidR="0097239C" w:rsidP="00C603CF">
      <w:pPr>
        <w:pStyle w:val="Heading3"/>
        <w:spacing w:before="0" w:line="269" w:lineRule="auto"/>
        <w:rPr>
          <w:rtl/>
        </w:rPr>
      </w:pPr>
      <w:bookmarkStart w:id="8" w:name="_Toc46906224"/>
      <w:r w:rsidRPr="0097239C">
        <w:rPr>
          <w:rFonts w:hint="cs"/>
          <w:rtl/>
        </w:rPr>
        <w:t xml:space="preserve">הפנמת עלויות חיצוניות במחירי </w:t>
      </w:r>
      <w:r w:rsidRPr="0097239C">
        <w:rPr>
          <w:rFonts w:hint="cs"/>
          <w:rtl/>
        </w:rPr>
        <w:t>הדלקים</w:t>
      </w:r>
      <w:bookmarkEnd w:id="8"/>
    </w:p>
    <w:p w:rsidR="00C87287"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השימוש בדלק לסוגיו כרוך ביצירת מפגעים שעלותם אינה מוטלת כיום במישרין על המשתמש (עלות חיצונית), אלא על הציבור הרחב. עלויות חיצוניות מוגדרות כעלויות שאינן משולמות על ידי מבצע הפעילות, ולכן אינן מובאות בחשבון במסגרת הערכת כדאיות הפעילות. ההשפעות החיצוניות הגלומות בשימוש </w:t>
      </w:r>
      <w:r w:rsidRPr="0097239C">
        <w:rPr>
          <w:rFonts w:hint="cs"/>
          <w:rtl/>
        </w:rPr>
        <w:t>בדלקים</w:t>
      </w:r>
      <w:r w:rsidRPr="0097239C">
        <w:rPr>
          <w:rFonts w:hint="cs"/>
          <w:rtl/>
        </w:rPr>
        <w:t xml:space="preserve"> גורמות למשתמשים להעריך בחסר את עלויות השימוש. לדוגמה, שריפת </w:t>
      </w:r>
      <w:r w:rsidRPr="0097239C">
        <w:rPr>
          <w:rFonts w:hint="cs"/>
          <w:rtl/>
        </w:rPr>
        <w:t>דלקים</w:t>
      </w:r>
      <w:r w:rsidRPr="0097239C">
        <w:rPr>
          <w:rFonts w:hint="cs"/>
          <w:rtl/>
        </w:rPr>
        <w:t xml:space="preserve"> </w:t>
      </w:r>
      <w:r w:rsidRPr="0097239C">
        <w:rPr>
          <w:rFonts w:hint="cs"/>
          <w:rtl/>
        </w:rPr>
        <w:t>פוסיליים</w:t>
      </w:r>
      <w:r w:rsidRPr="0097239C">
        <w:rPr>
          <w:rFonts w:hint="cs"/>
          <w:rtl/>
        </w:rPr>
        <w:t xml:space="preserve"> כרוכה בזיהום אוויר הגורם לתחלואה, נוסף על העלות הישירה של צריכת הדלק המושתת על המשתמש. עלות זו מתבטאת בעלויות אשפוז בבתי חולים, בהפסד ימי עבודה וכדומה. עלות זו אינה מושתת באופן ישיר על המשתמשים, ולכן מוגדרת כעלות חיצונית. היעדר התחשבות בעלויות החיצוניות גורם לשימוש יתר במוצר, אשר מתקיים כאשר העלות השולית למשתמש קטנה מהעלות השולית לחברה. לדוגמה, על מנת להקטין את היקף השימוש </w:t>
      </w:r>
      <w:r w:rsidRPr="0097239C">
        <w:rPr>
          <w:rFonts w:hint="cs"/>
          <w:rtl/>
        </w:rPr>
        <w:t>בדלקים</w:t>
      </w:r>
      <w:r w:rsidRPr="0097239C">
        <w:rPr>
          <w:rFonts w:hint="cs"/>
          <w:rtl/>
        </w:rPr>
        <w:t>, ניתן להעלות את המיסוי באופן שהעלות למשתמש תהיה שווה לעלות החברתית.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במחקר של בנק ישראל משנת 2017 נמצא כי למחיר החשמל יש השפעה ישירה על צריכת החשמל של משקי הבית. עליית מחיר החשמל מפחיתה את היקף צריכת החשמל ב-25% - 30% מהיקף השינוי במחיר, ולהפך. בענפי התעשייה והשירותים יש למחיר החשמל השפעה עקיפה על הצריכה - הפחתת גמישות הצריכה של היצרנים יחסית לגידול בתוצר.</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ביולי 2010 החליטה הממשלה</w:t>
      </w:r>
      <w:r>
        <w:rPr>
          <w:vertAlign w:val="superscript"/>
          <w:rtl/>
        </w:rPr>
        <w:footnoteReference w:id="83"/>
      </w:r>
      <w:r w:rsidRPr="0097239C">
        <w:rPr>
          <w:rFonts w:hint="cs"/>
          <w:rtl/>
        </w:rPr>
        <w:t xml:space="preserve"> להעלות את הבלו המוטל על הפחם ב-34 ש"ח לכל טונה בשנת 2011, וב-34 ש"ח נוספים בשנת 2012; זאת בין היתר נוכח התועלת למשק מהפנמת העלויות החיצוניות הכרוכות בצריכת דלק ובייצור חשמל. הפעימה הראשונה יושמה בתחילת שנת 2011, ואילו הפעימה השנייה לא יושמה בהמלצת ועדת טרכטנברג</w:t>
      </w:r>
      <w:r>
        <w:rPr>
          <w:vertAlign w:val="superscript"/>
          <w:rtl/>
        </w:rPr>
        <w:footnoteReference w:id="84"/>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בינואר 2013 החליטה הממשלה על גיבוש צעדים להפחתת התלות הישראלית בנפט לתחבורה. במסגרת </w:t>
      </w:r>
      <w:r w:rsidRPr="0097239C">
        <w:rPr>
          <w:rFonts w:hint="cs"/>
          <w:rtl/>
        </w:rPr>
        <w:t>תוכנית</w:t>
      </w:r>
      <w:r w:rsidRPr="0097239C">
        <w:rPr>
          <w:rFonts w:hint="cs"/>
          <w:rtl/>
        </w:rPr>
        <w:t xml:space="preserve"> פעולה זו החליטה הממשלה להקים ועדה בין-משרדית למיסוי ירוק - תחליפי נפט לתחבורה</w:t>
      </w:r>
      <w:r>
        <w:rPr>
          <w:vertAlign w:val="superscript"/>
          <w:rtl/>
        </w:rPr>
        <w:footnoteReference w:id="85"/>
      </w:r>
      <w:r w:rsidRPr="0097239C">
        <w:rPr>
          <w:rFonts w:hint="cs"/>
          <w:rtl/>
        </w:rPr>
        <w:t xml:space="preserve"> (להלן - הוועדה למיסוי ירוק 3), על מנת שתגבש מתווה מדיניות מיסוי למגוון מקורות </w:t>
      </w:r>
      <w:r w:rsidRPr="0097239C">
        <w:rPr>
          <w:rFonts w:hint="cs"/>
          <w:rtl/>
        </w:rPr>
        <w:t>האנרגייה</w:t>
      </w:r>
      <w:r w:rsidRPr="0097239C">
        <w:rPr>
          <w:rFonts w:hint="cs"/>
          <w:rtl/>
        </w:rPr>
        <w:t xml:space="preserve"> לתחבורה, לכלי רכב ולמתקני תשתית או תדלוק מבוססי תחליפי נפט בהתאם להשפעות החיצוניות ולעידוד טכנולוגיות חדשות, תוך קידום הטמעת תחליפי נפט, אם יימצא שהמעבר לתחליפים כדאי כלכלית ותוך שמירה על מסגרת פיסקאלית-תקציבית. דוח הוועדה התמקד בעיקר במגזר התחבורה, אך מאחר שיש קשר ישיר בין הבלו על </w:t>
      </w:r>
      <w:r w:rsidRPr="0097239C">
        <w:rPr>
          <w:rFonts w:hint="cs"/>
          <w:rtl/>
        </w:rPr>
        <w:t>דלקים</w:t>
      </w:r>
      <w:r w:rsidRPr="0097239C">
        <w:rPr>
          <w:rFonts w:hint="cs"/>
          <w:rtl/>
        </w:rPr>
        <w:t xml:space="preserve"> לתחבורה ובין הבלו על </w:t>
      </w:r>
      <w:r w:rsidRPr="0097239C">
        <w:rPr>
          <w:rFonts w:hint="cs"/>
          <w:rtl/>
        </w:rPr>
        <w:t>דלקים</w:t>
      </w:r>
      <w:r w:rsidRPr="0097239C">
        <w:rPr>
          <w:rFonts w:hint="cs"/>
          <w:rtl/>
        </w:rPr>
        <w:t xml:space="preserve"> לחשמל ולתעשייה, כללה הוועדה בדוח גם המלצות בנוגע למיסוי ירוק על </w:t>
      </w:r>
      <w:r w:rsidRPr="0097239C">
        <w:rPr>
          <w:rFonts w:hint="cs"/>
          <w:rtl/>
        </w:rPr>
        <w:t>דלקים</w:t>
      </w:r>
      <w:r w:rsidRPr="0097239C">
        <w:rPr>
          <w:rFonts w:hint="cs"/>
          <w:rtl/>
        </w:rPr>
        <w:t xml:space="preserve"> לחשמל ולתעשייה.</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מדוח הוועדה למיסוי ירוק 3 ממרץ 2016 עולה, כי מס הבלו המושת על </w:t>
      </w:r>
      <w:r w:rsidRPr="0097239C">
        <w:rPr>
          <w:rFonts w:hint="cs"/>
          <w:rtl/>
        </w:rPr>
        <w:t>דלקים</w:t>
      </w:r>
      <w:r w:rsidRPr="0097239C">
        <w:rPr>
          <w:rFonts w:hint="cs"/>
          <w:rtl/>
        </w:rPr>
        <w:t xml:space="preserve"> המשמשים לייצור חשמל נמוך בהרבה מהעלויות החיצוניות של </w:t>
      </w:r>
      <w:r w:rsidRPr="0097239C">
        <w:rPr>
          <w:rFonts w:hint="cs"/>
          <w:rtl/>
        </w:rPr>
        <w:t>הדלקים</w:t>
      </w:r>
      <w:r w:rsidRPr="0097239C">
        <w:rPr>
          <w:rFonts w:hint="cs"/>
          <w:rtl/>
        </w:rPr>
        <w:t xml:space="preserve">, ואינו משקף את הנזק החברתי והסביבתי שהם גורמים. הפנמת עלויות הנזק (להלן - עלויות חיצוניות) יכולה להגדיל את היעילות הכלכלית במשק. להלן יוצגו העלויות החיצוניות של </w:t>
      </w:r>
      <w:r w:rsidRPr="0097239C">
        <w:rPr>
          <w:rFonts w:hint="cs"/>
          <w:rtl/>
        </w:rPr>
        <w:t>דלקים</w:t>
      </w:r>
      <w:r w:rsidRPr="0097239C">
        <w:rPr>
          <w:rFonts w:hint="cs"/>
          <w:rtl/>
        </w:rPr>
        <w:t xml:space="preserve"> לייצור חשמל ולתעשייה, כפי שחישבה הוועדה למיסוי ירוק בשנת 2016. </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לוח</w:t>
      </w:r>
      <w:r w:rsidRPr="0097239C">
        <w:rPr>
          <w:b/>
          <w:bCs/>
          <w:rtl/>
        </w:rPr>
        <w:t xml:space="preserve"> </w:t>
      </w:r>
      <w:r w:rsidRPr="0097239C">
        <w:rPr>
          <w:rFonts w:hint="cs"/>
          <w:b/>
          <w:bCs/>
          <w:rtl/>
        </w:rPr>
        <w:t>7</w:t>
      </w:r>
      <w:r w:rsidRPr="0097239C">
        <w:rPr>
          <w:b/>
          <w:bCs/>
          <w:rtl/>
        </w:rPr>
        <w:t xml:space="preserve">: </w:t>
      </w:r>
      <w:r w:rsidRPr="0097239C">
        <w:rPr>
          <w:rFonts w:hint="cs"/>
          <w:b/>
          <w:bCs/>
          <w:rtl/>
        </w:rPr>
        <w:t>ה</w:t>
      </w:r>
      <w:r w:rsidRPr="0097239C">
        <w:rPr>
          <w:rFonts w:hint="eastAsia"/>
          <w:b/>
          <w:bCs/>
          <w:rtl/>
        </w:rPr>
        <w:t>עלויות</w:t>
      </w:r>
      <w:r w:rsidRPr="0097239C">
        <w:rPr>
          <w:b/>
          <w:bCs/>
          <w:rtl/>
        </w:rPr>
        <w:t xml:space="preserve"> </w:t>
      </w:r>
      <w:r w:rsidRPr="0097239C">
        <w:rPr>
          <w:rFonts w:hint="cs"/>
          <w:b/>
          <w:bCs/>
          <w:rtl/>
        </w:rPr>
        <w:t>ה</w:t>
      </w:r>
      <w:r w:rsidRPr="0097239C">
        <w:rPr>
          <w:rFonts w:hint="eastAsia"/>
          <w:b/>
          <w:bCs/>
          <w:rtl/>
        </w:rPr>
        <w:t>חיצוניות</w:t>
      </w:r>
      <w:r w:rsidRPr="0097239C">
        <w:rPr>
          <w:b/>
          <w:bCs/>
          <w:rtl/>
        </w:rPr>
        <w:t xml:space="preserve"> </w:t>
      </w:r>
      <w:r w:rsidRPr="0097239C">
        <w:rPr>
          <w:rFonts w:hint="eastAsia"/>
          <w:b/>
          <w:bCs/>
          <w:rtl/>
        </w:rPr>
        <w:t>של</w:t>
      </w:r>
      <w:r w:rsidRPr="0097239C">
        <w:rPr>
          <w:b/>
          <w:bCs/>
          <w:rtl/>
        </w:rPr>
        <w:t xml:space="preserve"> </w:t>
      </w:r>
      <w:r w:rsidRPr="0097239C">
        <w:rPr>
          <w:rFonts w:hint="eastAsia"/>
          <w:b/>
          <w:bCs/>
          <w:rtl/>
        </w:rPr>
        <w:t>ייצור</w:t>
      </w:r>
      <w:r w:rsidRPr="0097239C">
        <w:rPr>
          <w:b/>
          <w:bCs/>
          <w:rtl/>
        </w:rPr>
        <w:t xml:space="preserve"> </w:t>
      </w:r>
      <w:r w:rsidRPr="0097239C">
        <w:rPr>
          <w:rFonts w:hint="eastAsia"/>
          <w:b/>
          <w:bCs/>
          <w:rtl/>
        </w:rPr>
        <w:t>חשמל</w:t>
      </w:r>
      <w:r w:rsidRPr="0097239C">
        <w:rPr>
          <w:b/>
          <w:bCs/>
          <w:rtl/>
        </w:rPr>
        <w:t xml:space="preserve"> </w:t>
      </w:r>
      <w:r w:rsidRPr="0097239C">
        <w:rPr>
          <w:rFonts w:hint="eastAsia"/>
          <w:b/>
          <w:bCs/>
          <w:rtl/>
        </w:rPr>
        <w:t>ותעש</w:t>
      </w:r>
      <w:r w:rsidRPr="0097239C">
        <w:rPr>
          <w:rFonts w:hint="cs"/>
          <w:b/>
          <w:bCs/>
          <w:rtl/>
        </w:rPr>
        <w:t>י</w:t>
      </w:r>
      <w:r w:rsidRPr="0097239C">
        <w:rPr>
          <w:rFonts w:hint="eastAsia"/>
          <w:b/>
          <w:bCs/>
          <w:rtl/>
        </w:rPr>
        <w:t>יה</w:t>
      </w:r>
      <w:r w:rsidRPr="0097239C">
        <w:rPr>
          <w:b/>
          <w:bCs/>
          <w:rtl/>
        </w:rPr>
        <w:t xml:space="preserve">, </w:t>
      </w:r>
      <w:r w:rsidRPr="0097239C">
        <w:rPr>
          <w:rFonts w:hint="eastAsia"/>
          <w:b/>
          <w:bCs/>
          <w:rtl/>
        </w:rPr>
        <w:t>לפי</w:t>
      </w:r>
      <w:r w:rsidRPr="0097239C">
        <w:rPr>
          <w:b/>
          <w:bCs/>
          <w:rtl/>
        </w:rPr>
        <w:t xml:space="preserve"> </w:t>
      </w:r>
      <w:r w:rsidRPr="0097239C">
        <w:rPr>
          <w:rFonts w:hint="eastAsia"/>
          <w:b/>
          <w:bCs/>
          <w:rtl/>
        </w:rPr>
        <w:t>סוג</w:t>
      </w:r>
      <w:r w:rsidRPr="0097239C">
        <w:rPr>
          <w:b/>
          <w:bCs/>
          <w:rtl/>
        </w:rPr>
        <w:t xml:space="preserve"> </w:t>
      </w:r>
      <w:r w:rsidRPr="0097239C">
        <w:rPr>
          <w:rFonts w:hint="cs"/>
          <w:b/>
          <w:bCs/>
          <w:rtl/>
        </w:rPr>
        <w:t>ה</w:t>
      </w:r>
      <w:r w:rsidRPr="0097239C">
        <w:rPr>
          <w:rFonts w:hint="eastAsia"/>
          <w:b/>
          <w:bCs/>
          <w:rtl/>
        </w:rPr>
        <w:t>דלק</w:t>
      </w:r>
    </w:p>
    <w:tbl>
      <w:tblPr>
        <w:tblStyle w:val="11"/>
        <w:bidiVisual/>
        <w:tblW w:w="4905" w:type="pct"/>
        <w:jc w:val="center"/>
        <w:tblLook w:val="04A0"/>
      </w:tblPr>
      <w:tblGrid>
        <w:gridCol w:w="3294"/>
        <w:gridCol w:w="1903"/>
        <w:gridCol w:w="2858"/>
      </w:tblGrid>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p>
        </w:tc>
        <w:tc>
          <w:tcPr>
            <w:tcW w:w="1181" w:type="pct"/>
          </w:tcPr>
          <w:p w:rsidR="0097239C" w:rsidRPr="00AE3072" w:rsidP="00AE3072">
            <w:pPr>
              <w:spacing w:before="30" w:after="30" w:line="240" w:lineRule="exact"/>
              <w:rPr>
                <w:b/>
                <w:bCs/>
                <w:sz w:val="22"/>
                <w:szCs w:val="22"/>
                <w:rtl/>
              </w:rPr>
            </w:pPr>
            <w:r w:rsidRPr="00AE3072">
              <w:rPr>
                <w:rFonts w:hint="eastAsia"/>
                <w:b/>
                <w:bCs/>
                <w:sz w:val="22"/>
                <w:szCs w:val="22"/>
                <w:rtl/>
              </w:rPr>
              <w:t>בלו</w:t>
            </w:r>
            <w:r w:rsidRPr="00AE3072">
              <w:rPr>
                <w:b/>
                <w:bCs/>
                <w:sz w:val="22"/>
                <w:szCs w:val="22"/>
                <w:rtl/>
              </w:rPr>
              <w:t xml:space="preserve"> </w:t>
            </w:r>
            <w:r w:rsidRPr="00AE3072">
              <w:rPr>
                <w:rFonts w:hint="eastAsia"/>
                <w:b/>
                <w:bCs/>
                <w:sz w:val="22"/>
                <w:szCs w:val="22"/>
                <w:rtl/>
              </w:rPr>
              <w:t>לטונה</w:t>
            </w:r>
            <w:r w:rsidRPr="00AE3072">
              <w:rPr>
                <w:b/>
                <w:bCs/>
                <w:sz w:val="22"/>
                <w:szCs w:val="22"/>
                <w:rtl/>
              </w:rPr>
              <w:t xml:space="preserve"> </w:t>
            </w:r>
            <w:r w:rsidRPr="00AE3072">
              <w:rPr>
                <w:rFonts w:hint="eastAsia"/>
                <w:b/>
                <w:bCs/>
                <w:sz w:val="22"/>
                <w:szCs w:val="22"/>
                <w:rtl/>
              </w:rPr>
              <w:t>בש</w:t>
            </w:r>
            <w:r w:rsidRPr="00AE3072">
              <w:rPr>
                <w:b/>
                <w:bCs/>
                <w:sz w:val="22"/>
                <w:szCs w:val="22"/>
                <w:rtl/>
              </w:rPr>
              <w:t>"ח</w:t>
            </w:r>
          </w:p>
        </w:tc>
        <w:tc>
          <w:tcPr>
            <w:tcW w:w="1774" w:type="pct"/>
          </w:tcPr>
          <w:p w:rsidR="0097239C" w:rsidRPr="00AE3072" w:rsidP="00AE3072">
            <w:pPr>
              <w:spacing w:before="30" w:after="30" w:line="240" w:lineRule="exact"/>
              <w:rPr>
                <w:b/>
                <w:bCs/>
                <w:sz w:val="22"/>
                <w:szCs w:val="22"/>
                <w:rtl/>
              </w:rPr>
            </w:pPr>
            <w:r w:rsidRPr="00AE3072">
              <w:rPr>
                <w:rFonts w:hint="eastAsia"/>
                <w:b/>
                <w:bCs/>
                <w:sz w:val="22"/>
                <w:szCs w:val="22"/>
                <w:rtl/>
              </w:rPr>
              <w:t>עלות</w:t>
            </w:r>
            <w:r w:rsidRPr="00AE3072">
              <w:rPr>
                <w:b/>
                <w:bCs/>
                <w:sz w:val="22"/>
                <w:szCs w:val="22"/>
                <w:rtl/>
              </w:rPr>
              <w:t xml:space="preserve"> </w:t>
            </w:r>
            <w:r w:rsidRPr="00AE3072">
              <w:rPr>
                <w:rFonts w:hint="eastAsia"/>
                <w:b/>
                <w:bCs/>
                <w:sz w:val="22"/>
                <w:szCs w:val="22"/>
                <w:rtl/>
              </w:rPr>
              <w:t>חיצונית</w:t>
            </w:r>
            <w:r w:rsidRPr="00AE3072">
              <w:rPr>
                <w:b/>
                <w:bCs/>
                <w:sz w:val="22"/>
                <w:szCs w:val="22"/>
                <w:rtl/>
              </w:rPr>
              <w:t xml:space="preserve"> </w:t>
            </w:r>
            <w:r w:rsidRPr="00AE3072">
              <w:rPr>
                <w:rFonts w:hint="eastAsia"/>
                <w:b/>
                <w:bCs/>
                <w:sz w:val="22"/>
                <w:szCs w:val="22"/>
                <w:rtl/>
              </w:rPr>
              <w:t>לטונה</w:t>
            </w:r>
            <w:r w:rsidRPr="00AE3072">
              <w:rPr>
                <w:b/>
                <w:bCs/>
                <w:sz w:val="22"/>
                <w:szCs w:val="22"/>
                <w:rtl/>
              </w:rPr>
              <w:t xml:space="preserve"> </w:t>
            </w:r>
            <w:r w:rsidRPr="00AE3072">
              <w:rPr>
                <w:rFonts w:hint="eastAsia"/>
                <w:b/>
                <w:bCs/>
                <w:sz w:val="22"/>
                <w:szCs w:val="22"/>
                <w:rtl/>
              </w:rPr>
              <w:t>בש</w:t>
            </w:r>
            <w:r w:rsidRPr="00AE3072">
              <w:rPr>
                <w:b/>
                <w:bCs/>
                <w:sz w:val="22"/>
                <w:szCs w:val="22"/>
                <w:rtl/>
              </w:rPr>
              <w:t>"ח</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פחם</w:t>
            </w:r>
          </w:p>
        </w:tc>
        <w:tc>
          <w:tcPr>
            <w:tcW w:w="1181" w:type="pct"/>
            <w:vMerge w:val="restart"/>
          </w:tcPr>
          <w:p w:rsidR="0097239C" w:rsidRPr="00AE3072" w:rsidP="00AE3072">
            <w:pPr>
              <w:spacing w:before="30" w:after="30" w:line="240" w:lineRule="exact"/>
              <w:rPr>
                <w:sz w:val="22"/>
                <w:szCs w:val="22"/>
                <w:rtl/>
              </w:rPr>
            </w:pPr>
            <w:r w:rsidRPr="00AE3072">
              <w:rPr>
                <w:rFonts w:hint="cs"/>
                <w:sz w:val="22"/>
                <w:szCs w:val="22"/>
                <w:rtl/>
              </w:rPr>
              <w:t>46</w:t>
            </w:r>
          </w:p>
        </w:tc>
        <w:tc>
          <w:tcPr>
            <w:tcW w:w="1774" w:type="pct"/>
          </w:tcPr>
          <w:p w:rsidR="0097239C" w:rsidRPr="00AE3072" w:rsidP="00AE3072">
            <w:pPr>
              <w:spacing w:before="30" w:after="30" w:line="240" w:lineRule="exact"/>
              <w:rPr>
                <w:sz w:val="22"/>
                <w:szCs w:val="22"/>
                <w:rtl/>
              </w:rPr>
            </w:pPr>
            <w:r w:rsidRPr="00AE3072">
              <w:rPr>
                <w:rFonts w:hint="cs"/>
                <w:sz w:val="22"/>
                <w:szCs w:val="22"/>
                <w:rtl/>
              </w:rPr>
              <w:t>726</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 xml:space="preserve">פחם עם </w:t>
            </w:r>
            <w:r w:rsidRPr="00AE3072">
              <w:rPr>
                <w:rFonts w:hint="cs"/>
                <w:sz w:val="22"/>
                <w:szCs w:val="22"/>
                <w:rtl/>
              </w:rPr>
              <w:t>סולקנים</w:t>
            </w:r>
          </w:p>
        </w:tc>
        <w:tc>
          <w:tcPr>
            <w:tcW w:w="1181" w:type="pct"/>
            <w:vMerge/>
          </w:tcPr>
          <w:p w:rsidR="0097239C" w:rsidRPr="00AE3072" w:rsidP="00AE3072">
            <w:pPr>
              <w:spacing w:before="30" w:after="30" w:line="240" w:lineRule="exact"/>
              <w:rPr>
                <w:sz w:val="22"/>
                <w:szCs w:val="22"/>
                <w:rtl/>
              </w:rPr>
            </w:pPr>
          </w:p>
        </w:tc>
        <w:tc>
          <w:tcPr>
            <w:tcW w:w="1774" w:type="pct"/>
          </w:tcPr>
          <w:p w:rsidR="0097239C" w:rsidRPr="00AE3072" w:rsidP="00AE3072">
            <w:pPr>
              <w:spacing w:before="30" w:after="30" w:line="240" w:lineRule="exact"/>
              <w:rPr>
                <w:sz w:val="22"/>
                <w:szCs w:val="22"/>
                <w:rtl/>
              </w:rPr>
            </w:pPr>
            <w:r w:rsidRPr="00AE3072">
              <w:rPr>
                <w:rFonts w:hint="cs"/>
                <w:sz w:val="22"/>
                <w:szCs w:val="22"/>
                <w:rtl/>
              </w:rPr>
              <w:t>357</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גז טבעי</w:t>
            </w:r>
          </w:p>
        </w:tc>
        <w:tc>
          <w:tcPr>
            <w:tcW w:w="1181" w:type="pct"/>
          </w:tcPr>
          <w:p w:rsidR="0097239C" w:rsidRPr="00AE3072" w:rsidP="00AE3072">
            <w:pPr>
              <w:spacing w:before="30" w:after="30" w:line="240" w:lineRule="exact"/>
              <w:rPr>
                <w:sz w:val="22"/>
                <w:szCs w:val="22"/>
                <w:rtl/>
              </w:rPr>
            </w:pPr>
            <w:r w:rsidRPr="00AE3072">
              <w:rPr>
                <w:rFonts w:hint="cs"/>
                <w:sz w:val="22"/>
                <w:szCs w:val="22"/>
                <w:rtl/>
              </w:rPr>
              <w:t>17</w:t>
            </w:r>
          </w:p>
        </w:tc>
        <w:tc>
          <w:tcPr>
            <w:tcW w:w="1774" w:type="pct"/>
          </w:tcPr>
          <w:p w:rsidR="0097239C" w:rsidRPr="00AE3072" w:rsidP="00AE3072">
            <w:pPr>
              <w:spacing w:before="30" w:after="30" w:line="240" w:lineRule="exact"/>
              <w:rPr>
                <w:sz w:val="22"/>
                <w:szCs w:val="22"/>
                <w:rtl/>
              </w:rPr>
            </w:pPr>
            <w:r w:rsidRPr="00AE3072">
              <w:rPr>
                <w:rFonts w:hint="cs"/>
                <w:sz w:val="22"/>
                <w:szCs w:val="22"/>
                <w:rtl/>
              </w:rPr>
              <w:t>376</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מזוט 0.5% גופרית</w:t>
            </w:r>
          </w:p>
        </w:tc>
        <w:tc>
          <w:tcPr>
            <w:tcW w:w="1181" w:type="pct"/>
            <w:vMerge w:val="restart"/>
          </w:tcPr>
          <w:p w:rsidR="0097239C" w:rsidRPr="00AE3072" w:rsidP="00AE3072">
            <w:pPr>
              <w:spacing w:before="30" w:after="30" w:line="240" w:lineRule="exact"/>
              <w:rPr>
                <w:sz w:val="22"/>
                <w:szCs w:val="22"/>
                <w:rtl/>
              </w:rPr>
            </w:pPr>
            <w:r w:rsidRPr="00AE3072">
              <w:rPr>
                <w:rFonts w:hint="cs"/>
                <w:sz w:val="22"/>
                <w:szCs w:val="22"/>
                <w:rtl/>
              </w:rPr>
              <w:t>15</w:t>
            </w:r>
          </w:p>
        </w:tc>
        <w:tc>
          <w:tcPr>
            <w:tcW w:w="1774" w:type="pct"/>
          </w:tcPr>
          <w:p w:rsidR="0097239C" w:rsidRPr="00AE3072" w:rsidP="00AE3072">
            <w:pPr>
              <w:spacing w:before="30" w:after="30" w:line="240" w:lineRule="exact"/>
              <w:rPr>
                <w:sz w:val="22"/>
                <w:szCs w:val="22"/>
                <w:rtl/>
              </w:rPr>
            </w:pPr>
            <w:r w:rsidRPr="00AE3072">
              <w:rPr>
                <w:rFonts w:hint="cs"/>
                <w:sz w:val="22"/>
                <w:szCs w:val="22"/>
                <w:rtl/>
              </w:rPr>
              <w:t>1,545</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מזוט 1% גופרית</w:t>
            </w:r>
          </w:p>
        </w:tc>
        <w:tc>
          <w:tcPr>
            <w:tcW w:w="1181" w:type="pct"/>
            <w:vMerge/>
          </w:tcPr>
          <w:p w:rsidR="0097239C" w:rsidRPr="00AE3072" w:rsidP="00AE3072">
            <w:pPr>
              <w:spacing w:before="30" w:after="30" w:line="240" w:lineRule="exact"/>
              <w:rPr>
                <w:sz w:val="22"/>
                <w:szCs w:val="22"/>
                <w:rtl/>
              </w:rPr>
            </w:pPr>
          </w:p>
        </w:tc>
        <w:tc>
          <w:tcPr>
            <w:tcW w:w="1774" w:type="pct"/>
          </w:tcPr>
          <w:p w:rsidR="0097239C" w:rsidRPr="00AE3072" w:rsidP="00AE3072">
            <w:pPr>
              <w:spacing w:before="30" w:after="30" w:line="240" w:lineRule="exact"/>
              <w:rPr>
                <w:sz w:val="22"/>
                <w:szCs w:val="22"/>
                <w:rtl/>
              </w:rPr>
            </w:pPr>
            <w:r w:rsidRPr="00AE3072">
              <w:rPr>
                <w:rFonts w:hint="cs"/>
                <w:sz w:val="22"/>
                <w:szCs w:val="22"/>
                <w:rtl/>
              </w:rPr>
              <w:t>2,194</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 xml:space="preserve">גז </w:t>
            </w:r>
            <w:r w:rsidRPr="00AE3072">
              <w:rPr>
                <w:rFonts w:hint="cs"/>
                <w:sz w:val="22"/>
                <w:szCs w:val="22"/>
                <w:rtl/>
              </w:rPr>
              <w:t>פחממני</w:t>
            </w:r>
            <w:r w:rsidRPr="00AE3072">
              <w:rPr>
                <w:rFonts w:hint="cs"/>
                <w:sz w:val="22"/>
                <w:szCs w:val="22"/>
                <w:rtl/>
              </w:rPr>
              <w:t xml:space="preserve"> מעובה (להלן - גפ"מ)</w:t>
            </w:r>
          </w:p>
        </w:tc>
        <w:tc>
          <w:tcPr>
            <w:tcW w:w="1181" w:type="pct"/>
          </w:tcPr>
          <w:p w:rsidR="0097239C" w:rsidRPr="00AE3072" w:rsidP="00AE3072">
            <w:pPr>
              <w:spacing w:before="30" w:after="30" w:line="240" w:lineRule="exact"/>
              <w:rPr>
                <w:sz w:val="22"/>
                <w:szCs w:val="22"/>
                <w:rtl/>
              </w:rPr>
            </w:pPr>
            <w:r w:rsidRPr="00AE3072">
              <w:rPr>
                <w:rFonts w:hint="cs"/>
                <w:sz w:val="22"/>
                <w:szCs w:val="22"/>
                <w:rtl/>
              </w:rPr>
              <w:t>119</w:t>
            </w:r>
          </w:p>
        </w:tc>
        <w:tc>
          <w:tcPr>
            <w:tcW w:w="1774" w:type="pct"/>
          </w:tcPr>
          <w:p w:rsidR="0097239C" w:rsidRPr="00AE3072" w:rsidP="00AE3072">
            <w:pPr>
              <w:spacing w:before="30" w:after="30" w:line="240" w:lineRule="exact"/>
              <w:rPr>
                <w:sz w:val="22"/>
                <w:szCs w:val="22"/>
                <w:rtl/>
              </w:rPr>
            </w:pPr>
            <w:r w:rsidRPr="00AE3072">
              <w:rPr>
                <w:rFonts w:hint="cs"/>
                <w:sz w:val="22"/>
                <w:szCs w:val="22"/>
                <w:rtl/>
              </w:rPr>
              <w:t>536</w:t>
            </w:r>
          </w:p>
        </w:tc>
      </w:tr>
      <w:tr w:rsidTr="00AE3072">
        <w:tblPrEx>
          <w:tblW w:w="4905" w:type="pct"/>
          <w:jc w:val="center"/>
          <w:tblLook w:val="04A0"/>
        </w:tblPrEx>
        <w:trPr>
          <w:jc w:val="center"/>
        </w:trPr>
        <w:tc>
          <w:tcPr>
            <w:tcW w:w="2045" w:type="pct"/>
          </w:tcPr>
          <w:p w:rsidR="0097239C" w:rsidRPr="00AE3072" w:rsidP="00AE3072">
            <w:pPr>
              <w:spacing w:before="30" w:after="30" w:line="240" w:lineRule="exact"/>
              <w:rPr>
                <w:sz w:val="22"/>
                <w:szCs w:val="22"/>
                <w:rtl/>
              </w:rPr>
            </w:pPr>
            <w:r w:rsidRPr="00AE3072">
              <w:rPr>
                <w:rFonts w:hint="cs"/>
                <w:sz w:val="22"/>
                <w:szCs w:val="22"/>
                <w:rtl/>
              </w:rPr>
              <w:t>סולר</w:t>
            </w:r>
            <w:r w:rsidRPr="00AE3072">
              <w:rPr>
                <w:rFonts w:hint="cs"/>
                <w:sz w:val="22"/>
                <w:szCs w:val="22"/>
                <w:vertAlign w:val="superscript"/>
                <w:rtl/>
              </w:rPr>
              <w:t>*</w:t>
            </w:r>
          </w:p>
        </w:tc>
        <w:tc>
          <w:tcPr>
            <w:tcW w:w="1181" w:type="pct"/>
          </w:tcPr>
          <w:p w:rsidR="0097239C" w:rsidRPr="00AE3072" w:rsidP="00AE3072">
            <w:pPr>
              <w:spacing w:before="30" w:after="30" w:line="240" w:lineRule="exact"/>
              <w:rPr>
                <w:sz w:val="22"/>
                <w:szCs w:val="22"/>
                <w:rtl/>
              </w:rPr>
            </w:pPr>
          </w:p>
        </w:tc>
        <w:tc>
          <w:tcPr>
            <w:tcW w:w="1774" w:type="pct"/>
          </w:tcPr>
          <w:p w:rsidR="0097239C" w:rsidRPr="00AE3072" w:rsidP="00AE3072">
            <w:pPr>
              <w:spacing w:before="30" w:after="30" w:line="240" w:lineRule="exact"/>
              <w:rPr>
                <w:sz w:val="22"/>
                <w:szCs w:val="22"/>
                <w:rtl/>
              </w:rPr>
            </w:pPr>
            <w:r w:rsidRPr="00AE3072">
              <w:rPr>
                <w:rFonts w:hint="cs"/>
                <w:sz w:val="22"/>
                <w:szCs w:val="22"/>
                <w:rtl/>
              </w:rPr>
              <w:t>705</w:t>
            </w:r>
          </w:p>
        </w:tc>
      </w:tr>
    </w:tbl>
    <w:p w:rsidR="0097239C" w:rsidRPr="00810E1E" w:rsidP="00AE3072">
      <w:pPr>
        <w:spacing w:before="120" w:after="60" w:line="269" w:lineRule="auto"/>
        <w:rPr>
          <w:sz w:val="22"/>
          <w:szCs w:val="22"/>
          <w:rtl/>
        </w:rPr>
      </w:pPr>
      <w:r w:rsidRPr="00810E1E">
        <w:rPr>
          <w:rFonts w:hint="cs"/>
          <w:sz w:val="22"/>
          <w:szCs w:val="22"/>
          <w:rtl/>
        </w:rPr>
        <w:t>המקור: דוח הוועדה למיסוי ירוק 3, 2016.</w:t>
      </w:r>
    </w:p>
    <w:p w:rsidR="0097239C" w:rsidRPr="00810E1E" w:rsidP="00C603CF">
      <w:pPr>
        <w:spacing w:line="269" w:lineRule="auto"/>
        <w:ind w:left="-1"/>
        <w:rPr>
          <w:sz w:val="22"/>
          <w:szCs w:val="22"/>
          <w:rtl/>
        </w:rPr>
      </w:pPr>
      <w:r w:rsidRPr="00810E1E">
        <w:rPr>
          <w:rFonts w:hint="cs"/>
          <w:sz w:val="22"/>
          <w:szCs w:val="22"/>
          <w:rtl/>
        </w:rPr>
        <w:t>* יצוין כי דוח הוועדה למיסוי ירוק 3 לא עסק כלל בבלו על הסולר לייצור חשמל. הנתון בטבלה נוגע לסולר להסקה, לפי חישובי הוועדה.</w:t>
      </w:r>
    </w:p>
    <w:p w:rsidR="000C5E33" w:rsidP="00C603CF">
      <w:pPr>
        <w:spacing w:line="269" w:lineRule="auto"/>
        <w:rPr>
          <w:rtl/>
        </w:rPr>
      </w:pPr>
    </w:p>
    <w:p w:rsidR="0097239C" w:rsidRPr="0097239C" w:rsidP="00C603CF">
      <w:pPr>
        <w:spacing w:line="269" w:lineRule="auto"/>
        <w:rPr>
          <w:rtl/>
        </w:rPr>
      </w:pPr>
      <w:r w:rsidRPr="0097239C">
        <w:rPr>
          <w:rFonts w:hint="cs"/>
          <w:rtl/>
        </w:rPr>
        <w:t xml:space="preserve">הוועדה למיסוי ירוק 3 המליצה להפנים כ-50% מעלויות גזי החממה במחיר בבלו על </w:t>
      </w:r>
      <w:r w:rsidRPr="0097239C">
        <w:rPr>
          <w:rFonts w:hint="cs"/>
          <w:rtl/>
        </w:rPr>
        <w:t>דלקים</w:t>
      </w:r>
      <w:r w:rsidRPr="0097239C">
        <w:rPr>
          <w:rFonts w:hint="cs"/>
          <w:rtl/>
        </w:rPr>
        <w:t xml:space="preserve"> לחשמל ולתעשייה בטווח הקצר בהדרגה ועל פני חמש שנים, ולהפנים 100% מהעלות החל משנת 2021, כמתואר בטבלה להלן:</w:t>
      </w:r>
    </w:p>
    <w:p w:rsidR="000C5E33" w:rsidP="00C603CF">
      <w:pPr>
        <w:spacing w:line="269" w:lineRule="auto"/>
        <w:jc w:val="center"/>
        <w:rPr>
          <w:b/>
          <w:bCs/>
          <w:rtl/>
        </w:rPr>
      </w:pPr>
    </w:p>
    <w:p w:rsidR="0097239C" w:rsidRPr="0097239C" w:rsidP="00AE3072">
      <w:pPr>
        <w:spacing w:after="120" w:line="269" w:lineRule="auto"/>
        <w:jc w:val="center"/>
        <w:rPr>
          <w:b/>
          <w:bCs/>
          <w:rtl/>
        </w:rPr>
      </w:pPr>
      <w:r w:rsidRPr="0097239C">
        <w:rPr>
          <w:rFonts w:hint="eastAsia"/>
          <w:b/>
          <w:bCs/>
          <w:rtl/>
        </w:rPr>
        <w:t>לוח</w:t>
      </w:r>
      <w:r w:rsidRPr="0097239C">
        <w:rPr>
          <w:b/>
          <w:bCs/>
          <w:rtl/>
        </w:rPr>
        <w:t xml:space="preserve"> </w:t>
      </w:r>
      <w:r w:rsidRPr="0097239C">
        <w:rPr>
          <w:rFonts w:hint="cs"/>
          <w:b/>
          <w:bCs/>
          <w:rtl/>
        </w:rPr>
        <w:t>8</w:t>
      </w:r>
      <w:r w:rsidRPr="0097239C">
        <w:rPr>
          <w:b/>
          <w:bCs/>
          <w:rtl/>
        </w:rPr>
        <w:t>: מתווה הו</w:t>
      </w:r>
      <w:r w:rsidRPr="0097239C">
        <w:rPr>
          <w:rFonts w:hint="cs"/>
          <w:b/>
          <w:bCs/>
          <w:rtl/>
        </w:rPr>
        <w:t>ו</w:t>
      </w:r>
      <w:r w:rsidRPr="0097239C">
        <w:rPr>
          <w:rFonts w:hint="eastAsia"/>
          <w:b/>
          <w:bCs/>
          <w:rtl/>
        </w:rPr>
        <w:t>עדה</w:t>
      </w:r>
      <w:r w:rsidRPr="0097239C">
        <w:rPr>
          <w:b/>
          <w:bCs/>
          <w:rtl/>
        </w:rPr>
        <w:t xml:space="preserve"> </w:t>
      </w:r>
      <w:r w:rsidRPr="0097239C">
        <w:rPr>
          <w:rFonts w:hint="eastAsia"/>
          <w:b/>
          <w:bCs/>
          <w:rtl/>
        </w:rPr>
        <w:t>למיסוי</w:t>
      </w:r>
      <w:r w:rsidRPr="0097239C">
        <w:rPr>
          <w:b/>
          <w:bCs/>
          <w:rtl/>
        </w:rPr>
        <w:t xml:space="preserve"> </w:t>
      </w:r>
      <w:r w:rsidRPr="0097239C">
        <w:rPr>
          <w:rFonts w:hint="eastAsia"/>
          <w:b/>
          <w:bCs/>
          <w:rtl/>
        </w:rPr>
        <w:t>ירוק</w:t>
      </w:r>
      <w:r w:rsidRPr="0097239C">
        <w:rPr>
          <w:b/>
          <w:bCs/>
          <w:rtl/>
        </w:rPr>
        <w:t xml:space="preserve"> 3</w:t>
      </w:r>
      <w:r w:rsidRPr="0097239C">
        <w:rPr>
          <w:rFonts w:hint="cs"/>
          <w:b/>
          <w:bCs/>
          <w:rtl/>
        </w:rPr>
        <w:t xml:space="preserve"> </w:t>
      </w:r>
      <w:r w:rsidRPr="0097239C">
        <w:rPr>
          <w:b/>
          <w:bCs/>
          <w:rtl/>
        </w:rPr>
        <w:t xml:space="preserve">להעלאת הבלו על </w:t>
      </w:r>
      <w:r w:rsidRPr="0097239C">
        <w:rPr>
          <w:rFonts w:hint="eastAsia"/>
          <w:b/>
          <w:bCs/>
          <w:rtl/>
        </w:rPr>
        <w:t>דלקים</w:t>
      </w:r>
      <w:r w:rsidRPr="0097239C">
        <w:rPr>
          <w:rFonts w:hint="cs"/>
          <w:b/>
          <w:bCs/>
          <w:rtl/>
        </w:rPr>
        <w:t xml:space="preserve"> (בש"ח)</w:t>
      </w:r>
    </w:p>
    <w:tbl>
      <w:tblPr>
        <w:tblStyle w:val="11"/>
        <w:bidiVisual/>
        <w:tblW w:w="3812" w:type="pct"/>
        <w:jc w:val="center"/>
        <w:tblLook w:val="04A0"/>
      </w:tblPr>
      <w:tblGrid>
        <w:gridCol w:w="1277"/>
        <w:gridCol w:w="2543"/>
        <w:gridCol w:w="2440"/>
      </w:tblGrid>
      <w:tr w:rsidTr="00AE3072">
        <w:tblPrEx>
          <w:tblW w:w="3812" w:type="pct"/>
          <w:jc w:val="center"/>
          <w:tblLook w:val="04A0"/>
        </w:tblPrEx>
        <w:trPr>
          <w:jc w:val="center"/>
        </w:trPr>
        <w:tc>
          <w:tcPr>
            <w:tcW w:w="1020" w:type="pct"/>
          </w:tcPr>
          <w:p w:rsidR="0097239C" w:rsidRPr="00AE3072" w:rsidP="00AE3072">
            <w:pPr>
              <w:spacing w:before="30" w:after="30" w:line="240" w:lineRule="exact"/>
              <w:rPr>
                <w:sz w:val="22"/>
                <w:szCs w:val="22"/>
                <w:rtl/>
              </w:rPr>
            </w:pPr>
          </w:p>
        </w:tc>
        <w:tc>
          <w:tcPr>
            <w:tcW w:w="2031" w:type="pct"/>
          </w:tcPr>
          <w:p w:rsidR="0097239C" w:rsidRPr="00AE3072" w:rsidP="00AE3072">
            <w:pPr>
              <w:spacing w:before="30" w:after="30" w:line="240" w:lineRule="exact"/>
              <w:jc w:val="center"/>
              <w:rPr>
                <w:b/>
                <w:bCs/>
                <w:sz w:val="22"/>
                <w:szCs w:val="22"/>
                <w:rtl/>
              </w:rPr>
            </w:pPr>
            <w:r w:rsidRPr="00AE3072">
              <w:rPr>
                <w:rFonts w:hint="eastAsia"/>
                <w:b/>
                <w:bCs/>
                <w:sz w:val="22"/>
                <w:szCs w:val="22"/>
                <w:rtl/>
              </w:rPr>
              <w:t>בשנת</w:t>
            </w:r>
            <w:r w:rsidRPr="00AE3072">
              <w:rPr>
                <w:b/>
                <w:bCs/>
                <w:sz w:val="22"/>
                <w:szCs w:val="22"/>
                <w:rtl/>
              </w:rPr>
              <w:t xml:space="preserve"> 2020</w:t>
            </w:r>
          </w:p>
        </w:tc>
        <w:tc>
          <w:tcPr>
            <w:tcW w:w="1949" w:type="pct"/>
          </w:tcPr>
          <w:p w:rsidR="0097239C" w:rsidRPr="00AE3072" w:rsidP="00AE3072">
            <w:pPr>
              <w:spacing w:before="30" w:after="30" w:line="240" w:lineRule="exact"/>
              <w:jc w:val="center"/>
              <w:rPr>
                <w:b/>
                <w:bCs/>
                <w:sz w:val="22"/>
                <w:szCs w:val="22"/>
                <w:rtl/>
              </w:rPr>
            </w:pPr>
            <w:r w:rsidRPr="00AE3072">
              <w:rPr>
                <w:rFonts w:hint="eastAsia"/>
                <w:b/>
                <w:bCs/>
                <w:sz w:val="22"/>
                <w:szCs w:val="22"/>
                <w:rtl/>
              </w:rPr>
              <w:t>משנת</w:t>
            </w:r>
            <w:r w:rsidRPr="00AE3072">
              <w:rPr>
                <w:b/>
                <w:bCs/>
                <w:sz w:val="22"/>
                <w:szCs w:val="22"/>
                <w:rtl/>
              </w:rPr>
              <w:t xml:space="preserve"> 2021</w:t>
            </w:r>
          </w:p>
        </w:tc>
      </w:tr>
      <w:tr w:rsidTr="00AE3072">
        <w:tblPrEx>
          <w:tblW w:w="3812" w:type="pct"/>
          <w:jc w:val="center"/>
          <w:tblLook w:val="04A0"/>
        </w:tblPrEx>
        <w:trPr>
          <w:jc w:val="center"/>
        </w:trPr>
        <w:tc>
          <w:tcPr>
            <w:tcW w:w="1020" w:type="pct"/>
          </w:tcPr>
          <w:p w:rsidR="0097239C" w:rsidRPr="00AE3072" w:rsidP="00AE3072">
            <w:pPr>
              <w:spacing w:before="30" w:after="30" w:line="240" w:lineRule="exact"/>
              <w:rPr>
                <w:sz w:val="22"/>
                <w:szCs w:val="22"/>
                <w:rtl/>
              </w:rPr>
            </w:pPr>
            <w:r w:rsidRPr="00AE3072">
              <w:rPr>
                <w:rFonts w:hint="cs"/>
                <w:sz w:val="22"/>
                <w:szCs w:val="22"/>
                <w:rtl/>
              </w:rPr>
              <w:t>גז טבעי</w:t>
            </w:r>
          </w:p>
        </w:tc>
        <w:tc>
          <w:tcPr>
            <w:tcW w:w="2031" w:type="pct"/>
          </w:tcPr>
          <w:p w:rsidR="0097239C" w:rsidRPr="00AE3072" w:rsidP="00AE3072">
            <w:pPr>
              <w:spacing w:before="30" w:after="30" w:line="240" w:lineRule="exact"/>
              <w:rPr>
                <w:sz w:val="22"/>
                <w:szCs w:val="22"/>
                <w:rtl/>
              </w:rPr>
            </w:pPr>
            <w:r w:rsidRPr="00AE3072">
              <w:rPr>
                <w:rFonts w:hint="cs"/>
                <w:sz w:val="22"/>
                <w:szCs w:val="22"/>
                <w:rtl/>
              </w:rPr>
              <w:t>213</w:t>
            </w:r>
          </w:p>
        </w:tc>
        <w:tc>
          <w:tcPr>
            <w:tcW w:w="1949" w:type="pct"/>
          </w:tcPr>
          <w:p w:rsidR="0097239C" w:rsidRPr="00AE3072" w:rsidP="00AE3072">
            <w:pPr>
              <w:spacing w:before="30" w:after="30" w:line="240" w:lineRule="exact"/>
              <w:rPr>
                <w:sz w:val="22"/>
                <w:szCs w:val="22"/>
                <w:rtl/>
              </w:rPr>
            </w:pPr>
            <w:r w:rsidRPr="00AE3072">
              <w:rPr>
                <w:rFonts w:hint="cs"/>
                <w:sz w:val="22"/>
                <w:szCs w:val="22"/>
                <w:rtl/>
              </w:rPr>
              <w:t>376</w:t>
            </w:r>
          </w:p>
        </w:tc>
      </w:tr>
      <w:tr w:rsidTr="00AE3072">
        <w:tblPrEx>
          <w:tblW w:w="3812" w:type="pct"/>
          <w:jc w:val="center"/>
          <w:tblLook w:val="04A0"/>
        </w:tblPrEx>
        <w:trPr>
          <w:jc w:val="center"/>
        </w:trPr>
        <w:tc>
          <w:tcPr>
            <w:tcW w:w="1020" w:type="pct"/>
          </w:tcPr>
          <w:p w:rsidR="0097239C" w:rsidRPr="00AE3072" w:rsidP="00AE3072">
            <w:pPr>
              <w:spacing w:before="30" w:after="30" w:line="240" w:lineRule="exact"/>
              <w:rPr>
                <w:sz w:val="22"/>
                <w:szCs w:val="22"/>
                <w:rtl/>
              </w:rPr>
            </w:pPr>
            <w:r w:rsidRPr="00AE3072">
              <w:rPr>
                <w:rFonts w:hint="cs"/>
                <w:sz w:val="22"/>
                <w:szCs w:val="22"/>
                <w:rtl/>
              </w:rPr>
              <w:t>פחם</w:t>
            </w:r>
          </w:p>
        </w:tc>
        <w:tc>
          <w:tcPr>
            <w:tcW w:w="2031" w:type="pct"/>
          </w:tcPr>
          <w:p w:rsidR="0097239C" w:rsidRPr="00AE3072" w:rsidP="00AE3072">
            <w:pPr>
              <w:spacing w:before="30" w:after="30" w:line="240" w:lineRule="exact"/>
              <w:rPr>
                <w:sz w:val="22"/>
                <w:szCs w:val="22"/>
                <w:rtl/>
              </w:rPr>
            </w:pPr>
            <w:r w:rsidRPr="00AE3072">
              <w:rPr>
                <w:rFonts w:hint="cs"/>
                <w:sz w:val="22"/>
                <w:szCs w:val="22"/>
                <w:rtl/>
              </w:rPr>
              <w:t>216</w:t>
            </w:r>
          </w:p>
        </w:tc>
        <w:tc>
          <w:tcPr>
            <w:tcW w:w="1949" w:type="pct"/>
          </w:tcPr>
          <w:p w:rsidR="0097239C" w:rsidRPr="00AE3072" w:rsidP="00AE3072">
            <w:pPr>
              <w:spacing w:before="30" w:after="30" w:line="240" w:lineRule="exact"/>
              <w:rPr>
                <w:sz w:val="22"/>
                <w:szCs w:val="22"/>
                <w:rtl/>
              </w:rPr>
            </w:pPr>
            <w:r w:rsidRPr="00AE3072">
              <w:rPr>
                <w:rFonts w:hint="cs"/>
                <w:sz w:val="22"/>
                <w:szCs w:val="22"/>
                <w:rtl/>
              </w:rPr>
              <w:t>357</w:t>
            </w:r>
          </w:p>
        </w:tc>
      </w:tr>
      <w:tr w:rsidTr="00AE3072">
        <w:tblPrEx>
          <w:tblW w:w="3812" w:type="pct"/>
          <w:jc w:val="center"/>
          <w:tblLook w:val="04A0"/>
        </w:tblPrEx>
        <w:trPr>
          <w:jc w:val="center"/>
        </w:trPr>
        <w:tc>
          <w:tcPr>
            <w:tcW w:w="1020" w:type="pct"/>
          </w:tcPr>
          <w:p w:rsidR="0097239C" w:rsidRPr="00AE3072" w:rsidP="00AE3072">
            <w:pPr>
              <w:spacing w:before="30" w:after="30" w:line="240" w:lineRule="exact"/>
              <w:rPr>
                <w:sz w:val="22"/>
                <w:szCs w:val="22"/>
                <w:rtl/>
              </w:rPr>
            </w:pPr>
            <w:r w:rsidRPr="00AE3072">
              <w:rPr>
                <w:rFonts w:hint="cs"/>
                <w:sz w:val="22"/>
                <w:szCs w:val="22"/>
                <w:rtl/>
              </w:rPr>
              <w:t>גפ"מ</w:t>
            </w:r>
          </w:p>
        </w:tc>
        <w:tc>
          <w:tcPr>
            <w:tcW w:w="2031" w:type="pct"/>
          </w:tcPr>
          <w:p w:rsidR="0097239C" w:rsidRPr="00AE3072" w:rsidP="00AE3072">
            <w:pPr>
              <w:spacing w:before="30" w:after="30" w:line="240" w:lineRule="exact"/>
              <w:rPr>
                <w:sz w:val="22"/>
                <w:szCs w:val="22"/>
                <w:rtl/>
              </w:rPr>
            </w:pPr>
            <w:r w:rsidRPr="00AE3072">
              <w:rPr>
                <w:rFonts w:hint="cs"/>
                <w:sz w:val="22"/>
                <w:szCs w:val="22"/>
                <w:rtl/>
              </w:rPr>
              <w:t>299</w:t>
            </w:r>
          </w:p>
        </w:tc>
        <w:tc>
          <w:tcPr>
            <w:tcW w:w="1949" w:type="pct"/>
          </w:tcPr>
          <w:p w:rsidR="0097239C" w:rsidRPr="00AE3072" w:rsidP="00AE3072">
            <w:pPr>
              <w:spacing w:before="30" w:after="30" w:line="240" w:lineRule="exact"/>
              <w:rPr>
                <w:sz w:val="22"/>
                <w:szCs w:val="22"/>
                <w:rtl/>
              </w:rPr>
            </w:pPr>
            <w:r w:rsidRPr="00AE3072">
              <w:rPr>
                <w:rFonts w:hint="cs"/>
                <w:sz w:val="22"/>
                <w:szCs w:val="22"/>
                <w:rtl/>
              </w:rPr>
              <w:t>448*</w:t>
            </w:r>
          </w:p>
        </w:tc>
      </w:tr>
    </w:tbl>
    <w:p w:rsidR="0097239C" w:rsidRPr="00810E1E" w:rsidP="00AE3072">
      <w:pPr>
        <w:spacing w:before="120" w:after="30" w:line="269" w:lineRule="auto"/>
        <w:rPr>
          <w:sz w:val="22"/>
          <w:szCs w:val="22"/>
          <w:rtl/>
        </w:rPr>
      </w:pPr>
      <w:r w:rsidRPr="00810E1E">
        <w:rPr>
          <w:rFonts w:hint="cs"/>
          <w:sz w:val="22"/>
          <w:szCs w:val="22"/>
          <w:rtl/>
        </w:rPr>
        <w:t>המקור: דוח הוועדה למיסוי ירוק 3 משנת 2016.</w:t>
      </w:r>
    </w:p>
    <w:p w:rsidR="0097239C" w:rsidRPr="00810E1E" w:rsidP="00C603CF">
      <w:pPr>
        <w:spacing w:line="269" w:lineRule="auto"/>
        <w:ind w:left="-1"/>
        <w:rPr>
          <w:sz w:val="22"/>
          <w:szCs w:val="22"/>
          <w:rtl/>
        </w:rPr>
      </w:pPr>
      <w:r w:rsidRPr="00810E1E">
        <w:rPr>
          <w:rFonts w:hint="cs"/>
          <w:sz w:val="22"/>
          <w:szCs w:val="22"/>
          <w:rtl/>
        </w:rPr>
        <w:t xml:space="preserve">* העלייה בבלו על </w:t>
      </w:r>
      <w:r w:rsidRPr="00810E1E">
        <w:rPr>
          <w:rFonts w:hint="cs"/>
          <w:sz w:val="22"/>
          <w:szCs w:val="22"/>
          <w:rtl/>
        </w:rPr>
        <w:t>הגפ"מ</w:t>
      </w:r>
      <w:r w:rsidRPr="00810E1E">
        <w:rPr>
          <w:rFonts w:hint="cs"/>
          <w:sz w:val="22"/>
          <w:szCs w:val="22"/>
          <w:rtl/>
        </w:rPr>
        <w:t xml:space="preserve"> חושבה באופן שתהיה שקולה במונחי </w:t>
      </w:r>
      <w:r w:rsidRPr="00810E1E">
        <w:rPr>
          <w:rFonts w:hint="cs"/>
          <w:sz w:val="22"/>
          <w:szCs w:val="22"/>
          <w:rtl/>
        </w:rPr>
        <w:t>אנרגייה</w:t>
      </w:r>
      <w:r w:rsidRPr="00810E1E">
        <w:rPr>
          <w:rFonts w:hint="cs"/>
          <w:sz w:val="22"/>
          <w:szCs w:val="22"/>
          <w:rtl/>
        </w:rPr>
        <w:t xml:space="preserve"> לעלייה בבלו על הגז הטבעי.</w:t>
      </w:r>
    </w:p>
    <w:p w:rsidR="000267F4" w:rsidP="00C603CF">
      <w:pPr>
        <w:spacing w:line="269" w:lineRule="auto"/>
        <w:ind w:left="-1"/>
        <w:rPr>
          <w:sz w:val="22"/>
          <w:szCs w:val="22"/>
          <w:rtl/>
        </w:rPr>
      </w:pPr>
    </w:p>
    <w:p w:rsidR="0097239C" w:rsidRPr="000267F4" w:rsidP="00C603CF">
      <w:pPr>
        <w:spacing w:line="269" w:lineRule="auto"/>
        <w:ind w:left="-1"/>
        <w:rPr>
          <w:sz w:val="24"/>
          <w:rtl/>
        </w:rPr>
      </w:pPr>
      <w:r w:rsidRPr="000267F4">
        <w:rPr>
          <w:rFonts w:hint="cs"/>
          <w:sz w:val="24"/>
          <w:rtl/>
        </w:rPr>
        <w:t xml:space="preserve">הוועדה למיסוי ירוק 3 העריכה כי העלאת הבלו על גז טבעי ופחם במתווה המוצע תייקר את מחיר החשמל במשק בכ-8% בשנת 2016 וב-3% נוספים עד שנת 2020. </w:t>
      </w:r>
    </w:p>
    <w:p w:rsidR="00AE3072" w:rsidP="00AE3072">
      <w:pPr>
        <w:spacing w:line="269" w:lineRule="auto"/>
        <w:rPr>
          <w:rtl/>
        </w:rPr>
      </w:pPr>
      <w:r w:rsidRPr="0097239C">
        <w:rPr>
          <w:rFonts w:hint="cs"/>
          <w:rtl/>
        </w:rPr>
        <w:t xml:space="preserve">על פי דוח הוועדה, הביקוש לחשמל קשיח יחסית, ולכן לא ניתן לצפות לשינוי דרסטי בצריכת </w:t>
      </w:r>
      <w:r w:rsidRPr="0097239C">
        <w:rPr>
          <w:rFonts w:hint="cs"/>
          <w:rtl/>
        </w:rPr>
        <w:t>דלקים</w:t>
      </w:r>
      <w:r w:rsidRPr="0097239C">
        <w:rPr>
          <w:rFonts w:hint="cs"/>
          <w:rtl/>
        </w:rPr>
        <w:t xml:space="preserve">. אולם בטווח הארוך, לנוכח הפנמת העלויות החיצוניות במחיר </w:t>
      </w:r>
      <w:r w:rsidRPr="0097239C">
        <w:rPr>
          <w:rFonts w:hint="cs"/>
          <w:rtl/>
        </w:rPr>
        <w:t>הדלקים</w:t>
      </w:r>
      <w:r w:rsidRPr="0097239C">
        <w:rPr>
          <w:rFonts w:hint="cs"/>
          <w:rtl/>
        </w:rPr>
        <w:t xml:space="preserve">, ניתן לצפות להחלטות שקולות יותר בקרב הצרכנים בצריכת </w:t>
      </w:r>
      <w:r w:rsidRPr="0097239C">
        <w:rPr>
          <w:rFonts w:hint="cs"/>
          <w:rtl/>
        </w:rPr>
        <w:t>דלקים</w:t>
      </w:r>
      <w:r w:rsidRPr="0097239C">
        <w:rPr>
          <w:rFonts w:hint="cs"/>
          <w:rtl/>
        </w:rPr>
        <w:t xml:space="preserve">, חשמל או מוצרים התלויים בהם ולהפחתת הזיהום והתחלואה בהתאם לכך. החלת סך העלויות על המשתמשים </w:t>
      </w:r>
      <w:r w:rsidRPr="0097239C">
        <w:rPr>
          <w:rFonts w:hint="cs"/>
          <w:rtl/>
        </w:rPr>
        <w:t>בדלקים</w:t>
      </w:r>
      <w:r w:rsidRPr="0097239C">
        <w:rPr>
          <w:rFonts w:hint="cs"/>
          <w:rtl/>
        </w:rPr>
        <w:t xml:space="preserve"> תייעל את הקצאת המקורות במשק בכלל ואת השימוש </w:t>
      </w:r>
      <w:r w:rsidRPr="0097239C">
        <w:rPr>
          <w:rFonts w:hint="cs"/>
          <w:rtl/>
        </w:rPr>
        <w:t>בדלקים</w:t>
      </w:r>
      <w:r w:rsidRPr="0097239C">
        <w:rPr>
          <w:rFonts w:hint="cs"/>
          <w:rtl/>
        </w:rPr>
        <w:t xml:space="preserve"> אלה בכל מגזר בפרט. מיסוי המשקף כראוי את העלויות החיצוניות צריך להביא לשיפור יכולת הבחירה של המשתמש בין החלופות השונ</w:t>
      </w:r>
      <w:r>
        <w:rPr>
          <w:rFonts w:hint="cs"/>
          <w:rtl/>
        </w:rPr>
        <w:t>ות בהתאם לכלל מרכיבי עלות הדלק.</w:t>
      </w:r>
    </w:p>
    <w:p w:rsidR="00AE3072" w:rsidP="00AE3072">
      <w:pPr>
        <w:spacing w:line="269" w:lineRule="auto"/>
        <w:rPr>
          <w:rtl/>
        </w:rPr>
      </w:pPr>
    </w:p>
    <w:p w:rsidR="00AE3072" w:rsidP="00AE3072">
      <w:pPr>
        <w:spacing w:line="269" w:lineRule="auto"/>
        <w:rPr>
          <w:rtl/>
        </w:rPr>
      </w:pPr>
      <w:r w:rsidRPr="0097239C">
        <w:rPr>
          <w:rFonts w:hint="cs"/>
          <w:rtl/>
        </w:rPr>
        <w:t>ממחקר משנת 2018</w:t>
      </w:r>
      <w:r>
        <w:rPr>
          <w:vertAlign w:val="superscript"/>
          <w:rtl/>
        </w:rPr>
        <w:footnoteReference w:id="86"/>
      </w:r>
      <w:r w:rsidRPr="0097239C">
        <w:rPr>
          <w:rFonts w:hint="cs"/>
          <w:rtl/>
        </w:rPr>
        <w:t xml:space="preserve"> עולה כי הפנמת מלוא העלויות החיצוניות בתעריפי החשמל תביא לצמצום של 629 - 943 </w:t>
      </w:r>
      <w:r w:rsidRPr="0097239C">
        <w:t>GWh</w:t>
      </w:r>
      <w:r>
        <w:rPr>
          <w:vertAlign w:val="superscript"/>
          <w:rtl/>
        </w:rPr>
        <w:footnoteReference w:id="87"/>
      </w:r>
      <w:r w:rsidRPr="0097239C">
        <w:rPr>
          <w:rFonts w:hint="cs"/>
          <w:rtl/>
        </w:rPr>
        <w:t xml:space="preserve"> בצריכת החשמל השנתית של המגזר הביתי בטווח הארוך.</w:t>
      </w:r>
    </w:p>
    <w:p w:rsidR="00AE3072" w:rsidP="00AE3072">
      <w:pPr>
        <w:spacing w:line="269" w:lineRule="auto"/>
        <w:rPr>
          <w:rtl/>
        </w:rPr>
      </w:pPr>
    </w:p>
    <w:p w:rsidR="0097239C" w:rsidRPr="0097239C" w:rsidP="00AE3072">
      <w:pPr>
        <w:spacing w:line="269" w:lineRule="auto"/>
        <w:rPr>
          <w:rtl/>
        </w:rPr>
      </w:pPr>
      <w:r w:rsidRPr="0097239C">
        <w:rPr>
          <w:rFonts w:hint="cs"/>
          <w:rtl/>
        </w:rPr>
        <w:t>בינואר 2018 הטילה הממשלה</w:t>
      </w:r>
      <w:r>
        <w:rPr>
          <w:vertAlign w:val="superscript"/>
          <w:rtl/>
        </w:rPr>
        <w:footnoteReference w:id="88"/>
      </w:r>
      <w:r w:rsidRPr="0097239C">
        <w:rPr>
          <w:rFonts w:hint="cs"/>
          <w:rtl/>
        </w:rPr>
        <w:t xml:space="preserve"> על שר האוצר דאז לתקן, בין היתר, את צו הבלו על דלק באופן שהחל מ-1.1.18 יוטל מס על פחם בסכום של 102 ש"ח לטונה. שיעור הבלו המוטל על פחם כיום הוא</w:t>
      </w:r>
      <w:r w:rsidR="001B1BDC">
        <w:rPr>
          <w:rFonts w:hint="cs"/>
          <w:rtl/>
        </w:rPr>
        <w:t xml:space="preserve"> 46</w:t>
      </w:r>
      <w:r w:rsidR="005B263A">
        <w:rPr>
          <w:rFonts w:hint="cs"/>
          <w:rtl/>
        </w:rPr>
        <w:t>.</w:t>
      </w:r>
      <w:r w:rsidR="001B1BDC">
        <w:rPr>
          <w:rFonts w:hint="cs"/>
          <w:rtl/>
        </w:rPr>
        <w:t>14</w:t>
      </w:r>
      <w:r w:rsidRPr="001B1BDC">
        <w:rPr>
          <w:rFonts w:hint="cs"/>
          <w:rtl/>
        </w:rPr>
        <w:t xml:space="preserve"> </w:t>
      </w:r>
      <w:r w:rsidRPr="0097239C">
        <w:rPr>
          <w:rFonts w:hint="cs"/>
          <w:rtl/>
        </w:rPr>
        <w:t>ש"ח לטון</w:t>
      </w:r>
      <w:r>
        <w:rPr>
          <w:vertAlign w:val="superscript"/>
          <w:rtl/>
        </w:rPr>
        <w:footnoteReference w:id="89"/>
      </w:r>
      <w:r w:rsidRPr="0097239C">
        <w:rPr>
          <w:rFonts w:hint="cs"/>
          <w:rtl/>
        </w:rPr>
        <w:t>.</w:t>
      </w:r>
    </w:p>
    <w:p w:rsidR="0097239C" w:rsidRPr="0097239C" w:rsidP="00C603CF">
      <w:pPr>
        <w:pStyle w:val="a"/>
        <w:spacing w:line="269" w:lineRule="auto"/>
        <w:rPr>
          <w:rtl/>
        </w:rPr>
      </w:pPr>
    </w:p>
    <w:p w:rsidR="0097239C" w:rsidP="00C603CF">
      <w:pPr>
        <w:spacing w:line="269" w:lineRule="auto"/>
        <w:rPr>
          <w:rtl/>
        </w:rPr>
      </w:pPr>
      <w:r w:rsidRPr="0097239C">
        <w:rPr>
          <w:rFonts w:hint="cs"/>
          <w:rtl/>
        </w:rPr>
        <w:t>במרץ 2018 פורסמו צו תעריף המכס והפטורים ומס קנייה על טובין (תיקון מס' 10 והוראת שעה מס' 14), התשע"ח-2018, וצו הבלו על דלק (הטלת בלו) (תיקון מס' 2 והוראת שעה מס' 3), התשע"ח-2018, ולפיהם יועלו שיעורי מס הקנייה והבלו על הפחם ל-102 ש"ח לטון החל ב-15.3.19. בפברואר 2019 תוקן צו</w:t>
      </w:r>
      <w:r w:rsidRPr="0097239C">
        <w:t xml:space="preserve"> </w:t>
      </w:r>
      <w:r w:rsidRPr="0097239C">
        <w:rPr>
          <w:rFonts w:hint="cs"/>
          <w:rtl/>
        </w:rPr>
        <w:t>הבלו</w:t>
      </w:r>
      <w:r w:rsidRPr="0097239C">
        <w:t xml:space="preserve"> </w:t>
      </w:r>
      <w:r w:rsidRPr="0097239C">
        <w:rPr>
          <w:rFonts w:hint="cs"/>
          <w:rtl/>
        </w:rPr>
        <w:t>על</w:t>
      </w:r>
      <w:r w:rsidRPr="0097239C">
        <w:t xml:space="preserve"> </w:t>
      </w:r>
      <w:r w:rsidRPr="0097239C">
        <w:rPr>
          <w:rFonts w:hint="cs"/>
          <w:rtl/>
        </w:rPr>
        <w:t>הדלק</w:t>
      </w:r>
      <w:r w:rsidRPr="0097239C">
        <w:t xml:space="preserve"> </w:t>
      </w:r>
      <w:r w:rsidRPr="0097239C">
        <w:rPr>
          <w:rFonts w:hint="cs"/>
          <w:rtl/>
        </w:rPr>
        <w:t>(הטלת</w:t>
      </w:r>
      <w:r w:rsidRPr="0097239C">
        <w:t xml:space="preserve"> </w:t>
      </w:r>
      <w:r w:rsidRPr="0097239C">
        <w:rPr>
          <w:rFonts w:hint="cs"/>
          <w:rtl/>
        </w:rPr>
        <w:t>בלו) (תיקון</w:t>
      </w:r>
      <w:r w:rsidRPr="0097239C">
        <w:t xml:space="preserve"> </w:t>
      </w:r>
      <w:r w:rsidRPr="0097239C">
        <w:rPr>
          <w:rFonts w:hint="cs"/>
          <w:rtl/>
        </w:rPr>
        <w:t xml:space="preserve">מס' 2 והוראת שעה מס' 3), התשע"ח-2018 (תיקון), התשע"ט-2019, ונדחה עדכון שיעורי המס ל-1.1.21. בדברי ההסבר להצעת התיקון נכתב כי דחיית העלאת שיעורי המיסוי נועדה "להקטין את העלייה הצפויה בתעריף החשמל בשנת 2019". הפסד הכנסות המדינה ממיסים בגין ההחלטה לדחות את העלאת שיעורי המיסוי צפוי להסתכם ב-440 מיליון ש"ח.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יצוין כי על פי החלטת רשות החשמל מדצמבר 2019, החל ב-1.1.20 חלים תעריפים חדשים בעקבות העדכון השנתי, ובהתאם לכך העלות הממוצעת לצרכן הביתי פחתה ב-4.1%. כמו כן, נרשמה </w:t>
      </w:r>
      <w:r w:rsidRPr="0097239C">
        <w:rPr>
          <w:rtl/>
        </w:rPr>
        <w:t xml:space="preserve">הוזלה של כ-5.3% בתעריף </w:t>
      </w:r>
      <w:r w:rsidRPr="0097239C">
        <w:rPr>
          <w:rFonts w:hint="cs"/>
          <w:rtl/>
        </w:rPr>
        <w:t xml:space="preserve">החשמל </w:t>
      </w:r>
      <w:r w:rsidRPr="0097239C">
        <w:rPr>
          <w:rtl/>
        </w:rPr>
        <w:t>המשקי (</w:t>
      </w:r>
      <w:r w:rsidRPr="0097239C">
        <w:rPr>
          <w:rFonts w:hint="cs"/>
          <w:rtl/>
        </w:rPr>
        <w:t>ל</w:t>
      </w:r>
      <w:r w:rsidRPr="0097239C">
        <w:rPr>
          <w:rtl/>
        </w:rPr>
        <w:t>תעשי</w:t>
      </w:r>
      <w:r w:rsidRPr="0097239C">
        <w:rPr>
          <w:rFonts w:hint="cs"/>
          <w:rtl/>
        </w:rPr>
        <w:t>י</w:t>
      </w:r>
      <w:r w:rsidRPr="0097239C">
        <w:rPr>
          <w:rtl/>
        </w:rPr>
        <w:t xml:space="preserve">ה, </w:t>
      </w:r>
      <w:r w:rsidRPr="0097239C">
        <w:rPr>
          <w:rFonts w:hint="cs"/>
          <w:rtl/>
        </w:rPr>
        <w:t>לתאורת</w:t>
      </w:r>
      <w:r w:rsidRPr="0097239C">
        <w:rPr>
          <w:rtl/>
        </w:rPr>
        <w:t xml:space="preserve"> </w:t>
      </w:r>
      <w:r w:rsidRPr="0097239C">
        <w:rPr>
          <w:rFonts w:hint="cs"/>
          <w:rtl/>
        </w:rPr>
        <w:t>ה</w:t>
      </w:r>
      <w:r w:rsidRPr="0097239C">
        <w:rPr>
          <w:rtl/>
        </w:rPr>
        <w:t>רחובות וכו')</w:t>
      </w:r>
      <w:r w:rsidRPr="0097239C">
        <w:rPr>
          <w:rFonts w:hint="cs"/>
          <w:rtl/>
        </w:rPr>
        <w:t>. להלן הסיבות להוזלת התעריף:</w:t>
      </w:r>
    </w:p>
    <w:p w:rsidR="00C839A0">
      <w:pPr>
        <w:bidi w:val="0"/>
        <w:spacing w:after="200" w:line="276" w:lineRule="auto"/>
        <w:rPr>
          <w:szCs w:val="20"/>
          <w:rtl/>
        </w:rPr>
      </w:pPr>
      <w:r>
        <w:rPr>
          <w:szCs w:val="20"/>
          <w:rtl/>
        </w:rPr>
        <w:br w:type="page"/>
      </w:r>
    </w:p>
    <w:p w:rsidR="0097239C" w:rsidRPr="0097239C" w:rsidP="003F2044">
      <w:pPr>
        <w:spacing w:line="269" w:lineRule="auto"/>
        <w:jc w:val="center"/>
        <w:rPr>
          <w:rtl/>
        </w:rPr>
      </w:pPr>
      <w:r w:rsidRPr="0097239C">
        <w:rPr>
          <w:rFonts w:hint="cs"/>
          <w:b/>
          <w:bCs/>
          <w:rtl/>
        </w:rPr>
        <w:t>תרשים 13: גורמים מרכזיים להוזלת תעריף החשמל בינואר 2020 ושיעור השפעתם על התעריף</w:t>
      </w:r>
    </w:p>
    <w:p w:rsidR="0097239C" w:rsidRPr="0097239C" w:rsidP="008A1C81">
      <w:pPr>
        <w:spacing w:before="240" w:after="240" w:line="269" w:lineRule="auto"/>
        <w:jc w:val="center"/>
        <w:rPr>
          <w:rtl/>
        </w:rPr>
      </w:pPr>
      <w:r>
        <w:rPr>
          <w:noProof/>
          <w:rtl/>
        </w:rPr>
        <w:drawing>
          <wp:inline distT="0" distB="0" distL="0" distR="0">
            <wp:extent cx="3067050" cy="3008835"/>
            <wp:effectExtent l="0" t="0" r="0" b="1270"/>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48943" name="gra-13.jpg"/>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72713" cy="3014391"/>
                    </a:xfrm>
                    <a:prstGeom prst="rect">
                      <a:avLst/>
                    </a:prstGeom>
                  </pic:spPr>
                </pic:pic>
              </a:graphicData>
            </a:graphic>
          </wp:inline>
        </w:drawing>
      </w:r>
    </w:p>
    <w:p w:rsidR="0097239C" w:rsidP="00C603CF">
      <w:pPr>
        <w:spacing w:line="269" w:lineRule="auto"/>
        <w:rPr>
          <w:sz w:val="22"/>
          <w:szCs w:val="22"/>
          <w:rtl/>
        </w:rPr>
      </w:pPr>
      <w:r w:rsidRPr="00810E1E">
        <w:rPr>
          <w:rFonts w:hint="cs"/>
          <w:sz w:val="22"/>
          <w:szCs w:val="22"/>
          <w:rtl/>
        </w:rPr>
        <w:t xml:space="preserve">המקור: רשות החשמל, </w:t>
      </w:r>
      <w:r w:rsidRPr="00810E1E">
        <w:rPr>
          <w:rFonts w:hint="eastAsia"/>
          <w:b/>
          <w:bCs/>
          <w:sz w:val="22"/>
          <w:szCs w:val="22"/>
          <w:rtl/>
        </w:rPr>
        <w:t>הודעה</w:t>
      </w:r>
      <w:r w:rsidRPr="00810E1E">
        <w:rPr>
          <w:b/>
          <w:bCs/>
          <w:sz w:val="22"/>
          <w:szCs w:val="22"/>
          <w:rtl/>
        </w:rPr>
        <w:t xml:space="preserve"> </w:t>
      </w:r>
      <w:r w:rsidRPr="00810E1E">
        <w:rPr>
          <w:rFonts w:hint="eastAsia"/>
          <w:b/>
          <w:bCs/>
          <w:sz w:val="22"/>
          <w:szCs w:val="22"/>
          <w:rtl/>
        </w:rPr>
        <w:t>לעיתונות</w:t>
      </w:r>
      <w:r w:rsidRPr="00810E1E">
        <w:rPr>
          <w:b/>
          <w:bCs/>
          <w:sz w:val="22"/>
          <w:szCs w:val="22"/>
          <w:rtl/>
        </w:rPr>
        <w:t xml:space="preserve"> - </w:t>
      </w:r>
      <w:r w:rsidRPr="00810E1E">
        <w:rPr>
          <w:rFonts w:hint="eastAsia"/>
          <w:b/>
          <w:bCs/>
          <w:sz w:val="22"/>
          <w:szCs w:val="22"/>
          <w:rtl/>
        </w:rPr>
        <w:t>שימוע</w:t>
      </w:r>
      <w:r w:rsidRPr="00810E1E">
        <w:rPr>
          <w:b/>
          <w:bCs/>
          <w:sz w:val="22"/>
          <w:szCs w:val="22"/>
          <w:rtl/>
        </w:rPr>
        <w:t xml:space="preserve"> </w:t>
      </w:r>
      <w:r w:rsidRPr="00810E1E">
        <w:rPr>
          <w:rFonts w:hint="eastAsia"/>
          <w:b/>
          <w:bCs/>
          <w:sz w:val="22"/>
          <w:szCs w:val="22"/>
          <w:rtl/>
        </w:rPr>
        <w:t>עדכון</w:t>
      </w:r>
      <w:r w:rsidRPr="00810E1E">
        <w:rPr>
          <w:b/>
          <w:bCs/>
          <w:sz w:val="22"/>
          <w:szCs w:val="22"/>
          <w:rtl/>
        </w:rPr>
        <w:t xml:space="preserve"> </w:t>
      </w:r>
      <w:r w:rsidRPr="00810E1E">
        <w:rPr>
          <w:rFonts w:hint="eastAsia"/>
          <w:b/>
          <w:bCs/>
          <w:sz w:val="22"/>
          <w:szCs w:val="22"/>
          <w:rtl/>
        </w:rPr>
        <w:t>תעריף</w:t>
      </w:r>
      <w:r w:rsidRPr="00810E1E">
        <w:rPr>
          <w:b/>
          <w:bCs/>
          <w:sz w:val="22"/>
          <w:szCs w:val="22"/>
          <w:rtl/>
        </w:rPr>
        <w:t xml:space="preserve"> 2020</w:t>
      </w:r>
      <w:r w:rsidRPr="00810E1E">
        <w:rPr>
          <w:rFonts w:hint="cs"/>
          <w:sz w:val="22"/>
          <w:szCs w:val="22"/>
          <w:rtl/>
        </w:rPr>
        <w:t xml:space="preserve"> (נובמבר 2019).</w:t>
      </w:r>
    </w:p>
    <w:p w:rsidR="00C839A0" w:rsidRPr="00810E1E" w:rsidP="00C603CF">
      <w:pPr>
        <w:spacing w:line="269" w:lineRule="auto"/>
        <w:rPr>
          <w:sz w:val="22"/>
          <w:szCs w:val="22"/>
          <w:rtl/>
        </w:rPr>
      </w:pPr>
    </w:p>
    <w:p w:rsidR="0097239C" w:rsidRPr="0097239C" w:rsidP="00C603CF">
      <w:pPr>
        <w:spacing w:line="269" w:lineRule="auto"/>
        <w:rPr>
          <w:rtl/>
        </w:rPr>
      </w:pPr>
      <w:r w:rsidRPr="0097239C">
        <w:rPr>
          <w:rFonts w:hint="cs"/>
          <w:rtl/>
        </w:rPr>
        <w:t>רשות החשמל השיבה למשרד מבקר המדינה במאי 2020 כי תעריף החשמל מחושב על בסיס ה</w:t>
      </w:r>
      <w:r w:rsidRPr="0097239C">
        <w:rPr>
          <w:rFonts w:hint="eastAsia"/>
          <w:rtl/>
        </w:rPr>
        <w:t>עלויות</w:t>
      </w:r>
      <w:r w:rsidRPr="0097239C">
        <w:rPr>
          <w:rtl/>
        </w:rPr>
        <w:t xml:space="preserve"> </w:t>
      </w:r>
      <w:r w:rsidRPr="0097239C">
        <w:rPr>
          <w:rFonts w:hint="eastAsia"/>
          <w:rtl/>
        </w:rPr>
        <w:t>לי</w:t>
      </w:r>
      <w:r w:rsidRPr="0097239C">
        <w:rPr>
          <w:rFonts w:hint="cs"/>
          <w:rtl/>
        </w:rPr>
        <w:t>י</w:t>
      </w:r>
      <w:r w:rsidRPr="0097239C">
        <w:rPr>
          <w:rFonts w:hint="eastAsia"/>
          <w:rtl/>
        </w:rPr>
        <w:t>צור</w:t>
      </w:r>
      <w:r w:rsidRPr="0097239C">
        <w:rPr>
          <w:rtl/>
        </w:rPr>
        <w:t xml:space="preserve"> </w:t>
      </w:r>
      <w:r w:rsidRPr="0097239C">
        <w:rPr>
          <w:rFonts w:hint="eastAsia"/>
          <w:rtl/>
        </w:rPr>
        <w:t>החשמל</w:t>
      </w:r>
      <w:r w:rsidRPr="0097239C">
        <w:rPr>
          <w:rtl/>
        </w:rPr>
        <w:t xml:space="preserve">, </w:t>
      </w:r>
      <w:r w:rsidRPr="0097239C">
        <w:rPr>
          <w:rFonts w:hint="eastAsia"/>
          <w:rtl/>
        </w:rPr>
        <w:t>לרבות</w:t>
      </w:r>
      <w:r w:rsidRPr="0097239C">
        <w:rPr>
          <w:rtl/>
        </w:rPr>
        <w:t xml:space="preserve"> </w:t>
      </w:r>
      <w:r w:rsidRPr="0097239C">
        <w:rPr>
          <w:rFonts w:hint="eastAsia"/>
          <w:rtl/>
        </w:rPr>
        <w:t>מס</w:t>
      </w:r>
      <w:r w:rsidRPr="0097239C">
        <w:rPr>
          <w:rtl/>
        </w:rPr>
        <w:t xml:space="preserve"> </w:t>
      </w:r>
      <w:r w:rsidRPr="0097239C">
        <w:rPr>
          <w:rFonts w:hint="eastAsia"/>
          <w:rtl/>
        </w:rPr>
        <w:t>הבלו</w:t>
      </w:r>
      <w:r w:rsidRPr="0097239C">
        <w:rPr>
          <w:rtl/>
        </w:rPr>
        <w:t xml:space="preserve"> </w:t>
      </w:r>
      <w:r w:rsidRPr="0097239C">
        <w:rPr>
          <w:rFonts w:hint="eastAsia"/>
          <w:rtl/>
        </w:rPr>
        <w:t>כפי</w:t>
      </w:r>
      <w:r w:rsidRPr="0097239C">
        <w:rPr>
          <w:rtl/>
        </w:rPr>
        <w:t xml:space="preserve"> </w:t>
      </w:r>
      <w:r w:rsidRPr="0097239C">
        <w:rPr>
          <w:rFonts w:hint="eastAsia"/>
          <w:rtl/>
        </w:rPr>
        <w:t>שנקבע</w:t>
      </w:r>
      <w:r w:rsidRPr="0097239C">
        <w:rPr>
          <w:rtl/>
        </w:rPr>
        <w:t xml:space="preserve"> </w:t>
      </w:r>
      <w:r w:rsidRPr="0097239C">
        <w:rPr>
          <w:rFonts w:hint="eastAsia"/>
          <w:rtl/>
        </w:rPr>
        <w:t>על</w:t>
      </w:r>
      <w:r w:rsidRPr="0097239C">
        <w:rPr>
          <w:rtl/>
        </w:rPr>
        <w:t xml:space="preserve"> </w:t>
      </w:r>
      <w:r w:rsidRPr="0097239C">
        <w:rPr>
          <w:rFonts w:hint="eastAsia"/>
          <w:rtl/>
        </w:rPr>
        <w:t>ידי</w:t>
      </w:r>
      <w:r w:rsidRPr="0097239C">
        <w:rPr>
          <w:rtl/>
        </w:rPr>
        <w:t xml:space="preserve"> </w:t>
      </w:r>
      <w:r w:rsidRPr="0097239C">
        <w:rPr>
          <w:rFonts w:hint="eastAsia"/>
          <w:rtl/>
        </w:rPr>
        <w:t>רשות</w:t>
      </w:r>
      <w:r w:rsidRPr="0097239C">
        <w:rPr>
          <w:rtl/>
        </w:rPr>
        <w:t xml:space="preserve"> </w:t>
      </w:r>
      <w:r w:rsidRPr="0097239C">
        <w:rPr>
          <w:rFonts w:hint="eastAsia"/>
          <w:rtl/>
        </w:rPr>
        <w:t>המסים</w:t>
      </w:r>
      <w:r w:rsidRPr="0097239C">
        <w:rPr>
          <w:rtl/>
        </w:rPr>
        <w:t xml:space="preserve">. </w:t>
      </w:r>
      <w:r w:rsidRPr="0097239C">
        <w:rPr>
          <w:rFonts w:hint="eastAsia"/>
          <w:rtl/>
        </w:rPr>
        <w:t>חישוב</w:t>
      </w:r>
      <w:r w:rsidRPr="0097239C">
        <w:rPr>
          <w:rtl/>
        </w:rPr>
        <w:t xml:space="preserve"> </w:t>
      </w:r>
      <w:r w:rsidRPr="0097239C">
        <w:rPr>
          <w:rFonts w:hint="eastAsia"/>
          <w:rtl/>
        </w:rPr>
        <w:t>התעריף</w:t>
      </w:r>
      <w:r w:rsidRPr="0097239C">
        <w:rPr>
          <w:rtl/>
        </w:rPr>
        <w:t xml:space="preserve"> </w:t>
      </w:r>
      <w:r w:rsidRPr="0097239C">
        <w:rPr>
          <w:rFonts w:hint="eastAsia"/>
          <w:rtl/>
        </w:rPr>
        <w:t>על</w:t>
      </w:r>
      <w:r w:rsidRPr="0097239C">
        <w:rPr>
          <w:rtl/>
        </w:rPr>
        <w:t xml:space="preserve"> </w:t>
      </w:r>
      <w:r w:rsidRPr="0097239C">
        <w:rPr>
          <w:rFonts w:hint="eastAsia"/>
          <w:rtl/>
        </w:rPr>
        <w:t>בסיס</w:t>
      </w:r>
      <w:r w:rsidRPr="0097239C">
        <w:rPr>
          <w:rtl/>
        </w:rPr>
        <w:t xml:space="preserve"> </w:t>
      </w:r>
      <w:r w:rsidRPr="0097239C">
        <w:rPr>
          <w:rFonts w:hint="eastAsia"/>
          <w:rtl/>
        </w:rPr>
        <w:t>עלות</w:t>
      </w:r>
      <w:r w:rsidRPr="0097239C">
        <w:rPr>
          <w:rtl/>
        </w:rPr>
        <w:t xml:space="preserve"> </w:t>
      </w:r>
      <w:r w:rsidRPr="0097239C">
        <w:rPr>
          <w:rFonts w:hint="eastAsia"/>
          <w:rtl/>
        </w:rPr>
        <w:t>גבוהה</w:t>
      </w:r>
      <w:r w:rsidRPr="0097239C">
        <w:rPr>
          <w:rtl/>
        </w:rPr>
        <w:t xml:space="preserve"> </w:t>
      </w:r>
      <w:r w:rsidRPr="0097239C">
        <w:rPr>
          <w:rFonts w:hint="eastAsia"/>
          <w:rtl/>
        </w:rPr>
        <w:t>מעלות</w:t>
      </w:r>
      <w:r w:rsidRPr="0097239C">
        <w:rPr>
          <w:rtl/>
        </w:rPr>
        <w:t xml:space="preserve"> </w:t>
      </w:r>
      <w:r w:rsidRPr="0097239C">
        <w:rPr>
          <w:rFonts w:hint="eastAsia"/>
          <w:rtl/>
        </w:rPr>
        <w:t>ה</w:t>
      </w:r>
      <w:r w:rsidRPr="0097239C">
        <w:rPr>
          <w:rFonts w:hint="cs"/>
          <w:rtl/>
        </w:rPr>
        <w:t>י</w:t>
      </w:r>
      <w:r w:rsidRPr="0097239C">
        <w:rPr>
          <w:rFonts w:hint="eastAsia"/>
          <w:rtl/>
        </w:rPr>
        <w:t>יצור</w:t>
      </w:r>
      <w:r w:rsidRPr="0097239C">
        <w:rPr>
          <w:rFonts w:hint="cs"/>
          <w:rtl/>
        </w:rPr>
        <w:t>,</w:t>
      </w:r>
      <w:r w:rsidRPr="0097239C">
        <w:rPr>
          <w:rtl/>
        </w:rPr>
        <w:t xml:space="preserve"> </w:t>
      </w:r>
      <w:r w:rsidRPr="0097239C">
        <w:rPr>
          <w:rFonts w:hint="eastAsia"/>
          <w:rtl/>
        </w:rPr>
        <w:t>בשל</w:t>
      </w:r>
      <w:r w:rsidRPr="0097239C">
        <w:rPr>
          <w:rtl/>
        </w:rPr>
        <w:t xml:space="preserve"> </w:t>
      </w:r>
      <w:r w:rsidRPr="0097239C">
        <w:rPr>
          <w:rFonts w:hint="eastAsia"/>
          <w:rtl/>
        </w:rPr>
        <w:t>הפנמת</w:t>
      </w:r>
      <w:r w:rsidRPr="0097239C">
        <w:rPr>
          <w:rtl/>
        </w:rPr>
        <w:t xml:space="preserve"> </w:t>
      </w:r>
      <w:r w:rsidRPr="0097239C">
        <w:rPr>
          <w:rFonts w:hint="eastAsia"/>
          <w:rtl/>
        </w:rPr>
        <w:t>עלות</w:t>
      </w:r>
      <w:r w:rsidRPr="0097239C">
        <w:rPr>
          <w:rtl/>
        </w:rPr>
        <w:t xml:space="preserve"> </w:t>
      </w:r>
      <w:r w:rsidRPr="0097239C">
        <w:rPr>
          <w:rFonts w:hint="eastAsia"/>
          <w:rtl/>
        </w:rPr>
        <w:t>חיצונית</w:t>
      </w:r>
      <w:r w:rsidRPr="0097239C">
        <w:rPr>
          <w:rtl/>
        </w:rPr>
        <w:t xml:space="preserve"> </w:t>
      </w:r>
      <w:r w:rsidRPr="0097239C">
        <w:rPr>
          <w:rFonts w:hint="eastAsia"/>
          <w:rtl/>
        </w:rPr>
        <w:t>נוספת</w:t>
      </w:r>
      <w:r w:rsidRPr="0097239C">
        <w:rPr>
          <w:rFonts w:hint="cs"/>
          <w:rtl/>
        </w:rPr>
        <w:t xml:space="preserve">, </w:t>
      </w:r>
      <w:r w:rsidRPr="0097239C">
        <w:rPr>
          <w:rFonts w:hint="eastAsia"/>
          <w:rtl/>
        </w:rPr>
        <w:t>תביא</w:t>
      </w:r>
      <w:r w:rsidRPr="0097239C">
        <w:rPr>
          <w:rtl/>
        </w:rPr>
        <w:t xml:space="preserve"> </w:t>
      </w:r>
      <w:r w:rsidRPr="0097239C">
        <w:rPr>
          <w:rFonts w:hint="eastAsia"/>
          <w:rtl/>
        </w:rPr>
        <w:t>לעליית</w:t>
      </w:r>
      <w:r w:rsidRPr="0097239C">
        <w:rPr>
          <w:rtl/>
        </w:rPr>
        <w:t xml:space="preserve"> </w:t>
      </w:r>
      <w:r w:rsidRPr="0097239C">
        <w:rPr>
          <w:rFonts w:hint="cs"/>
          <w:rtl/>
        </w:rPr>
        <w:t>ה</w:t>
      </w:r>
      <w:r w:rsidRPr="0097239C">
        <w:rPr>
          <w:rFonts w:hint="eastAsia"/>
          <w:rtl/>
        </w:rPr>
        <w:t>תעריף</w:t>
      </w:r>
      <w:r w:rsidRPr="0097239C">
        <w:rPr>
          <w:rFonts w:hint="cs"/>
          <w:rtl/>
        </w:rPr>
        <w:t xml:space="preserve"> עבור צרכני החשמל</w:t>
      </w:r>
      <w:r w:rsidRPr="0097239C">
        <w:rPr>
          <w:rtl/>
        </w:rPr>
        <w:t>.</w:t>
      </w:r>
      <w:r w:rsidRPr="0097239C">
        <w:rPr>
          <w:rFonts w:hint="cs"/>
          <w:rtl/>
        </w:rPr>
        <w:t xml:space="preserve"> עוד השיבה רשות החשמל כי החל משנת 2018 ובעקבות הנחיית שר </w:t>
      </w:r>
      <w:r w:rsidRPr="0097239C">
        <w:rPr>
          <w:rFonts w:hint="cs"/>
          <w:rtl/>
        </w:rPr>
        <w:t>האנרגייה</w:t>
      </w:r>
      <w:r w:rsidRPr="0097239C">
        <w:rPr>
          <w:rFonts w:hint="cs"/>
          <w:rtl/>
        </w:rPr>
        <w:t xml:space="preserve">, העמסת יחידות הייצור נעשית באופן שמצמצם את זיהום האוויר, כך שהיחידות הפחמיות מופעלות בהספק מינימלי, המאפשר להבטיח את אמינות אספקת החשמל ושרידות המערכת. באופן זה, הפנמת העלויות החיצוניות הנובעות משימוש </w:t>
      </w:r>
      <w:r w:rsidRPr="0097239C">
        <w:rPr>
          <w:rFonts w:hint="cs"/>
          <w:rtl/>
        </w:rPr>
        <w:t>בדלקים</w:t>
      </w:r>
      <w:r w:rsidRPr="0097239C">
        <w:rPr>
          <w:rFonts w:hint="cs"/>
          <w:rtl/>
        </w:rPr>
        <w:t xml:space="preserve"> מזהמים משתקפת באופן הפעלת יחידות הייצור במשק. העלות השנתית הנוספת בגין סדר העמסה זה הוערכה בעת קביעתה בכ-400 מיליון ש"ח בשנה</w:t>
      </w:r>
      <w:r>
        <w:rPr>
          <w:vertAlign w:val="superscript"/>
          <w:rtl/>
        </w:rPr>
        <w:footnoteReference w:id="90"/>
      </w:r>
      <w:r w:rsidRPr="0097239C">
        <w:rPr>
          <w:rFonts w:hint="cs"/>
          <w:rtl/>
        </w:rPr>
        <w:t>. רשות המיסים השיבה למשרד מבקר המדינה במאי 2020 כי היא</w:t>
      </w:r>
      <w:r w:rsidRPr="0097239C">
        <w:rPr>
          <w:rtl/>
        </w:rPr>
        <w:t xml:space="preserve"> שותפה למאמץ הממשלתי להתייעלות אנרגטית, לצמצום זיהום האוויר ו</w:t>
      </w:r>
      <w:r w:rsidRPr="0097239C">
        <w:rPr>
          <w:rFonts w:hint="cs"/>
          <w:rtl/>
        </w:rPr>
        <w:t>ל</w:t>
      </w:r>
      <w:r w:rsidRPr="0097239C">
        <w:rPr>
          <w:rtl/>
        </w:rPr>
        <w:t>שמירה על הסביבה.</w:t>
      </w:r>
      <w:r w:rsidRPr="0097239C">
        <w:rPr>
          <w:rFonts w:hint="cs"/>
          <w:rtl/>
        </w:rPr>
        <w:t xml:space="preserve"> </w:t>
      </w:r>
      <w:r w:rsidRPr="0097239C">
        <w:rPr>
          <w:rtl/>
        </w:rPr>
        <w:t xml:space="preserve">בתוך כך פעלה הרשות לקידום הפנמת עלויות חיצוניות במחירי </w:t>
      </w:r>
      <w:r w:rsidRPr="0097239C">
        <w:rPr>
          <w:rtl/>
        </w:rPr>
        <w:t>הדלקים</w:t>
      </w:r>
      <w:r w:rsidRPr="0097239C">
        <w:rPr>
          <w:rtl/>
        </w:rPr>
        <w:t>, ובין היתר הובילה שתי ועדות בי</w:t>
      </w:r>
      <w:r w:rsidRPr="0097239C">
        <w:rPr>
          <w:rFonts w:hint="cs"/>
          <w:rtl/>
        </w:rPr>
        <w:t>ן-</w:t>
      </w:r>
      <w:r w:rsidRPr="0097239C">
        <w:rPr>
          <w:rtl/>
        </w:rPr>
        <w:t xml:space="preserve">משרדיות שפרסמו המלצות להעלאת הבלו על </w:t>
      </w:r>
      <w:r w:rsidRPr="0097239C">
        <w:rPr>
          <w:rtl/>
        </w:rPr>
        <w:t>דלקים</w:t>
      </w:r>
      <w:r w:rsidRPr="0097239C">
        <w:rPr>
          <w:rFonts w:hint="cs"/>
          <w:rtl/>
        </w:rPr>
        <w:t>. יצוין כי הממשלה לא אימצה את המלצות ועדות אלה במלואן.</w:t>
      </w:r>
    </w:p>
    <w:p w:rsidR="0097239C" w:rsidRPr="0097239C" w:rsidP="00C603CF">
      <w:pPr>
        <w:pStyle w:val="a"/>
        <w:spacing w:line="269" w:lineRule="auto"/>
        <w:rPr>
          <w:rtl/>
        </w:rPr>
      </w:pPr>
    </w:p>
    <w:p w:rsidR="0097239C" w:rsidP="00C603CF">
      <w:pPr>
        <w:spacing w:line="269" w:lineRule="auto"/>
        <w:rPr>
          <w:rtl/>
        </w:rPr>
      </w:pPr>
      <w:r w:rsidRPr="0097239C">
        <w:rPr>
          <w:rFonts w:hint="cs"/>
          <w:b/>
          <w:bCs/>
          <w:rtl/>
        </w:rPr>
        <w:t xml:space="preserve">הפנמת העלויות החיצוניות במחירי </w:t>
      </w:r>
      <w:r w:rsidRPr="0097239C">
        <w:rPr>
          <w:rFonts w:hint="cs"/>
          <w:b/>
          <w:bCs/>
          <w:rtl/>
        </w:rPr>
        <w:t>הדלקים</w:t>
      </w:r>
      <w:r w:rsidRPr="0097239C">
        <w:rPr>
          <w:rFonts w:hint="cs"/>
          <w:b/>
          <w:bCs/>
          <w:rtl/>
        </w:rPr>
        <w:t xml:space="preserve"> תשקף את העלות </w:t>
      </w:r>
      <w:r w:rsidRPr="0097239C">
        <w:rPr>
          <w:rFonts w:hint="cs"/>
          <w:b/>
          <w:bCs/>
          <w:rtl/>
        </w:rPr>
        <w:t>האמיתית</w:t>
      </w:r>
      <w:r w:rsidRPr="0097239C">
        <w:rPr>
          <w:rFonts w:hint="cs"/>
          <w:b/>
          <w:bCs/>
          <w:rtl/>
        </w:rPr>
        <w:t xml:space="preserve"> של השימוש </w:t>
      </w:r>
      <w:r w:rsidRPr="0097239C">
        <w:rPr>
          <w:rFonts w:hint="cs"/>
          <w:b/>
          <w:bCs/>
          <w:rtl/>
        </w:rPr>
        <w:t>בדלקים</w:t>
      </w:r>
      <w:r w:rsidRPr="0097239C">
        <w:rPr>
          <w:rFonts w:hint="cs"/>
          <w:b/>
          <w:bCs/>
          <w:rtl/>
        </w:rPr>
        <w:t xml:space="preserve"> אלה, תוביל לקבלת החלטות מושכלות יותר בשימוש בהם, תביא להקצאת מקורות יעילה יותר במשק, ועשויה להוביל להתייעלות אנרגטית משמעותית. מצד שני, הפנמת עלויות אלה מתבטאת בהעלאת הבלו על </w:t>
      </w:r>
      <w:r w:rsidRPr="0097239C">
        <w:rPr>
          <w:rFonts w:hint="cs"/>
          <w:b/>
          <w:bCs/>
          <w:rtl/>
        </w:rPr>
        <w:t>הדלקים</w:t>
      </w:r>
      <w:r w:rsidRPr="0097239C">
        <w:rPr>
          <w:rFonts w:hint="cs"/>
          <w:b/>
          <w:bCs/>
          <w:rtl/>
        </w:rPr>
        <w:t xml:space="preserve"> (ככל שייצור החשמל מתבסס על </w:t>
      </w:r>
      <w:r w:rsidRPr="0097239C">
        <w:rPr>
          <w:rFonts w:hint="cs"/>
          <w:b/>
          <w:bCs/>
          <w:rtl/>
        </w:rPr>
        <w:t>דלקים</w:t>
      </w:r>
      <w:r w:rsidRPr="0097239C">
        <w:rPr>
          <w:rFonts w:hint="cs"/>
          <w:b/>
          <w:bCs/>
          <w:rtl/>
        </w:rPr>
        <w:t xml:space="preserve"> </w:t>
      </w:r>
      <w:r w:rsidRPr="0097239C">
        <w:rPr>
          <w:rFonts w:hint="cs"/>
          <w:b/>
          <w:bCs/>
          <w:rtl/>
        </w:rPr>
        <w:t>פוסיליים</w:t>
      </w:r>
      <w:r w:rsidRPr="0097239C">
        <w:rPr>
          <w:rFonts w:hint="cs"/>
          <w:b/>
          <w:bCs/>
          <w:rtl/>
        </w:rPr>
        <w:t>) ובעליית תעריפי החשמל לצרכנים. על כן יש לאזן בין התועלות הכרוכות בהפנמת העלויות החיצוניות ובין המשמעות של העלאת התעריפים והשפעתה על יוקר המחיה. משרד מבקר המדינה ממליץ לשקול מנגנונים כלכליים</w:t>
      </w:r>
      <w:r>
        <w:rPr>
          <w:b/>
          <w:bCs/>
          <w:vertAlign w:val="superscript"/>
          <w:rtl/>
        </w:rPr>
        <w:footnoteReference w:id="91"/>
      </w:r>
      <w:r w:rsidRPr="0097239C">
        <w:rPr>
          <w:rFonts w:hint="cs"/>
          <w:b/>
          <w:bCs/>
          <w:rtl/>
        </w:rPr>
        <w:t xml:space="preserve"> שיבחנו עדכון תעריפי לעידוד התייעלות אנרגטית.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אג"ת</w:t>
      </w:r>
      <w:r w:rsidRPr="0097239C">
        <w:rPr>
          <w:rFonts w:hint="cs"/>
          <w:rtl/>
        </w:rPr>
        <w:t xml:space="preserve"> השיב למשרד מבקר המדינה במאי 2020 כי ככלל, הדרך הנכונה להוביל להתייעלות אנרגטית היא דרך מנגנון המחירים במשק החשמל, וזאת באמצעות החלת תעריף דיפרנציאלי במשק </w:t>
      </w:r>
      <w:r w:rsidRPr="0097239C">
        <w:rPr>
          <w:rFonts w:hint="cs"/>
          <w:rtl/>
        </w:rPr>
        <w:t>החשמל, אשר מפנים את העלויות החיצוניות ועלויות ההון שנובעות מצריכת חשמל גבוהה, בפרט בשעות שיא הביקוש.</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רשות המיסים השיבה למשרד מבקר המדינה במאי 2020, כי בהיערכות לתקציב 2021 היא תבחן בשיתוף </w:t>
      </w:r>
      <w:r w:rsidRPr="0097239C">
        <w:rPr>
          <w:rFonts w:hint="cs"/>
          <w:rtl/>
        </w:rPr>
        <w:t>אג"ת</w:t>
      </w:r>
      <w:r w:rsidRPr="0097239C">
        <w:rPr>
          <w:rFonts w:hint="cs"/>
          <w:rtl/>
        </w:rPr>
        <w:t xml:space="preserve"> שינוי חקיקה להעלאת הבלו על </w:t>
      </w:r>
      <w:r w:rsidRPr="0097239C">
        <w:rPr>
          <w:rFonts w:hint="cs"/>
          <w:rtl/>
        </w:rPr>
        <w:t>דלקים</w:t>
      </w:r>
      <w:r w:rsidRPr="0097239C">
        <w:rPr>
          <w:rFonts w:hint="cs"/>
          <w:rtl/>
        </w:rPr>
        <w:t xml:space="preserve"> לחשמל ולתעשייה, לרבות על בסיס דוח ועדת מיסוי ירוק 3, תוך התחשבות במכלול שיקולים וביניהם התועלות הכרוכות בהפנמת העלויות החיצוניות, שיקולים פיסקאליים, שיקולי יוקר המחיה ושיקולים הנובעים מהתמודדות עם המשבר הכלכלי בעקבות התפרצות נגיף הקורונה.</w:t>
      </w:r>
    </w:p>
    <w:p w:rsidR="00C87287" w:rsidRPr="0097239C" w:rsidP="00C603CF">
      <w:pPr>
        <w:spacing w:line="269" w:lineRule="auto"/>
        <w:rPr>
          <w:rtl/>
        </w:rPr>
      </w:pPr>
    </w:p>
    <w:p w:rsidR="0097239C" w:rsidP="00C603CF">
      <w:pPr>
        <w:pStyle w:val="Heading3"/>
        <w:spacing w:before="0" w:line="269" w:lineRule="auto"/>
        <w:rPr>
          <w:rtl/>
        </w:rPr>
      </w:pPr>
      <w:bookmarkStart w:id="9" w:name="_Toc46906225"/>
      <w:r w:rsidRPr="0097239C">
        <w:rPr>
          <w:rFonts w:hint="cs"/>
          <w:rtl/>
        </w:rPr>
        <w:t>המעבר לשימוש בגז טבעי</w:t>
      </w:r>
      <w:bookmarkEnd w:id="9"/>
    </w:p>
    <w:p w:rsidR="00C87287" w:rsidRPr="0097239C" w:rsidP="00C603CF">
      <w:pPr>
        <w:pStyle w:val="a"/>
        <w:spacing w:line="269" w:lineRule="auto"/>
        <w:rPr>
          <w:rtl/>
        </w:rPr>
      </w:pPr>
    </w:p>
    <w:p w:rsidR="0097239C" w:rsidP="00C603CF">
      <w:pPr>
        <w:spacing w:line="269" w:lineRule="auto"/>
        <w:rPr>
          <w:rtl/>
        </w:rPr>
      </w:pPr>
      <w:r w:rsidRPr="0097239C">
        <w:rPr>
          <w:rFonts w:hint="cs"/>
          <w:rtl/>
        </w:rPr>
        <w:t xml:space="preserve">מתחילת שנות השמונים של המאה העשרים ועד שנת 2004 יוצר החשמל בישראל בעיקר באמצעות פחם. משנת 2004 מיוצר החשמל בעיקר באמצעות פחם וגז טבעי. הגז הטבעי הוא מקור </w:t>
      </w:r>
      <w:r w:rsidRPr="0097239C">
        <w:rPr>
          <w:rFonts w:hint="cs"/>
          <w:rtl/>
        </w:rPr>
        <w:t>אנרגייה</w:t>
      </w:r>
      <w:r w:rsidRPr="0097239C">
        <w:rPr>
          <w:rFonts w:hint="cs"/>
          <w:rtl/>
        </w:rPr>
        <w:t xml:space="preserve"> המזהם פחות מפחם, וייצור באמצעותו מפחית במידה ניכרת את הפגיעה בבריאות הציבור ואת הפליטה של </w:t>
      </w:r>
      <w:r w:rsidRPr="0097239C">
        <w:rPr>
          <w:rFonts w:hint="cs"/>
          <w:rtl/>
        </w:rPr>
        <w:t>פד"ח</w:t>
      </w:r>
      <w:r w:rsidRPr="0097239C">
        <w:rPr>
          <w:rFonts w:hint="cs"/>
          <w:rtl/>
        </w:rPr>
        <w:t xml:space="preserve">. נוסף על כך, הגז הטבעי מגביר את מידת העצמאות האנרגטית של ישראל ומפחית את התלות בייבוא </w:t>
      </w:r>
      <w:r w:rsidRPr="0097239C">
        <w:rPr>
          <w:rFonts w:hint="cs"/>
          <w:rtl/>
        </w:rPr>
        <w:t>דלקים</w:t>
      </w:r>
      <w:r w:rsidRPr="0097239C">
        <w:rPr>
          <w:rFonts w:hint="cs"/>
          <w:rtl/>
        </w:rPr>
        <w:t xml:space="preserve">; תורם לצמצום בעלויות </w:t>
      </w:r>
      <w:r w:rsidRPr="0097239C">
        <w:rPr>
          <w:rFonts w:hint="cs"/>
          <w:rtl/>
        </w:rPr>
        <w:t>האנרגייה</w:t>
      </w:r>
      <w:r w:rsidRPr="0097239C">
        <w:rPr>
          <w:rFonts w:hint="cs"/>
          <w:rtl/>
        </w:rPr>
        <w:t xml:space="preserve"> ולהגדלת הפריון במשק; ומגדיל את מידת התחרותיות של המדינה. למעשה, המעבר לייצור חשמל בגז טבעי תורם לשיפור ניצולת תחנות הכוח מכ-40% ניצולת של תחנה פחמית לכ-60% ניצולת של תחנת כוח במחזור משולב (להלן - </w:t>
      </w:r>
      <w:r w:rsidRPr="0097239C">
        <w:rPr>
          <w:rFonts w:hint="cs"/>
          <w:rtl/>
        </w:rPr>
        <w:t>מחז"מ</w:t>
      </w:r>
      <w:r>
        <w:rPr>
          <w:vertAlign w:val="superscript"/>
          <w:rtl/>
        </w:rPr>
        <w:footnoteReference w:id="92"/>
      </w:r>
      <w:r w:rsidRPr="0097239C">
        <w:rPr>
          <w:rFonts w:hint="cs"/>
          <w:rtl/>
        </w:rPr>
        <w:t xml:space="preserve">). </w:t>
      </w:r>
    </w:p>
    <w:p w:rsidR="008A1C81" w:rsidP="00C603CF">
      <w:pPr>
        <w:spacing w:line="269" w:lineRule="auto"/>
        <w:rPr>
          <w:rtl/>
        </w:rPr>
      </w:pPr>
    </w:p>
    <w:p w:rsidR="0097239C" w:rsidRPr="0097239C" w:rsidP="00C603CF">
      <w:pPr>
        <w:spacing w:line="269" w:lineRule="auto"/>
        <w:rPr>
          <w:rtl/>
        </w:rPr>
      </w:pPr>
      <w:r w:rsidRPr="0097239C">
        <w:rPr>
          <w:rFonts w:hint="cs"/>
          <w:rtl/>
        </w:rPr>
        <w:t xml:space="preserve">לצד יתרונותיו של הגז הטבעי יש לו גם חסרונות. </w:t>
      </w:r>
      <w:r w:rsidRPr="0097239C">
        <w:rPr>
          <w:rtl/>
        </w:rPr>
        <w:t xml:space="preserve">גז טבעי מורכב </w:t>
      </w:r>
      <w:r w:rsidRPr="0097239C">
        <w:rPr>
          <w:rFonts w:hint="cs"/>
          <w:rtl/>
        </w:rPr>
        <w:t xml:space="preserve">בעיקר </w:t>
      </w:r>
      <w:r w:rsidRPr="0097239C">
        <w:rPr>
          <w:rtl/>
        </w:rPr>
        <w:t>ממתאן</w:t>
      </w:r>
      <w:r w:rsidRPr="0097239C">
        <w:rPr>
          <w:rtl/>
        </w:rPr>
        <w:t xml:space="preserve">, גז דליק </w:t>
      </w:r>
      <w:r w:rsidRPr="0097239C">
        <w:rPr>
          <w:rFonts w:hint="cs"/>
          <w:rtl/>
        </w:rPr>
        <w:t>שהוא</w:t>
      </w:r>
      <w:r w:rsidRPr="0097239C">
        <w:rPr>
          <w:rtl/>
        </w:rPr>
        <w:t xml:space="preserve"> גז חממה</w:t>
      </w:r>
      <w:r w:rsidRPr="0097239C">
        <w:rPr>
          <w:rFonts w:hint="cs"/>
          <w:rtl/>
        </w:rPr>
        <w:t>, ו</w:t>
      </w:r>
      <w:r w:rsidRPr="0097239C">
        <w:rPr>
          <w:rtl/>
        </w:rPr>
        <w:t xml:space="preserve">יש לו השפעה של </w:t>
      </w:r>
      <w:r w:rsidRPr="0097239C">
        <w:rPr>
          <w:rFonts w:hint="cs"/>
          <w:rtl/>
        </w:rPr>
        <w:t>כמעט</w:t>
      </w:r>
      <w:r w:rsidRPr="0097239C">
        <w:rPr>
          <w:rtl/>
        </w:rPr>
        <w:t xml:space="preserve"> פי</w:t>
      </w:r>
      <w:r w:rsidRPr="0097239C">
        <w:rPr>
          <w:rFonts w:hint="cs"/>
          <w:rtl/>
        </w:rPr>
        <w:t xml:space="preserve"> 80 לעומת </w:t>
      </w:r>
      <w:r w:rsidRPr="0097239C">
        <w:rPr>
          <w:rtl/>
        </w:rPr>
        <w:t>פחמן דו-חמצני על התחממות האטמוספרה</w:t>
      </w:r>
      <w:r w:rsidRPr="0097239C">
        <w:rPr>
          <w:rFonts w:hint="cs"/>
          <w:rtl/>
        </w:rPr>
        <w:t>, כ</w:t>
      </w:r>
      <w:r w:rsidRPr="0097239C">
        <w:rPr>
          <w:rtl/>
        </w:rPr>
        <w:t>אשר מתייחסים לזמן שהות של 20 שנה בלבד באטמוספרה</w:t>
      </w:r>
      <w:r>
        <w:rPr>
          <w:vertAlign w:val="superscript"/>
          <w:rtl/>
        </w:rPr>
        <w:footnoteReference w:id="93"/>
      </w:r>
      <w:r w:rsidRPr="0097239C">
        <w:rPr>
          <w:rFonts w:hint="cs"/>
          <w:rtl/>
        </w:rPr>
        <w:t>. להלן נתונים על צריכת הגז הטבעי במשק:</w:t>
      </w:r>
    </w:p>
    <w:p w:rsidR="0097239C" w:rsidRPr="0097239C" w:rsidP="00C603CF">
      <w:pPr>
        <w:pStyle w:val="a"/>
        <w:spacing w:line="269" w:lineRule="auto"/>
        <w:rPr>
          <w:rtl/>
        </w:rPr>
      </w:pPr>
    </w:p>
    <w:p w:rsidR="0097239C" w:rsidRPr="0097239C" w:rsidP="003F2044">
      <w:pPr>
        <w:spacing w:line="269" w:lineRule="auto"/>
        <w:rPr>
          <w:b/>
          <w:bCs/>
          <w:rtl/>
        </w:rPr>
      </w:pPr>
      <w:r w:rsidRPr="0097239C">
        <w:rPr>
          <w:rFonts w:hint="cs"/>
          <w:b/>
          <w:bCs/>
          <w:rtl/>
        </w:rPr>
        <w:t xml:space="preserve">תרשים 14: הצריכה הכוללת של גז טבעי בישראל, 2004 - 2019 (במיליארדי מ"ק - </w:t>
      </w:r>
      <w:r w:rsidRPr="0097239C">
        <w:rPr>
          <w:rFonts w:hint="cs"/>
          <w:b/>
          <w:bCs/>
        </w:rPr>
        <w:t>BC</w:t>
      </w:r>
      <w:r w:rsidRPr="0097239C">
        <w:rPr>
          <w:b/>
          <w:bCs/>
        </w:rPr>
        <w:t>M</w:t>
      </w:r>
      <w:r w:rsidRPr="0097239C">
        <w:rPr>
          <w:rFonts w:hint="cs"/>
          <w:b/>
          <w:bCs/>
          <w:rtl/>
        </w:rPr>
        <w:t>)</w:t>
      </w:r>
    </w:p>
    <w:p w:rsidR="0097239C" w:rsidRPr="0097239C" w:rsidP="008A1C81">
      <w:pPr>
        <w:spacing w:before="240" w:after="240" w:line="269" w:lineRule="auto"/>
        <w:jc w:val="center"/>
        <w:rPr>
          <w:rtl/>
        </w:rPr>
      </w:pPr>
      <w:r>
        <w:rPr>
          <w:noProof/>
          <w:rtl/>
        </w:rPr>
        <w:drawing>
          <wp:inline distT="0" distB="0" distL="0" distR="0">
            <wp:extent cx="4325121" cy="2316485"/>
            <wp:effectExtent l="0" t="0" r="0" b="762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91103" name="energy-g-14.png"/>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316485"/>
                    </a:xfrm>
                    <a:prstGeom prst="rect">
                      <a:avLst/>
                    </a:prstGeom>
                  </pic:spPr>
                </pic:pic>
              </a:graphicData>
            </a:graphic>
          </wp:inline>
        </w:drawing>
      </w:r>
    </w:p>
    <w:p w:rsidR="0097239C" w:rsidP="00C603CF">
      <w:pPr>
        <w:spacing w:line="269" w:lineRule="auto"/>
        <w:rPr>
          <w:sz w:val="22"/>
          <w:szCs w:val="22"/>
          <w:rtl/>
        </w:rPr>
      </w:pPr>
      <w:r w:rsidRPr="00810E1E">
        <w:rPr>
          <w:rFonts w:hint="cs"/>
          <w:sz w:val="22"/>
          <w:szCs w:val="22"/>
          <w:rtl/>
        </w:rPr>
        <w:t xml:space="preserve">המקור: רשות הגז הטבעי, </w:t>
      </w:r>
      <w:r w:rsidRPr="00810E1E">
        <w:rPr>
          <w:rFonts w:hint="eastAsia"/>
          <w:b/>
          <w:bCs/>
          <w:sz w:val="22"/>
          <w:szCs w:val="22"/>
          <w:rtl/>
        </w:rPr>
        <w:t>סקירת</w:t>
      </w:r>
      <w:r w:rsidRPr="00810E1E">
        <w:rPr>
          <w:b/>
          <w:bCs/>
          <w:sz w:val="22"/>
          <w:szCs w:val="22"/>
          <w:rtl/>
        </w:rPr>
        <w:t xml:space="preserve"> </w:t>
      </w:r>
      <w:r w:rsidRPr="00810E1E">
        <w:rPr>
          <w:rFonts w:hint="eastAsia"/>
          <w:b/>
          <w:bCs/>
          <w:sz w:val="22"/>
          <w:szCs w:val="22"/>
          <w:rtl/>
        </w:rPr>
        <w:t>ה</w:t>
      </w:r>
      <w:r w:rsidRPr="00810E1E">
        <w:rPr>
          <w:rFonts w:hint="cs"/>
          <w:b/>
          <w:bCs/>
          <w:sz w:val="22"/>
          <w:szCs w:val="22"/>
          <w:rtl/>
        </w:rPr>
        <w:t>ה</w:t>
      </w:r>
      <w:r w:rsidRPr="00810E1E">
        <w:rPr>
          <w:rFonts w:hint="eastAsia"/>
          <w:b/>
          <w:bCs/>
          <w:sz w:val="22"/>
          <w:szCs w:val="22"/>
          <w:rtl/>
        </w:rPr>
        <w:t>תפתחויות</w:t>
      </w:r>
      <w:r w:rsidRPr="00810E1E">
        <w:rPr>
          <w:b/>
          <w:bCs/>
          <w:sz w:val="22"/>
          <w:szCs w:val="22"/>
          <w:rtl/>
        </w:rPr>
        <w:t xml:space="preserve"> </w:t>
      </w:r>
      <w:r w:rsidRPr="00810E1E">
        <w:rPr>
          <w:rFonts w:hint="eastAsia"/>
          <w:b/>
          <w:bCs/>
          <w:sz w:val="22"/>
          <w:szCs w:val="22"/>
          <w:rtl/>
        </w:rPr>
        <w:t>במשק</w:t>
      </w:r>
      <w:r w:rsidRPr="00810E1E">
        <w:rPr>
          <w:b/>
          <w:bCs/>
          <w:sz w:val="22"/>
          <w:szCs w:val="22"/>
          <w:rtl/>
        </w:rPr>
        <w:t xml:space="preserve"> </w:t>
      </w:r>
      <w:r w:rsidRPr="00810E1E">
        <w:rPr>
          <w:rFonts w:hint="eastAsia"/>
          <w:b/>
          <w:bCs/>
          <w:sz w:val="22"/>
          <w:szCs w:val="22"/>
          <w:rtl/>
        </w:rPr>
        <w:t>הגז</w:t>
      </w:r>
      <w:r w:rsidRPr="00810E1E">
        <w:rPr>
          <w:b/>
          <w:bCs/>
          <w:sz w:val="22"/>
          <w:szCs w:val="22"/>
          <w:rtl/>
        </w:rPr>
        <w:t xml:space="preserve"> </w:t>
      </w:r>
      <w:r w:rsidRPr="00810E1E">
        <w:rPr>
          <w:rFonts w:hint="eastAsia"/>
          <w:b/>
          <w:bCs/>
          <w:sz w:val="22"/>
          <w:szCs w:val="22"/>
          <w:rtl/>
        </w:rPr>
        <w:t>הטבעי</w:t>
      </w:r>
      <w:r w:rsidRPr="00810E1E">
        <w:rPr>
          <w:rFonts w:hint="cs"/>
          <w:b/>
          <w:bCs/>
          <w:sz w:val="22"/>
          <w:szCs w:val="22"/>
          <w:rtl/>
        </w:rPr>
        <w:t xml:space="preserve"> - סיכום לשנת</w:t>
      </w:r>
      <w:r w:rsidRPr="00810E1E">
        <w:rPr>
          <w:b/>
          <w:bCs/>
          <w:sz w:val="22"/>
          <w:szCs w:val="22"/>
          <w:rtl/>
        </w:rPr>
        <w:t xml:space="preserve"> 2019</w:t>
      </w:r>
      <w:r w:rsidRPr="00810E1E">
        <w:rPr>
          <w:rFonts w:hint="cs"/>
          <w:sz w:val="22"/>
          <w:szCs w:val="22"/>
          <w:rtl/>
        </w:rPr>
        <w:t>.</w:t>
      </w:r>
    </w:p>
    <w:p w:rsidR="0097239C" w:rsidRPr="0097239C" w:rsidP="00C603CF">
      <w:pPr>
        <w:pStyle w:val="a"/>
        <w:spacing w:line="269" w:lineRule="auto"/>
        <w:rPr>
          <w:rtl/>
        </w:rPr>
      </w:pPr>
    </w:p>
    <w:p w:rsidR="0097239C" w:rsidP="005B263A">
      <w:pPr>
        <w:spacing w:line="269" w:lineRule="auto"/>
        <w:rPr>
          <w:rtl/>
        </w:rPr>
      </w:pPr>
      <w:r w:rsidRPr="0097239C">
        <w:rPr>
          <w:rFonts w:hint="cs"/>
          <w:rtl/>
        </w:rPr>
        <w:t>מהתרשים עולה כי צריכת הגז הטבעי גדלה במידה ניכרת בשנים 2004 - 2019</w:t>
      </w:r>
      <w:r>
        <w:rPr>
          <w:vertAlign w:val="superscript"/>
          <w:rtl/>
        </w:rPr>
        <w:footnoteReference w:id="94"/>
      </w:r>
      <w:r w:rsidRPr="0097239C">
        <w:rPr>
          <w:rFonts w:hint="cs"/>
          <w:rtl/>
        </w:rPr>
        <w:t xml:space="preserve">. הגז הטבעי משמש בעיקר לייצור חשמל, ומשתמשים בו במקום </w:t>
      </w:r>
      <w:r w:rsidRPr="0097239C">
        <w:rPr>
          <w:rFonts w:hint="cs"/>
          <w:rtl/>
        </w:rPr>
        <w:t>דלקים</w:t>
      </w:r>
      <w:r w:rsidRPr="0097239C">
        <w:rPr>
          <w:rFonts w:hint="cs"/>
          <w:rtl/>
        </w:rPr>
        <w:t xml:space="preserve"> אחרים. תרשים</w:t>
      </w:r>
      <w:r w:rsidR="009E5A8F">
        <w:rPr>
          <w:rFonts w:hint="cs"/>
          <w:rtl/>
        </w:rPr>
        <w:t xml:space="preserve"> </w:t>
      </w:r>
      <w:r w:rsidR="005B263A">
        <w:rPr>
          <w:rFonts w:hint="cs"/>
          <w:rtl/>
        </w:rPr>
        <w:t>15</w:t>
      </w:r>
      <w:r w:rsidRPr="0097239C">
        <w:rPr>
          <w:rFonts w:hint="cs"/>
          <w:rtl/>
        </w:rPr>
        <w:t xml:space="preserve"> להלן מתאר את תמהיל ייצור החשמל לפי סוגי </w:t>
      </w:r>
      <w:r w:rsidRPr="0097239C">
        <w:rPr>
          <w:rFonts w:hint="cs"/>
          <w:rtl/>
        </w:rPr>
        <w:t>דלקים</w:t>
      </w:r>
      <w:r w:rsidRPr="0097239C">
        <w:rPr>
          <w:rFonts w:hint="cs"/>
          <w:rtl/>
        </w:rPr>
        <w:t xml:space="preserve"> בשנים 2010 - 2018.</w:t>
      </w:r>
    </w:p>
    <w:p w:rsidR="0097239C" w:rsidRPr="0097239C" w:rsidP="00C603CF">
      <w:pPr>
        <w:pStyle w:val="a"/>
        <w:spacing w:line="269" w:lineRule="auto"/>
        <w:rPr>
          <w:rtl/>
        </w:rPr>
      </w:pPr>
    </w:p>
    <w:p w:rsidR="0097239C" w:rsidRPr="0097239C" w:rsidP="008A1C81">
      <w:pPr>
        <w:spacing w:line="269" w:lineRule="auto"/>
        <w:jc w:val="center"/>
        <w:rPr>
          <w:b/>
          <w:rtl/>
        </w:rPr>
      </w:pPr>
      <w:r w:rsidRPr="0097239C">
        <w:rPr>
          <w:rFonts w:hint="eastAsia"/>
          <w:b/>
          <w:bCs/>
          <w:rtl/>
        </w:rPr>
        <w:t>תרשים</w:t>
      </w:r>
      <w:r w:rsidRPr="0097239C">
        <w:rPr>
          <w:b/>
          <w:bCs/>
          <w:rtl/>
        </w:rPr>
        <w:t xml:space="preserve"> </w:t>
      </w:r>
      <w:r w:rsidRPr="0097239C">
        <w:rPr>
          <w:rFonts w:hint="cs"/>
          <w:b/>
          <w:bCs/>
          <w:rtl/>
        </w:rPr>
        <w:t>15</w:t>
      </w:r>
      <w:r w:rsidRPr="0097239C">
        <w:rPr>
          <w:b/>
          <w:bCs/>
          <w:rtl/>
        </w:rPr>
        <w:t xml:space="preserve">: תמהיל </w:t>
      </w:r>
      <w:r w:rsidRPr="0097239C">
        <w:rPr>
          <w:rFonts w:hint="eastAsia"/>
          <w:b/>
          <w:bCs/>
          <w:rtl/>
        </w:rPr>
        <w:t>הדלקים</w:t>
      </w:r>
      <w:r w:rsidRPr="0097239C">
        <w:rPr>
          <w:b/>
          <w:bCs/>
          <w:rtl/>
        </w:rPr>
        <w:t xml:space="preserve"> </w:t>
      </w:r>
      <w:r w:rsidRPr="0097239C">
        <w:rPr>
          <w:rFonts w:hint="cs"/>
          <w:b/>
          <w:bCs/>
          <w:rtl/>
        </w:rPr>
        <w:t xml:space="preserve">לייצור חשמל, </w:t>
      </w:r>
      <w:r w:rsidRPr="0097239C">
        <w:rPr>
          <w:b/>
          <w:bCs/>
          <w:rtl/>
        </w:rPr>
        <w:t>2010</w:t>
      </w:r>
      <w:r w:rsidRPr="0097239C">
        <w:rPr>
          <w:rFonts w:hint="cs"/>
          <w:b/>
          <w:bCs/>
          <w:rtl/>
        </w:rPr>
        <w:t xml:space="preserve"> </w:t>
      </w:r>
      <w:r w:rsidRPr="0097239C">
        <w:rPr>
          <w:b/>
          <w:bCs/>
          <w:rtl/>
        </w:rPr>
        <w:t>- 2018</w:t>
      </w:r>
      <w:r w:rsidRPr="0097239C">
        <w:rPr>
          <w:rFonts w:hint="cs"/>
          <w:b/>
          <w:bCs/>
          <w:rtl/>
        </w:rPr>
        <w:t>;</w:t>
      </w:r>
      <w:r w:rsidRPr="0097239C">
        <w:rPr>
          <w:b/>
          <w:bCs/>
          <w:rtl/>
        </w:rPr>
        <w:t xml:space="preserve"> </w:t>
      </w:r>
      <w:r w:rsidRPr="0097239C">
        <w:rPr>
          <w:rFonts w:hint="eastAsia"/>
          <w:b/>
          <w:bCs/>
          <w:rtl/>
        </w:rPr>
        <w:t>ותחזית</w:t>
      </w:r>
      <w:r w:rsidRPr="0097239C">
        <w:rPr>
          <w:b/>
          <w:bCs/>
          <w:rtl/>
        </w:rPr>
        <w:t xml:space="preserve"> </w:t>
      </w:r>
      <w:r w:rsidRPr="0097239C">
        <w:rPr>
          <w:rFonts w:hint="eastAsia"/>
          <w:b/>
          <w:bCs/>
          <w:rtl/>
        </w:rPr>
        <w:t>לשנת</w:t>
      </w:r>
      <w:r w:rsidRPr="0097239C">
        <w:rPr>
          <w:b/>
          <w:bCs/>
          <w:rtl/>
        </w:rPr>
        <w:t xml:space="preserve"> 2025</w:t>
      </w:r>
    </w:p>
    <w:p w:rsidR="0097239C" w:rsidRPr="0097239C" w:rsidP="008A1C81">
      <w:pPr>
        <w:spacing w:before="240" w:after="240" w:line="269" w:lineRule="auto"/>
        <w:jc w:val="center"/>
        <w:rPr>
          <w:b/>
          <w:rtl/>
        </w:rPr>
      </w:pPr>
      <w:r>
        <w:rPr>
          <w:b/>
          <w:noProof/>
          <w:rtl/>
        </w:rPr>
        <w:drawing>
          <wp:inline distT="0" distB="0" distL="0" distR="0">
            <wp:extent cx="4325121" cy="2401829"/>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524253" name="energy-g-15.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21" cy="2401829"/>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 xml:space="preserve">המקור: רשות החשמל, </w:t>
      </w:r>
      <w:r w:rsidRPr="00810E1E">
        <w:rPr>
          <w:rFonts w:hint="eastAsia"/>
          <w:b/>
          <w:bCs/>
          <w:sz w:val="22"/>
          <w:szCs w:val="22"/>
          <w:rtl/>
        </w:rPr>
        <w:t>דוח</w:t>
      </w:r>
      <w:r w:rsidRPr="00810E1E">
        <w:rPr>
          <w:b/>
          <w:bCs/>
          <w:sz w:val="22"/>
          <w:szCs w:val="22"/>
          <w:rtl/>
        </w:rPr>
        <w:t xml:space="preserve"> </w:t>
      </w:r>
      <w:r w:rsidRPr="00810E1E">
        <w:rPr>
          <w:rFonts w:hint="eastAsia"/>
          <w:b/>
          <w:bCs/>
          <w:sz w:val="22"/>
          <w:szCs w:val="22"/>
          <w:rtl/>
        </w:rPr>
        <w:t>משק</w:t>
      </w:r>
      <w:r w:rsidRPr="00810E1E">
        <w:rPr>
          <w:b/>
          <w:bCs/>
          <w:sz w:val="22"/>
          <w:szCs w:val="22"/>
          <w:rtl/>
        </w:rPr>
        <w:t xml:space="preserve"> </w:t>
      </w:r>
      <w:r w:rsidRPr="00810E1E">
        <w:rPr>
          <w:rFonts w:hint="eastAsia"/>
          <w:b/>
          <w:bCs/>
          <w:sz w:val="22"/>
          <w:szCs w:val="22"/>
          <w:rtl/>
        </w:rPr>
        <w:t>החשמל</w:t>
      </w:r>
      <w:r w:rsidRPr="00810E1E">
        <w:rPr>
          <w:b/>
          <w:bCs/>
          <w:sz w:val="22"/>
          <w:szCs w:val="22"/>
          <w:rtl/>
        </w:rPr>
        <w:t xml:space="preserve"> </w:t>
      </w:r>
      <w:r w:rsidRPr="00810E1E">
        <w:rPr>
          <w:rFonts w:hint="eastAsia"/>
          <w:b/>
          <w:bCs/>
          <w:sz w:val="22"/>
          <w:szCs w:val="22"/>
          <w:rtl/>
        </w:rPr>
        <w:t>לשנת</w:t>
      </w:r>
      <w:r w:rsidRPr="00810E1E">
        <w:rPr>
          <w:b/>
          <w:bCs/>
          <w:sz w:val="22"/>
          <w:szCs w:val="22"/>
          <w:rtl/>
        </w:rPr>
        <w:t xml:space="preserve"> 2018</w:t>
      </w:r>
      <w:r w:rsidRPr="00810E1E">
        <w:rPr>
          <w:rFonts w:hint="cs"/>
          <w:sz w:val="22"/>
          <w:szCs w:val="22"/>
          <w:rtl/>
        </w:rPr>
        <w:t>.</w:t>
      </w:r>
    </w:p>
    <w:p w:rsidR="00B15135" w:rsidP="00C603CF">
      <w:pPr>
        <w:pStyle w:val="a"/>
        <w:spacing w:line="269" w:lineRule="auto"/>
        <w:rPr>
          <w:rtl/>
        </w:rPr>
      </w:pPr>
    </w:p>
    <w:p w:rsidR="0097239C" w:rsidP="00C603CF">
      <w:pPr>
        <w:spacing w:line="269" w:lineRule="auto"/>
        <w:rPr>
          <w:rtl/>
        </w:rPr>
      </w:pPr>
      <w:r w:rsidRPr="0097239C">
        <w:rPr>
          <w:rFonts w:hint="cs"/>
          <w:rtl/>
        </w:rPr>
        <w:t xml:space="preserve">מהתרשים עולה כי שיעורו של ייצור החשמל מפחם מכלל ייצור החשמל פחת מ-59% בשנת 2010 ל-30% בשנת 2018, והוא צפוי לפחוֹת ל-3% בשנת 2025. עוד עולה מהתרשים כי שיעור ייצור החשמל מגז טבעי גדל מ-39% בשנת 2010 ל-64% בשנת 2019. שיעור זה צפוי להגיע ל-83% בשנת 2025. להלן יוצגו שיעורי פליטות </w:t>
      </w:r>
      <w:r w:rsidRPr="0097239C">
        <w:rPr>
          <w:rFonts w:hint="cs"/>
          <w:rtl/>
        </w:rPr>
        <w:t>פד"ח</w:t>
      </w:r>
      <w:r w:rsidRPr="0097239C">
        <w:rPr>
          <w:rFonts w:hint="cs"/>
          <w:rtl/>
        </w:rPr>
        <w:t xml:space="preserve"> מייצור חשמל, לפי סוג דלק.</w:t>
      </w:r>
    </w:p>
    <w:p w:rsidR="0097239C" w:rsidRPr="0097239C" w:rsidP="00C603CF">
      <w:pPr>
        <w:pStyle w:val="a"/>
        <w:spacing w:line="269" w:lineRule="auto"/>
        <w:rPr>
          <w:rtl/>
        </w:rPr>
      </w:pPr>
    </w:p>
    <w:p w:rsidR="0097239C" w:rsidRPr="0097239C" w:rsidP="003F2044">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16</w:t>
      </w:r>
      <w:r w:rsidRPr="0097239C">
        <w:rPr>
          <w:b/>
          <w:bCs/>
          <w:rtl/>
        </w:rPr>
        <w:t xml:space="preserve">: </w:t>
      </w:r>
      <w:r w:rsidRPr="0097239C">
        <w:rPr>
          <w:rFonts w:hint="eastAsia"/>
          <w:b/>
          <w:bCs/>
          <w:rtl/>
        </w:rPr>
        <w:t>ייצור</w:t>
      </w:r>
      <w:r w:rsidRPr="0097239C">
        <w:rPr>
          <w:b/>
          <w:bCs/>
          <w:rtl/>
        </w:rPr>
        <w:t xml:space="preserve"> </w:t>
      </w:r>
      <w:r w:rsidRPr="0097239C">
        <w:rPr>
          <w:rFonts w:hint="eastAsia"/>
          <w:b/>
          <w:bCs/>
          <w:rtl/>
        </w:rPr>
        <w:t>חשמל</w:t>
      </w:r>
      <w:r w:rsidRPr="0097239C">
        <w:rPr>
          <w:b/>
          <w:bCs/>
          <w:rtl/>
        </w:rPr>
        <w:t xml:space="preserve"> </w:t>
      </w:r>
      <w:r w:rsidRPr="0097239C">
        <w:rPr>
          <w:rFonts w:hint="eastAsia"/>
          <w:b/>
          <w:bCs/>
          <w:rtl/>
        </w:rPr>
        <w:t>ופליטות</w:t>
      </w:r>
      <w:r w:rsidRPr="0097239C">
        <w:rPr>
          <w:b/>
          <w:bCs/>
          <w:rtl/>
        </w:rPr>
        <w:t xml:space="preserve"> (</w:t>
      </w:r>
      <w:r w:rsidRPr="0097239C">
        <w:rPr>
          <w:b/>
          <w:bCs/>
        </w:rPr>
        <w:t>TWh</w:t>
      </w:r>
      <w:r w:rsidRPr="0097239C">
        <w:rPr>
          <w:b/>
          <w:bCs/>
          <w:rtl/>
        </w:rPr>
        <w:t>)</w:t>
      </w:r>
      <w:r w:rsidRPr="0097239C">
        <w:rPr>
          <w:rFonts w:hint="cs"/>
          <w:b/>
          <w:bCs/>
          <w:rtl/>
        </w:rPr>
        <w:t>,</w:t>
      </w:r>
      <w:r w:rsidRPr="0097239C">
        <w:rPr>
          <w:b/>
          <w:bCs/>
          <w:rtl/>
        </w:rPr>
        <w:t xml:space="preserve"> לפי סוג דלק, ופליטות </w:t>
      </w:r>
      <w:r w:rsidRPr="0097239C">
        <w:rPr>
          <w:rFonts w:hint="eastAsia"/>
          <w:b/>
          <w:bCs/>
          <w:rtl/>
        </w:rPr>
        <w:t>פד</w:t>
      </w:r>
      <w:r w:rsidRPr="0097239C">
        <w:rPr>
          <w:b/>
          <w:bCs/>
          <w:rtl/>
        </w:rPr>
        <w:t>"ח</w:t>
      </w:r>
      <w:r w:rsidRPr="0097239C">
        <w:rPr>
          <w:b/>
          <w:bCs/>
          <w:rtl/>
        </w:rPr>
        <w:t xml:space="preserve"> (מיליוני טון לשנה)</w:t>
      </w:r>
      <w:r w:rsidRPr="0097239C">
        <w:rPr>
          <w:rFonts w:hint="cs"/>
          <w:b/>
          <w:bCs/>
          <w:rtl/>
        </w:rPr>
        <w:t xml:space="preserve">, </w:t>
      </w:r>
      <w:r w:rsidRPr="0097239C">
        <w:rPr>
          <w:b/>
          <w:bCs/>
          <w:rtl/>
        </w:rPr>
        <w:t>2010</w:t>
      </w:r>
      <w:r w:rsidRPr="0097239C">
        <w:rPr>
          <w:rFonts w:hint="cs"/>
          <w:b/>
          <w:bCs/>
          <w:rtl/>
        </w:rPr>
        <w:t xml:space="preserve"> </w:t>
      </w:r>
      <w:r w:rsidRPr="0097239C">
        <w:rPr>
          <w:b/>
          <w:bCs/>
          <w:rtl/>
        </w:rPr>
        <w:t>- 2018</w:t>
      </w:r>
      <w:r w:rsidRPr="0097239C">
        <w:rPr>
          <w:rFonts w:hint="cs"/>
          <w:b/>
          <w:bCs/>
          <w:rtl/>
        </w:rPr>
        <w:t>;</w:t>
      </w:r>
      <w:r w:rsidRPr="0097239C">
        <w:rPr>
          <w:b/>
          <w:bCs/>
          <w:rtl/>
        </w:rPr>
        <w:t xml:space="preserve"> </w:t>
      </w:r>
      <w:r w:rsidRPr="0097239C">
        <w:rPr>
          <w:rFonts w:hint="eastAsia"/>
          <w:b/>
          <w:bCs/>
          <w:rtl/>
        </w:rPr>
        <w:t>ותחזית</w:t>
      </w:r>
      <w:r w:rsidRPr="0097239C">
        <w:rPr>
          <w:b/>
          <w:bCs/>
          <w:rtl/>
        </w:rPr>
        <w:t xml:space="preserve"> </w:t>
      </w:r>
      <w:r w:rsidRPr="0097239C">
        <w:rPr>
          <w:rFonts w:hint="eastAsia"/>
          <w:b/>
          <w:bCs/>
          <w:rtl/>
        </w:rPr>
        <w:t>לשנת</w:t>
      </w:r>
      <w:r w:rsidRPr="0097239C">
        <w:rPr>
          <w:b/>
          <w:bCs/>
          <w:rtl/>
        </w:rPr>
        <w:t xml:space="preserve"> 2025</w:t>
      </w:r>
    </w:p>
    <w:p w:rsidR="0097239C" w:rsidRPr="0097239C" w:rsidP="008A1C81">
      <w:pPr>
        <w:spacing w:before="240" w:after="240" w:line="269" w:lineRule="auto"/>
        <w:jc w:val="center"/>
        <w:rPr>
          <w:rtl/>
        </w:rPr>
      </w:pPr>
      <w:r>
        <w:rPr>
          <w:noProof/>
          <w:rtl/>
        </w:rPr>
        <w:drawing>
          <wp:inline distT="0" distB="0" distL="0" distR="0">
            <wp:extent cx="4325112" cy="2209800"/>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776885" name="gra-16.jpg"/>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5112" cy="2209800"/>
                    </a:xfrm>
                    <a:prstGeom prst="rect">
                      <a:avLst/>
                    </a:prstGeom>
                  </pic:spPr>
                </pic:pic>
              </a:graphicData>
            </a:graphic>
          </wp:inline>
        </w:drawing>
      </w:r>
    </w:p>
    <w:p w:rsidR="0097239C" w:rsidRPr="00810E1E" w:rsidP="00C603CF">
      <w:pPr>
        <w:spacing w:line="269" w:lineRule="auto"/>
        <w:rPr>
          <w:sz w:val="22"/>
          <w:szCs w:val="22"/>
          <w:rtl/>
        </w:rPr>
      </w:pPr>
      <w:r w:rsidRPr="00810E1E">
        <w:rPr>
          <w:rFonts w:hint="cs"/>
          <w:sz w:val="22"/>
          <w:szCs w:val="22"/>
          <w:rtl/>
        </w:rPr>
        <w:t xml:space="preserve">המקור: רשות החשמל, </w:t>
      </w:r>
      <w:r w:rsidRPr="00810E1E">
        <w:rPr>
          <w:rFonts w:hint="eastAsia"/>
          <w:b/>
          <w:bCs/>
          <w:sz w:val="22"/>
          <w:szCs w:val="22"/>
          <w:rtl/>
        </w:rPr>
        <w:t>דוח</w:t>
      </w:r>
      <w:r w:rsidRPr="00810E1E">
        <w:rPr>
          <w:b/>
          <w:bCs/>
          <w:sz w:val="22"/>
          <w:szCs w:val="22"/>
          <w:rtl/>
        </w:rPr>
        <w:t xml:space="preserve"> </w:t>
      </w:r>
      <w:r w:rsidRPr="00810E1E">
        <w:rPr>
          <w:rFonts w:hint="eastAsia"/>
          <w:b/>
          <w:bCs/>
          <w:sz w:val="22"/>
          <w:szCs w:val="22"/>
          <w:rtl/>
        </w:rPr>
        <w:t>משק</w:t>
      </w:r>
      <w:r w:rsidRPr="00810E1E">
        <w:rPr>
          <w:b/>
          <w:bCs/>
          <w:sz w:val="22"/>
          <w:szCs w:val="22"/>
          <w:rtl/>
        </w:rPr>
        <w:t xml:space="preserve"> </w:t>
      </w:r>
      <w:r w:rsidRPr="00810E1E">
        <w:rPr>
          <w:rFonts w:hint="eastAsia"/>
          <w:b/>
          <w:bCs/>
          <w:sz w:val="22"/>
          <w:szCs w:val="22"/>
          <w:rtl/>
        </w:rPr>
        <w:t>החשמל</w:t>
      </w:r>
      <w:r w:rsidRPr="00810E1E">
        <w:rPr>
          <w:b/>
          <w:bCs/>
          <w:sz w:val="22"/>
          <w:szCs w:val="22"/>
          <w:rtl/>
        </w:rPr>
        <w:t xml:space="preserve"> </w:t>
      </w:r>
      <w:r w:rsidRPr="00810E1E">
        <w:rPr>
          <w:rFonts w:hint="eastAsia"/>
          <w:b/>
          <w:bCs/>
          <w:sz w:val="22"/>
          <w:szCs w:val="22"/>
          <w:rtl/>
        </w:rPr>
        <w:t>לשנת</w:t>
      </w:r>
      <w:r w:rsidRPr="00810E1E">
        <w:rPr>
          <w:b/>
          <w:bCs/>
          <w:sz w:val="22"/>
          <w:szCs w:val="22"/>
          <w:rtl/>
        </w:rPr>
        <w:t xml:space="preserve"> 2018</w:t>
      </w:r>
      <w:r w:rsidRPr="00810E1E">
        <w:rPr>
          <w:rFonts w:hint="cs"/>
          <w:sz w:val="22"/>
          <w:szCs w:val="22"/>
          <w:rtl/>
        </w:rPr>
        <w:t>.</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מהתרשים עולה כי חלה ירידה בפליטות </w:t>
      </w:r>
      <w:r w:rsidRPr="0097239C">
        <w:rPr>
          <w:rFonts w:hint="cs"/>
          <w:b/>
          <w:rtl/>
        </w:rPr>
        <w:t>פד"ח</w:t>
      </w:r>
      <w:r w:rsidRPr="0097239C">
        <w:rPr>
          <w:rFonts w:hint="cs"/>
          <w:b/>
          <w:rtl/>
        </w:rPr>
        <w:t xml:space="preserve"> על אף הגידול בייצור החשמל. מגמה זו נובעת בין היתר מהגדלת השימוש בגז טבעי לייצור חשמל ומהפחתת השימוש בפחם.</w:t>
      </w:r>
    </w:p>
    <w:p w:rsidR="0097239C" w:rsidRPr="0097239C" w:rsidP="00C603CF">
      <w:pPr>
        <w:pStyle w:val="a"/>
        <w:spacing w:line="269" w:lineRule="auto"/>
        <w:rPr>
          <w:rtl/>
        </w:rPr>
      </w:pPr>
    </w:p>
    <w:p w:rsidR="0097239C" w:rsidP="00C603CF">
      <w:pPr>
        <w:spacing w:line="269" w:lineRule="auto"/>
        <w:rPr>
          <w:b/>
          <w:rtl/>
        </w:rPr>
      </w:pPr>
      <w:r w:rsidRPr="0097239C">
        <w:rPr>
          <w:rFonts w:hint="cs"/>
          <w:b/>
          <w:rtl/>
        </w:rPr>
        <w:t xml:space="preserve">נוכח היתרונות של השימוש בגז טבעי, מדינת ישראל ממשיכה לעודד את המעבר לשימוש בגז טבעי לייצור חשמל, לתעשייה ולתחבורה. למשל, בתחום החשמל קיבלו משרד </w:t>
      </w:r>
      <w:r w:rsidRPr="0097239C">
        <w:rPr>
          <w:rFonts w:hint="cs"/>
          <w:b/>
          <w:rtl/>
        </w:rPr>
        <w:t>האנרגייה</w:t>
      </w:r>
      <w:r w:rsidRPr="0097239C">
        <w:rPr>
          <w:rFonts w:hint="cs"/>
          <w:b/>
          <w:rtl/>
        </w:rPr>
        <w:t xml:space="preserve"> והמשרד </w:t>
      </w:r>
      <w:r w:rsidRPr="0097239C">
        <w:rPr>
          <w:rFonts w:hint="cs"/>
          <w:b/>
          <w:rtl/>
        </w:rPr>
        <w:t>להג"ס</w:t>
      </w:r>
      <w:r w:rsidRPr="0097239C">
        <w:rPr>
          <w:rFonts w:hint="cs"/>
          <w:b/>
          <w:rtl/>
        </w:rPr>
        <w:t xml:space="preserve"> בשנים האחרונות כמה החלטות שמטרתן להפחית את השימוש בפחם ולהחליף את התחנות הפחמיות בתחנות ייצור המבוססות על גז טבעי, כמפורט להלן:</w:t>
      </w:r>
    </w:p>
    <w:p w:rsidR="0097239C" w:rsidRPr="0097239C" w:rsidP="00C603CF">
      <w:pPr>
        <w:pStyle w:val="a"/>
        <w:spacing w:line="269" w:lineRule="auto"/>
        <w:rPr>
          <w:rtl/>
        </w:rPr>
      </w:pPr>
    </w:p>
    <w:p w:rsidR="0097239C" w:rsidRPr="0097239C" w:rsidP="00AE3072">
      <w:pPr>
        <w:spacing w:after="120" w:line="269" w:lineRule="auto"/>
        <w:jc w:val="center"/>
        <w:rPr>
          <w:bCs/>
          <w:rtl/>
        </w:rPr>
      </w:pPr>
      <w:r w:rsidRPr="0097239C">
        <w:rPr>
          <w:rFonts w:hint="cs"/>
          <w:bCs/>
          <w:rtl/>
        </w:rPr>
        <w:t>לוח 9: החלטות בדבר הפחתת ייצור החשמל בפחם ומעבר לגז טבעי</w:t>
      </w:r>
    </w:p>
    <w:tbl>
      <w:tblPr>
        <w:tblStyle w:val="TableGrid"/>
        <w:bidiVisual/>
        <w:tblW w:w="5000" w:type="pct"/>
        <w:tblLook w:val="04A0"/>
      </w:tblPr>
      <w:tblGrid>
        <w:gridCol w:w="1085"/>
        <w:gridCol w:w="5214"/>
        <w:gridCol w:w="1912"/>
      </w:tblGrid>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מועד ההחלטה</w:t>
            </w:r>
          </w:p>
        </w:tc>
        <w:tc>
          <w:tcPr>
            <w:tcW w:w="3175"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עיקרי ההחלטה</w:t>
            </w:r>
          </w:p>
        </w:tc>
        <w:tc>
          <w:tcPr>
            <w:tcW w:w="1164"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 xml:space="preserve">הגורם האחראי </w:t>
            </w:r>
          </w:p>
        </w:tc>
      </w:tr>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ינואר 2016</w:t>
            </w:r>
          </w:p>
        </w:tc>
        <w:tc>
          <w:tcPr>
            <w:tcW w:w="3175"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rtl/>
              </w:rPr>
              <w:t xml:space="preserve">להפעיל את כל יחידות הייצור המופעלות באמצעות פחם </w:t>
            </w:r>
            <w:r w:rsidRPr="00AE3072">
              <w:rPr>
                <w:rFonts w:ascii="Times New Roman" w:hAnsi="Times New Roman" w:cs="David" w:hint="cs"/>
                <w:rtl/>
              </w:rPr>
              <w:t>בחח"י</w:t>
            </w:r>
            <w:r w:rsidRPr="00AE3072">
              <w:rPr>
                <w:rFonts w:ascii="Times New Roman" w:hAnsi="Times New Roman" w:cs="David" w:hint="cs"/>
                <w:rtl/>
              </w:rPr>
              <w:t xml:space="preserve"> באופן שייצור החשמל בהן יופחת ב-15% בחישוב שנתי לעומת היקף ייצור החשמל בשנת 2015.</w:t>
            </w:r>
          </w:p>
        </w:tc>
        <w:tc>
          <w:tcPr>
            <w:tcW w:w="1164"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b/>
                <w:rtl/>
              </w:rPr>
              <w:t xml:space="preserve">משרד </w:t>
            </w:r>
            <w:r w:rsidRPr="00AE3072">
              <w:rPr>
                <w:rFonts w:ascii="Times New Roman" w:hAnsi="Times New Roman" w:cs="David" w:hint="cs"/>
                <w:b/>
                <w:rtl/>
              </w:rPr>
              <w:t>האנרגייה</w:t>
            </w:r>
          </w:p>
        </w:tc>
      </w:tr>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ספטמבר 2016</w:t>
            </w:r>
          </w:p>
        </w:tc>
        <w:tc>
          <w:tcPr>
            <w:tcW w:w="3175" w:type="pct"/>
          </w:tcPr>
          <w:p w:rsidR="0097239C" w:rsidRPr="00AE3072" w:rsidP="00AE3072">
            <w:pPr>
              <w:spacing w:before="30" w:after="30" w:line="269" w:lineRule="auto"/>
              <w:rPr>
                <w:rFonts w:ascii="Times New Roman" w:hAnsi="Times New Roman" w:cs="David"/>
                <w:rtl/>
              </w:rPr>
            </w:pPr>
            <w:r w:rsidRPr="00AE3072">
              <w:rPr>
                <w:rFonts w:ascii="Times New Roman" w:hAnsi="Times New Roman" w:cs="David" w:hint="cs"/>
                <w:rtl/>
              </w:rPr>
              <w:t>יחולו הגבלות נוספות על כל היחידות הפחמיות משנת 2016 ועד להשלמת הפחתת הפליטה העודפת עקב התקנת אמצעים להפחתת פליטות או עקב הפסקת פעולות יחידות הייצור 1 - 4 באורות רבין, לפי המוקדם שבהם</w:t>
            </w:r>
            <w:r>
              <w:rPr>
                <w:rFonts w:ascii="Times New Roman" w:hAnsi="Times New Roman" w:cs="David"/>
                <w:vertAlign w:val="superscript"/>
                <w:rtl/>
              </w:rPr>
              <w:footnoteReference w:id="95"/>
            </w:r>
            <w:r w:rsidRPr="00AE3072">
              <w:rPr>
                <w:rFonts w:ascii="Times New Roman" w:hAnsi="Times New Roman" w:cs="David" w:hint="cs"/>
                <w:rtl/>
              </w:rPr>
              <w:t>.</w:t>
            </w:r>
          </w:p>
        </w:tc>
        <w:tc>
          <w:tcPr>
            <w:tcW w:w="1164"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b/>
                <w:rtl/>
              </w:rPr>
              <w:t xml:space="preserve">המשרד </w:t>
            </w:r>
            <w:r w:rsidRPr="00AE3072">
              <w:rPr>
                <w:rFonts w:ascii="Times New Roman" w:hAnsi="Times New Roman" w:cs="David" w:hint="cs"/>
                <w:b/>
                <w:rtl/>
              </w:rPr>
              <w:t>להג"ס</w:t>
            </w:r>
            <w:r w:rsidRPr="00AE3072">
              <w:rPr>
                <w:rFonts w:ascii="Times New Roman" w:hAnsi="Times New Roman" w:cs="David" w:hint="cs"/>
                <w:b/>
                <w:rtl/>
              </w:rPr>
              <w:t>; ההחלטה ניתנה במסגרת היתרי הפליטה ליחידות הייצור הפחמיות</w:t>
            </w:r>
          </w:p>
        </w:tc>
      </w:tr>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נובמבר 2017</w:t>
            </w:r>
          </w:p>
        </w:tc>
        <w:tc>
          <w:tcPr>
            <w:tcW w:w="3175"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rtl/>
              </w:rPr>
              <w:t>בכל זמן תינתן עדיפות לייצור חשמל מגז טבעי על פני ייצור חשמל מפחם, תוך הפעלת היחידות הפחמיות בעומס המזערי המאפשר גמישות תפעולית ואמינות אספקה למשק. המדיניות תיושם לאחר הפסקת הפעלתן של יחידות 1 - 4 בתחנת הכוח אורות רבין, ובכפוף לקיומה של יתירות בתשתית גז טבעי באמצעות חיבור שלושה מאגרי גז טבעי שכל אחד מהם מחובר למערכת ההולכה הארצית של הגז הטבעי בתשתית נפרדת.</w:t>
            </w:r>
          </w:p>
        </w:tc>
        <w:tc>
          <w:tcPr>
            <w:tcW w:w="1164"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b/>
                <w:rtl/>
              </w:rPr>
              <w:t xml:space="preserve">משרד </w:t>
            </w:r>
            <w:r w:rsidRPr="00AE3072">
              <w:rPr>
                <w:rFonts w:ascii="Times New Roman" w:hAnsi="Times New Roman" w:cs="David" w:hint="cs"/>
                <w:b/>
                <w:rtl/>
              </w:rPr>
              <w:t>האנרגייה</w:t>
            </w:r>
            <w:r w:rsidRPr="00AE3072">
              <w:rPr>
                <w:rFonts w:ascii="Times New Roman" w:hAnsi="Times New Roman" w:cs="David" w:hint="cs"/>
                <w:b/>
                <w:rtl/>
              </w:rPr>
              <w:t xml:space="preserve"> לאחר התייעצות עם רשות החשמל</w:t>
            </w:r>
          </w:p>
        </w:tc>
      </w:tr>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יולי 2018</w:t>
            </w:r>
          </w:p>
        </w:tc>
        <w:tc>
          <w:tcPr>
            <w:tcW w:w="3175" w:type="pct"/>
          </w:tcPr>
          <w:p w:rsidR="0097239C" w:rsidRPr="00AE3072" w:rsidP="00AE3072">
            <w:pPr>
              <w:spacing w:before="30" w:after="30" w:line="269" w:lineRule="auto"/>
              <w:rPr>
                <w:rFonts w:ascii="Times New Roman" w:hAnsi="Times New Roman" w:cs="David"/>
                <w:rtl/>
              </w:rPr>
            </w:pPr>
            <w:r w:rsidRPr="00AE3072">
              <w:rPr>
                <w:rFonts w:ascii="Times New Roman" w:hAnsi="Times New Roman" w:cs="David" w:hint="cs"/>
                <w:rtl/>
              </w:rPr>
              <w:t xml:space="preserve">הפסקת הפעולה השוטפת של יחידות 1 - 4 באורות רבין, כך שההפעלה השוטפת תיפסק לא יאוחר מיוני 2022, ובלבד שיתקיימו שני תנאים: חיבור שלושה מאגרי גז טבעי למערכת ההולכה; תחילת ההפעלה של </w:t>
            </w:r>
            <w:r w:rsidRPr="00AE3072">
              <w:rPr>
                <w:rFonts w:ascii="Times New Roman" w:hAnsi="Times New Roman" w:cs="David" w:hint="cs"/>
                <w:rtl/>
              </w:rPr>
              <w:t>מחז"מ</w:t>
            </w:r>
            <w:r w:rsidRPr="00AE3072">
              <w:rPr>
                <w:rFonts w:ascii="Times New Roman" w:hAnsi="Times New Roman" w:cs="David" w:hint="cs"/>
                <w:rtl/>
              </w:rPr>
              <w:t xml:space="preserve"> בהספק 600 </w:t>
            </w:r>
            <w:r w:rsidRPr="00AE3072">
              <w:rPr>
                <w:rFonts w:ascii="Times New Roman" w:hAnsi="Times New Roman" w:cs="David" w:hint="cs"/>
                <w:rtl/>
              </w:rPr>
              <w:t>מגהוואט</w:t>
            </w:r>
            <w:r w:rsidRPr="00AE3072">
              <w:rPr>
                <w:rFonts w:ascii="Times New Roman" w:hAnsi="Times New Roman" w:cs="David" w:hint="cs"/>
                <w:rtl/>
              </w:rPr>
              <w:t xml:space="preserve">-שעה, אשר יוקם ע"י חברה בת של </w:t>
            </w:r>
            <w:r w:rsidRPr="00AE3072">
              <w:rPr>
                <w:rFonts w:ascii="Times New Roman" w:hAnsi="Times New Roman" w:cs="David" w:hint="cs"/>
                <w:rtl/>
              </w:rPr>
              <w:t>חח"י</w:t>
            </w:r>
            <w:r w:rsidRPr="00AE3072">
              <w:rPr>
                <w:rFonts w:ascii="Times New Roman" w:hAnsi="Times New Roman" w:cs="David" w:hint="cs"/>
                <w:rtl/>
              </w:rPr>
              <w:t xml:space="preserve"> לא יאוחר מ-1.6.22.</w:t>
            </w:r>
          </w:p>
        </w:tc>
        <w:tc>
          <w:tcPr>
            <w:tcW w:w="1164"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b/>
                <w:rtl/>
              </w:rPr>
              <w:t xml:space="preserve">שר </w:t>
            </w:r>
            <w:r w:rsidRPr="00AE3072">
              <w:rPr>
                <w:rFonts w:ascii="Times New Roman" w:hAnsi="Times New Roman" w:cs="David" w:hint="cs"/>
                <w:b/>
                <w:rtl/>
              </w:rPr>
              <w:t>האנרגייה</w:t>
            </w:r>
            <w:r w:rsidRPr="00AE3072">
              <w:rPr>
                <w:rFonts w:ascii="Times New Roman" w:hAnsi="Times New Roman" w:cs="David" w:hint="cs"/>
                <w:b/>
                <w:rtl/>
              </w:rPr>
              <w:t xml:space="preserve"> והשר </w:t>
            </w:r>
            <w:r w:rsidRPr="00AE3072">
              <w:rPr>
                <w:rFonts w:ascii="Times New Roman" w:hAnsi="Times New Roman" w:cs="David" w:hint="cs"/>
                <w:b/>
                <w:rtl/>
              </w:rPr>
              <w:t>להג"ס</w:t>
            </w:r>
          </w:p>
        </w:tc>
      </w:tr>
      <w:tr w:rsidTr="00AE3072">
        <w:tblPrEx>
          <w:tblW w:w="5000" w:type="pct"/>
          <w:tblLook w:val="04A0"/>
        </w:tblPrEx>
        <w:tc>
          <w:tcPr>
            <w:tcW w:w="661" w:type="pct"/>
          </w:tcPr>
          <w:p w:rsidR="0097239C" w:rsidRPr="00AE3072" w:rsidP="00AE3072">
            <w:pPr>
              <w:spacing w:before="30" w:after="30" w:line="269" w:lineRule="auto"/>
              <w:rPr>
                <w:rFonts w:ascii="Times New Roman" w:hAnsi="Times New Roman" w:cs="David"/>
                <w:bCs/>
                <w:rtl/>
              </w:rPr>
            </w:pPr>
            <w:r w:rsidRPr="00AE3072">
              <w:rPr>
                <w:rFonts w:ascii="Times New Roman" w:hAnsi="Times New Roman" w:cs="David" w:hint="cs"/>
                <w:bCs/>
                <w:rtl/>
              </w:rPr>
              <w:t>נובמבר 2019</w:t>
            </w:r>
          </w:p>
        </w:tc>
        <w:tc>
          <w:tcPr>
            <w:tcW w:w="3175"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rtl/>
              </w:rPr>
              <w:t xml:space="preserve">עקרונות מדיניות להפסקת השימוש בפחם במקטע הייצור במשק החשמל </w:t>
            </w:r>
            <w:r w:rsidRPr="00AE3072">
              <w:rPr>
                <w:rFonts w:ascii="Times New Roman" w:hAnsi="Times New Roman" w:cs="David" w:hint="cs"/>
                <w:rtl/>
              </w:rPr>
              <w:t>בעיתות</w:t>
            </w:r>
            <w:r w:rsidRPr="00AE3072">
              <w:rPr>
                <w:rFonts w:ascii="Times New Roman" w:hAnsi="Times New Roman" w:cs="David" w:hint="cs"/>
                <w:rtl/>
              </w:rPr>
              <w:t xml:space="preserve"> שגרה עד לשנת 2026, ולפיהם יוסבו יחידות הייצור 5 - 6 בתחנת הכוח אורות רבין ויחידות הייצור 1 - 4 בתחנת הכוח רוטנברג לשימוש בגז טבעי</w:t>
            </w:r>
            <w:r w:rsidRPr="00AE3072">
              <w:rPr>
                <w:rFonts w:ascii="Times New Roman" w:hAnsi="Times New Roman" w:cs="David" w:hint="cs"/>
                <w:b/>
                <w:rtl/>
              </w:rPr>
              <w:t>.</w:t>
            </w:r>
          </w:p>
        </w:tc>
        <w:tc>
          <w:tcPr>
            <w:tcW w:w="1164" w:type="pct"/>
          </w:tcPr>
          <w:p w:rsidR="0097239C" w:rsidRPr="00AE3072" w:rsidP="00AE3072">
            <w:pPr>
              <w:spacing w:before="30" w:after="30" w:line="269" w:lineRule="auto"/>
              <w:rPr>
                <w:rFonts w:ascii="Times New Roman" w:hAnsi="Times New Roman" w:cs="David"/>
                <w:b/>
                <w:rtl/>
              </w:rPr>
            </w:pPr>
            <w:r w:rsidRPr="00AE3072">
              <w:rPr>
                <w:rFonts w:ascii="Times New Roman" w:hAnsi="Times New Roman" w:cs="David" w:hint="cs"/>
                <w:b/>
                <w:rtl/>
              </w:rPr>
              <w:t xml:space="preserve">משרד </w:t>
            </w:r>
            <w:r w:rsidRPr="00AE3072">
              <w:rPr>
                <w:rFonts w:ascii="Times New Roman" w:hAnsi="Times New Roman" w:cs="David" w:hint="cs"/>
                <w:b/>
                <w:rtl/>
              </w:rPr>
              <w:t>האנרגייה</w:t>
            </w:r>
          </w:p>
        </w:tc>
      </w:tr>
    </w:tbl>
    <w:p w:rsidR="0097239C" w:rsidRPr="00810E1E" w:rsidP="00AE3072">
      <w:pPr>
        <w:spacing w:before="120" w:line="269" w:lineRule="auto"/>
        <w:rPr>
          <w:sz w:val="22"/>
          <w:szCs w:val="22"/>
          <w:rtl/>
        </w:rPr>
      </w:pPr>
      <w:r w:rsidRPr="00810E1E">
        <w:rPr>
          <w:rFonts w:hint="eastAsia"/>
          <w:sz w:val="22"/>
          <w:szCs w:val="22"/>
          <w:rtl/>
        </w:rPr>
        <w:t>על</w:t>
      </w:r>
      <w:r w:rsidRPr="00810E1E">
        <w:rPr>
          <w:sz w:val="22"/>
          <w:szCs w:val="22"/>
          <w:rtl/>
        </w:rPr>
        <w:t xml:space="preserve"> </w:t>
      </w:r>
      <w:r w:rsidRPr="00810E1E">
        <w:rPr>
          <w:rFonts w:hint="eastAsia"/>
          <w:sz w:val="22"/>
          <w:szCs w:val="22"/>
          <w:rtl/>
        </w:rPr>
        <w:t>פי</w:t>
      </w:r>
      <w:r w:rsidRPr="00810E1E">
        <w:rPr>
          <w:sz w:val="22"/>
          <w:szCs w:val="22"/>
          <w:rtl/>
        </w:rPr>
        <w:t xml:space="preserve"> </w:t>
      </w:r>
      <w:r w:rsidRPr="00810E1E">
        <w:rPr>
          <w:rFonts w:hint="eastAsia"/>
          <w:sz w:val="22"/>
          <w:szCs w:val="22"/>
          <w:rtl/>
        </w:rPr>
        <w:t>נתוני</w:t>
      </w:r>
      <w:r w:rsidRPr="00810E1E">
        <w:rPr>
          <w:sz w:val="22"/>
          <w:szCs w:val="22"/>
          <w:rtl/>
        </w:rPr>
        <w:t xml:space="preserve"> </w:t>
      </w:r>
      <w:r w:rsidRPr="00810E1E">
        <w:rPr>
          <w:rFonts w:hint="eastAsia"/>
          <w:sz w:val="22"/>
          <w:szCs w:val="22"/>
          <w:rtl/>
        </w:rPr>
        <w:t>משרד</w:t>
      </w:r>
      <w:r w:rsidRPr="00810E1E">
        <w:rPr>
          <w:sz w:val="22"/>
          <w:szCs w:val="22"/>
          <w:rtl/>
        </w:rPr>
        <w:t xml:space="preserve"> </w:t>
      </w:r>
      <w:r w:rsidRPr="00810E1E">
        <w:rPr>
          <w:rFonts w:hint="eastAsia"/>
          <w:sz w:val="22"/>
          <w:szCs w:val="22"/>
          <w:rtl/>
        </w:rPr>
        <w:t>האנרגייה</w:t>
      </w:r>
      <w:r w:rsidRPr="00810E1E">
        <w:rPr>
          <w:sz w:val="22"/>
          <w:szCs w:val="22"/>
          <w:rtl/>
        </w:rPr>
        <w:t xml:space="preserve"> </w:t>
      </w:r>
      <w:r w:rsidRPr="00810E1E">
        <w:rPr>
          <w:rFonts w:hint="eastAsia"/>
          <w:sz w:val="22"/>
          <w:szCs w:val="22"/>
          <w:rtl/>
        </w:rPr>
        <w:t>והמשרד</w:t>
      </w:r>
      <w:r w:rsidRPr="00810E1E">
        <w:rPr>
          <w:sz w:val="22"/>
          <w:szCs w:val="22"/>
          <w:rtl/>
        </w:rPr>
        <w:t xml:space="preserve"> </w:t>
      </w:r>
      <w:r w:rsidRPr="00810E1E">
        <w:rPr>
          <w:rFonts w:hint="eastAsia"/>
          <w:sz w:val="22"/>
          <w:szCs w:val="22"/>
          <w:rtl/>
        </w:rPr>
        <w:t>להג</w:t>
      </w:r>
      <w:r w:rsidRPr="00810E1E">
        <w:rPr>
          <w:sz w:val="22"/>
          <w:szCs w:val="22"/>
          <w:rtl/>
        </w:rPr>
        <w:t>"ס</w:t>
      </w:r>
      <w:r w:rsidRPr="00810E1E">
        <w:rPr>
          <w:sz w:val="22"/>
          <w:szCs w:val="22"/>
          <w:rtl/>
        </w:rPr>
        <w:t xml:space="preserve">, </w:t>
      </w:r>
      <w:r w:rsidRPr="00810E1E">
        <w:rPr>
          <w:rFonts w:hint="eastAsia"/>
          <w:sz w:val="22"/>
          <w:szCs w:val="22"/>
          <w:rtl/>
        </w:rPr>
        <w:t>בעיבוד</w:t>
      </w:r>
      <w:r w:rsidRPr="00810E1E">
        <w:rPr>
          <w:sz w:val="22"/>
          <w:szCs w:val="22"/>
          <w:rtl/>
        </w:rPr>
        <w:t xml:space="preserve"> </w:t>
      </w:r>
      <w:r w:rsidRPr="00810E1E">
        <w:rPr>
          <w:rFonts w:hint="eastAsia"/>
          <w:sz w:val="22"/>
          <w:szCs w:val="22"/>
          <w:rtl/>
        </w:rPr>
        <w:t>משרד</w:t>
      </w:r>
      <w:r w:rsidRPr="00810E1E">
        <w:rPr>
          <w:sz w:val="22"/>
          <w:szCs w:val="22"/>
          <w:rtl/>
        </w:rPr>
        <w:t xml:space="preserve"> </w:t>
      </w:r>
      <w:r w:rsidRPr="00810E1E">
        <w:rPr>
          <w:rFonts w:hint="eastAsia"/>
          <w:sz w:val="22"/>
          <w:szCs w:val="22"/>
          <w:rtl/>
        </w:rPr>
        <w:t>מבקר</w:t>
      </w:r>
      <w:r w:rsidRPr="00810E1E">
        <w:rPr>
          <w:sz w:val="22"/>
          <w:szCs w:val="22"/>
          <w:rtl/>
        </w:rPr>
        <w:t xml:space="preserve"> </w:t>
      </w:r>
      <w:r w:rsidRPr="00810E1E">
        <w:rPr>
          <w:rFonts w:hint="eastAsia"/>
          <w:sz w:val="22"/>
          <w:szCs w:val="22"/>
          <w:rtl/>
        </w:rPr>
        <w:t>המדינה</w:t>
      </w:r>
      <w:r w:rsidRPr="00810E1E">
        <w:rPr>
          <w:sz w:val="22"/>
          <w:szCs w:val="22"/>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צפוי המשך הגידול בביקוש לגז טבעי בשנים הקרובות, דבר שימשיך את מגמת השימוש בגז טבעי על פני שימוש </w:t>
      </w:r>
      <w:r w:rsidRPr="0097239C">
        <w:rPr>
          <w:rFonts w:hint="cs"/>
          <w:rtl/>
        </w:rPr>
        <w:t>בדלקים</w:t>
      </w:r>
      <w:r w:rsidRPr="0097239C">
        <w:rPr>
          <w:rFonts w:hint="cs"/>
          <w:rtl/>
        </w:rPr>
        <w:t xml:space="preserve"> חלופיים ויביא להתייעלות אנרגטית ולהפחתה ברמות זיהום האוויר. זאת לכל הפחות עד לאספקה משמעותית ורציפה של חשמל מאנרגיות מתחדשות. על מנת לתת מענה </w:t>
      </w:r>
      <w:r w:rsidRPr="0097239C">
        <w:rPr>
          <w:rFonts w:hint="cs"/>
          <w:rtl/>
        </w:rPr>
        <w:t>לביקושים</w:t>
      </w:r>
      <w:r w:rsidRPr="0097239C">
        <w:rPr>
          <w:rFonts w:hint="cs"/>
          <w:rtl/>
        </w:rPr>
        <w:t xml:space="preserve"> הצפויים, צפויה הרחבה של מערכת ההולכה והחלוקה של גז טבעי, נוסף על הסבת יחידות הייצור הפחמיות לייצור באמצעות גז טבעי.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בנובמבר 2018 הציג משרד </w:t>
      </w:r>
      <w:r w:rsidRPr="0097239C">
        <w:rPr>
          <w:rFonts w:hint="cs"/>
          <w:rtl/>
        </w:rPr>
        <w:t>האנרגייה</w:t>
      </w:r>
      <w:r w:rsidRPr="0097239C">
        <w:rPr>
          <w:rFonts w:hint="cs"/>
          <w:rtl/>
        </w:rPr>
        <w:t xml:space="preserve"> "</w:t>
      </w:r>
      <w:r w:rsidRPr="0097239C">
        <w:rPr>
          <w:rFonts w:hint="cs"/>
          <w:rtl/>
        </w:rPr>
        <w:t>תוכנית</w:t>
      </w:r>
      <w:r w:rsidRPr="0097239C">
        <w:rPr>
          <w:rFonts w:hint="cs"/>
          <w:rtl/>
        </w:rPr>
        <w:t xml:space="preserve"> להצלת ישראל מאנרגיה מזהמת" (להלן - </w:t>
      </w:r>
      <w:r w:rsidRPr="0097239C">
        <w:rPr>
          <w:rFonts w:hint="cs"/>
          <w:rtl/>
        </w:rPr>
        <w:t>תוכנית</w:t>
      </w:r>
      <w:r w:rsidRPr="0097239C">
        <w:rPr>
          <w:rFonts w:hint="cs"/>
          <w:rtl/>
        </w:rPr>
        <w:t xml:space="preserve"> משרד </w:t>
      </w:r>
      <w:r w:rsidRPr="0097239C">
        <w:rPr>
          <w:rFonts w:hint="cs"/>
          <w:rtl/>
        </w:rPr>
        <w:t>האנרגייה</w:t>
      </w:r>
      <w:r w:rsidRPr="0097239C">
        <w:rPr>
          <w:rFonts w:hint="cs"/>
          <w:rtl/>
        </w:rPr>
        <w:t xml:space="preserve">). יעדי התוכנית לשנת 2030 הם אלו: במגזר החשמל: הפסקת השימוש בפחם ומעבר לשימוש בגז טבעי </w:t>
      </w:r>
      <w:r w:rsidRPr="0097239C">
        <w:rPr>
          <w:rFonts w:hint="cs"/>
          <w:rtl/>
        </w:rPr>
        <w:t>ובאנרגייה</w:t>
      </w:r>
      <w:r w:rsidRPr="0097239C">
        <w:rPr>
          <w:rFonts w:hint="cs"/>
          <w:rtl/>
        </w:rPr>
        <w:t xml:space="preserve"> מתחדשת בלבד; במגזר התחבורה: 100% מכלי הרכב החדשים יהיו חשמליים, 100% מהמשאיות והאוטובוסי</w:t>
      </w:r>
      <w:r w:rsidRPr="0097239C">
        <w:rPr>
          <w:rFonts w:hint="eastAsia"/>
          <w:rtl/>
        </w:rPr>
        <w:t>ם</w:t>
      </w:r>
      <w:r w:rsidRPr="0097239C">
        <w:rPr>
          <w:rFonts w:hint="cs"/>
          <w:rtl/>
        </w:rPr>
        <w:t xml:space="preserve"> החדשים יהיו חשמליים או יונעו בגז </w:t>
      </w:r>
      <w:r w:rsidRPr="0097239C">
        <w:rPr>
          <w:rFonts w:hint="cs"/>
          <w:rtl/>
        </w:rPr>
        <w:t xml:space="preserve">טבעי דחוס, ותיאסר ההכנסה למדינה של כלי רכב חדשים המונעים בבנזין או בסולר; במגזר התעשייה: חיבור התעשייה לרשת חלוקת הגז הטבעי, הפסקת השימוש במוצרי דלק מזהמים והחלפתם במקורות </w:t>
      </w:r>
      <w:r w:rsidRPr="0097239C">
        <w:rPr>
          <w:rFonts w:hint="cs"/>
          <w:rtl/>
        </w:rPr>
        <w:t>אנרגייה</w:t>
      </w:r>
      <w:r w:rsidRPr="0097239C">
        <w:rPr>
          <w:rFonts w:hint="cs"/>
          <w:rtl/>
        </w:rPr>
        <w:t xml:space="preserve"> יעילים ונקיים יותר. התוכנית כוללת גם צעדים נדרשים בתחומים של התייעלות אנרגטית וביטחון אנרגטי.</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על פי המצוין בתוכנית משרד </w:t>
      </w:r>
      <w:r w:rsidRPr="0097239C">
        <w:rPr>
          <w:rFonts w:hint="cs"/>
          <w:rtl/>
        </w:rPr>
        <w:t>האנרגייה</w:t>
      </w:r>
      <w:r w:rsidRPr="0097239C">
        <w:rPr>
          <w:rFonts w:hint="cs"/>
          <w:rtl/>
        </w:rPr>
        <w:t xml:space="preserve">, התועלת השנתית שלה היא כ-5.8 מיליארד ש"ח, והיא צפויה להפחית את נזקי זיהום האוויר בישראל בכ-60%. התועלת המצטברת למשק עד שנת 2040, על פי אומדני משרד </w:t>
      </w:r>
      <w:r w:rsidRPr="0097239C">
        <w:rPr>
          <w:rFonts w:hint="cs"/>
          <w:rtl/>
        </w:rPr>
        <w:t>האנרגייה</w:t>
      </w:r>
      <w:r w:rsidRPr="0097239C">
        <w:rPr>
          <w:rFonts w:hint="cs"/>
          <w:rtl/>
        </w:rPr>
        <w:t xml:space="preserve">, הוא כ-78.4 מיליארד ש"ח, ו-57.4% ממנה נובע מהמעבר לכלי רכב חשמליים, 21.7% - ממגזר החשמל, ו-10.2% - ממגזר התעשייה ומהמעבר לכלי רכב המונעים בגז טבעי דחוס.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באותו חודש נובמבר 2018, פנו יותר ממאה מדענים ומומחים לתחומי </w:t>
      </w:r>
      <w:r w:rsidRPr="0097239C">
        <w:rPr>
          <w:rFonts w:hint="cs"/>
          <w:rtl/>
        </w:rPr>
        <w:t>האנרגייה</w:t>
      </w:r>
      <w:r w:rsidRPr="0097239C">
        <w:rPr>
          <w:rFonts w:hint="cs"/>
          <w:rtl/>
        </w:rPr>
        <w:t xml:space="preserve"> ואיכות הסביבה במכתב לשר </w:t>
      </w:r>
      <w:r w:rsidRPr="0097239C">
        <w:rPr>
          <w:rFonts w:hint="cs"/>
          <w:rtl/>
        </w:rPr>
        <w:t>האנרגייה</w:t>
      </w:r>
      <w:r w:rsidRPr="0097239C">
        <w:rPr>
          <w:rFonts w:hint="cs"/>
          <w:rtl/>
        </w:rPr>
        <w:t>, ובו ביקשו</w:t>
      </w:r>
      <w:r w:rsidRPr="0097239C">
        <w:rPr>
          <w:rtl/>
        </w:rPr>
        <w:t xml:space="preserve"> מממשלת ישראל </w:t>
      </w:r>
      <w:r w:rsidRPr="0097239C">
        <w:rPr>
          <w:rFonts w:hint="cs"/>
          <w:rtl/>
        </w:rPr>
        <w:t>ל</w:t>
      </w:r>
      <w:r w:rsidRPr="0097239C">
        <w:rPr>
          <w:rtl/>
        </w:rPr>
        <w:t xml:space="preserve">שקול מחדש את ההחלטה </w:t>
      </w:r>
      <w:r w:rsidRPr="0097239C">
        <w:rPr>
          <w:rFonts w:hint="cs"/>
          <w:rtl/>
        </w:rPr>
        <w:t>להקים תחנות כוח המבוססות על גז טבעי. במכתבם טענו כי "</w:t>
      </w:r>
      <w:r w:rsidRPr="0097239C">
        <w:rPr>
          <w:rtl/>
        </w:rPr>
        <w:t>החלטת הממשלה להקים רשת חדשה של תחנות כוח פרטיות המבוססות על גז טבעי אינה עולה בקנה אחד עם המגמות הכלכליות הקיימות בשוק האנרגיה,</w:t>
      </w:r>
      <w:r w:rsidRPr="0097239C">
        <w:rPr>
          <w:rFonts w:hint="cs"/>
          <w:rtl/>
        </w:rPr>
        <w:t xml:space="preserve"> </w:t>
      </w:r>
      <w:r w:rsidRPr="0097239C">
        <w:rPr>
          <w:rtl/>
        </w:rPr>
        <w:t>תטיל סיכון כלכלי גבוה על אזרחי המדינה ואינה תואמת את ההתחייבויות הבינלאומיות של ישראל בתחום שינוי אקלים</w:t>
      </w:r>
      <w:r w:rsidRPr="0097239C">
        <w:rPr>
          <w:rFonts w:hint="cs"/>
          <w:rtl/>
        </w:rPr>
        <w:t>"</w:t>
      </w:r>
      <w:r w:rsidRPr="0097239C">
        <w:t>.</w:t>
      </w:r>
      <w:r w:rsidRPr="0097239C">
        <w:rPr>
          <w:rFonts w:hint="cs"/>
          <w:rtl/>
        </w:rPr>
        <w:t xml:space="preserve"> עוד ציינו במכתב כי אומנם הגז הטבעי הוא דלק נקי יותר מפחם, מנפט ומסולר, אך ראוי שהמעבר יהיה ישירות </w:t>
      </w:r>
      <w:r w:rsidRPr="0097239C">
        <w:rPr>
          <w:rFonts w:hint="cs"/>
          <w:rtl/>
        </w:rPr>
        <w:t>לאנרגייה</w:t>
      </w:r>
      <w:r w:rsidRPr="0097239C">
        <w:rPr>
          <w:rFonts w:hint="cs"/>
          <w:rtl/>
        </w:rPr>
        <w:t xml:space="preserve"> מתחדשת ולא לגז. </w:t>
      </w:r>
    </w:p>
    <w:p w:rsidR="0097239C" w:rsidRPr="0097239C" w:rsidP="00C603CF">
      <w:pPr>
        <w:pStyle w:val="a"/>
        <w:spacing w:line="269" w:lineRule="auto"/>
      </w:pPr>
    </w:p>
    <w:p w:rsidR="0097239C" w:rsidRPr="0097239C" w:rsidP="00C603CF">
      <w:pPr>
        <w:spacing w:line="269" w:lineRule="auto"/>
        <w:rPr>
          <w:b/>
          <w:rtl/>
        </w:rPr>
      </w:pPr>
      <w:r w:rsidRPr="0097239C">
        <w:rPr>
          <w:rFonts w:hint="cs"/>
          <w:rtl/>
        </w:rPr>
        <w:t xml:space="preserve">יצוין כי בחלק ממדינות העולם קיימת כיום מגמה של מעבר לשימוש בחשמל כתחליף לשימוש </w:t>
      </w:r>
      <w:r w:rsidRPr="0097239C">
        <w:rPr>
          <w:rFonts w:hint="cs"/>
          <w:rtl/>
        </w:rPr>
        <w:t>בדלקים</w:t>
      </w:r>
      <w:r w:rsidRPr="0097239C">
        <w:rPr>
          <w:rFonts w:hint="cs"/>
          <w:rtl/>
        </w:rPr>
        <w:t xml:space="preserve"> </w:t>
      </w:r>
      <w:r w:rsidRPr="0097239C">
        <w:rPr>
          <w:rFonts w:hint="cs"/>
          <w:rtl/>
        </w:rPr>
        <w:t>פוסיליים</w:t>
      </w:r>
      <w:r w:rsidRPr="0097239C">
        <w:rPr>
          <w:rFonts w:hint="cs"/>
          <w:rtl/>
        </w:rPr>
        <w:t xml:space="preserve"> בתהליכים שונים, כגון המעבר לשימוש בחשמל במערכות חימום וקירור חלף מערכות המבוססות על גז טבעי, סולר או מזוט, תוך קביעת מעבר לייצור חשמל מאנרגיות מתחדשות. למשל, מדינת קליפורניה חוקקה בספטמבר 2019 חוק המונע חיבור בתים חדשים למערכות גז טבעי ומחייב התקנת מערכות חשמל, תוך אימוץ יעדים שאפתניים של שימוש באנרגיות מתחדשות לייצור חשמל ברמה של 70% בשנת 2030 ו-100% בשנת 2050 (בעניין זה ראו בדוח זה את הפרק בנושא שימוש באנרגיות מתחדשות ותחליפי </w:t>
      </w:r>
      <w:r w:rsidRPr="0097239C">
        <w:rPr>
          <w:rFonts w:hint="cs"/>
          <w:rtl/>
        </w:rPr>
        <w:t>דלקים</w:t>
      </w:r>
      <w:r w:rsidRPr="0097239C">
        <w:rPr>
          <w:rFonts w:hint="cs"/>
          <w:rtl/>
        </w:rPr>
        <w:t xml:space="preserve">). כאמור, שר </w:t>
      </w:r>
      <w:r w:rsidRPr="0097239C">
        <w:rPr>
          <w:rFonts w:hint="cs"/>
          <w:rtl/>
        </w:rPr>
        <w:t>האנרגייה</w:t>
      </w:r>
      <w:r w:rsidRPr="0097239C">
        <w:rPr>
          <w:rFonts w:hint="cs"/>
          <w:rtl/>
        </w:rPr>
        <w:t xml:space="preserve"> הצהיר בוועידת האקלים במדריד בדצמבר 2019, </w:t>
      </w:r>
      <w:r w:rsidRPr="0097239C">
        <w:rPr>
          <w:rFonts w:hint="cs"/>
          <w:b/>
          <w:rtl/>
        </w:rPr>
        <w:t>כי החליט</w:t>
      </w:r>
      <w:r w:rsidRPr="0097239C">
        <w:rPr>
          <w:b/>
          <w:rtl/>
        </w:rPr>
        <w:t xml:space="preserve"> לבחון את הגדלת היכולות לייצור חשמל מאנרגיות מתחדשות מ-17% ל-</w:t>
      </w:r>
      <w:r w:rsidRPr="0097239C">
        <w:rPr>
          <w:rFonts w:hint="cs"/>
          <w:b/>
          <w:rtl/>
        </w:rPr>
        <w:t>25% - 30</w:t>
      </w:r>
      <w:r w:rsidRPr="0097239C">
        <w:rPr>
          <w:b/>
          <w:rtl/>
        </w:rPr>
        <w:t>% עד שנת 2030</w:t>
      </w:r>
      <w:r w:rsidRPr="0097239C">
        <w:rPr>
          <w:rFonts w:hint="cs"/>
          <w:b/>
          <w:rtl/>
        </w:rPr>
        <w:t>.</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מציין בחיוב את הפעולות של משרד </w:t>
      </w:r>
      <w:r w:rsidRPr="0097239C">
        <w:rPr>
          <w:rFonts w:hint="cs"/>
          <w:b/>
          <w:bCs/>
          <w:rtl/>
        </w:rPr>
        <w:t>האנרגייה</w:t>
      </w:r>
      <w:r w:rsidRPr="0097239C">
        <w:rPr>
          <w:rFonts w:hint="cs"/>
          <w:b/>
          <w:bCs/>
          <w:rtl/>
        </w:rPr>
        <w:t xml:space="preserve"> והמשרד </w:t>
      </w:r>
      <w:r w:rsidRPr="0097239C">
        <w:rPr>
          <w:rFonts w:hint="cs"/>
          <w:b/>
          <w:bCs/>
          <w:rtl/>
        </w:rPr>
        <w:t>להג"ס</w:t>
      </w:r>
      <w:r w:rsidRPr="0097239C">
        <w:rPr>
          <w:rFonts w:hint="cs"/>
          <w:b/>
          <w:bCs/>
          <w:rtl/>
        </w:rPr>
        <w:t xml:space="preserve"> בעניין צמצום השימוש בפחם ובסולר לייצור חשמל. עם זאת, מומלץ כי משרד </w:t>
      </w:r>
      <w:r w:rsidRPr="0097239C">
        <w:rPr>
          <w:rFonts w:hint="cs"/>
          <w:b/>
          <w:bCs/>
          <w:rtl/>
        </w:rPr>
        <w:t>האנרגייה</w:t>
      </w:r>
      <w:r w:rsidRPr="0097239C">
        <w:rPr>
          <w:rFonts w:hint="cs"/>
          <w:b/>
          <w:bCs/>
          <w:rtl/>
        </w:rPr>
        <w:t xml:space="preserve"> יקבע תמהיל </w:t>
      </w:r>
      <w:r w:rsidRPr="0097239C">
        <w:rPr>
          <w:rFonts w:hint="cs"/>
          <w:b/>
          <w:bCs/>
          <w:rtl/>
        </w:rPr>
        <w:t>דלקים</w:t>
      </w:r>
      <w:r w:rsidRPr="0097239C">
        <w:rPr>
          <w:rFonts w:hint="cs"/>
          <w:b/>
          <w:bCs/>
          <w:rtl/>
        </w:rPr>
        <w:t xml:space="preserve"> מיטבי למשק בהסתמך על בחינת עלות לעומת תועלת ובדיקת כדאיות כלכלית, ובהתחשב בשיקולים של הגנה על הסביבה ובריאות הציבור, לצד שיקולים של ביטחון אנרגטי, בטיחות, גיוון מקורות </w:t>
      </w:r>
      <w:r w:rsidRPr="0097239C">
        <w:rPr>
          <w:rFonts w:hint="cs"/>
          <w:b/>
          <w:bCs/>
          <w:rtl/>
        </w:rPr>
        <w:t>האנרגייה</w:t>
      </w:r>
      <w:r w:rsidRPr="0097239C">
        <w:rPr>
          <w:rFonts w:hint="cs"/>
          <w:b/>
          <w:bCs/>
          <w:rtl/>
        </w:rPr>
        <w:t xml:space="preserve">, תוך היערכות לאתגרים הצפויים במשק </w:t>
      </w:r>
      <w:r w:rsidRPr="0097239C">
        <w:rPr>
          <w:rFonts w:hint="cs"/>
          <w:b/>
          <w:bCs/>
          <w:rtl/>
        </w:rPr>
        <w:t>האנרגייה</w:t>
      </w:r>
      <w:r w:rsidRPr="0097239C">
        <w:rPr>
          <w:rFonts w:hint="cs"/>
          <w:b/>
          <w:bCs/>
          <w:rtl/>
        </w:rPr>
        <w:t xml:space="preserve"> העתידי.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הוא מגבש בימים אלה, יחד עם רשות הגז הטבעי, המלצות לשר לקביעת יעדים להפחתת פליטות לשנת 2050 ואת הדרך ליישומן.</w:t>
      </w:r>
    </w:p>
    <w:p w:rsidR="0097239C" w:rsidRPr="0097239C" w:rsidP="00C603CF">
      <w:pPr>
        <w:spacing w:line="269" w:lineRule="auto"/>
        <w:rPr>
          <w:rtl/>
        </w:rPr>
      </w:pPr>
    </w:p>
    <w:p w:rsidR="0097239C" w:rsidRPr="0097239C" w:rsidP="00C603CF">
      <w:pPr>
        <w:pStyle w:val="Heading3"/>
        <w:spacing w:before="0" w:line="269" w:lineRule="auto"/>
        <w:rPr>
          <w:rtl/>
        </w:rPr>
      </w:pPr>
      <w:bookmarkStart w:id="10" w:name="_Toc46906226"/>
      <w:r w:rsidRPr="0097239C">
        <w:rPr>
          <w:rFonts w:hint="cs"/>
          <w:rtl/>
        </w:rPr>
        <w:t>תחזיות הביקוש לחשמל לשנת 2030</w:t>
      </w:r>
      <w:bookmarkEnd w:id="10"/>
    </w:p>
    <w:p w:rsidR="0097239C" w:rsidRPr="0097239C" w:rsidP="00C603CF">
      <w:pPr>
        <w:pStyle w:val="a"/>
        <w:spacing w:line="269" w:lineRule="auto"/>
        <w:rPr>
          <w:rtl/>
        </w:rPr>
      </w:pPr>
    </w:p>
    <w:p w:rsidR="0097239C" w:rsidRPr="0097239C" w:rsidP="005B263A">
      <w:pPr>
        <w:spacing w:line="269" w:lineRule="auto"/>
        <w:rPr>
          <w:rtl/>
        </w:rPr>
      </w:pPr>
      <w:r w:rsidRPr="0097239C">
        <w:rPr>
          <w:rFonts w:hint="cs"/>
          <w:rtl/>
        </w:rPr>
        <w:t>ביוני 2018 פרסמה רשות החשמל קול קורא לקבלת התייחסות הציבור לדוח שעניינו "מפת דרכים לפיתוח מקטע הייצור במשק החשמל 2018 - 2030" (להלן - מפת הדרכים). המסמך מסכם את הצרכים של מקטע הייצור במשק החשמל עד שנת 2030 ואת הצפי לעמידה ביעדים של משק החשמל לשנת 2030, שאותם קבעה הממשלה בהחלטתה מספטמבר 2015</w:t>
      </w:r>
      <w:r>
        <w:rPr>
          <w:vertAlign w:val="superscript"/>
          <w:rtl/>
        </w:rPr>
        <w:footnoteReference w:id="96"/>
      </w:r>
      <w:r w:rsidRPr="0097239C">
        <w:rPr>
          <w:rFonts w:hint="cs"/>
          <w:rtl/>
        </w:rPr>
        <w:t xml:space="preserve">, והוא נכלל בתוכנית האב הכוללת של משק </w:t>
      </w:r>
      <w:r w:rsidRPr="0097239C">
        <w:rPr>
          <w:rFonts w:hint="cs"/>
          <w:rtl/>
        </w:rPr>
        <w:t>האנרגייה</w:t>
      </w:r>
      <w:r w:rsidRPr="0097239C">
        <w:rPr>
          <w:rFonts w:hint="cs"/>
          <w:rtl/>
        </w:rPr>
        <w:t xml:space="preserve">. במסמך הוצגו תחזיות ביקוש לחשמל לשנת 2030, שאותן הכינו גורמים שונים במשק, כמתואר בתרשים </w:t>
      </w:r>
      <w:r w:rsidR="005B263A">
        <w:rPr>
          <w:rFonts w:hint="cs"/>
          <w:rtl/>
        </w:rPr>
        <w:t>17</w:t>
      </w:r>
      <w:r w:rsidRPr="0097239C" w:rsidR="005B263A">
        <w:rPr>
          <w:rFonts w:hint="cs"/>
          <w:rtl/>
        </w:rPr>
        <w:t xml:space="preserve"> </w:t>
      </w:r>
      <w:r w:rsidRPr="0097239C">
        <w:rPr>
          <w:rFonts w:hint="cs"/>
          <w:rtl/>
        </w:rPr>
        <w:t xml:space="preserve">ובלוח 10 להלן. </w:t>
      </w:r>
      <w:r w:rsidRPr="0097239C">
        <w:rPr>
          <w:rtl/>
        </w:rPr>
        <w:t xml:space="preserve">מטרת התחזית היא לספק אומדן לביקוש לחשמל בשנת 2030, </w:t>
      </w:r>
      <w:r w:rsidRPr="0097239C">
        <w:rPr>
          <w:rFonts w:hint="cs"/>
          <w:rtl/>
        </w:rPr>
        <w:t>כדי</w:t>
      </w:r>
      <w:r w:rsidRPr="0097239C">
        <w:rPr>
          <w:rtl/>
        </w:rPr>
        <w:t xml:space="preserve"> לאפשר את תכנון משק </w:t>
      </w:r>
      <w:r w:rsidRPr="0097239C">
        <w:rPr>
          <w:rtl/>
        </w:rPr>
        <w:t>האנרגי</w:t>
      </w:r>
      <w:r w:rsidRPr="0097239C">
        <w:rPr>
          <w:rFonts w:hint="cs"/>
          <w:rtl/>
        </w:rPr>
        <w:t>י</w:t>
      </w:r>
      <w:r w:rsidRPr="0097239C">
        <w:rPr>
          <w:rtl/>
        </w:rPr>
        <w:t>ה</w:t>
      </w:r>
      <w:r w:rsidRPr="0097239C">
        <w:rPr>
          <w:rtl/>
        </w:rPr>
        <w:t xml:space="preserve"> הישראלי בטווח הבינוני </w:t>
      </w:r>
      <w:r w:rsidRPr="0097239C">
        <w:rPr>
          <w:rtl/>
        </w:rPr>
        <w:t>והארוך</w:t>
      </w:r>
      <w:r>
        <w:rPr>
          <w:vertAlign w:val="superscript"/>
          <w:rtl/>
        </w:rPr>
        <w:footnoteReference w:id="97"/>
      </w:r>
      <w:r w:rsidRPr="0097239C">
        <w:rPr>
          <w:rtl/>
        </w:rPr>
        <w:t>.</w:t>
      </w:r>
      <w:r w:rsidRPr="0097239C">
        <w:rPr>
          <w:rFonts w:hint="cs"/>
          <w:rtl/>
        </w:rPr>
        <w:t xml:space="preserve"> רשות החשמל מסרה למשרד מבקר המדינה במאי 2020 כי מסמך זה נועד לשמש </w:t>
      </w:r>
      <w:r w:rsidRPr="0097239C">
        <w:rPr>
          <w:rtl/>
        </w:rPr>
        <w:t>כלי בידי השר לקביעת המדיניות במקטע ייצור</w:t>
      </w:r>
      <w:r w:rsidRPr="0097239C">
        <w:rPr>
          <w:rFonts w:hint="cs"/>
          <w:rtl/>
        </w:rPr>
        <w:t xml:space="preserve"> החשמל</w:t>
      </w:r>
      <w:r w:rsidRPr="0097239C">
        <w:rPr>
          <w:rtl/>
        </w:rPr>
        <w:t>.</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מדוח מפת הדרכים עולה כי הפחתת הביקוש לחשמל בהיקף של 17% בשנת 2030, כפי שנקבע בהחלטת הממשלה מספטמבר 2015, יחסית לצריכת החשמל הצפויה באותה שנה לפי תרחיש "עסקים כרגיל", משמעו ייצור חשמל בשיעור של כ-86 </w:t>
      </w:r>
      <w:r w:rsidRPr="0097239C">
        <w:t>TWh</w:t>
      </w:r>
      <w:r w:rsidRPr="0097239C">
        <w:rPr>
          <w:rFonts w:hint="cs"/>
          <w:rtl/>
        </w:rPr>
        <w:t xml:space="preserve"> בשנת 2030. כמות זו מבטאת קצב גידול של 1.7% בייצור חשמל. </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17:</w:t>
      </w:r>
      <w:r w:rsidRPr="0097239C">
        <w:rPr>
          <w:b/>
          <w:bCs/>
          <w:rtl/>
        </w:rPr>
        <w:t xml:space="preserve"> </w:t>
      </w:r>
      <w:r w:rsidRPr="0097239C">
        <w:rPr>
          <w:rFonts w:hint="eastAsia"/>
          <w:b/>
          <w:bCs/>
          <w:rtl/>
        </w:rPr>
        <w:t>תחזית</w:t>
      </w:r>
      <w:r w:rsidRPr="0097239C">
        <w:rPr>
          <w:b/>
          <w:bCs/>
          <w:rtl/>
        </w:rPr>
        <w:t xml:space="preserve"> </w:t>
      </w:r>
      <w:r w:rsidRPr="0097239C">
        <w:rPr>
          <w:rFonts w:hint="eastAsia"/>
          <w:b/>
          <w:bCs/>
          <w:rtl/>
        </w:rPr>
        <w:t>הביקוש</w:t>
      </w:r>
      <w:r w:rsidRPr="0097239C">
        <w:rPr>
          <w:b/>
          <w:bCs/>
          <w:rtl/>
        </w:rPr>
        <w:t xml:space="preserve"> </w:t>
      </w:r>
      <w:r w:rsidRPr="0097239C">
        <w:rPr>
          <w:rFonts w:hint="eastAsia"/>
          <w:b/>
          <w:bCs/>
          <w:rtl/>
        </w:rPr>
        <w:t>לחשמל</w:t>
      </w:r>
      <w:r w:rsidRPr="0097239C">
        <w:rPr>
          <w:rFonts w:hint="cs"/>
          <w:b/>
          <w:bCs/>
          <w:rtl/>
        </w:rPr>
        <w:t xml:space="preserve"> בשנים</w:t>
      </w:r>
      <w:r w:rsidRPr="0097239C">
        <w:rPr>
          <w:b/>
          <w:bCs/>
          <w:rtl/>
        </w:rPr>
        <w:t xml:space="preserve"> 2017 - 2030 </w:t>
      </w:r>
      <w:r w:rsidRPr="0097239C">
        <w:rPr>
          <w:rFonts w:hint="cs"/>
          <w:b/>
          <w:bCs/>
          <w:rtl/>
        </w:rPr>
        <w:t>על ידי</w:t>
      </w:r>
      <w:r w:rsidRPr="0097239C">
        <w:rPr>
          <w:b/>
          <w:bCs/>
          <w:rtl/>
        </w:rPr>
        <w:t xml:space="preserve"> </w:t>
      </w:r>
      <w:r w:rsidRPr="0097239C">
        <w:rPr>
          <w:rFonts w:hint="eastAsia"/>
          <w:b/>
          <w:bCs/>
          <w:rtl/>
        </w:rPr>
        <w:t>גורמים</w:t>
      </w:r>
      <w:r w:rsidRPr="0097239C">
        <w:rPr>
          <w:b/>
          <w:bCs/>
          <w:rtl/>
        </w:rPr>
        <w:t xml:space="preserve"> </w:t>
      </w:r>
      <w:r w:rsidRPr="0097239C">
        <w:rPr>
          <w:rFonts w:hint="eastAsia"/>
          <w:b/>
          <w:bCs/>
          <w:rtl/>
        </w:rPr>
        <w:t>שונים</w:t>
      </w:r>
    </w:p>
    <w:p w:rsidR="0097239C" w:rsidRPr="0097239C" w:rsidP="008A1C81">
      <w:pPr>
        <w:spacing w:before="240" w:after="120" w:line="269" w:lineRule="auto"/>
        <w:rPr>
          <w:rtl/>
        </w:rPr>
      </w:pPr>
      <w:r>
        <w:rPr>
          <w:noProof/>
          <w:rtl/>
        </w:rPr>
        <w:drawing>
          <wp:inline distT="0" distB="0" distL="0" distR="0">
            <wp:extent cx="5220335" cy="2112645"/>
            <wp:effectExtent l="0" t="0" r="0" b="190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83356" name="‏‏gra-17.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112645"/>
                    </a:xfrm>
                    <a:prstGeom prst="rect">
                      <a:avLst/>
                    </a:prstGeom>
                  </pic:spPr>
                </pic:pic>
              </a:graphicData>
            </a:graphic>
          </wp:inline>
        </w:drawing>
      </w:r>
    </w:p>
    <w:p w:rsidR="0097239C" w:rsidRPr="00810E1E" w:rsidP="004321D8">
      <w:pPr>
        <w:spacing w:line="269" w:lineRule="auto"/>
        <w:jc w:val="left"/>
        <w:rPr>
          <w:sz w:val="22"/>
          <w:szCs w:val="22"/>
          <w:rtl/>
        </w:rPr>
      </w:pPr>
      <w:r w:rsidRPr="00810E1E">
        <w:rPr>
          <w:rFonts w:hint="cs"/>
          <w:sz w:val="22"/>
          <w:szCs w:val="22"/>
          <w:rtl/>
        </w:rPr>
        <w:t xml:space="preserve">המקור: </w:t>
      </w:r>
      <w:r w:rsidRPr="00810E1E">
        <w:rPr>
          <w:rFonts w:hint="eastAsia"/>
          <w:b/>
          <w:bCs/>
          <w:sz w:val="22"/>
          <w:szCs w:val="22"/>
          <w:rtl/>
        </w:rPr>
        <w:t>מפת</w:t>
      </w:r>
      <w:r w:rsidRPr="00810E1E">
        <w:rPr>
          <w:b/>
          <w:bCs/>
          <w:sz w:val="22"/>
          <w:szCs w:val="22"/>
          <w:rtl/>
        </w:rPr>
        <w:t xml:space="preserve"> </w:t>
      </w:r>
      <w:r w:rsidRPr="00810E1E">
        <w:rPr>
          <w:rFonts w:hint="eastAsia"/>
          <w:b/>
          <w:bCs/>
          <w:sz w:val="22"/>
          <w:szCs w:val="22"/>
          <w:rtl/>
        </w:rPr>
        <w:t>הדרכים</w:t>
      </w:r>
      <w:r w:rsidRPr="00810E1E">
        <w:rPr>
          <w:rFonts w:hint="cs"/>
          <w:sz w:val="22"/>
          <w:szCs w:val="22"/>
          <w:rtl/>
        </w:rPr>
        <w:t>, 2018.</w:t>
      </w:r>
    </w:p>
    <w:p w:rsidR="0097239C" w:rsidRPr="0097239C" w:rsidP="00C603CF">
      <w:pPr>
        <w:pStyle w:val="a"/>
        <w:spacing w:line="269" w:lineRule="auto"/>
        <w:rPr>
          <w:rtl/>
        </w:rPr>
      </w:pPr>
    </w:p>
    <w:p w:rsidR="0097239C" w:rsidRPr="0097239C" w:rsidP="008A1C81">
      <w:pPr>
        <w:spacing w:after="120" w:line="269" w:lineRule="auto"/>
        <w:jc w:val="center"/>
        <w:rPr>
          <w:b/>
          <w:bCs/>
          <w:rtl/>
        </w:rPr>
      </w:pPr>
      <w:r w:rsidRPr="0097239C">
        <w:rPr>
          <w:rFonts w:hint="eastAsia"/>
          <w:b/>
          <w:bCs/>
          <w:rtl/>
        </w:rPr>
        <w:t>לוח</w:t>
      </w:r>
      <w:r w:rsidRPr="0097239C">
        <w:rPr>
          <w:b/>
          <w:bCs/>
          <w:rtl/>
        </w:rPr>
        <w:t xml:space="preserve"> </w:t>
      </w:r>
      <w:r w:rsidRPr="0097239C">
        <w:rPr>
          <w:rFonts w:hint="cs"/>
          <w:b/>
          <w:bCs/>
          <w:rtl/>
        </w:rPr>
        <w:t>10:</w:t>
      </w:r>
      <w:r w:rsidRPr="0097239C">
        <w:rPr>
          <w:b/>
          <w:bCs/>
          <w:rtl/>
        </w:rPr>
        <w:t xml:space="preserve"> </w:t>
      </w:r>
      <w:r w:rsidRPr="0097239C">
        <w:rPr>
          <w:rFonts w:hint="eastAsia"/>
          <w:b/>
          <w:bCs/>
          <w:rtl/>
        </w:rPr>
        <w:t>תחזית</w:t>
      </w:r>
      <w:r w:rsidRPr="0097239C">
        <w:rPr>
          <w:b/>
          <w:bCs/>
          <w:rtl/>
        </w:rPr>
        <w:t xml:space="preserve"> </w:t>
      </w:r>
      <w:r w:rsidRPr="0097239C">
        <w:rPr>
          <w:rFonts w:hint="eastAsia"/>
          <w:b/>
          <w:bCs/>
          <w:rtl/>
        </w:rPr>
        <w:t>הביקוש</w:t>
      </w:r>
      <w:r w:rsidRPr="0097239C">
        <w:rPr>
          <w:b/>
          <w:bCs/>
          <w:rtl/>
        </w:rPr>
        <w:t xml:space="preserve"> </w:t>
      </w:r>
      <w:r w:rsidRPr="0097239C">
        <w:rPr>
          <w:rFonts w:hint="eastAsia"/>
          <w:b/>
          <w:bCs/>
          <w:rtl/>
        </w:rPr>
        <w:t>לחשמל</w:t>
      </w:r>
      <w:r w:rsidRPr="0097239C">
        <w:rPr>
          <w:rFonts w:hint="cs"/>
          <w:b/>
          <w:bCs/>
          <w:rtl/>
        </w:rPr>
        <w:t xml:space="preserve"> לשנים</w:t>
      </w:r>
      <w:r w:rsidRPr="0097239C">
        <w:rPr>
          <w:b/>
          <w:bCs/>
          <w:rtl/>
        </w:rPr>
        <w:t xml:space="preserve"> 2017 - 2030</w:t>
      </w:r>
    </w:p>
    <w:tbl>
      <w:tblPr>
        <w:tblStyle w:val="11"/>
        <w:bidiVisual/>
        <w:tblW w:w="2763" w:type="pct"/>
        <w:jc w:val="center"/>
        <w:tblLook w:val="04A0"/>
      </w:tblPr>
      <w:tblGrid>
        <w:gridCol w:w="2977"/>
        <w:gridCol w:w="1560"/>
      </w:tblGrid>
      <w:tr w:rsidTr="003F2044">
        <w:tblPrEx>
          <w:tblW w:w="2763" w:type="pct"/>
          <w:jc w:val="center"/>
          <w:tblLook w:val="04A0"/>
        </w:tblPrEx>
        <w:trPr>
          <w:jc w:val="center"/>
        </w:trPr>
        <w:tc>
          <w:tcPr>
            <w:tcW w:w="3281" w:type="pct"/>
          </w:tcPr>
          <w:p w:rsidR="0097239C" w:rsidRPr="00AE3072" w:rsidP="00AE3072">
            <w:pPr>
              <w:spacing w:before="30" w:after="30" w:line="240" w:lineRule="exact"/>
              <w:rPr>
                <w:b/>
                <w:bCs/>
                <w:sz w:val="22"/>
                <w:szCs w:val="22"/>
                <w:rtl/>
              </w:rPr>
            </w:pPr>
            <w:r w:rsidRPr="00AE3072">
              <w:rPr>
                <w:rFonts w:hint="cs"/>
                <w:b/>
                <w:bCs/>
                <w:sz w:val="22"/>
                <w:szCs w:val="22"/>
                <w:rtl/>
              </w:rPr>
              <w:t>מבצע התחזית</w:t>
            </w:r>
          </w:p>
        </w:tc>
        <w:tc>
          <w:tcPr>
            <w:tcW w:w="1719" w:type="pct"/>
          </w:tcPr>
          <w:p w:rsidR="0097239C" w:rsidRPr="00AE3072" w:rsidP="00AE3072">
            <w:pPr>
              <w:spacing w:before="30" w:after="30" w:line="240" w:lineRule="exact"/>
              <w:rPr>
                <w:b/>
                <w:bCs/>
                <w:sz w:val="22"/>
                <w:szCs w:val="22"/>
                <w:rtl/>
              </w:rPr>
            </w:pPr>
            <w:r w:rsidRPr="00AE3072">
              <w:rPr>
                <w:rFonts w:hint="cs"/>
                <w:b/>
                <w:bCs/>
                <w:sz w:val="22"/>
                <w:szCs w:val="22"/>
                <w:rtl/>
              </w:rPr>
              <w:t>סה"כ גידול</w:t>
            </w:r>
          </w:p>
        </w:tc>
      </w:tr>
      <w:tr w:rsidTr="003F2044">
        <w:tblPrEx>
          <w:tblW w:w="2763" w:type="pct"/>
          <w:jc w:val="center"/>
          <w:tblLook w:val="04A0"/>
        </w:tblPrEx>
        <w:trPr>
          <w:jc w:val="center"/>
        </w:trPr>
        <w:tc>
          <w:tcPr>
            <w:tcW w:w="3281" w:type="pct"/>
          </w:tcPr>
          <w:p w:rsidR="0097239C" w:rsidRPr="00AE3072" w:rsidP="00AE3072">
            <w:pPr>
              <w:spacing w:before="30" w:after="30" w:line="240" w:lineRule="exact"/>
              <w:rPr>
                <w:sz w:val="22"/>
                <w:szCs w:val="22"/>
                <w:rtl/>
              </w:rPr>
            </w:pPr>
            <w:r w:rsidRPr="00AE3072">
              <w:rPr>
                <w:rFonts w:hint="cs"/>
                <w:sz w:val="22"/>
                <w:szCs w:val="22"/>
                <w:rtl/>
              </w:rPr>
              <w:t>יצרנים פרטיים</w:t>
            </w:r>
          </w:p>
        </w:tc>
        <w:tc>
          <w:tcPr>
            <w:tcW w:w="1719" w:type="pct"/>
          </w:tcPr>
          <w:p w:rsidR="0097239C" w:rsidRPr="00AE3072" w:rsidP="00AE3072">
            <w:pPr>
              <w:spacing w:before="30" w:after="30" w:line="240" w:lineRule="exact"/>
              <w:rPr>
                <w:sz w:val="22"/>
                <w:szCs w:val="22"/>
                <w:rtl/>
              </w:rPr>
            </w:pPr>
            <w:r w:rsidRPr="00AE3072">
              <w:rPr>
                <w:rFonts w:hint="cs"/>
                <w:sz w:val="22"/>
                <w:szCs w:val="22"/>
                <w:rtl/>
              </w:rPr>
              <w:t>4.04%</w:t>
            </w:r>
          </w:p>
        </w:tc>
      </w:tr>
      <w:tr w:rsidTr="003F2044">
        <w:tblPrEx>
          <w:tblW w:w="2763" w:type="pct"/>
          <w:jc w:val="center"/>
          <w:tblLook w:val="04A0"/>
        </w:tblPrEx>
        <w:trPr>
          <w:jc w:val="center"/>
        </w:trPr>
        <w:tc>
          <w:tcPr>
            <w:tcW w:w="3281" w:type="pct"/>
          </w:tcPr>
          <w:p w:rsidR="0097239C" w:rsidRPr="00AE3072" w:rsidP="00AE3072">
            <w:pPr>
              <w:spacing w:before="30" w:after="30" w:line="240" w:lineRule="exact"/>
              <w:rPr>
                <w:sz w:val="22"/>
                <w:szCs w:val="22"/>
                <w:rtl/>
              </w:rPr>
            </w:pPr>
            <w:r w:rsidRPr="00AE3072">
              <w:rPr>
                <w:rFonts w:hint="cs"/>
                <w:sz w:val="22"/>
                <w:szCs w:val="22"/>
                <w:rtl/>
              </w:rPr>
              <w:t>בנק ישראל</w:t>
            </w:r>
            <w:r>
              <w:rPr>
                <w:sz w:val="22"/>
                <w:szCs w:val="22"/>
                <w:vertAlign w:val="superscript"/>
                <w:rtl/>
              </w:rPr>
              <w:footnoteReference w:id="98"/>
            </w:r>
          </w:p>
        </w:tc>
        <w:tc>
          <w:tcPr>
            <w:tcW w:w="1719" w:type="pct"/>
          </w:tcPr>
          <w:p w:rsidR="0097239C" w:rsidRPr="00AE3072" w:rsidP="00AE3072">
            <w:pPr>
              <w:spacing w:before="30" w:after="30" w:line="240" w:lineRule="exact"/>
              <w:rPr>
                <w:sz w:val="22"/>
                <w:szCs w:val="22"/>
                <w:rtl/>
              </w:rPr>
            </w:pPr>
            <w:r w:rsidRPr="00AE3072">
              <w:rPr>
                <w:rFonts w:hint="cs"/>
                <w:sz w:val="22"/>
                <w:szCs w:val="22"/>
                <w:rtl/>
              </w:rPr>
              <w:t>2.6% - 3.1%</w:t>
            </w:r>
          </w:p>
        </w:tc>
      </w:tr>
      <w:tr w:rsidTr="003F2044">
        <w:tblPrEx>
          <w:tblW w:w="2763" w:type="pct"/>
          <w:jc w:val="center"/>
          <w:tblLook w:val="04A0"/>
        </w:tblPrEx>
        <w:trPr>
          <w:jc w:val="center"/>
        </w:trPr>
        <w:tc>
          <w:tcPr>
            <w:tcW w:w="3281" w:type="pct"/>
          </w:tcPr>
          <w:p w:rsidR="0097239C" w:rsidRPr="00AE3072" w:rsidP="00AE3072">
            <w:pPr>
              <w:spacing w:before="30" w:after="30" w:line="240" w:lineRule="exact"/>
              <w:rPr>
                <w:sz w:val="22"/>
                <w:szCs w:val="22"/>
                <w:rtl/>
              </w:rPr>
            </w:pPr>
            <w:r w:rsidRPr="00AE3072">
              <w:rPr>
                <w:rFonts w:hint="cs"/>
                <w:sz w:val="22"/>
                <w:szCs w:val="22"/>
                <w:rtl/>
              </w:rPr>
              <w:t>חח"י</w:t>
            </w:r>
          </w:p>
        </w:tc>
        <w:tc>
          <w:tcPr>
            <w:tcW w:w="1719" w:type="pct"/>
          </w:tcPr>
          <w:p w:rsidR="0097239C" w:rsidRPr="00AE3072" w:rsidP="00AE3072">
            <w:pPr>
              <w:spacing w:before="30" w:after="30" w:line="240" w:lineRule="exact"/>
              <w:rPr>
                <w:sz w:val="22"/>
                <w:szCs w:val="22"/>
                <w:rtl/>
              </w:rPr>
            </w:pPr>
            <w:r w:rsidRPr="00AE3072">
              <w:rPr>
                <w:rFonts w:hint="cs"/>
                <w:sz w:val="22"/>
                <w:szCs w:val="22"/>
                <w:rtl/>
              </w:rPr>
              <w:t>2.66%</w:t>
            </w:r>
          </w:p>
        </w:tc>
      </w:tr>
      <w:tr w:rsidTr="003F2044">
        <w:tblPrEx>
          <w:tblW w:w="2763" w:type="pct"/>
          <w:jc w:val="center"/>
          <w:tblLook w:val="04A0"/>
        </w:tblPrEx>
        <w:trPr>
          <w:jc w:val="center"/>
        </w:trPr>
        <w:tc>
          <w:tcPr>
            <w:tcW w:w="3281" w:type="pct"/>
          </w:tcPr>
          <w:p w:rsidR="0097239C" w:rsidRPr="00AE3072" w:rsidP="00AE3072">
            <w:pPr>
              <w:spacing w:before="30" w:after="30" w:line="240" w:lineRule="exact"/>
              <w:rPr>
                <w:sz w:val="22"/>
                <w:szCs w:val="22"/>
                <w:rtl/>
              </w:rPr>
            </w:pPr>
            <w:r w:rsidRPr="00AE3072">
              <w:rPr>
                <w:rFonts w:hint="cs"/>
                <w:sz w:val="22"/>
                <w:szCs w:val="22"/>
                <w:rtl/>
              </w:rPr>
              <w:t>חברת ייעוץ חיצונית לרשות החשמל</w:t>
            </w:r>
          </w:p>
        </w:tc>
        <w:tc>
          <w:tcPr>
            <w:tcW w:w="1719" w:type="pct"/>
          </w:tcPr>
          <w:p w:rsidR="0097239C" w:rsidRPr="00AE3072" w:rsidP="00AE3072">
            <w:pPr>
              <w:spacing w:before="30" w:after="30" w:line="240" w:lineRule="exact"/>
              <w:rPr>
                <w:sz w:val="22"/>
                <w:szCs w:val="22"/>
              </w:rPr>
            </w:pPr>
            <w:r w:rsidRPr="00AE3072">
              <w:rPr>
                <w:rFonts w:hint="cs"/>
                <w:sz w:val="22"/>
                <w:szCs w:val="22"/>
                <w:rtl/>
              </w:rPr>
              <w:t>2.7%</w:t>
            </w:r>
          </w:p>
        </w:tc>
      </w:tr>
      <w:tr w:rsidTr="003F2044">
        <w:tblPrEx>
          <w:tblW w:w="2763" w:type="pct"/>
          <w:jc w:val="center"/>
          <w:tblLook w:val="04A0"/>
        </w:tblPrEx>
        <w:trPr>
          <w:jc w:val="center"/>
        </w:trPr>
        <w:tc>
          <w:tcPr>
            <w:tcW w:w="3281" w:type="pct"/>
          </w:tcPr>
          <w:p w:rsidR="0097239C" w:rsidRPr="00AE3072" w:rsidP="00AE3072">
            <w:pPr>
              <w:spacing w:before="30" w:after="30" w:line="240" w:lineRule="exact"/>
              <w:rPr>
                <w:sz w:val="22"/>
                <w:szCs w:val="22"/>
                <w:rtl/>
              </w:rPr>
            </w:pPr>
            <w:r w:rsidRPr="00AE3072">
              <w:rPr>
                <w:rFonts w:hint="cs"/>
                <w:sz w:val="22"/>
                <w:szCs w:val="22"/>
                <w:rtl/>
              </w:rPr>
              <w:t>תרחיש התייעלות אנרגטית</w:t>
            </w:r>
          </w:p>
        </w:tc>
        <w:tc>
          <w:tcPr>
            <w:tcW w:w="1719" w:type="pct"/>
          </w:tcPr>
          <w:p w:rsidR="0097239C" w:rsidRPr="00AE3072" w:rsidP="00AE3072">
            <w:pPr>
              <w:spacing w:before="30" w:after="30" w:line="240" w:lineRule="exact"/>
              <w:rPr>
                <w:sz w:val="22"/>
                <w:szCs w:val="22"/>
                <w:rtl/>
              </w:rPr>
            </w:pPr>
            <w:r w:rsidRPr="00AE3072">
              <w:rPr>
                <w:rFonts w:hint="cs"/>
                <w:sz w:val="22"/>
                <w:szCs w:val="22"/>
                <w:rtl/>
              </w:rPr>
              <w:t>1.7%</w:t>
            </w:r>
          </w:p>
        </w:tc>
      </w:tr>
    </w:tbl>
    <w:p w:rsidR="0097239C" w:rsidRPr="00810E1E" w:rsidP="004321D8">
      <w:pPr>
        <w:spacing w:before="120" w:line="269" w:lineRule="auto"/>
        <w:jc w:val="left"/>
        <w:rPr>
          <w:sz w:val="22"/>
          <w:szCs w:val="22"/>
          <w:rtl/>
        </w:rPr>
      </w:pPr>
      <w:r w:rsidRPr="00810E1E">
        <w:rPr>
          <w:rFonts w:hint="cs"/>
          <w:sz w:val="22"/>
          <w:szCs w:val="22"/>
          <w:rtl/>
        </w:rPr>
        <w:t xml:space="preserve">המקור: </w:t>
      </w:r>
      <w:r w:rsidRPr="00810E1E">
        <w:rPr>
          <w:rFonts w:hint="eastAsia"/>
          <w:b/>
          <w:bCs/>
          <w:sz w:val="22"/>
          <w:szCs w:val="22"/>
          <w:rtl/>
        </w:rPr>
        <w:t>מפת</w:t>
      </w:r>
      <w:r w:rsidRPr="00810E1E">
        <w:rPr>
          <w:b/>
          <w:bCs/>
          <w:sz w:val="22"/>
          <w:szCs w:val="22"/>
          <w:rtl/>
        </w:rPr>
        <w:t xml:space="preserve"> </w:t>
      </w:r>
      <w:r w:rsidRPr="00810E1E">
        <w:rPr>
          <w:rFonts w:hint="eastAsia"/>
          <w:b/>
          <w:bCs/>
          <w:sz w:val="22"/>
          <w:szCs w:val="22"/>
          <w:rtl/>
        </w:rPr>
        <w:t>הדרכים</w:t>
      </w:r>
      <w:r w:rsidRPr="00810E1E">
        <w:rPr>
          <w:rFonts w:hint="cs"/>
          <w:sz w:val="22"/>
          <w:szCs w:val="22"/>
          <w:rtl/>
        </w:rPr>
        <w:t>, 2018.</w:t>
      </w:r>
    </w:p>
    <w:p w:rsidR="00CD6C0F" w:rsidP="00C603CF">
      <w:pPr>
        <w:spacing w:line="269" w:lineRule="auto"/>
        <w:rPr>
          <w:rtl/>
        </w:rPr>
      </w:pPr>
    </w:p>
    <w:p w:rsidR="008A1C81" w:rsidRPr="00C0386E" w:rsidP="008A1C81">
      <w:pPr>
        <w:spacing w:line="269" w:lineRule="auto"/>
        <w:rPr>
          <w:spacing w:val="-2"/>
          <w:rtl/>
        </w:rPr>
      </w:pPr>
      <w:r w:rsidRPr="00C0386E">
        <w:rPr>
          <w:rFonts w:hint="cs"/>
          <w:spacing w:val="-2"/>
          <w:rtl/>
        </w:rPr>
        <w:t xml:space="preserve">השוני בתחזיות נובע, בין היתר, מהשוני בין ההנחות לגבי הגידול בתוצר, השינויים בתנאי האקלים, הגידול בביקוש של המשק הפלסטיני וגורמים נוספים כגון הקמת מתקנים להתפלת מים, חשמול הרכבת והצפי להתחלת השימוש בכלי רכב חשמליים (ראו להלן). רשות החשמל ציינה במסמכי השימוע מיוני 2018 כי על פי התחזיות, הגידול בייצור החשמל עד שנת 2030 יהיה בשיעור של 1.7% עד 3.7%. טווח זה משמעו הבדל של כ-27 </w:t>
      </w:r>
      <w:r w:rsidRPr="00C0386E">
        <w:rPr>
          <w:rFonts w:hint="cs"/>
          <w:spacing w:val="-2"/>
        </w:rPr>
        <w:t>TW</w:t>
      </w:r>
      <w:r w:rsidRPr="00C0386E">
        <w:rPr>
          <w:spacing w:val="-2"/>
        </w:rPr>
        <w:t>h</w:t>
      </w:r>
      <w:r w:rsidRPr="00C0386E">
        <w:rPr>
          <w:rFonts w:hint="cs"/>
          <w:spacing w:val="-2"/>
          <w:rtl/>
        </w:rPr>
        <w:t xml:space="preserve"> בייצור </w:t>
      </w:r>
      <w:r w:rsidRPr="00C0386E">
        <w:rPr>
          <w:rFonts w:hint="cs"/>
          <w:spacing w:val="-2"/>
          <w:rtl/>
        </w:rPr>
        <w:t>האנרגייה</w:t>
      </w:r>
      <w:r w:rsidRPr="00C0386E">
        <w:rPr>
          <w:rFonts w:hint="cs"/>
          <w:spacing w:val="-2"/>
          <w:rtl/>
        </w:rPr>
        <w:t xml:space="preserve"> בשנת 2030, והבדל של כ-5,800 </w:t>
      </w:r>
      <w:r w:rsidRPr="00C0386E">
        <w:rPr>
          <w:rFonts w:hint="cs"/>
          <w:spacing w:val="-2"/>
        </w:rPr>
        <w:t>MW</w:t>
      </w:r>
      <w:r w:rsidRPr="00C0386E">
        <w:rPr>
          <w:rFonts w:hint="cs"/>
          <w:spacing w:val="-2"/>
          <w:rtl/>
        </w:rPr>
        <w:t xml:space="preserve"> בשיא הביקוש בין תרחיש ההתייעלות האנרגטית לבין תרחיש הביקוש הגבוה.</w:t>
      </w:r>
    </w:p>
    <w:p w:rsidR="0097239C" w:rsidP="008A1C81">
      <w:pPr>
        <w:spacing w:before="120" w:line="269" w:lineRule="auto"/>
        <w:rPr>
          <w:rtl/>
        </w:rPr>
      </w:pPr>
      <w:r w:rsidRPr="0097239C">
        <w:rPr>
          <w:rFonts w:hint="cs"/>
          <w:rtl/>
        </w:rPr>
        <w:t>רשות החשמל בחנה את ההספק הנדרש לפי תרחישי הביקוש השונים. משרד מבקר המדינה אמד את העלות של ההספק הנוסף הנדרש בכל אחד מהתרחישים יחסית לתרחיש ההתייעלות האנרגטית, כלהלן:</w:t>
      </w:r>
    </w:p>
    <w:p w:rsidR="00A75A48">
      <w:pPr>
        <w:bidi w:val="0"/>
        <w:spacing w:after="200" w:line="276" w:lineRule="auto"/>
        <w:rPr>
          <w:b/>
          <w:bCs/>
          <w:rtl/>
        </w:rPr>
      </w:pPr>
      <w:r>
        <w:rPr>
          <w:b/>
          <w:bCs/>
          <w:rtl/>
        </w:rPr>
        <w:br w:type="page"/>
      </w:r>
    </w:p>
    <w:p w:rsidR="0097239C" w:rsidRPr="0097239C" w:rsidP="00C0386E">
      <w:pPr>
        <w:spacing w:after="120" w:line="269" w:lineRule="auto"/>
        <w:jc w:val="center"/>
        <w:rPr>
          <w:b/>
          <w:bCs/>
          <w:rtl/>
        </w:rPr>
      </w:pPr>
      <w:r w:rsidRPr="0097239C">
        <w:rPr>
          <w:rFonts w:hint="eastAsia"/>
          <w:b/>
          <w:bCs/>
          <w:rtl/>
        </w:rPr>
        <w:t>לוח</w:t>
      </w:r>
      <w:r w:rsidRPr="0097239C">
        <w:rPr>
          <w:b/>
          <w:bCs/>
          <w:rtl/>
        </w:rPr>
        <w:t xml:space="preserve"> 1</w:t>
      </w:r>
      <w:r w:rsidRPr="0097239C">
        <w:rPr>
          <w:rFonts w:hint="cs"/>
          <w:b/>
          <w:bCs/>
          <w:rtl/>
        </w:rPr>
        <w:t>1:</w:t>
      </w:r>
      <w:r w:rsidRPr="0097239C">
        <w:rPr>
          <w:b/>
          <w:bCs/>
          <w:rtl/>
        </w:rPr>
        <w:t xml:space="preserve"> </w:t>
      </w:r>
      <w:r w:rsidRPr="0097239C">
        <w:rPr>
          <w:rFonts w:hint="eastAsia"/>
          <w:b/>
          <w:bCs/>
          <w:rtl/>
        </w:rPr>
        <w:t>סך</w:t>
      </w:r>
      <w:r w:rsidRPr="0097239C">
        <w:rPr>
          <w:b/>
          <w:bCs/>
          <w:rtl/>
        </w:rPr>
        <w:t xml:space="preserve"> </w:t>
      </w:r>
      <w:r w:rsidRPr="0097239C">
        <w:rPr>
          <w:rFonts w:hint="cs"/>
          <w:b/>
          <w:bCs/>
          <w:rtl/>
        </w:rPr>
        <w:t>ה</w:t>
      </w:r>
      <w:r w:rsidRPr="0097239C">
        <w:rPr>
          <w:rFonts w:hint="eastAsia"/>
          <w:b/>
          <w:bCs/>
          <w:rtl/>
        </w:rPr>
        <w:t>הספק</w:t>
      </w:r>
      <w:r w:rsidRPr="0097239C">
        <w:rPr>
          <w:b/>
          <w:bCs/>
          <w:rtl/>
        </w:rPr>
        <w:t xml:space="preserve"> </w:t>
      </w:r>
      <w:r w:rsidRPr="0097239C">
        <w:rPr>
          <w:rFonts w:hint="cs"/>
          <w:b/>
          <w:bCs/>
          <w:rtl/>
        </w:rPr>
        <w:t>ה</w:t>
      </w:r>
      <w:r w:rsidRPr="0097239C">
        <w:rPr>
          <w:rFonts w:hint="eastAsia"/>
          <w:b/>
          <w:bCs/>
          <w:rtl/>
        </w:rPr>
        <w:t>נדרש</w:t>
      </w:r>
      <w:r w:rsidRPr="0097239C">
        <w:rPr>
          <w:b/>
          <w:bCs/>
          <w:rtl/>
        </w:rPr>
        <w:t xml:space="preserve"> </w:t>
      </w:r>
      <w:r w:rsidRPr="0097239C">
        <w:rPr>
          <w:rFonts w:hint="eastAsia"/>
          <w:b/>
          <w:bCs/>
          <w:rtl/>
        </w:rPr>
        <w:t>לפי</w:t>
      </w:r>
      <w:r w:rsidRPr="0097239C">
        <w:rPr>
          <w:b/>
          <w:bCs/>
          <w:rtl/>
        </w:rPr>
        <w:t xml:space="preserve"> </w:t>
      </w:r>
      <w:r w:rsidRPr="0097239C">
        <w:rPr>
          <w:rFonts w:hint="eastAsia"/>
          <w:b/>
          <w:bCs/>
          <w:rtl/>
        </w:rPr>
        <w:t>תרחישי</w:t>
      </w:r>
      <w:r w:rsidRPr="0097239C">
        <w:rPr>
          <w:b/>
          <w:bCs/>
          <w:rtl/>
        </w:rPr>
        <w:t xml:space="preserve"> </w:t>
      </w:r>
      <w:r w:rsidRPr="0097239C">
        <w:rPr>
          <w:rFonts w:hint="eastAsia"/>
          <w:b/>
          <w:bCs/>
          <w:rtl/>
        </w:rPr>
        <w:t>ביקוש</w:t>
      </w:r>
      <w:r>
        <w:rPr>
          <w:b/>
          <w:bCs/>
          <w:vertAlign w:val="superscript"/>
          <w:rtl/>
        </w:rPr>
        <w:footnoteReference w:id="99"/>
      </w:r>
    </w:p>
    <w:tbl>
      <w:tblPr>
        <w:tblStyle w:val="11"/>
        <w:bidiVisual/>
        <w:tblW w:w="5000" w:type="pct"/>
        <w:jc w:val="center"/>
        <w:tblLook w:val="04A0"/>
      </w:tblPr>
      <w:tblGrid>
        <w:gridCol w:w="2691"/>
        <w:gridCol w:w="1874"/>
        <w:gridCol w:w="1874"/>
        <w:gridCol w:w="1772"/>
      </w:tblGrid>
      <w:tr w:rsidTr="003F2044">
        <w:tblPrEx>
          <w:tblW w:w="5000" w:type="pct"/>
          <w:jc w:val="center"/>
          <w:tblLook w:val="04A0"/>
        </w:tblPrEx>
        <w:trPr>
          <w:jc w:val="center"/>
        </w:trPr>
        <w:tc>
          <w:tcPr>
            <w:tcW w:w="1639" w:type="pct"/>
          </w:tcPr>
          <w:p w:rsidR="0097239C" w:rsidRPr="00C0386E" w:rsidP="00C0386E">
            <w:pPr>
              <w:spacing w:before="30" w:after="30" w:line="240" w:lineRule="exact"/>
              <w:jc w:val="center"/>
              <w:rPr>
                <w:b/>
                <w:bCs/>
                <w:sz w:val="22"/>
                <w:szCs w:val="22"/>
                <w:rtl/>
              </w:rPr>
            </w:pPr>
          </w:p>
        </w:tc>
        <w:tc>
          <w:tcPr>
            <w:tcW w:w="1141" w:type="pct"/>
          </w:tcPr>
          <w:p w:rsidR="0097239C" w:rsidRPr="00C0386E" w:rsidP="00C0386E">
            <w:pPr>
              <w:spacing w:before="30" w:after="30" w:line="240" w:lineRule="exact"/>
              <w:jc w:val="center"/>
              <w:rPr>
                <w:b/>
                <w:bCs/>
                <w:sz w:val="22"/>
                <w:szCs w:val="22"/>
                <w:rtl/>
              </w:rPr>
            </w:pPr>
            <w:r w:rsidRPr="00C0386E">
              <w:rPr>
                <w:rFonts w:hint="cs"/>
                <w:b/>
                <w:bCs/>
                <w:sz w:val="22"/>
                <w:szCs w:val="22"/>
                <w:rtl/>
              </w:rPr>
              <w:t>1.7%</w:t>
            </w:r>
          </w:p>
        </w:tc>
        <w:tc>
          <w:tcPr>
            <w:tcW w:w="1141" w:type="pct"/>
          </w:tcPr>
          <w:p w:rsidR="0097239C" w:rsidRPr="00C0386E" w:rsidP="00C0386E">
            <w:pPr>
              <w:spacing w:before="30" w:after="30" w:line="240" w:lineRule="exact"/>
              <w:jc w:val="center"/>
              <w:rPr>
                <w:b/>
                <w:bCs/>
                <w:sz w:val="22"/>
                <w:szCs w:val="22"/>
                <w:rtl/>
              </w:rPr>
            </w:pPr>
            <w:r w:rsidRPr="00C0386E">
              <w:rPr>
                <w:rFonts w:hint="cs"/>
                <w:b/>
                <w:bCs/>
                <w:sz w:val="22"/>
                <w:szCs w:val="22"/>
                <w:rtl/>
              </w:rPr>
              <w:t>2.7%</w:t>
            </w:r>
          </w:p>
        </w:tc>
        <w:tc>
          <w:tcPr>
            <w:tcW w:w="1079" w:type="pct"/>
          </w:tcPr>
          <w:p w:rsidR="0097239C" w:rsidRPr="00C0386E" w:rsidP="00C0386E">
            <w:pPr>
              <w:spacing w:before="30" w:after="30" w:line="240" w:lineRule="exact"/>
              <w:jc w:val="center"/>
              <w:rPr>
                <w:b/>
                <w:bCs/>
                <w:sz w:val="22"/>
                <w:szCs w:val="22"/>
                <w:rtl/>
              </w:rPr>
            </w:pPr>
            <w:r w:rsidRPr="00C0386E">
              <w:rPr>
                <w:rFonts w:hint="cs"/>
                <w:b/>
                <w:bCs/>
                <w:sz w:val="22"/>
                <w:szCs w:val="22"/>
                <w:rtl/>
              </w:rPr>
              <w:t>3.7%</w:t>
            </w:r>
          </w:p>
        </w:tc>
      </w:tr>
      <w:tr w:rsidTr="003F2044">
        <w:tblPrEx>
          <w:tblW w:w="5000" w:type="pct"/>
          <w:jc w:val="center"/>
          <w:tblLook w:val="04A0"/>
        </w:tblPrEx>
        <w:trPr>
          <w:jc w:val="center"/>
        </w:trPr>
        <w:tc>
          <w:tcPr>
            <w:tcW w:w="1639" w:type="pct"/>
          </w:tcPr>
          <w:p w:rsidR="0097239C" w:rsidRPr="00C0386E" w:rsidP="00C0386E">
            <w:pPr>
              <w:spacing w:before="30" w:after="30" w:line="220" w:lineRule="exact"/>
              <w:jc w:val="left"/>
              <w:rPr>
                <w:sz w:val="22"/>
                <w:szCs w:val="22"/>
                <w:rtl/>
              </w:rPr>
            </w:pPr>
            <w:r w:rsidRPr="00C0386E">
              <w:rPr>
                <w:rFonts w:hint="cs"/>
                <w:sz w:val="22"/>
                <w:szCs w:val="22"/>
                <w:rtl/>
              </w:rPr>
              <w:t>הספק נדרש (ב-</w:t>
            </w:r>
            <w:r w:rsidRPr="00C0386E">
              <w:rPr>
                <w:rFonts w:hint="cs"/>
                <w:sz w:val="22"/>
                <w:szCs w:val="22"/>
              </w:rPr>
              <w:t>MW</w:t>
            </w:r>
            <w:r w:rsidRPr="00C0386E">
              <w:rPr>
                <w:sz w:val="22"/>
                <w:szCs w:val="22"/>
              </w:rPr>
              <w:t>h</w:t>
            </w:r>
            <w:r w:rsidRPr="00C0386E">
              <w:rPr>
                <w:rFonts w:hint="cs"/>
                <w:sz w:val="22"/>
                <w:szCs w:val="22"/>
                <w:rtl/>
              </w:rPr>
              <w:t>)</w:t>
            </w:r>
          </w:p>
        </w:tc>
        <w:tc>
          <w:tcPr>
            <w:tcW w:w="1141" w:type="pct"/>
          </w:tcPr>
          <w:p w:rsidR="0097239C" w:rsidRPr="00C0386E" w:rsidP="00C0386E">
            <w:pPr>
              <w:spacing w:before="30" w:after="30" w:line="220" w:lineRule="exact"/>
              <w:jc w:val="left"/>
              <w:rPr>
                <w:sz w:val="22"/>
                <w:szCs w:val="22"/>
                <w:rtl/>
              </w:rPr>
            </w:pPr>
            <w:r w:rsidRPr="00C0386E">
              <w:rPr>
                <w:rFonts w:hint="cs"/>
                <w:sz w:val="22"/>
                <w:szCs w:val="22"/>
                <w:rtl/>
              </w:rPr>
              <w:t>20,400</w:t>
            </w:r>
          </w:p>
        </w:tc>
        <w:tc>
          <w:tcPr>
            <w:tcW w:w="1141" w:type="pct"/>
          </w:tcPr>
          <w:p w:rsidR="0097239C" w:rsidRPr="00C0386E" w:rsidP="00C0386E">
            <w:pPr>
              <w:spacing w:before="30" w:after="30" w:line="220" w:lineRule="exact"/>
              <w:jc w:val="left"/>
              <w:rPr>
                <w:sz w:val="22"/>
                <w:szCs w:val="22"/>
                <w:rtl/>
              </w:rPr>
            </w:pPr>
            <w:r w:rsidRPr="00C0386E">
              <w:rPr>
                <w:rFonts w:hint="cs"/>
                <w:sz w:val="22"/>
                <w:szCs w:val="22"/>
                <w:rtl/>
              </w:rPr>
              <w:t>23,400</w:t>
            </w:r>
          </w:p>
        </w:tc>
        <w:tc>
          <w:tcPr>
            <w:tcW w:w="1079" w:type="pct"/>
          </w:tcPr>
          <w:p w:rsidR="0097239C" w:rsidRPr="00C0386E" w:rsidP="00C0386E">
            <w:pPr>
              <w:spacing w:before="30" w:after="30" w:line="220" w:lineRule="exact"/>
              <w:jc w:val="left"/>
              <w:rPr>
                <w:sz w:val="22"/>
                <w:szCs w:val="22"/>
                <w:rtl/>
              </w:rPr>
            </w:pPr>
            <w:r w:rsidRPr="00C0386E">
              <w:rPr>
                <w:rFonts w:hint="cs"/>
                <w:sz w:val="22"/>
                <w:szCs w:val="22"/>
                <w:rtl/>
              </w:rPr>
              <w:t>26,900</w:t>
            </w:r>
          </w:p>
        </w:tc>
      </w:tr>
      <w:tr w:rsidTr="003F2044">
        <w:tblPrEx>
          <w:tblW w:w="5000" w:type="pct"/>
          <w:jc w:val="center"/>
          <w:tblLook w:val="04A0"/>
        </w:tblPrEx>
        <w:trPr>
          <w:jc w:val="center"/>
        </w:trPr>
        <w:tc>
          <w:tcPr>
            <w:tcW w:w="1639" w:type="pct"/>
          </w:tcPr>
          <w:p w:rsidR="0097239C" w:rsidRPr="00C0386E" w:rsidP="00C0386E">
            <w:pPr>
              <w:spacing w:before="30" w:after="30" w:line="220" w:lineRule="exact"/>
              <w:jc w:val="left"/>
              <w:rPr>
                <w:sz w:val="22"/>
                <w:szCs w:val="22"/>
                <w:rtl/>
              </w:rPr>
            </w:pPr>
            <w:r w:rsidRPr="00C0386E">
              <w:rPr>
                <w:rFonts w:hint="cs"/>
                <w:sz w:val="22"/>
                <w:szCs w:val="22"/>
                <w:rtl/>
              </w:rPr>
              <w:t>ההפרש לעומת תרחיש התייעלות אנרגטית (ב-</w:t>
            </w:r>
            <w:r w:rsidRPr="00C0386E">
              <w:rPr>
                <w:rFonts w:hint="cs"/>
                <w:sz w:val="22"/>
                <w:szCs w:val="22"/>
              </w:rPr>
              <w:t>MW</w:t>
            </w:r>
            <w:r w:rsidRPr="00C0386E">
              <w:rPr>
                <w:sz w:val="22"/>
                <w:szCs w:val="22"/>
              </w:rPr>
              <w:t>h</w:t>
            </w:r>
            <w:r w:rsidRPr="00C0386E">
              <w:rPr>
                <w:rFonts w:hint="cs"/>
                <w:sz w:val="22"/>
                <w:szCs w:val="22"/>
                <w:rtl/>
              </w:rPr>
              <w:t>)</w:t>
            </w:r>
          </w:p>
        </w:tc>
        <w:tc>
          <w:tcPr>
            <w:tcW w:w="1141" w:type="pct"/>
          </w:tcPr>
          <w:p w:rsidR="0097239C" w:rsidRPr="00C0386E" w:rsidP="00C0386E">
            <w:pPr>
              <w:spacing w:before="30" w:after="30" w:line="220" w:lineRule="exact"/>
              <w:jc w:val="left"/>
              <w:rPr>
                <w:sz w:val="22"/>
                <w:szCs w:val="22"/>
                <w:rtl/>
              </w:rPr>
            </w:pPr>
          </w:p>
        </w:tc>
        <w:tc>
          <w:tcPr>
            <w:tcW w:w="1141" w:type="pct"/>
          </w:tcPr>
          <w:p w:rsidR="0097239C" w:rsidRPr="00C0386E" w:rsidP="00C0386E">
            <w:pPr>
              <w:spacing w:before="30" w:after="30" w:line="220" w:lineRule="exact"/>
              <w:jc w:val="left"/>
              <w:rPr>
                <w:sz w:val="22"/>
                <w:szCs w:val="22"/>
                <w:rtl/>
              </w:rPr>
            </w:pPr>
            <w:r w:rsidRPr="00C0386E">
              <w:rPr>
                <w:rFonts w:hint="cs"/>
                <w:sz w:val="22"/>
                <w:szCs w:val="22"/>
                <w:rtl/>
              </w:rPr>
              <w:t>3,000</w:t>
            </w:r>
          </w:p>
        </w:tc>
        <w:tc>
          <w:tcPr>
            <w:tcW w:w="1079" w:type="pct"/>
          </w:tcPr>
          <w:p w:rsidR="0097239C" w:rsidRPr="00C0386E" w:rsidP="00C0386E">
            <w:pPr>
              <w:spacing w:before="30" w:after="30" w:line="220" w:lineRule="exact"/>
              <w:jc w:val="left"/>
              <w:rPr>
                <w:sz w:val="22"/>
                <w:szCs w:val="22"/>
                <w:rtl/>
              </w:rPr>
            </w:pPr>
            <w:r w:rsidRPr="00C0386E">
              <w:rPr>
                <w:rFonts w:hint="cs"/>
                <w:sz w:val="22"/>
                <w:szCs w:val="22"/>
                <w:rtl/>
              </w:rPr>
              <w:t>6,500</w:t>
            </w:r>
          </w:p>
        </w:tc>
      </w:tr>
      <w:tr w:rsidTr="003F2044">
        <w:tblPrEx>
          <w:tblW w:w="5000" w:type="pct"/>
          <w:jc w:val="center"/>
          <w:tblLook w:val="04A0"/>
        </w:tblPrEx>
        <w:trPr>
          <w:jc w:val="center"/>
        </w:trPr>
        <w:tc>
          <w:tcPr>
            <w:tcW w:w="1639" w:type="pct"/>
          </w:tcPr>
          <w:p w:rsidR="0097239C" w:rsidRPr="00C0386E" w:rsidP="00C0386E">
            <w:pPr>
              <w:spacing w:before="30" w:after="30" w:line="220" w:lineRule="exact"/>
              <w:jc w:val="left"/>
              <w:rPr>
                <w:sz w:val="22"/>
                <w:szCs w:val="22"/>
                <w:rtl/>
              </w:rPr>
            </w:pPr>
            <w:r w:rsidRPr="00C0386E">
              <w:rPr>
                <w:rFonts w:hint="cs"/>
                <w:sz w:val="22"/>
                <w:szCs w:val="22"/>
                <w:rtl/>
              </w:rPr>
              <w:t>עלות הפער (במיליארדי ש"ח)*</w:t>
            </w:r>
          </w:p>
        </w:tc>
        <w:tc>
          <w:tcPr>
            <w:tcW w:w="1141" w:type="pct"/>
          </w:tcPr>
          <w:p w:rsidR="0097239C" w:rsidRPr="00C0386E" w:rsidP="00C0386E">
            <w:pPr>
              <w:spacing w:before="30" w:after="30" w:line="220" w:lineRule="exact"/>
              <w:jc w:val="left"/>
              <w:rPr>
                <w:sz w:val="22"/>
                <w:szCs w:val="22"/>
                <w:rtl/>
              </w:rPr>
            </w:pPr>
          </w:p>
        </w:tc>
        <w:tc>
          <w:tcPr>
            <w:tcW w:w="1141" w:type="pct"/>
          </w:tcPr>
          <w:p w:rsidR="0097239C" w:rsidRPr="00C0386E" w:rsidP="00C0386E">
            <w:pPr>
              <w:spacing w:before="30" w:after="30" w:line="220" w:lineRule="exact"/>
              <w:jc w:val="left"/>
              <w:rPr>
                <w:sz w:val="22"/>
                <w:szCs w:val="22"/>
                <w:rtl/>
              </w:rPr>
            </w:pPr>
            <w:r w:rsidRPr="00C0386E">
              <w:rPr>
                <w:rFonts w:hint="cs"/>
                <w:sz w:val="22"/>
                <w:szCs w:val="22"/>
                <w:rtl/>
              </w:rPr>
              <w:t>7.9</w:t>
            </w:r>
          </w:p>
        </w:tc>
        <w:tc>
          <w:tcPr>
            <w:tcW w:w="1079" w:type="pct"/>
          </w:tcPr>
          <w:p w:rsidR="0097239C" w:rsidRPr="00C0386E" w:rsidP="00C0386E">
            <w:pPr>
              <w:spacing w:before="30" w:after="30" w:line="220" w:lineRule="exact"/>
              <w:jc w:val="left"/>
              <w:rPr>
                <w:sz w:val="22"/>
                <w:szCs w:val="22"/>
                <w:rtl/>
              </w:rPr>
            </w:pPr>
            <w:r w:rsidRPr="00C0386E">
              <w:rPr>
                <w:rFonts w:hint="cs"/>
                <w:sz w:val="22"/>
                <w:szCs w:val="22"/>
                <w:rtl/>
              </w:rPr>
              <w:t>17</w:t>
            </w:r>
          </w:p>
        </w:tc>
      </w:tr>
    </w:tbl>
    <w:p w:rsidR="0097239C" w:rsidRPr="00810E1E" w:rsidP="00C0386E">
      <w:pPr>
        <w:spacing w:before="120" w:after="120" w:line="269" w:lineRule="auto"/>
        <w:rPr>
          <w:sz w:val="22"/>
          <w:szCs w:val="22"/>
          <w:rtl/>
        </w:rPr>
      </w:pPr>
      <w:r w:rsidRPr="00810E1E">
        <w:rPr>
          <w:rFonts w:hint="cs"/>
          <w:sz w:val="22"/>
          <w:szCs w:val="22"/>
          <w:rtl/>
        </w:rPr>
        <w:t>על פי מסמכי רשות החשמל מיוני 2018, בעיבוד משרד מבקר המדינה.</w:t>
      </w:r>
    </w:p>
    <w:p w:rsidR="0097239C" w:rsidRPr="00810E1E" w:rsidP="00C603CF">
      <w:pPr>
        <w:spacing w:line="269" w:lineRule="auto"/>
        <w:rPr>
          <w:sz w:val="22"/>
          <w:szCs w:val="22"/>
          <w:rtl/>
        </w:rPr>
      </w:pPr>
      <w:r w:rsidRPr="00810E1E">
        <w:rPr>
          <w:rFonts w:hint="cs"/>
          <w:sz w:val="22"/>
          <w:szCs w:val="22"/>
          <w:rtl/>
        </w:rPr>
        <w:t xml:space="preserve">* חושב בהתבסס על החלטת רשות החשמל מס' 2, "הסדרה </w:t>
      </w:r>
      <w:r w:rsidRPr="00810E1E">
        <w:rPr>
          <w:rFonts w:hint="cs"/>
          <w:sz w:val="22"/>
          <w:szCs w:val="22"/>
          <w:rtl/>
        </w:rPr>
        <w:t>תעריפית</w:t>
      </w:r>
      <w:r w:rsidRPr="00810E1E">
        <w:rPr>
          <w:rFonts w:hint="cs"/>
          <w:sz w:val="22"/>
          <w:szCs w:val="22"/>
          <w:rtl/>
        </w:rPr>
        <w:t xml:space="preserve"> ליצרן חשמל פרטי קונבנציונלי (להלן - יצרן) במסגרת רשת ביטחון מלאה (יכולת זמינה קבועה) או רשת ביטחון חלקית (יכולת זמינה משתנה)", ולפיה העלות לקילוואט (להלן - </w:t>
      </w:r>
      <w:r w:rsidRPr="00810E1E">
        <w:rPr>
          <w:rFonts w:hint="cs"/>
          <w:sz w:val="22"/>
          <w:szCs w:val="22"/>
          <w:rtl/>
        </w:rPr>
        <w:t>קוו"ט</w:t>
      </w:r>
      <w:r w:rsidRPr="00810E1E">
        <w:rPr>
          <w:rFonts w:hint="cs"/>
          <w:sz w:val="22"/>
          <w:szCs w:val="22"/>
          <w:rtl/>
        </w:rPr>
        <w:t>) מותקן במחזור פתוח היא בסך 2</w:t>
      </w:r>
      <w:r w:rsidRPr="00810E1E" w:rsidR="00735BA1">
        <w:rPr>
          <w:rFonts w:hint="cs"/>
          <w:sz w:val="22"/>
          <w:szCs w:val="22"/>
          <w:rtl/>
        </w:rPr>
        <w:t>,632 ש"ח, לא כולל עלויות תפעול.</w:t>
      </w:r>
    </w:p>
    <w:p w:rsidR="004321D8" w:rsidP="005B263A">
      <w:pPr>
        <w:spacing w:line="269" w:lineRule="auto"/>
        <w:rPr>
          <w:b/>
          <w:bCs/>
          <w:rtl/>
        </w:rPr>
      </w:pPr>
    </w:p>
    <w:p w:rsidR="0097239C" w:rsidP="005B263A">
      <w:pPr>
        <w:spacing w:line="269" w:lineRule="auto"/>
        <w:rPr>
          <w:b/>
          <w:bCs/>
          <w:rtl/>
        </w:rPr>
      </w:pPr>
      <w:r w:rsidRPr="0097239C">
        <w:rPr>
          <w:rFonts w:hint="cs"/>
          <w:b/>
          <w:bCs/>
          <w:rtl/>
        </w:rPr>
        <w:t xml:space="preserve">כפי שעולה מתרשים </w:t>
      </w:r>
      <w:r w:rsidR="005B263A">
        <w:rPr>
          <w:rFonts w:hint="cs"/>
          <w:b/>
          <w:bCs/>
          <w:rtl/>
        </w:rPr>
        <w:t>17</w:t>
      </w:r>
      <w:r w:rsidRPr="0097239C" w:rsidR="005B263A">
        <w:rPr>
          <w:rFonts w:hint="cs"/>
          <w:b/>
          <w:bCs/>
          <w:rtl/>
        </w:rPr>
        <w:t xml:space="preserve"> </w:t>
      </w:r>
      <w:r w:rsidRPr="0097239C">
        <w:rPr>
          <w:rFonts w:hint="cs"/>
          <w:b/>
          <w:bCs/>
          <w:rtl/>
        </w:rPr>
        <w:t xml:space="preserve">ומלוחות 10 ו-11, בין התחזיות שגיבשו הגופים השונים יש פער המגיע עד כדי 6,500 </w:t>
      </w:r>
      <w:r w:rsidRPr="0097239C">
        <w:rPr>
          <w:rFonts w:hint="cs"/>
          <w:b/>
          <w:bCs/>
          <w:rtl/>
        </w:rPr>
        <w:t>מגהוואט</w:t>
      </w:r>
      <w:r w:rsidRPr="0097239C">
        <w:rPr>
          <w:rFonts w:hint="cs"/>
          <w:b/>
          <w:bCs/>
          <w:rtl/>
        </w:rPr>
        <w:t>-שעה בשנת 2030. עלותו של פער זה מגיעה עד 17 מיליארד ש"ח להקמת יחידות ייצור</w:t>
      </w:r>
      <w:r>
        <w:rPr>
          <w:b/>
          <w:bCs/>
          <w:vertAlign w:val="superscript"/>
          <w:rtl/>
        </w:rPr>
        <w:footnoteReference w:id="100"/>
      </w:r>
      <w:r w:rsidRPr="0097239C">
        <w:rPr>
          <w:rFonts w:hint="cs"/>
          <w:b/>
          <w:bCs/>
          <w:rtl/>
        </w:rPr>
        <w:t xml:space="preserve"> בתרחיש הקיצוני.</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יש לציין כי הקמת תחנות אלו נדרשת בכל מצב בשל הגידול בביקוש לחשמל, הנובע מהגורמים שנמנו לעיל. עם זאת, מועד הקמת התחנות משתנה בהתאם לקצב הגידול בביקוש. ככל שקצב הגידול מתון יותר, תידחה הקמת התחנות. החיסכון מדחיית ההשקעות מסתכם בכ-2.6 - 8.5</w:t>
      </w:r>
      <w:r>
        <w:rPr>
          <w:vertAlign w:val="superscript"/>
          <w:rtl/>
        </w:rPr>
        <w:footnoteReference w:id="101"/>
      </w:r>
      <w:r w:rsidRPr="0097239C">
        <w:rPr>
          <w:rFonts w:hint="cs"/>
          <w:rtl/>
        </w:rPr>
        <w:t xml:space="preserve"> מיליארד ש"ח, בהתאם לקצב הגידול בביקוש.</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רשות החשמל המליצה במסמך השימוע לתכנן את משק החשמל לפי תרחיש של 2.7% גידול בביקוש לחשמל (להלן - תרחיש ביקוש מרכזי), ולהגדיר נקודות בוחן לבחינה מחדש של תחזיות הביקוש בשנים הבאות.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שורר חוסר ודאות רב בעניין הגידול בביקוש לחשמל בשנת 2030, והדבר בא לידי ביטוי בהבדל בין האומדנים של היצרנים הפרטיים, של </w:t>
      </w:r>
      <w:r w:rsidRPr="0097239C">
        <w:rPr>
          <w:rFonts w:hint="cs"/>
          <w:b/>
          <w:bCs/>
          <w:rtl/>
        </w:rPr>
        <w:t>חח"י</w:t>
      </w:r>
      <w:r w:rsidRPr="0097239C">
        <w:rPr>
          <w:rFonts w:hint="cs"/>
          <w:b/>
          <w:bCs/>
          <w:rtl/>
        </w:rPr>
        <w:t xml:space="preserve"> ושל בנק ישראל ורשות החשמל. ואולם, על פי כל התחזיות לא צפויה עמידה ביעדי ההתייעלות האנרגטית שנקבעו. על כן יש לקבוע נקודות ציון לאורך התקופה שבהן ייבחן הצורך בעדכון התחזיות עבור השנים הנותרות, ובהתאם לכך יעודכנו היעדים שהממשלה קבעה לעצמה. נוכח אי-ודאות זו, על משרד </w:t>
      </w:r>
      <w:r w:rsidRPr="0097239C">
        <w:rPr>
          <w:rFonts w:hint="cs"/>
          <w:b/>
          <w:bCs/>
          <w:rtl/>
        </w:rPr>
        <w:t>האנרגייה</w:t>
      </w:r>
      <w:r w:rsidRPr="0097239C">
        <w:rPr>
          <w:rFonts w:hint="cs"/>
          <w:b/>
          <w:bCs/>
          <w:rtl/>
        </w:rPr>
        <w:t xml:space="preserve"> לשקול לבצע סקר תקופתי למעקב אחר העצימות האנרגטית במגזרים השונים במשק. המידע שיתקבל יסייע לקבל החלטות בנוגע להשקעות הנדרשות להשגת ההתייעלות המרבית כל אימת שהדבר נדרש. </w:t>
      </w:r>
    </w:p>
    <w:p w:rsidR="0097239C" w:rsidRPr="0097239C" w:rsidP="00C603CF">
      <w:pPr>
        <w:pStyle w:val="a"/>
        <w:spacing w:line="269" w:lineRule="auto"/>
        <w:rPr>
          <w:rtl/>
        </w:rPr>
      </w:pPr>
    </w:p>
    <w:p w:rsidR="0097239C" w:rsidRPr="0097239C" w:rsidP="00C603CF">
      <w:pPr>
        <w:spacing w:line="269" w:lineRule="auto"/>
        <w:rPr>
          <w:b/>
          <w:rtl/>
        </w:rPr>
      </w:pPr>
      <w:r w:rsidRPr="0097239C">
        <w:rPr>
          <w:rFonts w:hint="cs"/>
          <w:b/>
          <w:rtl/>
        </w:rPr>
        <w:t xml:space="preserve">כאמור, בהחלטת הממשלה מספטמבר 2015 לצורך השגת היעד הלאומי להפחתת פליטות </w:t>
      </w:r>
      <w:r w:rsidRPr="0097239C">
        <w:rPr>
          <w:rFonts w:hint="cs"/>
          <w:b/>
          <w:rtl/>
        </w:rPr>
        <w:t>גז</w:t>
      </w:r>
      <w:r w:rsidRPr="0097239C">
        <w:rPr>
          <w:b/>
          <w:rtl/>
        </w:rPr>
        <w:t>"</w:t>
      </w:r>
      <w:r w:rsidRPr="0097239C">
        <w:rPr>
          <w:rFonts w:hint="cs"/>
          <w:b/>
          <w:rtl/>
        </w:rPr>
        <w:t>ח</w:t>
      </w:r>
      <w:r w:rsidRPr="0097239C">
        <w:rPr>
          <w:rFonts w:hint="cs"/>
          <w:b/>
          <w:rtl/>
        </w:rPr>
        <w:t xml:space="preserve"> נקבעו יעדים להפחתה ולייעול של צריכת החשמל בשיעור של 17% לפחות. כן נקבע שיש להגדיל ב-17% לפחות את שיעור הייצור של חשמל </w:t>
      </w:r>
      <w:r w:rsidRPr="0097239C">
        <w:rPr>
          <w:rFonts w:hint="cs"/>
          <w:b/>
          <w:rtl/>
        </w:rPr>
        <w:t>מאנרגייה</w:t>
      </w:r>
      <w:r w:rsidRPr="0097239C">
        <w:rPr>
          <w:rFonts w:hint="cs"/>
          <w:b/>
          <w:rtl/>
        </w:rPr>
        <w:t xml:space="preserve"> מתחדשת ולצמצם את הנסועה הפרטית בשיעור של 20% יחסית לנסועה הצפויה לפי תרחיש "עסקים כרגיל" באמצעות הסטתה לתחבורה </w:t>
      </w:r>
      <w:r w:rsidRPr="0097239C">
        <w:rPr>
          <w:rFonts w:hint="cs"/>
          <w:b/>
          <w:rtl/>
        </w:rPr>
        <w:t>הציבורית.</w:t>
      </w:r>
      <w:r w:rsidRPr="0097239C">
        <w:rPr>
          <w:rFonts w:hint="cs"/>
          <w:b/>
          <w:bCs/>
          <w:rtl/>
        </w:rPr>
        <w:t xml:space="preserve"> </w:t>
      </w:r>
      <w:r w:rsidRPr="0097239C">
        <w:rPr>
          <w:rFonts w:hint="cs"/>
          <w:rtl/>
        </w:rPr>
        <w:t xml:space="preserve">יצוין כי שר </w:t>
      </w:r>
      <w:r w:rsidRPr="0097239C">
        <w:rPr>
          <w:rFonts w:hint="cs"/>
          <w:rtl/>
        </w:rPr>
        <w:t>האנרגייה</w:t>
      </w:r>
      <w:r w:rsidRPr="0097239C">
        <w:rPr>
          <w:rFonts w:hint="cs"/>
          <w:rtl/>
        </w:rPr>
        <w:t xml:space="preserve"> הצהיר בוועידת האקלים במדריד בדצמבר 2019, </w:t>
      </w:r>
      <w:r w:rsidRPr="0097239C">
        <w:rPr>
          <w:rFonts w:hint="cs"/>
          <w:b/>
          <w:rtl/>
        </w:rPr>
        <w:t>כי החליט</w:t>
      </w:r>
      <w:r w:rsidRPr="0097239C">
        <w:rPr>
          <w:b/>
          <w:rtl/>
        </w:rPr>
        <w:t xml:space="preserve"> לבחון את הגדלת היכולות לייצור חשמל מאנרגיות מתחדשות מ-17% </w:t>
      </w:r>
      <w:r w:rsidR="00C603CF">
        <w:rPr>
          <w:b/>
          <w:rtl/>
        </w:rPr>
        <w:t>ל-</w:t>
      </w:r>
      <w:r w:rsidRPr="0097239C">
        <w:rPr>
          <w:rFonts w:hint="cs"/>
          <w:b/>
          <w:rtl/>
        </w:rPr>
        <w:t>25% - 30</w:t>
      </w:r>
      <w:r w:rsidRPr="0097239C">
        <w:rPr>
          <w:b/>
          <w:rtl/>
        </w:rPr>
        <w:t>% עד שנת 2030</w:t>
      </w:r>
      <w:r w:rsidRPr="0097239C">
        <w:rPr>
          <w:rFonts w:hint="cs"/>
          <w:b/>
          <w:rtl/>
        </w:rPr>
        <w:t>.</w:t>
      </w:r>
    </w:p>
    <w:p w:rsidR="0097239C" w:rsidRPr="0097239C" w:rsidP="00C603CF">
      <w:pPr>
        <w:pStyle w:val="a"/>
        <w:spacing w:line="269" w:lineRule="auto"/>
      </w:pPr>
    </w:p>
    <w:p w:rsidR="0097239C" w:rsidP="00C603CF">
      <w:pPr>
        <w:spacing w:line="269" w:lineRule="auto"/>
        <w:rPr>
          <w:rtl/>
        </w:rPr>
      </w:pPr>
      <w:r w:rsidRPr="0097239C">
        <w:rPr>
          <w:rFonts w:hint="cs"/>
          <w:rtl/>
        </w:rPr>
        <w:t>היעד של ייצור חשמל מאנרגיות מתחדשות נקבע לפי שיעורו מכלל ייצור החשמל, ולכן הוא מושפע במישרין מהיקף ההתייעלות האנרגטית.</w:t>
      </w:r>
      <w:r w:rsidRPr="0097239C">
        <w:rPr>
          <w:rFonts w:hint="cs"/>
          <w:b/>
          <w:bCs/>
          <w:rtl/>
        </w:rPr>
        <w:t xml:space="preserve"> </w:t>
      </w:r>
      <w:r w:rsidRPr="0097239C">
        <w:rPr>
          <w:rFonts w:hint="cs"/>
          <w:rtl/>
        </w:rPr>
        <w:t>לכן אי-עמידה ביעד ההתייעלות האנרגטית כרוך בהגדלה ניכרת בהיקף ייצור החשמל מאנרגיות מתחדשות</w:t>
      </w:r>
      <w:r>
        <w:rPr>
          <w:vertAlign w:val="superscript"/>
          <w:rtl/>
        </w:rPr>
        <w:footnoteReference w:id="102"/>
      </w:r>
      <w:r w:rsidRPr="0097239C">
        <w:rPr>
          <w:rFonts w:hint="cs"/>
          <w:rtl/>
        </w:rPr>
        <w:t>. להלן יוצגו נתונים על היקף ייצור החשמל הנדרש מאנרגיות מתחדשות, בהתאם לתרחישי הביקוש.</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לוח</w:t>
      </w:r>
      <w:r w:rsidRPr="0097239C">
        <w:rPr>
          <w:b/>
          <w:bCs/>
          <w:rtl/>
        </w:rPr>
        <w:t xml:space="preserve"> 1</w:t>
      </w:r>
      <w:r w:rsidRPr="0097239C">
        <w:rPr>
          <w:rFonts w:hint="cs"/>
          <w:b/>
          <w:bCs/>
          <w:rtl/>
        </w:rPr>
        <w:t>2:</w:t>
      </w:r>
      <w:r w:rsidRPr="0097239C">
        <w:rPr>
          <w:b/>
          <w:bCs/>
          <w:rtl/>
        </w:rPr>
        <w:t xml:space="preserve"> </w:t>
      </w:r>
      <w:r w:rsidRPr="0097239C">
        <w:rPr>
          <w:rFonts w:hint="cs"/>
          <w:b/>
          <w:bCs/>
          <w:rtl/>
        </w:rPr>
        <w:t>ה</w:t>
      </w:r>
      <w:r w:rsidRPr="0097239C">
        <w:rPr>
          <w:rFonts w:hint="eastAsia"/>
          <w:b/>
          <w:bCs/>
          <w:rtl/>
        </w:rPr>
        <w:t>הספק</w:t>
      </w:r>
      <w:r w:rsidRPr="0097239C">
        <w:rPr>
          <w:b/>
          <w:bCs/>
          <w:rtl/>
        </w:rPr>
        <w:t xml:space="preserve"> </w:t>
      </w:r>
      <w:r w:rsidRPr="0097239C">
        <w:rPr>
          <w:rFonts w:hint="cs"/>
          <w:b/>
          <w:bCs/>
          <w:rtl/>
        </w:rPr>
        <w:t>ה</w:t>
      </w:r>
      <w:r w:rsidRPr="0097239C">
        <w:rPr>
          <w:rFonts w:hint="eastAsia"/>
          <w:b/>
          <w:bCs/>
          <w:rtl/>
        </w:rPr>
        <w:t>נדרש</w:t>
      </w:r>
      <w:r w:rsidRPr="0097239C">
        <w:rPr>
          <w:b/>
          <w:bCs/>
          <w:rtl/>
        </w:rPr>
        <w:t xml:space="preserve"> </w:t>
      </w:r>
      <w:r w:rsidRPr="0097239C">
        <w:rPr>
          <w:rFonts w:hint="eastAsia"/>
          <w:b/>
          <w:bCs/>
          <w:rtl/>
        </w:rPr>
        <w:t>מייצור</w:t>
      </w:r>
      <w:r w:rsidRPr="0097239C">
        <w:rPr>
          <w:b/>
          <w:bCs/>
          <w:rtl/>
        </w:rPr>
        <w:t xml:space="preserve"> </w:t>
      </w:r>
      <w:r w:rsidRPr="0097239C">
        <w:rPr>
          <w:rFonts w:hint="eastAsia"/>
          <w:b/>
          <w:bCs/>
          <w:rtl/>
        </w:rPr>
        <w:t>חשמל</w:t>
      </w:r>
      <w:r w:rsidRPr="0097239C">
        <w:rPr>
          <w:b/>
          <w:bCs/>
          <w:rtl/>
        </w:rPr>
        <w:t xml:space="preserve"> </w:t>
      </w:r>
      <w:r w:rsidRPr="0097239C">
        <w:rPr>
          <w:rFonts w:hint="eastAsia"/>
          <w:b/>
          <w:bCs/>
          <w:rtl/>
        </w:rPr>
        <w:t>באמצעות</w:t>
      </w:r>
      <w:r w:rsidRPr="0097239C">
        <w:rPr>
          <w:b/>
          <w:bCs/>
          <w:rtl/>
        </w:rPr>
        <w:t xml:space="preserve"> </w:t>
      </w:r>
      <w:r w:rsidRPr="0097239C">
        <w:rPr>
          <w:rFonts w:hint="eastAsia"/>
          <w:b/>
          <w:bCs/>
          <w:rtl/>
        </w:rPr>
        <w:t>אנרגיות</w:t>
      </w:r>
      <w:r w:rsidRPr="0097239C">
        <w:rPr>
          <w:b/>
          <w:bCs/>
          <w:rtl/>
        </w:rPr>
        <w:t xml:space="preserve"> </w:t>
      </w:r>
      <w:r w:rsidRPr="0097239C">
        <w:rPr>
          <w:rFonts w:hint="eastAsia"/>
          <w:b/>
          <w:bCs/>
          <w:rtl/>
        </w:rPr>
        <w:t>מתחדשות</w:t>
      </w:r>
      <w:r w:rsidRPr="0097239C">
        <w:rPr>
          <w:b/>
          <w:bCs/>
          <w:rtl/>
        </w:rPr>
        <w:t xml:space="preserve"> </w:t>
      </w:r>
      <w:r w:rsidRPr="0097239C">
        <w:rPr>
          <w:rFonts w:hint="eastAsia"/>
          <w:b/>
          <w:bCs/>
          <w:rtl/>
        </w:rPr>
        <w:t>לפי</w:t>
      </w:r>
      <w:r w:rsidRPr="0097239C">
        <w:rPr>
          <w:b/>
          <w:bCs/>
          <w:rtl/>
        </w:rPr>
        <w:t xml:space="preserve"> </w:t>
      </w:r>
      <w:r w:rsidRPr="0097239C">
        <w:rPr>
          <w:rFonts w:hint="eastAsia"/>
          <w:b/>
          <w:bCs/>
          <w:rtl/>
        </w:rPr>
        <w:t>תרחישי</w:t>
      </w:r>
      <w:r w:rsidRPr="0097239C">
        <w:rPr>
          <w:b/>
          <w:bCs/>
          <w:rtl/>
        </w:rPr>
        <w:t xml:space="preserve"> </w:t>
      </w:r>
      <w:r w:rsidRPr="0097239C">
        <w:rPr>
          <w:rFonts w:hint="cs"/>
          <w:b/>
          <w:bCs/>
          <w:rtl/>
        </w:rPr>
        <w:t>גידול ב</w:t>
      </w:r>
      <w:r w:rsidRPr="0097239C">
        <w:rPr>
          <w:rFonts w:hint="eastAsia"/>
          <w:b/>
          <w:bCs/>
          <w:rtl/>
        </w:rPr>
        <w:t>ביקוש</w:t>
      </w:r>
      <w:r w:rsidRPr="0097239C">
        <w:rPr>
          <w:rFonts w:hint="cs"/>
          <w:b/>
          <w:bCs/>
          <w:rtl/>
        </w:rPr>
        <w:t xml:space="preserve"> לחשמל (1.7%, 2.7%, 3.7%)</w:t>
      </w:r>
    </w:p>
    <w:p w:rsidR="0097239C" w:rsidRPr="0097239C" w:rsidP="00C603CF">
      <w:pPr>
        <w:spacing w:line="269" w:lineRule="auto"/>
        <w:rPr>
          <w:b/>
          <w:bCs/>
          <w:rtl/>
        </w:rPr>
      </w:pPr>
    </w:p>
    <w:tbl>
      <w:tblPr>
        <w:tblStyle w:val="11"/>
        <w:bidiVisual/>
        <w:tblW w:w="4889" w:type="pct"/>
        <w:jc w:val="center"/>
        <w:tblLook w:val="04A0"/>
      </w:tblPr>
      <w:tblGrid>
        <w:gridCol w:w="6015"/>
        <w:gridCol w:w="676"/>
        <w:gridCol w:w="677"/>
        <w:gridCol w:w="661"/>
      </w:tblGrid>
      <w:tr w:rsidTr="00C0386E">
        <w:tblPrEx>
          <w:tblW w:w="4889" w:type="pct"/>
          <w:jc w:val="center"/>
          <w:tblLook w:val="04A0"/>
        </w:tblPrEx>
        <w:trPr>
          <w:jc w:val="center"/>
        </w:trPr>
        <w:tc>
          <w:tcPr>
            <w:tcW w:w="3748" w:type="pct"/>
          </w:tcPr>
          <w:p w:rsidR="0097239C" w:rsidRPr="00C0386E" w:rsidP="00C0386E">
            <w:pPr>
              <w:spacing w:before="30" w:after="30" w:line="240" w:lineRule="exact"/>
              <w:rPr>
                <w:sz w:val="22"/>
                <w:szCs w:val="22"/>
                <w:rtl/>
              </w:rPr>
            </w:pPr>
          </w:p>
        </w:tc>
        <w:tc>
          <w:tcPr>
            <w:tcW w:w="424" w:type="pct"/>
          </w:tcPr>
          <w:p w:rsidR="0097239C" w:rsidRPr="00C0386E" w:rsidP="00C0386E">
            <w:pPr>
              <w:spacing w:before="30" w:after="30" w:line="240" w:lineRule="exact"/>
              <w:rPr>
                <w:b/>
                <w:bCs/>
                <w:sz w:val="22"/>
                <w:szCs w:val="22"/>
                <w:rtl/>
              </w:rPr>
            </w:pPr>
            <w:r w:rsidRPr="00C0386E">
              <w:rPr>
                <w:rFonts w:hint="cs"/>
                <w:b/>
                <w:bCs/>
                <w:sz w:val="22"/>
                <w:szCs w:val="22"/>
                <w:rtl/>
              </w:rPr>
              <w:t>1.7%</w:t>
            </w:r>
          </w:p>
        </w:tc>
        <w:tc>
          <w:tcPr>
            <w:tcW w:w="424" w:type="pct"/>
          </w:tcPr>
          <w:p w:rsidR="0097239C" w:rsidRPr="00C0386E" w:rsidP="00C0386E">
            <w:pPr>
              <w:spacing w:before="30" w:after="30" w:line="240" w:lineRule="exact"/>
              <w:rPr>
                <w:b/>
                <w:bCs/>
                <w:sz w:val="22"/>
                <w:szCs w:val="22"/>
                <w:rtl/>
              </w:rPr>
            </w:pPr>
            <w:r w:rsidRPr="00C0386E">
              <w:rPr>
                <w:rFonts w:hint="cs"/>
                <w:b/>
                <w:bCs/>
                <w:sz w:val="22"/>
                <w:szCs w:val="22"/>
                <w:rtl/>
              </w:rPr>
              <w:t>2.7%</w:t>
            </w:r>
          </w:p>
        </w:tc>
        <w:tc>
          <w:tcPr>
            <w:tcW w:w="403" w:type="pct"/>
          </w:tcPr>
          <w:p w:rsidR="0097239C" w:rsidRPr="00C0386E" w:rsidP="00C0386E">
            <w:pPr>
              <w:spacing w:before="30" w:after="30" w:line="240" w:lineRule="exact"/>
              <w:rPr>
                <w:b/>
                <w:bCs/>
                <w:sz w:val="22"/>
                <w:szCs w:val="22"/>
                <w:rtl/>
              </w:rPr>
            </w:pPr>
            <w:r w:rsidRPr="00C0386E">
              <w:rPr>
                <w:rFonts w:hint="cs"/>
                <w:b/>
                <w:bCs/>
                <w:sz w:val="22"/>
                <w:szCs w:val="22"/>
                <w:rtl/>
              </w:rPr>
              <w:t>3.7%</w:t>
            </w:r>
          </w:p>
        </w:tc>
      </w:tr>
      <w:tr w:rsidTr="00C0386E">
        <w:tblPrEx>
          <w:tblW w:w="4889" w:type="pct"/>
          <w:jc w:val="center"/>
          <w:tblLook w:val="04A0"/>
        </w:tblPrEx>
        <w:trPr>
          <w:jc w:val="center"/>
        </w:trPr>
        <w:tc>
          <w:tcPr>
            <w:tcW w:w="3748" w:type="pct"/>
          </w:tcPr>
          <w:p w:rsidR="0097239C" w:rsidRPr="00C0386E" w:rsidP="00C0386E">
            <w:pPr>
              <w:spacing w:before="30" w:after="30" w:line="240" w:lineRule="exact"/>
              <w:rPr>
                <w:sz w:val="22"/>
                <w:szCs w:val="22"/>
                <w:rtl/>
              </w:rPr>
            </w:pPr>
            <w:r w:rsidRPr="00C0386E">
              <w:rPr>
                <w:rFonts w:hint="cs"/>
                <w:sz w:val="22"/>
                <w:szCs w:val="22"/>
                <w:rtl/>
              </w:rPr>
              <w:t>ההספק הכולל בשנת 2030 ב-</w:t>
            </w:r>
            <w:r w:rsidRPr="00C0386E">
              <w:rPr>
                <w:rFonts w:hint="cs"/>
                <w:sz w:val="22"/>
                <w:szCs w:val="22"/>
              </w:rPr>
              <w:t>TW</w:t>
            </w:r>
            <w:r w:rsidRPr="00C0386E">
              <w:rPr>
                <w:sz w:val="22"/>
                <w:szCs w:val="22"/>
              </w:rPr>
              <w:t>h</w:t>
            </w:r>
          </w:p>
        </w:tc>
        <w:tc>
          <w:tcPr>
            <w:tcW w:w="424" w:type="pct"/>
          </w:tcPr>
          <w:p w:rsidR="0097239C" w:rsidRPr="00C0386E" w:rsidP="00C0386E">
            <w:pPr>
              <w:spacing w:before="30" w:after="30" w:line="240" w:lineRule="exact"/>
              <w:rPr>
                <w:sz w:val="22"/>
                <w:szCs w:val="22"/>
                <w:rtl/>
              </w:rPr>
            </w:pPr>
            <w:r w:rsidRPr="00C0386E">
              <w:rPr>
                <w:rFonts w:hint="cs"/>
                <w:sz w:val="22"/>
                <w:szCs w:val="22"/>
                <w:rtl/>
              </w:rPr>
              <w:t>86</w:t>
            </w:r>
          </w:p>
        </w:tc>
        <w:tc>
          <w:tcPr>
            <w:tcW w:w="424" w:type="pct"/>
          </w:tcPr>
          <w:p w:rsidR="0097239C" w:rsidRPr="00C0386E" w:rsidP="00C0386E">
            <w:pPr>
              <w:spacing w:before="30" w:after="30" w:line="240" w:lineRule="exact"/>
              <w:rPr>
                <w:sz w:val="22"/>
                <w:szCs w:val="22"/>
                <w:rtl/>
              </w:rPr>
            </w:pPr>
            <w:r w:rsidRPr="00C0386E">
              <w:rPr>
                <w:rFonts w:hint="cs"/>
                <w:sz w:val="22"/>
                <w:szCs w:val="22"/>
                <w:rtl/>
              </w:rPr>
              <w:t>97</w:t>
            </w:r>
          </w:p>
        </w:tc>
        <w:tc>
          <w:tcPr>
            <w:tcW w:w="403" w:type="pct"/>
          </w:tcPr>
          <w:p w:rsidR="0097239C" w:rsidRPr="00C0386E" w:rsidP="00C0386E">
            <w:pPr>
              <w:spacing w:before="30" w:after="30" w:line="240" w:lineRule="exact"/>
              <w:rPr>
                <w:sz w:val="22"/>
                <w:szCs w:val="22"/>
                <w:rtl/>
              </w:rPr>
            </w:pPr>
            <w:r w:rsidRPr="00C0386E">
              <w:rPr>
                <w:rFonts w:hint="cs"/>
                <w:sz w:val="22"/>
                <w:szCs w:val="22"/>
                <w:rtl/>
              </w:rPr>
              <w:t>112</w:t>
            </w:r>
          </w:p>
        </w:tc>
      </w:tr>
      <w:tr w:rsidTr="00C0386E">
        <w:tblPrEx>
          <w:tblW w:w="4889" w:type="pct"/>
          <w:jc w:val="center"/>
          <w:tblLook w:val="04A0"/>
        </w:tblPrEx>
        <w:trPr>
          <w:jc w:val="center"/>
        </w:trPr>
        <w:tc>
          <w:tcPr>
            <w:tcW w:w="3748" w:type="pct"/>
          </w:tcPr>
          <w:p w:rsidR="0097239C" w:rsidRPr="00C0386E" w:rsidP="00C0386E">
            <w:pPr>
              <w:spacing w:before="30" w:after="30" w:line="240" w:lineRule="exact"/>
              <w:rPr>
                <w:sz w:val="22"/>
                <w:szCs w:val="22"/>
                <w:rtl/>
              </w:rPr>
            </w:pPr>
            <w:r w:rsidRPr="00C0386E">
              <w:rPr>
                <w:rFonts w:hint="cs"/>
                <w:sz w:val="22"/>
                <w:szCs w:val="22"/>
                <w:rtl/>
              </w:rPr>
              <w:t>ההספק הכולל הנדרש בשנת 2030 של אנרגיות מתחדשות ב-</w:t>
            </w:r>
            <w:r w:rsidRPr="00C0386E">
              <w:rPr>
                <w:rFonts w:hint="cs"/>
                <w:sz w:val="22"/>
                <w:szCs w:val="22"/>
              </w:rPr>
              <w:t>TW</w:t>
            </w:r>
            <w:r w:rsidRPr="00C0386E">
              <w:rPr>
                <w:sz w:val="22"/>
                <w:szCs w:val="22"/>
              </w:rPr>
              <w:t>h</w:t>
            </w:r>
            <w:r w:rsidRPr="00C0386E">
              <w:rPr>
                <w:rFonts w:hint="cs"/>
                <w:sz w:val="22"/>
                <w:szCs w:val="22"/>
                <w:rtl/>
              </w:rPr>
              <w:t xml:space="preserve"> (בתרחיש של 17%)</w:t>
            </w:r>
          </w:p>
        </w:tc>
        <w:tc>
          <w:tcPr>
            <w:tcW w:w="424" w:type="pct"/>
          </w:tcPr>
          <w:p w:rsidR="0097239C" w:rsidRPr="00C0386E" w:rsidP="00C0386E">
            <w:pPr>
              <w:spacing w:before="30" w:after="30" w:line="240" w:lineRule="exact"/>
              <w:rPr>
                <w:sz w:val="22"/>
                <w:szCs w:val="22"/>
                <w:rtl/>
              </w:rPr>
            </w:pPr>
            <w:r w:rsidRPr="00C0386E">
              <w:rPr>
                <w:rFonts w:hint="cs"/>
                <w:sz w:val="22"/>
                <w:szCs w:val="22"/>
                <w:rtl/>
              </w:rPr>
              <w:t>14.6</w:t>
            </w:r>
          </w:p>
        </w:tc>
        <w:tc>
          <w:tcPr>
            <w:tcW w:w="424" w:type="pct"/>
          </w:tcPr>
          <w:p w:rsidR="0097239C" w:rsidRPr="00C0386E" w:rsidP="00C0386E">
            <w:pPr>
              <w:spacing w:before="30" w:after="30" w:line="240" w:lineRule="exact"/>
              <w:rPr>
                <w:sz w:val="22"/>
                <w:szCs w:val="22"/>
                <w:rtl/>
              </w:rPr>
            </w:pPr>
            <w:r w:rsidRPr="00C0386E">
              <w:rPr>
                <w:rFonts w:hint="cs"/>
                <w:sz w:val="22"/>
                <w:szCs w:val="22"/>
                <w:rtl/>
              </w:rPr>
              <w:t>16.5</w:t>
            </w:r>
          </w:p>
        </w:tc>
        <w:tc>
          <w:tcPr>
            <w:tcW w:w="403" w:type="pct"/>
          </w:tcPr>
          <w:p w:rsidR="0097239C" w:rsidRPr="00C0386E" w:rsidP="00C0386E">
            <w:pPr>
              <w:spacing w:before="30" w:after="30" w:line="240" w:lineRule="exact"/>
              <w:rPr>
                <w:sz w:val="22"/>
                <w:szCs w:val="22"/>
                <w:rtl/>
              </w:rPr>
            </w:pPr>
            <w:r w:rsidRPr="00C0386E">
              <w:rPr>
                <w:rFonts w:hint="cs"/>
                <w:sz w:val="22"/>
                <w:szCs w:val="22"/>
                <w:rtl/>
              </w:rPr>
              <w:t>19.04</w:t>
            </w:r>
          </w:p>
        </w:tc>
      </w:tr>
      <w:tr w:rsidTr="00C0386E">
        <w:tblPrEx>
          <w:tblW w:w="4889" w:type="pct"/>
          <w:jc w:val="center"/>
          <w:tblLook w:val="04A0"/>
        </w:tblPrEx>
        <w:trPr>
          <w:jc w:val="center"/>
        </w:trPr>
        <w:tc>
          <w:tcPr>
            <w:tcW w:w="3748" w:type="pct"/>
          </w:tcPr>
          <w:p w:rsidR="0097239C" w:rsidRPr="00C0386E" w:rsidP="00C0386E">
            <w:pPr>
              <w:spacing w:before="30" w:after="30" w:line="240" w:lineRule="exact"/>
              <w:rPr>
                <w:sz w:val="22"/>
                <w:szCs w:val="22"/>
                <w:rtl/>
              </w:rPr>
            </w:pPr>
            <w:r w:rsidRPr="00C0386E">
              <w:rPr>
                <w:rFonts w:hint="cs"/>
                <w:sz w:val="22"/>
                <w:szCs w:val="22"/>
                <w:rtl/>
              </w:rPr>
              <w:t>ההפרש לעומת תרחיש התייעלות אנרגטית (ב-</w:t>
            </w:r>
            <w:r w:rsidRPr="00C0386E">
              <w:rPr>
                <w:rFonts w:hint="cs"/>
                <w:sz w:val="22"/>
                <w:szCs w:val="22"/>
              </w:rPr>
              <w:t>TW</w:t>
            </w:r>
            <w:r w:rsidRPr="00C0386E">
              <w:rPr>
                <w:sz w:val="22"/>
                <w:szCs w:val="22"/>
              </w:rPr>
              <w:t>h</w:t>
            </w:r>
            <w:r w:rsidRPr="00C0386E">
              <w:rPr>
                <w:rFonts w:hint="cs"/>
                <w:sz w:val="22"/>
                <w:szCs w:val="22"/>
                <w:rtl/>
              </w:rPr>
              <w:t>) (בתרחיש של 17% אנרגיות מתחדשות ב-2030)</w:t>
            </w:r>
          </w:p>
        </w:tc>
        <w:tc>
          <w:tcPr>
            <w:tcW w:w="424" w:type="pct"/>
          </w:tcPr>
          <w:p w:rsidR="0097239C" w:rsidRPr="00C0386E" w:rsidP="00C0386E">
            <w:pPr>
              <w:spacing w:before="30" w:after="30" w:line="240" w:lineRule="exact"/>
              <w:rPr>
                <w:sz w:val="22"/>
                <w:szCs w:val="22"/>
                <w:rtl/>
              </w:rPr>
            </w:pPr>
          </w:p>
        </w:tc>
        <w:tc>
          <w:tcPr>
            <w:tcW w:w="424" w:type="pct"/>
          </w:tcPr>
          <w:p w:rsidR="0097239C" w:rsidRPr="00C0386E" w:rsidP="00C0386E">
            <w:pPr>
              <w:spacing w:before="30" w:after="30" w:line="240" w:lineRule="exact"/>
              <w:rPr>
                <w:sz w:val="22"/>
                <w:szCs w:val="22"/>
                <w:rtl/>
              </w:rPr>
            </w:pPr>
            <w:r w:rsidRPr="00C0386E">
              <w:rPr>
                <w:rFonts w:hint="cs"/>
                <w:sz w:val="22"/>
                <w:szCs w:val="22"/>
                <w:rtl/>
              </w:rPr>
              <w:t>1.87</w:t>
            </w:r>
          </w:p>
        </w:tc>
        <w:tc>
          <w:tcPr>
            <w:tcW w:w="403" w:type="pct"/>
          </w:tcPr>
          <w:p w:rsidR="0097239C" w:rsidRPr="00C0386E" w:rsidP="00C0386E">
            <w:pPr>
              <w:spacing w:before="30" w:after="30" w:line="240" w:lineRule="exact"/>
              <w:rPr>
                <w:sz w:val="22"/>
                <w:szCs w:val="22"/>
                <w:rtl/>
              </w:rPr>
            </w:pPr>
            <w:r w:rsidRPr="00C0386E">
              <w:rPr>
                <w:rFonts w:hint="cs"/>
                <w:sz w:val="22"/>
                <w:szCs w:val="22"/>
                <w:rtl/>
              </w:rPr>
              <w:t>4.44</w:t>
            </w:r>
          </w:p>
        </w:tc>
      </w:tr>
      <w:tr w:rsidTr="00C0386E">
        <w:tblPrEx>
          <w:tblW w:w="4889" w:type="pct"/>
          <w:jc w:val="center"/>
          <w:tblLook w:val="04A0"/>
        </w:tblPrEx>
        <w:trPr>
          <w:jc w:val="center"/>
        </w:trPr>
        <w:tc>
          <w:tcPr>
            <w:tcW w:w="3748" w:type="pct"/>
          </w:tcPr>
          <w:p w:rsidR="0097239C" w:rsidRPr="00C0386E" w:rsidP="00C0386E">
            <w:pPr>
              <w:spacing w:before="30" w:after="30" w:line="240" w:lineRule="exact"/>
              <w:rPr>
                <w:sz w:val="22"/>
                <w:szCs w:val="22"/>
                <w:rtl/>
              </w:rPr>
            </w:pPr>
            <w:r w:rsidRPr="00C0386E">
              <w:rPr>
                <w:rFonts w:hint="cs"/>
                <w:sz w:val="22"/>
                <w:szCs w:val="22"/>
                <w:rtl/>
              </w:rPr>
              <w:t>סך ההספק הנדרש של אנרגיות מתחדשות (ב-</w:t>
            </w:r>
            <w:r w:rsidRPr="00C0386E">
              <w:rPr>
                <w:rFonts w:hint="cs"/>
                <w:sz w:val="22"/>
                <w:szCs w:val="22"/>
              </w:rPr>
              <w:t>TW</w:t>
            </w:r>
            <w:r w:rsidRPr="00C0386E">
              <w:rPr>
                <w:sz w:val="22"/>
                <w:szCs w:val="22"/>
              </w:rPr>
              <w:t>h</w:t>
            </w:r>
            <w:r w:rsidRPr="00C0386E">
              <w:rPr>
                <w:rFonts w:hint="cs"/>
                <w:sz w:val="22"/>
                <w:szCs w:val="22"/>
                <w:rtl/>
              </w:rPr>
              <w:t>) (בתרחיש של 30% אנרגיות מתחדשות ב-2030)</w:t>
            </w:r>
          </w:p>
        </w:tc>
        <w:tc>
          <w:tcPr>
            <w:tcW w:w="424" w:type="pct"/>
          </w:tcPr>
          <w:p w:rsidR="0097239C" w:rsidRPr="00C0386E" w:rsidP="00C0386E">
            <w:pPr>
              <w:spacing w:before="30" w:after="30" w:line="240" w:lineRule="exact"/>
              <w:rPr>
                <w:sz w:val="22"/>
                <w:szCs w:val="22"/>
                <w:rtl/>
              </w:rPr>
            </w:pPr>
            <w:r w:rsidRPr="00C0386E">
              <w:rPr>
                <w:rFonts w:hint="cs"/>
                <w:sz w:val="22"/>
                <w:szCs w:val="22"/>
                <w:rtl/>
              </w:rPr>
              <w:t>25.8</w:t>
            </w:r>
          </w:p>
        </w:tc>
        <w:tc>
          <w:tcPr>
            <w:tcW w:w="424" w:type="pct"/>
          </w:tcPr>
          <w:p w:rsidR="0097239C" w:rsidRPr="00C0386E" w:rsidP="00C0386E">
            <w:pPr>
              <w:spacing w:before="30" w:after="30" w:line="240" w:lineRule="exact"/>
              <w:rPr>
                <w:sz w:val="22"/>
                <w:szCs w:val="22"/>
                <w:rtl/>
              </w:rPr>
            </w:pPr>
            <w:r w:rsidRPr="00C0386E">
              <w:rPr>
                <w:rFonts w:hint="cs"/>
                <w:sz w:val="22"/>
                <w:szCs w:val="22"/>
                <w:rtl/>
              </w:rPr>
              <w:t>29.1</w:t>
            </w:r>
          </w:p>
        </w:tc>
        <w:tc>
          <w:tcPr>
            <w:tcW w:w="403" w:type="pct"/>
          </w:tcPr>
          <w:p w:rsidR="0097239C" w:rsidRPr="00C0386E" w:rsidP="00C0386E">
            <w:pPr>
              <w:spacing w:before="30" w:after="30" w:line="240" w:lineRule="exact"/>
              <w:rPr>
                <w:sz w:val="22"/>
                <w:szCs w:val="22"/>
                <w:rtl/>
              </w:rPr>
            </w:pPr>
            <w:r w:rsidRPr="00C0386E">
              <w:rPr>
                <w:rFonts w:hint="cs"/>
                <w:sz w:val="22"/>
                <w:szCs w:val="22"/>
                <w:rtl/>
              </w:rPr>
              <w:t>33.6</w:t>
            </w:r>
          </w:p>
        </w:tc>
      </w:tr>
      <w:tr w:rsidTr="00C0386E">
        <w:tblPrEx>
          <w:tblW w:w="4889" w:type="pct"/>
          <w:jc w:val="center"/>
          <w:tblLook w:val="04A0"/>
        </w:tblPrEx>
        <w:trPr>
          <w:trHeight w:val="514"/>
          <w:jc w:val="center"/>
        </w:trPr>
        <w:tc>
          <w:tcPr>
            <w:tcW w:w="3748" w:type="pct"/>
          </w:tcPr>
          <w:p w:rsidR="0097239C" w:rsidRPr="00C0386E" w:rsidP="00C0386E">
            <w:pPr>
              <w:spacing w:before="30" w:after="30" w:line="240" w:lineRule="exact"/>
              <w:rPr>
                <w:sz w:val="22"/>
                <w:szCs w:val="22"/>
                <w:rtl/>
              </w:rPr>
            </w:pPr>
            <w:r w:rsidRPr="00C0386E">
              <w:rPr>
                <w:rFonts w:hint="cs"/>
                <w:sz w:val="22"/>
                <w:szCs w:val="22"/>
                <w:rtl/>
              </w:rPr>
              <w:t>ההפרש לעומת תרחיש התייעלות אנרגטית (ב-</w:t>
            </w:r>
            <w:r w:rsidRPr="00C0386E">
              <w:rPr>
                <w:rFonts w:hint="cs"/>
                <w:sz w:val="22"/>
                <w:szCs w:val="22"/>
              </w:rPr>
              <w:t>TW</w:t>
            </w:r>
            <w:r w:rsidRPr="00C0386E">
              <w:rPr>
                <w:sz w:val="22"/>
                <w:szCs w:val="22"/>
              </w:rPr>
              <w:t>h</w:t>
            </w:r>
            <w:r w:rsidRPr="00C0386E">
              <w:rPr>
                <w:rFonts w:hint="cs"/>
                <w:sz w:val="22"/>
                <w:szCs w:val="22"/>
                <w:rtl/>
              </w:rPr>
              <w:t>) (בתרחיש של 30% אנרגיות מתחדשות ב-2030)</w:t>
            </w:r>
          </w:p>
        </w:tc>
        <w:tc>
          <w:tcPr>
            <w:tcW w:w="424" w:type="pct"/>
          </w:tcPr>
          <w:p w:rsidR="0097239C" w:rsidRPr="00C0386E" w:rsidP="00C0386E">
            <w:pPr>
              <w:spacing w:before="30" w:after="30" w:line="240" w:lineRule="exact"/>
              <w:rPr>
                <w:sz w:val="22"/>
                <w:szCs w:val="22"/>
                <w:rtl/>
              </w:rPr>
            </w:pPr>
          </w:p>
        </w:tc>
        <w:tc>
          <w:tcPr>
            <w:tcW w:w="424" w:type="pct"/>
          </w:tcPr>
          <w:p w:rsidR="0097239C" w:rsidRPr="00C0386E" w:rsidP="00C0386E">
            <w:pPr>
              <w:spacing w:before="30" w:after="30" w:line="240" w:lineRule="exact"/>
              <w:rPr>
                <w:sz w:val="22"/>
                <w:szCs w:val="22"/>
                <w:rtl/>
              </w:rPr>
            </w:pPr>
            <w:r w:rsidRPr="00C0386E">
              <w:rPr>
                <w:rFonts w:hint="cs"/>
                <w:sz w:val="22"/>
                <w:szCs w:val="22"/>
                <w:rtl/>
              </w:rPr>
              <w:t>3.3</w:t>
            </w:r>
          </w:p>
        </w:tc>
        <w:tc>
          <w:tcPr>
            <w:tcW w:w="403" w:type="pct"/>
          </w:tcPr>
          <w:p w:rsidR="0097239C" w:rsidRPr="00C0386E" w:rsidP="00C0386E">
            <w:pPr>
              <w:spacing w:before="30" w:after="30" w:line="240" w:lineRule="exact"/>
              <w:rPr>
                <w:sz w:val="22"/>
                <w:szCs w:val="22"/>
                <w:rtl/>
              </w:rPr>
            </w:pPr>
            <w:r w:rsidRPr="00C0386E">
              <w:rPr>
                <w:rFonts w:hint="cs"/>
                <w:sz w:val="22"/>
                <w:szCs w:val="22"/>
                <w:rtl/>
              </w:rPr>
              <w:t>7.8</w:t>
            </w:r>
          </w:p>
        </w:tc>
      </w:tr>
    </w:tbl>
    <w:p w:rsidR="0097239C" w:rsidRPr="00AF6468" w:rsidP="00C0386E">
      <w:pPr>
        <w:spacing w:before="120" w:line="269" w:lineRule="auto"/>
        <w:rPr>
          <w:sz w:val="22"/>
          <w:szCs w:val="22"/>
          <w:rtl/>
        </w:rPr>
      </w:pPr>
      <w:r w:rsidRPr="00AF6468">
        <w:rPr>
          <w:rFonts w:hint="cs"/>
          <w:sz w:val="22"/>
          <w:szCs w:val="22"/>
          <w:rtl/>
        </w:rPr>
        <w:t>על פי מפת הדרכים משנת 2018, בעיבוד משרד מבקר המדינה.</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מלוח 12 עולה כי אי-עמידה ביעדי ההתייעלות האנרגטית במגזר החשמל תצריך הגדלה</w:t>
      </w:r>
      <w:r w:rsidR="006A5638">
        <w:rPr>
          <w:rFonts w:hint="cs"/>
          <w:b/>
          <w:bCs/>
          <w:rtl/>
        </w:rPr>
        <w:t xml:space="preserve"> ניכרת בהיקף הייצור מאנרגיות מתחדשות</w:t>
      </w:r>
      <w:r w:rsidRPr="0097239C">
        <w:rPr>
          <w:rFonts w:hint="cs"/>
          <w:b/>
          <w:bCs/>
          <w:rtl/>
        </w:rPr>
        <w:t xml:space="preserve"> - הגדלה שמגיעה לכ-1.87</w:t>
      </w:r>
      <w:r w:rsidRPr="0097239C">
        <w:rPr>
          <w:rFonts w:hint="cs"/>
          <w:b/>
          <w:bCs/>
        </w:rPr>
        <w:t xml:space="preserve"> </w:t>
      </w:r>
      <w:r w:rsidRPr="0097239C">
        <w:rPr>
          <w:rFonts w:hint="cs"/>
          <w:b/>
          <w:bCs/>
          <w:rtl/>
        </w:rPr>
        <w:t>-</w:t>
      </w:r>
      <w:r w:rsidRPr="0097239C">
        <w:rPr>
          <w:rFonts w:hint="cs"/>
          <w:b/>
          <w:bCs/>
        </w:rPr>
        <w:t xml:space="preserve"> </w:t>
      </w:r>
      <w:r w:rsidRPr="0097239C">
        <w:rPr>
          <w:rFonts w:hint="cs"/>
          <w:b/>
          <w:bCs/>
          <w:rtl/>
        </w:rPr>
        <w:t xml:space="preserve">7.8 </w:t>
      </w:r>
      <w:r w:rsidRPr="0097239C">
        <w:rPr>
          <w:b/>
          <w:bCs/>
        </w:rPr>
        <w:t>TWh</w:t>
      </w:r>
      <w:r w:rsidRPr="0097239C">
        <w:rPr>
          <w:rFonts w:hint="cs"/>
          <w:b/>
          <w:b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יצוין כי תחזיות הביקוש לחשמל מושפעות מכמה פרמטרים, ובהם קצב החדירה של רכב חשמלי למשק. התחבורה החשמלית תשנה באופן מהותי את דפוסי צריכת </w:t>
      </w:r>
      <w:r w:rsidRPr="0097239C">
        <w:rPr>
          <w:rFonts w:hint="cs"/>
          <w:rtl/>
        </w:rPr>
        <w:t>האנרגייה</w:t>
      </w:r>
      <w:r w:rsidRPr="0097239C">
        <w:rPr>
          <w:rFonts w:hint="cs"/>
          <w:rtl/>
        </w:rPr>
        <w:t xml:space="preserve">, וצפויות להיות לה השפעות מרחיקות לכת על משק </w:t>
      </w:r>
      <w:r w:rsidRPr="0097239C">
        <w:rPr>
          <w:rFonts w:hint="cs"/>
          <w:rtl/>
        </w:rPr>
        <w:t>האנרגייה</w:t>
      </w:r>
      <w:r w:rsidRPr="0097239C">
        <w:rPr>
          <w:rFonts w:hint="cs"/>
          <w:rtl/>
        </w:rPr>
        <w:t xml:space="preserve">, על איכות הסביבה ועל המרחב הבנוי. על מנת למצות את הפוטנציאל הגלום בשינוי זה, נדרשת היערכות מושכלת, באופן שיתאים למאפיינים הייחודיים של רכב חשמלי ושל התשתיות התומכות הנדרשות לאימוצו בהיקף רחב. נדרשת בחינה והצגה של חלופות ואמצעי מדיניות בפריסת תשתית טעינה לרכב חשמלי. זאת תוך נתינת הדעת על סוגיות מעשיות שונות בהתמודדות עם אתגרים בתחומי אסדרה ותקינה, מימון, מודלים ליישום, התנגדות ציבורית והיבטים נוספים. להלן יוצגו יעדי חדירת רכב חשמלי בישראל על פי </w:t>
      </w:r>
      <w:r w:rsidRPr="0097239C">
        <w:rPr>
          <w:rFonts w:hint="cs"/>
          <w:rtl/>
        </w:rPr>
        <w:t>תוכנית</w:t>
      </w:r>
      <w:r w:rsidRPr="0097239C">
        <w:rPr>
          <w:rFonts w:hint="cs"/>
          <w:rtl/>
        </w:rPr>
        <w:t xml:space="preserve"> משרד </w:t>
      </w:r>
      <w:r w:rsidRPr="0097239C">
        <w:rPr>
          <w:rFonts w:hint="cs"/>
          <w:rtl/>
        </w:rPr>
        <w:t>האנרגייה</w:t>
      </w:r>
      <w:r w:rsidRPr="0097239C">
        <w:rPr>
          <w:rFonts w:hint="cs"/>
          <w:rtl/>
        </w:rPr>
        <w:t xml:space="preserve"> מנובמבר 2018.</w:t>
      </w:r>
    </w:p>
    <w:p w:rsidR="00A75A48">
      <w:pPr>
        <w:bidi w:val="0"/>
        <w:spacing w:after="200" w:line="276" w:lineRule="auto"/>
        <w:rPr>
          <w:szCs w:val="20"/>
          <w:rtl/>
        </w:rPr>
      </w:pPr>
      <w:r>
        <w:rPr>
          <w:szCs w:val="20"/>
          <w:rtl/>
        </w:rPr>
        <w:br w:type="page"/>
      </w: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18:</w:t>
      </w:r>
      <w:r w:rsidRPr="0097239C">
        <w:rPr>
          <w:b/>
          <w:bCs/>
          <w:rtl/>
        </w:rPr>
        <w:t xml:space="preserve"> יעדי חדירת רכבים חשמליים בישראל </w:t>
      </w:r>
      <w:r w:rsidRPr="0097239C">
        <w:rPr>
          <w:rFonts w:hint="cs"/>
          <w:b/>
          <w:bCs/>
          <w:rtl/>
        </w:rPr>
        <w:t>לעומת</w:t>
      </w:r>
      <w:r w:rsidRPr="0097239C">
        <w:rPr>
          <w:b/>
          <w:bCs/>
          <w:rtl/>
        </w:rPr>
        <w:t xml:space="preserve"> </w:t>
      </w:r>
      <w:r w:rsidRPr="0097239C">
        <w:rPr>
          <w:rFonts w:hint="eastAsia"/>
          <w:b/>
          <w:bCs/>
          <w:rtl/>
        </w:rPr>
        <w:t>תחזיות</w:t>
      </w:r>
      <w:r w:rsidRPr="0097239C">
        <w:rPr>
          <w:b/>
          <w:bCs/>
          <w:rtl/>
        </w:rPr>
        <w:t xml:space="preserve"> </w:t>
      </w:r>
      <w:r w:rsidRPr="0097239C">
        <w:rPr>
          <w:rFonts w:hint="eastAsia"/>
          <w:b/>
          <w:bCs/>
          <w:rtl/>
        </w:rPr>
        <w:t>בעולם</w:t>
      </w:r>
    </w:p>
    <w:p w:rsidR="0097239C" w:rsidRPr="0097239C" w:rsidP="008A1C81">
      <w:pPr>
        <w:spacing w:before="120" w:after="120" w:line="269" w:lineRule="auto"/>
        <w:rPr>
          <w:rtl/>
        </w:rPr>
      </w:pPr>
      <w:r>
        <w:rPr>
          <w:noProof/>
          <w:rtl/>
        </w:rPr>
        <w:drawing>
          <wp:inline distT="0" distB="0" distL="0" distR="0">
            <wp:extent cx="5220335" cy="249555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1276" name="gra-18.jpg"/>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495550"/>
                    </a:xfrm>
                    <a:prstGeom prst="rect">
                      <a:avLst/>
                    </a:prstGeom>
                  </pic:spPr>
                </pic:pic>
              </a:graphicData>
            </a:graphic>
          </wp:inline>
        </w:drawing>
      </w:r>
    </w:p>
    <w:p w:rsidR="0097239C" w:rsidRPr="001341AA" w:rsidP="00C603CF">
      <w:pPr>
        <w:spacing w:line="269" w:lineRule="auto"/>
        <w:rPr>
          <w:sz w:val="22"/>
          <w:szCs w:val="22"/>
          <w:rtl/>
        </w:rPr>
      </w:pPr>
      <w:r w:rsidRPr="001341AA">
        <w:rPr>
          <w:rFonts w:hint="cs"/>
          <w:sz w:val="22"/>
          <w:szCs w:val="22"/>
          <w:rtl/>
        </w:rPr>
        <w:t xml:space="preserve">המקור: </w:t>
      </w:r>
      <w:r w:rsidRPr="001341AA">
        <w:rPr>
          <w:rFonts w:hint="cs"/>
          <w:sz w:val="22"/>
          <w:szCs w:val="22"/>
          <w:rtl/>
        </w:rPr>
        <w:t>תוכנית</w:t>
      </w:r>
      <w:r w:rsidRPr="001341AA">
        <w:rPr>
          <w:rFonts w:hint="cs"/>
          <w:sz w:val="22"/>
          <w:szCs w:val="22"/>
          <w:rtl/>
        </w:rPr>
        <w:t xml:space="preserve"> משרד </w:t>
      </w:r>
      <w:r w:rsidRPr="001341AA">
        <w:rPr>
          <w:rFonts w:hint="cs"/>
          <w:sz w:val="22"/>
          <w:szCs w:val="22"/>
          <w:rtl/>
        </w:rPr>
        <w:t>האנרגייה</w:t>
      </w:r>
      <w:r w:rsidRPr="001341AA">
        <w:rPr>
          <w:rFonts w:hint="cs"/>
          <w:sz w:val="22"/>
          <w:szCs w:val="22"/>
          <w:rtl/>
        </w:rPr>
        <w:t>.</w:t>
      </w:r>
    </w:p>
    <w:p w:rsidR="0097239C" w:rsidRPr="0097239C" w:rsidP="00C603CF">
      <w:pPr>
        <w:pStyle w:val="a"/>
        <w:spacing w:line="269" w:lineRule="auto"/>
        <w:rPr>
          <w:rtl/>
        </w:rPr>
      </w:pPr>
    </w:p>
    <w:p w:rsidR="0097239C" w:rsidRPr="0097239C" w:rsidP="005B263A">
      <w:pPr>
        <w:spacing w:line="269" w:lineRule="auto"/>
        <w:rPr>
          <w:rtl/>
        </w:rPr>
      </w:pPr>
      <w:r w:rsidRPr="0097239C">
        <w:rPr>
          <w:rFonts w:hint="cs"/>
          <w:rtl/>
        </w:rPr>
        <w:t xml:space="preserve">על פי </w:t>
      </w:r>
      <w:r w:rsidRPr="0097239C">
        <w:rPr>
          <w:rFonts w:hint="cs"/>
          <w:rtl/>
        </w:rPr>
        <w:t>תוכנית</w:t>
      </w:r>
      <w:r w:rsidRPr="0097239C">
        <w:rPr>
          <w:rFonts w:hint="cs"/>
          <w:rtl/>
        </w:rPr>
        <w:t xml:space="preserve"> זו, החל משנת 2030 תיאסר כניסת כלי רכב מונעים בבנזין או בסולר לישראל, ו-100% מהרכבים הפרטיים החדשים שיימכרו בישראל יהיו חשמליים. יעדים אלה, כפי שעולה מתרשים </w:t>
      </w:r>
      <w:r w:rsidR="005B263A">
        <w:rPr>
          <w:rFonts w:hint="cs"/>
          <w:rtl/>
        </w:rPr>
        <w:t>18</w:t>
      </w:r>
      <w:r w:rsidRPr="0097239C">
        <w:rPr>
          <w:rFonts w:hint="cs"/>
          <w:rtl/>
        </w:rPr>
        <w:t>, הם שאפתניים לעומת היעדים שנקבעו במדינות אירופה. המשרד גם קבע יעדי ביניים לחדירה של רכבים חשמליים לשוק התחבורה, כמתואר בלוח:</w:t>
      </w:r>
    </w:p>
    <w:p w:rsidR="0097239C" w:rsidRPr="0097239C" w:rsidP="00C603CF">
      <w:pPr>
        <w:pStyle w:val="a"/>
        <w:spacing w:line="269" w:lineRule="auto"/>
        <w:rPr>
          <w:rtl/>
        </w:rPr>
      </w:pPr>
    </w:p>
    <w:p w:rsidR="0097239C" w:rsidRPr="0097239C" w:rsidP="008A1C81">
      <w:pPr>
        <w:spacing w:after="120" w:line="269" w:lineRule="auto"/>
        <w:jc w:val="center"/>
        <w:rPr>
          <w:b/>
          <w:bCs/>
          <w:rtl/>
        </w:rPr>
      </w:pPr>
      <w:r w:rsidRPr="0097239C">
        <w:rPr>
          <w:rFonts w:hint="eastAsia"/>
          <w:b/>
          <w:bCs/>
          <w:rtl/>
        </w:rPr>
        <w:t>לוח</w:t>
      </w:r>
      <w:r w:rsidRPr="0097239C">
        <w:rPr>
          <w:b/>
          <w:bCs/>
          <w:rtl/>
        </w:rPr>
        <w:t xml:space="preserve"> 1</w:t>
      </w:r>
      <w:r w:rsidRPr="0097239C">
        <w:rPr>
          <w:rFonts w:hint="cs"/>
          <w:b/>
          <w:bCs/>
          <w:rtl/>
        </w:rPr>
        <w:t>3</w:t>
      </w:r>
      <w:r w:rsidRPr="0097239C">
        <w:rPr>
          <w:b/>
          <w:bCs/>
          <w:rtl/>
        </w:rPr>
        <w:t xml:space="preserve">: יעדי משרד </w:t>
      </w:r>
      <w:r w:rsidRPr="0097239C">
        <w:rPr>
          <w:rFonts w:hint="eastAsia"/>
          <w:b/>
          <w:bCs/>
          <w:rtl/>
        </w:rPr>
        <w:t>האנרג</w:t>
      </w:r>
      <w:r w:rsidRPr="0097239C">
        <w:rPr>
          <w:rFonts w:hint="cs"/>
          <w:b/>
          <w:bCs/>
          <w:rtl/>
        </w:rPr>
        <w:t>י</w:t>
      </w:r>
      <w:r w:rsidRPr="0097239C">
        <w:rPr>
          <w:rFonts w:hint="eastAsia"/>
          <w:b/>
          <w:bCs/>
          <w:rtl/>
        </w:rPr>
        <w:t>יה</w:t>
      </w:r>
      <w:r w:rsidRPr="0097239C">
        <w:rPr>
          <w:b/>
          <w:bCs/>
          <w:rtl/>
        </w:rPr>
        <w:t xml:space="preserve"> </w:t>
      </w:r>
      <w:r w:rsidRPr="0097239C">
        <w:rPr>
          <w:rFonts w:hint="cs"/>
          <w:b/>
          <w:bCs/>
          <w:rtl/>
        </w:rPr>
        <w:t xml:space="preserve">לגבי </w:t>
      </w:r>
      <w:r w:rsidRPr="0097239C">
        <w:rPr>
          <w:rFonts w:hint="eastAsia"/>
          <w:b/>
          <w:bCs/>
          <w:rtl/>
        </w:rPr>
        <w:t>חדירה</w:t>
      </w:r>
      <w:r w:rsidRPr="0097239C">
        <w:rPr>
          <w:b/>
          <w:bCs/>
          <w:rtl/>
        </w:rPr>
        <w:t xml:space="preserve"> </w:t>
      </w:r>
      <w:r w:rsidRPr="0097239C">
        <w:rPr>
          <w:rFonts w:hint="eastAsia"/>
          <w:b/>
          <w:bCs/>
          <w:rtl/>
        </w:rPr>
        <w:t>של</w:t>
      </w:r>
      <w:r w:rsidRPr="0097239C">
        <w:rPr>
          <w:b/>
          <w:bCs/>
          <w:rtl/>
        </w:rPr>
        <w:t xml:space="preserve"> </w:t>
      </w:r>
      <w:r w:rsidRPr="0097239C">
        <w:rPr>
          <w:rFonts w:hint="eastAsia"/>
          <w:b/>
          <w:bCs/>
          <w:rtl/>
        </w:rPr>
        <w:t>רכב</w:t>
      </w:r>
      <w:r w:rsidRPr="0097239C">
        <w:rPr>
          <w:b/>
          <w:bCs/>
          <w:rtl/>
        </w:rPr>
        <w:t xml:space="preserve"> </w:t>
      </w:r>
      <w:r w:rsidRPr="0097239C">
        <w:rPr>
          <w:rFonts w:hint="eastAsia"/>
          <w:b/>
          <w:bCs/>
          <w:rtl/>
        </w:rPr>
        <w:t>חשמלי</w:t>
      </w:r>
      <w:r w:rsidRPr="0097239C">
        <w:rPr>
          <w:rFonts w:hint="cs"/>
          <w:b/>
          <w:bCs/>
          <w:rtl/>
        </w:rPr>
        <w:t xml:space="preserve"> לשוק התחבורה</w:t>
      </w:r>
    </w:p>
    <w:tbl>
      <w:tblPr>
        <w:tblStyle w:val="11"/>
        <w:bidiVisual/>
        <w:tblW w:w="4889" w:type="pct"/>
        <w:jc w:val="center"/>
        <w:tblLook w:val="04A0"/>
      </w:tblPr>
      <w:tblGrid>
        <w:gridCol w:w="3099"/>
        <w:gridCol w:w="1246"/>
        <w:gridCol w:w="1246"/>
        <w:gridCol w:w="1246"/>
        <w:gridCol w:w="1192"/>
      </w:tblGrid>
      <w:tr w:rsidTr="00C0386E">
        <w:tblPrEx>
          <w:tblW w:w="4889" w:type="pct"/>
          <w:jc w:val="center"/>
          <w:tblLook w:val="04A0"/>
        </w:tblPrEx>
        <w:trPr>
          <w:jc w:val="center"/>
        </w:trPr>
        <w:tc>
          <w:tcPr>
            <w:tcW w:w="1928" w:type="pct"/>
          </w:tcPr>
          <w:p w:rsidR="0097239C" w:rsidRPr="00C0386E" w:rsidP="00C0386E">
            <w:pPr>
              <w:spacing w:before="30" w:after="30" w:line="240" w:lineRule="exact"/>
              <w:rPr>
                <w:b/>
                <w:bCs/>
                <w:sz w:val="22"/>
                <w:szCs w:val="22"/>
                <w:rtl/>
              </w:rPr>
            </w:pPr>
          </w:p>
        </w:tc>
        <w:tc>
          <w:tcPr>
            <w:tcW w:w="776" w:type="pct"/>
          </w:tcPr>
          <w:p w:rsidR="0097239C" w:rsidRPr="00C0386E" w:rsidP="00C0386E">
            <w:pPr>
              <w:spacing w:before="30" w:after="30" w:line="240" w:lineRule="exact"/>
              <w:rPr>
                <w:b/>
                <w:bCs/>
                <w:sz w:val="22"/>
                <w:szCs w:val="22"/>
                <w:rtl/>
              </w:rPr>
            </w:pPr>
            <w:r w:rsidRPr="00C0386E">
              <w:rPr>
                <w:rFonts w:hint="cs"/>
                <w:b/>
                <w:bCs/>
                <w:sz w:val="22"/>
                <w:szCs w:val="22"/>
                <w:rtl/>
              </w:rPr>
              <w:t>2022</w:t>
            </w:r>
          </w:p>
        </w:tc>
        <w:tc>
          <w:tcPr>
            <w:tcW w:w="776" w:type="pct"/>
          </w:tcPr>
          <w:p w:rsidR="0097239C" w:rsidRPr="00C0386E" w:rsidP="00C0386E">
            <w:pPr>
              <w:spacing w:before="30" w:after="30" w:line="240" w:lineRule="exact"/>
              <w:rPr>
                <w:b/>
                <w:bCs/>
                <w:sz w:val="22"/>
                <w:szCs w:val="22"/>
                <w:rtl/>
              </w:rPr>
            </w:pPr>
            <w:r w:rsidRPr="00C0386E">
              <w:rPr>
                <w:rFonts w:hint="cs"/>
                <w:b/>
                <w:bCs/>
                <w:sz w:val="22"/>
                <w:szCs w:val="22"/>
                <w:rtl/>
              </w:rPr>
              <w:t>2025</w:t>
            </w:r>
          </w:p>
        </w:tc>
        <w:tc>
          <w:tcPr>
            <w:tcW w:w="776" w:type="pct"/>
          </w:tcPr>
          <w:p w:rsidR="0097239C" w:rsidRPr="00C0386E" w:rsidP="00C0386E">
            <w:pPr>
              <w:spacing w:before="30" w:after="30" w:line="240" w:lineRule="exact"/>
              <w:rPr>
                <w:b/>
                <w:bCs/>
                <w:sz w:val="22"/>
                <w:szCs w:val="22"/>
                <w:rtl/>
              </w:rPr>
            </w:pPr>
            <w:r w:rsidRPr="00C0386E">
              <w:rPr>
                <w:rFonts w:hint="cs"/>
                <w:b/>
                <w:bCs/>
                <w:sz w:val="22"/>
                <w:szCs w:val="22"/>
                <w:rtl/>
              </w:rPr>
              <w:t>2028</w:t>
            </w:r>
          </w:p>
        </w:tc>
        <w:tc>
          <w:tcPr>
            <w:tcW w:w="742" w:type="pct"/>
          </w:tcPr>
          <w:p w:rsidR="0097239C" w:rsidRPr="00C0386E" w:rsidP="00C0386E">
            <w:pPr>
              <w:spacing w:before="30" w:after="30" w:line="240" w:lineRule="exact"/>
              <w:rPr>
                <w:b/>
                <w:bCs/>
                <w:sz w:val="22"/>
                <w:szCs w:val="22"/>
                <w:rtl/>
              </w:rPr>
            </w:pPr>
            <w:r w:rsidRPr="00C0386E">
              <w:rPr>
                <w:rFonts w:hint="cs"/>
                <w:b/>
                <w:bCs/>
                <w:sz w:val="22"/>
                <w:szCs w:val="22"/>
                <w:rtl/>
              </w:rPr>
              <w:t>2030</w:t>
            </w:r>
          </w:p>
        </w:tc>
      </w:tr>
      <w:tr w:rsidTr="00C0386E">
        <w:tblPrEx>
          <w:tblW w:w="4889" w:type="pct"/>
          <w:jc w:val="center"/>
          <w:tblLook w:val="04A0"/>
        </w:tblPrEx>
        <w:trPr>
          <w:jc w:val="center"/>
        </w:trPr>
        <w:tc>
          <w:tcPr>
            <w:tcW w:w="1928" w:type="pct"/>
          </w:tcPr>
          <w:p w:rsidR="0097239C" w:rsidRPr="00C0386E" w:rsidP="00C0386E">
            <w:pPr>
              <w:spacing w:before="30" w:after="30" w:line="240" w:lineRule="exact"/>
              <w:rPr>
                <w:sz w:val="22"/>
                <w:szCs w:val="22"/>
                <w:rtl/>
              </w:rPr>
            </w:pPr>
            <w:r w:rsidRPr="00C0386E">
              <w:rPr>
                <w:rFonts w:hint="cs"/>
                <w:sz w:val="22"/>
                <w:szCs w:val="22"/>
                <w:rtl/>
              </w:rPr>
              <w:t>שיעור המכירה של כלי רכב חשמליים מכלל המכירות של כלי רכב</w:t>
            </w:r>
          </w:p>
        </w:tc>
        <w:tc>
          <w:tcPr>
            <w:tcW w:w="776" w:type="pct"/>
          </w:tcPr>
          <w:p w:rsidR="0097239C" w:rsidRPr="00C0386E" w:rsidP="00C0386E">
            <w:pPr>
              <w:spacing w:before="30" w:after="30" w:line="240" w:lineRule="exact"/>
              <w:rPr>
                <w:sz w:val="22"/>
                <w:szCs w:val="22"/>
                <w:rtl/>
              </w:rPr>
            </w:pPr>
            <w:r w:rsidRPr="00C0386E">
              <w:rPr>
                <w:rFonts w:hint="cs"/>
                <w:sz w:val="22"/>
                <w:szCs w:val="22"/>
                <w:rtl/>
              </w:rPr>
              <w:t>5%</w:t>
            </w:r>
          </w:p>
        </w:tc>
        <w:tc>
          <w:tcPr>
            <w:tcW w:w="776" w:type="pct"/>
          </w:tcPr>
          <w:p w:rsidR="0097239C" w:rsidRPr="00C0386E" w:rsidP="00C0386E">
            <w:pPr>
              <w:spacing w:before="30" w:after="30" w:line="240" w:lineRule="exact"/>
              <w:rPr>
                <w:sz w:val="22"/>
                <w:szCs w:val="22"/>
                <w:rtl/>
              </w:rPr>
            </w:pPr>
            <w:r w:rsidRPr="00C0386E">
              <w:rPr>
                <w:rFonts w:hint="cs"/>
                <w:sz w:val="22"/>
                <w:szCs w:val="22"/>
                <w:rtl/>
              </w:rPr>
              <w:t>23%</w:t>
            </w:r>
          </w:p>
        </w:tc>
        <w:tc>
          <w:tcPr>
            <w:tcW w:w="776" w:type="pct"/>
          </w:tcPr>
          <w:p w:rsidR="0097239C" w:rsidRPr="00C0386E" w:rsidP="00C0386E">
            <w:pPr>
              <w:spacing w:before="30" w:after="30" w:line="240" w:lineRule="exact"/>
              <w:rPr>
                <w:sz w:val="22"/>
                <w:szCs w:val="22"/>
                <w:rtl/>
              </w:rPr>
            </w:pPr>
            <w:r w:rsidRPr="00C0386E">
              <w:rPr>
                <w:rFonts w:hint="cs"/>
                <w:sz w:val="22"/>
                <w:szCs w:val="22"/>
                <w:rtl/>
              </w:rPr>
              <w:t>61%</w:t>
            </w:r>
          </w:p>
        </w:tc>
        <w:tc>
          <w:tcPr>
            <w:tcW w:w="742" w:type="pct"/>
          </w:tcPr>
          <w:p w:rsidR="0097239C" w:rsidRPr="00C0386E" w:rsidP="00C0386E">
            <w:pPr>
              <w:spacing w:before="30" w:after="30" w:line="240" w:lineRule="exact"/>
              <w:rPr>
                <w:sz w:val="22"/>
                <w:szCs w:val="22"/>
                <w:rtl/>
              </w:rPr>
            </w:pPr>
            <w:r w:rsidRPr="00C0386E">
              <w:rPr>
                <w:rFonts w:hint="cs"/>
                <w:sz w:val="22"/>
                <w:szCs w:val="22"/>
                <w:rtl/>
              </w:rPr>
              <w:t>100%</w:t>
            </w:r>
          </w:p>
        </w:tc>
      </w:tr>
      <w:tr w:rsidTr="00C0386E">
        <w:tblPrEx>
          <w:tblW w:w="4889" w:type="pct"/>
          <w:jc w:val="center"/>
          <w:tblLook w:val="04A0"/>
        </w:tblPrEx>
        <w:trPr>
          <w:jc w:val="center"/>
        </w:trPr>
        <w:tc>
          <w:tcPr>
            <w:tcW w:w="1928" w:type="pct"/>
          </w:tcPr>
          <w:p w:rsidR="0097239C" w:rsidRPr="00C0386E" w:rsidP="00C0386E">
            <w:pPr>
              <w:spacing w:before="30" w:after="30" w:line="240" w:lineRule="exact"/>
              <w:rPr>
                <w:sz w:val="22"/>
                <w:szCs w:val="22"/>
                <w:rtl/>
              </w:rPr>
            </w:pPr>
            <w:r w:rsidRPr="00C0386E">
              <w:rPr>
                <w:rFonts w:hint="cs"/>
                <w:sz w:val="22"/>
                <w:szCs w:val="22"/>
                <w:rtl/>
              </w:rPr>
              <w:t>מספר כלי הרכב החשמליים (באלפים)</w:t>
            </w:r>
          </w:p>
        </w:tc>
        <w:tc>
          <w:tcPr>
            <w:tcW w:w="776" w:type="pct"/>
          </w:tcPr>
          <w:p w:rsidR="0097239C" w:rsidRPr="00C0386E" w:rsidP="00C0386E">
            <w:pPr>
              <w:spacing w:before="30" w:after="30" w:line="240" w:lineRule="exact"/>
              <w:rPr>
                <w:sz w:val="22"/>
                <w:szCs w:val="22"/>
                <w:rtl/>
              </w:rPr>
            </w:pPr>
            <w:r w:rsidRPr="00C0386E">
              <w:rPr>
                <w:rFonts w:hint="cs"/>
                <w:sz w:val="22"/>
                <w:szCs w:val="22"/>
                <w:rtl/>
              </w:rPr>
              <w:t>27</w:t>
            </w:r>
          </w:p>
        </w:tc>
        <w:tc>
          <w:tcPr>
            <w:tcW w:w="776" w:type="pct"/>
          </w:tcPr>
          <w:p w:rsidR="0097239C" w:rsidRPr="00C0386E" w:rsidP="00C0386E">
            <w:pPr>
              <w:spacing w:before="30" w:after="30" w:line="240" w:lineRule="exact"/>
              <w:rPr>
                <w:sz w:val="22"/>
                <w:szCs w:val="22"/>
                <w:rtl/>
              </w:rPr>
            </w:pPr>
            <w:r w:rsidRPr="00C0386E">
              <w:rPr>
                <w:rFonts w:hint="cs"/>
                <w:sz w:val="22"/>
                <w:szCs w:val="22"/>
                <w:rtl/>
              </w:rPr>
              <w:t>177</w:t>
            </w:r>
          </w:p>
        </w:tc>
        <w:tc>
          <w:tcPr>
            <w:tcW w:w="776" w:type="pct"/>
          </w:tcPr>
          <w:p w:rsidR="0097239C" w:rsidRPr="00C0386E" w:rsidP="00C0386E">
            <w:pPr>
              <w:spacing w:before="30" w:after="30" w:line="240" w:lineRule="exact"/>
              <w:rPr>
                <w:sz w:val="22"/>
                <w:szCs w:val="22"/>
                <w:rtl/>
              </w:rPr>
            </w:pPr>
            <w:r w:rsidRPr="00C0386E">
              <w:rPr>
                <w:rFonts w:hint="cs"/>
                <w:sz w:val="22"/>
                <w:szCs w:val="22"/>
                <w:rtl/>
              </w:rPr>
              <w:t>665</w:t>
            </w:r>
          </w:p>
        </w:tc>
        <w:tc>
          <w:tcPr>
            <w:tcW w:w="742" w:type="pct"/>
          </w:tcPr>
          <w:p w:rsidR="0097239C" w:rsidRPr="00C0386E" w:rsidP="00C0386E">
            <w:pPr>
              <w:spacing w:before="30" w:after="30" w:line="240" w:lineRule="exact"/>
              <w:rPr>
                <w:sz w:val="22"/>
                <w:szCs w:val="22"/>
                <w:rtl/>
              </w:rPr>
            </w:pPr>
            <w:r w:rsidRPr="00C0386E">
              <w:rPr>
                <w:rFonts w:hint="cs"/>
                <w:sz w:val="22"/>
                <w:szCs w:val="22"/>
                <w:rtl/>
              </w:rPr>
              <w:t>1,400</w:t>
            </w:r>
          </w:p>
        </w:tc>
      </w:tr>
    </w:tbl>
    <w:p w:rsidR="0097239C" w:rsidRPr="001341AA" w:rsidP="008A1C81">
      <w:pPr>
        <w:spacing w:before="120" w:line="269" w:lineRule="auto"/>
        <w:rPr>
          <w:sz w:val="22"/>
          <w:szCs w:val="22"/>
          <w:rtl/>
        </w:rPr>
      </w:pPr>
      <w:r w:rsidRPr="001341AA">
        <w:rPr>
          <w:rFonts w:hint="eastAsia"/>
          <w:b/>
          <w:bCs/>
          <w:sz w:val="22"/>
          <w:szCs w:val="22"/>
          <w:rtl/>
        </w:rPr>
        <w:t>ת</w:t>
      </w:r>
      <w:r w:rsidRPr="001341AA">
        <w:rPr>
          <w:rFonts w:hint="cs"/>
          <w:b/>
          <w:bCs/>
          <w:sz w:val="22"/>
          <w:szCs w:val="22"/>
          <w:rtl/>
        </w:rPr>
        <w:t>ו</w:t>
      </w:r>
      <w:r w:rsidRPr="001341AA">
        <w:rPr>
          <w:rFonts w:hint="eastAsia"/>
          <w:b/>
          <w:bCs/>
          <w:sz w:val="22"/>
          <w:szCs w:val="22"/>
          <w:rtl/>
        </w:rPr>
        <w:t>כנית</w:t>
      </w:r>
      <w:r w:rsidRPr="001341AA">
        <w:rPr>
          <w:b/>
          <w:bCs/>
          <w:sz w:val="22"/>
          <w:szCs w:val="22"/>
          <w:rtl/>
        </w:rPr>
        <w:t xml:space="preserve"> </w:t>
      </w:r>
      <w:r w:rsidRPr="001341AA">
        <w:rPr>
          <w:rFonts w:hint="eastAsia"/>
          <w:b/>
          <w:bCs/>
          <w:sz w:val="22"/>
          <w:szCs w:val="22"/>
          <w:rtl/>
        </w:rPr>
        <w:t>משרד</w:t>
      </w:r>
      <w:r w:rsidRPr="001341AA">
        <w:rPr>
          <w:b/>
          <w:bCs/>
          <w:sz w:val="22"/>
          <w:szCs w:val="22"/>
          <w:rtl/>
        </w:rPr>
        <w:t xml:space="preserve"> </w:t>
      </w:r>
      <w:r w:rsidRPr="001341AA">
        <w:rPr>
          <w:rFonts w:hint="eastAsia"/>
          <w:b/>
          <w:bCs/>
          <w:sz w:val="22"/>
          <w:szCs w:val="22"/>
          <w:rtl/>
        </w:rPr>
        <w:t>האנרגייה</w:t>
      </w:r>
      <w:r w:rsidRPr="001341AA">
        <w:rPr>
          <w:rFonts w:hint="cs"/>
          <w:sz w:val="22"/>
          <w:szCs w:val="22"/>
          <w:rtl/>
        </w:rPr>
        <w:t xml:space="preserve">; </w:t>
      </w:r>
      <w:r w:rsidRPr="001341AA">
        <w:rPr>
          <w:rFonts w:hint="eastAsia"/>
          <w:b/>
          <w:bCs/>
          <w:sz w:val="22"/>
          <w:szCs w:val="22"/>
          <w:rtl/>
        </w:rPr>
        <w:t>יעדי</w:t>
      </w:r>
      <w:r w:rsidRPr="001341AA">
        <w:rPr>
          <w:b/>
          <w:bCs/>
          <w:sz w:val="22"/>
          <w:szCs w:val="22"/>
          <w:rtl/>
        </w:rPr>
        <w:t xml:space="preserve"> </w:t>
      </w:r>
      <w:r w:rsidRPr="001341AA">
        <w:rPr>
          <w:rFonts w:hint="eastAsia"/>
          <w:b/>
          <w:bCs/>
          <w:sz w:val="22"/>
          <w:szCs w:val="22"/>
          <w:rtl/>
        </w:rPr>
        <w:t>משק</w:t>
      </w:r>
      <w:r w:rsidRPr="001341AA">
        <w:rPr>
          <w:b/>
          <w:bCs/>
          <w:sz w:val="22"/>
          <w:szCs w:val="22"/>
          <w:rtl/>
        </w:rPr>
        <w:t xml:space="preserve"> </w:t>
      </w:r>
      <w:r w:rsidRPr="001341AA">
        <w:rPr>
          <w:rFonts w:hint="eastAsia"/>
          <w:b/>
          <w:bCs/>
          <w:sz w:val="22"/>
          <w:szCs w:val="22"/>
          <w:rtl/>
        </w:rPr>
        <w:t>האנרגיה</w:t>
      </w:r>
      <w:r w:rsidRPr="001341AA">
        <w:rPr>
          <w:b/>
          <w:bCs/>
          <w:sz w:val="22"/>
          <w:szCs w:val="22"/>
          <w:rtl/>
        </w:rPr>
        <w:t xml:space="preserve"> </w:t>
      </w:r>
      <w:r w:rsidRPr="001341AA">
        <w:rPr>
          <w:rFonts w:hint="eastAsia"/>
          <w:b/>
          <w:bCs/>
          <w:sz w:val="22"/>
          <w:szCs w:val="22"/>
          <w:rtl/>
        </w:rPr>
        <w:t>לשנת</w:t>
      </w:r>
      <w:r w:rsidRPr="001341AA">
        <w:rPr>
          <w:b/>
          <w:bCs/>
          <w:sz w:val="22"/>
          <w:szCs w:val="22"/>
          <w:rtl/>
        </w:rPr>
        <w:t xml:space="preserve"> 2030</w:t>
      </w:r>
      <w:r w:rsidRPr="001341AA">
        <w:rPr>
          <w:rFonts w:hint="cs"/>
          <w:sz w:val="22"/>
          <w:szCs w:val="22"/>
          <w:rtl/>
        </w:rPr>
        <w:t xml:space="preserve">, משרד </w:t>
      </w:r>
      <w:r w:rsidRPr="001341AA">
        <w:rPr>
          <w:rFonts w:hint="cs"/>
          <w:sz w:val="22"/>
          <w:szCs w:val="22"/>
          <w:rtl/>
        </w:rPr>
        <w:t>האנרגייה</w:t>
      </w:r>
      <w:r w:rsidRPr="001341AA">
        <w:rPr>
          <w:rFonts w:hint="cs"/>
          <w:sz w:val="22"/>
          <w:szCs w:val="22"/>
          <w:rtl/>
        </w:rPr>
        <w:t xml:space="preserve">, מרץ 2019. </w:t>
      </w:r>
    </w:p>
    <w:p w:rsidR="003F2044" w:rsidP="00C603CF">
      <w:pPr>
        <w:pStyle w:val="a"/>
        <w:spacing w:line="269" w:lineRule="auto"/>
        <w:rPr>
          <w:rtl/>
        </w:rPr>
      </w:pPr>
    </w:p>
    <w:p w:rsidR="0097239C" w:rsidRPr="0097239C" w:rsidP="00C603CF">
      <w:pPr>
        <w:spacing w:line="269" w:lineRule="auto"/>
        <w:rPr>
          <w:rtl/>
        </w:rPr>
      </w:pPr>
      <w:r w:rsidRPr="0097239C">
        <w:rPr>
          <w:rFonts w:hint="cs"/>
          <w:rtl/>
        </w:rPr>
        <w:t xml:space="preserve">להערכת משרד </w:t>
      </w:r>
      <w:r w:rsidRPr="0097239C">
        <w:rPr>
          <w:rFonts w:hint="cs"/>
          <w:rtl/>
        </w:rPr>
        <w:t>האנרגייה</w:t>
      </w:r>
      <w:r w:rsidRPr="0097239C">
        <w:rPr>
          <w:rFonts w:hint="cs"/>
          <w:rtl/>
        </w:rPr>
        <w:t>, התועלת המשקית המצטברת במעבר לשימוש ברכבים חשמליים עד שנת 2040 היא כ-28 מיליארד ש"ח. עם השלמת המהלך ייחסכו למשק בכל שנה 3.5 מיליארד ש"ח בעקבות המעבר לכלי רכב חשמליים. התועלת הסביבתית המצטברת ממהלך זה עד שנת 2040 היא כ-4.3 מיליארד ש"ח בזכות ההפחתה בפליטת גזי החממה. יצוין כי מסמכים אלה לא אושרו בממשלה ולא קיבלו תוקף סטטוטורי. לעיגונה של מדיניות בנוגע לחדירה של רכב חשמלי וליישומה יש השפעה משמעותית על משק החשמל</w:t>
      </w:r>
      <w:r>
        <w:rPr>
          <w:vertAlign w:val="superscript"/>
          <w:rtl/>
        </w:rPr>
        <w:footnoteReference w:id="103"/>
      </w:r>
      <w:r w:rsidRPr="0097239C">
        <w:rPr>
          <w:rFonts w:hint="cs"/>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משרד</w:t>
      </w:r>
      <w:r w:rsidRPr="0097239C">
        <w:rPr>
          <w:rtl/>
        </w:rPr>
        <w:t xml:space="preserve"> התחבורה השיב למשרד מבקר המדינה ביולי 2020</w:t>
      </w:r>
      <w:r w:rsidRPr="0097239C">
        <w:rPr>
          <w:rFonts w:hint="cs"/>
          <w:rtl/>
        </w:rPr>
        <w:t>,</w:t>
      </w:r>
      <w:r w:rsidRPr="0097239C">
        <w:rPr>
          <w:rtl/>
        </w:rPr>
        <w:t xml:space="preserve"> כי אין ביכולתו לתמוך בעמדה </w:t>
      </w:r>
      <w:r w:rsidRPr="0097239C">
        <w:rPr>
          <w:rFonts w:hint="cs"/>
          <w:rtl/>
        </w:rPr>
        <w:t>של</w:t>
      </w:r>
      <w:r w:rsidRPr="0097239C">
        <w:rPr>
          <w:rtl/>
        </w:rPr>
        <w:t xml:space="preserve"> 100% כלי רכב פרטיים חשמליים חדשים בשנת 2030 בשל ה</w:t>
      </w:r>
      <w:r w:rsidRPr="0097239C">
        <w:rPr>
          <w:rFonts w:hint="cs"/>
          <w:rtl/>
        </w:rPr>
        <w:t>י</w:t>
      </w:r>
      <w:r w:rsidRPr="0097239C">
        <w:rPr>
          <w:rtl/>
        </w:rPr>
        <w:t xml:space="preserve">עדר היכולת לבחון את ישימותה, האתגרים הטכנולוגיים </w:t>
      </w:r>
      <w:r w:rsidRPr="0097239C">
        <w:rPr>
          <w:rFonts w:hint="cs"/>
          <w:rtl/>
        </w:rPr>
        <w:t>והתשתיתי</w:t>
      </w:r>
      <w:r w:rsidRPr="0097239C">
        <w:rPr>
          <w:rFonts w:hint="eastAsia"/>
          <w:rtl/>
        </w:rPr>
        <w:t>ים</w:t>
      </w:r>
      <w:r w:rsidRPr="0097239C">
        <w:rPr>
          <w:rtl/>
        </w:rPr>
        <w:t xml:space="preserve"> שנדרש להם מענה, וכן שאלות מסחריות ואחרות שמעלים היעדים האלו.</w:t>
      </w:r>
      <w:r w:rsidRPr="0097239C">
        <w:rPr>
          <w:rFonts w:hint="cs"/>
          <w:rtl/>
        </w:rPr>
        <w:t xml:space="preserve"> עוד</w:t>
      </w:r>
      <w:r w:rsidRPr="0097239C">
        <w:rPr>
          <w:rtl/>
        </w:rPr>
        <w:t xml:space="preserve"> השיב משרד התחבורה כי השימוש ברכב פרטי חשמלי בנסועה פרטית ממוצעת יביא להפחתה של כטון אחד שווה ערך </w:t>
      </w:r>
      <w:r w:rsidRPr="0097239C">
        <w:rPr>
          <w:rFonts w:hint="cs"/>
          <w:rtl/>
        </w:rPr>
        <w:t>פד</w:t>
      </w:r>
      <w:r w:rsidRPr="0097239C">
        <w:rPr>
          <w:rtl/>
        </w:rPr>
        <w:t>"ח</w:t>
      </w:r>
      <w:r w:rsidRPr="0097239C">
        <w:rPr>
          <w:rtl/>
        </w:rPr>
        <w:t xml:space="preserve"> לרכב/שעה, כך שפוטנציאל ההפחתה באמצעי זה אינו בעל משקל גדול ביחס ליעדי ההפחתה הלאומיים.</w:t>
      </w:r>
      <w:r w:rsidRPr="0097239C">
        <w:rPr>
          <w:rFonts w:hint="cs"/>
          <w:rtl/>
        </w:rPr>
        <w:t xml:space="preserve"> משרד</w:t>
      </w:r>
      <w:r w:rsidRPr="0097239C">
        <w:rPr>
          <w:rtl/>
        </w:rPr>
        <w:t xml:space="preserve"> התחבורה </w:t>
      </w:r>
      <w:r w:rsidRPr="0097239C">
        <w:rPr>
          <w:rFonts w:hint="cs"/>
          <w:rtl/>
        </w:rPr>
        <w:t>הוסיף כי הוא ממליץ</w:t>
      </w:r>
      <w:r w:rsidRPr="0097239C">
        <w:rPr>
          <w:rtl/>
        </w:rPr>
        <w:t xml:space="preserve"> להמשיך </w:t>
      </w:r>
      <w:r w:rsidRPr="0097239C">
        <w:rPr>
          <w:rtl/>
        </w:rPr>
        <w:t>לעודד רכב חשמלי באמצעים הקיימים כיום</w:t>
      </w:r>
      <w:r w:rsidRPr="0097239C">
        <w:rPr>
          <w:rFonts w:hint="cs"/>
          <w:rtl/>
        </w:rPr>
        <w:t>,</w:t>
      </w:r>
      <w:r w:rsidRPr="0097239C">
        <w:rPr>
          <w:rtl/>
        </w:rPr>
        <w:t xml:space="preserve"> ובמקביל לפתח </w:t>
      </w:r>
      <w:r w:rsidRPr="0097239C">
        <w:rPr>
          <w:rFonts w:hint="cs"/>
          <w:rtl/>
        </w:rPr>
        <w:t>את</w:t>
      </w:r>
      <w:r w:rsidRPr="0097239C">
        <w:rPr>
          <w:rtl/>
        </w:rPr>
        <w:t xml:space="preserve"> התשתיות הנדרשות ולגבש </w:t>
      </w:r>
      <w:r w:rsidRPr="0097239C">
        <w:rPr>
          <w:rFonts w:hint="cs"/>
          <w:rtl/>
        </w:rPr>
        <w:t>תוכנית</w:t>
      </w:r>
      <w:r w:rsidRPr="0097239C">
        <w:rPr>
          <w:rtl/>
        </w:rPr>
        <w:t xml:space="preserve"> מבוססת בדרך לאופק חשמלי.</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מעבר לתחבורה חשמלית עשוי להפחית את השימוש העתידי בתזקיקי הדלק (בעיקר בנזין וסולר), להביא לחיסכון כספי ולשיפור באיכות האוויר. עם זאת, יישום מדיניות כזו הוא בעל השלכות כבדות משקל על משק החשמל, שכן המעבר כרוך בהגדלת הביקוש לחשמל. על משרד </w:t>
      </w:r>
      <w:r w:rsidRPr="0097239C">
        <w:rPr>
          <w:rFonts w:hint="cs"/>
          <w:b/>
          <w:bCs/>
          <w:rtl/>
        </w:rPr>
        <w:t>האנרגייה</w:t>
      </w:r>
      <w:r w:rsidRPr="0097239C">
        <w:rPr>
          <w:rFonts w:hint="cs"/>
          <w:b/>
          <w:bCs/>
          <w:rtl/>
        </w:rPr>
        <w:t xml:space="preserve">, משרד התחבורה ורשות החשמל לבצע בחינה כוללת בנושא ההשפעות הצפויות של כניסת כלי רכב חשמליים ואוטונומיים לשוק התחבורה והמגמות הצפויות בשוק זה בעקבות כניסתם. מומלץ כי כלל הגורמים ובכללם רשות החשמל יגבשו מתווה ליישום, הכולל אבני דרך, בהתאם לשינויים החלים בשוק התחבורה בפועל ולבצע עדכון תקופתי של היעדים.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rtl/>
        </w:rPr>
        <w:t>רשות החשמל השיבה למשרד מבקר המדינה במאי 2020, כי היא עוקבת אחר ההתפתחויות בתחום הרכבים החשמליים ותשתיות הטעינה כדי לאפשר את השתלבותם בצורה מיטבית למשק החשמל; וכי היא משתתפת בצוותי עבודה העוסקים בקידום הנושא ובהסרת חסמים, תוך בחינת השפעות רוחביות של כניסה נרחבת של רכבים חשמליים.</w:t>
      </w:r>
      <w:r w:rsidRPr="0097239C">
        <w:rPr>
          <w:rFonts w:hint="cs"/>
          <w:b/>
          <w:bCs/>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להלן יוצגו מספרם הצפוי של כלי הרכב החשמליים בישראל בשנת 2030, נתח השוק שלהם והיקף החשמל שהם צפויים לצרוך</w:t>
      </w:r>
      <w:r w:rsidR="00C72F65">
        <w:rPr>
          <w:rFonts w:hint="cs"/>
          <w:rtl/>
        </w:rPr>
        <w:t>.</w:t>
      </w:r>
    </w:p>
    <w:p w:rsidR="00C72F65" w:rsidRPr="0097239C" w:rsidP="00C603CF">
      <w:pPr>
        <w:pStyle w:val="a"/>
        <w:spacing w:line="269" w:lineRule="auto"/>
        <w:rPr>
          <w:rtl/>
        </w:rPr>
      </w:pPr>
    </w:p>
    <w:p w:rsidR="0097239C" w:rsidRPr="0097239C" w:rsidP="00C0386E">
      <w:pPr>
        <w:spacing w:after="120" w:line="269" w:lineRule="auto"/>
        <w:jc w:val="center"/>
        <w:rPr>
          <w:b/>
          <w:bCs/>
          <w:rtl/>
        </w:rPr>
      </w:pPr>
      <w:r w:rsidRPr="0097239C">
        <w:rPr>
          <w:rFonts w:hint="cs"/>
          <w:b/>
          <w:bCs/>
          <w:rtl/>
        </w:rPr>
        <w:t>לוח 14: צפי של חדירת כלי רכב חשמליים לישראל ושל צריכת החשמל שלהם בשנת 2030</w:t>
      </w:r>
    </w:p>
    <w:tbl>
      <w:tblPr>
        <w:tblStyle w:val="1-11"/>
        <w:bidiVisual/>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9"/>
        <w:gridCol w:w="1648"/>
        <w:gridCol w:w="1359"/>
        <w:gridCol w:w="930"/>
        <w:gridCol w:w="1023"/>
      </w:tblGrid>
      <w:tr w:rsidTr="00C66AB8">
        <w:tblPrEx>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300"/>
          <w:jc w:val="center"/>
        </w:trPr>
        <w:tc>
          <w:tcPr>
            <w:tcW w:w="1912" w:type="pct"/>
            <w:tcBorders>
              <w:bottom w:val="none" w:sz="0" w:space="0" w:color="auto"/>
            </w:tcBorders>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Pr>
            </w:pPr>
          </w:p>
        </w:tc>
        <w:tc>
          <w:tcPr>
            <w:tcW w:w="1026" w:type="pct"/>
            <w:tcBorders>
              <w:bottom w:val="none" w:sz="0" w:space="0" w:color="auto"/>
            </w:tcBorders>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Pr>
            </w:pPr>
            <w:r w:rsidRPr="00C0386E">
              <w:rPr>
                <w:rFonts w:ascii="Times New Roman" w:hAnsi="Times New Roman" w:cs="David" w:hint="cs"/>
                <w:rtl/>
              </w:rPr>
              <w:t>כלי רכב קלים</w:t>
            </w:r>
          </w:p>
        </w:tc>
        <w:tc>
          <w:tcPr>
            <w:tcW w:w="846" w:type="pct"/>
            <w:tcBorders>
              <w:bottom w:val="none" w:sz="0" w:space="0" w:color="auto"/>
            </w:tcBorders>
            <w:shd w:val="clear" w:color="auto" w:fill="auto"/>
            <w:vAlign w:val="center"/>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אוטובוסים</w:t>
            </w:r>
          </w:p>
        </w:tc>
        <w:tc>
          <w:tcPr>
            <w:tcW w:w="579" w:type="pct"/>
            <w:tcBorders>
              <w:bottom w:val="none" w:sz="0" w:space="0" w:color="auto"/>
            </w:tcBorders>
            <w:shd w:val="clear" w:color="auto" w:fill="auto"/>
            <w:vAlign w:val="center"/>
            <w:hideMark/>
          </w:tcPr>
          <w:p w:rsidR="0097239C" w:rsidRPr="00C0386E" w:rsidP="00C0386E">
            <w:pPr>
              <w:spacing w:before="30" w:after="72" w:afterLines="30" w:line="240" w:lineRule="exact"/>
              <w:jc w:val="both"/>
              <w:rPr>
                <w:rFonts w:ascii="Times New Roman" w:hAnsi="Times New Roman" w:cs="David"/>
              </w:rPr>
            </w:pPr>
            <w:r w:rsidRPr="00C0386E">
              <w:rPr>
                <w:rFonts w:ascii="Times New Roman" w:hAnsi="Times New Roman" w:cs="David" w:hint="cs"/>
                <w:rtl/>
              </w:rPr>
              <w:t>מוניות</w:t>
            </w:r>
          </w:p>
        </w:tc>
        <w:tc>
          <w:tcPr>
            <w:tcW w:w="637" w:type="pct"/>
            <w:tcBorders>
              <w:bottom w:val="none" w:sz="0" w:space="0" w:color="auto"/>
            </w:tcBorders>
            <w:shd w:val="clear" w:color="auto" w:fill="auto"/>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סה"כ</w:t>
            </w:r>
          </w:p>
        </w:tc>
      </w:tr>
      <w:tr w:rsidTr="00C66AB8">
        <w:tblPrEx>
          <w:tblW w:w="4889" w:type="pct"/>
          <w:jc w:val="center"/>
          <w:tblLook w:val="04A0"/>
        </w:tblPrEx>
        <w:trPr>
          <w:trHeight w:val="300"/>
          <w:jc w:val="center"/>
        </w:trPr>
        <w:tc>
          <w:tcPr>
            <w:tcW w:w="1912"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מלאי</w:t>
            </w:r>
          </w:p>
        </w:tc>
        <w:tc>
          <w:tcPr>
            <w:tcW w:w="1026"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480,000</w:t>
            </w:r>
          </w:p>
        </w:tc>
        <w:tc>
          <w:tcPr>
            <w:tcW w:w="846" w:type="pct"/>
            <w:shd w:val="clear" w:color="auto" w:fill="auto"/>
            <w:vAlign w:val="center"/>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3,300</w:t>
            </w:r>
          </w:p>
        </w:tc>
        <w:tc>
          <w:tcPr>
            <w:tcW w:w="579"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13</w:t>
            </w:r>
            <w:r w:rsidRPr="00C0386E">
              <w:rPr>
                <w:rFonts w:ascii="Times New Roman" w:hAnsi="Times New Roman" w:cs="David"/>
                <w:rtl/>
              </w:rPr>
              <w:t>,</w:t>
            </w:r>
            <w:r w:rsidRPr="00C0386E">
              <w:rPr>
                <w:rFonts w:ascii="Times New Roman" w:hAnsi="Times New Roman" w:cs="David" w:hint="cs"/>
                <w:rtl/>
              </w:rPr>
              <w:t>500</w:t>
            </w:r>
          </w:p>
        </w:tc>
        <w:tc>
          <w:tcPr>
            <w:tcW w:w="637"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496,800</w:t>
            </w:r>
          </w:p>
        </w:tc>
      </w:tr>
      <w:tr w:rsidTr="00C66AB8">
        <w:tblPrEx>
          <w:tblW w:w="4889" w:type="pct"/>
          <w:jc w:val="center"/>
          <w:tblLook w:val="04A0"/>
        </w:tblPrEx>
        <w:trPr>
          <w:trHeight w:val="300"/>
          <w:jc w:val="center"/>
        </w:trPr>
        <w:tc>
          <w:tcPr>
            <w:tcW w:w="1912"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נתח השוק</w:t>
            </w:r>
          </w:p>
        </w:tc>
        <w:tc>
          <w:tcPr>
            <w:tcW w:w="1026"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20%</w:t>
            </w:r>
          </w:p>
        </w:tc>
        <w:tc>
          <w:tcPr>
            <w:tcW w:w="846" w:type="pct"/>
            <w:shd w:val="clear" w:color="auto" w:fill="auto"/>
            <w:vAlign w:val="center"/>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50</w:t>
            </w:r>
            <w:r w:rsidRPr="00C0386E">
              <w:rPr>
                <w:rFonts w:ascii="Times New Roman" w:hAnsi="Times New Roman" w:cs="David"/>
                <w:rtl/>
              </w:rPr>
              <w:t>%</w:t>
            </w:r>
          </w:p>
        </w:tc>
        <w:tc>
          <w:tcPr>
            <w:tcW w:w="579"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50%</w:t>
            </w:r>
          </w:p>
        </w:tc>
        <w:tc>
          <w:tcPr>
            <w:tcW w:w="637" w:type="pct"/>
            <w:shd w:val="clear" w:color="auto" w:fill="auto"/>
            <w:vAlign w:val="center"/>
          </w:tcPr>
          <w:p w:rsidR="0097239C" w:rsidRPr="00C0386E" w:rsidP="00C0386E">
            <w:pPr>
              <w:spacing w:before="30" w:after="72" w:afterLines="30" w:line="240" w:lineRule="exact"/>
              <w:jc w:val="both"/>
              <w:rPr>
                <w:rFonts w:ascii="Times New Roman" w:hAnsi="Times New Roman" w:cs="David"/>
                <w:rtl/>
              </w:rPr>
            </w:pPr>
          </w:p>
        </w:tc>
      </w:tr>
      <w:tr w:rsidTr="00C66AB8">
        <w:tblPrEx>
          <w:tblW w:w="4889" w:type="pct"/>
          <w:jc w:val="center"/>
          <w:tblLook w:val="04A0"/>
        </w:tblPrEx>
        <w:trPr>
          <w:trHeight w:val="315"/>
          <w:jc w:val="center"/>
        </w:trPr>
        <w:tc>
          <w:tcPr>
            <w:tcW w:w="1912"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שיעור החדירה</w:t>
            </w:r>
            <w:r>
              <w:rPr>
                <w:rFonts w:ascii="Times New Roman" w:hAnsi="Times New Roman" w:cs="David"/>
                <w:vertAlign w:val="superscript"/>
                <w:rtl/>
              </w:rPr>
              <w:footnoteReference w:id="104"/>
            </w:r>
          </w:p>
        </w:tc>
        <w:tc>
          <w:tcPr>
            <w:tcW w:w="1026"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10%</w:t>
            </w:r>
          </w:p>
        </w:tc>
        <w:tc>
          <w:tcPr>
            <w:tcW w:w="846" w:type="pct"/>
            <w:shd w:val="clear" w:color="auto" w:fill="auto"/>
            <w:vAlign w:val="center"/>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30</w:t>
            </w:r>
            <w:r w:rsidRPr="00C0386E">
              <w:rPr>
                <w:rFonts w:ascii="Times New Roman" w:hAnsi="Times New Roman" w:cs="David"/>
                <w:rtl/>
              </w:rPr>
              <w:t>%</w:t>
            </w:r>
          </w:p>
        </w:tc>
        <w:tc>
          <w:tcPr>
            <w:tcW w:w="579"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50%</w:t>
            </w:r>
          </w:p>
        </w:tc>
        <w:tc>
          <w:tcPr>
            <w:tcW w:w="637" w:type="pct"/>
            <w:shd w:val="clear" w:color="auto" w:fill="auto"/>
            <w:vAlign w:val="center"/>
          </w:tcPr>
          <w:p w:rsidR="0097239C" w:rsidRPr="00C0386E" w:rsidP="00C0386E">
            <w:pPr>
              <w:spacing w:before="30" w:after="72" w:afterLines="30" w:line="240" w:lineRule="exact"/>
              <w:jc w:val="both"/>
              <w:rPr>
                <w:rFonts w:ascii="Times New Roman" w:hAnsi="Times New Roman" w:cs="David"/>
                <w:rtl/>
              </w:rPr>
            </w:pPr>
          </w:p>
        </w:tc>
      </w:tr>
      <w:tr w:rsidTr="00C66AB8">
        <w:tblPrEx>
          <w:tblW w:w="4889" w:type="pct"/>
          <w:jc w:val="center"/>
          <w:tblLook w:val="04A0"/>
        </w:tblPrEx>
        <w:trPr>
          <w:trHeight w:val="315"/>
          <w:jc w:val="center"/>
        </w:trPr>
        <w:tc>
          <w:tcPr>
            <w:tcW w:w="1912"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הצריכה השנתית (</w:t>
            </w:r>
            <w:r w:rsidRPr="00C0386E">
              <w:rPr>
                <w:rFonts w:ascii="Times New Roman" w:hAnsi="Times New Roman" w:cs="David"/>
              </w:rPr>
              <w:t>GWh</w:t>
            </w:r>
            <w:r w:rsidRPr="00C0386E">
              <w:rPr>
                <w:rFonts w:ascii="Times New Roman" w:hAnsi="Times New Roman" w:cs="David" w:hint="cs"/>
                <w:rtl/>
              </w:rPr>
              <w:t>)</w:t>
            </w:r>
          </w:p>
        </w:tc>
        <w:tc>
          <w:tcPr>
            <w:tcW w:w="1026"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1,380</w:t>
            </w:r>
          </w:p>
        </w:tc>
        <w:tc>
          <w:tcPr>
            <w:tcW w:w="846" w:type="pct"/>
            <w:shd w:val="clear" w:color="auto" w:fill="auto"/>
            <w:vAlign w:val="center"/>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160</w:t>
            </w:r>
          </w:p>
        </w:tc>
        <w:tc>
          <w:tcPr>
            <w:tcW w:w="579"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160</w:t>
            </w:r>
          </w:p>
        </w:tc>
        <w:tc>
          <w:tcPr>
            <w:tcW w:w="637"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1,700</w:t>
            </w:r>
          </w:p>
        </w:tc>
      </w:tr>
      <w:tr w:rsidTr="00C66AB8">
        <w:tblPrEx>
          <w:tblW w:w="4889" w:type="pct"/>
          <w:jc w:val="center"/>
          <w:tblLook w:val="04A0"/>
        </w:tblPrEx>
        <w:trPr>
          <w:trHeight w:val="300"/>
          <w:jc w:val="center"/>
        </w:trPr>
        <w:tc>
          <w:tcPr>
            <w:tcW w:w="1912"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rtl/>
              </w:rPr>
            </w:pPr>
            <w:r w:rsidRPr="00C0386E">
              <w:rPr>
                <w:rFonts w:ascii="Times New Roman" w:hAnsi="Times New Roman" w:cs="David" w:hint="cs"/>
                <w:rtl/>
              </w:rPr>
              <w:t>הצריכה בשיא הביקוש (</w:t>
            </w:r>
            <w:r w:rsidRPr="00C0386E">
              <w:rPr>
                <w:rFonts w:ascii="Times New Roman" w:hAnsi="Times New Roman" w:cs="David"/>
              </w:rPr>
              <w:t>MW</w:t>
            </w:r>
            <w:r w:rsidRPr="00C0386E">
              <w:rPr>
                <w:rFonts w:ascii="Times New Roman" w:hAnsi="Times New Roman" w:cs="David" w:hint="cs"/>
                <w:rtl/>
              </w:rPr>
              <w:t>)</w:t>
            </w:r>
          </w:p>
        </w:tc>
        <w:tc>
          <w:tcPr>
            <w:tcW w:w="1026" w:type="pct"/>
            <w:shd w:val="clear" w:color="auto" w:fill="auto"/>
            <w:noWrap/>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460</w:t>
            </w:r>
          </w:p>
        </w:tc>
        <w:tc>
          <w:tcPr>
            <w:tcW w:w="846" w:type="pct"/>
            <w:shd w:val="clear" w:color="auto" w:fill="auto"/>
            <w:vAlign w:val="center"/>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3</w:t>
            </w:r>
          </w:p>
        </w:tc>
        <w:tc>
          <w:tcPr>
            <w:tcW w:w="579"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16</w:t>
            </w:r>
          </w:p>
        </w:tc>
        <w:tc>
          <w:tcPr>
            <w:tcW w:w="637" w:type="pct"/>
            <w:shd w:val="clear" w:color="auto" w:fill="auto"/>
            <w:vAlign w:val="center"/>
            <w:hideMark/>
          </w:tcPr>
          <w:p w:rsidR="0097239C" w:rsidRPr="00C0386E" w:rsidP="00C0386E">
            <w:pPr>
              <w:spacing w:before="30" w:after="72" w:afterLines="30" w:line="240" w:lineRule="exact"/>
              <w:jc w:val="both"/>
              <w:rPr>
                <w:rFonts w:ascii="Times New Roman" w:hAnsi="Times New Roman" w:cs="David"/>
                <w:b/>
                <w:bCs/>
                <w:rtl/>
              </w:rPr>
            </w:pPr>
            <w:r w:rsidRPr="00C0386E">
              <w:rPr>
                <w:rFonts w:ascii="Times New Roman" w:hAnsi="Times New Roman" w:cs="David" w:hint="cs"/>
                <w:b/>
                <w:bCs/>
                <w:rtl/>
              </w:rPr>
              <w:t>479</w:t>
            </w:r>
          </w:p>
        </w:tc>
      </w:tr>
    </w:tbl>
    <w:p w:rsidR="0097239C" w:rsidRPr="001341AA" w:rsidP="003101C8">
      <w:pPr>
        <w:spacing w:before="120" w:line="269" w:lineRule="auto"/>
        <w:rPr>
          <w:sz w:val="22"/>
          <w:szCs w:val="22"/>
          <w:rtl/>
        </w:rPr>
      </w:pPr>
      <w:r w:rsidRPr="001341AA">
        <w:rPr>
          <w:rFonts w:hint="cs"/>
          <w:sz w:val="22"/>
          <w:szCs w:val="22"/>
          <w:rtl/>
        </w:rPr>
        <w:t>המקור: מסמך שהגישה חברת ייעוץ לרשות החשמל במרץ 2018.</w:t>
      </w:r>
    </w:p>
    <w:p w:rsidR="0097239C" w:rsidRPr="0097239C" w:rsidP="00C603CF">
      <w:pPr>
        <w:pStyle w:val="a"/>
        <w:spacing w:line="269" w:lineRule="auto"/>
        <w:rPr>
          <w:rtl/>
        </w:rPr>
      </w:pPr>
    </w:p>
    <w:p w:rsidR="0097239C" w:rsidRPr="0062312F" w:rsidP="0062312F">
      <w:pPr>
        <w:spacing w:line="269" w:lineRule="auto"/>
        <w:jc w:val="left"/>
        <w:rPr>
          <w:rtl/>
          <w14:ligatures w14:val="standardContextual"/>
        </w:rPr>
      </w:pPr>
      <w:r w:rsidRPr="0062312F">
        <w:rPr>
          <w:rFonts w:hint="cs"/>
          <w:rtl/>
          <w14:ligatures w14:val="standardContextual"/>
        </w:rPr>
        <w:t>מהלוח עולה כי אם נתח השוק של הרכבים הקלים החשמליים יהיה 20%, ונתח השוק של האוטובוסי</w:t>
      </w:r>
      <w:r w:rsidRPr="0062312F">
        <w:rPr>
          <w:rFonts w:hint="eastAsia"/>
          <w:rtl/>
          <w14:ligatures w14:val="standardContextual"/>
        </w:rPr>
        <w:t>ם</w:t>
      </w:r>
      <w:r w:rsidRPr="0062312F">
        <w:rPr>
          <w:rFonts w:hint="cs"/>
          <w:rtl/>
          <w14:ligatures w14:val="standardContextual"/>
        </w:rPr>
        <w:t xml:space="preserve"> והמוניות החשמליים יהיה 50%, הצריכה השנתית של כלי רכב אלה תסתכם בכ-1,700 </w:t>
      </w:r>
      <w:r w:rsidRPr="0062312F">
        <w:rPr>
          <w:rFonts w:hint="cs"/>
          <w14:ligatures w14:val="standardContextual"/>
        </w:rPr>
        <w:t>G</w:t>
      </w:r>
      <w:r w:rsidRPr="0062312F">
        <w:rPr>
          <w14:ligatures w14:val="standardContextual"/>
        </w:rPr>
        <w:t>Wh</w:t>
      </w:r>
      <w:r w:rsidRPr="0062312F">
        <w:rPr>
          <w:rFonts w:hint="cs"/>
          <w:rtl/>
          <w14:ligatures w14:val="standardContextual"/>
        </w:rPr>
        <w:t xml:space="preserve">. כדי לספק ביקוש זה, יש להקים מתקנים בעלי הספק מותקן בהיקף של </w:t>
      </w:r>
      <w:r w:rsidRPr="0062312F" w:rsidR="00C603CF">
        <w:rPr>
          <w:rFonts w:hint="cs"/>
          <w:rtl/>
          <w14:ligatures w14:val="standardContextual"/>
        </w:rPr>
        <w:t>כ-</w:t>
      </w:r>
      <w:r w:rsidRPr="0062312F">
        <w:rPr>
          <w:rFonts w:hint="cs"/>
          <w:rtl/>
          <w14:ligatures w14:val="standardContextual"/>
        </w:rPr>
        <w:t>431</w:t>
      </w:r>
      <w:r w:rsidRPr="0062312F">
        <w:rPr>
          <w:rFonts w:hint="cs"/>
          <w14:ligatures w14:val="standardContextual"/>
        </w:rPr>
        <w:t>MW</w:t>
      </w:r>
      <w:r>
        <w:rPr>
          <w:vertAlign w:val="superscript"/>
          <w:rtl/>
          <w14:ligatures w14:val="standardContextual"/>
        </w:rPr>
        <w:footnoteReference w:id="105"/>
      </w:r>
      <w:r w:rsidRPr="0062312F">
        <w:rPr>
          <w:rFonts w:hint="cs"/>
          <w:rtl/>
          <w14:ligatures w14:val="standardContextual"/>
        </w:rPr>
        <w:t xml:space="preserve">, בעלות של </w:t>
      </w:r>
      <w:r w:rsidRPr="0062312F" w:rsidR="00C603CF">
        <w:rPr>
          <w:rFonts w:hint="cs"/>
          <w:rtl/>
          <w14:ligatures w14:val="standardContextual"/>
        </w:rPr>
        <w:t>כ-</w:t>
      </w:r>
      <w:r w:rsidRPr="0062312F">
        <w:rPr>
          <w:rFonts w:hint="cs"/>
          <w:rtl/>
          <w14:ligatures w14:val="standardContextual"/>
        </w:rPr>
        <w:t>1.135 מיליארד ש"ח</w:t>
      </w:r>
      <w:r>
        <w:rPr>
          <w:vertAlign w:val="superscript"/>
          <w:rtl/>
          <w14:ligatures w14:val="standardContextual"/>
        </w:rPr>
        <w:footnoteReference w:id="106"/>
      </w:r>
      <w:r w:rsidRPr="0062312F">
        <w:rPr>
          <w:rFonts w:hint="cs"/>
          <w:rtl/>
          <w14:ligatures w14:val="standardContextua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ממסמכי רשות החשמל עולה כי </w:t>
      </w:r>
      <w:r w:rsidRPr="0097239C">
        <w:rPr>
          <w:rFonts w:hint="eastAsia"/>
          <w:rtl/>
        </w:rPr>
        <w:t>רגולטורים</w:t>
      </w:r>
      <w:r w:rsidRPr="0097239C">
        <w:rPr>
          <w:rtl/>
        </w:rPr>
        <w:t xml:space="preserve"> </w:t>
      </w:r>
      <w:r w:rsidRPr="0097239C">
        <w:rPr>
          <w:rFonts w:hint="eastAsia"/>
          <w:rtl/>
        </w:rPr>
        <w:t>בתחום</w:t>
      </w:r>
      <w:r w:rsidRPr="0097239C">
        <w:rPr>
          <w:rtl/>
        </w:rPr>
        <w:t xml:space="preserve"> </w:t>
      </w:r>
      <w:r w:rsidRPr="0097239C">
        <w:rPr>
          <w:rFonts w:hint="eastAsia"/>
          <w:rtl/>
        </w:rPr>
        <w:t>החשמל</w:t>
      </w:r>
      <w:r w:rsidRPr="0097239C">
        <w:rPr>
          <w:rtl/>
        </w:rPr>
        <w:t xml:space="preserve"> </w:t>
      </w:r>
      <w:r w:rsidRPr="0097239C">
        <w:rPr>
          <w:rFonts w:hint="eastAsia"/>
          <w:rtl/>
        </w:rPr>
        <w:t>ב</w:t>
      </w:r>
      <w:r w:rsidRPr="0097239C">
        <w:rPr>
          <w:rFonts w:hint="cs"/>
          <w:rtl/>
        </w:rPr>
        <w:t>רחבי ה</w:t>
      </w:r>
      <w:r w:rsidRPr="0097239C">
        <w:rPr>
          <w:rFonts w:hint="eastAsia"/>
          <w:rtl/>
        </w:rPr>
        <w:t>עולם</w:t>
      </w:r>
      <w:r w:rsidRPr="0097239C">
        <w:rPr>
          <w:rtl/>
        </w:rPr>
        <w:t xml:space="preserve"> </w:t>
      </w:r>
      <w:r w:rsidRPr="0097239C">
        <w:rPr>
          <w:rFonts w:hint="cs"/>
          <w:rtl/>
        </w:rPr>
        <w:t xml:space="preserve">תמימי דעים </w:t>
      </w:r>
      <w:r w:rsidRPr="0097239C">
        <w:rPr>
          <w:rFonts w:hint="eastAsia"/>
          <w:rtl/>
        </w:rPr>
        <w:t>ש</w:t>
      </w:r>
      <w:r w:rsidRPr="0097239C">
        <w:rPr>
          <w:rFonts w:hint="cs"/>
          <w:rtl/>
        </w:rPr>
        <w:t>ל</w:t>
      </w:r>
      <w:r w:rsidRPr="0097239C">
        <w:rPr>
          <w:rFonts w:hint="eastAsia"/>
          <w:rtl/>
        </w:rPr>
        <w:t>חדירת</w:t>
      </w:r>
      <w:r w:rsidRPr="0097239C">
        <w:rPr>
          <w:rtl/>
        </w:rPr>
        <w:t xml:space="preserve"> </w:t>
      </w:r>
      <w:r w:rsidRPr="0097239C">
        <w:rPr>
          <w:rFonts w:hint="eastAsia"/>
          <w:rtl/>
        </w:rPr>
        <w:t>הרכב</w:t>
      </w:r>
      <w:r w:rsidRPr="0097239C">
        <w:rPr>
          <w:rtl/>
        </w:rPr>
        <w:t xml:space="preserve"> </w:t>
      </w:r>
      <w:r w:rsidRPr="0097239C">
        <w:rPr>
          <w:rFonts w:hint="eastAsia"/>
          <w:rtl/>
        </w:rPr>
        <w:t>החשמלי</w:t>
      </w:r>
      <w:r w:rsidRPr="0097239C">
        <w:rPr>
          <w:rtl/>
        </w:rPr>
        <w:t xml:space="preserve"> </w:t>
      </w:r>
      <w:r w:rsidRPr="0097239C">
        <w:rPr>
          <w:rFonts w:hint="eastAsia"/>
          <w:rtl/>
        </w:rPr>
        <w:t>השפעה</w:t>
      </w:r>
      <w:r w:rsidRPr="0097239C">
        <w:rPr>
          <w:rtl/>
        </w:rPr>
        <w:t xml:space="preserve"> </w:t>
      </w:r>
      <w:r w:rsidRPr="0097239C">
        <w:rPr>
          <w:rFonts w:hint="cs"/>
          <w:rtl/>
        </w:rPr>
        <w:t xml:space="preserve">ניכרת </w:t>
      </w:r>
      <w:r w:rsidRPr="0097239C">
        <w:rPr>
          <w:rFonts w:hint="eastAsia"/>
          <w:rtl/>
        </w:rPr>
        <w:t>על</w:t>
      </w:r>
      <w:r w:rsidRPr="0097239C">
        <w:rPr>
          <w:rtl/>
        </w:rPr>
        <w:t xml:space="preserve"> </w:t>
      </w:r>
      <w:r w:rsidRPr="0097239C">
        <w:rPr>
          <w:rFonts w:hint="cs"/>
          <w:rtl/>
        </w:rPr>
        <w:t>משק החשמל</w:t>
      </w:r>
      <w:r>
        <w:rPr>
          <w:vertAlign w:val="superscript"/>
          <w:rtl/>
        </w:rPr>
        <w:footnoteReference w:id="107"/>
      </w:r>
      <w:r w:rsidRPr="0097239C">
        <w:rPr>
          <w:rFonts w:hint="cs"/>
          <w:rtl/>
        </w:rPr>
        <w:t xml:space="preserve">. השימוש ברכב חשמלי עשוי להניב תועלות רבות למשק, לרבות הפחתת השימוש </w:t>
      </w:r>
      <w:r w:rsidRPr="0097239C">
        <w:rPr>
          <w:rFonts w:hint="cs"/>
          <w:rtl/>
        </w:rPr>
        <w:t>בדלקים</w:t>
      </w:r>
      <w:r w:rsidRPr="0097239C">
        <w:rPr>
          <w:rFonts w:hint="cs"/>
          <w:rtl/>
        </w:rPr>
        <w:t xml:space="preserve"> מזהמים והפחתת פליטות, נוסף על התועלת הכלכלית הצפויה מהמהלך. החיסכון צפוי לגדול עוד יותר ככל שיותר חשמל ייוצר ממקורות מתחדשים ופחות מזהמים.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הביקורת העלתה כי למשרד התחבורה ולמשרד </w:t>
      </w:r>
      <w:r w:rsidRPr="0097239C">
        <w:rPr>
          <w:rFonts w:hint="cs"/>
          <w:rtl/>
        </w:rPr>
        <w:t>האנרגייה</w:t>
      </w:r>
      <w:r w:rsidRPr="0097239C">
        <w:rPr>
          <w:rFonts w:hint="cs"/>
          <w:rtl/>
        </w:rPr>
        <w:t xml:space="preserve"> אין מדיניות כוללת בנוגע לעידוד המעבר לשימוש ברכב חשמלי. בין היתר, משרד </w:t>
      </w:r>
      <w:r w:rsidRPr="0097239C">
        <w:rPr>
          <w:rFonts w:hint="cs"/>
          <w:rtl/>
        </w:rPr>
        <w:t>האנרגייה</w:t>
      </w:r>
      <w:r w:rsidRPr="0097239C">
        <w:rPr>
          <w:rFonts w:hint="cs"/>
          <w:rtl/>
        </w:rPr>
        <w:t xml:space="preserve"> ומשרד התחבורה לא נדרשו לשאלות כגון היצע תשתית החשמל הנדרשת, אופן ניהול </w:t>
      </w:r>
      <w:r w:rsidRPr="0097239C">
        <w:rPr>
          <w:rFonts w:hint="cs"/>
          <w:rtl/>
        </w:rPr>
        <w:t>הביקושים</w:t>
      </w:r>
      <w:r w:rsidRPr="0097239C">
        <w:rPr>
          <w:rFonts w:hint="cs"/>
          <w:rtl/>
        </w:rPr>
        <w:t xml:space="preserve"> - בייחוד בשעות שיא הביקוש - או מיסוי חלופי</w:t>
      </w:r>
      <w:r>
        <w:rPr>
          <w:vertAlign w:val="superscript"/>
          <w:rtl/>
        </w:rPr>
        <w:footnoteReference w:id="108"/>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התוכנית הלאומית להתייעלות אנרגטית, שהאגף לשימור </w:t>
      </w:r>
      <w:r w:rsidRPr="0097239C">
        <w:rPr>
          <w:rFonts w:hint="cs"/>
          <w:rtl/>
        </w:rPr>
        <w:t>אנרגייה</w:t>
      </w:r>
      <w:r w:rsidRPr="0097239C">
        <w:rPr>
          <w:rFonts w:hint="cs"/>
          <w:rtl/>
        </w:rPr>
        <w:t xml:space="preserve"> מגבש, תיקח בחשבון את השינויים הצפויים במשק </w:t>
      </w:r>
      <w:r w:rsidRPr="0097239C">
        <w:rPr>
          <w:rFonts w:hint="cs"/>
          <w:rtl/>
        </w:rPr>
        <w:t>האנרגייה</w:t>
      </w:r>
      <w:r w:rsidRPr="0097239C">
        <w:rPr>
          <w:rFonts w:hint="cs"/>
          <w:rtl/>
        </w:rPr>
        <w:t xml:space="preserve">, ובפרט המעבר לרכב חשמלי, פעולות לחשמול המגזר הביתי ועוד. משרד </w:t>
      </w:r>
      <w:r w:rsidRPr="0097239C">
        <w:rPr>
          <w:rFonts w:hint="cs"/>
          <w:rtl/>
        </w:rPr>
        <w:t>האנרגייה</w:t>
      </w:r>
      <w:r w:rsidRPr="0097239C">
        <w:rPr>
          <w:rFonts w:hint="cs"/>
          <w:rtl/>
        </w:rPr>
        <w:t xml:space="preserve"> ציין כי השלים הכנת תחזית לשינוי בצריכת החשמל כתוצאה מחשמול התחבורה הפרטית בתוכנית לשנת 2030, וכי הוא בוחן, בשיתוף גורמים נוספים, את השפעת הרכבים החשמליים על רשת החשמל וההיערכות הנדרשת בה לקליטת כמות רכבים גדולה.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משרד</w:t>
      </w:r>
      <w:r w:rsidRPr="0097239C">
        <w:rPr>
          <w:rtl/>
        </w:rPr>
        <w:t xml:space="preserve"> התחבורה השיב למשרד מבקר המדינה כי הוא א</w:t>
      </w:r>
      <w:r w:rsidRPr="0097239C">
        <w:rPr>
          <w:rFonts w:hint="cs"/>
          <w:rtl/>
        </w:rPr>
        <w:t>ִ</w:t>
      </w:r>
      <w:r w:rsidRPr="0097239C">
        <w:rPr>
          <w:rtl/>
        </w:rPr>
        <w:t xml:space="preserve">סדר את כל הנהלים הנדרשים לשימוש ברכב חשמלי, </w:t>
      </w:r>
      <w:r w:rsidRPr="0097239C">
        <w:rPr>
          <w:rFonts w:hint="cs"/>
          <w:rtl/>
        </w:rPr>
        <w:t>ובהם</w:t>
      </w:r>
      <w:r w:rsidRPr="0097239C">
        <w:rPr>
          <w:rtl/>
        </w:rPr>
        <w:t xml:space="preserve"> נושא הייבוא, השימוש והטיפול ברכב החשמלי. </w:t>
      </w:r>
      <w:r w:rsidRPr="0097239C">
        <w:rPr>
          <w:rFonts w:hint="cs"/>
          <w:rtl/>
        </w:rPr>
        <w:t>עוד</w:t>
      </w:r>
      <w:r w:rsidRPr="0097239C">
        <w:rPr>
          <w:rtl/>
        </w:rPr>
        <w:t xml:space="preserve"> </w:t>
      </w:r>
      <w:r w:rsidRPr="0097239C">
        <w:rPr>
          <w:rFonts w:hint="cs"/>
          <w:rtl/>
        </w:rPr>
        <w:t>השיב</w:t>
      </w:r>
      <w:r w:rsidRPr="0097239C">
        <w:rPr>
          <w:rtl/>
        </w:rPr>
        <w:t xml:space="preserve"> </w:t>
      </w:r>
      <w:r w:rsidRPr="0097239C">
        <w:rPr>
          <w:rFonts w:hint="cs"/>
          <w:rtl/>
        </w:rPr>
        <w:t>משרד</w:t>
      </w:r>
      <w:r w:rsidRPr="0097239C">
        <w:rPr>
          <w:rtl/>
        </w:rPr>
        <w:t xml:space="preserve"> </w:t>
      </w:r>
      <w:r w:rsidRPr="0097239C">
        <w:rPr>
          <w:rFonts w:hint="cs"/>
          <w:rtl/>
        </w:rPr>
        <w:t>התחבורה</w:t>
      </w:r>
      <w:r w:rsidRPr="0097239C">
        <w:rPr>
          <w:rtl/>
        </w:rPr>
        <w:t xml:space="preserve"> </w:t>
      </w:r>
      <w:r w:rsidRPr="0097239C">
        <w:rPr>
          <w:rFonts w:hint="cs"/>
          <w:rtl/>
        </w:rPr>
        <w:t>כי</w:t>
      </w:r>
      <w:r w:rsidRPr="0097239C">
        <w:rPr>
          <w:rtl/>
        </w:rPr>
        <w:t xml:space="preserve"> </w:t>
      </w:r>
      <w:r w:rsidRPr="0097239C">
        <w:rPr>
          <w:rFonts w:hint="cs"/>
          <w:rtl/>
        </w:rPr>
        <w:t>הוא</w:t>
      </w:r>
      <w:r w:rsidRPr="0097239C">
        <w:rPr>
          <w:rtl/>
        </w:rPr>
        <w:t xml:space="preserve"> </w:t>
      </w:r>
      <w:r w:rsidRPr="0097239C">
        <w:rPr>
          <w:rFonts w:hint="cs"/>
          <w:rtl/>
        </w:rPr>
        <w:t>פועל</w:t>
      </w:r>
      <w:r w:rsidRPr="0097239C">
        <w:rPr>
          <w:rtl/>
        </w:rPr>
        <w:t xml:space="preserve"> </w:t>
      </w:r>
      <w:r w:rsidRPr="0097239C">
        <w:rPr>
          <w:rFonts w:hint="cs"/>
          <w:rtl/>
        </w:rPr>
        <w:t>לעידוד</w:t>
      </w:r>
      <w:r w:rsidRPr="0097239C">
        <w:rPr>
          <w:rtl/>
        </w:rPr>
        <w:t xml:space="preserve"> </w:t>
      </w:r>
      <w:r w:rsidRPr="0097239C">
        <w:rPr>
          <w:rFonts w:hint="cs"/>
          <w:rtl/>
        </w:rPr>
        <w:t>השימוש</w:t>
      </w:r>
      <w:r w:rsidRPr="0097239C">
        <w:rPr>
          <w:rtl/>
        </w:rPr>
        <w:t xml:space="preserve"> </w:t>
      </w:r>
      <w:r w:rsidRPr="0097239C">
        <w:rPr>
          <w:rFonts w:hint="cs"/>
          <w:rtl/>
        </w:rPr>
        <w:t>ברכבים</w:t>
      </w:r>
      <w:r w:rsidRPr="0097239C">
        <w:rPr>
          <w:rtl/>
        </w:rPr>
        <w:t xml:space="preserve"> </w:t>
      </w:r>
      <w:r w:rsidRPr="0097239C">
        <w:rPr>
          <w:rFonts w:hint="cs"/>
          <w:rtl/>
        </w:rPr>
        <w:t>יעילים</w:t>
      </w:r>
      <w:r w:rsidRPr="0097239C">
        <w:rPr>
          <w:rtl/>
        </w:rPr>
        <w:t xml:space="preserve">, </w:t>
      </w:r>
      <w:r w:rsidRPr="0097239C">
        <w:rPr>
          <w:rFonts w:hint="cs"/>
          <w:rtl/>
        </w:rPr>
        <w:t>ירוקים</w:t>
      </w:r>
      <w:r w:rsidRPr="0097239C">
        <w:rPr>
          <w:rtl/>
        </w:rPr>
        <w:t xml:space="preserve"> </w:t>
      </w:r>
      <w:r w:rsidRPr="0097239C">
        <w:rPr>
          <w:rFonts w:hint="cs"/>
          <w:rtl/>
        </w:rPr>
        <w:t>ובטוחים</w:t>
      </w:r>
      <w:r w:rsidRPr="0097239C">
        <w:rPr>
          <w:rtl/>
        </w:rPr>
        <w:t xml:space="preserve"> </w:t>
      </w:r>
      <w:r w:rsidRPr="0097239C">
        <w:rPr>
          <w:rFonts w:hint="cs"/>
          <w:rtl/>
        </w:rPr>
        <w:t>יותר</w:t>
      </w:r>
      <w:r w:rsidRPr="0097239C">
        <w:rPr>
          <w:rtl/>
        </w:rPr>
        <w:t>.</w:t>
      </w:r>
    </w:p>
    <w:p w:rsidR="0097239C" w:rsidRPr="0097239C" w:rsidP="00C603CF">
      <w:pPr>
        <w:pStyle w:val="a"/>
        <w:spacing w:line="269" w:lineRule="auto"/>
        <w:rPr>
          <w:rtl/>
        </w:rPr>
      </w:pPr>
    </w:p>
    <w:p w:rsidR="0097239C" w:rsidP="00C603CF">
      <w:pPr>
        <w:spacing w:line="269" w:lineRule="auto"/>
        <w:rPr>
          <w:b/>
          <w:bCs/>
          <w:rtl/>
        </w:rPr>
      </w:pPr>
      <w:r w:rsidRPr="0097239C">
        <w:rPr>
          <w:rFonts w:hint="cs"/>
          <w:b/>
          <w:bCs/>
          <w:rtl/>
        </w:rPr>
        <w:t xml:space="preserve">משרד מבקר המדינה מציין כי קביעת </w:t>
      </w:r>
      <w:r w:rsidRPr="0097239C">
        <w:rPr>
          <w:rFonts w:hint="cs"/>
          <w:b/>
          <w:bCs/>
          <w:rtl/>
        </w:rPr>
        <w:t>תוכנית</w:t>
      </w:r>
      <w:r w:rsidRPr="0097239C">
        <w:rPr>
          <w:rFonts w:hint="cs"/>
          <w:b/>
          <w:bCs/>
          <w:rtl/>
        </w:rPr>
        <w:t xml:space="preserve"> להתייעלות אנרגטית צריכה להסתמך על בחינה כוללת של תחזיות הביקוש </w:t>
      </w:r>
      <w:r w:rsidRPr="0097239C">
        <w:rPr>
          <w:rFonts w:hint="cs"/>
          <w:b/>
          <w:bCs/>
          <w:rtl/>
        </w:rPr>
        <w:t>לאנרגייה</w:t>
      </w:r>
      <w:r w:rsidRPr="0097239C">
        <w:rPr>
          <w:rFonts w:hint="cs"/>
          <w:b/>
          <w:bCs/>
          <w:rtl/>
        </w:rPr>
        <w:t xml:space="preserve"> לסוגיה, ולא רק לחשמל. קביעת יעדים לצמצום צריכת החשמל מחד גיסא ותמיכה במעבר לרכבים חשמליים מאידך גיסא צריכות להיות מלוות בתוכנית-על, המתאמת בין שתי המטרות וקובעת יעדים שניתן יהיה לעמוד בהם. מצד אחד, על משרד </w:t>
      </w:r>
      <w:r w:rsidRPr="0097239C">
        <w:rPr>
          <w:rFonts w:hint="cs"/>
          <w:b/>
          <w:bCs/>
          <w:rtl/>
        </w:rPr>
        <w:t>האנרגייה</w:t>
      </w:r>
      <w:r w:rsidRPr="0097239C">
        <w:rPr>
          <w:rFonts w:hint="cs"/>
          <w:b/>
          <w:bCs/>
          <w:rtl/>
        </w:rPr>
        <w:t>, רשות החשמל ומשרד התחבורה לבחון באופן פרטני את ההיערכות הנדרשת לכניסה רחבת היקף של רכבים חשמליים, ובפרט בכל הנוגע</w:t>
      </w:r>
      <w:r w:rsidRPr="0097239C">
        <w:rPr>
          <w:b/>
          <w:bCs/>
          <w:rtl/>
        </w:rPr>
        <w:t xml:space="preserve"> </w:t>
      </w:r>
      <w:r w:rsidRPr="0097239C">
        <w:rPr>
          <w:rFonts w:hint="cs"/>
          <w:b/>
          <w:bCs/>
          <w:rtl/>
        </w:rPr>
        <w:t>ל</w:t>
      </w:r>
      <w:r w:rsidRPr="0097239C">
        <w:rPr>
          <w:rFonts w:hint="eastAsia"/>
          <w:b/>
          <w:bCs/>
          <w:rtl/>
        </w:rPr>
        <w:t>ביצוע</w:t>
      </w:r>
      <w:r w:rsidRPr="0097239C">
        <w:rPr>
          <w:b/>
          <w:bCs/>
          <w:rtl/>
        </w:rPr>
        <w:t xml:space="preserve"> </w:t>
      </w:r>
      <w:r w:rsidRPr="0097239C">
        <w:rPr>
          <w:rFonts w:hint="eastAsia"/>
          <w:b/>
          <w:bCs/>
          <w:rtl/>
        </w:rPr>
        <w:t>השקעות</w:t>
      </w:r>
      <w:r w:rsidRPr="0097239C">
        <w:rPr>
          <w:b/>
          <w:bCs/>
          <w:rtl/>
        </w:rPr>
        <w:t xml:space="preserve"> </w:t>
      </w:r>
      <w:r w:rsidRPr="0097239C">
        <w:rPr>
          <w:rFonts w:hint="eastAsia"/>
          <w:b/>
          <w:bCs/>
          <w:rtl/>
        </w:rPr>
        <w:t>ברשת</w:t>
      </w:r>
      <w:r w:rsidRPr="0097239C">
        <w:rPr>
          <w:b/>
          <w:bCs/>
          <w:rtl/>
        </w:rPr>
        <w:t xml:space="preserve">, </w:t>
      </w:r>
      <w:r w:rsidRPr="0097239C">
        <w:rPr>
          <w:rFonts w:hint="cs"/>
          <w:b/>
          <w:bCs/>
          <w:rtl/>
        </w:rPr>
        <w:t>ל</w:t>
      </w:r>
      <w:r w:rsidRPr="0097239C">
        <w:rPr>
          <w:rFonts w:hint="eastAsia"/>
          <w:b/>
          <w:bCs/>
          <w:rtl/>
        </w:rPr>
        <w:t>הטמעת</w:t>
      </w:r>
      <w:r w:rsidRPr="0097239C">
        <w:rPr>
          <w:b/>
          <w:bCs/>
          <w:rtl/>
        </w:rPr>
        <w:t xml:space="preserve"> </w:t>
      </w:r>
      <w:r w:rsidRPr="0097239C">
        <w:rPr>
          <w:rFonts w:hint="eastAsia"/>
          <w:b/>
          <w:bCs/>
          <w:rtl/>
        </w:rPr>
        <w:t>טכנולוגיות</w:t>
      </w:r>
      <w:r w:rsidRPr="0097239C">
        <w:rPr>
          <w:b/>
          <w:bCs/>
          <w:rtl/>
        </w:rPr>
        <w:t xml:space="preserve"> </w:t>
      </w:r>
      <w:r w:rsidRPr="0097239C">
        <w:rPr>
          <w:rFonts w:hint="eastAsia"/>
          <w:b/>
          <w:bCs/>
          <w:rtl/>
        </w:rPr>
        <w:t>ומערכות</w:t>
      </w:r>
      <w:r w:rsidRPr="0097239C">
        <w:rPr>
          <w:b/>
          <w:bCs/>
          <w:rtl/>
        </w:rPr>
        <w:t xml:space="preserve"> </w:t>
      </w:r>
      <w:r w:rsidRPr="0097239C">
        <w:rPr>
          <w:rFonts w:hint="eastAsia"/>
          <w:b/>
          <w:bCs/>
          <w:rtl/>
        </w:rPr>
        <w:t>לניהול</w:t>
      </w:r>
      <w:r w:rsidRPr="0097239C">
        <w:rPr>
          <w:b/>
          <w:bCs/>
          <w:rtl/>
        </w:rPr>
        <w:t xml:space="preserve"> </w:t>
      </w:r>
      <w:r w:rsidRPr="0097239C">
        <w:rPr>
          <w:rFonts w:hint="eastAsia"/>
          <w:b/>
          <w:bCs/>
          <w:rtl/>
        </w:rPr>
        <w:t>ביקושים</w:t>
      </w:r>
      <w:r w:rsidRPr="0097239C">
        <w:rPr>
          <w:b/>
          <w:bCs/>
          <w:rtl/>
        </w:rPr>
        <w:t xml:space="preserve"> </w:t>
      </w:r>
      <w:r w:rsidRPr="0097239C">
        <w:rPr>
          <w:rFonts w:hint="eastAsia"/>
          <w:b/>
          <w:bCs/>
          <w:rtl/>
        </w:rPr>
        <w:t>ו</w:t>
      </w:r>
      <w:r w:rsidRPr="0097239C">
        <w:rPr>
          <w:rFonts w:hint="cs"/>
          <w:b/>
          <w:bCs/>
          <w:rtl/>
        </w:rPr>
        <w:t>ל</w:t>
      </w:r>
      <w:r w:rsidRPr="0097239C">
        <w:rPr>
          <w:rFonts w:hint="eastAsia"/>
          <w:b/>
          <w:bCs/>
          <w:rtl/>
        </w:rPr>
        <w:t>קביעת</w:t>
      </w:r>
      <w:r w:rsidRPr="0097239C">
        <w:rPr>
          <w:b/>
          <w:bCs/>
          <w:rtl/>
        </w:rPr>
        <w:t xml:space="preserve"> </w:t>
      </w:r>
      <w:r w:rsidRPr="0097239C">
        <w:rPr>
          <w:rFonts w:hint="eastAsia"/>
          <w:b/>
          <w:bCs/>
          <w:rtl/>
        </w:rPr>
        <w:t>מסגרת</w:t>
      </w:r>
      <w:r w:rsidRPr="0097239C">
        <w:rPr>
          <w:b/>
          <w:bCs/>
          <w:rtl/>
        </w:rPr>
        <w:t xml:space="preserve"> </w:t>
      </w:r>
      <w:r w:rsidRPr="0097239C">
        <w:rPr>
          <w:rFonts w:hint="cs"/>
          <w:b/>
          <w:bCs/>
          <w:rtl/>
        </w:rPr>
        <w:t>אסדרה</w:t>
      </w:r>
      <w:r w:rsidRPr="0097239C">
        <w:rPr>
          <w:b/>
          <w:bCs/>
          <w:rtl/>
        </w:rPr>
        <w:t xml:space="preserve"> </w:t>
      </w:r>
      <w:r w:rsidRPr="0097239C">
        <w:rPr>
          <w:rFonts w:hint="eastAsia"/>
          <w:b/>
          <w:bCs/>
          <w:rtl/>
        </w:rPr>
        <w:t>מתאימה</w:t>
      </w:r>
      <w:r w:rsidRPr="0097239C">
        <w:rPr>
          <w:b/>
          <w:bCs/>
          <w:rtl/>
        </w:rPr>
        <w:t>.</w:t>
      </w:r>
      <w:r w:rsidRPr="0097239C">
        <w:rPr>
          <w:rFonts w:hint="cs"/>
          <w:b/>
          <w:bCs/>
          <w:rtl/>
        </w:rPr>
        <w:t xml:space="preserve"> מצד שני, עליהם להביא זאת בחשבון בעת קביעת תחזיות הביקוש לחשמל. על משרד האוצר להיער</w:t>
      </w:r>
      <w:r w:rsidRPr="0097239C">
        <w:rPr>
          <w:rFonts w:hint="eastAsia"/>
          <w:b/>
          <w:bCs/>
          <w:rtl/>
        </w:rPr>
        <w:t>ך</w:t>
      </w:r>
      <w:r w:rsidRPr="0097239C">
        <w:rPr>
          <w:rFonts w:hint="cs"/>
          <w:b/>
          <w:bCs/>
          <w:rtl/>
        </w:rPr>
        <w:t xml:space="preserve"> לשינויים שיידרשו בתמהיל הכנסות </w:t>
      </w:r>
      <w:r w:rsidR="000E550E">
        <w:rPr>
          <w:rFonts w:hint="cs"/>
          <w:b/>
          <w:bCs/>
          <w:rtl/>
        </w:rPr>
        <w:t>המדינה לנוכח השינויים העתידיים.</w:t>
      </w:r>
    </w:p>
    <w:p w:rsidR="00A75A48">
      <w:pPr>
        <w:bidi w:val="0"/>
        <w:spacing w:after="200" w:line="276" w:lineRule="auto"/>
        <w:rPr>
          <w:b/>
          <w:bCs/>
          <w:rtl/>
        </w:rPr>
      </w:pPr>
      <w:bookmarkStart w:id="11" w:name="_Toc46906227"/>
      <w:r>
        <w:rPr>
          <w:b/>
          <w:rtl/>
        </w:rPr>
        <w:br w:type="page"/>
      </w:r>
    </w:p>
    <w:p w:rsidR="0097239C" w:rsidP="00C603CF">
      <w:pPr>
        <w:pStyle w:val="Heading2"/>
        <w:spacing w:before="0" w:line="269" w:lineRule="auto"/>
        <w:rPr>
          <w:rtl/>
        </w:rPr>
      </w:pPr>
      <w:r w:rsidRPr="0097239C">
        <w:rPr>
          <w:rFonts w:hint="cs"/>
          <w:rtl/>
        </w:rPr>
        <w:t>התייעלות אנרגטית במגזר התחבורה</w:t>
      </w:r>
      <w:bookmarkEnd w:id="11"/>
    </w:p>
    <w:p w:rsidR="005C4568" w:rsidP="00A75A48">
      <w:pPr>
        <w:rPr>
          <w:rtl/>
        </w:rPr>
      </w:pPr>
      <w:bookmarkStart w:id="12" w:name="_Toc46906228"/>
    </w:p>
    <w:p w:rsidR="00A75A48" w:rsidRPr="00A75A48" w:rsidP="00A75A48">
      <w:pPr>
        <w:rPr>
          <w:rtl/>
        </w:rPr>
      </w:pPr>
    </w:p>
    <w:p w:rsidR="0097239C" w:rsidRPr="0097239C" w:rsidP="00C603CF">
      <w:pPr>
        <w:pStyle w:val="Heading3"/>
        <w:spacing w:before="0" w:line="269" w:lineRule="auto"/>
        <w:rPr>
          <w:rtl/>
        </w:rPr>
      </w:pPr>
      <w:r w:rsidRPr="0097239C">
        <w:rPr>
          <w:rFonts w:hint="cs"/>
          <w:rtl/>
        </w:rPr>
        <w:t>צמצום הנסועה הפרטית</w:t>
      </w:r>
      <w:r>
        <w:rPr>
          <w:vertAlign w:val="superscript"/>
          <w:rtl/>
        </w:rPr>
        <w:footnoteReference w:id="109"/>
      </w:r>
      <w:bookmarkEnd w:id="12"/>
    </w:p>
    <w:p w:rsidR="000E550E" w:rsidP="00C603CF">
      <w:pPr>
        <w:pStyle w:val="a"/>
        <w:spacing w:line="269" w:lineRule="auto"/>
        <w:rPr>
          <w:rtl/>
        </w:rPr>
      </w:pPr>
    </w:p>
    <w:p w:rsidR="0097239C" w:rsidP="00545AAD">
      <w:pPr>
        <w:spacing w:line="269" w:lineRule="auto"/>
        <w:rPr>
          <w:rtl/>
        </w:rPr>
      </w:pPr>
      <w:r w:rsidRPr="0097239C">
        <w:rPr>
          <w:rFonts w:hint="cs"/>
          <w:rtl/>
        </w:rPr>
        <w:t xml:space="preserve">מגזר התחבורה אחראי לפליטות של כ-25% מגזי החממה בישראל, ועל כן המאמץ של מדינת ישראל להפחית את פליטת גזי החממה חייב לכלול את מגזר התחבורה. במגזר התחבורה נרשם גידול של 37% בפליטת </w:t>
      </w:r>
      <w:r w:rsidRPr="0097239C">
        <w:rPr>
          <w:rFonts w:hint="cs"/>
          <w:rtl/>
        </w:rPr>
        <w:t>פד"ח</w:t>
      </w:r>
      <w:r w:rsidRPr="0097239C">
        <w:rPr>
          <w:rFonts w:hint="cs"/>
          <w:rtl/>
        </w:rPr>
        <w:t xml:space="preserve"> בשנים 2000 - </w:t>
      </w:r>
      <w:r w:rsidR="00545AAD">
        <w:rPr>
          <w:rFonts w:hint="cs"/>
          <w:rtl/>
        </w:rPr>
        <w:t>2018</w:t>
      </w:r>
      <w:r w:rsidRPr="0097239C">
        <w:rPr>
          <w:rFonts w:hint="cs"/>
          <w:rtl/>
        </w:rPr>
        <w:t>, כמתואר בתרשים שלהלן:</w:t>
      </w:r>
    </w:p>
    <w:p w:rsidR="0097239C" w:rsidRPr="0097239C" w:rsidP="00C603CF">
      <w:pPr>
        <w:pStyle w:val="a"/>
        <w:spacing w:line="269" w:lineRule="auto"/>
        <w:rPr>
          <w:rtl/>
        </w:rPr>
      </w:pPr>
    </w:p>
    <w:p w:rsidR="0097239C" w:rsidRPr="0097239C" w:rsidP="00C603CF">
      <w:pPr>
        <w:spacing w:line="269" w:lineRule="auto"/>
        <w:jc w:val="center"/>
        <w:rPr>
          <w:u w:val="single"/>
          <w:rtl/>
        </w:rPr>
      </w:pPr>
      <w:r w:rsidRPr="0097239C">
        <w:rPr>
          <w:rFonts w:hint="eastAsia"/>
          <w:b/>
          <w:bCs/>
          <w:rtl/>
        </w:rPr>
        <w:t>תרשים</w:t>
      </w:r>
      <w:r w:rsidRPr="0097239C">
        <w:rPr>
          <w:b/>
          <w:bCs/>
          <w:rtl/>
        </w:rPr>
        <w:t xml:space="preserve"> </w:t>
      </w:r>
      <w:r w:rsidRPr="0097239C">
        <w:rPr>
          <w:rFonts w:hint="cs"/>
          <w:b/>
          <w:bCs/>
          <w:rtl/>
        </w:rPr>
        <w:t>19</w:t>
      </w:r>
      <w:r w:rsidRPr="0097239C">
        <w:rPr>
          <w:b/>
          <w:bCs/>
          <w:rtl/>
        </w:rPr>
        <w:t xml:space="preserve">: פליטות </w:t>
      </w:r>
      <w:r w:rsidRPr="0097239C">
        <w:rPr>
          <w:rFonts w:hint="eastAsia"/>
          <w:b/>
          <w:bCs/>
          <w:rtl/>
        </w:rPr>
        <w:t>פד</w:t>
      </w:r>
      <w:r w:rsidRPr="0097239C">
        <w:rPr>
          <w:b/>
          <w:bCs/>
          <w:rtl/>
        </w:rPr>
        <w:t>"ח</w:t>
      </w:r>
      <w:r w:rsidRPr="0097239C">
        <w:rPr>
          <w:b/>
          <w:bCs/>
          <w:rtl/>
        </w:rPr>
        <w:t xml:space="preserve"> </w:t>
      </w:r>
      <w:r w:rsidRPr="0097239C">
        <w:rPr>
          <w:rFonts w:hint="cs"/>
          <w:b/>
          <w:bCs/>
          <w:rtl/>
        </w:rPr>
        <w:t>במגזר</w:t>
      </w:r>
      <w:r w:rsidRPr="0097239C">
        <w:rPr>
          <w:b/>
          <w:bCs/>
          <w:rtl/>
        </w:rPr>
        <w:t xml:space="preserve"> התחבורה</w:t>
      </w:r>
      <w:r w:rsidRPr="0097239C">
        <w:rPr>
          <w:rFonts w:hint="cs"/>
          <w:b/>
          <w:bCs/>
          <w:rtl/>
        </w:rPr>
        <w:t xml:space="preserve">, </w:t>
      </w:r>
      <w:r w:rsidRPr="0097239C">
        <w:rPr>
          <w:b/>
          <w:bCs/>
          <w:rtl/>
        </w:rPr>
        <w:t>2000 - 201</w:t>
      </w:r>
      <w:r w:rsidRPr="0097239C">
        <w:rPr>
          <w:rFonts w:hint="cs"/>
          <w:b/>
          <w:bCs/>
          <w:rtl/>
        </w:rPr>
        <w:t>8</w:t>
      </w:r>
    </w:p>
    <w:p w:rsidR="0097239C" w:rsidRPr="0097239C" w:rsidP="005C4568">
      <w:pPr>
        <w:spacing w:before="120" w:after="120" w:line="269" w:lineRule="auto"/>
        <w:jc w:val="center"/>
        <w:rPr>
          <w:rtl/>
        </w:rPr>
      </w:pPr>
      <w:r>
        <w:rPr>
          <w:noProof/>
          <w:rtl/>
        </w:rPr>
        <w:drawing>
          <wp:inline distT="0" distB="0" distL="0" distR="0">
            <wp:extent cx="4328169" cy="2389637"/>
            <wp:effectExtent l="0" t="0" r="0" b="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56009" name="energy-g-19.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8169" cy="2389637"/>
                    </a:xfrm>
                    <a:prstGeom prst="rect">
                      <a:avLst/>
                    </a:prstGeom>
                  </pic:spPr>
                </pic:pic>
              </a:graphicData>
            </a:graphic>
          </wp:inline>
        </w:drawing>
      </w:r>
    </w:p>
    <w:p w:rsidR="0097239C" w:rsidRPr="001341AA" w:rsidP="003F2044">
      <w:pPr>
        <w:spacing w:line="269" w:lineRule="auto"/>
        <w:ind w:firstLine="720"/>
        <w:rPr>
          <w:sz w:val="22"/>
          <w:szCs w:val="22"/>
          <w:rtl/>
        </w:rPr>
      </w:pPr>
      <w:r w:rsidRPr="001341AA">
        <w:rPr>
          <w:rFonts w:hint="cs"/>
          <w:sz w:val="22"/>
          <w:szCs w:val="22"/>
          <w:rtl/>
        </w:rPr>
        <w:t xml:space="preserve">המקור: </w:t>
      </w:r>
      <w:r w:rsidRPr="001341AA">
        <w:rPr>
          <w:rFonts w:hint="cs"/>
          <w:sz w:val="22"/>
          <w:szCs w:val="22"/>
          <w:rtl/>
        </w:rPr>
        <w:t>למ"ס</w:t>
      </w:r>
      <w:r w:rsidRPr="001341AA">
        <w:rPr>
          <w:rFonts w:hint="cs"/>
          <w:sz w:val="22"/>
          <w:szCs w:val="22"/>
          <w:rtl/>
        </w:rPr>
        <w:t xml:space="preserve">, מאגר הנתונים המרכזי, 2019. </w:t>
      </w:r>
    </w:p>
    <w:p w:rsidR="000E550E" w:rsidP="00C603CF">
      <w:pPr>
        <w:pStyle w:val="a"/>
        <w:spacing w:line="269" w:lineRule="auto"/>
        <w:rPr>
          <w:rtl/>
        </w:rPr>
      </w:pPr>
    </w:p>
    <w:p w:rsidR="0097239C" w:rsidRPr="0097239C" w:rsidP="00C603CF">
      <w:pPr>
        <w:spacing w:line="269" w:lineRule="auto"/>
        <w:rPr>
          <w:rtl/>
        </w:rPr>
      </w:pPr>
      <w:r w:rsidRPr="0097239C">
        <w:rPr>
          <w:rFonts w:hint="cs"/>
          <w:rtl/>
        </w:rPr>
        <w:t xml:space="preserve">מחישובי משרד מבקר המדינה עולה כי עלות הנזק מפליטות </w:t>
      </w:r>
      <w:r w:rsidRPr="0097239C">
        <w:rPr>
          <w:rFonts w:hint="cs"/>
          <w:rtl/>
        </w:rPr>
        <w:t>פד"ח</w:t>
      </w:r>
      <w:r w:rsidRPr="0097239C">
        <w:rPr>
          <w:rFonts w:hint="cs"/>
          <w:rtl/>
        </w:rPr>
        <w:t xml:space="preserve"> במגזר התחבורה היא כ-2.1 מיליארד ש"ח בכל אחת מהשנים 2017 ו-2018, כ-30% מסך עלות הנזק מפליטות </w:t>
      </w:r>
      <w:r w:rsidRPr="0097239C">
        <w:rPr>
          <w:rFonts w:hint="cs"/>
          <w:rtl/>
        </w:rPr>
        <w:t>פד"ח</w:t>
      </w:r>
      <w:r w:rsidRPr="0097239C">
        <w:rPr>
          <w:rFonts w:hint="cs"/>
          <w:rtl/>
        </w:rPr>
        <w:t xml:space="preserve"> במשק בכל שנה</w:t>
      </w:r>
      <w:r>
        <w:rPr>
          <w:vertAlign w:val="superscript"/>
          <w:rtl/>
        </w:rPr>
        <w:footnoteReference w:id="110"/>
      </w:r>
      <w:r w:rsidRPr="0097239C">
        <w:rPr>
          <w:rFonts w:hint="cs"/>
          <w:rtl/>
        </w:rPr>
        <w:t>. תחום התחבורה הוא תחום עיקרי שבו מתבקשת הפחתת פליטות, ובו נדרשת הממשלה להיות מעורבת יותר מהבחינה התקציבית, תוך מתן דגש על שימוש בתחבורה ציבורית חשמלית ומעבר מוקדם לתשתית המיועדת לכלי רכב חשמליים.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משרד</w:t>
      </w:r>
      <w:r w:rsidRPr="0097239C">
        <w:rPr>
          <w:rtl/>
        </w:rPr>
        <w:t xml:space="preserve"> התחבורה השיב למשרד מבקר המדינה ביולי 2020 כי ככל </w:t>
      </w:r>
      <w:r w:rsidRPr="0097239C">
        <w:rPr>
          <w:rFonts w:hint="cs"/>
          <w:rtl/>
        </w:rPr>
        <w:t>ש</w:t>
      </w:r>
      <w:r w:rsidRPr="0097239C">
        <w:rPr>
          <w:rtl/>
        </w:rPr>
        <w:t>התחבורה הציבורית תשתפר ומנעד החלופות לשימוש ברכב פרט</w:t>
      </w:r>
      <w:r w:rsidRPr="0097239C">
        <w:rPr>
          <w:rFonts w:hint="cs"/>
          <w:rtl/>
        </w:rPr>
        <w:t>י</w:t>
      </w:r>
      <w:r w:rsidRPr="0097239C">
        <w:rPr>
          <w:rtl/>
        </w:rPr>
        <w:t xml:space="preserve"> יגדל, </w:t>
      </w:r>
      <w:r w:rsidRPr="0097239C">
        <w:rPr>
          <w:rFonts w:hint="cs"/>
          <w:rtl/>
        </w:rPr>
        <w:t>יגדל</w:t>
      </w:r>
      <w:r w:rsidRPr="0097239C">
        <w:rPr>
          <w:rtl/>
        </w:rPr>
        <w:t xml:space="preserve"> </w:t>
      </w:r>
      <w:r w:rsidRPr="0097239C">
        <w:rPr>
          <w:rFonts w:hint="cs"/>
          <w:rtl/>
        </w:rPr>
        <w:t>השימוש</w:t>
      </w:r>
      <w:r w:rsidRPr="0097239C">
        <w:rPr>
          <w:rtl/>
        </w:rPr>
        <w:t xml:space="preserve"> </w:t>
      </w:r>
      <w:r w:rsidRPr="0097239C">
        <w:rPr>
          <w:rFonts w:hint="cs"/>
          <w:rtl/>
        </w:rPr>
        <w:t>בתחבורה</w:t>
      </w:r>
      <w:r w:rsidRPr="0097239C">
        <w:rPr>
          <w:rtl/>
        </w:rPr>
        <w:t xml:space="preserve"> </w:t>
      </w:r>
      <w:r w:rsidRPr="0097239C">
        <w:rPr>
          <w:rFonts w:hint="cs"/>
          <w:rtl/>
        </w:rPr>
        <w:t>הציבורית</w:t>
      </w:r>
      <w:r w:rsidRPr="0097239C">
        <w:rPr>
          <w:rtl/>
        </w:rPr>
        <w:t xml:space="preserve"> </w:t>
      </w:r>
      <w:r w:rsidRPr="0097239C">
        <w:rPr>
          <w:rFonts w:hint="cs"/>
          <w:rtl/>
        </w:rPr>
        <w:t>ובמערכות</w:t>
      </w:r>
      <w:r w:rsidRPr="0097239C">
        <w:rPr>
          <w:rtl/>
        </w:rPr>
        <w:t xml:space="preserve"> </w:t>
      </w:r>
      <w:r w:rsidRPr="0097239C">
        <w:rPr>
          <w:rFonts w:hint="cs"/>
          <w:rtl/>
        </w:rPr>
        <w:t>הסעת</w:t>
      </w:r>
      <w:r w:rsidRPr="0097239C">
        <w:rPr>
          <w:rtl/>
        </w:rPr>
        <w:t xml:space="preserve"> </w:t>
      </w:r>
      <w:r w:rsidRPr="0097239C">
        <w:rPr>
          <w:rFonts w:hint="cs"/>
          <w:rtl/>
        </w:rPr>
        <w:t>המונים</w:t>
      </w:r>
      <w:r w:rsidRPr="0097239C">
        <w:rPr>
          <w:rtl/>
        </w:rPr>
        <w:t xml:space="preserve"> </w:t>
      </w:r>
      <w:r w:rsidRPr="0097239C">
        <w:rPr>
          <w:rFonts w:hint="cs"/>
          <w:rtl/>
        </w:rPr>
        <w:t>על</w:t>
      </w:r>
      <w:r w:rsidRPr="0097239C">
        <w:rPr>
          <w:rtl/>
        </w:rPr>
        <w:t xml:space="preserve"> </w:t>
      </w:r>
      <w:r w:rsidRPr="0097239C">
        <w:rPr>
          <w:rFonts w:hint="cs"/>
          <w:rtl/>
        </w:rPr>
        <w:t>חשבון</w:t>
      </w:r>
      <w:r w:rsidRPr="0097239C">
        <w:rPr>
          <w:rtl/>
        </w:rPr>
        <w:t xml:space="preserve"> </w:t>
      </w:r>
      <w:r w:rsidRPr="0097239C">
        <w:rPr>
          <w:rFonts w:hint="cs"/>
          <w:rtl/>
        </w:rPr>
        <w:t>הרכב</w:t>
      </w:r>
      <w:r w:rsidRPr="0097239C">
        <w:rPr>
          <w:rtl/>
        </w:rPr>
        <w:t xml:space="preserve"> </w:t>
      </w:r>
      <w:r w:rsidRPr="0097239C">
        <w:rPr>
          <w:rFonts w:hint="cs"/>
          <w:rtl/>
        </w:rPr>
        <w:t>הפרטי</w:t>
      </w:r>
      <w:r w:rsidRPr="0097239C">
        <w:rPr>
          <w:rtl/>
        </w:rPr>
        <w:t xml:space="preserve">, </w:t>
      </w:r>
      <w:r w:rsidRPr="0097239C">
        <w:rPr>
          <w:rFonts w:hint="cs"/>
          <w:rtl/>
        </w:rPr>
        <w:t>ובכך</w:t>
      </w:r>
      <w:r w:rsidRPr="0097239C">
        <w:rPr>
          <w:rtl/>
        </w:rPr>
        <w:t xml:space="preserve"> </w:t>
      </w:r>
      <w:r w:rsidRPr="0097239C">
        <w:rPr>
          <w:rFonts w:hint="cs"/>
          <w:rtl/>
        </w:rPr>
        <w:t>יצומצמו</w:t>
      </w:r>
      <w:r w:rsidRPr="0097239C">
        <w:rPr>
          <w:rtl/>
        </w:rPr>
        <w:t xml:space="preserve"> </w:t>
      </w:r>
      <w:r w:rsidRPr="0097239C">
        <w:rPr>
          <w:rFonts w:hint="cs"/>
          <w:rtl/>
        </w:rPr>
        <w:t>הפליטות</w:t>
      </w:r>
      <w:r w:rsidRPr="0097239C">
        <w:rPr>
          <w:rtl/>
        </w:rPr>
        <w:t xml:space="preserve"> </w:t>
      </w:r>
      <w:r w:rsidRPr="0097239C">
        <w:rPr>
          <w:rFonts w:hint="cs"/>
          <w:rtl/>
        </w:rPr>
        <w:t>בתחבורה</w:t>
      </w:r>
      <w:r w:rsidRPr="0097239C">
        <w:rPr>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משרד מבקר המדינה העיר בעבר</w:t>
      </w:r>
      <w:r>
        <w:rPr>
          <w:vertAlign w:val="superscript"/>
          <w:rtl/>
        </w:rPr>
        <w:footnoteReference w:id="111"/>
      </w:r>
      <w:r w:rsidRPr="0097239C">
        <w:rPr>
          <w:rFonts w:hint="cs"/>
          <w:rtl/>
        </w:rPr>
        <w:t xml:space="preserve"> כי התפיסה שלפיה פעלו הגורמים האחראיים לתחום התכנון התבססה על שימוש ברכב פרטי כאמצעי תחבורה עיקרי, וכי המדינה לא פיתחה די הצורך את היצע התחבורה הציבורית. כמו כן העיר כי במשך שנים תוכננו תשתיות התחבורה בישראל תוך התחשבות מועטה בנושא של תחבורה בת-קיימה ושימוש בתחבורה ציבורית.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עוד העיר משרד מבקר המדינה באותו דוח כי על מנת להביא לייעול מערכות התחבורה הציבורית, יש לדאוג לשילוב כהלכה של כלל אמצעי התחבורה הציבורית ולמתן עדיפות לאמצעים אלה על פני כלי רכב פרטיים.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בשנת 2012 פרסמו משרד התחבורה ומשרד האוצר </w:t>
      </w:r>
      <w:r w:rsidRPr="0097239C">
        <w:rPr>
          <w:rFonts w:hint="cs"/>
          <w:rtl/>
        </w:rPr>
        <w:t>תוכנית</w:t>
      </w:r>
      <w:r w:rsidRPr="0097239C">
        <w:rPr>
          <w:rFonts w:hint="cs"/>
          <w:rtl/>
        </w:rPr>
        <w:t xml:space="preserve"> אסטרטגית לתחבורה הציבורית (להלן - </w:t>
      </w:r>
      <w:r w:rsidRPr="0097239C">
        <w:rPr>
          <w:rFonts w:hint="cs"/>
          <w:rtl/>
        </w:rPr>
        <w:t>תוכנית</w:t>
      </w:r>
      <w:r w:rsidRPr="0097239C">
        <w:rPr>
          <w:rFonts w:hint="cs"/>
          <w:rtl/>
        </w:rPr>
        <w:t xml:space="preserve"> אסטרטגית 2012). בתוכנית צוין כי במשך שנים רבות ההשקעה בתחבורה הציבורית בישראל הייתה פחותה מאוד לעומת מרבית המדינות המפותחות, וכי בד בבד הושם דגש על השימוש ברכב פרטי. בתוכנית הציע משרד התחבורה להשקיע כ-250 מיליארד ש"ח בפריסה על פני 25 שנים, דהיינו כ-10 מיליארד ש"ח בשנה, להרחבת התשתית </w:t>
      </w:r>
      <w:r w:rsidRPr="0097239C">
        <w:rPr>
          <w:rFonts w:hint="cs"/>
          <w:rtl/>
        </w:rPr>
        <w:t>במטרופולינים</w:t>
      </w:r>
      <w:r w:rsidRPr="0097239C">
        <w:rPr>
          <w:rFonts w:hint="cs"/>
          <w:rtl/>
        </w:rPr>
        <w:t xml:space="preserve">. התועלת שנצפתה ממהלך זה היא </w:t>
      </w:r>
      <w:r w:rsidR="00C603CF">
        <w:rPr>
          <w:rFonts w:hint="cs"/>
          <w:rtl/>
        </w:rPr>
        <w:t>כ-</w:t>
      </w:r>
      <w:r w:rsidRPr="0097239C">
        <w:rPr>
          <w:rFonts w:hint="cs"/>
          <w:rtl/>
        </w:rPr>
        <w:t xml:space="preserve">10 - 13 מיליארד ש"ח. יישום מלא של התוכנית אמור להביא בטווח הארוך לתועלת כלכלית בהיקף של </w:t>
      </w:r>
      <w:r w:rsidR="00C603CF">
        <w:rPr>
          <w:rFonts w:hint="cs"/>
          <w:rtl/>
        </w:rPr>
        <w:t>כ-</w:t>
      </w:r>
      <w:r w:rsidRPr="0097239C">
        <w:rPr>
          <w:rFonts w:hint="cs"/>
          <w:rtl/>
        </w:rPr>
        <w:t>25 - 40 מיליארד ש"ח בשנה</w:t>
      </w:r>
      <w:r>
        <w:rPr>
          <w:vertAlign w:val="superscript"/>
          <w:rtl/>
        </w:rPr>
        <w:footnoteReference w:id="112"/>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על פי התוכנית האסטרטגית 2012, הגודש בדרכים, זיהום האוויר, הגידול במספר תאונות הדרכים ואובדן שעות העבודה עקב הנסיעות הממושכות גורמים להפסד כלכלי למשק שנאמד בכ-25 מיליארד ש"ח בשנה. ממסמכי משרד התחבורה משנת 2016 עולה כי האומדן המעודכן של הנזק שמקורו בגודש בכבישים מוערך בכ-35 מיליארד ש"ח בשנה, והוא צפוי לגדול ל-70 מיליארד ש"ח בשנת 2040.</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ממסמכי בנק ישראל מיולי 2018 עולה כי הסכום שהוקצה לפיתוח התחבורה הציבורית היה מחצית מהסכום שהוגדר בתוכנית האסטרטגית לשנת 2012, וכי ניכרת הפחתה בהשקעות בתשתיות התחבורה היבשתית, לרבות התחבורה הציבורית, כמתואר בתרשים שלהלן.</w:t>
      </w:r>
    </w:p>
    <w:p w:rsidR="000E550E" w:rsidRPr="0097239C" w:rsidP="00C603CF">
      <w:pPr>
        <w:pStyle w:val="a"/>
        <w:spacing w:line="269" w:lineRule="auto"/>
        <w:rPr>
          <w:rtl/>
        </w:rPr>
      </w:pPr>
    </w:p>
    <w:p w:rsidR="0097239C" w:rsidRPr="005C4568" w:rsidP="005C4568">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20</w:t>
      </w:r>
      <w:r w:rsidRPr="0097239C">
        <w:rPr>
          <w:b/>
          <w:bCs/>
          <w:rtl/>
        </w:rPr>
        <w:t>: תקציב</w:t>
      </w:r>
      <w:r w:rsidRPr="0097239C">
        <w:rPr>
          <w:rFonts w:hint="cs"/>
          <w:b/>
          <w:bCs/>
          <w:rtl/>
        </w:rPr>
        <w:t>י</w:t>
      </w:r>
      <w:r w:rsidRPr="0097239C">
        <w:rPr>
          <w:b/>
          <w:bCs/>
          <w:rtl/>
        </w:rPr>
        <w:t xml:space="preserve"> תשתי</w:t>
      </w:r>
      <w:r w:rsidRPr="0097239C">
        <w:rPr>
          <w:rFonts w:hint="cs"/>
          <w:b/>
          <w:bCs/>
          <w:rtl/>
        </w:rPr>
        <w:t>ו</w:t>
      </w:r>
      <w:r w:rsidRPr="0097239C">
        <w:rPr>
          <w:b/>
          <w:bCs/>
          <w:rtl/>
        </w:rPr>
        <w:t xml:space="preserve">ת </w:t>
      </w:r>
      <w:r w:rsidRPr="0097239C">
        <w:rPr>
          <w:rFonts w:hint="cs"/>
          <w:b/>
          <w:bCs/>
          <w:rtl/>
        </w:rPr>
        <w:t>ה</w:t>
      </w:r>
      <w:r w:rsidRPr="0097239C">
        <w:rPr>
          <w:b/>
          <w:bCs/>
          <w:rtl/>
        </w:rPr>
        <w:t xml:space="preserve">תחבורה </w:t>
      </w:r>
      <w:r w:rsidRPr="0097239C">
        <w:rPr>
          <w:rFonts w:hint="cs"/>
          <w:b/>
          <w:bCs/>
          <w:rtl/>
        </w:rPr>
        <w:t>ה</w:t>
      </w:r>
      <w:r w:rsidRPr="0097239C">
        <w:rPr>
          <w:b/>
          <w:bCs/>
          <w:rtl/>
        </w:rPr>
        <w:t xml:space="preserve">יבשתית, </w:t>
      </w:r>
      <w:r w:rsidRPr="0097239C">
        <w:rPr>
          <w:rFonts w:hint="cs"/>
          <w:b/>
          <w:bCs/>
          <w:rtl/>
        </w:rPr>
        <w:t>לפי שיעורי</w:t>
      </w:r>
      <w:r w:rsidRPr="0097239C">
        <w:rPr>
          <w:b/>
          <w:bCs/>
          <w:rtl/>
        </w:rPr>
        <w:t xml:space="preserve"> </w:t>
      </w:r>
      <w:r w:rsidRPr="0097239C">
        <w:rPr>
          <w:rFonts w:hint="eastAsia"/>
          <w:b/>
          <w:bCs/>
          <w:rtl/>
        </w:rPr>
        <w:t>תוצר</w:t>
      </w:r>
      <w:r w:rsidRPr="0097239C">
        <w:rPr>
          <w:b/>
          <w:bCs/>
          <w:rtl/>
        </w:rPr>
        <w:t>,</w:t>
      </w:r>
      <w:r w:rsidRPr="0097239C">
        <w:rPr>
          <w:rFonts w:hint="cs"/>
          <w:b/>
          <w:bCs/>
          <w:rtl/>
        </w:rPr>
        <w:t xml:space="preserve"> </w:t>
      </w:r>
      <w:r w:rsidRPr="0097239C">
        <w:rPr>
          <w:b/>
          <w:bCs/>
          <w:rtl/>
        </w:rPr>
        <w:t>2007 - 2018</w:t>
      </w:r>
    </w:p>
    <w:p w:rsidR="0097239C" w:rsidRPr="0097239C" w:rsidP="005C4568">
      <w:pPr>
        <w:spacing w:before="240" w:after="240" w:line="269" w:lineRule="auto"/>
        <w:jc w:val="center"/>
        <w:rPr>
          <w:rtl/>
        </w:rPr>
      </w:pPr>
      <w:r>
        <w:rPr>
          <w:noProof/>
          <w:rtl/>
        </w:rPr>
        <w:drawing>
          <wp:inline distT="0" distB="0" distL="0" distR="0">
            <wp:extent cx="4320000" cy="2127600"/>
            <wp:effectExtent l="0" t="0" r="4445" b="6350"/>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78050" name="gra-20.jp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127600"/>
                    </a:xfrm>
                    <a:prstGeom prst="rect">
                      <a:avLst/>
                    </a:prstGeom>
                  </pic:spPr>
                </pic:pic>
              </a:graphicData>
            </a:graphic>
          </wp:inline>
        </w:drawing>
      </w:r>
    </w:p>
    <w:p w:rsidR="0097239C" w:rsidP="00C603CF">
      <w:pPr>
        <w:spacing w:line="269" w:lineRule="auto"/>
        <w:rPr>
          <w:sz w:val="22"/>
          <w:szCs w:val="22"/>
          <w:rtl/>
        </w:rPr>
      </w:pPr>
      <w:r w:rsidRPr="001341AA">
        <w:rPr>
          <w:rFonts w:hint="cs"/>
          <w:sz w:val="22"/>
          <w:szCs w:val="22"/>
          <w:rtl/>
        </w:rPr>
        <w:t>המקור: מסמכי בנק ישראל, 2018.</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ברור לכול כי היקף השקעות קטן בתשתיות תחבורה בכלל ובתשתיות תחבורה ציבורית בפרט מביא להמשך הגידול בנסועה הפרטית ולגידול בהיקף הנזק הנגרם מכך.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ממחקר של בנק ישראל מאוגוסט 2019</w:t>
      </w:r>
      <w:r>
        <w:rPr>
          <w:vertAlign w:val="superscript"/>
          <w:rtl/>
        </w:rPr>
        <w:footnoteReference w:id="113"/>
      </w:r>
      <w:r w:rsidRPr="0097239C">
        <w:rPr>
          <w:rFonts w:hint="cs"/>
          <w:rtl/>
        </w:rPr>
        <w:t xml:space="preserve"> עולה כי תמונת המצב הנוכחית בישראל מעידה שבשנים האחרונות גדל העומס על תשתיות התחבורה. מספר האנשים הנוסעים לעבודה גדל בעקבות הגידול </w:t>
      </w:r>
      <w:r w:rsidRPr="0097239C">
        <w:rPr>
          <w:rFonts w:hint="cs"/>
          <w:rtl/>
        </w:rPr>
        <w:t>הטבעי באוכלוסייה, פיזורה במרחב והגידול בשיעור התעסוקה</w:t>
      </w:r>
      <w:r>
        <w:rPr>
          <w:vertAlign w:val="superscript"/>
          <w:rtl/>
        </w:rPr>
        <w:footnoteReference w:id="114"/>
      </w:r>
      <w:r w:rsidRPr="0097239C">
        <w:rPr>
          <w:rFonts w:hint="cs"/>
          <w:rtl/>
        </w:rPr>
        <w:t>. משום כך העומס על התשתיות גבר והצפיפות גדלה. נמצא כי הגודש בישראל כבד במידה ניכרת לעומת יתר מדינות ה-</w:t>
      </w:r>
      <w:r w:rsidRPr="0097239C">
        <w:rPr>
          <w:rFonts w:hint="cs"/>
        </w:rPr>
        <w:t>OEC</w:t>
      </w:r>
      <w:r w:rsidRPr="0097239C">
        <w:t>D</w:t>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עוד עולה ממסמכי בנק ישראל כי שיעור הנסועה בתחבורה הציבורית בישראל קטן יחסית </w:t>
      </w:r>
      <w:r w:rsidRPr="0097239C">
        <w:rPr>
          <w:rFonts w:hint="cs"/>
          <w:rtl/>
        </w:rPr>
        <w:t>למטרופולינים</w:t>
      </w:r>
      <w:r w:rsidRPr="0097239C">
        <w:rPr>
          <w:rFonts w:hint="cs"/>
          <w:rtl/>
        </w:rPr>
        <w:t xml:space="preserve"> נבחרים, כמתואר בתרשים:</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21</w:t>
      </w:r>
      <w:r w:rsidRPr="0097239C">
        <w:rPr>
          <w:b/>
          <w:bCs/>
          <w:rtl/>
        </w:rPr>
        <w:t xml:space="preserve">: שיעור הנסיעות בתחבורה </w:t>
      </w:r>
      <w:r w:rsidRPr="0097239C">
        <w:rPr>
          <w:rFonts w:hint="cs"/>
          <w:b/>
          <w:bCs/>
          <w:rtl/>
        </w:rPr>
        <w:t>ה</w:t>
      </w:r>
      <w:r w:rsidRPr="0097239C">
        <w:rPr>
          <w:b/>
          <w:bCs/>
          <w:rtl/>
        </w:rPr>
        <w:t xml:space="preserve">ציבורית מסך הנסיעות הממונעות </w:t>
      </w:r>
      <w:r w:rsidRPr="0097239C">
        <w:rPr>
          <w:rFonts w:hint="eastAsia"/>
          <w:b/>
          <w:bCs/>
          <w:rtl/>
        </w:rPr>
        <w:t>במטרופולינים</w:t>
      </w:r>
      <w:r w:rsidRPr="0097239C">
        <w:rPr>
          <w:b/>
          <w:bCs/>
          <w:rtl/>
        </w:rPr>
        <w:t xml:space="preserve"> נבחרים,</w:t>
      </w:r>
      <w:r w:rsidRPr="0097239C">
        <w:rPr>
          <w:rFonts w:hint="cs"/>
          <w:b/>
          <w:bCs/>
          <w:rtl/>
        </w:rPr>
        <w:t xml:space="preserve"> </w:t>
      </w:r>
      <w:r w:rsidRPr="0097239C">
        <w:rPr>
          <w:b/>
          <w:bCs/>
          <w:rtl/>
        </w:rPr>
        <w:t>2011 - 2017</w:t>
      </w:r>
    </w:p>
    <w:p w:rsidR="0097239C" w:rsidRPr="0097239C" w:rsidP="005C4568">
      <w:pPr>
        <w:spacing w:before="240" w:after="240" w:line="269" w:lineRule="auto"/>
        <w:jc w:val="center"/>
        <w:rPr>
          <w:u w:val="single"/>
          <w:rtl/>
        </w:rPr>
      </w:pPr>
      <w:r>
        <w:rPr>
          <w:noProof/>
          <w:u w:val="single"/>
          <w:rtl/>
        </w:rPr>
        <w:drawing>
          <wp:inline distT="0" distB="0" distL="0" distR="0">
            <wp:extent cx="4320000" cy="1990588"/>
            <wp:effectExtent l="0" t="0" r="444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81083" name="gra-21.jpg"/>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1990588"/>
                    </a:xfrm>
                    <a:prstGeom prst="rect">
                      <a:avLst/>
                    </a:prstGeom>
                  </pic:spPr>
                </pic:pic>
              </a:graphicData>
            </a:graphic>
          </wp:inline>
        </w:drawing>
      </w:r>
    </w:p>
    <w:p w:rsidR="0097239C" w:rsidRPr="001341AA" w:rsidP="00C603CF">
      <w:pPr>
        <w:spacing w:line="269" w:lineRule="auto"/>
        <w:rPr>
          <w:sz w:val="22"/>
          <w:szCs w:val="22"/>
          <w:rtl/>
        </w:rPr>
      </w:pPr>
      <w:r w:rsidRPr="001341AA">
        <w:rPr>
          <w:rFonts w:hint="cs"/>
          <w:sz w:val="22"/>
          <w:szCs w:val="22"/>
          <w:rtl/>
        </w:rPr>
        <w:t>המקור: בנק ישראל, 2019.</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מהתרשימים עולה כי ישראל היא המדינה שצפיפות הנסיעה בכבישיה היא הגבוהה ביותר בקרב כל מדינות ה-</w:t>
      </w:r>
      <w:r w:rsidRPr="0097239C">
        <w:rPr>
          <w:rFonts w:hint="cs"/>
          <w:b/>
          <w:bCs/>
        </w:rPr>
        <w:t>OECD</w:t>
      </w:r>
      <w:r w:rsidRPr="0097239C">
        <w:rPr>
          <w:rFonts w:hint="cs"/>
          <w:b/>
          <w:bCs/>
          <w:rtl/>
        </w:rPr>
        <w:t xml:space="preserve">, וכי שיעור השימוש בתחבורה הציבורית </w:t>
      </w:r>
      <w:r w:rsidRPr="0097239C">
        <w:rPr>
          <w:rFonts w:hint="cs"/>
          <w:b/>
          <w:bCs/>
          <w:rtl/>
        </w:rPr>
        <w:t>במטרופולינים</w:t>
      </w:r>
      <w:r w:rsidRPr="0097239C">
        <w:rPr>
          <w:rFonts w:hint="cs"/>
          <w:b/>
          <w:bCs/>
          <w:rtl/>
        </w:rPr>
        <w:t xml:space="preserve"> קטן יחסית לערים אחרות בעולם. על משרד התחבורה, בשיתוף משרד האוצר, להמשיך לפעול לשיפור תשתיות התחבורה הציבורית על מנת שהיא תוכל לשמש תחליף ראוי לכלי רכב פרטיים, ובאורח זה יופחתו הנזקים הנגרם מהגודש בכבישים, מזיהום האוויר, מהתחלואה ומפליטת </w:t>
      </w:r>
      <w:r w:rsidRPr="0097239C">
        <w:rPr>
          <w:rFonts w:hint="cs"/>
          <w:b/>
          <w:bCs/>
          <w:rtl/>
        </w:rPr>
        <w:t>גז</w:t>
      </w:r>
      <w:r w:rsidRPr="0097239C">
        <w:rPr>
          <w:b/>
          <w:bCs/>
          <w:rtl/>
        </w:rPr>
        <w:t>"</w:t>
      </w:r>
      <w:r w:rsidRPr="0097239C">
        <w:rPr>
          <w:rFonts w:hint="cs"/>
          <w:b/>
          <w:bCs/>
          <w:rtl/>
        </w:rPr>
        <w:t>ח</w:t>
      </w:r>
      <w:r w:rsidRPr="0097239C">
        <w:rPr>
          <w:rFonts w:hint="cs"/>
          <w:b/>
          <w:bCs/>
          <w:rtl/>
        </w:rPr>
        <w:t xml:space="preserve"> שמקורם הוא ענף התחבורה.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בספטמבר 2015 כאמור התחייבה ממשלת ישראל להסיט 20% מהנסועה מכלי רכב פרטיים לתחבורה הציבורית. על פי התוכנית הלאומית ליישום הסכם פריז מספטמבר 2016, צפי פליטות </w:t>
      </w:r>
      <w:r w:rsidRPr="0097239C">
        <w:rPr>
          <w:rFonts w:hint="cs"/>
          <w:rtl/>
        </w:rPr>
        <w:t>גז"ח</w:t>
      </w:r>
      <w:r w:rsidRPr="0097239C">
        <w:rPr>
          <w:rFonts w:hint="cs"/>
          <w:rtl/>
        </w:rPr>
        <w:t xml:space="preserve"> בשנת 2030 מענף התחבורה הוא 21.7 מיליון טון, שהם 21% מכלל הפליטות הצפויות לפי תרחיש "עסקים כרגיל"</w:t>
      </w:r>
      <w:r w:rsidRPr="0097239C">
        <w:t>.</w:t>
      </w:r>
      <w:r w:rsidRPr="0097239C">
        <w:rPr>
          <w:rtl/>
        </w:rPr>
        <w:t xml:space="preserve"> </w:t>
      </w:r>
      <w:r w:rsidRPr="0097239C">
        <w:rPr>
          <w:rFonts w:hint="cs"/>
          <w:rtl/>
        </w:rPr>
        <w:t xml:space="preserve">עוד עולה מהתוכנית כי פוטנציאל ההפחתה של פליטות </w:t>
      </w:r>
      <w:r w:rsidRPr="0097239C">
        <w:rPr>
          <w:rFonts w:hint="cs"/>
          <w:rtl/>
        </w:rPr>
        <w:t>גז</w:t>
      </w:r>
      <w:r w:rsidRPr="0097239C">
        <w:rPr>
          <w:rtl/>
        </w:rPr>
        <w:t>"</w:t>
      </w:r>
      <w:r w:rsidRPr="0097239C">
        <w:rPr>
          <w:rFonts w:hint="cs"/>
          <w:rtl/>
        </w:rPr>
        <w:t>ח</w:t>
      </w:r>
      <w:r w:rsidRPr="0097239C">
        <w:rPr>
          <w:rFonts w:hint="cs"/>
          <w:rtl/>
        </w:rPr>
        <w:t xml:space="preserve"> בענף התחבורה עד שנת 2030 מוערך בכ-3 מיליון טונות, שהם כ-12% מכלל ההפחתה הנדרשת לשם עמידה ביעד של הפחתת פליטות.</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להלן נתונים על שיעורי השינויים בנסועה הפרטית לעומת שיעורי השינויים בנסועה הכללית במשק בשנים 2012 - 2018, בהתבסס על נתוני </w:t>
      </w:r>
      <w:r w:rsidRPr="0097239C">
        <w:rPr>
          <w:rFonts w:hint="eastAsia"/>
          <w:rtl/>
        </w:rPr>
        <w:t>למ</w:t>
      </w:r>
      <w:r w:rsidRPr="0097239C">
        <w:rPr>
          <w:rtl/>
        </w:rPr>
        <w:t>"ס</w:t>
      </w:r>
      <w:r w:rsidRPr="0097239C">
        <w:rPr>
          <w:rFonts w:hint="cs"/>
          <w:rtl/>
        </w:rPr>
        <w:t>.</w:t>
      </w:r>
    </w:p>
    <w:p w:rsidR="000E550E" w:rsidRPr="0097239C" w:rsidP="00C603CF">
      <w:pPr>
        <w:pStyle w:val="a"/>
        <w:spacing w:line="269" w:lineRule="auto"/>
        <w:rPr>
          <w:rtl/>
        </w:rPr>
      </w:pPr>
    </w:p>
    <w:p w:rsidR="00A75A48">
      <w:pPr>
        <w:bidi w:val="0"/>
        <w:spacing w:after="200" w:line="276" w:lineRule="auto"/>
        <w:rPr>
          <w:b/>
          <w:bCs/>
          <w:rtl/>
        </w:rPr>
      </w:pPr>
      <w:r>
        <w:rPr>
          <w:b/>
          <w:bCs/>
          <w:rtl/>
        </w:rPr>
        <w:br w:type="page"/>
      </w: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22</w:t>
      </w:r>
      <w:r w:rsidRPr="0097239C">
        <w:rPr>
          <w:b/>
          <w:bCs/>
          <w:rtl/>
        </w:rPr>
        <w:t xml:space="preserve">: </w:t>
      </w:r>
      <w:r w:rsidRPr="0097239C">
        <w:rPr>
          <w:rFonts w:hint="eastAsia"/>
          <w:b/>
          <w:bCs/>
          <w:rtl/>
        </w:rPr>
        <w:t>שיעור</w:t>
      </w:r>
      <w:r w:rsidRPr="0097239C">
        <w:rPr>
          <w:rFonts w:hint="cs"/>
          <w:b/>
          <w:bCs/>
          <w:rtl/>
        </w:rPr>
        <w:t>י</w:t>
      </w:r>
      <w:r w:rsidRPr="0097239C">
        <w:rPr>
          <w:b/>
          <w:bCs/>
          <w:rtl/>
        </w:rPr>
        <w:t xml:space="preserve"> </w:t>
      </w:r>
      <w:r w:rsidRPr="0097239C">
        <w:rPr>
          <w:rFonts w:hint="eastAsia"/>
          <w:b/>
          <w:bCs/>
          <w:rtl/>
        </w:rPr>
        <w:t>השינוי</w:t>
      </w:r>
      <w:r w:rsidRPr="0097239C">
        <w:rPr>
          <w:rFonts w:hint="cs"/>
          <w:b/>
          <w:bCs/>
          <w:rtl/>
        </w:rPr>
        <w:t>ים</w:t>
      </w:r>
      <w:r w:rsidRPr="0097239C">
        <w:rPr>
          <w:b/>
          <w:bCs/>
          <w:rtl/>
        </w:rPr>
        <w:t xml:space="preserve"> </w:t>
      </w:r>
      <w:r w:rsidRPr="0097239C">
        <w:rPr>
          <w:rFonts w:hint="eastAsia"/>
          <w:b/>
          <w:bCs/>
          <w:rtl/>
        </w:rPr>
        <w:t>בנסועה</w:t>
      </w:r>
      <w:r w:rsidRPr="0097239C">
        <w:rPr>
          <w:b/>
          <w:bCs/>
          <w:rtl/>
        </w:rPr>
        <w:t xml:space="preserve"> </w:t>
      </w:r>
      <w:r w:rsidRPr="0097239C">
        <w:rPr>
          <w:rFonts w:hint="eastAsia"/>
          <w:b/>
          <w:bCs/>
          <w:rtl/>
        </w:rPr>
        <w:t>הפרטית</w:t>
      </w:r>
      <w:r w:rsidRPr="0097239C">
        <w:rPr>
          <w:b/>
          <w:bCs/>
          <w:rtl/>
        </w:rPr>
        <w:t xml:space="preserve"> </w:t>
      </w:r>
      <w:r w:rsidRPr="0097239C">
        <w:rPr>
          <w:rFonts w:hint="eastAsia"/>
          <w:b/>
          <w:bCs/>
          <w:rtl/>
        </w:rPr>
        <w:t>ובנסועה</w:t>
      </w:r>
      <w:r w:rsidRPr="0097239C">
        <w:rPr>
          <w:b/>
          <w:bCs/>
          <w:rtl/>
        </w:rPr>
        <w:t xml:space="preserve"> </w:t>
      </w:r>
      <w:r w:rsidRPr="0097239C">
        <w:rPr>
          <w:rFonts w:hint="eastAsia"/>
          <w:b/>
          <w:bCs/>
          <w:rtl/>
        </w:rPr>
        <w:t>הכללית</w:t>
      </w:r>
      <w:r w:rsidRPr="0097239C">
        <w:rPr>
          <w:b/>
          <w:bCs/>
          <w:rtl/>
        </w:rPr>
        <w:t xml:space="preserve"> </w:t>
      </w:r>
      <w:r w:rsidRPr="0097239C">
        <w:rPr>
          <w:rFonts w:hint="eastAsia"/>
          <w:b/>
          <w:bCs/>
          <w:rtl/>
        </w:rPr>
        <w:t>במשק</w:t>
      </w:r>
      <w:r w:rsidRPr="0097239C">
        <w:rPr>
          <w:rFonts w:hint="cs"/>
          <w:b/>
          <w:bCs/>
          <w:rtl/>
        </w:rPr>
        <w:t>,</w:t>
      </w:r>
      <w:r w:rsidRPr="0097239C">
        <w:rPr>
          <w:b/>
          <w:bCs/>
          <w:rtl/>
        </w:rPr>
        <w:t xml:space="preserve"> 2012 - 201</w:t>
      </w:r>
      <w:r w:rsidRPr="0097239C">
        <w:rPr>
          <w:rFonts w:hint="cs"/>
          <w:b/>
          <w:bCs/>
          <w:rtl/>
        </w:rPr>
        <w:t>8</w:t>
      </w:r>
    </w:p>
    <w:p w:rsidR="0097239C" w:rsidRPr="003F2044" w:rsidP="00352E89">
      <w:pPr>
        <w:spacing w:before="120" w:after="120" w:line="269" w:lineRule="auto"/>
        <w:jc w:val="center"/>
        <w:rPr>
          <w:rtl/>
        </w:rPr>
      </w:pPr>
      <w:r>
        <w:rPr>
          <w:noProof/>
          <w:rtl/>
        </w:rPr>
        <w:drawing>
          <wp:inline distT="0" distB="0" distL="0" distR="0">
            <wp:extent cx="4322073" cy="2407925"/>
            <wp:effectExtent l="0" t="0" r="2540" b="0"/>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28147" name="energy-g-22.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407925"/>
                    </a:xfrm>
                    <a:prstGeom prst="rect">
                      <a:avLst/>
                    </a:prstGeom>
                  </pic:spPr>
                </pic:pic>
              </a:graphicData>
            </a:graphic>
          </wp:inline>
        </w:drawing>
      </w:r>
    </w:p>
    <w:p w:rsidR="0097239C" w:rsidRPr="001341AA" w:rsidP="00C603CF">
      <w:pPr>
        <w:spacing w:line="269" w:lineRule="auto"/>
        <w:rPr>
          <w:sz w:val="22"/>
          <w:szCs w:val="22"/>
          <w:rtl/>
        </w:rPr>
      </w:pPr>
      <w:r w:rsidRPr="001341AA">
        <w:rPr>
          <w:rFonts w:hint="cs"/>
          <w:sz w:val="22"/>
          <w:szCs w:val="22"/>
          <w:rtl/>
        </w:rPr>
        <w:t xml:space="preserve">המקור: </w:t>
      </w:r>
      <w:r w:rsidRPr="001341AA">
        <w:rPr>
          <w:rFonts w:hint="cs"/>
          <w:sz w:val="22"/>
          <w:szCs w:val="22"/>
          <w:rtl/>
        </w:rPr>
        <w:t>למ"ס</w:t>
      </w:r>
      <w:r w:rsidRPr="001341AA">
        <w:rPr>
          <w:rFonts w:hint="cs"/>
          <w:sz w:val="22"/>
          <w:szCs w:val="22"/>
          <w:rtl/>
        </w:rPr>
        <w:t>, מאגר הנתונים המרכזי, 2019.</w:t>
      </w:r>
    </w:p>
    <w:p w:rsidR="0097239C" w:rsidRPr="0097239C" w:rsidP="00C603CF">
      <w:pPr>
        <w:pStyle w:val="a"/>
        <w:spacing w:line="269" w:lineRule="auto"/>
        <w:rPr>
          <w:rtl/>
        </w:rPr>
      </w:pPr>
    </w:p>
    <w:p w:rsidR="0097239C" w:rsidRPr="0097239C" w:rsidP="00352E89">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23</w:t>
      </w:r>
      <w:r w:rsidRPr="0097239C">
        <w:rPr>
          <w:b/>
          <w:bCs/>
          <w:rtl/>
        </w:rPr>
        <w:t xml:space="preserve">: התפלגות הנסועה בק"מ לפי סוג כלי </w:t>
      </w:r>
      <w:r w:rsidRPr="0097239C">
        <w:rPr>
          <w:rFonts w:hint="cs"/>
          <w:b/>
          <w:bCs/>
          <w:rtl/>
        </w:rPr>
        <w:t>ה</w:t>
      </w:r>
      <w:r w:rsidRPr="0097239C">
        <w:rPr>
          <w:b/>
          <w:bCs/>
          <w:rtl/>
        </w:rPr>
        <w:t>רכב</w:t>
      </w:r>
      <w:r w:rsidRPr="0097239C">
        <w:rPr>
          <w:rFonts w:hint="cs"/>
          <w:b/>
          <w:bCs/>
          <w:rtl/>
        </w:rPr>
        <w:t>,</w:t>
      </w:r>
      <w:r w:rsidRPr="0097239C">
        <w:rPr>
          <w:b/>
          <w:bCs/>
          <w:rtl/>
        </w:rPr>
        <w:t xml:space="preserve"> 201</w:t>
      </w:r>
      <w:r w:rsidRPr="0097239C">
        <w:rPr>
          <w:rFonts w:hint="cs"/>
          <w:b/>
          <w:bCs/>
          <w:rtl/>
        </w:rPr>
        <w:t>8</w:t>
      </w:r>
    </w:p>
    <w:p w:rsidR="0097239C" w:rsidRPr="0097239C" w:rsidP="00352E89">
      <w:pPr>
        <w:spacing w:before="240" w:after="120" w:line="269" w:lineRule="auto"/>
        <w:jc w:val="center"/>
        <w:rPr>
          <w:b/>
          <w:bCs/>
          <w:rtl/>
        </w:rPr>
      </w:pPr>
      <w:r>
        <w:rPr>
          <w:b/>
          <w:bCs/>
          <w:noProof/>
          <w:rtl/>
        </w:rPr>
        <w:drawing>
          <wp:inline distT="0" distB="0" distL="0" distR="0">
            <wp:extent cx="2449930" cy="2647950"/>
            <wp:effectExtent l="0" t="0" r="762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60327" name="energy-g-23.pn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3394" cy="2651694"/>
                    </a:xfrm>
                    <a:prstGeom prst="rect">
                      <a:avLst/>
                    </a:prstGeom>
                  </pic:spPr>
                </pic:pic>
              </a:graphicData>
            </a:graphic>
          </wp:inline>
        </w:drawing>
      </w:r>
    </w:p>
    <w:p w:rsidR="0097239C" w:rsidRPr="001341AA" w:rsidP="00C603CF">
      <w:pPr>
        <w:spacing w:line="269" w:lineRule="auto"/>
        <w:rPr>
          <w:sz w:val="22"/>
          <w:szCs w:val="22"/>
          <w:rtl/>
        </w:rPr>
      </w:pPr>
      <w:r w:rsidRPr="001341AA">
        <w:rPr>
          <w:rFonts w:hint="cs"/>
          <w:sz w:val="22"/>
          <w:szCs w:val="22"/>
          <w:rtl/>
        </w:rPr>
        <w:t xml:space="preserve">המקור: </w:t>
      </w:r>
      <w:r w:rsidRPr="001341AA">
        <w:rPr>
          <w:rFonts w:hint="cs"/>
          <w:sz w:val="22"/>
          <w:szCs w:val="22"/>
          <w:rtl/>
        </w:rPr>
        <w:t>למ"ס</w:t>
      </w:r>
      <w:r w:rsidRPr="001341AA">
        <w:rPr>
          <w:rFonts w:hint="cs"/>
          <w:sz w:val="22"/>
          <w:szCs w:val="22"/>
          <w:rtl/>
        </w:rPr>
        <w:t>, מאגר הנתונים המרכזי, 2019.</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מהתרשימים עולה כי בשנים 2012 - 2018 חלה עלייה של 3.9% בממוצע בשנה בנסועה הפרטית לעומת עלייה של 3% בכלל הנסועה. מחישובי משרד מבקר המדינה עולה כי גם במספר כלי הרכב לק"מ כביש חל גידול ניכר של 60% בשני העשורים האחרונים. יצוין כי בין השנים 2015 - 2018 נרשם גידול בנסועה הפרטית בהיקף של כ-15%.</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באפריל 2016 הטילה הממשלה</w:t>
      </w:r>
      <w:r>
        <w:rPr>
          <w:vertAlign w:val="superscript"/>
          <w:rtl/>
        </w:rPr>
        <w:footnoteReference w:id="115"/>
      </w:r>
      <w:r w:rsidRPr="0097239C">
        <w:rPr>
          <w:rFonts w:hint="cs"/>
          <w:rtl/>
        </w:rPr>
        <w:t xml:space="preserve"> על שר התחבורה והבטיחות בדרכים ושר האוצר, בהתייעצות עם השר </w:t>
      </w:r>
      <w:r w:rsidRPr="0097239C">
        <w:rPr>
          <w:rFonts w:hint="cs"/>
          <w:rtl/>
        </w:rPr>
        <w:t>להג"ס</w:t>
      </w:r>
      <w:r w:rsidRPr="0097239C">
        <w:rPr>
          <w:rFonts w:hint="cs"/>
          <w:rtl/>
        </w:rPr>
        <w:t xml:space="preserve">, לגבש ולהפעיל </w:t>
      </w:r>
      <w:r w:rsidRPr="0097239C">
        <w:rPr>
          <w:rFonts w:hint="cs"/>
          <w:rtl/>
        </w:rPr>
        <w:t>תוכנית</w:t>
      </w:r>
      <w:r w:rsidRPr="0097239C">
        <w:rPr>
          <w:rFonts w:hint="cs"/>
          <w:rtl/>
        </w:rPr>
        <w:t xml:space="preserve"> לעידוד השימוש בתחבורה הציבורית ולמימוש יעדי צמצום הנסועה הפרטית, וזאת עד ליוני 2016. עם זאת, וכפי שיפורט להלן, עד מועד סיום הביקורת טרם גובשה </w:t>
      </w:r>
      <w:r w:rsidRPr="0097239C">
        <w:rPr>
          <w:rFonts w:hint="cs"/>
          <w:rtl/>
        </w:rPr>
        <w:t>תוכנית</w:t>
      </w:r>
      <w:r w:rsidRPr="0097239C">
        <w:rPr>
          <w:rFonts w:hint="cs"/>
          <w:rtl/>
        </w:rPr>
        <w:t xml:space="preserve"> כאמור.</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יצוין כי במאי 2018 הכין משרד התחבורה טיוטת "</w:t>
      </w:r>
      <w:r w:rsidRPr="0097239C">
        <w:rPr>
          <w:rFonts w:hint="cs"/>
          <w:rtl/>
        </w:rPr>
        <w:t>תוכנית</w:t>
      </w:r>
      <w:r w:rsidRPr="0097239C">
        <w:rPr>
          <w:rFonts w:hint="cs"/>
          <w:rtl/>
        </w:rPr>
        <w:t xml:space="preserve"> לעידוד השימוש בתחבורה ציבורית והפחתת נסועת רכב פרטי לשנת היעד 2030". התוכנית כוללת השקעות בתשתיות התחבורה הציבורית והתחבורה העירונית או המוטורית בהתאם לתוכניות אסטרטגיות של משרד התחבורה, רובן </w:t>
      </w:r>
      <w:r w:rsidRPr="0097239C">
        <w:rPr>
          <w:rFonts w:hint="cs"/>
          <w:rtl/>
        </w:rPr>
        <w:t>תוכניות</w:t>
      </w:r>
      <w:r w:rsidRPr="0097239C">
        <w:rPr>
          <w:rFonts w:hint="cs"/>
          <w:rtl/>
        </w:rPr>
        <w:t xml:space="preserve"> קיימות ומיעוטן בתהליכי גיבוש, שילוב אמצעי מדיניות לעידוד השימוש בתחבורה הציבורית ובתחבורה לא-מוטורית, ריסון השימוש ברכב פרטי, ומדיניות של שילוב שימושי קרקע ותחבורה באופן המאפשר נגישות מקיימת, שאינה בזבזנית </w:t>
      </w:r>
      <w:r w:rsidRPr="0097239C">
        <w:rPr>
          <w:rFonts w:hint="cs"/>
          <w:rtl/>
        </w:rPr>
        <w:t>באנרגייה</w:t>
      </w:r>
      <w:r w:rsidRPr="0097239C">
        <w:rPr>
          <w:rFonts w:hint="cs"/>
          <w:rtl/>
        </w:rPr>
        <w:t xml:space="preserve"> ובמרחב. </w:t>
      </w:r>
    </w:p>
    <w:p w:rsidR="0097239C" w:rsidRPr="0097239C" w:rsidP="00C603CF">
      <w:pPr>
        <w:pStyle w:val="a"/>
        <w:spacing w:line="269" w:lineRule="auto"/>
        <w:rPr>
          <w:rtl/>
        </w:rPr>
      </w:pPr>
    </w:p>
    <w:p w:rsidR="003F2044" w:rsidP="00352E89">
      <w:pPr>
        <w:spacing w:line="269" w:lineRule="auto"/>
        <w:rPr>
          <w:rtl/>
        </w:rPr>
      </w:pPr>
      <w:r w:rsidRPr="0097239C">
        <w:rPr>
          <w:rFonts w:hint="cs"/>
          <w:rtl/>
        </w:rPr>
        <w:t xml:space="preserve">התוכנית כוללת </w:t>
      </w:r>
      <w:r w:rsidRPr="0097239C">
        <w:rPr>
          <w:rFonts w:hint="cs"/>
          <w:rtl/>
        </w:rPr>
        <w:t>תוכניות</w:t>
      </w:r>
      <w:r w:rsidRPr="0097239C">
        <w:rPr>
          <w:rFonts w:hint="cs"/>
          <w:rtl/>
        </w:rPr>
        <w:t xml:space="preserve"> שכבר גובשו ואושרו, הרחבות מומלצות לתוכניות אלו ומרכיבים מומלצים לתכנון, לרבות </w:t>
      </w:r>
      <w:r w:rsidRPr="0097239C">
        <w:rPr>
          <w:rFonts w:hint="cs"/>
          <w:rtl/>
        </w:rPr>
        <w:t>תוכנית</w:t>
      </w:r>
      <w:r w:rsidRPr="0097239C">
        <w:rPr>
          <w:rFonts w:hint="cs"/>
          <w:rtl/>
        </w:rPr>
        <w:t xml:space="preserve"> אסטרטגית לפיתוח רשת הרכבת הארצית לשנת 2040; </w:t>
      </w:r>
      <w:r w:rsidRPr="0097239C">
        <w:rPr>
          <w:rFonts w:hint="cs"/>
          <w:rtl/>
        </w:rPr>
        <w:t>תוכנית</w:t>
      </w:r>
      <w:r w:rsidRPr="0097239C">
        <w:rPr>
          <w:rFonts w:hint="cs"/>
          <w:rtl/>
        </w:rPr>
        <w:t xml:space="preserve"> אסטרטגית למערכת התחבורה הציבורית במטרופולין תל אביב; </w:t>
      </w:r>
      <w:r w:rsidRPr="0097239C">
        <w:rPr>
          <w:rFonts w:hint="cs"/>
          <w:rtl/>
        </w:rPr>
        <w:t>תוכנית</w:t>
      </w:r>
      <w:r w:rsidRPr="0097239C">
        <w:rPr>
          <w:rFonts w:hint="cs"/>
          <w:rtl/>
        </w:rPr>
        <w:t xml:space="preserve"> אסטרטגית למערכת התחבורה הציבורית במטרופולין ירושלים; </w:t>
      </w:r>
      <w:r w:rsidRPr="0097239C">
        <w:rPr>
          <w:rFonts w:hint="cs"/>
          <w:rtl/>
        </w:rPr>
        <w:t>תוכנית</w:t>
      </w:r>
      <w:r w:rsidRPr="0097239C">
        <w:rPr>
          <w:rFonts w:hint="cs"/>
          <w:rtl/>
        </w:rPr>
        <w:t xml:space="preserve"> אסטרטגית למערכת התחבורה הציבורית במטרופולין חיפה; צירי העדפה לתחבורה ציבורית; השקעה בתשתיות המיועדות לאופניים ולהולכי רגל.</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בתוכנית מוצגים שני תרחישים לשנת היעד 2030. בתרחיש של גידול מתון הנסועה ברכב פרטי גדלה בכ-35% עד שנת 2030. לפי תרחיש זה, הנסועה הכוללת צפויה להסתכם ב-70 מיליון ק"מ רכב, מכלל זה כ-55 מיליון נסועת רכב פרטי. לעומת זאת, לפי תרחיש הגידול הנמוך, נסועת כלי הרכב הפרטיים תגדל בכ-10% עד שנת 2030. לפי תרחיש זה, הנסועה הכוללת צפויה להסתכם בכ-58 מיליון ק"מ, מכלל זה כ-46 מיליון ק"מ נסועת רכב פרטי.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עלות יישום התוכנית היא כ-340 מיליארד ש"ח עד שנת 2040, מכלל זה כ-200 מיליארד ש"ח עד שנת 2030. על פי אומדני משרד התחבורה, השקעות אלה בצירוף חבילות המדיניות הכלולות בתוכנית צפויות להניב תועלות בסך 33 מיליארד ש"ח בשנה שנת 2040 - מתוכםכ-22 מיליארד ש"ח החל בשנת 2030. לפי תרחיש הגידול המתון, התוכנית צפויה להפחית את הנסועה הפרטית בכ-18%, ולפי תרחיש הגידול הנמוך, נסועת הרכב הפרטי תפחת בכ-12%. משרד התחבורה ציין כי </w:t>
      </w:r>
      <w:r w:rsidRPr="0097239C">
        <w:rPr>
          <w:rFonts w:hint="cs"/>
          <w:b/>
          <w:bCs/>
          <w:rtl/>
        </w:rPr>
        <w:t>"נדרשת תכנית אסטרטגית לאמצעים משלימים שאינם מטפלים בצד ההיצע התשתיתי אלא בצד הביקוש בכדי להגיע ליעד הפחתת הנסועה בהיקף 20%</w:t>
      </w:r>
      <w:r w:rsidRPr="0097239C">
        <w:rPr>
          <w:rFonts w:hint="cs"/>
          <w:rtl/>
        </w:rPr>
        <w:t xml:space="preserve">" (ההדגשה במקור). הביקורת העלתה כי משרד התחבורה לא הכין </w:t>
      </w:r>
      <w:r w:rsidRPr="0097239C">
        <w:rPr>
          <w:rFonts w:hint="cs"/>
          <w:rtl/>
        </w:rPr>
        <w:t>תוכנית</w:t>
      </w:r>
      <w:r w:rsidRPr="0097239C">
        <w:rPr>
          <w:rFonts w:hint="cs"/>
          <w:rtl/>
        </w:rPr>
        <w:t xml:space="preserve"> כאמור.</w:t>
      </w:r>
    </w:p>
    <w:p w:rsidR="0097239C" w:rsidRPr="0097239C" w:rsidP="00C603CF">
      <w:pPr>
        <w:pStyle w:val="a"/>
        <w:spacing w:line="269" w:lineRule="auto"/>
        <w:rPr>
          <w:rtl/>
        </w:rPr>
      </w:pPr>
    </w:p>
    <w:p w:rsidR="0097239C" w:rsidRPr="0097239C" w:rsidP="00C603CF">
      <w:pPr>
        <w:spacing w:line="269" w:lineRule="auto"/>
        <w:rPr>
          <w:rtl/>
        </w:rPr>
      </w:pPr>
      <w:r w:rsidRPr="0097239C">
        <w:rPr>
          <w:rFonts w:hint="eastAsia"/>
          <w:rtl/>
        </w:rPr>
        <w:t>עם</w:t>
      </w:r>
      <w:r w:rsidRPr="0097239C">
        <w:rPr>
          <w:rtl/>
        </w:rPr>
        <w:t xml:space="preserve"> זאת </w:t>
      </w:r>
      <w:r w:rsidRPr="0097239C">
        <w:rPr>
          <w:rFonts w:hint="eastAsia"/>
          <w:rtl/>
        </w:rPr>
        <w:t>יצוין</w:t>
      </w:r>
      <w:r w:rsidRPr="0097239C">
        <w:rPr>
          <w:rtl/>
        </w:rPr>
        <w:t xml:space="preserve"> </w:t>
      </w:r>
      <w:r w:rsidRPr="0097239C">
        <w:rPr>
          <w:rFonts w:hint="eastAsia"/>
          <w:rtl/>
        </w:rPr>
        <w:t>כי</w:t>
      </w:r>
      <w:r w:rsidRPr="0097239C">
        <w:rPr>
          <w:rtl/>
        </w:rPr>
        <w:t xml:space="preserve"> משרד התחבורה נקט </w:t>
      </w:r>
      <w:r w:rsidRPr="0097239C">
        <w:rPr>
          <w:rFonts w:hint="cs"/>
          <w:rtl/>
        </w:rPr>
        <w:t xml:space="preserve">באחרונה </w:t>
      </w:r>
      <w:r w:rsidRPr="0097239C">
        <w:rPr>
          <w:rtl/>
        </w:rPr>
        <w:t xml:space="preserve">פעולות שונות </w:t>
      </w:r>
      <w:r w:rsidRPr="0097239C">
        <w:rPr>
          <w:rFonts w:hint="cs"/>
          <w:rtl/>
        </w:rPr>
        <w:t xml:space="preserve">על מנת </w:t>
      </w:r>
      <w:r w:rsidRPr="0097239C">
        <w:rPr>
          <w:rtl/>
        </w:rPr>
        <w:t xml:space="preserve">להתמודד עם הגודש בכבישים </w:t>
      </w:r>
      <w:r w:rsidRPr="0097239C">
        <w:rPr>
          <w:rFonts w:hint="cs"/>
          <w:rtl/>
        </w:rPr>
        <w:t>ולשיפור</w:t>
      </w:r>
      <w:r w:rsidRPr="0097239C">
        <w:rPr>
          <w:rtl/>
        </w:rPr>
        <w:t xml:space="preserve"> מערכת התחבורה הציבורית, כגון הקצאת נתיבים ייעודי</w:t>
      </w:r>
      <w:r w:rsidRPr="0097239C">
        <w:rPr>
          <w:rFonts w:hint="cs"/>
          <w:rtl/>
        </w:rPr>
        <w:t>י</w:t>
      </w:r>
      <w:r w:rsidRPr="0097239C">
        <w:rPr>
          <w:rtl/>
        </w:rPr>
        <w:t xml:space="preserve">ם לתחבורה </w:t>
      </w:r>
      <w:r w:rsidRPr="0097239C">
        <w:rPr>
          <w:rFonts w:hint="cs"/>
          <w:rtl/>
        </w:rPr>
        <w:t>ה</w:t>
      </w:r>
      <w:r w:rsidRPr="0097239C">
        <w:rPr>
          <w:rtl/>
        </w:rPr>
        <w:t>ציבורית ועידוד נסיעות שיתופיות</w:t>
      </w:r>
      <w:r w:rsidRPr="0097239C">
        <w:rPr>
          <w:rFonts w:hint="cs"/>
          <w:rtl/>
        </w:rPr>
        <w:t>.</w:t>
      </w:r>
      <w:r w:rsidRPr="0097239C">
        <w:rPr>
          <w:rtl/>
        </w:rPr>
        <w:t xml:space="preserve"> כן הועלו הצעות שונות בעשור האחרון </w:t>
      </w:r>
      <w:r w:rsidRPr="0097239C">
        <w:rPr>
          <w:rFonts w:hint="cs"/>
          <w:rtl/>
        </w:rPr>
        <w:t xml:space="preserve">- </w:t>
      </w:r>
      <w:r w:rsidRPr="0097239C">
        <w:rPr>
          <w:rtl/>
        </w:rPr>
        <w:t xml:space="preserve">במסגרת החלטות ממשלה, דוחות ועדות מקצועיות ועבודות מחקר </w:t>
      </w:r>
      <w:r w:rsidRPr="0097239C">
        <w:rPr>
          <w:rFonts w:hint="cs"/>
          <w:rtl/>
        </w:rPr>
        <w:t xml:space="preserve">- </w:t>
      </w:r>
      <w:r w:rsidRPr="0097239C">
        <w:rPr>
          <w:rtl/>
        </w:rPr>
        <w:t>למתן תמריצים כלכליים ו</w:t>
      </w:r>
      <w:r w:rsidRPr="0097239C">
        <w:rPr>
          <w:rFonts w:hint="cs"/>
          <w:rtl/>
        </w:rPr>
        <w:t>ל</w:t>
      </w:r>
      <w:r w:rsidRPr="0097239C">
        <w:rPr>
          <w:rtl/>
        </w:rPr>
        <w:t xml:space="preserve">שינוי מבנה העלויות בענף הרכב, באופן שיביא לצמצום </w:t>
      </w:r>
      <w:r w:rsidRPr="0097239C">
        <w:rPr>
          <w:rFonts w:hint="cs"/>
          <w:rtl/>
        </w:rPr>
        <w:t>נסיעות של</w:t>
      </w:r>
      <w:r w:rsidRPr="0097239C">
        <w:rPr>
          <w:rtl/>
        </w:rPr>
        <w:t xml:space="preserve"> כלי רכב פרטיים בשעות השיא.</w:t>
      </w:r>
      <w:r w:rsidRPr="0097239C">
        <w:rPr>
          <w:rFonts w:hint="cs"/>
          <w:rtl/>
        </w:rPr>
        <w:t xml:space="preserve"> משרד</w:t>
      </w:r>
      <w:r w:rsidRPr="0097239C">
        <w:rPr>
          <w:rtl/>
        </w:rPr>
        <w:t xml:space="preserve"> </w:t>
      </w:r>
      <w:r w:rsidRPr="0097239C">
        <w:rPr>
          <w:rFonts w:hint="cs"/>
          <w:rtl/>
        </w:rPr>
        <w:t>התחבורה</w:t>
      </w:r>
      <w:r w:rsidRPr="0097239C">
        <w:rPr>
          <w:rtl/>
        </w:rPr>
        <w:t xml:space="preserve"> </w:t>
      </w:r>
      <w:r w:rsidRPr="0097239C">
        <w:rPr>
          <w:rFonts w:hint="cs"/>
          <w:rtl/>
        </w:rPr>
        <w:t>השיב</w:t>
      </w:r>
      <w:r w:rsidRPr="0097239C">
        <w:rPr>
          <w:rtl/>
        </w:rPr>
        <w:t xml:space="preserve"> </w:t>
      </w:r>
      <w:r w:rsidRPr="0097239C">
        <w:rPr>
          <w:rFonts w:hint="cs"/>
          <w:rtl/>
        </w:rPr>
        <w:t>למשרד</w:t>
      </w:r>
      <w:r w:rsidRPr="0097239C">
        <w:rPr>
          <w:rtl/>
        </w:rPr>
        <w:t xml:space="preserve"> </w:t>
      </w:r>
      <w:r w:rsidRPr="0097239C">
        <w:rPr>
          <w:rFonts w:hint="cs"/>
          <w:rtl/>
        </w:rPr>
        <w:t>מבקר</w:t>
      </w:r>
      <w:r w:rsidRPr="0097239C">
        <w:rPr>
          <w:rtl/>
        </w:rPr>
        <w:t xml:space="preserve"> </w:t>
      </w:r>
      <w:r w:rsidRPr="0097239C">
        <w:rPr>
          <w:rFonts w:hint="cs"/>
          <w:rtl/>
        </w:rPr>
        <w:t>המדינה</w:t>
      </w:r>
      <w:r w:rsidRPr="0097239C">
        <w:rPr>
          <w:rtl/>
        </w:rPr>
        <w:t xml:space="preserve"> </w:t>
      </w:r>
      <w:r w:rsidRPr="0097239C">
        <w:rPr>
          <w:rFonts w:hint="cs"/>
          <w:rtl/>
        </w:rPr>
        <w:t>ביולי</w:t>
      </w:r>
      <w:r w:rsidRPr="0097239C">
        <w:rPr>
          <w:rtl/>
        </w:rPr>
        <w:t xml:space="preserve"> 2020 </w:t>
      </w:r>
      <w:r w:rsidRPr="0097239C">
        <w:rPr>
          <w:rFonts w:hint="cs"/>
          <w:rtl/>
        </w:rPr>
        <w:t>כי</w:t>
      </w:r>
      <w:r w:rsidRPr="0097239C">
        <w:rPr>
          <w:rtl/>
        </w:rPr>
        <w:t xml:space="preserve"> </w:t>
      </w:r>
      <w:r w:rsidRPr="0097239C">
        <w:rPr>
          <w:rFonts w:hint="cs"/>
          <w:rtl/>
        </w:rPr>
        <w:t>הוא</w:t>
      </w:r>
      <w:r w:rsidRPr="0097239C">
        <w:rPr>
          <w:rtl/>
        </w:rPr>
        <w:t xml:space="preserve"> </w:t>
      </w:r>
      <w:r w:rsidRPr="0097239C">
        <w:rPr>
          <w:rFonts w:hint="cs"/>
          <w:rtl/>
        </w:rPr>
        <w:t>מוביל</w:t>
      </w:r>
      <w:r w:rsidRPr="0097239C">
        <w:rPr>
          <w:rtl/>
        </w:rPr>
        <w:t xml:space="preserve"> </w:t>
      </w:r>
      <w:r w:rsidRPr="0097239C">
        <w:rPr>
          <w:rFonts w:hint="cs"/>
          <w:rtl/>
        </w:rPr>
        <w:t>למעלה</w:t>
      </w:r>
      <w:r w:rsidRPr="0097239C">
        <w:rPr>
          <w:rtl/>
        </w:rPr>
        <w:t xml:space="preserve"> </w:t>
      </w:r>
      <w:r w:rsidRPr="0097239C">
        <w:rPr>
          <w:rFonts w:hint="cs"/>
          <w:rtl/>
        </w:rPr>
        <w:t>מעשור</w:t>
      </w:r>
      <w:r w:rsidRPr="0097239C">
        <w:rPr>
          <w:rtl/>
        </w:rPr>
        <w:t xml:space="preserve"> </w:t>
      </w:r>
      <w:r w:rsidRPr="0097239C">
        <w:rPr>
          <w:rFonts w:hint="cs"/>
          <w:rtl/>
        </w:rPr>
        <w:t>פרויקטים</w:t>
      </w:r>
      <w:r w:rsidRPr="0097239C">
        <w:rPr>
          <w:rtl/>
        </w:rPr>
        <w:t xml:space="preserve"> </w:t>
      </w:r>
      <w:r w:rsidRPr="0097239C">
        <w:rPr>
          <w:rFonts w:hint="cs"/>
          <w:rtl/>
        </w:rPr>
        <w:t>בתחום</w:t>
      </w:r>
      <w:r w:rsidRPr="0097239C">
        <w:rPr>
          <w:rtl/>
        </w:rPr>
        <w:t xml:space="preserve"> </w:t>
      </w:r>
      <w:r w:rsidRPr="0097239C">
        <w:rPr>
          <w:rFonts w:hint="cs"/>
          <w:rtl/>
        </w:rPr>
        <w:t>מערכות</w:t>
      </w:r>
      <w:r w:rsidRPr="0097239C">
        <w:rPr>
          <w:rtl/>
        </w:rPr>
        <w:t xml:space="preserve"> </w:t>
      </w:r>
      <w:r w:rsidRPr="0097239C">
        <w:rPr>
          <w:rFonts w:hint="cs"/>
          <w:rtl/>
        </w:rPr>
        <w:t>הסעת</w:t>
      </w:r>
      <w:r w:rsidRPr="0097239C">
        <w:rPr>
          <w:rtl/>
        </w:rPr>
        <w:t xml:space="preserve"> </w:t>
      </w:r>
      <w:r w:rsidRPr="0097239C">
        <w:rPr>
          <w:rFonts w:hint="cs"/>
          <w:rtl/>
        </w:rPr>
        <w:t>המונים</w:t>
      </w:r>
      <w:r w:rsidRPr="0097239C">
        <w:rPr>
          <w:rtl/>
        </w:rPr>
        <w:t xml:space="preserve">, </w:t>
      </w:r>
      <w:r w:rsidRPr="0097239C">
        <w:rPr>
          <w:rFonts w:hint="cs"/>
          <w:rtl/>
        </w:rPr>
        <w:t>שיפור</w:t>
      </w:r>
      <w:r w:rsidRPr="0097239C">
        <w:rPr>
          <w:rtl/>
        </w:rPr>
        <w:t xml:space="preserve"> </w:t>
      </w:r>
      <w:r w:rsidRPr="0097239C">
        <w:rPr>
          <w:rFonts w:hint="cs"/>
          <w:rtl/>
        </w:rPr>
        <w:t>מערכי</w:t>
      </w:r>
      <w:r w:rsidRPr="0097239C">
        <w:rPr>
          <w:rtl/>
        </w:rPr>
        <w:t xml:space="preserve"> </w:t>
      </w:r>
      <w:r w:rsidRPr="0097239C">
        <w:rPr>
          <w:rFonts w:hint="cs"/>
          <w:rtl/>
        </w:rPr>
        <w:t>התחבורה</w:t>
      </w:r>
      <w:r w:rsidRPr="0097239C">
        <w:rPr>
          <w:rtl/>
        </w:rPr>
        <w:t xml:space="preserve"> </w:t>
      </w:r>
      <w:r w:rsidRPr="0097239C">
        <w:rPr>
          <w:rFonts w:hint="cs"/>
          <w:rtl/>
        </w:rPr>
        <w:t>הציבורית</w:t>
      </w:r>
      <w:r w:rsidRPr="0097239C">
        <w:rPr>
          <w:rtl/>
        </w:rPr>
        <w:t xml:space="preserve"> </w:t>
      </w:r>
      <w:r w:rsidRPr="0097239C">
        <w:rPr>
          <w:rFonts w:hint="cs"/>
          <w:rtl/>
        </w:rPr>
        <w:t>באוטובוסים</w:t>
      </w:r>
      <w:r w:rsidRPr="0097239C">
        <w:rPr>
          <w:rtl/>
        </w:rPr>
        <w:t xml:space="preserve">, טיוב הממשקים והקישוריות בתחבורה, כולל הנחיות לתכנון להולכי רגל, שבילי אופניים, חניוני חנה וסע, </w:t>
      </w:r>
      <w:r w:rsidRPr="0097239C">
        <w:rPr>
          <w:rFonts w:hint="cs"/>
          <w:rtl/>
        </w:rPr>
        <w:t xml:space="preserve">וכן </w:t>
      </w:r>
      <w:r w:rsidRPr="0097239C">
        <w:rPr>
          <w:rtl/>
        </w:rPr>
        <w:t xml:space="preserve">השמעת עמדה ברורה כי יש לתכנן ולאשר </w:t>
      </w:r>
      <w:r w:rsidRPr="0097239C">
        <w:rPr>
          <w:rFonts w:hint="cs"/>
          <w:rtl/>
        </w:rPr>
        <w:t>פרויקטי</w:t>
      </w:r>
      <w:r w:rsidRPr="0097239C">
        <w:rPr>
          <w:rtl/>
        </w:rPr>
        <w:t xml:space="preserve"> דיור מוט</w:t>
      </w:r>
      <w:r w:rsidRPr="0097239C">
        <w:rPr>
          <w:rFonts w:hint="cs"/>
          <w:rtl/>
        </w:rPr>
        <w:t>י</w:t>
      </w:r>
      <w:r w:rsidRPr="0097239C">
        <w:rPr>
          <w:rtl/>
        </w:rPr>
        <w:t xml:space="preserve"> תחבורה ציבורית.</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על משרד התחבורה לגבש </w:t>
      </w:r>
      <w:r w:rsidRPr="0097239C">
        <w:rPr>
          <w:rFonts w:hint="cs"/>
          <w:b/>
          <w:bCs/>
          <w:rtl/>
        </w:rPr>
        <w:t>תוכנית</w:t>
      </w:r>
      <w:r w:rsidRPr="0097239C">
        <w:rPr>
          <w:rFonts w:hint="cs"/>
          <w:b/>
          <w:bCs/>
          <w:rtl/>
        </w:rPr>
        <w:t xml:space="preserve"> כוללת לעידוד השימוש בתחבורה ציבורית, ועל התוכנית לכלול את הצעדים שיש לנקוט הן לעניין ההיצע והן לעניין הביקוש. כמו כן, על המשרד לקבוע לוח זמנים, יעדי ביניים ומדדים למעקב אחר יישום צעדי התוכנית.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מדוח בנק ישראל מאוגוסט 2019 עולה כי כמה צעדים שננקטו בשנים האחרונות תרמו לעידוד השימוש בכלי רכב פרטיים, ובין השאר ההחלטה על הפחתת המס על רכישת מכוניות חדשות והעלאת המס על ההוצאות המשתנות באופן מתון יחסית לגידול בהכנסה. שילוב הגורמים הללו הוביל לעלייה ברמת המינוע, להתארכות זמני הנסיעה ולמצוקה תחבורתית של ממש. כן עולה כי לפי תמונת המצב הנוכחית בישראל, בשנים האחרונות גדל העומס על תשתיות התחבורה, הצפיפות גדלה, והגודש בישראל נמצא גבוה באופן חריג יחסית לשאר מדינות ה-</w:t>
      </w:r>
      <w:r w:rsidRPr="0097239C">
        <w:rPr>
          <w:rFonts w:hint="cs"/>
        </w:rPr>
        <w:t>OECD</w:t>
      </w:r>
      <w:r w:rsidRPr="0097239C">
        <w:rPr>
          <w:rFonts w:hint="cs"/>
          <w:rtl/>
        </w:rPr>
        <w:t xml:space="preserve">. עוד עולה </w:t>
      </w:r>
      <w:r w:rsidRPr="0097239C">
        <w:rPr>
          <w:rFonts w:hint="cs"/>
          <w:rtl/>
        </w:rPr>
        <w:t>מהמסמכים כי היקף השימוש בתחבורה הציבורית בערים הגדולות בישראל קטן יחסית לערים מפותחות בעולם</w:t>
      </w:r>
      <w:r>
        <w:rPr>
          <w:vertAlign w:val="superscript"/>
          <w:rtl/>
        </w:rPr>
        <w:footnoteReference w:id="116"/>
      </w:r>
      <w:r w:rsidRPr="0097239C">
        <w:rPr>
          <w:rFonts w:hint="cs"/>
          <w:rtl/>
        </w:rPr>
        <w:t xml:space="preserve">. </w:t>
      </w:r>
    </w:p>
    <w:p w:rsidR="0097239C" w:rsidRPr="0097239C" w:rsidP="00C603CF">
      <w:pPr>
        <w:pStyle w:val="a"/>
        <w:spacing w:line="269" w:lineRule="auto"/>
        <w:rPr>
          <w:rtl/>
        </w:rPr>
      </w:pPr>
    </w:p>
    <w:p w:rsidR="0097239C" w:rsidP="00C603CF">
      <w:pPr>
        <w:spacing w:line="269" w:lineRule="auto"/>
        <w:rPr>
          <w:b/>
          <w:bCs/>
          <w:rtl/>
        </w:rPr>
      </w:pPr>
      <w:r w:rsidRPr="0097239C">
        <w:rPr>
          <w:rFonts w:hint="cs"/>
          <w:b/>
          <w:bCs/>
          <w:rtl/>
        </w:rPr>
        <w:t>משרד מבקר המדינה ממליץ למשרד התחבורה ולמשרד האוצר להשלים בחינה של מכלול האמצעים הדרושים כדי לצמצם את הפערים בהיקפה ובאיכותה של התחבורה הציבורית בישראל יחסית לשאר המדינות המפותחות. בין היתר, עליהם להגדיל את היקף ההשקעה בתשתיות התחבורה הציבורית בראייה רב-שנתית, כדי שתוכל לשמש תחליף ראוי לנסיעות פרטית, בייחוד בערי המטרופולי</w:t>
      </w:r>
      <w:r w:rsidRPr="0097239C">
        <w:rPr>
          <w:rFonts w:hint="eastAsia"/>
          <w:b/>
          <w:bCs/>
          <w:rtl/>
        </w:rPr>
        <w:t>ן</w:t>
      </w:r>
      <w:r w:rsidR="000E550E">
        <w:rPr>
          <w:rFonts w:hint="cs"/>
          <w:b/>
          <w:bCs/>
          <w:rtl/>
        </w:rPr>
        <w:t>.</w:t>
      </w:r>
    </w:p>
    <w:p w:rsidR="000E550E" w:rsidP="00C603CF">
      <w:pPr>
        <w:spacing w:line="269" w:lineRule="auto"/>
        <w:rPr>
          <w:b/>
          <w:bCs/>
          <w:rtl/>
        </w:rPr>
      </w:pPr>
    </w:p>
    <w:p w:rsidR="00A75A48" w:rsidRPr="0097239C" w:rsidP="00C603CF">
      <w:pPr>
        <w:spacing w:line="269" w:lineRule="auto"/>
        <w:rPr>
          <w:b/>
          <w:bCs/>
          <w:rtl/>
        </w:rPr>
      </w:pPr>
    </w:p>
    <w:p w:rsidR="0097239C" w:rsidP="00C603CF">
      <w:pPr>
        <w:pStyle w:val="Heading3"/>
        <w:spacing w:before="0" w:line="269" w:lineRule="auto"/>
        <w:rPr>
          <w:rtl/>
        </w:rPr>
      </w:pPr>
      <w:bookmarkStart w:id="13" w:name="_Toc46906229"/>
      <w:r w:rsidRPr="0097239C">
        <w:rPr>
          <w:rFonts w:hint="cs"/>
          <w:rtl/>
        </w:rPr>
        <w:t>החזקת רכב לעובדים בשירות הציבורי</w:t>
      </w:r>
      <w:bookmarkEnd w:id="13"/>
    </w:p>
    <w:p w:rsidR="000E550E"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מדוח הממונה על השכר מפברואר 2020 בנוגע לשכר בשירות המדינה ובגופי ביטחון לשנת 2018 (להלן - דוח הממונה על השכר) עולה, כי סך המועסקים במשק בשנת 2017 הוא כ-2.9 מיליון, מתוכם 80.3% מועסקים במגזר הפרטי ו-19.7% במגזר הציבורי. על פי הדוח, 60% מהעובדים במשק מגיעים למקום העבודה ברכב פרטי. מגמה זו הולכת וגדלה בקצב גדול מקצב הגידול בתשתיות, והדבר גורם בין היתר לזיהום אוויר. לעלייה במצבת כלי הרכב סיבות שונות ובהן עלייה כללית ברמת החיים, התרחבות התעסוקה ופיזור האוכלוסייה, וכן הטבות של רכב צמוד במגזרים שונים כגון צה"ל, התעשיות הטכנולוגיות והמגזר הציבורי.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במגזר הציבורי משולמים רכיבי החזר הוצאות שונות, כגון שימוש ברכב פרטי לצורכי עבודה בתפקידים מסוימים, </w:t>
      </w:r>
      <w:r w:rsidRPr="0097239C">
        <w:rPr>
          <w:rFonts w:hint="cs"/>
          <w:rtl/>
        </w:rPr>
        <w:t>קצובת</w:t>
      </w:r>
      <w:r w:rsidRPr="0097239C">
        <w:rPr>
          <w:rFonts w:hint="cs"/>
          <w:rtl/>
        </w:rPr>
        <w:t xml:space="preserve"> נסיעה בתחבורה ציבורית ועוד. על פי דוח הממונה על השכר, החזר זה היה בשנת 2018 9% מהשכר במשרדי הממשלה, 3% מהשכר במערכת הבריאות ו-2% מהשכר במערכת החינוך</w:t>
      </w:r>
      <w:r>
        <w:rPr>
          <w:vertAlign w:val="superscript"/>
          <w:rtl/>
        </w:rPr>
        <w:footnoteReference w:id="117"/>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בדוח הממונה על השכר צוין עוד כי על פי אומדנים, מספר המכוניות בקרב כלל האוכלוסייה עולה בכל שנה ב-10% לפחות כתוצאה מהליסינג. כאמור על פי אומדן של </w:t>
      </w:r>
      <w:r w:rsidRPr="0097239C">
        <w:rPr>
          <w:rFonts w:hint="cs"/>
          <w:rtl/>
        </w:rPr>
        <w:t>אג"ת</w:t>
      </w:r>
      <w:r w:rsidRPr="0097239C">
        <w:rPr>
          <w:rFonts w:hint="cs"/>
          <w:rtl/>
        </w:rPr>
        <w:t xml:space="preserve">, נזקי הגודש מוערכים בכ-70 מיליארד ש"ח עד שנת 2040. על פי דוח של המשרד </w:t>
      </w:r>
      <w:r w:rsidRPr="0097239C">
        <w:rPr>
          <w:rFonts w:hint="cs"/>
          <w:rtl/>
        </w:rPr>
        <w:t>להג"ס</w:t>
      </w:r>
      <w:r w:rsidRPr="0097239C">
        <w:rPr>
          <w:rFonts w:hint="cs"/>
          <w:rtl/>
        </w:rPr>
        <w:t xml:space="preserve"> מ-2015</w:t>
      </w:r>
      <w:r>
        <w:rPr>
          <w:vertAlign w:val="superscript"/>
          <w:rtl/>
        </w:rPr>
        <w:footnoteReference w:id="118"/>
      </w:r>
      <w:r w:rsidRPr="0097239C">
        <w:rPr>
          <w:rFonts w:hint="cs"/>
          <w:rtl/>
        </w:rPr>
        <w:t>, מעבר לתחבורה ציבורית, לאופניים ולהליכה על פני שימוש ברכב פרטי צפויים להניב למשק תועלת של כ-149 מיליארד ש"ח (במחירי 2015).</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הממונה על השכר ציין כי לאור מגמות הגידול בנסועה הפרטית ובמצבת כלי הרכב, לצד קצב גידול שאינו תואם את היצע התשתיות, יש לנקוט צעדים שיובילו לשינוי בהרגלי הנסיעה של עובדי המשק כדי להקל על הגודש בכבישים. אמצעים אלה כוללים תמריצים כלכליים, כגון אגרות גודש, שינוי תחנות הנסיעה, שינוי אמצעי הנסיעה, כגון נסיעות שיתופיות, ותוכניות מעסיקים המעודדות את הפחתת השימוש ברכב פרטי.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בדוח קודם</w:t>
      </w:r>
      <w:r>
        <w:rPr>
          <w:vertAlign w:val="superscript"/>
          <w:rtl/>
        </w:rPr>
        <w:footnoteReference w:id="119"/>
      </w:r>
      <w:r w:rsidRPr="0097239C">
        <w:rPr>
          <w:rFonts w:hint="cs"/>
          <w:rtl/>
        </w:rPr>
        <w:t xml:space="preserve"> בדק משרד מבקר המדינה את נושא שינוי שיטת השכר ורכיב החזקת הרכב לעובדים בשירות הציבורי, והעלה כי שינוי שיטת השכר כרוך בסיכונים ובעלויות תקציביות ואקטואריות, העלולים לגרור עלות גבוהה מאוד לתקציב המדינה ועלות גבוהה עוד יותר מבחינת העלות האקטוארית לפנסיה התקציבית, המוערכת בכ-160 - 220 מיליארד ש"ח.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עוד עולה מדוח הממונה על השכר כי אחד האמצעים היעילים לשינוי הרגלי נסיעה הוא עידוד "עבודה מרחוק", שמיושמת במגזר הפרטי בישראל באופן נרחב, שכן 58% מחברות ההיי-טק </w:t>
      </w:r>
      <w:r w:rsidRPr="0097239C">
        <w:rPr>
          <w:rFonts w:hint="cs"/>
          <w:rtl/>
        </w:rPr>
        <w:t>מאפשרות עבודה מהבית. במגזר הציבורי קיימים כמה מודלים המאפשרים עבודה מרחוק. הממונה על השכר ציין בדוח שלו כי בימים אלה נבחנת באגף אפשרות לפיילוט עבודה מרחוק במגזר הציבורי. אגף הממונה על השכר השיב למשרד מבקר המדינה במאי 2020 כי "בימים אלה בתקופת החירום הרפואי של נגיף קורונה, ובמסגרת החלטות הממשלה השונות בנושא, משרדי הממשלה קיבלו אישור מהממשלה להעסיק עובדים לפי שיקול דעת המנכ"ל בעבודה מהבית, לפי כללים שנקבעו".</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משרד מבקר המדינה רואה בחיוב את הפיילוט שעורך אגף הממונה על השכר לעידוד עבודה מרחוק, לצד זאת משרד מבקר המדינה ממליץ לממונה על השכר ולנציבות שירות המדינה לבחון הסדרה מול המעסיקים וארגוני העובדים במגזר הציבורי לצורך גיבוש מודל העסקה בעלות הנוכחית, ובדרך שתתמרץ שימוש בתחבורה ציבורית או נסיעות משותפות לצורך הפחתת הנסועה הפרטית, וכתוצאה מכך תביא להפחתת עלויות הנזק מהגודש ומזיהום האוויר. משרד מבקר המדינה ממליץ לבחון את התוצאות של עבודה מרחוק בתקופת החירום הרפואי של משבר הקורונה, ובהתאם לבחינה לגבש מדיניות כוללת בעניין מתן אפשרות לעבודה מהבית גם בתקופות שגרה.</w:t>
      </w:r>
    </w:p>
    <w:p w:rsidR="0097239C" w:rsidRPr="0097239C" w:rsidP="00C603CF">
      <w:pPr>
        <w:spacing w:line="269" w:lineRule="auto"/>
        <w:rPr>
          <w:b/>
          <w:bCs/>
          <w:rtl/>
        </w:rPr>
      </w:pPr>
    </w:p>
    <w:p w:rsidR="0097239C" w:rsidP="00C603CF">
      <w:pPr>
        <w:pStyle w:val="Heading2"/>
        <w:spacing w:before="0" w:line="269" w:lineRule="auto"/>
        <w:rPr>
          <w:rtl/>
        </w:rPr>
      </w:pPr>
      <w:bookmarkStart w:id="14" w:name="_Toc46906230"/>
      <w:r w:rsidRPr="0097239C">
        <w:rPr>
          <w:rFonts w:hint="cs"/>
          <w:rtl/>
        </w:rPr>
        <w:t>התייעלות במגזר הציבורי</w:t>
      </w:r>
      <w:bookmarkEnd w:id="14"/>
    </w:p>
    <w:p w:rsidR="000E550E" w:rsidRPr="0097239C" w:rsidP="00C603CF">
      <w:pPr>
        <w:pStyle w:val="a"/>
        <w:spacing w:line="269" w:lineRule="auto"/>
        <w:rPr>
          <w:rtl/>
        </w:rPr>
      </w:pPr>
    </w:p>
    <w:p w:rsidR="0097239C" w:rsidP="00C603CF">
      <w:pPr>
        <w:spacing w:line="269" w:lineRule="auto"/>
        <w:rPr>
          <w:rtl/>
        </w:rPr>
      </w:pPr>
      <w:r w:rsidRPr="0097239C">
        <w:rPr>
          <w:rFonts w:hint="cs"/>
          <w:rtl/>
        </w:rPr>
        <w:t xml:space="preserve">צריכת החשמל במגזר הציבורי מסחרי שיעורה כ-32% מצריכת החשמל הכוללת במשק. חוק מקורות </w:t>
      </w:r>
      <w:r w:rsidRPr="0097239C">
        <w:rPr>
          <w:rFonts w:hint="cs"/>
          <w:rtl/>
        </w:rPr>
        <w:t>אנרגייה</w:t>
      </w:r>
      <w:r w:rsidRPr="0097239C">
        <w:rPr>
          <w:rFonts w:hint="cs"/>
          <w:rtl/>
        </w:rPr>
        <w:t xml:space="preserve"> קובע כי שרי הממשלה ידווחו לממשלה בכל שנה, לא יאוחר מ-31 למרץ, על הפעולות שנקטו משרדיהם ויחידות הסמך הכפופות להם בשנה שקדמה למועד הדיווח בהתאם לתוכנית הלאומית להתייעלות אנרגטית. בחוק נקבעו גם תמריצים להתייעלות אנרגטית, ולפיהם אם </w:t>
      </w:r>
      <w:r w:rsidRPr="0097239C">
        <w:rPr>
          <w:rtl/>
        </w:rPr>
        <w:t xml:space="preserve">השיג מוסד ממוסדות המדינה או גוף אחר הממומן מתקציב המדינה חיסכון בתקציבו </w:t>
      </w:r>
      <w:r w:rsidRPr="0097239C">
        <w:rPr>
          <w:rFonts w:hint="cs"/>
          <w:rtl/>
        </w:rPr>
        <w:t xml:space="preserve">בעקבות </w:t>
      </w:r>
      <w:r w:rsidRPr="0097239C">
        <w:rPr>
          <w:rtl/>
        </w:rPr>
        <w:t xml:space="preserve">צעדים שנקט להתייעלות אנרגטית בו, יעמוד מלוא הסכום שנחסך </w:t>
      </w:r>
      <w:r w:rsidRPr="0097239C">
        <w:rPr>
          <w:rFonts w:hint="cs"/>
          <w:rtl/>
        </w:rPr>
        <w:t>בזכות</w:t>
      </w:r>
      <w:r w:rsidRPr="0097239C">
        <w:rPr>
          <w:rtl/>
        </w:rPr>
        <w:t xml:space="preserve"> התייעלות כאמור לשימושו של אותו מוסד או גוף</w:t>
      </w:r>
      <w:r w:rsidRPr="0097239C">
        <w:rPr>
          <w:rFonts w:hint="cs"/>
          <w:rtl/>
        </w:rPr>
        <w:t>,</w:t>
      </w:r>
      <w:r w:rsidRPr="0097239C">
        <w:rPr>
          <w:rtl/>
        </w:rPr>
        <w:t xml:space="preserve"> לפי שיקול דעתו, והוא לא ייגרע מתקציבו במישרין או בעקיפין</w:t>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 פי תקנות מקורות אנרגיה (פיקוח על יעילות צריכת אנרגיה), התשנ"ד-1993 (להלן תקנות פיקוח על יעילות צריכת </w:t>
      </w:r>
      <w:r w:rsidRPr="0097239C">
        <w:rPr>
          <w:rFonts w:hint="cs"/>
          <w:rtl/>
        </w:rPr>
        <w:t>אנרגייה</w:t>
      </w:r>
      <w:r w:rsidRPr="0097239C">
        <w:rPr>
          <w:rFonts w:hint="cs"/>
          <w:rtl/>
        </w:rPr>
        <w:t>), נדרש כל מפעל</w:t>
      </w:r>
      <w:r>
        <w:rPr>
          <w:vertAlign w:val="superscript"/>
          <w:rtl/>
        </w:rPr>
        <w:footnoteReference w:id="120"/>
      </w:r>
      <w:r w:rsidRPr="0097239C">
        <w:rPr>
          <w:rFonts w:hint="cs"/>
          <w:rtl/>
        </w:rPr>
        <w:t xml:space="preserve"> שצריכת </w:t>
      </w:r>
      <w:r w:rsidRPr="0097239C">
        <w:rPr>
          <w:rFonts w:hint="cs"/>
          <w:rtl/>
        </w:rPr>
        <w:t>האנרגייה</w:t>
      </w:r>
      <w:r w:rsidRPr="0097239C">
        <w:rPr>
          <w:rFonts w:hint="cs"/>
          <w:rtl/>
        </w:rPr>
        <w:t xml:space="preserve"> השנתית שלו היא לפחות 300 טון שווה ערך מזוט </w:t>
      </w:r>
      <w:r w:rsidRPr="0097239C">
        <w:rPr>
          <w:rFonts w:hint="cs"/>
          <w:rtl/>
        </w:rPr>
        <w:t>בדלקים</w:t>
      </w:r>
      <w:r w:rsidRPr="0097239C">
        <w:rPr>
          <w:rFonts w:hint="cs"/>
          <w:rtl/>
        </w:rPr>
        <w:t xml:space="preserve"> אחרים או בחשמל, וכן כל תאגיד שהוקם בחוק או לפיו, ללא קשר לצריכת </w:t>
      </w:r>
      <w:r w:rsidRPr="0097239C">
        <w:rPr>
          <w:rFonts w:hint="cs"/>
          <w:rtl/>
        </w:rPr>
        <w:t>האנרגייה</w:t>
      </w:r>
      <w:r w:rsidRPr="0097239C">
        <w:rPr>
          <w:rFonts w:hint="cs"/>
          <w:rtl/>
        </w:rPr>
        <w:t xml:space="preserve"> שלו, להגיש למשרד </w:t>
      </w:r>
      <w:r w:rsidRPr="0097239C">
        <w:rPr>
          <w:rFonts w:hint="cs"/>
          <w:rtl/>
        </w:rPr>
        <w:t>האנרגייה</w:t>
      </w:r>
      <w:r w:rsidRPr="0097239C">
        <w:rPr>
          <w:rFonts w:hint="cs"/>
          <w:rtl/>
        </w:rPr>
        <w:t xml:space="preserve"> דוח על צריכת </w:t>
      </w:r>
      <w:r w:rsidRPr="0097239C">
        <w:rPr>
          <w:rFonts w:hint="cs"/>
          <w:rtl/>
        </w:rPr>
        <w:t>האנרגייה</w:t>
      </w:r>
      <w:r w:rsidRPr="0097239C">
        <w:rPr>
          <w:rFonts w:hint="cs"/>
          <w:rtl/>
        </w:rPr>
        <w:t xml:space="preserve"> שלו. כמו כן, הממשלה קיבלה כמה וכמה החלטות בנוגע להתייעלות האנרגטית במגזר הציבורי וביחידות הסמך. בכלל זה התקבלה </w:t>
      </w:r>
      <w:r w:rsidRPr="0097239C">
        <w:rPr>
          <w:rtl/>
        </w:rPr>
        <w:t>החלטת ממשלה</w:t>
      </w:r>
      <w:r>
        <w:rPr>
          <w:vertAlign w:val="superscript"/>
          <w:rtl/>
        </w:rPr>
        <w:footnoteReference w:id="121"/>
      </w:r>
      <w:r w:rsidRPr="0097239C">
        <w:rPr>
          <w:rtl/>
        </w:rPr>
        <w:t xml:space="preserve"> </w:t>
      </w:r>
      <w:r w:rsidRPr="0097239C">
        <w:rPr>
          <w:rFonts w:hint="cs"/>
          <w:rtl/>
        </w:rPr>
        <w:t>מאפריל 2016, ולפיה יוטל על</w:t>
      </w:r>
      <w:r w:rsidRPr="0097239C">
        <w:rPr>
          <w:rtl/>
        </w:rPr>
        <w:t xml:space="preserve"> כלל משרדי הממשלה ויחידות הסמך למנות אחראי </w:t>
      </w:r>
      <w:r w:rsidRPr="0097239C">
        <w:rPr>
          <w:rtl/>
        </w:rPr>
        <w:t>אנרגי</w:t>
      </w:r>
      <w:r w:rsidRPr="0097239C">
        <w:rPr>
          <w:rFonts w:hint="cs"/>
          <w:rtl/>
        </w:rPr>
        <w:t>י</w:t>
      </w:r>
      <w:r w:rsidRPr="0097239C">
        <w:rPr>
          <w:rtl/>
        </w:rPr>
        <w:t>ה</w:t>
      </w:r>
      <w:r w:rsidRPr="0097239C">
        <w:rPr>
          <w:rtl/>
        </w:rPr>
        <w:t xml:space="preserve"> שידווח למשרד </w:t>
      </w:r>
      <w:r w:rsidRPr="0097239C">
        <w:rPr>
          <w:rtl/>
        </w:rPr>
        <w:t>האנרג</w:t>
      </w:r>
      <w:r w:rsidRPr="0097239C">
        <w:rPr>
          <w:rFonts w:hint="cs"/>
          <w:rtl/>
        </w:rPr>
        <w:t>י</w:t>
      </w:r>
      <w:r w:rsidRPr="0097239C">
        <w:rPr>
          <w:rtl/>
        </w:rPr>
        <w:t>יה</w:t>
      </w:r>
      <w:r w:rsidRPr="0097239C">
        <w:rPr>
          <w:rtl/>
        </w:rPr>
        <w:t xml:space="preserve"> אחת לשנה על </w:t>
      </w:r>
      <w:r w:rsidRPr="0097239C">
        <w:rPr>
          <w:rFonts w:hint="cs"/>
          <w:rtl/>
        </w:rPr>
        <w:t>כמות</w:t>
      </w:r>
      <w:r w:rsidRPr="0097239C">
        <w:rPr>
          <w:rtl/>
        </w:rPr>
        <w:t xml:space="preserve"> </w:t>
      </w:r>
      <w:r w:rsidRPr="0097239C">
        <w:rPr>
          <w:rtl/>
        </w:rPr>
        <w:t>האנרג</w:t>
      </w:r>
      <w:r w:rsidRPr="0097239C">
        <w:rPr>
          <w:rFonts w:hint="cs"/>
          <w:rtl/>
        </w:rPr>
        <w:t>י</w:t>
      </w:r>
      <w:r w:rsidRPr="0097239C">
        <w:rPr>
          <w:rtl/>
        </w:rPr>
        <w:t>יה</w:t>
      </w:r>
      <w:r w:rsidRPr="0097239C">
        <w:rPr>
          <w:rtl/>
        </w:rPr>
        <w:t xml:space="preserve"> </w:t>
      </w:r>
      <w:r w:rsidRPr="0097239C">
        <w:rPr>
          <w:rFonts w:hint="cs"/>
          <w:rtl/>
        </w:rPr>
        <w:t>שצרך משרדו</w:t>
      </w:r>
      <w:r w:rsidRPr="0097239C">
        <w:rPr>
          <w:rtl/>
        </w:rPr>
        <w:t xml:space="preserve"> בשנה שחלפה ועל הפעולות והאמצעים שננקטו להפחתתה ויפעל לצמצומה.</w:t>
      </w:r>
      <w:r w:rsidRPr="0097239C">
        <w:rPr>
          <w:rFonts w:hint="cs"/>
          <w:rtl/>
        </w:rPr>
        <w:t xml:space="preserve"> עוד נקבע בהחלטה כי משרד </w:t>
      </w:r>
      <w:r w:rsidRPr="0097239C">
        <w:rPr>
          <w:rFonts w:hint="cs"/>
          <w:rtl/>
        </w:rPr>
        <w:t>האנרגייה</w:t>
      </w:r>
      <w:r w:rsidRPr="0097239C">
        <w:rPr>
          <w:rFonts w:hint="cs"/>
          <w:rtl/>
        </w:rPr>
        <w:t xml:space="preserve"> יפרסם את נתוני צריכת החשמל של כלל משרדי הממשלה ויחידות הסמך בכל שנה.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יצוין כי כבר בשנת 2008 החליטה הממשלה לפעול לייעול השימוש </w:t>
      </w:r>
      <w:r w:rsidRPr="0097239C">
        <w:rPr>
          <w:rFonts w:hint="cs"/>
          <w:rtl/>
        </w:rPr>
        <w:t>באנרגייה</w:t>
      </w:r>
      <w:r w:rsidRPr="0097239C">
        <w:rPr>
          <w:rFonts w:hint="cs"/>
          <w:rtl/>
        </w:rPr>
        <w:t xml:space="preserve"> במשק, וקבעה יעדי התייעלות לכלל משרדי הממשלה ויחידות הסמך, כמפורט בלוח שלהלן.</w:t>
      </w:r>
    </w:p>
    <w:p w:rsidR="00A75A48">
      <w:pPr>
        <w:bidi w:val="0"/>
        <w:spacing w:after="200" w:line="276" w:lineRule="auto"/>
        <w:rPr>
          <w:szCs w:val="20"/>
          <w:rtl/>
        </w:rPr>
      </w:pPr>
      <w:r>
        <w:rPr>
          <w:szCs w:val="20"/>
          <w:rtl/>
        </w:rPr>
        <w:br w:type="page"/>
      </w:r>
    </w:p>
    <w:p w:rsidR="0097239C" w:rsidRPr="0097239C" w:rsidP="003A6DD0">
      <w:pPr>
        <w:spacing w:after="120" w:line="269" w:lineRule="auto"/>
        <w:jc w:val="center"/>
        <w:rPr>
          <w:b/>
          <w:bCs/>
          <w:rtl/>
        </w:rPr>
      </w:pPr>
      <w:r w:rsidRPr="0097239C">
        <w:rPr>
          <w:rFonts w:hint="eastAsia"/>
          <w:b/>
          <w:bCs/>
          <w:rtl/>
        </w:rPr>
        <w:t>לוח</w:t>
      </w:r>
      <w:r w:rsidRPr="0097239C">
        <w:rPr>
          <w:b/>
          <w:bCs/>
          <w:rtl/>
        </w:rPr>
        <w:t xml:space="preserve"> 1</w:t>
      </w:r>
      <w:r w:rsidRPr="0097239C">
        <w:rPr>
          <w:rFonts w:hint="cs"/>
          <w:b/>
          <w:bCs/>
          <w:rtl/>
        </w:rPr>
        <w:t>5</w:t>
      </w:r>
      <w:r w:rsidRPr="0097239C">
        <w:rPr>
          <w:b/>
          <w:bCs/>
          <w:rtl/>
        </w:rPr>
        <w:t xml:space="preserve">: </w:t>
      </w:r>
      <w:r w:rsidRPr="0097239C">
        <w:rPr>
          <w:rFonts w:hint="eastAsia"/>
          <w:b/>
          <w:bCs/>
          <w:rtl/>
        </w:rPr>
        <w:t>יעדי</w:t>
      </w:r>
      <w:r w:rsidRPr="0097239C">
        <w:rPr>
          <w:b/>
          <w:bCs/>
          <w:rtl/>
        </w:rPr>
        <w:t xml:space="preserve"> </w:t>
      </w:r>
      <w:r w:rsidRPr="0097239C">
        <w:rPr>
          <w:rFonts w:hint="eastAsia"/>
          <w:b/>
          <w:bCs/>
          <w:rtl/>
        </w:rPr>
        <w:t>ההתייעלות</w:t>
      </w:r>
      <w:r w:rsidRPr="0097239C">
        <w:rPr>
          <w:b/>
          <w:bCs/>
          <w:rtl/>
        </w:rPr>
        <w:t xml:space="preserve"> </w:t>
      </w:r>
      <w:r w:rsidRPr="0097239C">
        <w:rPr>
          <w:rFonts w:hint="eastAsia"/>
          <w:b/>
          <w:bCs/>
          <w:rtl/>
        </w:rPr>
        <w:t>האנרגטית</w:t>
      </w:r>
      <w:r w:rsidRPr="0097239C">
        <w:rPr>
          <w:b/>
          <w:bCs/>
          <w:rtl/>
        </w:rPr>
        <w:t xml:space="preserve"> </w:t>
      </w:r>
      <w:r w:rsidRPr="0097239C">
        <w:rPr>
          <w:rFonts w:hint="eastAsia"/>
          <w:b/>
          <w:bCs/>
          <w:rtl/>
        </w:rPr>
        <w:t>במשרדי</w:t>
      </w:r>
      <w:r w:rsidRPr="0097239C">
        <w:rPr>
          <w:b/>
          <w:bCs/>
          <w:rtl/>
        </w:rPr>
        <w:t xml:space="preserve"> </w:t>
      </w:r>
      <w:r w:rsidRPr="0097239C">
        <w:rPr>
          <w:rFonts w:hint="eastAsia"/>
          <w:b/>
          <w:bCs/>
          <w:rtl/>
        </w:rPr>
        <w:t>ממשלה</w:t>
      </w:r>
      <w:r w:rsidRPr="0097239C">
        <w:rPr>
          <w:b/>
          <w:bCs/>
          <w:rtl/>
        </w:rPr>
        <w:t xml:space="preserve"> </w:t>
      </w:r>
      <w:r w:rsidRPr="0097239C">
        <w:rPr>
          <w:rFonts w:hint="eastAsia"/>
          <w:b/>
          <w:bCs/>
          <w:rtl/>
        </w:rPr>
        <w:t>ו</w:t>
      </w:r>
      <w:r w:rsidRPr="0097239C">
        <w:rPr>
          <w:rFonts w:hint="cs"/>
          <w:b/>
          <w:bCs/>
          <w:rtl/>
        </w:rPr>
        <w:t>ב</w:t>
      </w:r>
      <w:r w:rsidRPr="0097239C">
        <w:rPr>
          <w:rFonts w:hint="eastAsia"/>
          <w:b/>
          <w:bCs/>
          <w:rtl/>
        </w:rPr>
        <w:t>יחידות</w:t>
      </w:r>
      <w:r w:rsidRPr="0097239C">
        <w:rPr>
          <w:b/>
          <w:bCs/>
          <w:rtl/>
        </w:rPr>
        <w:t xml:space="preserve"> </w:t>
      </w:r>
      <w:r w:rsidRPr="0097239C">
        <w:rPr>
          <w:rFonts w:hint="eastAsia"/>
          <w:b/>
          <w:bCs/>
          <w:rtl/>
        </w:rPr>
        <w:t>סמך</w:t>
      </w:r>
      <w:r w:rsidRPr="0097239C">
        <w:rPr>
          <w:rFonts w:hint="cs"/>
          <w:b/>
          <w:bCs/>
          <w:rtl/>
        </w:rPr>
        <w:t>, 2009 - 2015</w:t>
      </w:r>
    </w:p>
    <w:tbl>
      <w:tblPr>
        <w:tblStyle w:val="12"/>
        <w:bidiVisual/>
        <w:tblW w:w="4905" w:type="pct"/>
        <w:jc w:val="center"/>
        <w:tblBorders>
          <w:top w:val="single" w:sz="4" w:space="0" w:color="auto"/>
          <w:left w:val="single" w:sz="4" w:space="0" w:color="auto"/>
          <w:bottom w:val="single" w:sz="4" w:space="0" w:color="auto"/>
          <w:right w:val="single" w:sz="4" w:space="0" w:color="auto"/>
          <w:insideV w:val="single" w:sz="4" w:space="0" w:color="auto"/>
        </w:tblBorders>
        <w:tblLook w:val="0420"/>
      </w:tblPr>
      <w:tblGrid>
        <w:gridCol w:w="2000"/>
        <w:gridCol w:w="855"/>
        <w:gridCol w:w="854"/>
        <w:gridCol w:w="852"/>
        <w:gridCol w:w="852"/>
        <w:gridCol w:w="899"/>
        <w:gridCol w:w="899"/>
        <w:gridCol w:w="844"/>
      </w:tblGrid>
      <w:tr w:rsidTr="003A6DD0">
        <w:tblPrEx>
          <w:tblW w:w="4905" w:type="pct"/>
          <w:jc w:val="center"/>
          <w:tblBorders>
            <w:top w:val="single" w:sz="4" w:space="0" w:color="auto"/>
            <w:left w:val="single" w:sz="4" w:space="0" w:color="auto"/>
            <w:bottom w:val="single" w:sz="4" w:space="0" w:color="auto"/>
            <w:right w:val="single" w:sz="4" w:space="0" w:color="auto"/>
            <w:insideV w:val="single" w:sz="4" w:space="0" w:color="auto"/>
          </w:tblBorders>
          <w:tblLook w:val="0420"/>
        </w:tblPrEx>
        <w:trPr>
          <w:trHeight w:val="236"/>
          <w:jc w:val="center"/>
        </w:trPr>
        <w:tc>
          <w:tcPr>
            <w:tcW w:w="1241"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Pr>
            </w:pPr>
          </w:p>
        </w:tc>
        <w:tc>
          <w:tcPr>
            <w:tcW w:w="531"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Pr>
            </w:pPr>
            <w:r w:rsidRPr="00C0386E">
              <w:rPr>
                <w:b/>
                <w:bCs/>
                <w:sz w:val="22"/>
                <w:szCs w:val="22"/>
                <w:rtl/>
              </w:rPr>
              <w:t>2009</w:t>
            </w:r>
          </w:p>
        </w:tc>
        <w:tc>
          <w:tcPr>
            <w:tcW w:w="530"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2010</w:t>
            </w:r>
          </w:p>
        </w:tc>
        <w:tc>
          <w:tcPr>
            <w:tcW w:w="529"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2011</w:t>
            </w:r>
          </w:p>
        </w:tc>
        <w:tc>
          <w:tcPr>
            <w:tcW w:w="529"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2012</w:t>
            </w:r>
          </w:p>
        </w:tc>
        <w:tc>
          <w:tcPr>
            <w:tcW w:w="558"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2013</w:t>
            </w:r>
          </w:p>
        </w:tc>
        <w:tc>
          <w:tcPr>
            <w:tcW w:w="558"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2014</w:t>
            </w:r>
          </w:p>
        </w:tc>
        <w:tc>
          <w:tcPr>
            <w:tcW w:w="524" w:type="pct"/>
            <w:tcBorders>
              <w:top w:val="single" w:sz="4" w:space="0" w:color="auto"/>
              <w:left w:val="single" w:sz="4" w:space="0" w:color="auto"/>
              <w:bottom w:val="single" w:sz="4" w:space="0" w:color="auto"/>
              <w:right w:val="single" w:sz="4" w:space="0" w:color="auto"/>
            </w:tcBorders>
            <w:vAlign w:val="center"/>
            <w:hideMark/>
          </w:tcPr>
          <w:p w:rsidR="0097239C" w:rsidRPr="00C0386E" w:rsidP="003A6DD0">
            <w:pPr>
              <w:spacing w:before="60" w:after="60" w:line="240" w:lineRule="exact"/>
              <w:rPr>
                <w:sz w:val="22"/>
                <w:szCs w:val="22"/>
                <w:rtl/>
              </w:rPr>
            </w:pPr>
            <w:r w:rsidRPr="00C0386E">
              <w:rPr>
                <w:b/>
                <w:bCs/>
                <w:sz w:val="22"/>
                <w:szCs w:val="22"/>
                <w:rtl/>
              </w:rPr>
              <w:t>2015</w:t>
            </w:r>
          </w:p>
        </w:tc>
      </w:tr>
      <w:tr w:rsidTr="003A6DD0">
        <w:tblPrEx>
          <w:tblW w:w="4905" w:type="pct"/>
          <w:jc w:val="center"/>
          <w:tblLook w:val="0420"/>
        </w:tblPrEx>
        <w:trPr>
          <w:trHeight w:val="253"/>
          <w:jc w:val="center"/>
        </w:trPr>
        <w:tc>
          <w:tcPr>
            <w:tcW w:w="1241" w:type="pct"/>
            <w:tcBorders>
              <w:top w:val="single" w:sz="4" w:space="0" w:color="auto"/>
              <w:bottom w:val="single" w:sz="4" w:space="0" w:color="auto"/>
            </w:tcBorders>
            <w:vAlign w:val="center"/>
            <w:hideMark/>
          </w:tcPr>
          <w:p w:rsidR="0097239C" w:rsidRPr="00C0386E" w:rsidP="003A6DD0">
            <w:pPr>
              <w:spacing w:before="60" w:after="60" w:line="240" w:lineRule="exact"/>
              <w:rPr>
                <w:b/>
                <w:bCs/>
                <w:sz w:val="22"/>
                <w:szCs w:val="22"/>
                <w:rtl/>
              </w:rPr>
            </w:pPr>
            <w:r w:rsidRPr="00C0386E">
              <w:rPr>
                <w:b/>
                <w:bCs/>
                <w:sz w:val="22"/>
                <w:szCs w:val="22"/>
                <w:rtl/>
              </w:rPr>
              <w:t xml:space="preserve">יעד </w:t>
            </w:r>
            <w:r w:rsidRPr="00C0386E">
              <w:rPr>
                <w:rFonts w:hint="cs"/>
                <w:b/>
                <w:bCs/>
                <w:sz w:val="22"/>
                <w:szCs w:val="22"/>
                <w:rtl/>
              </w:rPr>
              <w:t>ה</w:t>
            </w:r>
            <w:r w:rsidRPr="00C0386E">
              <w:rPr>
                <w:b/>
                <w:bCs/>
                <w:sz w:val="22"/>
                <w:szCs w:val="22"/>
                <w:rtl/>
              </w:rPr>
              <w:t>התייעלות</w:t>
            </w:r>
          </w:p>
        </w:tc>
        <w:tc>
          <w:tcPr>
            <w:tcW w:w="531"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1%</w:t>
            </w:r>
          </w:p>
        </w:tc>
        <w:tc>
          <w:tcPr>
            <w:tcW w:w="530"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2%</w:t>
            </w:r>
          </w:p>
        </w:tc>
        <w:tc>
          <w:tcPr>
            <w:tcW w:w="529"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3%</w:t>
            </w:r>
          </w:p>
        </w:tc>
        <w:tc>
          <w:tcPr>
            <w:tcW w:w="529"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4%</w:t>
            </w:r>
          </w:p>
        </w:tc>
        <w:tc>
          <w:tcPr>
            <w:tcW w:w="558"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1.5%</w:t>
            </w:r>
          </w:p>
        </w:tc>
        <w:tc>
          <w:tcPr>
            <w:tcW w:w="558"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1.5%</w:t>
            </w:r>
          </w:p>
        </w:tc>
        <w:tc>
          <w:tcPr>
            <w:tcW w:w="524" w:type="pct"/>
            <w:tcBorders>
              <w:top w:val="single" w:sz="4" w:space="0" w:color="auto"/>
              <w:bottom w:val="single" w:sz="4" w:space="0" w:color="auto"/>
            </w:tcBorders>
            <w:vAlign w:val="center"/>
            <w:hideMark/>
          </w:tcPr>
          <w:p w:rsidR="0097239C" w:rsidRPr="00C0386E" w:rsidP="003A6DD0">
            <w:pPr>
              <w:spacing w:before="60" w:after="60" w:line="240" w:lineRule="exact"/>
              <w:rPr>
                <w:sz w:val="22"/>
                <w:szCs w:val="22"/>
                <w:rtl/>
              </w:rPr>
            </w:pPr>
            <w:r w:rsidRPr="00C0386E">
              <w:rPr>
                <w:sz w:val="22"/>
                <w:szCs w:val="22"/>
                <w:rtl/>
              </w:rPr>
              <w:t>1.5%</w:t>
            </w:r>
          </w:p>
        </w:tc>
      </w:tr>
    </w:tbl>
    <w:p w:rsidR="0097239C" w:rsidRPr="007230D4" w:rsidP="003A6DD0">
      <w:pPr>
        <w:spacing w:before="240" w:line="269" w:lineRule="auto"/>
        <w:rPr>
          <w:sz w:val="22"/>
          <w:szCs w:val="22"/>
          <w:rtl/>
        </w:rPr>
      </w:pPr>
      <w:r w:rsidRPr="007230D4">
        <w:rPr>
          <w:rFonts w:hint="cs"/>
          <w:sz w:val="22"/>
          <w:szCs w:val="22"/>
          <w:rtl/>
        </w:rPr>
        <w:t>המקור: החלטת הממשלה 3261 מ-13.3.08.</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נמצא כי משרדי הממשלה ויחידות הסמך לא דיווחו למשרד </w:t>
      </w:r>
      <w:r w:rsidRPr="0097239C">
        <w:rPr>
          <w:rFonts w:hint="cs"/>
          <w:rtl/>
        </w:rPr>
        <w:t>האנרגייה</w:t>
      </w:r>
      <w:r w:rsidRPr="0097239C">
        <w:rPr>
          <w:rFonts w:hint="cs"/>
          <w:rtl/>
        </w:rPr>
        <w:t xml:space="preserve"> על היקף צריכת החשמל שלהם ועל ההתייעלות האנרגטית שהשיגו בשנים הללו, ועקב כך לא ניתן לקבוע אם משרדי הממשלה התייעלו בשנים אלה אם לאו.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יצוין כי בדצמבר 2019 הגיש משרד </w:t>
      </w:r>
      <w:r w:rsidRPr="0097239C">
        <w:rPr>
          <w:rFonts w:hint="cs"/>
          <w:rtl/>
        </w:rPr>
        <w:t>האנרגייה</w:t>
      </w:r>
      <w:r w:rsidRPr="0097239C">
        <w:rPr>
          <w:rFonts w:hint="cs"/>
          <w:rtl/>
        </w:rPr>
        <w:t xml:space="preserve"> למשרד מבקר המדינה טיוטת הצעה להחלטת ממשלה בנושא </w:t>
      </w:r>
      <w:r w:rsidRPr="0097239C">
        <w:rPr>
          <w:rtl/>
        </w:rPr>
        <w:t>התייעלות אנרגטית במשרדי הממשלה</w:t>
      </w:r>
      <w:r w:rsidRPr="0097239C">
        <w:rPr>
          <w:rFonts w:hint="cs"/>
          <w:rtl/>
        </w:rPr>
        <w:t xml:space="preserve">, אשר מטרתה לקדם את ההתייעלות האנרגטית במשרדים וביחידות הסמך.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על משרד </w:t>
      </w:r>
      <w:r w:rsidRPr="0097239C">
        <w:rPr>
          <w:rFonts w:hint="cs"/>
          <w:b/>
          <w:bCs/>
          <w:rtl/>
        </w:rPr>
        <w:t>האנרגייה</w:t>
      </w:r>
      <w:r w:rsidRPr="0097239C">
        <w:rPr>
          <w:rFonts w:hint="cs"/>
          <w:b/>
          <w:bCs/>
          <w:rtl/>
        </w:rPr>
        <w:t xml:space="preserve"> להפיק את הלקחים מהתוכנית שנקבעה בהחלטת הממשלה בשנת 2008, לרבות בעניין ביצוע מעקב ופיקוח בעניין העמידה ביעדי התוכנית. מומלץ כי משרד </w:t>
      </w:r>
      <w:r w:rsidRPr="0097239C">
        <w:rPr>
          <w:rFonts w:hint="cs"/>
          <w:b/>
          <w:bCs/>
          <w:rtl/>
        </w:rPr>
        <w:t>האנרגייה</w:t>
      </w:r>
      <w:r w:rsidRPr="0097239C">
        <w:rPr>
          <w:rFonts w:hint="cs"/>
          <w:b/>
          <w:bCs/>
          <w:rtl/>
        </w:rPr>
        <w:t xml:space="preserve"> יקבע מדדים שלפיהם תיבחן האפקטיביות של הצעדים השונים שנוקט כל משרד ולפרסם את ממצאי הבחינה האמורה, כדי שהם ישמשו מקור להשוואה ויאפשרו לכל משרד ללמוד מניסיונם של משרדים אחרים. כמו כן, מומלץ שמשרד </w:t>
      </w:r>
      <w:r w:rsidRPr="0097239C">
        <w:rPr>
          <w:rFonts w:hint="cs"/>
          <w:b/>
          <w:bCs/>
          <w:rtl/>
        </w:rPr>
        <w:t>האנרגייה</w:t>
      </w:r>
      <w:r w:rsidRPr="0097239C">
        <w:rPr>
          <w:rFonts w:hint="cs"/>
          <w:b/>
          <w:bCs/>
          <w:rtl/>
        </w:rPr>
        <w:t xml:space="preserve"> יבחן דרכים שיאפשרו לו לאכוף את חובת הדיווח על כלל המשרדים.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הוא מקדם את החיסכון </w:t>
      </w:r>
      <w:r w:rsidRPr="0097239C">
        <w:rPr>
          <w:rFonts w:hint="cs"/>
          <w:rtl/>
        </w:rPr>
        <w:t>באנרגייה</w:t>
      </w:r>
      <w:r w:rsidRPr="0097239C">
        <w:rPr>
          <w:rFonts w:hint="cs"/>
          <w:rtl/>
        </w:rPr>
        <w:t xml:space="preserve"> במשרדי הממשלה וביחידות הסמך. זאת בין היתר באמצעות מימון הכשרות לממוני </w:t>
      </w:r>
      <w:r w:rsidRPr="0097239C">
        <w:rPr>
          <w:rFonts w:hint="cs"/>
          <w:rtl/>
        </w:rPr>
        <w:t>אנרגייה</w:t>
      </w:r>
      <w:r w:rsidRPr="0097239C">
        <w:rPr>
          <w:rFonts w:hint="cs"/>
          <w:rtl/>
        </w:rPr>
        <w:t xml:space="preserve"> ופנייה למשרדי ממשלה לקבלת דיווח על צריכת </w:t>
      </w:r>
      <w:r w:rsidRPr="0097239C">
        <w:rPr>
          <w:rFonts w:hint="cs"/>
          <w:rtl/>
        </w:rPr>
        <w:t>האנרגייה</w:t>
      </w:r>
      <w:r w:rsidRPr="0097239C">
        <w:rPr>
          <w:rFonts w:hint="cs"/>
          <w:rtl/>
        </w:rPr>
        <w:t xml:space="preserve"> בהם. במקביל, המשרד פועל יחד עם גורמים נוספים לגיבוש מדד צריכת </w:t>
      </w:r>
      <w:r w:rsidRPr="0097239C">
        <w:rPr>
          <w:rFonts w:hint="cs"/>
          <w:rtl/>
        </w:rPr>
        <w:t>אנרגייה</w:t>
      </w:r>
      <w:r w:rsidRPr="0097239C">
        <w:rPr>
          <w:rFonts w:hint="cs"/>
          <w:rtl/>
        </w:rPr>
        <w:t xml:space="preserve"> למשרדי הממשלה, וכי בעניין זה גובשה טיוטת החלטה שתובא לאישור הממשלה, ככל שיימצא מקור למימונה. לאחר מכן יבצע המשרד בקרה על משרדי הממשלה כדי לוודא עמידה ביעד שייקבע.</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על פי התוכנית הלאומית להתייעלות אנרגטית משנת 2016, פוטנציאל החיסכון בחשמל מהצעדים להתייעלות אנרגטית במגזר הציבורי-מסחרי לשנת 2030 הוא כ-2.2 מיליארד ש"ח, שהם 36% מסך פוטנציאל החיסכון בצריכת החשמל הכוללת מהתוכנית בשנה זו, סך של כ-6.06 מיליארד ש"ח. בין הצעדים שעליהם המליץ משרד </w:t>
      </w:r>
      <w:r w:rsidRPr="0097239C">
        <w:rPr>
          <w:rFonts w:hint="cs"/>
          <w:rtl/>
        </w:rPr>
        <w:t>האנרגייה</w:t>
      </w:r>
      <w:r w:rsidRPr="0097239C">
        <w:rPr>
          <w:rFonts w:hint="cs"/>
          <w:rtl/>
        </w:rPr>
        <w:t xml:space="preserve"> בתוכנית: שיפור היעילות של מכשירי חשמל לבנים (ללא מזגנים); עמידה בתקן בנייה ירוקה 5821 במבנים (ראו להלן); ייעול מערכות האקלום; שימוש במשאבות חום </w:t>
      </w:r>
      <w:r w:rsidRPr="0097239C">
        <w:rPr>
          <w:rFonts w:hint="cs"/>
          <w:rtl/>
        </w:rPr>
        <w:t>גיאו</w:t>
      </w:r>
      <w:r w:rsidRPr="0097239C">
        <w:rPr>
          <w:rFonts w:hint="cs"/>
          <w:rtl/>
        </w:rPr>
        <w:t>-תרמיות; הצללת שמש; ניצול חום במערכות אוורור מכני; מעבר לשימוש בנורות חסכוניות.</w:t>
      </w:r>
    </w:p>
    <w:p w:rsidR="0097239C" w:rsidRPr="0097239C" w:rsidP="00C603CF">
      <w:pPr>
        <w:pStyle w:val="a"/>
        <w:spacing w:line="269" w:lineRule="auto"/>
        <w:rPr>
          <w:rtl/>
        </w:rPr>
      </w:pPr>
    </w:p>
    <w:p w:rsidR="0097239C" w:rsidRPr="0097239C" w:rsidP="00C603CF">
      <w:pPr>
        <w:spacing w:line="269" w:lineRule="auto"/>
        <w:rPr>
          <w:rtl/>
        </w:rPr>
      </w:pPr>
      <w:r w:rsidRPr="0097239C">
        <w:rPr>
          <w:rtl/>
        </w:rPr>
        <w:t>על פי </w:t>
      </w:r>
      <w:r w:rsidRPr="007230D4">
        <w:rPr>
          <w:rStyle w:val="Hyperlink"/>
          <w:color w:val="auto"/>
          <w:u w:val="none"/>
          <w:rtl/>
        </w:rPr>
        <w:t xml:space="preserve">תקנות </w:t>
      </w:r>
      <w:r w:rsidRPr="007230D4">
        <w:rPr>
          <w:rStyle w:val="Hyperlink"/>
          <w:rFonts w:hint="cs"/>
          <w:color w:val="auto"/>
          <w:u w:val="none"/>
          <w:rtl/>
        </w:rPr>
        <w:t>ה</w:t>
      </w:r>
      <w:r w:rsidRPr="007230D4">
        <w:rPr>
          <w:rStyle w:val="Hyperlink"/>
          <w:color w:val="auto"/>
          <w:u w:val="none"/>
          <w:rtl/>
        </w:rPr>
        <w:t xml:space="preserve">פיקוח על יעילות צריכת </w:t>
      </w:r>
      <w:r w:rsidRPr="007230D4">
        <w:rPr>
          <w:rStyle w:val="Hyperlink"/>
          <w:color w:val="auto"/>
          <w:u w:val="none"/>
          <w:rtl/>
        </w:rPr>
        <w:t>אנרגי</w:t>
      </w:r>
      <w:r w:rsidRPr="007230D4">
        <w:rPr>
          <w:rStyle w:val="Hyperlink"/>
          <w:rFonts w:hint="cs"/>
          <w:color w:val="auto"/>
          <w:u w:val="none"/>
          <w:rtl/>
        </w:rPr>
        <w:t>י</w:t>
      </w:r>
      <w:r w:rsidRPr="007230D4">
        <w:rPr>
          <w:rStyle w:val="Hyperlink"/>
          <w:color w:val="auto"/>
          <w:u w:val="none"/>
          <w:rtl/>
        </w:rPr>
        <w:t>ה</w:t>
      </w:r>
      <w:r w:rsidRPr="007230D4">
        <w:rPr>
          <w:rStyle w:val="Hyperlink"/>
          <w:rFonts w:hint="cs"/>
          <w:color w:val="auto"/>
          <w:u w:val="none"/>
          <w:rtl/>
        </w:rPr>
        <w:t>,</w:t>
      </w:r>
      <w:r w:rsidR="007230D4">
        <w:rPr>
          <w:rStyle w:val="Hyperlink"/>
          <w:rFonts w:hint="cs"/>
          <w:color w:val="auto"/>
          <w:u w:val="none"/>
          <w:rtl/>
        </w:rPr>
        <w:t xml:space="preserve"> </w:t>
      </w:r>
      <w:r w:rsidRPr="0097239C">
        <w:rPr>
          <w:rtl/>
        </w:rPr>
        <w:t xml:space="preserve">חייב כל מפעל שצריכת </w:t>
      </w:r>
      <w:r w:rsidRPr="0097239C">
        <w:rPr>
          <w:rtl/>
        </w:rPr>
        <w:t>האנרגי</w:t>
      </w:r>
      <w:r w:rsidRPr="0097239C">
        <w:rPr>
          <w:rFonts w:hint="cs"/>
          <w:rtl/>
        </w:rPr>
        <w:t>י</w:t>
      </w:r>
      <w:r w:rsidRPr="0097239C">
        <w:rPr>
          <w:rtl/>
        </w:rPr>
        <w:t>ה</w:t>
      </w:r>
      <w:r w:rsidRPr="0097239C">
        <w:rPr>
          <w:rtl/>
        </w:rPr>
        <w:t xml:space="preserve"> השנתית שלו היא לפחות 300 </w:t>
      </w:r>
      <w:r w:rsidRPr="0097239C">
        <w:rPr>
          <w:rFonts w:hint="cs"/>
          <w:rtl/>
        </w:rPr>
        <w:t xml:space="preserve">טון </w:t>
      </w:r>
      <w:r w:rsidRPr="0097239C">
        <w:rPr>
          <w:rtl/>
        </w:rPr>
        <w:t xml:space="preserve">שווה ערך </w:t>
      </w:r>
      <w:r w:rsidRPr="0097239C">
        <w:rPr>
          <w:rFonts w:hint="cs"/>
          <w:rtl/>
        </w:rPr>
        <w:t xml:space="preserve">מזוט </w:t>
      </w:r>
      <w:r w:rsidRPr="0097239C">
        <w:rPr>
          <w:rFonts w:hint="cs"/>
          <w:rtl/>
        </w:rPr>
        <w:t>בדלקים</w:t>
      </w:r>
      <w:r w:rsidRPr="0097239C">
        <w:rPr>
          <w:rFonts w:hint="cs"/>
          <w:rtl/>
        </w:rPr>
        <w:t xml:space="preserve"> אחרים או בחשמל,</w:t>
      </w:r>
      <w:r w:rsidRPr="0097239C">
        <w:rPr>
          <w:rtl/>
        </w:rPr>
        <w:t> </w:t>
      </w:r>
      <w:r w:rsidRPr="0097239C">
        <w:rPr>
          <w:rFonts w:hint="cs"/>
          <w:rtl/>
        </w:rPr>
        <w:t xml:space="preserve">וכן כל תאגיד שהוקם בחוק או לפיו, ללא כל קשר לצריכת </w:t>
      </w:r>
      <w:r w:rsidRPr="0097239C">
        <w:rPr>
          <w:rFonts w:hint="cs"/>
          <w:rtl/>
        </w:rPr>
        <w:t>האנרגייה</w:t>
      </w:r>
      <w:r w:rsidRPr="0097239C">
        <w:rPr>
          <w:rFonts w:hint="cs"/>
          <w:rtl/>
        </w:rPr>
        <w:t xml:space="preserve"> שלו</w:t>
      </w:r>
      <w:r w:rsidRPr="0097239C">
        <w:rPr>
          <w:rtl/>
        </w:rPr>
        <w:t xml:space="preserve">, למנות אחראי לקידום הצריכה היעילה של </w:t>
      </w:r>
      <w:r w:rsidRPr="0097239C">
        <w:rPr>
          <w:rtl/>
        </w:rPr>
        <w:t>אנרג</w:t>
      </w:r>
      <w:r w:rsidRPr="0097239C">
        <w:rPr>
          <w:rFonts w:hint="cs"/>
          <w:rtl/>
        </w:rPr>
        <w:t>י</w:t>
      </w:r>
      <w:r w:rsidRPr="0097239C">
        <w:rPr>
          <w:rtl/>
        </w:rPr>
        <w:t>יה</w:t>
      </w:r>
      <w:r w:rsidRPr="0097239C">
        <w:rPr>
          <w:rFonts w:hint="cs"/>
          <w:rtl/>
        </w:rPr>
        <w:t xml:space="preserve"> (להלן - ממונה </w:t>
      </w:r>
      <w:r w:rsidRPr="0097239C">
        <w:rPr>
          <w:rFonts w:hint="cs"/>
          <w:rtl/>
        </w:rPr>
        <w:t>אנרגייה</w:t>
      </w:r>
      <w:r w:rsidRPr="0097239C">
        <w:rPr>
          <w:rFonts w:hint="cs"/>
          <w:rtl/>
        </w:rPr>
        <w:t>)</w:t>
      </w:r>
      <w:r w:rsidRPr="0097239C">
        <w:rPr>
          <w:rtl/>
        </w:rPr>
        <w:t xml:space="preserve">. ממונה </w:t>
      </w:r>
      <w:r w:rsidRPr="0097239C">
        <w:rPr>
          <w:rtl/>
        </w:rPr>
        <w:t>האנרג</w:t>
      </w:r>
      <w:r w:rsidRPr="0097239C">
        <w:rPr>
          <w:rFonts w:hint="cs"/>
          <w:rtl/>
        </w:rPr>
        <w:t>י</w:t>
      </w:r>
      <w:r w:rsidRPr="0097239C">
        <w:rPr>
          <w:rtl/>
        </w:rPr>
        <w:t>יה</w:t>
      </w:r>
      <w:r w:rsidRPr="0097239C">
        <w:rPr>
          <w:rtl/>
        </w:rPr>
        <w:t xml:space="preserve"> </w:t>
      </w:r>
      <w:r w:rsidRPr="0097239C">
        <w:rPr>
          <w:rFonts w:hint="cs"/>
          <w:rtl/>
        </w:rPr>
        <w:t>אחראי בין היתר ל</w:t>
      </w:r>
      <w:r w:rsidRPr="0097239C">
        <w:rPr>
          <w:rtl/>
        </w:rPr>
        <w:t>ביצוע סקר</w:t>
      </w:r>
      <w:r w:rsidRPr="0097239C">
        <w:rPr>
          <w:rFonts w:hint="cs"/>
          <w:rtl/>
        </w:rPr>
        <w:t>,</w:t>
      </w:r>
      <w:r w:rsidRPr="0097239C">
        <w:rPr>
          <w:rtl/>
        </w:rPr>
        <w:t xml:space="preserve"> </w:t>
      </w:r>
      <w:r w:rsidRPr="0097239C">
        <w:rPr>
          <w:rFonts w:hint="cs"/>
          <w:rtl/>
        </w:rPr>
        <w:t xml:space="preserve">כל אימת שצריכת </w:t>
      </w:r>
      <w:r w:rsidRPr="0097239C">
        <w:rPr>
          <w:rFonts w:hint="cs"/>
          <w:rtl/>
        </w:rPr>
        <w:t>האנרגייה</w:t>
      </w:r>
      <w:r w:rsidRPr="0097239C">
        <w:rPr>
          <w:rFonts w:hint="cs"/>
          <w:rtl/>
        </w:rPr>
        <w:t xml:space="preserve"> של מפעל או תאגיד גדולה מהסף שנקבע בתקנות,</w:t>
      </w:r>
      <w:r w:rsidRPr="0097239C">
        <w:rPr>
          <w:rtl/>
        </w:rPr>
        <w:t xml:space="preserve"> </w:t>
      </w:r>
      <w:r w:rsidRPr="0097239C">
        <w:rPr>
          <w:rFonts w:hint="cs"/>
          <w:rtl/>
        </w:rPr>
        <w:t>ול</w:t>
      </w:r>
      <w:r w:rsidRPr="0097239C">
        <w:rPr>
          <w:rtl/>
        </w:rPr>
        <w:t>מילוי דיווח צריכה שנתי</w:t>
      </w:r>
      <w:r w:rsidRPr="0097239C">
        <w:rPr>
          <w:rFonts w:hint="cs"/>
          <w:rtl/>
        </w:rPr>
        <w:t xml:space="preserve"> על מפעלים ותאגידים אלה. הדיווח השנתי מתבצע באופן מקוון באתר האינטרנט של משרד </w:t>
      </w:r>
      <w:r w:rsidRPr="0097239C">
        <w:rPr>
          <w:rFonts w:hint="cs"/>
          <w:rtl/>
        </w:rPr>
        <w:t>האנרגייה</w:t>
      </w:r>
      <w:r w:rsidRPr="0097239C">
        <w:rPr>
          <w:rFonts w:hint="cs"/>
          <w:rtl/>
        </w:rPr>
        <w:t xml:space="preserve">. המשרד מעבד ומציג נתונים השוואתיים לגבי צריכת </w:t>
      </w:r>
      <w:r w:rsidRPr="0097239C">
        <w:rPr>
          <w:rFonts w:hint="cs"/>
          <w:rtl/>
        </w:rPr>
        <w:t>האנרגייה</w:t>
      </w:r>
      <w:r w:rsidRPr="0097239C">
        <w:rPr>
          <w:rFonts w:hint="cs"/>
          <w:rtl/>
        </w:rPr>
        <w:t xml:space="preserve"> במשרדי ממשלה ויחידות הסמך וכן ברשויות המקומיות. משרד </w:t>
      </w:r>
      <w:r w:rsidRPr="0097239C">
        <w:rPr>
          <w:rFonts w:hint="cs"/>
          <w:rtl/>
        </w:rPr>
        <w:t>האנרגייה</w:t>
      </w:r>
      <w:r w:rsidRPr="0097239C">
        <w:rPr>
          <w:rFonts w:hint="cs"/>
          <w:rtl/>
        </w:rPr>
        <w:t xml:space="preserve"> מציג גם רשימה של הגופים החייבים בדיווח על פי התקנות אך לא דיווחו.</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בשנת 2017 פרסם משרד </w:t>
      </w:r>
      <w:r w:rsidRPr="0097239C">
        <w:rPr>
          <w:rFonts w:hint="cs"/>
          <w:rtl/>
        </w:rPr>
        <w:t>האנרגייה</w:t>
      </w:r>
      <w:r w:rsidRPr="0097239C">
        <w:rPr>
          <w:rFonts w:hint="cs"/>
          <w:rtl/>
        </w:rPr>
        <w:t xml:space="preserve"> את מדד צריכת החשמל במשרדי ממשלה ויחידות סמך. המדד מחושב לפי צריכת חשמל שנתית למטר רבוע (</w:t>
      </w:r>
      <w:r w:rsidRPr="0097239C">
        <w:rPr>
          <w:rFonts w:hint="cs"/>
          <w:rtl/>
        </w:rPr>
        <w:t>קוט"ש</w:t>
      </w:r>
      <w:r w:rsidRPr="0097239C">
        <w:rPr>
          <w:rFonts w:hint="cs"/>
          <w:rtl/>
        </w:rPr>
        <w:t xml:space="preserve"> למ"ר) (להלן - מדד צריכת החשמל). מהפרסום עולה כי 20 (36%) מ-55 הגופים המחויבים בדיווח לא דיווחו על צריכת החשמל שלהם למשרד </w:t>
      </w:r>
      <w:r w:rsidRPr="0097239C">
        <w:rPr>
          <w:rFonts w:hint="cs"/>
          <w:rtl/>
        </w:rPr>
        <w:t>האנרגייה</w:t>
      </w:r>
      <w:r w:rsidRPr="0097239C">
        <w:rPr>
          <w:rFonts w:hint="cs"/>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במרץ 2018 פנה מנכ"ל משרד </w:t>
      </w:r>
      <w:r w:rsidRPr="0097239C">
        <w:rPr>
          <w:rFonts w:hint="cs"/>
          <w:rtl/>
        </w:rPr>
        <w:t>האנרגייה</w:t>
      </w:r>
      <w:r w:rsidRPr="0097239C">
        <w:rPr>
          <w:rFonts w:hint="cs"/>
          <w:rtl/>
        </w:rPr>
        <w:t xml:space="preserve"> לכלל מנכ"לי משרדי הממשלה בדרישה שימלאו את דוח צריכת </w:t>
      </w:r>
      <w:r w:rsidRPr="0097239C">
        <w:rPr>
          <w:rFonts w:hint="cs"/>
          <w:rtl/>
        </w:rPr>
        <w:t>האנרגייה</w:t>
      </w:r>
      <w:r w:rsidRPr="0097239C">
        <w:rPr>
          <w:rFonts w:hint="cs"/>
          <w:rtl/>
        </w:rPr>
        <w:t xml:space="preserve"> שלהם, אולם מנתוני משרד </w:t>
      </w:r>
      <w:r w:rsidRPr="0097239C">
        <w:rPr>
          <w:rFonts w:hint="cs"/>
          <w:rtl/>
        </w:rPr>
        <w:t>האנרגייה</w:t>
      </w:r>
      <w:r w:rsidRPr="0097239C">
        <w:rPr>
          <w:rFonts w:hint="cs"/>
          <w:rtl/>
        </w:rPr>
        <w:t xml:space="preserve"> עולה כי בשנה זו</w:t>
      </w:r>
      <w:r>
        <w:rPr>
          <w:vertAlign w:val="superscript"/>
          <w:rtl/>
        </w:rPr>
        <w:footnoteReference w:id="122"/>
      </w:r>
      <w:r w:rsidRPr="0097239C">
        <w:rPr>
          <w:rFonts w:hint="cs"/>
          <w:rtl/>
        </w:rPr>
        <w:t xml:space="preserve"> (כאמור, שנת 2018) 26 (כ-47%) מהגופים החייבים בדיווח לא דיווחו על צריכת </w:t>
      </w:r>
      <w:r w:rsidRPr="0097239C">
        <w:rPr>
          <w:rFonts w:hint="cs"/>
          <w:rtl/>
        </w:rPr>
        <w:t>האנרגייה</w:t>
      </w:r>
      <w:r w:rsidRPr="0097239C">
        <w:rPr>
          <w:rFonts w:hint="cs"/>
          <w:rtl/>
        </w:rPr>
        <w:t xml:space="preserve"> שלהם. להלן תוצג התפלגות המשרדים בהתאם לצריכת </w:t>
      </w:r>
      <w:r w:rsidRPr="0097239C">
        <w:rPr>
          <w:rFonts w:hint="cs"/>
          <w:rtl/>
        </w:rPr>
        <w:t>האנרגייה</w:t>
      </w:r>
      <w:r w:rsidRPr="0097239C">
        <w:rPr>
          <w:rFonts w:hint="cs"/>
          <w:rtl/>
        </w:rPr>
        <w:t xml:space="preserve"> שלהם מתוך כלל הגופים המחויבים בדיווח.</w:t>
      </w:r>
    </w:p>
    <w:p w:rsidR="00A75A48" w:rsidP="00C603CF">
      <w:pPr>
        <w:spacing w:line="269" w:lineRule="auto"/>
        <w:jc w:val="center"/>
        <w:rPr>
          <w:b/>
          <w:bCs/>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24</w:t>
      </w:r>
      <w:r w:rsidRPr="0097239C">
        <w:rPr>
          <w:b/>
          <w:bCs/>
          <w:rtl/>
        </w:rPr>
        <w:t xml:space="preserve">: צריכת </w:t>
      </w:r>
      <w:r w:rsidRPr="0097239C">
        <w:rPr>
          <w:b/>
          <w:bCs/>
          <w:rtl/>
        </w:rPr>
        <w:t>ה</w:t>
      </w:r>
      <w:r w:rsidRPr="0097239C">
        <w:rPr>
          <w:rFonts w:hint="cs"/>
          <w:b/>
          <w:bCs/>
          <w:rtl/>
        </w:rPr>
        <w:t>אנרגייה</w:t>
      </w:r>
      <w:r w:rsidRPr="0097239C">
        <w:rPr>
          <w:b/>
          <w:bCs/>
          <w:rtl/>
        </w:rPr>
        <w:t xml:space="preserve"> במשרדי ממשלה ויחידות סמך, </w:t>
      </w:r>
      <w:r w:rsidRPr="0097239C">
        <w:rPr>
          <w:rFonts w:hint="eastAsia"/>
          <w:b/>
          <w:bCs/>
          <w:rtl/>
        </w:rPr>
        <w:t>בקוט</w:t>
      </w:r>
      <w:r w:rsidRPr="0097239C">
        <w:rPr>
          <w:b/>
          <w:bCs/>
          <w:rtl/>
        </w:rPr>
        <w:t>"ש</w:t>
      </w:r>
      <w:r w:rsidRPr="0097239C">
        <w:rPr>
          <w:b/>
          <w:bCs/>
          <w:rtl/>
        </w:rPr>
        <w:t xml:space="preserve"> למ"ר, 201</w:t>
      </w:r>
      <w:r w:rsidRPr="0097239C">
        <w:rPr>
          <w:rFonts w:hint="cs"/>
          <w:b/>
          <w:bCs/>
          <w:rtl/>
        </w:rPr>
        <w:t>8</w:t>
      </w:r>
    </w:p>
    <w:p w:rsidR="0097239C" w:rsidRPr="0097239C" w:rsidP="00352E89">
      <w:pPr>
        <w:spacing w:before="240" w:after="240" w:line="269" w:lineRule="auto"/>
        <w:jc w:val="center"/>
        <w:rPr>
          <w:rtl/>
        </w:rPr>
      </w:pPr>
      <w:r>
        <w:rPr>
          <w:noProof/>
          <w:rtl/>
        </w:rPr>
        <w:drawing>
          <wp:inline distT="0" distB="0" distL="0" distR="0">
            <wp:extent cx="2803187" cy="2476500"/>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73260" name="energy-g-24.png"/>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07751" cy="2480532"/>
                    </a:xfrm>
                    <a:prstGeom prst="rect">
                      <a:avLst/>
                    </a:prstGeom>
                  </pic:spPr>
                </pic:pic>
              </a:graphicData>
            </a:graphic>
          </wp:inline>
        </w:drawing>
      </w:r>
    </w:p>
    <w:p w:rsidR="0097239C" w:rsidRPr="007230D4" w:rsidP="00C603CF">
      <w:pPr>
        <w:spacing w:line="269" w:lineRule="auto"/>
        <w:rPr>
          <w:sz w:val="22"/>
          <w:szCs w:val="22"/>
          <w:rtl/>
        </w:rPr>
      </w:pPr>
      <w:r w:rsidRPr="007230D4">
        <w:rPr>
          <w:rFonts w:hint="cs"/>
          <w:sz w:val="22"/>
          <w:szCs w:val="22"/>
          <w:rtl/>
        </w:rPr>
        <w:t xml:space="preserve">המקור: אתר האינטרנט של משרד </w:t>
      </w:r>
      <w:r w:rsidRPr="007230D4">
        <w:rPr>
          <w:rFonts w:hint="cs"/>
          <w:sz w:val="22"/>
          <w:szCs w:val="22"/>
          <w:rtl/>
        </w:rPr>
        <w:t>האנרגייה</w:t>
      </w:r>
      <w:r w:rsidRPr="007230D4">
        <w:rPr>
          <w:rFonts w:hint="cs"/>
          <w:sz w:val="22"/>
          <w:szCs w:val="22"/>
          <w:rtl/>
        </w:rPr>
        <w:t>.</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מהדיווחים לשנת 2018 עולה כי יש הבדלים ניכרים בהיקף צריכת </w:t>
      </w:r>
      <w:r w:rsidRPr="0097239C">
        <w:rPr>
          <w:rFonts w:hint="cs"/>
          <w:b/>
          <w:bCs/>
          <w:rtl/>
        </w:rPr>
        <w:t>האנרגייה</w:t>
      </w:r>
      <w:r w:rsidRPr="0097239C">
        <w:rPr>
          <w:rFonts w:hint="cs"/>
          <w:b/>
          <w:bCs/>
          <w:rtl/>
        </w:rPr>
        <w:t xml:space="preserve"> למ"ר בין משרדי הממשלה השונים. הבדלים אלה מגיעים עד כדי 288% בין הגוף שצריכתו היא הנמוכה ביותר, 77 </w:t>
      </w:r>
      <w:r w:rsidRPr="0097239C">
        <w:rPr>
          <w:rFonts w:hint="cs"/>
          <w:b/>
          <w:bCs/>
          <w:rtl/>
        </w:rPr>
        <w:t>קוט"ש</w:t>
      </w:r>
      <w:r w:rsidRPr="0097239C">
        <w:rPr>
          <w:rFonts w:hint="cs"/>
          <w:b/>
          <w:bCs/>
          <w:rtl/>
        </w:rPr>
        <w:t xml:space="preserve"> למ"ר, לבין הגוף שצריכתו היא הגבוהה ביותר, 222 </w:t>
      </w:r>
      <w:r w:rsidRPr="0097239C">
        <w:rPr>
          <w:rFonts w:hint="cs"/>
          <w:b/>
          <w:bCs/>
          <w:rtl/>
        </w:rPr>
        <w:t>קוט"ש</w:t>
      </w:r>
      <w:r w:rsidRPr="0097239C">
        <w:rPr>
          <w:rFonts w:hint="cs"/>
          <w:b/>
          <w:bCs/>
          <w:rtl/>
        </w:rPr>
        <w:t xml:space="preserve"> למ"ר. הדבר מעיד כי פוטנציאל ההתייעלות במשרדים שונים טרם מומש.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מינהל</w:t>
      </w:r>
      <w:r w:rsidRPr="0097239C">
        <w:rPr>
          <w:rFonts w:hint="cs"/>
          <w:rtl/>
        </w:rPr>
        <w:t xml:space="preserve"> הדיור הממשלתי באגף </w:t>
      </w:r>
      <w:r w:rsidRPr="0097239C">
        <w:rPr>
          <w:rFonts w:hint="cs"/>
          <w:rtl/>
        </w:rPr>
        <w:t>החשכ"ל</w:t>
      </w:r>
      <w:r w:rsidRPr="0097239C">
        <w:rPr>
          <w:rFonts w:hint="cs"/>
          <w:rtl/>
        </w:rPr>
        <w:t xml:space="preserve"> (להלן - </w:t>
      </w:r>
      <w:r w:rsidRPr="0097239C">
        <w:rPr>
          <w:rFonts w:hint="cs"/>
          <w:rtl/>
        </w:rPr>
        <w:t>מינהל</w:t>
      </w:r>
      <w:r w:rsidRPr="0097239C">
        <w:rPr>
          <w:rFonts w:hint="cs"/>
          <w:rtl/>
        </w:rPr>
        <w:t xml:space="preserve"> הדיור הממשלתי) מסר למשרד מבקר המדינה בינואר 2020 כי </w:t>
      </w:r>
      <w:r w:rsidRPr="0097239C">
        <w:rPr>
          <w:rtl/>
        </w:rPr>
        <w:t xml:space="preserve">הפורטל </w:t>
      </w:r>
      <w:r w:rsidRPr="0097239C">
        <w:rPr>
          <w:rFonts w:hint="cs"/>
          <w:rtl/>
        </w:rPr>
        <w:t xml:space="preserve">הייעודי לדיווח על צריכת </w:t>
      </w:r>
      <w:r w:rsidRPr="0097239C">
        <w:rPr>
          <w:rFonts w:hint="cs"/>
          <w:rtl/>
        </w:rPr>
        <w:t>האנרגייה</w:t>
      </w:r>
      <w:r w:rsidRPr="0097239C">
        <w:rPr>
          <w:rFonts w:hint="cs"/>
          <w:rtl/>
        </w:rPr>
        <w:t xml:space="preserve">, שמפעיל משרד </w:t>
      </w:r>
      <w:r w:rsidRPr="0097239C">
        <w:rPr>
          <w:rFonts w:hint="cs"/>
          <w:rtl/>
        </w:rPr>
        <w:t>האנרגייה</w:t>
      </w:r>
      <w:r w:rsidRPr="0097239C">
        <w:rPr>
          <w:rFonts w:hint="cs"/>
          <w:rtl/>
        </w:rPr>
        <w:t xml:space="preserve">, </w:t>
      </w:r>
      <w:r w:rsidRPr="0097239C">
        <w:rPr>
          <w:rtl/>
        </w:rPr>
        <w:t>מספק מידע אגרגטיבי ברמת המשרד ולא ברמת המבנה</w:t>
      </w:r>
      <w:r w:rsidRPr="0097239C">
        <w:rPr>
          <w:rFonts w:hint="cs"/>
          <w:rtl/>
        </w:rPr>
        <w:t>,</w:t>
      </w:r>
      <w:r w:rsidRPr="0097239C">
        <w:rPr>
          <w:rtl/>
        </w:rPr>
        <w:t xml:space="preserve"> ולכן לא ניתן לעשות בו שימוש מעשי לאיתור מבנים בזבזני</w:t>
      </w:r>
      <w:r w:rsidRPr="0097239C">
        <w:rPr>
          <w:rFonts w:hint="cs"/>
          <w:rtl/>
        </w:rPr>
        <w:t>י</w:t>
      </w:r>
      <w:r w:rsidRPr="0097239C">
        <w:rPr>
          <w:rtl/>
        </w:rPr>
        <w:t>ם ו</w:t>
      </w:r>
      <w:r w:rsidRPr="0097239C">
        <w:rPr>
          <w:rFonts w:hint="cs"/>
          <w:rtl/>
        </w:rPr>
        <w:t>ל</w:t>
      </w:r>
      <w:r w:rsidR="00732465">
        <w:rPr>
          <w:rtl/>
        </w:rPr>
        <w:t>בחינת פוטנציאל ההתייעלות.</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eastAsia"/>
          <w:b/>
          <w:bCs/>
          <w:rtl/>
        </w:rPr>
        <w:t>משרד</w:t>
      </w:r>
      <w:r w:rsidRPr="0097239C">
        <w:rPr>
          <w:b/>
          <w:bCs/>
          <w:rtl/>
        </w:rPr>
        <w:t xml:space="preserve"> מבקר המדינה </w:t>
      </w:r>
      <w:r w:rsidRPr="0097239C">
        <w:rPr>
          <w:rFonts w:hint="cs"/>
          <w:b/>
          <w:bCs/>
          <w:rtl/>
        </w:rPr>
        <w:t>ממליץ</w:t>
      </w:r>
      <w:r w:rsidRPr="0097239C">
        <w:rPr>
          <w:b/>
          <w:bCs/>
          <w:rtl/>
        </w:rPr>
        <w:t xml:space="preserve"> למשרד </w:t>
      </w:r>
      <w:r w:rsidRPr="0097239C">
        <w:rPr>
          <w:b/>
          <w:bCs/>
          <w:rtl/>
        </w:rPr>
        <w:t>האנרגי</w:t>
      </w:r>
      <w:r w:rsidRPr="0097239C">
        <w:rPr>
          <w:rFonts w:hint="cs"/>
          <w:b/>
          <w:bCs/>
          <w:rtl/>
        </w:rPr>
        <w:t>י</w:t>
      </w:r>
      <w:r w:rsidRPr="0097239C">
        <w:rPr>
          <w:b/>
          <w:bCs/>
          <w:rtl/>
        </w:rPr>
        <w:t>ה</w:t>
      </w:r>
      <w:r w:rsidRPr="0097239C">
        <w:rPr>
          <w:b/>
          <w:bCs/>
          <w:rtl/>
        </w:rPr>
        <w:t xml:space="preserve"> </w:t>
      </w:r>
      <w:r w:rsidRPr="0097239C">
        <w:rPr>
          <w:rFonts w:hint="cs"/>
          <w:b/>
          <w:bCs/>
          <w:rtl/>
        </w:rPr>
        <w:t xml:space="preserve">לבחון הרחבת מתכונת הדיווח לדיווח </w:t>
      </w:r>
      <w:r w:rsidRPr="0097239C">
        <w:rPr>
          <w:b/>
          <w:bCs/>
          <w:rtl/>
        </w:rPr>
        <w:t xml:space="preserve">מפורט ברמת הבניין </w:t>
      </w:r>
      <w:r w:rsidRPr="0097239C">
        <w:rPr>
          <w:rFonts w:hint="eastAsia"/>
          <w:b/>
          <w:bCs/>
          <w:rtl/>
        </w:rPr>
        <w:t>על</w:t>
      </w:r>
      <w:r w:rsidRPr="0097239C">
        <w:rPr>
          <w:b/>
          <w:bCs/>
          <w:rtl/>
        </w:rPr>
        <w:t xml:space="preserve"> </w:t>
      </w:r>
      <w:r w:rsidRPr="0097239C">
        <w:rPr>
          <w:rFonts w:hint="eastAsia"/>
          <w:b/>
          <w:bCs/>
          <w:rtl/>
        </w:rPr>
        <w:t>מנת</w:t>
      </w:r>
      <w:r w:rsidRPr="0097239C">
        <w:rPr>
          <w:b/>
          <w:bCs/>
          <w:rtl/>
        </w:rPr>
        <w:t xml:space="preserve"> </w:t>
      </w:r>
      <w:r w:rsidRPr="0097239C">
        <w:rPr>
          <w:rFonts w:hint="eastAsia"/>
          <w:b/>
          <w:bCs/>
          <w:rtl/>
        </w:rPr>
        <w:t>לזהות</w:t>
      </w:r>
      <w:r w:rsidRPr="0097239C">
        <w:rPr>
          <w:b/>
          <w:bCs/>
          <w:rtl/>
        </w:rPr>
        <w:t xml:space="preserve"> </w:t>
      </w:r>
      <w:r w:rsidRPr="0097239C">
        <w:rPr>
          <w:rFonts w:hint="eastAsia"/>
          <w:b/>
          <w:bCs/>
          <w:rtl/>
        </w:rPr>
        <w:t>מוקדים</w:t>
      </w:r>
      <w:r w:rsidRPr="0097239C">
        <w:rPr>
          <w:b/>
          <w:bCs/>
          <w:rtl/>
        </w:rPr>
        <w:t xml:space="preserve"> </w:t>
      </w:r>
      <w:r w:rsidRPr="0097239C">
        <w:rPr>
          <w:rFonts w:hint="eastAsia"/>
          <w:b/>
          <w:bCs/>
          <w:rtl/>
        </w:rPr>
        <w:t>של</w:t>
      </w:r>
      <w:r w:rsidRPr="0097239C">
        <w:rPr>
          <w:b/>
          <w:bCs/>
          <w:rtl/>
        </w:rPr>
        <w:t xml:space="preserve"> </w:t>
      </w:r>
      <w:r w:rsidRPr="0097239C">
        <w:rPr>
          <w:rFonts w:hint="eastAsia"/>
          <w:b/>
          <w:bCs/>
          <w:rtl/>
        </w:rPr>
        <w:t>חוסר</w:t>
      </w:r>
      <w:r w:rsidRPr="0097239C">
        <w:rPr>
          <w:b/>
          <w:bCs/>
          <w:rtl/>
        </w:rPr>
        <w:t xml:space="preserve"> </w:t>
      </w:r>
      <w:r w:rsidRPr="0097239C">
        <w:rPr>
          <w:rFonts w:hint="eastAsia"/>
          <w:b/>
          <w:bCs/>
          <w:rtl/>
        </w:rPr>
        <w:t>התייעלות</w:t>
      </w:r>
      <w:r w:rsidRPr="0097239C">
        <w:rPr>
          <w:b/>
          <w:bCs/>
          <w:rtl/>
        </w:rPr>
        <w:t xml:space="preserve"> </w:t>
      </w:r>
      <w:r w:rsidRPr="0097239C">
        <w:rPr>
          <w:rFonts w:hint="eastAsia"/>
          <w:b/>
          <w:bCs/>
          <w:rtl/>
        </w:rPr>
        <w:t>ו</w:t>
      </w:r>
      <w:r w:rsidRPr="0097239C">
        <w:rPr>
          <w:rFonts w:hint="cs"/>
          <w:b/>
          <w:bCs/>
          <w:rtl/>
        </w:rPr>
        <w:t>לטפל</w:t>
      </w:r>
      <w:r w:rsidRPr="0097239C">
        <w:rPr>
          <w:b/>
          <w:bCs/>
          <w:rtl/>
        </w:rPr>
        <w:t xml:space="preserve"> </w:t>
      </w:r>
      <w:r w:rsidRPr="0097239C">
        <w:rPr>
          <w:rFonts w:hint="eastAsia"/>
          <w:b/>
          <w:bCs/>
          <w:rtl/>
        </w:rPr>
        <w:t>בהם</w:t>
      </w:r>
      <w:r w:rsidRPr="0097239C">
        <w:rPr>
          <w:b/>
          <w:bCs/>
          <w:rtl/>
        </w:rPr>
        <w:t xml:space="preserve">. </w:t>
      </w:r>
      <w:r w:rsidRPr="0097239C">
        <w:rPr>
          <w:rFonts w:hint="eastAsia"/>
          <w:b/>
          <w:bCs/>
          <w:rtl/>
        </w:rPr>
        <w:t>דיווח</w:t>
      </w:r>
      <w:r w:rsidRPr="0097239C">
        <w:rPr>
          <w:b/>
          <w:bCs/>
          <w:rtl/>
        </w:rPr>
        <w:t xml:space="preserve"> </w:t>
      </w:r>
      <w:r w:rsidRPr="0097239C">
        <w:rPr>
          <w:rFonts w:hint="eastAsia"/>
          <w:b/>
          <w:bCs/>
          <w:rtl/>
        </w:rPr>
        <w:t>כזה</w:t>
      </w:r>
      <w:r w:rsidRPr="0097239C">
        <w:rPr>
          <w:b/>
          <w:bCs/>
          <w:rtl/>
        </w:rPr>
        <w:t xml:space="preserve"> </w:t>
      </w:r>
      <w:r w:rsidRPr="0097239C">
        <w:rPr>
          <w:rFonts w:hint="cs"/>
          <w:b/>
          <w:bCs/>
          <w:rtl/>
        </w:rPr>
        <w:t>י</w:t>
      </w:r>
      <w:r w:rsidRPr="0097239C">
        <w:rPr>
          <w:rFonts w:hint="eastAsia"/>
          <w:b/>
          <w:bCs/>
          <w:rtl/>
        </w:rPr>
        <w:t>סייע</w:t>
      </w:r>
      <w:r w:rsidRPr="0097239C">
        <w:rPr>
          <w:b/>
          <w:bCs/>
          <w:rtl/>
        </w:rPr>
        <w:t xml:space="preserve"> </w:t>
      </w:r>
      <w:r w:rsidRPr="0097239C">
        <w:rPr>
          <w:rFonts w:hint="eastAsia"/>
          <w:b/>
          <w:bCs/>
          <w:rtl/>
        </w:rPr>
        <w:t>באיתור</w:t>
      </w:r>
      <w:r w:rsidRPr="0097239C">
        <w:rPr>
          <w:b/>
          <w:bCs/>
          <w:rtl/>
        </w:rPr>
        <w:t xml:space="preserve"> פוטנציאל התייעלות שאינו ממומש </w:t>
      </w:r>
      <w:r w:rsidRPr="0097239C">
        <w:rPr>
          <w:rFonts w:hint="eastAsia"/>
          <w:b/>
          <w:bCs/>
          <w:rtl/>
        </w:rPr>
        <w:t>ו</w:t>
      </w:r>
      <w:r w:rsidRPr="0097239C">
        <w:rPr>
          <w:rFonts w:hint="cs"/>
          <w:b/>
          <w:bCs/>
          <w:rtl/>
        </w:rPr>
        <w:t>י</w:t>
      </w:r>
      <w:r w:rsidRPr="0097239C">
        <w:rPr>
          <w:rFonts w:hint="eastAsia"/>
          <w:b/>
          <w:bCs/>
          <w:rtl/>
        </w:rPr>
        <w:t>אפשר</w:t>
      </w:r>
      <w:r w:rsidRPr="0097239C">
        <w:rPr>
          <w:b/>
          <w:bCs/>
          <w:rtl/>
        </w:rPr>
        <w:t xml:space="preserve"> </w:t>
      </w:r>
      <w:r w:rsidRPr="0097239C">
        <w:rPr>
          <w:rFonts w:hint="cs"/>
          <w:b/>
          <w:bCs/>
          <w:rtl/>
        </w:rPr>
        <w:t>לנקוט</w:t>
      </w:r>
      <w:r w:rsidRPr="0097239C">
        <w:rPr>
          <w:b/>
          <w:bCs/>
          <w:rtl/>
        </w:rPr>
        <w:t xml:space="preserve"> </w:t>
      </w:r>
      <w:r w:rsidRPr="0097239C">
        <w:rPr>
          <w:rFonts w:hint="eastAsia"/>
          <w:b/>
          <w:bCs/>
          <w:rtl/>
        </w:rPr>
        <w:t>צעדי</w:t>
      </w:r>
      <w:r w:rsidRPr="0097239C">
        <w:rPr>
          <w:b/>
          <w:bCs/>
          <w:rtl/>
        </w:rPr>
        <w:t xml:space="preserve"> </w:t>
      </w:r>
      <w:r w:rsidRPr="0097239C">
        <w:rPr>
          <w:rFonts w:hint="eastAsia"/>
          <w:b/>
          <w:bCs/>
          <w:rtl/>
        </w:rPr>
        <w:t>התייעלות</w:t>
      </w:r>
      <w:r w:rsidRPr="0097239C">
        <w:rPr>
          <w:b/>
          <w:bCs/>
          <w:rtl/>
        </w:rPr>
        <w:t xml:space="preserve"> </w:t>
      </w:r>
      <w:r w:rsidRPr="0097239C">
        <w:rPr>
          <w:rFonts w:hint="eastAsia"/>
          <w:b/>
          <w:bCs/>
          <w:rtl/>
        </w:rPr>
        <w:t>ברמת</w:t>
      </w:r>
      <w:r w:rsidRPr="0097239C">
        <w:rPr>
          <w:b/>
          <w:bCs/>
          <w:rtl/>
        </w:rPr>
        <w:t xml:space="preserve"> </w:t>
      </w:r>
      <w:r w:rsidRPr="0097239C">
        <w:rPr>
          <w:rFonts w:hint="eastAsia"/>
          <w:b/>
          <w:bCs/>
          <w:rtl/>
        </w:rPr>
        <w:t>הבניין</w:t>
      </w:r>
      <w:r w:rsidRPr="0097239C">
        <w:rPr>
          <w:b/>
          <w:b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כי פיתח טופס מקוון לדיווח צריכת </w:t>
      </w:r>
      <w:r w:rsidRPr="0097239C">
        <w:rPr>
          <w:rFonts w:hint="cs"/>
          <w:rtl/>
        </w:rPr>
        <w:t>האנרגייה</w:t>
      </w:r>
      <w:r w:rsidRPr="0097239C">
        <w:rPr>
          <w:rFonts w:hint="cs"/>
          <w:rtl/>
        </w:rPr>
        <w:t xml:space="preserve">, ובו נדרש בין היתר גם דיווח על צריכת </w:t>
      </w:r>
      <w:r w:rsidRPr="0097239C">
        <w:rPr>
          <w:rFonts w:hint="cs"/>
          <w:rtl/>
        </w:rPr>
        <w:t>האנרגייה</w:t>
      </w:r>
      <w:r w:rsidRPr="0097239C">
        <w:rPr>
          <w:rFonts w:hint="cs"/>
          <w:rtl/>
        </w:rPr>
        <w:t xml:space="preserve"> של בניין מרכזי של אותו משרד מדווח. משרד </w:t>
      </w:r>
      <w:r w:rsidRPr="0097239C">
        <w:rPr>
          <w:rFonts w:hint="cs"/>
          <w:rtl/>
        </w:rPr>
        <w:t>האנרגייה</w:t>
      </w:r>
      <w:r w:rsidRPr="0097239C">
        <w:rPr>
          <w:rFonts w:hint="cs"/>
          <w:rtl/>
        </w:rPr>
        <w:t xml:space="preserve"> הוסיף כי בשיתוף פעולה עם </w:t>
      </w:r>
      <w:r w:rsidRPr="0097239C">
        <w:rPr>
          <w:rFonts w:hint="cs"/>
          <w:rtl/>
        </w:rPr>
        <w:t>מינהל</w:t>
      </w:r>
      <w:r w:rsidRPr="0097239C">
        <w:rPr>
          <w:rFonts w:hint="cs"/>
          <w:rtl/>
        </w:rPr>
        <w:t xml:space="preserve"> הדיור הממשלתי מתבצעת בימים אלה התקנת מוני חשמל בבניינים של משרדי ממשלה, כך שניתן יהיה לדעת מה צריכת </w:t>
      </w:r>
      <w:r w:rsidRPr="0097239C">
        <w:rPr>
          <w:rFonts w:hint="cs"/>
          <w:rtl/>
        </w:rPr>
        <w:t>האנרגייה</w:t>
      </w:r>
      <w:r w:rsidRPr="0097239C">
        <w:rPr>
          <w:rFonts w:hint="cs"/>
          <w:rtl/>
        </w:rPr>
        <w:t xml:space="preserve"> של כלל מבני הממשלה.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עוד מסר </w:t>
      </w:r>
      <w:r w:rsidRPr="0097239C">
        <w:rPr>
          <w:rFonts w:hint="cs"/>
          <w:rtl/>
        </w:rPr>
        <w:t>מינהל</w:t>
      </w:r>
      <w:r w:rsidRPr="0097239C">
        <w:rPr>
          <w:rFonts w:hint="cs"/>
          <w:rtl/>
        </w:rPr>
        <w:t xml:space="preserve"> הדיור הממשלתי למשרד מבקר המדינה בינואר 2020 כי בהיעדר מערכת מידע רוחבית לניהול חשבונות ותשלומי חשמל, משרדי הממשלה הם האמונים על ניהול ההוצאות באופן עצמאי. </w:t>
      </w:r>
      <w:r w:rsidRPr="0097239C">
        <w:rPr>
          <w:rtl/>
        </w:rPr>
        <w:t xml:space="preserve">מכרז מרכזי </w:t>
      </w:r>
      <w:r w:rsidRPr="0097239C">
        <w:rPr>
          <w:rFonts w:hint="cs"/>
          <w:rtl/>
        </w:rPr>
        <w:t xml:space="preserve">שפרסם </w:t>
      </w:r>
      <w:r w:rsidRPr="0097239C">
        <w:rPr>
          <w:rFonts w:hint="cs"/>
          <w:rtl/>
        </w:rPr>
        <w:t>מינהל</w:t>
      </w:r>
      <w:r w:rsidRPr="0097239C">
        <w:rPr>
          <w:rFonts w:hint="cs"/>
          <w:rtl/>
        </w:rPr>
        <w:t xml:space="preserve"> הרכש </w:t>
      </w:r>
      <w:r w:rsidRPr="0097239C">
        <w:rPr>
          <w:rFonts w:hint="eastAsia"/>
          <w:rtl/>
        </w:rPr>
        <w:t>הממשלתי</w:t>
      </w:r>
      <w:r w:rsidRPr="0097239C">
        <w:rPr>
          <w:rtl/>
        </w:rPr>
        <w:t xml:space="preserve"> לניהול חשבונות החשמל בתצורה דיגיטלית </w:t>
      </w:r>
      <w:r w:rsidRPr="0097239C">
        <w:rPr>
          <w:rtl/>
        </w:rPr>
        <w:t xml:space="preserve">הסתיים בשנת </w:t>
      </w:r>
      <w:r w:rsidRPr="0097239C">
        <w:rPr>
          <w:rFonts w:hint="cs"/>
          <w:rtl/>
        </w:rPr>
        <w:t>2012,</w:t>
      </w:r>
      <w:r w:rsidRPr="0097239C">
        <w:rPr>
          <w:rtl/>
        </w:rPr>
        <w:t xml:space="preserve"> ולא חודש </w:t>
      </w:r>
      <w:r w:rsidRPr="0097239C">
        <w:rPr>
          <w:rFonts w:hint="cs"/>
          <w:rtl/>
        </w:rPr>
        <w:t xml:space="preserve">עקב </w:t>
      </w:r>
      <w:r w:rsidRPr="0097239C">
        <w:rPr>
          <w:rtl/>
        </w:rPr>
        <w:t>ה</w:t>
      </w:r>
      <w:r w:rsidRPr="0097239C">
        <w:rPr>
          <w:rFonts w:hint="cs"/>
          <w:rtl/>
        </w:rPr>
        <w:t>י</w:t>
      </w:r>
      <w:r w:rsidRPr="0097239C">
        <w:rPr>
          <w:rtl/>
        </w:rPr>
        <w:t xml:space="preserve">עדר נכונות של המשרדים </w:t>
      </w:r>
      <w:r w:rsidRPr="0097239C">
        <w:rPr>
          <w:rFonts w:hint="eastAsia"/>
          <w:rtl/>
        </w:rPr>
        <w:t>לשימוש</w:t>
      </w:r>
      <w:r w:rsidRPr="0097239C">
        <w:rPr>
          <w:rtl/>
        </w:rPr>
        <w:t xml:space="preserve"> </w:t>
      </w:r>
      <w:r w:rsidRPr="0097239C">
        <w:rPr>
          <w:rFonts w:hint="eastAsia"/>
          <w:rtl/>
        </w:rPr>
        <w:t>בממשק</w:t>
      </w:r>
      <w:r w:rsidRPr="0097239C">
        <w:rPr>
          <w:rtl/>
        </w:rPr>
        <w:t>.</w:t>
      </w:r>
      <w:r w:rsidRPr="0097239C">
        <w:rPr>
          <w:rFonts w:hint="cs"/>
          <w:rtl/>
        </w:rPr>
        <w:t xml:space="preserve"> </w:t>
      </w:r>
      <w:r w:rsidRPr="0097239C">
        <w:rPr>
          <w:rFonts w:hint="cs"/>
          <w:rtl/>
        </w:rPr>
        <w:t>המינהל</w:t>
      </w:r>
      <w:r w:rsidRPr="0097239C">
        <w:rPr>
          <w:rFonts w:hint="cs"/>
          <w:rtl/>
        </w:rPr>
        <w:t xml:space="preserve"> הוסיף כי </w:t>
      </w:r>
      <w:r w:rsidRPr="0097239C">
        <w:rPr>
          <w:rtl/>
        </w:rPr>
        <w:t>חשבונות החשמל מוקלדים</w:t>
      </w:r>
      <w:r w:rsidRPr="0097239C">
        <w:rPr>
          <w:rFonts w:hint="cs"/>
          <w:rtl/>
        </w:rPr>
        <w:t xml:space="preserve"> כיום למערכת </w:t>
      </w:r>
      <w:r w:rsidRPr="0097239C">
        <w:rPr>
          <w:rtl/>
        </w:rPr>
        <w:t>מרכב"ה</w:t>
      </w:r>
      <w:r w:rsidRPr="0097239C">
        <w:rPr>
          <w:rFonts w:hint="cs"/>
          <w:rtl/>
        </w:rPr>
        <w:t xml:space="preserve">, ועם זאת אין התאמה בין מתודולוגיית </w:t>
      </w:r>
      <w:r w:rsidRPr="0097239C">
        <w:rPr>
          <w:rtl/>
        </w:rPr>
        <w:t>המפתוח</w:t>
      </w:r>
      <w:r w:rsidRPr="0097239C">
        <w:rPr>
          <w:rFonts w:hint="cs"/>
          <w:rtl/>
        </w:rPr>
        <w:t xml:space="preserve"> </w:t>
      </w:r>
      <w:r w:rsidRPr="0097239C">
        <w:rPr>
          <w:rtl/>
        </w:rPr>
        <w:t xml:space="preserve">של </w:t>
      </w:r>
      <w:r w:rsidRPr="0097239C">
        <w:rPr>
          <w:rFonts w:hint="cs"/>
          <w:rtl/>
        </w:rPr>
        <w:t xml:space="preserve">חשבונות החשמל ובין נתוני המושכרים והמבנים במודול הנדל"ן, </w:t>
      </w:r>
      <w:r w:rsidRPr="0097239C">
        <w:rPr>
          <w:rtl/>
        </w:rPr>
        <w:t xml:space="preserve">ולכן לא ניתן </w:t>
      </w:r>
      <w:r w:rsidRPr="0097239C">
        <w:rPr>
          <w:rFonts w:hint="cs"/>
          <w:rtl/>
        </w:rPr>
        <w:t xml:space="preserve">להשתמש בהם.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מינהל</w:t>
      </w:r>
      <w:r w:rsidRPr="0097239C">
        <w:rPr>
          <w:rFonts w:hint="cs"/>
          <w:rtl/>
        </w:rPr>
        <w:t xml:space="preserve"> הדיור הממשלתי הוסיף כי </w:t>
      </w:r>
      <w:r w:rsidRPr="0097239C">
        <w:rPr>
          <w:rtl/>
        </w:rPr>
        <w:t>ב</w:t>
      </w:r>
      <w:r w:rsidRPr="0097239C">
        <w:rPr>
          <w:rFonts w:hint="cs"/>
          <w:rtl/>
        </w:rPr>
        <w:t xml:space="preserve">מסגרת </w:t>
      </w:r>
      <w:r w:rsidRPr="0097239C">
        <w:rPr>
          <w:rtl/>
        </w:rPr>
        <w:t xml:space="preserve">מכרז </w:t>
      </w:r>
      <w:r w:rsidRPr="0097239C">
        <w:rPr>
          <w:rFonts w:hint="cs"/>
          <w:rtl/>
        </w:rPr>
        <w:t>ל</w:t>
      </w:r>
      <w:r w:rsidRPr="0097239C">
        <w:rPr>
          <w:rtl/>
        </w:rPr>
        <w:t xml:space="preserve">התייעלות אנרגטית </w:t>
      </w:r>
      <w:r w:rsidRPr="0097239C">
        <w:rPr>
          <w:rFonts w:hint="cs"/>
          <w:rtl/>
        </w:rPr>
        <w:t>שפרסם</w:t>
      </w:r>
      <w:r w:rsidRPr="0097239C">
        <w:rPr>
          <w:rtl/>
        </w:rPr>
        <w:t xml:space="preserve"> ב</w:t>
      </w:r>
      <w:r w:rsidRPr="0097239C">
        <w:rPr>
          <w:rFonts w:hint="cs"/>
          <w:rtl/>
        </w:rPr>
        <w:t xml:space="preserve">שנת 2018, בוצעו סקרים במבנים ספציפיים על מנת לקבל תמונת מצב על היקף צריכת </w:t>
      </w:r>
      <w:r w:rsidRPr="0097239C">
        <w:rPr>
          <w:rFonts w:hint="cs"/>
          <w:rtl/>
        </w:rPr>
        <w:t>האנרגייה</w:t>
      </w:r>
      <w:r w:rsidRPr="0097239C">
        <w:rPr>
          <w:rFonts w:hint="cs"/>
          <w:rtl/>
        </w:rPr>
        <w:t xml:space="preserve"> במבני דיור שנחשדו כבזבזניי</w:t>
      </w:r>
      <w:r w:rsidRPr="0097239C">
        <w:rPr>
          <w:rFonts w:hint="eastAsia"/>
          <w:rtl/>
        </w:rPr>
        <w:t>ם</w:t>
      </w:r>
      <w:r w:rsidRPr="0097239C">
        <w:rPr>
          <w:rFonts w:hint="cs"/>
          <w:rtl/>
        </w:rPr>
        <w:t xml:space="preserve"> מהבחינה האנרגטית. לאחר ביצוע הסקרים התברר כי לא ניתן לאמוד את היקף צריכת </w:t>
      </w:r>
      <w:r w:rsidRPr="0097239C">
        <w:rPr>
          <w:rFonts w:hint="cs"/>
          <w:rtl/>
        </w:rPr>
        <w:t>האנרגייה</w:t>
      </w:r>
      <w:r w:rsidRPr="0097239C">
        <w:rPr>
          <w:rFonts w:hint="cs"/>
          <w:rtl/>
        </w:rPr>
        <w:t xml:space="preserve"> גם באמצעות סקר נקודתי, מאחר שהתקבלו נתונים שונים בתכלית </w:t>
      </w:r>
      <w:r w:rsidRPr="0097239C">
        <w:rPr>
          <w:rtl/>
        </w:rPr>
        <w:t>עקב</w:t>
      </w:r>
      <w:r w:rsidRPr="0097239C">
        <w:rPr>
          <w:rFonts w:hint="cs"/>
          <w:rtl/>
        </w:rPr>
        <w:t xml:space="preserve"> הבדלים ניכרים באופן שבו ניהלו משרדים שונים את צריכת </w:t>
      </w:r>
      <w:r w:rsidRPr="0097239C">
        <w:rPr>
          <w:rFonts w:hint="cs"/>
          <w:rtl/>
        </w:rPr>
        <w:t>האנרגייה</w:t>
      </w:r>
      <w:r w:rsidRPr="0097239C">
        <w:rPr>
          <w:rFonts w:hint="cs"/>
          <w:rtl/>
        </w:rPr>
        <w:t xml:space="preserve"> שלהם. לנוכח תובנה זו בוטל המכרז, מתוך כוונה לחדשו לאחר שיגובשו נתוני צריכת </w:t>
      </w:r>
      <w:r w:rsidRPr="0097239C">
        <w:rPr>
          <w:rFonts w:hint="cs"/>
          <w:rtl/>
        </w:rPr>
        <w:t>האנרגייה</w:t>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מסר למשרד מבקר המדינה בינואר 2020 כי במסגרת שיתוף פעולה, בין היתר, עם </w:t>
      </w:r>
      <w:r w:rsidRPr="0097239C">
        <w:rPr>
          <w:rFonts w:hint="cs"/>
          <w:rtl/>
        </w:rPr>
        <w:t>מינהל</w:t>
      </w:r>
      <w:r w:rsidRPr="0097239C">
        <w:rPr>
          <w:rFonts w:hint="cs"/>
          <w:rtl/>
        </w:rPr>
        <w:t xml:space="preserve"> הדיור הממשלתי, מתוכנן להתפרסם מכרז לביצוע סקר </w:t>
      </w:r>
      <w:r w:rsidRPr="0097239C">
        <w:rPr>
          <w:rFonts w:hint="cs"/>
          <w:rtl/>
        </w:rPr>
        <w:t>אנרגייה</w:t>
      </w:r>
      <w:r w:rsidRPr="0097239C">
        <w:rPr>
          <w:rFonts w:hint="cs"/>
          <w:rtl/>
        </w:rPr>
        <w:t xml:space="preserve"> במבני הדיור הציבורי, ובמסגרתו אנשי מקצוע יאפיינו את צריכת </w:t>
      </w:r>
      <w:r w:rsidRPr="0097239C">
        <w:rPr>
          <w:rFonts w:hint="cs"/>
          <w:rtl/>
        </w:rPr>
        <w:t>האנרגייה</w:t>
      </w:r>
      <w:r w:rsidRPr="0097239C">
        <w:rPr>
          <w:rFonts w:hint="cs"/>
          <w:rtl/>
        </w:rPr>
        <w:t xml:space="preserve"> של המבנים הממשלתיים. </w:t>
      </w:r>
      <w:r w:rsidRPr="0097239C">
        <w:rPr>
          <w:rFonts w:hint="cs"/>
          <w:rtl/>
        </w:rPr>
        <w:t>מינהל</w:t>
      </w:r>
      <w:r w:rsidRPr="0097239C">
        <w:rPr>
          <w:rFonts w:hint="cs"/>
          <w:rtl/>
        </w:rPr>
        <w:t xml:space="preserve"> הדיור הממשלתי מסר למשרד מבקר המדינה בינואר 2020 כי בימים אלו הוא מגבש מכרז חדש במקום המכרז שבוטל. באפריל 2020 השיב </w:t>
      </w:r>
      <w:r w:rsidRPr="0097239C">
        <w:rPr>
          <w:rFonts w:hint="cs"/>
          <w:rtl/>
        </w:rPr>
        <w:t>מינהל</w:t>
      </w:r>
      <w:r w:rsidRPr="0097239C">
        <w:rPr>
          <w:rFonts w:hint="cs"/>
          <w:rtl/>
        </w:rPr>
        <w:t xml:space="preserve"> הדיור הממשלתי למשרד מבקר המדינה כי המכרז טרם חודש, מאחר שלצורך מימושו נדרשים נתוני צריכת </w:t>
      </w:r>
      <w:r w:rsidRPr="0097239C">
        <w:rPr>
          <w:rFonts w:hint="cs"/>
          <w:rtl/>
        </w:rPr>
        <w:t>אנרגייה</w:t>
      </w:r>
      <w:r w:rsidRPr="0097239C">
        <w:rPr>
          <w:rFonts w:hint="cs"/>
          <w:rtl/>
        </w:rPr>
        <w:t xml:space="preserve"> בזמן אמת. משכך החל </w:t>
      </w:r>
      <w:r w:rsidRPr="0097239C">
        <w:rPr>
          <w:rFonts w:hint="cs"/>
          <w:rtl/>
        </w:rPr>
        <w:t>מינהל</w:t>
      </w:r>
      <w:r w:rsidRPr="0097239C">
        <w:rPr>
          <w:rFonts w:hint="cs"/>
          <w:rtl/>
        </w:rPr>
        <w:t xml:space="preserve"> הדיור הממשלתי בתהליכי ניטור צריכת </w:t>
      </w:r>
      <w:r w:rsidRPr="0097239C">
        <w:rPr>
          <w:rFonts w:hint="cs"/>
          <w:rtl/>
        </w:rPr>
        <w:t>האנרגייה</w:t>
      </w:r>
      <w:r w:rsidRPr="0097239C">
        <w:rPr>
          <w:rFonts w:hint="cs"/>
          <w:rtl/>
        </w:rPr>
        <w:t xml:space="preserve">. יצוין כי בשנת 2019 פורסם </w:t>
      </w:r>
      <w:r w:rsidRPr="0097239C">
        <w:rPr>
          <w:rtl/>
        </w:rPr>
        <w:t xml:space="preserve">מכרז </w:t>
      </w:r>
      <w:r w:rsidRPr="0097239C">
        <w:rPr>
          <w:rFonts w:hint="cs"/>
          <w:rtl/>
        </w:rPr>
        <w:t>ש</w:t>
      </w:r>
      <w:r w:rsidRPr="0097239C">
        <w:rPr>
          <w:rtl/>
        </w:rPr>
        <w:t xml:space="preserve">מטרתו רכישה, </w:t>
      </w:r>
      <w:r w:rsidRPr="0097239C">
        <w:rPr>
          <w:b/>
          <w:rtl/>
        </w:rPr>
        <w:t xml:space="preserve">התקנה ותפעול של מערכות ניטור וניהול צריכת משאבים במתקני </w:t>
      </w:r>
      <w:r w:rsidRPr="0097239C">
        <w:rPr>
          <w:b/>
          <w:rtl/>
        </w:rPr>
        <w:t>מינהל</w:t>
      </w:r>
      <w:r w:rsidRPr="0097239C">
        <w:rPr>
          <w:b/>
          <w:rtl/>
        </w:rPr>
        <w:t xml:space="preserve"> הדיור הממשלתי</w:t>
      </w:r>
      <w:r w:rsidRPr="0097239C">
        <w:rPr>
          <w:rFonts w:hint="cs"/>
          <w:b/>
          <w:rtl/>
        </w:rPr>
        <w:t>;</w:t>
      </w:r>
      <w:r w:rsidRPr="0097239C">
        <w:rPr>
          <w:b/>
          <w:rtl/>
        </w:rPr>
        <w:t xml:space="preserve"> וכן רכישת תוכנת שליטה ופיקוח</w:t>
      </w:r>
      <w:r w:rsidRPr="0097239C">
        <w:rPr>
          <w:rFonts w:hint="cs"/>
          <w:b/>
          <w:rtl/>
        </w:rPr>
        <w:t>,</w:t>
      </w:r>
      <w:r w:rsidRPr="0097239C">
        <w:rPr>
          <w:b/>
          <w:rtl/>
        </w:rPr>
        <w:t xml:space="preserve"> </w:t>
      </w:r>
      <w:r w:rsidRPr="0097239C">
        <w:rPr>
          <w:rFonts w:hint="eastAsia"/>
          <w:b/>
          <w:rtl/>
        </w:rPr>
        <w:t>שתאפשר</w:t>
      </w:r>
      <w:r w:rsidRPr="0097239C">
        <w:rPr>
          <w:b/>
          <w:rtl/>
        </w:rPr>
        <w:t xml:space="preserve"> </w:t>
      </w:r>
      <w:r w:rsidRPr="0097239C">
        <w:rPr>
          <w:rFonts w:hint="eastAsia"/>
          <w:b/>
          <w:rtl/>
        </w:rPr>
        <w:t>לכל</w:t>
      </w:r>
      <w:r w:rsidRPr="0097239C">
        <w:rPr>
          <w:b/>
          <w:rtl/>
        </w:rPr>
        <w:t xml:space="preserve"> </w:t>
      </w:r>
      <w:r w:rsidRPr="0097239C">
        <w:rPr>
          <w:rFonts w:hint="eastAsia"/>
          <w:b/>
          <w:rtl/>
        </w:rPr>
        <w:t>משתמש</w:t>
      </w:r>
      <w:r w:rsidRPr="0097239C">
        <w:rPr>
          <w:b/>
          <w:rtl/>
        </w:rPr>
        <w:t xml:space="preserve"> </w:t>
      </w:r>
      <w:r w:rsidRPr="0097239C">
        <w:rPr>
          <w:rFonts w:hint="eastAsia"/>
          <w:b/>
          <w:rtl/>
        </w:rPr>
        <w:t>לקבל</w:t>
      </w:r>
      <w:r w:rsidRPr="0097239C">
        <w:rPr>
          <w:b/>
          <w:rtl/>
        </w:rPr>
        <w:t xml:space="preserve"> </w:t>
      </w:r>
      <w:r w:rsidRPr="0097239C">
        <w:rPr>
          <w:rFonts w:hint="eastAsia"/>
          <w:b/>
          <w:rtl/>
        </w:rPr>
        <w:t>חיווי</w:t>
      </w:r>
      <w:r w:rsidRPr="0097239C">
        <w:rPr>
          <w:b/>
          <w:rtl/>
        </w:rPr>
        <w:t xml:space="preserve"> </w:t>
      </w:r>
      <w:r w:rsidRPr="0097239C">
        <w:rPr>
          <w:rFonts w:hint="eastAsia"/>
          <w:b/>
          <w:rtl/>
        </w:rPr>
        <w:t>מקוון</w:t>
      </w:r>
      <w:r w:rsidRPr="0097239C">
        <w:rPr>
          <w:b/>
          <w:rtl/>
        </w:rPr>
        <w:t xml:space="preserve"> - </w:t>
      </w:r>
      <w:r w:rsidRPr="0097239C">
        <w:rPr>
          <w:rFonts w:hint="eastAsia"/>
          <w:b/>
          <w:rtl/>
        </w:rPr>
        <w:t>מיידי</w:t>
      </w:r>
      <w:r w:rsidRPr="0097239C">
        <w:rPr>
          <w:b/>
          <w:rtl/>
        </w:rPr>
        <w:t xml:space="preserve"> </w:t>
      </w:r>
      <w:r w:rsidRPr="0097239C">
        <w:rPr>
          <w:rFonts w:hint="eastAsia"/>
          <w:b/>
          <w:rtl/>
        </w:rPr>
        <w:t>ומצטבר</w:t>
      </w:r>
      <w:r w:rsidRPr="0097239C">
        <w:rPr>
          <w:b/>
          <w:rtl/>
        </w:rPr>
        <w:t xml:space="preserve"> (לאורך </w:t>
      </w:r>
      <w:r w:rsidRPr="0097239C">
        <w:rPr>
          <w:rFonts w:hint="eastAsia"/>
          <w:b/>
          <w:rtl/>
        </w:rPr>
        <w:t>זמן</w:t>
      </w:r>
      <w:r w:rsidRPr="0097239C">
        <w:rPr>
          <w:b/>
          <w:rtl/>
        </w:rPr>
        <w:t xml:space="preserve"> </w:t>
      </w:r>
      <w:r w:rsidRPr="0097239C">
        <w:rPr>
          <w:rFonts w:hint="eastAsia"/>
          <w:b/>
          <w:rtl/>
        </w:rPr>
        <w:t>ובהשוואה</w:t>
      </w:r>
      <w:r w:rsidRPr="0097239C">
        <w:rPr>
          <w:b/>
          <w:rtl/>
        </w:rPr>
        <w:t xml:space="preserve"> </w:t>
      </w:r>
      <w:r w:rsidRPr="0097239C">
        <w:rPr>
          <w:rFonts w:hint="eastAsia"/>
          <w:b/>
          <w:rtl/>
        </w:rPr>
        <w:t>לתקופות</w:t>
      </w:r>
      <w:r w:rsidRPr="0097239C">
        <w:rPr>
          <w:b/>
          <w:rtl/>
        </w:rPr>
        <w:t xml:space="preserve"> </w:t>
      </w:r>
      <w:r w:rsidRPr="0097239C">
        <w:rPr>
          <w:rFonts w:hint="eastAsia"/>
          <w:b/>
          <w:rtl/>
        </w:rPr>
        <w:t>קודמות</w:t>
      </w:r>
      <w:r w:rsidRPr="0097239C">
        <w:rPr>
          <w:b/>
          <w:rtl/>
        </w:rPr>
        <w:t xml:space="preserve">) </w:t>
      </w:r>
      <w:r w:rsidRPr="0097239C">
        <w:rPr>
          <w:rFonts w:hint="cs"/>
          <w:b/>
          <w:rtl/>
        </w:rPr>
        <w:t>- לגבי</w:t>
      </w:r>
      <w:r w:rsidRPr="0097239C">
        <w:rPr>
          <w:b/>
          <w:rtl/>
        </w:rPr>
        <w:t xml:space="preserve"> </w:t>
      </w:r>
      <w:r w:rsidRPr="0097239C">
        <w:rPr>
          <w:rFonts w:hint="eastAsia"/>
          <w:b/>
          <w:rtl/>
        </w:rPr>
        <w:t>היקף</w:t>
      </w:r>
      <w:r w:rsidRPr="0097239C">
        <w:rPr>
          <w:b/>
          <w:rtl/>
        </w:rPr>
        <w:t xml:space="preserve"> צריכת </w:t>
      </w:r>
      <w:r w:rsidRPr="0097239C">
        <w:rPr>
          <w:b/>
          <w:rtl/>
        </w:rPr>
        <w:t>האנרג</w:t>
      </w:r>
      <w:r w:rsidRPr="0097239C">
        <w:rPr>
          <w:rFonts w:hint="cs"/>
          <w:b/>
          <w:rtl/>
        </w:rPr>
        <w:t>י</w:t>
      </w:r>
      <w:r w:rsidRPr="0097239C">
        <w:rPr>
          <w:b/>
          <w:rtl/>
        </w:rPr>
        <w:t>יה</w:t>
      </w:r>
      <w:r w:rsidRPr="0097239C">
        <w:rPr>
          <w:b/>
          <w:rtl/>
        </w:rPr>
        <w:t xml:space="preserve">. </w:t>
      </w:r>
      <w:r w:rsidRPr="0097239C">
        <w:rPr>
          <w:rFonts w:hint="cs"/>
          <w:b/>
          <w:rtl/>
        </w:rPr>
        <w:t>מינהל</w:t>
      </w:r>
      <w:r w:rsidRPr="0097239C">
        <w:rPr>
          <w:rFonts w:hint="cs"/>
          <w:b/>
          <w:rtl/>
        </w:rPr>
        <w:t xml:space="preserve"> הדיור הממשלתי השיב למשרד מבקר המדינה בינואר 2020</w:t>
      </w:r>
      <w:r w:rsidRPr="0097239C">
        <w:rPr>
          <w:b/>
          <w:rtl/>
        </w:rPr>
        <w:t xml:space="preserve"> </w:t>
      </w:r>
      <w:r w:rsidRPr="0097239C">
        <w:rPr>
          <w:rFonts w:hint="cs"/>
          <w:b/>
          <w:rtl/>
        </w:rPr>
        <w:t xml:space="preserve">כי </w:t>
      </w:r>
      <w:r w:rsidRPr="0097239C">
        <w:rPr>
          <w:b/>
          <w:rtl/>
        </w:rPr>
        <w:t xml:space="preserve">החל לפרוס את מערכות </w:t>
      </w:r>
      <w:r w:rsidRPr="0097239C">
        <w:rPr>
          <w:rFonts w:hint="eastAsia"/>
          <w:b/>
          <w:rtl/>
        </w:rPr>
        <w:t>הניטור</w:t>
      </w:r>
      <w:r w:rsidRPr="0097239C">
        <w:rPr>
          <w:b/>
          <w:rtl/>
        </w:rPr>
        <w:t xml:space="preserve"> </w:t>
      </w:r>
      <w:r w:rsidRPr="0097239C">
        <w:rPr>
          <w:rFonts w:hint="eastAsia"/>
          <w:b/>
          <w:rtl/>
        </w:rPr>
        <w:t>במבני</w:t>
      </w:r>
      <w:r w:rsidRPr="0097239C">
        <w:rPr>
          <w:b/>
          <w:rtl/>
        </w:rPr>
        <w:t xml:space="preserve"> </w:t>
      </w:r>
      <w:r w:rsidRPr="0097239C">
        <w:rPr>
          <w:rFonts w:hint="eastAsia"/>
          <w:b/>
          <w:rtl/>
        </w:rPr>
        <w:t>הדיור</w:t>
      </w:r>
      <w:r w:rsidRPr="0097239C">
        <w:rPr>
          <w:b/>
          <w:rtl/>
        </w:rPr>
        <w:t xml:space="preserve"> הממשלתי.</w:t>
      </w:r>
    </w:p>
    <w:p w:rsidR="0097239C" w:rsidRPr="0097239C" w:rsidP="00C603CF">
      <w:pPr>
        <w:pStyle w:val="a"/>
        <w:spacing w:line="269" w:lineRule="auto"/>
        <w:rPr>
          <w:rtl/>
        </w:rPr>
      </w:pPr>
    </w:p>
    <w:p w:rsidR="0097239C" w:rsidRPr="0097239C" w:rsidP="00C603CF">
      <w:pPr>
        <w:spacing w:line="269" w:lineRule="auto"/>
        <w:rPr>
          <w:bCs/>
          <w:rtl/>
        </w:rPr>
      </w:pPr>
      <w:r w:rsidRPr="0097239C">
        <w:rPr>
          <w:rFonts w:hint="cs"/>
          <w:bCs/>
          <w:rtl/>
        </w:rPr>
        <w:t xml:space="preserve">משרד מבקר המדינה ממליץ למשרד </w:t>
      </w:r>
      <w:r w:rsidRPr="0097239C">
        <w:rPr>
          <w:rFonts w:hint="cs"/>
          <w:bCs/>
          <w:rtl/>
        </w:rPr>
        <w:t>האנרגייה</w:t>
      </w:r>
      <w:r w:rsidRPr="0097239C">
        <w:rPr>
          <w:rFonts w:hint="cs"/>
          <w:bCs/>
          <w:rtl/>
        </w:rPr>
        <w:t xml:space="preserve"> </w:t>
      </w:r>
      <w:r w:rsidRPr="0097239C">
        <w:rPr>
          <w:rFonts w:hint="cs"/>
          <w:bCs/>
          <w:rtl/>
        </w:rPr>
        <w:t>ולמינהל</w:t>
      </w:r>
      <w:r w:rsidRPr="0097239C">
        <w:rPr>
          <w:rFonts w:hint="cs"/>
          <w:bCs/>
          <w:rtl/>
        </w:rPr>
        <w:t xml:space="preserve"> הדיור הממשלתי לבחון בשיתוף עם חברת החשמל את האפשרות לקבל נתונים על צריכת החשמל של מבנים ציבוריים בפילוח לפי אתר ולפי מונה, ולפעול לעידוד פעולות לחיסכון בצריכת </w:t>
      </w:r>
      <w:r w:rsidRPr="0097239C">
        <w:rPr>
          <w:rFonts w:hint="cs"/>
          <w:bCs/>
          <w:rtl/>
        </w:rPr>
        <w:t>האנרגייה</w:t>
      </w:r>
      <w:r w:rsidRPr="0097239C">
        <w:rPr>
          <w:rFonts w:hint="cs"/>
          <w:bCs/>
          <w:rtl/>
        </w:rPr>
        <w:t xml:space="preserve"> במבנים אלו.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b/>
          <w:rtl/>
        </w:rPr>
        <w:t>מינהל</w:t>
      </w:r>
      <w:r w:rsidRPr="0097239C">
        <w:rPr>
          <w:rFonts w:hint="cs"/>
          <w:b/>
          <w:rtl/>
        </w:rPr>
        <w:t xml:space="preserve"> הדיור הממשלתי השיב למשרד מבקר המדינה באפריל 2020, כי אופן ניהול הנתונים על ידי </w:t>
      </w:r>
      <w:r w:rsidRPr="0097239C">
        <w:rPr>
          <w:rFonts w:hint="cs"/>
          <w:b/>
          <w:rtl/>
        </w:rPr>
        <w:t>חח"י</w:t>
      </w:r>
      <w:r w:rsidRPr="0097239C">
        <w:rPr>
          <w:rFonts w:hint="cs"/>
          <w:b/>
          <w:rtl/>
        </w:rPr>
        <w:t xml:space="preserve"> </w:t>
      </w:r>
      <w:r w:rsidRPr="0097239C">
        <w:rPr>
          <w:rFonts w:hint="cs"/>
          <w:b/>
          <w:rtl/>
        </w:rPr>
        <w:t>ומינהל</w:t>
      </w:r>
      <w:r w:rsidRPr="0097239C">
        <w:rPr>
          <w:rFonts w:hint="cs"/>
          <w:b/>
          <w:rtl/>
        </w:rPr>
        <w:t xml:space="preserve"> הדיור אינם אחידים. משכך עשויה להתקבל תמונה חלקית בלבד, ולא ניתן יהיה להפיק מנתונים אלו תובנות מעשיות. </w:t>
      </w:r>
      <w:r w:rsidRPr="0097239C">
        <w:rPr>
          <w:rFonts w:hint="cs"/>
          <w:b/>
          <w:rtl/>
        </w:rPr>
        <w:t>מינהל</w:t>
      </w:r>
      <w:r w:rsidRPr="0097239C">
        <w:rPr>
          <w:rFonts w:hint="cs"/>
          <w:b/>
          <w:rtl/>
        </w:rPr>
        <w:t xml:space="preserve"> הדיור בחר לא לעשות שימוש בנתוני </w:t>
      </w:r>
      <w:r w:rsidRPr="0097239C">
        <w:rPr>
          <w:rFonts w:hint="cs"/>
          <w:b/>
          <w:rtl/>
        </w:rPr>
        <w:t>חח"י</w:t>
      </w:r>
      <w:r w:rsidRPr="0097239C">
        <w:rPr>
          <w:rFonts w:hint="cs"/>
          <w:b/>
          <w:rtl/>
        </w:rPr>
        <w:t xml:space="preserve">, אלא לבצע ניטור פרטני בלוחות החשמל הקומתיים החל מינואר 2020 באמצעות מכרז ייעודי שנעשה. </w:t>
      </w:r>
      <w:r w:rsidRPr="0097239C">
        <w:rPr>
          <w:rFonts w:hint="cs"/>
          <w:b/>
          <w:rtl/>
        </w:rPr>
        <w:t>מינהל</w:t>
      </w:r>
      <w:r w:rsidRPr="0097239C">
        <w:rPr>
          <w:rFonts w:hint="cs"/>
          <w:b/>
          <w:rtl/>
        </w:rPr>
        <w:t xml:space="preserve"> הדיור הוסיף כי עם זאת, ובהמשך לניסיונות שנעשו בעבר, בכוונתו לבחון מחדש את התהליך ליצירת ממשק עם </w:t>
      </w:r>
      <w:r w:rsidRPr="0097239C">
        <w:rPr>
          <w:rFonts w:hint="cs"/>
          <w:b/>
          <w:rtl/>
        </w:rPr>
        <w:t>חח"י</w:t>
      </w:r>
      <w:r w:rsidRPr="0097239C">
        <w:rPr>
          <w:rFonts w:hint="cs"/>
          <w:b/>
          <w:rtl/>
        </w:rPr>
        <w:t xml:space="preserve"> להעברת הנתונים.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על פי תקנות הפיקוח על יעילות צריכת </w:t>
      </w:r>
      <w:r w:rsidRPr="0097239C">
        <w:rPr>
          <w:rFonts w:hint="cs"/>
          <w:rtl/>
        </w:rPr>
        <w:t>אנרגייה</w:t>
      </w:r>
      <w:r w:rsidRPr="0097239C">
        <w:rPr>
          <w:rFonts w:hint="cs"/>
          <w:rtl/>
        </w:rPr>
        <w:t xml:space="preserve">, כל רשות מקומית גם חייבת לדווח למשרד </w:t>
      </w:r>
      <w:r w:rsidRPr="0097239C">
        <w:rPr>
          <w:rFonts w:hint="cs"/>
          <w:rtl/>
        </w:rPr>
        <w:t>האנרגייה</w:t>
      </w:r>
      <w:r w:rsidRPr="0097239C">
        <w:rPr>
          <w:rFonts w:hint="cs"/>
          <w:rtl/>
        </w:rPr>
        <w:t xml:space="preserve"> על צריכת </w:t>
      </w:r>
      <w:r w:rsidRPr="0097239C">
        <w:rPr>
          <w:rFonts w:hint="cs"/>
          <w:rtl/>
        </w:rPr>
        <w:t>האנרגייה</w:t>
      </w:r>
      <w:r w:rsidRPr="0097239C">
        <w:rPr>
          <w:rFonts w:hint="cs"/>
          <w:rtl/>
        </w:rPr>
        <w:t xml:space="preserve"> השנתית שלה. בהסתמך על דיווחי הרשויות פיתח משרד </w:t>
      </w:r>
      <w:r w:rsidRPr="0097239C">
        <w:rPr>
          <w:rFonts w:hint="cs"/>
          <w:rtl/>
        </w:rPr>
        <w:t>האנרגייה</w:t>
      </w:r>
      <w:r w:rsidRPr="0097239C">
        <w:rPr>
          <w:rFonts w:hint="cs"/>
          <w:rtl/>
        </w:rPr>
        <w:t xml:space="preserve"> מדד צריכת חשמל, שמאפשר להשוות בין צריכת החשמל של הרשויות השונות שדיווחו. משרד </w:t>
      </w:r>
      <w:r w:rsidRPr="0097239C">
        <w:rPr>
          <w:rFonts w:hint="cs"/>
          <w:rtl/>
        </w:rPr>
        <w:t>האנרגייה</w:t>
      </w:r>
      <w:r w:rsidRPr="0097239C">
        <w:rPr>
          <w:rFonts w:hint="cs"/>
          <w:rtl/>
        </w:rPr>
        <w:t xml:space="preserve"> מפרסם את הדיווחים באתר האינטרנט שלו. מהדיווחים לשנת 2018 עולה כי בשנה זו הייתה הצריכה ברשות 210 </w:t>
      </w:r>
      <w:r w:rsidRPr="0097239C">
        <w:rPr>
          <w:rFonts w:hint="cs"/>
          <w:rtl/>
        </w:rPr>
        <w:t>קוט"ש</w:t>
      </w:r>
      <w:r w:rsidRPr="0097239C">
        <w:rPr>
          <w:rFonts w:hint="cs"/>
          <w:rtl/>
        </w:rPr>
        <w:t xml:space="preserve"> בממוצע לתושב. ב-91 רשויות שדיווחו נמדדה צריכה ממוצעת נמוכה עד ממוצעת, וב-27 רשויות מדווחות נמדדה צריכה גבוהה מהממוצע. 94 רשויות לא דיווחו למשרד </w:t>
      </w:r>
      <w:r w:rsidRPr="0097239C">
        <w:rPr>
          <w:rFonts w:hint="cs"/>
          <w:rtl/>
        </w:rPr>
        <w:t>האנרגייה</w:t>
      </w:r>
      <w:r w:rsidRPr="0097239C">
        <w:rPr>
          <w:rFonts w:hint="cs"/>
          <w:rtl/>
        </w:rPr>
        <w:t xml:space="preserve"> על צריכת החשמל שלהן. להלן תוצג התפלגות צריכת החשמל ברשויות מקומיות לפי דיווחי צריכה.</w:t>
      </w:r>
    </w:p>
    <w:p w:rsidR="00352E89" w:rsidP="00C0386E">
      <w:pPr>
        <w:spacing w:line="269" w:lineRule="auto"/>
        <w:rPr>
          <w:b/>
          <w:bCs/>
          <w:rtl/>
        </w:rPr>
      </w:pPr>
    </w:p>
    <w:p w:rsidR="00A75A48">
      <w:pPr>
        <w:bidi w:val="0"/>
        <w:spacing w:after="200" w:line="276" w:lineRule="auto"/>
        <w:rPr>
          <w:b/>
          <w:bCs/>
          <w:rtl/>
        </w:rPr>
      </w:pPr>
      <w:r>
        <w:rPr>
          <w:b/>
          <w:bCs/>
          <w:rtl/>
        </w:rPr>
        <w:br w:type="page"/>
      </w:r>
    </w:p>
    <w:p w:rsidR="0097239C" w:rsidRPr="0097239C" w:rsidP="00352E89">
      <w:pPr>
        <w:spacing w:after="240"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25</w:t>
      </w:r>
      <w:r w:rsidRPr="0097239C">
        <w:rPr>
          <w:b/>
          <w:bCs/>
          <w:rtl/>
        </w:rPr>
        <w:t xml:space="preserve">: </w:t>
      </w:r>
      <w:r w:rsidRPr="0097239C">
        <w:rPr>
          <w:rFonts w:hint="eastAsia"/>
          <w:b/>
          <w:bCs/>
          <w:rtl/>
        </w:rPr>
        <w:t>צריכת</w:t>
      </w:r>
      <w:r w:rsidRPr="0097239C">
        <w:rPr>
          <w:b/>
          <w:bCs/>
          <w:rtl/>
        </w:rPr>
        <w:t xml:space="preserve"> </w:t>
      </w:r>
      <w:r w:rsidRPr="0097239C">
        <w:rPr>
          <w:rFonts w:hint="eastAsia"/>
          <w:b/>
          <w:bCs/>
          <w:rtl/>
        </w:rPr>
        <w:t>החשמל</w:t>
      </w:r>
      <w:r w:rsidRPr="0097239C">
        <w:rPr>
          <w:b/>
          <w:bCs/>
          <w:rtl/>
        </w:rPr>
        <w:t xml:space="preserve"> </w:t>
      </w:r>
      <w:r w:rsidRPr="0097239C">
        <w:rPr>
          <w:rFonts w:hint="cs"/>
          <w:b/>
          <w:bCs/>
          <w:rtl/>
        </w:rPr>
        <w:t xml:space="preserve">לתושב </w:t>
      </w:r>
      <w:r w:rsidRPr="0097239C">
        <w:rPr>
          <w:rFonts w:hint="eastAsia"/>
          <w:b/>
          <w:bCs/>
          <w:rtl/>
        </w:rPr>
        <w:t>ברשויות</w:t>
      </w:r>
      <w:r w:rsidRPr="0097239C">
        <w:rPr>
          <w:b/>
          <w:bCs/>
          <w:rtl/>
        </w:rPr>
        <w:t xml:space="preserve"> </w:t>
      </w:r>
      <w:r w:rsidRPr="0097239C">
        <w:rPr>
          <w:rFonts w:hint="eastAsia"/>
          <w:b/>
          <w:bCs/>
          <w:rtl/>
        </w:rPr>
        <w:t>מקומיות</w:t>
      </w:r>
      <w:r w:rsidRPr="0097239C">
        <w:rPr>
          <w:rFonts w:hint="cs"/>
          <w:b/>
          <w:bCs/>
          <w:rtl/>
        </w:rPr>
        <w:t xml:space="preserve"> בשנת</w:t>
      </w:r>
      <w:r w:rsidRPr="0097239C">
        <w:rPr>
          <w:b/>
          <w:bCs/>
          <w:rtl/>
        </w:rPr>
        <w:t xml:space="preserve"> 2018</w:t>
      </w:r>
    </w:p>
    <w:p w:rsidR="0097239C" w:rsidRPr="0097239C" w:rsidP="00352E89">
      <w:pPr>
        <w:spacing w:before="120" w:after="120" w:line="269" w:lineRule="auto"/>
        <w:jc w:val="center"/>
        <w:rPr>
          <w:rtl/>
        </w:rPr>
      </w:pPr>
      <w:r>
        <w:rPr>
          <w:noProof/>
          <w:rtl/>
        </w:rPr>
        <w:drawing>
          <wp:inline distT="0" distB="0" distL="0" distR="0">
            <wp:extent cx="2974731" cy="2762250"/>
            <wp:effectExtent l="0" t="0" r="0" b="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92803" name="energy-g-25.png"/>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981738" cy="2768757"/>
                    </a:xfrm>
                    <a:prstGeom prst="rect">
                      <a:avLst/>
                    </a:prstGeom>
                  </pic:spPr>
                </pic:pic>
              </a:graphicData>
            </a:graphic>
          </wp:inline>
        </w:drawing>
      </w:r>
    </w:p>
    <w:p w:rsidR="0097239C" w:rsidRPr="007230D4" w:rsidP="003A6DD0">
      <w:pPr>
        <w:spacing w:line="269" w:lineRule="auto"/>
        <w:jc w:val="left"/>
        <w:rPr>
          <w:sz w:val="22"/>
          <w:szCs w:val="22"/>
          <w:rtl/>
        </w:rPr>
      </w:pPr>
      <w:r w:rsidRPr="007230D4">
        <w:rPr>
          <w:rFonts w:hint="cs"/>
          <w:sz w:val="22"/>
          <w:szCs w:val="22"/>
          <w:rtl/>
        </w:rPr>
        <w:t xml:space="preserve">המקור: אתר האינטרנט של משרד </w:t>
      </w:r>
      <w:r w:rsidRPr="007230D4">
        <w:rPr>
          <w:rFonts w:hint="cs"/>
          <w:sz w:val="22"/>
          <w:szCs w:val="22"/>
          <w:rtl/>
        </w:rPr>
        <w:t>האנרגייה</w:t>
      </w:r>
      <w:r w:rsidRPr="007230D4">
        <w:rPr>
          <w:rFonts w:hint="cs"/>
          <w:sz w:val="22"/>
          <w:szCs w:val="22"/>
          <w:rtl/>
        </w:rPr>
        <w:t>.</w:t>
      </w:r>
    </w:p>
    <w:p w:rsidR="0097239C" w:rsidRPr="0097239C" w:rsidP="00352E89">
      <w:pPr>
        <w:pStyle w:val="a"/>
        <w:spacing w:line="269" w:lineRule="auto"/>
        <w:ind w:left="0"/>
        <w:rPr>
          <w:rtl/>
        </w:rPr>
      </w:pPr>
    </w:p>
    <w:p w:rsidR="0097239C" w:rsidRPr="0097239C" w:rsidP="00C603CF">
      <w:pPr>
        <w:spacing w:line="269" w:lineRule="auto"/>
        <w:rPr>
          <w:rtl/>
        </w:rPr>
      </w:pPr>
      <w:r w:rsidRPr="0097239C">
        <w:rPr>
          <w:rFonts w:hint="cs"/>
          <w:rtl/>
        </w:rPr>
        <w:t xml:space="preserve">מהתרשים עולה כי כ-44% מהרשויות המקומיות לא דיווחו למשרד </w:t>
      </w:r>
      <w:r w:rsidRPr="0097239C">
        <w:rPr>
          <w:rFonts w:hint="cs"/>
          <w:rtl/>
        </w:rPr>
        <w:t>האנרגייה</w:t>
      </w:r>
      <w:r w:rsidRPr="0097239C">
        <w:rPr>
          <w:rFonts w:hint="cs"/>
          <w:rtl/>
        </w:rPr>
        <w:t xml:space="preserve"> על צריכתן. משרד </w:t>
      </w:r>
      <w:r w:rsidRPr="0097239C">
        <w:rPr>
          <w:rFonts w:hint="cs"/>
          <w:rtl/>
        </w:rPr>
        <w:t>האנרגייה</w:t>
      </w:r>
      <w:r w:rsidRPr="0097239C">
        <w:rPr>
          <w:rFonts w:hint="cs"/>
          <w:rtl/>
        </w:rPr>
        <w:t xml:space="preserve"> השיב למשרד מבקר המדינה כי הוא פועל לקבלת דיווחי צריכת </w:t>
      </w:r>
      <w:r w:rsidRPr="0097239C">
        <w:rPr>
          <w:rFonts w:hint="cs"/>
          <w:rtl/>
        </w:rPr>
        <w:t>האנרגייה</w:t>
      </w:r>
      <w:r w:rsidRPr="0097239C">
        <w:rPr>
          <w:rFonts w:hint="cs"/>
          <w:rtl/>
        </w:rPr>
        <w:t xml:space="preserve"> מכלל הרשויות המקומיות, וכי רשויות שלא דיווחו על צריכת </w:t>
      </w:r>
      <w:r w:rsidRPr="0097239C">
        <w:rPr>
          <w:rFonts w:hint="cs"/>
          <w:rtl/>
        </w:rPr>
        <w:t>האנרגייה</w:t>
      </w:r>
      <w:r w:rsidRPr="0097239C">
        <w:rPr>
          <w:rFonts w:hint="cs"/>
          <w:rtl/>
        </w:rPr>
        <w:t xml:space="preserve"> כנדרש נקנסו בהתאם לתקנות. יצוין כי משרד </w:t>
      </w:r>
      <w:r w:rsidRPr="0097239C">
        <w:rPr>
          <w:rFonts w:hint="cs"/>
          <w:rtl/>
        </w:rPr>
        <w:t>האנרגייה</w:t>
      </w:r>
      <w:r w:rsidRPr="0097239C">
        <w:rPr>
          <w:rFonts w:hint="cs"/>
          <w:rtl/>
        </w:rPr>
        <w:t xml:space="preserve"> פרסם את נתוני צריכת החשמל ברשויות המקומיות בשנת 2018 בלבד. בשל כך לא ניתן לדעת מהו היקף צריכת </w:t>
      </w:r>
      <w:r w:rsidRPr="0097239C">
        <w:rPr>
          <w:rFonts w:hint="cs"/>
          <w:rtl/>
        </w:rPr>
        <w:t>האנרגייה</w:t>
      </w:r>
      <w:r w:rsidRPr="0097239C">
        <w:rPr>
          <w:rFonts w:hint="cs"/>
          <w:rtl/>
        </w:rPr>
        <w:t xml:space="preserve"> ברשויות אלה על פני השנים ואם הן התייעלו.</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רואה בחיוב את פרסום מדד צריכת </w:t>
      </w:r>
      <w:r w:rsidRPr="0097239C">
        <w:rPr>
          <w:rFonts w:hint="cs"/>
          <w:b/>
          <w:bCs/>
          <w:rtl/>
        </w:rPr>
        <w:t>האנרגייה</w:t>
      </w:r>
      <w:r w:rsidRPr="0097239C">
        <w:rPr>
          <w:rFonts w:hint="cs"/>
          <w:b/>
          <w:bCs/>
          <w:rtl/>
        </w:rPr>
        <w:t xml:space="preserve"> במשרדי ממשלה וברשויות המקומיות. עם זאת, הוא מעיר למשרד </w:t>
      </w:r>
      <w:r w:rsidRPr="0097239C">
        <w:rPr>
          <w:rFonts w:hint="cs"/>
          <w:b/>
          <w:bCs/>
          <w:rtl/>
        </w:rPr>
        <w:t>האנרגייה</w:t>
      </w:r>
      <w:r w:rsidRPr="0097239C">
        <w:rPr>
          <w:rFonts w:hint="cs"/>
          <w:b/>
          <w:bCs/>
          <w:rtl/>
        </w:rPr>
        <w:t xml:space="preserve"> כי עליו לאכוף את קיום תקנות הפיקוח על יעילות צריכת </w:t>
      </w:r>
      <w:r w:rsidRPr="0097239C">
        <w:rPr>
          <w:rFonts w:hint="cs"/>
          <w:b/>
          <w:bCs/>
          <w:rtl/>
        </w:rPr>
        <w:t>האנרגייה</w:t>
      </w:r>
      <w:r w:rsidRPr="0097239C">
        <w:rPr>
          <w:rFonts w:hint="cs"/>
          <w:b/>
          <w:bCs/>
          <w:rtl/>
        </w:rPr>
        <w:t xml:space="preserve"> ולנקוט צעדים על מנת לוודא שכל הגופים החייבים בדיווח ממלאים חובה זו. עוד ממליץ משרד מבקר המדינה למשרד </w:t>
      </w:r>
      <w:r w:rsidRPr="0097239C">
        <w:rPr>
          <w:rFonts w:hint="cs"/>
          <w:b/>
          <w:bCs/>
          <w:rtl/>
        </w:rPr>
        <w:t>האנרגייה</w:t>
      </w:r>
      <w:r w:rsidRPr="0097239C">
        <w:rPr>
          <w:rFonts w:hint="cs"/>
          <w:b/>
          <w:bCs/>
          <w:rtl/>
        </w:rPr>
        <w:t xml:space="preserve"> להציג נתונים השוואתיים על היקף צריכת </w:t>
      </w:r>
      <w:r w:rsidRPr="0097239C">
        <w:rPr>
          <w:rFonts w:hint="cs"/>
          <w:b/>
          <w:bCs/>
          <w:rtl/>
        </w:rPr>
        <w:t>האנרגייה</w:t>
      </w:r>
      <w:r w:rsidRPr="0097239C">
        <w:rPr>
          <w:rFonts w:hint="cs"/>
          <w:b/>
          <w:bCs/>
          <w:rtl/>
        </w:rPr>
        <w:t xml:space="preserve"> במשך השנים, כדי שניתן יהיה לבחון את מידת ההתייעלות האנרגטית של הגופים המדווחים.</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עוד עולה מנתוני משרד </w:t>
      </w:r>
      <w:r w:rsidRPr="0097239C">
        <w:rPr>
          <w:rFonts w:hint="cs"/>
          <w:rtl/>
        </w:rPr>
        <w:t>האנרגייה</w:t>
      </w:r>
      <w:r w:rsidRPr="0097239C">
        <w:rPr>
          <w:rFonts w:hint="cs"/>
          <w:rtl/>
        </w:rPr>
        <w:t xml:space="preserve"> לשנת 2018 כי צריכת החשמל </w:t>
      </w:r>
      <w:r w:rsidRPr="0097239C">
        <w:rPr>
          <w:rFonts w:hint="cs"/>
          <w:rtl/>
        </w:rPr>
        <w:t>הרשותית</w:t>
      </w:r>
      <w:r w:rsidRPr="0097239C">
        <w:rPr>
          <w:rFonts w:hint="cs"/>
          <w:rtl/>
        </w:rPr>
        <w:t xml:space="preserve"> הנמוכה ביותר הייתה 25 </w:t>
      </w:r>
      <w:r w:rsidRPr="0097239C">
        <w:rPr>
          <w:rFonts w:hint="cs"/>
          <w:rtl/>
        </w:rPr>
        <w:t>קוט"ש</w:t>
      </w:r>
      <w:r w:rsidRPr="0097239C">
        <w:rPr>
          <w:rFonts w:hint="cs"/>
          <w:rtl/>
        </w:rPr>
        <w:t xml:space="preserve"> לתושב, ואילו הצריכה הגבוהה ביותר הייתה 742 </w:t>
      </w:r>
      <w:r w:rsidRPr="0097239C">
        <w:rPr>
          <w:rFonts w:hint="cs"/>
          <w:rtl/>
        </w:rPr>
        <w:t>קוט"ש</w:t>
      </w:r>
      <w:r w:rsidRPr="0097239C">
        <w:rPr>
          <w:rFonts w:hint="cs"/>
          <w:rtl/>
        </w:rPr>
        <w:t xml:space="preserve"> לתושב.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מומלץ כי משרד </w:t>
      </w:r>
      <w:r w:rsidRPr="0097239C">
        <w:rPr>
          <w:rFonts w:hint="cs"/>
          <w:b/>
          <w:bCs/>
          <w:rtl/>
        </w:rPr>
        <w:t>האנרגייה</w:t>
      </w:r>
      <w:r w:rsidRPr="0097239C">
        <w:rPr>
          <w:rFonts w:hint="cs"/>
          <w:b/>
          <w:bCs/>
          <w:rtl/>
        </w:rPr>
        <w:t xml:space="preserve"> יפעל בשיתוף הרשויות המקומיות שצריכת </w:t>
      </w:r>
      <w:r w:rsidRPr="0097239C">
        <w:rPr>
          <w:rFonts w:hint="cs"/>
          <w:b/>
          <w:bCs/>
          <w:rtl/>
        </w:rPr>
        <w:t>האנרגייה</w:t>
      </w:r>
      <w:r w:rsidRPr="0097239C">
        <w:rPr>
          <w:rFonts w:hint="cs"/>
          <w:b/>
          <w:bCs/>
          <w:rtl/>
        </w:rPr>
        <w:t xml:space="preserve"> בהן גבוהה מהממוצע לאיתור מוקדים של חוסר יעילות ודרכים להסדרת הסוגיה.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w:t>
      </w:r>
      <w:r w:rsidRPr="0097239C">
        <w:rPr>
          <w:rFonts w:hint="cs"/>
          <w:rtl/>
        </w:rPr>
        <w:t>האנרגייה</w:t>
      </w:r>
      <w:r w:rsidRPr="0097239C">
        <w:rPr>
          <w:rFonts w:hint="cs"/>
          <w:rtl/>
        </w:rPr>
        <w:t xml:space="preserve"> השיב למשרד מבקר המדינה ביוני 2020 כי הוא פועל עם מרכז השלטון המקומי לקידום ההתייעלות </w:t>
      </w:r>
      <w:r w:rsidRPr="0097239C">
        <w:rPr>
          <w:rFonts w:hint="cs"/>
          <w:rtl/>
        </w:rPr>
        <w:t>באנרגייה</w:t>
      </w:r>
      <w:r w:rsidRPr="0097239C">
        <w:rPr>
          <w:rFonts w:hint="cs"/>
          <w:rtl/>
        </w:rPr>
        <w:t xml:space="preserve"> בכלל הרשויות, ובפרט אלו שבהן זוהו מוקדים של צריכה חריגה.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בחוק מקורות </w:t>
      </w:r>
      <w:r w:rsidRPr="0097239C">
        <w:rPr>
          <w:rFonts w:hint="cs"/>
          <w:rtl/>
        </w:rPr>
        <w:t>אנרגייה</w:t>
      </w:r>
      <w:r w:rsidRPr="0097239C">
        <w:rPr>
          <w:rFonts w:hint="cs"/>
          <w:rtl/>
        </w:rPr>
        <w:t xml:space="preserve"> נקבע כאמור כי על שר </w:t>
      </w:r>
      <w:r w:rsidRPr="0097239C">
        <w:rPr>
          <w:rFonts w:hint="cs"/>
          <w:rtl/>
        </w:rPr>
        <w:t>האנרגייה</w:t>
      </w:r>
      <w:r w:rsidRPr="0097239C">
        <w:rPr>
          <w:rFonts w:hint="cs"/>
          <w:rtl/>
        </w:rPr>
        <w:t xml:space="preserve"> להגיש </w:t>
      </w:r>
      <w:r w:rsidRPr="0097239C">
        <w:rPr>
          <w:rFonts w:hint="cs"/>
          <w:rtl/>
        </w:rPr>
        <w:t>תוכנית</w:t>
      </w:r>
      <w:r w:rsidRPr="0097239C">
        <w:rPr>
          <w:rFonts w:hint="cs"/>
          <w:rtl/>
        </w:rPr>
        <w:t xml:space="preserve"> לאומית רב-שנתית להתייעלות אנרגטית ובה ייכללו, בין השאר, יעדים מדידים או כמותיים לחיסכון ולייעול השימוש </w:t>
      </w:r>
      <w:r w:rsidRPr="0097239C">
        <w:rPr>
          <w:rFonts w:hint="cs"/>
          <w:rtl/>
        </w:rPr>
        <w:t>באנרגייה</w:t>
      </w:r>
      <w:r w:rsidRPr="0097239C">
        <w:rPr>
          <w:rFonts w:hint="cs"/>
          <w:rtl/>
        </w:rPr>
        <w:t xml:space="preserve"> ולניצול מקורות </w:t>
      </w:r>
      <w:r w:rsidRPr="0097239C">
        <w:rPr>
          <w:rFonts w:hint="cs"/>
          <w:rtl/>
        </w:rPr>
        <w:t>אנרגייה</w:t>
      </w:r>
      <w:r w:rsidRPr="0097239C">
        <w:rPr>
          <w:rFonts w:hint="cs"/>
          <w:rtl/>
        </w:rPr>
        <w:t>, לרבות במגזר הציבורי, בתוך פרקי זמן שונים שייקבעו בתוכנית.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בתוכנית הלאומית להתייעלות אנרגטית לשנים 2016 - 2030 קבע משרד </w:t>
      </w:r>
      <w:r w:rsidRPr="0097239C">
        <w:rPr>
          <w:rFonts w:hint="cs"/>
          <w:rtl/>
        </w:rPr>
        <w:t>האנרגייה</w:t>
      </w:r>
      <w:r w:rsidRPr="0097239C">
        <w:rPr>
          <w:rFonts w:hint="cs"/>
          <w:rtl/>
        </w:rPr>
        <w:t xml:space="preserve"> סולם עדיפויות של אמצעי התייעלות וכלי מדיניות מומלצים במגזר הציבורי מסחרי. פוטנציאל החיסכון בחשמל מיישום הצעדים עד שנת 2030 הוא כ-4,335 </w:t>
      </w:r>
      <w:r w:rsidRPr="0097239C">
        <w:rPr>
          <w:rFonts w:hint="cs"/>
          <w:rtl/>
        </w:rPr>
        <w:t>ג'יגהוואט</w:t>
      </w:r>
      <w:r w:rsidRPr="0097239C">
        <w:rPr>
          <w:rFonts w:hint="cs"/>
          <w:rtl/>
        </w:rPr>
        <w:t xml:space="preserve">-שעה. יצוין כי </w:t>
      </w:r>
      <w:r w:rsidRPr="0097239C">
        <w:rPr>
          <w:rFonts w:hint="cs"/>
          <w:rtl/>
        </w:rPr>
        <w:t>תוכנית</w:t>
      </w:r>
      <w:r w:rsidRPr="0097239C">
        <w:rPr>
          <w:rFonts w:hint="cs"/>
          <w:rtl/>
        </w:rPr>
        <w:t xml:space="preserve"> זו אינה כוללת יעדים מדידים או כמותיים, שיש לשאוף אליהם במגזר הציבורי בנפרד.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כאמור, משרד </w:t>
      </w:r>
      <w:r w:rsidRPr="0097239C">
        <w:rPr>
          <w:rFonts w:hint="cs"/>
          <w:rtl/>
        </w:rPr>
        <w:t>האנרגייה</w:t>
      </w:r>
      <w:r w:rsidRPr="0097239C">
        <w:rPr>
          <w:rFonts w:hint="cs"/>
          <w:rtl/>
        </w:rPr>
        <w:t xml:space="preserve"> הציג למשרד מבקר המדינה טיוטת הצעה להחלטת ממשלה בנושא </w:t>
      </w:r>
      <w:r w:rsidRPr="0097239C">
        <w:rPr>
          <w:rtl/>
        </w:rPr>
        <w:t>התייעלות אנרגטית במשרדי הממשלה</w:t>
      </w:r>
      <w:r w:rsidRPr="0097239C">
        <w:rPr>
          <w:rFonts w:hint="cs"/>
          <w:rtl/>
        </w:rPr>
        <w:t xml:space="preserve">, על מנת להתייעל בצריכת </w:t>
      </w:r>
      <w:r w:rsidRPr="0097239C">
        <w:rPr>
          <w:rFonts w:hint="cs"/>
          <w:rtl/>
        </w:rPr>
        <w:t>האנרגייה</w:t>
      </w:r>
      <w:r w:rsidRPr="0097239C">
        <w:rPr>
          <w:rFonts w:hint="cs"/>
          <w:rtl/>
        </w:rPr>
        <w:t xml:space="preserve"> במשרדי הממשלה ויחידות הסמך, לשם צמצום הוצאות גופים אלו וכדי להדגיש את מחויבות הממשלה לחיסכון </w:t>
      </w:r>
      <w:r w:rsidRPr="0097239C">
        <w:rPr>
          <w:rFonts w:hint="cs"/>
          <w:rtl/>
        </w:rPr>
        <w:t>באנרגייה</w:t>
      </w:r>
      <w:r w:rsidRPr="0097239C">
        <w:rPr>
          <w:rFonts w:hint="cs"/>
          <w:rtl/>
        </w:rPr>
        <w:t xml:space="preserve">. בהצעת ההחלטה נקבע כי צריכת </w:t>
      </w:r>
      <w:r w:rsidRPr="0097239C">
        <w:rPr>
          <w:rFonts w:hint="cs"/>
          <w:rtl/>
        </w:rPr>
        <w:t>האנרגייה</w:t>
      </w:r>
      <w:r w:rsidRPr="0097239C">
        <w:rPr>
          <w:rFonts w:hint="cs"/>
          <w:rtl/>
        </w:rPr>
        <w:t xml:space="preserve"> של משרד ממשלתי בשנת 2024 לא תעלה על 160 </w:t>
      </w:r>
      <w:r w:rsidRPr="0097239C">
        <w:rPr>
          <w:rFonts w:hint="cs"/>
          <w:rtl/>
        </w:rPr>
        <w:t>קוט"ש</w:t>
      </w:r>
      <w:r w:rsidRPr="0097239C">
        <w:rPr>
          <w:rFonts w:hint="cs"/>
          <w:rtl/>
        </w:rPr>
        <w:t xml:space="preserve"> למ"ר, ובשנת 2030 לא תעלה על 140 </w:t>
      </w:r>
      <w:r w:rsidRPr="0097239C">
        <w:rPr>
          <w:rFonts w:hint="cs"/>
          <w:rtl/>
        </w:rPr>
        <w:t>קוט"ש</w:t>
      </w:r>
      <w:r w:rsidRPr="0097239C">
        <w:rPr>
          <w:rFonts w:hint="cs"/>
          <w:rtl/>
        </w:rPr>
        <w:t xml:space="preserve"> למ"ר. עוד נקבע בהצעת ההחלטה להטיל על מנכ"לי משרדי הממשלה ויחידות הסמך למנות ממונה התייעלות אנרגטית; להעביר תקציב של 6 מיליון ש"ח לביצוע סקרים לאיתור פוטנציאל להתייעלות </w:t>
      </w:r>
      <w:r w:rsidRPr="0097239C">
        <w:rPr>
          <w:rFonts w:hint="cs"/>
          <w:rtl/>
        </w:rPr>
        <w:t>באנרגייה</w:t>
      </w:r>
      <w:r w:rsidRPr="0097239C">
        <w:rPr>
          <w:rFonts w:hint="cs"/>
          <w:rtl/>
        </w:rPr>
        <w:t xml:space="preserve"> במשרדי ממשלה וביחידות סמך, ותקציב של 100 מיליון ש"ח בפריסה על פני ארבע שנים עבור מיזמי התייעלות </w:t>
      </w:r>
      <w:r w:rsidRPr="0097239C">
        <w:rPr>
          <w:rFonts w:hint="cs"/>
          <w:rtl/>
        </w:rPr>
        <w:t>באנרגייה</w:t>
      </w:r>
      <w:r w:rsidRPr="0097239C">
        <w:rPr>
          <w:rFonts w:hint="cs"/>
          <w:rtl/>
        </w:rPr>
        <w:t xml:space="preserve"> או ייצור </w:t>
      </w:r>
      <w:r w:rsidRPr="0097239C">
        <w:rPr>
          <w:rFonts w:hint="cs"/>
          <w:rtl/>
        </w:rPr>
        <w:t>אנרגייה</w:t>
      </w:r>
      <w:r w:rsidRPr="0097239C">
        <w:rPr>
          <w:rFonts w:hint="cs"/>
          <w:rtl/>
        </w:rPr>
        <w:t xml:space="preserve"> במשרדי ממשלה וביחידות סמך.</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ממליץ למשרד </w:t>
      </w:r>
      <w:r w:rsidRPr="0097239C">
        <w:rPr>
          <w:rFonts w:hint="cs"/>
          <w:b/>
          <w:bCs/>
          <w:rtl/>
        </w:rPr>
        <w:t>האנרגייה</w:t>
      </w:r>
      <w:r w:rsidRPr="0097239C">
        <w:rPr>
          <w:rFonts w:hint="cs"/>
          <w:b/>
          <w:bCs/>
          <w:rtl/>
        </w:rPr>
        <w:t xml:space="preserve"> לקדם החלטה ביחס לתוכנית ההתייעלות האנרגטית בממשלה. </w:t>
      </w:r>
    </w:p>
    <w:p w:rsidR="000E550E" w:rsidP="00C603CF">
      <w:pPr>
        <w:spacing w:line="269" w:lineRule="auto"/>
        <w:rPr>
          <w:rtl/>
        </w:rPr>
      </w:pPr>
      <w:bookmarkStart w:id="15" w:name="_Toc46906231"/>
    </w:p>
    <w:p w:rsidR="003F2044">
      <w:pPr>
        <w:bidi w:val="0"/>
        <w:spacing w:after="200" w:line="276" w:lineRule="auto"/>
        <w:rPr>
          <w:rFonts w:eastAsiaTheme="majorEastAsia"/>
          <w:bCs/>
          <w:szCs w:val="32"/>
          <w:rtl/>
        </w:rPr>
      </w:pPr>
      <w:r>
        <w:rPr>
          <w:rtl/>
        </w:rPr>
        <w:br w:type="page"/>
      </w:r>
    </w:p>
    <w:p w:rsidR="0097239C" w:rsidP="00C603CF">
      <w:pPr>
        <w:pStyle w:val="Heading2"/>
        <w:spacing w:before="0" w:line="269" w:lineRule="auto"/>
        <w:rPr>
          <w:rtl/>
        </w:rPr>
      </w:pPr>
      <w:r w:rsidRPr="0097239C">
        <w:rPr>
          <w:rFonts w:hint="cs"/>
          <w:rtl/>
        </w:rPr>
        <w:t>בנייה ירוקה</w:t>
      </w:r>
      <w:bookmarkEnd w:id="15"/>
    </w:p>
    <w:p w:rsidR="000E550E" w:rsidRPr="0097239C" w:rsidP="00C603CF">
      <w:pPr>
        <w:pStyle w:val="a"/>
        <w:spacing w:line="269" w:lineRule="auto"/>
        <w:rPr>
          <w:rtl/>
        </w:rPr>
      </w:pPr>
    </w:p>
    <w:p w:rsidR="0097239C" w:rsidRPr="0097239C" w:rsidP="00C603CF">
      <w:pPr>
        <w:spacing w:line="269" w:lineRule="auto"/>
        <w:rPr>
          <w:rtl/>
        </w:rPr>
      </w:pPr>
      <w:r w:rsidRPr="0097239C">
        <w:rPr>
          <w:rFonts w:hint="cs"/>
          <w:rtl/>
        </w:rPr>
        <w:t>מחקר מנובמבר 2018 מעלה</w:t>
      </w:r>
      <w:r>
        <w:rPr>
          <w:vertAlign w:val="superscript"/>
          <w:rtl/>
        </w:rPr>
        <w:footnoteReference w:id="123"/>
      </w:r>
      <w:r w:rsidRPr="0097239C">
        <w:rPr>
          <w:rFonts w:hint="cs"/>
          <w:rtl/>
        </w:rPr>
        <w:t xml:space="preserve"> כי כ-60% מכלל צריכת </w:t>
      </w:r>
      <w:r w:rsidRPr="0097239C">
        <w:rPr>
          <w:rFonts w:hint="cs"/>
          <w:rtl/>
        </w:rPr>
        <w:t>האנרגייה</w:t>
      </w:r>
      <w:r w:rsidRPr="0097239C">
        <w:rPr>
          <w:rFonts w:hint="cs"/>
          <w:rtl/>
        </w:rPr>
        <w:t xml:space="preserve"> מתבצעת בתוך מבנים. צריכה זו גורמת לשליש מסך פליטת גזי החממה בישראל</w:t>
      </w:r>
      <w:r>
        <w:rPr>
          <w:vertAlign w:val="superscript"/>
          <w:rtl/>
        </w:rPr>
        <w:footnoteReference w:id="124"/>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בנייה ירוקה היא בנייה ידידותית לסביבה ולמשתמש. היא מעודדת חיסכון בחשמל ובמים, מעודדת </w:t>
      </w:r>
      <w:r w:rsidRPr="0097239C">
        <w:rPr>
          <w:rFonts w:hint="cs"/>
          <w:rtl/>
        </w:rPr>
        <w:t>מיחזור</w:t>
      </w:r>
      <w:r w:rsidRPr="0097239C">
        <w:rPr>
          <w:rFonts w:hint="cs"/>
          <w:rtl/>
        </w:rPr>
        <w:t xml:space="preserve"> פסולת ושימוש בתחבורה ציבורית ומשפרת את תנאי המחיה של המתגוררים בבניין. הבנייה הירוקה נועדה ליצור סביבת שהייה בריאה ונוחה תוך הימנעות, ככל האפשר, מפגיעה במשאבים טבעיים מתכלים ובאיכות הסביבה. בנייה ירוקה באה לידי ביטוי בשימוש בחומרים ידידותיים לסביבה ובחומרים ממוחזרים ובתכנון שמאפשר חיסכון מרבי </w:t>
      </w:r>
      <w:r w:rsidRPr="0097239C">
        <w:rPr>
          <w:rFonts w:hint="cs"/>
          <w:rtl/>
        </w:rPr>
        <w:t>באנרגייה</w:t>
      </w:r>
      <w:r w:rsidRPr="0097239C">
        <w:rPr>
          <w:rFonts w:hint="cs"/>
          <w:rtl/>
        </w:rPr>
        <w:t>.</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מחקרים מעידים כי לבנייה ירוקה תועלות רבות, ובהן הוזלת עלויות התפעול והתחזוקה של מבנים בזכות הפחתת עלויות </w:t>
      </w:r>
      <w:r w:rsidRPr="0097239C">
        <w:rPr>
          <w:rFonts w:hint="cs"/>
          <w:rtl/>
        </w:rPr>
        <w:t>האנרגייה</w:t>
      </w:r>
      <w:r w:rsidRPr="0097239C">
        <w:rPr>
          <w:rFonts w:hint="cs"/>
          <w:rtl/>
        </w:rPr>
        <w:t xml:space="preserve"> והמים במבנים, העלאה במחירי הנכסים ובדמי השכירות במבנים ירוקים, שיפור בפריון העבודה שמקורו בשיפור בסביבת העבודה</w:t>
      </w:r>
      <w:r>
        <w:rPr>
          <w:vertAlign w:val="superscript"/>
          <w:rtl/>
        </w:rPr>
        <w:footnoteReference w:id="125"/>
      </w:r>
      <w:r w:rsidRPr="0097239C">
        <w:rPr>
          <w:rFonts w:hint="cs"/>
          <w:rtl/>
        </w:rPr>
        <w:t xml:space="preserve"> ושיפור בבריאות הציבור על ידי הפחתת פליטות מזהמים. כן קיימות בה תועלות עקיפות, כגון הגברת הביטחון האנרגטי של המדינה, שיפור ביכולת ההתמודדות עם תופעות הקשורות בשינויי האקלים, חיסכון במשאבים, הוספת משרות חדשות והגדלת היקף התעסוקה בתחום וכן שיפור באיכות החיים</w:t>
      </w:r>
      <w:r>
        <w:rPr>
          <w:vertAlign w:val="superscript"/>
          <w:rtl/>
        </w:rPr>
        <w:footnoteReference w:id="126"/>
      </w:r>
      <w:r w:rsidRPr="0097239C">
        <w:rPr>
          <w:rFonts w:hint="cs"/>
          <w:rtl/>
        </w:rPr>
        <w:t>. עם זאת, לעיתים בנייה ירוקה כרוכה בעלויות נוספות, שאינן נכללות בבנייה שאינה ירוקה, כגון השימוש בחומרים יקרים יותר ובמערכות מכניות יקרות ויעילות יותר בתהליך תכנון מורכב. כמו כן, בנייה ירוקה כרוכה בנטל רגולטורי על היזם (בנושא עלות הבנייה הירוקה לעומת התועלת הגלומה בה; ראו להלן).</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התקן</w:t>
      </w:r>
      <w:r w:rsidRPr="0097239C">
        <w:t xml:space="preserve"> </w:t>
      </w:r>
      <w:r w:rsidRPr="0097239C">
        <w:rPr>
          <w:rFonts w:hint="cs"/>
          <w:rtl/>
        </w:rPr>
        <w:t>הישראלי</w:t>
      </w:r>
      <w:r w:rsidRPr="0097239C">
        <w:t xml:space="preserve"> </w:t>
      </w:r>
      <w:r w:rsidRPr="0097239C">
        <w:rPr>
          <w:rFonts w:hint="cs"/>
          <w:rtl/>
        </w:rPr>
        <w:t>לבנייה בת-קיימה מס' 5281</w:t>
      </w:r>
      <w:r>
        <w:rPr>
          <w:vertAlign w:val="superscript"/>
          <w:rtl/>
        </w:rPr>
        <w:footnoteReference w:id="127"/>
      </w:r>
      <w:r w:rsidRPr="0097239C">
        <w:rPr>
          <w:rFonts w:hint="cs"/>
          <w:rtl/>
        </w:rPr>
        <w:t xml:space="preserve"> (להלן - תקן בנייה</w:t>
      </w:r>
      <w:r w:rsidRPr="0097239C">
        <w:t xml:space="preserve"> </w:t>
      </w:r>
      <w:r w:rsidRPr="0097239C">
        <w:rPr>
          <w:rFonts w:hint="cs"/>
          <w:rtl/>
        </w:rPr>
        <w:t>ירוקה או ת"י) קובע</w:t>
      </w:r>
      <w:r w:rsidRPr="0097239C">
        <w:t xml:space="preserve"> </w:t>
      </w:r>
      <w:r w:rsidRPr="0097239C">
        <w:rPr>
          <w:rFonts w:hint="cs"/>
          <w:rtl/>
        </w:rPr>
        <w:t>דרישות המגדירות</w:t>
      </w:r>
      <w:r w:rsidRPr="0097239C">
        <w:t xml:space="preserve"> </w:t>
      </w:r>
      <w:r w:rsidRPr="0097239C">
        <w:rPr>
          <w:rFonts w:hint="cs"/>
          <w:rtl/>
        </w:rPr>
        <w:t>מהי</w:t>
      </w:r>
      <w:r w:rsidRPr="0097239C">
        <w:t xml:space="preserve"> </w:t>
      </w:r>
      <w:r w:rsidRPr="0097239C">
        <w:rPr>
          <w:rFonts w:hint="cs"/>
          <w:rtl/>
        </w:rPr>
        <w:t>בנייה</w:t>
      </w:r>
      <w:r w:rsidRPr="0097239C">
        <w:t xml:space="preserve"> </w:t>
      </w:r>
      <w:r w:rsidRPr="0097239C">
        <w:rPr>
          <w:rFonts w:hint="cs"/>
          <w:rtl/>
        </w:rPr>
        <w:t>ירוקה</w:t>
      </w:r>
      <w:r w:rsidRPr="0097239C">
        <w:t xml:space="preserve"> </w:t>
      </w:r>
      <w:r w:rsidRPr="0097239C">
        <w:rPr>
          <w:rFonts w:hint="cs"/>
          <w:rtl/>
        </w:rPr>
        <w:t>בישראל, והוא</w:t>
      </w:r>
      <w:r w:rsidRPr="0097239C">
        <w:t xml:space="preserve"> </w:t>
      </w:r>
      <w:r w:rsidRPr="0097239C">
        <w:rPr>
          <w:rFonts w:hint="cs"/>
          <w:rtl/>
        </w:rPr>
        <w:t>חל</w:t>
      </w:r>
      <w:r w:rsidRPr="0097239C">
        <w:t xml:space="preserve"> </w:t>
      </w:r>
      <w:r w:rsidRPr="0097239C">
        <w:rPr>
          <w:rFonts w:hint="cs"/>
          <w:rtl/>
        </w:rPr>
        <w:t>על</w:t>
      </w:r>
      <w:r w:rsidRPr="0097239C">
        <w:t xml:space="preserve"> </w:t>
      </w:r>
      <w:r w:rsidRPr="0097239C">
        <w:rPr>
          <w:rFonts w:hint="cs"/>
          <w:rtl/>
        </w:rPr>
        <w:t>מבנים</w:t>
      </w:r>
      <w:r w:rsidRPr="0097239C">
        <w:t xml:space="preserve"> </w:t>
      </w:r>
      <w:r w:rsidRPr="0097239C">
        <w:rPr>
          <w:rFonts w:hint="cs"/>
          <w:rtl/>
        </w:rPr>
        <w:t>חדשים, על</w:t>
      </w:r>
      <w:r w:rsidRPr="0097239C">
        <w:t xml:space="preserve"> </w:t>
      </w:r>
      <w:r w:rsidRPr="0097239C">
        <w:rPr>
          <w:rFonts w:hint="cs"/>
          <w:rtl/>
        </w:rPr>
        <w:t>שיפוץ</w:t>
      </w:r>
      <w:r w:rsidRPr="0097239C">
        <w:t xml:space="preserve"> </w:t>
      </w:r>
      <w:r w:rsidRPr="0097239C">
        <w:rPr>
          <w:rFonts w:hint="cs"/>
          <w:rtl/>
        </w:rPr>
        <w:t>מבנים</w:t>
      </w:r>
      <w:r w:rsidRPr="0097239C">
        <w:t xml:space="preserve"> </w:t>
      </w:r>
      <w:r w:rsidRPr="0097239C">
        <w:rPr>
          <w:rFonts w:hint="cs"/>
          <w:rtl/>
        </w:rPr>
        <w:t>קיימים, על תוספת</w:t>
      </w:r>
      <w:r w:rsidRPr="0097239C">
        <w:t xml:space="preserve"> </w:t>
      </w:r>
      <w:r w:rsidRPr="0097239C">
        <w:rPr>
          <w:rFonts w:hint="cs"/>
          <w:rtl/>
        </w:rPr>
        <w:t>לבניין</w:t>
      </w:r>
      <w:r w:rsidRPr="0097239C">
        <w:t xml:space="preserve"> </w:t>
      </w:r>
      <w:r w:rsidRPr="0097239C">
        <w:rPr>
          <w:rFonts w:hint="cs"/>
          <w:rtl/>
        </w:rPr>
        <w:t>קיים</w:t>
      </w:r>
      <w:r w:rsidRPr="0097239C">
        <w:t xml:space="preserve"> </w:t>
      </w:r>
      <w:r w:rsidRPr="0097239C">
        <w:rPr>
          <w:rFonts w:hint="cs"/>
          <w:rtl/>
        </w:rPr>
        <w:t>וכן</w:t>
      </w:r>
      <w:r w:rsidRPr="0097239C">
        <w:t xml:space="preserve"> </w:t>
      </w:r>
      <w:r w:rsidRPr="0097239C">
        <w:rPr>
          <w:rFonts w:hint="cs"/>
          <w:rtl/>
        </w:rPr>
        <w:t>על</w:t>
      </w:r>
      <w:r w:rsidRPr="0097239C">
        <w:t xml:space="preserve"> </w:t>
      </w:r>
      <w:r w:rsidRPr="0097239C">
        <w:rPr>
          <w:rFonts w:hint="cs"/>
          <w:rtl/>
        </w:rPr>
        <w:t>בנייני</w:t>
      </w:r>
      <w:r w:rsidRPr="0097239C">
        <w:t xml:space="preserve"> </w:t>
      </w:r>
      <w:r w:rsidRPr="0097239C">
        <w:rPr>
          <w:rFonts w:hint="cs"/>
          <w:rtl/>
        </w:rPr>
        <w:t>משרדים מסוגים מסוימים. התקן הוא וולונטרי ואינו מחויב בחוק, והוא עוסק בכל אחד מהשימושים האלה בנפרד: מגורים, מבנים</w:t>
      </w:r>
      <w:r w:rsidRPr="0097239C">
        <w:t xml:space="preserve"> </w:t>
      </w:r>
      <w:r w:rsidRPr="0097239C">
        <w:rPr>
          <w:rFonts w:hint="cs"/>
          <w:rtl/>
        </w:rPr>
        <w:t>שאינם</w:t>
      </w:r>
      <w:r w:rsidRPr="0097239C">
        <w:t xml:space="preserve"> </w:t>
      </w:r>
      <w:r w:rsidRPr="0097239C">
        <w:rPr>
          <w:rFonts w:hint="cs"/>
          <w:rtl/>
        </w:rPr>
        <w:t>למגורים (משרדים, מוסדות</w:t>
      </w:r>
      <w:r w:rsidRPr="0097239C">
        <w:t xml:space="preserve"> </w:t>
      </w:r>
      <w:r w:rsidRPr="0097239C">
        <w:rPr>
          <w:rFonts w:hint="cs"/>
          <w:rtl/>
        </w:rPr>
        <w:t>חינוך, אכסון</w:t>
      </w:r>
      <w:r w:rsidRPr="0097239C">
        <w:t xml:space="preserve"> </w:t>
      </w:r>
      <w:r w:rsidRPr="0097239C">
        <w:rPr>
          <w:rFonts w:hint="cs"/>
          <w:rtl/>
        </w:rPr>
        <w:t>תיירותי, מוסדות</w:t>
      </w:r>
      <w:r w:rsidRPr="0097239C">
        <w:t xml:space="preserve"> </w:t>
      </w:r>
      <w:r w:rsidRPr="0097239C">
        <w:rPr>
          <w:rFonts w:hint="cs"/>
          <w:rtl/>
        </w:rPr>
        <w:t>בריאות, מסחר</w:t>
      </w:r>
      <w:r w:rsidRPr="0097239C">
        <w:t xml:space="preserve"> </w:t>
      </w:r>
      <w:r w:rsidRPr="0097239C">
        <w:rPr>
          <w:rFonts w:hint="cs"/>
          <w:rtl/>
        </w:rPr>
        <w:t>והתקהלות</w:t>
      </w:r>
      <w:r w:rsidRPr="0097239C">
        <w:t xml:space="preserve"> </w:t>
      </w:r>
      <w:r w:rsidRPr="0097239C">
        <w:rPr>
          <w:rFonts w:hint="cs"/>
          <w:rtl/>
        </w:rPr>
        <w:t>ציבורית, תעשייה ועוד). כל</w:t>
      </w:r>
      <w:r w:rsidRPr="0097239C">
        <w:t xml:space="preserve"> </w:t>
      </w:r>
      <w:r w:rsidRPr="0097239C">
        <w:rPr>
          <w:rFonts w:hint="cs"/>
          <w:rtl/>
        </w:rPr>
        <w:t>אחד</w:t>
      </w:r>
      <w:r w:rsidRPr="0097239C">
        <w:t xml:space="preserve"> </w:t>
      </w:r>
      <w:r w:rsidRPr="0097239C">
        <w:rPr>
          <w:rFonts w:hint="cs"/>
          <w:rtl/>
        </w:rPr>
        <w:t>מהחלקים</w:t>
      </w:r>
      <w:r w:rsidRPr="0097239C">
        <w:t xml:space="preserve"> </w:t>
      </w:r>
      <w:r w:rsidRPr="0097239C">
        <w:rPr>
          <w:rFonts w:hint="cs"/>
          <w:rtl/>
        </w:rPr>
        <w:t>כולל</w:t>
      </w:r>
      <w:r w:rsidRPr="0097239C">
        <w:t xml:space="preserve"> </w:t>
      </w:r>
      <w:r w:rsidRPr="0097239C">
        <w:rPr>
          <w:rFonts w:hint="cs"/>
          <w:rtl/>
        </w:rPr>
        <w:t>פרקים</w:t>
      </w:r>
      <w:r w:rsidRPr="0097239C">
        <w:t xml:space="preserve"> </w:t>
      </w:r>
      <w:r w:rsidRPr="0097239C">
        <w:rPr>
          <w:rFonts w:hint="cs"/>
          <w:rtl/>
        </w:rPr>
        <w:t>בנושאים</w:t>
      </w:r>
      <w:r w:rsidRPr="0097239C">
        <w:t xml:space="preserve"> </w:t>
      </w:r>
      <w:r w:rsidRPr="0097239C">
        <w:rPr>
          <w:rFonts w:hint="cs"/>
          <w:rtl/>
        </w:rPr>
        <w:t xml:space="preserve">אלה: </w:t>
      </w:r>
      <w:r w:rsidRPr="0097239C">
        <w:rPr>
          <w:rFonts w:hint="cs"/>
          <w:rtl/>
        </w:rPr>
        <w:t>אנרגייה</w:t>
      </w:r>
      <w:r w:rsidRPr="0097239C">
        <w:rPr>
          <w:rFonts w:hint="cs"/>
          <w:rtl/>
        </w:rPr>
        <w:t>, קרקע, מים,</w:t>
      </w:r>
      <w:r w:rsidRPr="0097239C">
        <w:t xml:space="preserve"> </w:t>
      </w:r>
      <w:r w:rsidRPr="0097239C">
        <w:rPr>
          <w:rFonts w:hint="cs"/>
          <w:rtl/>
        </w:rPr>
        <w:t>חומרים, בריאות ורווחה,</w:t>
      </w:r>
      <w:r w:rsidRPr="0097239C">
        <w:t xml:space="preserve"> </w:t>
      </w:r>
      <w:r w:rsidRPr="0097239C">
        <w:rPr>
          <w:rFonts w:hint="cs"/>
          <w:rtl/>
        </w:rPr>
        <w:t>פסולת, תחבורה, ניהול</w:t>
      </w:r>
      <w:r w:rsidRPr="0097239C">
        <w:t xml:space="preserve"> </w:t>
      </w:r>
      <w:r w:rsidRPr="0097239C">
        <w:rPr>
          <w:rFonts w:hint="cs"/>
          <w:rtl/>
        </w:rPr>
        <w:t>אתר</w:t>
      </w:r>
      <w:r w:rsidRPr="0097239C">
        <w:t xml:space="preserve"> </w:t>
      </w:r>
      <w:r w:rsidRPr="0097239C">
        <w:rPr>
          <w:rFonts w:hint="cs"/>
          <w:rtl/>
        </w:rPr>
        <w:t>בנייה</w:t>
      </w:r>
      <w:r w:rsidRPr="0097239C">
        <w:t xml:space="preserve"> </w:t>
      </w:r>
      <w:r w:rsidRPr="0097239C">
        <w:rPr>
          <w:rFonts w:hint="cs"/>
          <w:rtl/>
        </w:rPr>
        <w:t>וחדשנות</w:t>
      </w:r>
      <w:r w:rsidRPr="0097239C">
        <w:t>.</w:t>
      </w:r>
      <w:r w:rsidRPr="0097239C">
        <w:rPr>
          <w:rFonts w:hint="cs"/>
          <w:rtl/>
        </w:rPr>
        <w:t xml:space="preserve"> </w:t>
      </w:r>
      <w:r w:rsidRPr="0097239C">
        <w:rPr>
          <w:rtl/>
        </w:rPr>
        <w:t>עמידה בתקן מדורגת לפי רמות איכות</w:t>
      </w:r>
      <w:r w:rsidRPr="0097239C">
        <w:rPr>
          <w:rFonts w:hint="cs"/>
          <w:rtl/>
        </w:rPr>
        <w:t xml:space="preserve"> בהתאם</w:t>
      </w:r>
      <w:r w:rsidRPr="0097239C">
        <w:rPr>
          <w:rtl/>
        </w:rPr>
        <w:t xml:space="preserve"> </w:t>
      </w:r>
      <w:r w:rsidRPr="0097239C">
        <w:rPr>
          <w:rFonts w:hint="cs"/>
          <w:rtl/>
        </w:rPr>
        <w:t>ל</w:t>
      </w:r>
      <w:r w:rsidRPr="0097239C">
        <w:rPr>
          <w:rtl/>
        </w:rPr>
        <w:t>מספר הכוכבים שצבר המבנה</w:t>
      </w:r>
      <w:r w:rsidRPr="0097239C">
        <w:rPr>
          <w:rFonts w:hint="cs"/>
          <w:rtl/>
        </w:rPr>
        <w:t xml:space="preserve">: </w:t>
      </w:r>
      <w:r w:rsidRPr="0097239C">
        <w:rPr>
          <w:rtl/>
        </w:rPr>
        <w:t xml:space="preserve">כוכב אחד </w:t>
      </w:r>
      <w:r w:rsidRPr="0097239C">
        <w:rPr>
          <w:rFonts w:ascii="Wingdings 2" w:hAnsi="Wingdings 2"/>
          <w:b/>
          <w:bCs/>
        </w:rPr>
        <w:sym w:font="Wingdings 2" w:char="F0EA"/>
      </w:r>
      <w:r w:rsidRPr="0097239C">
        <w:rPr>
          <w:b/>
          <w:bCs/>
          <w:rtl/>
        </w:rPr>
        <w:t xml:space="preserve"> </w:t>
      </w:r>
      <w:r w:rsidRPr="0097239C">
        <w:rPr>
          <w:rFonts w:hint="cs"/>
          <w:rtl/>
        </w:rPr>
        <w:t xml:space="preserve">- </w:t>
      </w:r>
      <w:r w:rsidRPr="0097239C">
        <w:rPr>
          <w:rtl/>
        </w:rPr>
        <w:t>הרמה הנמוכה ביותר (55 נק</w:t>
      </w:r>
      <w:r w:rsidRPr="0097239C">
        <w:rPr>
          <w:rFonts w:hint="cs"/>
          <w:rtl/>
        </w:rPr>
        <w:t>ודות לפחות</w:t>
      </w:r>
      <w:r w:rsidRPr="0097239C">
        <w:rPr>
          <w:rtl/>
        </w:rPr>
        <w:t>)</w:t>
      </w:r>
      <w:r w:rsidRPr="0097239C">
        <w:rPr>
          <w:rFonts w:hint="cs"/>
          <w:rtl/>
        </w:rPr>
        <w:t>; חמישה</w:t>
      </w:r>
      <w:r w:rsidRPr="0097239C">
        <w:rPr>
          <w:rtl/>
        </w:rPr>
        <w:t xml:space="preserve"> כוכבים </w:t>
      </w:r>
      <w:r w:rsidRPr="0097239C">
        <w:rPr>
          <w:rFonts w:ascii="Wingdings 2" w:hAnsi="Wingdings 2"/>
          <w:b/>
          <w:bCs/>
        </w:rPr>
        <w:sym w:font="Wingdings 2" w:char="F0EA"/>
      </w:r>
      <w:r w:rsidRPr="0097239C">
        <w:rPr>
          <w:b/>
          <w:bCs/>
          <w:rtl/>
        </w:rPr>
        <w:t xml:space="preserve"> </w:t>
      </w:r>
      <w:r w:rsidRPr="0097239C">
        <w:rPr>
          <w:rFonts w:ascii="Wingdings 2" w:hAnsi="Wingdings 2"/>
          <w:b/>
          <w:bCs/>
        </w:rPr>
        <w:sym w:font="Wingdings 2" w:char="F0EA"/>
      </w:r>
      <w:r w:rsidRPr="0097239C">
        <w:rPr>
          <w:b/>
          <w:bCs/>
          <w:rtl/>
        </w:rPr>
        <w:t xml:space="preserve"> </w:t>
      </w:r>
      <w:r w:rsidRPr="0097239C">
        <w:rPr>
          <w:rFonts w:ascii="Wingdings 2" w:hAnsi="Wingdings 2"/>
          <w:b/>
          <w:bCs/>
        </w:rPr>
        <w:sym w:font="Wingdings 2" w:char="F0EA"/>
      </w:r>
      <w:r w:rsidRPr="0097239C">
        <w:rPr>
          <w:b/>
          <w:bCs/>
          <w:rtl/>
        </w:rPr>
        <w:t xml:space="preserve"> </w:t>
      </w:r>
      <w:r w:rsidRPr="0097239C">
        <w:rPr>
          <w:rFonts w:ascii="Wingdings 2" w:hAnsi="Wingdings 2"/>
          <w:b/>
          <w:bCs/>
        </w:rPr>
        <w:sym w:font="Wingdings 2" w:char="F0EA"/>
      </w:r>
      <w:r w:rsidRPr="0097239C">
        <w:rPr>
          <w:rFonts w:ascii="Wingdings 2" w:hAnsi="Wingdings 2"/>
          <w:b/>
          <w:bCs/>
        </w:rPr>
        <w:sym w:font="Wingdings 2" w:char="F0EA"/>
      </w:r>
      <w:r w:rsidRPr="0097239C">
        <w:rPr>
          <w:b/>
          <w:bCs/>
          <w:rtl/>
        </w:rPr>
        <w:t xml:space="preserve"> </w:t>
      </w:r>
      <w:r w:rsidRPr="0097239C">
        <w:rPr>
          <w:rFonts w:hint="cs"/>
          <w:rtl/>
        </w:rPr>
        <w:t xml:space="preserve">- </w:t>
      </w:r>
      <w:r w:rsidRPr="0097239C">
        <w:rPr>
          <w:rtl/>
        </w:rPr>
        <w:t>הרמה הגבוהה ביותר (90 נק</w:t>
      </w:r>
      <w:r w:rsidRPr="0097239C">
        <w:rPr>
          <w:rFonts w:hint="cs"/>
          <w:rtl/>
        </w:rPr>
        <w:t>ודות לפחות</w:t>
      </w:r>
      <w:r w:rsidRPr="0097239C">
        <w:rPr>
          <w:rtl/>
        </w:rPr>
        <w:t>)</w:t>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תקן בנייה ירוקה משמש מעטפת להוראות, להנחיות ולתקנים נוספים העוסקים במגוון נושאים הקשורים בבנייה ירוקה, והוא כולל הפניה לתקנים נוספים ולמסמכי הנחיות של משרדי ממשלה. התקן כולל פרק בנושא </w:t>
      </w:r>
      <w:r w:rsidRPr="0097239C">
        <w:rPr>
          <w:rFonts w:hint="cs"/>
          <w:rtl/>
        </w:rPr>
        <w:t>אנרגייה</w:t>
      </w:r>
      <w:r w:rsidRPr="0097239C">
        <w:rPr>
          <w:rFonts w:hint="cs"/>
          <w:rtl/>
        </w:rPr>
        <w:t>, העוסק בהיבטים של ביצועים אנרגטיי</w:t>
      </w:r>
      <w:r w:rsidRPr="0097239C">
        <w:rPr>
          <w:rFonts w:hint="eastAsia"/>
          <w:rtl/>
        </w:rPr>
        <w:t>ם</w:t>
      </w:r>
      <w:r w:rsidRPr="0097239C">
        <w:rPr>
          <w:rFonts w:hint="cs"/>
          <w:rtl/>
        </w:rPr>
        <w:t xml:space="preserve"> של בניין, לרבות תכנון ביו-אקלימי, חימום וקירור פסיביים, דירוג אנרגטי של הבניין (ראו בהמשך) ותאורה טבעית; וכן עוסק במערכות המותקנות בבניין, לרבות תאורה, אנרגיות מתחדשות, חימום מים, מיזוג אוויר, מעליות ובקרת צריכה. פרק </w:t>
      </w:r>
      <w:r w:rsidRPr="0097239C">
        <w:rPr>
          <w:rFonts w:hint="cs"/>
          <w:rtl/>
        </w:rPr>
        <w:t>האנרגייה</w:t>
      </w:r>
      <w:r w:rsidRPr="0097239C">
        <w:rPr>
          <w:rFonts w:hint="cs"/>
          <w:rtl/>
        </w:rPr>
        <w:t xml:space="preserve"> הוא בעל המשקל הרב ביותר בקרב כלל פרקי התקן, והניקוד בו מסתכם בכ-37% מכלל הניקוד בתקן.</w:t>
      </w:r>
    </w:p>
    <w:p w:rsidR="0097239C" w:rsidRPr="0097239C" w:rsidP="00C603CF">
      <w:pPr>
        <w:pStyle w:val="a"/>
        <w:spacing w:line="269" w:lineRule="auto"/>
      </w:pPr>
    </w:p>
    <w:p w:rsidR="0097239C" w:rsidP="00C603CF">
      <w:pPr>
        <w:spacing w:line="269" w:lineRule="auto"/>
        <w:rPr>
          <w:b/>
          <w:bCs/>
          <w:rtl/>
        </w:rPr>
      </w:pPr>
      <w:r w:rsidRPr="0097239C">
        <w:rPr>
          <w:rFonts w:hint="cs"/>
          <w:rtl/>
        </w:rPr>
        <w:t xml:space="preserve">תקן בנייה ירוקה כולל גם הפניה לתקן 5282 - דירוג בניינים לפי צריכת </w:t>
      </w:r>
      <w:r w:rsidRPr="0097239C">
        <w:rPr>
          <w:rFonts w:hint="cs"/>
          <w:rtl/>
        </w:rPr>
        <w:t>אנרגייה</w:t>
      </w:r>
      <w:r w:rsidRPr="0097239C">
        <w:rPr>
          <w:rFonts w:hint="cs"/>
          <w:rtl/>
        </w:rPr>
        <w:t xml:space="preserve">. מטרת התקן היא קביעת שיטות לדירוג בניינים לפי צריכת </w:t>
      </w:r>
      <w:r w:rsidRPr="0097239C">
        <w:rPr>
          <w:rFonts w:hint="cs"/>
          <w:rtl/>
        </w:rPr>
        <w:t>האנרגייה</w:t>
      </w:r>
      <w:r w:rsidRPr="0097239C">
        <w:rPr>
          <w:rFonts w:hint="cs"/>
          <w:rtl/>
        </w:rPr>
        <w:t xml:space="preserve"> הנדרשת לאקלום יחידות דיור או לאקלום </w:t>
      </w:r>
      <w:r w:rsidRPr="0097239C">
        <w:rPr>
          <w:rFonts w:hint="cs"/>
          <w:rtl/>
        </w:rPr>
        <w:t xml:space="preserve">והארה של משרדים. התקן הוא וולונטרי ואינו מחויב בחוק. עם זאת, כדי שבניין חדש ידורג כבניין ירוק לפי התקן לבנייה ירוקה, עליו לעמוד בדירוג אנרגטי לפי תקן 5282 ברמה </w:t>
      </w:r>
      <w:r w:rsidRPr="0097239C">
        <w:rPr>
          <w:rFonts w:hint="cs"/>
        </w:rPr>
        <w:t>C</w:t>
      </w:r>
      <w:r w:rsidRPr="0097239C">
        <w:rPr>
          <w:rFonts w:hint="cs"/>
          <w:rtl/>
        </w:rPr>
        <w:t xml:space="preserve"> לפחות</w:t>
      </w:r>
      <w:r>
        <w:rPr>
          <w:vertAlign w:val="superscript"/>
          <w:rtl/>
        </w:rPr>
        <w:footnoteReference w:id="128"/>
      </w:r>
      <w:r w:rsidRPr="0097239C">
        <w:rPr>
          <w:rFonts w:hint="cs"/>
          <w:rtl/>
        </w:rPr>
        <w:t xml:space="preserve">. עמידה בתקן בדרגה זו עשויה להביא לשיפור של 20% ביעילות האנרגטית. עמידה בדרגה הגבוהה ביותר של התקן עשויה להביא לשיפור של 29% - 40% ביעילות האנרגטית, והדבר תלוי באקלים השורר באזור שבו שוכן הבניין. ממסמכי המשרד </w:t>
      </w:r>
      <w:r w:rsidRPr="0097239C">
        <w:rPr>
          <w:rFonts w:hint="cs"/>
          <w:rtl/>
        </w:rPr>
        <w:t>להג"ס</w:t>
      </w:r>
      <w:r w:rsidRPr="0097239C">
        <w:rPr>
          <w:rFonts w:hint="cs"/>
          <w:rtl/>
        </w:rPr>
        <w:t xml:space="preserve"> עולה כי היקף החיסכון הפוטנציאלי המצטבר</w:t>
      </w:r>
      <w:r w:rsidRPr="0097239C">
        <w:t xml:space="preserve"> </w:t>
      </w:r>
      <w:r w:rsidRPr="0097239C">
        <w:rPr>
          <w:rFonts w:hint="cs"/>
          <w:rtl/>
        </w:rPr>
        <w:t>למשק מהקמת מבנים לפי התקן לבנייה ירוקה הוא כ-1.4 מיליארד שקלים</w:t>
      </w:r>
      <w:r w:rsidRPr="0097239C">
        <w:t xml:space="preserve"> </w:t>
      </w:r>
      <w:r w:rsidRPr="0097239C">
        <w:rPr>
          <w:rFonts w:hint="cs"/>
          <w:rtl/>
        </w:rPr>
        <w:t>עד</w:t>
      </w:r>
      <w:r w:rsidRPr="0097239C">
        <w:t xml:space="preserve"> </w:t>
      </w:r>
      <w:r w:rsidRPr="0097239C">
        <w:rPr>
          <w:rFonts w:hint="cs"/>
          <w:rtl/>
        </w:rPr>
        <w:t>שנת</w:t>
      </w:r>
      <w:r w:rsidRPr="0097239C">
        <w:t xml:space="preserve"> </w:t>
      </w:r>
      <w:r w:rsidRPr="0097239C">
        <w:rPr>
          <w:rFonts w:hint="cs"/>
          <w:rtl/>
        </w:rPr>
        <w:t>2030.</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להלן תרשים המתאר את היקף הבנייה הירוקה בישראל לעומת מדינות אחרות:</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26</w:t>
      </w:r>
      <w:r w:rsidRPr="0097239C">
        <w:rPr>
          <w:b/>
          <w:bCs/>
          <w:rtl/>
        </w:rPr>
        <w:t xml:space="preserve">: </w:t>
      </w:r>
      <w:r w:rsidRPr="0097239C">
        <w:rPr>
          <w:rFonts w:hint="eastAsia"/>
          <w:b/>
          <w:bCs/>
          <w:rtl/>
        </w:rPr>
        <w:t>שיעור</w:t>
      </w:r>
      <w:r w:rsidRPr="0097239C">
        <w:rPr>
          <w:b/>
          <w:bCs/>
          <w:rtl/>
        </w:rPr>
        <w:t xml:space="preserve"> </w:t>
      </w:r>
      <w:r w:rsidRPr="0097239C">
        <w:rPr>
          <w:rFonts w:hint="eastAsia"/>
          <w:b/>
          <w:bCs/>
          <w:rtl/>
        </w:rPr>
        <w:t>הבנייה</w:t>
      </w:r>
      <w:r w:rsidRPr="0097239C">
        <w:rPr>
          <w:b/>
          <w:bCs/>
          <w:rtl/>
        </w:rPr>
        <w:t xml:space="preserve"> </w:t>
      </w:r>
      <w:r w:rsidRPr="0097239C">
        <w:rPr>
          <w:rFonts w:hint="eastAsia"/>
          <w:b/>
          <w:bCs/>
          <w:rtl/>
        </w:rPr>
        <w:t>הירוקה</w:t>
      </w:r>
      <w:r w:rsidRPr="0097239C">
        <w:rPr>
          <w:b/>
          <w:bCs/>
          <w:rtl/>
        </w:rPr>
        <w:t xml:space="preserve"> </w:t>
      </w:r>
      <w:r w:rsidRPr="0097239C">
        <w:rPr>
          <w:rFonts w:hint="eastAsia"/>
          <w:b/>
          <w:bCs/>
          <w:rtl/>
        </w:rPr>
        <w:t>בישראל</w:t>
      </w:r>
      <w:r w:rsidRPr="0097239C">
        <w:rPr>
          <w:b/>
          <w:bCs/>
          <w:rtl/>
        </w:rPr>
        <w:t xml:space="preserve"> </w:t>
      </w:r>
      <w:r w:rsidRPr="0097239C">
        <w:rPr>
          <w:rFonts w:hint="eastAsia"/>
          <w:b/>
          <w:bCs/>
          <w:rtl/>
        </w:rPr>
        <w:t>ובמדינות</w:t>
      </w:r>
      <w:r w:rsidRPr="0097239C">
        <w:rPr>
          <w:b/>
          <w:bCs/>
          <w:rtl/>
        </w:rPr>
        <w:t xml:space="preserve"> </w:t>
      </w:r>
      <w:r w:rsidRPr="0097239C">
        <w:rPr>
          <w:rFonts w:hint="eastAsia"/>
          <w:b/>
          <w:bCs/>
          <w:rtl/>
        </w:rPr>
        <w:t>נבחרות</w:t>
      </w:r>
    </w:p>
    <w:p w:rsidR="0097239C" w:rsidRPr="0097239C" w:rsidP="00003CF4">
      <w:pPr>
        <w:spacing w:before="240" w:after="240" w:line="269" w:lineRule="auto"/>
        <w:jc w:val="center"/>
        <w:rPr>
          <w:rtl/>
        </w:rPr>
      </w:pPr>
      <w:r>
        <w:rPr>
          <w:noProof/>
          <w:rtl/>
        </w:rPr>
        <w:drawing>
          <wp:inline distT="0" distB="0" distL="0" distR="0">
            <wp:extent cx="4316400" cy="2462400"/>
            <wp:effectExtent l="0" t="0" r="825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9187" name="gra-26.jpg"/>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16400" cy="2462400"/>
                    </a:xfrm>
                    <a:prstGeom prst="rect">
                      <a:avLst/>
                    </a:prstGeom>
                  </pic:spPr>
                </pic:pic>
              </a:graphicData>
            </a:graphic>
          </wp:inline>
        </w:drawing>
      </w:r>
    </w:p>
    <w:p w:rsidR="0097239C" w:rsidRPr="007230D4" w:rsidP="00C603CF">
      <w:pPr>
        <w:spacing w:line="269" w:lineRule="auto"/>
        <w:rPr>
          <w:sz w:val="22"/>
          <w:szCs w:val="22"/>
          <w:rtl/>
        </w:rPr>
      </w:pPr>
      <w:r w:rsidRPr="007230D4">
        <w:rPr>
          <w:rFonts w:hint="cs"/>
          <w:sz w:val="22"/>
          <w:szCs w:val="22"/>
          <w:rtl/>
        </w:rPr>
        <w:t xml:space="preserve">המקור: מסמכי </w:t>
      </w:r>
      <w:r w:rsidRPr="007230D4">
        <w:rPr>
          <w:rFonts w:hint="cs"/>
          <w:sz w:val="22"/>
          <w:szCs w:val="22"/>
          <w:rtl/>
        </w:rPr>
        <w:t>מינהל</w:t>
      </w:r>
      <w:r w:rsidRPr="007230D4">
        <w:rPr>
          <w:rFonts w:hint="cs"/>
          <w:sz w:val="22"/>
          <w:szCs w:val="22"/>
          <w:rtl/>
        </w:rPr>
        <w:t xml:space="preserve"> התכנון, אוגוסט 2018.</w:t>
      </w:r>
    </w:p>
    <w:p w:rsidR="0097239C" w:rsidRPr="0097239C" w:rsidP="00C603CF">
      <w:pPr>
        <w:pStyle w:val="a"/>
        <w:spacing w:line="269" w:lineRule="auto"/>
        <w:rPr>
          <w:rtl/>
        </w:rPr>
      </w:pPr>
    </w:p>
    <w:p w:rsidR="0097239C" w:rsidP="00D30660">
      <w:pPr>
        <w:spacing w:line="269" w:lineRule="auto"/>
        <w:rPr>
          <w:rtl/>
        </w:rPr>
      </w:pPr>
      <w:r w:rsidRPr="0097239C">
        <w:rPr>
          <w:rFonts w:hint="cs"/>
          <w:rtl/>
        </w:rPr>
        <w:t>מהתרשים עולה כי שיעור הבניה הירוקה בישראל נמוך בהשוואה למדינות אחרות, ומגיע ל-</w:t>
      </w:r>
      <w:r w:rsidR="00D30660">
        <w:rPr>
          <w:rFonts w:hint="cs"/>
          <w:rtl/>
        </w:rPr>
        <w:t>8</w:t>
      </w:r>
      <w:r w:rsidRPr="0097239C">
        <w:rPr>
          <w:rFonts w:hint="cs"/>
          <w:rtl/>
        </w:rPr>
        <w:t xml:space="preserve">% בלבד. ממסמכי המשרד </w:t>
      </w:r>
      <w:r w:rsidRPr="0097239C">
        <w:rPr>
          <w:rFonts w:hint="cs"/>
          <w:rtl/>
        </w:rPr>
        <w:t>להג"ס</w:t>
      </w:r>
      <w:r w:rsidRPr="0097239C">
        <w:rPr>
          <w:rFonts w:hint="cs"/>
          <w:rtl/>
        </w:rPr>
        <w:t xml:space="preserve"> עולה כי בין השנים 2011 - 2018 הוסמכו כ-10,470 יחידות דיור לפי תו תקן של בניה ירוקה. להלן מספר הדירות שקיבלו הסמכה לפי תו התקן הירוק מסך הדירות בכל שנה:</w:t>
      </w:r>
    </w:p>
    <w:p w:rsidR="00EC48E7">
      <w:pPr>
        <w:bidi w:val="0"/>
        <w:spacing w:after="200" w:line="276" w:lineRule="auto"/>
        <w:rPr>
          <w:szCs w:val="20"/>
          <w:rtl/>
        </w:rPr>
      </w:pPr>
      <w:r>
        <w:rPr>
          <w:rtl/>
        </w:rPr>
        <w:br w:type="page"/>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cs"/>
          <w:b/>
          <w:bCs/>
          <w:rtl/>
        </w:rPr>
        <w:t>תרשים 27: סך הדירות שקיבלו תו תקן ירוק, 2011 - 2018</w:t>
      </w:r>
    </w:p>
    <w:p w:rsidR="0097239C" w:rsidRPr="0097239C" w:rsidP="00003CF4">
      <w:pPr>
        <w:spacing w:before="240" w:after="240" w:line="269" w:lineRule="auto"/>
        <w:jc w:val="center"/>
        <w:rPr>
          <w:rtl/>
        </w:rPr>
      </w:pPr>
      <w:r>
        <w:rPr>
          <w:noProof/>
          <w:rtl/>
        </w:rPr>
        <w:drawing>
          <wp:inline distT="0" distB="0" distL="0" distR="0">
            <wp:extent cx="4322073" cy="2310389"/>
            <wp:effectExtent l="0" t="0" r="254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3695" name="energy-g-27.png"/>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2073" cy="2310389"/>
                    </a:xfrm>
                    <a:prstGeom prst="rect">
                      <a:avLst/>
                    </a:prstGeom>
                  </pic:spPr>
                </pic:pic>
              </a:graphicData>
            </a:graphic>
          </wp:inline>
        </w:drawing>
      </w:r>
    </w:p>
    <w:p w:rsidR="0097239C" w:rsidRPr="007230D4" w:rsidP="00C603CF">
      <w:pPr>
        <w:spacing w:line="269" w:lineRule="auto"/>
        <w:rPr>
          <w:sz w:val="22"/>
          <w:szCs w:val="22"/>
          <w:rtl/>
        </w:rPr>
      </w:pPr>
      <w:r w:rsidRPr="007230D4">
        <w:rPr>
          <w:rFonts w:hint="cs"/>
          <w:sz w:val="22"/>
          <w:szCs w:val="22"/>
          <w:rtl/>
        </w:rPr>
        <w:t xml:space="preserve">המקור: מסמכי המשרד </w:t>
      </w:r>
      <w:r w:rsidRPr="007230D4">
        <w:rPr>
          <w:rFonts w:hint="cs"/>
          <w:sz w:val="22"/>
          <w:szCs w:val="22"/>
          <w:rtl/>
        </w:rPr>
        <w:t>להג"ס</w:t>
      </w:r>
      <w:r w:rsidRPr="007230D4">
        <w:rPr>
          <w:rFonts w:hint="cs"/>
          <w:sz w:val="22"/>
          <w:szCs w:val="22"/>
          <w:rtl/>
        </w:rPr>
        <w:t>, 2019.</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מהתרשים עולה כי שיעור הדירות שקיבלו תו תקן ירוק בשנים 2011 - 2018 היה נמוך מאוד והגיע לשיעורים בודדים מסך הדירות שבנייתם הסתיימה בכל שנה. התוכנית האסטרטגית לדיור שאישרה הממשלה בספטמבר 2017</w:t>
      </w:r>
      <w:r>
        <w:rPr>
          <w:vertAlign w:val="superscript"/>
          <w:rtl/>
        </w:rPr>
        <w:footnoteReference w:id="129"/>
      </w:r>
      <w:r w:rsidRPr="0097239C">
        <w:rPr>
          <w:rFonts w:hint="cs"/>
          <w:rtl/>
        </w:rPr>
        <w:t xml:space="preserve"> קובעת, כי עד שנת 2040 יש לייצר מלאי תכנוני של 2.6 מיליון יחידות דיור, ולבנות לכל הפחות 1.5 מיליון יחידות דיור</w:t>
      </w:r>
      <w:r>
        <w:rPr>
          <w:vertAlign w:val="superscript"/>
          <w:rtl/>
        </w:rPr>
        <w:footnoteReference w:id="130"/>
      </w:r>
      <w:r w:rsidRPr="0097239C">
        <w:rPr>
          <w:rFonts w:hint="cs"/>
          <w:rtl/>
        </w:rPr>
        <w:t>. להלן יוצגו יעדי התכנון של יחידות דיור שאושרו בהחלטת הממשלה:</w:t>
      </w:r>
    </w:p>
    <w:p w:rsidR="0097239C" w:rsidRPr="0097239C" w:rsidP="00C603CF">
      <w:pPr>
        <w:pStyle w:val="a"/>
        <w:spacing w:line="269" w:lineRule="auto"/>
        <w:rPr>
          <w:rtl/>
        </w:rPr>
      </w:pPr>
    </w:p>
    <w:p w:rsidR="0097239C" w:rsidRPr="0097239C" w:rsidP="003A6DD0">
      <w:pPr>
        <w:spacing w:after="240" w:line="269" w:lineRule="auto"/>
        <w:jc w:val="center"/>
        <w:rPr>
          <w:b/>
          <w:bCs/>
          <w:rtl/>
        </w:rPr>
      </w:pPr>
      <w:r w:rsidRPr="0097239C">
        <w:rPr>
          <w:rFonts w:hint="eastAsia"/>
          <w:b/>
          <w:bCs/>
          <w:rtl/>
        </w:rPr>
        <w:t>לוח</w:t>
      </w:r>
      <w:r w:rsidRPr="0097239C">
        <w:rPr>
          <w:b/>
          <w:bCs/>
          <w:rtl/>
        </w:rPr>
        <w:t xml:space="preserve"> 1</w:t>
      </w:r>
      <w:r w:rsidRPr="0097239C">
        <w:rPr>
          <w:rFonts w:hint="cs"/>
          <w:b/>
          <w:bCs/>
          <w:rtl/>
        </w:rPr>
        <w:t>6</w:t>
      </w:r>
      <w:r w:rsidRPr="0097239C">
        <w:rPr>
          <w:b/>
          <w:bCs/>
          <w:rtl/>
        </w:rPr>
        <w:t xml:space="preserve">: </w:t>
      </w:r>
      <w:r w:rsidRPr="0097239C">
        <w:rPr>
          <w:rFonts w:hint="eastAsia"/>
          <w:b/>
          <w:bCs/>
          <w:rtl/>
        </w:rPr>
        <w:t>יעדי</w:t>
      </w:r>
      <w:r w:rsidRPr="0097239C">
        <w:rPr>
          <w:b/>
          <w:bCs/>
          <w:rtl/>
        </w:rPr>
        <w:t xml:space="preserve"> </w:t>
      </w:r>
      <w:r w:rsidRPr="0097239C">
        <w:rPr>
          <w:rFonts w:hint="eastAsia"/>
          <w:b/>
          <w:bCs/>
          <w:rtl/>
        </w:rPr>
        <w:t>התכנון</w:t>
      </w:r>
      <w:r w:rsidRPr="0097239C">
        <w:rPr>
          <w:b/>
          <w:bCs/>
          <w:rtl/>
        </w:rPr>
        <w:t xml:space="preserve"> </w:t>
      </w:r>
      <w:r w:rsidRPr="0097239C">
        <w:rPr>
          <w:rFonts w:hint="eastAsia"/>
          <w:b/>
          <w:bCs/>
          <w:rtl/>
        </w:rPr>
        <w:t>של</w:t>
      </w:r>
      <w:r w:rsidRPr="0097239C">
        <w:rPr>
          <w:b/>
          <w:bCs/>
          <w:rtl/>
        </w:rPr>
        <w:t xml:space="preserve"> </w:t>
      </w:r>
      <w:r w:rsidRPr="0097239C">
        <w:rPr>
          <w:rFonts w:hint="eastAsia"/>
          <w:b/>
          <w:bCs/>
          <w:rtl/>
        </w:rPr>
        <w:t>יחידות</w:t>
      </w:r>
      <w:r w:rsidRPr="0097239C">
        <w:rPr>
          <w:b/>
          <w:bCs/>
          <w:rtl/>
        </w:rPr>
        <w:t xml:space="preserve"> </w:t>
      </w:r>
      <w:r w:rsidRPr="0097239C">
        <w:rPr>
          <w:rFonts w:hint="eastAsia"/>
          <w:b/>
          <w:bCs/>
          <w:rtl/>
        </w:rPr>
        <w:t>דיור</w:t>
      </w:r>
      <w:r w:rsidRPr="0097239C">
        <w:rPr>
          <w:b/>
          <w:bCs/>
          <w:rtl/>
        </w:rPr>
        <w:t xml:space="preserve"> </w:t>
      </w:r>
      <w:r w:rsidRPr="0097239C">
        <w:rPr>
          <w:rFonts w:hint="eastAsia"/>
          <w:b/>
          <w:bCs/>
          <w:rtl/>
        </w:rPr>
        <w:t>למגורים</w:t>
      </w:r>
      <w:r w:rsidRPr="0097239C">
        <w:rPr>
          <w:rFonts w:hint="cs"/>
          <w:b/>
          <w:bCs/>
          <w:rtl/>
        </w:rPr>
        <w:t xml:space="preserve">, </w:t>
      </w:r>
      <w:r w:rsidRPr="0097239C">
        <w:rPr>
          <w:b/>
          <w:bCs/>
          <w:rtl/>
        </w:rPr>
        <w:t>2017 - 2040</w:t>
      </w:r>
    </w:p>
    <w:tbl>
      <w:tblPr>
        <w:tblStyle w:val="11"/>
        <w:bidiVisual/>
        <w:tblW w:w="4873" w:type="pct"/>
        <w:tblInd w:w="107" w:type="dxa"/>
        <w:tblLook w:val="04A0"/>
      </w:tblPr>
      <w:tblGrid>
        <w:gridCol w:w="1242"/>
        <w:gridCol w:w="1104"/>
        <w:gridCol w:w="1103"/>
        <w:gridCol w:w="1242"/>
        <w:gridCol w:w="1104"/>
        <w:gridCol w:w="1104"/>
        <w:gridCol w:w="1103"/>
      </w:tblGrid>
      <w:tr w:rsidTr="00C0386E">
        <w:tblPrEx>
          <w:tblW w:w="4873" w:type="pct"/>
          <w:tblInd w:w="107" w:type="dxa"/>
          <w:tblLook w:val="04A0"/>
        </w:tblPrEx>
        <w:tc>
          <w:tcPr>
            <w:tcW w:w="776" w:type="pct"/>
            <w:vAlign w:val="bottom"/>
          </w:tcPr>
          <w:p w:rsidR="0097239C" w:rsidRPr="00C0386E" w:rsidP="00C0386E">
            <w:pPr>
              <w:spacing w:before="30" w:after="30" w:line="240" w:lineRule="exact"/>
              <w:rPr>
                <w:b/>
                <w:bCs/>
                <w:sz w:val="22"/>
                <w:szCs w:val="22"/>
                <w:rtl/>
              </w:rPr>
            </w:pPr>
          </w:p>
        </w:tc>
        <w:tc>
          <w:tcPr>
            <w:tcW w:w="690" w:type="pct"/>
            <w:vAlign w:val="bottom"/>
          </w:tcPr>
          <w:p w:rsidR="0097239C" w:rsidRPr="00C0386E" w:rsidP="00C0386E">
            <w:pPr>
              <w:spacing w:before="30" w:after="30" w:line="240" w:lineRule="exact"/>
              <w:jc w:val="left"/>
              <w:rPr>
                <w:b/>
                <w:bCs/>
                <w:szCs w:val="20"/>
                <w:rtl/>
              </w:rPr>
            </w:pPr>
            <w:r w:rsidRPr="00C0386E">
              <w:rPr>
                <w:rFonts w:hint="cs"/>
                <w:b/>
                <w:bCs/>
                <w:szCs w:val="20"/>
                <w:rtl/>
              </w:rPr>
              <w:t>2017 - 2020</w:t>
            </w:r>
          </w:p>
        </w:tc>
        <w:tc>
          <w:tcPr>
            <w:tcW w:w="689" w:type="pct"/>
            <w:vAlign w:val="bottom"/>
          </w:tcPr>
          <w:p w:rsidR="0097239C" w:rsidRPr="00C0386E" w:rsidP="00C0386E">
            <w:pPr>
              <w:spacing w:before="30" w:after="30" w:line="240" w:lineRule="exact"/>
              <w:jc w:val="left"/>
              <w:rPr>
                <w:b/>
                <w:bCs/>
                <w:szCs w:val="20"/>
                <w:rtl/>
              </w:rPr>
            </w:pPr>
            <w:r w:rsidRPr="00C0386E">
              <w:rPr>
                <w:rFonts w:hint="cs"/>
                <w:b/>
                <w:bCs/>
                <w:szCs w:val="20"/>
                <w:rtl/>
              </w:rPr>
              <w:t>2021 - 2025</w:t>
            </w:r>
          </w:p>
        </w:tc>
        <w:tc>
          <w:tcPr>
            <w:tcW w:w="776" w:type="pct"/>
            <w:vAlign w:val="bottom"/>
          </w:tcPr>
          <w:p w:rsidR="0097239C" w:rsidRPr="00C0386E" w:rsidP="00C0386E">
            <w:pPr>
              <w:spacing w:before="30" w:after="30" w:line="240" w:lineRule="exact"/>
              <w:jc w:val="left"/>
              <w:rPr>
                <w:b/>
                <w:bCs/>
                <w:szCs w:val="20"/>
                <w:rtl/>
              </w:rPr>
            </w:pPr>
            <w:r w:rsidRPr="00C0386E">
              <w:rPr>
                <w:rFonts w:hint="cs"/>
                <w:b/>
                <w:bCs/>
                <w:szCs w:val="20"/>
                <w:rtl/>
              </w:rPr>
              <w:t xml:space="preserve">2026 - 2030 </w:t>
            </w:r>
          </w:p>
        </w:tc>
        <w:tc>
          <w:tcPr>
            <w:tcW w:w="690" w:type="pct"/>
            <w:vAlign w:val="bottom"/>
          </w:tcPr>
          <w:p w:rsidR="0097239C" w:rsidRPr="00C0386E" w:rsidP="00C0386E">
            <w:pPr>
              <w:spacing w:before="30" w:after="30" w:line="240" w:lineRule="exact"/>
              <w:jc w:val="left"/>
              <w:rPr>
                <w:b/>
                <w:bCs/>
                <w:szCs w:val="20"/>
                <w:rtl/>
              </w:rPr>
            </w:pPr>
            <w:r w:rsidRPr="00C0386E">
              <w:rPr>
                <w:rFonts w:hint="cs"/>
                <w:b/>
                <w:bCs/>
                <w:szCs w:val="20"/>
                <w:rtl/>
              </w:rPr>
              <w:t>2031 - 2035</w:t>
            </w:r>
          </w:p>
        </w:tc>
        <w:tc>
          <w:tcPr>
            <w:tcW w:w="690" w:type="pct"/>
            <w:vAlign w:val="bottom"/>
          </w:tcPr>
          <w:p w:rsidR="0097239C" w:rsidRPr="00C0386E" w:rsidP="00C0386E">
            <w:pPr>
              <w:spacing w:before="30" w:after="30" w:line="240" w:lineRule="exact"/>
              <w:jc w:val="left"/>
              <w:rPr>
                <w:b/>
                <w:bCs/>
                <w:szCs w:val="20"/>
                <w:rtl/>
              </w:rPr>
            </w:pPr>
            <w:r w:rsidRPr="00C0386E">
              <w:rPr>
                <w:rFonts w:hint="cs"/>
                <w:b/>
                <w:bCs/>
                <w:szCs w:val="20"/>
                <w:rtl/>
              </w:rPr>
              <w:t>2036 - 2040</w:t>
            </w:r>
          </w:p>
        </w:tc>
        <w:tc>
          <w:tcPr>
            <w:tcW w:w="690" w:type="pct"/>
            <w:vAlign w:val="bottom"/>
          </w:tcPr>
          <w:p w:rsidR="0097239C" w:rsidRPr="00C0386E" w:rsidP="00C0386E">
            <w:pPr>
              <w:spacing w:before="30" w:after="30" w:line="240" w:lineRule="exact"/>
              <w:jc w:val="left"/>
              <w:rPr>
                <w:b/>
                <w:bCs/>
                <w:szCs w:val="20"/>
                <w:rtl/>
              </w:rPr>
            </w:pPr>
            <w:r w:rsidRPr="00C0386E">
              <w:rPr>
                <w:rFonts w:hint="cs"/>
                <w:b/>
                <w:bCs/>
                <w:szCs w:val="20"/>
                <w:rtl/>
              </w:rPr>
              <w:t>סה"כ תוספת</w:t>
            </w:r>
          </w:p>
        </w:tc>
      </w:tr>
      <w:tr w:rsidTr="00C0386E">
        <w:tblPrEx>
          <w:tblW w:w="4873" w:type="pct"/>
          <w:tblInd w:w="107" w:type="dxa"/>
          <w:tblLook w:val="04A0"/>
        </w:tblPrEx>
        <w:tc>
          <w:tcPr>
            <w:tcW w:w="776" w:type="pct"/>
            <w:vAlign w:val="bottom"/>
          </w:tcPr>
          <w:p w:rsidR="0097239C" w:rsidRPr="00C0386E" w:rsidP="00C0386E">
            <w:pPr>
              <w:spacing w:before="30" w:after="30" w:line="240" w:lineRule="exact"/>
              <w:jc w:val="left"/>
              <w:rPr>
                <w:b/>
                <w:bCs/>
                <w:sz w:val="22"/>
                <w:szCs w:val="22"/>
                <w:rtl/>
              </w:rPr>
            </w:pPr>
            <w:r w:rsidRPr="00C0386E">
              <w:rPr>
                <w:rFonts w:hint="cs"/>
                <w:b/>
                <w:bCs/>
                <w:sz w:val="22"/>
                <w:szCs w:val="22"/>
                <w:rtl/>
              </w:rPr>
              <w:t>תחזית צורכי הדיור (אלפי יחידות דיור לשנה)</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52</w:t>
            </w:r>
          </w:p>
        </w:tc>
        <w:tc>
          <w:tcPr>
            <w:tcW w:w="689" w:type="pct"/>
            <w:vAlign w:val="center"/>
          </w:tcPr>
          <w:p w:rsidR="0097239C" w:rsidRPr="00C0386E" w:rsidP="00C0386E">
            <w:pPr>
              <w:spacing w:before="30" w:after="30" w:line="240" w:lineRule="exact"/>
              <w:jc w:val="center"/>
              <w:rPr>
                <w:sz w:val="22"/>
                <w:szCs w:val="22"/>
                <w:rtl/>
              </w:rPr>
            </w:pPr>
            <w:r w:rsidRPr="00C0386E">
              <w:rPr>
                <w:rFonts w:hint="cs"/>
                <w:sz w:val="22"/>
                <w:szCs w:val="22"/>
                <w:rtl/>
              </w:rPr>
              <w:t>55</w:t>
            </w:r>
          </w:p>
        </w:tc>
        <w:tc>
          <w:tcPr>
            <w:tcW w:w="776" w:type="pct"/>
            <w:vAlign w:val="center"/>
          </w:tcPr>
          <w:p w:rsidR="0097239C" w:rsidRPr="00C0386E" w:rsidP="00C0386E">
            <w:pPr>
              <w:spacing w:before="30" w:after="30" w:line="240" w:lineRule="exact"/>
              <w:jc w:val="center"/>
              <w:rPr>
                <w:sz w:val="22"/>
                <w:szCs w:val="22"/>
                <w:rtl/>
              </w:rPr>
            </w:pPr>
            <w:r w:rsidRPr="00C0386E">
              <w:rPr>
                <w:rFonts w:hint="cs"/>
                <w:sz w:val="22"/>
                <w:szCs w:val="22"/>
                <w:rtl/>
              </w:rPr>
              <w:t>61</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65</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67</w:t>
            </w:r>
          </w:p>
        </w:tc>
        <w:tc>
          <w:tcPr>
            <w:tcW w:w="690" w:type="pct"/>
            <w:vAlign w:val="center"/>
          </w:tcPr>
          <w:p w:rsidR="0097239C" w:rsidRPr="00C0386E" w:rsidP="00C0386E">
            <w:pPr>
              <w:spacing w:before="30" w:after="30" w:line="240" w:lineRule="exact"/>
              <w:jc w:val="left"/>
              <w:rPr>
                <w:sz w:val="22"/>
                <w:szCs w:val="22"/>
                <w:rtl/>
              </w:rPr>
            </w:pPr>
            <w:r w:rsidRPr="00C0386E">
              <w:rPr>
                <w:rFonts w:hint="cs"/>
                <w:sz w:val="22"/>
                <w:szCs w:val="22"/>
                <w:rtl/>
              </w:rPr>
              <w:t>1.5 מיליון יחידות דיור</w:t>
            </w:r>
          </w:p>
        </w:tc>
      </w:tr>
      <w:tr w:rsidTr="00C0386E">
        <w:tblPrEx>
          <w:tblW w:w="4873" w:type="pct"/>
          <w:tblInd w:w="107" w:type="dxa"/>
          <w:tblLook w:val="04A0"/>
        </w:tblPrEx>
        <w:tc>
          <w:tcPr>
            <w:tcW w:w="776" w:type="pct"/>
            <w:vAlign w:val="bottom"/>
          </w:tcPr>
          <w:p w:rsidR="0097239C" w:rsidRPr="00C0386E" w:rsidP="00C0386E">
            <w:pPr>
              <w:spacing w:before="30" w:after="30" w:line="240" w:lineRule="exact"/>
              <w:jc w:val="left"/>
              <w:rPr>
                <w:b/>
                <w:bCs/>
                <w:sz w:val="22"/>
                <w:szCs w:val="22"/>
                <w:rtl/>
              </w:rPr>
            </w:pPr>
            <w:r w:rsidRPr="00C0386E">
              <w:rPr>
                <w:rFonts w:hint="cs"/>
                <w:b/>
                <w:bCs/>
                <w:sz w:val="22"/>
                <w:szCs w:val="22"/>
                <w:rtl/>
              </w:rPr>
              <w:t>יעדי התכנון לשנה</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104</w:t>
            </w:r>
          </w:p>
        </w:tc>
        <w:tc>
          <w:tcPr>
            <w:tcW w:w="689" w:type="pct"/>
            <w:vAlign w:val="center"/>
          </w:tcPr>
          <w:p w:rsidR="0097239C" w:rsidRPr="00C0386E" w:rsidP="00C0386E">
            <w:pPr>
              <w:spacing w:before="30" w:after="30" w:line="240" w:lineRule="exact"/>
              <w:jc w:val="center"/>
              <w:rPr>
                <w:sz w:val="22"/>
                <w:szCs w:val="22"/>
                <w:rtl/>
              </w:rPr>
            </w:pPr>
            <w:r w:rsidRPr="00C0386E">
              <w:rPr>
                <w:rFonts w:hint="cs"/>
                <w:sz w:val="22"/>
                <w:szCs w:val="22"/>
                <w:rtl/>
              </w:rPr>
              <w:t>104</w:t>
            </w:r>
          </w:p>
        </w:tc>
        <w:tc>
          <w:tcPr>
            <w:tcW w:w="776" w:type="pct"/>
            <w:vAlign w:val="center"/>
          </w:tcPr>
          <w:p w:rsidR="0097239C" w:rsidRPr="00C0386E" w:rsidP="00C0386E">
            <w:pPr>
              <w:spacing w:before="30" w:after="30" w:line="240" w:lineRule="exact"/>
              <w:jc w:val="center"/>
              <w:rPr>
                <w:sz w:val="22"/>
                <w:szCs w:val="22"/>
                <w:rtl/>
              </w:rPr>
            </w:pPr>
            <w:r w:rsidRPr="00C0386E">
              <w:rPr>
                <w:rFonts w:hint="cs"/>
                <w:sz w:val="22"/>
                <w:szCs w:val="22"/>
                <w:rtl/>
              </w:rPr>
              <w:t>105</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112</w:t>
            </w:r>
          </w:p>
        </w:tc>
        <w:tc>
          <w:tcPr>
            <w:tcW w:w="690" w:type="pct"/>
            <w:vAlign w:val="center"/>
          </w:tcPr>
          <w:p w:rsidR="0097239C" w:rsidRPr="00C0386E" w:rsidP="00C0386E">
            <w:pPr>
              <w:spacing w:before="30" w:after="30" w:line="240" w:lineRule="exact"/>
              <w:jc w:val="center"/>
              <w:rPr>
                <w:sz w:val="22"/>
                <w:szCs w:val="22"/>
                <w:rtl/>
              </w:rPr>
            </w:pPr>
            <w:r w:rsidRPr="00C0386E">
              <w:rPr>
                <w:rFonts w:hint="cs"/>
                <w:sz w:val="22"/>
                <w:szCs w:val="22"/>
                <w:rtl/>
              </w:rPr>
              <w:t>118</w:t>
            </w:r>
          </w:p>
        </w:tc>
        <w:tc>
          <w:tcPr>
            <w:tcW w:w="690" w:type="pct"/>
            <w:vAlign w:val="center"/>
          </w:tcPr>
          <w:p w:rsidR="0097239C" w:rsidRPr="00C0386E" w:rsidP="00C0386E">
            <w:pPr>
              <w:spacing w:before="30" w:after="30" w:line="240" w:lineRule="exact"/>
              <w:jc w:val="left"/>
              <w:rPr>
                <w:sz w:val="22"/>
                <w:szCs w:val="22"/>
                <w:rtl/>
              </w:rPr>
            </w:pPr>
            <w:r w:rsidRPr="00C0386E">
              <w:rPr>
                <w:rFonts w:hint="cs"/>
                <w:sz w:val="22"/>
                <w:szCs w:val="22"/>
                <w:rtl/>
              </w:rPr>
              <w:t>2.6 מיליון יחידות דיור</w:t>
            </w:r>
          </w:p>
        </w:tc>
      </w:tr>
    </w:tbl>
    <w:p w:rsidR="0097239C" w:rsidRPr="007230D4" w:rsidP="003A6DD0">
      <w:pPr>
        <w:spacing w:before="240" w:line="269" w:lineRule="auto"/>
        <w:rPr>
          <w:sz w:val="22"/>
          <w:szCs w:val="22"/>
          <w:rtl/>
        </w:rPr>
      </w:pPr>
      <w:r w:rsidRPr="007230D4">
        <w:rPr>
          <w:rFonts w:hint="cs"/>
          <w:sz w:val="22"/>
          <w:szCs w:val="22"/>
          <w:rtl/>
        </w:rPr>
        <w:t>המקור: החלטת הממשלה מספטמבר 2017.</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הגידול הניכר בהיקף הבנייה למגורים בשנים הקרובות מספק הזדמנות גם להשגת יעדי ההתייעלות האנרגטית. זאת, בין היתר, על ידי בנייה חדשה בתקן ירוק, שמקטינה את צריכת </w:t>
      </w:r>
      <w:r w:rsidRPr="0097239C">
        <w:rPr>
          <w:rFonts w:hint="cs"/>
          <w:rtl/>
        </w:rPr>
        <w:t>האנרגייה</w:t>
      </w:r>
      <w:r w:rsidRPr="0097239C">
        <w:rPr>
          <w:rFonts w:hint="cs"/>
          <w:rtl/>
        </w:rPr>
        <w:t xml:space="preserve"> למגורים. </w:t>
      </w:r>
    </w:p>
    <w:p w:rsidR="0097239C" w:rsidRPr="0097239C" w:rsidP="00C603CF">
      <w:pPr>
        <w:pStyle w:val="a"/>
        <w:spacing w:line="269" w:lineRule="auto"/>
        <w:rPr>
          <w:rtl/>
        </w:rPr>
      </w:pPr>
    </w:p>
    <w:p w:rsidR="0097239C" w:rsidRPr="0097239C" w:rsidP="00C603CF">
      <w:pPr>
        <w:spacing w:line="269" w:lineRule="auto"/>
        <w:rPr>
          <w:rtl/>
        </w:rPr>
      </w:pPr>
      <w:r w:rsidRPr="0097239C">
        <w:rPr>
          <w:rtl/>
        </w:rPr>
        <w:t xml:space="preserve">במסגרת </w:t>
      </w:r>
      <w:r w:rsidRPr="0097239C">
        <w:rPr>
          <w:rFonts w:hint="cs"/>
          <w:rtl/>
        </w:rPr>
        <w:t>החלטת הממשלה 1403</w:t>
      </w:r>
      <w:r>
        <w:rPr>
          <w:vertAlign w:val="superscript"/>
          <w:rtl/>
        </w:rPr>
        <w:footnoteReference w:id="131"/>
      </w:r>
      <w:r w:rsidRPr="0097239C">
        <w:rPr>
          <w:rtl/>
        </w:rPr>
        <w:t xml:space="preserve"> הוקם צוות </w:t>
      </w:r>
      <w:r w:rsidRPr="0097239C">
        <w:rPr>
          <w:rFonts w:hint="cs"/>
          <w:rtl/>
        </w:rPr>
        <w:t>בין-משרד</w:t>
      </w:r>
      <w:r w:rsidRPr="0097239C">
        <w:rPr>
          <w:rFonts w:hint="eastAsia"/>
          <w:rtl/>
        </w:rPr>
        <w:t>י</w:t>
      </w:r>
      <w:r w:rsidRPr="0097239C">
        <w:rPr>
          <w:rtl/>
        </w:rPr>
        <w:t xml:space="preserve"> </w:t>
      </w:r>
      <w:r w:rsidRPr="0097239C">
        <w:rPr>
          <w:rFonts w:hint="cs"/>
          <w:rtl/>
        </w:rPr>
        <w:t>שמטרתו לבחון</w:t>
      </w:r>
      <w:r w:rsidRPr="0097239C">
        <w:rPr>
          <w:rtl/>
        </w:rPr>
        <w:t xml:space="preserve"> אמצעים להפחתת </w:t>
      </w:r>
      <w:r w:rsidRPr="0097239C">
        <w:rPr>
          <w:rtl/>
        </w:rPr>
        <w:t>גז"ח</w:t>
      </w:r>
      <w:r w:rsidRPr="0097239C">
        <w:rPr>
          <w:rtl/>
        </w:rPr>
        <w:t xml:space="preserve"> שמקורם </w:t>
      </w:r>
      <w:r w:rsidRPr="0097239C">
        <w:rPr>
          <w:rFonts w:hint="cs"/>
          <w:rtl/>
        </w:rPr>
        <w:t>במגזר</w:t>
      </w:r>
      <w:r w:rsidRPr="0097239C">
        <w:rPr>
          <w:rtl/>
        </w:rPr>
        <w:t xml:space="preserve"> המבנים.</w:t>
      </w:r>
      <w:r w:rsidRPr="0097239C">
        <w:rPr>
          <w:rFonts w:hint="cs"/>
          <w:rtl/>
        </w:rPr>
        <w:t xml:space="preserve"> הצוות דן</w:t>
      </w:r>
      <w:r w:rsidRPr="0097239C">
        <w:rPr>
          <w:rtl/>
        </w:rPr>
        <w:t xml:space="preserve"> באמצעים ו</w:t>
      </w:r>
      <w:r w:rsidRPr="0097239C">
        <w:rPr>
          <w:rFonts w:hint="cs"/>
          <w:rtl/>
        </w:rPr>
        <w:t>ב</w:t>
      </w:r>
      <w:r w:rsidRPr="0097239C">
        <w:rPr>
          <w:rtl/>
        </w:rPr>
        <w:t>דרכים להרחיב ולהטמיע בנייה ירוקה</w:t>
      </w:r>
      <w:r w:rsidRPr="0097239C">
        <w:rPr>
          <w:rFonts w:hint="cs"/>
          <w:rtl/>
        </w:rPr>
        <w:t xml:space="preserve"> והמליץ</w:t>
      </w:r>
      <w:r w:rsidRPr="0097239C">
        <w:rPr>
          <w:rtl/>
        </w:rPr>
        <w:t>, בין השאר, על מתווה מדורג ומחייב לאימוץ תקן בנייה ירוקה</w:t>
      </w:r>
      <w:r w:rsidRPr="0097239C">
        <w:rPr>
          <w:rFonts w:hint="cs"/>
          <w:rtl/>
        </w:rPr>
        <w:t xml:space="preserve"> במסגרת </w:t>
      </w:r>
      <w:r w:rsidRPr="0097239C">
        <w:rPr>
          <w:rtl/>
        </w:rPr>
        <w:t>תקנות התכנון והבני</w:t>
      </w:r>
      <w:r w:rsidRPr="0097239C">
        <w:rPr>
          <w:rFonts w:hint="cs"/>
          <w:rtl/>
        </w:rPr>
        <w:t>י</w:t>
      </w:r>
      <w:r w:rsidRPr="0097239C">
        <w:rPr>
          <w:rtl/>
        </w:rPr>
        <w:t xml:space="preserve">ה </w:t>
      </w:r>
      <w:r w:rsidRPr="0097239C">
        <w:rPr>
          <w:rFonts w:hint="cs"/>
          <w:rtl/>
        </w:rPr>
        <w:t xml:space="preserve">של </w:t>
      </w:r>
      <w:r w:rsidRPr="0097239C">
        <w:rPr>
          <w:rtl/>
        </w:rPr>
        <w:t>סוגי מבנה שונים</w:t>
      </w:r>
      <w:r w:rsidRPr="0097239C">
        <w:rPr>
          <w:rFonts w:hint="cs"/>
          <w:rtl/>
        </w:rPr>
        <w:t>, כגון מבני ציבור, מבני מסחר ותעשייה, בתי חולים, בתי מלון ובנייני מגורים (רבי-קומות)</w:t>
      </w:r>
      <w:r w:rsidRPr="0097239C">
        <w:rPr>
          <w:rtl/>
        </w:rPr>
        <w:t>.</w:t>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בפברואר 2020 המליצה ועדת המשנה לבנייה ולתקנות של המועצה הארצית לתכנון ובנייה על התקנת תקנות התכנון והבנייה (תכן הבנייה) (בנייה בת-קיימה), התש"ף-2020 (להלן - תקנות בנייה ירוקה). המועצה הארצית לתכנון ובנייה החליטה בתחילת מרץ 2020 כי תקנות אלה יהפכו למחייבות החל משנת 2021 למבנים רבי-קומות, ומשנת 2023 למבני מגורים בבנייה רוויה שאינם רבי-קומות. </w:t>
      </w:r>
      <w:r w:rsidRPr="0097239C">
        <w:rPr>
          <w:rFonts w:hint="cs"/>
          <w:rtl/>
        </w:rPr>
        <w:t>מינהל</w:t>
      </w:r>
      <w:r w:rsidRPr="0097239C">
        <w:rPr>
          <w:rFonts w:hint="cs"/>
          <w:rtl/>
        </w:rPr>
        <w:t xml:space="preserve"> התכנון השיב למשרד מבקר המדינה במאי 2020 כי התקנות יובאו לאישורו וחתימתו של השר לאחר הרכבת הממשלה.</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משרד מבקר המדינה רואה בחיוב את אימוץ תקנות הבנייה הירוקה החל משנת 2021. משרד מבקר המדינה מציין כי נוכח התועלות הגלומות בבנייה ירוקה ונוכח היקפי הבנייה הגדולים המתוכננים בשנים הקרובות, על המשרדים לוודא הטמעת תקנות אלה בהליכי התכנון המבוצעים כבר היום. מאחר שלעיתים הבנייה הירוקה כרוכה בתוספת עלויות לעומת הבנייה המסורתית, על המשרדים לשקול לפתח מנגנונים שיסייעו לקדם את הטמעתם של תקנים אלה.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הבינוי והשיכון השיב למשרד מבקר המדינה במאי 2020, כי הוא נערך להטמעת תקן הבנייה הירוקה בכל תחומי העבודה הרלוונטיים, וכי גיבש בשיתוף המועצה לבנייה ירוקה כלי מדידה לתכנון ולפיתוח של שכונות מגורים עירוניות - "שכונה 360" - המבוסס על עקרונות של בנייה ירוקה, והנחה את אדריכלי התוכניות אותן הוא מוביל לתכנן על פי עקרונות אלה. בתשובה נאמר עוד כי משרד הבינוי והשיכון היה ועודנו שותף פעיל ביותר לקידום נושא חשוב זה, ופועל במישורים רבים לקידום בנייה ירוקה באופן יזום, במסגרת המשאבים שעומדים לרשותו.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מינהל</w:t>
      </w:r>
      <w:r w:rsidRPr="0097239C">
        <w:rPr>
          <w:rFonts w:hint="cs"/>
          <w:rtl/>
        </w:rPr>
        <w:t xml:space="preserve"> התכנון השיב למשרד מבקר המדינה במאי 2020 כי בנוסח של התקנות מוצע שהן יחולו על כל בקשה להיתר בנייה שתוגש מיום תחילת התקנות, וכי החל מיום פרסומן של התקנות יימסר המידע בדבר חלותן בעת מסירת מידע להיתר, כך שמבקש ההיתר יהיה מודע מראש לחובתו לבנות לפי תקן 5281. הטלת חובה זו נועדה לפתור את החסם ולהביא ליישום בנייה לפי התקן.</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יצוין כי ביוני</w:t>
      </w:r>
      <w:r w:rsidRPr="0097239C">
        <w:t xml:space="preserve"> </w:t>
      </w:r>
      <w:r w:rsidRPr="0097239C">
        <w:rPr>
          <w:rFonts w:hint="cs"/>
          <w:rtl/>
        </w:rPr>
        <w:t>2013</w:t>
      </w:r>
      <w:r w:rsidRPr="0097239C">
        <w:t xml:space="preserve"> </w:t>
      </w:r>
      <w:r w:rsidRPr="0097239C">
        <w:rPr>
          <w:rFonts w:hint="cs"/>
          <w:rtl/>
        </w:rPr>
        <w:t>החליט פורום ה-15</w:t>
      </w:r>
      <w:r>
        <w:rPr>
          <w:vertAlign w:val="superscript"/>
          <w:rtl/>
        </w:rPr>
        <w:footnoteReference w:id="132"/>
      </w:r>
      <w:r w:rsidRPr="0097239C">
        <w:rPr>
          <w:rFonts w:hint="cs"/>
          <w:rtl/>
        </w:rPr>
        <w:t xml:space="preserve"> לאמץ בהדרגה את תקן הבנייה הירוקה כמדיניות עירונית. בשנת 2018 אימצו </w:t>
      </w:r>
      <w:r w:rsidRPr="0097239C">
        <w:rPr>
          <w:rtl/>
        </w:rPr>
        <w:t>12 רשויות ו</w:t>
      </w:r>
      <w:r w:rsidRPr="0097239C">
        <w:rPr>
          <w:rFonts w:hint="cs"/>
          <w:rtl/>
        </w:rPr>
        <w:t xml:space="preserve">אף </w:t>
      </w:r>
      <w:r w:rsidRPr="0097239C">
        <w:rPr>
          <w:rtl/>
        </w:rPr>
        <w:t xml:space="preserve">הטמיעו את ההחלטה באופן מלא, </w:t>
      </w:r>
      <w:r w:rsidRPr="0097239C">
        <w:rPr>
          <w:rFonts w:hint="cs"/>
          <w:rtl/>
        </w:rPr>
        <w:t>ושלוש</w:t>
      </w:r>
      <w:r w:rsidRPr="0097239C">
        <w:rPr>
          <w:rtl/>
        </w:rPr>
        <w:t xml:space="preserve"> </w:t>
      </w:r>
      <w:r w:rsidRPr="0097239C">
        <w:rPr>
          <w:rFonts w:hint="cs"/>
          <w:rtl/>
        </w:rPr>
        <w:t xml:space="preserve">רשויות </w:t>
      </w:r>
      <w:r w:rsidRPr="0097239C">
        <w:rPr>
          <w:rtl/>
        </w:rPr>
        <w:t>א</w:t>
      </w:r>
      <w:r w:rsidRPr="0097239C">
        <w:rPr>
          <w:rFonts w:hint="cs"/>
          <w:rtl/>
        </w:rPr>
        <w:t>י</w:t>
      </w:r>
      <w:r w:rsidRPr="0097239C">
        <w:rPr>
          <w:rtl/>
        </w:rPr>
        <w:t xml:space="preserve">מצו </w:t>
      </w:r>
      <w:r w:rsidRPr="0097239C">
        <w:rPr>
          <w:rFonts w:hint="cs"/>
          <w:rtl/>
        </w:rPr>
        <w:t xml:space="preserve">את ההחלטה </w:t>
      </w:r>
      <w:r w:rsidRPr="0097239C">
        <w:rPr>
          <w:rtl/>
        </w:rPr>
        <w:t xml:space="preserve">באופן מלא ומיישמות </w:t>
      </w:r>
      <w:r w:rsidRPr="0097239C">
        <w:rPr>
          <w:rFonts w:hint="cs"/>
          <w:rtl/>
        </w:rPr>
        <w:t xml:space="preserve">אותה </w:t>
      </w:r>
      <w:r w:rsidRPr="0097239C">
        <w:rPr>
          <w:rtl/>
        </w:rPr>
        <w:t>באופן חלקי</w:t>
      </w:r>
      <w:r w:rsidRPr="0097239C">
        <w:rPr>
          <w:rFonts w:hint="cs"/>
          <w:rtl/>
        </w:rPr>
        <w:t>. יצוין כי בערי פורום ה-15 מתגוררים כ-3 מיליון (כ-40%) מתושבי המדינה.</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מדוח שהכין המשרד </w:t>
      </w:r>
      <w:r w:rsidRPr="0097239C">
        <w:rPr>
          <w:rFonts w:hint="cs"/>
          <w:rtl/>
        </w:rPr>
        <w:t>להג"ס</w:t>
      </w:r>
      <w:r w:rsidRPr="0097239C">
        <w:rPr>
          <w:rFonts w:hint="cs"/>
          <w:rtl/>
        </w:rPr>
        <w:t xml:space="preserve"> לשנים 2014 - 2017 עולה כי בערי</w:t>
      </w:r>
      <w:r w:rsidRPr="0097239C">
        <w:t xml:space="preserve"> </w:t>
      </w:r>
      <w:r w:rsidRPr="0097239C">
        <w:rPr>
          <w:rFonts w:hint="cs"/>
          <w:rtl/>
        </w:rPr>
        <w:t>פורום</w:t>
      </w:r>
      <w:r w:rsidRPr="0097239C">
        <w:t xml:space="preserve"> </w:t>
      </w:r>
      <w:r w:rsidRPr="0097239C">
        <w:rPr>
          <w:rFonts w:hint="cs"/>
          <w:rtl/>
        </w:rPr>
        <w:t>ה-15 כ-73% מיחידות הדיור</w:t>
      </w:r>
      <w:r w:rsidRPr="0097239C">
        <w:t xml:space="preserve"> </w:t>
      </w:r>
      <w:r w:rsidRPr="0097239C">
        <w:rPr>
          <w:rFonts w:hint="cs"/>
          <w:rtl/>
        </w:rPr>
        <w:t>המתוכננות</w:t>
      </w:r>
      <w:r w:rsidRPr="0097239C">
        <w:t xml:space="preserve"> </w:t>
      </w:r>
      <w:r w:rsidRPr="0097239C">
        <w:rPr>
          <w:rFonts w:hint="cs"/>
          <w:rtl/>
        </w:rPr>
        <w:t>הן</w:t>
      </w:r>
      <w:r w:rsidRPr="0097239C">
        <w:t xml:space="preserve"> </w:t>
      </w:r>
      <w:r w:rsidRPr="0097239C">
        <w:rPr>
          <w:rFonts w:hint="cs"/>
          <w:rtl/>
        </w:rPr>
        <w:t>ירוקות,</w:t>
      </w:r>
      <w:r w:rsidRPr="0097239C">
        <w:t xml:space="preserve"> </w:t>
      </w:r>
      <w:r w:rsidRPr="0097239C">
        <w:rPr>
          <w:rFonts w:hint="cs"/>
          <w:rtl/>
        </w:rPr>
        <w:t>ואילו בערים</w:t>
      </w:r>
      <w:r w:rsidRPr="0097239C">
        <w:t xml:space="preserve"> </w:t>
      </w:r>
      <w:r w:rsidRPr="0097239C">
        <w:rPr>
          <w:rFonts w:hint="cs"/>
          <w:rtl/>
        </w:rPr>
        <w:t>האחרות</w:t>
      </w:r>
      <w:r w:rsidRPr="0097239C">
        <w:t xml:space="preserve"> </w:t>
      </w:r>
      <w:r w:rsidRPr="0097239C">
        <w:rPr>
          <w:rFonts w:hint="cs"/>
          <w:rtl/>
        </w:rPr>
        <w:t>רק</w:t>
      </w:r>
      <w:r w:rsidRPr="0097239C">
        <w:t xml:space="preserve"> </w:t>
      </w:r>
      <w:r w:rsidRPr="0097239C">
        <w:rPr>
          <w:rFonts w:hint="cs"/>
          <w:rtl/>
        </w:rPr>
        <w:t>12%</w:t>
      </w:r>
      <w:r w:rsidRPr="0097239C">
        <w:t xml:space="preserve"> </w:t>
      </w:r>
      <w:r w:rsidRPr="0097239C">
        <w:rPr>
          <w:rFonts w:hint="cs"/>
          <w:rtl/>
        </w:rPr>
        <w:t>מהן</w:t>
      </w:r>
      <w:r w:rsidRPr="0097239C">
        <w:t xml:space="preserve"> </w:t>
      </w:r>
      <w:r w:rsidRPr="0097239C">
        <w:rPr>
          <w:rFonts w:hint="cs"/>
          <w:rtl/>
        </w:rPr>
        <w:t>ירוקות</w:t>
      </w:r>
      <w:r w:rsidRPr="0097239C">
        <w:t>.</w:t>
      </w:r>
      <w:r w:rsidRPr="0097239C">
        <w:rPr>
          <w:rFonts w:hint="cs"/>
          <w:rtl/>
        </w:rPr>
        <w:t xml:space="preserve"> עוד עולה מהדוח כי יש פער ניכר בין ערי פורום ה-15 לבין שאר הערים בישראל מבחינת ההטמעה של התקן לבנייה ירוקה. להלן תרשים המציג את התפלגות מספר התוכניות לבנייה ירוקה בערים שונות בארץ.</w:t>
      </w:r>
    </w:p>
    <w:p w:rsidR="00EC48E7">
      <w:pPr>
        <w:bidi w:val="0"/>
        <w:spacing w:after="200" w:line="276" w:lineRule="auto"/>
        <w:rPr>
          <w:szCs w:val="20"/>
          <w:rtl/>
        </w:rPr>
      </w:pPr>
      <w:r>
        <w:rPr>
          <w:rtl/>
        </w:rPr>
        <w:br w:type="page"/>
      </w: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28</w:t>
      </w:r>
      <w:r w:rsidRPr="0097239C">
        <w:rPr>
          <w:b/>
          <w:bCs/>
          <w:rtl/>
        </w:rPr>
        <w:t xml:space="preserve">: </w:t>
      </w:r>
      <w:r w:rsidRPr="0097239C">
        <w:rPr>
          <w:rFonts w:hint="eastAsia"/>
          <w:b/>
          <w:bCs/>
          <w:rtl/>
        </w:rPr>
        <w:t>התפלגות</w:t>
      </w:r>
      <w:r w:rsidRPr="0097239C">
        <w:rPr>
          <w:b/>
          <w:bCs/>
          <w:rtl/>
        </w:rPr>
        <w:t xml:space="preserve"> </w:t>
      </w:r>
      <w:r w:rsidRPr="0097239C">
        <w:rPr>
          <w:rFonts w:hint="eastAsia"/>
          <w:b/>
          <w:bCs/>
          <w:rtl/>
        </w:rPr>
        <w:t>מספר</w:t>
      </w:r>
      <w:r w:rsidRPr="0097239C">
        <w:rPr>
          <w:b/>
          <w:bCs/>
          <w:rtl/>
        </w:rPr>
        <w:t xml:space="preserve"> </w:t>
      </w:r>
      <w:r w:rsidRPr="0097239C">
        <w:rPr>
          <w:rFonts w:hint="eastAsia"/>
          <w:b/>
          <w:bCs/>
          <w:rtl/>
        </w:rPr>
        <w:t>התוכניות</w:t>
      </w:r>
      <w:r w:rsidRPr="0097239C">
        <w:rPr>
          <w:b/>
          <w:bCs/>
          <w:rtl/>
        </w:rPr>
        <w:t xml:space="preserve"> </w:t>
      </w:r>
      <w:r w:rsidRPr="0097239C">
        <w:rPr>
          <w:rFonts w:hint="eastAsia"/>
          <w:b/>
          <w:bCs/>
          <w:rtl/>
        </w:rPr>
        <w:t>בבני</w:t>
      </w:r>
      <w:r w:rsidRPr="0097239C">
        <w:rPr>
          <w:rFonts w:hint="cs"/>
          <w:b/>
          <w:bCs/>
          <w:rtl/>
        </w:rPr>
        <w:t>י</w:t>
      </w:r>
      <w:r w:rsidRPr="0097239C">
        <w:rPr>
          <w:rFonts w:hint="eastAsia"/>
          <w:b/>
          <w:bCs/>
          <w:rtl/>
        </w:rPr>
        <w:t>ה</w:t>
      </w:r>
      <w:r w:rsidRPr="0097239C">
        <w:rPr>
          <w:b/>
          <w:bCs/>
          <w:rtl/>
        </w:rPr>
        <w:t xml:space="preserve"> ירוקה </w:t>
      </w:r>
      <w:r w:rsidRPr="0097239C">
        <w:rPr>
          <w:rFonts w:hint="cs"/>
          <w:b/>
          <w:bCs/>
          <w:rtl/>
        </w:rPr>
        <w:t>ב</w:t>
      </w:r>
      <w:r w:rsidRPr="0097239C">
        <w:rPr>
          <w:rFonts w:hint="eastAsia"/>
          <w:b/>
          <w:bCs/>
          <w:rtl/>
        </w:rPr>
        <w:t>ערי</w:t>
      </w:r>
      <w:r w:rsidRPr="0097239C">
        <w:rPr>
          <w:b/>
          <w:bCs/>
          <w:rtl/>
        </w:rPr>
        <w:t xml:space="preserve"> </w:t>
      </w:r>
      <w:r w:rsidRPr="0097239C">
        <w:rPr>
          <w:rFonts w:hint="eastAsia"/>
          <w:b/>
          <w:bCs/>
          <w:rtl/>
        </w:rPr>
        <w:t>פורום</w:t>
      </w:r>
      <w:r w:rsidRPr="0097239C">
        <w:rPr>
          <w:b/>
          <w:bCs/>
          <w:rtl/>
        </w:rPr>
        <w:t xml:space="preserve"> </w:t>
      </w:r>
      <w:r w:rsidRPr="0097239C">
        <w:rPr>
          <w:rFonts w:hint="eastAsia"/>
          <w:b/>
          <w:bCs/>
          <w:rtl/>
        </w:rPr>
        <w:t>ה</w:t>
      </w:r>
      <w:r w:rsidRPr="0097239C">
        <w:rPr>
          <w:b/>
          <w:bCs/>
          <w:rtl/>
        </w:rPr>
        <w:t xml:space="preserve">-15 לעומת </w:t>
      </w:r>
      <w:r w:rsidRPr="0097239C">
        <w:rPr>
          <w:rFonts w:hint="cs"/>
          <w:b/>
          <w:bCs/>
          <w:rtl/>
        </w:rPr>
        <w:t>מספרן ב</w:t>
      </w:r>
      <w:r w:rsidRPr="0097239C">
        <w:rPr>
          <w:rFonts w:hint="eastAsia"/>
          <w:b/>
          <w:bCs/>
          <w:rtl/>
        </w:rPr>
        <w:t>ערים</w:t>
      </w:r>
      <w:r w:rsidRPr="0097239C">
        <w:rPr>
          <w:b/>
          <w:bCs/>
          <w:rtl/>
        </w:rPr>
        <w:t xml:space="preserve"> </w:t>
      </w:r>
      <w:r w:rsidRPr="0097239C">
        <w:rPr>
          <w:rFonts w:hint="eastAsia"/>
          <w:b/>
          <w:bCs/>
          <w:rtl/>
        </w:rPr>
        <w:t>שאינן</w:t>
      </w:r>
      <w:r w:rsidRPr="0097239C">
        <w:rPr>
          <w:b/>
          <w:bCs/>
          <w:rtl/>
        </w:rPr>
        <w:t xml:space="preserve"> </w:t>
      </w:r>
      <w:r w:rsidRPr="0097239C">
        <w:rPr>
          <w:rFonts w:hint="eastAsia"/>
          <w:b/>
          <w:bCs/>
          <w:rtl/>
        </w:rPr>
        <w:t>חברות</w:t>
      </w:r>
      <w:r w:rsidRPr="0097239C">
        <w:rPr>
          <w:b/>
          <w:bCs/>
          <w:rtl/>
        </w:rPr>
        <w:t xml:space="preserve"> </w:t>
      </w:r>
      <w:r w:rsidRPr="0097239C">
        <w:rPr>
          <w:rFonts w:hint="eastAsia"/>
          <w:b/>
          <w:bCs/>
          <w:rtl/>
        </w:rPr>
        <w:t>בפורום</w:t>
      </w:r>
      <w:r w:rsidRPr="0097239C">
        <w:rPr>
          <w:rFonts w:hint="cs"/>
          <w:b/>
          <w:bCs/>
          <w:rtl/>
        </w:rPr>
        <w:t>, 2018</w:t>
      </w:r>
    </w:p>
    <w:p w:rsidR="0097239C" w:rsidRPr="0097239C" w:rsidP="00714BD8">
      <w:pPr>
        <w:spacing w:before="240" w:after="240" w:line="269" w:lineRule="auto"/>
        <w:jc w:val="center"/>
        <w:rPr>
          <w:rtl/>
        </w:rPr>
      </w:pPr>
      <w:r>
        <w:rPr>
          <w:noProof/>
          <w:rtl/>
        </w:rPr>
        <w:drawing>
          <wp:inline distT="0" distB="0" distL="0" distR="0">
            <wp:extent cx="5220335" cy="2223135"/>
            <wp:effectExtent l="0" t="0" r="0" b="571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56518" name="gra-28.jpg"/>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20335" cy="2223135"/>
                    </a:xfrm>
                    <a:prstGeom prst="rect">
                      <a:avLst/>
                    </a:prstGeom>
                  </pic:spPr>
                </pic:pic>
              </a:graphicData>
            </a:graphic>
          </wp:inline>
        </w:drawing>
      </w:r>
    </w:p>
    <w:p w:rsidR="0097239C" w:rsidRPr="007230D4" w:rsidP="00C603CF">
      <w:pPr>
        <w:spacing w:line="269" w:lineRule="auto"/>
        <w:rPr>
          <w:sz w:val="22"/>
          <w:szCs w:val="22"/>
          <w:rtl/>
        </w:rPr>
      </w:pPr>
      <w:r w:rsidRPr="007230D4">
        <w:rPr>
          <w:rFonts w:hint="eastAsia"/>
          <w:sz w:val="22"/>
          <w:szCs w:val="22"/>
          <w:rtl/>
        </w:rPr>
        <w:t>המקור</w:t>
      </w:r>
      <w:r w:rsidRPr="007230D4">
        <w:rPr>
          <w:sz w:val="22"/>
          <w:szCs w:val="22"/>
          <w:rtl/>
        </w:rPr>
        <w:t xml:space="preserve">: </w:t>
      </w:r>
      <w:r w:rsidRPr="007230D4">
        <w:rPr>
          <w:rFonts w:hint="cs"/>
          <w:sz w:val="22"/>
          <w:szCs w:val="22"/>
          <w:rtl/>
        </w:rPr>
        <w:t xml:space="preserve">מסמכי המשרד </w:t>
      </w:r>
      <w:r w:rsidRPr="007230D4">
        <w:rPr>
          <w:rFonts w:hint="cs"/>
          <w:sz w:val="22"/>
          <w:szCs w:val="22"/>
          <w:rtl/>
        </w:rPr>
        <w:t>להג"ס</w:t>
      </w:r>
      <w:r w:rsidRPr="007230D4">
        <w:rPr>
          <w:sz w:val="22"/>
          <w:szCs w:val="22"/>
          <w:rtl/>
        </w:rPr>
        <w:t>, 2018.</w:t>
      </w:r>
      <w:r w:rsidRPr="007230D4">
        <w:rPr>
          <w:rFonts w:hint="cs"/>
          <w:sz w:val="22"/>
          <w:szCs w:val="22"/>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במפה שלהלן מוצג מספר יחידות הדיור בבנייה ירוקה שאושרו בתוכניות בערי פורום ה-15.</w:t>
      </w:r>
    </w:p>
    <w:p w:rsidR="00EC48E7" w:rsidRPr="00EC48E7" w:rsidP="00EC48E7">
      <w:pPr>
        <w:rPr>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29</w:t>
      </w:r>
      <w:r w:rsidRPr="0097239C">
        <w:rPr>
          <w:b/>
          <w:bCs/>
          <w:rtl/>
        </w:rPr>
        <w:t xml:space="preserve">: מספר יחידות </w:t>
      </w:r>
      <w:r w:rsidRPr="0097239C">
        <w:rPr>
          <w:rFonts w:hint="cs"/>
          <w:b/>
          <w:bCs/>
          <w:rtl/>
        </w:rPr>
        <w:t>ה</w:t>
      </w:r>
      <w:r w:rsidRPr="0097239C">
        <w:rPr>
          <w:rFonts w:hint="eastAsia"/>
          <w:b/>
          <w:bCs/>
          <w:rtl/>
        </w:rPr>
        <w:t>דיור</w:t>
      </w:r>
      <w:r w:rsidRPr="0097239C">
        <w:rPr>
          <w:b/>
          <w:bCs/>
          <w:rtl/>
        </w:rPr>
        <w:t xml:space="preserve"> </w:t>
      </w:r>
      <w:r w:rsidRPr="0097239C">
        <w:rPr>
          <w:rFonts w:hint="eastAsia"/>
          <w:b/>
          <w:bCs/>
          <w:rtl/>
        </w:rPr>
        <w:t>בבנייה</w:t>
      </w:r>
      <w:r w:rsidRPr="0097239C">
        <w:rPr>
          <w:b/>
          <w:bCs/>
          <w:rtl/>
        </w:rPr>
        <w:t xml:space="preserve"> </w:t>
      </w:r>
      <w:r w:rsidRPr="0097239C">
        <w:rPr>
          <w:rFonts w:hint="eastAsia"/>
          <w:b/>
          <w:bCs/>
          <w:rtl/>
        </w:rPr>
        <w:t>ירוקה</w:t>
      </w:r>
      <w:r w:rsidRPr="0097239C">
        <w:rPr>
          <w:b/>
          <w:bCs/>
          <w:rtl/>
        </w:rPr>
        <w:t xml:space="preserve"> </w:t>
      </w:r>
      <w:r w:rsidRPr="0097239C">
        <w:rPr>
          <w:rFonts w:hint="eastAsia"/>
          <w:b/>
          <w:bCs/>
          <w:rtl/>
        </w:rPr>
        <w:t>בערי</w:t>
      </w:r>
      <w:r w:rsidRPr="0097239C">
        <w:rPr>
          <w:b/>
          <w:bCs/>
          <w:rtl/>
        </w:rPr>
        <w:t xml:space="preserve"> </w:t>
      </w:r>
      <w:r w:rsidRPr="0097239C">
        <w:rPr>
          <w:rFonts w:hint="eastAsia"/>
          <w:b/>
          <w:bCs/>
          <w:rtl/>
        </w:rPr>
        <w:t>פורום</w:t>
      </w:r>
      <w:r w:rsidRPr="0097239C">
        <w:rPr>
          <w:b/>
          <w:bCs/>
          <w:rtl/>
        </w:rPr>
        <w:t xml:space="preserve"> </w:t>
      </w:r>
      <w:r w:rsidRPr="0097239C">
        <w:rPr>
          <w:rFonts w:hint="eastAsia"/>
          <w:b/>
          <w:bCs/>
          <w:rtl/>
        </w:rPr>
        <w:t>ה</w:t>
      </w:r>
      <w:r w:rsidRPr="0097239C">
        <w:rPr>
          <w:b/>
          <w:bCs/>
          <w:rtl/>
        </w:rPr>
        <w:t>-15</w:t>
      </w:r>
      <w:r w:rsidRPr="0097239C">
        <w:rPr>
          <w:rFonts w:hint="cs"/>
          <w:b/>
          <w:bCs/>
          <w:rtl/>
        </w:rPr>
        <w:t>, 2018</w:t>
      </w:r>
    </w:p>
    <w:p w:rsidR="0097239C" w:rsidRPr="0097239C" w:rsidP="00714BD8">
      <w:pPr>
        <w:spacing w:before="120" w:after="120" w:line="269" w:lineRule="auto"/>
        <w:jc w:val="center"/>
        <w:rPr>
          <w:rtl/>
        </w:rPr>
      </w:pPr>
      <w:r>
        <w:rPr>
          <w:noProof/>
          <w:rtl/>
        </w:rPr>
        <w:drawing>
          <wp:inline distT="0" distB="0" distL="0" distR="0">
            <wp:extent cx="3150404" cy="4413999"/>
            <wp:effectExtent l="0" t="0" r="0" b="5715"/>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78509" name="gra-29.jpg"/>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59819" cy="4427191"/>
                    </a:xfrm>
                    <a:prstGeom prst="rect">
                      <a:avLst/>
                    </a:prstGeom>
                  </pic:spPr>
                </pic:pic>
              </a:graphicData>
            </a:graphic>
          </wp:inline>
        </w:drawing>
      </w:r>
    </w:p>
    <w:p w:rsidR="0097239C" w:rsidRPr="007230D4" w:rsidP="00C603CF">
      <w:pPr>
        <w:spacing w:line="269" w:lineRule="auto"/>
        <w:rPr>
          <w:sz w:val="22"/>
          <w:szCs w:val="22"/>
          <w:rtl/>
        </w:rPr>
      </w:pPr>
      <w:r w:rsidRPr="007230D4">
        <w:rPr>
          <w:rFonts w:hint="cs"/>
          <w:sz w:val="22"/>
          <w:szCs w:val="22"/>
          <w:rtl/>
        </w:rPr>
        <w:t xml:space="preserve">המקור: מסמכי </w:t>
      </w:r>
      <w:r w:rsidRPr="007230D4">
        <w:rPr>
          <w:rFonts w:hint="cs"/>
          <w:sz w:val="22"/>
          <w:szCs w:val="22"/>
          <w:rtl/>
        </w:rPr>
        <w:t>מינהל</w:t>
      </w:r>
      <w:r w:rsidRPr="007230D4">
        <w:rPr>
          <w:rFonts w:hint="cs"/>
          <w:sz w:val="22"/>
          <w:szCs w:val="22"/>
          <w:rtl/>
        </w:rPr>
        <w:t xml:space="preserve"> התכנון, אוגוסט 2018.</w:t>
      </w:r>
    </w:p>
    <w:p w:rsidR="0097239C" w:rsidRPr="0097239C" w:rsidP="00C603CF">
      <w:pPr>
        <w:spacing w:line="269" w:lineRule="auto"/>
        <w:rPr>
          <w:rtl/>
        </w:rPr>
      </w:pPr>
      <w:bookmarkStart w:id="16" w:name="_GoBack"/>
      <w:bookmarkEnd w:id="16"/>
      <w:r w:rsidRPr="0097239C">
        <w:rPr>
          <w:rFonts w:hint="cs"/>
          <w:rtl/>
        </w:rPr>
        <w:t>מהתרשימים עולה כי אימוץ תקן הבנייה הירוקה גרם להגדלה ניכרת בהיקף התוכניות הכוללות הוראות בדבר יישום תקן זה. להלן תרשים המתאר את שיעור התוכניות בבנייה ירוקה בערים נבחרות בארץ.</w:t>
      </w:r>
    </w:p>
    <w:p w:rsidR="0097239C" w:rsidRPr="0097239C" w:rsidP="00C603CF">
      <w:pPr>
        <w:pStyle w:val="a"/>
        <w:spacing w:line="269" w:lineRule="auto"/>
        <w:rPr>
          <w:rtl/>
        </w:rPr>
      </w:pPr>
    </w:p>
    <w:p w:rsidR="0097239C" w:rsidRPr="0097239C" w:rsidP="00C603CF">
      <w:pPr>
        <w:spacing w:line="269" w:lineRule="auto"/>
        <w:jc w:val="center"/>
        <w:rPr>
          <w:b/>
          <w:bCs/>
          <w:rtl/>
        </w:rPr>
      </w:pPr>
      <w:r w:rsidRPr="0097239C">
        <w:rPr>
          <w:rFonts w:hint="eastAsia"/>
          <w:b/>
          <w:bCs/>
          <w:rtl/>
        </w:rPr>
        <w:t>תרשים</w:t>
      </w:r>
      <w:r w:rsidRPr="0097239C">
        <w:rPr>
          <w:b/>
          <w:bCs/>
          <w:rtl/>
        </w:rPr>
        <w:t xml:space="preserve"> </w:t>
      </w:r>
      <w:r w:rsidRPr="0097239C">
        <w:rPr>
          <w:rFonts w:hint="cs"/>
          <w:b/>
          <w:bCs/>
          <w:rtl/>
        </w:rPr>
        <w:t>30</w:t>
      </w:r>
      <w:r w:rsidRPr="0097239C">
        <w:rPr>
          <w:b/>
          <w:bCs/>
          <w:rtl/>
        </w:rPr>
        <w:t xml:space="preserve">: </w:t>
      </w:r>
      <w:r w:rsidRPr="0097239C">
        <w:rPr>
          <w:rFonts w:hint="cs"/>
          <w:b/>
          <w:bCs/>
          <w:rtl/>
        </w:rPr>
        <w:t>שיעור</w:t>
      </w:r>
      <w:r w:rsidRPr="0097239C">
        <w:rPr>
          <w:b/>
          <w:bCs/>
          <w:rtl/>
        </w:rPr>
        <w:t xml:space="preserve"> יחידות </w:t>
      </w:r>
      <w:r w:rsidRPr="0097239C">
        <w:rPr>
          <w:rFonts w:hint="cs"/>
          <w:b/>
          <w:bCs/>
          <w:rtl/>
        </w:rPr>
        <w:t>ה</w:t>
      </w:r>
      <w:r w:rsidRPr="0097239C">
        <w:rPr>
          <w:rFonts w:hint="eastAsia"/>
          <w:b/>
          <w:bCs/>
          <w:rtl/>
        </w:rPr>
        <w:t>דיור</w:t>
      </w:r>
      <w:r w:rsidRPr="0097239C">
        <w:rPr>
          <w:b/>
          <w:bCs/>
          <w:rtl/>
        </w:rPr>
        <w:t xml:space="preserve"> </w:t>
      </w:r>
      <w:r w:rsidRPr="0097239C">
        <w:rPr>
          <w:rFonts w:hint="eastAsia"/>
          <w:b/>
          <w:bCs/>
          <w:rtl/>
        </w:rPr>
        <w:t>בבנייה</w:t>
      </w:r>
      <w:r w:rsidRPr="0097239C">
        <w:rPr>
          <w:b/>
          <w:bCs/>
          <w:rtl/>
        </w:rPr>
        <w:t xml:space="preserve"> </w:t>
      </w:r>
      <w:r w:rsidRPr="0097239C">
        <w:rPr>
          <w:rFonts w:hint="eastAsia"/>
          <w:b/>
          <w:bCs/>
          <w:rtl/>
        </w:rPr>
        <w:t>ירוקה</w:t>
      </w:r>
      <w:r w:rsidRPr="0097239C">
        <w:rPr>
          <w:b/>
          <w:bCs/>
          <w:rtl/>
        </w:rPr>
        <w:t xml:space="preserve"> </w:t>
      </w:r>
      <w:r w:rsidRPr="0097239C">
        <w:rPr>
          <w:rFonts w:hint="eastAsia"/>
          <w:b/>
          <w:bCs/>
          <w:rtl/>
        </w:rPr>
        <w:t>בערים</w:t>
      </w:r>
      <w:r w:rsidRPr="0097239C">
        <w:rPr>
          <w:b/>
          <w:bCs/>
          <w:rtl/>
        </w:rPr>
        <w:t xml:space="preserve"> </w:t>
      </w:r>
      <w:r w:rsidRPr="0097239C">
        <w:rPr>
          <w:rFonts w:hint="eastAsia"/>
          <w:b/>
          <w:bCs/>
          <w:rtl/>
        </w:rPr>
        <w:t>נבחרות</w:t>
      </w:r>
      <w:r w:rsidRPr="0097239C">
        <w:rPr>
          <w:b/>
          <w:bCs/>
          <w:rtl/>
        </w:rPr>
        <w:t xml:space="preserve"> </w:t>
      </w:r>
      <w:r w:rsidRPr="0097239C">
        <w:rPr>
          <w:rFonts w:hint="eastAsia"/>
          <w:b/>
          <w:bCs/>
          <w:rtl/>
        </w:rPr>
        <w:t>בארץ</w:t>
      </w:r>
      <w:r w:rsidRPr="0097239C">
        <w:rPr>
          <w:rFonts w:hint="cs"/>
          <w:b/>
          <w:bCs/>
          <w:rtl/>
        </w:rPr>
        <w:t>, 2018</w:t>
      </w:r>
    </w:p>
    <w:p w:rsidR="0097239C" w:rsidRPr="0097239C" w:rsidP="00BC5107">
      <w:pPr>
        <w:spacing w:before="240" w:after="240" w:line="269" w:lineRule="auto"/>
        <w:jc w:val="center"/>
        <w:rPr>
          <w:rtl/>
        </w:rPr>
      </w:pPr>
      <w:r>
        <w:rPr>
          <w:noProof/>
          <w:rtl/>
        </w:rPr>
        <w:drawing>
          <wp:inline distT="0" distB="0" distL="0" distR="0">
            <wp:extent cx="4320000" cy="2494800"/>
            <wp:effectExtent l="0" t="0" r="4445" b="127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57835" name="gra-30.jpg"/>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20000" cy="2494800"/>
                    </a:xfrm>
                    <a:prstGeom prst="rect">
                      <a:avLst/>
                    </a:prstGeom>
                  </pic:spPr>
                </pic:pic>
              </a:graphicData>
            </a:graphic>
          </wp:inline>
        </w:drawing>
      </w:r>
    </w:p>
    <w:p w:rsidR="0097239C" w:rsidP="00C603CF">
      <w:pPr>
        <w:spacing w:line="269" w:lineRule="auto"/>
        <w:rPr>
          <w:sz w:val="22"/>
          <w:szCs w:val="22"/>
          <w:rtl/>
        </w:rPr>
      </w:pPr>
      <w:r w:rsidRPr="0097239C">
        <w:rPr>
          <w:rtl/>
        </w:rPr>
        <w:tab/>
      </w:r>
      <w:r w:rsidRPr="007230D4">
        <w:rPr>
          <w:rFonts w:hint="cs"/>
          <w:sz w:val="22"/>
          <w:szCs w:val="22"/>
          <w:rtl/>
        </w:rPr>
        <w:t xml:space="preserve">המקור: מסמכי </w:t>
      </w:r>
      <w:r w:rsidRPr="007230D4">
        <w:rPr>
          <w:rFonts w:hint="cs"/>
          <w:sz w:val="22"/>
          <w:szCs w:val="22"/>
          <w:rtl/>
        </w:rPr>
        <w:t>מינהל</w:t>
      </w:r>
      <w:r w:rsidRPr="007230D4">
        <w:rPr>
          <w:rFonts w:hint="cs"/>
          <w:sz w:val="22"/>
          <w:szCs w:val="22"/>
          <w:rtl/>
        </w:rPr>
        <w:t xml:space="preserve"> התכנון, אוגוסט 2018.</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מהתרשים עולה כי רק ארבע מ-20 הערים שבהן מוטמעים תקני בנייה ירוקה בשלב התכנון אינן חברות בפורום ה-15, וכי בעשר ערים שאינן חברות בפורום ה-15 (למעט חדרה), שבהן מאושרות 70,000 יחידות דיור, לא הוטמע כלל תקן הבנייה הירוקה.</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אימוץ תקני בנייה ירוקה בערי פורום ה-15 בלבד, ולא ביתר הערים בארץ, עלול להוביל להגדלת</w:t>
      </w:r>
      <w:r w:rsidRPr="0097239C">
        <w:rPr>
          <w:b/>
          <w:bCs/>
        </w:rPr>
        <w:t xml:space="preserve"> </w:t>
      </w:r>
      <w:r w:rsidRPr="0097239C">
        <w:rPr>
          <w:rFonts w:hint="cs"/>
          <w:b/>
          <w:bCs/>
          <w:rtl/>
        </w:rPr>
        <w:t>הפערים בין</w:t>
      </w:r>
      <w:r w:rsidRPr="0097239C">
        <w:rPr>
          <w:b/>
          <w:bCs/>
        </w:rPr>
        <w:t xml:space="preserve"> </w:t>
      </w:r>
      <w:r w:rsidRPr="0097239C">
        <w:rPr>
          <w:rFonts w:hint="cs"/>
          <w:b/>
          <w:bCs/>
          <w:rtl/>
        </w:rPr>
        <w:t>המרכז</w:t>
      </w:r>
      <w:r w:rsidRPr="0097239C">
        <w:rPr>
          <w:b/>
          <w:bCs/>
        </w:rPr>
        <w:t xml:space="preserve"> </w:t>
      </w:r>
      <w:r w:rsidRPr="0097239C">
        <w:rPr>
          <w:rFonts w:hint="cs"/>
          <w:b/>
          <w:bCs/>
          <w:rtl/>
        </w:rPr>
        <w:t>לפריפריה</w:t>
      </w:r>
      <w:r w:rsidRPr="0097239C">
        <w:rPr>
          <w:b/>
          <w:bCs/>
        </w:rPr>
        <w:t xml:space="preserve"> </w:t>
      </w:r>
      <w:r w:rsidRPr="0097239C">
        <w:rPr>
          <w:rFonts w:hint="cs"/>
          <w:b/>
          <w:bCs/>
          <w:rtl/>
        </w:rPr>
        <w:t>מבחינת איכות הבנייה</w:t>
      </w:r>
      <w:r w:rsidRPr="0097239C">
        <w:rPr>
          <w:b/>
          <w:bCs/>
        </w:rPr>
        <w:t xml:space="preserve"> </w:t>
      </w:r>
      <w:r w:rsidRPr="0097239C">
        <w:rPr>
          <w:rFonts w:hint="cs"/>
          <w:b/>
          <w:bCs/>
          <w:rtl/>
        </w:rPr>
        <w:t>ויעילות המבנים</w:t>
      </w:r>
      <w:r w:rsidRPr="0097239C">
        <w:rPr>
          <w:b/>
          <w:bCs/>
        </w:rPr>
        <w:t>.</w:t>
      </w:r>
      <w:r w:rsidRPr="0097239C">
        <w:rPr>
          <w:rFonts w:hint="cs"/>
          <w:b/>
          <w:bCs/>
          <w:rtl/>
        </w:rPr>
        <w:t xml:space="preserve"> החלת החובה ליישם את </w:t>
      </w:r>
      <w:r w:rsidRPr="0097239C">
        <w:rPr>
          <w:rFonts w:hint="eastAsia"/>
          <w:b/>
          <w:bCs/>
          <w:rtl/>
        </w:rPr>
        <w:t>תקני</w:t>
      </w:r>
      <w:r w:rsidRPr="0097239C">
        <w:rPr>
          <w:rFonts w:hint="cs"/>
          <w:b/>
          <w:bCs/>
          <w:rtl/>
        </w:rPr>
        <w:t xml:space="preserve"> בנייה </w:t>
      </w:r>
      <w:r w:rsidRPr="0097239C">
        <w:rPr>
          <w:rFonts w:hint="eastAsia"/>
          <w:b/>
          <w:bCs/>
          <w:i/>
          <w:iCs/>
          <w:rtl/>
        </w:rPr>
        <w:t>י</w:t>
      </w:r>
      <w:r w:rsidRPr="0097239C">
        <w:rPr>
          <w:rFonts w:hint="cs"/>
          <w:b/>
          <w:bCs/>
          <w:rtl/>
        </w:rPr>
        <w:t xml:space="preserve">רוקה בתקנות תוכל לסייע בשיפור איכות הבנייה ולהפקת תועלות כלכליות ואחרות מיישום תקנים אלה בכלל הערים ברחבי הארץ. מומלץ כי </w:t>
      </w:r>
      <w:r w:rsidRPr="0097239C">
        <w:rPr>
          <w:rFonts w:hint="cs"/>
          <w:b/>
          <w:bCs/>
          <w:rtl/>
        </w:rPr>
        <w:t>מינהל</w:t>
      </w:r>
      <w:r w:rsidRPr="0097239C">
        <w:rPr>
          <w:rFonts w:hint="cs"/>
          <w:b/>
          <w:bCs/>
          <w:rtl/>
        </w:rPr>
        <w:t xml:space="preserve"> התכנון יפעל לעידוד יישום תקני בנייה ירוקה, בפרט בערי הפריפריה.</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משרד הבינוי והשיכון השיב למשרד מבקר המדינה במאי 2020, כי החלת תקן בנייה ירוקה כתקן מחייב בנוגע לכלל פעילות הבנייה למגורים תביא לתיקון הפער הקיים בנושא בין ערי פורום ה-15 ובין יתר הערים בישראל. גם </w:t>
      </w:r>
      <w:r w:rsidRPr="0097239C">
        <w:rPr>
          <w:rFonts w:hint="cs"/>
          <w:rtl/>
        </w:rPr>
        <w:t>מינהל</w:t>
      </w:r>
      <w:r w:rsidRPr="0097239C">
        <w:rPr>
          <w:rFonts w:hint="cs"/>
          <w:rtl/>
        </w:rPr>
        <w:t xml:space="preserve"> התכנון השיב למשרד מבקר המדינה במאי 2020 כי התקנות שהומלצו על ידי המועצה הארצית לתכנון ובנייה נועדו, בין היתר, לצמצם את הפער האמור ביישום תקני בנייה ירוקה בין ערי פורום ה-15 לפריפריה. </w:t>
      </w:r>
    </w:p>
    <w:p w:rsidR="000E550E" w:rsidP="00C603CF">
      <w:pPr>
        <w:spacing w:line="269" w:lineRule="auto"/>
        <w:rPr>
          <w:rtl/>
        </w:rPr>
      </w:pPr>
      <w:bookmarkStart w:id="17" w:name="_Toc46906232"/>
    </w:p>
    <w:p w:rsidR="0097239C" w:rsidP="00C603CF">
      <w:pPr>
        <w:pStyle w:val="Heading3"/>
        <w:spacing w:before="0" w:line="269" w:lineRule="auto"/>
        <w:rPr>
          <w:rtl/>
        </w:rPr>
      </w:pPr>
      <w:r w:rsidRPr="0097239C">
        <w:rPr>
          <w:rFonts w:hint="cs"/>
          <w:rtl/>
        </w:rPr>
        <w:t>עלות היישום של תקני בנייה ירוקה לעומת התועלת שביישומם</w:t>
      </w:r>
      <w:bookmarkEnd w:id="17"/>
    </w:p>
    <w:p w:rsidR="000E550E"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ממסמכי המשרד </w:t>
      </w:r>
      <w:r w:rsidRPr="0097239C">
        <w:rPr>
          <w:rFonts w:hint="cs"/>
          <w:rtl/>
        </w:rPr>
        <w:t>להג"ס</w:t>
      </w:r>
      <w:r w:rsidRPr="0097239C">
        <w:rPr>
          <w:rFonts w:hint="cs"/>
          <w:rtl/>
        </w:rPr>
        <w:t xml:space="preserve"> מאוקטובר 2018 עולה כי</w:t>
      </w:r>
      <w:r w:rsidRPr="0097239C">
        <w:t xml:space="preserve"> </w:t>
      </w:r>
      <w:r w:rsidRPr="0097239C">
        <w:rPr>
          <w:rFonts w:hint="cs"/>
          <w:rtl/>
        </w:rPr>
        <w:t>ממצאיהם של מחקרים</w:t>
      </w:r>
      <w:r w:rsidRPr="0097239C">
        <w:t xml:space="preserve"> </w:t>
      </w:r>
      <w:r w:rsidRPr="0097239C">
        <w:rPr>
          <w:rFonts w:hint="cs"/>
          <w:rtl/>
        </w:rPr>
        <w:t>שונים</w:t>
      </w:r>
      <w:r w:rsidRPr="0097239C">
        <w:t xml:space="preserve"> </w:t>
      </w:r>
      <w:r w:rsidRPr="0097239C">
        <w:rPr>
          <w:rFonts w:hint="cs"/>
          <w:rtl/>
        </w:rPr>
        <w:t>שבוצעו</w:t>
      </w:r>
      <w:r w:rsidRPr="0097239C">
        <w:t xml:space="preserve"> </w:t>
      </w:r>
      <w:r w:rsidRPr="0097239C">
        <w:rPr>
          <w:rFonts w:hint="cs"/>
          <w:rtl/>
        </w:rPr>
        <w:t>ברחבי העולם מעידים שבנייה</w:t>
      </w:r>
      <w:r w:rsidRPr="0097239C">
        <w:t xml:space="preserve"> </w:t>
      </w:r>
      <w:r w:rsidRPr="0097239C">
        <w:rPr>
          <w:rFonts w:hint="cs"/>
          <w:rtl/>
        </w:rPr>
        <w:t>ירוקה</w:t>
      </w:r>
      <w:r w:rsidRPr="0097239C">
        <w:t xml:space="preserve"> </w:t>
      </w:r>
      <w:r w:rsidRPr="0097239C">
        <w:rPr>
          <w:rFonts w:hint="cs"/>
          <w:rtl/>
        </w:rPr>
        <w:t>יכולה</w:t>
      </w:r>
      <w:r w:rsidRPr="0097239C">
        <w:t xml:space="preserve"> </w:t>
      </w:r>
      <w:r w:rsidRPr="0097239C">
        <w:rPr>
          <w:rFonts w:hint="cs"/>
          <w:rtl/>
        </w:rPr>
        <w:t>לחסוך</w:t>
      </w:r>
      <w:r w:rsidRPr="0097239C">
        <w:t xml:space="preserve"> </w:t>
      </w:r>
      <w:r w:rsidRPr="0097239C">
        <w:rPr>
          <w:rFonts w:hint="cs"/>
          <w:rtl/>
        </w:rPr>
        <w:t>10% - 30% מהוצאות התפעול של משק בית</w:t>
      </w:r>
      <w:r>
        <w:rPr>
          <w:vertAlign w:val="superscript"/>
          <w:rtl/>
        </w:rPr>
        <w:footnoteReference w:id="133"/>
      </w:r>
      <w:r w:rsidRPr="0097239C">
        <w:rPr>
          <w:rFonts w:hint="cs"/>
          <w:rtl/>
        </w:rPr>
        <w:t xml:space="preserve">. עם זאת, הסמכת מבנים לירוקים כרוכה בעלויות נוספות, שאינן נכללות בעלות הקמתם של מבנים מסורתיים, כגון מפאת השימוש בחומרים יקרים יותר ובמערכות מכניות יקרות ויעילות יותר. הסמכה כזאת גם מצריכה תהליך תכנון מורכב וממושך יותר. החוקרים אינם תמימי דעים לגבי העלויות של בנייה ירוקה לעומת בנייה מסורתית. חלק מהחוקרים גורסים שהבנייה הירוקה אינה </w:t>
      </w:r>
      <w:r w:rsidRPr="0097239C">
        <w:rPr>
          <w:rFonts w:hint="cs"/>
          <w:rtl/>
        </w:rPr>
        <w:t xml:space="preserve">כרוכה בהכרח בעלויות גבוהות יותר לעומת המסורתית, בייחוד אם עקרונות של בנייה ירוקה כבר מוטמעים בתחילת הליך התכנון, ואף שלעיתים הבנייה הירוקה כרוכה בעלויות נוספות, הן נמוכות מהצפוי. לרוב החיסכון </w:t>
      </w:r>
      <w:r w:rsidRPr="0097239C">
        <w:rPr>
          <w:rFonts w:hint="cs"/>
          <w:rtl/>
        </w:rPr>
        <w:t>באנרגייה</w:t>
      </w:r>
      <w:r w:rsidRPr="0097239C">
        <w:rPr>
          <w:rFonts w:hint="cs"/>
          <w:rtl/>
        </w:rPr>
        <w:t xml:space="preserve"> בבנייה ירוקה גדול מהעלות הנוספת של הבנייה, והוא גורם להחזר ההשקעה בתקופת זמן קצרה יחסית</w:t>
      </w:r>
      <w:r>
        <w:rPr>
          <w:vertAlign w:val="superscript"/>
          <w:rtl/>
        </w:rPr>
        <w:footnoteReference w:id="134"/>
      </w:r>
      <w:r w:rsidRPr="0097239C">
        <w:rPr>
          <w:rFonts w:hint="cs"/>
          <w:rtl/>
        </w:rPr>
        <w:t xml:space="preserve">. לעומת זאת, מדוח שהוכן עבור משרד </w:t>
      </w:r>
      <w:r w:rsidRPr="0097239C">
        <w:rPr>
          <w:rFonts w:hint="cs"/>
          <w:rtl/>
        </w:rPr>
        <w:t>האנרגייה</w:t>
      </w:r>
      <w:r w:rsidRPr="0097239C">
        <w:rPr>
          <w:rFonts w:hint="cs"/>
          <w:rtl/>
        </w:rPr>
        <w:t xml:space="preserve"> בשנת 2013 עולה כי הכדאיות הכלכלית של שיפוץ מבנים קיימים לשם חיסכון </w:t>
      </w:r>
      <w:r w:rsidRPr="0097239C">
        <w:rPr>
          <w:rFonts w:hint="cs"/>
          <w:rtl/>
        </w:rPr>
        <w:t>באנרגייה</w:t>
      </w:r>
      <w:r w:rsidRPr="0097239C">
        <w:rPr>
          <w:rFonts w:hint="cs"/>
          <w:rtl/>
        </w:rPr>
        <w:t xml:space="preserve"> היא גבולית</w:t>
      </w:r>
      <w:r>
        <w:rPr>
          <w:vertAlign w:val="superscript"/>
          <w:rtl/>
        </w:rPr>
        <w:footnoteReference w:id="135"/>
      </w:r>
      <w:r w:rsidRPr="0097239C">
        <w:rPr>
          <w:rFonts w:hint="cs"/>
          <w:rtl/>
        </w:rPr>
        <w:t>.</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ממחקר שהוכן עבור המשרד </w:t>
      </w:r>
      <w:r w:rsidRPr="0097239C">
        <w:rPr>
          <w:rFonts w:hint="cs"/>
          <w:rtl/>
        </w:rPr>
        <w:t>להג"ס</w:t>
      </w:r>
      <w:r w:rsidRPr="0097239C">
        <w:rPr>
          <w:rFonts w:hint="cs"/>
          <w:rtl/>
        </w:rPr>
        <w:t xml:space="preserve"> בנובמבר 2018</w:t>
      </w:r>
      <w:r>
        <w:rPr>
          <w:vertAlign w:val="superscript"/>
          <w:rtl/>
        </w:rPr>
        <w:footnoteReference w:id="136"/>
      </w:r>
      <w:r w:rsidRPr="0097239C">
        <w:rPr>
          <w:rFonts w:hint="cs"/>
          <w:rtl/>
        </w:rPr>
        <w:t xml:space="preserve"> עולה כי עלות ההשקעה בבנייה ירוקה בישראל היא 1% - 5% מהעלות הכוללת של הבנייה</w:t>
      </w:r>
      <w:r>
        <w:rPr>
          <w:vertAlign w:val="superscript"/>
          <w:rtl/>
        </w:rPr>
        <w:footnoteReference w:id="137"/>
      </w:r>
      <w:r w:rsidRPr="0097239C">
        <w:rPr>
          <w:rFonts w:hint="cs"/>
          <w:rtl/>
        </w:rPr>
        <w:t>, והיא משתנה בהתאם לרמת ההסמכה של התקן. על פי נתוני המועצה הישראלית לבנייה ירוקה, 90% מהחיסכון הישיר מבנייה ירוקה מקורו בחיסכון בחשמל</w:t>
      </w:r>
      <w:r>
        <w:rPr>
          <w:vertAlign w:val="superscript"/>
          <w:rtl/>
        </w:rPr>
        <w:footnoteReference w:id="138"/>
      </w:r>
      <w:r w:rsidRPr="0097239C">
        <w:rPr>
          <w:rFonts w:hint="cs"/>
          <w:rtl/>
        </w:rPr>
        <w:t xml:space="preserve">. על פי מסמכי המשרד </w:t>
      </w:r>
      <w:r w:rsidRPr="0097239C">
        <w:rPr>
          <w:rFonts w:hint="cs"/>
          <w:rtl/>
        </w:rPr>
        <w:t>להג"ס</w:t>
      </w:r>
      <w:r w:rsidRPr="0097239C">
        <w:rPr>
          <w:rFonts w:hint="cs"/>
          <w:rtl/>
        </w:rPr>
        <w:t xml:space="preserve">, שסקר מחקרים שבוצעו בתחום הבנייה הירוקה, אם מתחשבים בתועלות הישירות בלבד, הרי שעלות ההשקעה הנוספת במחצית מהבניינים הירוקים מוחזרת בזכות החיסכון </w:t>
      </w:r>
      <w:r w:rsidRPr="0097239C">
        <w:rPr>
          <w:rFonts w:hint="cs"/>
          <w:rtl/>
        </w:rPr>
        <w:t>באנרגייה</w:t>
      </w:r>
      <w:r w:rsidRPr="0097239C">
        <w:rPr>
          <w:rFonts w:hint="cs"/>
          <w:rtl/>
        </w:rPr>
        <w:t xml:space="preserve"> ובמים בתוך חמש שנים. בזכות הפנמת התועלות העקיפות בשל השיפור בבריאות והעלאת הפריון, ב-90% מהבניינים מוחזרת ההשקעה בתוך חמש שנים. בישראל החזר ההשקעה מהחיסכון </w:t>
      </w:r>
      <w:r w:rsidRPr="0097239C">
        <w:rPr>
          <w:rFonts w:hint="cs"/>
          <w:rtl/>
        </w:rPr>
        <w:t>באנרגייה</w:t>
      </w:r>
      <w:r w:rsidRPr="0097239C">
        <w:rPr>
          <w:rFonts w:hint="cs"/>
          <w:rtl/>
        </w:rPr>
        <w:t xml:space="preserve"> הוא הצעד המשמעותי ביותר מבין כל הצעדים הנדרשים בתקני </w:t>
      </w:r>
      <w:r w:rsidRPr="0097239C">
        <w:rPr>
          <w:rFonts w:hint="cs"/>
          <w:rtl/>
        </w:rPr>
        <w:t>אנרגייה</w:t>
      </w:r>
      <w:r w:rsidRPr="0097239C">
        <w:rPr>
          <w:rFonts w:hint="cs"/>
          <w:rtl/>
        </w:rPr>
        <w:t xml:space="preserve"> ירוקה, והוא תורם לכ-40% מהחיסכון</w:t>
      </w:r>
      <w:r>
        <w:rPr>
          <w:vertAlign w:val="superscript"/>
          <w:rtl/>
        </w:rPr>
        <w:footnoteReference w:id="139"/>
      </w:r>
      <w:r w:rsidRPr="0097239C">
        <w:rPr>
          <w:rFonts w:hint="cs"/>
          <w:rtl/>
        </w:rPr>
        <w:t xml:space="preserve">.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משרד מבקר המדינה מציין כי על אף התועלת שבנייה ירוקה מספקת, ואף שהטמעת הבנייה הירוקה בתחילת תהליך התכנון כדאית יותר משיפוץ מבנים בבנייה ירוקה, היקף הבנייה הירוקה בישראל נותר מצומצם. לנוכח זאת על המשרד </w:t>
      </w:r>
      <w:r w:rsidRPr="0097239C">
        <w:rPr>
          <w:rFonts w:hint="cs"/>
          <w:b/>
          <w:bCs/>
          <w:rtl/>
        </w:rPr>
        <w:t>להג"ס</w:t>
      </w:r>
      <w:r w:rsidRPr="0097239C">
        <w:rPr>
          <w:rFonts w:hint="cs"/>
          <w:b/>
          <w:bCs/>
          <w:rtl/>
        </w:rPr>
        <w:t xml:space="preserve">, משרד </w:t>
      </w:r>
      <w:r w:rsidRPr="0097239C">
        <w:rPr>
          <w:rFonts w:hint="cs"/>
          <w:b/>
          <w:bCs/>
          <w:rtl/>
        </w:rPr>
        <w:t>האנרגייה</w:t>
      </w:r>
      <w:r w:rsidRPr="0097239C">
        <w:rPr>
          <w:rFonts w:hint="cs"/>
          <w:b/>
          <w:bCs/>
          <w:rtl/>
        </w:rPr>
        <w:t xml:space="preserve">, משרד הבינוי והשיכון </w:t>
      </w:r>
      <w:r w:rsidRPr="0097239C">
        <w:rPr>
          <w:rFonts w:hint="cs"/>
          <w:b/>
          <w:bCs/>
          <w:rtl/>
        </w:rPr>
        <w:t>ומינהל</w:t>
      </w:r>
      <w:r w:rsidRPr="0097239C">
        <w:rPr>
          <w:rFonts w:hint="cs"/>
          <w:b/>
          <w:bCs/>
          <w:rtl/>
        </w:rPr>
        <w:t xml:space="preserve"> התכנון לפעול להעלאת המודעות לבנייה מסוג זה בקרב הציבור.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מינהל</w:t>
      </w:r>
      <w:r w:rsidRPr="0097239C">
        <w:rPr>
          <w:rFonts w:hint="cs"/>
          <w:rtl/>
        </w:rPr>
        <w:t xml:space="preserve"> התכנון השיב למשרד מבקר המדינה במאי 2020 כי קידום התקנות לחיוב בנייה לפי תקן ירוק 5281 משמש כלי מרכזי להעלאת המודעות של הציבור לנושא, וכי לאחר אישור התקנות ופרסומן, </w:t>
      </w:r>
      <w:r w:rsidRPr="0097239C">
        <w:rPr>
          <w:rFonts w:hint="cs"/>
          <w:rtl/>
        </w:rPr>
        <w:t>מינהל</w:t>
      </w:r>
      <w:r w:rsidRPr="0097239C">
        <w:rPr>
          <w:rFonts w:hint="cs"/>
          <w:rtl/>
        </w:rPr>
        <w:t xml:space="preserve"> התכנון יפעל ליידע את הציבור ומוסדות התכנון בדבר החובה לבנות לפי התקן הירוק. המשרד </w:t>
      </w:r>
      <w:r w:rsidRPr="0097239C">
        <w:rPr>
          <w:rFonts w:hint="cs"/>
          <w:rtl/>
        </w:rPr>
        <w:t>להג"ס</w:t>
      </w:r>
      <w:r w:rsidRPr="0097239C">
        <w:rPr>
          <w:rFonts w:hint="cs"/>
          <w:rtl/>
        </w:rPr>
        <w:t xml:space="preserve"> השיב למשרד מבקר המדינה במאי 2020, כי על הממשלה לחייב את כל התוכניות לבניית מבנים חדשים לעמוד בתקן בנייה ירוקה ולהגדיר יעדים לבנייה מאופסת </w:t>
      </w:r>
      <w:r w:rsidRPr="0097239C">
        <w:rPr>
          <w:rFonts w:hint="cs"/>
          <w:rtl/>
        </w:rPr>
        <w:t>אנרגייה</w:t>
      </w:r>
      <w:r w:rsidRPr="0097239C">
        <w:rPr>
          <w:rFonts w:hint="cs"/>
          <w:rtl/>
        </w:rPr>
        <w:t xml:space="preserve"> כבר לשנים הקרובות. מדיניות זו הכרחית לקידום ישראל לעמידה ביעדים </w:t>
      </w:r>
      <w:r w:rsidR="006C66A1">
        <w:rPr>
          <w:rFonts w:hint="cs"/>
          <w:rtl/>
        </w:rPr>
        <w:t xml:space="preserve">להתייעלות אנרגטית ולהפחתת </w:t>
      </w:r>
      <w:r w:rsidR="006C66A1">
        <w:rPr>
          <w:rFonts w:hint="cs"/>
          <w:rtl/>
        </w:rPr>
        <w:t>גז"ח</w:t>
      </w:r>
      <w:r w:rsidR="006C66A1">
        <w:rPr>
          <w:rFonts w:hint="cs"/>
          <w:rtl/>
        </w:rPr>
        <w:t>.</w:t>
      </w:r>
    </w:p>
    <w:p w:rsidR="006C66A1" w:rsidRPr="0097239C" w:rsidP="00C603CF">
      <w:pPr>
        <w:spacing w:line="269" w:lineRule="auto"/>
        <w:rPr>
          <w:rtl/>
        </w:rPr>
      </w:pPr>
    </w:p>
    <w:p w:rsidR="0097239C" w:rsidP="00C603CF">
      <w:pPr>
        <w:pStyle w:val="Heading3"/>
        <w:spacing w:before="0" w:line="269" w:lineRule="auto"/>
        <w:rPr>
          <w:rtl/>
        </w:rPr>
      </w:pPr>
      <w:bookmarkStart w:id="18" w:name="_Toc46906233"/>
      <w:r w:rsidRPr="0097239C">
        <w:rPr>
          <w:rFonts w:hint="cs"/>
          <w:rtl/>
        </w:rPr>
        <w:t>קידום בנייה ירוקה בתוכניות שמקודמות ביוזמת המדינה</w:t>
      </w:r>
      <w:bookmarkEnd w:id="18"/>
    </w:p>
    <w:p w:rsidR="006C66A1" w:rsidRPr="0097239C" w:rsidP="00C603CF">
      <w:pPr>
        <w:pStyle w:val="a"/>
        <w:spacing w:line="269" w:lineRule="auto"/>
        <w:rPr>
          <w:rtl/>
        </w:rPr>
      </w:pPr>
    </w:p>
    <w:p w:rsidR="0097239C" w:rsidRPr="0097239C" w:rsidP="00C603CF">
      <w:pPr>
        <w:spacing w:line="269" w:lineRule="auto"/>
        <w:rPr>
          <w:rtl/>
        </w:rPr>
      </w:pPr>
      <w:r w:rsidRPr="0097239C">
        <w:rPr>
          <w:rFonts w:hint="cs"/>
          <w:rtl/>
        </w:rPr>
        <w:t>משרד מבקר המדינה כבר העיר</w:t>
      </w:r>
      <w:r>
        <w:rPr>
          <w:vertAlign w:val="superscript"/>
          <w:rtl/>
        </w:rPr>
        <w:footnoteReference w:id="140"/>
      </w:r>
      <w:r w:rsidRPr="0097239C">
        <w:rPr>
          <w:rFonts w:hint="cs"/>
          <w:rtl/>
        </w:rPr>
        <w:t xml:space="preserve"> כי מדינת ישראל פועלת בשוק הבנייה באמצעות כמה גופים, וכי יש ביכולתה של המדינה לסייע לקידומה של "תעשייה צעירה" כגון בנייה ירוקה הן באמצעות מתן תמריצים כלכליים והן באמצעות מעמדה כצרכן בעל השפעה בתחום. אולם הממשלה לא ניצלה את מעמדה כצרכן בולט בשוק הבנייה כדי להטמיע בו סטנדרטים חדשים של בנייה ירוקה. </w:t>
      </w:r>
    </w:p>
    <w:p w:rsidR="0097239C" w:rsidRPr="0097239C" w:rsidP="00C603CF">
      <w:pPr>
        <w:pStyle w:val="a"/>
        <w:spacing w:line="269" w:lineRule="auto"/>
        <w:rPr>
          <w:rtl/>
        </w:rPr>
      </w:pPr>
    </w:p>
    <w:p w:rsidR="0097239C" w:rsidP="00C603CF">
      <w:pPr>
        <w:spacing w:line="269" w:lineRule="auto"/>
        <w:rPr>
          <w:rtl/>
        </w:rPr>
      </w:pPr>
      <w:r w:rsidRPr="0097239C">
        <w:rPr>
          <w:rFonts w:hint="cs"/>
          <w:rtl/>
        </w:rPr>
        <w:t xml:space="preserve">הביקורת העלתה כי לממשלה לא הייתה מדיניות עקבית בנוגע ליישום תקני בנייה ירוקה בתוכניות הבנייה שהיא יוזמת. למשל, </w:t>
      </w:r>
      <w:r w:rsidRPr="0097239C">
        <w:rPr>
          <w:rtl/>
        </w:rPr>
        <w:t xml:space="preserve">במסגרת המכרזים </w:t>
      </w:r>
      <w:r w:rsidRPr="0097239C">
        <w:rPr>
          <w:rFonts w:hint="cs"/>
          <w:rtl/>
        </w:rPr>
        <w:t>של "דירה להשכיר"</w:t>
      </w:r>
      <w:r w:rsidRPr="0097239C">
        <w:rPr>
          <w:rtl/>
        </w:rPr>
        <w:t xml:space="preserve"> יש מפרט </w:t>
      </w:r>
      <w:r w:rsidRPr="0097239C">
        <w:rPr>
          <w:rFonts w:hint="cs"/>
          <w:rtl/>
        </w:rPr>
        <w:t xml:space="preserve">אחיד </w:t>
      </w:r>
      <w:r w:rsidRPr="0097239C">
        <w:rPr>
          <w:rtl/>
        </w:rPr>
        <w:t xml:space="preserve">הדורש ליישם </w:t>
      </w:r>
      <w:r w:rsidRPr="0097239C">
        <w:rPr>
          <w:rtl/>
        </w:rPr>
        <w:t>את תקן 5281</w:t>
      </w:r>
      <w:r w:rsidRPr="0097239C">
        <w:rPr>
          <w:rFonts w:hint="cs"/>
          <w:rtl/>
        </w:rPr>
        <w:t>,</w:t>
      </w:r>
      <w:r w:rsidRPr="0097239C">
        <w:rPr>
          <w:rtl/>
        </w:rPr>
        <w:t xml:space="preserve"> </w:t>
      </w:r>
      <w:r w:rsidRPr="0097239C">
        <w:rPr>
          <w:rFonts w:hint="cs"/>
          <w:rtl/>
        </w:rPr>
        <w:t>ו</w:t>
      </w:r>
      <w:r w:rsidRPr="0097239C">
        <w:rPr>
          <w:rtl/>
        </w:rPr>
        <w:t>כל מבנה צריך לעמוד בדרישות כוכב אחד</w:t>
      </w:r>
      <w:r>
        <w:rPr>
          <w:vertAlign w:val="superscript"/>
          <w:rtl/>
        </w:rPr>
        <w:footnoteReference w:id="141"/>
      </w:r>
      <w:r w:rsidRPr="0097239C">
        <w:rPr>
          <w:rtl/>
        </w:rPr>
        <w:t>.</w:t>
      </w:r>
      <w:r w:rsidRPr="0097239C">
        <w:rPr>
          <w:rFonts w:hint="cs"/>
          <w:rtl/>
        </w:rPr>
        <w:t xml:space="preserve"> ואולם בתוכנית "מחיר למשתכן" נכללו אלמנטים שונים של בנייה ירוקה, אך לא נכללה בה הדרישה לעמידה בתקן "בנייה ירוקה" ברמה כלשהי.</w:t>
      </w:r>
    </w:p>
    <w:p w:rsidR="0097239C" w:rsidRPr="0097239C" w:rsidP="00C603CF">
      <w:pPr>
        <w:pStyle w:val="a"/>
        <w:spacing w:line="269" w:lineRule="auto"/>
      </w:pPr>
    </w:p>
    <w:p w:rsidR="0097239C" w:rsidRPr="0097239C" w:rsidP="00C603CF">
      <w:pPr>
        <w:spacing w:line="269" w:lineRule="auto"/>
        <w:rPr>
          <w:rtl/>
        </w:rPr>
      </w:pPr>
      <w:r w:rsidRPr="0097239C">
        <w:rPr>
          <w:rFonts w:hint="cs"/>
          <w:rtl/>
        </w:rPr>
        <w:t>במסגרת התוכנית "מחיר למשתכן" מתוכננות כ-70,000 יחידות דיור. לפי אומדן של משרד מבקר המדינה, אילו דירות אלו היו נבנות לפי תקן בנייה ירוקה, היה המשק עשוי לחסוך כ-1.57 מיליארד ש"ח לאורך חיי הדירות, כ-49 שנים, בזכות הצמצום בצריכת החשמל</w:t>
      </w:r>
      <w:r>
        <w:rPr>
          <w:vertAlign w:val="superscript"/>
          <w:rtl/>
        </w:rPr>
        <w:footnoteReference w:id="142"/>
      </w:r>
      <w:r w:rsidRPr="0097239C">
        <w:rPr>
          <w:rFonts w:hint="cs"/>
          <w:rtl/>
        </w:rPr>
        <w:t xml:space="preserve">. אם יובא בחשבון גם החיסכון בצריכת מים, הרי שבניית הדירות האמורות לפי תקן בנייה ירוקה הייתה מאפשרת חיסכון של כ-2.37 מיליארד ש"ח.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בנייה ירוקה גורמת במישרין לעלייה במחירי הדירות בטווח הקצר, ועם זאת בטווח הארוך עלות תחזוקת הדירות צפויה לפחות במשך השנים, והחיסכון המצטבר שמקורו בהוזלת התחזוקה של הדירה אמור לפצות על העלייה במחיר הדירה. ההבדלים בין הדרישות להטמעת תקני בנייה ירוקה בתוכנית "מחיר למשתכן" לעומת דרישות התוכנית "דירה להשכיר" מעידים שלגופי התכנון לא הייתה</w:t>
      </w:r>
      <w:r w:rsidRPr="0097239C">
        <w:rPr>
          <w:b/>
          <w:bCs/>
          <w:rtl/>
        </w:rPr>
        <w:t xml:space="preserve"> מדינ</w:t>
      </w:r>
      <w:r w:rsidRPr="0097239C">
        <w:rPr>
          <w:rFonts w:hint="eastAsia"/>
          <w:b/>
          <w:bCs/>
          <w:rtl/>
        </w:rPr>
        <w:t>יות</w:t>
      </w:r>
      <w:r w:rsidRPr="0097239C">
        <w:rPr>
          <w:b/>
          <w:bCs/>
          <w:rtl/>
        </w:rPr>
        <w:t xml:space="preserve"> </w:t>
      </w:r>
      <w:r w:rsidRPr="0097239C">
        <w:rPr>
          <w:rFonts w:hint="cs"/>
          <w:b/>
          <w:bCs/>
          <w:rtl/>
        </w:rPr>
        <w:t xml:space="preserve">סדורה בנושא. על משרד הבינוי והשיכון, בשיתוף </w:t>
      </w:r>
      <w:r w:rsidRPr="0097239C">
        <w:rPr>
          <w:rFonts w:hint="cs"/>
          <w:b/>
          <w:bCs/>
          <w:rtl/>
        </w:rPr>
        <w:t>מינהל</w:t>
      </w:r>
      <w:r w:rsidRPr="0097239C">
        <w:rPr>
          <w:rFonts w:hint="cs"/>
          <w:b/>
          <w:bCs/>
          <w:rtl/>
        </w:rPr>
        <w:t xml:space="preserve"> התכנון, המשרד </w:t>
      </w:r>
      <w:r w:rsidRPr="0097239C">
        <w:rPr>
          <w:rFonts w:hint="cs"/>
          <w:b/>
          <w:bCs/>
          <w:rtl/>
        </w:rPr>
        <w:t>להג"ס</w:t>
      </w:r>
      <w:r w:rsidRPr="0097239C">
        <w:rPr>
          <w:rFonts w:hint="cs"/>
          <w:b/>
          <w:bCs/>
          <w:rtl/>
        </w:rPr>
        <w:t xml:space="preserve">, משרד האוצר ומשרד </w:t>
      </w:r>
      <w:r w:rsidRPr="0097239C">
        <w:rPr>
          <w:rFonts w:hint="cs"/>
          <w:b/>
          <w:bCs/>
          <w:rtl/>
        </w:rPr>
        <w:t>האנרגייה</w:t>
      </w:r>
      <w:r w:rsidRPr="0097239C">
        <w:rPr>
          <w:rFonts w:hint="cs"/>
          <w:b/>
          <w:bCs/>
          <w:rtl/>
        </w:rPr>
        <w:t xml:space="preserve">, לפעול לגיבוש מדיניות כוללת בנוגע ליישום דרישות תקני "בנייה ירוקה" במסגרת כל </w:t>
      </w:r>
      <w:r w:rsidRPr="0097239C">
        <w:rPr>
          <w:rFonts w:hint="cs"/>
          <w:b/>
          <w:bCs/>
          <w:rtl/>
        </w:rPr>
        <w:t>תוכניות</w:t>
      </w:r>
      <w:r w:rsidRPr="0097239C">
        <w:rPr>
          <w:rFonts w:hint="cs"/>
          <w:b/>
          <w:bCs/>
          <w:rtl/>
        </w:rPr>
        <w:t xml:space="preserve"> הבנייה שהמדינה יוזמת ומקדמת.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מינהל</w:t>
      </w:r>
      <w:r w:rsidRPr="0097239C">
        <w:rPr>
          <w:rFonts w:hint="cs"/>
          <w:rtl/>
        </w:rPr>
        <w:t xml:space="preserve"> התכנון השיב למשרד מבקר המדינה כי מדיניותו בנוגע לחיוב בנייה לפי תקן ירוק בתקנות תחול גם על בנייה לפי </w:t>
      </w:r>
      <w:r w:rsidRPr="0097239C">
        <w:rPr>
          <w:rFonts w:hint="cs"/>
          <w:rtl/>
        </w:rPr>
        <w:t>תוכנית</w:t>
      </w:r>
      <w:r w:rsidRPr="0097239C">
        <w:rPr>
          <w:rFonts w:hint="cs"/>
          <w:rtl/>
        </w:rPr>
        <w:t xml:space="preserve"> שהמדינה יוזמת ומקדמת.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 xml:space="preserve">יצוין כי גופים ציבוריים שונים במשק מטמיעים סטנדרטים של בנייה ירוקה בהליכי התכנון והבנייה שלהם. למשל, </w:t>
      </w:r>
      <w:r w:rsidRPr="0097239C">
        <w:rPr>
          <w:rFonts w:hint="cs"/>
          <w:rtl/>
        </w:rPr>
        <w:t>מינהל</w:t>
      </w:r>
      <w:r w:rsidRPr="0097239C">
        <w:rPr>
          <w:rFonts w:hint="cs"/>
          <w:rtl/>
        </w:rPr>
        <w:t xml:space="preserve"> הדיור הממשלתי </w:t>
      </w:r>
      <w:r w:rsidRPr="0097239C">
        <w:rPr>
          <w:rtl/>
        </w:rPr>
        <w:t>דורש משנת 2013 כי כל המבנים החדשים הנבנים עבורו יעמדו בתקן בנ</w:t>
      </w:r>
      <w:r w:rsidRPr="0097239C">
        <w:rPr>
          <w:rFonts w:hint="cs"/>
          <w:rtl/>
        </w:rPr>
        <w:t>י</w:t>
      </w:r>
      <w:r w:rsidRPr="0097239C">
        <w:rPr>
          <w:rtl/>
        </w:rPr>
        <w:t>יה ירוקה</w:t>
      </w:r>
      <w:r w:rsidRPr="0097239C">
        <w:rPr>
          <w:rFonts w:hint="cs"/>
          <w:rtl/>
        </w:rPr>
        <w:t xml:space="preserve"> </w:t>
      </w:r>
      <w:r w:rsidRPr="0097239C">
        <w:rPr>
          <w:rtl/>
        </w:rPr>
        <w:t xml:space="preserve">- הן במבנים חדשים והן </w:t>
      </w:r>
      <w:r w:rsidRPr="0097239C">
        <w:rPr>
          <w:rFonts w:hint="cs"/>
          <w:rtl/>
        </w:rPr>
        <w:t xml:space="preserve">במבנים </w:t>
      </w:r>
      <w:r w:rsidRPr="0097239C">
        <w:rPr>
          <w:rtl/>
        </w:rPr>
        <w:t>בשיפוץ</w:t>
      </w:r>
      <w:r w:rsidRPr="0097239C">
        <w:rPr>
          <w:rFonts w:hint="cs"/>
          <w:rtl/>
        </w:rPr>
        <w:t xml:space="preserve"> או במסגרת </w:t>
      </w:r>
      <w:r w:rsidRPr="0097239C">
        <w:rPr>
          <w:rtl/>
        </w:rPr>
        <w:t>התאמה של מבנים קיימים</w:t>
      </w:r>
      <w:r w:rsidRPr="0097239C">
        <w:rPr>
          <w:rFonts w:hint="cs"/>
          <w:rtl/>
        </w:rPr>
        <w:t xml:space="preserve">; משרד הביטחון </w:t>
      </w:r>
      <w:r w:rsidRPr="0097239C">
        <w:rPr>
          <w:rtl/>
        </w:rPr>
        <w:t xml:space="preserve">אימץ את התקן הישראלי לבנייה ירוקה ומטמיע אותו בתכנון </w:t>
      </w:r>
      <w:r w:rsidRPr="0097239C">
        <w:rPr>
          <w:rFonts w:hint="cs"/>
          <w:rtl/>
        </w:rPr>
        <w:t xml:space="preserve">מבני ההדרכה החדשים (עיר </w:t>
      </w:r>
      <w:r w:rsidRPr="0097239C">
        <w:rPr>
          <w:rFonts w:hint="cs"/>
          <w:rtl/>
        </w:rPr>
        <w:t>הבה"דים</w:t>
      </w:r>
      <w:r w:rsidRPr="0097239C">
        <w:rPr>
          <w:rFonts w:hint="cs"/>
          <w:rtl/>
        </w:rPr>
        <w:t>)</w:t>
      </w:r>
      <w:r w:rsidRPr="0097239C">
        <w:rPr>
          <w:rtl/>
        </w:rPr>
        <w:t xml:space="preserve">. </w:t>
      </w:r>
    </w:p>
    <w:p w:rsidR="0097239C" w:rsidRPr="0097239C" w:rsidP="00C603CF">
      <w:pPr>
        <w:pStyle w:val="a"/>
        <w:spacing w:line="269" w:lineRule="auto"/>
      </w:pPr>
    </w:p>
    <w:p w:rsidR="0097239C" w:rsidRPr="0097239C" w:rsidP="00C603CF">
      <w:pPr>
        <w:spacing w:line="269" w:lineRule="auto"/>
        <w:rPr>
          <w:b/>
          <w:bCs/>
          <w:rtl/>
        </w:rPr>
      </w:pPr>
      <w:r w:rsidRPr="0097239C">
        <w:rPr>
          <w:rFonts w:hint="cs"/>
          <w:b/>
          <w:bCs/>
          <w:rtl/>
        </w:rPr>
        <w:t xml:space="preserve">משרד מבקר המדינה רואה בחיוב את העובדה כי </w:t>
      </w:r>
      <w:r w:rsidRPr="0097239C">
        <w:rPr>
          <w:rFonts w:hint="cs"/>
          <w:b/>
          <w:bCs/>
          <w:rtl/>
        </w:rPr>
        <w:t>מינהל</w:t>
      </w:r>
      <w:r w:rsidRPr="0097239C">
        <w:rPr>
          <w:rFonts w:hint="cs"/>
          <w:b/>
          <w:bCs/>
          <w:rtl/>
        </w:rPr>
        <w:t xml:space="preserve"> הדיור הממשלתי ומשרד הביטחון אימצו את תקני הבנייה הירוקה, והוא ממליץ לבחון את מידת הטמעת הסטנדרטים של בנייה ירוקה בתוכניות הבנייה של כל גוף ציבורי, ושתקני הבנייה הירוקה ייושמו במקומות שבהם הדבר כדאי כלכלית.</w:t>
      </w:r>
    </w:p>
    <w:p w:rsidR="0097239C" w:rsidRPr="0097239C" w:rsidP="00C603CF">
      <w:pPr>
        <w:pStyle w:val="a"/>
        <w:spacing w:line="269" w:lineRule="auto"/>
        <w:rPr>
          <w:rtl/>
        </w:rPr>
      </w:pPr>
    </w:p>
    <w:p w:rsidR="0097239C" w:rsidRPr="0097239C" w:rsidP="00C603CF">
      <w:pPr>
        <w:spacing w:line="269" w:lineRule="auto"/>
        <w:rPr>
          <w:rtl/>
        </w:rPr>
      </w:pPr>
      <w:r w:rsidRPr="0097239C">
        <w:rPr>
          <w:rFonts w:hint="cs"/>
          <w:rtl/>
        </w:rPr>
        <w:t>אחד החסמים בתחום הבנייה הירוקה מקורו בכך שהמשקיע והמוטב הם גורמים שונים שאין להם אותם אינטרסים. למשל, לחברות הבנייה תמריץ מוגבל ליישום התייעלות אנרגטית, משום שהגורמים המפיקים רווח מהבנייה הירוקה הם הדיירים או בעלי הבתים, הזוכים לחשבון חשמל מופחת, והם אינם הגורמים הנדרשים לבצע את ההשקעה הראשונית עבור מימוש ההפחתה. חסם נוסף הוא יוקר המחיה והעלייה במחירי הדיור בישראל, שבגינם מנסה הממשלה לצמצם כל פעולה שעלולה להביא לייקור נוסף בעלויות הבנייה, משום שאלו יגולגלו בסופו של דבר על הצרכנים.</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eastAsia"/>
          <w:b/>
          <w:bCs/>
          <w:rtl/>
        </w:rPr>
        <w:t>על</w:t>
      </w:r>
      <w:r w:rsidRPr="0097239C">
        <w:rPr>
          <w:b/>
          <w:bCs/>
          <w:rtl/>
        </w:rPr>
        <w:t xml:space="preserve"> המשרדים הנוגעים בדבר לפעול </w:t>
      </w:r>
      <w:r w:rsidRPr="0097239C">
        <w:rPr>
          <w:rFonts w:hint="cs"/>
          <w:b/>
          <w:bCs/>
          <w:rtl/>
        </w:rPr>
        <w:t>להסרת</w:t>
      </w:r>
      <w:r w:rsidRPr="0097239C">
        <w:rPr>
          <w:b/>
          <w:bCs/>
          <w:rtl/>
        </w:rPr>
        <w:t xml:space="preserve"> החסמים </w:t>
      </w:r>
      <w:r w:rsidRPr="0097239C">
        <w:rPr>
          <w:rFonts w:hint="cs"/>
          <w:b/>
          <w:bCs/>
          <w:rtl/>
        </w:rPr>
        <w:t>המקשים ליישם את</w:t>
      </w:r>
      <w:r w:rsidRPr="0097239C">
        <w:rPr>
          <w:b/>
          <w:bCs/>
          <w:rtl/>
        </w:rPr>
        <w:t xml:space="preserve"> תקני </w:t>
      </w:r>
      <w:r w:rsidRPr="0097239C">
        <w:rPr>
          <w:rFonts w:hint="cs"/>
          <w:b/>
          <w:bCs/>
          <w:rtl/>
        </w:rPr>
        <w:t>ה</w:t>
      </w:r>
      <w:r w:rsidRPr="0097239C">
        <w:rPr>
          <w:b/>
          <w:bCs/>
          <w:rtl/>
        </w:rPr>
        <w:t>בנ</w:t>
      </w:r>
      <w:r w:rsidRPr="0097239C">
        <w:rPr>
          <w:rFonts w:hint="cs"/>
          <w:b/>
          <w:bCs/>
          <w:rtl/>
        </w:rPr>
        <w:t>י</w:t>
      </w:r>
      <w:r w:rsidRPr="0097239C">
        <w:rPr>
          <w:b/>
          <w:bCs/>
          <w:rtl/>
        </w:rPr>
        <w:t xml:space="preserve">יה </w:t>
      </w:r>
      <w:r w:rsidRPr="0097239C">
        <w:rPr>
          <w:rFonts w:hint="cs"/>
          <w:b/>
          <w:bCs/>
          <w:rtl/>
        </w:rPr>
        <w:t>ה</w:t>
      </w:r>
      <w:r w:rsidRPr="0097239C">
        <w:rPr>
          <w:b/>
          <w:bCs/>
          <w:rtl/>
        </w:rPr>
        <w:t xml:space="preserve">ירוקה, </w:t>
      </w:r>
      <w:r w:rsidRPr="0097239C">
        <w:rPr>
          <w:rFonts w:hint="cs"/>
          <w:b/>
          <w:bCs/>
          <w:rtl/>
        </w:rPr>
        <w:t xml:space="preserve">ובכלל זה עליהם לטפל בבעיות שמקורן בכך שאימוץ תקנים אלה כרוך בהוצאות נוספות מבחינת </w:t>
      </w:r>
      <w:r w:rsidRPr="0097239C">
        <w:rPr>
          <w:rFonts w:hint="cs"/>
          <w:b/>
          <w:bCs/>
          <w:rtl/>
        </w:rPr>
        <w:t>הקבלן הבונה את הדירות, אולם הרווח הוא נחלתו של השוכר או הקונה, הצפוי ליהנות מהחיסכון בחשבון החשמל ובהוצאות התחזוקה של הדירה</w:t>
      </w:r>
      <w:r w:rsidRPr="0097239C">
        <w:rPr>
          <w:b/>
          <w:bCs/>
          <w:rtl/>
        </w:rPr>
        <w:t xml:space="preserve">. </w:t>
      </w:r>
    </w:p>
    <w:p w:rsidR="0097239C" w:rsidRPr="0097239C" w:rsidP="00C603CF">
      <w:pPr>
        <w:pStyle w:val="a"/>
        <w:spacing w:line="269" w:lineRule="auto"/>
        <w:rPr>
          <w:rtl/>
        </w:rPr>
      </w:pPr>
    </w:p>
    <w:p w:rsidR="0097239C" w:rsidP="00C603CF">
      <w:pPr>
        <w:spacing w:line="269" w:lineRule="auto"/>
        <w:rPr>
          <w:rtl/>
        </w:rPr>
      </w:pPr>
      <w:r w:rsidRPr="0097239C">
        <w:rPr>
          <w:rFonts w:hint="cs"/>
          <w:rtl/>
        </w:rPr>
        <w:t>מינהל</w:t>
      </w:r>
      <w:r w:rsidRPr="0097239C">
        <w:rPr>
          <w:rFonts w:hint="cs"/>
          <w:rtl/>
        </w:rPr>
        <w:t xml:space="preserve"> התכנון השיב למשרד מבקר המדינה כי עצם הטלת החובה בתקנות נועדה לפתור את החסמים ולהביא ליישום בנייה לפי התקן, מתוך הבנה כי קיים כשל שוק בנושא. עוד ציין </w:t>
      </w:r>
      <w:r w:rsidRPr="0097239C">
        <w:rPr>
          <w:rFonts w:hint="cs"/>
          <w:rtl/>
        </w:rPr>
        <w:t>מינהל</w:t>
      </w:r>
      <w:r w:rsidRPr="0097239C">
        <w:rPr>
          <w:rFonts w:hint="cs"/>
          <w:rtl/>
        </w:rPr>
        <w:t xml:space="preserve"> התכנון כי התקנות יחולו באופן מדורג על מנת להקל על תהליך הטמעתן ולאפשר לשוק להתמודד בצורה מיטבית עם הטלת החובה הקבועה בתקנות.</w:t>
      </w:r>
    </w:p>
    <w:p w:rsidR="006D65C4" w:rsidP="00C603CF">
      <w:pPr>
        <w:spacing w:line="269" w:lineRule="auto"/>
        <w:rPr>
          <w:rtl/>
        </w:rPr>
      </w:pPr>
    </w:p>
    <w:p w:rsidR="00C61B01" w:rsidRPr="0097239C" w:rsidP="00C603CF">
      <w:pPr>
        <w:spacing w:line="269" w:lineRule="auto"/>
        <w:rPr>
          <w:rtl/>
        </w:rPr>
      </w:pPr>
    </w:p>
    <w:p w:rsidR="0097239C" w:rsidP="00C603CF">
      <w:pPr>
        <w:pStyle w:val="Heading3"/>
        <w:spacing w:before="0" w:line="269" w:lineRule="auto"/>
        <w:rPr>
          <w:rtl/>
        </w:rPr>
      </w:pPr>
      <w:bookmarkStart w:id="19" w:name="_Toc46906234"/>
      <w:r w:rsidRPr="0097239C">
        <w:rPr>
          <w:rFonts w:hint="cs"/>
          <w:rtl/>
        </w:rPr>
        <w:t>סיכום</w:t>
      </w:r>
      <w:bookmarkEnd w:id="19"/>
    </w:p>
    <w:p w:rsidR="006C66A1" w:rsidRPr="006C66A1" w:rsidP="00C603CF">
      <w:pPr>
        <w:pStyle w:val="a"/>
        <w:spacing w:line="269" w:lineRule="auto"/>
        <w:rPr>
          <w:rtl/>
        </w:rPr>
      </w:pPr>
    </w:p>
    <w:p w:rsidR="0097239C" w:rsidP="00C603CF">
      <w:pPr>
        <w:spacing w:line="269" w:lineRule="auto"/>
        <w:rPr>
          <w:b/>
          <w:bCs/>
          <w:rtl/>
        </w:rPr>
      </w:pPr>
      <w:r w:rsidRPr="0097239C">
        <w:rPr>
          <w:rFonts w:hint="cs"/>
          <w:b/>
          <w:bCs/>
          <w:rtl/>
        </w:rPr>
        <w:t xml:space="preserve">עם העלייה ברמת החיים והגידול באוכלוסייה חלה עלייה בצריכת </w:t>
      </w:r>
      <w:r w:rsidRPr="0097239C">
        <w:rPr>
          <w:rFonts w:hint="cs"/>
          <w:b/>
          <w:bCs/>
          <w:rtl/>
        </w:rPr>
        <w:t>האנרגייה</w:t>
      </w:r>
      <w:r w:rsidRPr="0097239C">
        <w:rPr>
          <w:rFonts w:hint="cs"/>
          <w:b/>
          <w:bCs/>
          <w:rtl/>
        </w:rPr>
        <w:t xml:space="preserve">. מרבית </w:t>
      </w:r>
      <w:r w:rsidRPr="0097239C">
        <w:rPr>
          <w:rFonts w:hint="cs"/>
          <w:b/>
          <w:bCs/>
          <w:rtl/>
        </w:rPr>
        <w:t>האנרגייה</w:t>
      </w:r>
      <w:r w:rsidRPr="0097239C">
        <w:rPr>
          <w:rFonts w:hint="cs"/>
          <w:b/>
          <w:bCs/>
          <w:rtl/>
        </w:rPr>
        <w:t xml:space="preserve"> מופקת כיום </w:t>
      </w:r>
      <w:r w:rsidRPr="0097239C">
        <w:rPr>
          <w:rFonts w:hint="cs"/>
          <w:b/>
          <w:bCs/>
          <w:rtl/>
        </w:rPr>
        <w:t>מדלקים</w:t>
      </w:r>
      <w:r w:rsidRPr="0097239C">
        <w:rPr>
          <w:rFonts w:hint="cs"/>
          <w:b/>
          <w:bCs/>
          <w:rtl/>
        </w:rPr>
        <w:t xml:space="preserve"> </w:t>
      </w:r>
      <w:r w:rsidRPr="0097239C">
        <w:rPr>
          <w:rFonts w:hint="cs"/>
          <w:b/>
          <w:bCs/>
          <w:rtl/>
        </w:rPr>
        <w:t>פוסיליים</w:t>
      </w:r>
      <w:r w:rsidRPr="0097239C">
        <w:rPr>
          <w:rFonts w:hint="cs"/>
          <w:b/>
          <w:bCs/>
          <w:rtl/>
        </w:rPr>
        <w:t>, אשר שריפתם מזהמת את האוויר וגורמת לתחלואה ולתמותה של בני אדם, וכן לפליטת גזי חממה התורמים להתגברות תופעות שינויי האקלים.</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מדינת ישראל התחייבה, במסגרת הסכמים בין-לאומיים, להשתתף במאמץ העולמי להשגת המטרה של אמנת המסגרת של האו"ם בנושא שינוי האקלים. מחויבותה של ישראל התבטאה, בין היתר, בהצבת יעדים להתייעלות אנרגטית. במרוצת השנים המדינה חוקקה חוק, התקינה תקנות וקיבלה כמה החלטות אופרטיביות שכללו הקצאת תקציבים לא-מבוטלים. ואולם, חרף מאמציה היא לא הצליחה לעמוד ביעדי ההתייעלות שהציבה לעצמה, ובשנת 2020 שיעור ההתייעלות האנרגטית שלה היה פחות ממחצית משיעורה לפי היעד.</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תכנונו וניהולו של משק חשמל שיאפשר אספקה אמינה של חשמל במחיר סביר ושפגיעתו באיכות הסביבה תהיה מזערית הם אינטרס אסטרטגי חיוני למדינת ישראל. מטרות אלה הן בנות-השגה אם משק החשמל ינוהל בכלים שיצמצמו את צריכת החשמל, באמצעות התייעלות אנרגטית, ויעודדו ייצור חשמל "נקי" ממקורות </w:t>
      </w:r>
      <w:r w:rsidRPr="0097239C">
        <w:rPr>
          <w:rFonts w:hint="cs"/>
          <w:b/>
          <w:bCs/>
          <w:rtl/>
        </w:rPr>
        <w:t>אנרגייה</w:t>
      </w:r>
      <w:r w:rsidRPr="0097239C">
        <w:rPr>
          <w:rFonts w:hint="cs"/>
          <w:b/>
          <w:bCs/>
          <w:rtl/>
        </w:rPr>
        <w:t xml:space="preserve"> מתחדשים, תוך התחשבות בשיקולים כלכליים כלל-משקיים. לשם כך, על משרד התשתיות הלאומיות לסיים את עדכון התוכנית ליישום מדיניות </w:t>
      </w:r>
      <w:r w:rsidRPr="0097239C">
        <w:rPr>
          <w:rFonts w:hint="cs"/>
          <w:b/>
          <w:bCs/>
          <w:rtl/>
        </w:rPr>
        <w:t>האנרגייה</w:t>
      </w:r>
      <w:r w:rsidRPr="0097239C">
        <w:rPr>
          <w:rFonts w:hint="cs"/>
          <w:b/>
          <w:bCs/>
          <w:rtl/>
        </w:rPr>
        <w:t xml:space="preserve"> המתחדשת בהתחשב בשיקולים כלל-משקיים של עלות לעומת תועלת, וכן עליו לעקוב אחר יישומה ואחר מימוש יעדיה. </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תחום התחבורה אחראי לפליטות של כ-25% מגזי החממה בישראל. בתחום זה יש להעמיד בראש סדר העדיפויות את ההשקעה בתשתיות התחבורה הציבורית, אשר מביאה גם להתייעלות אנרגטית. העברת מגזר התחבורה לכלי רכב חשמליים צפויה אף היא להביא להתייעלות אנרגטית ניכרת. לנוכח הדחיפות שבפתרון בעיית הגודש בכבישים ולנוכח הגידול הניכר במספר כלי הרכב החדשים הנוסעים בכבישים מדי שנה, בהשפעת הגידול הדמוגרפי והצמיחה הכלכלית, תחום התחבורה מחייב מעורבות ממשלתית ניכרת ונקיטת פעולה </w:t>
      </w:r>
      <w:r w:rsidRPr="0097239C">
        <w:rPr>
          <w:rFonts w:hint="cs"/>
          <w:b/>
          <w:bCs/>
          <w:rtl/>
        </w:rPr>
        <w:t>מיידית</w:t>
      </w:r>
      <w:r w:rsidRPr="0097239C">
        <w:rPr>
          <w:rFonts w:hint="cs"/>
          <w:b/>
          <w:bCs/>
          <w:rtl/>
        </w:rPr>
        <w:t>.</w:t>
      </w:r>
    </w:p>
    <w:p w:rsidR="0097239C" w:rsidRPr="0097239C" w:rsidP="00C603CF">
      <w:pPr>
        <w:pStyle w:val="a"/>
        <w:spacing w:line="269" w:lineRule="auto"/>
        <w:rPr>
          <w:rtl/>
        </w:rPr>
      </w:pPr>
    </w:p>
    <w:p w:rsidR="0097239C" w:rsidRPr="0097239C" w:rsidP="00C603CF">
      <w:pPr>
        <w:spacing w:line="269" w:lineRule="auto"/>
        <w:rPr>
          <w:b/>
          <w:bCs/>
          <w:rtl/>
        </w:rPr>
      </w:pPr>
      <w:r w:rsidRPr="0097239C">
        <w:rPr>
          <w:rFonts w:hint="cs"/>
          <w:b/>
          <w:bCs/>
          <w:rtl/>
        </w:rPr>
        <w:t xml:space="preserve">לצד האתגר של ההתייעלות האנרגטית בענף הבנייה, גלומות במשק זה כיום כמה הזדמנויות נוספות. עד שנת 2040 צפויה הכפלה במספר יחידות הדיור במדינה, ועל כן קיימת הזדמנות להטמעת תקני הבנייה הירוקה במסגרת הקמת המבנים החדשים. על הגורמים הרלוונטיים - </w:t>
      </w:r>
      <w:r w:rsidRPr="0097239C">
        <w:rPr>
          <w:rFonts w:hint="cs"/>
          <w:b/>
          <w:bCs/>
          <w:rtl/>
        </w:rPr>
        <w:t>מינהל</w:t>
      </w:r>
      <w:r w:rsidRPr="0097239C">
        <w:rPr>
          <w:rFonts w:hint="cs"/>
          <w:b/>
          <w:bCs/>
          <w:rtl/>
        </w:rPr>
        <w:t xml:space="preserve"> התכנון, משרד הבינוי והשיכון, המשרד </w:t>
      </w:r>
      <w:r w:rsidRPr="0097239C">
        <w:rPr>
          <w:rFonts w:hint="cs"/>
          <w:b/>
          <w:bCs/>
          <w:rtl/>
        </w:rPr>
        <w:t>להג"ס</w:t>
      </w:r>
      <w:r w:rsidRPr="0097239C">
        <w:rPr>
          <w:rFonts w:hint="cs"/>
          <w:b/>
          <w:bCs/>
          <w:rtl/>
        </w:rPr>
        <w:t xml:space="preserve"> ומשרד האוצר - לעודד הטמעה נרחבת ומהירה של טכנולוגיות להתייעלות אנרגטית בענף הבנייה.</w:t>
      </w:r>
    </w:p>
    <w:p w:rsidR="0097239C" w:rsidRPr="0097239C" w:rsidP="00C603CF">
      <w:pPr>
        <w:pStyle w:val="a"/>
        <w:spacing w:line="269" w:lineRule="auto"/>
      </w:pPr>
    </w:p>
    <w:p w:rsidR="0097239C" w:rsidRPr="0097239C" w:rsidP="00C603CF">
      <w:pPr>
        <w:spacing w:line="269" w:lineRule="auto"/>
        <w:rPr>
          <w:b/>
          <w:bCs/>
          <w:rtl/>
        </w:rPr>
      </w:pPr>
      <w:r w:rsidRPr="0097239C">
        <w:rPr>
          <w:rFonts w:hint="cs"/>
          <w:b/>
          <w:bCs/>
          <w:rtl/>
        </w:rPr>
        <w:t xml:space="preserve">כדי לעמוד ביעדים שקבעה הממשלה לשנת 2030, על הגורמים הממשלתיים (משרד </w:t>
      </w:r>
      <w:r w:rsidRPr="0097239C">
        <w:rPr>
          <w:rFonts w:hint="cs"/>
          <w:b/>
          <w:bCs/>
          <w:rtl/>
        </w:rPr>
        <w:t>האנרגייה</w:t>
      </w:r>
      <w:r w:rsidRPr="0097239C">
        <w:rPr>
          <w:rFonts w:hint="cs"/>
          <w:b/>
          <w:bCs/>
          <w:rtl/>
        </w:rPr>
        <w:t xml:space="preserve">, המשרד </w:t>
      </w:r>
      <w:r w:rsidRPr="0097239C">
        <w:rPr>
          <w:rFonts w:hint="cs"/>
          <w:b/>
          <w:bCs/>
          <w:rtl/>
        </w:rPr>
        <w:t>להג"ס</w:t>
      </w:r>
      <w:r w:rsidRPr="0097239C">
        <w:rPr>
          <w:rFonts w:hint="cs"/>
          <w:b/>
          <w:bCs/>
          <w:rtl/>
        </w:rPr>
        <w:t xml:space="preserve">, משרד האוצר, משרד התחבורה, </w:t>
      </w:r>
      <w:r w:rsidRPr="0097239C">
        <w:rPr>
          <w:rFonts w:hint="cs"/>
          <w:b/>
          <w:bCs/>
          <w:rtl/>
        </w:rPr>
        <w:t>מינהל</w:t>
      </w:r>
      <w:r w:rsidRPr="0097239C">
        <w:rPr>
          <w:rFonts w:hint="cs"/>
          <w:b/>
          <w:bCs/>
          <w:rtl/>
        </w:rPr>
        <w:t xml:space="preserve"> התכנון, רשות המיסים ומשרד הבינוי והשיכון) לפעול יחד בהקדם להסרת חסמים המעכבים את ההתייעלות האנרגטית; לבחון את צורכי </w:t>
      </w:r>
      <w:r w:rsidRPr="0097239C">
        <w:rPr>
          <w:rFonts w:hint="cs"/>
          <w:b/>
          <w:bCs/>
          <w:rtl/>
        </w:rPr>
        <w:t>האנרגייה</w:t>
      </w:r>
      <w:r w:rsidRPr="0097239C">
        <w:rPr>
          <w:rFonts w:hint="cs"/>
          <w:b/>
          <w:bCs/>
          <w:rtl/>
        </w:rPr>
        <w:t xml:space="preserve"> של המשק הישראלי במישור הכלל-משקי; ולשפר את היערכות ומוכנות המשק להתמודדות עם אתגרים עתידיים בתחום </w:t>
      </w:r>
      <w:r w:rsidRPr="0097239C">
        <w:rPr>
          <w:rFonts w:hint="cs"/>
          <w:b/>
          <w:bCs/>
          <w:rtl/>
        </w:rPr>
        <w:t>האנרגייה</w:t>
      </w:r>
      <w:r w:rsidRPr="0097239C">
        <w:rPr>
          <w:rFonts w:hint="cs"/>
          <w:b/>
          <w:bCs/>
          <w:rtl/>
        </w:rPr>
        <w:t xml:space="preserve">. </w:t>
      </w:r>
    </w:p>
    <w:p w:rsidR="0097239C" w:rsidP="00C603CF">
      <w:pPr>
        <w:spacing w:line="269" w:lineRule="auto"/>
        <w:rPr>
          <w:rtl/>
        </w:rPr>
      </w:pPr>
    </w:p>
    <w:sectPr w:rsidSect="0097239C">
      <w:headerReference w:type="default" r:id="rId36"/>
      <w:footerReference w:type="default" r:id="rId37"/>
      <w:headerReference w:type="first" r:id="rId38"/>
      <w:footerReference w:type="first" r:id="rId39"/>
      <w:pgSz w:w="11906" w:h="16838"/>
      <w:pgMar w:top="1701" w:right="1984" w:bottom="1587"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altName w:val="Malgun Gothic Semilight"/>
    <w:panose1 w:val="020E0502060401010101"/>
    <w:charset w:val="B1"/>
    <w:family w:val="swiss"/>
    <w:pitch w:val="variable"/>
    <w:sig w:usb0="00000801" w:usb1="0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Narkisim">
    <w:altName w:val="Malgun Gothic Semilight"/>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21D8" w:rsidP="00C603CF">
    <w:pPr>
      <w:jc w:val="right"/>
    </w:pPr>
    <w:r w:rsidRPr="0097239C">
      <w:rPr>
        <w:rFonts w:hint="cs"/>
        <w:rtl/>
      </w:rPr>
      <w:t>התייעלות אנרגטית</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21D8" w:rsidP="00DA16DE">
    <w:pPr>
      <w:jc w:val="right"/>
      <w:rPr>
        <w:rtl/>
      </w:rPr>
    </w:pPr>
    <w:r>
      <w:rPr>
        <w:rFonts w:hint="cs"/>
        <w:noProof/>
        <w:rtl/>
      </w:rPr>
      <mc:AlternateContent>
        <mc:Choice Requires="wps">
          <w:drawing>
            <wp:anchor distT="0" distB="0" distL="114300" distR="114300" simplePos="0" relativeHeight="251658240" behindDoc="0" locked="0" layoutInCell="1" allowOverlap="1">
              <wp:simplePos x="0" y="0"/>
              <wp:positionH relativeFrom="margin">
                <wp:posOffset>377190</wp:posOffset>
              </wp:positionH>
              <wp:positionV relativeFrom="paragraph">
                <wp:posOffset>195580</wp:posOffset>
              </wp:positionV>
              <wp:extent cx="4010025" cy="457200"/>
              <wp:effectExtent l="0" t="0" r="28575" b="19050"/>
              <wp:wrapNone/>
              <wp:docPr id="3" name="textBoxWarningF"/>
              <wp:cNvGraphicFramePr/>
              <a:graphic xmlns:a="http://schemas.openxmlformats.org/drawingml/2006/main">
                <a:graphicData uri="http://schemas.microsoft.com/office/word/2010/wordprocessingShape">
                  <wps:wsp xmlns:wps="http://schemas.microsoft.com/office/word/2010/wordprocessingShape">
                    <wps:cNvSpPr txBox="1"/>
                    <wps:spPr>
                      <a:xfrm>
                        <a:off x="0" y="0"/>
                        <a:ext cx="4010025" cy="457200"/>
                      </a:xfrm>
                      <a:prstGeom prst="rect">
                        <a:avLst/>
                      </a:prstGeom>
                      <a:noFill/>
                      <a:ln w="6350">
                        <a:solidFill>
                          <a:srgbClr val="0000FF"/>
                        </a:solidFill>
                      </a:ln>
                    </wps:spPr>
                    <wps:txbx>
                      <w:txbxContent>
                        <w:p w:rsidR="004321D8" w:rsidP="00DA16D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4321D8" w:rsidRPr="00DA16DE" w:rsidP="00DA16D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wps:txbx>
                    <wps:bodyPr rot="0" spcFirstLastPara="0" vertOverflow="overflow" horzOverflow="overflow" vert="horz" wrap="square" numCol="1" spcCol="0" rtlCol="1"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WarningF" o:spid="_x0000_s2049" type="#_x0000_t202" style="width:315.75pt;height:36pt;margin-top:15.4pt;margin-left:29.7pt;mso-position-horizontal-relative:margin;mso-width-percent:0;mso-width-relative:margin;mso-wrap-distance-bottom:0;mso-wrap-distance-left:9pt;mso-wrap-distance-right:9pt;mso-wrap-distance-top:0;mso-wrap-style:square;position:absolute;visibility:visible;v-text-anchor:top;z-index:251659264" filled="f" strokecolor="blue" strokeweight="0.5pt">
              <v:textbox>
                <w:txbxContent>
                  <w:p w:rsidR="004321D8" w:rsidP="00DA16D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מסמך זה מכיל ממצאי ביקורת של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פרסומם ללא נטילת רשות מטעם המבקר</w:t>
                    </w:r>
                  </w:p>
                  <w:p w:rsidR="004321D8" w:rsidRPr="00DA16DE" w:rsidP="00DA16DE">
                    <w:pPr>
                      <w:spacing w:before="24"/>
                      <w:ind w:firstLine="79"/>
                      <w:jc w:val="center"/>
                      <w:rPr>
                        <w:rFonts w:ascii="Narkisim" w:hAnsi="Narkisim" w:cs="Narkisim"/>
                        <w:color w:val="0000FF"/>
                        <w:sz w:val="18"/>
                        <w:szCs w:val="18"/>
                      </w:rPr>
                    </w:pPr>
                    <w:r>
                      <w:rPr>
                        <w:rFonts w:ascii="Narkisim" w:hAnsi="Narkisim" w:cs="Times New Roman"/>
                        <w:color w:val="0000FF"/>
                        <w:sz w:val="18"/>
                        <w:szCs w:val="18"/>
                        <w:rtl/>
                      </w:rPr>
                      <w:t xml:space="preserve">אסור על פי סעיף </w:t>
                    </w:r>
                    <w:r>
                      <w:rPr>
                        <w:rFonts w:ascii="Narkisim" w:hAnsi="Narkisim" w:cs="Narkisim"/>
                        <w:color w:val="0000FF"/>
                        <w:sz w:val="18"/>
                        <w:szCs w:val="18"/>
                        <w:rtl/>
                      </w:rPr>
                      <w:t>28(</w:t>
                    </w:r>
                    <w:r>
                      <w:rPr>
                        <w:rFonts w:ascii="Narkisim" w:hAnsi="Narkisim" w:cs="Times New Roman"/>
                        <w:color w:val="0000FF"/>
                        <w:sz w:val="18"/>
                        <w:szCs w:val="18"/>
                        <w:rtl/>
                      </w:rPr>
                      <w:t>א</w:t>
                    </w:r>
                    <w:r>
                      <w:rPr>
                        <w:rFonts w:ascii="Narkisim" w:hAnsi="Narkisim" w:cs="Narkisim"/>
                        <w:color w:val="0000FF"/>
                        <w:sz w:val="18"/>
                        <w:szCs w:val="18"/>
                        <w:rtl/>
                      </w:rPr>
                      <w:t xml:space="preserve">)(3) </w:t>
                    </w:r>
                    <w:r>
                      <w:rPr>
                        <w:rFonts w:ascii="Narkisim" w:hAnsi="Narkisim" w:cs="Times New Roman"/>
                        <w:color w:val="0000FF"/>
                        <w:sz w:val="18"/>
                        <w:szCs w:val="18"/>
                        <w:rtl/>
                      </w:rPr>
                      <w:t>לחוק מבקר המדינה</w:t>
                    </w:r>
                    <w:r>
                      <w:rPr>
                        <w:rFonts w:ascii="Narkisim" w:hAnsi="Narkisim" w:cs="Narkisim"/>
                        <w:color w:val="0000FF"/>
                        <w:sz w:val="18"/>
                        <w:szCs w:val="18"/>
                        <w:rtl/>
                      </w:rPr>
                      <w:t xml:space="preserve">, </w:t>
                    </w:r>
                    <w:r>
                      <w:rPr>
                        <w:rFonts w:ascii="Narkisim" w:hAnsi="Narkisim" w:cs="Times New Roman"/>
                        <w:color w:val="0000FF"/>
                        <w:sz w:val="18"/>
                        <w:szCs w:val="18"/>
                        <w:rtl/>
                      </w:rPr>
                      <w:t>התשי</w:t>
                    </w:r>
                    <w:r>
                      <w:rPr>
                        <w:rFonts w:ascii="Narkisim" w:hAnsi="Narkisim" w:cs="Narkisim"/>
                        <w:color w:val="0000FF"/>
                        <w:sz w:val="18"/>
                        <w:szCs w:val="18"/>
                        <w:rtl/>
                      </w:rPr>
                      <w:t>''</w:t>
                    </w:r>
                    <w:r>
                      <w:rPr>
                        <w:rFonts w:ascii="Narkisim" w:hAnsi="Narkisim" w:cs="Times New Roman"/>
                        <w:color w:val="0000FF"/>
                        <w:sz w:val="18"/>
                        <w:szCs w:val="18"/>
                        <w:rtl/>
                      </w:rPr>
                      <w:t>ח</w:t>
                    </w:r>
                    <w:r>
                      <w:rPr>
                        <w:rFonts w:ascii="Narkisim" w:hAnsi="Narkisim" w:cs="Narkisim"/>
                        <w:color w:val="0000FF"/>
                        <w:sz w:val="18"/>
                        <w:szCs w:val="18"/>
                        <w:rtl/>
                      </w:rPr>
                      <w:t>-1958 [</w:t>
                    </w:r>
                    <w:r>
                      <w:rPr>
                        <w:rFonts w:ascii="Narkisim" w:hAnsi="Narkisim" w:cs="Times New Roman"/>
                        <w:color w:val="0000FF"/>
                        <w:sz w:val="18"/>
                        <w:szCs w:val="18"/>
                        <w:rtl/>
                      </w:rPr>
                      <w:t>נוסח משולב</w:t>
                    </w:r>
                    <w:r>
                      <w:rPr>
                        <w:rFonts w:ascii="Narkisim" w:hAnsi="Narkisim" w:cs="Narkisim"/>
                        <w:color w:val="0000FF"/>
                        <w:sz w:val="18"/>
                        <w:szCs w:val="18"/>
                        <w:rtl/>
                      </w:rPr>
                      <w:t>].</w:t>
                    </w:r>
                  </w:p>
                </w:txbxContent>
              </v:textbox>
              <w10:wrap anchorx="margin"/>
            </v:shape>
          </w:pict>
        </mc:Fallback>
      </mc:AlternateContent>
    </w:r>
    <w:r w:rsidRPr="0097239C">
      <w:rPr>
        <w:rFonts w:hint="cs"/>
        <w:rtl/>
      </w:rPr>
      <w:t>התייעלות אנרגטית</w:t>
    </w:r>
  </w:p>
  <w:p w:rsidR="004321D8" w:rsidP="00DA16DE">
    <w:pPr>
      <w:jc w:val="right"/>
      <w:rPr>
        <w:rtl/>
      </w:rPr>
    </w:pPr>
  </w:p>
  <w:p w:rsidR="004321D8" w:rsidP="00DA16DE">
    <w:pPr>
      <w:jc w:val="right"/>
      <w:rPr>
        <w:rtl/>
      </w:rPr>
    </w:pPr>
  </w:p>
  <w:p w:rsidR="004321D8" w:rsidRPr="0097239C" w:rsidP="00DA16DE">
    <w:pPr>
      <w:jc w:val="right"/>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4321D8" w:rsidP="00C23CC9">
      <w:pPr>
        <w:spacing w:line="240" w:lineRule="auto"/>
      </w:pPr>
      <w:r>
        <w:separator/>
      </w:r>
    </w:p>
  </w:footnote>
  <w:footnote w:type="continuationSeparator" w:id="1">
    <w:p w:rsidR="004321D8" w:rsidP="00C23CC9">
      <w:pPr>
        <w:spacing w:line="240" w:lineRule="auto"/>
      </w:pPr>
      <w:r>
        <w:continuationSeparator/>
      </w:r>
    </w:p>
  </w:footnote>
  <w:footnote w:id="2">
    <w:p w:rsidR="004321D8" w:rsidRPr="002353D6"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Pr>
          <w:rFonts w:hint="cs"/>
          <w:rtl/>
        </w:rPr>
        <w:t xml:space="preserve">אלה </w:t>
      </w:r>
      <w:r w:rsidRPr="002353D6">
        <w:rPr>
          <w:rFonts w:hint="cs"/>
          <w:rtl/>
        </w:rPr>
        <w:t xml:space="preserve">כוללים, בין היתר, גזים רעילים הנפלטים בין </w:t>
      </w:r>
      <w:r>
        <w:rPr>
          <w:rFonts w:hint="cs"/>
          <w:rtl/>
        </w:rPr>
        <w:t>השאר</w:t>
      </w:r>
      <w:r w:rsidRPr="002353D6">
        <w:rPr>
          <w:rFonts w:hint="cs"/>
          <w:rtl/>
        </w:rPr>
        <w:t xml:space="preserve"> בתהליכי שריפת </w:t>
      </w:r>
      <w:r w:rsidRPr="002353D6">
        <w:rPr>
          <w:rFonts w:hint="cs"/>
          <w:rtl/>
        </w:rPr>
        <w:t>דלקים</w:t>
      </w:r>
      <w:r w:rsidRPr="002353D6">
        <w:rPr>
          <w:rFonts w:hint="cs"/>
          <w:rtl/>
        </w:rPr>
        <w:t>. גזי החממה העיקריים הם</w:t>
      </w:r>
      <w:r>
        <w:rPr>
          <w:rFonts w:hint="cs"/>
          <w:rtl/>
        </w:rPr>
        <w:t xml:space="preserve"> אלו</w:t>
      </w:r>
      <w:r w:rsidRPr="002353D6">
        <w:rPr>
          <w:rFonts w:hint="cs"/>
          <w:rtl/>
        </w:rPr>
        <w:t>: פחמן דו-חמצני (</w:t>
      </w:r>
      <w:r w:rsidRPr="002353D6">
        <w:t>CO</w:t>
      </w:r>
      <w:r w:rsidRPr="002353D6">
        <w:rPr>
          <w:vertAlign w:val="subscript"/>
        </w:rPr>
        <w:t>2</w:t>
      </w:r>
      <w:r w:rsidRPr="002353D6">
        <w:rPr>
          <w:rFonts w:hint="cs"/>
          <w:rtl/>
        </w:rPr>
        <w:t>), מתאן (</w:t>
      </w:r>
      <w:r w:rsidRPr="002353D6">
        <w:rPr>
          <w:rFonts w:hint="cs"/>
        </w:rPr>
        <w:t>CH</w:t>
      </w:r>
      <w:r w:rsidRPr="002353D6">
        <w:rPr>
          <w:vertAlign w:val="subscript"/>
        </w:rPr>
        <w:t>4</w:t>
      </w:r>
      <w:r w:rsidRPr="002353D6">
        <w:rPr>
          <w:rFonts w:hint="cs"/>
          <w:rtl/>
        </w:rPr>
        <w:t>), חנקן דו חמצני (</w:t>
      </w:r>
      <w:r w:rsidRPr="002353D6">
        <w:rPr>
          <w:rFonts w:hint="cs"/>
        </w:rPr>
        <w:t>N</w:t>
      </w:r>
      <w:r w:rsidRPr="002353D6">
        <w:t>O</w:t>
      </w:r>
      <w:r w:rsidRPr="002353D6">
        <w:rPr>
          <w:vertAlign w:val="subscript"/>
        </w:rPr>
        <w:t>2</w:t>
      </w:r>
      <w:r w:rsidRPr="002353D6">
        <w:rPr>
          <w:rFonts w:hint="cs"/>
          <w:rtl/>
        </w:rPr>
        <w:t>), כלורו-</w:t>
      </w:r>
      <w:r w:rsidRPr="002353D6">
        <w:rPr>
          <w:rFonts w:hint="cs"/>
          <w:rtl/>
        </w:rPr>
        <w:t>פלורו</w:t>
      </w:r>
      <w:r w:rsidRPr="002353D6">
        <w:rPr>
          <w:rFonts w:hint="cs"/>
          <w:rtl/>
        </w:rPr>
        <w:t>-פחמימני</w:t>
      </w:r>
      <w:r w:rsidRPr="002353D6">
        <w:rPr>
          <w:rFonts w:hint="eastAsia"/>
          <w:rtl/>
        </w:rPr>
        <w:t>ם</w:t>
      </w:r>
      <w:r w:rsidRPr="002353D6">
        <w:rPr>
          <w:rFonts w:hint="cs"/>
          <w:rtl/>
        </w:rPr>
        <w:t xml:space="preserve"> (</w:t>
      </w:r>
      <w:r w:rsidRPr="002353D6">
        <w:rPr>
          <w:rFonts w:hint="cs"/>
        </w:rPr>
        <w:t>CFC</w:t>
      </w:r>
      <w:r w:rsidRPr="002353D6">
        <w:t>'S</w:t>
      </w:r>
      <w:r w:rsidRPr="002353D6">
        <w:rPr>
          <w:rFonts w:hint="cs"/>
          <w:rtl/>
        </w:rPr>
        <w:t>) ואוזון (</w:t>
      </w:r>
      <w:r w:rsidRPr="002353D6">
        <w:t>O</w:t>
      </w:r>
      <w:r w:rsidRPr="002353D6">
        <w:rPr>
          <w:vertAlign w:val="subscript"/>
        </w:rPr>
        <w:t>3</w:t>
      </w:r>
      <w:r w:rsidRPr="002353D6">
        <w:rPr>
          <w:rFonts w:hint="cs"/>
          <w:rtl/>
        </w:rPr>
        <w:t>).</w:t>
      </w:r>
    </w:p>
  </w:footnote>
  <w:footnote w:id="3">
    <w:p w:rsidR="004321D8" w:rsidRPr="002353D6"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sidRPr="002353D6">
        <w:rPr>
          <w:rFonts w:hint="cs"/>
          <w:rtl/>
        </w:rPr>
        <w:t>דלקים</w:t>
      </w:r>
      <w:r w:rsidRPr="002353D6">
        <w:rPr>
          <w:rtl/>
        </w:rPr>
        <w:t xml:space="preserve"> </w:t>
      </w:r>
      <w:r w:rsidRPr="002353D6">
        <w:rPr>
          <w:rFonts w:hint="cs"/>
          <w:rtl/>
        </w:rPr>
        <w:t>שנוצרו</w:t>
      </w:r>
      <w:r w:rsidRPr="002353D6">
        <w:rPr>
          <w:rtl/>
        </w:rPr>
        <w:t xml:space="preserve"> </w:t>
      </w:r>
      <w:r w:rsidRPr="002353D6">
        <w:rPr>
          <w:rFonts w:hint="cs"/>
          <w:rtl/>
        </w:rPr>
        <w:t>ממאובנים של בעלי</w:t>
      </w:r>
      <w:r w:rsidRPr="002353D6">
        <w:rPr>
          <w:rtl/>
        </w:rPr>
        <w:t xml:space="preserve"> </w:t>
      </w:r>
      <w:r w:rsidRPr="002353D6">
        <w:rPr>
          <w:rFonts w:hint="cs"/>
          <w:rtl/>
        </w:rPr>
        <w:t>חיים</w:t>
      </w:r>
      <w:r w:rsidRPr="002353D6">
        <w:rPr>
          <w:rtl/>
        </w:rPr>
        <w:t xml:space="preserve"> </w:t>
      </w:r>
      <w:r w:rsidRPr="002353D6">
        <w:rPr>
          <w:rFonts w:hint="cs"/>
          <w:rtl/>
        </w:rPr>
        <w:t>או צמחים</w:t>
      </w:r>
      <w:r w:rsidRPr="002353D6">
        <w:rPr>
          <w:rtl/>
        </w:rPr>
        <w:t xml:space="preserve"> </w:t>
      </w:r>
      <w:r w:rsidRPr="002353D6">
        <w:rPr>
          <w:rFonts w:hint="cs"/>
          <w:rtl/>
        </w:rPr>
        <w:t>במעמקי</w:t>
      </w:r>
      <w:r w:rsidRPr="002353D6">
        <w:rPr>
          <w:rtl/>
        </w:rPr>
        <w:t xml:space="preserve"> </w:t>
      </w:r>
      <w:r w:rsidRPr="002353D6">
        <w:rPr>
          <w:rFonts w:hint="cs"/>
          <w:rtl/>
        </w:rPr>
        <w:t>הקרקע</w:t>
      </w:r>
      <w:r w:rsidRPr="002353D6">
        <w:rPr>
          <w:rtl/>
        </w:rPr>
        <w:t xml:space="preserve"> </w:t>
      </w:r>
      <w:r w:rsidRPr="002353D6">
        <w:rPr>
          <w:rFonts w:hint="cs"/>
          <w:rtl/>
        </w:rPr>
        <w:t>או</w:t>
      </w:r>
      <w:r w:rsidRPr="002353D6">
        <w:rPr>
          <w:rtl/>
        </w:rPr>
        <w:t xml:space="preserve"> </w:t>
      </w:r>
      <w:r w:rsidRPr="002353D6">
        <w:rPr>
          <w:rFonts w:hint="cs"/>
          <w:rtl/>
        </w:rPr>
        <w:t>הים</w:t>
      </w:r>
      <w:r w:rsidRPr="002353D6">
        <w:rPr>
          <w:rtl/>
        </w:rPr>
        <w:t xml:space="preserve">. </w:t>
      </w:r>
      <w:r w:rsidRPr="002353D6">
        <w:rPr>
          <w:rFonts w:hint="cs"/>
          <w:rtl/>
        </w:rPr>
        <w:t xml:space="preserve">לקבוצת </w:t>
      </w:r>
      <w:r w:rsidRPr="002353D6">
        <w:rPr>
          <w:rFonts w:hint="cs"/>
          <w:rtl/>
        </w:rPr>
        <w:t>הדלקים</w:t>
      </w:r>
      <w:r w:rsidRPr="002353D6">
        <w:rPr>
          <w:rtl/>
        </w:rPr>
        <w:t xml:space="preserve"> </w:t>
      </w:r>
      <w:r w:rsidRPr="002353D6">
        <w:rPr>
          <w:rFonts w:hint="cs"/>
          <w:rtl/>
        </w:rPr>
        <w:t>הפוסיליים</w:t>
      </w:r>
      <w:r w:rsidRPr="002353D6">
        <w:rPr>
          <w:rtl/>
        </w:rPr>
        <w:t xml:space="preserve"> </w:t>
      </w:r>
      <w:r w:rsidRPr="002353D6">
        <w:rPr>
          <w:rFonts w:hint="cs"/>
          <w:rtl/>
        </w:rPr>
        <w:t>שייכים</w:t>
      </w:r>
      <w:r w:rsidRPr="002353D6">
        <w:rPr>
          <w:rtl/>
        </w:rPr>
        <w:t xml:space="preserve"> </w:t>
      </w:r>
      <w:r w:rsidRPr="002353D6">
        <w:rPr>
          <w:rFonts w:hint="cs"/>
          <w:rtl/>
        </w:rPr>
        <w:t>הפחם</w:t>
      </w:r>
      <w:r w:rsidRPr="002353D6">
        <w:rPr>
          <w:rtl/>
        </w:rPr>
        <w:t xml:space="preserve">, </w:t>
      </w:r>
      <w:r w:rsidRPr="002353D6">
        <w:rPr>
          <w:rFonts w:hint="cs"/>
          <w:rtl/>
        </w:rPr>
        <w:t>הנפט</w:t>
      </w:r>
      <w:r w:rsidRPr="002353D6">
        <w:rPr>
          <w:rtl/>
        </w:rPr>
        <w:t xml:space="preserve"> </w:t>
      </w:r>
      <w:r w:rsidRPr="002353D6">
        <w:rPr>
          <w:rFonts w:hint="cs"/>
          <w:rtl/>
        </w:rPr>
        <w:t>והגז</w:t>
      </w:r>
      <w:r w:rsidRPr="002353D6">
        <w:rPr>
          <w:rtl/>
        </w:rPr>
        <w:t xml:space="preserve"> </w:t>
      </w:r>
      <w:r w:rsidRPr="002353D6">
        <w:rPr>
          <w:rFonts w:hint="cs"/>
          <w:rtl/>
        </w:rPr>
        <w:t>הטבעי</w:t>
      </w:r>
      <w:r w:rsidRPr="002353D6">
        <w:rPr>
          <w:rtl/>
        </w:rPr>
        <w:t>.</w:t>
      </w:r>
      <w:r w:rsidRPr="002353D6">
        <w:rPr>
          <w:rFonts w:hint="cs"/>
          <w:rtl/>
        </w:rPr>
        <w:t xml:space="preserve"> </w:t>
      </w:r>
    </w:p>
  </w:footnote>
  <w:footnote w:id="4">
    <w:p w:rsidR="004321D8" w:rsidRPr="002353D6" w:rsidP="00476FCB">
      <w:pPr>
        <w:pStyle w:val="FootnoteText"/>
        <w:spacing w:line="269" w:lineRule="auto"/>
      </w:pPr>
      <w:r w:rsidRPr="002353D6">
        <w:rPr>
          <w:rStyle w:val="FootnoteReference1"/>
        </w:rPr>
        <w:footnoteRef/>
      </w:r>
      <w:r w:rsidRPr="002353D6">
        <w:rPr>
          <w:rtl/>
        </w:rPr>
        <w:t xml:space="preserve"> </w:t>
      </w:r>
      <w:r w:rsidRPr="002353D6">
        <w:rPr>
          <w:rtl/>
        </w:rPr>
        <w:tab/>
      </w:r>
      <w:r w:rsidRPr="002353D6">
        <w:rPr>
          <w:rFonts w:hint="cs"/>
          <w:rtl/>
        </w:rPr>
        <w:t xml:space="preserve">ראו מבקר המדינה, </w:t>
      </w:r>
      <w:r>
        <w:rPr>
          <w:rFonts w:hint="cs"/>
          <w:b/>
          <w:bCs/>
          <w:rtl/>
        </w:rPr>
        <w:t xml:space="preserve">דוח מיוחד - </w:t>
      </w:r>
      <w:r w:rsidRPr="00FF3B66">
        <w:rPr>
          <w:rFonts w:hint="eastAsia"/>
          <w:b/>
          <w:bCs/>
          <w:rtl/>
        </w:rPr>
        <w:t>הטיפול</w:t>
      </w:r>
      <w:r w:rsidRPr="00FF3B66">
        <w:rPr>
          <w:b/>
          <w:bCs/>
          <w:rtl/>
        </w:rPr>
        <w:t xml:space="preserve"> </w:t>
      </w:r>
      <w:r w:rsidRPr="00FF3B66">
        <w:rPr>
          <w:rFonts w:hint="eastAsia"/>
          <w:b/>
          <w:bCs/>
          <w:rtl/>
        </w:rPr>
        <w:t>בפליטת</w:t>
      </w:r>
      <w:r w:rsidRPr="00FF3B66">
        <w:rPr>
          <w:b/>
          <w:bCs/>
          <w:rtl/>
        </w:rPr>
        <w:t xml:space="preserve"> </w:t>
      </w:r>
      <w:r w:rsidRPr="00FF3B66">
        <w:rPr>
          <w:rFonts w:hint="eastAsia"/>
          <w:b/>
          <w:bCs/>
          <w:rtl/>
        </w:rPr>
        <w:t>גזי</w:t>
      </w:r>
      <w:r w:rsidRPr="00FF3B66">
        <w:rPr>
          <w:b/>
          <w:bCs/>
          <w:rtl/>
        </w:rPr>
        <w:t xml:space="preserve"> </w:t>
      </w:r>
      <w:r w:rsidRPr="00FF3B66">
        <w:rPr>
          <w:rFonts w:hint="eastAsia"/>
          <w:b/>
          <w:bCs/>
          <w:rtl/>
        </w:rPr>
        <w:t>חממה</w:t>
      </w:r>
      <w:r w:rsidRPr="00FF3B66">
        <w:rPr>
          <w:b/>
          <w:bCs/>
          <w:rtl/>
        </w:rPr>
        <w:t xml:space="preserve"> </w:t>
      </w:r>
      <w:r w:rsidRPr="00FF3B66">
        <w:rPr>
          <w:rFonts w:hint="eastAsia"/>
          <w:b/>
          <w:bCs/>
          <w:rtl/>
        </w:rPr>
        <w:t>בישראל</w:t>
      </w:r>
      <w:r w:rsidRPr="002353D6">
        <w:rPr>
          <w:rFonts w:hint="cs"/>
          <w:rtl/>
        </w:rPr>
        <w:t xml:space="preserve"> (2009)</w:t>
      </w:r>
      <w:r>
        <w:rPr>
          <w:rFonts w:hint="cs"/>
          <w:rtl/>
        </w:rPr>
        <w:t xml:space="preserve"> (להלן - </w:t>
      </w:r>
      <w:r>
        <w:rPr>
          <w:rFonts w:hint="cs"/>
          <w:b/>
          <w:bCs/>
          <w:rtl/>
        </w:rPr>
        <w:t>דוח מבקר המדינה על הטיפול בפליט</w:t>
      </w:r>
      <w:r w:rsidRPr="00816B20">
        <w:rPr>
          <w:rFonts w:hint="cs"/>
          <w:b/>
          <w:bCs/>
          <w:rtl/>
        </w:rPr>
        <w:t>ת</w:t>
      </w:r>
      <w:r>
        <w:rPr>
          <w:rFonts w:hint="cs"/>
          <w:b/>
          <w:bCs/>
          <w:rtl/>
        </w:rPr>
        <w:t xml:space="preserve"> </w:t>
      </w:r>
      <w:r>
        <w:rPr>
          <w:rFonts w:hint="cs"/>
          <w:b/>
          <w:bCs/>
          <w:rtl/>
        </w:rPr>
        <w:t>גז"ח</w:t>
      </w:r>
      <w:r>
        <w:rPr>
          <w:rFonts w:hint="cs"/>
          <w:rtl/>
        </w:rPr>
        <w:t>).</w:t>
      </w:r>
    </w:p>
  </w:footnote>
  <w:footnote w:id="5">
    <w:p w:rsidR="004321D8" w:rsidRPr="00935147"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Pr>
          <w:rFonts w:hint="cs"/>
          <w:rtl/>
        </w:rPr>
        <w:t xml:space="preserve">י' </w:t>
      </w:r>
      <w:r w:rsidRPr="002353D6">
        <w:rPr>
          <w:rFonts w:hint="cs"/>
          <w:rtl/>
        </w:rPr>
        <w:t xml:space="preserve">יוסף, </w:t>
      </w:r>
      <w:r>
        <w:rPr>
          <w:rFonts w:hint="cs"/>
          <w:rtl/>
        </w:rPr>
        <w:t>ע'</w:t>
      </w:r>
      <w:r w:rsidRPr="002353D6">
        <w:rPr>
          <w:rFonts w:hint="cs"/>
          <w:rtl/>
        </w:rPr>
        <w:t xml:space="preserve"> </w:t>
      </w:r>
      <w:r w:rsidRPr="002353D6">
        <w:rPr>
          <w:rFonts w:hint="cs"/>
          <w:rtl/>
        </w:rPr>
        <w:t>בהר"ד</w:t>
      </w:r>
      <w:r w:rsidRPr="002353D6">
        <w:rPr>
          <w:rFonts w:hint="cs"/>
          <w:rtl/>
        </w:rPr>
        <w:t xml:space="preserve">, </w:t>
      </w:r>
      <w:r>
        <w:rPr>
          <w:rFonts w:hint="cs"/>
          <w:rtl/>
        </w:rPr>
        <w:t>ל</w:t>
      </w:r>
      <w:r w:rsidRPr="002353D6">
        <w:rPr>
          <w:rFonts w:hint="cs"/>
          <w:rtl/>
        </w:rPr>
        <w:t xml:space="preserve">' אוזן, </w:t>
      </w:r>
      <w:r>
        <w:rPr>
          <w:rFonts w:hint="cs"/>
          <w:rtl/>
        </w:rPr>
        <w:t>י</w:t>
      </w:r>
      <w:r w:rsidRPr="002353D6">
        <w:rPr>
          <w:rFonts w:hint="cs"/>
          <w:rtl/>
        </w:rPr>
        <w:t xml:space="preserve">' </w:t>
      </w:r>
      <w:r w:rsidRPr="002353D6">
        <w:rPr>
          <w:rFonts w:hint="cs"/>
          <w:rtl/>
        </w:rPr>
        <w:t>כרמונה</w:t>
      </w:r>
      <w:r w:rsidRPr="002353D6">
        <w:rPr>
          <w:rFonts w:hint="cs"/>
          <w:rtl/>
        </w:rPr>
        <w:t xml:space="preserve">, </w:t>
      </w:r>
      <w:r>
        <w:rPr>
          <w:rFonts w:hint="cs"/>
          <w:rtl/>
        </w:rPr>
        <w:t>נ</w:t>
      </w:r>
      <w:r w:rsidRPr="002353D6">
        <w:rPr>
          <w:rFonts w:hint="cs"/>
          <w:rtl/>
        </w:rPr>
        <w:t xml:space="preserve">' חלפון, </w:t>
      </w:r>
      <w:r>
        <w:rPr>
          <w:rFonts w:hint="cs"/>
          <w:rtl/>
        </w:rPr>
        <w:t>א</w:t>
      </w:r>
      <w:r w:rsidRPr="002353D6">
        <w:rPr>
          <w:rFonts w:hint="cs"/>
          <w:rtl/>
        </w:rPr>
        <w:t xml:space="preserve">' </w:t>
      </w:r>
      <w:r w:rsidRPr="002353D6">
        <w:rPr>
          <w:rFonts w:hint="cs"/>
          <w:rtl/>
        </w:rPr>
        <w:t>פרושפן</w:t>
      </w:r>
      <w:r w:rsidRPr="002353D6">
        <w:rPr>
          <w:rFonts w:hint="cs"/>
          <w:rtl/>
        </w:rPr>
        <w:t xml:space="preserve">, </w:t>
      </w:r>
      <w:r>
        <w:rPr>
          <w:rFonts w:hint="cs"/>
          <w:rtl/>
        </w:rPr>
        <w:t>י</w:t>
      </w:r>
      <w:r w:rsidRPr="002353D6">
        <w:rPr>
          <w:rFonts w:hint="cs"/>
          <w:rtl/>
        </w:rPr>
        <w:t xml:space="preserve">' לוי, </w:t>
      </w:r>
      <w:r>
        <w:rPr>
          <w:rFonts w:hint="cs"/>
          <w:rtl/>
        </w:rPr>
        <w:t>נ</w:t>
      </w:r>
      <w:r w:rsidRPr="002353D6">
        <w:rPr>
          <w:rFonts w:hint="cs"/>
          <w:rtl/>
        </w:rPr>
        <w:t xml:space="preserve">' סתיו, </w:t>
      </w:r>
      <w:r w:rsidRPr="00FF3B66">
        <w:rPr>
          <w:rFonts w:hint="eastAsia"/>
          <w:b/>
          <w:bCs/>
          <w:rtl/>
        </w:rPr>
        <w:t>שינוי</w:t>
      </w:r>
      <w:r w:rsidRPr="00FF3B66">
        <w:rPr>
          <w:b/>
          <w:bCs/>
          <w:rtl/>
        </w:rPr>
        <w:t xml:space="preserve"> </w:t>
      </w:r>
      <w:r w:rsidRPr="00FF3B66">
        <w:rPr>
          <w:rFonts w:hint="eastAsia"/>
          <w:b/>
          <w:bCs/>
          <w:rtl/>
        </w:rPr>
        <w:t>האקלים</w:t>
      </w:r>
      <w:r w:rsidRPr="00FF3B66">
        <w:rPr>
          <w:b/>
          <w:bCs/>
          <w:rtl/>
        </w:rPr>
        <w:t xml:space="preserve"> </w:t>
      </w:r>
      <w:r w:rsidRPr="00FF3B66">
        <w:rPr>
          <w:rFonts w:hint="eastAsia"/>
          <w:b/>
          <w:bCs/>
          <w:rtl/>
        </w:rPr>
        <w:t>בישראל</w:t>
      </w:r>
      <w:r w:rsidRPr="00FF3B66">
        <w:rPr>
          <w:b/>
          <w:bCs/>
          <w:rtl/>
        </w:rPr>
        <w:t xml:space="preserve"> - </w:t>
      </w:r>
      <w:r w:rsidRPr="00FF3B66">
        <w:rPr>
          <w:rFonts w:hint="eastAsia"/>
          <w:b/>
          <w:bCs/>
          <w:rtl/>
        </w:rPr>
        <w:t>מגמות</w:t>
      </w:r>
      <w:r w:rsidRPr="00FF3B66">
        <w:rPr>
          <w:b/>
          <w:bCs/>
          <w:rtl/>
        </w:rPr>
        <w:t xml:space="preserve"> </w:t>
      </w:r>
      <w:r w:rsidRPr="00FF3B66">
        <w:rPr>
          <w:rFonts w:hint="eastAsia"/>
          <w:b/>
          <w:bCs/>
          <w:rtl/>
        </w:rPr>
        <w:t>עבר</w:t>
      </w:r>
      <w:r w:rsidRPr="00FF3B66">
        <w:rPr>
          <w:b/>
          <w:bCs/>
          <w:rtl/>
        </w:rPr>
        <w:t xml:space="preserve"> </w:t>
      </w:r>
      <w:r w:rsidRPr="00FF3B66">
        <w:rPr>
          <w:rFonts w:hint="eastAsia"/>
          <w:b/>
          <w:bCs/>
          <w:rtl/>
        </w:rPr>
        <w:t>ומגמות</w:t>
      </w:r>
      <w:r w:rsidRPr="00FF3B66">
        <w:rPr>
          <w:b/>
          <w:bCs/>
          <w:rtl/>
        </w:rPr>
        <w:t xml:space="preserve"> </w:t>
      </w:r>
      <w:r w:rsidRPr="00FF3B66">
        <w:rPr>
          <w:rFonts w:hint="eastAsia"/>
          <w:b/>
          <w:bCs/>
          <w:rtl/>
        </w:rPr>
        <w:t>חזויות</w:t>
      </w:r>
      <w:r w:rsidRPr="00FF3B66">
        <w:rPr>
          <w:b/>
          <w:bCs/>
          <w:rtl/>
        </w:rPr>
        <w:t xml:space="preserve"> </w:t>
      </w:r>
      <w:r w:rsidRPr="00FF3B66">
        <w:rPr>
          <w:rFonts w:hint="eastAsia"/>
          <w:b/>
          <w:bCs/>
          <w:rtl/>
        </w:rPr>
        <w:t>במשטר</w:t>
      </w:r>
      <w:r w:rsidRPr="00FF3B66">
        <w:rPr>
          <w:b/>
          <w:bCs/>
          <w:rtl/>
        </w:rPr>
        <w:t xml:space="preserve"> </w:t>
      </w:r>
      <w:r w:rsidRPr="00FF3B66">
        <w:rPr>
          <w:rFonts w:hint="eastAsia"/>
          <w:b/>
          <w:bCs/>
          <w:rtl/>
        </w:rPr>
        <w:t>הטמפרטורה</w:t>
      </w:r>
      <w:r w:rsidRPr="00FF3B66">
        <w:rPr>
          <w:b/>
          <w:bCs/>
          <w:rtl/>
        </w:rPr>
        <w:t xml:space="preserve"> </w:t>
      </w:r>
      <w:r w:rsidRPr="00FF3B66">
        <w:rPr>
          <w:rFonts w:hint="eastAsia"/>
          <w:b/>
          <w:bCs/>
          <w:rtl/>
        </w:rPr>
        <w:t>והמשקעים</w:t>
      </w:r>
      <w:r>
        <w:rPr>
          <w:rFonts w:hint="cs"/>
          <w:rtl/>
        </w:rPr>
        <w:t>,</w:t>
      </w:r>
      <w:r w:rsidRPr="002353D6">
        <w:rPr>
          <w:rFonts w:hint="cs"/>
          <w:rtl/>
        </w:rPr>
        <w:t xml:space="preserve"> השירות המטאורולוגי הישראלי</w:t>
      </w:r>
      <w:r>
        <w:rPr>
          <w:rFonts w:hint="cs"/>
          <w:rtl/>
        </w:rPr>
        <w:t xml:space="preserve"> </w:t>
      </w:r>
      <w:r w:rsidRPr="002353D6">
        <w:rPr>
          <w:rFonts w:hint="cs"/>
          <w:rtl/>
        </w:rPr>
        <w:t>(</w:t>
      </w:r>
      <w:r>
        <w:rPr>
          <w:rFonts w:hint="cs"/>
          <w:rtl/>
        </w:rPr>
        <w:t xml:space="preserve">נובמבר </w:t>
      </w:r>
      <w:r w:rsidRPr="002353D6">
        <w:rPr>
          <w:rFonts w:hint="cs"/>
          <w:rtl/>
        </w:rPr>
        <w:t>2019).</w:t>
      </w:r>
    </w:p>
  </w:footnote>
  <w:footnote w:id="6">
    <w:p w:rsidR="004321D8" w:rsidRPr="002353D6" w:rsidP="00476FCB">
      <w:pPr>
        <w:pStyle w:val="FootnoteText"/>
        <w:spacing w:line="269" w:lineRule="auto"/>
        <w:rPr>
          <w:rtl/>
        </w:rPr>
      </w:pPr>
      <w:r w:rsidRPr="002353D6">
        <w:rPr>
          <w:rStyle w:val="FootnoteReference1"/>
        </w:rPr>
        <w:footnoteRef/>
      </w:r>
      <w:r w:rsidRPr="00935147">
        <w:rPr>
          <w:rtl/>
        </w:rPr>
        <w:t xml:space="preserve"> </w:t>
      </w:r>
      <w:r w:rsidRPr="00935147">
        <w:rPr>
          <w:rtl/>
        </w:rPr>
        <w:tab/>
      </w:r>
      <w:r w:rsidRPr="002353D6">
        <w:t>M. E.</w:t>
      </w:r>
      <w:r>
        <w:t xml:space="preserve"> </w:t>
      </w:r>
      <w:r w:rsidRPr="002353D6">
        <w:t>Kahan</w:t>
      </w:r>
      <w:r w:rsidRPr="002353D6">
        <w:t>, M</w:t>
      </w:r>
      <w:r>
        <w:t>.</w:t>
      </w:r>
      <w:r w:rsidRPr="002353D6">
        <w:t xml:space="preserve"> R</w:t>
      </w:r>
      <w:r>
        <w:t>.</w:t>
      </w:r>
      <w:r w:rsidRPr="002353D6">
        <w:t xml:space="preserve"> </w:t>
      </w:r>
      <w:r w:rsidRPr="002353D6">
        <w:t>Kamiar</w:t>
      </w:r>
      <w:r w:rsidRPr="002353D6">
        <w:t>,</w:t>
      </w:r>
      <w:r w:rsidRPr="00233E93">
        <w:t xml:space="preserve"> </w:t>
      </w:r>
      <w:r w:rsidRPr="002353D6">
        <w:t>M. Ng, P.</w:t>
      </w:r>
      <w:r>
        <w:t xml:space="preserve"> </w:t>
      </w:r>
      <w:r w:rsidRPr="002353D6">
        <w:t>Hashem, R.</w:t>
      </w:r>
      <w:r>
        <w:t xml:space="preserve"> </w:t>
      </w:r>
      <w:r w:rsidRPr="002353D6">
        <w:t>Mehdi,</w:t>
      </w:r>
      <w:r>
        <w:t xml:space="preserve"> </w:t>
      </w:r>
      <w:r w:rsidRPr="002353D6">
        <w:t xml:space="preserve">Y. </w:t>
      </w:r>
      <w:r w:rsidRPr="002353D6">
        <w:t>Jui</w:t>
      </w:r>
      <w:r w:rsidRPr="002353D6">
        <w:t xml:space="preserve">-Chung, </w:t>
      </w:r>
      <w:r w:rsidRPr="00FF3B66">
        <w:rPr>
          <w:b/>
          <w:bCs/>
        </w:rPr>
        <w:t>Long term macroeconomic effect of climate change: A cross-country</w:t>
      </w:r>
      <w:r w:rsidRPr="002353D6">
        <w:t xml:space="preserve"> </w:t>
      </w:r>
      <w:r w:rsidRPr="00FF3B66">
        <w:rPr>
          <w:b/>
          <w:bCs/>
        </w:rPr>
        <w:t>analysis</w:t>
      </w:r>
      <w:r w:rsidRPr="002353D6">
        <w:t xml:space="preserve">, National Bureau of Economic </w:t>
      </w:r>
      <w:r w:rsidRPr="00233E93">
        <w:t>Research</w:t>
      </w:r>
      <w:r>
        <w:t xml:space="preserve"> -</w:t>
      </w:r>
      <w:r w:rsidRPr="00233E93">
        <w:t xml:space="preserve"> Working Paper No. 26167</w:t>
      </w:r>
      <w:r>
        <w:t>,</w:t>
      </w:r>
      <w:r w:rsidRPr="002353D6">
        <w:t xml:space="preserve"> Cambridge (2019</w:t>
      </w:r>
      <w:r>
        <w:t>)</w:t>
      </w:r>
      <w:r>
        <w:rPr>
          <w:rFonts w:hint="cs"/>
          <w:rtl/>
        </w:rPr>
        <w:t>.</w:t>
      </w:r>
    </w:p>
  </w:footnote>
  <w:footnote w:id="7">
    <w:p w:rsidR="004321D8" w:rsidRPr="002353D6" w:rsidP="00476FCB">
      <w:pPr>
        <w:pStyle w:val="FootnoteText"/>
        <w:spacing w:line="269" w:lineRule="auto"/>
      </w:pPr>
      <w:r w:rsidRPr="002353D6">
        <w:rPr>
          <w:rStyle w:val="FootnoteReference1"/>
        </w:rPr>
        <w:footnoteRef/>
      </w:r>
      <w:r w:rsidRPr="002353D6">
        <w:rPr>
          <w:rtl/>
        </w:rPr>
        <w:t xml:space="preserve"> </w:t>
      </w:r>
      <w:r w:rsidRPr="002353D6">
        <w:rPr>
          <w:rtl/>
        </w:rPr>
        <w:tab/>
      </w:r>
      <w:r w:rsidRPr="004D6F9E">
        <w:rPr>
          <w:rFonts w:hint="cs"/>
          <w:rtl/>
        </w:rPr>
        <w:t xml:space="preserve">הסכם שנחתם בשנת 2015 בידי 195 המדינות החברות באמנת האקלים. ההסכם מגבש ומסדיר את </w:t>
      </w:r>
      <w:r w:rsidRPr="004D6F9E">
        <w:rPr>
          <w:rFonts w:hint="cs"/>
          <w:rtl/>
        </w:rPr>
        <w:t>תוכנית</w:t>
      </w:r>
      <w:r w:rsidRPr="004D6F9E">
        <w:rPr>
          <w:rFonts w:hint="cs"/>
          <w:rtl/>
        </w:rPr>
        <w:t xml:space="preserve"> הפעולה העולמית להתמודדות עם שינויי האקלים ואת הצעדים הלאומיים הנדרשים מכל מדינה ומדינה.</w:t>
      </w:r>
    </w:p>
  </w:footnote>
  <w:footnote w:id="8">
    <w:p w:rsidR="004321D8" w:rsidRPr="002353D6" w:rsidP="00476FCB">
      <w:pPr>
        <w:pStyle w:val="FootnoteText"/>
        <w:spacing w:line="269" w:lineRule="auto"/>
      </w:pPr>
      <w:r w:rsidRPr="002353D6">
        <w:rPr>
          <w:rStyle w:val="FootnoteReference1"/>
        </w:rPr>
        <w:footnoteRef/>
      </w:r>
      <w:r w:rsidRPr="002353D6">
        <w:rPr>
          <w:rtl/>
        </w:rPr>
        <w:t xml:space="preserve"> </w:t>
      </w:r>
      <w:r w:rsidRPr="002353D6">
        <w:rPr>
          <w:rtl/>
        </w:rPr>
        <w:tab/>
      </w:r>
      <w:r w:rsidRPr="002353D6">
        <w:rPr>
          <w:rFonts w:hint="cs"/>
          <w:rtl/>
        </w:rPr>
        <w:t xml:space="preserve">ראו מבקר </w:t>
      </w:r>
      <w:r>
        <w:rPr>
          <w:rFonts w:hint="cs"/>
          <w:rtl/>
        </w:rPr>
        <w:t>ה</w:t>
      </w:r>
      <w:r w:rsidRPr="002353D6">
        <w:rPr>
          <w:rFonts w:hint="cs"/>
          <w:rtl/>
        </w:rPr>
        <w:t xml:space="preserve">מדינה, </w:t>
      </w:r>
      <w:r w:rsidRPr="002353D6">
        <w:rPr>
          <w:rFonts w:hint="cs"/>
          <w:b/>
          <w:bCs/>
          <w:rtl/>
        </w:rPr>
        <w:t>דוח שנתי 65א</w:t>
      </w:r>
      <w:r w:rsidRPr="002353D6">
        <w:rPr>
          <w:rFonts w:hint="cs"/>
          <w:rtl/>
        </w:rPr>
        <w:t xml:space="preserve"> (2014), בנושא </w:t>
      </w:r>
      <w:r>
        <w:rPr>
          <w:rFonts w:hint="cs"/>
          <w:rtl/>
        </w:rPr>
        <w:t>"</w:t>
      </w:r>
      <w:r w:rsidRPr="002353D6">
        <w:rPr>
          <w:rFonts w:hint="cs"/>
          <w:rtl/>
        </w:rPr>
        <w:t>קידום החיסכון באנרגיה</w:t>
      </w:r>
      <w:r>
        <w:rPr>
          <w:rFonts w:hint="cs"/>
          <w:rtl/>
        </w:rPr>
        <w:t>"</w:t>
      </w:r>
      <w:r w:rsidRPr="002353D6">
        <w:rPr>
          <w:rFonts w:hint="cs"/>
          <w:rtl/>
        </w:rPr>
        <w:t>, ע' 315.</w:t>
      </w:r>
    </w:p>
  </w:footnote>
  <w:footnote w:id="9">
    <w:p w:rsidR="004321D8" w:rsidRPr="002353D6"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sidRPr="002353D6">
        <w:rPr>
          <w:rFonts w:hint="cs"/>
          <w:rtl/>
        </w:rPr>
        <w:t xml:space="preserve">ראו מבקר המדינה, </w:t>
      </w:r>
      <w:r w:rsidRPr="002353D6">
        <w:rPr>
          <w:rFonts w:hint="cs"/>
          <w:b/>
          <w:bCs/>
          <w:rtl/>
        </w:rPr>
        <w:t>דוח שנתי 59ב</w:t>
      </w:r>
      <w:r w:rsidRPr="002353D6">
        <w:rPr>
          <w:rFonts w:hint="cs"/>
          <w:rtl/>
        </w:rPr>
        <w:t xml:space="preserve"> (2009), בנושא "שימור אנרגיה וניצול אנרגיות מתחדשות במשק החשמל", ע</w:t>
      </w:r>
      <w:r>
        <w:rPr>
          <w:rFonts w:hint="cs"/>
          <w:rtl/>
        </w:rPr>
        <w:t>מ</w:t>
      </w:r>
      <w:r w:rsidRPr="002353D6">
        <w:rPr>
          <w:rFonts w:hint="cs"/>
          <w:rtl/>
        </w:rPr>
        <w:t>' 1219.</w:t>
      </w:r>
    </w:p>
  </w:footnote>
  <w:footnote w:id="10">
    <w:p w:rsidR="004321D8" w:rsidRPr="002353D6" w:rsidP="00476FCB">
      <w:pPr>
        <w:pStyle w:val="FootnoteText"/>
        <w:spacing w:line="269" w:lineRule="auto"/>
      </w:pPr>
      <w:r w:rsidRPr="002353D6">
        <w:rPr>
          <w:rStyle w:val="FootnoteReference1"/>
        </w:rPr>
        <w:footnoteRef/>
      </w:r>
      <w:r w:rsidRPr="002353D6">
        <w:rPr>
          <w:rtl/>
        </w:rPr>
        <w:t xml:space="preserve"> </w:t>
      </w:r>
      <w:r w:rsidRPr="002353D6">
        <w:rPr>
          <w:rtl/>
        </w:rPr>
        <w:tab/>
      </w:r>
      <w:r w:rsidRPr="002353D6">
        <w:rPr>
          <w:rFonts w:hint="cs"/>
          <w:rtl/>
        </w:rPr>
        <w:t xml:space="preserve">פורום ישראלי לאנרגיה, </w:t>
      </w:r>
      <w:r w:rsidRPr="00FF3B66">
        <w:rPr>
          <w:rFonts w:hint="eastAsia"/>
          <w:b/>
          <w:bCs/>
          <w:rtl/>
        </w:rPr>
        <w:t>התייעלות</w:t>
      </w:r>
      <w:r w:rsidRPr="00FF3B66">
        <w:rPr>
          <w:b/>
          <w:bCs/>
          <w:rtl/>
        </w:rPr>
        <w:t xml:space="preserve"> </w:t>
      </w:r>
      <w:r w:rsidRPr="00FF3B66">
        <w:rPr>
          <w:rFonts w:hint="eastAsia"/>
          <w:b/>
          <w:bCs/>
          <w:rtl/>
        </w:rPr>
        <w:t>אנרגטית</w:t>
      </w:r>
      <w:r w:rsidRPr="00FF3B66">
        <w:rPr>
          <w:b/>
          <w:bCs/>
          <w:rtl/>
        </w:rPr>
        <w:t xml:space="preserve"> </w:t>
      </w:r>
      <w:r w:rsidRPr="00FF3B66">
        <w:rPr>
          <w:rFonts w:hint="eastAsia"/>
          <w:b/>
          <w:bCs/>
          <w:rtl/>
        </w:rPr>
        <w:t>בישראל</w:t>
      </w:r>
      <w:r w:rsidRPr="00FF3B66">
        <w:rPr>
          <w:b/>
          <w:bCs/>
          <w:rtl/>
        </w:rPr>
        <w:t xml:space="preserve"> - </w:t>
      </w:r>
      <w:r w:rsidRPr="00FF3B66">
        <w:rPr>
          <w:rFonts w:hint="eastAsia"/>
          <w:b/>
          <w:bCs/>
          <w:rtl/>
        </w:rPr>
        <w:t>דרכים</w:t>
      </w:r>
      <w:r w:rsidRPr="00FF3B66">
        <w:rPr>
          <w:b/>
          <w:bCs/>
          <w:rtl/>
        </w:rPr>
        <w:t xml:space="preserve"> </w:t>
      </w:r>
      <w:r w:rsidRPr="00FF3B66">
        <w:rPr>
          <w:rFonts w:hint="eastAsia"/>
          <w:b/>
          <w:bCs/>
          <w:rtl/>
        </w:rPr>
        <w:t>למימוש</w:t>
      </w:r>
      <w:r w:rsidRPr="00FF3B66">
        <w:rPr>
          <w:b/>
          <w:bCs/>
          <w:rtl/>
        </w:rPr>
        <w:t xml:space="preserve">, </w:t>
      </w:r>
      <w:r w:rsidRPr="00FF3B66">
        <w:rPr>
          <w:rFonts w:hint="eastAsia"/>
          <w:b/>
          <w:bCs/>
          <w:rtl/>
        </w:rPr>
        <w:t>חסמים</w:t>
      </w:r>
      <w:r w:rsidRPr="00FF3B66">
        <w:rPr>
          <w:b/>
          <w:bCs/>
          <w:rtl/>
        </w:rPr>
        <w:t xml:space="preserve"> </w:t>
      </w:r>
      <w:r w:rsidRPr="00FF3B66">
        <w:rPr>
          <w:rFonts w:hint="eastAsia"/>
          <w:b/>
          <w:bCs/>
          <w:rtl/>
        </w:rPr>
        <w:t>והצעות</w:t>
      </w:r>
      <w:r w:rsidRPr="00FF3B66">
        <w:rPr>
          <w:b/>
          <w:bCs/>
          <w:rtl/>
        </w:rPr>
        <w:t xml:space="preserve"> </w:t>
      </w:r>
      <w:r w:rsidRPr="00FF3B66">
        <w:rPr>
          <w:rFonts w:hint="eastAsia"/>
          <w:b/>
          <w:bCs/>
          <w:rtl/>
        </w:rPr>
        <w:t>מדיניות</w:t>
      </w:r>
      <w:r w:rsidRPr="00FF3B66">
        <w:rPr>
          <w:b/>
          <w:bCs/>
          <w:rtl/>
        </w:rPr>
        <w:t xml:space="preserve"> </w:t>
      </w:r>
      <w:r w:rsidRPr="00FF3B66">
        <w:rPr>
          <w:rFonts w:hint="eastAsia"/>
          <w:b/>
          <w:bCs/>
          <w:rtl/>
        </w:rPr>
        <w:t>לפתרונם</w:t>
      </w:r>
      <w:r w:rsidRPr="002353D6">
        <w:rPr>
          <w:rFonts w:hint="cs"/>
          <w:rtl/>
        </w:rPr>
        <w:t xml:space="preserve"> (2009), עמ' 4.</w:t>
      </w:r>
    </w:p>
  </w:footnote>
  <w:footnote w:id="11">
    <w:p w:rsidR="004321D8" w:rsidRPr="002353D6" w:rsidP="00476FCB">
      <w:pPr>
        <w:pStyle w:val="FootnoteText"/>
        <w:spacing w:line="269" w:lineRule="auto"/>
      </w:pPr>
      <w:r w:rsidRPr="002353D6">
        <w:rPr>
          <w:rStyle w:val="FootnoteReference1"/>
        </w:rPr>
        <w:footnoteRef/>
      </w:r>
      <w:r w:rsidRPr="002353D6">
        <w:rPr>
          <w:rtl/>
        </w:rPr>
        <w:t xml:space="preserve"> </w:t>
      </w:r>
      <w:r w:rsidRPr="002353D6">
        <w:rPr>
          <w:rtl/>
        </w:rPr>
        <w:tab/>
      </w:r>
      <w:r w:rsidRPr="002353D6">
        <w:rPr>
          <w:rFonts w:hint="cs"/>
          <w:rtl/>
        </w:rPr>
        <w:t xml:space="preserve">החלטת </w:t>
      </w:r>
      <w:r>
        <w:rPr>
          <w:rFonts w:hint="cs"/>
          <w:rtl/>
        </w:rPr>
        <w:t>ה</w:t>
      </w:r>
      <w:r w:rsidRPr="002353D6">
        <w:rPr>
          <w:rFonts w:hint="cs"/>
          <w:rtl/>
        </w:rPr>
        <w:t>ממשלה 542</w:t>
      </w:r>
      <w:r>
        <w:rPr>
          <w:rFonts w:hint="cs"/>
          <w:rtl/>
        </w:rPr>
        <w:t>,</w:t>
      </w:r>
      <w:r w:rsidRPr="002353D6">
        <w:rPr>
          <w:rFonts w:hint="cs"/>
          <w:rtl/>
        </w:rPr>
        <w:t xml:space="preserve"> "הפחתת פליטת גזי חממה וייעול צריכת האנרגיה במשק"</w:t>
      </w:r>
      <w:r>
        <w:rPr>
          <w:rFonts w:hint="cs"/>
          <w:rtl/>
        </w:rPr>
        <w:t xml:space="preserve"> (</w:t>
      </w:r>
      <w:r w:rsidRPr="002353D6">
        <w:rPr>
          <w:rFonts w:hint="cs"/>
          <w:rtl/>
        </w:rPr>
        <w:t>20.9.15</w:t>
      </w:r>
      <w:r>
        <w:rPr>
          <w:rFonts w:hint="cs"/>
          <w:rtl/>
        </w:rPr>
        <w:t>) (להלן - החלטה 542)</w:t>
      </w:r>
      <w:r w:rsidRPr="002353D6">
        <w:rPr>
          <w:rFonts w:hint="cs"/>
          <w:rtl/>
        </w:rPr>
        <w:t>.</w:t>
      </w:r>
    </w:p>
  </w:footnote>
  <w:footnote w:id="12">
    <w:p w:rsidR="004321D8" w:rsidRPr="00935147"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sidRPr="002353D6">
        <w:rPr>
          <w:rFonts w:hint="cs"/>
          <w:rtl/>
        </w:rPr>
        <w:t>חברי הו</w:t>
      </w:r>
      <w:r>
        <w:rPr>
          <w:rFonts w:hint="cs"/>
          <w:rtl/>
        </w:rPr>
        <w:t>ו</w:t>
      </w:r>
      <w:r w:rsidRPr="002353D6">
        <w:rPr>
          <w:rFonts w:hint="cs"/>
          <w:rtl/>
        </w:rPr>
        <w:t xml:space="preserve">עדה היו </w:t>
      </w:r>
      <w:r>
        <w:rPr>
          <w:rFonts w:hint="cs"/>
          <w:rtl/>
        </w:rPr>
        <w:t xml:space="preserve">נציגי </w:t>
      </w:r>
      <w:r w:rsidRPr="002353D6">
        <w:rPr>
          <w:rFonts w:hint="cs"/>
          <w:rtl/>
        </w:rPr>
        <w:t xml:space="preserve">המשרד </w:t>
      </w:r>
      <w:r>
        <w:rPr>
          <w:rFonts w:hint="cs"/>
          <w:rtl/>
        </w:rPr>
        <w:t>להג"ס</w:t>
      </w:r>
      <w:r w:rsidRPr="002353D6">
        <w:rPr>
          <w:rFonts w:hint="cs"/>
          <w:rtl/>
        </w:rPr>
        <w:t xml:space="preserve">, משרד </w:t>
      </w:r>
      <w:r w:rsidRPr="002353D6">
        <w:rPr>
          <w:rFonts w:hint="cs"/>
          <w:rtl/>
        </w:rPr>
        <w:t>האנרגי</w:t>
      </w:r>
      <w:r>
        <w:rPr>
          <w:rFonts w:hint="cs"/>
          <w:rtl/>
        </w:rPr>
        <w:t>י</w:t>
      </w:r>
      <w:r w:rsidRPr="002353D6">
        <w:rPr>
          <w:rFonts w:hint="cs"/>
          <w:rtl/>
        </w:rPr>
        <w:t>ה</w:t>
      </w:r>
      <w:r w:rsidRPr="002353D6">
        <w:rPr>
          <w:rFonts w:hint="cs"/>
          <w:rtl/>
        </w:rPr>
        <w:t xml:space="preserve"> ומשרד האוצר.</w:t>
      </w:r>
    </w:p>
  </w:footnote>
  <w:footnote w:id="13">
    <w:p w:rsidR="004321D8" w:rsidRPr="00935147" w:rsidP="00476FCB">
      <w:pPr>
        <w:pStyle w:val="FootnoteText"/>
        <w:spacing w:line="269" w:lineRule="auto"/>
        <w:rPr>
          <w:rtl/>
        </w:rPr>
      </w:pPr>
      <w:r w:rsidRPr="002353D6">
        <w:rPr>
          <w:rStyle w:val="FootnoteReference1"/>
        </w:rPr>
        <w:footnoteRef/>
      </w:r>
      <w:r w:rsidRPr="002353D6">
        <w:rPr>
          <w:rtl/>
        </w:rPr>
        <w:t xml:space="preserve"> </w:t>
      </w:r>
      <w:r w:rsidRPr="002353D6">
        <w:rPr>
          <w:rtl/>
        </w:rPr>
        <w:tab/>
      </w:r>
      <w:r w:rsidRPr="002353D6">
        <w:t>United Nations Framework Convention on Climate Change (1992)</w:t>
      </w:r>
      <w:r>
        <w:rPr>
          <w:rFonts w:hint="cs"/>
          <w:rtl/>
        </w:rPr>
        <w:t>.</w:t>
      </w:r>
    </w:p>
  </w:footnote>
  <w:footnote w:id="14">
    <w:p w:rsidR="004321D8" w:rsidRPr="002353D6" w:rsidP="00476FCB">
      <w:pPr>
        <w:pStyle w:val="FootnoteText"/>
        <w:spacing w:line="269" w:lineRule="auto"/>
      </w:pPr>
      <w:r w:rsidRPr="002353D6">
        <w:rPr>
          <w:rStyle w:val="FootnoteReference1"/>
        </w:rPr>
        <w:footnoteRef/>
      </w:r>
      <w:r w:rsidRPr="00935147">
        <w:rPr>
          <w:rtl/>
        </w:rPr>
        <w:t xml:space="preserve"> </w:t>
      </w:r>
      <w:r w:rsidRPr="002353D6">
        <w:tab/>
      </w:r>
      <w:r w:rsidRPr="002353D6">
        <w:rPr>
          <w:rFonts w:hint="cs"/>
          <w:rtl/>
        </w:rPr>
        <w:t>תרחיש</w:t>
      </w:r>
      <w:r w:rsidRPr="002353D6">
        <w:t xml:space="preserve"> </w:t>
      </w:r>
      <w:r w:rsidRPr="002353D6">
        <w:rPr>
          <w:rFonts w:hint="cs"/>
          <w:rtl/>
        </w:rPr>
        <w:t>המשקף</w:t>
      </w:r>
      <w:r w:rsidRPr="002353D6">
        <w:t xml:space="preserve"> </w:t>
      </w:r>
      <w:r w:rsidRPr="002353D6">
        <w:rPr>
          <w:rFonts w:hint="cs"/>
          <w:rtl/>
        </w:rPr>
        <w:t>את</w:t>
      </w:r>
      <w:r w:rsidRPr="002353D6">
        <w:t xml:space="preserve"> </w:t>
      </w:r>
      <w:r w:rsidRPr="002353D6">
        <w:rPr>
          <w:rFonts w:hint="cs"/>
          <w:rtl/>
        </w:rPr>
        <w:t>היקף</w:t>
      </w:r>
      <w:r w:rsidRPr="002353D6">
        <w:t xml:space="preserve"> </w:t>
      </w:r>
      <w:r w:rsidRPr="002353D6">
        <w:rPr>
          <w:rFonts w:hint="cs"/>
          <w:rtl/>
        </w:rPr>
        <w:t>צריכת</w:t>
      </w:r>
      <w:r w:rsidRPr="002353D6">
        <w:t xml:space="preserve"> </w:t>
      </w:r>
      <w:r w:rsidRPr="002353D6">
        <w:rPr>
          <w:rFonts w:hint="cs"/>
          <w:rtl/>
        </w:rPr>
        <w:t>החשמל</w:t>
      </w:r>
      <w:r w:rsidRPr="002353D6">
        <w:t xml:space="preserve"> </w:t>
      </w:r>
      <w:r w:rsidRPr="002353D6">
        <w:rPr>
          <w:rFonts w:hint="cs"/>
          <w:rtl/>
        </w:rPr>
        <w:t>הצפויה</w:t>
      </w:r>
      <w:r w:rsidRPr="002353D6">
        <w:t xml:space="preserve"> </w:t>
      </w:r>
      <w:r w:rsidRPr="002353D6">
        <w:rPr>
          <w:rFonts w:hint="cs"/>
          <w:rtl/>
        </w:rPr>
        <w:t>בשנת 2030</w:t>
      </w:r>
      <w:r>
        <w:rPr>
          <w:rFonts w:hint="cs"/>
          <w:rtl/>
        </w:rPr>
        <w:t xml:space="preserve"> </w:t>
      </w:r>
      <w:r w:rsidRPr="002353D6">
        <w:rPr>
          <w:rFonts w:hint="cs"/>
          <w:rtl/>
        </w:rPr>
        <w:t>על</w:t>
      </w:r>
      <w:r w:rsidRPr="002353D6">
        <w:t xml:space="preserve"> </w:t>
      </w:r>
      <w:r w:rsidRPr="002353D6">
        <w:rPr>
          <w:rFonts w:hint="cs"/>
          <w:rtl/>
        </w:rPr>
        <w:t>פי</w:t>
      </w:r>
      <w:r w:rsidRPr="002353D6">
        <w:t xml:space="preserve"> </w:t>
      </w:r>
      <w:r w:rsidRPr="002353D6">
        <w:rPr>
          <w:rFonts w:hint="cs"/>
          <w:rtl/>
        </w:rPr>
        <w:t>המגמות</w:t>
      </w:r>
      <w:r w:rsidRPr="002353D6">
        <w:t xml:space="preserve"> </w:t>
      </w:r>
      <w:r w:rsidRPr="002353D6">
        <w:rPr>
          <w:rFonts w:hint="cs"/>
          <w:rtl/>
        </w:rPr>
        <w:t>למועד עריכתו (2015).</w:t>
      </w:r>
    </w:p>
  </w:footnote>
  <w:footnote w:id="15">
    <w:p w:rsidR="004321D8" w:rsidP="00476FCB">
      <w:pPr>
        <w:pStyle w:val="FootnoteText"/>
        <w:spacing w:line="269" w:lineRule="auto"/>
        <w:ind w:left="709" w:hanging="709"/>
        <w:rPr>
          <w:rtl/>
        </w:rPr>
      </w:pPr>
      <w:r w:rsidRPr="002353D6">
        <w:rPr>
          <w:rStyle w:val="FootnoteReference1"/>
        </w:rPr>
        <w:footnoteRef/>
      </w:r>
      <w:r w:rsidRPr="002353D6">
        <w:rPr>
          <w:rtl/>
        </w:rPr>
        <w:t xml:space="preserve"> </w:t>
      </w:r>
      <w:r w:rsidRPr="002353D6">
        <w:rPr>
          <w:rtl/>
        </w:rPr>
        <w:tab/>
      </w:r>
      <w:r w:rsidRPr="002353D6">
        <w:rPr>
          <w:rFonts w:hint="cs"/>
          <w:rtl/>
        </w:rPr>
        <w:t>אנרגי</w:t>
      </w:r>
      <w:r>
        <w:rPr>
          <w:rFonts w:hint="cs"/>
          <w:rtl/>
        </w:rPr>
        <w:t>י</w:t>
      </w:r>
      <w:r w:rsidRPr="002353D6">
        <w:rPr>
          <w:rFonts w:hint="cs"/>
          <w:rtl/>
        </w:rPr>
        <w:t>ה</w:t>
      </w:r>
      <w:r w:rsidRPr="002353D6">
        <w:rPr>
          <w:rFonts w:hint="cs"/>
          <w:rtl/>
        </w:rPr>
        <w:t xml:space="preserve"> מתחדשת המשמשת לייצור חשמל </w:t>
      </w:r>
      <w:r>
        <w:rPr>
          <w:rFonts w:hint="cs"/>
          <w:rtl/>
        </w:rPr>
        <w:t>ו</w:t>
      </w:r>
      <w:r w:rsidRPr="002353D6">
        <w:rPr>
          <w:rFonts w:hint="cs"/>
          <w:rtl/>
        </w:rPr>
        <w:t>נוצרת ממקורות טבעיים</w:t>
      </w:r>
      <w:r>
        <w:rPr>
          <w:rFonts w:hint="cs"/>
          <w:rtl/>
        </w:rPr>
        <w:t>,</w:t>
      </w:r>
      <w:r w:rsidRPr="002353D6">
        <w:rPr>
          <w:rFonts w:hint="cs"/>
          <w:rtl/>
        </w:rPr>
        <w:t xml:space="preserve"> כגון שמש, רוח </w:t>
      </w:r>
      <w:r>
        <w:rPr>
          <w:rFonts w:hint="cs"/>
          <w:rtl/>
        </w:rPr>
        <w:t>ו</w:t>
      </w:r>
      <w:r w:rsidRPr="002353D6">
        <w:rPr>
          <w:rFonts w:hint="cs"/>
          <w:rtl/>
        </w:rPr>
        <w:t>מים</w:t>
      </w:r>
      <w:r>
        <w:rPr>
          <w:rFonts w:hint="cs"/>
          <w:rtl/>
        </w:rPr>
        <w:t>,</w:t>
      </w:r>
      <w:r w:rsidRPr="002353D6">
        <w:rPr>
          <w:rFonts w:hint="cs"/>
          <w:rtl/>
        </w:rPr>
        <w:t xml:space="preserve"> מחומרים אורגניים (ביומסה) </w:t>
      </w:r>
      <w:r>
        <w:rPr>
          <w:rFonts w:hint="cs"/>
          <w:rtl/>
        </w:rPr>
        <w:t xml:space="preserve">ועל ידי </w:t>
      </w:r>
      <w:r w:rsidRPr="002353D6">
        <w:rPr>
          <w:rFonts w:hint="cs"/>
          <w:rtl/>
        </w:rPr>
        <w:t>תופעות טבע אחרות</w:t>
      </w:r>
      <w:r>
        <w:rPr>
          <w:rFonts w:hint="cs"/>
          <w:rtl/>
        </w:rPr>
        <w:t>,</w:t>
      </w:r>
      <w:r w:rsidRPr="002353D6">
        <w:rPr>
          <w:rFonts w:hint="cs"/>
          <w:rtl/>
        </w:rPr>
        <w:t xml:space="preserve"> ולא מדלק פחמימני.</w:t>
      </w:r>
    </w:p>
  </w:footnote>
  <w:footnote w:id="16">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ראו</w:t>
      </w:r>
      <w:r>
        <w:rPr>
          <w:rFonts w:hint="cs"/>
          <w:rtl/>
        </w:rPr>
        <w:t xml:space="preserve"> דוח מבקר המדינה על</w:t>
      </w:r>
      <w:r w:rsidRPr="0029356C">
        <w:rPr>
          <w:rFonts w:hint="cs"/>
          <w:rtl/>
        </w:rPr>
        <w:t xml:space="preserve"> </w:t>
      </w:r>
      <w:r w:rsidRPr="002F1BFB">
        <w:rPr>
          <w:rFonts w:hint="eastAsia"/>
          <w:b/>
          <w:bCs/>
          <w:rtl/>
        </w:rPr>
        <w:t>הטיפול</w:t>
      </w:r>
      <w:r w:rsidRPr="002F1BFB">
        <w:rPr>
          <w:b/>
          <w:bCs/>
          <w:rtl/>
        </w:rPr>
        <w:t xml:space="preserve"> </w:t>
      </w:r>
      <w:r w:rsidRPr="002F1BFB">
        <w:rPr>
          <w:rFonts w:hint="eastAsia"/>
          <w:b/>
          <w:bCs/>
          <w:rtl/>
        </w:rPr>
        <w:t>בפליטת</w:t>
      </w:r>
      <w:r w:rsidRPr="002F1BFB">
        <w:rPr>
          <w:b/>
          <w:bCs/>
          <w:rtl/>
        </w:rPr>
        <w:t xml:space="preserve"> </w:t>
      </w:r>
      <w:r>
        <w:rPr>
          <w:rFonts w:hint="cs"/>
          <w:b/>
          <w:bCs/>
          <w:rtl/>
        </w:rPr>
        <w:t>גז"ח</w:t>
      </w:r>
      <w:r w:rsidRPr="0029356C">
        <w:rPr>
          <w:rFonts w:hint="cs"/>
          <w:rtl/>
        </w:rPr>
        <w:t>.</w:t>
      </w:r>
    </w:p>
  </w:footnote>
  <w:footnote w:id="17">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ראו מבקר המדינה, </w:t>
      </w:r>
      <w:r w:rsidRPr="0029356C">
        <w:rPr>
          <w:rFonts w:hint="cs"/>
          <w:b/>
          <w:bCs/>
          <w:rtl/>
        </w:rPr>
        <w:t>דוח שנתי 68א</w:t>
      </w:r>
      <w:r w:rsidRPr="0029356C">
        <w:rPr>
          <w:rFonts w:hint="cs"/>
          <w:rtl/>
        </w:rPr>
        <w:t xml:space="preserve"> (2017), בנושא "השפעת ייצור החשמל על איכות האוויר בישראל"</w:t>
      </w:r>
      <w:r>
        <w:rPr>
          <w:rFonts w:hint="cs"/>
          <w:rtl/>
        </w:rPr>
        <w:t xml:space="preserve"> (להלן - דוח מבקר המדינה על </w:t>
      </w:r>
      <w:r w:rsidRPr="0029356C">
        <w:rPr>
          <w:rFonts w:hint="cs"/>
          <w:rtl/>
        </w:rPr>
        <w:t>"השפעת ייצור החשמל</w:t>
      </w:r>
      <w:r>
        <w:rPr>
          <w:rFonts w:hint="cs"/>
          <w:rtl/>
        </w:rPr>
        <w:t>")</w:t>
      </w:r>
      <w:r w:rsidRPr="0029356C">
        <w:rPr>
          <w:rFonts w:hint="cs"/>
          <w:rtl/>
        </w:rPr>
        <w:t>, עמ' 5.</w:t>
      </w:r>
    </w:p>
  </w:footnote>
  <w:footnote w:id="18">
    <w:p w:rsidR="004321D8" w:rsidP="00476FCB">
      <w:pPr>
        <w:pStyle w:val="FootnoteText"/>
        <w:spacing w:line="269" w:lineRule="auto"/>
        <w:rPr>
          <w:rtl/>
        </w:rPr>
      </w:pPr>
      <w:r w:rsidRPr="002F1BFB">
        <w:rPr>
          <w:rStyle w:val="FootnoteReference1"/>
        </w:rPr>
        <w:footnoteRef/>
      </w:r>
      <w:r>
        <w:rPr>
          <w:rtl/>
        </w:rPr>
        <w:t xml:space="preserve"> </w:t>
      </w:r>
      <w:r>
        <w:tab/>
      </w:r>
      <w:r w:rsidRPr="0029356C">
        <w:rPr>
          <w:rFonts w:hint="cs"/>
          <w:rtl/>
        </w:rPr>
        <w:t xml:space="preserve">העלייה בפליטת </w:t>
      </w:r>
      <w:r w:rsidRPr="0029356C">
        <w:rPr>
          <w:rFonts w:hint="cs"/>
          <w:rtl/>
        </w:rPr>
        <w:t>פד"ח</w:t>
      </w:r>
      <w:r w:rsidRPr="0029356C">
        <w:rPr>
          <w:rFonts w:hint="cs"/>
          <w:rtl/>
        </w:rPr>
        <w:t xml:space="preserve"> בשנת 2012 נובעת ממשבר הגז עם מצרים ו</w:t>
      </w:r>
      <w:r>
        <w:rPr>
          <w:rFonts w:hint="cs"/>
          <w:rtl/>
        </w:rPr>
        <w:t>מ</w:t>
      </w:r>
      <w:r w:rsidRPr="0029356C">
        <w:rPr>
          <w:rFonts w:hint="cs"/>
          <w:rtl/>
        </w:rPr>
        <w:t xml:space="preserve">המעבר משימוש בגז טבעי </w:t>
      </w:r>
      <w:r w:rsidRPr="0029356C">
        <w:rPr>
          <w:rFonts w:hint="cs"/>
          <w:rtl/>
        </w:rPr>
        <w:t>לדלקים</w:t>
      </w:r>
      <w:r w:rsidRPr="0029356C">
        <w:rPr>
          <w:rFonts w:hint="cs"/>
          <w:rtl/>
        </w:rPr>
        <w:t xml:space="preserve"> </w:t>
      </w:r>
      <w:r w:rsidRPr="0029356C">
        <w:rPr>
          <w:rFonts w:hint="cs"/>
          <w:rtl/>
        </w:rPr>
        <w:t>פוסיליים</w:t>
      </w:r>
      <w:r w:rsidRPr="0029356C">
        <w:rPr>
          <w:rFonts w:hint="cs"/>
          <w:rtl/>
        </w:rPr>
        <w:t xml:space="preserve"> מזהמים יותר.</w:t>
      </w:r>
    </w:p>
  </w:footnote>
  <w:footnote w:id="19">
    <w:p w:rsidR="004321D8" w:rsidRPr="003258E2" w:rsidP="00476FCB">
      <w:pPr>
        <w:pStyle w:val="FootnoteText"/>
        <w:spacing w:line="269" w:lineRule="auto"/>
        <w:rPr>
          <w:rtl/>
        </w:rPr>
      </w:pPr>
      <w:r w:rsidRPr="002F1BFB">
        <w:rPr>
          <w:rStyle w:val="FootnoteReference1"/>
        </w:rPr>
        <w:footnoteRef/>
      </w:r>
      <w:r>
        <w:rPr>
          <w:rtl/>
        </w:rPr>
        <w:t xml:space="preserve"> </w:t>
      </w:r>
      <w:r>
        <w:rPr>
          <w:rtl/>
        </w:rPr>
        <w:tab/>
      </w:r>
      <w:r w:rsidRPr="003258E2">
        <w:rPr>
          <w:rFonts w:hint="cs"/>
          <w:rtl/>
        </w:rPr>
        <w:t>יצוין כי על אף ה</w:t>
      </w:r>
      <w:r>
        <w:rPr>
          <w:rFonts w:hint="cs"/>
          <w:rtl/>
        </w:rPr>
        <w:t>הפחתה בשיעור הגידול בביקוש לחשמל חלה עלייה בסך צריכת החשמל במשק, הנובעת בין היתר מהגידול באוכלוסייה.</w:t>
      </w:r>
    </w:p>
  </w:footnote>
  <w:footnote w:id="20">
    <w:p w:rsidR="004321D8" w:rsidP="00476FCB">
      <w:pPr>
        <w:pStyle w:val="FootnoteText"/>
        <w:spacing w:line="269" w:lineRule="auto"/>
      </w:pPr>
      <w:r w:rsidRPr="002F1BFB">
        <w:rPr>
          <w:rStyle w:val="FootnoteReference1"/>
        </w:rPr>
        <w:footnoteRef/>
      </w:r>
      <w:r>
        <w:rPr>
          <w:rtl/>
        </w:rPr>
        <w:t xml:space="preserve"> </w:t>
      </w:r>
      <w:r>
        <w:rPr>
          <w:rtl/>
        </w:rPr>
        <w:tab/>
      </w:r>
      <w:r w:rsidRPr="0029356C">
        <w:rPr>
          <w:rtl/>
        </w:rPr>
        <w:t xml:space="preserve">יחידת מדידה </w:t>
      </w:r>
      <w:r w:rsidRPr="0029356C">
        <w:rPr>
          <w:rtl/>
        </w:rPr>
        <w:t>ל</w:t>
      </w:r>
      <w:hyperlink r:id="rId1" w:tooltip="אנרגיה" w:history="1">
        <w:r w:rsidRPr="0029356C">
          <w:rPr>
            <w:rtl/>
          </w:rPr>
          <w:t>אנרגי</w:t>
        </w:r>
        <w:r>
          <w:rPr>
            <w:rFonts w:hint="cs"/>
            <w:rtl/>
          </w:rPr>
          <w:t>י</w:t>
        </w:r>
        <w:r w:rsidRPr="0029356C">
          <w:rPr>
            <w:rtl/>
          </w:rPr>
          <w:t>ה</w:t>
        </w:r>
      </w:hyperlink>
      <w:r w:rsidRPr="0029356C">
        <w:t> </w:t>
      </w:r>
      <w:r w:rsidRPr="0029356C">
        <w:rPr>
          <w:rtl/>
        </w:rPr>
        <w:t xml:space="preserve">השווה לכמות </w:t>
      </w:r>
      <w:r w:rsidRPr="0029356C">
        <w:rPr>
          <w:rtl/>
        </w:rPr>
        <w:t>האנרגי</w:t>
      </w:r>
      <w:r>
        <w:rPr>
          <w:rFonts w:hint="cs"/>
          <w:rtl/>
        </w:rPr>
        <w:t>י</w:t>
      </w:r>
      <w:r w:rsidRPr="0029356C">
        <w:rPr>
          <w:rtl/>
        </w:rPr>
        <w:t>ה</w:t>
      </w:r>
      <w:r w:rsidRPr="0029356C">
        <w:rPr>
          <w:rtl/>
        </w:rPr>
        <w:t xml:space="preserve"> הנפלטת משריפת </w:t>
      </w:r>
      <w:hyperlink r:id="rId2" w:tooltip="טון (מסה)" w:history="1">
        <w:r w:rsidRPr="0029356C">
          <w:rPr>
            <w:rtl/>
          </w:rPr>
          <w:t>טון</w:t>
        </w:r>
      </w:hyperlink>
      <w:r w:rsidRPr="0029356C">
        <w:t> </w:t>
      </w:r>
      <w:r w:rsidRPr="0029356C">
        <w:rPr>
          <w:rtl/>
        </w:rPr>
        <w:t xml:space="preserve">אחד של נפט גולמי. מכיוון שקיימים סוגים שונים של </w:t>
      </w:r>
      <w:r w:rsidRPr="0029356C">
        <w:rPr>
          <w:rFonts w:hint="cs"/>
          <w:rtl/>
        </w:rPr>
        <w:t>דלקים</w:t>
      </w:r>
      <w:r w:rsidRPr="0029356C">
        <w:rPr>
          <w:rFonts w:hint="cs"/>
          <w:rtl/>
        </w:rPr>
        <w:t xml:space="preserve">, נהוג למדוד אותם ביחס </w:t>
      </w:r>
      <w:r w:rsidRPr="0029356C">
        <w:rPr>
          <w:rFonts w:hint="cs"/>
          <w:rtl/>
        </w:rPr>
        <w:t>לאנרגי</w:t>
      </w:r>
      <w:r>
        <w:rPr>
          <w:rFonts w:hint="cs"/>
          <w:rtl/>
        </w:rPr>
        <w:t>י</w:t>
      </w:r>
      <w:r w:rsidRPr="0029356C">
        <w:rPr>
          <w:rFonts w:hint="cs"/>
          <w:rtl/>
        </w:rPr>
        <w:t>ה</w:t>
      </w:r>
      <w:r w:rsidRPr="0029356C">
        <w:rPr>
          <w:rFonts w:hint="cs"/>
          <w:rtl/>
        </w:rPr>
        <w:t xml:space="preserve"> הנפלטת מטון נפט.</w:t>
      </w:r>
    </w:p>
  </w:footnote>
  <w:footnote w:id="21">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מדד המבטא את היחס בין </w:t>
      </w:r>
      <w:r w:rsidRPr="0029356C">
        <w:rPr>
          <w:rFonts w:hint="cs"/>
          <w:rtl/>
        </w:rPr>
        <w:t>האנרגי</w:t>
      </w:r>
      <w:r>
        <w:rPr>
          <w:rFonts w:hint="cs"/>
          <w:rtl/>
        </w:rPr>
        <w:t>י</w:t>
      </w:r>
      <w:r w:rsidRPr="0029356C">
        <w:rPr>
          <w:rFonts w:hint="cs"/>
          <w:rtl/>
        </w:rPr>
        <w:t>ה</w:t>
      </w:r>
      <w:r w:rsidRPr="0029356C">
        <w:rPr>
          <w:rFonts w:hint="cs"/>
          <w:rtl/>
        </w:rPr>
        <w:t xml:space="preserve"> לתוצר. מדד נמוך יותר יכול להצביע על ניצול יעיל יותר של משאבי </w:t>
      </w:r>
      <w:r w:rsidRPr="0029356C">
        <w:rPr>
          <w:rFonts w:hint="cs"/>
          <w:rtl/>
        </w:rPr>
        <w:t>האנרג</w:t>
      </w:r>
      <w:r>
        <w:rPr>
          <w:rFonts w:hint="cs"/>
          <w:rtl/>
        </w:rPr>
        <w:t>י</w:t>
      </w:r>
      <w:r w:rsidRPr="0029356C">
        <w:rPr>
          <w:rFonts w:hint="cs"/>
          <w:rtl/>
        </w:rPr>
        <w:t>יה</w:t>
      </w:r>
      <w:r w:rsidRPr="0029356C">
        <w:rPr>
          <w:rFonts w:hint="cs"/>
          <w:rtl/>
        </w:rPr>
        <w:t xml:space="preserve"> ליחידת תוצר. עם זאת, ירידה במדד יכולה לנבוע מעלי</w:t>
      </w:r>
      <w:r>
        <w:rPr>
          <w:rFonts w:hint="cs"/>
          <w:rtl/>
        </w:rPr>
        <w:t>י</w:t>
      </w:r>
      <w:r w:rsidRPr="0029356C">
        <w:rPr>
          <w:rFonts w:hint="cs"/>
          <w:rtl/>
        </w:rPr>
        <w:t>ה בתוצר ולהצביע על צמיחה גבוהה במדינה, ללא שינוי ביעילות האנרגטית.</w:t>
      </w:r>
    </w:p>
  </w:footnote>
  <w:footnote w:id="22">
    <w:p w:rsidR="004321D8" w:rsidRPr="004D6F9E" w:rsidP="00476FCB">
      <w:pPr>
        <w:pStyle w:val="FootnoteText"/>
        <w:spacing w:line="269" w:lineRule="auto"/>
        <w:rPr>
          <w:rtl/>
        </w:rPr>
      </w:pPr>
      <w:r w:rsidRPr="002F1BFB">
        <w:rPr>
          <w:rStyle w:val="FootnoteReference1"/>
        </w:rPr>
        <w:footnoteRef/>
      </w:r>
      <w:r>
        <w:rPr>
          <w:rtl/>
        </w:rPr>
        <w:t xml:space="preserve"> </w:t>
      </w:r>
      <w:r>
        <w:rPr>
          <w:rtl/>
        </w:rPr>
        <w:tab/>
      </w:r>
      <w:r w:rsidRPr="004D6F9E">
        <w:rPr>
          <w:rFonts w:hint="cs"/>
          <w:rtl/>
        </w:rPr>
        <w:t>נהוג למדוד את הפליטה מכל מזהם לפי ערכים של פחמן דו-חמצני, על מנת להשתמש במונח אחיד.</w:t>
      </w:r>
    </w:p>
  </w:footnote>
  <w:footnote w:id="23">
    <w:p w:rsidR="004321D8" w:rsidP="00476FCB">
      <w:pPr>
        <w:pStyle w:val="FootnoteText"/>
        <w:spacing w:line="269" w:lineRule="auto"/>
        <w:rPr>
          <w:rtl/>
        </w:rPr>
      </w:pPr>
      <w:r w:rsidRPr="004D6F9E">
        <w:rPr>
          <w:rStyle w:val="FootnoteReference1"/>
        </w:rPr>
        <w:footnoteRef/>
      </w:r>
      <w:r w:rsidRPr="004D6F9E">
        <w:rPr>
          <w:rtl/>
        </w:rPr>
        <w:t xml:space="preserve"> </w:t>
      </w:r>
      <w:r w:rsidRPr="004D6F9E">
        <w:rPr>
          <w:rtl/>
        </w:rPr>
        <w:tab/>
      </w:r>
      <w:r w:rsidRPr="004D6F9E">
        <w:rPr>
          <w:rFonts w:hint="eastAsia"/>
          <w:rtl/>
        </w:rPr>
        <w:t>המשרד</w:t>
      </w:r>
      <w:r w:rsidRPr="004D6F9E">
        <w:rPr>
          <w:rtl/>
        </w:rPr>
        <w:t xml:space="preserve"> </w:t>
      </w:r>
      <w:r w:rsidRPr="004D6F9E">
        <w:rPr>
          <w:rFonts w:hint="eastAsia"/>
          <w:rtl/>
        </w:rPr>
        <w:t>להג</w:t>
      </w:r>
      <w:r w:rsidRPr="004D6F9E">
        <w:rPr>
          <w:rtl/>
        </w:rPr>
        <w:t>"ס</w:t>
      </w:r>
      <w:r w:rsidRPr="004D6F9E">
        <w:rPr>
          <w:rtl/>
        </w:rPr>
        <w:t xml:space="preserve"> </w:t>
      </w:r>
      <w:r w:rsidRPr="004D6F9E">
        <w:rPr>
          <w:rFonts w:hint="eastAsia"/>
          <w:rtl/>
        </w:rPr>
        <w:t>מתמחר</w:t>
      </w:r>
      <w:r w:rsidRPr="004D6F9E">
        <w:rPr>
          <w:rtl/>
        </w:rPr>
        <w:t xml:space="preserve"> </w:t>
      </w:r>
      <w:r w:rsidRPr="004D6F9E">
        <w:rPr>
          <w:rFonts w:hint="eastAsia"/>
          <w:rtl/>
        </w:rPr>
        <w:t>את</w:t>
      </w:r>
      <w:r w:rsidRPr="004D6F9E">
        <w:rPr>
          <w:rtl/>
        </w:rPr>
        <w:t xml:space="preserve"> </w:t>
      </w:r>
      <w:r w:rsidRPr="004D6F9E">
        <w:rPr>
          <w:rFonts w:hint="eastAsia"/>
          <w:rtl/>
        </w:rPr>
        <w:t>עלויות</w:t>
      </w:r>
      <w:r w:rsidRPr="004D6F9E">
        <w:rPr>
          <w:rtl/>
        </w:rPr>
        <w:t xml:space="preserve"> </w:t>
      </w:r>
      <w:r w:rsidRPr="004D6F9E">
        <w:rPr>
          <w:rFonts w:hint="eastAsia"/>
          <w:rtl/>
        </w:rPr>
        <w:t>הנזק</w:t>
      </w:r>
      <w:r w:rsidRPr="004D6F9E">
        <w:rPr>
          <w:rtl/>
        </w:rPr>
        <w:t xml:space="preserve"> </w:t>
      </w:r>
      <w:r w:rsidRPr="004D6F9E">
        <w:rPr>
          <w:rFonts w:hint="cs"/>
          <w:rtl/>
        </w:rPr>
        <w:t>מפד</w:t>
      </w:r>
      <w:r w:rsidRPr="004D6F9E">
        <w:rPr>
          <w:rtl/>
        </w:rPr>
        <w:t>"</w:t>
      </w:r>
      <w:r w:rsidRPr="004D6F9E">
        <w:rPr>
          <w:rFonts w:hint="cs"/>
          <w:rtl/>
        </w:rPr>
        <w:t>ח</w:t>
      </w:r>
      <w:r w:rsidRPr="004D6F9E">
        <w:rPr>
          <w:rtl/>
        </w:rPr>
        <w:t xml:space="preserve"> </w:t>
      </w:r>
      <w:r w:rsidRPr="004D6F9E">
        <w:rPr>
          <w:rFonts w:hint="cs"/>
          <w:rtl/>
        </w:rPr>
        <w:t>מאחר</w:t>
      </w:r>
      <w:r w:rsidRPr="004D6F9E">
        <w:rPr>
          <w:rtl/>
        </w:rPr>
        <w:t xml:space="preserve"> </w:t>
      </w:r>
      <w:r w:rsidRPr="004D6F9E">
        <w:rPr>
          <w:rFonts w:hint="cs"/>
          <w:rtl/>
        </w:rPr>
        <w:t>שהוא</w:t>
      </w:r>
      <w:r w:rsidRPr="004D6F9E">
        <w:rPr>
          <w:rtl/>
        </w:rPr>
        <w:t xml:space="preserve"> </w:t>
      </w:r>
      <w:r w:rsidRPr="004D6F9E">
        <w:rPr>
          <w:rFonts w:hint="cs"/>
          <w:rtl/>
        </w:rPr>
        <w:t>גז</w:t>
      </w:r>
      <w:r w:rsidRPr="004D6F9E">
        <w:rPr>
          <w:rtl/>
        </w:rPr>
        <w:t xml:space="preserve"> </w:t>
      </w:r>
      <w:r w:rsidRPr="004D6F9E">
        <w:rPr>
          <w:rFonts w:hint="cs"/>
          <w:rtl/>
        </w:rPr>
        <w:t>החממה</w:t>
      </w:r>
      <w:r w:rsidRPr="004D6F9E">
        <w:rPr>
          <w:rtl/>
        </w:rPr>
        <w:t xml:space="preserve"> </w:t>
      </w:r>
      <w:r w:rsidRPr="004D6F9E">
        <w:rPr>
          <w:rFonts w:hint="cs"/>
          <w:rtl/>
        </w:rPr>
        <w:t>העיקרי.</w:t>
      </w:r>
      <w:r w:rsidRPr="004D6F9E">
        <w:rPr>
          <w:rtl/>
        </w:rPr>
        <w:t xml:space="preserve"> </w:t>
      </w:r>
      <w:r w:rsidRPr="004D6F9E">
        <w:rPr>
          <w:rFonts w:hint="cs"/>
          <w:rtl/>
        </w:rPr>
        <w:t>עלויות</w:t>
      </w:r>
      <w:r w:rsidRPr="004D6F9E">
        <w:rPr>
          <w:rtl/>
        </w:rPr>
        <w:t xml:space="preserve"> </w:t>
      </w:r>
      <w:r w:rsidRPr="004D6F9E">
        <w:rPr>
          <w:rFonts w:hint="cs"/>
          <w:rtl/>
        </w:rPr>
        <w:t>אלה</w:t>
      </w:r>
      <w:r w:rsidRPr="004D6F9E">
        <w:rPr>
          <w:rtl/>
        </w:rPr>
        <w:t xml:space="preserve"> </w:t>
      </w:r>
      <w:r w:rsidRPr="004D6F9E">
        <w:rPr>
          <w:rFonts w:hint="cs"/>
          <w:rtl/>
        </w:rPr>
        <w:t>משקפות</w:t>
      </w:r>
      <w:r w:rsidRPr="004D6F9E">
        <w:rPr>
          <w:rtl/>
        </w:rPr>
        <w:t xml:space="preserve"> </w:t>
      </w:r>
      <w:r w:rsidRPr="004D6F9E">
        <w:rPr>
          <w:rFonts w:hint="cs"/>
          <w:rtl/>
        </w:rPr>
        <w:t>את</w:t>
      </w:r>
      <w:r w:rsidRPr="004D6F9E">
        <w:rPr>
          <w:rtl/>
        </w:rPr>
        <w:t xml:space="preserve"> </w:t>
      </w:r>
      <w:r w:rsidRPr="004D6F9E">
        <w:rPr>
          <w:rFonts w:hint="cs"/>
          <w:rtl/>
        </w:rPr>
        <w:t>עלויות</w:t>
      </w:r>
      <w:r w:rsidRPr="004D6F9E">
        <w:rPr>
          <w:rtl/>
        </w:rPr>
        <w:t xml:space="preserve"> </w:t>
      </w:r>
      <w:r w:rsidRPr="004D6F9E">
        <w:rPr>
          <w:rFonts w:hint="cs"/>
          <w:rtl/>
        </w:rPr>
        <w:t>הנזק</w:t>
      </w:r>
      <w:r w:rsidRPr="004D6F9E">
        <w:rPr>
          <w:rtl/>
        </w:rPr>
        <w:t xml:space="preserve"> </w:t>
      </w:r>
      <w:r w:rsidRPr="004D6F9E">
        <w:rPr>
          <w:rFonts w:hint="cs"/>
          <w:rtl/>
        </w:rPr>
        <w:t>מגז</w:t>
      </w:r>
      <w:r w:rsidRPr="004D6F9E">
        <w:rPr>
          <w:rtl/>
        </w:rPr>
        <w:t>"</w:t>
      </w:r>
      <w:r w:rsidRPr="004D6F9E">
        <w:rPr>
          <w:rFonts w:hint="cs"/>
          <w:rtl/>
        </w:rPr>
        <w:t>ח</w:t>
      </w:r>
      <w:r w:rsidRPr="004D6F9E">
        <w:rPr>
          <w:rFonts w:hint="cs"/>
          <w:rtl/>
        </w:rPr>
        <w:t xml:space="preserve">, ומשתמשים בהן לצורך חישוב הנזק </w:t>
      </w:r>
      <w:r w:rsidRPr="004D6F9E">
        <w:rPr>
          <w:rFonts w:hint="cs"/>
          <w:rtl/>
        </w:rPr>
        <w:t>מגז"ח</w:t>
      </w:r>
      <w:r>
        <w:rPr>
          <w:rFonts w:hint="cs"/>
          <w:rtl/>
        </w:rPr>
        <w:t>.</w:t>
      </w:r>
    </w:p>
  </w:footnote>
  <w:footnote w:id="24">
    <w:p w:rsidR="004321D8" w:rsidRPr="0029356C" w:rsidP="00476FCB">
      <w:pPr>
        <w:pStyle w:val="FootnoteText"/>
        <w:spacing w:line="269" w:lineRule="auto"/>
        <w:rPr>
          <w:rtl/>
        </w:rPr>
      </w:pPr>
      <w:r w:rsidRPr="0029356C">
        <w:rPr>
          <w:rStyle w:val="FootnoteReference1"/>
        </w:rPr>
        <w:footnoteRef/>
      </w:r>
      <w:r w:rsidRPr="0029356C">
        <w:rPr>
          <w:rtl/>
        </w:rPr>
        <w:t xml:space="preserve"> </w:t>
      </w:r>
      <w:r w:rsidRPr="0029356C">
        <w:rPr>
          <w:rtl/>
        </w:rPr>
        <w:tab/>
      </w:r>
      <w:r w:rsidRPr="00404224">
        <w:rPr>
          <w:rFonts w:eastAsiaTheme="majorEastAsia" w:hint="cs"/>
          <w:b/>
          <w:rtl/>
        </w:rPr>
        <w:t>ראו בקובץ דוחות זה את הפרק "</w:t>
      </w:r>
      <w:r w:rsidRPr="0029356C">
        <w:rPr>
          <w:rFonts w:hint="cs"/>
          <w:rtl/>
        </w:rPr>
        <w:t xml:space="preserve">קידום אנרגיות מתחדשות ותחליפי </w:t>
      </w:r>
      <w:r w:rsidRPr="0029356C">
        <w:rPr>
          <w:rFonts w:hint="cs"/>
          <w:rtl/>
        </w:rPr>
        <w:t>דלקים</w:t>
      </w:r>
      <w:r>
        <w:rPr>
          <w:rFonts w:hint="cs"/>
          <w:rtl/>
        </w:rPr>
        <w:t>"</w:t>
      </w:r>
      <w:r w:rsidRPr="0029356C">
        <w:rPr>
          <w:rFonts w:hint="cs"/>
          <w:rtl/>
        </w:rPr>
        <w:t xml:space="preserve">. </w:t>
      </w:r>
    </w:p>
  </w:footnote>
  <w:footnote w:id="25">
    <w:p w:rsidR="004321D8" w:rsidRPr="00416138" w:rsidP="00476FCB">
      <w:pPr>
        <w:pStyle w:val="FootnoteText"/>
        <w:spacing w:line="269" w:lineRule="auto"/>
      </w:pPr>
      <w:r w:rsidRPr="002F1BFB">
        <w:rPr>
          <w:rStyle w:val="FootnoteReference1"/>
        </w:rPr>
        <w:footnoteRef/>
      </w:r>
      <w:r w:rsidRPr="002F1BFB">
        <w:rPr>
          <w:rStyle w:val="FootnoteReference1"/>
          <w:rtl/>
        </w:rPr>
        <w:t xml:space="preserve"> </w:t>
      </w:r>
      <w:r>
        <w:rPr>
          <w:rtl/>
        </w:rPr>
        <w:tab/>
      </w:r>
      <w:r w:rsidRPr="00416138">
        <w:rPr>
          <w:rFonts w:eastAsiaTheme="majorEastAsia" w:hint="cs"/>
          <w:b/>
          <w:rtl/>
        </w:rPr>
        <w:t>על פי המחקר</w:t>
      </w:r>
      <w:r>
        <w:rPr>
          <w:rFonts w:eastAsiaTheme="majorEastAsia" w:hint="cs"/>
          <w:b/>
          <w:rtl/>
        </w:rPr>
        <w:t>,</w:t>
      </w:r>
      <w:r w:rsidRPr="00416138">
        <w:rPr>
          <w:rFonts w:eastAsiaTheme="majorEastAsia" w:hint="cs"/>
          <w:b/>
          <w:rtl/>
        </w:rPr>
        <w:t xml:space="preserve"> "משק האנרגיה בישראל התקדם והתפתח רבות בשנים האחרונות בזכות מאגרי הגז הטבעי שנמצאו, ההתפתחויות הטכנולוגיות והרחבת יצור החשמל באמצעות אנרגיות מתחדשות. לאלה התלוותה התאמה של הרגולציה לסביבה החדשה".</w:t>
      </w:r>
    </w:p>
  </w:footnote>
  <w:footnote w:id="26">
    <w:p w:rsidR="004321D8" w:rsidRPr="00417B35" w:rsidP="00476FCB">
      <w:pPr>
        <w:pStyle w:val="FootnoteText"/>
        <w:spacing w:line="269" w:lineRule="auto"/>
        <w:rPr>
          <w:rFonts w:eastAsiaTheme="majorEastAsia"/>
          <w:b/>
        </w:rPr>
      </w:pPr>
      <w:r w:rsidRPr="002F1BFB">
        <w:rPr>
          <w:rStyle w:val="FootnoteReference1"/>
        </w:rPr>
        <w:footnoteRef/>
      </w:r>
      <w:r w:rsidRPr="002F1BFB">
        <w:rPr>
          <w:rStyle w:val="FootnoteReference1"/>
          <w:rtl/>
        </w:rPr>
        <w:t xml:space="preserve"> </w:t>
      </w:r>
      <w:r>
        <w:rPr>
          <w:rtl/>
        </w:rPr>
        <w:tab/>
      </w:r>
      <w:r w:rsidRPr="00417B35">
        <w:rPr>
          <w:rFonts w:eastAsiaTheme="majorEastAsia" w:hint="cs"/>
          <w:b/>
          <w:rtl/>
        </w:rPr>
        <w:t>על פי חוק משק החשמל, רישיון לניהול המערכת מוגדר כרישיון לניהול של מערכת החשמל במקטעי הייצור וההולכה</w:t>
      </w:r>
      <w:r>
        <w:rPr>
          <w:rFonts w:eastAsiaTheme="majorEastAsia" w:hint="cs"/>
          <w:b/>
          <w:rtl/>
        </w:rPr>
        <w:t>.</w:t>
      </w:r>
    </w:p>
  </w:footnote>
  <w:footnote w:id="27">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דוח בנק ישראל, </w:t>
      </w:r>
      <w:r w:rsidRPr="002F1BFB">
        <w:rPr>
          <w:rFonts w:hint="eastAsia"/>
          <w:b/>
          <w:bCs/>
          <w:rtl/>
        </w:rPr>
        <w:t>העלאת</w:t>
      </w:r>
      <w:r w:rsidRPr="002F1BFB">
        <w:rPr>
          <w:b/>
          <w:bCs/>
          <w:rtl/>
        </w:rPr>
        <w:t xml:space="preserve"> </w:t>
      </w:r>
      <w:r w:rsidRPr="002F1BFB">
        <w:rPr>
          <w:rFonts w:hint="eastAsia"/>
          <w:b/>
          <w:bCs/>
          <w:rtl/>
        </w:rPr>
        <w:t>רמת</w:t>
      </w:r>
      <w:r w:rsidRPr="002F1BFB">
        <w:rPr>
          <w:b/>
          <w:bCs/>
          <w:rtl/>
        </w:rPr>
        <w:t xml:space="preserve"> </w:t>
      </w:r>
      <w:r w:rsidRPr="002F1BFB">
        <w:rPr>
          <w:rFonts w:hint="eastAsia"/>
          <w:b/>
          <w:bCs/>
          <w:rtl/>
        </w:rPr>
        <w:t>החיים</w:t>
      </w:r>
      <w:r w:rsidRPr="002F1BFB">
        <w:rPr>
          <w:b/>
          <w:bCs/>
          <w:rtl/>
        </w:rPr>
        <w:t xml:space="preserve"> </w:t>
      </w:r>
      <w:r w:rsidRPr="002F1BFB">
        <w:rPr>
          <w:rFonts w:hint="eastAsia"/>
          <w:b/>
          <w:bCs/>
          <w:rtl/>
        </w:rPr>
        <w:t>בישראל</w:t>
      </w:r>
      <w:r w:rsidRPr="002F1BFB">
        <w:rPr>
          <w:b/>
          <w:bCs/>
          <w:rtl/>
        </w:rPr>
        <w:t xml:space="preserve"> </w:t>
      </w:r>
      <w:r w:rsidRPr="002F1BFB">
        <w:rPr>
          <w:rFonts w:hint="eastAsia"/>
          <w:b/>
          <w:bCs/>
          <w:rtl/>
        </w:rPr>
        <w:t>באמצעות</w:t>
      </w:r>
      <w:r w:rsidRPr="002F1BFB">
        <w:rPr>
          <w:b/>
          <w:bCs/>
          <w:rtl/>
        </w:rPr>
        <w:t xml:space="preserve"> </w:t>
      </w:r>
      <w:r w:rsidRPr="002F1BFB">
        <w:rPr>
          <w:rFonts w:hint="eastAsia"/>
          <w:b/>
          <w:bCs/>
          <w:rtl/>
        </w:rPr>
        <w:t>הגדלת</w:t>
      </w:r>
      <w:r w:rsidRPr="002F1BFB">
        <w:rPr>
          <w:b/>
          <w:bCs/>
          <w:rtl/>
        </w:rPr>
        <w:t xml:space="preserve"> </w:t>
      </w:r>
      <w:r w:rsidRPr="002F1BFB">
        <w:rPr>
          <w:rFonts w:hint="eastAsia"/>
          <w:b/>
          <w:bCs/>
          <w:rtl/>
        </w:rPr>
        <w:t>פריון</w:t>
      </w:r>
      <w:r w:rsidRPr="002F1BFB">
        <w:rPr>
          <w:b/>
          <w:bCs/>
          <w:rtl/>
        </w:rPr>
        <w:t xml:space="preserve"> </w:t>
      </w:r>
      <w:r w:rsidRPr="002F1BFB">
        <w:rPr>
          <w:rFonts w:hint="eastAsia"/>
          <w:b/>
          <w:bCs/>
          <w:rtl/>
        </w:rPr>
        <w:t>העבודה</w:t>
      </w:r>
      <w:r w:rsidRPr="002F1BFB">
        <w:rPr>
          <w:b/>
          <w:bCs/>
          <w:rtl/>
        </w:rPr>
        <w:t xml:space="preserve"> </w:t>
      </w:r>
      <w:r>
        <w:rPr>
          <w:rFonts w:hint="cs"/>
          <w:rtl/>
        </w:rPr>
        <w:t>(</w:t>
      </w:r>
      <w:r w:rsidRPr="0029356C">
        <w:rPr>
          <w:rFonts w:hint="cs"/>
          <w:rtl/>
        </w:rPr>
        <w:t>אוגוסט 2019</w:t>
      </w:r>
      <w:r>
        <w:rPr>
          <w:rFonts w:hint="cs"/>
          <w:rtl/>
        </w:rPr>
        <w:t>)</w:t>
      </w:r>
      <w:r w:rsidRPr="0029356C">
        <w:rPr>
          <w:rFonts w:hint="cs"/>
          <w:rtl/>
        </w:rPr>
        <w:t>.</w:t>
      </w:r>
    </w:p>
  </w:footnote>
  <w:footnote w:id="28">
    <w:p w:rsidR="004321D8" w:rsidRPr="0029356C" w:rsidP="00476FCB">
      <w:pPr>
        <w:pStyle w:val="FootnoteText"/>
        <w:spacing w:line="269" w:lineRule="auto"/>
        <w:rPr>
          <w:rtl/>
        </w:rPr>
      </w:pPr>
      <w:r w:rsidRPr="0029356C">
        <w:rPr>
          <w:rStyle w:val="FootnoteReference1"/>
        </w:rPr>
        <w:footnoteRef/>
      </w:r>
      <w:r w:rsidRPr="0029356C">
        <w:rPr>
          <w:rtl/>
        </w:rPr>
        <w:t xml:space="preserve"> </w:t>
      </w:r>
      <w:r w:rsidRPr="0029356C">
        <w:rPr>
          <w:rtl/>
        </w:rPr>
        <w:tab/>
      </w:r>
      <w:r w:rsidRPr="0029356C">
        <w:rPr>
          <w:rFonts w:hint="cs"/>
          <w:rtl/>
        </w:rPr>
        <w:t xml:space="preserve">ראו </w:t>
      </w:r>
      <w:r>
        <w:rPr>
          <w:rFonts w:hint="cs"/>
          <w:rtl/>
        </w:rPr>
        <w:t xml:space="preserve">דוח מבקר המדינה על </w:t>
      </w:r>
      <w:r w:rsidRPr="0029356C">
        <w:rPr>
          <w:rFonts w:hint="cs"/>
          <w:rtl/>
        </w:rPr>
        <w:t xml:space="preserve">"השפעת ייצור החשמל", עמ' 46; מבקר המדינה, </w:t>
      </w:r>
      <w:r w:rsidRPr="002F1BFB">
        <w:rPr>
          <w:rFonts w:hint="eastAsia"/>
          <w:b/>
          <w:bCs/>
          <w:rtl/>
        </w:rPr>
        <w:t>דוח</w:t>
      </w:r>
      <w:r w:rsidRPr="002F1BFB">
        <w:rPr>
          <w:b/>
          <w:bCs/>
          <w:rtl/>
        </w:rPr>
        <w:t xml:space="preserve"> </w:t>
      </w:r>
      <w:r w:rsidRPr="002F1BFB">
        <w:rPr>
          <w:rFonts w:hint="eastAsia"/>
          <w:b/>
          <w:bCs/>
          <w:rtl/>
        </w:rPr>
        <w:t>שנתי</w:t>
      </w:r>
      <w:r w:rsidRPr="002F1BFB">
        <w:rPr>
          <w:b/>
          <w:bCs/>
          <w:rtl/>
        </w:rPr>
        <w:t xml:space="preserve"> 63</w:t>
      </w:r>
      <w:r w:rsidRPr="002F1BFB">
        <w:rPr>
          <w:rFonts w:hint="eastAsia"/>
          <w:b/>
          <w:bCs/>
          <w:rtl/>
        </w:rPr>
        <w:t>א</w:t>
      </w:r>
      <w:r w:rsidRPr="0029356C">
        <w:rPr>
          <w:rFonts w:hint="cs"/>
          <w:rtl/>
        </w:rPr>
        <w:t>, בנושא "תכנון משק החשמל ומימושו", עמ' 99.</w:t>
      </w:r>
    </w:p>
  </w:footnote>
  <w:footnote w:id="29">
    <w:p w:rsidR="004321D8"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במסגרת הסכם זה התחייבו מדינות העולם, לרבות ישראל, להגיש לאו"ם </w:t>
      </w:r>
      <w:r w:rsidRPr="0029356C">
        <w:rPr>
          <w:rFonts w:hint="cs"/>
          <w:rtl/>
        </w:rPr>
        <w:t>ת</w:t>
      </w:r>
      <w:r>
        <w:rPr>
          <w:rFonts w:hint="cs"/>
          <w:rtl/>
        </w:rPr>
        <w:t>ו</w:t>
      </w:r>
      <w:r w:rsidRPr="0029356C">
        <w:rPr>
          <w:rFonts w:hint="cs"/>
          <w:rtl/>
        </w:rPr>
        <w:t>כנית</w:t>
      </w:r>
      <w:r w:rsidRPr="0029356C">
        <w:rPr>
          <w:rFonts w:hint="cs"/>
          <w:rtl/>
        </w:rPr>
        <w:t xml:space="preserve"> אסטרטגית למעבר לכלכלה דלת פחמן עד שנת 2050.</w:t>
      </w:r>
    </w:p>
  </w:footnote>
  <w:footnote w:id="30">
    <w:p w:rsidR="004321D8" w:rsidRPr="0029356C" w:rsidP="00476FCB">
      <w:pPr>
        <w:pStyle w:val="FootnoteText"/>
        <w:spacing w:line="269" w:lineRule="auto"/>
        <w:rPr>
          <w:rtl/>
        </w:rPr>
      </w:pPr>
      <w:r w:rsidRPr="002F1BFB">
        <w:rPr>
          <w:rStyle w:val="FootnoteReference1"/>
        </w:rPr>
        <w:footnoteRef/>
      </w:r>
      <w:r w:rsidRPr="002F1BFB">
        <w:rPr>
          <w:rStyle w:val="FootnoteReference1"/>
          <w:rtl/>
        </w:rPr>
        <w:t xml:space="preserve"> </w:t>
      </w:r>
      <w:r>
        <w:tab/>
      </w:r>
      <w:r w:rsidRPr="0029356C">
        <w:t xml:space="preserve">United Nations Framework Convention on </w:t>
      </w:r>
      <w:r w:rsidRPr="00DC1EA7">
        <w:t>Climate Change</w:t>
      </w:r>
      <w:r>
        <w:rPr>
          <w:rFonts w:hint="cs"/>
          <w:rtl/>
        </w:rPr>
        <w:t>.</w:t>
      </w:r>
    </w:p>
  </w:footnote>
  <w:footnote w:id="31">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Pr>
          <w:rFonts w:hint="cs"/>
          <w:rtl/>
        </w:rPr>
        <w:t xml:space="preserve">בעקבות </w:t>
      </w:r>
      <w:r w:rsidRPr="0029356C">
        <w:rPr>
          <w:rFonts w:hint="cs"/>
          <w:rtl/>
        </w:rPr>
        <w:t xml:space="preserve">כנס האו"ם לסביבה ולפיתוח שהתקיים </w:t>
      </w:r>
      <w:r w:rsidRPr="0029356C">
        <w:rPr>
          <w:rFonts w:hint="cs"/>
          <w:rtl/>
        </w:rPr>
        <w:t>בקיוטו</w:t>
      </w:r>
      <w:r w:rsidRPr="0029356C">
        <w:rPr>
          <w:rFonts w:hint="cs"/>
          <w:rtl/>
        </w:rPr>
        <w:t xml:space="preserve"> שביפן בדצמבר 1997, בהשתתפות 161 מדינות שחתמו על אמנת האקלים. </w:t>
      </w:r>
    </w:p>
  </w:footnote>
  <w:footnote w:id="32">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ראו</w:t>
      </w:r>
      <w:r>
        <w:rPr>
          <w:rFonts w:hint="cs"/>
          <w:rtl/>
        </w:rPr>
        <w:t xml:space="preserve"> דוח מבקר המדינה על</w:t>
      </w:r>
      <w:r w:rsidRPr="0029356C">
        <w:rPr>
          <w:rFonts w:hint="cs"/>
          <w:rtl/>
        </w:rPr>
        <w:t xml:space="preserve"> </w:t>
      </w:r>
      <w:r w:rsidRPr="002F1BFB">
        <w:rPr>
          <w:rFonts w:hint="eastAsia"/>
          <w:b/>
          <w:bCs/>
          <w:rtl/>
        </w:rPr>
        <w:t>הטיפול</w:t>
      </w:r>
      <w:r w:rsidRPr="002F1BFB">
        <w:rPr>
          <w:b/>
          <w:bCs/>
          <w:rtl/>
        </w:rPr>
        <w:t xml:space="preserve"> </w:t>
      </w:r>
      <w:r w:rsidRPr="002F1BFB">
        <w:rPr>
          <w:rFonts w:hint="eastAsia"/>
          <w:b/>
          <w:bCs/>
          <w:rtl/>
        </w:rPr>
        <w:t>בפליטת</w:t>
      </w:r>
      <w:r w:rsidRPr="002F1BFB">
        <w:rPr>
          <w:b/>
          <w:bCs/>
          <w:rtl/>
        </w:rPr>
        <w:t xml:space="preserve"> </w:t>
      </w:r>
      <w:r w:rsidRPr="002F1BFB">
        <w:rPr>
          <w:rFonts w:hint="eastAsia"/>
          <w:b/>
          <w:bCs/>
          <w:rtl/>
        </w:rPr>
        <w:t>גז</w:t>
      </w:r>
      <w:r w:rsidRPr="002F1BFB">
        <w:rPr>
          <w:b/>
          <w:bCs/>
          <w:rtl/>
        </w:rPr>
        <w:t>"</w:t>
      </w:r>
      <w:r w:rsidRPr="002F1BFB">
        <w:rPr>
          <w:rFonts w:hint="eastAsia"/>
          <w:b/>
          <w:bCs/>
          <w:rtl/>
        </w:rPr>
        <w:t>ח</w:t>
      </w:r>
      <w:r w:rsidRPr="0029356C">
        <w:rPr>
          <w:rFonts w:hint="cs"/>
          <w:rtl/>
        </w:rPr>
        <w:t>.</w:t>
      </w:r>
    </w:p>
  </w:footnote>
  <w:footnote w:id="33">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מתוקף חוק זה הותקנו 20 תקנות </w:t>
      </w:r>
      <w:r>
        <w:rPr>
          <w:rFonts w:hint="cs"/>
          <w:rtl/>
        </w:rPr>
        <w:t>ו</w:t>
      </w:r>
      <w:r w:rsidRPr="0029356C">
        <w:rPr>
          <w:rFonts w:hint="cs"/>
          <w:rtl/>
        </w:rPr>
        <w:t>בה</w:t>
      </w:r>
      <w:r>
        <w:rPr>
          <w:rFonts w:hint="cs"/>
          <w:rtl/>
        </w:rPr>
        <w:t>ן</w:t>
      </w:r>
      <w:r w:rsidRPr="0029356C">
        <w:rPr>
          <w:rFonts w:hint="cs"/>
          <w:rtl/>
        </w:rPr>
        <w:t xml:space="preserve"> תקנות מקורות אנרגיה (פיקוח על יעילות צריכת אנרגיה), התשנ"ד-1993; תקנות מקורות אנרגיה (ביצוע סקר לאיתור פוטנציאל לשימור אנרגיה), </w:t>
      </w:r>
      <w:r>
        <w:rPr>
          <w:rFonts w:hint="cs"/>
          <w:rtl/>
        </w:rPr>
        <w:t>התשע"ט-2018.</w:t>
      </w:r>
      <w:r w:rsidRPr="0029356C">
        <w:rPr>
          <w:rFonts w:hint="cs"/>
          <w:rtl/>
        </w:rPr>
        <w:t xml:space="preserve"> </w:t>
      </w:r>
    </w:p>
  </w:footnote>
  <w:footnote w:id="34">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מאז שנת 2008 התקבלו כ-20 החלטות ממשלה הכוללות היבטים של התייעלות אנרגטית.</w:t>
      </w:r>
    </w:p>
  </w:footnote>
  <w:footnote w:id="35">
    <w:p w:rsidR="004321D8" w:rsidRPr="0029356C"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ועידה של האומות המאוחדות שהתקיימה בקופנהגן בדצמבר 2009, </w:t>
      </w:r>
      <w:r>
        <w:rPr>
          <w:rFonts w:hint="cs"/>
          <w:rtl/>
        </w:rPr>
        <w:t>ו</w:t>
      </w:r>
      <w:r w:rsidRPr="0029356C">
        <w:rPr>
          <w:rFonts w:hint="cs"/>
          <w:rtl/>
        </w:rPr>
        <w:t>בה השתתפו המדינות החתומות על אמנת האקלים והמדינות החתומות על פרוטוקו</w:t>
      </w:r>
      <w:r w:rsidRPr="0029356C">
        <w:rPr>
          <w:rFonts w:hint="eastAsia"/>
          <w:rtl/>
        </w:rPr>
        <w:t>ל</w:t>
      </w:r>
      <w:r w:rsidRPr="0029356C">
        <w:rPr>
          <w:rFonts w:hint="cs"/>
          <w:rtl/>
        </w:rPr>
        <w:t xml:space="preserve"> </w:t>
      </w:r>
      <w:r w:rsidRPr="0029356C">
        <w:rPr>
          <w:rFonts w:hint="cs"/>
          <w:rtl/>
        </w:rPr>
        <w:t>קיוטו</w:t>
      </w:r>
      <w:r w:rsidRPr="0029356C">
        <w:rPr>
          <w:rFonts w:hint="cs"/>
          <w:rtl/>
        </w:rPr>
        <w:t>. בוועיד</w:t>
      </w:r>
      <w:r w:rsidRPr="0029356C">
        <w:rPr>
          <w:rFonts w:hint="eastAsia"/>
          <w:rtl/>
        </w:rPr>
        <w:t>ה</w:t>
      </w:r>
      <w:r w:rsidRPr="0029356C">
        <w:rPr>
          <w:rFonts w:hint="cs"/>
          <w:rtl/>
        </w:rPr>
        <w:t xml:space="preserve"> נחתם הסכם קופנהגן, </w:t>
      </w:r>
      <w:r>
        <w:rPr>
          <w:rFonts w:hint="cs"/>
          <w:rtl/>
        </w:rPr>
        <w:t>ו</w:t>
      </w:r>
      <w:r w:rsidRPr="0029356C">
        <w:rPr>
          <w:rFonts w:hint="cs"/>
          <w:rtl/>
        </w:rPr>
        <w:t xml:space="preserve">בו נקבע כי ההתמודדות עם שינוי האקלים היא אחד האתגרים הגדולים ביותר, ויש לנקוט פעולות כדי לשמור על עליית טמפרטורה מרבית </w:t>
      </w:r>
      <w:r>
        <w:rPr>
          <w:rFonts w:hint="cs"/>
          <w:rtl/>
        </w:rPr>
        <w:t>ב</w:t>
      </w:r>
      <w:r w:rsidRPr="0029356C">
        <w:rPr>
          <w:rFonts w:hint="cs"/>
          <w:rtl/>
        </w:rPr>
        <w:t xml:space="preserve">כדור הארץ בשתי </w:t>
      </w:r>
      <w:r>
        <w:rPr>
          <w:rFonts w:hint="cs"/>
          <w:rtl/>
        </w:rPr>
        <w:t>מ"צ</w:t>
      </w:r>
      <w:r w:rsidRPr="0029356C">
        <w:rPr>
          <w:rFonts w:hint="cs"/>
          <w:rtl/>
        </w:rPr>
        <w:t xml:space="preserve">. המסמך אינו מחייב, ולא כלל התחייבויות לצמצום </w:t>
      </w:r>
      <w:r w:rsidRPr="0029356C">
        <w:rPr>
          <w:rFonts w:hint="cs"/>
          <w:rtl/>
        </w:rPr>
        <w:t>פד"ח</w:t>
      </w:r>
      <w:r w:rsidRPr="0029356C">
        <w:rPr>
          <w:rFonts w:hint="cs"/>
          <w:rtl/>
        </w:rPr>
        <w:t>.</w:t>
      </w:r>
    </w:p>
  </w:footnote>
  <w:footnote w:id="36">
    <w:p w:rsidR="004321D8" w:rsidP="00476FCB">
      <w:pPr>
        <w:pStyle w:val="FootnoteText"/>
        <w:spacing w:line="269" w:lineRule="auto"/>
      </w:pPr>
      <w:r w:rsidRPr="0029356C">
        <w:rPr>
          <w:rStyle w:val="FootnoteReference1"/>
        </w:rPr>
        <w:footnoteRef/>
      </w:r>
      <w:r w:rsidRPr="0029356C">
        <w:rPr>
          <w:rtl/>
        </w:rPr>
        <w:t xml:space="preserve"> </w:t>
      </w:r>
      <w:r w:rsidRPr="0029356C">
        <w:rPr>
          <w:rtl/>
        </w:rPr>
        <w:tab/>
      </w:r>
      <w:r w:rsidRPr="0029356C">
        <w:rPr>
          <w:rFonts w:hint="cs"/>
          <w:rtl/>
        </w:rPr>
        <w:t xml:space="preserve">החלטת </w:t>
      </w:r>
      <w:r>
        <w:rPr>
          <w:rFonts w:hint="cs"/>
          <w:rtl/>
        </w:rPr>
        <w:t>ה</w:t>
      </w:r>
      <w:r w:rsidRPr="0029356C">
        <w:rPr>
          <w:rFonts w:hint="cs"/>
          <w:rtl/>
        </w:rPr>
        <w:t>ממשלה 3261, "גיבוש צעדים להתייעלות אנרגטית - צמצום צריכת החשמל"</w:t>
      </w:r>
      <w:r>
        <w:rPr>
          <w:rFonts w:hint="cs"/>
          <w:rtl/>
        </w:rPr>
        <w:t xml:space="preserve"> (</w:t>
      </w:r>
      <w:r w:rsidRPr="0029356C">
        <w:rPr>
          <w:rFonts w:hint="cs"/>
          <w:rtl/>
        </w:rPr>
        <w:t>20.2.08</w:t>
      </w:r>
      <w:r>
        <w:rPr>
          <w:rFonts w:hint="cs"/>
          <w:rtl/>
        </w:rPr>
        <w:t>)</w:t>
      </w:r>
      <w:r w:rsidRPr="0029356C">
        <w:rPr>
          <w:rFonts w:hint="cs"/>
          <w:rtl/>
        </w:rPr>
        <w:t>.</w:t>
      </w:r>
    </w:p>
  </w:footnote>
  <w:footnote w:id="37">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215, "דחיית יישום התכנית הלאומית להפחתת פליטות גזי חממה בשנים 2013 - 2015"</w:t>
      </w:r>
      <w:r>
        <w:rPr>
          <w:rFonts w:hint="cs"/>
          <w:rtl/>
        </w:rPr>
        <w:t xml:space="preserve"> (</w:t>
      </w:r>
      <w:r w:rsidRPr="001D5F55">
        <w:rPr>
          <w:rFonts w:hint="cs"/>
          <w:rtl/>
        </w:rPr>
        <w:t>13.5.13</w:t>
      </w:r>
      <w:r>
        <w:rPr>
          <w:rFonts w:hint="cs"/>
          <w:rtl/>
        </w:rPr>
        <w:t>)</w:t>
      </w:r>
      <w:r w:rsidRPr="001D5F55">
        <w:rPr>
          <w:rFonts w:hint="cs"/>
          <w:rtl/>
        </w:rPr>
        <w:t>.</w:t>
      </w:r>
    </w:p>
  </w:footnote>
  <w:footnote w:id="38">
    <w:p w:rsidR="004321D8"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378, "ביטול התכנית הלאומית להפחתת גזי חממה משנת 2010"</w:t>
      </w:r>
      <w:r>
        <w:rPr>
          <w:rFonts w:hint="cs"/>
          <w:rtl/>
        </w:rPr>
        <w:t xml:space="preserve"> (</w:t>
      </w:r>
      <w:r w:rsidRPr="001D5F55">
        <w:rPr>
          <w:rFonts w:hint="cs"/>
          <w:rtl/>
        </w:rPr>
        <w:t>5.8.15</w:t>
      </w:r>
      <w:r>
        <w:rPr>
          <w:rFonts w:hint="cs"/>
          <w:rtl/>
        </w:rPr>
        <w:t>)</w:t>
      </w:r>
      <w:r w:rsidRPr="001D5F55">
        <w:rPr>
          <w:rFonts w:hint="cs"/>
          <w:rtl/>
        </w:rPr>
        <w:t>.</w:t>
      </w:r>
    </w:p>
  </w:footnote>
  <w:footnote w:id="39">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החלט</w:t>
      </w:r>
      <w:r>
        <w:rPr>
          <w:rFonts w:hint="cs"/>
          <w:rtl/>
        </w:rPr>
        <w:t>ה</w:t>
      </w:r>
      <w:r w:rsidRPr="001D5F55">
        <w:rPr>
          <w:rFonts w:hint="cs"/>
          <w:rtl/>
        </w:rPr>
        <w:t xml:space="preserve"> 542.</w:t>
      </w:r>
    </w:p>
  </w:footnote>
  <w:footnote w:id="40">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על פי מסמכי המשרד </w:t>
      </w:r>
      <w:r w:rsidRPr="001D5F55">
        <w:rPr>
          <w:rFonts w:hint="cs"/>
          <w:rtl/>
        </w:rPr>
        <w:t>להג"ס</w:t>
      </w:r>
      <w:r w:rsidRPr="001D5F55">
        <w:rPr>
          <w:rFonts w:hint="cs"/>
          <w:rtl/>
        </w:rPr>
        <w:t xml:space="preserve"> מספטמבר 2016, בתרחיש </w:t>
      </w:r>
      <w:r>
        <w:rPr>
          <w:rFonts w:hint="cs"/>
          <w:rtl/>
        </w:rPr>
        <w:t>"</w:t>
      </w:r>
      <w:r w:rsidRPr="001D5F55">
        <w:rPr>
          <w:rFonts w:hint="cs"/>
          <w:rtl/>
        </w:rPr>
        <w:t>עסקים כרגיל</w:t>
      </w:r>
      <w:r>
        <w:rPr>
          <w:rFonts w:hint="cs"/>
          <w:rtl/>
        </w:rPr>
        <w:t>" -</w:t>
      </w:r>
      <w:r w:rsidRPr="001D5F55">
        <w:t>(BA</w:t>
      </w:r>
      <w:r>
        <w:t>U</w:t>
      </w:r>
      <w:r w:rsidRPr="001D5F55">
        <w:t>)</w:t>
      </w:r>
      <w:r>
        <w:t xml:space="preserve"> </w:t>
      </w:r>
      <w:r w:rsidRPr="001D5F55">
        <w:t>Business as Usual</w:t>
      </w:r>
      <w:r>
        <w:rPr>
          <w:rFonts w:hint="cs"/>
          <w:rtl/>
        </w:rPr>
        <w:t xml:space="preserve"> -</w:t>
      </w:r>
      <w:r w:rsidRPr="001D5F55">
        <w:rPr>
          <w:rFonts w:hint="cs"/>
          <w:rtl/>
        </w:rPr>
        <w:t xml:space="preserve"> פליטות גזי החממה של ישראל יגיעו ל-105.5 מיליון טון, שהם 9.95 טון לנפש.</w:t>
      </w:r>
    </w:p>
  </w:footnote>
  <w:footnote w:id="41">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ישראל, טורקיה, מקסיקו וצ'ילה הן המדינות היחידות ב-</w:t>
      </w:r>
      <w:r w:rsidRPr="001D5F55">
        <w:rPr>
          <w:rFonts w:hint="cs"/>
        </w:rPr>
        <w:t>OECD</w:t>
      </w:r>
      <w:r w:rsidRPr="001D5F55">
        <w:rPr>
          <w:rFonts w:hint="cs"/>
          <w:rtl/>
        </w:rPr>
        <w:t xml:space="preserve"> שלא הציבו יעדי הפחתה </w:t>
      </w:r>
      <w:r>
        <w:rPr>
          <w:rFonts w:hint="cs"/>
          <w:rtl/>
        </w:rPr>
        <w:t>מוחלטים</w:t>
      </w:r>
      <w:r w:rsidRPr="001D5F55">
        <w:rPr>
          <w:rFonts w:hint="cs"/>
          <w:rtl/>
        </w:rPr>
        <w:t xml:space="preserve"> אלא יחסיים.</w:t>
      </w:r>
    </w:p>
  </w:footnote>
  <w:footnote w:id="42">
    <w:p w:rsidR="004321D8" w:rsidP="00476FCB">
      <w:pPr>
        <w:pStyle w:val="FootnoteText"/>
        <w:spacing w:line="269" w:lineRule="auto"/>
        <w:rPr>
          <w:rtl/>
        </w:rPr>
      </w:pPr>
      <w:r w:rsidRPr="002F1BFB">
        <w:rPr>
          <w:rStyle w:val="FootnoteReference1"/>
        </w:rPr>
        <w:footnoteRef/>
      </w:r>
      <w:r>
        <w:rPr>
          <w:rtl/>
        </w:rPr>
        <w:t xml:space="preserve"> </w:t>
      </w:r>
      <w:r>
        <w:rPr>
          <w:rtl/>
        </w:rPr>
        <w:tab/>
      </w:r>
      <w:r>
        <w:rPr>
          <w:rFonts w:hint="cs"/>
          <w:rtl/>
        </w:rPr>
        <w:t xml:space="preserve">יצוין </w:t>
      </w:r>
      <w:r w:rsidRPr="003C64DA">
        <w:rPr>
          <w:rFonts w:hint="cs"/>
          <w:rtl/>
        </w:rPr>
        <w:t xml:space="preserve">כי </w:t>
      </w:r>
      <w:r w:rsidRPr="003C64DA">
        <w:rPr>
          <w:rFonts w:hint="cs"/>
          <w:rtl/>
        </w:rPr>
        <w:t>פד"ח</w:t>
      </w:r>
      <w:r w:rsidRPr="003C64DA">
        <w:rPr>
          <w:rFonts w:hint="cs"/>
          <w:rtl/>
        </w:rPr>
        <w:t xml:space="preserve"> מהווה כ-80% מסך גזי החממה הנפלטים לאטמוספרה, </w:t>
      </w:r>
      <w:r>
        <w:rPr>
          <w:rFonts w:hint="cs"/>
          <w:rtl/>
        </w:rPr>
        <w:t>ו</w:t>
      </w:r>
      <w:r w:rsidRPr="003C64DA">
        <w:rPr>
          <w:rFonts w:hint="cs"/>
          <w:rtl/>
        </w:rPr>
        <w:t>לכן נהוג להשתמש בו כאינדיקטו</w:t>
      </w:r>
      <w:r w:rsidRPr="003C64DA">
        <w:rPr>
          <w:rFonts w:hint="eastAsia"/>
          <w:rtl/>
        </w:rPr>
        <w:t>ר</w:t>
      </w:r>
      <w:r w:rsidRPr="003C64DA">
        <w:rPr>
          <w:rFonts w:hint="cs"/>
          <w:rtl/>
        </w:rPr>
        <w:t xml:space="preserve"> לפליטות </w:t>
      </w:r>
      <w:r w:rsidRPr="003C64DA">
        <w:rPr>
          <w:rFonts w:hint="cs"/>
          <w:rtl/>
        </w:rPr>
        <w:t>גז"ח</w:t>
      </w:r>
      <w:r>
        <w:rPr>
          <w:rFonts w:hint="cs"/>
          <w:rtl/>
        </w:rPr>
        <w:t>.</w:t>
      </w:r>
    </w:p>
  </w:footnote>
  <w:footnote w:id="43">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החלט</w:t>
      </w:r>
      <w:r>
        <w:rPr>
          <w:rFonts w:hint="cs"/>
          <w:rtl/>
        </w:rPr>
        <w:t>ת הממשלה</w:t>
      </w:r>
      <w:r w:rsidRPr="001D5F55">
        <w:rPr>
          <w:rFonts w:hint="cs"/>
          <w:rtl/>
        </w:rPr>
        <w:t xml:space="preserve"> 1403, "תכנית לאומית ליישום היעדים להפחתת פליטות גזי חממה ולהתייעלות אנרגטית"</w:t>
      </w:r>
      <w:r>
        <w:rPr>
          <w:rFonts w:hint="cs"/>
          <w:rtl/>
        </w:rPr>
        <w:t xml:space="preserve"> (</w:t>
      </w:r>
      <w:r w:rsidRPr="001D5F55">
        <w:rPr>
          <w:rFonts w:hint="cs"/>
          <w:rtl/>
        </w:rPr>
        <w:t>10.4.16</w:t>
      </w:r>
      <w:r>
        <w:rPr>
          <w:rFonts w:hint="cs"/>
          <w:rtl/>
        </w:rPr>
        <w:t>)</w:t>
      </w:r>
      <w:r w:rsidRPr="001D5F55">
        <w:rPr>
          <w:rFonts w:hint="cs"/>
          <w:rtl/>
        </w:rPr>
        <w:t xml:space="preserve">. </w:t>
      </w:r>
    </w:p>
  </w:footnote>
  <w:footnote w:id="44">
    <w:p w:rsidR="004321D8"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הצעדים הנוספים הם</w:t>
      </w:r>
      <w:r>
        <w:rPr>
          <w:rFonts w:hint="cs"/>
          <w:rtl/>
        </w:rPr>
        <w:t xml:space="preserve"> אלו</w:t>
      </w:r>
      <w:r w:rsidRPr="001D5F55">
        <w:rPr>
          <w:rFonts w:hint="cs"/>
          <w:rtl/>
        </w:rPr>
        <w:t xml:space="preserve">: הפחתת השימוש בפחם 17% - 36%; ייצור חשמל מאנרגיות מתחדשות 11% - 15%; הפחתת פליטות גזי קירור 5% - 7%; טיפול בפסולת 6% - 8%; הפחתת השימוש </w:t>
      </w:r>
      <w:r w:rsidRPr="001D5F55">
        <w:rPr>
          <w:rFonts w:hint="cs"/>
          <w:rtl/>
        </w:rPr>
        <w:t>בדלקים</w:t>
      </w:r>
      <w:r w:rsidRPr="001D5F55">
        <w:rPr>
          <w:rFonts w:hint="cs"/>
          <w:rtl/>
        </w:rPr>
        <w:t xml:space="preserve"> ופליטות מתהליכי ייצור 5% - 6%; צמצום הנסועה הפרטית 5% - 7%; ייעול צריכת </w:t>
      </w:r>
      <w:r w:rsidRPr="001D5F55">
        <w:rPr>
          <w:rFonts w:hint="cs"/>
          <w:rtl/>
        </w:rPr>
        <w:t>דלקים</w:t>
      </w:r>
      <w:r w:rsidRPr="001D5F55">
        <w:rPr>
          <w:rFonts w:hint="cs"/>
          <w:rtl/>
        </w:rPr>
        <w:t xml:space="preserve"> בתחבורה 5% - 7%.</w:t>
      </w:r>
    </w:p>
  </w:footnote>
  <w:footnote w:id="45">
    <w:p w:rsidR="004321D8" w:rsidP="00476FCB">
      <w:pPr>
        <w:pStyle w:val="FootnoteText"/>
        <w:spacing w:line="269" w:lineRule="auto"/>
        <w:rPr>
          <w:rtl/>
        </w:rPr>
      </w:pPr>
      <w:r w:rsidRPr="002F1BFB">
        <w:rPr>
          <w:rStyle w:val="FootnoteReference1"/>
        </w:rPr>
        <w:footnoteRef/>
      </w:r>
      <w:r w:rsidRPr="002F1BFB">
        <w:rPr>
          <w:rStyle w:val="FootnoteReference1"/>
          <w:rtl/>
        </w:rPr>
        <w:t xml:space="preserve"> </w:t>
      </w:r>
      <w:r w:rsidRPr="00124792">
        <w:rPr>
          <w:rtl/>
        </w:rPr>
        <w:tab/>
      </w:r>
      <w:r w:rsidRPr="00124792">
        <w:rPr>
          <w:rFonts w:hint="cs"/>
          <w:rtl/>
        </w:rPr>
        <w:t>תעריפים שנקבעים לפי עומס וזמן.</w:t>
      </w:r>
    </w:p>
  </w:footnote>
  <w:footnote w:id="46">
    <w:p w:rsidR="004321D8" w:rsidP="00476FCB">
      <w:pPr>
        <w:pStyle w:val="FootnoteText"/>
        <w:spacing w:line="269" w:lineRule="auto"/>
      </w:pPr>
      <w:r w:rsidRPr="002F1BFB">
        <w:rPr>
          <w:rStyle w:val="FootnoteReference1"/>
        </w:rPr>
        <w:footnoteRef/>
      </w:r>
      <w:r w:rsidRPr="002F1BFB">
        <w:rPr>
          <w:rStyle w:val="FootnoteReference1"/>
          <w:rtl/>
        </w:rPr>
        <w:t xml:space="preserve"> </w:t>
      </w:r>
      <w:r>
        <w:rPr>
          <w:rtl/>
        </w:rPr>
        <w:tab/>
      </w:r>
      <w:r w:rsidRPr="00C92465">
        <w:rPr>
          <w:rFonts w:hint="cs"/>
          <w:rtl/>
        </w:rPr>
        <w:t xml:space="preserve">ראו גם, מרכז המחקר והמידע של הכנסת, </w:t>
      </w:r>
      <w:r w:rsidRPr="002F1BFB">
        <w:rPr>
          <w:rFonts w:hint="eastAsia"/>
          <w:b/>
          <w:bCs/>
          <w:rtl/>
        </w:rPr>
        <w:t>תכנון</w:t>
      </w:r>
      <w:r w:rsidRPr="002F1BFB">
        <w:rPr>
          <w:b/>
          <w:bCs/>
          <w:rtl/>
        </w:rPr>
        <w:t xml:space="preserve"> </w:t>
      </w:r>
      <w:r w:rsidRPr="002F1BFB">
        <w:rPr>
          <w:rFonts w:hint="eastAsia"/>
          <w:b/>
          <w:bCs/>
          <w:rtl/>
        </w:rPr>
        <w:t>לאומי</w:t>
      </w:r>
      <w:r w:rsidRPr="002F1BFB">
        <w:rPr>
          <w:b/>
          <w:bCs/>
          <w:rtl/>
        </w:rPr>
        <w:t xml:space="preserve"> </w:t>
      </w:r>
      <w:r w:rsidRPr="002F1BFB">
        <w:rPr>
          <w:rFonts w:hint="eastAsia"/>
          <w:b/>
          <w:bCs/>
          <w:rtl/>
        </w:rPr>
        <w:t>ארוך</w:t>
      </w:r>
      <w:r w:rsidRPr="002F1BFB">
        <w:rPr>
          <w:b/>
          <w:bCs/>
          <w:rtl/>
        </w:rPr>
        <w:t xml:space="preserve"> </w:t>
      </w:r>
      <w:r w:rsidRPr="002F1BFB">
        <w:rPr>
          <w:rFonts w:hint="eastAsia"/>
          <w:b/>
          <w:bCs/>
          <w:rtl/>
        </w:rPr>
        <w:t>טווח</w:t>
      </w:r>
      <w:r w:rsidRPr="002F1BFB">
        <w:rPr>
          <w:b/>
          <w:bCs/>
          <w:rtl/>
        </w:rPr>
        <w:t xml:space="preserve"> - </w:t>
      </w:r>
      <w:r w:rsidRPr="002F1BFB">
        <w:rPr>
          <w:rFonts w:hint="eastAsia"/>
          <w:b/>
          <w:bCs/>
          <w:rtl/>
        </w:rPr>
        <w:t>סקירה</w:t>
      </w:r>
      <w:r w:rsidRPr="00C92465">
        <w:rPr>
          <w:rFonts w:hint="cs"/>
          <w:rtl/>
        </w:rPr>
        <w:t xml:space="preserve"> </w:t>
      </w:r>
      <w:r w:rsidRPr="002F1BFB">
        <w:rPr>
          <w:rFonts w:hint="eastAsia"/>
          <w:b/>
          <w:bCs/>
          <w:rtl/>
        </w:rPr>
        <w:t>משווה</w:t>
      </w:r>
      <w:r w:rsidRPr="00C92465">
        <w:rPr>
          <w:rFonts w:hint="cs"/>
          <w:rtl/>
        </w:rPr>
        <w:t xml:space="preserve"> (2017).</w:t>
      </w:r>
      <w:r>
        <w:rPr>
          <w:rFonts w:hint="cs"/>
          <w:rtl/>
        </w:rPr>
        <w:t xml:space="preserve"> </w:t>
      </w:r>
    </w:p>
  </w:footnote>
  <w:footnote w:id="47">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יצוין כי המעבר לתחבורה חשמלית גורם לגידול בייצור החשמל, דבר הכרוך אף הוא בפליטות </w:t>
      </w:r>
      <w:r w:rsidRPr="001D5F55">
        <w:rPr>
          <w:rFonts w:hint="cs"/>
          <w:rtl/>
        </w:rPr>
        <w:t>גז"ח</w:t>
      </w:r>
      <w:r w:rsidRPr="001D5F55">
        <w:rPr>
          <w:rFonts w:hint="cs"/>
          <w:rtl/>
        </w:rPr>
        <w:t xml:space="preserve"> </w:t>
      </w:r>
      <w:r w:rsidRPr="001D5F55">
        <w:rPr>
          <w:rFonts w:hint="cs"/>
          <w:rtl/>
        </w:rPr>
        <w:t>ומזהמי</w:t>
      </w:r>
      <w:r w:rsidRPr="001D5F55">
        <w:rPr>
          <w:rFonts w:hint="cs"/>
          <w:rtl/>
        </w:rPr>
        <w:t xml:space="preserve"> אוויר. עם זאת, ההשפעה של </w:t>
      </w:r>
      <w:r w:rsidRPr="001D5F55">
        <w:rPr>
          <w:rFonts w:hint="cs"/>
          <w:rtl/>
        </w:rPr>
        <w:t>מזהמי</w:t>
      </w:r>
      <w:r w:rsidRPr="001D5F55">
        <w:rPr>
          <w:rFonts w:hint="cs"/>
          <w:rtl/>
        </w:rPr>
        <w:t xml:space="preserve"> אוויר הנפלטים משריפת דלק להנעת כלי תחבורה גבוהה יותר מההשפעה של מזהמים הנפלטים בתהליך ייצור החשמל</w:t>
      </w:r>
      <w:r>
        <w:rPr>
          <w:rFonts w:hint="cs"/>
          <w:rtl/>
        </w:rPr>
        <w:t>, מאחר שהם נפלטים בגובהו של אדם</w:t>
      </w:r>
      <w:r w:rsidRPr="001D5F55">
        <w:rPr>
          <w:rFonts w:hint="cs"/>
          <w:rtl/>
        </w:rPr>
        <w:t>.</w:t>
      </w:r>
    </w:p>
  </w:footnote>
  <w:footnote w:id="48">
    <w:p w:rsidR="004321D8" w:rsidP="00476FCB">
      <w:pPr>
        <w:pStyle w:val="FootnoteText"/>
        <w:spacing w:line="269" w:lineRule="auto"/>
        <w:rPr>
          <w:rtl/>
        </w:rPr>
      </w:pPr>
      <w:r>
        <w:rPr>
          <w:rStyle w:val="FootnoteReference1"/>
        </w:rPr>
        <w:footnoteRef/>
      </w:r>
      <w:r>
        <w:rPr>
          <w:rtl/>
        </w:rPr>
        <w:t xml:space="preserve"> </w:t>
      </w:r>
      <w:r>
        <w:rPr>
          <w:rtl/>
        </w:rPr>
        <w:tab/>
      </w:r>
      <w:r w:rsidRPr="001D5F55">
        <w:rPr>
          <w:rFonts w:hint="cs"/>
          <w:rtl/>
        </w:rPr>
        <w:t>ראו מבקר המדינה, דוח שנתי 68א', (2017), בנושא "השפעת ייצור החשמל על איכות האוויר בישראל", עמ' 151</w:t>
      </w:r>
      <w:r>
        <w:rPr>
          <w:rFonts w:hint="cs"/>
          <w:rtl/>
        </w:rPr>
        <w:t>7</w:t>
      </w:r>
      <w:r w:rsidRPr="001D5F55">
        <w:rPr>
          <w:rFonts w:hint="cs"/>
          <w:rtl/>
        </w:rPr>
        <w:t xml:space="preserve"> - 20.</w:t>
      </w:r>
    </w:p>
  </w:footnote>
  <w:footnote w:id="49">
    <w:p w:rsidR="004321D8" w:rsidP="00476FCB">
      <w:pPr>
        <w:pStyle w:val="FootnoteText"/>
        <w:spacing w:line="269" w:lineRule="auto"/>
        <w:rPr>
          <w:rtl/>
        </w:rPr>
      </w:pPr>
      <w:r w:rsidRPr="001D5F55">
        <w:rPr>
          <w:rStyle w:val="FootnoteReference1"/>
        </w:rPr>
        <w:footnoteRef/>
      </w:r>
      <w:r w:rsidRPr="001D5F55">
        <w:rPr>
          <w:rtl/>
        </w:rPr>
        <w:t xml:space="preserve"> </w:t>
      </w:r>
      <w:r w:rsidRPr="001D5F55">
        <w:tab/>
      </w:r>
      <w:r w:rsidRPr="001D5F55">
        <w:rPr>
          <w:rFonts w:hint="cs"/>
          <w:rtl/>
        </w:rPr>
        <w:t xml:space="preserve">ראו </w:t>
      </w:r>
      <w:r>
        <w:rPr>
          <w:rFonts w:hint="cs"/>
          <w:rtl/>
        </w:rPr>
        <w:t xml:space="preserve">דוח מבקר המדינה על </w:t>
      </w:r>
      <w:r w:rsidRPr="001D5F55">
        <w:rPr>
          <w:rFonts w:hint="cs"/>
          <w:rtl/>
        </w:rPr>
        <w:t>"השפעת ייצור החשמל", עמ' 1</w:t>
      </w:r>
      <w:r>
        <w:rPr>
          <w:rFonts w:hint="cs"/>
          <w:rtl/>
        </w:rPr>
        <w:t>7</w:t>
      </w:r>
      <w:r w:rsidRPr="001D5F55">
        <w:rPr>
          <w:rFonts w:hint="cs"/>
          <w:rtl/>
        </w:rPr>
        <w:t xml:space="preserve"> - 20.</w:t>
      </w:r>
    </w:p>
  </w:footnote>
  <w:footnote w:id="50">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בהינתן צפי לאוכלוסייה של כ-10.5 מיליון נפש, לא כולל האוכלוסייה ביו"ש ובעזה.</w:t>
      </w:r>
    </w:p>
  </w:footnote>
  <w:footnote w:id="51">
    <w:p w:rsidR="004321D8" w:rsidP="005B263A">
      <w:pPr>
        <w:pStyle w:val="FootnoteText"/>
        <w:spacing w:line="269" w:lineRule="auto"/>
        <w:rPr>
          <w:rtl/>
        </w:rPr>
      </w:pPr>
      <w:r w:rsidRPr="002F1BFB">
        <w:rPr>
          <w:rStyle w:val="FootnoteReference1"/>
        </w:rPr>
        <w:footnoteRef/>
      </w:r>
      <w:r>
        <w:rPr>
          <w:rtl/>
        </w:rPr>
        <w:t xml:space="preserve"> </w:t>
      </w:r>
      <w:r>
        <w:rPr>
          <w:rtl/>
        </w:rPr>
        <w:tab/>
      </w:r>
      <w:r w:rsidRPr="00184048">
        <w:rPr>
          <w:rFonts w:hint="eastAsia"/>
          <w:rtl/>
        </w:rPr>
        <w:t>דוח</w:t>
      </w:r>
      <w:r w:rsidRPr="00184048">
        <w:rPr>
          <w:rtl/>
        </w:rPr>
        <w:t xml:space="preserve"> </w:t>
      </w:r>
      <w:r w:rsidRPr="00184048">
        <w:rPr>
          <w:rFonts w:hint="eastAsia"/>
          <w:rtl/>
        </w:rPr>
        <w:t>מצב</w:t>
      </w:r>
      <w:r w:rsidRPr="00184048">
        <w:rPr>
          <w:rtl/>
        </w:rPr>
        <w:t xml:space="preserve"> </w:t>
      </w:r>
      <w:r w:rsidRPr="00184048">
        <w:rPr>
          <w:rFonts w:hint="eastAsia"/>
          <w:rtl/>
        </w:rPr>
        <w:t>משק</w:t>
      </w:r>
      <w:r w:rsidRPr="00184048">
        <w:rPr>
          <w:rtl/>
        </w:rPr>
        <w:t xml:space="preserve"> </w:t>
      </w:r>
      <w:r w:rsidRPr="00184048">
        <w:rPr>
          <w:rFonts w:hint="eastAsia"/>
          <w:rtl/>
        </w:rPr>
        <w:t>החשמל</w:t>
      </w:r>
      <w:r w:rsidRPr="00184048">
        <w:rPr>
          <w:rtl/>
        </w:rPr>
        <w:t xml:space="preserve"> </w:t>
      </w:r>
      <w:r w:rsidRPr="00184048">
        <w:rPr>
          <w:rFonts w:hint="eastAsia"/>
          <w:rtl/>
        </w:rPr>
        <w:t>לשנת</w:t>
      </w:r>
      <w:r w:rsidRPr="00184048">
        <w:rPr>
          <w:rtl/>
        </w:rPr>
        <w:t xml:space="preserve"> 2018</w:t>
      </w:r>
      <w:r w:rsidRPr="005B263A">
        <w:rPr>
          <w:rtl/>
        </w:rPr>
        <w:t>.</w:t>
      </w:r>
      <w:r>
        <w:rPr>
          <w:rFonts w:hint="cs"/>
          <w:rtl/>
        </w:rPr>
        <w:t xml:space="preserve"> </w:t>
      </w:r>
    </w:p>
  </w:footnote>
  <w:footnote w:id="52">
    <w:p w:rsidR="004321D8" w:rsidP="00476FCB">
      <w:pPr>
        <w:pStyle w:val="FootnoteText"/>
        <w:spacing w:line="269" w:lineRule="auto"/>
      </w:pPr>
      <w:r w:rsidRPr="002F1BFB">
        <w:rPr>
          <w:rStyle w:val="FootnoteReference1"/>
        </w:rPr>
        <w:footnoteRef/>
      </w:r>
      <w:r w:rsidRPr="002F1BFB">
        <w:rPr>
          <w:rStyle w:val="FootnoteReference1"/>
          <w:rtl/>
        </w:rPr>
        <w:t xml:space="preserve"> </w:t>
      </w:r>
      <w:r>
        <w:rPr>
          <w:rtl/>
        </w:rPr>
        <w:tab/>
      </w:r>
      <w:r w:rsidRPr="007D06CB">
        <w:rPr>
          <w:rFonts w:hint="cs"/>
          <w:rtl/>
        </w:rPr>
        <w:t xml:space="preserve">החלטת </w:t>
      </w:r>
      <w:r>
        <w:rPr>
          <w:rFonts w:hint="cs"/>
          <w:rtl/>
        </w:rPr>
        <w:t>ה</w:t>
      </w:r>
      <w:r w:rsidRPr="007D06CB">
        <w:rPr>
          <w:rFonts w:hint="cs"/>
          <w:rtl/>
        </w:rPr>
        <w:t xml:space="preserve">ממשלה 3261 </w:t>
      </w:r>
      <w:r>
        <w:rPr>
          <w:rFonts w:hint="cs"/>
          <w:rtl/>
        </w:rPr>
        <w:t>(</w:t>
      </w:r>
      <w:r w:rsidRPr="007D06CB">
        <w:rPr>
          <w:rFonts w:hint="cs"/>
          <w:rtl/>
        </w:rPr>
        <w:t>13.3.08</w:t>
      </w:r>
      <w:r>
        <w:rPr>
          <w:rFonts w:hint="cs"/>
          <w:rtl/>
        </w:rPr>
        <w:t>)</w:t>
      </w:r>
      <w:r w:rsidRPr="007D06CB">
        <w:rPr>
          <w:rFonts w:hint="cs"/>
          <w:rtl/>
        </w:rPr>
        <w:t>.</w:t>
      </w:r>
    </w:p>
  </w:footnote>
  <w:footnote w:id="53">
    <w:p w:rsidR="004321D8"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קיים פער קטן בין ייצור החשמל לצריכה הסופית. פער זה נוצר בשל </w:t>
      </w:r>
      <w:r w:rsidRPr="001D5F55">
        <w:rPr>
          <w:rFonts w:hint="cs"/>
          <w:rtl/>
        </w:rPr>
        <w:t>א</w:t>
      </w:r>
      <w:r>
        <w:rPr>
          <w:rFonts w:hint="cs"/>
          <w:rtl/>
        </w:rPr>
        <w:t>י</w:t>
      </w:r>
      <w:r w:rsidRPr="001D5F55">
        <w:rPr>
          <w:rFonts w:hint="cs"/>
          <w:rtl/>
        </w:rPr>
        <w:t>בודים</w:t>
      </w:r>
      <w:r w:rsidRPr="001D5F55">
        <w:rPr>
          <w:rFonts w:hint="cs"/>
          <w:rtl/>
        </w:rPr>
        <w:t xml:space="preserve"> במערכת, צריכה עצמית של תחנות כוח ועוד.</w:t>
      </w:r>
    </w:p>
  </w:footnote>
  <w:footnote w:id="54">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Fonts w:hint="cs"/>
          <w:rtl/>
        </w:rPr>
        <w:tab/>
        <w:t xml:space="preserve">החלטת </w:t>
      </w:r>
      <w:r>
        <w:rPr>
          <w:rFonts w:hint="cs"/>
          <w:rtl/>
        </w:rPr>
        <w:t>ה</w:t>
      </w:r>
      <w:r w:rsidRPr="001D5F55">
        <w:rPr>
          <w:rFonts w:hint="cs"/>
          <w:rtl/>
        </w:rPr>
        <w:t>ממשלה 2508, "גיבוש תכנית לאומית להפחתת פליטות גזי חממה בישראל"</w:t>
      </w:r>
      <w:r>
        <w:rPr>
          <w:rFonts w:hint="cs"/>
          <w:rtl/>
        </w:rPr>
        <w:t xml:space="preserve"> (</w:t>
      </w:r>
      <w:r w:rsidRPr="001D5F55">
        <w:rPr>
          <w:rFonts w:hint="cs"/>
          <w:rtl/>
        </w:rPr>
        <w:t>28.11.10</w:t>
      </w:r>
      <w:r>
        <w:rPr>
          <w:rFonts w:hint="cs"/>
          <w:rtl/>
        </w:rPr>
        <w:t>)</w:t>
      </w:r>
      <w:r w:rsidRPr="001D5F55">
        <w:rPr>
          <w:rFonts w:hint="cs"/>
          <w:rtl/>
        </w:rPr>
        <w:t>.</w:t>
      </w:r>
    </w:p>
  </w:footnote>
  <w:footnote w:id="55">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215, "דחיית יישום התכנית הלאומית להפחתת פליטות גזי חממה בשנים 2013 - 2015"</w:t>
      </w:r>
      <w:r>
        <w:rPr>
          <w:rFonts w:hint="cs"/>
          <w:rtl/>
        </w:rPr>
        <w:t xml:space="preserve"> (</w:t>
      </w:r>
      <w:r w:rsidRPr="001D5F55">
        <w:rPr>
          <w:rFonts w:hint="cs"/>
          <w:rtl/>
        </w:rPr>
        <w:t>13.5.13</w:t>
      </w:r>
      <w:r>
        <w:rPr>
          <w:rFonts w:hint="cs"/>
          <w:rtl/>
        </w:rPr>
        <w:t>)</w:t>
      </w:r>
      <w:r w:rsidRPr="001D5F55">
        <w:rPr>
          <w:rFonts w:hint="cs"/>
          <w:rtl/>
        </w:rPr>
        <w:t>.</w:t>
      </w:r>
    </w:p>
  </w:footnote>
  <w:footnote w:id="56">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378, "ביטול התכנית הלאומית להפחתת גזי חממה משנת 2010"</w:t>
      </w:r>
      <w:r>
        <w:rPr>
          <w:rFonts w:hint="cs"/>
          <w:rtl/>
        </w:rPr>
        <w:t xml:space="preserve"> (</w:t>
      </w:r>
      <w:r w:rsidRPr="001D5F55">
        <w:rPr>
          <w:rFonts w:hint="cs"/>
          <w:rtl/>
        </w:rPr>
        <w:t>5.8.15</w:t>
      </w:r>
      <w:r>
        <w:rPr>
          <w:rFonts w:hint="cs"/>
          <w:rtl/>
        </w:rPr>
        <w:t>)</w:t>
      </w:r>
      <w:r w:rsidRPr="001D5F55">
        <w:rPr>
          <w:rFonts w:hint="cs"/>
          <w:rtl/>
        </w:rPr>
        <w:t>.</w:t>
      </w:r>
    </w:p>
  </w:footnote>
  <w:footnote w:id="57">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1403</w:t>
      </w:r>
      <w:r>
        <w:rPr>
          <w:rFonts w:hint="cs"/>
          <w:rtl/>
        </w:rPr>
        <w:t xml:space="preserve"> (10.4.</w:t>
      </w:r>
      <w:r w:rsidRPr="001D5F55">
        <w:rPr>
          <w:rFonts w:hint="cs"/>
          <w:rtl/>
        </w:rPr>
        <w:t>16</w:t>
      </w:r>
      <w:r>
        <w:rPr>
          <w:rFonts w:hint="cs"/>
          <w:rtl/>
        </w:rPr>
        <w:t>)</w:t>
      </w:r>
      <w:r w:rsidRPr="001D5F55">
        <w:rPr>
          <w:rFonts w:hint="cs"/>
          <w:rtl/>
        </w:rPr>
        <w:t>.</w:t>
      </w:r>
    </w:p>
  </w:footnote>
  <w:footnote w:id="58">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מלבד </w:t>
      </w:r>
      <w:r w:rsidRPr="001D5F55">
        <w:rPr>
          <w:rFonts w:hint="cs"/>
          <w:rtl/>
        </w:rPr>
        <w:t>ת</w:t>
      </w:r>
      <w:r>
        <w:rPr>
          <w:rFonts w:hint="cs"/>
          <w:rtl/>
        </w:rPr>
        <w:t>ו</w:t>
      </w:r>
      <w:r w:rsidRPr="001D5F55">
        <w:rPr>
          <w:rFonts w:hint="cs"/>
          <w:rtl/>
        </w:rPr>
        <w:t>כנית</w:t>
      </w:r>
      <w:r w:rsidRPr="001D5F55">
        <w:rPr>
          <w:rFonts w:hint="cs"/>
          <w:rtl/>
        </w:rPr>
        <w:t xml:space="preserve"> זו החליטה הממשלה על צעדים נוספים לייעול צריכת </w:t>
      </w:r>
      <w:r w:rsidRPr="001D5F55">
        <w:rPr>
          <w:rFonts w:hint="cs"/>
          <w:rtl/>
        </w:rPr>
        <w:t>האנרגי</w:t>
      </w:r>
      <w:r>
        <w:rPr>
          <w:rFonts w:hint="cs"/>
          <w:rtl/>
        </w:rPr>
        <w:t>י</w:t>
      </w:r>
      <w:r w:rsidRPr="001D5F55">
        <w:rPr>
          <w:rFonts w:hint="cs"/>
          <w:rtl/>
        </w:rPr>
        <w:t>ה</w:t>
      </w:r>
      <w:r w:rsidRPr="001D5F55">
        <w:rPr>
          <w:rFonts w:hint="cs"/>
          <w:rtl/>
        </w:rPr>
        <w:t xml:space="preserve"> במשק (ראו להלן).</w:t>
      </w:r>
    </w:p>
  </w:footnote>
  <w:footnote w:id="59">
    <w:p w:rsidR="004321D8" w:rsidP="00476FCB">
      <w:pPr>
        <w:pStyle w:val="FootnoteText"/>
        <w:spacing w:line="269" w:lineRule="auto"/>
        <w:rPr>
          <w:rtl/>
        </w:rPr>
      </w:pPr>
      <w:r w:rsidRPr="002F1BFB">
        <w:rPr>
          <w:rStyle w:val="FootnoteReference1"/>
        </w:rPr>
        <w:footnoteRef/>
      </w:r>
      <w:r>
        <w:rPr>
          <w:rtl/>
        </w:rPr>
        <w:t xml:space="preserve"> </w:t>
      </w:r>
      <w:r>
        <w:rPr>
          <w:rtl/>
        </w:rPr>
        <w:tab/>
      </w:r>
      <w:r w:rsidRPr="004D6F9E">
        <w:rPr>
          <w:rFonts w:hint="cs"/>
          <w:rtl/>
        </w:rPr>
        <w:t xml:space="preserve">יחידת מדידה </w:t>
      </w:r>
      <w:r w:rsidRPr="004D6F9E">
        <w:rPr>
          <w:rFonts w:hint="cs"/>
          <w:rtl/>
        </w:rPr>
        <w:t>לאנרגייה</w:t>
      </w:r>
      <w:r w:rsidRPr="004D6F9E">
        <w:rPr>
          <w:rFonts w:hint="cs"/>
          <w:rtl/>
        </w:rPr>
        <w:t xml:space="preserve"> השווה למיליארד ואט-שעה.</w:t>
      </w:r>
    </w:p>
  </w:footnote>
  <w:footnote w:id="60">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Pr>
          <w:rFonts w:hint="cs"/>
          <w:rtl/>
        </w:rPr>
        <w:t>התועלת ו</w:t>
      </w:r>
      <w:r w:rsidRPr="001D5F55">
        <w:rPr>
          <w:rFonts w:hint="cs"/>
          <w:rtl/>
        </w:rPr>
        <w:t>החיסכון</w:t>
      </w:r>
      <w:r>
        <w:rPr>
          <w:rFonts w:hint="cs"/>
          <w:rtl/>
        </w:rPr>
        <w:t xml:space="preserve"> הם</w:t>
      </w:r>
      <w:r w:rsidRPr="001D5F55">
        <w:rPr>
          <w:rFonts w:hint="cs"/>
          <w:rtl/>
        </w:rPr>
        <w:t xml:space="preserve"> לאורך חיי אמצעי ההפחתה, במחירי שנת 2015.</w:t>
      </w:r>
    </w:p>
  </w:footnote>
  <w:footnote w:id="61">
    <w:p w:rsidR="004321D8" w:rsidP="00476FCB">
      <w:pPr>
        <w:pStyle w:val="FootnoteText"/>
        <w:spacing w:line="269" w:lineRule="auto"/>
        <w:rPr>
          <w:rtl/>
        </w:rPr>
      </w:pPr>
      <w:r w:rsidRPr="004D6F9E">
        <w:rPr>
          <w:rStyle w:val="FootnoteReference1"/>
        </w:rPr>
        <w:footnoteRef/>
      </w:r>
      <w:r w:rsidRPr="004D6F9E">
        <w:rPr>
          <w:rtl/>
        </w:rPr>
        <w:t xml:space="preserve"> </w:t>
      </w:r>
      <w:r w:rsidRPr="004D6F9E">
        <w:rPr>
          <w:rtl/>
        </w:rPr>
        <w:tab/>
      </w:r>
      <w:r w:rsidRPr="004D6F9E">
        <w:rPr>
          <w:rFonts w:hint="cs"/>
          <w:rtl/>
        </w:rPr>
        <w:t xml:space="preserve">היעד נקבע ל-80 </w:t>
      </w:r>
      <w:r w:rsidRPr="004D6F9E">
        <w:rPr>
          <w:rFonts w:hint="cs"/>
        </w:rPr>
        <w:t>TW</w:t>
      </w:r>
      <w:r w:rsidRPr="004D6F9E">
        <w:t>h</w:t>
      </w:r>
      <w:r w:rsidRPr="004D6F9E">
        <w:rPr>
          <w:rFonts w:hint="cs"/>
          <w:rtl/>
        </w:rPr>
        <w:t xml:space="preserve">, אולם בתוכנית עצמה נקבעו צעדים שיביאו להפחתה אף מעבר ליעד, כך שבסופו של דבר תעמוד צריכת החשמל על 79.2 ולא על 80 </w:t>
      </w:r>
      <w:r w:rsidRPr="004D6F9E">
        <w:rPr>
          <w:rFonts w:hint="cs"/>
        </w:rPr>
        <w:t>TW</w:t>
      </w:r>
      <w:r w:rsidRPr="004D6F9E">
        <w:t>h</w:t>
      </w:r>
      <w:r w:rsidRPr="004D6F9E">
        <w:rPr>
          <w:rFonts w:hint="cs"/>
          <w:rtl/>
        </w:rPr>
        <w:t>, כלומר סה"כ הפחתה של 17.5% במקום 17%.</w:t>
      </w:r>
    </w:p>
  </w:footnote>
  <w:footnote w:id="62">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ראו מבקר המדינה, </w:t>
      </w:r>
      <w:r w:rsidRPr="002F1BFB">
        <w:rPr>
          <w:rFonts w:hint="eastAsia"/>
          <w:b/>
          <w:bCs/>
          <w:rtl/>
        </w:rPr>
        <w:t>דוח</w:t>
      </w:r>
      <w:r w:rsidRPr="002F1BFB">
        <w:rPr>
          <w:b/>
          <w:bCs/>
          <w:rtl/>
        </w:rPr>
        <w:t xml:space="preserve"> </w:t>
      </w:r>
      <w:r w:rsidRPr="002F1BFB">
        <w:rPr>
          <w:rFonts w:hint="eastAsia"/>
          <w:b/>
          <w:bCs/>
          <w:rtl/>
        </w:rPr>
        <w:t>מיוחד</w:t>
      </w:r>
      <w:r w:rsidRPr="002F1BFB">
        <w:rPr>
          <w:b/>
          <w:bCs/>
          <w:rtl/>
        </w:rPr>
        <w:t xml:space="preserve"> </w:t>
      </w:r>
      <w:r>
        <w:rPr>
          <w:rFonts w:hint="cs"/>
          <w:b/>
          <w:bCs/>
          <w:rtl/>
        </w:rPr>
        <w:t>- היבטים בפעולות הממשלה</w:t>
      </w:r>
      <w:r w:rsidRPr="00816B20">
        <w:rPr>
          <w:rFonts w:hint="cs"/>
          <w:b/>
          <w:bCs/>
          <w:rtl/>
        </w:rPr>
        <w:t xml:space="preserve"> </w:t>
      </w:r>
      <w:r w:rsidRPr="002F1BFB">
        <w:rPr>
          <w:rFonts w:hint="eastAsia"/>
          <w:b/>
          <w:bCs/>
          <w:rtl/>
        </w:rPr>
        <w:t>בנושא</w:t>
      </w:r>
      <w:r w:rsidRPr="002F1BFB">
        <w:rPr>
          <w:b/>
          <w:bCs/>
          <w:rtl/>
        </w:rPr>
        <w:t xml:space="preserve"> </w:t>
      </w:r>
      <w:r>
        <w:rPr>
          <w:rFonts w:hint="cs"/>
          <w:b/>
          <w:bCs/>
          <w:rtl/>
        </w:rPr>
        <w:t>זיהומים סביבתיים</w:t>
      </w:r>
      <w:r w:rsidRPr="002F1BFB">
        <w:rPr>
          <w:b/>
          <w:bCs/>
          <w:rtl/>
        </w:rPr>
        <w:t xml:space="preserve"> </w:t>
      </w:r>
      <w:r w:rsidRPr="002F1BFB">
        <w:rPr>
          <w:rFonts w:hint="eastAsia"/>
          <w:b/>
          <w:bCs/>
          <w:rtl/>
        </w:rPr>
        <w:t>במפרץ</w:t>
      </w:r>
      <w:r w:rsidRPr="002F1BFB">
        <w:rPr>
          <w:b/>
          <w:bCs/>
          <w:rtl/>
        </w:rPr>
        <w:t xml:space="preserve"> </w:t>
      </w:r>
      <w:r w:rsidRPr="002F1BFB">
        <w:rPr>
          <w:rFonts w:hint="eastAsia"/>
          <w:b/>
          <w:bCs/>
          <w:rtl/>
        </w:rPr>
        <w:t>חיפה</w:t>
      </w:r>
      <w:r w:rsidRPr="001D5F55">
        <w:rPr>
          <w:rFonts w:hint="cs"/>
          <w:rtl/>
        </w:rPr>
        <w:t xml:space="preserve"> (2019)</w:t>
      </w:r>
      <w:r>
        <w:rPr>
          <w:rFonts w:hint="cs"/>
          <w:rtl/>
        </w:rPr>
        <w:t>.</w:t>
      </w:r>
    </w:p>
  </w:footnote>
  <w:footnote w:id="63">
    <w:p w:rsidR="004321D8" w:rsidP="00476FCB">
      <w:pPr>
        <w:pStyle w:val="FootnoteText"/>
        <w:spacing w:line="269" w:lineRule="auto"/>
      </w:pPr>
      <w:r w:rsidRPr="002F1BFB">
        <w:rPr>
          <w:rStyle w:val="FootnoteReference1"/>
        </w:rPr>
        <w:footnoteRef/>
      </w:r>
      <w:r>
        <w:rPr>
          <w:rtl/>
        </w:rPr>
        <w:t xml:space="preserve"> </w:t>
      </w:r>
      <w:r>
        <w:rPr>
          <w:rtl/>
        </w:rPr>
        <w:tab/>
      </w:r>
      <w:r w:rsidRPr="00831646">
        <w:rPr>
          <w:rFonts w:hint="cs"/>
          <w:rtl/>
        </w:rPr>
        <w:t xml:space="preserve">תקציבים אלה הוקצו במסגרת החלטת </w:t>
      </w:r>
      <w:r>
        <w:rPr>
          <w:rFonts w:hint="cs"/>
          <w:rtl/>
        </w:rPr>
        <w:t>ה</w:t>
      </w:r>
      <w:r w:rsidRPr="00831646">
        <w:rPr>
          <w:rFonts w:hint="cs"/>
          <w:rtl/>
        </w:rPr>
        <w:t xml:space="preserve">ממשלה 4095 </w:t>
      </w:r>
      <w:r>
        <w:rPr>
          <w:rFonts w:hint="cs"/>
          <w:rtl/>
        </w:rPr>
        <w:t>(</w:t>
      </w:r>
      <w:r w:rsidRPr="00831646">
        <w:rPr>
          <w:rFonts w:hint="cs"/>
          <w:rtl/>
        </w:rPr>
        <w:t>18.8.09</w:t>
      </w:r>
      <w:r>
        <w:rPr>
          <w:rFonts w:hint="cs"/>
          <w:rtl/>
        </w:rPr>
        <w:t>)</w:t>
      </w:r>
      <w:r w:rsidRPr="00831646">
        <w:rPr>
          <w:rFonts w:hint="cs"/>
          <w:rtl/>
        </w:rPr>
        <w:t xml:space="preserve">; החלטת </w:t>
      </w:r>
      <w:r>
        <w:rPr>
          <w:rFonts w:hint="cs"/>
          <w:rtl/>
        </w:rPr>
        <w:t>ה</w:t>
      </w:r>
      <w:r w:rsidRPr="00831646">
        <w:rPr>
          <w:rFonts w:hint="cs"/>
          <w:rtl/>
        </w:rPr>
        <w:t xml:space="preserve">ממשלה 2508 </w:t>
      </w:r>
      <w:r>
        <w:rPr>
          <w:rFonts w:hint="cs"/>
          <w:rtl/>
        </w:rPr>
        <w:t>(</w:t>
      </w:r>
      <w:r w:rsidRPr="00831646">
        <w:rPr>
          <w:rFonts w:hint="cs"/>
          <w:rtl/>
        </w:rPr>
        <w:t>28.10.11</w:t>
      </w:r>
      <w:r>
        <w:rPr>
          <w:rFonts w:hint="cs"/>
          <w:rtl/>
        </w:rPr>
        <w:t>)</w:t>
      </w:r>
      <w:r w:rsidRPr="00831646">
        <w:rPr>
          <w:rFonts w:hint="cs"/>
          <w:rtl/>
        </w:rPr>
        <w:t xml:space="preserve"> (יצוין כי בחישוב לא נכלל תקציב של 2.2 מיליארד ש"ח שהוקצה מתוקף החלטה זו לת</w:t>
      </w:r>
      <w:r>
        <w:rPr>
          <w:rFonts w:hint="cs"/>
          <w:rtl/>
        </w:rPr>
        <w:t>ו</w:t>
      </w:r>
      <w:r w:rsidRPr="00831646">
        <w:rPr>
          <w:rFonts w:hint="cs"/>
          <w:rtl/>
        </w:rPr>
        <w:t>כנ</w:t>
      </w:r>
      <w:r>
        <w:rPr>
          <w:rFonts w:hint="cs"/>
          <w:rtl/>
        </w:rPr>
        <w:t>ית להתייעלות אנרגטית לשנים 2010 -</w:t>
      </w:r>
      <w:r w:rsidRPr="00831646">
        <w:rPr>
          <w:rFonts w:hint="cs"/>
          <w:rtl/>
        </w:rPr>
        <w:t xml:space="preserve"> 2020</w:t>
      </w:r>
      <w:r>
        <w:rPr>
          <w:rFonts w:hint="cs"/>
          <w:rtl/>
        </w:rPr>
        <w:t>,</w:t>
      </w:r>
      <w:r w:rsidRPr="00831646">
        <w:rPr>
          <w:rFonts w:hint="cs"/>
          <w:rtl/>
        </w:rPr>
        <w:t xml:space="preserve"> שכאמור בוטלה בשנת 2010, אלא רק תקציבים שהוקצו במסגרתה)</w:t>
      </w:r>
      <w:r>
        <w:rPr>
          <w:rFonts w:hint="cs"/>
          <w:rtl/>
        </w:rPr>
        <w:t>; החלטת הממשלה 707</w:t>
      </w:r>
      <w:r w:rsidRPr="00156ADD">
        <w:rPr>
          <w:rFonts w:hint="cs"/>
          <w:rtl/>
        </w:rPr>
        <w:t xml:space="preserve"> </w:t>
      </w:r>
      <w:r>
        <w:rPr>
          <w:rFonts w:hint="cs"/>
          <w:rtl/>
        </w:rPr>
        <w:t>(</w:t>
      </w:r>
      <w:r w:rsidRPr="00156ADD">
        <w:rPr>
          <w:rFonts w:hint="cs"/>
          <w:rtl/>
        </w:rPr>
        <w:t>25.8.13</w:t>
      </w:r>
      <w:r>
        <w:rPr>
          <w:rFonts w:hint="cs"/>
          <w:rtl/>
        </w:rPr>
        <w:t>)</w:t>
      </w:r>
      <w:r w:rsidRPr="00156ADD">
        <w:rPr>
          <w:rFonts w:hint="cs"/>
          <w:rtl/>
        </w:rPr>
        <w:t>.</w:t>
      </w:r>
    </w:p>
  </w:footnote>
  <w:footnote w:id="64">
    <w:p w:rsidR="004321D8" w:rsidRPr="0067094E" w:rsidP="00476FCB">
      <w:pPr>
        <w:pStyle w:val="FootnoteText"/>
        <w:spacing w:line="269" w:lineRule="auto"/>
      </w:pPr>
      <w:r w:rsidRPr="0067094E">
        <w:rPr>
          <w:rStyle w:val="FootnoteReference1"/>
        </w:rPr>
        <w:footnoteRef/>
      </w:r>
      <w:r w:rsidRPr="0067094E">
        <w:rPr>
          <w:rtl/>
        </w:rPr>
        <w:t xml:space="preserve"> </w:t>
      </w:r>
      <w:r w:rsidRPr="0067094E">
        <w:rPr>
          <w:rtl/>
        </w:rPr>
        <w:tab/>
      </w:r>
      <w:r w:rsidRPr="0067094E">
        <w:rPr>
          <w:rFonts w:hint="cs"/>
          <w:rtl/>
        </w:rPr>
        <w:t xml:space="preserve">יצוין כי משרדים נוספים הקצו תקציבים להתייעלות אנרגטית </w:t>
      </w:r>
      <w:r>
        <w:rPr>
          <w:rFonts w:hint="cs"/>
          <w:rtl/>
        </w:rPr>
        <w:t>ו</w:t>
      </w:r>
      <w:r w:rsidRPr="0067094E">
        <w:rPr>
          <w:rFonts w:hint="cs"/>
          <w:rtl/>
        </w:rPr>
        <w:t xml:space="preserve">בהם המשרד </w:t>
      </w:r>
      <w:r w:rsidRPr="0067094E">
        <w:rPr>
          <w:rFonts w:hint="cs"/>
          <w:rtl/>
        </w:rPr>
        <w:t>להג"ס</w:t>
      </w:r>
      <w:r w:rsidRPr="0067094E">
        <w:rPr>
          <w:rFonts w:hint="cs"/>
          <w:rtl/>
        </w:rPr>
        <w:t>, משרד הכלכלה ומשרד האוצר.</w:t>
      </w:r>
    </w:p>
  </w:footnote>
  <w:footnote w:id="65">
    <w:p w:rsidR="004321D8" w:rsidP="00476FCB">
      <w:pPr>
        <w:pStyle w:val="FootnoteText"/>
        <w:spacing w:line="269" w:lineRule="auto"/>
      </w:pPr>
      <w:r w:rsidRPr="002F1BFB">
        <w:rPr>
          <w:rStyle w:val="FootnoteReference1"/>
        </w:rPr>
        <w:footnoteRef/>
      </w:r>
      <w:r>
        <w:rPr>
          <w:rtl/>
        </w:rPr>
        <w:t xml:space="preserve"> </w:t>
      </w:r>
      <w:r>
        <w:rPr>
          <w:rtl/>
        </w:rPr>
        <w:tab/>
      </w:r>
      <w:r w:rsidRPr="004D6F9E">
        <w:rPr>
          <w:rFonts w:hint="cs"/>
          <w:rtl/>
        </w:rPr>
        <w:t xml:space="preserve">על פי תקנות מקורות אנרגיה (ביצוע סקר לאיתור פוטנציאל לשימור אנרגיה) התשנ"ג-1993, מפעל צרכן שצריכת </w:t>
      </w:r>
      <w:r w:rsidRPr="004D6F9E">
        <w:rPr>
          <w:rFonts w:hint="cs"/>
          <w:rtl/>
        </w:rPr>
        <w:t>האנרגייה</w:t>
      </w:r>
      <w:r w:rsidRPr="004D6F9E">
        <w:rPr>
          <w:rFonts w:hint="cs"/>
          <w:rtl/>
        </w:rPr>
        <w:t xml:space="preserve"> שלו היא לפחות 2000 טון שווה ערך מזוט </w:t>
      </w:r>
      <w:r w:rsidRPr="004D6F9E">
        <w:rPr>
          <w:rFonts w:hint="cs"/>
          <w:rtl/>
        </w:rPr>
        <w:t>בדלקים</w:t>
      </w:r>
      <w:r w:rsidRPr="004D6F9E">
        <w:rPr>
          <w:rFonts w:hint="cs"/>
          <w:rtl/>
        </w:rPr>
        <w:t xml:space="preserve"> אחרים או בחשמל, חייב לבצע אחת לחמש שנים סקר </w:t>
      </w:r>
      <w:r w:rsidRPr="004D6F9E">
        <w:rPr>
          <w:rFonts w:hint="cs"/>
          <w:rtl/>
        </w:rPr>
        <w:t>אנרגייה</w:t>
      </w:r>
      <w:r w:rsidRPr="004D6F9E">
        <w:rPr>
          <w:rFonts w:hint="cs"/>
          <w:rtl/>
        </w:rPr>
        <w:t>.</w:t>
      </w:r>
      <w:r>
        <w:rPr>
          <w:rFonts w:hint="cs"/>
          <w:rtl/>
        </w:rPr>
        <w:t xml:space="preserve"> </w:t>
      </w:r>
    </w:p>
  </w:footnote>
  <w:footnote w:id="66">
    <w:p w:rsidR="004321D8" w:rsidP="00476FCB">
      <w:pPr>
        <w:pStyle w:val="FootnoteText"/>
        <w:spacing w:line="269" w:lineRule="auto"/>
        <w:rPr>
          <w:rtl/>
        </w:rPr>
      </w:pPr>
      <w:r w:rsidRPr="002F1BFB">
        <w:rPr>
          <w:rStyle w:val="FootnoteReference1"/>
        </w:rPr>
        <w:footnoteRef/>
      </w:r>
      <w:r w:rsidRPr="002F1BFB">
        <w:rPr>
          <w:rStyle w:val="FootnoteReference1"/>
          <w:rtl/>
        </w:rPr>
        <w:t xml:space="preserve"> </w:t>
      </w:r>
      <w:r>
        <w:rPr>
          <w:rtl/>
        </w:rPr>
        <w:tab/>
      </w:r>
      <w:r w:rsidRPr="00D55623">
        <w:rPr>
          <w:rFonts w:hint="cs"/>
          <w:rtl/>
        </w:rPr>
        <w:t>בעל מקור פליטה שהוא מתקן או מערך מתקנים נייח או נייד, לרבות מכונה, מכשיר, או חפץ וכן מקום, שנפלטים מהם מזהמים לאוויר או הגורמים או עלולים לגרום לפליטת מזהמים לאוויר, עקב פעולה או תהליך המתבצעים בהם או באמצעותם, לרבות כל פעולה או תהליך נלווים שיש להם או שעלולה להיות להם השפעה על פליטת מזהמים, ולמעט אם זיהום האוויר הנגרם או עלול להיגרם מהם זניח.</w:t>
      </w:r>
    </w:p>
  </w:footnote>
  <w:footnote w:id="67">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החלט</w:t>
      </w:r>
      <w:r>
        <w:rPr>
          <w:rFonts w:hint="cs"/>
          <w:rtl/>
        </w:rPr>
        <w:t>ה</w:t>
      </w:r>
      <w:r w:rsidRPr="001D5F55">
        <w:rPr>
          <w:rFonts w:hint="cs"/>
          <w:rtl/>
        </w:rPr>
        <w:t xml:space="preserve"> 542; החלטת </w:t>
      </w:r>
      <w:r>
        <w:rPr>
          <w:rFonts w:hint="cs"/>
          <w:rtl/>
        </w:rPr>
        <w:t>ה</w:t>
      </w:r>
      <w:r w:rsidRPr="001D5F55">
        <w:rPr>
          <w:rFonts w:hint="cs"/>
          <w:rtl/>
        </w:rPr>
        <w:t xml:space="preserve">ממשלה 1403 </w:t>
      </w:r>
      <w:r>
        <w:rPr>
          <w:rFonts w:hint="cs"/>
          <w:rtl/>
        </w:rPr>
        <w:t>(</w:t>
      </w:r>
      <w:r w:rsidRPr="001D5F55">
        <w:rPr>
          <w:rFonts w:hint="cs"/>
          <w:rtl/>
        </w:rPr>
        <w:t>10.4.16</w:t>
      </w:r>
      <w:r>
        <w:rPr>
          <w:rFonts w:hint="cs"/>
          <w:rtl/>
        </w:rPr>
        <w:t>)</w:t>
      </w:r>
      <w:r w:rsidRPr="001D5F55">
        <w:rPr>
          <w:rFonts w:hint="cs"/>
          <w:rtl/>
        </w:rPr>
        <w:t>.</w:t>
      </w:r>
    </w:p>
  </w:footnote>
  <w:footnote w:id="68">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ממשלה 3269, "אישור תכנית לאומית להתייעלות אנרגטית"</w:t>
      </w:r>
      <w:r>
        <w:rPr>
          <w:rFonts w:hint="cs"/>
          <w:rtl/>
        </w:rPr>
        <w:t xml:space="preserve"> (</w:t>
      </w:r>
      <w:r w:rsidRPr="001D5F55">
        <w:rPr>
          <w:rFonts w:hint="cs"/>
          <w:rtl/>
        </w:rPr>
        <w:t>17.12.17</w:t>
      </w:r>
      <w:r>
        <w:rPr>
          <w:rFonts w:hint="cs"/>
          <w:rtl/>
        </w:rPr>
        <w:t>)</w:t>
      </w:r>
      <w:r w:rsidRPr="001D5F55">
        <w:rPr>
          <w:rFonts w:hint="cs"/>
          <w:rtl/>
        </w:rPr>
        <w:t>.</w:t>
      </w:r>
    </w:p>
  </w:footnote>
  <w:footnote w:id="69">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יצוין כי במסגרת הת</w:t>
      </w:r>
      <w:r>
        <w:rPr>
          <w:rFonts w:hint="cs"/>
          <w:rtl/>
        </w:rPr>
        <w:t>ו</w:t>
      </w:r>
      <w:r w:rsidRPr="001D5F55">
        <w:rPr>
          <w:rFonts w:hint="cs"/>
          <w:rtl/>
        </w:rPr>
        <w:t>כנית בוטל המכס או מס הקני</w:t>
      </w:r>
      <w:r>
        <w:rPr>
          <w:rFonts w:hint="cs"/>
          <w:rtl/>
        </w:rPr>
        <w:t>י</w:t>
      </w:r>
      <w:r w:rsidRPr="001D5F55">
        <w:rPr>
          <w:rFonts w:hint="cs"/>
          <w:rtl/>
        </w:rPr>
        <w:t>ה גם על מוצרי ביגוד וטקסטיל בהיקף של 400 מיליון ש"ח</w:t>
      </w:r>
      <w:r>
        <w:rPr>
          <w:rFonts w:hint="cs"/>
          <w:rtl/>
        </w:rPr>
        <w:t>,</w:t>
      </w:r>
      <w:r w:rsidRPr="001D5F55">
        <w:rPr>
          <w:rFonts w:hint="cs"/>
          <w:rtl/>
        </w:rPr>
        <w:t xml:space="preserve"> צעצועים בהיקף 36.2 מיליון ש"ח ותמרוקים בהיק</w:t>
      </w:r>
      <w:r w:rsidRPr="001D5F55">
        <w:rPr>
          <w:rFonts w:hint="eastAsia"/>
          <w:rtl/>
        </w:rPr>
        <w:t>ף</w:t>
      </w:r>
      <w:r w:rsidRPr="001D5F55">
        <w:rPr>
          <w:rFonts w:hint="cs"/>
          <w:rtl/>
        </w:rPr>
        <w:t xml:space="preserve"> של 11 מיליון ש"ח. סה"כ עלות המהלך היא 813 מיליון ש"ח.</w:t>
      </w:r>
    </w:p>
  </w:footnote>
  <w:footnote w:id="70">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יצוין כי משרד </w:t>
      </w:r>
      <w:r w:rsidRPr="001D5F55">
        <w:rPr>
          <w:rFonts w:hint="cs"/>
          <w:rtl/>
        </w:rPr>
        <w:t>האנרגי</w:t>
      </w:r>
      <w:r>
        <w:rPr>
          <w:rFonts w:hint="cs"/>
          <w:rtl/>
        </w:rPr>
        <w:t>י</w:t>
      </w:r>
      <w:r w:rsidRPr="001D5F55">
        <w:rPr>
          <w:rFonts w:hint="cs"/>
          <w:rtl/>
        </w:rPr>
        <w:t>ה</w:t>
      </w:r>
      <w:r w:rsidRPr="001D5F55">
        <w:rPr>
          <w:rFonts w:hint="cs"/>
          <w:rtl/>
        </w:rPr>
        <w:t xml:space="preserve"> קובע מתוקף חוק מקורות </w:t>
      </w:r>
      <w:r w:rsidRPr="001D5F55">
        <w:rPr>
          <w:rFonts w:hint="cs"/>
          <w:rtl/>
        </w:rPr>
        <w:t>אנרגי</w:t>
      </w:r>
      <w:r>
        <w:rPr>
          <w:rFonts w:hint="cs"/>
          <w:rtl/>
        </w:rPr>
        <w:t>י</w:t>
      </w:r>
      <w:r w:rsidRPr="001D5F55">
        <w:rPr>
          <w:rFonts w:hint="cs"/>
          <w:rtl/>
        </w:rPr>
        <w:t>ה</w:t>
      </w:r>
      <w:r w:rsidRPr="001D5F55">
        <w:rPr>
          <w:rFonts w:hint="cs"/>
          <w:rtl/>
        </w:rPr>
        <w:t xml:space="preserve"> תקנות שונות לניצולת/ יעילות אנרגטית. במסגרת זו קבע המשרד מעל 17 תקנות הנוגעות ליעילות </w:t>
      </w:r>
      <w:r>
        <w:rPr>
          <w:rFonts w:hint="cs"/>
          <w:rtl/>
        </w:rPr>
        <w:t>ה</w:t>
      </w:r>
      <w:r w:rsidRPr="001D5F55">
        <w:rPr>
          <w:rFonts w:hint="cs"/>
          <w:rtl/>
        </w:rPr>
        <w:t xml:space="preserve">אנרגטית של מוצרים שונים. מעבדות מכון התקנים מבצעות בדיקות ליעילות האנרגטית של המוצרים השונים כתנאי למתן היתר לסימונם בתו תקן. בעניין זה ראו מבקר המדינה, </w:t>
      </w:r>
      <w:r w:rsidRPr="001D5F55">
        <w:rPr>
          <w:rFonts w:hint="cs"/>
          <w:b/>
          <w:bCs/>
          <w:rtl/>
        </w:rPr>
        <w:t>דוח שנתי 67א</w:t>
      </w:r>
      <w:r w:rsidRPr="001D5F55">
        <w:rPr>
          <w:rFonts w:hint="cs"/>
          <w:rtl/>
        </w:rPr>
        <w:t xml:space="preserve"> (2016), בנושא "מכון התקנים סדרי </w:t>
      </w:r>
      <w:r w:rsidRPr="001D5F55">
        <w:rPr>
          <w:rFonts w:hint="cs"/>
          <w:rtl/>
        </w:rPr>
        <w:t>מינהל</w:t>
      </w:r>
      <w:r w:rsidRPr="001D5F55">
        <w:rPr>
          <w:rFonts w:hint="cs"/>
          <w:rtl/>
        </w:rPr>
        <w:t xml:space="preserve"> וליקויים בפעילותו", עמ' 889</w:t>
      </w:r>
      <w:r>
        <w:rPr>
          <w:rFonts w:hint="cs"/>
          <w:rtl/>
        </w:rPr>
        <w:t xml:space="preserve"> - 894</w:t>
      </w:r>
      <w:r w:rsidRPr="001D5F55">
        <w:rPr>
          <w:rFonts w:hint="cs"/>
          <w:rtl/>
        </w:rPr>
        <w:t>.</w:t>
      </w:r>
    </w:p>
  </w:footnote>
  <w:footnote w:id="71">
    <w:p w:rsidR="004321D8" w:rsidRPr="001D5F55" w:rsidP="00476FCB">
      <w:pPr>
        <w:pStyle w:val="FootnoteText"/>
        <w:spacing w:line="269" w:lineRule="auto"/>
      </w:pPr>
      <w:r w:rsidRPr="001D5F55">
        <w:rPr>
          <w:rStyle w:val="FootnoteReference1"/>
        </w:rPr>
        <w:footnoteRef/>
      </w:r>
      <w:r w:rsidRPr="001D5F55">
        <w:rPr>
          <w:rtl/>
        </w:rPr>
        <w:t xml:space="preserve"> </w:t>
      </w:r>
      <w:r w:rsidRPr="001D5F55">
        <w:tab/>
      </w:r>
      <w:r w:rsidRPr="001D5F55">
        <w:rPr>
          <w:rFonts w:hint="cs"/>
          <w:rtl/>
        </w:rPr>
        <w:t xml:space="preserve">ראו, מבקר המדינה, </w:t>
      </w:r>
      <w:r w:rsidRPr="002F1BFB">
        <w:rPr>
          <w:rFonts w:hint="eastAsia"/>
          <w:b/>
          <w:bCs/>
          <w:rtl/>
        </w:rPr>
        <w:t>דוח</w:t>
      </w:r>
      <w:r w:rsidRPr="002F1BFB">
        <w:rPr>
          <w:b/>
          <w:bCs/>
          <w:rtl/>
        </w:rPr>
        <w:t xml:space="preserve"> </w:t>
      </w:r>
      <w:r w:rsidRPr="002F1BFB">
        <w:rPr>
          <w:rFonts w:hint="eastAsia"/>
          <w:b/>
          <w:bCs/>
          <w:rtl/>
        </w:rPr>
        <w:t>שנתי</w:t>
      </w:r>
      <w:r w:rsidRPr="002F1BFB">
        <w:rPr>
          <w:b/>
          <w:bCs/>
          <w:rtl/>
        </w:rPr>
        <w:t xml:space="preserve"> 68</w:t>
      </w:r>
      <w:r w:rsidRPr="002F1BFB">
        <w:rPr>
          <w:rFonts w:hint="eastAsia"/>
          <w:b/>
          <w:bCs/>
          <w:rtl/>
        </w:rPr>
        <w:t>א</w:t>
      </w:r>
      <w:r w:rsidRPr="001D5F55">
        <w:rPr>
          <w:rFonts w:hint="cs"/>
          <w:rtl/>
        </w:rPr>
        <w:t xml:space="preserve"> (2017), בנושא "ניהול ביקושים במשק החשמל ומיזם מני</w:t>
      </w:r>
      <w:r>
        <w:rPr>
          <w:rFonts w:hint="cs"/>
          <w:rtl/>
        </w:rPr>
        <w:t>י</w:t>
      </w:r>
      <w:r w:rsidRPr="001D5F55">
        <w:rPr>
          <w:rFonts w:hint="cs"/>
          <w:rtl/>
        </w:rPr>
        <w:t>ה חכמה", עמ' 64</w:t>
      </w:r>
      <w:r>
        <w:rPr>
          <w:rFonts w:hint="cs"/>
          <w:rtl/>
        </w:rPr>
        <w:t>4</w:t>
      </w:r>
      <w:r w:rsidRPr="001D5F55">
        <w:rPr>
          <w:rFonts w:hint="cs"/>
          <w:rtl/>
        </w:rPr>
        <w:t xml:space="preserve"> - 6</w:t>
      </w:r>
      <w:r>
        <w:rPr>
          <w:rFonts w:hint="cs"/>
          <w:rtl/>
        </w:rPr>
        <w:t>49</w:t>
      </w:r>
      <w:r w:rsidRPr="001D5F55">
        <w:rPr>
          <w:rFonts w:hint="cs"/>
          <w:rtl/>
        </w:rPr>
        <w:t>.</w:t>
      </w:r>
    </w:p>
  </w:footnote>
  <w:footnote w:id="72">
    <w:p w:rsidR="004321D8" w:rsidRPr="00935147" w:rsidP="00476FCB">
      <w:pPr>
        <w:pStyle w:val="FootnoteText"/>
        <w:spacing w:line="269" w:lineRule="auto"/>
        <w:rPr>
          <w:rtl/>
        </w:rPr>
      </w:pPr>
      <w:r w:rsidRPr="002F1BFB">
        <w:rPr>
          <w:rStyle w:val="FootnoteReference1"/>
        </w:rPr>
        <w:footnoteRef/>
      </w:r>
      <w:r>
        <w:rPr>
          <w:rtl/>
        </w:rPr>
        <w:t xml:space="preserve"> </w:t>
      </w:r>
      <w:r>
        <w:rPr>
          <w:rtl/>
        </w:rPr>
        <w:tab/>
      </w:r>
      <w:r w:rsidRPr="004D6F9E">
        <w:rPr>
          <w:rFonts w:hint="cs"/>
          <w:rtl/>
        </w:rPr>
        <w:t xml:space="preserve">ראו </w:t>
      </w:r>
      <w:r w:rsidRPr="004D6F9E">
        <w:rPr>
          <w:rFonts w:hint="eastAsia"/>
          <w:b/>
          <w:bCs/>
          <w:rtl/>
        </w:rPr>
        <w:t>שם</w:t>
      </w:r>
      <w:r w:rsidRPr="004D6F9E">
        <w:rPr>
          <w:rFonts w:hint="cs"/>
          <w:rtl/>
        </w:rPr>
        <w:t>, עמ' 627.</w:t>
      </w:r>
    </w:p>
  </w:footnote>
  <w:footnote w:id="73">
    <w:p w:rsidR="004321D8" w:rsidP="00476FCB">
      <w:pPr>
        <w:pStyle w:val="FootnoteText"/>
        <w:spacing w:line="269" w:lineRule="auto"/>
        <w:rPr>
          <w:rtl/>
        </w:rPr>
      </w:pPr>
      <w:r w:rsidRPr="002F1BFB">
        <w:rPr>
          <w:rStyle w:val="FootnoteReference1"/>
        </w:rPr>
        <w:footnoteRef/>
      </w:r>
      <w:r w:rsidRPr="00935147">
        <w:rPr>
          <w:rtl/>
        </w:rPr>
        <w:t xml:space="preserve"> </w:t>
      </w:r>
      <w:r w:rsidRPr="00935147">
        <w:rPr>
          <w:rtl/>
        </w:rPr>
        <w:tab/>
      </w:r>
      <w:r w:rsidRPr="00EA3A78">
        <w:rPr>
          <w:rFonts w:hint="eastAsia"/>
          <w:rtl/>
        </w:rPr>
        <w:t>התרשים</w:t>
      </w:r>
      <w:r w:rsidRPr="00EA3A78">
        <w:rPr>
          <w:rtl/>
        </w:rPr>
        <w:t xml:space="preserve"> </w:t>
      </w:r>
      <w:r>
        <w:rPr>
          <w:rFonts w:hint="cs"/>
          <w:rtl/>
        </w:rPr>
        <w:t>אינו</w:t>
      </w:r>
      <w:r w:rsidRPr="001D5F55">
        <w:rPr>
          <w:rFonts w:hint="cs"/>
          <w:rtl/>
        </w:rPr>
        <w:t xml:space="preserve"> כולל את בלגיה, בולגריה, צ'כיה ואירלנד</w:t>
      </w:r>
      <w:r>
        <w:rPr>
          <w:rFonts w:hint="cs"/>
          <w:rtl/>
        </w:rPr>
        <w:t>,</w:t>
      </w:r>
      <w:r w:rsidRPr="001D5F55">
        <w:rPr>
          <w:rFonts w:hint="cs"/>
          <w:rtl/>
        </w:rPr>
        <w:t xml:space="preserve"> </w:t>
      </w:r>
      <w:r>
        <w:rPr>
          <w:rFonts w:hint="cs"/>
          <w:rtl/>
        </w:rPr>
        <w:t>ש</w:t>
      </w:r>
      <w:r w:rsidRPr="001D5F55">
        <w:rPr>
          <w:rFonts w:hint="cs"/>
          <w:rtl/>
        </w:rPr>
        <w:t>לגביהם לא היו נתונים.</w:t>
      </w:r>
    </w:p>
  </w:footnote>
  <w:footnote w:id="74">
    <w:p w:rsidR="004321D8" w:rsidRPr="00935147" w:rsidP="00476FCB">
      <w:pPr>
        <w:pStyle w:val="FootnoteText"/>
        <w:spacing w:line="269" w:lineRule="auto"/>
        <w:rPr>
          <w:rtl/>
        </w:rPr>
      </w:pPr>
      <w:r w:rsidRPr="002F1BFB">
        <w:rPr>
          <w:rStyle w:val="FootnoteReference1"/>
        </w:rPr>
        <w:footnoteRef/>
      </w:r>
      <w:r w:rsidRPr="00935147">
        <w:rPr>
          <w:rtl/>
        </w:rPr>
        <w:t xml:space="preserve"> </w:t>
      </w:r>
      <w:r w:rsidRPr="00935147">
        <w:rPr>
          <w:rtl/>
        </w:rPr>
        <w:tab/>
      </w:r>
      <w:r w:rsidRPr="001D5F55">
        <w:rPr>
          <w:rFonts w:hint="cs"/>
          <w:rtl/>
        </w:rPr>
        <w:t>קיימות גם תועלות נוספות</w:t>
      </w:r>
      <w:r>
        <w:rPr>
          <w:rFonts w:hint="cs"/>
          <w:rtl/>
        </w:rPr>
        <w:t>,</w:t>
      </w:r>
      <w:r w:rsidRPr="001D5F55">
        <w:rPr>
          <w:rFonts w:hint="cs"/>
          <w:rtl/>
        </w:rPr>
        <w:t xml:space="preserve"> כגון צמצום גניבות חשמל</w:t>
      </w:r>
      <w:r>
        <w:rPr>
          <w:rFonts w:hint="cs"/>
          <w:rtl/>
        </w:rPr>
        <w:t>,</w:t>
      </w:r>
      <w:r w:rsidRPr="001D5F55">
        <w:rPr>
          <w:rFonts w:hint="cs"/>
          <w:rtl/>
        </w:rPr>
        <w:t xml:space="preserve"> חיסכון בעלויות קריאת מונים</w:t>
      </w:r>
      <w:r>
        <w:rPr>
          <w:rFonts w:hint="cs"/>
          <w:rtl/>
        </w:rPr>
        <w:t>,</w:t>
      </w:r>
      <w:r w:rsidRPr="001D5F55">
        <w:rPr>
          <w:rFonts w:hint="cs"/>
          <w:rtl/>
        </w:rPr>
        <w:t xml:space="preserve"> הפחתת </w:t>
      </w:r>
      <w:r w:rsidRPr="001D5F55">
        <w:rPr>
          <w:rFonts w:hint="cs"/>
          <w:rtl/>
        </w:rPr>
        <w:t>איבודים</w:t>
      </w:r>
      <w:r w:rsidRPr="001D5F55">
        <w:rPr>
          <w:rFonts w:hint="cs"/>
          <w:rtl/>
        </w:rPr>
        <w:t xml:space="preserve"> במערכת ההולכה והחלוקה ועוד.</w:t>
      </w:r>
    </w:p>
  </w:footnote>
  <w:footnote w:id="75">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t>Leveraging the smart grid</w:t>
      </w:r>
      <w:r>
        <w:t xml:space="preserve"> -</w:t>
      </w:r>
      <w:r w:rsidRPr="001D5F55">
        <w:t xml:space="preserve"> </w:t>
      </w:r>
      <w:r>
        <w:t>T</w:t>
      </w:r>
      <w:r w:rsidRPr="001D5F55">
        <w:t>he effect of real time information on consumer decisions, OECD (2018)</w:t>
      </w:r>
      <w:r>
        <w:rPr>
          <w:rFonts w:hint="cs"/>
          <w:rtl/>
        </w:rPr>
        <w:t>.</w:t>
      </w:r>
    </w:p>
  </w:footnote>
  <w:footnote w:id="76">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t>European smart metering benchmark, European commission DG energy (2019)</w:t>
      </w:r>
      <w:r>
        <w:rPr>
          <w:rFonts w:hint="cs"/>
          <w:rtl/>
        </w:rPr>
        <w:t>.</w:t>
      </w:r>
    </w:p>
  </w:footnote>
  <w:footnote w:id="77">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החלטה 335(6), "הרחבת </w:t>
      </w:r>
      <w:r w:rsidRPr="001D5F55">
        <w:rPr>
          <w:rFonts w:hint="cs"/>
          <w:rtl/>
        </w:rPr>
        <w:t>תעו"ז</w:t>
      </w:r>
      <w:r w:rsidRPr="001D5F55">
        <w:rPr>
          <w:rFonts w:hint="cs"/>
          <w:rtl/>
        </w:rPr>
        <w:t xml:space="preserve"> לצרכנים הצורכים מעל 40,000 </w:t>
      </w:r>
      <w:r w:rsidRPr="001D5F55">
        <w:rPr>
          <w:rFonts w:hint="cs"/>
          <w:rtl/>
        </w:rPr>
        <w:t>קוט"ש</w:t>
      </w:r>
      <w:r w:rsidRPr="001D5F55">
        <w:rPr>
          <w:rFonts w:hint="cs"/>
          <w:rtl/>
        </w:rPr>
        <w:t xml:space="preserve"> בשנה"</w:t>
      </w:r>
      <w:r>
        <w:rPr>
          <w:rFonts w:hint="cs"/>
          <w:rtl/>
        </w:rPr>
        <w:t xml:space="preserve"> (</w:t>
      </w:r>
      <w:r w:rsidRPr="001D5F55">
        <w:rPr>
          <w:rFonts w:hint="cs"/>
          <w:rtl/>
        </w:rPr>
        <w:t>16.5.11</w:t>
      </w:r>
      <w:r>
        <w:rPr>
          <w:rFonts w:hint="cs"/>
          <w:rtl/>
        </w:rPr>
        <w:t>)</w:t>
      </w:r>
      <w:r w:rsidRPr="001D5F55">
        <w:rPr>
          <w:rFonts w:hint="cs"/>
          <w:rtl/>
        </w:rPr>
        <w:t>.</w:t>
      </w:r>
    </w:p>
  </w:footnote>
  <w:footnote w:id="78">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כתלות בתקופת הפריסה של המונים. </w:t>
      </w:r>
      <w:r w:rsidRPr="001D5F55">
        <w:rPr>
          <w:rFonts w:hint="cs"/>
          <w:rtl/>
        </w:rPr>
        <w:t>חח"י</w:t>
      </w:r>
      <w:r w:rsidRPr="001D5F55">
        <w:rPr>
          <w:rFonts w:hint="cs"/>
          <w:rtl/>
        </w:rPr>
        <w:t xml:space="preserve"> בדקה גם תרחיש של פריסת מונים חכמים ללא מערכת טכנולוגיית מידע (</w:t>
      </w:r>
      <w:r w:rsidRPr="001D5F55">
        <w:t>IT</w:t>
      </w:r>
      <w:r>
        <w:t xml:space="preserve"> </w:t>
      </w:r>
      <w:r w:rsidRPr="001D5F55">
        <w:t>- Information technology</w:t>
      </w:r>
      <w:r w:rsidRPr="001D5F55">
        <w:rPr>
          <w:rFonts w:hint="cs"/>
          <w:rtl/>
        </w:rPr>
        <w:t>). התועלת בתרחיש זה היא 151 מיליון ש"ח.</w:t>
      </w:r>
    </w:p>
  </w:footnote>
  <w:footnote w:id="79">
    <w:p w:rsidR="004321D8" w:rsidP="00476FCB">
      <w:pPr>
        <w:pStyle w:val="FootnoteText"/>
        <w:spacing w:line="269" w:lineRule="auto"/>
        <w:rPr>
          <w:rtl/>
        </w:rPr>
      </w:pPr>
      <w:r>
        <w:rPr>
          <w:rStyle w:val="FootnoteReference1"/>
        </w:rPr>
        <w:footnoteRef/>
      </w:r>
      <w:r>
        <w:rPr>
          <w:rtl/>
        </w:rPr>
        <w:t xml:space="preserve"> </w:t>
      </w:r>
      <w:r>
        <w:rPr>
          <w:rtl/>
        </w:rPr>
        <w:tab/>
      </w:r>
      <w:r w:rsidRPr="0019762E">
        <w:rPr>
          <w:rFonts w:hint="cs"/>
          <w:rtl/>
        </w:rPr>
        <w:t xml:space="preserve">החלטות אלו פורסמו בשנים 2011 ו-2012. בשנת </w:t>
      </w:r>
      <w:r w:rsidRPr="00152365">
        <w:rPr>
          <w:rFonts w:hint="cs"/>
          <w:rtl/>
        </w:rPr>
        <w:t xml:space="preserve">2011 החליטה רשות החשמל על הרחבת </w:t>
      </w:r>
      <w:r w:rsidRPr="00152365">
        <w:rPr>
          <w:rFonts w:hint="cs"/>
          <w:rtl/>
        </w:rPr>
        <w:t>תעו"ז</w:t>
      </w:r>
      <w:r w:rsidRPr="00152365">
        <w:rPr>
          <w:rFonts w:hint="cs"/>
          <w:rtl/>
        </w:rPr>
        <w:t xml:space="preserve"> לצרכנים הצורכים מעל 40,000 </w:t>
      </w:r>
      <w:r w:rsidRPr="00152365">
        <w:rPr>
          <w:rFonts w:hint="cs"/>
          <w:rtl/>
        </w:rPr>
        <w:t>קוט</w:t>
      </w:r>
      <w:r w:rsidRPr="002B07E7">
        <w:rPr>
          <w:rFonts w:hint="cs"/>
          <w:rtl/>
        </w:rPr>
        <w:t>"ש</w:t>
      </w:r>
      <w:r w:rsidRPr="002B07E7">
        <w:rPr>
          <w:rFonts w:hint="cs"/>
          <w:rtl/>
        </w:rPr>
        <w:t xml:space="preserve"> בשנה החל מינואר 2012; בשנת 2012 קבעה רשות החשמל הסדר שחל על הצרכנים שהצטרפו אליו מראש, וניתן בו בין השאר תמריץ כלכלי, שעודד את הצרכנים להפחית את הביקוש לחשמל ולייעל את צריכתו. </w:t>
      </w:r>
      <w:r w:rsidRPr="00386042">
        <w:rPr>
          <w:rFonts w:hint="cs"/>
          <w:rtl/>
        </w:rPr>
        <w:t>בשנת 2013 הצטרפו להסדר 36,000 צרכנים</w:t>
      </w:r>
      <w:r>
        <w:rPr>
          <w:rFonts w:hint="cs"/>
          <w:rtl/>
        </w:rPr>
        <w:t>,</w:t>
      </w:r>
      <w:r w:rsidRPr="00386042">
        <w:rPr>
          <w:rFonts w:hint="cs"/>
          <w:rtl/>
        </w:rPr>
        <w:t xml:space="preserve"> וכ-70% מהם הפחיתו את הצריכה, אולם רק 42% מהם היו זכאים להנחה בתעריף החשמל. בשנת 2014 הפסיקה רשות החשמל את ההסדר. רשות החשמל מסרה בעבר למשרד מבקר המדינה כי ההסדר לא הניב את הפירות המצופים ממנו למרות התמריצים שניתנו במסגרתו.</w:t>
      </w:r>
      <w:r w:rsidRPr="0019762E">
        <w:rPr>
          <w:rFonts w:hint="cs"/>
          <w:rtl/>
        </w:rPr>
        <w:t xml:space="preserve"> להרחבה בנושא ראו מבקר המדינה, </w:t>
      </w:r>
      <w:r w:rsidRPr="0019762E">
        <w:rPr>
          <w:rFonts w:hint="cs"/>
          <w:b/>
          <w:bCs/>
          <w:rtl/>
        </w:rPr>
        <w:t>דוח שנתי</w:t>
      </w:r>
      <w:r w:rsidRPr="002F1BFB">
        <w:rPr>
          <w:b/>
          <w:bCs/>
          <w:rtl/>
        </w:rPr>
        <w:t xml:space="preserve"> 68</w:t>
      </w:r>
      <w:r w:rsidRPr="002F1BFB">
        <w:rPr>
          <w:rFonts w:hint="eastAsia"/>
          <w:b/>
          <w:bCs/>
          <w:rtl/>
        </w:rPr>
        <w:t>א</w:t>
      </w:r>
      <w:r w:rsidRPr="0019762E">
        <w:rPr>
          <w:rFonts w:hint="cs"/>
          <w:rtl/>
        </w:rPr>
        <w:t xml:space="preserve"> (201</w:t>
      </w:r>
      <w:r>
        <w:rPr>
          <w:rFonts w:hint="cs"/>
          <w:rtl/>
        </w:rPr>
        <w:t>7</w:t>
      </w:r>
      <w:r w:rsidRPr="0019762E">
        <w:rPr>
          <w:rFonts w:hint="cs"/>
          <w:rtl/>
        </w:rPr>
        <w:t xml:space="preserve">), בנושא "ניהול ביקושים במשק החשמל ומיזם </w:t>
      </w:r>
      <w:r>
        <w:rPr>
          <w:rFonts w:hint="cs"/>
          <w:rtl/>
        </w:rPr>
        <w:t>'</w:t>
      </w:r>
      <w:r w:rsidRPr="0019762E">
        <w:rPr>
          <w:rFonts w:hint="cs"/>
          <w:rtl/>
        </w:rPr>
        <w:t>מנ</w:t>
      </w:r>
      <w:r>
        <w:rPr>
          <w:rFonts w:hint="cs"/>
          <w:rtl/>
        </w:rPr>
        <w:t>י</w:t>
      </w:r>
      <w:r w:rsidRPr="0019762E">
        <w:rPr>
          <w:rFonts w:hint="cs"/>
          <w:rtl/>
        </w:rPr>
        <w:t>יה חכמה</w:t>
      </w:r>
      <w:r>
        <w:rPr>
          <w:rFonts w:hint="cs"/>
          <w:rtl/>
        </w:rPr>
        <w:t>'</w:t>
      </w:r>
      <w:r w:rsidRPr="0019762E">
        <w:rPr>
          <w:rFonts w:hint="cs"/>
          <w:rtl/>
        </w:rPr>
        <w:t xml:space="preserve">", עמ' 648 - 649; </w:t>
      </w:r>
      <w:r w:rsidRPr="0019762E">
        <w:rPr>
          <w:rtl/>
        </w:rPr>
        <w:t xml:space="preserve">מבקר המדינה, </w:t>
      </w:r>
      <w:r w:rsidRPr="0019762E">
        <w:rPr>
          <w:b/>
          <w:bCs/>
          <w:rtl/>
        </w:rPr>
        <w:t>דוח שנתי</w:t>
      </w:r>
      <w:r w:rsidRPr="0019762E">
        <w:rPr>
          <w:rtl/>
        </w:rPr>
        <w:t xml:space="preserve"> </w:t>
      </w:r>
      <w:r w:rsidRPr="002F1BFB">
        <w:rPr>
          <w:b/>
          <w:bCs/>
          <w:rtl/>
        </w:rPr>
        <w:t>65</w:t>
      </w:r>
      <w:r w:rsidRPr="002F1BFB">
        <w:rPr>
          <w:rFonts w:hint="eastAsia"/>
          <w:b/>
          <w:bCs/>
          <w:rtl/>
        </w:rPr>
        <w:t>א</w:t>
      </w:r>
      <w:r w:rsidRPr="0019762E">
        <w:rPr>
          <w:rtl/>
        </w:rPr>
        <w:t xml:space="preserve"> (2014),</w:t>
      </w:r>
      <w:r>
        <w:rPr>
          <w:rFonts w:hint="cs"/>
          <w:rtl/>
        </w:rPr>
        <w:t xml:space="preserve"> בנושא</w:t>
      </w:r>
      <w:r w:rsidRPr="0019762E">
        <w:rPr>
          <w:rtl/>
        </w:rPr>
        <w:t xml:space="preserve"> "קידום הח</w:t>
      </w:r>
      <w:r>
        <w:rPr>
          <w:rFonts w:hint="cs"/>
          <w:rtl/>
        </w:rPr>
        <w:t>י</w:t>
      </w:r>
      <w:r w:rsidRPr="0019762E">
        <w:rPr>
          <w:rtl/>
        </w:rPr>
        <w:t>סכון באנרגיה", עמ' 34</w:t>
      </w:r>
      <w:r>
        <w:rPr>
          <w:rFonts w:hint="cs"/>
          <w:rtl/>
        </w:rPr>
        <w:t xml:space="preserve">1 </w:t>
      </w:r>
      <w:r w:rsidRPr="0019762E">
        <w:rPr>
          <w:rtl/>
        </w:rPr>
        <w:t>-</w:t>
      </w:r>
      <w:r>
        <w:rPr>
          <w:rFonts w:hint="cs"/>
          <w:rtl/>
        </w:rPr>
        <w:t xml:space="preserve"> </w:t>
      </w:r>
      <w:r w:rsidRPr="0019762E">
        <w:rPr>
          <w:rtl/>
        </w:rPr>
        <w:t>34</w:t>
      </w:r>
      <w:r>
        <w:rPr>
          <w:rFonts w:hint="cs"/>
          <w:rtl/>
        </w:rPr>
        <w:t>3</w:t>
      </w:r>
      <w:r w:rsidRPr="0019762E">
        <w:rPr>
          <w:rtl/>
        </w:rPr>
        <w:t>.</w:t>
      </w:r>
    </w:p>
  </w:footnote>
  <w:footnote w:id="80">
    <w:p w:rsidR="004321D8" w:rsidP="00476FCB">
      <w:pPr>
        <w:pStyle w:val="FootnoteText"/>
        <w:spacing w:line="269" w:lineRule="auto"/>
      </w:pPr>
      <w:r w:rsidRPr="002F1BFB">
        <w:rPr>
          <w:rStyle w:val="FootnoteReference1"/>
        </w:rPr>
        <w:footnoteRef/>
      </w:r>
      <w:r>
        <w:rPr>
          <w:rtl/>
        </w:rPr>
        <w:t xml:space="preserve"> </w:t>
      </w:r>
      <w:r>
        <w:rPr>
          <w:rtl/>
        </w:rPr>
        <w:tab/>
      </w:r>
      <w:r w:rsidRPr="004D6F9E">
        <w:rPr>
          <w:rFonts w:hint="cs"/>
          <w:rtl/>
        </w:rPr>
        <w:t>על פי אמת מידה 47א של רשות החשמל, ההסדר</w:t>
      </w:r>
      <w:r w:rsidRPr="004D6F9E">
        <w:rPr>
          <w:rtl/>
        </w:rPr>
        <w:t xml:space="preserve"> מאפשר למנהל המערכת ניתוק מהיר של צרכנים</w:t>
      </w:r>
      <w:r w:rsidRPr="004D6F9E">
        <w:rPr>
          <w:rFonts w:hint="cs"/>
          <w:rtl/>
        </w:rPr>
        <w:t xml:space="preserve"> הרשומים בהסדר</w:t>
      </w:r>
      <w:r w:rsidRPr="004D6F9E">
        <w:rPr>
          <w:rtl/>
        </w:rPr>
        <w:t xml:space="preserve"> </w:t>
      </w:r>
      <w:r w:rsidRPr="004D6F9E">
        <w:rPr>
          <w:rFonts w:hint="cs"/>
          <w:rtl/>
        </w:rPr>
        <w:t>על</w:t>
      </w:r>
      <w:r w:rsidRPr="004D6F9E">
        <w:rPr>
          <w:rtl/>
        </w:rPr>
        <w:t xml:space="preserve"> </w:t>
      </w:r>
      <w:r w:rsidRPr="004D6F9E">
        <w:rPr>
          <w:rFonts w:hint="cs"/>
          <w:rtl/>
        </w:rPr>
        <w:t>מנת</w:t>
      </w:r>
      <w:r w:rsidRPr="004D6F9E">
        <w:rPr>
          <w:rtl/>
        </w:rPr>
        <w:t xml:space="preserve"> </w:t>
      </w:r>
      <w:r w:rsidRPr="004D6F9E">
        <w:rPr>
          <w:rFonts w:hint="cs"/>
          <w:rtl/>
        </w:rPr>
        <w:t>לייצב</w:t>
      </w:r>
      <w:r w:rsidRPr="004D6F9E">
        <w:rPr>
          <w:rtl/>
        </w:rPr>
        <w:t xml:space="preserve"> </w:t>
      </w:r>
      <w:r w:rsidRPr="004D6F9E">
        <w:rPr>
          <w:rFonts w:hint="cs"/>
          <w:rtl/>
        </w:rPr>
        <w:t>באופן</w:t>
      </w:r>
      <w:r w:rsidRPr="004D6F9E">
        <w:rPr>
          <w:rtl/>
        </w:rPr>
        <w:t xml:space="preserve"> </w:t>
      </w:r>
      <w:r w:rsidRPr="004D6F9E">
        <w:rPr>
          <w:rFonts w:hint="cs"/>
          <w:rtl/>
        </w:rPr>
        <w:t>מיידי</w:t>
      </w:r>
      <w:r w:rsidRPr="004D6F9E">
        <w:rPr>
          <w:rtl/>
        </w:rPr>
        <w:t xml:space="preserve"> </w:t>
      </w:r>
      <w:r w:rsidRPr="004D6F9E">
        <w:rPr>
          <w:rFonts w:hint="cs"/>
          <w:rtl/>
        </w:rPr>
        <w:t>את</w:t>
      </w:r>
      <w:r w:rsidRPr="004D6F9E">
        <w:rPr>
          <w:rtl/>
        </w:rPr>
        <w:t xml:space="preserve"> </w:t>
      </w:r>
      <w:r w:rsidRPr="004D6F9E">
        <w:rPr>
          <w:rFonts w:hint="cs"/>
          <w:rtl/>
        </w:rPr>
        <w:t>המערכת</w:t>
      </w:r>
      <w:r w:rsidRPr="004D6F9E">
        <w:rPr>
          <w:rtl/>
        </w:rPr>
        <w:t xml:space="preserve">. </w:t>
      </w:r>
      <w:r w:rsidRPr="004D6F9E">
        <w:rPr>
          <w:rFonts w:hint="cs"/>
          <w:rtl/>
        </w:rPr>
        <w:t>על פי ההסדר</w:t>
      </w:r>
      <w:r w:rsidRPr="004D6F9E">
        <w:rPr>
          <w:rtl/>
        </w:rPr>
        <w:t xml:space="preserve"> </w:t>
      </w:r>
      <w:r w:rsidRPr="004D6F9E">
        <w:rPr>
          <w:rFonts w:hint="cs"/>
          <w:rtl/>
        </w:rPr>
        <w:t>משולם</w:t>
      </w:r>
      <w:r w:rsidRPr="004D6F9E">
        <w:rPr>
          <w:rtl/>
        </w:rPr>
        <w:t xml:space="preserve"> תמריץ כספי </w:t>
      </w:r>
      <w:r w:rsidRPr="004D6F9E">
        <w:rPr>
          <w:rFonts w:hint="cs"/>
          <w:rtl/>
        </w:rPr>
        <w:t xml:space="preserve">בעבור </w:t>
      </w:r>
      <w:r w:rsidRPr="004D6F9E">
        <w:rPr>
          <w:rtl/>
        </w:rPr>
        <w:t xml:space="preserve">כל </w:t>
      </w:r>
      <w:r w:rsidRPr="004D6F9E">
        <w:rPr>
          <w:rtl/>
        </w:rPr>
        <w:t>קוט"ש</w:t>
      </w:r>
      <w:r w:rsidRPr="004D6F9E">
        <w:rPr>
          <w:rtl/>
        </w:rPr>
        <w:t xml:space="preserve"> </w:t>
      </w:r>
      <w:r w:rsidRPr="004D6F9E">
        <w:rPr>
          <w:rFonts w:hint="cs"/>
          <w:rtl/>
        </w:rPr>
        <w:t>שנחסך</w:t>
      </w:r>
      <w:r w:rsidRPr="004D6F9E">
        <w:rPr>
          <w:rtl/>
        </w:rPr>
        <w:t>.</w:t>
      </w:r>
    </w:p>
  </w:footnote>
  <w:footnote w:id="81">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Pr>
          <w:rFonts w:hint="cs"/>
          <w:rtl/>
        </w:rPr>
        <w:t>א</w:t>
      </w:r>
      <w:r w:rsidRPr="001D5F55">
        <w:rPr>
          <w:rFonts w:hint="cs"/>
          <w:rtl/>
        </w:rPr>
        <w:t>ספקת חשמל</w:t>
      </w:r>
      <w:r>
        <w:rPr>
          <w:rFonts w:hint="cs"/>
          <w:rtl/>
        </w:rPr>
        <w:t xml:space="preserve"> </w:t>
      </w:r>
      <w:r w:rsidRPr="001D5F55">
        <w:rPr>
          <w:rFonts w:hint="cs"/>
          <w:rtl/>
        </w:rPr>
        <w:t>- מכירת חשמל לצרכנים הסופיים.</w:t>
      </w:r>
    </w:p>
  </w:footnote>
  <w:footnote w:id="82">
    <w:p w:rsidR="004321D8" w:rsidP="00476FCB">
      <w:pPr>
        <w:pStyle w:val="FootnoteText"/>
        <w:spacing w:line="269" w:lineRule="auto"/>
        <w:rPr>
          <w:rtl/>
        </w:rPr>
      </w:pPr>
      <w:r w:rsidRPr="002F1BFB">
        <w:rPr>
          <w:rStyle w:val="FootnoteReference1"/>
        </w:rPr>
        <w:footnoteRef/>
      </w:r>
      <w:r>
        <w:rPr>
          <w:rtl/>
        </w:rPr>
        <w:t xml:space="preserve"> </w:t>
      </w:r>
      <w:r w:rsidRPr="00135A51">
        <w:rPr>
          <w:rtl/>
        </w:rPr>
        <w:tab/>
      </w:r>
      <w:r w:rsidRPr="004D6F9E">
        <w:rPr>
          <w:rFonts w:hint="cs"/>
          <w:rtl/>
        </w:rPr>
        <w:t>באמות</w:t>
      </w:r>
      <w:r w:rsidRPr="004D6F9E">
        <w:rPr>
          <w:rtl/>
        </w:rPr>
        <w:t xml:space="preserve"> </w:t>
      </w:r>
      <w:r w:rsidRPr="004D6F9E">
        <w:rPr>
          <w:rFonts w:hint="cs"/>
          <w:rtl/>
        </w:rPr>
        <w:t>מידה</w:t>
      </w:r>
      <w:r w:rsidRPr="004D6F9E">
        <w:rPr>
          <w:rtl/>
        </w:rPr>
        <w:t xml:space="preserve"> </w:t>
      </w:r>
      <w:r w:rsidRPr="004D6F9E">
        <w:rPr>
          <w:rFonts w:hint="cs"/>
          <w:rtl/>
        </w:rPr>
        <w:t>אלה</w:t>
      </w:r>
      <w:r w:rsidRPr="004D6F9E">
        <w:rPr>
          <w:rtl/>
        </w:rPr>
        <w:t xml:space="preserve"> </w:t>
      </w:r>
      <w:r w:rsidRPr="004D6F9E">
        <w:rPr>
          <w:rFonts w:hint="cs"/>
          <w:rtl/>
        </w:rPr>
        <w:t>נקבע</w:t>
      </w:r>
      <w:r w:rsidRPr="004D6F9E">
        <w:rPr>
          <w:rtl/>
        </w:rPr>
        <w:t xml:space="preserve"> </w:t>
      </w:r>
      <w:r w:rsidRPr="004D6F9E">
        <w:rPr>
          <w:rFonts w:hint="cs"/>
          <w:rtl/>
        </w:rPr>
        <w:t>כי</w:t>
      </w:r>
      <w:r w:rsidRPr="004D6F9E">
        <w:rPr>
          <w:rtl/>
        </w:rPr>
        <w:t xml:space="preserve"> </w:t>
      </w:r>
      <w:r w:rsidRPr="004D6F9E">
        <w:rPr>
          <w:rFonts w:hint="cs"/>
          <w:rtl/>
        </w:rPr>
        <w:t>מנהל</w:t>
      </w:r>
      <w:r w:rsidRPr="004D6F9E">
        <w:rPr>
          <w:rtl/>
        </w:rPr>
        <w:t xml:space="preserve"> </w:t>
      </w:r>
      <w:r w:rsidRPr="004D6F9E">
        <w:rPr>
          <w:rFonts w:hint="cs"/>
          <w:rtl/>
        </w:rPr>
        <w:t>המערכת</w:t>
      </w:r>
      <w:r w:rsidRPr="004D6F9E">
        <w:rPr>
          <w:rtl/>
        </w:rPr>
        <w:t xml:space="preserve"> </w:t>
      </w:r>
      <w:r w:rsidRPr="004D6F9E">
        <w:rPr>
          <w:rFonts w:hint="cs"/>
          <w:rtl/>
        </w:rPr>
        <w:t>יקבע</w:t>
      </w:r>
      <w:r w:rsidRPr="004D6F9E">
        <w:rPr>
          <w:rtl/>
        </w:rPr>
        <w:t xml:space="preserve"> </w:t>
      </w:r>
      <w:r w:rsidRPr="004D6F9E">
        <w:rPr>
          <w:rFonts w:hint="cs"/>
          <w:rtl/>
        </w:rPr>
        <w:t>מחיר</w:t>
      </w:r>
      <w:r w:rsidRPr="004D6F9E">
        <w:rPr>
          <w:rtl/>
        </w:rPr>
        <w:t xml:space="preserve"> </w:t>
      </w:r>
      <w:r w:rsidRPr="004D6F9E">
        <w:rPr>
          <w:rFonts w:hint="cs"/>
          <w:rtl/>
        </w:rPr>
        <w:t>חשמל</w:t>
      </w:r>
      <w:r w:rsidRPr="004D6F9E">
        <w:rPr>
          <w:rtl/>
        </w:rPr>
        <w:t xml:space="preserve"> </w:t>
      </w:r>
      <w:r w:rsidRPr="004D6F9E">
        <w:rPr>
          <w:rFonts w:hint="cs"/>
          <w:rtl/>
        </w:rPr>
        <w:t>חצי-שעתי</w:t>
      </w:r>
      <w:r w:rsidRPr="004D6F9E">
        <w:rPr>
          <w:rtl/>
        </w:rPr>
        <w:t xml:space="preserve">, </w:t>
      </w:r>
      <w:r w:rsidRPr="004D6F9E">
        <w:rPr>
          <w:rFonts w:hint="cs"/>
          <w:rtl/>
        </w:rPr>
        <w:t>ולפיו</w:t>
      </w:r>
      <w:r w:rsidRPr="004D6F9E">
        <w:rPr>
          <w:rtl/>
        </w:rPr>
        <w:t xml:space="preserve"> </w:t>
      </w:r>
      <w:r w:rsidRPr="004D6F9E">
        <w:rPr>
          <w:rFonts w:hint="cs"/>
          <w:rtl/>
        </w:rPr>
        <w:t>בין</w:t>
      </w:r>
      <w:r w:rsidRPr="004D6F9E">
        <w:rPr>
          <w:rtl/>
        </w:rPr>
        <w:t xml:space="preserve"> </w:t>
      </w:r>
      <w:r w:rsidRPr="004D6F9E">
        <w:rPr>
          <w:rFonts w:hint="cs"/>
          <w:rtl/>
        </w:rPr>
        <w:t>היתר</w:t>
      </w:r>
      <w:r w:rsidRPr="004D6F9E">
        <w:rPr>
          <w:rtl/>
        </w:rPr>
        <w:t xml:space="preserve"> </w:t>
      </w:r>
      <w:r w:rsidRPr="004D6F9E">
        <w:rPr>
          <w:rFonts w:hint="cs"/>
          <w:rtl/>
        </w:rPr>
        <w:t>ייקבע</w:t>
      </w:r>
      <w:r w:rsidRPr="004D6F9E">
        <w:rPr>
          <w:rtl/>
        </w:rPr>
        <w:t xml:space="preserve"> </w:t>
      </w:r>
      <w:r w:rsidRPr="004D6F9E">
        <w:rPr>
          <w:rFonts w:hint="cs"/>
          <w:rtl/>
        </w:rPr>
        <w:t>סדר</w:t>
      </w:r>
      <w:r w:rsidRPr="004D6F9E">
        <w:rPr>
          <w:rtl/>
        </w:rPr>
        <w:t xml:space="preserve"> </w:t>
      </w:r>
      <w:r w:rsidRPr="004D6F9E">
        <w:rPr>
          <w:rFonts w:hint="cs"/>
          <w:rtl/>
        </w:rPr>
        <w:t>העמסת</w:t>
      </w:r>
      <w:r w:rsidRPr="004D6F9E">
        <w:rPr>
          <w:rtl/>
        </w:rPr>
        <w:t xml:space="preserve"> </w:t>
      </w:r>
      <w:r w:rsidRPr="004D6F9E">
        <w:rPr>
          <w:rFonts w:hint="cs"/>
          <w:rtl/>
        </w:rPr>
        <w:t>תחנות</w:t>
      </w:r>
      <w:r w:rsidRPr="004D6F9E">
        <w:rPr>
          <w:rtl/>
        </w:rPr>
        <w:t xml:space="preserve"> </w:t>
      </w:r>
      <w:r w:rsidRPr="004D6F9E">
        <w:rPr>
          <w:rFonts w:hint="cs"/>
          <w:rtl/>
        </w:rPr>
        <w:t>הכוח</w:t>
      </w:r>
      <w:r w:rsidRPr="004D6F9E">
        <w:rPr>
          <w:rtl/>
        </w:rPr>
        <w:t>.</w:t>
      </w:r>
    </w:p>
  </w:footnote>
  <w:footnote w:id="83">
    <w:p w:rsidR="004321D8" w:rsidP="00476FCB">
      <w:pPr>
        <w:pStyle w:val="FootnoteText"/>
        <w:spacing w:line="269" w:lineRule="auto"/>
        <w:rPr>
          <w:rtl/>
        </w:rPr>
      </w:pPr>
      <w:r w:rsidRPr="002F1BFB">
        <w:rPr>
          <w:rStyle w:val="FootnoteReference1"/>
        </w:rPr>
        <w:footnoteRef/>
      </w:r>
      <w:r>
        <w:rPr>
          <w:rtl/>
        </w:rPr>
        <w:t xml:space="preserve"> </w:t>
      </w:r>
      <w:r>
        <w:rPr>
          <w:rtl/>
        </w:rPr>
        <w:tab/>
      </w:r>
      <w:r w:rsidRPr="00A54488">
        <w:rPr>
          <w:rFonts w:hint="cs"/>
          <w:rtl/>
        </w:rPr>
        <w:t xml:space="preserve">החלטת </w:t>
      </w:r>
      <w:r>
        <w:rPr>
          <w:rFonts w:hint="cs"/>
          <w:rtl/>
        </w:rPr>
        <w:t>ה</w:t>
      </w:r>
      <w:r w:rsidRPr="00A54488">
        <w:rPr>
          <w:rFonts w:hint="cs"/>
          <w:rtl/>
        </w:rPr>
        <w:t>ממשלה 2059, "מיסים"</w:t>
      </w:r>
      <w:r>
        <w:rPr>
          <w:rFonts w:hint="cs"/>
          <w:rtl/>
        </w:rPr>
        <w:t xml:space="preserve"> (</w:t>
      </w:r>
      <w:r w:rsidRPr="00A54488">
        <w:rPr>
          <w:rFonts w:hint="cs"/>
          <w:rtl/>
        </w:rPr>
        <w:t>15.7.10</w:t>
      </w:r>
      <w:r>
        <w:rPr>
          <w:rFonts w:hint="cs"/>
          <w:rtl/>
        </w:rPr>
        <w:t>)</w:t>
      </w:r>
      <w:r w:rsidRPr="00A54488">
        <w:rPr>
          <w:rFonts w:hint="cs"/>
          <w:rtl/>
        </w:rPr>
        <w:t>.</w:t>
      </w:r>
    </w:p>
  </w:footnote>
  <w:footnote w:id="84">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ועדה </w:t>
      </w:r>
      <w:r>
        <w:rPr>
          <w:rFonts w:hint="cs"/>
          <w:rtl/>
        </w:rPr>
        <w:t xml:space="preserve">ציבורית בראשות פרופ' מנואל טרכטנברג, שמינה ראש הממשלה בנימין נתניהו </w:t>
      </w:r>
      <w:r w:rsidRPr="001D5F55">
        <w:rPr>
          <w:rFonts w:hint="cs"/>
          <w:rtl/>
        </w:rPr>
        <w:t>באוגוסט 2011 במטרה לבחון ולהציע פתרונות למצוקת יוקר המחיה במדינת ישראל.</w:t>
      </w:r>
    </w:p>
  </w:footnote>
  <w:footnote w:id="85">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בראשות רשות המיסים </w:t>
      </w:r>
      <w:r w:rsidRPr="00611B99">
        <w:rPr>
          <w:rFonts w:hint="cs"/>
          <w:rtl/>
        </w:rPr>
        <w:t xml:space="preserve">ובהשתתפות נציגי משרד ראש הממשלה, משרד </w:t>
      </w:r>
      <w:r w:rsidRPr="00611B99">
        <w:rPr>
          <w:rFonts w:hint="cs"/>
          <w:rtl/>
        </w:rPr>
        <w:t>האנרגייה</w:t>
      </w:r>
      <w:r w:rsidRPr="00611B99">
        <w:rPr>
          <w:rFonts w:hint="cs"/>
          <w:rtl/>
        </w:rPr>
        <w:t xml:space="preserve">, משרד התחבורה, המשרד </w:t>
      </w:r>
      <w:r w:rsidRPr="00611B99">
        <w:rPr>
          <w:rFonts w:hint="cs"/>
          <w:rtl/>
        </w:rPr>
        <w:t>להג"ס</w:t>
      </w:r>
      <w:r w:rsidRPr="00611B99">
        <w:rPr>
          <w:rFonts w:hint="cs"/>
          <w:rtl/>
        </w:rPr>
        <w:t xml:space="preserve"> </w:t>
      </w:r>
      <w:r w:rsidRPr="00611B99">
        <w:rPr>
          <w:rFonts w:hint="cs"/>
          <w:rtl/>
        </w:rPr>
        <w:t>ואג"ת</w:t>
      </w:r>
      <w:r w:rsidRPr="00611B99">
        <w:rPr>
          <w:rFonts w:hint="cs"/>
          <w:rtl/>
        </w:rPr>
        <w:t xml:space="preserve"> במשרד האוצר. על פי דוח הועדה, עיקר הדוח התמקד במגזר התחבורה, אך מאחר וישנו קשר ישיר בין הבלו על </w:t>
      </w:r>
      <w:r w:rsidRPr="00611B99">
        <w:rPr>
          <w:rFonts w:hint="cs"/>
          <w:rtl/>
        </w:rPr>
        <w:t>דלקים</w:t>
      </w:r>
      <w:r w:rsidRPr="00611B99">
        <w:rPr>
          <w:rFonts w:hint="cs"/>
          <w:rtl/>
        </w:rPr>
        <w:t xml:space="preserve"> לתחבורה לבלו על </w:t>
      </w:r>
      <w:r w:rsidRPr="00611B99">
        <w:rPr>
          <w:rFonts w:hint="cs"/>
          <w:rtl/>
        </w:rPr>
        <w:t>דלקים</w:t>
      </w:r>
      <w:r w:rsidRPr="00611B99">
        <w:rPr>
          <w:rFonts w:hint="cs"/>
          <w:rtl/>
        </w:rPr>
        <w:t xml:space="preserve"> לחשמל ולתעשייה, הועדה הציגה המלצות למיסוי ירוק של </w:t>
      </w:r>
      <w:r w:rsidRPr="00611B99">
        <w:rPr>
          <w:rFonts w:hint="cs"/>
          <w:rtl/>
        </w:rPr>
        <w:t>דלקים</w:t>
      </w:r>
      <w:r w:rsidRPr="00611B99">
        <w:rPr>
          <w:rFonts w:hint="cs"/>
          <w:rtl/>
        </w:rPr>
        <w:t xml:space="preserve"> לחשמל ולתעשייה.</w:t>
      </w:r>
    </w:p>
  </w:footnote>
  <w:footnote w:id="86">
    <w:p w:rsidR="004321D8" w:rsidP="00476FCB">
      <w:pPr>
        <w:pStyle w:val="FootnoteText"/>
        <w:spacing w:line="269" w:lineRule="auto"/>
        <w:rPr>
          <w:rtl/>
        </w:rPr>
      </w:pPr>
      <w:r w:rsidRPr="002F1BFB">
        <w:rPr>
          <w:rStyle w:val="FootnoteReference1"/>
        </w:rPr>
        <w:footnoteRef/>
      </w:r>
      <w:r>
        <w:rPr>
          <w:rtl/>
        </w:rPr>
        <w:t xml:space="preserve"> </w:t>
      </w:r>
      <w:r>
        <w:rPr>
          <w:rtl/>
        </w:rPr>
        <w:tab/>
      </w:r>
      <w:r>
        <w:rPr>
          <w:rFonts w:hint="cs"/>
          <w:rtl/>
        </w:rPr>
        <w:t xml:space="preserve">מחקר של מרכז </w:t>
      </w:r>
      <w:r>
        <w:rPr>
          <w:rFonts w:hint="cs"/>
          <w:rtl/>
        </w:rPr>
        <w:t>מילקן</w:t>
      </w:r>
      <w:r>
        <w:rPr>
          <w:rFonts w:hint="cs"/>
          <w:rtl/>
        </w:rPr>
        <w:t xml:space="preserve"> לחדשנות, ה</w:t>
      </w:r>
      <w:r w:rsidRPr="0009590B">
        <w:rPr>
          <w:rtl/>
        </w:rPr>
        <w:t>פועל במסגרת מכון ירושלים למחקרי</w:t>
      </w:r>
      <w:r w:rsidRPr="0009590B">
        <w:rPr>
          <w:rFonts w:hint="cs"/>
          <w:rtl/>
        </w:rPr>
        <w:t xml:space="preserve"> מדיניות</w:t>
      </w:r>
      <w:r>
        <w:rPr>
          <w:rFonts w:hint="cs"/>
          <w:rtl/>
        </w:rPr>
        <w:t>.</w:t>
      </w:r>
      <w:r w:rsidRPr="0009590B">
        <w:rPr>
          <w:rFonts w:hint="cs"/>
          <w:rtl/>
        </w:rPr>
        <w:t xml:space="preserve"> </w:t>
      </w:r>
      <w:r>
        <w:rPr>
          <w:rFonts w:hint="cs"/>
          <w:rtl/>
        </w:rPr>
        <w:t xml:space="preserve">מרכז </w:t>
      </w:r>
      <w:r>
        <w:rPr>
          <w:rFonts w:hint="cs"/>
          <w:rtl/>
        </w:rPr>
        <w:t>מילקן</w:t>
      </w:r>
      <w:r w:rsidRPr="0009590B">
        <w:rPr>
          <w:rFonts w:hint="cs"/>
          <w:rtl/>
        </w:rPr>
        <w:t xml:space="preserve"> מתמקד בפרסום מחקרים בנושאים מדיניים-כלכליים-חברתיים ובהכשרת עובדים בתחומים אלה.</w:t>
      </w:r>
    </w:p>
  </w:footnote>
  <w:footnote w:id="87">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כתלות בגמישות הביקוש לחשמל. במחקר הונח כי גמישות הביקוש היא </w:t>
      </w:r>
      <w:r>
        <w:rPr>
          <w:rFonts w:hint="cs"/>
          <w:rtl/>
        </w:rPr>
        <w:t>בטווח</w:t>
      </w:r>
      <w:r w:rsidRPr="001D5F55">
        <w:rPr>
          <w:rFonts w:hint="cs"/>
          <w:rtl/>
        </w:rPr>
        <w:t xml:space="preserve"> 0.2</w:t>
      </w:r>
      <w:r>
        <w:rPr>
          <w:rFonts w:hint="cs"/>
          <w:rtl/>
        </w:rPr>
        <w:t xml:space="preserve"> </w:t>
      </w:r>
      <w:r w:rsidRPr="001D5F55">
        <w:rPr>
          <w:rFonts w:hint="cs"/>
          <w:rtl/>
        </w:rPr>
        <w:t>- 0.3.</w:t>
      </w:r>
    </w:p>
  </w:footnote>
  <w:footnote w:id="88">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החלטת </w:t>
      </w:r>
      <w:r>
        <w:rPr>
          <w:rFonts w:hint="cs"/>
          <w:rtl/>
        </w:rPr>
        <w:t>ה</w:t>
      </w:r>
      <w:r w:rsidRPr="001D5F55">
        <w:rPr>
          <w:rFonts w:hint="cs"/>
          <w:rtl/>
        </w:rPr>
        <w:t xml:space="preserve">ממשלה 3371, "גילום עלויות סביבתיות במיסוי </w:t>
      </w:r>
      <w:r w:rsidRPr="001D5F55">
        <w:rPr>
          <w:rFonts w:hint="cs"/>
          <w:rtl/>
        </w:rPr>
        <w:t>דלקים</w:t>
      </w:r>
      <w:r w:rsidRPr="001D5F55">
        <w:rPr>
          <w:rFonts w:hint="cs"/>
          <w:rtl/>
        </w:rPr>
        <w:t>"</w:t>
      </w:r>
      <w:r>
        <w:rPr>
          <w:rFonts w:hint="cs"/>
          <w:rtl/>
        </w:rPr>
        <w:t xml:space="preserve"> (11.1.18)</w:t>
      </w:r>
      <w:r w:rsidRPr="001D5F55">
        <w:rPr>
          <w:rFonts w:hint="cs"/>
          <w:rtl/>
        </w:rPr>
        <w:t>.</w:t>
      </w:r>
    </w:p>
  </w:footnote>
  <w:footnote w:id="89">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לפי צו הבלו על דלק (הטלת בלו) (תיקון והוראת שעה), התשע"ח</w:t>
      </w:r>
      <w:r>
        <w:rPr>
          <w:rFonts w:hint="cs"/>
          <w:rtl/>
        </w:rPr>
        <w:t>-</w:t>
      </w:r>
      <w:r w:rsidRPr="001D5F55">
        <w:rPr>
          <w:rFonts w:hint="cs"/>
          <w:rtl/>
        </w:rPr>
        <w:t>2018.</w:t>
      </w:r>
    </w:p>
  </w:footnote>
  <w:footnote w:id="90">
    <w:p w:rsidR="004321D8" w:rsidP="00476FCB">
      <w:pPr>
        <w:pStyle w:val="FootnoteText"/>
        <w:spacing w:line="269" w:lineRule="auto"/>
      </w:pPr>
      <w:r w:rsidRPr="002F1BFB">
        <w:rPr>
          <w:rStyle w:val="FootnoteReference1"/>
        </w:rPr>
        <w:footnoteRef/>
      </w:r>
      <w:r>
        <w:rPr>
          <w:rtl/>
        </w:rPr>
        <w:t xml:space="preserve"> </w:t>
      </w:r>
      <w:r>
        <w:rPr>
          <w:rtl/>
        </w:rPr>
        <w:tab/>
      </w:r>
      <w:r w:rsidRPr="004D6F9E">
        <w:rPr>
          <w:rFonts w:ascii="David" w:hAnsi="David" w:hint="cs"/>
          <w:rtl/>
        </w:rPr>
        <w:t>עלות זו עשויה להשתנות כתוצאה משינויים במחיר הפחם ובמחירי הגז ובשל משתנים נוספים</w:t>
      </w:r>
      <w:r w:rsidRPr="004D6F9E">
        <w:rPr>
          <w:rFonts w:hint="cs"/>
          <w:rtl/>
        </w:rPr>
        <w:t>.</w:t>
      </w:r>
    </w:p>
  </w:footnote>
  <w:footnote w:id="91">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כגון הפחתה של מיסים הגורמים לעיוותים כלכליים אחרים</w:t>
      </w:r>
      <w:r>
        <w:rPr>
          <w:rFonts w:hint="cs"/>
          <w:rtl/>
        </w:rPr>
        <w:t>;</w:t>
      </w:r>
      <w:r w:rsidRPr="001D5F55">
        <w:rPr>
          <w:rFonts w:hint="cs"/>
          <w:rtl/>
        </w:rPr>
        <w:t xml:space="preserve"> ראו דוח הו</w:t>
      </w:r>
      <w:r>
        <w:rPr>
          <w:rFonts w:hint="cs"/>
          <w:rtl/>
        </w:rPr>
        <w:t>ו</w:t>
      </w:r>
      <w:r w:rsidRPr="001D5F55">
        <w:rPr>
          <w:rFonts w:hint="cs"/>
          <w:rtl/>
        </w:rPr>
        <w:t>עדה למיסוי ירוק 3- תחליפי נפט לתחבורה (2016).</w:t>
      </w:r>
    </w:p>
  </w:footnote>
  <w:footnote w:id="92">
    <w:p w:rsidR="004321D8" w:rsidP="008E3F62">
      <w:pPr>
        <w:pStyle w:val="FootnoteText"/>
        <w:spacing w:line="269" w:lineRule="auto"/>
      </w:pPr>
      <w:r w:rsidRPr="004D6F9E">
        <w:rPr>
          <w:rStyle w:val="FootnoteReference1"/>
        </w:rPr>
        <w:footnoteRef/>
      </w:r>
      <w:r>
        <w:rPr>
          <w:rtl/>
        </w:rPr>
        <w:t xml:space="preserve"> </w:t>
      </w:r>
      <w:r>
        <w:rPr>
          <w:rtl/>
        </w:rPr>
        <w:tab/>
      </w:r>
      <w:r w:rsidRPr="008E3F62">
        <w:rPr>
          <w:rFonts w:hint="cs"/>
          <w:rtl/>
        </w:rPr>
        <w:t xml:space="preserve">טכנולוגיה המשלבת טורבינת גז תעשייתית וטורבינת קיטור, תוך ניצול הגזים הנפלטים מפעולת טורבינת הגז לחימום מים לקיטור המפעיל את טורבינת הקיטור לצורך יצירת </w:t>
      </w:r>
      <w:r w:rsidRPr="008E3F62">
        <w:rPr>
          <w:rFonts w:hint="cs"/>
          <w:rtl/>
        </w:rPr>
        <w:t>אנרגייה</w:t>
      </w:r>
      <w:r w:rsidRPr="008E3F62">
        <w:rPr>
          <w:rFonts w:hint="cs"/>
          <w:rtl/>
        </w:rPr>
        <w:t xml:space="preserve"> נוספת.</w:t>
      </w:r>
      <w:r>
        <w:rPr>
          <w:rFonts w:ascii="Arial" w:hAnsi="Arial" w:cs="Arial"/>
          <w:color w:val="3C4043"/>
          <w:sz w:val="21"/>
          <w:szCs w:val="21"/>
          <w:shd w:val="clear" w:color="auto" w:fill="FFFFFF"/>
        </w:rPr>
        <w:t> </w:t>
      </w:r>
    </w:p>
  </w:footnote>
  <w:footnote w:id="93">
    <w:p w:rsidR="004321D8" w:rsidRPr="00DB7D5F" w:rsidP="00476FCB">
      <w:pPr>
        <w:pStyle w:val="FootnoteText"/>
        <w:spacing w:line="269" w:lineRule="auto"/>
      </w:pPr>
      <w:r w:rsidRPr="004D6F9E">
        <w:rPr>
          <w:rStyle w:val="FootnoteReference1"/>
        </w:rPr>
        <w:footnoteRef/>
      </w:r>
      <w:r>
        <w:rPr>
          <w:rtl/>
        </w:rPr>
        <w:t xml:space="preserve"> </w:t>
      </w:r>
      <w:r>
        <w:rPr>
          <w:rtl/>
        </w:rPr>
        <w:tab/>
      </w:r>
      <w:r w:rsidRPr="004D6F9E">
        <w:rPr>
          <w:rtl/>
        </w:rPr>
        <w:t>המתאן</w:t>
      </w:r>
      <w:r w:rsidRPr="004D6F9E">
        <w:rPr>
          <w:rtl/>
        </w:rPr>
        <w:t xml:space="preserve"> הוא </w:t>
      </w:r>
      <w:hyperlink r:id="rId3" w:tooltip="גז חממה" w:history="1">
        <w:r w:rsidRPr="004D6F9E">
          <w:rPr>
            <w:rtl/>
          </w:rPr>
          <w:t>גז חממה</w:t>
        </w:r>
      </w:hyperlink>
      <w:r w:rsidRPr="004D6F9E">
        <w:t> </w:t>
      </w:r>
      <w:r w:rsidRPr="004D6F9E">
        <w:rPr>
          <w:rtl/>
        </w:rPr>
        <w:t>חזק בטווח הקצר</w:t>
      </w:r>
      <w:r w:rsidRPr="004D6F9E">
        <w:rPr>
          <w:rFonts w:hint="cs"/>
          <w:rtl/>
        </w:rPr>
        <w:t>.</w:t>
      </w:r>
      <w:r w:rsidRPr="004D6F9E">
        <w:rPr>
          <w:rtl/>
        </w:rPr>
        <w:t xml:space="preserve"> </w:t>
      </w:r>
      <w:r w:rsidRPr="004D6F9E">
        <w:rPr>
          <w:rFonts w:hint="cs"/>
          <w:rtl/>
        </w:rPr>
        <w:t>בפרק זמן של</w:t>
      </w:r>
      <w:r w:rsidRPr="004D6F9E">
        <w:rPr>
          <w:rtl/>
        </w:rPr>
        <w:t xml:space="preserve"> 20 שנה מתאן יוצר אפקט חממה </w:t>
      </w:r>
      <w:r w:rsidRPr="004D6F9E">
        <w:rPr>
          <w:rFonts w:hint="cs"/>
          <w:rtl/>
        </w:rPr>
        <w:t>ה</w:t>
      </w:r>
      <w:r w:rsidRPr="004D6F9E">
        <w:rPr>
          <w:rtl/>
        </w:rPr>
        <w:t>גבוה פי</w:t>
      </w:r>
      <w:r w:rsidRPr="004D6F9E">
        <w:rPr>
          <w:rFonts w:hint="cs"/>
          <w:rtl/>
        </w:rPr>
        <w:t xml:space="preserve"> 80 לערך </w:t>
      </w:r>
      <w:r w:rsidRPr="004D6F9E">
        <w:rPr>
          <w:rFonts w:hint="cs"/>
          <w:rtl/>
        </w:rPr>
        <w:t>מפד"ח</w:t>
      </w:r>
      <w:r w:rsidRPr="004D6F9E">
        <w:rPr>
          <w:rtl/>
        </w:rPr>
        <w:t xml:space="preserve">, אך זמן החיים שלו באטמוספרה קצר יותר </w:t>
      </w:r>
      <w:r w:rsidRPr="004D6F9E">
        <w:rPr>
          <w:rFonts w:hint="cs"/>
          <w:rtl/>
        </w:rPr>
        <w:t>מ</w:t>
      </w:r>
      <w:r w:rsidRPr="004D6F9E">
        <w:rPr>
          <w:rtl/>
        </w:rPr>
        <w:t xml:space="preserve">של </w:t>
      </w:r>
      <w:r w:rsidRPr="004D6F9E">
        <w:rPr>
          <w:rtl/>
        </w:rPr>
        <w:t>הפד"ח</w:t>
      </w:r>
      <w:r w:rsidRPr="004D6F9E">
        <w:t>.</w:t>
      </w:r>
    </w:p>
  </w:footnote>
  <w:footnote w:id="94">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למעט בשנת 2012, טרם חיבור מאגר תמר למערכת ההולכה. בשנה זו נרשמה ירידה בעקבות פיצוץ צינור הגז המצרי.</w:t>
      </w:r>
    </w:p>
  </w:footnote>
  <w:footnote w:id="95">
    <w:p w:rsidR="004321D8" w:rsidRPr="001D5F55" w:rsidP="00476FCB">
      <w:pPr>
        <w:pStyle w:val="FootnoteText"/>
        <w:spacing w:line="269" w:lineRule="auto"/>
        <w:rPr>
          <w:rtl/>
        </w:rPr>
      </w:pPr>
      <w:r w:rsidRPr="004D6F9E">
        <w:rPr>
          <w:rStyle w:val="FootnoteReference1"/>
        </w:rPr>
        <w:footnoteRef/>
      </w:r>
      <w:r w:rsidRPr="004D6F9E">
        <w:rPr>
          <w:rStyle w:val="FootnoteReference1"/>
          <w:rtl/>
        </w:rPr>
        <w:t xml:space="preserve"> </w:t>
      </w:r>
      <w:r w:rsidRPr="001D5F55">
        <w:rPr>
          <w:rtl/>
        </w:rPr>
        <w:tab/>
      </w:r>
      <w:r w:rsidRPr="009064A4">
        <w:rPr>
          <w:rFonts w:hint="cs"/>
          <w:rtl/>
        </w:rPr>
        <w:t xml:space="preserve">ראו </w:t>
      </w:r>
      <w:r>
        <w:rPr>
          <w:rFonts w:hint="cs"/>
          <w:rtl/>
        </w:rPr>
        <w:t xml:space="preserve">דוח מבקר המדינה בנושא </w:t>
      </w:r>
      <w:r w:rsidRPr="009064A4">
        <w:rPr>
          <w:rFonts w:hint="cs"/>
          <w:rtl/>
        </w:rPr>
        <w:t>"השפעת ייצור החשמל", עמ' 15.</w:t>
      </w:r>
    </w:p>
  </w:footnote>
  <w:footnote w:id="96">
    <w:p w:rsidR="004321D8" w:rsidRPr="00D74ADC" w:rsidP="00476FCB">
      <w:pPr>
        <w:pStyle w:val="FootnoteText"/>
        <w:spacing w:line="269" w:lineRule="auto"/>
      </w:pPr>
      <w:r w:rsidRPr="00D74ADC">
        <w:rPr>
          <w:rStyle w:val="FootnoteReference1"/>
        </w:rPr>
        <w:footnoteRef/>
      </w:r>
      <w:r w:rsidRPr="00D74ADC">
        <w:rPr>
          <w:rtl/>
        </w:rPr>
        <w:t xml:space="preserve"> </w:t>
      </w:r>
      <w:r w:rsidRPr="00D74ADC">
        <w:rPr>
          <w:rtl/>
        </w:rPr>
        <w:tab/>
      </w:r>
      <w:r w:rsidRPr="00D74ADC">
        <w:rPr>
          <w:rFonts w:hint="cs"/>
          <w:rtl/>
        </w:rPr>
        <w:t>החלט</w:t>
      </w:r>
      <w:r>
        <w:rPr>
          <w:rFonts w:hint="cs"/>
          <w:rtl/>
        </w:rPr>
        <w:t>ה</w:t>
      </w:r>
      <w:r w:rsidRPr="00D74ADC">
        <w:rPr>
          <w:rFonts w:hint="cs"/>
          <w:rtl/>
        </w:rPr>
        <w:t xml:space="preserve"> 542.</w:t>
      </w:r>
    </w:p>
  </w:footnote>
  <w:footnote w:id="97">
    <w:p w:rsidR="004321D8" w:rsidP="00476FCB">
      <w:pPr>
        <w:pStyle w:val="FootnoteText"/>
        <w:spacing w:line="269" w:lineRule="auto"/>
        <w:rPr>
          <w:rtl/>
        </w:rPr>
      </w:pPr>
      <w:r w:rsidRPr="00D74ADC">
        <w:rPr>
          <w:rStyle w:val="FootnoteReference1"/>
        </w:rPr>
        <w:footnoteRef/>
      </w:r>
      <w:r w:rsidRPr="00D74ADC">
        <w:rPr>
          <w:rtl/>
        </w:rPr>
        <w:t xml:space="preserve"> </w:t>
      </w:r>
      <w:r w:rsidRPr="00D74ADC">
        <w:rPr>
          <w:rtl/>
        </w:rPr>
        <w:tab/>
      </w:r>
      <w:r w:rsidRPr="00D74ADC">
        <w:rPr>
          <w:rFonts w:hint="cs"/>
          <w:rtl/>
        </w:rPr>
        <w:t>על פי דוח שהכינה חברת ייעוץ עבור רשות החשמל במרץ 2018.</w:t>
      </w:r>
    </w:p>
  </w:footnote>
  <w:footnote w:id="98">
    <w:p w:rsidR="004321D8" w:rsidP="00476FCB">
      <w:pPr>
        <w:pStyle w:val="FootnoteText"/>
        <w:spacing w:line="269" w:lineRule="auto"/>
        <w:rPr>
          <w:rtl/>
        </w:rPr>
      </w:pPr>
      <w:r w:rsidRPr="004D6F9E">
        <w:rPr>
          <w:rStyle w:val="FootnoteReference1"/>
        </w:rPr>
        <w:footnoteRef/>
      </w:r>
      <w:r>
        <w:rPr>
          <w:rtl/>
        </w:rPr>
        <w:t xml:space="preserve"> </w:t>
      </w:r>
      <w:r>
        <w:rPr>
          <w:rtl/>
        </w:rPr>
        <w:tab/>
      </w:r>
      <w:r w:rsidRPr="004D6F9E">
        <w:rPr>
          <w:rFonts w:hint="cs"/>
          <w:rtl/>
        </w:rPr>
        <w:t>בתרשים מתואר הגבול התחתון של תחזית הביקוש של בנק ישראל.</w:t>
      </w:r>
    </w:p>
  </w:footnote>
  <w:footnote w:id="99">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לפי קריטריון רזרבה של 19%.</w:t>
      </w:r>
    </w:p>
  </w:footnote>
  <w:footnote w:id="100">
    <w:p w:rsidR="004321D8" w:rsidRPr="00163E9F"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יצוין כי עלות אי</w:t>
      </w:r>
      <w:r>
        <w:rPr>
          <w:rFonts w:hint="cs"/>
          <w:rtl/>
        </w:rPr>
        <w:t>-</w:t>
      </w:r>
      <w:r w:rsidRPr="001D5F55">
        <w:rPr>
          <w:rFonts w:hint="cs"/>
          <w:rtl/>
        </w:rPr>
        <w:t xml:space="preserve">אספקת החשמל נאמדה על ידי משרד </w:t>
      </w:r>
      <w:r w:rsidRPr="001D5F55">
        <w:rPr>
          <w:rFonts w:hint="cs"/>
          <w:rtl/>
        </w:rPr>
        <w:t>האנרגי</w:t>
      </w:r>
      <w:r>
        <w:rPr>
          <w:rFonts w:hint="cs"/>
          <w:rtl/>
        </w:rPr>
        <w:t>י</w:t>
      </w:r>
      <w:r w:rsidRPr="001D5F55">
        <w:rPr>
          <w:rFonts w:hint="cs"/>
          <w:rtl/>
        </w:rPr>
        <w:t>ה</w:t>
      </w:r>
      <w:r w:rsidRPr="001D5F55">
        <w:rPr>
          <w:rFonts w:hint="cs"/>
          <w:rtl/>
        </w:rPr>
        <w:t xml:space="preserve"> בנובמבר 2011 בכ-111 ש"ח </w:t>
      </w:r>
      <w:r w:rsidRPr="001D5F55">
        <w:rPr>
          <w:rFonts w:hint="cs"/>
          <w:rtl/>
        </w:rPr>
        <w:t>לקוט"ש</w:t>
      </w:r>
      <w:r w:rsidRPr="001D5F55">
        <w:rPr>
          <w:rFonts w:hint="cs"/>
          <w:rtl/>
        </w:rPr>
        <w:t xml:space="preserve"> לא מסופק בשל שינוי תדירות הפסקות החשמל, ובכ-102 ש"ח </w:t>
      </w:r>
      <w:r w:rsidRPr="001D5F55">
        <w:rPr>
          <w:rFonts w:hint="cs"/>
          <w:rtl/>
        </w:rPr>
        <w:t>לקוט"ש</w:t>
      </w:r>
      <w:r w:rsidRPr="001D5F55">
        <w:rPr>
          <w:rFonts w:hint="cs"/>
          <w:rtl/>
        </w:rPr>
        <w:t xml:space="preserve"> לא מסופק בשל שינוי משך הפסקות החשמל. מכאן שעלות אי</w:t>
      </w:r>
      <w:r>
        <w:rPr>
          <w:rFonts w:hint="cs"/>
          <w:rtl/>
        </w:rPr>
        <w:t>-</w:t>
      </w:r>
      <w:r w:rsidRPr="001D5F55">
        <w:rPr>
          <w:rFonts w:hint="cs"/>
          <w:rtl/>
        </w:rPr>
        <w:t>אספקה היא גובהה ביחס לעלות הקמת תחנות כוח בעודף בהיקף דומה.</w:t>
      </w:r>
    </w:p>
  </w:footnote>
  <w:footnote w:id="101">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t>במחירי 201</w:t>
      </w:r>
      <w:r w:rsidRPr="001D5F55">
        <w:rPr>
          <w:rFonts w:hint="cs"/>
          <w:rtl/>
        </w:rPr>
        <w:t>9</w:t>
      </w:r>
      <w:r w:rsidRPr="001D5F55">
        <w:rPr>
          <w:rtl/>
        </w:rPr>
        <w:t xml:space="preserve">. </w:t>
      </w:r>
      <w:r w:rsidRPr="001D5F55">
        <w:rPr>
          <w:rFonts w:hint="cs"/>
          <w:rtl/>
        </w:rPr>
        <w:t xml:space="preserve">התחשיב בוצע בהתאם להפרש בין מספר תחנות הכוח שנדרש להקים עד 2030 בתרחישי הביקוש אל מול מספר התחנות שנדרש להקים בתרחיש של התייעלות אנרגטית, בהתבסס על נתוני רשות החשמל. </w:t>
      </w:r>
      <w:r w:rsidRPr="001D5F55">
        <w:rPr>
          <w:rtl/>
        </w:rPr>
        <w:t>החיסכון מדחיית ההשקעות מתקבל מהריבית המצטברת על סכום ההשקעות הנדחות על פני התקופה שבה נדחתה ההשקעה; הריבית שחושבה היא בשיעור 1.5%.</w:t>
      </w:r>
      <w:r w:rsidRPr="001D5F55">
        <w:rPr>
          <w:rFonts w:hint="cs"/>
          <w:rtl/>
        </w:rPr>
        <w:t xml:space="preserve"> התחשיב אינו כולל את החיסכון בעלויות התחזוקה של התחנות. כמו כן</w:t>
      </w:r>
      <w:r>
        <w:rPr>
          <w:rFonts w:hint="cs"/>
          <w:rtl/>
        </w:rPr>
        <w:t>,</w:t>
      </w:r>
      <w:r w:rsidRPr="001D5F55">
        <w:rPr>
          <w:rFonts w:hint="cs"/>
          <w:rtl/>
        </w:rPr>
        <w:t xml:space="preserve"> יש</w:t>
      </w:r>
      <w:r w:rsidRPr="001D5F55">
        <w:rPr>
          <w:rtl/>
        </w:rPr>
        <w:t xml:space="preserve"> לציין כי תחשיב זה לא כלל תועלות חיוביות מהקדמת ההשקעות, כגון שיפור ביכולת ניצול התחנות (שכן ניתן להשתמש בתחנות החדשות שהוקמו במקום תחנות ישנות שיכולת הניצול שלהן נמוכה יותר) ותועלות עקיפות של הפחתת זיהום האוויר, אם כי ניתן להעריך שהתחנות החדשות המופעלות באמצעות גז יחליפו בעיקר תחנות ישנות המופעלות באופן זה או תחנות המופעלות באמצעות פחם.</w:t>
      </w:r>
    </w:p>
  </w:footnote>
  <w:footnote w:id="102">
    <w:p w:rsidR="004321D8"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ראו </w:t>
      </w:r>
      <w:r>
        <w:rPr>
          <w:rFonts w:hint="cs"/>
          <w:rtl/>
        </w:rPr>
        <w:t xml:space="preserve">בקובץ </w:t>
      </w:r>
      <w:r w:rsidRPr="001D5F55">
        <w:rPr>
          <w:rFonts w:hint="cs"/>
          <w:rtl/>
        </w:rPr>
        <w:t>דוח</w:t>
      </w:r>
      <w:r>
        <w:rPr>
          <w:rFonts w:hint="cs"/>
          <w:rtl/>
        </w:rPr>
        <w:t>ות זה את הפרק</w:t>
      </w:r>
      <w:r w:rsidRPr="001D5F55">
        <w:rPr>
          <w:rFonts w:hint="cs"/>
          <w:rtl/>
        </w:rPr>
        <w:t xml:space="preserve"> "קידום אנרגיות מתחדשות ותחליפי </w:t>
      </w:r>
      <w:r w:rsidRPr="001D5F55">
        <w:rPr>
          <w:rFonts w:hint="cs"/>
          <w:rtl/>
        </w:rPr>
        <w:t>דלקים</w:t>
      </w:r>
      <w:r w:rsidRPr="001D5F55">
        <w:rPr>
          <w:rFonts w:hint="cs"/>
          <w:rtl/>
        </w:rPr>
        <w:t>".</w:t>
      </w:r>
    </w:p>
  </w:footnote>
  <w:footnote w:id="103">
    <w:p w:rsidR="004321D8" w:rsidRPr="001D5F55" w:rsidP="00476FCB">
      <w:pPr>
        <w:pStyle w:val="FootnoteText"/>
        <w:spacing w:line="269" w:lineRule="auto"/>
        <w:rPr>
          <w:rtl/>
        </w:rPr>
      </w:pPr>
      <w:r w:rsidRPr="00796EBD">
        <w:rPr>
          <w:rStyle w:val="FootnoteReference1"/>
        </w:rPr>
        <w:footnoteRef/>
      </w:r>
      <w:r w:rsidRPr="00796EBD">
        <w:rPr>
          <w:rtl/>
        </w:rPr>
        <w:t xml:space="preserve"> </w:t>
      </w:r>
      <w:r w:rsidRPr="001D5F55">
        <w:rPr>
          <w:rtl/>
        </w:rPr>
        <w:tab/>
      </w:r>
      <w:r w:rsidRPr="001D5F55">
        <w:rPr>
          <w:rFonts w:hint="cs"/>
          <w:rtl/>
        </w:rPr>
        <w:t>יצוין כי על פי סעיף 57א</w:t>
      </w:r>
      <w:r>
        <w:rPr>
          <w:rFonts w:hint="cs"/>
          <w:rtl/>
        </w:rPr>
        <w:t xml:space="preserve"> </w:t>
      </w:r>
      <w:r w:rsidRPr="001D5F55">
        <w:rPr>
          <w:rFonts w:hint="cs"/>
          <w:rtl/>
        </w:rPr>
        <w:t xml:space="preserve">לחוק משק החשמל, שר </w:t>
      </w:r>
      <w:r>
        <w:rPr>
          <w:rFonts w:hint="cs"/>
          <w:rtl/>
        </w:rPr>
        <w:t>האנרגייה</w:t>
      </w:r>
      <w:r>
        <w:rPr>
          <w:rFonts w:hint="cs"/>
          <w:rtl/>
        </w:rPr>
        <w:t xml:space="preserve"> </w:t>
      </w:r>
      <w:r w:rsidRPr="001D5F55">
        <w:rPr>
          <w:rFonts w:hint="cs"/>
          <w:rtl/>
        </w:rPr>
        <w:t xml:space="preserve">רשאי להחליט על מדיניות בתחום </w:t>
      </w:r>
      <w:r>
        <w:rPr>
          <w:rFonts w:hint="cs"/>
          <w:rtl/>
        </w:rPr>
        <w:t xml:space="preserve">משק </w:t>
      </w:r>
      <w:r w:rsidRPr="001D5F55">
        <w:rPr>
          <w:rFonts w:hint="cs"/>
          <w:rtl/>
        </w:rPr>
        <w:t xml:space="preserve">החשמל, בין היתר בנושא תמהיל מקורות </w:t>
      </w:r>
      <w:r w:rsidRPr="001D5F55">
        <w:rPr>
          <w:rFonts w:hint="cs"/>
          <w:rtl/>
        </w:rPr>
        <w:t>האנרגי</w:t>
      </w:r>
      <w:r>
        <w:rPr>
          <w:rFonts w:hint="cs"/>
          <w:rtl/>
        </w:rPr>
        <w:t>י</w:t>
      </w:r>
      <w:r w:rsidRPr="001D5F55">
        <w:rPr>
          <w:rFonts w:hint="cs"/>
          <w:rtl/>
        </w:rPr>
        <w:t>ה</w:t>
      </w:r>
      <w:r w:rsidRPr="001D5F55">
        <w:rPr>
          <w:rFonts w:hint="cs"/>
          <w:rtl/>
        </w:rPr>
        <w:t xml:space="preserve"> </w:t>
      </w:r>
      <w:r>
        <w:rPr>
          <w:rFonts w:hint="cs"/>
          <w:rtl/>
        </w:rPr>
        <w:t>ש</w:t>
      </w:r>
      <w:r w:rsidRPr="001D5F55">
        <w:rPr>
          <w:rFonts w:hint="cs"/>
          <w:rtl/>
        </w:rPr>
        <w:t>ישמשו לייצור חשמל</w:t>
      </w:r>
      <w:r>
        <w:rPr>
          <w:rFonts w:hint="cs"/>
          <w:rtl/>
        </w:rPr>
        <w:t>,</w:t>
      </w:r>
      <w:r w:rsidRPr="001D5F55">
        <w:rPr>
          <w:rFonts w:hint="cs"/>
          <w:rtl/>
        </w:rPr>
        <w:t xml:space="preserve"> לאחר ששקל שיקולים הנוגעים לביטחון אנרגטי, להגנת </w:t>
      </w:r>
      <w:r>
        <w:rPr>
          <w:rFonts w:hint="cs"/>
          <w:rtl/>
        </w:rPr>
        <w:t>ה</w:t>
      </w:r>
      <w:r w:rsidRPr="001D5F55">
        <w:rPr>
          <w:rFonts w:hint="cs"/>
          <w:rtl/>
        </w:rPr>
        <w:t xml:space="preserve">סביבה ולבריאות הציבור, בין השאר לשם קידום השימוש </w:t>
      </w:r>
      <w:r w:rsidRPr="001D5F55">
        <w:rPr>
          <w:rFonts w:hint="cs"/>
          <w:rtl/>
        </w:rPr>
        <w:t>באנרגי</w:t>
      </w:r>
      <w:r>
        <w:rPr>
          <w:rFonts w:hint="cs"/>
          <w:rtl/>
        </w:rPr>
        <w:t>י</w:t>
      </w:r>
      <w:r w:rsidRPr="001D5F55">
        <w:rPr>
          <w:rFonts w:hint="cs"/>
          <w:rtl/>
        </w:rPr>
        <w:t>ה</w:t>
      </w:r>
      <w:r w:rsidRPr="001D5F55">
        <w:rPr>
          <w:rFonts w:hint="cs"/>
          <w:rtl/>
        </w:rPr>
        <w:t xml:space="preserve"> מתחדשת וצמצום השימוש בסוגי </w:t>
      </w:r>
      <w:r w:rsidRPr="001D5F55">
        <w:rPr>
          <w:rFonts w:hint="cs"/>
          <w:rtl/>
        </w:rPr>
        <w:t>דלקים</w:t>
      </w:r>
      <w:r w:rsidRPr="001D5F55">
        <w:rPr>
          <w:rFonts w:hint="cs"/>
          <w:rtl/>
        </w:rPr>
        <w:t xml:space="preserve"> מזהמים; תמהיל טכנולוגיות לייצור חשמל; העתודה הנדרשת לייצור חשמל ועוד. </w:t>
      </w:r>
      <w:r>
        <w:rPr>
          <w:rFonts w:hint="cs"/>
          <w:rtl/>
        </w:rPr>
        <w:t xml:space="preserve">יצוין כי </w:t>
      </w:r>
      <w:r w:rsidRPr="001D5F55">
        <w:rPr>
          <w:rFonts w:hint="cs"/>
          <w:rtl/>
        </w:rPr>
        <w:t>תחום התחבורה והתעשייה</w:t>
      </w:r>
      <w:r>
        <w:rPr>
          <w:rFonts w:hint="cs"/>
          <w:rtl/>
        </w:rPr>
        <w:t xml:space="preserve"> אינו נמנה עם העניינים המפורטים בסעיף 57א לחוק משק החשמל</w:t>
      </w:r>
      <w:r w:rsidRPr="001D5F55">
        <w:rPr>
          <w:rFonts w:hint="cs"/>
          <w:rtl/>
        </w:rPr>
        <w:t>.</w:t>
      </w:r>
    </w:p>
  </w:footnote>
  <w:footnote w:id="104">
    <w:p w:rsidR="004321D8" w:rsidP="00476FCB">
      <w:pPr>
        <w:pStyle w:val="FootnoteText"/>
        <w:spacing w:line="269" w:lineRule="auto"/>
        <w:rPr>
          <w:rtl/>
        </w:rPr>
      </w:pPr>
      <w:r w:rsidRPr="004D6F9E">
        <w:rPr>
          <w:rStyle w:val="FootnoteReference1"/>
        </w:rPr>
        <w:footnoteRef/>
      </w:r>
      <w:r w:rsidRPr="004D6F9E">
        <w:rPr>
          <w:rStyle w:val="FootnoteReference1"/>
          <w:rtl/>
        </w:rPr>
        <w:t xml:space="preserve"> </w:t>
      </w:r>
      <w:r w:rsidRPr="004D6F9E">
        <w:rPr>
          <w:rtl/>
        </w:rPr>
        <w:tab/>
      </w:r>
      <w:r w:rsidRPr="004D6F9E">
        <w:rPr>
          <w:rFonts w:hint="cs"/>
          <w:rtl/>
        </w:rPr>
        <w:t xml:space="preserve">נתח השוק מתייחס לכמות המכוניות החשמליות שהצליחו להיכנס לשוק מתוך סך המכוניות החשמליות </w:t>
      </w:r>
      <w:r w:rsidRPr="004D6F9E">
        <w:rPr>
          <w:rFonts w:hint="eastAsia"/>
          <w:rtl/>
        </w:rPr>
        <w:t>שיש</w:t>
      </w:r>
      <w:r w:rsidRPr="004D6F9E">
        <w:rPr>
          <w:rtl/>
        </w:rPr>
        <w:t xml:space="preserve"> </w:t>
      </w:r>
      <w:r w:rsidRPr="004D6F9E">
        <w:rPr>
          <w:rFonts w:hint="eastAsia"/>
          <w:rtl/>
        </w:rPr>
        <w:t>בשוק</w:t>
      </w:r>
      <w:r w:rsidRPr="004D6F9E">
        <w:rPr>
          <w:rFonts w:hint="cs"/>
          <w:rtl/>
        </w:rPr>
        <w:t>, ואילו שיעור החדירה מתייחס לכמות המכוניות החשמליות מתוך כל המכוניות בשוק.</w:t>
      </w:r>
    </w:p>
  </w:footnote>
  <w:footnote w:id="105">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מחושב לפי מחזור פתוח בניצולת של 45%, הפועל 8,760 שעות בשנה.</w:t>
      </w:r>
    </w:p>
  </w:footnote>
  <w:footnote w:id="106">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מחושב לפי עלות של 2,632 ש"ח </w:t>
      </w:r>
      <w:r w:rsidRPr="001D5F55">
        <w:rPr>
          <w:rFonts w:hint="cs"/>
          <w:rtl/>
        </w:rPr>
        <w:t>לקוו"ט</w:t>
      </w:r>
      <w:r w:rsidRPr="001D5F55">
        <w:rPr>
          <w:rFonts w:hint="cs"/>
          <w:rtl/>
        </w:rPr>
        <w:t xml:space="preserve"> מותקן במחזור פתוח</w:t>
      </w:r>
      <w:r>
        <w:rPr>
          <w:rFonts w:hint="cs"/>
          <w:rtl/>
        </w:rPr>
        <w:t>,</w:t>
      </w:r>
      <w:r w:rsidRPr="001D5F55">
        <w:rPr>
          <w:rFonts w:hint="cs"/>
          <w:rtl/>
        </w:rPr>
        <w:t xml:space="preserve"> לא כולל עלויות תפעול. החישוב נעשה בהתאם לעלויות </w:t>
      </w:r>
      <w:r>
        <w:rPr>
          <w:rFonts w:hint="cs"/>
          <w:rtl/>
        </w:rPr>
        <w:t>ה</w:t>
      </w:r>
      <w:r w:rsidRPr="001D5F55">
        <w:rPr>
          <w:rFonts w:hint="cs"/>
          <w:rtl/>
        </w:rPr>
        <w:t>הקמה של מחזור פתוח, בגלל ההנחה שתוספת ההספק תגדיל את הביקוש לחשמל בשעות השיא.</w:t>
      </w:r>
    </w:p>
  </w:footnote>
  <w:footnote w:id="107">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לכניסה של רכבים חשמליים השפעה על שיאי הביקוש. מחקרים מצאו כי רוב הצרכנים מטעינים את רכבם לאחר חזרתם מהעבודה, שעות שבהן מתקיים שיא הביקוש. </w:t>
      </w:r>
    </w:p>
  </w:footnote>
  <w:footnote w:id="108">
    <w:p w:rsidR="004321D8" w:rsidRPr="001D5F55" w:rsidP="00476FCB">
      <w:pPr>
        <w:pStyle w:val="FootnoteText"/>
        <w:spacing w:line="269" w:lineRule="auto"/>
      </w:pPr>
      <w:r w:rsidRPr="001D5F55">
        <w:rPr>
          <w:rStyle w:val="FootnoteReference1"/>
        </w:rPr>
        <w:footnoteRef/>
      </w:r>
      <w:r w:rsidRPr="001D5F55">
        <w:rPr>
          <w:rtl/>
        </w:rPr>
        <w:t xml:space="preserve"> </w:t>
      </w:r>
      <w:r w:rsidRPr="001D5F55">
        <w:rPr>
          <w:rtl/>
        </w:rPr>
        <w:tab/>
      </w:r>
      <w:r w:rsidRPr="001D5F55">
        <w:rPr>
          <w:rFonts w:hint="cs"/>
          <w:rtl/>
        </w:rPr>
        <w:t xml:space="preserve">בישראל מחירי </w:t>
      </w:r>
      <w:r w:rsidRPr="001D5F55">
        <w:rPr>
          <w:rFonts w:hint="cs"/>
          <w:rtl/>
        </w:rPr>
        <w:t>הדלקים</w:t>
      </w:r>
      <w:r w:rsidRPr="001D5F55">
        <w:rPr>
          <w:rFonts w:hint="cs"/>
          <w:rtl/>
        </w:rPr>
        <w:t xml:space="preserve"> הם גבוהים, </w:t>
      </w:r>
      <w:r>
        <w:rPr>
          <w:rFonts w:hint="cs"/>
          <w:rtl/>
        </w:rPr>
        <w:t>ואילו</w:t>
      </w:r>
      <w:r w:rsidRPr="001D5F55">
        <w:rPr>
          <w:rFonts w:hint="cs"/>
          <w:rtl/>
        </w:rPr>
        <w:t xml:space="preserve"> מחירי החשמל נמוכים, דבר </w:t>
      </w:r>
      <w:r>
        <w:rPr>
          <w:rFonts w:hint="cs"/>
          <w:rtl/>
        </w:rPr>
        <w:t>ה</w:t>
      </w:r>
      <w:r w:rsidRPr="001D5F55">
        <w:rPr>
          <w:rFonts w:hint="cs"/>
          <w:rtl/>
        </w:rPr>
        <w:t>מוזיל את עלות הנסיעה ועלול להעלות את שיעורי הנסועה הפרטית, דבר המתנגש עם היעדים שהציבה המדינה לצמצום הנסועה הפרטית בהיקף של 20% עד שנת 2030 (ראו בהמשך).</w:t>
      </w:r>
    </w:p>
  </w:footnote>
  <w:footnote w:id="109">
    <w:p w:rsidR="004321D8" w:rsidRPr="001D5F55" w:rsidP="00476FCB">
      <w:pPr>
        <w:pStyle w:val="FootnoteText"/>
        <w:spacing w:line="269" w:lineRule="auto"/>
        <w:rPr>
          <w:rtl/>
        </w:rPr>
      </w:pPr>
      <w:r w:rsidRPr="001D5F55">
        <w:rPr>
          <w:rStyle w:val="FootnoteReference1"/>
        </w:rPr>
        <w:footnoteRef/>
      </w:r>
      <w:r w:rsidRPr="001D5F55">
        <w:rPr>
          <w:rtl/>
        </w:rPr>
        <w:t xml:space="preserve"> </w:t>
      </w:r>
      <w:r w:rsidRPr="001D5F55">
        <w:rPr>
          <w:rtl/>
        </w:rPr>
        <w:tab/>
      </w:r>
      <w:r w:rsidRPr="001D5F55">
        <w:rPr>
          <w:rFonts w:hint="cs"/>
          <w:rtl/>
        </w:rPr>
        <w:t xml:space="preserve">להרחבה בנושא מצב התחבורה הציבורית בישראל ראו מבקר המדינה, </w:t>
      </w:r>
      <w:r w:rsidRPr="001D5F55">
        <w:rPr>
          <w:rFonts w:hint="cs"/>
          <w:b/>
          <w:bCs/>
          <w:rtl/>
        </w:rPr>
        <w:t>דוח מיוחד</w:t>
      </w:r>
      <w:r w:rsidRPr="001D5F55">
        <w:rPr>
          <w:rFonts w:hint="cs"/>
          <w:rtl/>
        </w:rPr>
        <w:t xml:space="preserve"> </w:t>
      </w:r>
      <w:r>
        <w:rPr>
          <w:rFonts w:hint="cs"/>
          <w:b/>
          <w:bCs/>
          <w:rtl/>
        </w:rPr>
        <w:t>-</w:t>
      </w:r>
      <w:r w:rsidRPr="004D6F9E">
        <w:rPr>
          <w:b/>
          <w:bCs/>
          <w:rtl/>
        </w:rPr>
        <w:t xml:space="preserve"> </w:t>
      </w:r>
      <w:r w:rsidRPr="004D6F9E">
        <w:rPr>
          <w:rFonts w:hint="eastAsia"/>
          <w:b/>
          <w:bCs/>
          <w:rtl/>
        </w:rPr>
        <w:t>משבר</w:t>
      </w:r>
      <w:r w:rsidRPr="004D6F9E">
        <w:rPr>
          <w:b/>
          <w:bCs/>
          <w:rtl/>
        </w:rPr>
        <w:t xml:space="preserve"> </w:t>
      </w:r>
      <w:r w:rsidRPr="004D6F9E">
        <w:rPr>
          <w:rFonts w:hint="eastAsia"/>
          <w:b/>
          <w:bCs/>
          <w:rtl/>
        </w:rPr>
        <w:t>התחבורה</w:t>
      </w:r>
      <w:r w:rsidRPr="004D6F9E">
        <w:rPr>
          <w:b/>
          <w:bCs/>
          <w:rtl/>
        </w:rPr>
        <w:t xml:space="preserve"> </w:t>
      </w:r>
      <w:r w:rsidRPr="004D6F9E">
        <w:rPr>
          <w:rFonts w:hint="eastAsia"/>
          <w:b/>
          <w:bCs/>
          <w:rtl/>
        </w:rPr>
        <w:t>הציבורית</w:t>
      </w:r>
      <w:r w:rsidRPr="004D6F9E">
        <w:rPr>
          <w:b/>
          <w:bCs/>
          <w:rtl/>
        </w:rPr>
        <w:t xml:space="preserve"> </w:t>
      </w:r>
      <w:r w:rsidRPr="001D5F55">
        <w:rPr>
          <w:rFonts w:hint="cs"/>
          <w:rtl/>
        </w:rPr>
        <w:t>(2019)</w:t>
      </w:r>
      <w:r>
        <w:rPr>
          <w:rFonts w:hint="cs"/>
          <w:rtl/>
        </w:rPr>
        <w:t xml:space="preserve"> (להלן - </w:t>
      </w:r>
      <w:r w:rsidRPr="00816B20">
        <w:rPr>
          <w:rFonts w:hint="cs"/>
          <w:b/>
          <w:bCs/>
          <w:rtl/>
        </w:rPr>
        <w:t>משבר התחבורה הציבורית</w:t>
      </w:r>
      <w:r>
        <w:rPr>
          <w:rFonts w:hint="cs"/>
          <w:b/>
          <w:bCs/>
          <w:rtl/>
        </w:rPr>
        <w:t>)</w:t>
      </w:r>
      <w:r>
        <w:rPr>
          <w:rFonts w:hint="cs"/>
          <w:rtl/>
        </w:rPr>
        <w:t>,</w:t>
      </w:r>
      <w:r w:rsidRPr="001D5F55">
        <w:rPr>
          <w:rFonts w:hint="cs"/>
          <w:rtl/>
        </w:rPr>
        <w:t xml:space="preserve"> בפרק "תכנון וקידום של התחבורה הציבורית", עמ' 25; בפרק "פעולות הממשלה להפחתת השימוש בכלי רכב פרטיים באמצעות תמריצים כלכליים</w:t>
      </w:r>
      <w:r>
        <w:rPr>
          <w:rFonts w:hint="cs"/>
          <w:rtl/>
        </w:rPr>
        <w:t>"</w:t>
      </w:r>
      <w:r w:rsidRPr="001D5F55">
        <w:rPr>
          <w:rFonts w:hint="cs"/>
          <w:rtl/>
        </w:rPr>
        <w:t xml:space="preserve">, עמ' 531. </w:t>
      </w:r>
    </w:p>
  </w:footnote>
  <w:footnote w:id="110">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 xml:space="preserve">יצוין כי נוסף </w:t>
      </w:r>
      <w:r>
        <w:rPr>
          <w:rFonts w:hint="cs"/>
          <w:rtl/>
        </w:rPr>
        <w:t>על ה</w:t>
      </w:r>
      <w:r w:rsidRPr="009402EC">
        <w:rPr>
          <w:rFonts w:hint="cs"/>
          <w:rtl/>
        </w:rPr>
        <w:t xml:space="preserve">עלויות מפליטות </w:t>
      </w:r>
      <w:r w:rsidRPr="009402EC">
        <w:rPr>
          <w:rFonts w:hint="cs"/>
          <w:rtl/>
        </w:rPr>
        <w:t>גז"ח</w:t>
      </w:r>
      <w:r w:rsidRPr="009402EC">
        <w:rPr>
          <w:rFonts w:hint="cs"/>
          <w:rtl/>
        </w:rPr>
        <w:t xml:space="preserve">, מתמחר המשרד </w:t>
      </w:r>
      <w:r>
        <w:rPr>
          <w:rFonts w:hint="cs"/>
          <w:rtl/>
        </w:rPr>
        <w:t>להג"ס</w:t>
      </w:r>
      <w:r w:rsidRPr="009402EC">
        <w:rPr>
          <w:rFonts w:hint="cs"/>
          <w:rtl/>
        </w:rPr>
        <w:t xml:space="preserve"> גם את העלויות החיצוניות של זיהום אוויר שגורמות לנזק לבריאות הציבור, </w:t>
      </w:r>
      <w:r>
        <w:rPr>
          <w:rFonts w:hint="cs"/>
          <w:rtl/>
        </w:rPr>
        <w:t>ובהן</w:t>
      </w:r>
      <w:r w:rsidRPr="009402EC">
        <w:rPr>
          <w:rFonts w:hint="cs"/>
          <w:rtl/>
        </w:rPr>
        <w:t xml:space="preserve"> עלויות פליטת תחמוצות גופרית, תחמוצות חנקן וחלקיקים מרחפים. ראו מבקר המדינה, "השפעת ייצור החשמל"; </w:t>
      </w:r>
      <w:r w:rsidRPr="004D6F9E">
        <w:rPr>
          <w:rFonts w:hint="eastAsia"/>
          <w:b/>
          <w:bCs/>
          <w:rtl/>
        </w:rPr>
        <w:t>דוח</w:t>
      </w:r>
      <w:r w:rsidRPr="004D6F9E">
        <w:rPr>
          <w:b/>
          <w:bCs/>
          <w:rtl/>
        </w:rPr>
        <w:t xml:space="preserve"> </w:t>
      </w:r>
      <w:r w:rsidRPr="004D6F9E">
        <w:rPr>
          <w:rFonts w:hint="eastAsia"/>
          <w:b/>
          <w:bCs/>
          <w:rtl/>
        </w:rPr>
        <w:t>שנתי</w:t>
      </w:r>
      <w:r w:rsidRPr="004D6F9E">
        <w:rPr>
          <w:b/>
          <w:bCs/>
          <w:rtl/>
        </w:rPr>
        <w:t xml:space="preserve"> 64</w:t>
      </w:r>
      <w:r w:rsidRPr="004D6F9E">
        <w:rPr>
          <w:rFonts w:hint="eastAsia"/>
          <w:b/>
          <w:bCs/>
          <w:rtl/>
        </w:rPr>
        <w:t>ג</w:t>
      </w:r>
      <w:r w:rsidRPr="009402EC">
        <w:rPr>
          <w:rFonts w:hint="cs"/>
          <w:rtl/>
        </w:rPr>
        <w:t xml:space="preserve"> (2013) בנושא "פליטות מזהמים מכלי רכב", עמ' 1055.</w:t>
      </w:r>
    </w:p>
  </w:footnote>
  <w:footnote w:id="111">
    <w:p w:rsidR="004321D8"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ראו מבקר המדינה, </w:t>
      </w:r>
      <w:r w:rsidRPr="004D6F9E">
        <w:rPr>
          <w:rFonts w:hint="eastAsia"/>
          <w:b/>
          <w:bCs/>
          <w:rtl/>
        </w:rPr>
        <w:t>משבר</w:t>
      </w:r>
      <w:r w:rsidRPr="004D6F9E">
        <w:rPr>
          <w:b/>
          <w:bCs/>
          <w:rtl/>
        </w:rPr>
        <w:t xml:space="preserve"> </w:t>
      </w:r>
      <w:r w:rsidRPr="004D6F9E">
        <w:rPr>
          <w:rFonts w:hint="eastAsia"/>
          <w:b/>
          <w:bCs/>
          <w:rtl/>
        </w:rPr>
        <w:t>התחבורה</w:t>
      </w:r>
      <w:r w:rsidRPr="004D6F9E">
        <w:rPr>
          <w:b/>
          <w:bCs/>
          <w:rtl/>
        </w:rPr>
        <w:t xml:space="preserve"> </w:t>
      </w:r>
      <w:r w:rsidRPr="004D6F9E">
        <w:rPr>
          <w:rFonts w:hint="eastAsia"/>
          <w:b/>
          <w:bCs/>
          <w:rtl/>
        </w:rPr>
        <w:t>הציבורית</w:t>
      </w:r>
      <w:r w:rsidRPr="009402EC">
        <w:rPr>
          <w:rFonts w:hint="cs"/>
          <w:rtl/>
        </w:rPr>
        <w:t xml:space="preserve">, בפרק "תכנון וקידום </w:t>
      </w:r>
      <w:r>
        <w:rPr>
          <w:rFonts w:hint="cs"/>
          <w:rtl/>
        </w:rPr>
        <w:t>של ה</w:t>
      </w:r>
      <w:r w:rsidRPr="009402EC">
        <w:rPr>
          <w:rFonts w:hint="cs"/>
          <w:rtl/>
        </w:rPr>
        <w:t xml:space="preserve">תחבורה </w:t>
      </w:r>
      <w:r>
        <w:rPr>
          <w:rFonts w:hint="cs"/>
          <w:rtl/>
        </w:rPr>
        <w:t>ה</w:t>
      </w:r>
      <w:r w:rsidRPr="009402EC">
        <w:rPr>
          <w:rFonts w:hint="cs"/>
          <w:rtl/>
        </w:rPr>
        <w:t>ציבורית", עמ' 25.</w:t>
      </w:r>
    </w:p>
  </w:footnote>
  <w:footnote w:id="112">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יצוין כי </w:t>
      </w:r>
      <w:r w:rsidRPr="009402EC">
        <w:rPr>
          <w:rFonts w:hint="cs"/>
          <w:rtl/>
        </w:rPr>
        <w:t>ת</w:t>
      </w:r>
      <w:r>
        <w:rPr>
          <w:rFonts w:hint="cs"/>
          <w:rtl/>
        </w:rPr>
        <w:t>ו</w:t>
      </w:r>
      <w:r w:rsidRPr="009402EC">
        <w:rPr>
          <w:rFonts w:hint="cs"/>
          <w:rtl/>
        </w:rPr>
        <w:t>כנית</w:t>
      </w:r>
      <w:r w:rsidRPr="009402EC">
        <w:rPr>
          <w:rFonts w:hint="cs"/>
          <w:rtl/>
        </w:rPr>
        <w:t xml:space="preserve"> זו לא קיבלה תוקף סטטוטורי</w:t>
      </w:r>
      <w:r>
        <w:rPr>
          <w:rFonts w:hint="cs"/>
          <w:rtl/>
        </w:rPr>
        <w:t>.</w:t>
      </w:r>
      <w:r w:rsidRPr="009402EC">
        <w:rPr>
          <w:rFonts w:hint="cs"/>
          <w:rtl/>
        </w:rPr>
        <w:t xml:space="preserve"> עם זאת</w:t>
      </w:r>
      <w:r>
        <w:rPr>
          <w:rFonts w:hint="cs"/>
          <w:rtl/>
        </w:rPr>
        <w:t>, היא</w:t>
      </w:r>
      <w:r w:rsidRPr="009402EC">
        <w:rPr>
          <w:rFonts w:hint="cs"/>
          <w:rtl/>
        </w:rPr>
        <w:t xml:space="preserve"> שימשה בסיס לתכנון וקביעת </w:t>
      </w:r>
      <w:r w:rsidRPr="009402EC">
        <w:rPr>
          <w:rFonts w:hint="cs"/>
          <w:rtl/>
        </w:rPr>
        <w:t>ת</w:t>
      </w:r>
      <w:r>
        <w:rPr>
          <w:rFonts w:hint="cs"/>
          <w:rtl/>
        </w:rPr>
        <w:t>ו</w:t>
      </w:r>
      <w:r w:rsidRPr="009402EC">
        <w:rPr>
          <w:rFonts w:hint="cs"/>
          <w:rtl/>
        </w:rPr>
        <w:t>כניות</w:t>
      </w:r>
      <w:r w:rsidRPr="009402EC">
        <w:rPr>
          <w:rFonts w:hint="cs"/>
          <w:rtl/>
        </w:rPr>
        <w:t xml:space="preserve"> אסטרטגיות </w:t>
      </w:r>
      <w:r w:rsidRPr="009402EC">
        <w:rPr>
          <w:rFonts w:hint="cs"/>
          <w:rtl/>
        </w:rPr>
        <w:t>במטרופולינים</w:t>
      </w:r>
      <w:r w:rsidRPr="009402EC">
        <w:rPr>
          <w:rFonts w:hint="cs"/>
          <w:rtl/>
        </w:rPr>
        <w:t>.</w:t>
      </w:r>
    </w:p>
  </w:footnote>
  <w:footnote w:id="113">
    <w:p w:rsidR="004321D8" w:rsidP="00476FCB">
      <w:pPr>
        <w:pStyle w:val="FootnoteText"/>
        <w:spacing w:line="269" w:lineRule="auto"/>
        <w:rPr>
          <w:rtl/>
        </w:rPr>
      </w:pPr>
      <w:r>
        <w:rPr>
          <w:rStyle w:val="FootnoteReference1"/>
        </w:rPr>
        <w:footnoteRef/>
      </w:r>
      <w:r>
        <w:rPr>
          <w:rtl/>
        </w:rPr>
        <w:t xml:space="preserve"> </w:t>
      </w:r>
      <w:r>
        <w:rPr>
          <w:rtl/>
        </w:rPr>
        <w:tab/>
      </w:r>
      <w:r w:rsidRPr="009252D7">
        <w:rPr>
          <w:rFonts w:hint="cs"/>
          <w:rtl/>
        </w:rPr>
        <w:t xml:space="preserve">בנק ישראל, </w:t>
      </w:r>
      <w:r w:rsidRPr="00C04648">
        <w:rPr>
          <w:rFonts w:hint="cs"/>
          <w:b/>
          <w:bCs/>
          <w:rtl/>
        </w:rPr>
        <w:t>דוח מיוחד של חטיבת המחקר: העלאת רמת החיים בישראל באמצעות הגדלת פריון העבודה</w:t>
      </w:r>
      <w:r w:rsidRPr="009252D7">
        <w:rPr>
          <w:rFonts w:hint="cs"/>
          <w:rtl/>
        </w:rPr>
        <w:t>, (2019).</w:t>
      </w:r>
    </w:p>
  </w:footnote>
  <w:footnote w:id="114">
    <w:p w:rsidR="004321D8"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 xml:space="preserve">ראו מבקר המדינה, </w:t>
      </w:r>
      <w:r w:rsidRPr="004D6F9E">
        <w:rPr>
          <w:rFonts w:hint="eastAsia"/>
          <w:b/>
          <w:bCs/>
          <w:rtl/>
        </w:rPr>
        <w:t>משבר</w:t>
      </w:r>
      <w:r w:rsidRPr="004D6F9E">
        <w:rPr>
          <w:b/>
          <w:bCs/>
          <w:rtl/>
        </w:rPr>
        <w:t xml:space="preserve"> </w:t>
      </w:r>
      <w:r w:rsidRPr="004D6F9E">
        <w:rPr>
          <w:rFonts w:hint="eastAsia"/>
          <w:b/>
          <w:bCs/>
          <w:rtl/>
        </w:rPr>
        <w:t>התחבורה</w:t>
      </w:r>
      <w:r w:rsidRPr="004D6F9E">
        <w:rPr>
          <w:b/>
          <w:bCs/>
          <w:rtl/>
        </w:rPr>
        <w:t xml:space="preserve"> </w:t>
      </w:r>
      <w:r w:rsidRPr="004D6F9E">
        <w:rPr>
          <w:rFonts w:hint="eastAsia"/>
          <w:b/>
          <w:bCs/>
          <w:rtl/>
        </w:rPr>
        <w:t>הציבורית</w:t>
      </w:r>
      <w:r>
        <w:rPr>
          <w:rFonts w:hint="cs"/>
          <w:b/>
          <w:bCs/>
          <w:rtl/>
        </w:rPr>
        <w:t>,</w:t>
      </w:r>
      <w:r w:rsidRPr="009402EC">
        <w:rPr>
          <w:rFonts w:hint="cs"/>
          <w:rtl/>
        </w:rPr>
        <w:t xml:space="preserve"> בפרק "פעולות הממשלה להפחתת השימוש בכלי רכב פרטיים באמצעות תמריצים כלכליים"</w:t>
      </w:r>
      <w:r>
        <w:rPr>
          <w:rFonts w:hint="cs"/>
          <w:rtl/>
        </w:rPr>
        <w:t>,</w:t>
      </w:r>
      <w:r w:rsidRPr="009402EC">
        <w:rPr>
          <w:rFonts w:hint="cs"/>
          <w:rtl/>
        </w:rPr>
        <w:t xml:space="preserve"> עמ' 531. בעניין היעדר פתרון לשינוי שיטת השכר ורכבי החזקת הרכב לעובדים בשירות הציבורי, ראו עמ' 587 - 597.</w:t>
      </w:r>
    </w:p>
  </w:footnote>
  <w:footnote w:id="115">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 xml:space="preserve">החלטת </w:t>
      </w:r>
      <w:r>
        <w:rPr>
          <w:rFonts w:hint="cs"/>
          <w:rtl/>
        </w:rPr>
        <w:t>ה</w:t>
      </w:r>
      <w:r w:rsidRPr="009402EC">
        <w:rPr>
          <w:rFonts w:hint="cs"/>
          <w:rtl/>
        </w:rPr>
        <w:t xml:space="preserve">ממשלה 1403 </w:t>
      </w:r>
      <w:r>
        <w:rPr>
          <w:rFonts w:hint="cs"/>
          <w:rtl/>
        </w:rPr>
        <w:t>(</w:t>
      </w:r>
      <w:r w:rsidRPr="009402EC">
        <w:rPr>
          <w:rFonts w:hint="cs"/>
          <w:rtl/>
        </w:rPr>
        <w:t>10.4.16</w:t>
      </w:r>
      <w:r>
        <w:rPr>
          <w:rFonts w:hint="cs"/>
          <w:rtl/>
        </w:rPr>
        <w:t>)</w:t>
      </w:r>
      <w:r w:rsidRPr="009402EC">
        <w:rPr>
          <w:rFonts w:hint="cs"/>
          <w:rtl/>
        </w:rPr>
        <w:t>.</w:t>
      </w:r>
    </w:p>
  </w:footnote>
  <w:footnote w:id="116">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בנושא תכנון </w:t>
      </w:r>
      <w:r>
        <w:rPr>
          <w:rFonts w:hint="cs"/>
          <w:rtl/>
        </w:rPr>
        <w:t>ה</w:t>
      </w:r>
      <w:r w:rsidRPr="009402EC">
        <w:rPr>
          <w:rFonts w:hint="cs"/>
          <w:rtl/>
        </w:rPr>
        <w:t xml:space="preserve">תחבורה </w:t>
      </w:r>
      <w:r>
        <w:rPr>
          <w:rFonts w:hint="cs"/>
          <w:rtl/>
        </w:rPr>
        <w:t>ה</w:t>
      </w:r>
      <w:r w:rsidRPr="009402EC">
        <w:rPr>
          <w:rFonts w:hint="cs"/>
          <w:rtl/>
        </w:rPr>
        <w:t xml:space="preserve">ציבורית, ראו מבקר המדינה, </w:t>
      </w:r>
      <w:r w:rsidRPr="004D6F9E">
        <w:rPr>
          <w:rFonts w:hint="eastAsia"/>
          <w:b/>
          <w:bCs/>
          <w:rtl/>
        </w:rPr>
        <w:t>משבר</w:t>
      </w:r>
      <w:r w:rsidRPr="004D6F9E">
        <w:rPr>
          <w:b/>
          <w:bCs/>
          <w:rtl/>
        </w:rPr>
        <w:t xml:space="preserve"> </w:t>
      </w:r>
      <w:r w:rsidRPr="004D6F9E">
        <w:rPr>
          <w:rFonts w:hint="eastAsia"/>
          <w:b/>
          <w:bCs/>
          <w:rtl/>
        </w:rPr>
        <w:t>התחבורה</w:t>
      </w:r>
      <w:r w:rsidRPr="004D6F9E">
        <w:rPr>
          <w:b/>
          <w:bCs/>
          <w:rtl/>
        </w:rPr>
        <w:t xml:space="preserve"> </w:t>
      </w:r>
      <w:r w:rsidRPr="004D6F9E">
        <w:rPr>
          <w:rFonts w:hint="eastAsia"/>
          <w:b/>
          <w:bCs/>
          <w:rtl/>
        </w:rPr>
        <w:t>הציבורית</w:t>
      </w:r>
      <w:r w:rsidRPr="009402EC">
        <w:rPr>
          <w:rFonts w:hint="cs"/>
          <w:rtl/>
        </w:rPr>
        <w:t>, בפרק "תכנון וקידום של התחבורה הציבורית", עמ' 51 - 85.</w:t>
      </w:r>
    </w:p>
  </w:footnote>
  <w:footnote w:id="117">
    <w:p w:rsidR="004321D8" w:rsidP="00476FCB">
      <w:pPr>
        <w:pStyle w:val="FootnoteText"/>
        <w:spacing w:line="269" w:lineRule="auto"/>
        <w:rPr>
          <w:rtl/>
        </w:rPr>
      </w:pPr>
      <w:r w:rsidRPr="004D6F9E">
        <w:rPr>
          <w:rStyle w:val="FootnoteReference1"/>
        </w:rPr>
        <w:footnoteRef/>
      </w:r>
      <w:r>
        <w:rPr>
          <w:rtl/>
        </w:rPr>
        <w:t xml:space="preserve"> </w:t>
      </w:r>
      <w:r>
        <w:rPr>
          <w:rtl/>
        </w:rPr>
        <w:tab/>
      </w:r>
      <w:r w:rsidRPr="004D6F9E">
        <w:rPr>
          <w:rFonts w:hint="cs"/>
          <w:rtl/>
        </w:rPr>
        <w:t>בעניין ההתייעלות בתחבורה, ראו מבקר המדינה, משבר התחבורה הציבורית, בפרק "היעדר פתרון לשינוי שיטת השכר ורכיב החזקת הרכב לעובדים בשירות הציבורי".</w:t>
      </w:r>
    </w:p>
  </w:footnote>
  <w:footnote w:id="118">
    <w:p w:rsidR="004321D8" w:rsidP="00476FCB">
      <w:pPr>
        <w:pStyle w:val="FootnoteText"/>
        <w:spacing w:line="269" w:lineRule="auto"/>
        <w:rPr>
          <w:rtl/>
        </w:rPr>
      </w:pPr>
      <w:r w:rsidRPr="004D6F9E">
        <w:rPr>
          <w:rStyle w:val="FootnoteReference1"/>
        </w:rPr>
        <w:footnoteRef/>
      </w:r>
      <w:r>
        <w:rPr>
          <w:rtl/>
        </w:rPr>
        <w:t xml:space="preserve"> </w:t>
      </w:r>
      <w:r>
        <w:rPr>
          <w:rtl/>
        </w:rPr>
        <w:tab/>
      </w:r>
      <w:r w:rsidRPr="00386042">
        <w:rPr>
          <w:rFonts w:hint="cs"/>
          <w:rtl/>
        </w:rPr>
        <w:t xml:space="preserve">המשרד </w:t>
      </w:r>
      <w:r w:rsidRPr="00386042">
        <w:rPr>
          <w:rFonts w:hint="cs"/>
          <w:rtl/>
        </w:rPr>
        <w:t>להג"ס</w:t>
      </w:r>
      <w:r w:rsidRPr="00386042">
        <w:rPr>
          <w:rFonts w:hint="cs"/>
          <w:rtl/>
        </w:rPr>
        <w:t xml:space="preserve">, </w:t>
      </w:r>
      <w:r w:rsidRPr="004D6F9E">
        <w:rPr>
          <w:rFonts w:hint="eastAsia"/>
          <w:b/>
          <w:bCs/>
          <w:rtl/>
        </w:rPr>
        <w:t>בחינת</w:t>
      </w:r>
      <w:r w:rsidRPr="004D6F9E">
        <w:rPr>
          <w:b/>
          <w:bCs/>
          <w:rtl/>
        </w:rPr>
        <w:t xml:space="preserve"> </w:t>
      </w:r>
      <w:r w:rsidRPr="004D6F9E">
        <w:rPr>
          <w:rFonts w:hint="eastAsia"/>
          <w:b/>
          <w:bCs/>
          <w:rtl/>
        </w:rPr>
        <w:t>הפוטנציאל</w:t>
      </w:r>
      <w:r w:rsidRPr="004D6F9E">
        <w:rPr>
          <w:b/>
          <w:bCs/>
          <w:rtl/>
        </w:rPr>
        <w:t xml:space="preserve"> </w:t>
      </w:r>
      <w:r w:rsidRPr="004D6F9E">
        <w:rPr>
          <w:rFonts w:hint="eastAsia"/>
          <w:b/>
          <w:bCs/>
          <w:rtl/>
        </w:rPr>
        <w:t>להפחתת</w:t>
      </w:r>
      <w:r w:rsidRPr="004D6F9E">
        <w:rPr>
          <w:b/>
          <w:bCs/>
          <w:rtl/>
        </w:rPr>
        <w:t xml:space="preserve"> </w:t>
      </w:r>
      <w:r w:rsidRPr="004D6F9E">
        <w:rPr>
          <w:rFonts w:hint="eastAsia"/>
          <w:b/>
          <w:bCs/>
          <w:rtl/>
        </w:rPr>
        <w:t>פליטות</w:t>
      </w:r>
      <w:r w:rsidRPr="004D6F9E">
        <w:rPr>
          <w:b/>
          <w:bCs/>
          <w:rtl/>
        </w:rPr>
        <w:t xml:space="preserve"> </w:t>
      </w:r>
      <w:r w:rsidRPr="004D6F9E">
        <w:rPr>
          <w:rFonts w:hint="eastAsia"/>
          <w:b/>
          <w:bCs/>
          <w:rtl/>
        </w:rPr>
        <w:t>גזי</w:t>
      </w:r>
      <w:r w:rsidRPr="004D6F9E">
        <w:rPr>
          <w:b/>
          <w:bCs/>
          <w:rtl/>
        </w:rPr>
        <w:t xml:space="preserve"> </w:t>
      </w:r>
      <w:r w:rsidRPr="004D6F9E">
        <w:rPr>
          <w:rFonts w:hint="eastAsia"/>
          <w:b/>
          <w:bCs/>
          <w:rtl/>
        </w:rPr>
        <w:t>חממה</w:t>
      </w:r>
      <w:r w:rsidRPr="004D6F9E">
        <w:rPr>
          <w:b/>
          <w:bCs/>
          <w:rtl/>
        </w:rPr>
        <w:t xml:space="preserve"> </w:t>
      </w:r>
      <w:r w:rsidRPr="004D6F9E">
        <w:rPr>
          <w:rFonts w:hint="eastAsia"/>
          <w:b/>
          <w:bCs/>
          <w:rtl/>
        </w:rPr>
        <w:t>והמלצה</w:t>
      </w:r>
      <w:r w:rsidRPr="004D6F9E">
        <w:rPr>
          <w:b/>
          <w:bCs/>
          <w:rtl/>
        </w:rPr>
        <w:t xml:space="preserve"> </w:t>
      </w:r>
      <w:r w:rsidRPr="004D6F9E">
        <w:rPr>
          <w:rFonts w:hint="eastAsia"/>
          <w:b/>
          <w:bCs/>
          <w:rtl/>
        </w:rPr>
        <w:t>ליעד</w:t>
      </w:r>
      <w:r w:rsidRPr="004D6F9E">
        <w:rPr>
          <w:b/>
          <w:bCs/>
          <w:rtl/>
        </w:rPr>
        <w:t xml:space="preserve"> </w:t>
      </w:r>
      <w:r w:rsidRPr="004D6F9E">
        <w:rPr>
          <w:rFonts w:hint="eastAsia"/>
          <w:b/>
          <w:bCs/>
          <w:rtl/>
        </w:rPr>
        <w:t>לאומי</w:t>
      </w:r>
      <w:r w:rsidRPr="004D6F9E">
        <w:rPr>
          <w:b/>
          <w:bCs/>
          <w:rtl/>
        </w:rPr>
        <w:t xml:space="preserve"> </w:t>
      </w:r>
      <w:r w:rsidRPr="004D6F9E">
        <w:rPr>
          <w:rFonts w:hint="eastAsia"/>
          <w:b/>
          <w:bCs/>
          <w:rtl/>
        </w:rPr>
        <w:t>לישראל</w:t>
      </w:r>
      <w:r w:rsidRPr="004D6F9E">
        <w:rPr>
          <w:b/>
          <w:bCs/>
          <w:rtl/>
        </w:rPr>
        <w:t xml:space="preserve"> - </w:t>
      </w:r>
      <w:r w:rsidRPr="004D6F9E">
        <w:rPr>
          <w:rFonts w:hint="eastAsia"/>
          <w:b/>
          <w:bCs/>
          <w:rtl/>
        </w:rPr>
        <w:t>דוח</w:t>
      </w:r>
      <w:r w:rsidRPr="004D6F9E">
        <w:rPr>
          <w:b/>
          <w:bCs/>
          <w:rtl/>
        </w:rPr>
        <w:t xml:space="preserve"> </w:t>
      </w:r>
      <w:r w:rsidRPr="004D6F9E">
        <w:rPr>
          <w:rFonts w:hint="eastAsia"/>
          <w:b/>
          <w:bCs/>
          <w:rtl/>
        </w:rPr>
        <w:t>סופי</w:t>
      </w:r>
      <w:r w:rsidRPr="00386042">
        <w:rPr>
          <w:rFonts w:hint="cs"/>
          <w:rtl/>
        </w:rPr>
        <w:t xml:space="preserve"> (2015).</w:t>
      </w:r>
    </w:p>
  </w:footnote>
  <w:footnote w:id="119">
    <w:p w:rsidR="004321D8" w:rsidP="00476FCB">
      <w:pPr>
        <w:pStyle w:val="FootnoteText"/>
        <w:spacing w:line="269" w:lineRule="auto"/>
        <w:rPr>
          <w:rtl/>
        </w:rPr>
      </w:pPr>
      <w:r w:rsidRPr="004D6F9E">
        <w:rPr>
          <w:rStyle w:val="FootnoteReference1"/>
        </w:rPr>
        <w:footnoteRef/>
      </w:r>
      <w:r>
        <w:rPr>
          <w:rtl/>
        </w:rPr>
        <w:t xml:space="preserve"> </w:t>
      </w:r>
      <w:r>
        <w:rPr>
          <w:rtl/>
        </w:rPr>
        <w:tab/>
      </w:r>
      <w:r w:rsidRPr="009402EC">
        <w:rPr>
          <w:rFonts w:hint="cs"/>
          <w:rtl/>
        </w:rPr>
        <w:t xml:space="preserve">ראו מבקר המדינה </w:t>
      </w:r>
      <w:r w:rsidRPr="004D6F9E">
        <w:rPr>
          <w:rFonts w:hint="eastAsia"/>
          <w:b/>
          <w:bCs/>
          <w:rtl/>
        </w:rPr>
        <w:t>משבר</w:t>
      </w:r>
      <w:r w:rsidRPr="004D6F9E">
        <w:rPr>
          <w:b/>
          <w:bCs/>
          <w:rtl/>
        </w:rPr>
        <w:t xml:space="preserve"> </w:t>
      </w:r>
      <w:r w:rsidRPr="004D6F9E">
        <w:rPr>
          <w:rFonts w:hint="eastAsia"/>
          <w:b/>
          <w:bCs/>
          <w:rtl/>
        </w:rPr>
        <w:t>התחבורה</w:t>
      </w:r>
      <w:r w:rsidRPr="004D6F9E">
        <w:rPr>
          <w:b/>
          <w:bCs/>
          <w:rtl/>
        </w:rPr>
        <w:t xml:space="preserve"> </w:t>
      </w:r>
      <w:r w:rsidRPr="004D6F9E">
        <w:rPr>
          <w:rFonts w:hint="eastAsia"/>
          <w:b/>
          <w:bCs/>
          <w:rtl/>
        </w:rPr>
        <w:t>הציבורית</w:t>
      </w:r>
      <w:r w:rsidRPr="009402EC">
        <w:rPr>
          <w:rFonts w:hint="cs"/>
          <w:rtl/>
        </w:rPr>
        <w:t xml:space="preserve"> (2019)</w:t>
      </w:r>
      <w:r>
        <w:rPr>
          <w:rFonts w:hint="cs"/>
          <w:rtl/>
        </w:rPr>
        <w:t>.</w:t>
      </w:r>
    </w:p>
  </w:footnote>
  <w:footnote w:id="120">
    <w:p w:rsidR="004321D8" w:rsidP="00476FCB">
      <w:pPr>
        <w:pStyle w:val="FootnoteText"/>
        <w:spacing w:line="269" w:lineRule="auto"/>
        <w:rPr>
          <w:rtl/>
        </w:rPr>
      </w:pPr>
      <w:r w:rsidRPr="004D6F9E">
        <w:rPr>
          <w:rStyle w:val="FootnoteReference1"/>
        </w:rPr>
        <w:footnoteRef/>
      </w:r>
      <w:r>
        <w:rPr>
          <w:rtl/>
        </w:rPr>
        <w:t xml:space="preserve"> </w:t>
      </w:r>
      <w:r>
        <w:rPr>
          <w:rtl/>
        </w:rPr>
        <w:tab/>
      </w:r>
      <w:r w:rsidRPr="006F7059">
        <w:rPr>
          <w:rFonts w:hint="cs"/>
          <w:rtl/>
        </w:rPr>
        <w:t>כהגדרתו בתקנות</w:t>
      </w:r>
      <w:r>
        <w:rPr>
          <w:rFonts w:hint="cs"/>
          <w:rtl/>
        </w:rPr>
        <w:t>.</w:t>
      </w:r>
    </w:p>
  </w:footnote>
  <w:footnote w:id="121">
    <w:p w:rsidR="004321D8" w:rsidP="00476FCB">
      <w:pPr>
        <w:pStyle w:val="FootnoteText"/>
        <w:spacing w:line="269" w:lineRule="auto"/>
      </w:pPr>
      <w:r w:rsidRPr="009402EC">
        <w:rPr>
          <w:rStyle w:val="FootnoteReference1"/>
        </w:rPr>
        <w:footnoteRef/>
      </w:r>
      <w:r w:rsidRPr="009402EC">
        <w:rPr>
          <w:rtl/>
        </w:rPr>
        <w:tab/>
      </w:r>
      <w:r w:rsidRPr="009402EC">
        <w:rPr>
          <w:rFonts w:hint="cs"/>
          <w:rtl/>
        </w:rPr>
        <w:t>החלט</w:t>
      </w:r>
      <w:r>
        <w:rPr>
          <w:rFonts w:hint="cs"/>
          <w:rtl/>
        </w:rPr>
        <w:t>ת הממשלה</w:t>
      </w:r>
      <w:r w:rsidRPr="009402EC">
        <w:rPr>
          <w:rFonts w:hint="cs"/>
          <w:rtl/>
        </w:rPr>
        <w:t xml:space="preserve"> 1403 </w:t>
      </w:r>
      <w:r>
        <w:rPr>
          <w:rFonts w:hint="cs"/>
          <w:rtl/>
        </w:rPr>
        <w:t>(</w:t>
      </w:r>
      <w:r w:rsidRPr="009402EC">
        <w:rPr>
          <w:rFonts w:hint="cs"/>
          <w:rtl/>
        </w:rPr>
        <w:t>10.4.16</w:t>
      </w:r>
      <w:r>
        <w:rPr>
          <w:rFonts w:hint="cs"/>
          <w:rtl/>
        </w:rPr>
        <w:t>)</w:t>
      </w:r>
      <w:r w:rsidRPr="009402EC">
        <w:rPr>
          <w:rFonts w:hint="cs"/>
          <w:rtl/>
        </w:rPr>
        <w:t>.</w:t>
      </w:r>
    </w:p>
  </w:footnote>
  <w:footnote w:id="122">
    <w:p w:rsidR="004321D8" w:rsidP="00476FCB">
      <w:pPr>
        <w:pStyle w:val="FootnoteText"/>
        <w:spacing w:line="269" w:lineRule="auto"/>
        <w:rPr>
          <w:rtl/>
        </w:rPr>
      </w:pPr>
      <w:r w:rsidRPr="004D6F9E">
        <w:rPr>
          <w:rStyle w:val="FootnoteReference1"/>
        </w:rPr>
        <w:footnoteRef/>
      </w:r>
      <w:r>
        <w:rPr>
          <w:rtl/>
        </w:rPr>
        <w:t xml:space="preserve"> </w:t>
      </w:r>
      <w:r>
        <w:rPr>
          <w:rtl/>
        </w:rPr>
        <w:tab/>
      </w:r>
      <w:r w:rsidRPr="009402EC">
        <w:rPr>
          <w:rFonts w:hint="cs"/>
          <w:rtl/>
        </w:rPr>
        <w:t xml:space="preserve">יצוין כי הדיווחים לשנת 2017 מתייחסים לצריכת החשמל, ללא צריכת </w:t>
      </w:r>
      <w:r w:rsidRPr="009402EC">
        <w:rPr>
          <w:rFonts w:hint="cs"/>
          <w:rtl/>
        </w:rPr>
        <w:t>אנרגי</w:t>
      </w:r>
      <w:r>
        <w:rPr>
          <w:rFonts w:hint="cs"/>
          <w:rtl/>
        </w:rPr>
        <w:t>י</w:t>
      </w:r>
      <w:r w:rsidRPr="009402EC">
        <w:rPr>
          <w:rFonts w:hint="cs"/>
          <w:rtl/>
        </w:rPr>
        <w:t>ה</w:t>
      </w:r>
      <w:r w:rsidRPr="009402EC">
        <w:rPr>
          <w:rFonts w:hint="cs"/>
          <w:rtl/>
        </w:rPr>
        <w:t xml:space="preserve"> לחימום וקירור. בשנת 2018 הדיווחים מתייחסים גם לצריכת החשמל וגם לצריכת </w:t>
      </w:r>
      <w:r w:rsidRPr="009402EC">
        <w:rPr>
          <w:rFonts w:hint="cs"/>
          <w:rtl/>
        </w:rPr>
        <w:t>אנרגי</w:t>
      </w:r>
      <w:r>
        <w:rPr>
          <w:rFonts w:hint="cs"/>
          <w:rtl/>
        </w:rPr>
        <w:t>י</w:t>
      </w:r>
      <w:r w:rsidRPr="009402EC">
        <w:rPr>
          <w:rFonts w:hint="cs"/>
          <w:rtl/>
        </w:rPr>
        <w:t>ה</w:t>
      </w:r>
      <w:r w:rsidRPr="009402EC">
        <w:rPr>
          <w:rFonts w:hint="cs"/>
          <w:rtl/>
        </w:rPr>
        <w:t xml:space="preserve"> לחימום וקירור.</w:t>
      </w:r>
    </w:p>
  </w:footnote>
  <w:footnote w:id="123">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Pr>
          <w:rFonts w:hint="cs"/>
          <w:rtl/>
        </w:rPr>
        <w:t xml:space="preserve">ר' </w:t>
      </w:r>
      <w:r w:rsidRPr="009402EC">
        <w:rPr>
          <w:rFonts w:hint="cs"/>
          <w:rtl/>
        </w:rPr>
        <w:t>גובזנסקי</w:t>
      </w:r>
      <w:r w:rsidRPr="009402EC">
        <w:rPr>
          <w:rFonts w:hint="cs"/>
          <w:rtl/>
        </w:rPr>
        <w:t xml:space="preserve">, </w:t>
      </w:r>
      <w:r w:rsidRPr="004D6F9E">
        <w:rPr>
          <w:rFonts w:hint="eastAsia"/>
          <w:b/>
          <w:bCs/>
          <w:rtl/>
        </w:rPr>
        <w:t>הערכת</w:t>
      </w:r>
      <w:r w:rsidRPr="004D6F9E">
        <w:rPr>
          <w:b/>
          <w:bCs/>
          <w:rtl/>
        </w:rPr>
        <w:t xml:space="preserve"> </w:t>
      </w:r>
      <w:r w:rsidRPr="004D6F9E">
        <w:rPr>
          <w:rFonts w:hint="eastAsia"/>
          <w:b/>
          <w:bCs/>
          <w:rtl/>
        </w:rPr>
        <w:t>התמורות</w:t>
      </w:r>
      <w:r w:rsidRPr="004D6F9E">
        <w:rPr>
          <w:b/>
          <w:bCs/>
          <w:rtl/>
        </w:rPr>
        <w:t xml:space="preserve"> </w:t>
      </w:r>
      <w:r w:rsidRPr="004D6F9E">
        <w:rPr>
          <w:rFonts w:hint="eastAsia"/>
          <w:b/>
          <w:bCs/>
          <w:rtl/>
        </w:rPr>
        <w:t>הישירות</w:t>
      </w:r>
      <w:r w:rsidRPr="004D6F9E">
        <w:rPr>
          <w:b/>
          <w:bCs/>
          <w:rtl/>
        </w:rPr>
        <w:t xml:space="preserve"> </w:t>
      </w:r>
      <w:r w:rsidRPr="004D6F9E">
        <w:rPr>
          <w:rFonts w:hint="eastAsia"/>
          <w:b/>
          <w:bCs/>
          <w:rtl/>
        </w:rPr>
        <w:t>והעקיפות</w:t>
      </w:r>
      <w:r w:rsidRPr="004D6F9E">
        <w:rPr>
          <w:b/>
          <w:bCs/>
          <w:rtl/>
        </w:rPr>
        <w:t xml:space="preserve"> </w:t>
      </w:r>
      <w:r w:rsidRPr="004D6F9E">
        <w:rPr>
          <w:rFonts w:hint="eastAsia"/>
          <w:b/>
          <w:bCs/>
          <w:rtl/>
        </w:rPr>
        <w:t>במבני</w:t>
      </w:r>
      <w:r w:rsidRPr="004D6F9E">
        <w:rPr>
          <w:b/>
          <w:bCs/>
          <w:rtl/>
        </w:rPr>
        <w:t xml:space="preserve"> </w:t>
      </w:r>
      <w:r w:rsidRPr="004D6F9E">
        <w:rPr>
          <w:rFonts w:hint="eastAsia"/>
          <w:b/>
          <w:bCs/>
          <w:rtl/>
        </w:rPr>
        <w:t>תעסוקה</w:t>
      </w:r>
      <w:r w:rsidRPr="004D6F9E">
        <w:rPr>
          <w:b/>
          <w:bCs/>
          <w:rtl/>
        </w:rPr>
        <w:t xml:space="preserve"> </w:t>
      </w:r>
      <w:r w:rsidRPr="004D6F9E">
        <w:rPr>
          <w:rFonts w:hint="eastAsia"/>
          <w:b/>
          <w:bCs/>
          <w:rtl/>
        </w:rPr>
        <w:t>ירוקים</w:t>
      </w:r>
      <w:r w:rsidRPr="004D6F9E">
        <w:rPr>
          <w:b/>
          <w:bCs/>
          <w:rtl/>
        </w:rPr>
        <w:t xml:space="preserve"> </w:t>
      </w:r>
      <w:r w:rsidRPr="004D6F9E">
        <w:rPr>
          <w:rFonts w:hint="eastAsia"/>
          <w:b/>
          <w:bCs/>
          <w:rtl/>
        </w:rPr>
        <w:t>בישראל</w:t>
      </w:r>
      <w:r>
        <w:rPr>
          <w:rFonts w:hint="cs"/>
          <w:rtl/>
        </w:rPr>
        <w:t>,</w:t>
      </w:r>
      <w:r w:rsidRPr="009402EC">
        <w:rPr>
          <w:rFonts w:hint="cs"/>
          <w:rtl/>
        </w:rPr>
        <w:t xml:space="preserve"> מכון ירושלים למחקר מדיניות </w:t>
      </w:r>
      <w:r>
        <w:rPr>
          <w:rFonts w:hint="cs"/>
          <w:rtl/>
        </w:rPr>
        <w:t>ו</w:t>
      </w:r>
      <w:r w:rsidRPr="009402EC">
        <w:rPr>
          <w:rFonts w:hint="cs"/>
          <w:rtl/>
        </w:rPr>
        <w:t xml:space="preserve">מכון </w:t>
      </w:r>
      <w:r w:rsidRPr="009402EC">
        <w:rPr>
          <w:rFonts w:hint="cs"/>
          <w:rtl/>
        </w:rPr>
        <w:t>מילקן</w:t>
      </w:r>
      <w:r w:rsidRPr="009402EC">
        <w:rPr>
          <w:rFonts w:hint="cs"/>
          <w:rtl/>
        </w:rPr>
        <w:t xml:space="preserve"> לחדשנות </w:t>
      </w:r>
      <w:r>
        <w:rPr>
          <w:rFonts w:hint="cs"/>
          <w:rtl/>
        </w:rPr>
        <w:t>(</w:t>
      </w:r>
      <w:r w:rsidRPr="009402EC">
        <w:rPr>
          <w:rFonts w:hint="cs"/>
          <w:rtl/>
        </w:rPr>
        <w:t>נובמבר 2018)</w:t>
      </w:r>
      <w:r>
        <w:rPr>
          <w:rFonts w:hint="cs"/>
          <w:rtl/>
        </w:rPr>
        <w:t xml:space="preserve"> (להלן - </w:t>
      </w:r>
      <w:r w:rsidRPr="004D6F9E">
        <w:rPr>
          <w:rFonts w:hint="eastAsia"/>
          <w:b/>
          <w:bCs/>
          <w:rtl/>
        </w:rPr>
        <w:t>הערכת</w:t>
      </w:r>
      <w:r w:rsidRPr="004D6F9E">
        <w:rPr>
          <w:b/>
          <w:bCs/>
          <w:rtl/>
        </w:rPr>
        <w:t xml:space="preserve"> </w:t>
      </w:r>
      <w:r w:rsidRPr="004D6F9E">
        <w:rPr>
          <w:rFonts w:hint="eastAsia"/>
          <w:b/>
          <w:bCs/>
          <w:rtl/>
        </w:rPr>
        <w:t>התמורות</w:t>
      </w:r>
      <w:r>
        <w:rPr>
          <w:rFonts w:hint="cs"/>
          <w:rtl/>
        </w:rPr>
        <w:t>)</w:t>
      </w:r>
      <w:r w:rsidRPr="009402EC">
        <w:rPr>
          <w:rFonts w:hint="cs"/>
          <w:rtl/>
        </w:rPr>
        <w:t>.</w:t>
      </w:r>
    </w:p>
  </w:footnote>
  <w:footnote w:id="124">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מבנים אחראיים לכשליש מכלל צריכת </w:t>
      </w:r>
      <w:r w:rsidRPr="009402EC">
        <w:rPr>
          <w:rFonts w:hint="cs"/>
          <w:rtl/>
        </w:rPr>
        <w:t>האנרג</w:t>
      </w:r>
      <w:r>
        <w:rPr>
          <w:rFonts w:hint="cs"/>
          <w:rtl/>
        </w:rPr>
        <w:t>י</w:t>
      </w:r>
      <w:r w:rsidRPr="009402EC">
        <w:rPr>
          <w:rFonts w:hint="cs"/>
          <w:rtl/>
        </w:rPr>
        <w:t>יה</w:t>
      </w:r>
      <w:r w:rsidRPr="009402EC">
        <w:rPr>
          <w:rFonts w:hint="cs"/>
          <w:rtl/>
        </w:rPr>
        <w:t xml:space="preserve"> ברחבי העולם ולרבע מסך פליטות גזי החממה. </w:t>
      </w:r>
    </w:p>
  </w:footnote>
  <w:footnote w:id="125">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t xml:space="preserve">"Green buildings driving employee productivity", </w:t>
      </w:r>
      <w:r w:rsidRPr="004D6F9E">
        <w:rPr>
          <w:b/>
          <w:bCs/>
        </w:rPr>
        <w:t>Advances</w:t>
      </w:r>
      <w:r w:rsidRPr="009402EC">
        <w:t xml:space="preserve"> (2011)</w:t>
      </w:r>
      <w:r>
        <w:rPr>
          <w:rFonts w:hint="cs"/>
          <w:rtl/>
        </w:rPr>
        <w:t>.</w:t>
      </w:r>
    </w:p>
  </w:footnote>
  <w:footnote w:id="126">
    <w:p w:rsidR="004321D8" w:rsidRPr="00A61896" w:rsidP="00476FCB">
      <w:pPr>
        <w:pStyle w:val="FootnoteText"/>
        <w:spacing w:line="269" w:lineRule="auto"/>
      </w:pPr>
      <w:r w:rsidRPr="00A61896">
        <w:rPr>
          <w:rStyle w:val="FootnoteReference1"/>
        </w:rPr>
        <w:footnoteRef/>
      </w:r>
      <w:r w:rsidRPr="00A61896">
        <w:rPr>
          <w:rtl/>
        </w:rPr>
        <w:t xml:space="preserve"> </w:t>
      </w:r>
      <w:r w:rsidRPr="00A61896">
        <w:rPr>
          <w:rtl/>
        </w:rPr>
        <w:tab/>
      </w:r>
      <w:r w:rsidRPr="00A61896">
        <w:t xml:space="preserve">World green building council, </w:t>
      </w:r>
      <w:r w:rsidRPr="00A61896">
        <w:rPr>
          <w:b/>
          <w:bCs/>
        </w:rPr>
        <w:t>The business case for green building - a review of costs and benefits for developers, investors and</w:t>
      </w:r>
      <w:r w:rsidRPr="00A61896">
        <w:t xml:space="preserve"> </w:t>
      </w:r>
      <w:r w:rsidRPr="00A61896">
        <w:rPr>
          <w:b/>
          <w:bCs/>
        </w:rPr>
        <w:t>occupants</w:t>
      </w:r>
      <w:r w:rsidRPr="00A61896">
        <w:t xml:space="preserve"> (2013)</w:t>
      </w:r>
      <w:r w:rsidRPr="00A61896">
        <w:rPr>
          <w:rFonts w:hint="cs"/>
          <w:rtl/>
        </w:rPr>
        <w:t xml:space="preserve">; </w:t>
      </w:r>
      <w:r w:rsidRPr="00A61896">
        <w:rPr>
          <w:rFonts w:hint="eastAsia"/>
          <w:b/>
          <w:bCs/>
          <w:rtl/>
        </w:rPr>
        <w:t>הערכת</w:t>
      </w:r>
      <w:r w:rsidRPr="00A61896">
        <w:rPr>
          <w:b/>
          <w:bCs/>
          <w:rtl/>
        </w:rPr>
        <w:t xml:space="preserve"> </w:t>
      </w:r>
      <w:r w:rsidRPr="00A61896">
        <w:rPr>
          <w:rFonts w:hint="eastAsia"/>
          <w:b/>
          <w:bCs/>
          <w:rtl/>
        </w:rPr>
        <w:t>התמורות</w:t>
      </w:r>
      <w:r w:rsidRPr="00A61896">
        <w:rPr>
          <w:rFonts w:hint="cs"/>
          <w:rtl/>
        </w:rPr>
        <w:t>.</w:t>
      </w:r>
    </w:p>
  </w:footnote>
  <w:footnote w:id="127">
    <w:p w:rsidR="004321D8" w:rsidRPr="00A61896" w:rsidP="00476FCB">
      <w:pPr>
        <w:pStyle w:val="FootnoteText"/>
        <w:spacing w:line="269" w:lineRule="auto"/>
      </w:pPr>
      <w:r w:rsidRPr="00A61896">
        <w:rPr>
          <w:rStyle w:val="FootnoteReference1"/>
        </w:rPr>
        <w:footnoteRef/>
      </w:r>
      <w:r w:rsidRPr="00A61896">
        <w:rPr>
          <w:rtl/>
        </w:rPr>
        <w:t xml:space="preserve"> </w:t>
      </w:r>
      <w:r w:rsidRPr="00A61896">
        <w:rPr>
          <w:rtl/>
        </w:rPr>
        <w:tab/>
      </w:r>
      <w:r w:rsidRPr="00A61896">
        <w:rPr>
          <w:rFonts w:hint="cs"/>
          <w:rtl/>
        </w:rPr>
        <w:t xml:space="preserve">תקן נוסף הוא תקן 5282, העוסק בדירוג מבנים לפי צריכת </w:t>
      </w:r>
      <w:r w:rsidRPr="00A61896">
        <w:rPr>
          <w:rFonts w:hint="cs"/>
          <w:rtl/>
        </w:rPr>
        <w:t>האנרגייה</w:t>
      </w:r>
      <w:r w:rsidRPr="00A61896">
        <w:rPr>
          <w:rFonts w:hint="cs"/>
          <w:rtl/>
        </w:rPr>
        <w:t xml:space="preserve">, ודן בשיטות לדרג דירות בבתי מגורים לפי צריכת </w:t>
      </w:r>
      <w:r w:rsidRPr="00A61896">
        <w:rPr>
          <w:rFonts w:hint="cs"/>
          <w:rtl/>
        </w:rPr>
        <w:t>האנרגייה</w:t>
      </w:r>
      <w:r w:rsidRPr="00A61896">
        <w:rPr>
          <w:rFonts w:hint="cs"/>
          <w:rtl/>
        </w:rPr>
        <w:t xml:space="preserve"> הנדרשת לאקלום הדירה.</w:t>
      </w:r>
    </w:p>
  </w:footnote>
  <w:footnote w:id="128">
    <w:p w:rsidR="004321D8" w:rsidRPr="009402EC" w:rsidP="00476FCB">
      <w:pPr>
        <w:pStyle w:val="FootnoteText"/>
        <w:spacing w:line="269" w:lineRule="auto"/>
      </w:pPr>
      <w:r w:rsidRPr="00A61896">
        <w:rPr>
          <w:rStyle w:val="FootnoteReference1"/>
        </w:rPr>
        <w:footnoteRef/>
      </w:r>
      <w:r w:rsidRPr="00A61896">
        <w:rPr>
          <w:rtl/>
        </w:rPr>
        <w:t xml:space="preserve"> </w:t>
      </w:r>
      <w:r w:rsidRPr="00A61896">
        <w:rPr>
          <w:rtl/>
        </w:rPr>
        <w:tab/>
      </w:r>
      <w:r w:rsidRPr="00A61896">
        <w:rPr>
          <w:rFonts w:hint="cs"/>
          <w:rtl/>
        </w:rPr>
        <w:t>תנאי הסף לבניין ירוק הוא 1 - 2 כוכבים; הניקוד הנדרש לפי תקן 5281-2 הוא 8 נקודות לבניין מגורים חדש ו-1.5 נקודות לבניין משרדים חדש.</w:t>
      </w:r>
    </w:p>
  </w:footnote>
  <w:footnote w:id="129">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 xml:space="preserve">החלטת </w:t>
      </w:r>
      <w:r>
        <w:rPr>
          <w:rFonts w:hint="cs"/>
          <w:rtl/>
        </w:rPr>
        <w:t>ה</w:t>
      </w:r>
      <w:r w:rsidRPr="009402EC">
        <w:rPr>
          <w:rFonts w:hint="cs"/>
          <w:rtl/>
        </w:rPr>
        <w:t>ממשלה 2457</w:t>
      </w:r>
      <w:r>
        <w:rPr>
          <w:rFonts w:hint="cs"/>
          <w:rtl/>
        </w:rPr>
        <w:t>,</w:t>
      </w:r>
      <w:r w:rsidRPr="009402EC">
        <w:rPr>
          <w:rFonts w:hint="cs"/>
          <w:rtl/>
        </w:rPr>
        <w:t xml:space="preserve"> "תכנית אסטרטגית לדיור" </w:t>
      </w:r>
      <w:r>
        <w:rPr>
          <w:rFonts w:hint="cs"/>
          <w:rtl/>
        </w:rPr>
        <w:t>(</w:t>
      </w:r>
      <w:r w:rsidRPr="009402EC">
        <w:rPr>
          <w:rFonts w:hint="cs"/>
          <w:rtl/>
        </w:rPr>
        <w:t>19.9.17</w:t>
      </w:r>
      <w:r>
        <w:rPr>
          <w:rFonts w:hint="cs"/>
          <w:rtl/>
        </w:rPr>
        <w:t>)</w:t>
      </w:r>
      <w:r w:rsidRPr="009402EC">
        <w:rPr>
          <w:rFonts w:hint="cs"/>
          <w:rtl/>
        </w:rPr>
        <w:t>.</w:t>
      </w:r>
    </w:p>
  </w:footnote>
  <w:footnote w:id="130">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הת</w:t>
      </w:r>
      <w:r>
        <w:rPr>
          <w:rFonts w:hint="cs"/>
          <w:rtl/>
        </w:rPr>
        <w:t>ו</w:t>
      </w:r>
      <w:r w:rsidRPr="009402EC">
        <w:rPr>
          <w:rFonts w:hint="cs"/>
          <w:rtl/>
        </w:rPr>
        <w:t>כנית מתייחסת רק לבנ</w:t>
      </w:r>
      <w:r>
        <w:rPr>
          <w:rFonts w:hint="cs"/>
          <w:rtl/>
        </w:rPr>
        <w:t>י</w:t>
      </w:r>
      <w:r w:rsidRPr="009402EC">
        <w:rPr>
          <w:rFonts w:hint="cs"/>
          <w:rtl/>
        </w:rPr>
        <w:t>יה למגורים. לצד זאת</w:t>
      </w:r>
      <w:r>
        <w:rPr>
          <w:rFonts w:hint="cs"/>
          <w:rtl/>
        </w:rPr>
        <w:t>,</w:t>
      </w:r>
      <w:r w:rsidRPr="009402EC">
        <w:rPr>
          <w:rFonts w:hint="cs"/>
          <w:rtl/>
        </w:rPr>
        <w:t xml:space="preserve"> צפוי גידול גם בבניינים המיועדים לצרכים אחרים</w:t>
      </w:r>
      <w:r>
        <w:rPr>
          <w:rFonts w:hint="cs"/>
          <w:rtl/>
        </w:rPr>
        <w:t>,</w:t>
      </w:r>
      <w:r w:rsidRPr="009402EC">
        <w:rPr>
          <w:rFonts w:hint="cs"/>
          <w:rtl/>
        </w:rPr>
        <w:t xml:space="preserve"> כגון מסחר ותעש</w:t>
      </w:r>
      <w:r>
        <w:rPr>
          <w:rFonts w:hint="cs"/>
          <w:rtl/>
        </w:rPr>
        <w:t>י</w:t>
      </w:r>
      <w:r w:rsidRPr="009402EC">
        <w:rPr>
          <w:rFonts w:hint="cs"/>
          <w:rtl/>
        </w:rPr>
        <w:t xml:space="preserve">יה </w:t>
      </w:r>
      <w:r>
        <w:rPr>
          <w:rFonts w:hint="cs"/>
          <w:rtl/>
        </w:rPr>
        <w:t>ו</w:t>
      </w:r>
      <w:r w:rsidRPr="009402EC">
        <w:rPr>
          <w:rFonts w:hint="cs"/>
          <w:rtl/>
        </w:rPr>
        <w:t>מבני ציבור.</w:t>
      </w:r>
    </w:p>
  </w:footnote>
  <w:footnote w:id="131">
    <w:p w:rsidR="004321D8"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 xml:space="preserve">החלטת </w:t>
      </w:r>
      <w:r>
        <w:rPr>
          <w:rFonts w:hint="cs"/>
          <w:rtl/>
        </w:rPr>
        <w:t>ה</w:t>
      </w:r>
      <w:r w:rsidRPr="009402EC">
        <w:rPr>
          <w:rFonts w:hint="cs"/>
          <w:rtl/>
        </w:rPr>
        <w:t xml:space="preserve">ממשלה 1403 </w:t>
      </w:r>
      <w:r>
        <w:rPr>
          <w:rFonts w:hint="cs"/>
          <w:rtl/>
        </w:rPr>
        <w:t>(</w:t>
      </w:r>
      <w:r w:rsidRPr="009402EC">
        <w:rPr>
          <w:rFonts w:hint="cs"/>
          <w:rtl/>
        </w:rPr>
        <w:t>10.4.16</w:t>
      </w:r>
      <w:r>
        <w:rPr>
          <w:rFonts w:hint="cs"/>
          <w:rtl/>
        </w:rPr>
        <w:t>)</w:t>
      </w:r>
      <w:r w:rsidRPr="009402EC">
        <w:rPr>
          <w:rFonts w:hint="cs"/>
          <w:rtl/>
        </w:rPr>
        <w:t>.</w:t>
      </w:r>
    </w:p>
  </w:footnote>
  <w:footnote w:id="132">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הפורום מאגד את הערים שאינן מקבלות מענקים ממשלתיים ומתנהלות כמשק עצמאי סגור מכוח משאביהן הכספיים העצמאיים, והוא כולל את מרבית הערים הגדולות בישראל: אשדוד, באר שבע, גבעתיים, הרצליה, חדרה, חולון, חיפה, כפר</w:t>
      </w:r>
      <w:r>
        <w:rPr>
          <w:rFonts w:hint="cs"/>
          <w:rtl/>
        </w:rPr>
        <w:t xml:space="preserve"> </w:t>
      </w:r>
      <w:r w:rsidRPr="009402EC">
        <w:rPr>
          <w:rFonts w:hint="cs"/>
          <w:rtl/>
        </w:rPr>
        <w:t>סבא, נתניה, פתח תקווה, ראשון לציון, רחובות, רמת גן, רעננה ותל אביב-יפו.</w:t>
      </w:r>
    </w:p>
  </w:footnote>
  <w:footnote w:id="133">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מרבית החיסכון נובע מחיסכון בצריכת החשמל. המשרד </w:t>
      </w:r>
      <w:r w:rsidRPr="009402EC">
        <w:rPr>
          <w:rFonts w:hint="cs"/>
          <w:rtl/>
        </w:rPr>
        <w:t>להג"ס</w:t>
      </w:r>
      <w:r w:rsidRPr="009402EC">
        <w:rPr>
          <w:rFonts w:hint="cs"/>
          <w:rtl/>
        </w:rPr>
        <w:t xml:space="preserve"> העריך באוקטובר 2018 כי החיסכון בצריכת החשמל בדירה ירוקה לעומת דירה קונבנציונלית נע בין 12% </w:t>
      </w:r>
      <w:r>
        <w:rPr>
          <w:rFonts w:hint="cs"/>
          <w:rtl/>
        </w:rPr>
        <w:t>ל</w:t>
      </w:r>
      <w:r w:rsidRPr="009402EC">
        <w:rPr>
          <w:rFonts w:hint="cs"/>
          <w:rtl/>
        </w:rPr>
        <w:t xml:space="preserve">-21%. </w:t>
      </w:r>
      <w:r>
        <w:rPr>
          <w:rFonts w:hint="cs"/>
          <w:rtl/>
        </w:rPr>
        <w:t xml:space="preserve">כן </w:t>
      </w:r>
      <w:r w:rsidRPr="009402EC">
        <w:rPr>
          <w:rFonts w:hint="cs"/>
          <w:rtl/>
        </w:rPr>
        <w:t xml:space="preserve">קיימות תועלות נוספות כגון חיסכון בצריכת מים </w:t>
      </w:r>
      <w:r>
        <w:rPr>
          <w:rFonts w:hint="cs"/>
          <w:rtl/>
        </w:rPr>
        <w:t>ו</w:t>
      </w:r>
      <w:r w:rsidRPr="009402EC">
        <w:rPr>
          <w:rFonts w:hint="cs"/>
          <w:rtl/>
        </w:rPr>
        <w:t>תועלות עקיפות</w:t>
      </w:r>
      <w:r>
        <w:rPr>
          <w:rFonts w:hint="cs"/>
          <w:rtl/>
        </w:rPr>
        <w:t>,</w:t>
      </w:r>
      <w:r w:rsidRPr="009402EC">
        <w:rPr>
          <w:rFonts w:hint="cs"/>
          <w:rtl/>
        </w:rPr>
        <w:t xml:space="preserve"> כגון השיפור בפריון.</w:t>
      </w:r>
    </w:p>
  </w:footnote>
  <w:footnote w:id="134">
    <w:p w:rsidR="004321D8"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t xml:space="preserve">World green building council, </w:t>
      </w:r>
      <w:r w:rsidRPr="004D6F9E">
        <w:rPr>
          <w:b/>
          <w:bCs/>
        </w:rPr>
        <w:t xml:space="preserve">The business case for green building, a review of costs and benefits for developers, investors and occupants </w:t>
      </w:r>
      <w:r w:rsidRPr="009402EC">
        <w:t>(2013)</w:t>
      </w:r>
      <w:r>
        <w:t xml:space="preserve"> </w:t>
      </w:r>
      <w:r>
        <w:rPr>
          <w:rFonts w:hint="cs"/>
          <w:rtl/>
        </w:rPr>
        <w:t>.</w:t>
      </w:r>
    </w:p>
  </w:footnote>
  <w:footnote w:id="135">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Pr>
          <w:rFonts w:hint="cs"/>
          <w:rtl/>
        </w:rPr>
        <w:t xml:space="preserve">א' </w:t>
      </w:r>
      <w:r w:rsidRPr="009402EC">
        <w:rPr>
          <w:rFonts w:hint="cs"/>
          <w:rtl/>
        </w:rPr>
        <w:t xml:space="preserve">אראל, </w:t>
      </w:r>
      <w:r>
        <w:rPr>
          <w:rFonts w:hint="cs"/>
          <w:rtl/>
        </w:rPr>
        <w:t>ח'</w:t>
      </w:r>
      <w:r w:rsidRPr="009402EC">
        <w:rPr>
          <w:rFonts w:hint="cs"/>
          <w:rtl/>
        </w:rPr>
        <w:t xml:space="preserve"> פרידמן</w:t>
      </w:r>
      <w:r>
        <w:rPr>
          <w:rFonts w:hint="cs"/>
          <w:rtl/>
        </w:rPr>
        <w:t>,</w:t>
      </w:r>
      <w:r w:rsidRPr="009402EC">
        <w:rPr>
          <w:rFonts w:hint="cs"/>
          <w:rtl/>
        </w:rPr>
        <w:t xml:space="preserve"> </w:t>
      </w:r>
      <w:r>
        <w:rPr>
          <w:rFonts w:hint="cs"/>
          <w:rtl/>
        </w:rPr>
        <w:t>י'</w:t>
      </w:r>
      <w:r w:rsidRPr="009402EC">
        <w:rPr>
          <w:rFonts w:hint="cs"/>
          <w:rtl/>
        </w:rPr>
        <w:t xml:space="preserve"> בקר, </w:t>
      </w:r>
      <w:r w:rsidRPr="004D6F9E">
        <w:rPr>
          <w:rFonts w:hint="eastAsia"/>
          <w:b/>
          <w:bCs/>
          <w:rtl/>
        </w:rPr>
        <w:t>שיפוץ</w:t>
      </w:r>
      <w:r w:rsidRPr="004D6F9E">
        <w:rPr>
          <w:b/>
          <w:bCs/>
          <w:rtl/>
        </w:rPr>
        <w:t xml:space="preserve"> </w:t>
      </w:r>
      <w:r w:rsidRPr="004D6F9E">
        <w:rPr>
          <w:rFonts w:hint="eastAsia"/>
          <w:b/>
          <w:bCs/>
          <w:rtl/>
        </w:rPr>
        <w:t>בנייני</w:t>
      </w:r>
      <w:r w:rsidRPr="004D6F9E">
        <w:rPr>
          <w:b/>
          <w:bCs/>
          <w:rtl/>
        </w:rPr>
        <w:t xml:space="preserve"> </w:t>
      </w:r>
      <w:r w:rsidRPr="004D6F9E">
        <w:rPr>
          <w:rFonts w:hint="eastAsia"/>
          <w:b/>
          <w:bCs/>
          <w:rtl/>
        </w:rPr>
        <w:t>מגורים</w:t>
      </w:r>
      <w:r w:rsidRPr="004D6F9E">
        <w:rPr>
          <w:b/>
          <w:bCs/>
          <w:rtl/>
        </w:rPr>
        <w:t xml:space="preserve"> </w:t>
      </w:r>
      <w:r w:rsidRPr="004D6F9E">
        <w:rPr>
          <w:rFonts w:hint="eastAsia"/>
          <w:b/>
          <w:bCs/>
          <w:rtl/>
        </w:rPr>
        <w:t>בישראל</w:t>
      </w:r>
      <w:r w:rsidRPr="004D6F9E">
        <w:rPr>
          <w:b/>
          <w:bCs/>
          <w:rtl/>
        </w:rPr>
        <w:t xml:space="preserve"> </w:t>
      </w:r>
      <w:r w:rsidRPr="004D6F9E">
        <w:rPr>
          <w:rFonts w:hint="eastAsia"/>
          <w:b/>
          <w:bCs/>
          <w:rtl/>
        </w:rPr>
        <w:t>לשם</w:t>
      </w:r>
      <w:r w:rsidRPr="004D6F9E">
        <w:rPr>
          <w:b/>
          <w:bCs/>
          <w:rtl/>
        </w:rPr>
        <w:t xml:space="preserve"> </w:t>
      </w:r>
      <w:r w:rsidRPr="004D6F9E">
        <w:rPr>
          <w:rFonts w:hint="eastAsia"/>
          <w:b/>
          <w:bCs/>
          <w:rtl/>
        </w:rPr>
        <w:t>חיסכון</w:t>
      </w:r>
      <w:r w:rsidRPr="004D6F9E">
        <w:rPr>
          <w:b/>
          <w:bCs/>
          <w:rtl/>
        </w:rPr>
        <w:t xml:space="preserve"> </w:t>
      </w:r>
      <w:r w:rsidRPr="004D6F9E">
        <w:rPr>
          <w:rFonts w:hint="eastAsia"/>
          <w:b/>
          <w:bCs/>
          <w:rtl/>
        </w:rPr>
        <w:t>באנרגיה</w:t>
      </w:r>
      <w:r w:rsidRPr="009402EC">
        <w:rPr>
          <w:rFonts w:hint="cs"/>
          <w:rtl/>
        </w:rPr>
        <w:t xml:space="preserve"> (2013).</w:t>
      </w:r>
    </w:p>
  </w:footnote>
  <w:footnote w:id="136">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Pr>
          <w:rFonts w:hint="cs"/>
          <w:rtl/>
        </w:rPr>
        <w:t>גובזנסקי</w:t>
      </w:r>
      <w:r>
        <w:rPr>
          <w:rFonts w:hint="cs"/>
          <w:rtl/>
        </w:rPr>
        <w:t xml:space="preserve">, ר., </w:t>
      </w:r>
      <w:r>
        <w:rPr>
          <w:rFonts w:hint="cs"/>
          <w:b/>
          <w:bCs/>
          <w:rtl/>
        </w:rPr>
        <w:t>"</w:t>
      </w:r>
      <w:r w:rsidRPr="004D6F9E">
        <w:rPr>
          <w:rFonts w:hint="eastAsia"/>
          <w:b/>
          <w:bCs/>
          <w:rtl/>
        </w:rPr>
        <w:t>הערכת</w:t>
      </w:r>
      <w:r w:rsidRPr="004D6F9E">
        <w:rPr>
          <w:b/>
          <w:bCs/>
          <w:rtl/>
        </w:rPr>
        <w:t xml:space="preserve"> </w:t>
      </w:r>
      <w:r w:rsidRPr="004D6F9E">
        <w:rPr>
          <w:rFonts w:hint="eastAsia"/>
          <w:b/>
          <w:bCs/>
          <w:rtl/>
        </w:rPr>
        <w:t>התמורות</w:t>
      </w:r>
      <w:r>
        <w:rPr>
          <w:rFonts w:hint="cs"/>
          <w:b/>
          <w:bCs/>
          <w:rtl/>
        </w:rPr>
        <w:t xml:space="preserve"> הישירות והעקיפות במבני תעסוקה ירקים בישראל"; </w:t>
      </w:r>
      <w:r>
        <w:rPr>
          <w:rFonts w:hint="cs"/>
          <w:rtl/>
        </w:rPr>
        <w:t xml:space="preserve">מכון ירושלים למחקר מדיניות, מכון </w:t>
      </w:r>
      <w:r>
        <w:rPr>
          <w:rFonts w:hint="cs"/>
          <w:rtl/>
        </w:rPr>
        <w:t>מילקן</w:t>
      </w:r>
      <w:r>
        <w:rPr>
          <w:rFonts w:hint="cs"/>
          <w:rtl/>
        </w:rPr>
        <w:t xml:space="preserve"> לחדשנות; מחקר מספר 118, נובמבר (2018)</w:t>
      </w:r>
      <w:r w:rsidRPr="009402EC">
        <w:rPr>
          <w:rFonts w:hint="cs"/>
          <w:rtl/>
        </w:rPr>
        <w:t>.</w:t>
      </w:r>
    </w:p>
  </w:footnote>
  <w:footnote w:id="137">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החישוב כולל מבני משרדים, מגורים ובתי מלון.</w:t>
      </w:r>
    </w:p>
  </w:footnote>
  <w:footnote w:id="138">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10% נוספים נובעים מחיסכון במים. יש גם תועלת עקיפה</w:t>
      </w:r>
      <w:r>
        <w:rPr>
          <w:rFonts w:hint="cs"/>
          <w:rtl/>
        </w:rPr>
        <w:t>,</w:t>
      </w:r>
      <w:r w:rsidRPr="009402EC">
        <w:rPr>
          <w:rFonts w:hint="cs"/>
          <w:rtl/>
        </w:rPr>
        <w:t xml:space="preserve"> המתבטאת בהשפעה חיובית על הבריאות, דבר התורם להגדלת שיעורי הפריון, ירידה בתחלואה וימי מחלה, ועליה ברווחה ובשביעות הרצון של הציבור. </w:t>
      </w:r>
    </w:p>
  </w:footnote>
  <w:footnote w:id="139">
    <w:p w:rsidR="004321D8" w:rsidRPr="009402EC"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t>H</w:t>
      </w:r>
      <w:r>
        <w:t>.</w:t>
      </w:r>
      <w:r w:rsidRPr="009402EC">
        <w:t xml:space="preserve"> </w:t>
      </w:r>
      <w:r w:rsidRPr="009402EC">
        <w:t>Gabay</w:t>
      </w:r>
      <w:r w:rsidRPr="009402EC">
        <w:t>, .I.</w:t>
      </w:r>
      <w:r>
        <w:t xml:space="preserve"> </w:t>
      </w:r>
      <w:r w:rsidRPr="009402EC">
        <w:t>A.</w:t>
      </w:r>
      <w:r>
        <w:t xml:space="preserve"> </w:t>
      </w:r>
      <w:r w:rsidRPr="009402EC">
        <w:t xml:space="preserve">Meir, </w:t>
      </w:r>
      <w:r>
        <w:t xml:space="preserve">M. </w:t>
      </w:r>
      <w:r w:rsidRPr="009402EC">
        <w:t>Schwartz</w:t>
      </w:r>
      <w:r>
        <w:t>, E</w:t>
      </w:r>
      <w:r w:rsidRPr="009402EC">
        <w:t xml:space="preserve">. </w:t>
      </w:r>
      <w:r w:rsidRPr="009402EC">
        <w:t>Werzberger</w:t>
      </w:r>
      <w:r w:rsidRPr="009402EC">
        <w:t xml:space="preserve">, "Cost-benefit analysis of green buildings: An Israeli office buildings case study", </w:t>
      </w:r>
      <w:r w:rsidRPr="004D6F9E">
        <w:rPr>
          <w:b/>
          <w:bCs/>
        </w:rPr>
        <w:t>Energy and Buildings</w:t>
      </w:r>
      <w:r w:rsidRPr="009402EC">
        <w:t>, 76</w:t>
      </w:r>
      <w:r>
        <w:t xml:space="preserve"> </w:t>
      </w:r>
      <w:r w:rsidRPr="009402EC">
        <w:t xml:space="preserve">(2014), </w:t>
      </w:r>
      <w:r>
        <w:t xml:space="preserve">pp. </w:t>
      </w:r>
      <w:r w:rsidRPr="009402EC">
        <w:t>558-564</w:t>
      </w:r>
      <w:r>
        <w:rPr>
          <w:rFonts w:hint="cs"/>
          <w:rtl/>
        </w:rPr>
        <w:t>.</w:t>
      </w:r>
    </w:p>
  </w:footnote>
  <w:footnote w:id="140">
    <w:p w:rsidR="004321D8"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ראו מבקר המדינה, </w:t>
      </w:r>
      <w:r w:rsidRPr="009402EC">
        <w:rPr>
          <w:rFonts w:hint="cs"/>
          <w:b/>
          <w:bCs/>
          <w:rtl/>
        </w:rPr>
        <w:t>דוח שנתי 61ב</w:t>
      </w:r>
      <w:r w:rsidRPr="009402EC">
        <w:rPr>
          <w:rFonts w:hint="cs"/>
          <w:rtl/>
        </w:rPr>
        <w:t xml:space="preserve"> (2010), בנושא "בנייה ירוקה", עמ' 841.</w:t>
      </w:r>
    </w:p>
  </w:footnote>
  <w:footnote w:id="141">
    <w:p w:rsidR="004321D8" w:rsidRPr="009402EC" w:rsidP="00476FCB">
      <w:pPr>
        <w:pStyle w:val="FootnoteText"/>
        <w:spacing w:line="269" w:lineRule="auto"/>
        <w:rPr>
          <w:rtl/>
        </w:rPr>
      </w:pPr>
      <w:r w:rsidRPr="009402EC">
        <w:rPr>
          <w:rStyle w:val="FootnoteReference1"/>
        </w:rPr>
        <w:footnoteRef/>
      </w:r>
      <w:r w:rsidRPr="009402EC">
        <w:rPr>
          <w:rtl/>
        </w:rPr>
        <w:t xml:space="preserve"> </w:t>
      </w:r>
      <w:r w:rsidRPr="009402EC">
        <w:rPr>
          <w:rtl/>
        </w:rPr>
        <w:tab/>
      </w:r>
      <w:r w:rsidRPr="009402EC">
        <w:rPr>
          <w:rFonts w:hint="cs"/>
          <w:rtl/>
        </w:rPr>
        <w:t>על פי המפרט, "באחריות היזם ליישם את הוראות תקן ת"י 5281, בהנחיה ועל פי ייעוץ יועץ מומחה לבנייה בת קיימה (</w:t>
      </w:r>
      <w:r>
        <w:rPr>
          <w:rFonts w:hint="cs"/>
          <w:rtl/>
        </w:rPr>
        <w:t>'</w:t>
      </w:r>
      <w:r w:rsidRPr="009402EC">
        <w:rPr>
          <w:rFonts w:hint="cs"/>
          <w:rtl/>
        </w:rPr>
        <w:t>בניה ירוקה</w:t>
      </w:r>
      <w:r>
        <w:rPr>
          <w:rFonts w:hint="cs"/>
          <w:rtl/>
        </w:rPr>
        <w:t>'</w:t>
      </w:r>
      <w:r w:rsidRPr="009402EC">
        <w:rPr>
          <w:rFonts w:hint="cs"/>
          <w:rtl/>
        </w:rPr>
        <w:t xml:space="preserve">) מטעם היזם, וזאת מבלי לגרוע מהתחייבות היזם לפעול על פי הוראות </w:t>
      </w:r>
      <w:r w:rsidRPr="009402EC">
        <w:rPr>
          <w:rFonts w:hint="cs"/>
          <w:rtl/>
        </w:rPr>
        <w:t>התב"ע</w:t>
      </w:r>
      <w:r w:rsidRPr="009402EC">
        <w:rPr>
          <w:rFonts w:hint="cs"/>
          <w:rtl/>
        </w:rPr>
        <w:t xml:space="preserve"> לעניין בניה ירוקה".</w:t>
      </w:r>
    </w:p>
  </w:footnote>
  <w:footnote w:id="142">
    <w:p w:rsidR="004321D8" w:rsidP="00476FCB">
      <w:pPr>
        <w:pStyle w:val="FootnoteText"/>
        <w:spacing w:line="269" w:lineRule="auto"/>
      </w:pPr>
      <w:r w:rsidRPr="009402EC">
        <w:rPr>
          <w:rStyle w:val="FootnoteReference1"/>
        </w:rPr>
        <w:footnoteRef/>
      </w:r>
      <w:r w:rsidRPr="009402EC">
        <w:rPr>
          <w:rtl/>
        </w:rPr>
        <w:t xml:space="preserve"> </w:t>
      </w:r>
      <w:r w:rsidRPr="009402EC">
        <w:rPr>
          <w:rtl/>
        </w:rPr>
        <w:tab/>
      </w:r>
      <w:r w:rsidRPr="009402EC">
        <w:rPr>
          <w:rFonts w:hint="cs"/>
          <w:rtl/>
        </w:rPr>
        <w:t xml:space="preserve">החישוב מבוסס על נתוני המשרד </w:t>
      </w:r>
      <w:r w:rsidRPr="009402EC">
        <w:rPr>
          <w:rFonts w:hint="cs"/>
          <w:rtl/>
        </w:rPr>
        <w:t>להג"ס</w:t>
      </w:r>
      <w:r w:rsidRPr="009402EC">
        <w:rPr>
          <w:rFonts w:hint="cs"/>
          <w:rtl/>
        </w:rPr>
        <w:t xml:space="preserve">. החיסכון ליחידת דיור הוא כ-33,991 ש"ח בהנחה של שער היוון של 3% בהתאם להנחות של המשרד </w:t>
      </w:r>
      <w:r w:rsidRPr="009402EC">
        <w:rPr>
          <w:rFonts w:hint="cs"/>
          <w:rtl/>
        </w:rPr>
        <w:t>להג"ס</w:t>
      </w:r>
      <w:r w:rsidRPr="009402EC">
        <w:rPr>
          <w:rFonts w:hint="cs"/>
          <w:rtl/>
        </w:rPr>
        <w:t xml:space="preserve"> וזמן החזר ההשקעה הוא 3.78 שנים לרוכש. הונח כי אורך </w:t>
      </w:r>
      <w:r w:rsidRPr="004D6F9E">
        <w:rPr>
          <w:rFonts w:hint="cs"/>
          <w:rtl/>
        </w:rPr>
        <w:t>החיים של דירה הוא 49 שנים. לשם הפשטוּת הונח כי כל הדירות ייבנו עד 2020. התחשיב משקף העברה של דירה קונבנציונלית לדירה ירוקה ברמה של כוכב אחד. התחשיב אינו לוקח בחשבון אלמנטים שונים של בנייה ירוקה שנכללו בתוכנית מחיר למשתכן. על כן סכום זה הוא סכום החיסכון המרבי על פי ההנחות שנעשו.</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21D8" w:rsidP="0097239C">
    <w:pPr>
      <w:pStyle w:val="Header"/>
      <w:jc w:val="center"/>
      <w:rPr>
        <w:rtl/>
      </w:rPr>
    </w:pPr>
    <w:r>
      <w:rPr>
        <w:rtl/>
      </w:rPr>
      <w:t xml:space="preserve"> - </w:t>
    </w:r>
    <w:r>
      <w:rPr>
        <w:rtl/>
      </w:rPr>
      <w:fldChar w:fldCharType="begin"/>
    </w:r>
    <w:r>
      <w:rPr>
        <w:rtl/>
      </w:rPr>
      <w:instrText xml:space="preserve"> </w:instrText>
    </w:r>
    <w:r>
      <w:instrText>PAGE</w:instrText>
    </w:r>
    <w:r>
      <w:rPr>
        <w:rtl/>
      </w:rPr>
      <w:instrText xml:space="preserve">  \* </w:instrText>
    </w:r>
    <w:r>
      <w:instrText>MERGEFORMAT</w:instrText>
    </w:r>
    <w:r>
      <w:rPr>
        <w:rtl/>
      </w:rPr>
      <w:instrText xml:space="preserve"> </w:instrText>
    </w:r>
    <w:r>
      <w:rPr>
        <w:rtl/>
      </w:rPr>
      <w:fldChar w:fldCharType="separate"/>
    </w:r>
    <w:r w:rsidR="003B0765">
      <w:rPr>
        <w:noProof/>
        <w:rtl/>
      </w:rPr>
      <w:t>60</w:t>
    </w:r>
    <w:r>
      <w:rPr>
        <w:rtl/>
      </w:rPr>
      <w:fldChar w:fldCharType="end"/>
    </w:r>
    <w:r>
      <w:t xml:space="preserve"> - </w:t>
    </w:r>
  </w:p>
  <w:p w:rsidR="004321D8" w:rsidP="00DA16DE">
    <w:pPr>
      <w:pStyle w:val="Header"/>
      <w:jc w:val="right"/>
    </w:pPr>
    <w:r>
      <w:rPr>
        <w:rFonts w:hint="cs"/>
        <w:rtl/>
      </w:rPr>
      <w:t>דוח 71א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21D8" w:rsidP="00DA16DE">
    <w:pPr>
      <w:pStyle w:val="Header"/>
      <w:jc w:val="right"/>
    </w:pPr>
    <w:r>
      <w:rPr>
        <w:rFonts w:hint="cs"/>
        <w:rtl/>
      </w:rPr>
      <w:t>דוח 71א</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384pt" o:bullet="t">
        <v:imagedata r:id="rId1" o:title="light-bulb"/>
      </v:shape>
    </w:pict>
  </w:numPicBullet>
  <w:abstractNum w:abstractNumId="0">
    <w:nsid w:val="002E195D"/>
    <w:multiLevelType w:val="hybridMultilevel"/>
    <w:tmpl w:val="8B40BE9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C4616A"/>
    <w:multiLevelType w:val="hybridMultilevel"/>
    <w:tmpl w:val="CBB201B6"/>
    <w:lvl w:ilvl="0">
      <w:start w:val="1"/>
      <w:numFmt w:val="decimal"/>
      <w:lvlText w:val="%1."/>
      <w:lvlJc w:val="left"/>
      <w:pPr>
        <w:ind w:left="810" w:hanging="45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22B5D2E"/>
    <w:multiLevelType w:val="hybridMultilevel"/>
    <w:tmpl w:val="39F038B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2BB77F0"/>
    <w:multiLevelType w:val="hybridMultilevel"/>
    <w:tmpl w:val="FFA85D2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4CF17C3"/>
    <w:multiLevelType w:val="hybridMultilevel"/>
    <w:tmpl w:val="25FC82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C8164DD"/>
    <w:multiLevelType w:val="hybridMultilevel"/>
    <w:tmpl w:val="A1EA065A"/>
    <w:lvl w:ilvl="0">
      <w:start w:val="1"/>
      <w:numFmt w:val="bullet"/>
      <w:lvlText w:val=""/>
      <w:lvlJc w:val="left"/>
      <w:pPr>
        <w:ind w:left="360" w:hanging="360"/>
      </w:pPr>
      <w:rPr>
        <w:rFonts w:ascii="Wingdings" w:hAnsi="Wingdings" w:cs="Wingdings" w:hint="default"/>
        <w:b/>
        <w:i w:val="0"/>
        <w:caps w:val="0"/>
        <w:strike w:val="0"/>
        <w:dstrike w:val="0"/>
        <w:vanish w:val="0"/>
        <w:color w:val="00B05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
    <w:nsid w:val="10CA521D"/>
    <w:multiLevelType w:val="hybridMultilevel"/>
    <w:tmpl w:val="8B360B70"/>
    <w:lvl w:ilvl="0">
      <w:start w:val="1"/>
      <w:numFmt w:val="decimal"/>
      <w:lvlText w:val="%1."/>
      <w:lvlJc w:val="left"/>
      <w:pPr>
        <w:ind w:left="720" w:hanging="360"/>
      </w:pPr>
      <w:rPr>
        <w:b w:val="0"/>
        <w:bCs w:val="0"/>
      </w:rPr>
    </w:lvl>
    <w:lvl w:ilvl="1">
      <w:start w:val="1"/>
      <w:numFmt w:val="hebrew1"/>
      <w:lvlText w:val="%2."/>
      <w:lvlJc w:val="center"/>
      <w:pPr>
        <w:ind w:left="1440" w:hanging="360"/>
      </w:pPr>
      <w:rPr>
        <w:b w:val="0"/>
        <w:b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3D03687"/>
    <w:multiLevelType w:val="hybridMultilevel"/>
    <w:tmpl w:val="2828DF58"/>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
    <w:nsid w:val="15A45DD2"/>
    <w:multiLevelType w:val="hybridMultilevel"/>
    <w:tmpl w:val="17A2295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9">
    <w:nsid w:val="18384DB0"/>
    <w:multiLevelType w:val="hybridMultilevel"/>
    <w:tmpl w:val="0144064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D934EA3"/>
    <w:multiLevelType w:val="hybridMultilevel"/>
    <w:tmpl w:val="6A4C4C4C"/>
    <w:lvl w:ilvl="0">
      <w:start w:val="1"/>
      <w:numFmt w:val="decimal"/>
      <w:lvlText w:val="%1."/>
      <w:lvlJc w:val="left"/>
      <w:pPr>
        <w:ind w:left="720" w:hanging="360"/>
      </w:pPr>
      <w:rPr>
        <w:rFonts w:hint="default"/>
        <w:b/>
        <w:bCs/>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8CC64F6"/>
    <w:multiLevelType w:val="hybridMultilevel"/>
    <w:tmpl w:val="AC441AF2"/>
    <w:lvl w:ilvl="0">
      <w:start w:val="1"/>
      <w:numFmt w:val="hebrew1"/>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28C50E2"/>
    <w:multiLevelType w:val="hybridMultilevel"/>
    <w:tmpl w:val="0826F9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6F76C74"/>
    <w:multiLevelType w:val="hybridMultilevel"/>
    <w:tmpl w:val="C7FA75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A6877BF"/>
    <w:multiLevelType w:val="hybridMultilevel"/>
    <w:tmpl w:val="48E26F42"/>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5">
    <w:nsid w:val="3BC531EE"/>
    <w:multiLevelType w:val="hybridMultilevel"/>
    <w:tmpl w:val="5ABE7EC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6">
    <w:nsid w:val="3FD6457B"/>
    <w:multiLevelType w:val="hybridMultilevel"/>
    <w:tmpl w:val="B33EDED8"/>
    <w:lvl w:ilvl="0">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4B0C4DED"/>
    <w:multiLevelType w:val="hybridMultilevel"/>
    <w:tmpl w:val="4BC8C4B0"/>
    <w:lvl w:ilvl="0">
      <w:start w:val="7"/>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0C83CD8"/>
    <w:multiLevelType w:val="hybridMultilevel"/>
    <w:tmpl w:val="ADAE911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2984A24"/>
    <w:multiLevelType w:val="hybridMultilevel"/>
    <w:tmpl w:val="880E0534"/>
    <w:lvl w:ilvl="0">
      <w:start w:val="1"/>
      <w:numFmt w:val="decimal"/>
      <w:lvlText w:val="%1."/>
      <w:lvlJc w:val="left"/>
      <w:pPr>
        <w:ind w:left="810" w:hanging="45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33710E0"/>
    <w:multiLevelType w:val="hybridMultilevel"/>
    <w:tmpl w:val="8F5E7CF8"/>
    <w:lvl w:ilvl="0">
      <w:start w:val="1"/>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3A86DAA"/>
    <w:multiLevelType w:val="hybridMultilevel"/>
    <w:tmpl w:val="7D9A1C02"/>
    <w:lvl w:ilvl="0">
      <w:start w:val="1"/>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6005416"/>
    <w:multiLevelType w:val="hybridMultilevel"/>
    <w:tmpl w:val="3EEC5A0E"/>
    <w:lvl w:ilvl="0">
      <w:start w:val="0"/>
      <w:numFmt w:val="bullet"/>
      <w:lvlText w:val=""/>
      <w:lvlJc w:val="left"/>
      <w:pPr>
        <w:ind w:left="720" w:hanging="360"/>
      </w:pPr>
      <w:rPr>
        <w:rFonts w:ascii="Symbol" w:eastAsia="Calibri" w:hAnsi="Symbol" w:cs="David" w:hint="default"/>
      </w:rPr>
    </w:lvl>
    <w:lvl w:ilvl="1">
      <w:start w:val="1"/>
      <w:numFmt w:val="bullet"/>
      <w:lvlText w:val="o"/>
      <w:lvlJc w:val="left"/>
      <w:pPr>
        <w:ind w:left="1440" w:hanging="360"/>
      </w:pPr>
      <w:rPr>
        <w:rFonts w:ascii="Courier New" w:hAnsi="Courier New" w:cs="Courier New" w:hint="default"/>
        <w:lang w:bidi="he-IL"/>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6699458C"/>
    <w:multiLevelType w:val="hybridMultilevel"/>
    <w:tmpl w:val="BB9E2B2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lang w:bidi="he-IL"/>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4">
    <w:nsid w:val="6CD745AF"/>
    <w:multiLevelType w:val="multilevel"/>
    <w:tmpl w:val="2AAEBBD0"/>
    <w:lvl w:ilvl="0">
      <w:start w:val="1"/>
      <w:numFmt w:val="decimal"/>
      <w:pStyle w:val="a10"/>
      <w:isLgl/>
      <w:lvlText w:val="%1."/>
      <w:lvlJc w:val="left"/>
      <w:pPr>
        <w:tabs>
          <w:tab w:val="num" w:pos="720"/>
        </w:tabs>
        <w:ind w:left="720" w:hanging="720"/>
      </w:pPr>
      <w:rPr>
        <w:rFonts w:cs="David" w:hint="cs"/>
        <w:spacing w:val="-4"/>
        <w:sz w:val="24"/>
        <w:szCs w:val="24"/>
      </w:rPr>
    </w:lvl>
    <w:lvl w:ilvl="1">
      <w:start w:val="1"/>
      <w:numFmt w:val="decimal"/>
      <w:isLgl/>
      <w:lvlText w:val="%1.%2"/>
      <w:lvlJc w:val="left"/>
      <w:pPr>
        <w:tabs>
          <w:tab w:val="num" w:pos="1440"/>
        </w:tabs>
        <w:ind w:left="1440" w:hanging="720"/>
      </w:pPr>
      <w:rPr>
        <w:rFonts w:cs="David" w:hint="cs"/>
        <w:spacing w:val="-2"/>
        <w:sz w:val="24"/>
        <w:szCs w:val="24"/>
      </w:rPr>
    </w:lvl>
    <w:lvl w:ilvl="2">
      <w:start w:val="1"/>
      <w:numFmt w:val="decimal"/>
      <w:isLgl/>
      <w:lvlText w:val="%1.%2.%3"/>
      <w:lvlJc w:val="left"/>
      <w:pPr>
        <w:tabs>
          <w:tab w:val="num" w:pos="2160"/>
        </w:tabs>
        <w:ind w:left="2160" w:hanging="720"/>
      </w:pPr>
      <w:rPr>
        <w:rFonts w:cs="David" w:hint="cs"/>
        <w:spacing w:val="-6"/>
        <w:sz w:val="24"/>
        <w:szCs w:val="24"/>
      </w:rPr>
    </w:lvl>
    <w:lvl w:ilvl="3">
      <w:start w:val="1"/>
      <w:numFmt w:val="decimal"/>
      <w:isLgl/>
      <w:lvlText w:val="%1.%2.%3.%4."/>
      <w:lvlJc w:val="left"/>
      <w:pPr>
        <w:tabs>
          <w:tab w:val="num" w:pos="2880"/>
        </w:tabs>
        <w:ind w:left="2880" w:hanging="720"/>
      </w:pPr>
      <w:rPr>
        <w:rFonts w:cs="David" w:hint="cs"/>
        <w:spacing w:val="-8"/>
        <w:kern w:val="24"/>
        <w:sz w:val="24"/>
        <w:szCs w:val="24"/>
      </w:rPr>
    </w:lvl>
    <w:lvl w:ilvl="4">
      <w:start w:val="1"/>
      <w:numFmt w:val="decimal"/>
      <w:isLgl/>
      <w:lvlText w:val="%1.%2.%3.%4.%5."/>
      <w:lvlJc w:val="left"/>
      <w:pPr>
        <w:tabs>
          <w:tab w:val="num" w:pos="3960"/>
        </w:tabs>
        <w:ind w:left="3960" w:hanging="1080"/>
      </w:pPr>
      <w:rPr>
        <w:rFonts w:cs="David" w:hint="default"/>
        <w:spacing w:val="0"/>
        <w:sz w:val="24"/>
        <w:szCs w:val="24"/>
      </w:rPr>
    </w:lvl>
    <w:lvl w:ilvl="5">
      <w:start w:val="1"/>
      <w:numFmt w:val="decimal"/>
      <w:isLgl/>
      <w:lvlText w:val="%1.%2.%3.%4.%5.%6."/>
      <w:lvlJc w:val="left"/>
      <w:pPr>
        <w:tabs>
          <w:tab w:val="num" w:pos="4680"/>
        </w:tabs>
        <w:ind w:left="4680" w:hanging="1080"/>
      </w:pPr>
      <w:rPr>
        <w:rFonts w:cs="David" w:hint="default"/>
        <w:spacing w:val="0"/>
        <w:sz w:val="24"/>
        <w:szCs w:val="24"/>
      </w:rPr>
    </w:lvl>
    <w:lvl w:ilvl="6">
      <w:start w:val="1"/>
      <w:numFmt w:val="decimal"/>
      <w:isLgl/>
      <w:lvlText w:val="%1.%2.%3.%4.%5.%6.%7."/>
      <w:lvlJc w:val="left"/>
      <w:pPr>
        <w:tabs>
          <w:tab w:val="num" w:pos="5760"/>
        </w:tabs>
        <w:ind w:left="5760" w:hanging="1440"/>
      </w:pPr>
      <w:rPr>
        <w:rFonts w:hint="default"/>
        <w:spacing w:val="0"/>
        <w:sz w:val="24"/>
      </w:rPr>
    </w:lvl>
    <w:lvl w:ilvl="7">
      <w:start w:val="1"/>
      <w:numFmt w:val="decimal"/>
      <w:isLgl/>
      <w:lvlText w:val="%1.%2.%3.%4.%5.%6.%7.%8."/>
      <w:lvlJc w:val="left"/>
      <w:pPr>
        <w:tabs>
          <w:tab w:val="num" w:pos="6480"/>
        </w:tabs>
        <w:ind w:left="6480" w:hanging="1440"/>
      </w:pPr>
      <w:rPr>
        <w:rFonts w:hint="default"/>
        <w:spacing w:val="0"/>
        <w:sz w:val="24"/>
      </w:rPr>
    </w:lvl>
    <w:lvl w:ilvl="8">
      <w:start w:val="1"/>
      <w:numFmt w:val="decimal"/>
      <w:isLgl/>
      <w:lvlText w:val="%1.%2.%3.%4.%5.%6.%7.%8.%9."/>
      <w:lvlJc w:val="left"/>
      <w:pPr>
        <w:tabs>
          <w:tab w:val="num" w:pos="7200"/>
        </w:tabs>
        <w:ind w:left="7200" w:hanging="1440"/>
      </w:pPr>
      <w:rPr>
        <w:rFonts w:hint="default"/>
        <w:spacing w:val="0"/>
        <w:sz w:val="24"/>
      </w:rPr>
    </w:lvl>
  </w:abstractNum>
  <w:abstractNum w:abstractNumId="25">
    <w:nsid w:val="6F502E93"/>
    <w:multiLevelType w:val="hybridMultilevel"/>
    <w:tmpl w:val="B9B85FEE"/>
    <w:lvl w:ilvl="0">
      <w:start w:val="7"/>
      <w:numFmt w:val="bullet"/>
      <w:lvlText w:val=""/>
      <w:lvlJc w:val="left"/>
      <w:pPr>
        <w:ind w:left="720" w:hanging="360"/>
      </w:pPr>
      <w:rPr>
        <w:rFonts w:ascii="Symbol" w:hAnsi="Symbol" w:eastAsiaTheme="minorHAnsi"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768C1809"/>
    <w:multiLevelType w:val="hybridMultilevel"/>
    <w:tmpl w:val="3EEC390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7A6E2D29"/>
    <w:multiLevelType w:val="hybridMultilevel"/>
    <w:tmpl w:val="8A660D60"/>
    <w:lvl w:ilvl="0">
      <w:start w:val="1"/>
      <w:numFmt w:val="decimal"/>
      <w:lvlText w:val="%1."/>
      <w:lvlJc w:val="left"/>
      <w:pPr>
        <w:ind w:left="720" w:hanging="360"/>
      </w:pPr>
    </w:lvl>
    <w:lvl w:ilvl="1">
      <w:start w:val="1"/>
      <w:numFmt w:val="decimal"/>
      <w:lvlText w:val="%2."/>
      <w:lvlJc w:val="center"/>
      <w:pPr>
        <w:ind w:left="1440" w:hanging="360"/>
      </w:pPr>
      <w:rPr>
        <w:rFonts w:ascii="Times New Roman" w:eastAsia="Times New Roman" w:hAnsi="Times New Roman" w:cs="FrankRueh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3"/>
  </w:num>
  <w:num w:numId="3">
    <w:abstractNumId w:val="5"/>
  </w:num>
  <w:num w:numId="4">
    <w:abstractNumId w:val="13"/>
  </w:num>
  <w:num w:numId="5">
    <w:abstractNumId w:val="22"/>
  </w:num>
  <w:num w:numId="6">
    <w:abstractNumId w:val="15"/>
  </w:num>
  <w:num w:numId="7">
    <w:abstractNumId w:val="7"/>
  </w:num>
  <w:num w:numId="8">
    <w:abstractNumId w:val="8"/>
  </w:num>
  <w:num w:numId="9">
    <w:abstractNumId w:val="21"/>
  </w:num>
  <w:num w:numId="10">
    <w:abstractNumId w:val="14"/>
  </w:num>
  <w:num w:numId="11">
    <w:abstractNumId w:val="20"/>
  </w:num>
  <w:num w:numId="12">
    <w:abstractNumId w:val="17"/>
  </w:num>
  <w:num w:numId="13">
    <w:abstractNumId w:val="25"/>
  </w:num>
  <w:num w:numId="14">
    <w:abstractNumId w:val="27"/>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9"/>
  </w:num>
  <w:num w:numId="18">
    <w:abstractNumId w:val="1"/>
  </w:num>
  <w:num w:numId="19">
    <w:abstractNumId w:val="2"/>
  </w:num>
  <w:num w:numId="20">
    <w:abstractNumId w:val="4"/>
  </w:num>
  <w:num w:numId="21">
    <w:abstractNumId w:val="18"/>
  </w:num>
  <w:num w:numId="22">
    <w:abstractNumId w:val="9"/>
  </w:num>
  <w:num w:numId="23">
    <w:abstractNumId w:val="0"/>
  </w:num>
  <w:num w:numId="24">
    <w:abstractNumId w:val="3"/>
  </w:num>
  <w:num w:numId="25">
    <w:abstractNumId w:val="12"/>
  </w:num>
  <w:num w:numId="26">
    <w:abstractNumId w:val="24"/>
  </w:num>
  <w:num w:numId="27">
    <w:abstractNumId w:val="6"/>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39C"/>
    <w:rsid w:val="00003B77"/>
    <w:rsid w:val="00003CF4"/>
    <w:rsid w:val="00010DDD"/>
    <w:rsid w:val="0001735B"/>
    <w:rsid w:val="000267F4"/>
    <w:rsid w:val="00042837"/>
    <w:rsid w:val="000501A4"/>
    <w:rsid w:val="00051203"/>
    <w:rsid w:val="000532AA"/>
    <w:rsid w:val="0009590B"/>
    <w:rsid w:val="000B1102"/>
    <w:rsid w:val="000C3A6A"/>
    <w:rsid w:val="000C5E33"/>
    <w:rsid w:val="000C7459"/>
    <w:rsid w:val="000E013E"/>
    <w:rsid w:val="000E1577"/>
    <w:rsid w:val="000E550E"/>
    <w:rsid w:val="000F7725"/>
    <w:rsid w:val="00101D0F"/>
    <w:rsid w:val="00113E28"/>
    <w:rsid w:val="00114325"/>
    <w:rsid w:val="00124792"/>
    <w:rsid w:val="001341AA"/>
    <w:rsid w:val="00135A51"/>
    <w:rsid w:val="00152365"/>
    <w:rsid w:val="00156ADD"/>
    <w:rsid w:val="00163E9F"/>
    <w:rsid w:val="00166477"/>
    <w:rsid w:val="001730B0"/>
    <w:rsid w:val="00184048"/>
    <w:rsid w:val="001960B4"/>
    <w:rsid w:val="0019762E"/>
    <w:rsid w:val="001A613C"/>
    <w:rsid w:val="001B1BDC"/>
    <w:rsid w:val="001B2821"/>
    <w:rsid w:val="001C057E"/>
    <w:rsid w:val="001D5F55"/>
    <w:rsid w:val="001D7824"/>
    <w:rsid w:val="00203604"/>
    <w:rsid w:val="002064F7"/>
    <w:rsid w:val="00233E93"/>
    <w:rsid w:val="002353D6"/>
    <w:rsid w:val="00240887"/>
    <w:rsid w:val="00263521"/>
    <w:rsid w:val="00281D5A"/>
    <w:rsid w:val="0029356C"/>
    <w:rsid w:val="002962B6"/>
    <w:rsid w:val="002A7D21"/>
    <w:rsid w:val="002B07E7"/>
    <w:rsid w:val="002B08DB"/>
    <w:rsid w:val="002C1EE0"/>
    <w:rsid w:val="002C4139"/>
    <w:rsid w:val="002C6AAF"/>
    <w:rsid w:val="002D2F37"/>
    <w:rsid w:val="002F1BFB"/>
    <w:rsid w:val="00301153"/>
    <w:rsid w:val="00305CB3"/>
    <w:rsid w:val="00307460"/>
    <w:rsid w:val="003101C8"/>
    <w:rsid w:val="00323027"/>
    <w:rsid w:val="003258E2"/>
    <w:rsid w:val="00335032"/>
    <w:rsid w:val="00352E89"/>
    <w:rsid w:val="00360960"/>
    <w:rsid w:val="003630EF"/>
    <w:rsid w:val="0037370B"/>
    <w:rsid w:val="0037752E"/>
    <w:rsid w:val="00380052"/>
    <w:rsid w:val="00385111"/>
    <w:rsid w:val="00386042"/>
    <w:rsid w:val="003A6DD0"/>
    <w:rsid w:val="003B0765"/>
    <w:rsid w:val="003C64DA"/>
    <w:rsid w:val="003D3118"/>
    <w:rsid w:val="003D5615"/>
    <w:rsid w:val="003E58C2"/>
    <w:rsid w:val="003F2044"/>
    <w:rsid w:val="00404224"/>
    <w:rsid w:val="00416138"/>
    <w:rsid w:val="00417B35"/>
    <w:rsid w:val="004321D8"/>
    <w:rsid w:val="004333D4"/>
    <w:rsid w:val="0045798E"/>
    <w:rsid w:val="00476FCB"/>
    <w:rsid w:val="004779AA"/>
    <w:rsid w:val="004A0385"/>
    <w:rsid w:val="004C0F07"/>
    <w:rsid w:val="004C7D9F"/>
    <w:rsid w:val="004D6F9E"/>
    <w:rsid w:val="004F0E02"/>
    <w:rsid w:val="005006C5"/>
    <w:rsid w:val="00545AAD"/>
    <w:rsid w:val="00551B42"/>
    <w:rsid w:val="00574579"/>
    <w:rsid w:val="00580C5C"/>
    <w:rsid w:val="005A021D"/>
    <w:rsid w:val="005A2FD0"/>
    <w:rsid w:val="005B263A"/>
    <w:rsid w:val="005C4568"/>
    <w:rsid w:val="005E759B"/>
    <w:rsid w:val="00611B99"/>
    <w:rsid w:val="00617902"/>
    <w:rsid w:val="0062312F"/>
    <w:rsid w:val="00634DAD"/>
    <w:rsid w:val="00643297"/>
    <w:rsid w:val="006457EB"/>
    <w:rsid w:val="006531CB"/>
    <w:rsid w:val="0067094E"/>
    <w:rsid w:val="006A5638"/>
    <w:rsid w:val="006C66A1"/>
    <w:rsid w:val="006D4161"/>
    <w:rsid w:val="006D65C4"/>
    <w:rsid w:val="006D786C"/>
    <w:rsid w:val="006F285F"/>
    <w:rsid w:val="006F7059"/>
    <w:rsid w:val="00714BD8"/>
    <w:rsid w:val="0072179B"/>
    <w:rsid w:val="0072219B"/>
    <w:rsid w:val="007230D4"/>
    <w:rsid w:val="00732465"/>
    <w:rsid w:val="00735BA1"/>
    <w:rsid w:val="007474F0"/>
    <w:rsid w:val="00753ADE"/>
    <w:rsid w:val="00763DB6"/>
    <w:rsid w:val="00773F61"/>
    <w:rsid w:val="00796EBD"/>
    <w:rsid w:val="007A4EBD"/>
    <w:rsid w:val="007B112B"/>
    <w:rsid w:val="007B5B26"/>
    <w:rsid w:val="007B691A"/>
    <w:rsid w:val="007C1FF6"/>
    <w:rsid w:val="007D06CB"/>
    <w:rsid w:val="007D61B8"/>
    <w:rsid w:val="007F7FF2"/>
    <w:rsid w:val="00805B42"/>
    <w:rsid w:val="008102AD"/>
    <w:rsid w:val="00810E1E"/>
    <w:rsid w:val="0081631B"/>
    <w:rsid w:val="00816B20"/>
    <w:rsid w:val="0081708F"/>
    <w:rsid w:val="00822AF5"/>
    <w:rsid w:val="00831646"/>
    <w:rsid w:val="00837997"/>
    <w:rsid w:val="00867FC5"/>
    <w:rsid w:val="00885537"/>
    <w:rsid w:val="00892F80"/>
    <w:rsid w:val="008A1C81"/>
    <w:rsid w:val="008A426F"/>
    <w:rsid w:val="008B4F41"/>
    <w:rsid w:val="008C395A"/>
    <w:rsid w:val="008C6F75"/>
    <w:rsid w:val="008E3F62"/>
    <w:rsid w:val="008F058F"/>
    <w:rsid w:val="009015B2"/>
    <w:rsid w:val="009064A4"/>
    <w:rsid w:val="00906E90"/>
    <w:rsid w:val="00907D82"/>
    <w:rsid w:val="0091051D"/>
    <w:rsid w:val="009252D7"/>
    <w:rsid w:val="00935147"/>
    <w:rsid w:val="00936F84"/>
    <w:rsid w:val="009402EC"/>
    <w:rsid w:val="00940851"/>
    <w:rsid w:val="00943E50"/>
    <w:rsid w:val="00960527"/>
    <w:rsid w:val="009679D9"/>
    <w:rsid w:val="0097239C"/>
    <w:rsid w:val="00995FCA"/>
    <w:rsid w:val="009C121B"/>
    <w:rsid w:val="009C16DB"/>
    <w:rsid w:val="009D73F5"/>
    <w:rsid w:val="009E1A3F"/>
    <w:rsid w:val="009E5A8F"/>
    <w:rsid w:val="009F0BD3"/>
    <w:rsid w:val="009F2885"/>
    <w:rsid w:val="00A23840"/>
    <w:rsid w:val="00A2751C"/>
    <w:rsid w:val="00A41E59"/>
    <w:rsid w:val="00A54488"/>
    <w:rsid w:val="00A61896"/>
    <w:rsid w:val="00A61AD5"/>
    <w:rsid w:val="00A73038"/>
    <w:rsid w:val="00A75A48"/>
    <w:rsid w:val="00A76C99"/>
    <w:rsid w:val="00A81EBE"/>
    <w:rsid w:val="00A8230D"/>
    <w:rsid w:val="00AA58B9"/>
    <w:rsid w:val="00AC6B95"/>
    <w:rsid w:val="00AE3072"/>
    <w:rsid w:val="00AE4E24"/>
    <w:rsid w:val="00AF3320"/>
    <w:rsid w:val="00AF6468"/>
    <w:rsid w:val="00B00E5C"/>
    <w:rsid w:val="00B15135"/>
    <w:rsid w:val="00B52906"/>
    <w:rsid w:val="00B666B9"/>
    <w:rsid w:val="00B66C3E"/>
    <w:rsid w:val="00B76DC1"/>
    <w:rsid w:val="00B862C0"/>
    <w:rsid w:val="00BC5107"/>
    <w:rsid w:val="00BE2DD8"/>
    <w:rsid w:val="00C0386E"/>
    <w:rsid w:val="00C04648"/>
    <w:rsid w:val="00C2305A"/>
    <w:rsid w:val="00C23CC9"/>
    <w:rsid w:val="00C30B3D"/>
    <w:rsid w:val="00C33AE2"/>
    <w:rsid w:val="00C603CF"/>
    <w:rsid w:val="00C61B01"/>
    <w:rsid w:val="00C63933"/>
    <w:rsid w:val="00C66AB8"/>
    <w:rsid w:val="00C72F65"/>
    <w:rsid w:val="00C8096C"/>
    <w:rsid w:val="00C8100B"/>
    <w:rsid w:val="00C839A0"/>
    <w:rsid w:val="00C87287"/>
    <w:rsid w:val="00C92465"/>
    <w:rsid w:val="00C944ED"/>
    <w:rsid w:val="00CA245B"/>
    <w:rsid w:val="00CA41D2"/>
    <w:rsid w:val="00CA4F20"/>
    <w:rsid w:val="00CC50A1"/>
    <w:rsid w:val="00CD6C0F"/>
    <w:rsid w:val="00CF77CB"/>
    <w:rsid w:val="00D20111"/>
    <w:rsid w:val="00D22748"/>
    <w:rsid w:val="00D26918"/>
    <w:rsid w:val="00D30660"/>
    <w:rsid w:val="00D37121"/>
    <w:rsid w:val="00D55623"/>
    <w:rsid w:val="00D71A09"/>
    <w:rsid w:val="00D74ADC"/>
    <w:rsid w:val="00D779F7"/>
    <w:rsid w:val="00D80EB0"/>
    <w:rsid w:val="00D87542"/>
    <w:rsid w:val="00D95C20"/>
    <w:rsid w:val="00D97C16"/>
    <w:rsid w:val="00DA16DE"/>
    <w:rsid w:val="00DB7D5F"/>
    <w:rsid w:val="00DC1EA7"/>
    <w:rsid w:val="00DD5866"/>
    <w:rsid w:val="00DE1DAB"/>
    <w:rsid w:val="00DE20A2"/>
    <w:rsid w:val="00DF0B89"/>
    <w:rsid w:val="00E10843"/>
    <w:rsid w:val="00E35682"/>
    <w:rsid w:val="00E46EA3"/>
    <w:rsid w:val="00E51C1B"/>
    <w:rsid w:val="00E53DA7"/>
    <w:rsid w:val="00EA3A78"/>
    <w:rsid w:val="00EB55E2"/>
    <w:rsid w:val="00EC1C32"/>
    <w:rsid w:val="00EC48E7"/>
    <w:rsid w:val="00EC6B44"/>
    <w:rsid w:val="00ED0C9E"/>
    <w:rsid w:val="00EE37A3"/>
    <w:rsid w:val="00F15F55"/>
    <w:rsid w:val="00F4385E"/>
    <w:rsid w:val="00F627EB"/>
    <w:rsid w:val="00F73E98"/>
    <w:rsid w:val="00F75A10"/>
    <w:rsid w:val="00F77276"/>
    <w:rsid w:val="00F82CCB"/>
    <w:rsid w:val="00FA1776"/>
    <w:rsid w:val="00FB3F26"/>
    <w:rsid w:val="00FC3213"/>
    <w:rsid w:val="00FC48C6"/>
    <w:rsid w:val="00FE3CFB"/>
    <w:rsid w:val="00FF3B66"/>
    <w:rsid w:val="00FF5E54"/>
  </w:rsids>
  <w:docVars>
    <w:docVar w:name="btnwarning" w:val="1"/>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65BB8BF1-D620-48A9-B010-2D047B6EF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nhideWhenUsed/>
    <w:rsid w:val="000501A4"/>
    <w:pPr>
      <w:spacing w:before="120" w:line="240" w:lineRule="auto"/>
    </w:pPr>
  </w:style>
  <w:style w:type="character" w:customStyle="1" w:styleId="a3">
    <w:name w:val="תאריך תו"/>
    <w:basedOn w:val="DefaultParagraphFont"/>
    <w:link w:val="Date"/>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a4"/>
    <w:uiPriority w:val="99"/>
    <w:rsid w:val="00574579"/>
    <w:pPr>
      <w:spacing w:line="240" w:lineRule="auto"/>
      <w:ind w:left="720" w:hanging="720"/>
    </w:pPr>
    <w:rPr>
      <w:szCs w:val="20"/>
    </w:rPr>
  </w:style>
  <w:style w:type="character" w:customStyle="1" w:styleId="a4">
    <w:name w:val="טקסט הערת שוליים תו"/>
    <w:aliases w:val=" Char תו,FOOTNOTES תו,Footnote Text - Sharp Char Char תו,Footnote Text - Sharp Char תו,Footnote Text - Sharp תו,Footnote Text Char Char Char Char Char תו,Footnote reference תו,Sharp - Footnote Text תו,Sharp - Footnote Text1 Char תו"/>
    <w:basedOn w:val="DefaultParagraphFont"/>
    <w:link w:val="FootnoteText"/>
    <w:uiPriority w:val="99"/>
    <w:rsid w:val="00574579"/>
    <w:rPr>
      <w:szCs w:val="20"/>
    </w:rPr>
  </w:style>
  <w:style w:type="character" w:styleId="FootnoteReference1">
    <w:name w:val="footnote reference"/>
    <w:aliases w:val="Footnote Reference_0,Footnote Reference_1"/>
    <w:basedOn w:val="DefaultParagraphFont"/>
    <w:uiPriority w:val="99"/>
    <w:unhideWhenUsed/>
    <w:rsid w:val="000501A4"/>
    <w:rPr>
      <w:vertAlign w:val="superscript"/>
    </w:rPr>
  </w:style>
  <w:style w:type="paragraph" w:styleId="ListParagraph">
    <w:name w:val="List Paragraph"/>
    <w:basedOn w:val="Normal"/>
    <w:link w:val="a8"/>
    <w:uiPriority w:val="34"/>
    <w:qFormat/>
    <w:rsid w:val="0097239C"/>
    <w:pPr>
      <w:spacing w:after="200" w:line="276" w:lineRule="auto"/>
      <w:ind w:left="720"/>
      <w:contextualSpacing/>
      <w:jc w:val="left"/>
    </w:pPr>
    <w:rPr>
      <w:rFonts w:asciiTheme="minorHAnsi" w:hAnsiTheme="minorHAnsi" w:cstheme="minorBidi"/>
      <w:sz w:val="22"/>
      <w:szCs w:val="22"/>
    </w:rPr>
  </w:style>
  <w:style w:type="table" w:styleId="TableGrid">
    <w:name w:val="Table Grid"/>
    <w:basedOn w:val="TableNormal"/>
    <w:uiPriority w:val="39"/>
    <w:rsid w:val="0097239C"/>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97239C"/>
    <w:pPr>
      <w:spacing w:line="240" w:lineRule="auto"/>
      <w:jc w:val="left"/>
    </w:pPr>
    <w:rPr>
      <w:rFonts w:ascii="Tahoma" w:hAnsi="Tahoma" w:cs="Tahoma"/>
      <w:sz w:val="18"/>
      <w:szCs w:val="18"/>
    </w:rPr>
  </w:style>
  <w:style w:type="character" w:customStyle="1" w:styleId="a5">
    <w:name w:val="טקסט בלונים תו"/>
    <w:basedOn w:val="DefaultParagraphFont"/>
    <w:link w:val="BalloonText"/>
    <w:uiPriority w:val="99"/>
    <w:semiHidden/>
    <w:rsid w:val="0097239C"/>
    <w:rPr>
      <w:rFonts w:ascii="Tahoma" w:hAnsi="Tahoma" w:cs="Tahoma"/>
      <w:sz w:val="18"/>
      <w:szCs w:val="18"/>
    </w:rPr>
  </w:style>
  <w:style w:type="character" w:styleId="CommentReference">
    <w:name w:val="annotation reference"/>
    <w:basedOn w:val="DefaultParagraphFont"/>
    <w:uiPriority w:val="99"/>
    <w:semiHidden/>
    <w:unhideWhenUsed/>
    <w:rsid w:val="0097239C"/>
    <w:rPr>
      <w:sz w:val="16"/>
      <w:szCs w:val="16"/>
    </w:rPr>
  </w:style>
  <w:style w:type="paragraph" w:styleId="CommentText">
    <w:name w:val="annotation text"/>
    <w:basedOn w:val="Normal"/>
    <w:link w:val="a6"/>
    <w:uiPriority w:val="99"/>
    <w:unhideWhenUsed/>
    <w:rsid w:val="0097239C"/>
    <w:pPr>
      <w:spacing w:after="200" w:line="240" w:lineRule="auto"/>
      <w:jc w:val="left"/>
    </w:pPr>
    <w:rPr>
      <w:rFonts w:asciiTheme="minorHAnsi" w:hAnsiTheme="minorHAnsi" w:cstheme="minorBidi"/>
      <w:szCs w:val="20"/>
    </w:rPr>
  </w:style>
  <w:style w:type="character" w:customStyle="1" w:styleId="a6">
    <w:name w:val="טקסט הערה תו"/>
    <w:basedOn w:val="DefaultParagraphFont"/>
    <w:link w:val="CommentText"/>
    <w:uiPriority w:val="99"/>
    <w:rsid w:val="0097239C"/>
    <w:rPr>
      <w:rFonts w:asciiTheme="minorHAnsi" w:hAnsiTheme="minorHAnsi" w:cstheme="minorBidi"/>
      <w:szCs w:val="20"/>
    </w:rPr>
  </w:style>
  <w:style w:type="paragraph" w:styleId="CommentSubject">
    <w:name w:val="annotation subject"/>
    <w:basedOn w:val="CommentText"/>
    <w:next w:val="CommentText"/>
    <w:link w:val="a7"/>
    <w:uiPriority w:val="99"/>
    <w:semiHidden/>
    <w:unhideWhenUsed/>
    <w:rsid w:val="0097239C"/>
    <w:rPr>
      <w:b/>
      <w:bCs/>
    </w:rPr>
  </w:style>
  <w:style w:type="character" w:customStyle="1" w:styleId="a7">
    <w:name w:val="נושא הערה תו"/>
    <w:basedOn w:val="a6"/>
    <w:link w:val="CommentSubject"/>
    <w:uiPriority w:val="99"/>
    <w:semiHidden/>
    <w:rsid w:val="0097239C"/>
    <w:rPr>
      <w:rFonts w:asciiTheme="minorHAnsi" w:hAnsiTheme="minorHAnsi" w:cstheme="minorBidi"/>
      <w:b/>
      <w:bCs/>
      <w:szCs w:val="20"/>
    </w:rPr>
  </w:style>
  <w:style w:type="character" w:customStyle="1" w:styleId="a8">
    <w:name w:val="פיסקת רשימה תו"/>
    <w:link w:val="ListParagraph"/>
    <w:uiPriority w:val="34"/>
    <w:rsid w:val="0097239C"/>
    <w:rPr>
      <w:rFonts w:asciiTheme="minorHAnsi" w:hAnsiTheme="minorHAnsi" w:cstheme="minorBidi"/>
      <w:sz w:val="22"/>
      <w:szCs w:val="22"/>
    </w:rPr>
  </w:style>
  <w:style w:type="paragraph" w:styleId="NormalWeb">
    <w:name w:val="Normal (Web)"/>
    <w:basedOn w:val="Normal"/>
    <w:uiPriority w:val="99"/>
    <w:semiHidden/>
    <w:unhideWhenUsed/>
    <w:rsid w:val="0097239C"/>
    <w:pPr>
      <w:bidi w:val="0"/>
      <w:spacing w:before="100" w:beforeAutospacing="1" w:after="100" w:afterAutospacing="1" w:line="240" w:lineRule="auto"/>
      <w:jc w:val="left"/>
    </w:pPr>
    <w:rPr>
      <w:rFonts w:eastAsia="Times New Roman" w:cs="Times New Roman"/>
      <w:sz w:val="24"/>
    </w:rPr>
  </w:style>
  <w:style w:type="numbering" w:customStyle="1" w:styleId="10">
    <w:name w:val="ללא רשימה1"/>
    <w:next w:val="NoList"/>
    <w:uiPriority w:val="99"/>
    <w:semiHidden/>
    <w:unhideWhenUsed/>
    <w:rsid w:val="0097239C"/>
  </w:style>
  <w:style w:type="table" w:customStyle="1" w:styleId="11">
    <w:name w:val="רשת טבלה1"/>
    <w:basedOn w:val="TableNormal"/>
    <w:next w:val="TableGrid"/>
    <w:uiPriority w:val="59"/>
    <w:rsid w:val="009723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טבלת רשת 1 בהירה - הדגשה 11"/>
    <w:basedOn w:val="TableNormal"/>
    <w:uiPriority w:val="46"/>
    <w:rsid w:val="0097239C"/>
    <w:pPr>
      <w:spacing w:after="0" w:line="240" w:lineRule="auto"/>
      <w:jc w:val="left"/>
    </w:pPr>
    <w:rPr>
      <w:rFonts w:asciiTheme="minorHAnsi" w:hAnsiTheme="minorHAnsi" w:cstheme="minorBidi"/>
      <w:sz w:val="22"/>
      <w:szCs w:val="2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dnoteText">
    <w:name w:val="endnote text"/>
    <w:basedOn w:val="Normal"/>
    <w:link w:val="a9"/>
    <w:uiPriority w:val="99"/>
    <w:semiHidden/>
    <w:unhideWhenUsed/>
    <w:rsid w:val="0097239C"/>
    <w:pPr>
      <w:spacing w:line="240" w:lineRule="auto"/>
    </w:pPr>
    <w:rPr>
      <w:szCs w:val="20"/>
    </w:rPr>
  </w:style>
  <w:style w:type="character" w:customStyle="1" w:styleId="a9">
    <w:name w:val="טקסט הערת סיום תו"/>
    <w:basedOn w:val="DefaultParagraphFont"/>
    <w:link w:val="EndnoteText"/>
    <w:uiPriority w:val="99"/>
    <w:semiHidden/>
    <w:rsid w:val="0097239C"/>
    <w:rPr>
      <w:szCs w:val="20"/>
    </w:rPr>
  </w:style>
  <w:style w:type="character" w:styleId="EndnoteReference">
    <w:name w:val="endnote reference"/>
    <w:basedOn w:val="DefaultParagraphFont"/>
    <w:uiPriority w:val="99"/>
    <w:semiHidden/>
    <w:unhideWhenUsed/>
    <w:rsid w:val="0097239C"/>
    <w:rPr>
      <w:vertAlign w:val="superscript"/>
    </w:rPr>
  </w:style>
  <w:style w:type="character" w:styleId="Emphasis">
    <w:name w:val="Emphasis"/>
    <w:basedOn w:val="DefaultParagraphFont"/>
    <w:uiPriority w:val="20"/>
    <w:qFormat/>
    <w:rsid w:val="0097239C"/>
    <w:rPr>
      <w:i/>
      <w:iCs/>
    </w:rPr>
  </w:style>
  <w:style w:type="table" w:customStyle="1" w:styleId="12">
    <w:name w:val="רשת טבלה בהירה1"/>
    <w:basedOn w:val="TableNormal"/>
    <w:uiPriority w:val="40"/>
    <w:rsid w:val="009723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טבלה רגילה 11"/>
    <w:basedOn w:val="TableNormal"/>
    <w:uiPriority w:val="41"/>
    <w:rsid w:val="009723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97239C"/>
    <w:rPr>
      <w:color w:val="0000FF"/>
      <w:u w:val="single"/>
    </w:rPr>
  </w:style>
  <w:style w:type="paragraph" w:customStyle="1" w:styleId="HeadHatzaotHok">
    <w:name w:val="Head HatzaotHok"/>
    <w:basedOn w:val="Normal"/>
    <w:rsid w:val="0097239C"/>
    <w:pPr>
      <w:keepNext/>
      <w:keepLines/>
      <w:widowControl w:val="0"/>
      <w:autoSpaceDE w:val="0"/>
      <w:autoSpaceDN w:val="0"/>
      <w:adjustRightInd w:val="0"/>
      <w:snapToGrid w:val="0"/>
      <w:spacing w:before="240" w:line="360" w:lineRule="auto"/>
      <w:jc w:val="center"/>
      <w:textAlignment w:val="center"/>
    </w:pPr>
    <w:rPr>
      <w:rFonts w:ascii="Arial" w:eastAsia="Arial Unicode MS" w:hAnsi="Arial"/>
      <w:b/>
      <w:bCs/>
      <w:snapToGrid w:val="0"/>
      <w:color w:val="000000"/>
      <w:szCs w:val="26"/>
      <w:lang w:eastAsia="ja-JP"/>
    </w:rPr>
  </w:style>
  <w:style w:type="paragraph" w:customStyle="1" w:styleId="blanktag">
    <w:name w:val="blanktag"/>
    <w:basedOn w:val="Normal"/>
    <w:rsid w:val="0097239C"/>
    <w:pPr>
      <w:bidi w:val="0"/>
      <w:spacing w:before="100" w:beforeAutospacing="1" w:after="100" w:afterAutospacing="1" w:line="240" w:lineRule="auto"/>
      <w:jc w:val="left"/>
    </w:pPr>
    <w:rPr>
      <w:rFonts w:eastAsia="Times New Roman" w:cs="Times New Roman"/>
      <w:sz w:val="24"/>
    </w:rPr>
  </w:style>
  <w:style w:type="paragraph" w:customStyle="1" w:styleId="takzir">
    <w:name w:val="takzir"/>
    <w:basedOn w:val="Normal"/>
    <w:rsid w:val="0097239C"/>
    <w:pPr>
      <w:spacing w:after="120" w:line="240" w:lineRule="exact"/>
    </w:pPr>
    <w:rPr>
      <w:rFonts w:eastAsia="Times New Roman"/>
      <w:b/>
      <w:bCs/>
      <w:noProof/>
      <w:sz w:val="22"/>
      <w:szCs w:val="22"/>
      <w:lang w:eastAsia="he-IL"/>
    </w:rPr>
  </w:style>
  <w:style w:type="paragraph" w:styleId="TOCHeading">
    <w:name w:val="TOC Heading"/>
    <w:basedOn w:val="Heading1"/>
    <w:next w:val="Normal"/>
    <w:uiPriority w:val="39"/>
    <w:unhideWhenUsed/>
    <w:qFormat/>
    <w:rsid w:val="0097239C"/>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3">
    <w:name w:val="toc 3"/>
    <w:basedOn w:val="Normal"/>
    <w:next w:val="Normal"/>
    <w:autoRedefine/>
    <w:uiPriority w:val="39"/>
    <w:unhideWhenUsed/>
    <w:rsid w:val="0097239C"/>
    <w:pPr>
      <w:spacing w:after="100"/>
      <w:ind w:left="400"/>
    </w:pPr>
  </w:style>
  <w:style w:type="paragraph" w:styleId="TOC1">
    <w:name w:val="toc 1"/>
    <w:basedOn w:val="Normal"/>
    <w:next w:val="Normal"/>
    <w:autoRedefine/>
    <w:uiPriority w:val="39"/>
    <w:unhideWhenUsed/>
    <w:rsid w:val="0097239C"/>
    <w:pPr>
      <w:spacing w:after="100"/>
    </w:pPr>
  </w:style>
  <w:style w:type="paragraph" w:styleId="TOC2">
    <w:name w:val="toc 2"/>
    <w:basedOn w:val="Normal"/>
    <w:next w:val="Normal"/>
    <w:autoRedefine/>
    <w:uiPriority w:val="39"/>
    <w:unhideWhenUsed/>
    <w:rsid w:val="0097239C"/>
    <w:pPr>
      <w:spacing w:after="100"/>
      <w:ind w:left="200"/>
    </w:pPr>
  </w:style>
  <w:style w:type="paragraph" w:styleId="Revision">
    <w:name w:val="Revision"/>
    <w:hidden/>
    <w:uiPriority w:val="99"/>
    <w:semiHidden/>
    <w:rsid w:val="0097239C"/>
    <w:pPr>
      <w:spacing w:after="0" w:line="240" w:lineRule="auto"/>
      <w:jc w:val="left"/>
    </w:pPr>
    <w:rPr>
      <w:rFonts w:asciiTheme="minorHAnsi" w:hAnsiTheme="minorHAnsi" w:cstheme="minorBidi"/>
      <w:sz w:val="22"/>
      <w:szCs w:val="22"/>
    </w:rPr>
  </w:style>
  <w:style w:type="paragraph" w:customStyle="1" w:styleId="a10">
    <w:name w:val="משפטי"/>
    <w:link w:val="a11"/>
    <w:qFormat/>
    <w:rsid w:val="0097239C"/>
    <w:pPr>
      <w:numPr>
        <w:numId w:val="26"/>
      </w:numPr>
      <w:bidi/>
      <w:spacing w:after="240" w:line="360" w:lineRule="auto"/>
    </w:pPr>
    <w:rPr>
      <w:rFonts w:eastAsia="David"/>
    </w:rPr>
  </w:style>
  <w:style w:type="character" w:customStyle="1" w:styleId="a11">
    <w:name w:val="משפטי תו"/>
    <w:link w:val="a10"/>
    <w:rsid w:val="0097239C"/>
    <w:rPr>
      <w:rFonts w:eastAsia="David"/>
    </w:rPr>
  </w:style>
  <w:style w:type="character" w:customStyle="1" w:styleId="13">
    <w:name w:val="כותרת תחתונה תו1"/>
    <w:basedOn w:val="DefaultParagraphFont"/>
    <w:uiPriority w:val="99"/>
    <w:rsid w:val="0097239C"/>
    <w:rPr>
      <w:rFonts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2.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styles" Target="styles.xml"/><Relationship Id="rId7" Type="http://schemas.openxmlformats.org/officeDocument/2006/relationships/image" Target="media/image2.jpeg"/><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40" Type="http://schemas.openxmlformats.org/officeDocument/2006/relationships/theme" Target="theme/theme1.xml"/><Relationship Id="rId6" Type="http://schemas.openxmlformats.org/officeDocument/2006/relationships/image" Target="media/image1.jpeg"/><Relationship Id="rId45" Type="http://schemas.openxmlformats.org/officeDocument/2006/relationships/customXml" Target="../customXml/item4.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eader" Target="header1.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ustomXml" Target="../customXml/item3.xm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 Type="http://schemas.openxmlformats.org/officeDocument/2006/relationships/fontTable" Target="fontTable.xml"/><Relationship Id="rId9" Type="http://schemas.openxmlformats.org/officeDocument/2006/relationships/image" Target="media/image4.jpeg"/><Relationship Id="rId43" Type="http://schemas.openxmlformats.org/officeDocument/2006/relationships/customXml" Target="../customXml/item2.xm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2.xml"/><Relationship Id="rId20" Type="http://schemas.openxmlformats.org/officeDocument/2006/relationships/image" Target="media/image15.jpeg"/><Relationship Id="rId41" Type="http://schemas.openxmlformats.org/officeDocument/2006/relationships/numbering" Target="numbering.xml"/></Relationships>
</file>

<file path=word/_rels/footnotes.xml.rels>&#65279;<?xml version="1.0" encoding="utf-8" standalone="yes"?><Relationships xmlns="http://schemas.openxmlformats.org/package/2006/relationships"><Relationship Id="rId1" Type="http://schemas.openxmlformats.org/officeDocument/2006/relationships/hyperlink" Target="https://he.wikipedia.org/wiki/%D7%90%D7%A0%D7%A8%D7%92%D7%99%D7%94" TargetMode="External" /><Relationship Id="rId2" Type="http://schemas.openxmlformats.org/officeDocument/2006/relationships/hyperlink" Target="https://he.wikipedia.org/wiki/%D7%98%D7%95%D7%9F_(%D7%9E%D7%A1%D7%94)" TargetMode="External" /><Relationship Id="rId3" Type="http://schemas.openxmlformats.org/officeDocument/2006/relationships/hyperlink" Target="https://he.wikipedia.org/wiki/%D7%92%D7%96_%D7%97%D7%9E%D7%9E%D7%94" TargetMode="External" /></Relationships>
</file>

<file path=word/_rels/numbering.xml.rels>&#65279;<?xml version="1.0" encoding="utf-8" standalone="yes"?><Relationships xmlns="http://schemas.openxmlformats.org/package/2006/relationships"><Relationship Id="rId1" Type="http://schemas.openxmlformats.org/officeDocument/2006/relationships/image" Target="media/image31.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2AA78F8-EFA4-4BB5-8547-DC502B8B94C2}">
  <ds:schemaRefs>
    <ds:schemaRef ds:uri="http://schemas.openxmlformats.org/officeDocument/2006/bibliography"/>
  </ds:schemaRefs>
</ds:datastoreItem>
</file>

<file path=customXml/itemProps2.xml><?xml version="1.0" encoding="utf-8"?>
<ds:datastoreItem xmlns:ds="http://schemas.openxmlformats.org/officeDocument/2006/customXml" ds:itemID="{C411D5D4-7E74-447C-91D6-865823FA7D59}"/>
</file>

<file path=customXml/itemProps3.xml><?xml version="1.0" encoding="utf-8"?>
<ds:datastoreItem xmlns:ds="http://schemas.openxmlformats.org/officeDocument/2006/customXml" ds:itemID="{AE997FD4-F339-4E71-ABDC-86575B845524}"/>
</file>

<file path=customXml/itemProps4.xml><?xml version="1.0" encoding="utf-8"?>
<ds:datastoreItem xmlns:ds="http://schemas.openxmlformats.org/officeDocument/2006/customXml" ds:itemID="{9085A4B1-EDE6-463D-B8CA-94CDC9452220}"/>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