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B53FF1" w:rsidRPr="00B53FF1" w:rsidP="00B53FF1">
      <w:pPr>
        <w:rPr>
          <w:rFonts w:ascii="Tahoma" w:hAnsi="Tahoma" w:cs="Tahoma"/>
          <w:bCs/>
          <w:u w:val="single"/>
          <w:rtl/>
        </w:rPr>
      </w:pPr>
      <w:bookmarkStart w:id="0" w:name="_GoBack"/>
      <w:bookmarkEnd w:id="0"/>
    </w:p>
    <w:tbl>
      <w:tblPr>
        <w:tblpPr w:leftFromText="180" w:rightFromText="180" w:vertAnchor="text" w:tblpXSpec="center" w:tblpY="1"/>
        <w:tblOverlap w:val="never"/>
        <w:bidiVisual/>
        <w:tblW w:w="9371" w:type="dxa"/>
        <w:tblBorders>
          <w:top w:val="single" w:sz="24" w:space="0" w:color="auto"/>
        </w:tblBorders>
        <w:tblLook w:val="04A0"/>
      </w:tblPr>
      <w:tblGrid>
        <w:gridCol w:w="9371"/>
      </w:tblGrid>
      <w:tr w:rsidTr="008A6E04">
        <w:tblPrEx>
          <w:tblW w:w="9371" w:type="dxa"/>
          <w:tblBorders>
            <w:top w:val="single" w:sz="24" w:space="0" w:color="auto"/>
          </w:tblBorders>
          <w:tblLook w:val="04A0"/>
        </w:tblPrEx>
        <w:tc>
          <w:tcPr>
            <w:tcW w:w="9371" w:type="dxa"/>
          </w:tcPr>
          <w:sdt>
            <w:sdtPr>
              <w:rPr>
                <w:rFonts w:ascii="Tahoma" w:hAnsi="Tahoma" w:cs="Tahoma"/>
                <w:b/>
                <w:bCs/>
                <w:sz w:val="40"/>
                <w:szCs w:val="40"/>
                <w:rtl/>
              </w:rPr>
              <w:id w:val="84968243"/>
              <w:placeholder>
                <w:docPart w:val="6190289BD61E405BBB67E2BBF7CB2FA6"/>
              </w:placeholder>
              <w:richText/>
            </w:sdtPr>
            <w:sdtContent>
              <w:p w:rsidR="00B53FF1" w:rsidRPr="00B53FF1" w:rsidP="005A20D8">
                <w:pPr>
                  <w:spacing w:line="240" w:lineRule="auto"/>
                  <w:jc w:val="left"/>
                  <w:rPr>
                    <w:rFonts w:ascii="Tahoma" w:hAnsi="Tahoma" w:cs="Tahoma"/>
                    <w:b/>
                    <w:bCs/>
                    <w:sz w:val="40"/>
                    <w:szCs w:val="40"/>
                  </w:rPr>
                </w:pPr>
                <w:r w:rsidRPr="00B53FF1">
                  <w:rPr>
                    <w:rFonts w:ascii="Tahoma" w:hAnsi="Tahoma" w:cs="Tahoma"/>
                    <w:b/>
                    <w:bCs/>
                    <w:sz w:val="40"/>
                    <w:szCs w:val="40"/>
                    <w:rtl/>
                  </w:rPr>
                  <w:t xml:space="preserve">המבקר, הגזבר והיועץ המשפטי ברשות המקומית - </w:t>
                </w:r>
                <w:r w:rsidR="005A20D8">
                  <w:rPr>
                    <w:rFonts w:ascii="Tahoma" w:hAnsi="Tahoma" w:cs="Tahoma" w:hint="cs"/>
                    <w:b/>
                    <w:bCs/>
                    <w:sz w:val="40"/>
                    <w:szCs w:val="40"/>
                    <w:rtl/>
                  </w:rPr>
                  <w:t>תפקידם</w:t>
                </w:r>
                <w:r w:rsidRPr="00B53FF1">
                  <w:rPr>
                    <w:rFonts w:ascii="Tahoma" w:hAnsi="Tahoma" w:cs="Tahoma"/>
                    <w:b/>
                    <w:bCs/>
                    <w:sz w:val="40"/>
                    <w:szCs w:val="40"/>
                    <w:rtl/>
                  </w:rPr>
                  <w:t xml:space="preserve"> והתנהלותם</w:t>
                </w:r>
              </w:p>
            </w:sdtContent>
          </w:sdt>
          <w:p w:rsidR="00B53FF1" w:rsidRPr="00B53FF1" w:rsidP="00B53FF1">
            <w:pPr>
              <w:rPr>
                <w:rFonts w:ascii="Tahoma" w:hAnsi="Tahoma" w:cs="Tahoma"/>
                <w:rtl/>
              </w:rPr>
            </w:pPr>
            <w:r w:rsidRPr="00B53FF1">
              <w:rPr>
                <w:rFonts w:ascii="Tahoma" w:hAnsi="Tahoma" w:cs="Tahoma"/>
                <w:sz w:val="28"/>
                <w:szCs w:val="36"/>
                <w:rtl/>
              </w:rPr>
              <w:t>תקציר</w:t>
            </w:r>
          </w:p>
        </w:tc>
      </w:tr>
    </w:tbl>
    <w:p w:rsidR="00B53FF1" w:rsidRPr="00B53FF1" w:rsidP="00B53FF1">
      <w:pPr>
        <w:rPr>
          <w:rFonts w:ascii="Tahoma" w:hAnsi="Tahoma" w:cs="Tahoma"/>
          <w:rtl/>
        </w:rPr>
      </w:pPr>
    </w:p>
    <w:tbl>
      <w:tblPr>
        <w:tblpPr w:leftFromText="180" w:rightFromText="180" w:vertAnchor="text" w:tblpXSpec="center" w:tblpY="1"/>
        <w:tblOverlap w:val="never"/>
        <w:bidiVisual/>
        <w:tblW w:w="9401" w:type="dxa"/>
        <w:tblLook w:val="04A0"/>
      </w:tblPr>
      <w:tblGrid>
        <w:gridCol w:w="2098"/>
        <w:gridCol w:w="434"/>
        <w:gridCol w:w="2117"/>
        <w:gridCol w:w="425"/>
        <w:gridCol w:w="1928"/>
        <w:gridCol w:w="425"/>
        <w:gridCol w:w="1928"/>
        <w:gridCol w:w="46"/>
      </w:tblGrid>
      <w:tr w:rsidTr="008A6E04">
        <w:tblPrEx>
          <w:tblW w:w="9401" w:type="dxa"/>
          <w:tblLook w:val="04A0"/>
        </w:tblPrEx>
        <w:trPr>
          <w:trHeight w:val="268"/>
        </w:trPr>
        <w:tc>
          <w:tcPr>
            <w:tcW w:w="9401" w:type="dxa"/>
            <w:gridSpan w:val="8"/>
          </w:tcPr>
          <w:p w:rsidR="00B53FF1" w:rsidRPr="00B53FF1" w:rsidP="00B53FF1">
            <w:pPr>
              <w:rPr>
                <w:rFonts w:ascii="Tahoma" w:hAnsi="Tahoma" w:cs="Tahoma"/>
                <w:rtl/>
              </w:rPr>
            </w:pPr>
            <w:r w:rsidRPr="00B53FF1">
              <w:rPr>
                <w:rFonts w:ascii="Tahoma" w:hAnsi="Tahoma" w:cs="Tahoma"/>
                <w:noProof/>
                <w:rtl/>
              </w:rPr>
              <w:drawing>
                <wp:anchor distT="0" distB="0" distL="114300" distR="114300" simplePos="0" relativeHeight="251659264"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048" name="תמונה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8A6E04">
        <w:tblPrEx>
          <w:tblW w:w="9401" w:type="dxa"/>
          <w:tblLook w:val="04A0"/>
        </w:tblPrEx>
        <w:trPr>
          <w:trHeight w:val="630"/>
        </w:trPr>
        <w:tc>
          <w:tcPr>
            <w:tcW w:w="9401" w:type="dxa"/>
            <w:gridSpan w:val="8"/>
          </w:tcPr>
          <w:sdt>
            <w:sdtPr>
              <w:rPr>
                <w:rFonts w:ascii="Tahoma" w:hAnsi="Tahoma" w:cs="Tahoma"/>
                <w:sz w:val="19"/>
                <w:szCs w:val="19"/>
                <w:rtl/>
              </w:rPr>
              <w:id w:val="-1526482233"/>
              <w:placeholder>
                <w:docPart w:val="D26C0E6D9FA84FA6A68DC2B9FE488839"/>
              </w:placeholder>
              <w:richText/>
            </w:sdtPr>
            <w:sdtContent>
              <w:sdt>
                <w:sdtPr>
                  <w:rPr>
                    <w:rFonts w:ascii="Tahoma" w:hAnsi="Tahoma" w:cs="Tahoma"/>
                    <w:sz w:val="19"/>
                    <w:szCs w:val="19"/>
                    <w:rtl/>
                  </w:rPr>
                  <w:id w:val="1139072824"/>
                  <w:placeholder>
                    <w:docPart w:val="5E7561A61D3243569391A1B06A3533C1"/>
                  </w:placeholder>
                  <w:richText/>
                </w:sdtPr>
                <w:sdtContent>
                  <w:p w:rsidR="00B53FF1" w:rsidRPr="00B53FF1" w:rsidP="00B53FF1">
                    <w:pPr>
                      <w:rPr>
                        <w:rFonts w:ascii="Tahoma" w:hAnsi="Tahoma" w:cs="Tahoma"/>
                        <w:sz w:val="19"/>
                        <w:szCs w:val="19"/>
                        <w:rtl/>
                      </w:rPr>
                    </w:pPr>
                    <w:r w:rsidRPr="00B53FF1">
                      <w:rPr>
                        <w:rFonts w:ascii="Tahoma" w:hAnsi="Tahoma" w:cs="Tahoma"/>
                        <w:sz w:val="19"/>
                        <w:szCs w:val="19"/>
                        <w:rtl/>
                      </w:rPr>
                      <w:t>המבקר, הגזבר והיועץ המשפטי ברשות המקומית הם תפקידים סטטוטוריים שהרשות נדרשת על פי חוק למנותם. המבקר בודק אם פעולותיה</w:t>
                    </w:r>
                    <w:r w:rsidR="002B59F2">
                      <w:rPr>
                        <w:rFonts w:ascii="Tahoma" w:hAnsi="Tahoma" w:cs="Tahoma" w:hint="cs"/>
                        <w:sz w:val="19"/>
                        <w:szCs w:val="19"/>
                        <w:rtl/>
                      </w:rPr>
                      <w:t xml:space="preserve"> של הרשות</w:t>
                    </w:r>
                    <w:r w:rsidRPr="00B53FF1">
                      <w:rPr>
                        <w:rFonts w:ascii="Tahoma" w:hAnsi="Tahoma" w:cs="Tahoma"/>
                        <w:sz w:val="19"/>
                        <w:szCs w:val="19"/>
                        <w:rtl/>
                      </w:rPr>
                      <w:t xml:space="preserve"> נעשו כדין ותוך שמירה על טוהר המידות ועקרונות היעילות והחיסכון; הגזבר אחראי על ניהול ענייניה הכספיים של הרשות ועל הכנת תקציבה; והיועץ המשפטי מעניק ליווי משפטי לפעילותה של הרשות. לצד תפקידם בקידום יעדי הרשות ומימושם, הם נדרשים לוודא כי פעילות הרשות תיעשה בכפוף לדין. הכוח השלטוני המצוי בידי הנהלת הרשות מחייב לחזק את מנגנוני הפיקוח והבקרה על החלטותיה ומעשיה. </w:t>
                    </w:r>
                  </w:p>
                </w:sdtContent>
              </w:sdt>
            </w:sdtContent>
          </w:sdt>
        </w:tc>
      </w:tr>
      <w:tr w:rsidTr="008A6E04">
        <w:tblPrEx>
          <w:tblW w:w="9401" w:type="dxa"/>
          <w:tblLook w:val="04A0"/>
        </w:tblPrEx>
        <w:trPr>
          <w:trHeight w:val="503"/>
        </w:trPr>
        <w:tc>
          <w:tcPr>
            <w:tcW w:w="9401" w:type="dxa"/>
            <w:gridSpan w:val="8"/>
          </w:tcPr>
          <w:p w:rsidR="00B53FF1" w:rsidRPr="00B53FF1" w:rsidP="00B53FF1">
            <w:pPr>
              <w:rPr>
                <w:rFonts w:ascii="Tahoma" w:hAnsi="Tahoma" w:cs="Tahoma"/>
                <w:rtl/>
              </w:rPr>
            </w:pPr>
          </w:p>
        </w:tc>
      </w:tr>
      <w:tr w:rsidTr="008A6E04">
        <w:tblPrEx>
          <w:tblW w:w="9401" w:type="dxa"/>
          <w:tblLook w:val="04A0"/>
        </w:tblPrEx>
        <w:trPr>
          <w:trHeight w:val="153"/>
        </w:trPr>
        <w:tc>
          <w:tcPr>
            <w:tcW w:w="9401" w:type="dxa"/>
            <w:gridSpan w:val="8"/>
          </w:tcPr>
          <w:p w:rsidR="00B53FF1" w:rsidRPr="00B53FF1" w:rsidP="00B53FF1">
            <w:pPr>
              <w:rPr>
                <w:rFonts w:ascii="Tahoma" w:hAnsi="Tahoma" w:cs="Tahoma"/>
                <w:rtl/>
              </w:rPr>
            </w:pPr>
            <w:r w:rsidRPr="00B53FF1">
              <w:rPr>
                <w:rFonts w:ascii="Tahoma" w:hAnsi="Tahoma" w:cs="Tahoma"/>
                <w:noProof/>
                <w:rtl/>
              </w:rPr>
              <w:drawing>
                <wp:anchor distT="0" distB="0" distL="114300" distR="114300" simplePos="0" relativeHeight="251660288"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049" name="תמונה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6033BE">
        <w:tblPrEx>
          <w:tblW w:w="9401" w:type="dxa"/>
          <w:tblLook w:val="04A0"/>
        </w:tblPrEx>
        <w:trPr>
          <w:gridAfter w:val="1"/>
          <w:wAfter w:w="46" w:type="dxa"/>
          <w:trHeight w:val="283"/>
        </w:trPr>
        <w:tc>
          <w:tcPr>
            <w:tcW w:w="2098" w:type="dxa"/>
            <w:tcBorders>
              <w:bottom w:val="single" w:sz="12" w:space="0" w:color="auto"/>
            </w:tcBorders>
            <w:shd w:val="clear" w:color="auto" w:fill="auto"/>
            <w:vAlign w:val="center"/>
          </w:tcPr>
          <w:sdt>
            <w:sdtPr>
              <w:rPr>
                <w:rFonts w:ascii="Tahoma" w:hAnsi="Tahoma" w:cs="Tahoma"/>
                <w:sz w:val="36"/>
                <w:szCs w:val="36"/>
                <w:rtl/>
              </w:rPr>
              <w:id w:val="1748457155"/>
              <w:placeholder>
                <w:docPart w:val="F8F25FC5B0164E07AD211CFA703D536D"/>
              </w:placeholder>
              <w:richText/>
            </w:sdtPr>
            <w:sdtContent>
              <w:p w:rsidR="00B53FF1" w:rsidRPr="00B53FF1" w:rsidP="00B53FF1">
                <w:pPr>
                  <w:rPr>
                    <w:rFonts w:ascii="Tahoma" w:hAnsi="Tahoma" w:cs="Tahoma"/>
                    <w:sz w:val="36"/>
                    <w:szCs w:val="36"/>
                    <w:rtl/>
                  </w:rPr>
                </w:pPr>
                <w:r w:rsidRPr="00B53FF1">
                  <w:rPr>
                    <w:rFonts w:ascii="Tahoma" w:hAnsi="Tahoma" w:cs="Tahoma"/>
                    <w:sz w:val="36"/>
                    <w:szCs w:val="36"/>
                    <w:rtl/>
                  </w:rPr>
                  <w:t>90% - 93%</w:t>
                </w:r>
              </w:p>
            </w:sdtContent>
          </w:sdt>
        </w:tc>
        <w:tc>
          <w:tcPr>
            <w:tcW w:w="434" w:type="dxa"/>
          </w:tcPr>
          <w:p w:rsidR="00B53FF1" w:rsidRPr="00B53FF1" w:rsidP="00B53FF1">
            <w:pPr>
              <w:rPr>
                <w:rFonts w:ascii="Tahoma" w:hAnsi="Tahoma" w:cs="Tahoma"/>
                <w:sz w:val="36"/>
                <w:szCs w:val="36"/>
              </w:rPr>
            </w:pPr>
          </w:p>
        </w:tc>
        <w:tc>
          <w:tcPr>
            <w:tcW w:w="2117" w:type="dxa"/>
            <w:tcBorders>
              <w:bottom w:val="single" w:sz="12" w:space="0" w:color="auto"/>
            </w:tcBorders>
            <w:vAlign w:val="center"/>
          </w:tcPr>
          <w:p w:rsidR="00B53FF1" w:rsidRPr="00B53FF1" w:rsidP="00B53FF1">
            <w:pPr>
              <w:rPr>
                <w:rFonts w:ascii="Tahoma" w:hAnsi="Tahoma" w:cs="Tahoma"/>
                <w:sz w:val="36"/>
                <w:szCs w:val="36"/>
                <w:rtl/>
              </w:rPr>
            </w:pPr>
            <w:r w:rsidRPr="00B53FF1">
              <w:rPr>
                <w:rFonts w:ascii="Tahoma" w:hAnsi="Tahoma" w:cs="Tahoma"/>
                <w:sz w:val="36"/>
                <w:szCs w:val="36"/>
                <w:rtl/>
              </w:rPr>
              <w:t>77% - 82%</w:t>
            </w:r>
          </w:p>
        </w:tc>
        <w:tc>
          <w:tcPr>
            <w:tcW w:w="425" w:type="dxa"/>
          </w:tcPr>
          <w:p w:rsidR="00B53FF1" w:rsidRPr="00B53FF1" w:rsidP="00B53FF1">
            <w:pPr>
              <w:rPr>
                <w:rFonts w:ascii="Tahoma" w:hAnsi="Tahoma" w:cs="Tahoma"/>
                <w:sz w:val="36"/>
                <w:szCs w:val="36"/>
              </w:rPr>
            </w:pPr>
          </w:p>
        </w:tc>
        <w:tc>
          <w:tcPr>
            <w:tcW w:w="1928" w:type="dxa"/>
            <w:tcBorders>
              <w:bottom w:val="single" w:sz="12" w:space="0" w:color="auto"/>
            </w:tcBorders>
          </w:tcPr>
          <w:p w:rsidR="006033BE" w:rsidRPr="00B53FF1" w:rsidP="006033BE">
            <w:pPr>
              <w:rPr>
                <w:rFonts w:ascii="Tahoma" w:hAnsi="Tahoma" w:cs="Tahoma"/>
                <w:sz w:val="36"/>
                <w:szCs w:val="36"/>
              </w:rPr>
            </w:pPr>
            <w:r w:rsidRPr="00B53FF1">
              <w:rPr>
                <w:rFonts w:ascii="Tahoma" w:hAnsi="Tahoma" w:cs="Tahoma"/>
                <w:sz w:val="36"/>
                <w:szCs w:val="36"/>
                <w:rtl/>
              </w:rPr>
              <w:t>56%</w:t>
            </w:r>
          </w:p>
        </w:tc>
        <w:tc>
          <w:tcPr>
            <w:tcW w:w="425" w:type="dxa"/>
          </w:tcPr>
          <w:p w:rsidR="00B53FF1" w:rsidRPr="00B53FF1" w:rsidP="00B53FF1">
            <w:pPr>
              <w:rPr>
                <w:rFonts w:ascii="Tahoma" w:hAnsi="Tahoma" w:cs="Tahoma"/>
                <w:sz w:val="36"/>
                <w:szCs w:val="36"/>
              </w:rPr>
            </w:pPr>
          </w:p>
        </w:tc>
        <w:tc>
          <w:tcPr>
            <w:tcW w:w="1928" w:type="dxa"/>
            <w:tcBorders>
              <w:bottom w:val="single" w:sz="12" w:space="0" w:color="auto"/>
            </w:tcBorders>
            <w:vAlign w:val="center"/>
          </w:tcPr>
          <w:p w:rsidR="00B53FF1" w:rsidRPr="00B53FF1" w:rsidP="00B53FF1">
            <w:pPr>
              <w:rPr>
                <w:rFonts w:ascii="Tahoma" w:hAnsi="Tahoma" w:cs="Tahoma"/>
                <w:sz w:val="36"/>
                <w:szCs w:val="36"/>
                <w:rtl/>
              </w:rPr>
            </w:pPr>
            <w:r w:rsidRPr="00B53FF1">
              <w:rPr>
                <w:rFonts w:ascii="Tahoma" w:hAnsi="Tahoma" w:cs="Tahoma"/>
                <w:sz w:val="36"/>
                <w:szCs w:val="36"/>
                <w:rtl/>
              </w:rPr>
              <w:t>43%</w:t>
            </w:r>
          </w:p>
        </w:tc>
      </w:tr>
      <w:tr w:rsidTr="006033BE">
        <w:tblPrEx>
          <w:tblW w:w="9401" w:type="dxa"/>
          <w:tblLook w:val="04A0"/>
        </w:tblPrEx>
        <w:trPr>
          <w:gridAfter w:val="1"/>
          <w:wAfter w:w="46" w:type="dxa"/>
          <w:trHeight w:val="1155"/>
        </w:trPr>
        <w:tc>
          <w:tcPr>
            <w:tcW w:w="2098" w:type="dxa"/>
          </w:tcPr>
          <w:p w:rsidR="00B53FF1" w:rsidRPr="00B53FF1" w:rsidP="00027DF7">
            <w:pPr>
              <w:spacing w:before="120" w:line="240" w:lineRule="auto"/>
              <w:jc w:val="left"/>
              <w:rPr>
                <w:rFonts w:ascii="Tahoma" w:hAnsi="Tahoma" w:cs="Tahoma"/>
                <w:sz w:val="19"/>
                <w:szCs w:val="19"/>
                <w:rtl/>
              </w:rPr>
            </w:pPr>
            <w:sdt>
              <w:sdtPr>
                <w:rPr>
                  <w:rFonts w:ascii="Tahoma" w:hAnsi="Tahoma" w:cs="Tahoma"/>
                  <w:sz w:val="19"/>
                  <w:szCs w:val="19"/>
                  <w:rtl/>
                </w:rPr>
                <w:id w:val="-262452625"/>
                <w:placeholder>
                  <w:docPart w:val="FDF0667FDE1B4052887B23BB8D18AD48"/>
                </w:placeholder>
                <w:richText/>
              </w:sdtPr>
              <w:sdtContent>
                <w:sdt>
                  <w:sdtPr>
                    <w:rPr>
                      <w:rFonts w:ascii="Tahoma" w:hAnsi="Tahoma" w:cs="Tahoma"/>
                      <w:sz w:val="19"/>
                      <w:szCs w:val="19"/>
                      <w:rtl/>
                    </w:rPr>
                    <w:id w:val="1978325811"/>
                    <w:placeholder>
                      <w:docPart w:val="99749C957D25455195CC97FAAE905803"/>
                    </w:placeholder>
                    <w:richText/>
                  </w:sdtPr>
                  <w:sdtContent>
                    <w:r w:rsidRPr="00B53FF1" w:rsidR="007C4AAD">
                      <w:rPr>
                        <w:rFonts w:ascii="Tahoma" w:hAnsi="Tahoma" w:cs="Tahoma"/>
                        <w:sz w:val="19"/>
                        <w:szCs w:val="19"/>
                        <w:rtl/>
                      </w:rPr>
                      <w:t xml:space="preserve">שיעור ראשי הרשויות שציינו כי הם עובדים בשיתוף פעולה עם המבקר, הגזבר והיועץ המשפטי </w:t>
                    </w:r>
                  </w:sdtContent>
                </w:sdt>
              </w:sdtContent>
            </w:sdt>
          </w:p>
        </w:tc>
        <w:tc>
          <w:tcPr>
            <w:tcW w:w="434" w:type="dxa"/>
          </w:tcPr>
          <w:p w:rsidR="00B53FF1" w:rsidRPr="00B53FF1" w:rsidP="00027DF7">
            <w:pPr>
              <w:spacing w:before="120"/>
              <w:rPr>
                <w:rFonts w:ascii="Tahoma" w:hAnsi="Tahoma" w:cs="Tahoma"/>
                <w:sz w:val="19"/>
                <w:szCs w:val="19"/>
                <w:rtl/>
              </w:rPr>
            </w:pPr>
          </w:p>
        </w:tc>
        <w:tc>
          <w:tcPr>
            <w:tcW w:w="2117" w:type="dxa"/>
          </w:tcPr>
          <w:p w:rsidR="00B53FF1" w:rsidRPr="00B53FF1" w:rsidP="00027DF7">
            <w:pPr>
              <w:spacing w:before="120" w:line="240" w:lineRule="auto"/>
              <w:jc w:val="left"/>
              <w:rPr>
                <w:rFonts w:ascii="Tahoma" w:hAnsi="Tahoma" w:cs="Tahoma"/>
                <w:sz w:val="19"/>
                <w:szCs w:val="19"/>
                <w:rtl/>
              </w:rPr>
            </w:pPr>
            <w:r w:rsidRPr="00B53FF1">
              <w:rPr>
                <w:rFonts w:ascii="Tahoma" w:hAnsi="Tahoma" w:cs="Tahoma"/>
                <w:sz w:val="19"/>
                <w:szCs w:val="19"/>
                <w:rtl/>
              </w:rPr>
              <w:t xml:space="preserve">שיעור ראשי הרשויות שציינו כי הם שבעי רצון מתפקודם של המבקר, הגזבר והיועץ המשפטי </w:t>
            </w:r>
          </w:p>
        </w:tc>
        <w:tc>
          <w:tcPr>
            <w:tcW w:w="425" w:type="dxa"/>
          </w:tcPr>
          <w:p w:rsidR="00B53FF1" w:rsidRPr="00B53FF1" w:rsidP="00027DF7">
            <w:pPr>
              <w:spacing w:before="120"/>
              <w:rPr>
                <w:rFonts w:ascii="Tahoma" w:hAnsi="Tahoma" w:cs="Tahoma"/>
                <w:sz w:val="19"/>
                <w:szCs w:val="19"/>
                <w:rtl/>
              </w:rPr>
            </w:pPr>
          </w:p>
        </w:tc>
        <w:tc>
          <w:tcPr>
            <w:tcW w:w="1928" w:type="dxa"/>
          </w:tcPr>
          <w:p w:rsidR="00B53FF1" w:rsidRPr="00B53FF1" w:rsidP="00027DF7">
            <w:pPr>
              <w:spacing w:before="120" w:line="240" w:lineRule="auto"/>
              <w:jc w:val="left"/>
              <w:rPr>
                <w:rFonts w:ascii="Tahoma" w:hAnsi="Tahoma" w:cs="Tahoma"/>
                <w:sz w:val="19"/>
                <w:szCs w:val="19"/>
                <w:rtl/>
              </w:rPr>
            </w:pPr>
            <w:sdt>
              <w:sdtPr>
                <w:rPr>
                  <w:rFonts w:ascii="Tahoma" w:hAnsi="Tahoma" w:cs="Tahoma"/>
                  <w:sz w:val="19"/>
                  <w:szCs w:val="19"/>
                  <w:rtl/>
                </w:rPr>
                <w:id w:val="472653114"/>
                <w:placeholder>
                  <w:docPart w:val="1E4381BEDFA743A78E3882B858A853C3"/>
                </w:placeholder>
                <w:richText/>
              </w:sdtPr>
              <w:sdtContent>
                <w:sdt>
                  <w:sdtPr>
                    <w:rPr>
                      <w:rFonts w:ascii="Tahoma" w:hAnsi="Tahoma" w:cs="Tahoma"/>
                      <w:sz w:val="19"/>
                      <w:szCs w:val="19"/>
                      <w:rtl/>
                    </w:rPr>
                    <w:id w:val="2026666340"/>
                    <w:placeholder>
                      <w:docPart w:val="F91DB90BEFB84AB08D4A680E5D0AC427"/>
                    </w:placeholder>
                    <w:richText/>
                  </w:sdtPr>
                  <w:sdtContent>
                    <w:r w:rsidRPr="00B53FF1" w:rsidR="007C4AAD">
                      <w:rPr>
                        <w:rFonts w:ascii="Tahoma" w:hAnsi="Tahoma" w:cs="Tahoma"/>
                        <w:sz w:val="19"/>
                        <w:szCs w:val="19"/>
                        <w:rtl/>
                      </w:rPr>
                      <w:t>שיעור הגזברים שציינו כי קיימות הוראות בנוהלי משרד הפנים שהם מתקשים למלא</w:t>
                    </w:r>
                  </w:sdtContent>
                </w:sdt>
              </w:sdtContent>
            </w:sdt>
          </w:p>
        </w:tc>
        <w:tc>
          <w:tcPr>
            <w:tcW w:w="425" w:type="dxa"/>
          </w:tcPr>
          <w:p w:rsidR="00B53FF1" w:rsidRPr="00B53FF1" w:rsidP="00027DF7">
            <w:pPr>
              <w:spacing w:before="120"/>
              <w:rPr>
                <w:rFonts w:ascii="Tahoma" w:hAnsi="Tahoma" w:cs="Tahoma"/>
                <w:sz w:val="19"/>
                <w:szCs w:val="19"/>
                <w:rtl/>
              </w:rPr>
            </w:pPr>
          </w:p>
        </w:tc>
        <w:tc>
          <w:tcPr>
            <w:tcW w:w="1928" w:type="dxa"/>
          </w:tcPr>
          <w:p w:rsidR="00B53FF1" w:rsidRPr="00B53FF1" w:rsidP="00027DF7">
            <w:pPr>
              <w:spacing w:before="120" w:line="240" w:lineRule="auto"/>
              <w:jc w:val="left"/>
              <w:rPr>
                <w:rFonts w:ascii="Tahoma" w:hAnsi="Tahoma" w:cs="Tahoma"/>
                <w:sz w:val="19"/>
                <w:szCs w:val="19"/>
                <w:rtl/>
              </w:rPr>
            </w:pPr>
            <w:r w:rsidRPr="00B53FF1">
              <w:rPr>
                <w:rFonts w:ascii="Tahoma" w:hAnsi="Tahoma" w:cs="Tahoma"/>
                <w:sz w:val="19"/>
                <w:szCs w:val="19"/>
                <w:rtl/>
              </w:rPr>
              <w:t>שיעור היועצים המשפטיים שציינו כי קיימות הוראות בנוהלי משרד הפנים שהם מתקשים למלא</w:t>
            </w:r>
          </w:p>
        </w:tc>
      </w:tr>
      <w:tr w:rsidTr="006033BE">
        <w:tblPrEx>
          <w:tblW w:w="9401" w:type="dxa"/>
          <w:tblLook w:val="04A0"/>
        </w:tblPrEx>
        <w:trPr>
          <w:gridAfter w:val="7"/>
          <w:wAfter w:w="7303" w:type="dxa"/>
          <w:trHeight w:val="114"/>
        </w:trPr>
        <w:tc>
          <w:tcPr>
            <w:tcW w:w="2098" w:type="dxa"/>
          </w:tcPr>
          <w:p w:rsidR="00B53FF1" w:rsidRPr="00B53FF1" w:rsidP="00B53FF1">
            <w:pPr>
              <w:rPr>
                <w:rFonts w:ascii="Tahoma" w:hAnsi="Tahoma" w:cs="Tahoma"/>
                <w:sz w:val="10"/>
                <w:szCs w:val="14"/>
                <w:rtl/>
              </w:rPr>
            </w:pPr>
          </w:p>
        </w:tc>
      </w:tr>
      <w:tr w:rsidTr="006033BE">
        <w:tblPrEx>
          <w:tblW w:w="9401" w:type="dxa"/>
          <w:tblLook w:val="04A0"/>
        </w:tblPrEx>
        <w:trPr>
          <w:gridAfter w:val="1"/>
          <w:wAfter w:w="46" w:type="dxa"/>
          <w:trHeight w:val="227"/>
        </w:trPr>
        <w:tc>
          <w:tcPr>
            <w:tcW w:w="2098" w:type="dxa"/>
            <w:tcBorders>
              <w:bottom w:val="single" w:sz="12" w:space="0" w:color="auto"/>
            </w:tcBorders>
            <w:vAlign w:val="center"/>
          </w:tcPr>
          <w:p w:rsidR="00B53FF1" w:rsidRPr="00B53FF1" w:rsidP="00B53FF1">
            <w:pPr>
              <w:rPr>
                <w:rFonts w:ascii="Tahoma" w:hAnsi="Tahoma" w:cs="Tahoma"/>
                <w:sz w:val="36"/>
                <w:szCs w:val="36"/>
              </w:rPr>
            </w:pPr>
            <w:r w:rsidRPr="00B53FF1">
              <w:rPr>
                <w:rFonts w:ascii="Tahoma" w:hAnsi="Tahoma" w:cs="Tahoma"/>
                <w:sz w:val="36"/>
                <w:szCs w:val="36"/>
                <w:rtl/>
              </w:rPr>
              <w:t>48%</w:t>
            </w:r>
          </w:p>
        </w:tc>
        <w:tc>
          <w:tcPr>
            <w:tcW w:w="434" w:type="dxa"/>
          </w:tcPr>
          <w:p w:rsidR="00B53FF1" w:rsidRPr="00B53FF1" w:rsidP="00B53FF1">
            <w:pPr>
              <w:rPr>
                <w:rFonts w:ascii="Tahoma" w:hAnsi="Tahoma" w:cs="Tahoma"/>
                <w:sz w:val="36"/>
                <w:szCs w:val="36"/>
              </w:rPr>
            </w:pPr>
          </w:p>
        </w:tc>
        <w:tc>
          <w:tcPr>
            <w:tcW w:w="2117" w:type="dxa"/>
            <w:tcBorders>
              <w:bottom w:val="single" w:sz="12" w:space="0" w:color="auto"/>
            </w:tcBorders>
            <w:vAlign w:val="center"/>
          </w:tcPr>
          <w:p w:rsidR="00B53FF1" w:rsidRPr="00B53FF1" w:rsidP="00B53FF1">
            <w:pPr>
              <w:rPr>
                <w:rFonts w:ascii="Tahoma" w:hAnsi="Tahoma" w:cs="Tahoma"/>
                <w:sz w:val="36"/>
                <w:szCs w:val="36"/>
              </w:rPr>
            </w:pPr>
            <w:r w:rsidRPr="00B53FF1">
              <w:rPr>
                <w:rFonts w:ascii="Tahoma" w:hAnsi="Tahoma" w:cs="Tahoma"/>
                <w:sz w:val="36"/>
                <w:szCs w:val="36"/>
                <w:rtl/>
              </w:rPr>
              <w:t>17</w:t>
            </w:r>
          </w:p>
        </w:tc>
        <w:tc>
          <w:tcPr>
            <w:tcW w:w="425" w:type="dxa"/>
          </w:tcPr>
          <w:p w:rsidR="00B53FF1" w:rsidRPr="00B53FF1" w:rsidP="00B53FF1">
            <w:pPr>
              <w:rPr>
                <w:rFonts w:ascii="Tahoma" w:hAnsi="Tahoma" w:cs="Tahoma"/>
                <w:sz w:val="36"/>
                <w:szCs w:val="36"/>
              </w:rPr>
            </w:pPr>
          </w:p>
        </w:tc>
        <w:tc>
          <w:tcPr>
            <w:tcW w:w="1928" w:type="dxa"/>
            <w:tcBorders>
              <w:bottom w:val="single" w:sz="12" w:space="0" w:color="auto"/>
            </w:tcBorders>
            <w:vAlign w:val="center"/>
          </w:tcPr>
          <w:p w:rsidR="00B53FF1" w:rsidRPr="00B53FF1" w:rsidP="00B53FF1">
            <w:pPr>
              <w:rPr>
                <w:rFonts w:ascii="Tahoma" w:hAnsi="Tahoma" w:cs="Tahoma"/>
                <w:sz w:val="36"/>
                <w:szCs w:val="36"/>
              </w:rPr>
            </w:pPr>
            <w:r w:rsidRPr="00B53FF1">
              <w:rPr>
                <w:rFonts w:ascii="Tahoma" w:hAnsi="Tahoma" w:cs="Tahoma"/>
                <w:sz w:val="36"/>
                <w:szCs w:val="36"/>
                <w:rtl/>
              </w:rPr>
              <w:t>22</w:t>
            </w:r>
          </w:p>
        </w:tc>
        <w:tc>
          <w:tcPr>
            <w:tcW w:w="425" w:type="dxa"/>
          </w:tcPr>
          <w:p w:rsidR="00B53FF1" w:rsidRPr="00B53FF1" w:rsidP="00B53FF1">
            <w:pPr>
              <w:rPr>
                <w:rFonts w:ascii="Tahoma" w:hAnsi="Tahoma" w:cs="Tahoma"/>
                <w:sz w:val="36"/>
                <w:szCs w:val="36"/>
              </w:rPr>
            </w:pPr>
          </w:p>
        </w:tc>
        <w:tc>
          <w:tcPr>
            <w:tcW w:w="1928" w:type="dxa"/>
            <w:tcBorders>
              <w:bottom w:val="single" w:sz="12" w:space="0" w:color="auto"/>
            </w:tcBorders>
            <w:vAlign w:val="center"/>
          </w:tcPr>
          <w:p w:rsidR="00B53FF1" w:rsidRPr="00B53FF1" w:rsidP="00B53FF1">
            <w:pPr>
              <w:rPr>
                <w:rFonts w:ascii="Tahoma" w:hAnsi="Tahoma" w:cs="Tahoma"/>
                <w:sz w:val="36"/>
                <w:szCs w:val="36"/>
              </w:rPr>
            </w:pPr>
            <w:r w:rsidRPr="00B53FF1">
              <w:rPr>
                <w:rFonts w:ascii="Tahoma" w:hAnsi="Tahoma" w:cs="Tahoma"/>
                <w:sz w:val="36"/>
                <w:szCs w:val="36"/>
                <w:rtl/>
              </w:rPr>
              <w:t>12</w:t>
            </w:r>
          </w:p>
        </w:tc>
      </w:tr>
      <w:tr w:rsidTr="006033BE">
        <w:tblPrEx>
          <w:tblW w:w="9401" w:type="dxa"/>
          <w:tblLook w:val="04A0"/>
        </w:tblPrEx>
        <w:trPr>
          <w:gridAfter w:val="1"/>
          <w:wAfter w:w="46" w:type="dxa"/>
          <w:trHeight w:val="1153"/>
        </w:trPr>
        <w:tc>
          <w:tcPr>
            <w:tcW w:w="2098" w:type="dxa"/>
          </w:tcPr>
          <w:sdt>
            <w:sdtPr>
              <w:rPr>
                <w:rFonts w:ascii="Tahoma" w:hAnsi="Tahoma" w:cs="Tahoma"/>
                <w:sz w:val="19"/>
                <w:szCs w:val="19"/>
                <w:rtl/>
              </w:rPr>
              <w:id w:val="-361051731"/>
              <w:placeholder>
                <w:docPart w:val="F30F8F7228DA4E5D8757E8D9A2A055A5"/>
              </w:placeholder>
              <w:richText/>
            </w:sdtPr>
            <w:sdtContent>
              <w:p w:rsidR="00B53FF1" w:rsidRPr="00B53FF1" w:rsidP="00027DF7">
                <w:pPr>
                  <w:spacing w:before="120" w:line="240" w:lineRule="auto"/>
                  <w:jc w:val="left"/>
                  <w:rPr>
                    <w:rFonts w:ascii="Tahoma" w:hAnsi="Tahoma" w:cs="Tahoma"/>
                    <w:sz w:val="19"/>
                    <w:szCs w:val="19"/>
                    <w:rtl/>
                  </w:rPr>
                </w:pPr>
                <w:r w:rsidRPr="00B53FF1">
                  <w:rPr>
                    <w:rFonts w:ascii="Tahoma" w:hAnsi="Tahoma" w:cs="Tahoma"/>
                    <w:sz w:val="19"/>
                    <w:szCs w:val="19"/>
                    <w:rtl/>
                  </w:rPr>
                  <w:t>שיעור הרשויות המקומיות שפנו לקבל חוות דעת משפטית נוספת על זו של היועץ המשפטי הקבוע ברשות בנושא מסוים</w:t>
                </w:r>
              </w:p>
            </w:sdtContent>
          </w:sdt>
        </w:tc>
        <w:tc>
          <w:tcPr>
            <w:tcW w:w="434" w:type="dxa"/>
          </w:tcPr>
          <w:p w:rsidR="00B53FF1" w:rsidRPr="00B53FF1" w:rsidP="00027DF7">
            <w:pPr>
              <w:spacing w:before="120" w:line="240" w:lineRule="auto"/>
              <w:rPr>
                <w:rFonts w:ascii="Tahoma" w:hAnsi="Tahoma" w:cs="Tahoma"/>
                <w:sz w:val="19"/>
                <w:szCs w:val="19"/>
                <w:rtl/>
              </w:rPr>
            </w:pPr>
          </w:p>
        </w:tc>
        <w:tc>
          <w:tcPr>
            <w:tcW w:w="2117" w:type="dxa"/>
          </w:tcPr>
          <w:sdt>
            <w:sdtPr>
              <w:rPr>
                <w:rFonts w:ascii="Tahoma" w:hAnsi="Tahoma" w:cs="Tahoma"/>
                <w:sz w:val="19"/>
                <w:szCs w:val="19"/>
                <w:rtl/>
              </w:rPr>
              <w:id w:val="-1911679731"/>
              <w:placeholder>
                <w:docPart w:val="795181E333A041E8B3B04E994837CA8D"/>
              </w:placeholder>
              <w:richText/>
            </w:sdtPr>
            <w:sdtContent>
              <w:p w:rsidR="00B53FF1" w:rsidRPr="00B53FF1" w:rsidP="00027DF7">
                <w:pPr>
                  <w:spacing w:before="120" w:line="240" w:lineRule="auto"/>
                  <w:jc w:val="left"/>
                  <w:rPr>
                    <w:rFonts w:ascii="Tahoma" w:hAnsi="Tahoma" w:cs="Tahoma"/>
                    <w:sz w:val="19"/>
                    <w:szCs w:val="19"/>
                  </w:rPr>
                </w:pPr>
                <w:r w:rsidRPr="00B53FF1">
                  <w:rPr>
                    <w:rFonts w:ascii="Tahoma" w:hAnsi="Tahoma" w:cs="Tahoma"/>
                    <w:sz w:val="19"/>
                    <w:szCs w:val="19"/>
                    <w:rtl/>
                  </w:rPr>
                  <w:t>מספר הרשויות המקומיות שבהן לא כיהן מבקר (ממוצע שנתי לשנים 2017-2015)</w:t>
                </w:r>
              </w:p>
            </w:sdtContent>
          </w:sdt>
          <w:p w:rsidR="00B53FF1" w:rsidRPr="00B53FF1" w:rsidP="00027DF7">
            <w:pPr>
              <w:spacing w:before="120" w:line="240" w:lineRule="auto"/>
              <w:rPr>
                <w:rFonts w:ascii="Tahoma" w:hAnsi="Tahoma" w:cs="Tahoma"/>
                <w:sz w:val="19"/>
                <w:szCs w:val="19"/>
                <w:rtl/>
              </w:rPr>
            </w:pPr>
          </w:p>
        </w:tc>
        <w:tc>
          <w:tcPr>
            <w:tcW w:w="425" w:type="dxa"/>
          </w:tcPr>
          <w:p w:rsidR="00B53FF1" w:rsidRPr="00B53FF1" w:rsidP="00027DF7">
            <w:pPr>
              <w:spacing w:before="120" w:line="240" w:lineRule="auto"/>
              <w:rPr>
                <w:rFonts w:ascii="Tahoma" w:hAnsi="Tahoma" w:cs="Tahoma"/>
                <w:sz w:val="19"/>
                <w:szCs w:val="19"/>
                <w:rtl/>
              </w:rPr>
            </w:pPr>
          </w:p>
        </w:tc>
        <w:tc>
          <w:tcPr>
            <w:tcW w:w="1928" w:type="dxa"/>
          </w:tcPr>
          <w:p w:rsidR="00B53FF1" w:rsidRPr="00B53FF1" w:rsidP="00027DF7">
            <w:pPr>
              <w:spacing w:before="120" w:line="240" w:lineRule="auto"/>
              <w:jc w:val="left"/>
              <w:rPr>
                <w:rFonts w:ascii="Tahoma" w:hAnsi="Tahoma" w:cs="Tahoma"/>
                <w:sz w:val="19"/>
                <w:szCs w:val="19"/>
                <w:rtl/>
              </w:rPr>
            </w:pPr>
            <w:r w:rsidRPr="00B53FF1">
              <w:rPr>
                <w:rFonts w:ascii="Tahoma" w:hAnsi="Tahoma" w:cs="Tahoma"/>
                <w:sz w:val="19"/>
                <w:szCs w:val="19"/>
                <w:rtl/>
              </w:rPr>
              <w:t>מספר המבקרים שלא הגישו דוח ביקורת (ממוצע שנתי לשנים     2015 - 2017)</w:t>
            </w:r>
          </w:p>
        </w:tc>
        <w:tc>
          <w:tcPr>
            <w:tcW w:w="425" w:type="dxa"/>
          </w:tcPr>
          <w:p w:rsidR="00B53FF1" w:rsidRPr="00B53FF1" w:rsidP="00027DF7">
            <w:pPr>
              <w:spacing w:before="120" w:line="240" w:lineRule="auto"/>
              <w:rPr>
                <w:rFonts w:ascii="Tahoma" w:hAnsi="Tahoma" w:cs="Tahoma"/>
                <w:sz w:val="19"/>
                <w:szCs w:val="19"/>
                <w:rtl/>
              </w:rPr>
            </w:pPr>
          </w:p>
        </w:tc>
        <w:tc>
          <w:tcPr>
            <w:tcW w:w="1928" w:type="dxa"/>
          </w:tcPr>
          <w:sdt>
            <w:sdtPr>
              <w:rPr>
                <w:rFonts w:ascii="Tahoma" w:hAnsi="Tahoma" w:cs="Tahoma"/>
                <w:sz w:val="19"/>
                <w:szCs w:val="19"/>
                <w:rtl/>
              </w:rPr>
              <w:id w:val="-1570186550"/>
              <w:placeholder>
                <w:docPart w:val="C2122BA5A0EB437083DFDDAAA428A92C"/>
              </w:placeholder>
              <w:richText/>
            </w:sdtPr>
            <w:sdtContent>
              <w:sdt>
                <w:sdtPr>
                  <w:rPr>
                    <w:rFonts w:ascii="Tahoma" w:hAnsi="Tahoma" w:cs="Tahoma"/>
                    <w:sz w:val="19"/>
                    <w:szCs w:val="19"/>
                    <w:rtl/>
                  </w:rPr>
                  <w:id w:val="-508761748"/>
                  <w:placeholder>
                    <w:docPart w:val="C2122BA5A0EB437083DFDDAAA428A92C"/>
                  </w:placeholder>
                  <w:richText/>
                </w:sdtPr>
                <w:sdtContent>
                  <w:sdt>
                    <w:sdtPr>
                      <w:rPr>
                        <w:rFonts w:ascii="Tahoma" w:hAnsi="Tahoma" w:cs="Tahoma"/>
                        <w:sz w:val="19"/>
                        <w:szCs w:val="19"/>
                        <w:rtl/>
                      </w:rPr>
                      <w:id w:val="129604694"/>
                      <w:placeholder>
                        <w:docPart w:val="F51E3A3AE57347ACB5CACE53779DC852"/>
                      </w:placeholder>
                      <w:richText/>
                    </w:sdtPr>
                    <w:sdtContent>
                      <w:p w:rsidR="00B53FF1" w:rsidRPr="00B53FF1" w:rsidP="00027DF7">
                        <w:pPr>
                          <w:spacing w:before="120" w:line="240" w:lineRule="auto"/>
                          <w:jc w:val="left"/>
                          <w:rPr>
                            <w:rFonts w:ascii="Tahoma" w:hAnsi="Tahoma" w:cs="Tahoma"/>
                            <w:sz w:val="19"/>
                            <w:szCs w:val="19"/>
                            <w:rtl/>
                          </w:rPr>
                        </w:pPr>
                        <w:r w:rsidRPr="00B53FF1">
                          <w:rPr>
                            <w:rFonts w:ascii="Tahoma" w:hAnsi="Tahoma" w:cs="Tahoma"/>
                            <w:sz w:val="19"/>
                            <w:szCs w:val="19"/>
                            <w:rtl/>
                          </w:rPr>
                          <w:t xml:space="preserve">מספר השנים שבהן מכהנים בתפקידם כ-37% מהמבקרים, כ-39% מהגזברים וכ-32% מהיועצים המשפטיים על פי ממצאי השאלונים </w:t>
                        </w:r>
                      </w:p>
                    </w:sdtContent>
                  </w:sdt>
                </w:sdtContent>
              </w:sdt>
            </w:sdtContent>
          </w:sdt>
        </w:tc>
      </w:tr>
    </w:tbl>
    <w:p w:rsidR="00B53FF1" w:rsidRPr="00B53FF1" w:rsidP="00B53FF1">
      <w:pPr>
        <w:rPr>
          <w:rFonts w:ascii="Tahoma" w:hAnsi="Tahoma" w:cs="Tahoma"/>
        </w:rPr>
      </w:pPr>
    </w:p>
    <w:tbl>
      <w:tblPr>
        <w:tblpPr w:leftFromText="180" w:rightFromText="180" w:vertAnchor="text" w:tblpXSpec="center" w:tblpY="1"/>
        <w:tblOverlap w:val="never"/>
        <w:bidiVisual/>
        <w:tblW w:w="9401" w:type="dxa"/>
        <w:tblLook w:val="04A0"/>
      </w:tblPr>
      <w:tblGrid>
        <w:gridCol w:w="955"/>
        <w:gridCol w:w="8446"/>
      </w:tblGrid>
      <w:tr w:rsidTr="008A6E04">
        <w:tblPrEx>
          <w:tblW w:w="9401" w:type="dxa"/>
          <w:tblLook w:val="04A0"/>
        </w:tblPrEx>
        <w:trPr>
          <w:trHeight w:val="495"/>
        </w:trPr>
        <w:tc>
          <w:tcPr>
            <w:tcW w:w="9401" w:type="dxa"/>
            <w:gridSpan w:val="2"/>
            <w:vAlign w:val="center"/>
          </w:tcPr>
          <w:p w:rsidR="00B53FF1" w:rsidRPr="00B53FF1" w:rsidP="00B53FF1">
            <w:pPr>
              <w:rPr>
                <w:rFonts w:ascii="Tahoma" w:hAnsi="Tahoma" w:cs="Tahoma"/>
                <w:rtl/>
              </w:rPr>
            </w:pPr>
            <w:r w:rsidRPr="00B53FF1">
              <w:rPr>
                <w:rFonts w:ascii="Tahoma" w:hAnsi="Tahoma" w:cs="Tahoma"/>
              </w:rPr>
              <w:br w:type="page"/>
            </w:r>
            <w:r w:rsidRPr="00B53FF1">
              <w:rPr>
                <w:rFonts w:ascii="Tahoma" w:hAnsi="Tahoma" w:cs="Tahoma"/>
                <w:noProof/>
              </w:rPr>
              <w:drawing>
                <wp:inline distT="0" distB="0" distL="0" distR="0">
                  <wp:extent cx="5832510" cy="498475"/>
                  <wp:effectExtent l="0" t="0" r="0" b="0"/>
                  <wp:docPr id="1050" name="תמונה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8A6E04">
        <w:tblPrEx>
          <w:tblW w:w="9401" w:type="dxa"/>
          <w:tblLook w:val="04A0"/>
        </w:tblPrEx>
        <w:trPr>
          <w:trHeight w:val="1019"/>
        </w:trPr>
        <w:tc>
          <w:tcPr>
            <w:tcW w:w="955" w:type="dxa"/>
            <w:vAlign w:val="center"/>
          </w:tcPr>
          <w:p w:rsidR="00B53FF1" w:rsidRPr="00B53FF1" w:rsidP="00B53FF1">
            <w:pPr>
              <w:rPr>
                <w:rFonts w:ascii="Tahoma" w:hAnsi="Tahoma" w:cs="Tahoma"/>
                <w:rtl/>
              </w:rPr>
            </w:pPr>
            <w:r w:rsidRPr="00B53FF1">
              <w:rPr>
                <w:rFonts w:ascii="Tahoma" w:hAnsi="Tahoma" w:cs="Tahoma"/>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-406400</wp:posOffset>
                  </wp:positionV>
                  <wp:extent cx="445135" cy="445135"/>
                  <wp:effectExtent l="0" t="0" r="0" b="0"/>
                  <wp:wrapNone/>
                  <wp:docPr id="1051" name="תמונה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37415"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FF1">
              <w:rPr>
                <w:rFonts w:ascii="Tahoma" w:hAnsi="Tahoma" w:cs="Tahoma"/>
                <w:noProof/>
              </w:rPr>
              <w:drawing>
                <wp:anchor distT="0" distB="0" distL="114300" distR="114300" simplePos="0" relativeHeight="251661312"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1052" name="תמונה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12332"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vAlign w:val="center"/>
          </w:tcPr>
          <w:sdt>
            <w:sdtPr>
              <w:rPr>
                <w:rFonts w:ascii="Tahoma" w:hAnsi="Tahoma" w:cs="Tahoma"/>
                <w:sz w:val="19"/>
                <w:szCs w:val="19"/>
                <w:rtl/>
              </w:rPr>
              <w:id w:val="-1998724146"/>
              <w:placeholder>
                <w:docPart w:val="004FD48E76B74D76845185317D7B699E"/>
              </w:placeholder>
              <w:richText/>
            </w:sdtPr>
            <w:sdtContent>
              <w:sdt>
                <w:sdtPr>
                  <w:rPr>
                    <w:rFonts w:ascii="Tahoma" w:hAnsi="Tahoma" w:cs="Tahoma"/>
                    <w:sz w:val="19"/>
                    <w:szCs w:val="19"/>
                    <w:rtl/>
                  </w:rPr>
                  <w:id w:val="-870608758"/>
                  <w:placeholder>
                    <w:docPart w:val="C4F8C1DA532140838DF4988B0C5BA431"/>
                  </w:placeholder>
                  <w:richText/>
                </w:sdtPr>
                <w:sdtContent>
                  <w:p w:rsidR="00B53FF1" w:rsidRPr="00B53FF1" w:rsidP="00644912">
                    <w:pPr>
                      <w:rPr>
                        <w:rFonts w:ascii="Tahoma" w:hAnsi="Tahoma" w:cs="Tahoma"/>
                        <w:sz w:val="19"/>
                        <w:szCs w:val="19"/>
                        <w:rtl/>
                      </w:rPr>
                    </w:pPr>
                    <w:r w:rsidRPr="00B53FF1">
                      <w:rPr>
                        <w:rFonts w:ascii="Tahoma" w:hAnsi="Tahoma" w:cs="Tahoma"/>
                        <w:sz w:val="19"/>
                        <w:szCs w:val="19"/>
                        <w:rtl/>
                      </w:rPr>
                      <w:t xml:space="preserve">בחודשים מאי 2019 </w:t>
                    </w:r>
                    <w:r w:rsidRPr="00B53FF1">
                      <w:rPr>
                        <w:rFonts w:ascii="Tahoma" w:hAnsi="Tahoma" w:cs="Tahoma" w:hint="cs"/>
                        <w:sz w:val="19"/>
                        <w:szCs w:val="19"/>
                        <w:rtl/>
                      </w:rPr>
                      <w:t>עד</w:t>
                    </w:r>
                    <w:r w:rsidRPr="00B53FF1">
                      <w:rPr>
                        <w:rFonts w:ascii="Tahoma" w:hAnsi="Tahoma" w:cs="Tahoma"/>
                        <w:sz w:val="19"/>
                        <w:szCs w:val="19"/>
                        <w:rtl/>
                      </w:rPr>
                      <w:t xml:space="preserve"> ינואר 2020 בדק משרד מבקר המדינה את תפקידם והתנהלותם של ה</w:t>
                    </w:r>
                    <w:r w:rsidRPr="00B53FF1">
                      <w:rPr>
                        <w:rFonts w:ascii="Tahoma" w:hAnsi="Tahoma" w:cs="Tahoma" w:hint="cs"/>
                        <w:sz w:val="19"/>
                        <w:szCs w:val="19"/>
                        <w:rtl/>
                      </w:rPr>
                      <w:t>מבקר, ה</w:t>
                    </w:r>
                    <w:r w:rsidRPr="00B53FF1">
                      <w:rPr>
                        <w:rFonts w:ascii="Tahoma" w:hAnsi="Tahoma" w:cs="Tahoma"/>
                        <w:sz w:val="19"/>
                        <w:szCs w:val="19"/>
                        <w:rtl/>
                      </w:rPr>
                      <w:t>גזב</w:t>
                    </w:r>
                    <w:r w:rsidRPr="00B53FF1">
                      <w:rPr>
                        <w:rFonts w:ascii="Tahoma" w:hAnsi="Tahoma" w:cs="Tahoma" w:hint="cs"/>
                        <w:sz w:val="19"/>
                        <w:szCs w:val="19"/>
                        <w:rtl/>
                      </w:rPr>
                      <w:t>ר ו</w:t>
                    </w:r>
                    <w:r w:rsidRPr="00B53FF1">
                      <w:rPr>
                        <w:rFonts w:ascii="Tahoma" w:hAnsi="Tahoma" w:cs="Tahoma"/>
                        <w:sz w:val="19"/>
                        <w:szCs w:val="19"/>
                        <w:rtl/>
                      </w:rPr>
                      <w:t xml:space="preserve">היועץ המשפטי ברשויות המקומיות. הממצאים המובאים בדוח </w:t>
                    </w:r>
                    <w:r w:rsidRPr="00B53FF1">
                      <w:rPr>
                        <w:rFonts w:ascii="Tahoma" w:hAnsi="Tahoma" w:cs="Tahoma" w:hint="cs"/>
                        <w:sz w:val="19"/>
                        <w:szCs w:val="19"/>
                        <w:rtl/>
                      </w:rPr>
                      <w:t xml:space="preserve">זה </w:t>
                    </w:r>
                    <w:r w:rsidRPr="00B53FF1">
                      <w:rPr>
                        <w:rFonts w:ascii="Tahoma" w:hAnsi="Tahoma" w:cs="Tahoma"/>
                        <w:sz w:val="19"/>
                        <w:szCs w:val="19"/>
                        <w:rtl/>
                      </w:rPr>
                      <w:t xml:space="preserve">מתבססים על מידע שנאסף מתשובות ראשי הרשויות, </w:t>
                    </w:r>
                    <w:r w:rsidRPr="00B53FF1">
                      <w:rPr>
                        <w:rFonts w:ascii="Tahoma" w:hAnsi="Tahoma" w:cs="Tahoma" w:hint="cs"/>
                        <w:sz w:val="19"/>
                        <w:szCs w:val="19"/>
                        <w:rtl/>
                      </w:rPr>
                      <w:t xml:space="preserve">המבקרים, </w:t>
                    </w:r>
                    <w:r w:rsidRPr="00B53FF1">
                      <w:rPr>
                        <w:rFonts w:ascii="Tahoma" w:hAnsi="Tahoma" w:cs="Tahoma"/>
                        <w:sz w:val="19"/>
                        <w:szCs w:val="19"/>
                        <w:rtl/>
                      </w:rPr>
                      <w:t>הגזברים</w:t>
                    </w:r>
                    <w:r w:rsidRPr="00B53FF1">
                      <w:rPr>
                        <w:rFonts w:ascii="Tahoma" w:hAnsi="Tahoma" w:cs="Tahoma" w:hint="cs"/>
                        <w:sz w:val="19"/>
                        <w:szCs w:val="19"/>
                        <w:rtl/>
                      </w:rPr>
                      <w:t xml:space="preserve"> וה</w:t>
                    </w:r>
                    <w:r w:rsidRPr="00B53FF1">
                      <w:rPr>
                        <w:rFonts w:ascii="Tahoma" w:hAnsi="Tahoma" w:cs="Tahoma"/>
                        <w:sz w:val="19"/>
                        <w:szCs w:val="19"/>
                        <w:rtl/>
                      </w:rPr>
                      <w:t>יועצים המשפטיים ברשויות מקומיות לשאלונים שנשלחו אליהם בספטמבר 2019</w:t>
                    </w:r>
                    <w:r w:rsidR="008367B5">
                      <w:rPr>
                        <w:rFonts w:ascii="Tahoma" w:hAnsi="Tahoma" w:cs="Tahoma" w:hint="cs"/>
                        <w:sz w:val="19"/>
                        <w:szCs w:val="19"/>
                        <w:rtl/>
                      </w:rPr>
                      <w:t xml:space="preserve">. </w:t>
                    </w:r>
                    <w:r w:rsidRPr="00B53FF1">
                      <w:rPr>
                        <w:rFonts w:ascii="Tahoma" w:hAnsi="Tahoma" w:cs="Tahoma"/>
                        <w:sz w:val="19"/>
                        <w:szCs w:val="19"/>
                        <w:rtl/>
                      </w:rPr>
                      <w:t>נוסף ע</w:t>
                    </w:r>
                    <w:r w:rsidR="008367B5">
                      <w:rPr>
                        <w:rFonts w:ascii="Tahoma" w:hAnsi="Tahoma" w:cs="Tahoma"/>
                        <w:sz w:val="19"/>
                        <w:szCs w:val="19"/>
                        <w:rtl/>
                      </w:rPr>
                      <w:t>ל כך, כהרחבה בסוגיות מסוימות</w:t>
                    </w:r>
                    <w:r w:rsidR="0074284C">
                      <w:rPr>
                        <w:rFonts w:ascii="Tahoma" w:hAnsi="Tahoma" w:cs="Tahoma" w:hint="cs"/>
                        <w:sz w:val="19"/>
                        <w:szCs w:val="19"/>
                        <w:rtl/>
                      </w:rPr>
                      <w:t>,</w:t>
                    </w:r>
                    <w:r w:rsidR="008367B5">
                      <w:rPr>
                        <w:rFonts w:ascii="Tahoma" w:hAnsi="Tahoma" w:cs="Tahoma"/>
                        <w:sz w:val="19"/>
                        <w:szCs w:val="19"/>
                        <w:rtl/>
                      </w:rPr>
                      <w:t xml:space="preserve"> ע</w:t>
                    </w:r>
                    <w:r w:rsidR="008367B5">
                      <w:rPr>
                        <w:rFonts w:ascii="Tahoma" w:hAnsi="Tahoma" w:cs="Tahoma" w:hint="cs"/>
                        <w:sz w:val="19"/>
                        <w:szCs w:val="19"/>
                        <w:rtl/>
                      </w:rPr>
                      <w:t>שה</w:t>
                    </w:r>
                    <w:r w:rsidRPr="00B53FF1">
                      <w:rPr>
                        <w:rFonts w:ascii="Tahoma" w:hAnsi="Tahoma" w:cs="Tahoma"/>
                        <w:sz w:val="19"/>
                        <w:szCs w:val="19"/>
                        <w:rtl/>
                      </w:rPr>
                      <w:t xml:space="preserve"> משרד מבקר </w:t>
                    </w:r>
                    <w:r w:rsidRPr="00B53FF1">
                      <w:rPr>
                        <w:rFonts w:ascii="Tahoma" w:hAnsi="Tahoma" w:cs="Tahoma"/>
                        <w:sz w:val="19"/>
                        <w:szCs w:val="19"/>
                        <w:rtl/>
                      </w:rPr>
                      <w:t>המדינה ביקורת ממוקדת בר</w:t>
                    </w:r>
                    <w:r w:rsidR="008367B5">
                      <w:rPr>
                        <w:rFonts w:ascii="Tahoma" w:hAnsi="Tahoma" w:cs="Tahoma"/>
                        <w:sz w:val="19"/>
                        <w:szCs w:val="19"/>
                        <w:rtl/>
                      </w:rPr>
                      <w:t xml:space="preserve">שויות אחדות, וכן </w:t>
                    </w:r>
                    <w:r w:rsidR="008367B5">
                      <w:rPr>
                        <w:rFonts w:ascii="Tahoma" w:hAnsi="Tahoma" w:cs="Tahoma" w:hint="cs"/>
                        <w:sz w:val="19"/>
                        <w:szCs w:val="19"/>
                        <w:rtl/>
                      </w:rPr>
                      <w:t>בדק</w:t>
                    </w:r>
                    <w:r w:rsidRPr="00B53FF1">
                      <w:rPr>
                        <w:rFonts w:ascii="Tahoma" w:hAnsi="Tahoma" w:cs="Tahoma"/>
                        <w:sz w:val="19"/>
                        <w:szCs w:val="19"/>
                        <w:rtl/>
                      </w:rPr>
                      <w:t xml:space="preserve"> כ-90 דוחות של מבקרי רשויות מקומיות לשנים </w:t>
                    </w:r>
                    <w:r w:rsidRPr="00B53FF1" w:rsidR="00644912">
                      <w:rPr>
                        <w:rFonts w:ascii="Tahoma" w:hAnsi="Tahoma" w:cs="Tahoma"/>
                        <w:sz w:val="19"/>
                        <w:szCs w:val="19"/>
                        <w:rtl/>
                      </w:rPr>
                      <w:t>201</w:t>
                    </w:r>
                    <w:r w:rsidR="00644912">
                      <w:rPr>
                        <w:rFonts w:ascii="Tahoma" w:hAnsi="Tahoma" w:cs="Tahoma" w:hint="cs"/>
                        <w:sz w:val="19"/>
                        <w:szCs w:val="19"/>
                        <w:rtl/>
                      </w:rPr>
                      <w:t>4</w:t>
                    </w:r>
                    <w:r w:rsidRPr="00B53FF1" w:rsidR="00644912">
                      <w:rPr>
                        <w:rFonts w:ascii="Tahoma" w:hAnsi="Tahoma" w:cs="Tahoma"/>
                        <w:sz w:val="19"/>
                        <w:szCs w:val="19"/>
                        <w:rtl/>
                      </w:rPr>
                      <w:t xml:space="preserve"> </w:t>
                    </w:r>
                    <w:r w:rsidRPr="00B53FF1">
                      <w:rPr>
                        <w:rFonts w:ascii="Tahoma" w:hAnsi="Tahoma" w:cs="Tahoma"/>
                        <w:sz w:val="19"/>
                        <w:szCs w:val="19"/>
                        <w:rtl/>
                      </w:rPr>
                      <w:t>עד 2018.</w:t>
                    </w:r>
                  </w:p>
                </w:sdtContent>
              </w:sdt>
            </w:sdtContent>
          </w:sdt>
        </w:tc>
      </w:tr>
      <w:tr w:rsidTr="008A6E04">
        <w:tblPrEx>
          <w:tblW w:w="9401" w:type="dxa"/>
          <w:tblLook w:val="04A0"/>
        </w:tblPrEx>
        <w:trPr>
          <w:trHeight w:val="1134"/>
        </w:trPr>
        <w:tc>
          <w:tcPr>
            <w:tcW w:w="9401" w:type="dxa"/>
            <w:gridSpan w:val="2"/>
            <w:tcBorders>
              <w:top w:val="nil"/>
              <w:left w:val="nil"/>
              <w:bottom w:val="nil"/>
              <w:right w:val="nil"/>
            </w:tcBorders>
          </w:tcPr>
          <w:p w:rsidR="00B53FF1" w:rsidRPr="00B53FF1" w:rsidP="00B53FF1">
            <w:pPr>
              <w:rPr>
                <w:rFonts w:ascii="Tahoma" w:hAnsi="Tahoma" w:cs="Tahoma"/>
                <w:rtl/>
              </w:rPr>
            </w:pPr>
            <w:r w:rsidRPr="00B53FF1">
              <w:rPr>
                <w:rFonts w:ascii="Tahoma" w:hAnsi="Tahoma" w:cs="Tahoma"/>
                <w:noProof/>
              </w:rPr>
              <w:drawing>
                <wp:inline distT="0" distB="0" distL="0" distR="0">
                  <wp:extent cx="5748020" cy="414010"/>
                  <wp:effectExtent l="0" t="0" r="0" b="5715"/>
                  <wp:docPr id="1053" name="תמונה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15496"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265965" w:rsidRPr="00265965" w:rsidP="00265965">
            <w:pPr>
              <w:spacing w:before="240"/>
              <w:rPr>
                <w:rFonts w:ascii="Tahoma" w:hAnsi="Tahoma" w:cs="Tahoma"/>
                <w:sz w:val="19"/>
                <w:szCs w:val="19"/>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מינוי מבקרים ברשויות המקומיות</w:t>
            </w:r>
            <w:r w:rsidRPr="00B53FF1">
              <w:rPr>
                <w:rFonts w:ascii="Tahoma" w:hAnsi="Tahoma" w:cs="Tahoma"/>
                <w:sz w:val="19"/>
                <w:szCs w:val="19"/>
                <w:rtl/>
              </w:rPr>
              <w:t xml:space="preserve"> - בשנים 2015 עד 2017 17 רשויות לא מינו מבקר (בממוצע לשנה), ובתשע רשויות מקומיות לא כיהן מבקר במשך שלוש השנים ברציפות. לא נמצא כי משרד הפנים השתמש בסמכות המסורה לו בדין בעניין מינוי מבקר במקום שבו הרשות לא מינתה מבקר.</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איכות הביקורת הפנימית ברשויות המקומיות</w:t>
            </w:r>
            <w:r w:rsidRPr="00B53FF1">
              <w:rPr>
                <w:rFonts w:ascii="Tahoma" w:hAnsi="Tahoma" w:cs="Tahoma"/>
                <w:sz w:val="19"/>
                <w:szCs w:val="19"/>
                <w:rtl/>
              </w:rPr>
              <w:t xml:space="preserve"> - רובם המכריע (96% בממוצע) של המבקרים הכינו תוכניות עבודה בין השנים 2015 עד 2019, אולם רק כמחציתן התבססו על סקרי סיכונים. עיון בכ-90 דוחות ביקורת שנכתבו בשנים 2015 עד 2018 העלה כי 21 מתוכם התאפיינו בין השאר בדלות תוכן וממצאים ובעיסוק בנושאים שוליים ביחס לתחומי הסיכון של הרשויות, וכללו המלצות לא אפקטיביות.</w:t>
            </w:r>
          </w:p>
          <w:p w:rsidR="00B53FF1" w:rsidRPr="00B53FF1" w:rsidP="00A50A60">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תיקון הליקויים שעלו בדוחות הביקורת</w:t>
            </w:r>
            <w:r w:rsidRPr="00B53FF1">
              <w:rPr>
                <w:rFonts w:ascii="Tahoma" w:hAnsi="Tahoma" w:cs="Tahoma"/>
                <w:sz w:val="19"/>
                <w:szCs w:val="19"/>
                <w:rtl/>
              </w:rPr>
              <w:t xml:space="preserve"> - נמצא כי לא כל הדוחות שמגיש מבקר הרשות אכן נדונים במליאת המועצה או בוועדת הביקורת ועוד פחות מכך בצוות לתיקון ליקויים. קרי, ככל שמתקדמים הליכי הדיונים בדוח ובתיקון הליקויים, כך פוחתת ההקפדה על קיומם: בקרב כלל הרשויו</w:t>
            </w:r>
            <w:r w:rsidR="00A50A60">
              <w:rPr>
                <w:rFonts w:ascii="Tahoma" w:hAnsi="Tahoma" w:cs="Tahoma"/>
                <w:sz w:val="19"/>
                <w:szCs w:val="19"/>
                <w:rtl/>
              </w:rPr>
              <w:t>ת המקומיות כ</w:t>
            </w:r>
            <w:r w:rsidR="00A50A60">
              <w:rPr>
                <w:rFonts w:ascii="Tahoma" w:hAnsi="Tahoma" w:cs="Tahoma" w:hint="cs"/>
                <w:sz w:val="19"/>
                <w:szCs w:val="19"/>
                <w:rtl/>
              </w:rPr>
              <w:t xml:space="preserve">שני </w:t>
            </w:r>
            <w:r w:rsidR="00A50A60">
              <w:rPr>
                <w:rFonts w:ascii="Tahoma" w:hAnsi="Tahoma" w:cs="Tahoma"/>
                <w:sz w:val="19"/>
                <w:szCs w:val="19"/>
                <w:rtl/>
              </w:rPr>
              <w:t>שליש מדוחות הביקורת</w:t>
            </w:r>
            <w:r w:rsidR="00A50A60">
              <w:rPr>
                <w:rFonts w:ascii="Tahoma" w:hAnsi="Tahoma" w:cs="Tahoma" w:hint="cs"/>
                <w:sz w:val="19"/>
                <w:szCs w:val="19"/>
                <w:rtl/>
              </w:rPr>
              <w:t xml:space="preserve"> </w:t>
            </w:r>
            <w:r w:rsidRPr="00B53FF1">
              <w:rPr>
                <w:rFonts w:ascii="Tahoma" w:hAnsi="Tahoma" w:cs="Tahoma"/>
                <w:sz w:val="19"/>
                <w:szCs w:val="19"/>
                <w:rtl/>
              </w:rPr>
              <w:t>נדונו במועצת הרשות או בוועדת הביקורת; ב</w:t>
            </w:r>
            <w:r w:rsidR="00A50A60">
              <w:rPr>
                <w:rFonts w:ascii="Tahoma" w:hAnsi="Tahoma" w:cs="Tahoma" w:hint="cs"/>
                <w:sz w:val="19"/>
                <w:szCs w:val="19"/>
                <w:rtl/>
              </w:rPr>
              <w:t>פחות</w:t>
            </w:r>
            <w:r w:rsidRPr="00B53FF1">
              <w:rPr>
                <w:rFonts w:ascii="Tahoma" w:hAnsi="Tahoma" w:cs="Tahoma"/>
                <w:sz w:val="19"/>
                <w:szCs w:val="19"/>
                <w:rtl/>
              </w:rPr>
              <w:t xml:space="preserve"> ממחצית מ</w:t>
            </w:r>
            <w:r w:rsidR="00A50A60">
              <w:rPr>
                <w:rFonts w:ascii="Tahoma" w:hAnsi="Tahoma" w:cs="Tahoma"/>
                <w:sz w:val="19"/>
                <w:szCs w:val="19"/>
                <w:rtl/>
              </w:rPr>
              <w:t xml:space="preserve">הרשויות הצוות לתיקון ליקויים </w:t>
            </w:r>
            <w:r w:rsidRPr="00B53FF1">
              <w:rPr>
                <w:rFonts w:ascii="Tahoma" w:hAnsi="Tahoma" w:cs="Tahoma"/>
                <w:sz w:val="19"/>
                <w:szCs w:val="19"/>
                <w:rtl/>
              </w:rPr>
              <w:t xml:space="preserve">דן בדוח; </w:t>
            </w:r>
            <w:r w:rsidR="00644912">
              <w:rPr>
                <w:rFonts w:ascii="Tahoma" w:hAnsi="Tahoma" w:cs="Tahoma" w:hint="cs"/>
                <w:sz w:val="19"/>
                <w:szCs w:val="19"/>
                <w:rtl/>
              </w:rPr>
              <w:t>ובכ</w:t>
            </w:r>
            <w:r w:rsidR="00E11070">
              <w:rPr>
                <w:rFonts w:ascii="Tahoma" w:hAnsi="Tahoma" w:cs="Tahoma" w:hint="cs"/>
                <w:sz w:val="19"/>
                <w:szCs w:val="19"/>
                <w:rtl/>
              </w:rPr>
              <w:t>שליש</w:t>
            </w:r>
            <w:r w:rsidR="00E11070">
              <w:rPr>
                <w:rFonts w:ascii="Tahoma" w:hAnsi="Tahoma" w:cs="Tahoma"/>
                <w:sz w:val="19"/>
                <w:szCs w:val="19"/>
                <w:rtl/>
              </w:rPr>
              <w:t xml:space="preserve"> מהרשויו</w:t>
            </w:r>
            <w:r w:rsidR="00E11070">
              <w:rPr>
                <w:rFonts w:ascii="Tahoma" w:hAnsi="Tahoma" w:cs="Tahoma" w:hint="cs"/>
                <w:sz w:val="19"/>
                <w:szCs w:val="19"/>
                <w:rtl/>
              </w:rPr>
              <w:t>ת</w:t>
            </w:r>
            <w:r w:rsidRPr="00B53FF1">
              <w:rPr>
                <w:rFonts w:ascii="Tahoma" w:hAnsi="Tahoma" w:cs="Tahoma"/>
                <w:sz w:val="19"/>
                <w:szCs w:val="19"/>
                <w:rtl/>
              </w:rPr>
              <w:t xml:space="preserve"> יושמו המלצות הצוות לתיקון ליקויים.</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חיזוק מנגנון הביקורת הפנימית</w:t>
            </w:r>
            <w:r w:rsidRPr="00B53FF1">
              <w:rPr>
                <w:rFonts w:ascii="Tahoma" w:hAnsi="Tahoma" w:cs="Tahoma"/>
                <w:sz w:val="19"/>
                <w:szCs w:val="19"/>
                <w:rtl/>
              </w:rPr>
              <w:t xml:space="preserve"> - עיקר הפעולות שנקט משרד הפנים לחיזוק מנגנון הביקורת התמקדו בהיבטים שונים של מעטפת הביקורת וכללו בין היתר קביעת תקינה ותקציב מזעריים לעבודת הביקורת. עם זאת, חשיבות קיימת גם לחיזוק ליבת הביקורת - ובכלל זה קביעת תקנים מקצועיים לעבודת הביקורת וקיום בקרות סדירות על עצם הגשת הדוחות ואיכותם.</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המצב הכספי של הרשויות המקומיות ומינוי חשבים מלווים</w:t>
            </w:r>
            <w:r w:rsidRPr="00B53FF1">
              <w:rPr>
                <w:rFonts w:ascii="Tahoma" w:hAnsi="Tahoma" w:cs="Tahoma"/>
                <w:sz w:val="19"/>
                <w:szCs w:val="19"/>
                <w:rtl/>
              </w:rPr>
              <w:t xml:space="preserve"> - אף שרוב הרשויות המקומיות מצויות בעודף או באיזון תקציבי, עדיין כ-42% מהרשויות המקומיות סיימו את שנת 2018 בגירעון תקציבי (מהן כ-65% רשויות קטנות). מנתוני משרד הפנים עד לאוגוסט 2019 עולה כי 76 רשויות מקומיות מלוות על ידי חשב מלווה - קרי, כ-30% מהרשויות המקומיות בישראל</w:t>
            </w:r>
            <w:r w:rsidR="001E0624">
              <w:rPr>
                <w:rFonts w:ascii="Tahoma" w:hAnsi="Tahoma" w:cs="Tahoma" w:hint="cs"/>
                <w:sz w:val="19"/>
                <w:szCs w:val="19"/>
                <w:rtl/>
              </w:rPr>
              <w:t xml:space="preserve"> היו</w:t>
            </w:r>
            <w:r w:rsidRPr="00B53FF1">
              <w:rPr>
                <w:rFonts w:ascii="Tahoma" w:hAnsi="Tahoma" w:cs="Tahoma"/>
                <w:sz w:val="19"/>
                <w:szCs w:val="19"/>
                <w:rtl/>
              </w:rPr>
              <w:t xml:space="preserve"> נתונות במשבר כספי ברמה זו או אחרת, נכון למאי 2019.</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קשיים בהתנהלות הגזבר מול גורמים ברשות ומחוצה לה</w:t>
            </w:r>
            <w:r w:rsidRPr="00B53FF1">
              <w:rPr>
                <w:rFonts w:ascii="Tahoma" w:hAnsi="Tahoma" w:cs="Tahoma"/>
                <w:sz w:val="19"/>
                <w:szCs w:val="19"/>
                <w:rtl/>
              </w:rPr>
              <w:t xml:space="preserve"> - מהשאלון עלה כי כ-17% מראשי הרשויות חוו קשיים בהתנהלותם מול גזבר הרשות; קשיים כאמור זוהו בעיקר במועצות המקומיות והאזוריות. כ-39% מראשי הרשויות זיהו קשיים בהתנהלות של גזבר הרשות מול גורמים ברשות או מחוצה לה; קשיים כאמור זוהו בעיקר בממשק העבודה של הגזברים עם משרדי הממשלה.</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חיזוק ותמיכה בגזברים ברשויות במגזר הלא-יהודי</w:t>
            </w:r>
            <w:r w:rsidRPr="00B53FF1">
              <w:rPr>
                <w:rFonts w:ascii="Tahoma" w:hAnsi="Tahoma" w:cs="Tahoma"/>
                <w:sz w:val="19"/>
                <w:szCs w:val="19"/>
                <w:rtl/>
              </w:rPr>
              <w:t xml:space="preserve"> - נמצא כי יש גזברים המתקשים למלא את תפקידם בשמירה על מסגרת התקציב ועל בטחון הקופה הציבורית ואף סובלים מהתנכלות בשל תפקידם. הדברים מאפיינים בעיקר את הגזברים ברשויות במגזר הלא-יהודי ומצביעים על צורך חיוני בחיזוק מעמדם ובביצורו.</w:t>
            </w:r>
          </w:p>
          <w:p w:rsidR="00B53FF1" w:rsidRP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פנייה לסיוע מצד משרדי הממשלה</w:t>
            </w:r>
            <w:r w:rsidRPr="00B53FF1">
              <w:rPr>
                <w:rFonts w:ascii="Tahoma" w:hAnsi="Tahoma" w:cs="Tahoma"/>
                <w:sz w:val="19"/>
                <w:szCs w:val="19"/>
                <w:rtl/>
              </w:rPr>
              <w:t xml:space="preserve"> - מתשובות היועצים המשפטיים לשאלונים עלה כי כ-50% מהם לא קיבלו את הסיוע שלו נדרשו ממשרד הפנים. עוד עלה כי כ-40% מהם פנו למשרדי ממשלה נוספים, ובראשם למשרד המשפטים, וכ-90% מפניותיהם נענו לשביעות רצונם ובתוך זמן סביר. עוד עלה מהתשובות לשאלונים כי כ-80% מהיועצים המשפטיים בקרב המגזר הלא-יהודי לא פנו למשרדי הממשלה כלל בבקשה לסיוע מקצועי.</w:t>
            </w:r>
            <w:r w:rsidRPr="00B53FF1">
              <w:rPr>
                <w:rFonts w:ascii="Tahoma" w:hAnsi="Tahoma" w:cs="Tahoma"/>
                <w:sz w:val="19"/>
                <w:szCs w:val="19"/>
              </w:rPr>
              <w:t xml:space="preserve"> </w:t>
            </w:r>
          </w:p>
          <w:p w:rsidR="00B53FF1" w:rsidP="00265965">
            <w:pPr>
              <w:numPr>
                <w:ilvl w:val="0"/>
                <w:numId w:val="1"/>
              </w:numPr>
              <w:spacing w:line="288" w:lineRule="auto"/>
              <w:ind w:left="357" w:hanging="357"/>
              <w:rPr>
                <w:rFonts w:ascii="Tahoma" w:hAnsi="Tahoma" w:cs="Tahoma"/>
                <w:sz w:val="19"/>
                <w:szCs w:val="19"/>
              </w:rPr>
            </w:pPr>
            <w:r w:rsidRPr="00B53FF1">
              <w:rPr>
                <w:rFonts w:ascii="Tahoma" w:hAnsi="Tahoma" w:cs="Tahoma"/>
                <w:b/>
                <w:bCs/>
                <w:sz w:val="19"/>
                <w:szCs w:val="19"/>
                <w:rtl/>
              </w:rPr>
              <w:t>תנאי הקליטה ומשך הכהונה של עובדים בכירים ברשויות המקומיות</w:t>
            </w:r>
            <w:r w:rsidRPr="00B53FF1">
              <w:rPr>
                <w:rFonts w:ascii="Tahoma" w:hAnsi="Tahoma" w:cs="Tahoma"/>
                <w:sz w:val="19"/>
                <w:szCs w:val="19"/>
                <w:rtl/>
              </w:rPr>
              <w:t xml:space="preserve"> - יותר מ-30% מהמבקרים, הגזברים והיועצים המשפטיים ברשויות המקומיות מועסקים יותר מ-12 שנים, חלקם אף בעלי ותק של 25 שנים ומעלה. בעקבות הרפורמה המקיפה בניהול ההון האנושי שמבוצעת בשירות הציבורי הכללי במדינה, הקים משרד הפנים במרץ 2017 צוות לבחינת תנאי הקליטה ומשך הכהונה של עובדים בכירים ברשויות המקומיות בתפקידים סטטוטוריים. עם זאת, עבודת הצוות הופסקה בראשיתה. </w:t>
            </w:r>
          </w:p>
          <w:p w:rsidR="00265965" w:rsidP="00265965">
            <w:pPr>
              <w:spacing w:line="288" w:lineRule="auto"/>
              <w:ind w:left="357"/>
              <w:rPr>
                <w:rFonts w:ascii="Tahoma" w:hAnsi="Tahoma" w:cs="Tahoma"/>
                <w:b/>
                <w:bCs/>
                <w:sz w:val="19"/>
                <w:szCs w:val="19"/>
                <w:rtl/>
              </w:rPr>
            </w:pPr>
          </w:p>
          <w:p w:rsidR="00265965" w:rsidRPr="00B53FF1" w:rsidP="00265965">
            <w:pPr>
              <w:spacing w:line="288" w:lineRule="auto"/>
              <w:ind w:left="357"/>
              <w:rPr>
                <w:rFonts w:ascii="Tahoma" w:hAnsi="Tahoma" w:cs="Tahoma"/>
                <w:sz w:val="19"/>
                <w:szCs w:val="19"/>
              </w:rPr>
            </w:pPr>
          </w:p>
          <w:p w:rsidR="00B53FF1" w:rsidP="00B53FF1">
            <w:pPr>
              <w:rPr>
                <w:rFonts w:ascii="Tahoma" w:hAnsi="Tahoma" w:cs="Tahoma"/>
                <w:sz w:val="19"/>
                <w:szCs w:val="19"/>
                <w:rtl/>
              </w:rPr>
            </w:pPr>
            <w:r w:rsidRPr="00B53FF1">
              <w:rPr>
                <w:rFonts w:ascii="Tahoma" w:hAnsi="Tahoma" w:cs="Tahoma"/>
                <w:noProof/>
                <w:sz w:val="19"/>
                <w:szCs w:val="19"/>
                <w:rtl/>
              </w:rPr>
              <w:drawing>
                <wp:inline distT="0" distB="0" distL="0" distR="0">
                  <wp:extent cx="2710450" cy="207831"/>
                  <wp:effectExtent l="0" t="0" r="0" b="190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A34798" w:rsidRPr="00B53FF1" w:rsidP="00B53FF1">
            <w:pPr>
              <w:rPr>
                <w:rFonts w:ascii="Tahoma" w:hAnsi="Tahoma" w:cs="Tahoma"/>
                <w:sz w:val="19"/>
                <w:szCs w:val="19"/>
                <w:rtl/>
              </w:rPr>
            </w:pPr>
          </w:p>
          <w:p w:rsidR="00B53FF1" w:rsidP="00B53FF1">
            <w:pPr>
              <w:rPr>
                <w:rFonts w:ascii="Tahoma" w:hAnsi="Tahoma" w:cs="Tahoma"/>
                <w:sz w:val="19"/>
                <w:szCs w:val="19"/>
                <w:rtl/>
              </w:rPr>
            </w:pPr>
            <w:r w:rsidRPr="00B53FF1">
              <w:rPr>
                <w:rFonts w:ascii="Tahoma" w:hAnsi="Tahoma" w:cs="Tahoma"/>
                <w:b/>
                <w:bCs/>
                <w:sz w:val="19"/>
                <w:szCs w:val="19"/>
                <w:rtl/>
              </w:rPr>
              <w:t>שיתוף פעולה בין ראשי הרשויות ובין המבקרים, הגזברים והיועצים המשפטיים</w:t>
            </w:r>
            <w:r w:rsidRPr="00B53FF1">
              <w:rPr>
                <w:rFonts w:ascii="Tahoma" w:hAnsi="Tahoma" w:cs="Tahoma"/>
                <w:sz w:val="19"/>
                <w:szCs w:val="19"/>
                <w:rtl/>
              </w:rPr>
              <w:t xml:space="preserve"> - הממצאים העולים מהתשובות לשאלונים מצביעים על שיתוף פעולה הדוק בין ראשי הרשויות ובין המבקרים (90%), הגזברים (93%) והיועצים המשפטיים (90%). </w:t>
            </w:r>
          </w:p>
          <w:p w:rsidR="00A34798" w:rsidRPr="00B53FF1" w:rsidP="00B53FF1">
            <w:pPr>
              <w:rPr>
                <w:rFonts w:ascii="Tahoma" w:hAnsi="Tahoma" w:cs="Tahoma"/>
                <w:sz w:val="19"/>
                <w:szCs w:val="19"/>
              </w:rPr>
            </w:pPr>
          </w:p>
          <w:p w:rsidR="00B53FF1" w:rsidRPr="00B53FF1" w:rsidP="00B53FF1">
            <w:pPr>
              <w:rPr>
                <w:rFonts w:ascii="Tahoma" w:hAnsi="Tahoma" w:cs="Tahoma"/>
                <w:sz w:val="19"/>
                <w:szCs w:val="19"/>
                <w:rtl/>
              </w:rPr>
            </w:pPr>
            <w:r w:rsidRPr="00B53FF1">
              <w:rPr>
                <w:rFonts w:ascii="Tahoma" w:hAnsi="Tahoma" w:cs="Tahoma"/>
                <w:b/>
                <w:bCs/>
                <w:sz w:val="19"/>
                <w:szCs w:val="19"/>
                <w:rtl/>
              </w:rPr>
              <w:t>מבנה לשכת המבקר</w:t>
            </w:r>
            <w:r w:rsidRPr="00B53FF1">
              <w:rPr>
                <w:rFonts w:ascii="Tahoma" w:hAnsi="Tahoma" w:cs="Tahoma"/>
                <w:sz w:val="19"/>
                <w:szCs w:val="19"/>
                <w:rtl/>
              </w:rPr>
              <w:t xml:space="preserve"> - משרד הפנים קבע בתקנות שיעור מזערי לתקציב ולתקינה בלשכות מבקרי העיריות, ויש בכך חיזוק מהותי לאי-תלותו של מבקר העירייה, אך תקנות אלו לא חלות על המועצות המקומיות והאזוריות. </w:t>
            </w:r>
          </w:p>
          <w:p w:rsidR="00B53FF1" w:rsidRPr="00B53FF1" w:rsidP="00B53FF1">
            <w:pPr>
              <w:rPr>
                <w:rFonts w:ascii="Tahoma" w:hAnsi="Tahoma" w:cs="Tahoma"/>
                <w:sz w:val="19"/>
                <w:szCs w:val="19"/>
              </w:rPr>
            </w:pPr>
          </w:p>
          <w:p w:rsidR="00B53FF1" w:rsidRPr="00B53FF1" w:rsidP="00B53FF1">
            <w:pPr>
              <w:rPr>
                <w:rFonts w:ascii="Tahoma" w:hAnsi="Tahoma" w:cs="Tahoma"/>
              </w:rPr>
            </w:pPr>
            <w:r w:rsidRPr="00B53FF1">
              <w:rPr>
                <w:rFonts w:ascii="Tahoma" w:hAnsi="Tahoma" w:cs="Tahoma"/>
                <w:b/>
                <w:bCs/>
                <w:sz w:val="19"/>
                <w:szCs w:val="19"/>
                <w:rtl/>
              </w:rPr>
              <w:t>מיפוי תחומי הסיכון ברשויות המקומיות</w:t>
            </w:r>
            <w:r w:rsidRPr="00B53FF1">
              <w:rPr>
                <w:rFonts w:ascii="Tahoma" w:hAnsi="Tahoma" w:cs="Tahoma"/>
                <w:sz w:val="19"/>
                <w:szCs w:val="19"/>
                <w:rtl/>
              </w:rPr>
              <w:t xml:space="preserve"> - בשנים 2015 עד 2018 עסקו דוחות הביקורת בכ-20 רשויות מקומיות בתחומי אבטח</w:t>
            </w:r>
            <w:r w:rsidR="00C5582D">
              <w:rPr>
                <w:rFonts w:ascii="Tahoma" w:hAnsi="Tahoma" w:cs="Tahoma"/>
                <w:sz w:val="19"/>
                <w:szCs w:val="19"/>
                <w:rtl/>
              </w:rPr>
              <w:t xml:space="preserve">ת המידע והסייבר - תחומי סיכון </w:t>
            </w:r>
            <w:r w:rsidRPr="00B53FF1">
              <w:rPr>
                <w:rFonts w:ascii="Tahoma" w:hAnsi="Tahoma" w:cs="Tahoma"/>
                <w:sz w:val="19"/>
                <w:szCs w:val="19"/>
                <w:rtl/>
              </w:rPr>
              <w:t>מרכזיים בעידן זה.</w:t>
            </w:r>
          </w:p>
        </w:tc>
      </w:tr>
    </w:tbl>
    <w:p w:rsidR="00B53FF1" w:rsidP="00B53FF1">
      <w:pPr>
        <w:rPr>
          <w:rFonts w:ascii="Tahoma" w:hAnsi="Tahoma" w:cs="Tahoma"/>
          <w:sz w:val="24"/>
          <w:szCs w:val="28"/>
          <w:rtl/>
        </w:rPr>
      </w:pPr>
    </w:p>
    <w:p w:rsidR="00265965" w:rsidRPr="00B53FF1" w:rsidP="00B53FF1">
      <w:pPr>
        <w:rPr>
          <w:rFonts w:ascii="Tahoma" w:hAnsi="Tahoma" w:cs="Tahoma"/>
          <w:sz w:val="24"/>
          <w:szCs w:val="28"/>
        </w:rPr>
      </w:pPr>
    </w:p>
    <w:tbl>
      <w:tblPr>
        <w:tblpPr w:leftFromText="180" w:rightFromText="180" w:vertAnchor="text" w:tblpXSpec="center" w:tblpY="1"/>
        <w:tblOverlap w:val="never"/>
        <w:bidiVisual/>
        <w:tblW w:w="9316" w:type="dxa"/>
        <w:tblLayout w:type="fixed"/>
        <w:tblLook w:val="04A0"/>
      </w:tblPr>
      <w:tblGrid>
        <w:gridCol w:w="9309"/>
        <w:gridCol w:w="7"/>
      </w:tblGrid>
      <w:tr w:rsidTr="008A6E04">
        <w:tblPrEx>
          <w:tblW w:w="9316" w:type="dxa"/>
          <w:tblLayout w:type="fixed"/>
          <w:tblLook w:val="04A0"/>
        </w:tblPrEx>
        <w:trPr>
          <w:gridAfter w:val="1"/>
          <w:wAfter w:w="7" w:type="dxa"/>
        </w:trPr>
        <w:tc>
          <w:tcPr>
            <w:tcW w:w="9309" w:type="dxa"/>
            <w:tcBorders>
              <w:top w:val="nil"/>
              <w:left w:val="nil"/>
              <w:bottom w:val="nil"/>
              <w:right w:val="nil"/>
            </w:tcBorders>
          </w:tcPr>
          <w:p w:rsidR="00B53FF1" w:rsidRPr="00B53FF1" w:rsidP="00B53FF1">
            <w:pPr>
              <w:rPr>
                <w:rFonts w:ascii="Tahoma" w:hAnsi="Tahoma" w:cs="Tahoma"/>
                <w:rtl/>
              </w:rPr>
            </w:pPr>
            <w:r w:rsidRPr="00B53FF1">
              <w:rPr>
                <w:rFonts w:ascii="Tahoma" w:hAnsi="Tahoma" w:cs="Tahoma"/>
                <w:noProof/>
                <w:rtl/>
              </w:rPr>
              <w:drawing>
                <wp:inline distT="0" distB="0" distL="0" distR="0">
                  <wp:extent cx="5825365" cy="439420"/>
                  <wp:effectExtent l="0" t="0" r="4445" b="0"/>
                  <wp:docPr id="1054" name="תמונה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8A6E04">
        <w:tblPrEx>
          <w:tblW w:w="9316" w:type="dxa"/>
          <w:tblLayout w:type="fixed"/>
          <w:tblLook w:val="04A0"/>
        </w:tblPrEx>
        <w:trPr>
          <w:gridAfter w:val="1"/>
          <w:wAfter w:w="7" w:type="dxa"/>
        </w:trPr>
        <w:tc>
          <w:tcPr>
            <w:tcW w:w="9309" w:type="dxa"/>
            <w:tcBorders>
              <w:top w:val="nil"/>
              <w:left w:val="nil"/>
              <w:bottom w:val="nil"/>
              <w:right w:val="nil"/>
            </w:tcBorders>
          </w:tcPr>
          <w:p w:rsidR="00B53FF1" w:rsidRPr="00B53FF1" w:rsidP="00B53FF1">
            <w:pPr>
              <w:rPr>
                <w:rFonts w:ascii="Tahoma" w:hAnsi="Tahoma" w:cs="Tahoma"/>
                <w:rtl/>
              </w:rPr>
            </w:pPr>
          </w:p>
        </w:tc>
      </w:tr>
      <w:tr w:rsidTr="008A6E04">
        <w:tblPrEx>
          <w:tblW w:w="9316" w:type="dxa"/>
          <w:tblLayout w:type="fixed"/>
          <w:tblLook w:val="04A0"/>
        </w:tblPrEx>
        <w:trPr>
          <w:gridAfter w:val="1"/>
          <w:wAfter w:w="7" w:type="dxa"/>
          <w:trHeight w:val="1132"/>
        </w:trPr>
        <w:tc>
          <w:tcPr>
            <w:tcW w:w="9309" w:type="dxa"/>
            <w:tcBorders>
              <w:top w:val="nil"/>
              <w:left w:val="nil"/>
              <w:bottom w:val="nil"/>
              <w:right w:val="nil"/>
            </w:tcBorders>
            <w:shd w:val="clear" w:color="auto" w:fill="F1F5F9"/>
          </w:tcPr>
          <w:p w:rsidR="00B53FF1" w:rsidRPr="00B53FF1" w:rsidP="00D62174">
            <w:pPr>
              <w:numPr>
                <w:ilvl w:val="0"/>
                <w:numId w:val="3"/>
              </w:numPr>
              <w:spacing w:before="120"/>
              <w:ind w:left="420" w:hanging="420"/>
              <w:rPr>
                <w:rFonts w:ascii="Tahoma" w:hAnsi="Tahoma" w:cs="Tahoma"/>
                <w:sz w:val="19"/>
                <w:szCs w:val="19"/>
                <w:rtl/>
              </w:rPr>
            </w:pPr>
            <w:r w:rsidRPr="00B53FF1">
              <w:rPr>
                <w:rFonts w:ascii="Tahoma" w:hAnsi="Tahoma" w:cs="Tahoma"/>
                <w:sz w:val="19"/>
                <w:szCs w:val="19"/>
                <w:rtl/>
              </w:rPr>
              <w:t>ראוי כי משרד הפנים יעמוד על מינויים של מבקרים בכל הרשויות המקומיות וידרוש את קבלת דוחות הביקורת ממבקרי הרשויות בצורה שיטתית וסדורה, יידרש לתוכנם של הדוחות ויקבע תקנים מקצועיים מפורטים ומקיפים לכתיבתם. עוד מומלץ כי משרד הפנים יידרש לסוגיית קביעת שיעור מזערי לתקציב ולתקינה בכל הנוגע למבקרים במועצות המקומיות והאזוריות.</w:t>
            </w:r>
          </w:p>
          <w:p w:rsidR="00B53FF1" w:rsidRPr="00B53FF1" w:rsidP="00D62174">
            <w:pPr>
              <w:ind w:left="418" w:hanging="418"/>
              <w:rPr>
                <w:rFonts w:ascii="Tahoma" w:hAnsi="Tahoma" w:cs="Tahoma"/>
                <w:sz w:val="19"/>
                <w:szCs w:val="19"/>
                <w:rtl/>
              </w:rPr>
            </w:pPr>
          </w:p>
          <w:p w:rsidR="00B53FF1" w:rsidRPr="00B53FF1" w:rsidP="00D62174">
            <w:pPr>
              <w:numPr>
                <w:ilvl w:val="0"/>
                <w:numId w:val="3"/>
              </w:numPr>
              <w:ind w:left="418" w:hanging="418"/>
              <w:rPr>
                <w:rFonts w:ascii="Tahoma" w:hAnsi="Tahoma" w:cs="Tahoma"/>
                <w:sz w:val="19"/>
                <w:szCs w:val="19"/>
              </w:rPr>
            </w:pPr>
            <w:r w:rsidRPr="00B53FF1">
              <w:rPr>
                <w:rFonts w:ascii="Tahoma" w:hAnsi="Tahoma" w:cs="Tahoma"/>
                <w:sz w:val="19"/>
                <w:szCs w:val="19"/>
                <w:rtl/>
              </w:rPr>
              <w:t>מומלץ כי משרד הפנים יחדד את ההנחיות בעניין עריכת סקר סיכונים עדכני</w:t>
            </w:r>
            <w:r>
              <w:rPr>
                <w:rFonts w:ascii="Tahoma" w:hAnsi="Tahoma" w:cs="Tahoma" w:hint="cs"/>
                <w:sz w:val="19"/>
                <w:szCs w:val="19"/>
                <w:rtl/>
              </w:rPr>
              <w:t>,</w:t>
            </w:r>
            <w:r w:rsidRPr="00B53FF1">
              <w:rPr>
                <w:rFonts w:ascii="Tahoma" w:hAnsi="Tahoma" w:cs="Tahoma"/>
                <w:sz w:val="19"/>
                <w:szCs w:val="19"/>
                <w:rtl/>
              </w:rPr>
              <w:t xml:space="preserve"> ויפעל להדרכת המבקרים בכל הנוגע למתודולוגיית עריכת הסקרים. עוד מומלץ כי המבקרים יפעלו לעריכת ביקורות בתחומי ליבה וסיכונים עתידיים - ובפרט בתחום אבטחת מידע וסייבר.</w:t>
            </w:r>
          </w:p>
          <w:p w:rsidR="00B53FF1" w:rsidRPr="00B53FF1" w:rsidP="00D62174">
            <w:pPr>
              <w:ind w:left="418" w:hanging="418"/>
              <w:rPr>
                <w:rFonts w:ascii="Tahoma" w:hAnsi="Tahoma" w:cs="Tahoma"/>
                <w:sz w:val="19"/>
                <w:szCs w:val="19"/>
                <w:rtl/>
              </w:rPr>
            </w:pPr>
          </w:p>
          <w:p w:rsidR="00B53FF1" w:rsidRPr="00B53FF1" w:rsidP="00D62174">
            <w:pPr>
              <w:numPr>
                <w:ilvl w:val="0"/>
                <w:numId w:val="3"/>
              </w:numPr>
              <w:ind w:left="418" w:hanging="418"/>
              <w:rPr>
                <w:rFonts w:ascii="Tahoma" w:hAnsi="Tahoma" w:cs="Tahoma"/>
                <w:sz w:val="19"/>
                <w:szCs w:val="19"/>
                <w:rtl/>
              </w:rPr>
            </w:pPr>
            <w:r w:rsidRPr="00B53FF1">
              <w:rPr>
                <w:rFonts w:ascii="Tahoma" w:hAnsi="Tahoma" w:cs="Tahoma"/>
                <w:sz w:val="19"/>
                <w:szCs w:val="19"/>
                <w:rtl/>
              </w:rPr>
              <w:t xml:space="preserve">על כלל הרשויות להקפיד על קיום דיונים בדוחות הביקורת, ייסוד צוותי תיקון ליקויים וביצוע מעקב אחר תיקונם. מוצע כי משרד הפנים יחדד את הנחיותיו בנושא, לרבות בעניין פרסום הדוחות לציבור במרשתת, ויבחן את הצורך במתן הנחיות בעניין מינוי צוות תיקון ליקויים במועצות האזוריות. </w:t>
            </w:r>
          </w:p>
          <w:p w:rsidR="00B53FF1" w:rsidRPr="00B53FF1" w:rsidP="00D62174">
            <w:pPr>
              <w:ind w:left="418" w:hanging="418"/>
              <w:rPr>
                <w:rFonts w:ascii="Tahoma" w:hAnsi="Tahoma" w:cs="Tahoma"/>
                <w:sz w:val="19"/>
                <w:szCs w:val="19"/>
                <w:rtl/>
              </w:rPr>
            </w:pPr>
          </w:p>
          <w:p w:rsidR="00B53FF1" w:rsidRPr="00B53FF1" w:rsidP="00D62174">
            <w:pPr>
              <w:numPr>
                <w:ilvl w:val="0"/>
                <w:numId w:val="3"/>
              </w:numPr>
              <w:ind w:left="418" w:hanging="418"/>
              <w:rPr>
                <w:rFonts w:ascii="Tahoma" w:hAnsi="Tahoma" w:cs="Tahoma"/>
                <w:sz w:val="19"/>
                <w:szCs w:val="19"/>
                <w:rtl/>
              </w:rPr>
            </w:pPr>
            <w:r w:rsidRPr="00B53FF1">
              <w:rPr>
                <w:rFonts w:ascii="Tahoma" w:hAnsi="Tahoma" w:cs="Tahoma"/>
                <w:sz w:val="19"/>
                <w:szCs w:val="19"/>
                <w:rtl/>
              </w:rPr>
              <w:t>ההתנכלויות שחווים גזברים בשל תפקידם, המאפיינות בעיקר רשויות מהמגזר הלא-יהודי ומועצות מקומיות, מצביעות על צורך חיוני בגיבוש כלים על ידי משרד הפנים להתמודדות עם מצבי קיצון בעבודת הגזבר.</w:t>
            </w:r>
          </w:p>
          <w:p w:rsidR="00B53FF1" w:rsidRPr="00B53FF1" w:rsidP="00D62174">
            <w:pPr>
              <w:ind w:left="418" w:hanging="418"/>
              <w:rPr>
                <w:rFonts w:ascii="Tahoma" w:hAnsi="Tahoma" w:cs="Tahoma"/>
                <w:sz w:val="19"/>
                <w:szCs w:val="19"/>
                <w:rtl/>
              </w:rPr>
            </w:pPr>
          </w:p>
          <w:p w:rsidR="00B53FF1" w:rsidRPr="00B53FF1" w:rsidP="00D62174">
            <w:pPr>
              <w:numPr>
                <w:ilvl w:val="0"/>
                <w:numId w:val="3"/>
              </w:numPr>
              <w:ind w:left="418" w:hanging="418"/>
              <w:rPr>
                <w:rFonts w:ascii="Tahoma" w:hAnsi="Tahoma" w:cs="Tahoma"/>
                <w:i/>
                <w:iCs/>
                <w:rtl/>
              </w:rPr>
            </w:pPr>
            <w:r w:rsidRPr="00B53FF1">
              <w:rPr>
                <w:rFonts w:ascii="Tahoma" w:hAnsi="Tahoma" w:cs="Tahoma"/>
                <w:sz w:val="19"/>
                <w:szCs w:val="19"/>
                <w:rtl/>
              </w:rPr>
              <w:t xml:space="preserve">מומלץ שמשרד הפנים ישקול לבצע עבודת מטה מקיפה, בדומה למהלך שקדם להחלטה על הרפורמה בשירות המדינה, תוך בחינת חלופות, כדי להעמיק בסוגיית משך הכהונה של משרות בכירות ברשויות המקומיות. </w:t>
            </w:r>
          </w:p>
        </w:tc>
      </w:tr>
      <w:tr w:rsidTr="008A6E04">
        <w:tblPrEx>
          <w:tblW w:w="9316" w:type="dxa"/>
          <w:tblLayout w:type="fixed"/>
          <w:tblLook w:val="04A0"/>
        </w:tblPrEx>
        <w:trPr>
          <w:trHeight w:val="500"/>
        </w:trPr>
        <w:tc>
          <w:tcPr>
            <w:tcW w:w="9316" w:type="dxa"/>
            <w:gridSpan w:val="2"/>
            <w:tcBorders>
              <w:top w:val="nil"/>
              <w:left w:val="nil"/>
              <w:bottom w:val="nil"/>
              <w:right w:val="nil"/>
            </w:tcBorders>
          </w:tcPr>
          <w:p w:rsidR="00B53FF1" w:rsidRPr="00B53FF1" w:rsidP="00B53FF1">
            <w:pPr>
              <w:rPr>
                <w:rFonts w:ascii="Tahoma" w:hAnsi="Tahoma" w:cs="Tahoma"/>
                <w:rtl/>
              </w:rPr>
            </w:pPr>
            <w:r w:rsidRPr="00265965">
              <w:rPr>
                <w:rFonts w:ascii="Tahoma" w:hAnsi="Tahoma" w:cs="Tahoma"/>
                <w:b/>
                <w:bCs/>
                <w:noProof/>
                <w:color w:val="FFFFFF" w:themeColor="background1"/>
                <w:sz w:val="24"/>
                <w:szCs w:val="32"/>
                <w:rtl/>
              </w:rPr>
              <w:drawing>
                <wp:anchor distT="0" distB="0" distL="114300" distR="114300" simplePos="0" relativeHeight="251658240" behindDoc="1" locked="0" layoutInCell="1" allowOverlap="1">
                  <wp:simplePos x="0" y="0"/>
                  <wp:positionH relativeFrom="column">
                    <wp:posOffset>3749040</wp:posOffset>
                  </wp:positionH>
                  <wp:positionV relativeFrom="paragraph">
                    <wp:posOffset>220345</wp:posOffset>
                  </wp:positionV>
                  <wp:extent cx="2186940" cy="569595"/>
                  <wp:effectExtent l="0" t="0" r="3810" b="1905"/>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86940" cy="569595"/>
                          </a:xfrm>
                          <a:prstGeom prst="rect">
                            <a:avLst/>
                          </a:prstGeom>
                        </pic:spPr>
                      </pic:pic>
                    </a:graphicData>
                  </a:graphic>
                  <wp14:sizeRelH relativeFrom="page">
                    <wp14:pctWidth>0</wp14:pctWidth>
                  </wp14:sizeRelH>
                  <wp14:sizeRelV relativeFrom="page">
                    <wp14:pctHeight>0</wp14:pctHeight>
                  </wp14:sizeRelV>
                </wp:anchor>
              </w:drawing>
            </w:r>
          </w:p>
        </w:tc>
      </w:tr>
      <w:tr w:rsidTr="008A6E04">
        <w:tblPrEx>
          <w:tblW w:w="9316" w:type="dxa"/>
          <w:tblLayout w:type="fixed"/>
          <w:tblLook w:val="04A0"/>
        </w:tblPrEx>
        <w:trPr>
          <w:trHeight w:val="8503"/>
        </w:trPr>
        <w:tc>
          <w:tcPr>
            <w:tcW w:w="9316" w:type="dxa"/>
            <w:gridSpan w:val="2"/>
            <w:tcBorders>
              <w:top w:val="nil"/>
              <w:left w:val="nil"/>
              <w:bottom w:val="nil"/>
              <w:right w:val="nil"/>
            </w:tcBorders>
          </w:tcPr>
          <w:p w:rsidR="00265965" w:rsidP="00B53FF1">
            <w:pPr>
              <w:rPr>
                <w:rFonts w:ascii="Tahoma" w:hAnsi="Tahoma" w:cs="Tahoma"/>
                <w:b/>
                <w:bCs/>
                <w:color w:val="FFFFFF" w:themeColor="background1"/>
                <w:sz w:val="24"/>
                <w:szCs w:val="32"/>
                <w:rtl/>
              </w:rPr>
            </w:pPr>
            <w:r w:rsidRPr="00265965">
              <w:rPr>
                <w:rFonts w:ascii="Tahoma" w:hAnsi="Tahoma" w:cs="Tahoma" w:hint="cs"/>
                <w:b/>
                <w:bCs/>
                <w:color w:val="FFFFFF" w:themeColor="background1"/>
                <w:sz w:val="24"/>
                <w:szCs w:val="32"/>
                <w:rtl/>
              </w:rPr>
              <w:t>המלצות נבחרות</w:t>
            </w:r>
          </w:p>
          <w:p w:rsidR="00887345" w:rsidRPr="00265965" w:rsidP="00B53FF1">
            <w:pPr>
              <w:rPr>
                <w:rFonts w:ascii="Tahoma" w:hAnsi="Tahoma" w:cs="Tahoma"/>
                <w:b/>
                <w:bCs/>
                <w:color w:val="FFFFFF" w:themeColor="background1"/>
                <w:sz w:val="24"/>
                <w:szCs w:val="32"/>
                <w:rtl/>
              </w:rPr>
            </w:pPr>
          </w:p>
          <w:p w:rsidR="00265965" w:rsidRPr="00B53FF1" w:rsidP="00265965">
            <w:pPr>
              <w:jc w:val="center"/>
              <w:rPr>
                <w:rFonts w:ascii="Tahoma" w:hAnsi="Tahoma" w:cs="Tahoma"/>
                <w:rtl/>
              </w:rPr>
            </w:pPr>
            <w:r>
              <w:rPr>
                <w:rFonts w:ascii="Tahoma" w:hAnsi="Tahoma" w:cs="Tahoma"/>
                <w:noProof/>
                <w:rtl/>
              </w:rPr>
              <w:drawing>
                <wp:inline distT="0" distB="0" distL="0" distR="0">
                  <wp:extent cx="3164764" cy="3735784"/>
                  <wp:effectExtent l="0" t="0" r="0" b="0"/>
                  <wp:docPr id="123061500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53981" name="info - 0 - תקציר.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3648" cy="3734467"/>
                          </a:xfrm>
                          <a:prstGeom prst="rect">
                            <a:avLst/>
                          </a:prstGeom>
                        </pic:spPr>
                      </pic:pic>
                    </a:graphicData>
                  </a:graphic>
                </wp:inline>
              </w:drawing>
            </w:r>
          </w:p>
        </w:tc>
      </w:tr>
    </w:tbl>
    <w:p w:rsidR="00265965" w:rsidRPr="00B53FF1" w:rsidP="00B53FF1">
      <w:pPr>
        <w:rPr>
          <w:rFonts w:ascii="Tahoma" w:hAnsi="Tahoma" w:cs="Tahoma"/>
        </w:rPr>
      </w:pPr>
    </w:p>
    <w:tbl>
      <w:tblPr>
        <w:tblpPr w:leftFromText="180" w:rightFromText="180" w:vertAnchor="text" w:tblpXSpec="center" w:tblpY="1"/>
        <w:tblOverlap w:val="never"/>
        <w:bidiVisual/>
        <w:tblW w:w="9316" w:type="dxa"/>
        <w:tblLayout w:type="fixed"/>
        <w:tblLook w:val="04A0"/>
      </w:tblPr>
      <w:tblGrid>
        <w:gridCol w:w="9316"/>
      </w:tblGrid>
      <w:tr w:rsidTr="008A6E04">
        <w:tblPrEx>
          <w:tblW w:w="9316" w:type="dxa"/>
          <w:tblLayout w:type="fixed"/>
          <w:tblLook w:val="04A0"/>
        </w:tblPrEx>
        <w:trPr>
          <w:trHeight w:val="419"/>
        </w:trPr>
        <w:tc>
          <w:tcPr>
            <w:tcW w:w="9316" w:type="dxa"/>
            <w:tcBorders>
              <w:top w:val="nil"/>
              <w:left w:val="nil"/>
              <w:bottom w:val="nil"/>
              <w:right w:val="nil"/>
            </w:tcBorders>
          </w:tcPr>
          <w:p w:rsidR="00B53FF1" w:rsidRPr="00B53FF1" w:rsidP="00B53FF1">
            <w:pPr>
              <w:rPr>
                <w:rFonts w:ascii="Tahoma" w:hAnsi="Tahoma" w:cs="Tahoma"/>
                <w:rtl/>
              </w:rPr>
            </w:pPr>
            <w:r w:rsidRPr="00B53FF1">
              <w:rPr>
                <w:rFonts w:ascii="Tahoma" w:hAnsi="Tahoma" w:cs="Tahoma"/>
                <w:noProof/>
              </w:rPr>
              <w:drawing>
                <wp:inline distT="0" distB="0" distL="0" distR="0">
                  <wp:extent cx="5867102" cy="342265"/>
                  <wp:effectExtent l="0" t="0" r="635" b="635"/>
                  <wp:docPr id="1057" name="תמונה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53490"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8A6E04">
        <w:tblPrEx>
          <w:tblW w:w="9316" w:type="dxa"/>
          <w:tblLayout w:type="fixed"/>
          <w:tblLook w:val="04A0"/>
        </w:tblPrEx>
        <w:trPr>
          <w:trHeight w:val="1792"/>
        </w:trPr>
        <w:tc>
          <w:tcPr>
            <w:tcW w:w="9316" w:type="dxa"/>
            <w:tcBorders>
              <w:top w:val="nil"/>
              <w:left w:val="nil"/>
              <w:bottom w:val="nil"/>
              <w:right w:val="nil"/>
            </w:tcBorders>
          </w:tcPr>
          <w:p w:rsidR="00B53FF1" w:rsidRPr="00B53FF1" w:rsidP="00B53FF1">
            <w:pPr>
              <w:rPr>
                <w:rFonts w:ascii="Tahoma" w:hAnsi="Tahoma" w:cs="Tahoma"/>
                <w:sz w:val="19"/>
                <w:szCs w:val="19"/>
                <w:rtl/>
              </w:rPr>
            </w:pPr>
            <w:r w:rsidRPr="00B53FF1">
              <w:rPr>
                <w:rFonts w:ascii="Tahoma" w:hAnsi="Tahoma" w:cs="Tahoma"/>
                <w:sz w:val="19"/>
                <w:szCs w:val="19"/>
                <w:rtl/>
              </w:rPr>
              <w:t xml:space="preserve">המגמה ולפיה משרד הפנים מקדם את האוטונומיה של הרשויות המקומיות לא עולה תמיד בקנה אחד עם מערך </w:t>
            </w:r>
            <w:r w:rsidRPr="00B53FF1">
              <w:rPr>
                <w:rFonts w:ascii="Tahoma" w:hAnsi="Tahoma" w:cs="Tahoma"/>
                <w:sz w:val="19"/>
                <w:szCs w:val="19"/>
                <w:rtl/>
              </w:rPr>
              <w:t>האיזונים</w:t>
            </w:r>
            <w:r w:rsidRPr="00B53FF1">
              <w:rPr>
                <w:rFonts w:ascii="Tahoma" w:hAnsi="Tahoma" w:cs="Tahoma"/>
                <w:sz w:val="19"/>
                <w:szCs w:val="19"/>
                <w:rtl/>
              </w:rPr>
              <w:t xml:space="preserve"> והבלמים ברשות המקומית ומעמידה את מנגנוני הבקרה הפנימיים ברשות - המבקר, הגזבר והיועץ המשפטי - בקונפליקט מובנה מול הנהלת הרשות המקומית והעובדים. ביקורת המדינה העלתה ליקויים בפרט בנוגע לרשויות קטנות - שהן לרוב גם פריפריאליות, במדד חברתי-כלכלי נמוך ומהמגזר הלא-יהודי, והדבר מחייב אפוא התייחסות מוגברת וממוקדת מצד משרד הפנים כדי להבטיח את תפקודם </w:t>
            </w:r>
            <w:r w:rsidRPr="00B53FF1">
              <w:rPr>
                <w:rFonts w:ascii="Tahoma" w:hAnsi="Tahoma" w:cs="Tahoma"/>
                <w:sz w:val="19"/>
                <w:szCs w:val="19"/>
                <w:rtl/>
              </w:rPr>
              <w:t>ומועילותם</w:t>
            </w:r>
            <w:r w:rsidRPr="00B53FF1">
              <w:rPr>
                <w:rFonts w:ascii="Tahoma" w:hAnsi="Tahoma" w:cs="Tahoma"/>
                <w:sz w:val="19"/>
                <w:szCs w:val="19"/>
                <w:rtl/>
              </w:rPr>
              <w:t xml:space="preserve"> של המבקר, הגזבר והיועץ המשפטי כמנגנוני הבקרה הפנימיים ברשויות אלו ולהרחיב את מנעד הכלים שיועמדו לרשותם</w:t>
            </w:r>
            <w:r>
              <w:rPr>
                <w:rFonts w:ascii="Tahoma" w:hAnsi="Tahoma" w:cs="Tahoma" w:hint="cs"/>
                <w:sz w:val="19"/>
                <w:szCs w:val="19"/>
                <w:rtl/>
              </w:rPr>
              <w:t>.</w:t>
            </w:r>
          </w:p>
        </w:tc>
      </w:tr>
    </w:tbl>
    <w:p w:rsidR="00B53FF1" w:rsidRPr="00B53FF1" w:rsidP="00B53FF1">
      <w:pPr>
        <w:rPr>
          <w:rFonts w:ascii="Tahoma" w:hAnsi="Tahoma" w:cs="Tahoma"/>
        </w:rPr>
      </w:pPr>
    </w:p>
    <w:p w:rsidR="00B53FF1" w:rsidRPr="00B53FF1" w:rsidP="00B53FF1">
      <w:pPr>
        <w:rPr>
          <w:rFonts w:ascii="Tahoma" w:hAnsi="Tahoma" w:cs="Tahoma"/>
          <w:rtl/>
        </w:rPr>
      </w:pPr>
      <w:bookmarkStart w:id="1" w:name="tempMark"/>
      <w:bookmarkEnd w:id="1"/>
    </w:p>
    <w:sectPr w:rsidSect="00B53FF1">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4">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-147244</wp:posOffset>
              </wp:positionV>
              <wp:extent cx="4445000" cy="563271"/>
              <wp:effectExtent l="0" t="0" r="12700" b="27305"/>
              <wp:wrapNone/>
              <wp:docPr id="9"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563271"/>
                      </a:xfrm>
                      <a:prstGeom prst="rect">
                        <a:avLst/>
                      </a:prstGeom>
                      <a:noFill/>
                      <a:ln w="6350">
                        <a:solidFill>
                          <a:srgbClr val="0000FF"/>
                        </a:solidFill>
                      </a:ln>
                    </wps:spPr>
                    <wps:txbx>
                      <w:txbxContent>
                        <w:p w:rsidR="008A6E04" w:rsidP="008A6E04">
                          <w:pPr>
                            <w:spacing w:before="24" w:line="240"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8A6E04" w:rsidRPr="005A3F25" w:rsidP="008A6E04">
                          <w:pPr>
                            <w:spacing w:before="24" w:line="240"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A" o:spid="_x0000_s2050" type="#_x0000_t202" style="width:350pt;height:44.35pt;margin-top:-11.6pt;margin-left:30.15pt;mso-height-percent:0;mso-height-relative:margin;mso-wrap-distance-bottom:0;mso-wrap-distance-left:9pt;mso-wrap-distance-right:9pt;mso-wrap-distance-top:0;mso-wrap-style:square;position:absolute;visibility:visible;v-text-anchor:top;z-index:251666432" filled="f" strokecolor="blue" strokeweight="0.5pt">
              <v:textbox>
                <w:txbxContent>
                  <w:p w:rsidR="008A6E04" w:rsidP="008A6E04">
                    <w:pPr>
                      <w:spacing w:before="24" w:line="240" w:lineRule="auto"/>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8A6E04" w:rsidRPr="005A3F25" w:rsidP="008A6E04">
                    <w:pPr>
                      <w:spacing w:before="24" w:line="240" w:lineRule="auto"/>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4">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8"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8A6E04" w:rsidP="005A3F25">
                          <w:pPr>
                            <w:spacing w:before="24"/>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8A6E04" w:rsidRPr="005A3F25" w:rsidP="005A3F25">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1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8A6E04" w:rsidP="005A3F25">
                    <w:pPr>
                      <w:spacing w:before="24"/>
                      <w:ind w:firstLine="79"/>
                      <w:jc w:val="center"/>
                      <w:rPr>
                        <w:rFonts w:ascii="Narkisim" w:hAnsi="Narkisim" w:cs="Narkisim"/>
                        <w:color w:val="0000FF"/>
                        <w:sz w:val="18"/>
                        <w:szCs w:val="18"/>
                      </w:rPr>
                    </w:pPr>
                    <w:r>
                      <w:rPr>
                        <w:rFonts w:ascii="Narkisim" w:hAnsi="Narkisim" w:cs="Narkisim"/>
                        <w:color w:val="0000FF"/>
                        <w:sz w:val="18"/>
                        <w:szCs w:val="18"/>
                        <w:rtl/>
                      </w:rPr>
                      <w:t>מסמך זה מכיל ממצאי ביקורת של מבקר המדינה. פרסומם ללא נטילת רשות מטעם המבקר</w:t>
                    </w:r>
                  </w:p>
                  <w:p w:rsidR="008A6E04" w:rsidRPr="005A3F25" w:rsidP="005A3F25">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4" w:rsidP="00B53FF1">
    <w:pPr>
      <w:pStyle w:val="Header"/>
      <w:jc w:val="cente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2"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8A6E04" w:rsidRPr="00B53FF1" w:rsidP="00B53FF1">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8A6E04" w:rsidRPr="00B53FF1" w:rsidP="00B53FF1">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56358C">
      <w:rPr>
        <w:noProof/>
        <w:rtl/>
      </w:rPr>
      <w:t>4</w:t>
    </w:r>
    <w:r>
      <w:rPr>
        <w:rtl/>
      </w:rPr>
      <w:fldChar w:fldCharType="end"/>
    </w:r>
    <w: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4" w:rsidRPr="005A3F25" w:rsidP="005A3F25">
    <w:pPr>
      <w:pStyle w:val="Header"/>
      <w:rPr>
        <w:noProof/>
        <w:sz w:val="26"/>
        <w:szCs w:val="26"/>
        <w:rtl/>
      </w:rPr>
    </w:pPr>
    <w:r w:rsidRPr="005A3F25">
      <w:rPr>
        <w:noProof/>
        <w:sz w:val="26"/>
        <w:szCs w:val="26"/>
      </w:rPr>
      <w:tab/>
    </w:r>
  </w:p>
  <w:p w:rsidR="008A6E04" w:rsidRPr="005A3F25" w:rsidP="005A3F25">
    <w:pPr>
      <w:pStyle w:val="Header"/>
      <w:rPr>
        <w:noProof/>
        <w:sz w:val="26"/>
        <w:szCs w:val="26"/>
        <w:rtl/>
      </w:rPr>
    </w:pPr>
    <w:r w:rsidRPr="005A3F25">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8A6E04" w:rsidRPr="00DC4ED2" w:rsidP="005A3F25">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8A6E04" w:rsidRPr="00EE45F4" w:rsidP="005A3F25">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1312" filled="f" strokecolor="white" strokeweight="0.5pt">
              <v:textbox>
                <w:txbxContent>
                  <w:p w:rsidR="008A6E04" w:rsidRPr="00DC4ED2" w:rsidP="005A3F25">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8A6E04" w:rsidRPr="00EE45F4" w:rsidP="005A3F25">
                    <w:pPr>
                      <w:spacing w:before="120"/>
                      <w:jc w:val="center"/>
                      <w:rPr>
                        <w:rFonts w:ascii="Tahoma" w:hAnsi="Tahoma" w:cs="Tahoma"/>
                        <w:spacing w:val="5"/>
                        <w:sz w:val="27"/>
                        <w:szCs w:val="27"/>
                        <w:rtl/>
                      </w:rPr>
                    </w:pPr>
                  </w:p>
                </w:txbxContent>
              </v:textbox>
            </v:shape>
          </w:pict>
        </mc:Fallback>
      </mc:AlternateContent>
    </w:r>
    <w:r w:rsidRPr="005A3F25">
      <w:rPr>
        <w:noProof/>
        <w:sz w:val="26"/>
        <w:szCs w:val="26"/>
      </w:rPr>
      <w:drawing>
        <wp:anchor distT="0" distB="0" distL="114300" distR="114300" simplePos="0" relativeHeight="251662336"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7" name="תמונה 7" descr="Logo Mevaker New"/>
          <wp:cNvGraphicFramePr/>
          <a:graphic xmlns:a="http://schemas.openxmlformats.org/drawingml/2006/main">
            <a:graphicData uri="http://schemas.openxmlformats.org/drawingml/2006/picture">
              <pic:pic xmlns:pic="http://schemas.openxmlformats.org/drawingml/2006/picture">
                <pic:nvPicPr>
                  <pic:cNvPr id="1356796313"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E04" w:rsidRPr="005A3F25" w:rsidP="005A3F25">
    <w:pPr>
      <w:pStyle w:val="Header"/>
      <w:rPr>
        <w:noProof/>
        <w:sz w:val="26"/>
        <w:szCs w:val="26"/>
        <w:rtl/>
      </w:rPr>
    </w:pPr>
    <w:r w:rsidRPr="005A3F25">
      <w:rPr>
        <w:noProof/>
        <w:sz w:val="26"/>
        <w:szCs w:val="26"/>
        <w:rtl/>
      </w:rPr>
      <w:tab/>
    </w:r>
    <w:r w:rsidRPr="005A3F25">
      <w:rPr>
        <w:rFonts w:hint="cs"/>
        <w:noProof/>
        <w:sz w:val="26"/>
        <w:szCs w:val="26"/>
        <w:rtl/>
      </w:rPr>
      <w:t xml:space="preserve"> </w:t>
    </w:r>
  </w:p>
  <w:p w:rsidR="008A6E04" w:rsidRPr="005A3F25" w:rsidP="005A3F25">
    <w:pPr>
      <w:pStyle w:val="Header"/>
      <w:rPr>
        <w:noProof/>
        <w:sz w:val="26"/>
        <w:szCs w:val="26"/>
        <w:rtl/>
      </w:rPr>
    </w:pPr>
    <w:r w:rsidRPr="005A3F25">
      <w:rPr>
        <w:rFonts w:hint="cs"/>
        <w:noProof/>
        <w:sz w:val="26"/>
        <w:szCs w:val="26"/>
        <w:rtl/>
      </w:rPr>
      <w:t xml:space="preserve">    </w:t>
    </w:r>
  </w:p>
  <w:p w:rsidR="008A6E04" w:rsidRPr="005A3F25" w:rsidP="005A3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DFC38C1"/>
    <w:multiLevelType w:val="hybridMultilevel"/>
    <w:tmpl w:val="2ABE2E8E"/>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6699458C"/>
    <w:multiLevelType w:val="hybridMultilevel"/>
    <w:tmpl w:val="30DA856A"/>
    <w:lvl w:ilvl="0">
      <w:start w:val="1"/>
      <w:numFmt w:val="bullet"/>
      <w:lvlText w:val=""/>
      <w:lvlJc w:val="left"/>
      <w:pPr>
        <w:ind w:left="360" w:hanging="360"/>
      </w:pPr>
      <w:rPr>
        <w:rFonts w:ascii="Wingdings" w:hAnsi="Wingdings" w:cs="Wingdings" w:hint="default"/>
        <w:b/>
        <w:bCs w:val="0"/>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27A71BD"/>
    <w:multiLevelType w:val="hybridMultilevel"/>
    <w:tmpl w:val="0DCE170E"/>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F1"/>
    <w:rsid w:val="00003B77"/>
    <w:rsid w:val="0001735B"/>
    <w:rsid w:val="00027DF7"/>
    <w:rsid w:val="00042837"/>
    <w:rsid w:val="000501A4"/>
    <w:rsid w:val="000532AA"/>
    <w:rsid w:val="0008207C"/>
    <w:rsid w:val="000B1102"/>
    <w:rsid w:val="000C7459"/>
    <w:rsid w:val="000E013E"/>
    <w:rsid w:val="000F7725"/>
    <w:rsid w:val="00101D0F"/>
    <w:rsid w:val="00112142"/>
    <w:rsid w:val="00113E28"/>
    <w:rsid w:val="00114325"/>
    <w:rsid w:val="00165EC5"/>
    <w:rsid w:val="00166477"/>
    <w:rsid w:val="001730B0"/>
    <w:rsid w:val="001960B4"/>
    <w:rsid w:val="001A613C"/>
    <w:rsid w:val="001B2821"/>
    <w:rsid w:val="001C057E"/>
    <w:rsid w:val="001D47FB"/>
    <w:rsid w:val="001E0624"/>
    <w:rsid w:val="00203604"/>
    <w:rsid w:val="002064F7"/>
    <w:rsid w:val="002272B0"/>
    <w:rsid w:val="00240887"/>
    <w:rsid w:val="00263521"/>
    <w:rsid w:val="00265965"/>
    <w:rsid w:val="002A7D21"/>
    <w:rsid w:val="002B59F2"/>
    <w:rsid w:val="002C1EE0"/>
    <w:rsid w:val="002C4139"/>
    <w:rsid w:val="00301153"/>
    <w:rsid w:val="00323027"/>
    <w:rsid w:val="0037370B"/>
    <w:rsid w:val="0037752E"/>
    <w:rsid w:val="00380052"/>
    <w:rsid w:val="003D40E8"/>
    <w:rsid w:val="003E58C2"/>
    <w:rsid w:val="004779AA"/>
    <w:rsid w:val="004A0385"/>
    <w:rsid w:val="004C7D9F"/>
    <w:rsid w:val="004F5575"/>
    <w:rsid w:val="004F5BBD"/>
    <w:rsid w:val="005006C5"/>
    <w:rsid w:val="00543BA6"/>
    <w:rsid w:val="00551B42"/>
    <w:rsid w:val="0056358C"/>
    <w:rsid w:val="00574579"/>
    <w:rsid w:val="005770FB"/>
    <w:rsid w:val="00580C5C"/>
    <w:rsid w:val="00595FA3"/>
    <w:rsid w:val="005A021D"/>
    <w:rsid w:val="005A20D8"/>
    <w:rsid w:val="005A3F25"/>
    <w:rsid w:val="006033BE"/>
    <w:rsid w:val="00614DC2"/>
    <w:rsid w:val="00634DAD"/>
    <w:rsid w:val="00644912"/>
    <w:rsid w:val="006457EB"/>
    <w:rsid w:val="006531CB"/>
    <w:rsid w:val="006D4161"/>
    <w:rsid w:val="006D786C"/>
    <w:rsid w:val="006F285F"/>
    <w:rsid w:val="0072219B"/>
    <w:rsid w:val="0074284C"/>
    <w:rsid w:val="007474F0"/>
    <w:rsid w:val="00753ADE"/>
    <w:rsid w:val="00773F61"/>
    <w:rsid w:val="007A4EBD"/>
    <w:rsid w:val="007B112B"/>
    <w:rsid w:val="007B5B26"/>
    <w:rsid w:val="007B691A"/>
    <w:rsid w:val="007C1FF6"/>
    <w:rsid w:val="007C4AAD"/>
    <w:rsid w:val="007D0225"/>
    <w:rsid w:val="007D61B8"/>
    <w:rsid w:val="007F7FF2"/>
    <w:rsid w:val="00805B42"/>
    <w:rsid w:val="008102AD"/>
    <w:rsid w:val="008367B5"/>
    <w:rsid w:val="00837997"/>
    <w:rsid w:val="00867FC5"/>
    <w:rsid w:val="00887345"/>
    <w:rsid w:val="00892F80"/>
    <w:rsid w:val="008A6E04"/>
    <w:rsid w:val="008B4F41"/>
    <w:rsid w:val="008C6F75"/>
    <w:rsid w:val="008D564A"/>
    <w:rsid w:val="009015B2"/>
    <w:rsid w:val="00906E90"/>
    <w:rsid w:val="0091051D"/>
    <w:rsid w:val="00936F84"/>
    <w:rsid w:val="00940851"/>
    <w:rsid w:val="009679D9"/>
    <w:rsid w:val="009D3F6D"/>
    <w:rsid w:val="009D73F5"/>
    <w:rsid w:val="009E1A3F"/>
    <w:rsid w:val="009F0BD3"/>
    <w:rsid w:val="00A34798"/>
    <w:rsid w:val="00A50A60"/>
    <w:rsid w:val="00A61AD5"/>
    <w:rsid w:val="00A70A85"/>
    <w:rsid w:val="00A73038"/>
    <w:rsid w:val="00A76C99"/>
    <w:rsid w:val="00A81EBE"/>
    <w:rsid w:val="00AC6B95"/>
    <w:rsid w:val="00B00E5C"/>
    <w:rsid w:val="00B53FF1"/>
    <w:rsid w:val="00B666B9"/>
    <w:rsid w:val="00B76DC1"/>
    <w:rsid w:val="00B83641"/>
    <w:rsid w:val="00B862C0"/>
    <w:rsid w:val="00BE2DD8"/>
    <w:rsid w:val="00C2305A"/>
    <w:rsid w:val="00C23CC9"/>
    <w:rsid w:val="00C30B3D"/>
    <w:rsid w:val="00C33AE2"/>
    <w:rsid w:val="00C5582D"/>
    <w:rsid w:val="00C8096C"/>
    <w:rsid w:val="00C8100B"/>
    <w:rsid w:val="00CA41D2"/>
    <w:rsid w:val="00CA4F20"/>
    <w:rsid w:val="00CE233E"/>
    <w:rsid w:val="00CE2532"/>
    <w:rsid w:val="00D22748"/>
    <w:rsid w:val="00D26918"/>
    <w:rsid w:val="00D37121"/>
    <w:rsid w:val="00D62174"/>
    <w:rsid w:val="00D779F7"/>
    <w:rsid w:val="00D87542"/>
    <w:rsid w:val="00D95C20"/>
    <w:rsid w:val="00D97C16"/>
    <w:rsid w:val="00DC4ED2"/>
    <w:rsid w:val="00DE1DAB"/>
    <w:rsid w:val="00DE20A2"/>
    <w:rsid w:val="00DF0B89"/>
    <w:rsid w:val="00E11070"/>
    <w:rsid w:val="00E35682"/>
    <w:rsid w:val="00E46EA3"/>
    <w:rsid w:val="00E51C1B"/>
    <w:rsid w:val="00E53DA7"/>
    <w:rsid w:val="00EC6B44"/>
    <w:rsid w:val="00EE37A3"/>
    <w:rsid w:val="00EE45F4"/>
    <w:rsid w:val="00F4385E"/>
    <w:rsid w:val="00F627EB"/>
    <w:rsid w:val="00F75A10"/>
    <w:rsid w:val="00F77276"/>
    <w:rsid w:val="00FB17D6"/>
    <w:rsid w:val="00FB3F26"/>
    <w:rsid w:val="00FC3213"/>
    <w:rsid w:val="00FC48C6"/>
    <w:rsid w:val="00FF5E54"/>
  </w:rsids>
  <w:docVars>
    <w:docVar w:name="btnwarning" w:val="1"/>
    <w:docVar w:name="sivug" w:val="1"/>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32426672-7DBA-4AD5-A9C7-655C044F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644912"/>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644912"/>
    <w:rPr>
      <w:rFonts w:ascii="Tahoma" w:hAnsi="Tahoma" w:cs="Tahoma"/>
      <w:sz w:val="18"/>
      <w:szCs w:val="18"/>
    </w:rPr>
  </w:style>
  <w:style w:type="character" w:styleId="CommentReference">
    <w:name w:val="annotation reference"/>
    <w:basedOn w:val="DefaultParagraphFont"/>
    <w:uiPriority w:val="99"/>
    <w:semiHidden/>
    <w:unhideWhenUsed/>
    <w:rsid w:val="00112142"/>
    <w:rPr>
      <w:sz w:val="16"/>
      <w:szCs w:val="16"/>
    </w:rPr>
  </w:style>
  <w:style w:type="paragraph" w:styleId="CommentText">
    <w:name w:val="annotation text"/>
    <w:basedOn w:val="Normal"/>
    <w:link w:val="a6"/>
    <w:uiPriority w:val="99"/>
    <w:semiHidden/>
    <w:unhideWhenUsed/>
    <w:rsid w:val="00112142"/>
    <w:pPr>
      <w:spacing w:line="240" w:lineRule="auto"/>
    </w:pPr>
    <w:rPr>
      <w:szCs w:val="20"/>
    </w:rPr>
  </w:style>
  <w:style w:type="character" w:customStyle="1" w:styleId="a6">
    <w:name w:val="טקסט הערה תו"/>
    <w:basedOn w:val="DefaultParagraphFont"/>
    <w:link w:val="CommentText"/>
    <w:uiPriority w:val="99"/>
    <w:semiHidden/>
    <w:rsid w:val="00112142"/>
    <w:rPr>
      <w:szCs w:val="20"/>
    </w:rPr>
  </w:style>
  <w:style w:type="paragraph" w:styleId="CommentSubject">
    <w:name w:val="annotation subject"/>
    <w:basedOn w:val="CommentText"/>
    <w:next w:val="CommentText"/>
    <w:link w:val="a7"/>
    <w:uiPriority w:val="99"/>
    <w:semiHidden/>
    <w:unhideWhenUsed/>
    <w:rsid w:val="00112142"/>
    <w:rPr>
      <w:b/>
      <w:bCs/>
    </w:rPr>
  </w:style>
  <w:style w:type="character" w:customStyle="1" w:styleId="a7">
    <w:name w:val="נושא הערה תו"/>
    <w:basedOn w:val="a6"/>
    <w:link w:val="CommentSubject"/>
    <w:uiPriority w:val="99"/>
    <w:semiHidden/>
    <w:rsid w:val="0011214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3.xml"/><Relationship Id="rId16" Type="http://schemas.openxmlformats.org/officeDocument/2006/relationships/header" Target="header1.xml"/><Relationship Id="rId2" Type="http://schemas.openxmlformats.org/officeDocument/2006/relationships/webSettings" Target="webSettings.xml"/><Relationship Id="rId20" Type="http://schemas.openxmlformats.org/officeDocument/2006/relationships/glossaryDocument" Target="glossary/document.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2.xml"/><Relationship Id="rId15" Type="http://schemas.openxmlformats.org/officeDocument/2006/relationships/image" Target="media/image11.jpeg"/><Relationship Id="rId23"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190289BD61E405BBB67E2BBF7CB2FA6"/>
        <w:category>
          <w:name w:val="כללי"/>
          <w:gallery w:val="placeholder"/>
        </w:category>
        <w:types>
          <w:type w:val="bbPlcHdr"/>
        </w:types>
        <w:behaviors>
          <w:behavior w:val="content"/>
        </w:behaviors>
        <w:guid w:val="{493ECBF6-289D-4DAB-B611-0E3D2A603F41}"/>
      </w:docPartPr>
      <w:docPartBody>
        <w:p w:rsidR="001D47FB" w:rsidP="00CE2532">
          <w:pPr>
            <w:pStyle w:val="6190289BD61E405BBB67E2BBF7CB2FA6"/>
          </w:pPr>
          <w:r w:rsidRPr="00CE233E">
            <w:rPr>
              <w:rStyle w:val="PlaceholderText"/>
              <w:color w:val="0070C0"/>
              <w:rtl/>
            </w:rPr>
            <w:t>לחץ או הקש כאן להזנת טקסט</w:t>
          </w:r>
          <w:r w:rsidRPr="00CE233E">
            <w:rPr>
              <w:rStyle w:val="PlaceholderText"/>
              <w:color w:val="0070C0"/>
            </w:rPr>
            <w:t>.</w:t>
          </w:r>
        </w:p>
      </w:docPartBody>
    </w:docPart>
    <w:docPart>
      <w:docPartPr>
        <w:name w:val="D26C0E6D9FA84FA6A68DC2B9FE488839"/>
        <w:category>
          <w:name w:val="כללי"/>
          <w:gallery w:val="placeholder"/>
        </w:category>
        <w:types>
          <w:type w:val="bbPlcHdr"/>
        </w:types>
        <w:behaviors>
          <w:behavior w:val="content"/>
        </w:behaviors>
        <w:guid w:val="{4E1E6B00-3FA1-411B-B1C3-631F5577B859}"/>
      </w:docPartPr>
      <w:docPartBody>
        <w:p w:rsidR="001D47FB" w:rsidP="00CE2532">
          <w:pPr>
            <w:pStyle w:val="D26C0E6D9FA84FA6A68DC2B9FE488839"/>
          </w:pPr>
          <w:r w:rsidRPr="00CE233E">
            <w:rPr>
              <w:rStyle w:val="PlaceholderText"/>
              <w:color w:val="0070C0"/>
              <w:rtl/>
            </w:rPr>
            <w:t>לחץ או הקש כאן להזנת טקסט</w:t>
          </w:r>
          <w:r w:rsidRPr="00165EC5">
            <w:rPr>
              <w:rStyle w:val="PlaceholderText"/>
            </w:rPr>
            <w:t>.</w:t>
          </w:r>
        </w:p>
      </w:docPartBody>
    </w:docPart>
    <w:docPart>
      <w:docPartPr>
        <w:name w:val="5E7561A61D3243569391A1B06A3533C1"/>
        <w:category>
          <w:name w:val="כללי"/>
          <w:gallery w:val="placeholder"/>
        </w:category>
        <w:types>
          <w:type w:val="bbPlcHdr"/>
        </w:types>
        <w:behaviors>
          <w:behavior w:val="content"/>
        </w:behaviors>
        <w:guid w:val="{08B02DA6-E054-403E-970E-D1BB25AC1A80}"/>
      </w:docPartPr>
      <w:docPartBody>
        <w:p w:rsidR="001D47FB" w:rsidP="00CE2532">
          <w:pPr>
            <w:pStyle w:val="5E7561A61D3243569391A1B06A3533C1"/>
          </w:pPr>
          <w:r w:rsidRPr="00CE233E">
            <w:rPr>
              <w:rStyle w:val="PlaceholderText"/>
              <w:color w:val="0070C0"/>
              <w:rtl/>
            </w:rPr>
            <w:t>לחץ או הקש כאן להזנת טקסט</w:t>
          </w:r>
          <w:r w:rsidRPr="00165EC5">
            <w:rPr>
              <w:rStyle w:val="PlaceholderText"/>
            </w:rPr>
            <w:t>.</w:t>
          </w:r>
        </w:p>
      </w:docPartBody>
    </w:docPart>
    <w:docPart>
      <w:docPartPr>
        <w:name w:val="F8F25FC5B0164E07AD211CFA703D536D"/>
        <w:category>
          <w:name w:val="כללי"/>
          <w:gallery w:val="placeholder"/>
        </w:category>
        <w:types>
          <w:type w:val="bbPlcHdr"/>
        </w:types>
        <w:behaviors>
          <w:behavior w:val="content"/>
        </w:behaviors>
        <w:guid w:val="{D44B1178-C180-4D14-AD09-8CE70434662D}"/>
      </w:docPartPr>
      <w:docPartBody>
        <w:p w:rsidR="001D47FB" w:rsidP="00CE2532">
          <w:pPr>
            <w:pStyle w:val="F8F25FC5B0164E07AD211CFA703D536D"/>
          </w:pPr>
          <w:r w:rsidRPr="00165EC5">
            <w:rPr>
              <w:rStyle w:val="PlaceholderText"/>
              <w:rtl/>
            </w:rPr>
            <w:t>לחץ או הקש כאן להזנת טקסט</w:t>
          </w:r>
          <w:r w:rsidRPr="00165EC5">
            <w:rPr>
              <w:rStyle w:val="PlaceholderText"/>
            </w:rPr>
            <w:t>.</w:t>
          </w:r>
        </w:p>
      </w:docPartBody>
    </w:docPart>
    <w:docPart>
      <w:docPartPr>
        <w:name w:val="FDF0667FDE1B4052887B23BB8D18AD48"/>
        <w:category>
          <w:name w:val="כללי"/>
          <w:gallery w:val="placeholder"/>
        </w:category>
        <w:types>
          <w:type w:val="bbPlcHdr"/>
        </w:types>
        <w:behaviors>
          <w:behavior w:val="content"/>
        </w:behaviors>
        <w:guid w:val="{AB3C2727-9E17-4FAC-805A-31B6D40C141B}"/>
      </w:docPartPr>
      <w:docPartBody>
        <w:p w:rsidR="001D47FB" w:rsidP="00CE2532">
          <w:pPr>
            <w:pStyle w:val="FDF0667FDE1B4052887B23BB8D18AD48"/>
          </w:pPr>
          <w:r w:rsidRPr="00165EC5">
            <w:rPr>
              <w:rStyle w:val="PlaceholderText"/>
              <w:rtl/>
            </w:rPr>
            <w:t>לחץ או הקש כאן להזנת טקסט</w:t>
          </w:r>
          <w:r w:rsidRPr="00165EC5">
            <w:rPr>
              <w:rStyle w:val="PlaceholderText"/>
            </w:rPr>
            <w:t>.</w:t>
          </w:r>
        </w:p>
      </w:docPartBody>
    </w:docPart>
    <w:docPart>
      <w:docPartPr>
        <w:name w:val="99749C957D25455195CC97FAAE905803"/>
        <w:category>
          <w:name w:val="כללי"/>
          <w:gallery w:val="placeholder"/>
        </w:category>
        <w:types>
          <w:type w:val="bbPlcHdr"/>
        </w:types>
        <w:behaviors>
          <w:behavior w:val="content"/>
        </w:behaviors>
        <w:guid w:val="{79382D7C-9E81-4483-AFE2-1703E4493A92}"/>
      </w:docPartPr>
      <w:docPartBody>
        <w:p w:rsidR="001D47FB" w:rsidP="00CE2532">
          <w:pPr>
            <w:pStyle w:val="99749C957D25455195CC97FAAE905803"/>
          </w:pPr>
          <w:r w:rsidRPr="00165EC5">
            <w:rPr>
              <w:rStyle w:val="PlaceholderText"/>
              <w:rtl/>
            </w:rPr>
            <w:t>לחץ או הקש כאן להזנת טקסט</w:t>
          </w:r>
          <w:r w:rsidRPr="00165EC5">
            <w:rPr>
              <w:rStyle w:val="PlaceholderText"/>
            </w:rPr>
            <w:t>.</w:t>
          </w:r>
        </w:p>
      </w:docPartBody>
    </w:docPart>
    <w:docPart>
      <w:docPartPr>
        <w:name w:val="1E4381BEDFA743A78E3882B858A853C3"/>
        <w:category>
          <w:name w:val="כללי"/>
          <w:gallery w:val="placeholder"/>
        </w:category>
        <w:types>
          <w:type w:val="bbPlcHdr"/>
        </w:types>
        <w:behaviors>
          <w:behavior w:val="content"/>
        </w:behaviors>
        <w:guid w:val="{677825F5-E579-4504-ACA8-805FD4C615DB}"/>
      </w:docPartPr>
      <w:docPartBody>
        <w:p w:rsidR="001D47FB" w:rsidP="00CE2532">
          <w:pPr>
            <w:pStyle w:val="1E4381BEDFA743A78E3882B858A853C3"/>
          </w:pPr>
          <w:r w:rsidRPr="00165EC5">
            <w:rPr>
              <w:rStyle w:val="PlaceholderText"/>
              <w:rtl/>
            </w:rPr>
            <w:t>לחץ או הקש כאן להזנת טקסט</w:t>
          </w:r>
          <w:r w:rsidRPr="00165EC5">
            <w:rPr>
              <w:rStyle w:val="PlaceholderText"/>
            </w:rPr>
            <w:t>.</w:t>
          </w:r>
        </w:p>
      </w:docPartBody>
    </w:docPart>
    <w:docPart>
      <w:docPartPr>
        <w:name w:val="F91DB90BEFB84AB08D4A680E5D0AC427"/>
        <w:category>
          <w:name w:val="כללי"/>
          <w:gallery w:val="placeholder"/>
        </w:category>
        <w:types>
          <w:type w:val="bbPlcHdr"/>
        </w:types>
        <w:behaviors>
          <w:behavior w:val="content"/>
        </w:behaviors>
        <w:guid w:val="{7E1811A1-91C6-40D2-9D9E-879D68807121}"/>
      </w:docPartPr>
      <w:docPartBody>
        <w:p w:rsidR="001D47FB" w:rsidP="00CE2532">
          <w:pPr>
            <w:pStyle w:val="F91DB90BEFB84AB08D4A680E5D0AC427"/>
          </w:pPr>
          <w:r w:rsidRPr="00165EC5">
            <w:rPr>
              <w:rStyle w:val="PlaceholderText"/>
              <w:rtl/>
            </w:rPr>
            <w:t>לחץ או הקש כאן להזנת טקסט</w:t>
          </w:r>
          <w:r w:rsidRPr="00165EC5">
            <w:rPr>
              <w:rStyle w:val="PlaceholderText"/>
            </w:rPr>
            <w:t>.</w:t>
          </w:r>
        </w:p>
      </w:docPartBody>
    </w:docPart>
    <w:docPart>
      <w:docPartPr>
        <w:name w:val="F30F8F7228DA4E5D8757E8D9A2A055A5"/>
        <w:category>
          <w:name w:val="כללי"/>
          <w:gallery w:val="placeholder"/>
        </w:category>
        <w:types>
          <w:type w:val="bbPlcHdr"/>
        </w:types>
        <w:behaviors>
          <w:behavior w:val="content"/>
        </w:behaviors>
        <w:guid w:val="{CF36E319-27BB-433D-B34E-C6AA2B7420AA}"/>
      </w:docPartPr>
      <w:docPartBody>
        <w:p w:rsidR="001D47FB" w:rsidP="00CE2532">
          <w:pPr>
            <w:pStyle w:val="F30F8F7228DA4E5D8757E8D9A2A055A5"/>
          </w:pPr>
          <w:r w:rsidRPr="00165EC5">
            <w:rPr>
              <w:rStyle w:val="PlaceholderText"/>
              <w:rtl/>
            </w:rPr>
            <w:t>לחץ או הקש כאן להזנת טקסט</w:t>
          </w:r>
          <w:r w:rsidRPr="00165EC5">
            <w:rPr>
              <w:rStyle w:val="PlaceholderText"/>
            </w:rPr>
            <w:t>.</w:t>
          </w:r>
        </w:p>
      </w:docPartBody>
    </w:docPart>
    <w:docPart>
      <w:docPartPr>
        <w:name w:val="795181E333A041E8B3B04E994837CA8D"/>
        <w:category>
          <w:name w:val="כללי"/>
          <w:gallery w:val="placeholder"/>
        </w:category>
        <w:types>
          <w:type w:val="bbPlcHdr"/>
        </w:types>
        <w:behaviors>
          <w:behavior w:val="content"/>
        </w:behaviors>
        <w:guid w:val="{A360364A-1CB2-4071-9630-7BF7675D960A}"/>
      </w:docPartPr>
      <w:docPartBody>
        <w:p w:rsidR="001D47FB" w:rsidP="00CE2532">
          <w:pPr>
            <w:pStyle w:val="795181E333A041E8B3B04E994837CA8D"/>
          </w:pPr>
          <w:r w:rsidRPr="00165EC5">
            <w:rPr>
              <w:rStyle w:val="PlaceholderText"/>
              <w:rtl/>
            </w:rPr>
            <w:t>לחץ או הקש כאן להזנת טקסט</w:t>
          </w:r>
          <w:r w:rsidRPr="00165EC5">
            <w:rPr>
              <w:rStyle w:val="PlaceholderText"/>
            </w:rPr>
            <w:t>.</w:t>
          </w:r>
        </w:p>
      </w:docPartBody>
    </w:docPart>
    <w:docPart>
      <w:docPartPr>
        <w:name w:val="C2122BA5A0EB437083DFDDAAA428A92C"/>
        <w:category>
          <w:name w:val="כללי"/>
          <w:gallery w:val="placeholder"/>
        </w:category>
        <w:types>
          <w:type w:val="bbPlcHdr"/>
        </w:types>
        <w:behaviors>
          <w:behavior w:val="content"/>
        </w:behaviors>
        <w:guid w:val="{9D11396E-40F2-433A-B3FF-165D7B10162A}"/>
      </w:docPartPr>
      <w:docPartBody>
        <w:p w:rsidR="001D47FB" w:rsidP="00CE2532">
          <w:pPr>
            <w:pStyle w:val="C2122BA5A0EB437083DFDDAAA428A92C"/>
          </w:pPr>
          <w:r w:rsidRPr="00165EC5">
            <w:rPr>
              <w:rStyle w:val="PlaceholderText"/>
              <w:rtl/>
            </w:rPr>
            <w:t>לחץ או הקש כאן להזנת טקסט</w:t>
          </w:r>
          <w:r w:rsidRPr="00165EC5">
            <w:rPr>
              <w:rStyle w:val="PlaceholderText"/>
            </w:rPr>
            <w:t>.</w:t>
          </w:r>
        </w:p>
      </w:docPartBody>
    </w:docPart>
    <w:docPart>
      <w:docPartPr>
        <w:name w:val="F51E3A3AE57347ACB5CACE53779DC852"/>
        <w:category>
          <w:name w:val="כללי"/>
          <w:gallery w:val="placeholder"/>
        </w:category>
        <w:types>
          <w:type w:val="bbPlcHdr"/>
        </w:types>
        <w:behaviors>
          <w:behavior w:val="content"/>
        </w:behaviors>
        <w:guid w:val="{BFEC7B30-CC0C-4DFD-AEE5-956552FA74CE}"/>
      </w:docPartPr>
      <w:docPartBody>
        <w:p w:rsidR="001D47FB" w:rsidP="00CE2532">
          <w:pPr>
            <w:pStyle w:val="F51E3A3AE57347ACB5CACE53779DC852"/>
          </w:pPr>
          <w:r w:rsidRPr="00165EC5">
            <w:rPr>
              <w:rStyle w:val="PlaceholderText"/>
              <w:rtl/>
            </w:rPr>
            <w:t>לחץ או הקש כאן להזנת טקסט</w:t>
          </w:r>
          <w:r w:rsidRPr="00165EC5">
            <w:rPr>
              <w:rStyle w:val="PlaceholderText"/>
            </w:rPr>
            <w:t>.</w:t>
          </w:r>
        </w:p>
      </w:docPartBody>
    </w:docPart>
    <w:docPart>
      <w:docPartPr>
        <w:name w:val="004FD48E76B74D76845185317D7B699E"/>
        <w:category>
          <w:name w:val="כללי"/>
          <w:gallery w:val="placeholder"/>
        </w:category>
        <w:types>
          <w:type w:val="bbPlcHdr"/>
        </w:types>
        <w:behaviors>
          <w:behavior w:val="content"/>
        </w:behaviors>
        <w:guid w:val="{E78E5D30-2CA4-4310-8EF6-4AEACB395A7A}"/>
      </w:docPartPr>
      <w:docPartBody>
        <w:p w:rsidR="001D47FB" w:rsidP="00CE2532">
          <w:pPr>
            <w:pStyle w:val="004FD48E76B74D76845185317D7B699E"/>
          </w:pPr>
          <w:r w:rsidRPr="00165EC5">
            <w:rPr>
              <w:rStyle w:val="PlaceholderText"/>
              <w:rtl/>
            </w:rPr>
            <w:t>לחץ או הקש כאן להזנת טקסט</w:t>
          </w:r>
          <w:r w:rsidRPr="00165EC5">
            <w:rPr>
              <w:rStyle w:val="PlaceholderText"/>
            </w:rPr>
            <w:t>.</w:t>
          </w:r>
        </w:p>
      </w:docPartBody>
    </w:docPart>
    <w:docPart>
      <w:docPartPr>
        <w:name w:val="C4F8C1DA532140838DF4988B0C5BA431"/>
        <w:category>
          <w:name w:val="כללי"/>
          <w:gallery w:val="placeholder"/>
        </w:category>
        <w:types>
          <w:type w:val="bbPlcHdr"/>
        </w:types>
        <w:behaviors>
          <w:behavior w:val="content"/>
        </w:behaviors>
        <w:guid w:val="{D1AEB282-ECB2-40B1-9B2F-653C9AE5A88C}"/>
      </w:docPartPr>
      <w:docPartBody>
        <w:p w:rsidR="001D47FB" w:rsidP="00CE2532">
          <w:pPr>
            <w:pStyle w:val="C4F8C1DA532140838DF4988B0C5BA431"/>
          </w:pPr>
          <w:r w:rsidRPr="00CE233E">
            <w:rPr>
              <w:rStyle w:val="PlaceholderText"/>
              <w:color w:val="0070C0"/>
              <w:rtl/>
            </w:rPr>
            <w:t>לחץ או הקש כאן להזנת טקסט</w:t>
          </w:r>
          <w:r w:rsidRPr="00CE233E">
            <w:rPr>
              <w:rStyle w:val="PlaceholderText"/>
              <w:color w:val="0070C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32"/>
    <w:rsid w:val="001D47FB"/>
    <w:rsid w:val="002C4192"/>
    <w:rsid w:val="00635CF5"/>
    <w:rsid w:val="00A3251A"/>
    <w:rsid w:val="00C765D3"/>
    <w:rsid w:val="00CE2532"/>
    <w:rsid w:val="00D044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532"/>
    <w:rPr>
      <w:color w:val="808080"/>
    </w:rPr>
  </w:style>
  <w:style w:type="paragraph" w:customStyle="1" w:styleId="3ED9779E9E6D44D89C1DDF1509676818">
    <w:name w:val="3ED9779E9E6D44D89C1DDF1509676818"/>
    <w:rsid w:val="00CE2532"/>
    <w:pPr>
      <w:bidi/>
    </w:pPr>
  </w:style>
  <w:style w:type="paragraph" w:customStyle="1" w:styleId="C81AE36351A3431899AA98AE2F8CA874">
    <w:name w:val="C81AE36351A3431899AA98AE2F8CA874"/>
    <w:rsid w:val="00CE2532"/>
    <w:pPr>
      <w:bidi/>
    </w:pPr>
  </w:style>
  <w:style w:type="paragraph" w:customStyle="1" w:styleId="216D858F45C8468B9BA45C39CA02CF58">
    <w:name w:val="216D858F45C8468B9BA45C39CA02CF58"/>
    <w:rsid w:val="00CE2532"/>
    <w:pPr>
      <w:bidi/>
    </w:pPr>
  </w:style>
  <w:style w:type="paragraph" w:customStyle="1" w:styleId="1BB3D5CF4BD64AA3B2112E1FB4CE54C6">
    <w:name w:val="1BB3D5CF4BD64AA3B2112E1FB4CE54C6"/>
    <w:rsid w:val="00CE2532"/>
    <w:pPr>
      <w:bidi/>
    </w:pPr>
  </w:style>
  <w:style w:type="paragraph" w:customStyle="1" w:styleId="1950C11874A34CD982A36B4241A9A258">
    <w:name w:val="1950C11874A34CD982A36B4241A9A258"/>
    <w:rsid w:val="00CE2532"/>
    <w:pPr>
      <w:bidi/>
    </w:pPr>
  </w:style>
  <w:style w:type="paragraph" w:customStyle="1" w:styleId="E3FD3A65CF1841CBA62419205211CE66">
    <w:name w:val="E3FD3A65CF1841CBA62419205211CE66"/>
    <w:rsid w:val="00CE2532"/>
    <w:pPr>
      <w:bidi/>
    </w:pPr>
  </w:style>
  <w:style w:type="paragraph" w:customStyle="1" w:styleId="121D1C55CE644D3DA82F158CDCF00659">
    <w:name w:val="121D1C55CE644D3DA82F158CDCF00659"/>
    <w:rsid w:val="00CE2532"/>
    <w:pPr>
      <w:bidi/>
    </w:pPr>
  </w:style>
  <w:style w:type="paragraph" w:customStyle="1" w:styleId="2DB3353FECCC4560A801A867F219F1A4">
    <w:name w:val="2DB3353FECCC4560A801A867F219F1A4"/>
    <w:rsid w:val="00CE2532"/>
    <w:pPr>
      <w:bidi/>
    </w:pPr>
  </w:style>
  <w:style w:type="paragraph" w:customStyle="1" w:styleId="CA575B5D69BD4EF5A20A861F20429D55">
    <w:name w:val="CA575B5D69BD4EF5A20A861F20429D55"/>
    <w:rsid w:val="00CE2532"/>
    <w:pPr>
      <w:bidi/>
    </w:pPr>
  </w:style>
  <w:style w:type="paragraph" w:customStyle="1" w:styleId="B9151C5C93074CB4A5D642F1A89EE790">
    <w:name w:val="B9151C5C93074CB4A5D642F1A89EE790"/>
    <w:rsid w:val="00CE2532"/>
    <w:pPr>
      <w:bidi/>
    </w:pPr>
  </w:style>
  <w:style w:type="paragraph" w:customStyle="1" w:styleId="6191A94D16804D4EA992934A5B4C366A">
    <w:name w:val="6191A94D16804D4EA992934A5B4C366A"/>
    <w:rsid w:val="00CE2532"/>
    <w:pPr>
      <w:bidi/>
    </w:pPr>
  </w:style>
  <w:style w:type="paragraph" w:customStyle="1" w:styleId="221EDA5688954E1B8DAD08216846EF76">
    <w:name w:val="221EDA5688954E1B8DAD08216846EF76"/>
    <w:rsid w:val="00CE2532"/>
    <w:pPr>
      <w:bidi/>
    </w:pPr>
  </w:style>
  <w:style w:type="paragraph" w:customStyle="1" w:styleId="2724AECB70154F7DBAC5EEFB7194C1F7">
    <w:name w:val="2724AECB70154F7DBAC5EEFB7194C1F7"/>
    <w:rsid w:val="00CE2532"/>
    <w:pPr>
      <w:bidi/>
    </w:pPr>
  </w:style>
  <w:style w:type="paragraph" w:customStyle="1" w:styleId="545825E3EBB141029BD68F7490D92962">
    <w:name w:val="545825E3EBB141029BD68F7490D92962"/>
    <w:rsid w:val="00CE2532"/>
    <w:pPr>
      <w:bidi/>
    </w:pPr>
  </w:style>
  <w:style w:type="paragraph" w:customStyle="1" w:styleId="94F7EE6189A048158535349A9BB882DE">
    <w:name w:val="94F7EE6189A048158535349A9BB882DE"/>
    <w:rsid w:val="00CE2532"/>
    <w:pPr>
      <w:bidi/>
    </w:pPr>
  </w:style>
  <w:style w:type="paragraph" w:customStyle="1" w:styleId="7EDE2A4A3E334097B23AD2FA54C20117">
    <w:name w:val="7EDE2A4A3E334097B23AD2FA54C20117"/>
    <w:rsid w:val="00CE2532"/>
    <w:pPr>
      <w:bidi/>
    </w:pPr>
  </w:style>
  <w:style w:type="paragraph" w:customStyle="1" w:styleId="6190289BD61E405BBB67E2BBF7CB2FA6">
    <w:name w:val="6190289BD61E405BBB67E2BBF7CB2FA6"/>
    <w:rsid w:val="00CE2532"/>
    <w:pPr>
      <w:bidi/>
    </w:pPr>
  </w:style>
  <w:style w:type="paragraph" w:customStyle="1" w:styleId="D26C0E6D9FA84FA6A68DC2B9FE488839">
    <w:name w:val="D26C0E6D9FA84FA6A68DC2B9FE488839"/>
    <w:rsid w:val="00CE2532"/>
    <w:pPr>
      <w:bidi/>
    </w:pPr>
  </w:style>
  <w:style w:type="paragraph" w:customStyle="1" w:styleId="5E7561A61D3243569391A1B06A3533C1">
    <w:name w:val="5E7561A61D3243569391A1B06A3533C1"/>
    <w:rsid w:val="00CE2532"/>
    <w:pPr>
      <w:bidi/>
    </w:pPr>
  </w:style>
  <w:style w:type="paragraph" w:customStyle="1" w:styleId="F8F25FC5B0164E07AD211CFA703D536D">
    <w:name w:val="F8F25FC5B0164E07AD211CFA703D536D"/>
    <w:rsid w:val="00CE2532"/>
    <w:pPr>
      <w:bidi/>
    </w:pPr>
  </w:style>
  <w:style w:type="paragraph" w:customStyle="1" w:styleId="FDF0667FDE1B4052887B23BB8D18AD48">
    <w:name w:val="FDF0667FDE1B4052887B23BB8D18AD48"/>
    <w:rsid w:val="00CE2532"/>
    <w:pPr>
      <w:bidi/>
    </w:pPr>
  </w:style>
  <w:style w:type="paragraph" w:customStyle="1" w:styleId="99749C957D25455195CC97FAAE905803">
    <w:name w:val="99749C957D25455195CC97FAAE905803"/>
    <w:rsid w:val="00CE2532"/>
    <w:pPr>
      <w:bidi/>
    </w:pPr>
  </w:style>
  <w:style w:type="paragraph" w:customStyle="1" w:styleId="1E4381BEDFA743A78E3882B858A853C3">
    <w:name w:val="1E4381BEDFA743A78E3882B858A853C3"/>
    <w:rsid w:val="00CE2532"/>
    <w:pPr>
      <w:bidi/>
    </w:pPr>
  </w:style>
  <w:style w:type="paragraph" w:customStyle="1" w:styleId="F91DB90BEFB84AB08D4A680E5D0AC427">
    <w:name w:val="F91DB90BEFB84AB08D4A680E5D0AC427"/>
    <w:rsid w:val="00CE2532"/>
    <w:pPr>
      <w:bidi/>
    </w:pPr>
  </w:style>
  <w:style w:type="paragraph" w:customStyle="1" w:styleId="F30F8F7228DA4E5D8757E8D9A2A055A5">
    <w:name w:val="F30F8F7228DA4E5D8757E8D9A2A055A5"/>
    <w:rsid w:val="00CE2532"/>
    <w:pPr>
      <w:bidi/>
    </w:pPr>
  </w:style>
  <w:style w:type="paragraph" w:customStyle="1" w:styleId="795181E333A041E8B3B04E994837CA8D">
    <w:name w:val="795181E333A041E8B3B04E994837CA8D"/>
    <w:rsid w:val="00CE2532"/>
    <w:pPr>
      <w:bidi/>
    </w:pPr>
  </w:style>
  <w:style w:type="paragraph" w:customStyle="1" w:styleId="C2122BA5A0EB437083DFDDAAA428A92C">
    <w:name w:val="C2122BA5A0EB437083DFDDAAA428A92C"/>
    <w:rsid w:val="00CE2532"/>
    <w:pPr>
      <w:bidi/>
    </w:pPr>
  </w:style>
  <w:style w:type="paragraph" w:customStyle="1" w:styleId="F51E3A3AE57347ACB5CACE53779DC852">
    <w:name w:val="F51E3A3AE57347ACB5CACE53779DC852"/>
    <w:rsid w:val="00CE2532"/>
    <w:pPr>
      <w:bidi/>
    </w:pPr>
  </w:style>
  <w:style w:type="paragraph" w:customStyle="1" w:styleId="004FD48E76B74D76845185317D7B699E">
    <w:name w:val="004FD48E76B74D76845185317D7B699E"/>
    <w:rsid w:val="00CE2532"/>
    <w:pPr>
      <w:bidi/>
    </w:pPr>
  </w:style>
  <w:style w:type="paragraph" w:customStyle="1" w:styleId="C4F8C1DA532140838DF4988B0C5BA431">
    <w:name w:val="C4F8C1DA532140838DF4988B0C5BA431"/>
    <w:rsid w:val="00CE2532"/>
    <w:pPr>
      <w:bidi/>
    </w:pPr>
  </w:style>
  <w:style w:type="paragraph" w:customStyle="1" w:styleId="C9D97DB329F44D4AB250F2976DA63406">
    <w:name w:val="C9D97DB329F44D4AB250F2976DA63406"/>
    <w:rsid w:val="00CE2532"/>
    <w:pPr>
      <w:bidi/>
    </w:pPr>
  </w:style>
  <w:style w:type="paragraph" w:customStyle="1" w:styleId="6244ED9CCEB0424C89B1FF905BEAC498">
    <w:name w:val="6244ED9CCEB0424C89B1FF905BEAC498"/>
    <w:rsid w:val="00CE25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89CD41-1E97-4DBE-83A3-073D48915EC4}">
  <ds:schemaRefs>
    <ds:schemaRef ds:uri="http://schemas.openxmlformats.org/officeDocument/2006/bibliography"/>
  </ds:schemaRefs>
</ds:datastoreItem>
</file>

<file path=customXml/itemProps2.xml><?xml version="1.0" encoding="utf-8"?>
<ds:datastoreItem xmlns:ds="http://schemas.openxmlformats.org/officeDocument/2006/customXml" ds:itemID="{D53E72B5-90AB-4A2D-8C12-BB76D9480593}"/>
</file>

<file path=customXml/itemProps3.xml><?xml version="1.0" encoding="utf-8"?>
<ds:datastoreItem xmlns:ds="http://schemas.openxmlformats.org/officeDocument/2006/customXml" ds:itemID="{DA008A95-148B-4760-A635-1E49DE38A69F}"/>
</file>

<file path=customXml/itemProps4.xml><?xml version="1.0" encoding="utf-8"?>
<ds:datastoreItem xmlns:ds="http://schemas.openxmlformats.org/officeDocument/2006/customXml" ds:itemID="{93C4A2A2-B0A9-455E-AD30-42C6979307E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