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TableGrid"/>
        <w:tblpPr w:leftFromText="180" w:rightFromText="180" w:vertAnchor="text" w:tblpXSpec="center" w:tblpY="1"/>
        <w:tblOverlap w:val="never"/>
        <w:bidiVisual/>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1"/>
      </w:tblGrid>
      <w:tr w14:paraId="0081079B" w14:textId="77777777" w:rsidTr="001913F4">
        <w:tblPrEx>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71" w:type="dxa"/>
          </w:tcPr>
          <w:p w:rsidR="00B916AC" w:rsidP="008A2D6B" w14:paraId="28B7996F" w14:textId="77777777">
            <w:pPr>
              <w:rPr>
                <w:rFonts w:ascii="Tahoma" w:hAnsi="Tahoma" w:cs="Tahoma"/>
                <w:b/>
                <w:bCs/>
                <w:sz w:val="40"/>
                <w:szCs w:val="40"/>
                <w:rtl/>
              </w:rPr>
            </w:pPr>
            <w:bookmarkStart w:id="0" w:name="_Toc31555148"/>
            <w:bookmarkStart w:id="1" w:name="_Toc31556830"/>
            <w:r w:rsidRPr="00B70DE1">
              <w:rPr>
                <w:rFonts w:ascii="Tahoma" w:hAnsi="Tahoma" w:cs="Tahoma" w:hint="cs"/>
                <w:b/>
                <w:bCs/>
                <w:sz w:val="40"/>
                <w:szCs w:val="40"/>
                <w:rtl/>
              </w:rPr>
              <w:t>תאגידי מים וביוב</w:t>
            </w:r>
            <w:r w:rsidR="0094361F">
              <w:rPr>
                <w:rFonts w:ascii="Tahoma" w:hAnsi="Tahoma" w:cs="Tahoma" w:hint="cs"/>
                <w:b/>
                <w:bCs/>
                <w:sz w:val="40"/>
                <w:szCs w:val="40"/>
                <w:rtl/>
              </w:rPr>
              <w:t xml:space="preserve"> - אסדרה, </w:t>
            </w:r>
            <w:r w:rsidR="00D31E9E">
              <w:rPr>
                <w:rFonts w:ascii="Tahoma" w:hAnsi="Tahoma" w:cs="Tahoma" w:hint="cs"/>
                <w:b/>
                <w:bCs/>
                <w:sz w:val="40"/>
                <w:szCs w:val="40"/>
                <w:rtl/>
              </w:rPr>
              <w:t>ניהול</w:t>
            </w:r>
            <w:r w:rsidR="0094361F">
              <w:rPr>
                <w:rFonts w:ascii="Tahoma" w:hAnsi="Tahoma" w:cs="Tahoma" w:hint="cs"/>
                <w:b/>
                <w:bCs/>
                <w:sz w:val="40"/>
                <w:szCs w:val="40"/>
                <w:rtl/>
              </w:rPr>
              <w:t xml:space="preserve"> ופיקוח</w:t>
            </w:r>
          </w:p>
          <w:p w:rsidR="002945C1" w:rsidRPr="006C51DB" w:rsidP="00017B0F" w14:paraId="26861284" w14:textId="77777777">
            <w:pPr>
              <w:rPr>
                <w:rFonts w:ascii="Tahoma" w:hAnsi="Tahoma" w:cs="Tahoma"/>
                <w:sz w:val="40"/>
                <w:szCs w:val="40"/>
                <w:rtl/>
              </w:rPr>
            </w:pPr>
            <w:r w:rsidRPr="004B2796">
              <w:rPr>
                <w:rFonts w:ascii="Tahoma" w:hAnsi="Tahoma" w:cs="Tahoma"/>
                <w:sz w:val="36"/>
                <w:szCs w:val="36"/>
                <w:rtl/>
              </w:rPr>
              <w:t>תקציר</w:t>
            </w:r>
          </w:p>
        </w:tc>
      </w:tr>
    </w:tbl>
    <w:p w:rsidR="002945C1" w:rsidRPr="008A703A" w:rsidP="00B059BC" w14:paraId="710D7AE1" w14:textId="77777777">
      <w:pPr>
        <w:pStyle w:val="a"/>
        <w:rPr>
          <w:sz w:val="22"/>
          <w:szCs w:val="22"/>
          <w:rtl/>
        </w:rPr>
      </w:pPr>
    </w:p>
    <w:tbl>
      <w:tblPr>
        <w:tblStyle w:val="TableGrid"/>
        <w:tblpPr w:leftFromText="180" w:rightFromText="180" w:vertAnchor="text" w:tblpXSpec="center" w:tblpY="1"/>
        <w:tblOverlap w:val="never"/>
        <w:bidiVisual/>
        <w:tblW w:w="9401" w:type="dxa"/>
        <w:tblLook w:val="04A0"/>
      </w:tblPr>
      <w:tblGrid>
        <w:gridCol w:w="955"/>
        <w:gridCol w:w="1920"/>
        <w:gridCol w:w="460"/>
        <w:gridCol w:w="2920"/>
        <w:gridCol w:w="519"/>
        <w:gridCol w:w="2627"/>
      </w:tblGrid>
      <w:tr w14:paraId="263F682B" w14:textId="77777777" w:rsidTr="001913F4">
        <w:tblPrEx>
          <w:tblW w:w="9401" w:type="dxa"/>
          <w:tblLook w:val="04A0"/>
        </w:tblPrEx>
        <w:trPr>
          <w:trHeight w:val="268"/>
        </w:trPr>
        <w:tc>
          <w:tcPr>
            <w:tcW w:w="9401" w:type="dxa"/>
            <w:gridSpan w:val="6"/>
            <w:tcBorders>
              <w:top w:val="nil"/>
              <w:left w:val="nil"/>
              <w:bottom w:val="nil"/>
              <w:right w:val="nil"/>
            </w:tcBorders>
          </w:tcPr>
          <w:p w:rsidR="002945C1" w:rsidRPr="006C51DB" w:rsidP="008A2D6B" w14:paraId="2D300513" w14:textId="77777777">
            <w:pPr>
              <w:jc w:val="center"/>
              <w:rPr>
                <w:rFonts w:ascii="Tahoma" w:hAnsi="Tahoma" w:cs="Tahoma"/>
                <w:rtl/>
              </w:rPr>
            </w:pPr>
            <w:r w:rsidRPr="006C51DB">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45"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14:paraId="3D800B4A" w14:textId="77777777" w:rsidTr="001913F4">
        <w:tblPrEx>
          <w:tblW w:w="9401" w:type="dxa"/>
          <w:tblLook w:val="04A0"/>
        </w:tblPrEx>
        <w:trPr>
          <w:trHeight w:val="133"/>
        </w:trPr>
        <w:tc>
          <w:tcPr>
            <w:tcW w:w="9401" w:type="dxa"/>
            <w:gridSpan w:val="6"/>
            <w:tcBorders>
              <w:top w:val="nil"/>
              <w:left w:val="nil"/>
              <w:bottom w:val="nil"/>
              <w:right w:val="nil"/>
            </w:tcBorders>
          </w:tcPr>
          <w:p w:rsidR="002945C1" w:rsidRPr="006C51DB" w:rsidP="008A2D6B" w14:paraId="698C1149" w14:textId="77777777">
            <w:pPr>
              <w:rPr>
                <w:rFonts w:ascii="Tahoma" w:hAnsi="Tahoma" w:cs="Tahoma"/>
                <w:sz w:val="6"/>
                <w:szCs w:val="6"/>
                <w:rtl/>
              </w:rPr>
            </w:pPr>
          </w:p>
        </w:tc>
      </w:tr>
      <w:tr w14:paraId="210C4669" w14:textId="77777777" w:rsidTr="00017B0F">
        <w:tblPrEx>
          <w:tblW w:w="9401" w:type="dxa"/>
          <w:tblLook w:val="04A0"/>
        </w:tblPrEx>
        <w:trPr>
          <w:trHeight w:val="2193"/>
        </w:trPr>
        <w:tc>
          <w:tcPr>
            <w:tcW w:w="9401" w:type="dxa"/>
            <w:gridSpan w:val="6"/>
            <w:tcBorders>
              <w:top w:val="nil"/>
              <w:left w:val="nil"/>
              <w:bottom w:val="nil"/>
              <w:right w:val="nil"/>
            </w:tcBorders>
          </w:tcPr>
          <w:p w:rsidR="002945C1" w:rsidRPr="00017B0F" w:rsidP="002C3438" w14:paraId="743DF3B1" w14:textId="77777777">
            <w:pPr>
              <w:rPr>
                <w:rFonts w:ascii="Tahoma" w:hAnsi="Tahoma" w:cs="Tahoma"/>
                <w:sz w:val="19"/>
                <w:szCs w:val="19"/>
                <w:rtl/>
              </w:rPr>
            </w:pPr>
            <w:r w:rsidRPr="00017B0F">
              <w:rPr>
                <w:rFonts w:ascii="Tahoma" w:hAnsi="Tahoma" w:cs="Tahoma"/>
                <w:sz w:val="19"/>
                <w:szCs w:val="19"/>
                <w:rtl/>
              </w:rPr>
              <w:t xml:space="preserve">בשנת 2001 חוקק חוק </w:t>
            </w:r>
            <w:bookmarkStart w:id="2" w:name="tempMark"/>
            <w:bookmarkEnd w:id="2"/>
            <w:r w:rsidRPr="00017B0F">
              <w:rPr>
                <w:rFonts w:ascii="Tahoma" w:hAnsi="Tahoma" w:cs="Tahoma"/>
                <w:sz w:val="19"/>
                <w:szCs w:val="19"/>
                <w:rtl/>
              </w:rPr>
              <w:t xml:space="preserve">תאגידי המים והביוב, </w:t>
            </w:r>
            <w:r w:rsidRPr="00017B0F" w:rsidR="00744E84">
              <w:rPr>
                <w:rFonts w:ascii="Tahoma" w:hAnsi="Tahoma" w:cs="Tahoma"/>
                <w:sz w:val="19"/>
                <w:szCs w:val="19"/>
                <w:rtl/>
              </w:rPr>
              <w:t>ו</w:t>
            </w:r>
            <w:r w:rsidRPr="00017B0F">
              <w:rPr>
                <w:rFonts w:ascii="Tahoma" w:hAnsi="Tahoma" w:cs="Tahoma"/>
                <w:sz w:val="19"/>
                <w:szCs w:val="19"/>
                <w:rtl/>
              </w:rPr>
              <w:t xml:space="preserve">לפיו ניהול משק המים והביוב </w:t>
            </w:r>
            <w:r w:rsidRPr="00017B0F" w:rsidR="00744E84">
              <w:rPr>
                <w:rFonts w:ascii="Tahoma" w:hAnsi="Tahoma" w:cs="Tahoma"/>
                <w:sz w:val="19"/>
                <w:szCs w:val="19"/>
                <w:rtl/>
              </w:rPr>
              <w:t xml:space="preserve">יועבר מהרשויות המקומיות </w:t>
            </w:r>
            <w:r w:rsidRPr="00017B0F">
              <w:rPr>
                <w:rFonts w:ascii="Tahoma" w:hAnsi="Tahoma" w:cs="Tahoma"/>
                <w:sz w:val="19"/>
                <w:szCs w:val="19"/>
                <w:rtl/>
              </w:rPr>
              <w:t xml:space="preserve">לידי תאגידי מים וביוב, לצורך הבטחת רמת שירות נאותה, ניהול עסקי מקצועי </w:t>
            </w:r>
            <w:r w:rsidRPr="00017B0F" w:rsidR="002C3438">
              <w:rPr>
                <w:rFonts w:ascii="Tahoma" w:hAnsi="Tahoma" w:cs="Tahoma"/>
                <w:sz w:val="19"/>
                <w:szCs w:val="19"/>
                <w:rtl/>
              </w:rPr>
              <w:t xml:space="preserve">ויעיל </w:t>
            </w:r>
            <w:r w:rsidRPr="00017B0F">
              <w:rPr>
                <w:rFonts w:ascii="Tahoma" w:hAnsi="Tahoma" w:cs="Tahoma"/>
                <w:sz w:val="19"/>
                <w:szCs w:val="19"/>
                <w:rtl/>
              </w:rPr>
              <w:t>וייעוד ההכנסות להשקעות בתשתיות</w:t>
            </w:r>
            <w:r w:rsidRPr="00017B0F" w:rsidR="00D478ED">
              <w:rPr>
                <w:rFonts w:ascii="Tahoma" w:hAnsi="Tahoma" w:cs="Tahoma"/>
                <w:sz w:val="19"/>
                <w:szCs w:val="19"/>
                <w:rtl/>
              </w:rPr>
              <w:t xml:space="preserve"> מים וביוב</w:t>
            </w:r>
            <w:r w:rsidRPr="00017B0F">
              <w:rPr>
                <w:rFonts w:ascii="Tahoma" w:hAnsi="Tahoma" w:cs="Tahoma"/>
                <w:sz w:val="19"/>
                <w:szCs w:val="19"/>
                <w:rtl/>
              </w:rPr>
              <w:t xml:space="preserve"> (להלן - רפורמת התיאגוד). עד </w:t>
            </w:r>
            <w:r w:rsidRPr="00017B0F" w:rsidR="002C3438">
              <w:rPr>
                <w:rFonts w:ascii="Tahoma" w:hAnsi="Tahoma" w:cs="Tahoma"/>
                <w:sz w:val="19"/>
                <w:szCs w:val="19"/>
                <w:rtl/>
              </w:rPr>
              <w:t>תחילת 2020</w:t>
            </w:r>
            <w:r w:rsidRPr="00017B0F" w:rsidR="00406C43">
              <w:rPr>
                <w:rFonts w:ascii="Tahoma" w:hAnsi="Tahoma" w:cs="Tahoma"/>
                <w:sz w:val="19"/>
                <w:szCs w:val="19"/>
                <w:rtl/>
              </w:rPr>
              <w:t xml:space="preserve"> </w:t>
            </w:r>
            <w:r w:rsidRPr="00017B0F">
              <w:rPr>
                <w:rFonts w:ascii="Tahoma" w:hAnsi="Tahoma" w:cs="Tahoma"/>
                <w:sz w:val="19"/>
                <w:szCs w:val="19"/>
                <w:rtl/>
              </w:rPr>
              <w:t xml:space="preserve">התאגדו 56 תאגידים המאגדים </w:t>
            </w:r>
            <w:r w:rsidRPr="00017B0F" w:rsidR="002C3438">
              <w:rPr>
                <w:rFonts w:ascii="Tahoma" w:hAnsi="Tahoma" w:cs="Tahoma"/>
                <w:sz w:val="19"/>
                <w:szCs w:val="19"/>
                <w:rtl/>
              </w:rPr>
              <w:t xml:space="preserve">158 </w:t>
            </w:r>
            <w:r w:rsidRPr="00017B0F">
              <w:rPr>
                <w:rFonts w:ascii="Tahoma" w:hAnsi="Tahoma" w:cs="Tahoma"/>
                <w:sz w:val="19"/>
                <w:szCs w:val="19"/>
                <w:rtl/>
              </w:rPr>
              <w:t>רשויות מקומיות</w:t>
            </w:r>
            <w:r w:rsidRPr="00017B0F" w:rsidR="002C3438">
              <w:rPr>
                <w:rFonts w:ascii="Tahoma" w:hAnsi="Tahoma" w:cs="Tahoma"/>
                <w:sz w:val="19"/>
                <w:szCs w:val="19"/>
                <w:rtl/>
              </w:rPr>
              <w:t xml:space="preserve"> החייבות בתיאגוד</w:t>
            </w:r>
            <w:r>
              <w:rPr>
                <w:rStyle w:val="FootnoteReference"/>
                <w:rFonts w:ascii="Tahoma" w:hAnsi="Tahoma" w:cs="Tahoma"/>
                <w:sz w:val="19"/>
                <w:szCs w:val="19"/>
                <w:rtl/>
              </w:rPr>
              <w:footnoteReference w:id="2"/>
            </w:r>
            <w:r w:rsidRPr="00017B0F" w:rsidR="00744E84">
              <w:rPr>
                <w:rFonts w:ascii="Tahoma" w:hAnsi="Tahoma" w:cs="Tahoma"/>
                <w:sz w:val="19"/>
                <w:szCs w:val="19"/>
                <w:rtl/>
              </w:rPr>
              <w:t>;</w:t>
            </w:r>
            <w:r w:rsidRPr="00017B0F">
              <w:rPr>
                <w:rFonts w:ascii="Tahoma" w:hAnsi="Tahoma" w:cs="Tahoma"/>
                <w:sz w:val="19"/>
                <w:szCs w:val="19"/>
                <w:rtl/>
              </w:rPr>
              <w:t xml:space="preserve"> </w:t>
            </w:r>
            <w:r w:rsidRPr="00017B0F" w:rsidR="002C3438">
              <w:rPr>
                <w:rFonts w:ascii="Tahoma" w:hAnsi="Tahoma" w:cs="Tahoma"/>
                <w:sz w:val="19"/>
                <w:szCs w:val="19"/>
                <w:rtl/>
              </w:rPr>
              <w:t xml:space="preserve">24 </w:t>
            </w:r>
            <w:r w:rsidRPr="00017B0F">
              <w:rPr>
                <w:rFonts w:ascii="Tahoma" w:hAnsi="Tahoma" w:cs="Tahoma"/>
                <w:sz w:val="19"/>
                <w:szCs w:val="19"/>
                <w:rtl/>
              </w:rPr>
              <w:t>רשויות מקומיות החייבות בתיאגוד טרם התאגדו. משנת 2006 נעשו ניסיונות ל</w:t>
            </w:r>
            <w:r w:rsidRPr="00017B0F" w:rsidR="00744E84">
              <w:rPr>
                <w:rFonts w:ascii="Tahoma" w:hAnsi="Tahoma" w:cs="Tahoma"/>
                <w:sz w:val="19"/>
                <w:szCs w:val="19"/>
                <w:rtl/>
              </w:rPr>
              <w:t xml:space="preserve">יצור </w:t>
            </w:r>
            <w:r w:rsidRPr="00017B0F">
              <w:rPr>
                <w:rFonts w:ascii="Tahoma" w:hAnsi="Tahoma" w:cs="Tahoma"/>
                <w:sz w:val="19"/>
                <w:szCs w:val="19"/>
                <w:rtl/>
              </w:rPr>
              <w:t>תיאגוד אזורי שיצמצם את מספר התאגידים ויגדיל את תחום השירות של כל אחד</w:t>
            </w:r>
            <w:r w:rsidRPr="00017B0F" w:rsidR="00744E84">
              <w:rPr>
                <w:rFonts w:ascii="Tahoma" w:hAnsi="Tahoma" w:cs="Tahoma"/>
                <w:sz w:val="19"/>
                <w:szCs w:val="19"/>
                <w:rtl/>
              </w:rPr>
              <w:t xml:space="preserve"> מהם.</w:t>
            </w:r>
            <w:r w:rsidRPr="00017B0F">
              <w:rPr>
                <w:rFonts w:ascii="Tahoma" w:hAnsi="Tahoma" w:cs="Tahoma"/>
                <w:sz w:val="19"/>
                <w:szCs w:val="19"/>
                <w:rtl/>
              </w:rPr>
              <w:t xml:space="preserve"> עד מועד סיום הביקורת</w:t>
            </w:r>
            <w:r w:rsidRPr="00017B0F" w:rsidR="004B19D1">
              <w:rPr>
                <w:rFonts w:ascii="Tahoma" w:hAnsi="Tahoma" w:cs="Tahoma"/>
                <w:sz w:val="19"/>
                <w:szCs w:val="19"/>
                <w:rtl/>
              </w:rPr>
              <w:t xml:space="preserve"> בדצמבר 2019</w:t>
            </w:r>
            <w:r w:rsidRPr="00017B0F">
              <w:rPr>
                <w:rFonts w:ascii="Tahoma" w:hAnsi="Tahoma" w:cs="Tahoma"/>
                <w:sz w:val="19"/>
                <w:szCs w:val="19"/>
                <w:rtl/>
              </w:rPr>
              <w:t xml:space="preserve"> </w:t>
            </w:r>
            <w:r w:rsidRPr="00017B0F" w:rsidR="00000AF2">
              <w:rPr>
                <w:rFonts w:ascii="Tahoma" w:hAnsi="Tahoma" w:cs="Tahoma"/>
                <w:sz w:val="19"/>
                <w:szCs w:val="19"/>
                <w:rtl/>
              </w:rPr>
              <w:t xml:space="preserve">לא צלחו </w:t>
            </w:r>
            <w:r w:rsidRPr="00017B0F">
              <w:rPr>
                <w:rFonts w:ascii="Tahoma" w:hAnsi="Tahoma" w:cs="Tahoma"/>
                <w:sz w:val="19"/>
                <w:szCs w:val="19"/>
                <w:rtl/>
              </w:rPr>
              <w:t>המתווים שהוצעו לתיאגוד אזורי</w:t>
            </w:r>
            <w:r w:rsidRPr="00017B0F" w:rsidR="00000AF2">
              <w:rPr>
                <w:rFonts w:ascii="Tahoma" w:hAnsi="Tahoma" w:cs="Tahoma"/>
                <w:sz w:val="19"/>
                <w:szCs w:val="19"/>
                <w:rtl/>
              </w:rPr>
              <w:t>.</w:t>
            </w:r>
          </w:p>
          <w:p w:rsidR="009F458A" w:rsidRPr="006C51DB" w:rsidP="008A2D6B" w14:paraId="07BAB707" w14:textId="77777777">
            <w:pPr>
              <w:rPr>
                <w:rFonts w:ascii="Tahoma" w:hAnsi="Tahoma" w:cs="Tahoma"/>
                <w:sz w:val="19"/>
                <w:szCs w:val="19"/>
                <w:rtl/>
              </w:rPr>
            </w:pPr>
          </w:p>
        </w:tc>
      </w:tr>
      <w:tr w14:paraId="6B8B742E" w14:textId="77777777" w:rsidTr="001913F4">
        <w:tblPrEx>
          <w:tblW w:w="9401" w:type="dxa"/>
          <w:tblLook w:val="04A0"/>
        </w:tblPrEx>
        <w:trPr>
          <w:trHeight w:val="153"/>
        </w:trPr>
        <w:tc>
          <w:tcPr>
            <w:tcW w:w="9401" w:type="dxa"/>
            <w:gridSpan w:val="6"/>
            <w:tcBorders>
              <w:top w:val="nil"/>
              <w:left w:val="nil"/>
              <w:bottom w:val="nil"/>
              <w:right w:val="nil"/>
            </w:tcBorders>
          </w:tcPr>
          <w:p w:rsidR="002945C1" w:rsidRPr="006C51DB" w:rsidP="008A2D6B" w14:paraId="6EF5ECD4" w14:textId="77777777">
            <w:pPr>
              <w:jc w:val="center"/>
              <w:rPr>
                <w:rFonts w:ascii="Tahoma" w:hAnsi="Tahoma" w:cs="Tahoma"/>
                <w:rtl/>
              </w:rPr>
            </w:pPr>
            <w:r w:rsidRPr="006C51DB">
              <w:rPr>
                <w:rFonts w:ascii="Tahoma" w:hAnsi="Tahoma" w:cs="Tahoma"/>
                <w:noProof/>
                <w:rtl/>
              </w:rPr>
              <w:drawing>
                <wp:anchor distT="0" distB="0" distL="114300" distR="114300" simplePos="0" relativeHeight="251659264"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14:paraId="6E74A61D" w14:textId="77777777" w:rsidTr="001913F4">
        <w:tblPrEx>
          <w:tblW w:w="9401" w:type="dxa"/>
          <w:tblLook w:val="04A0"/>
        </w:tblPrEx>
        <w:trPr>
          <w:trHeight w:val="283"/>
        </w:trPr>
        <w:tc>
          <w:tcPr>
            <w:tcW w:w="2875" w:type="dxa"/>
            <w:gridSpan w:val="2"/>
            <w:tcBorders>
              <w:top w:val="nil"/>
              <w:left w:val="nil"/>
              <w:bottom w:val="single" w:sz="12" w:space="0" w:color="auto"/>
              <w:right w:val="nil"/>
            </w:tcBorders>
            <w:shd w:val="clear" w:color="auto" w:fill="auto"/>
            <w:vAlign w:val="center"/>
          </w:tcPr>
          <w:p w:rsidR="002945C1" w:rsidRPr="006C51DB" w:rsidP="008A2D6B" w14:paraId="5FF4E997" w14:textId="77777777">
            <w:pPr>
              <w:rPr>
                <w:rFonts w:ascii="Tahoma" w:hAnsi="Tahoma" w:cs="Tahoma"/>
                <w:spacing w:val="-10"/>
                <w:sz w:val="36"/>
                <w:szCs w:val="36"/>
                <w:rtl/>
              </w:rPr>
            </w:pPr>
            <w:r>
              <w:rPr>
                <w:rFonts w:ascii="Tahoma" w:hAnsi="Tahoma" w:cs="Tahoma" w:hint="cs"/>
                <w:spacing w:val="-10"/>
                <w:sz w:val="36"/>
                <w:szCs w:val="36"/>
                <w:rtl/>
              </w:rPr>
              <w:t>4.6 מיליארד ש"ח</w:t>
            </w:r>
            <w:r w:rsidRPr="006C51DB">
              <w:rPr>
                <w:rFonts w:ascii="Tahoma" w:hAnsi="Tahoma" w:cs="Tahoma"/>
                <w:spacing w:val="-10"/>
                <w:sz w:val="36"/>
                <w:szCs w:val="36"/>
                <w:rtl/>
              </w:rPr>
              <w:t xml:space="preserve"> </w:t>
            </w:r>
          </w:p>
        </w:tc>
        <w:tc>
          <w:tcPr>
            <w:tcW w:w="460" w:type="dxa"/>
            <w:tcBorders>
              <w:top w:val="nil"/>
              <w:left w:val="nil"/>
              <w:bottom w:val="nil"/>
              <w:right w:val="nil"/>
            </w:tcBorders>
          </w:tcPr>
          <w:p w:rsidR="002945C1" w:rsidRPr="006C51DB" w:rsidP="008A2D6B" w14:paraId="51B240D0" w14:textId="77777777">
            <w:pPr>
              <w:rPr>
                <w:rFonts w:ascii="Tahoma" w:hAnsi="Tahoma" w:cs="Tahoma"/>
                <w:spacing w:val="-10"/>
              </w:rPr>
            </w:pPr>
          </w:p>
        </w:tc>
        <w:tc>
          <w:tcPr>
            <w:tcW w:w="2920" w:type="dxa"/>
            <w:tcBorders>
              <w:top w:val="nil"/>
              <w:left w:val="nil"/>
              <w:bottom w:val="single" w:sz="12" w:space="0" w:color="auto"/>
              <w:right w:val="nil"/>
            </w:tcBorders>
            <w:vAlign w:val="center"/>
          </w:tcPr>
          <w:p w:rsidR="002945C1" w:rsidRPr="006C51DB" w:rsidP="008A2D6B" w14:paraId="3E6D482D" w14:textId="77777777">
            <w:pPr>
              <w:rPr>
                <w:rFonts w:ascii="Tahoma" w:hAnsi="Tahoma" w:cs="Tahoma"/>
                <w:spacing w:val="-10"/>
                <w:sz w:val="36"/>
                <w:szCs w:val="36"/>
                <w:rtl/>
              </w:rPr>
            </w:pPr>
            <w:r>
              <w:rPr>
                <w:rFonts w:ascii="Tahoma" w:hAnsi="Tahoma" w:cs="Tahoma" w:hint="cs"/>
                <w:spacing w:val="-10"/>
                <w:sz w:val="36"/>
                <w:szCs w:val="36"/>
                <w:rtl/>
              </w:rPr>
              <w:t>45%</w:t>
            </w:r>
          </w:p>
        </w:tc>
        <w:tc>
          <w:tcPr>
            <w:tcW w:w="519" w:type="dxa"/>
            <w:tcBorders>
              <w:top w:val="nil"/>
              <w:left w:val="nil"/>
              <w:bottom w:val="nil"/>
              <w:right w:val="nil"/>
            </w:tcBorders>
          </w:tcPr>
          <w:p w:rsidR="002945C1" w:rsidRPr="006C51DB" w:rsidP="008A2D6B" w14:paraId="0176AD4F" w14:textId="77777777">
            <w:pPr>
              <w:rPr>
                <w:rFonts w:ascii="Tahoma" w:hAnsi="Tahoma" w:cs="Tahoma"/>
                <w:spacing w:val="-10"/>
              </w:rPr>
            </w:pPr>
          </w:p>
        </w:tc>
        <w:tc>
          <w:tcPr>
            <w:tcW w:w="2627" w:type="dxa"/>
            <w:tcBorders>
              <w:top w:val="nil"/>
              <w:left w:val="nil"/>
              <w:bottom w:val="single" w:sz="12" w:space="0" w:color="auto"/>
              <w:right w:val="nil"/>
            </w:tcBorders>
            <w:vAlign w:val="center"/>
          </w:tcPr>
          <w:p w:rsidR="002945C1" w:rsidRPr="006C51DB" w:rsidP="008A2D6B" w14:paraId="40E363B3" w14:textId="77777777">
            <w:pPr>
              <w:rPr>
                <w:rFonts w:ascii="Tahoma" w:hAnsi="Tahoma" w:cs="Tahoma"/>
                <w:spacing w:val="-10"/>
                <w:sz w:val="36"/>
                <w:szCs w:val="36"/>
                <w:rtl/>
              </w:rPr>
            </w:pPr>
            <w:r>
              <w:rPr>
                <w:rFonts w:ascii="Tahoma" w:hAnsi="Tahoma" w:cs="Tahoma" w:hint="cs"/>
                <w:spacing w:val="-10"/>
                <w:sz w:val="36"/>
                <w:szCs w:val="36"/>
                <w:rtl/>
              </w:rPr>
              <w:t>60%</w:t>
            </w:r>
          </w:p>
        </w:tc>
      </w:tr>
      <w:tr w14:paraId="32FE5130" w14:textId="77777777" w:rsidTr="001913F4">
        <w:tblPrEx>
          <w:tblW w:w="9401" w:type="dxa"/>
          <w:tblLook w:val="04A0"/>
        </w:tblPrEx>
        <w:trPr>
          <w:trHeight w:val="85"/>
        </w:trPr>
        <w:tc>
          <w:tcPr>
            <w:tcW w:w="9401" w:type="dxa"/>
            <w:gridSpan w:val="6"/>
            <w:tcBorders>
              <w:top w:val="single" w:sz="12" w:space="0" w:color="auto"/>
              <w:left w:val="nil"/>
              <w:bottom w:val="nil"/>
              <w:right w:val="nil"/>
            </w:tcBorders>
            <w:shd w:val="clear" w:color="auto" w:fill="auto"/>
            <w:vAlign w:val="center"/>
          </w:tcPr>
          <w:p w:rsidR="002945C1" w:rsidRPr="006C51DB" w:rsidP="008A2D6B" w14:paraId="0C1594E8" w14:textId="77777777">
            <w:pPr>
              <w:rPr>
                <w:rFonts w:ascii="Tahoma" w:hAnsi="Tahoma" w:cs="Tahoma"/>
                <w:spacing w:val="-10"/>
                <w:sz w:val="6"/>
                <w:szCs w:val="6"/>
                <w:rtl/>
              </w:rPr>
            </w:pPr>
          </w:p>
        </w:tc>
      </w:tr>
      <w:tr w14:paraId="3A086C17" w14:textId="77777777" w:rsidTr="00017B0F">
        <w:tblPrEx>
          <w:tblW w:w="9401" w:type="dxa"/>
          <w:tblLook w:val="04A0"/>
        </w:tblPrEx>
        <w:trPr>
          <w:trHeight w:val="1627"/>
        </w:trPr>
        <w:tc>
          <w:tcPr>
            <w:tcW w:w="2875" w:type="dxa"/>
            <w:gridSpan w:val="2"/>
            <w:tcBorders>
              <w:top w:val="nil"/>
              <w:left w:val="nil"/>
              <w:bottom w:val="nil"/>
              <w:right w:val="nil"/>
            </w:tcBorders>
          </w:tcPr>
          <w:p w:rsidR="002945C1" w:rsidRPr="006C51DB" w:rsidP="00B72FC5" w14:paraId="617D6E29" w14:textId="77777777">
            <w:pPr>
              <w:spacing w:line="240" w:lineRule="auto"/>
              <w:ind w:right="25"/>
              <w:jc w:val="left"/>
              <w:rPr>
                <w:rFonts w:ascii="Tahoma" w:hAnsi="Tahoma" w:cs="Tahoma"/>
                <w:sz w:val="18"/>
                <w:szCs w:val="18"/>
                <w:rtl/>
              </w:rPr>
            </w:pPr>
            <w:r>
              <w:rPr>
                <w:rFonts w:ascii="Tahoma" w:hAnsi="Tahoma" w:cs="Tahoma" w:hint="cs"/>
                <w:sz w:val="19"/>
                <w:szCs w:val="19"/>
                <w:rtl/>
              </w:rPr>
              <w:t>היקף ההכנסות של תאגידי המים והביוב בשנת 2018.</w:t>
            </w:r>
            <w:r>
              <w:rPr>
                <w:rFonts w:ascii="Tahoma" w:hAnsi="Tahoma" w:cs="Tahoma" w:hint="cs"/>
                <w:sz w:val="18"/>
                <w:szCs w:val="18"/>
                <w:rtl/>
              </w:rPr>
              <w:t xml:space="preserve"> סך הרווח באותה שנה</w:t>
            </w:r>
            <w:r w:rsidR="00FA5B3C">
              <w:rPr>
                <w:rFonts w:ascii="Tahoma" w:hAnsi="Tahoma" w:cs="Tahoma" w:hint="cs"/>
                <w:sz w:val="18"/>
                <w:szCs w:val="18"/>
                <w:rtl/>
              </w:rPr>
              <w:t xml:space="preserve"> היה</w:t>
            </w:r>
            <w:r>
              <w:rPr>
                <w:rFonts w:ascii="Tahoma" w:hAnsi="Tahoma" w:cs="Tahoma" w:hint="cs"/>
                <w:sz w:val="18"/>
                <w:szCs w:val="18"/>
                <w:rtl/>
              </w:rPr>
              <w:t xml:space="preserve"> </w:t>
            </w:r>
            <w:r w:rsidR="002C3438">
              <w:rPr>
                <w:rFonts w:ascii="Tahoma" w:hAnsi="Tahoma" w:cs="Tahoma" w:hint="cs"/>
                <w:sz w:val="18"/>
                <w:szCs w:val="18"/>
                <w:rtl/>
              </w:rPr>
              <w:t xml:space="preserve">273 </w:t>
            </w:r>
            <w:r>
              <w:rPr>
                <w:rFonts w:ascii="Tahoma" w:hAnsi="Tahoma" w:cs="Tahoma" w:hint="cs"/>
                <w:sz w:val="18"/>
                <w:szCs w:val="18"/>
                <w:rtl/>
              </w:rPr>
              <w:t>מיליון ש"ח</w:t>
            </w:r>
          </w:p>
        </w:tc>
        <w:tc>
          <w:tcPr>
            <w:tcW w:w="460" w:type="dxa"/>
            <w:tcBorders>
              <w:top w:val="nil"/>
              <w:left w:val="nil"/>
              <w:bottom w:val="nil"/>
              <w:right w:val="nil"/>
            </w:tcBorders>
          </w:tcPr>
          <w:p w:rsidR="002945C1" w:rsidRPr="006C51DB" w:rsidP="00B72FC5" w14:paraId="23F7FEED" w14:textId="77777777">
            <w:pPr>
              <w:spacing w:line="240" w:lineRule="auto"/>
              <w:jc w:val="left"/>
              <w:rPr>
                <w:rFonts w:ascii="Tahoma" w:hAnsi="Tahoma" w:cs="Tahoma"/>
                <w:rtl/>
              </w:rPr>
            </w:pPr>
          </w:p>
        </w:tc>
        <w:tc>
          <w:tcPr>
            <w:tcW w:w="2920" w:type="dxa"/>
            <w:tcBorders>
              <w:top w:val="nil"/>
              <w:left w:val="nil"/>
              <w:bottom w:val="nil"/>
              <w:right w:val="nil"/>
            </w:tcBorders>
          </w:tcPr>
          <w:p w:rsidR="002945C1" w:rsidRPr="006C51DB" w:rsidP="00B72FC5" w14:paraId="7BFB9061" w14:textId="77777777">
            <w:pPr>
              <w:spacing w:line="240" w:lineRule="auto"/>
              <w:ind w:right="25"/>
              <w:jc w:val="left"/>
              <w:rPr>
                <w:rFonts w:ascii="Tahoma" w:hAnsi="Tahoma" w:cs="Tahoma"/>
                <w:sz w:val="19"/>
                <w:szCs w:val="19"/>
                <w:rtl/>
              </w:rPr>
            </w:pPr>
            <w:r>
              <w:rPr>
                <w:rFonts w:ascii="Tahoma" w:hAnsi="Tahoma" w:cs="Tahoma" w:hint="cs"/>
                <w:sz w:val="19"/>
                <w:szCs w:val="19"/>
                <w:rtl/>
              </w:rPr>
              <w:t>מהתעריף האחיד הממוצע לצרכן הביתי לשנת 2019</w:t>
            </w:r>
            <w:r w:rsidR="00000AF2">
              <w:rPr>
                <w:rFonts w:ascii="Tahoma" w:hAnsi="Tahoma" w:cs="Tahoma" w:hint="cs"/>
                <w:sz w:val="19"/>
                <w:szCs w:val="19"/>
                <w:rtl/>
              </w:rPr>
              <w:t xml:space="preserve"> מהווה את רכיב עלויות התאגידים</w:t>
            </w:r>
            <w:r>
              <w:rPr>
                <w:rFonts w:ascii="Tahoma" w:hAnsi="Tahoma" w:cs="Tahoma" w:hint="cs"/>
                <w:sz w:val="19"/>
                <w:szCs w:val="19"/>
                <w:rtl/>
              </w:rPr>
              <w:t xml:space="preserve"> </w:t>
            </w:r>
            <w:r w:rsidR="00000AF2">
              <w:rPr>
                <w:rFonts w:ascii="Tahoma" w:hAnsi="Tahoma" w:cs="Tahoma" w:hint="cs"/>
                <w:sz w:val="19"/>
                <w:szCs w:val="19"/>
                <w:rtl/>
              </w:rPr>
              <w:t>(</w:t>
            </w:r>
            <w:r>
              <w:rPr>
                <w:rFonts w:ascii="Tahoma" w:hAnsi="Tahoma" w:cs="Tahoma" w:hint="cs"/>
                <w:sz w:val="19"/>
                <w:szCs w:val="19"/>
                <w:rtl/>
              </w:rPr>
              <w:t>9.059 ש"ח למ"ק</w:t>
            </w:r>
            <w:r w:rsidR="00000AF2">
              <w:rPr>
                <w:rFonts w:ascii="Tahoma" w:hAnsi="Tahoma" w:cs="Tahoma" w:hint="cs"/>
                <w:sz w:val="19"/>
                <w:szCs w:val="19"/>
                <w:rtl/>
              </w:rPr>
              <w:t>)</w:t>
            </w:r>
          </w:p>
        </w:tc>
        <w:tc>
          <w:tcPr>
            <w:tcW w:w="519" w:type="dxa"/>
            <w:tcBorders>
              <w:top w:val="nil"/>
              <w:left w:val="nil"/>
              <w:bottom w:val="nil"/>
              <w:right w:val="nil"/>
            </w:tcBorders>
          </w:tcPr>
          <w:p w:rsidR="002945C1" w:rsidRPr="006C51DB" w:rsidP="00B72FC5" w14:paraId="7CDEC19C" w14:textId="77777777">
            <w:pPr>
              <w:spacing w:line="240" w:lineRule="auto"/>
              <w:jc w:val="left"/>
              <w:rPr>
                <w:rFonts w:ascii="Tahoma" w:hAnsi="Tahoma" w:cs="Tahoma"/>
                <w:sz w:val="19"/>
                <w:szCs w:val="19"/>
                <w:rtl/>
              </w:rPr>
            </w:pPr>
            <w:r>
              <w:rPr>
                <w:rFonts w:ascii="Tahoma" w:hAnsi="Tahoma" w:cs="Tahoma" w:hint="cs"/>
                <w:sz w:val="19"/>
                <w:szCs w:val="19"/>
                <w:rtl/>
              </w:rPr>
              <w:t xml:space="preserve">        </w:t>
            </w:r>
          </w:p>
        </w:tc>
        <w:tc>
          <w:tcPr>
            <w:tcW w:w="2627" w:type="dxa"/>
            <w:tcBorders>
              <w:top w:val="nil"/>
              <w:left w:val="nil"/>
              <w:bottom w:val="nil"/>
              <w:right w:val="nil"/>
            </w:tcBorders>
          </w:tcPr>
          <w:p w:rsidR="002945C1" w:rsidRPr="0013141E" w:rsidP="00B72FC5" w14:paraId="08B67EED" w14:textId="77777777">
            <w:pPr>
              <w:spacing w:line="240" w:lineRule="auto"/>
              <w:ind w:right="177"/>
              <w:jc w:val="left"/>
              <w:rPr>
                <w:rFonts w:ascii="Tahoma" w:hAnsi="Tahoma" w:cs="Tahoma"/>
                <w:sz w:val="19"/>
                <w:szCs w:val="19"/>
                <w:rtl/>
              </w:rPr>
            </w:pPr>
            <w:r w:rsidRPr="0013141E">
              <w:rPr>
                <w:rFonts w:ascii="Tahoma" w:hAnsi="Tahoma" w:cs="Tahoma" w:hint="cs"/>
                <w:sz w:val="19"/>
                <w:szCs w:val="19"/>
                <w:rtl/>
              </w:rPr>
              <w:t xml:space="preserve">מתוך תקציב ההטבה לאוכולוסיות </w:t>
            </w:r>
            <w:r w:rsidRPr="0013141E" w:rsidR="00706F43">
              <w:rPr>
                <w:rFonts w:ascii="Tahoma" w:hAnsi="Tahoma" w:cs="Tahoma" w:hint="eastAsia"/>
                <w:sz w:val="19"/>
                <w:szCs w:val="19"/>
                <w:rtl/>
              </w:rPr>
              <w:t>ה</w:t>
            </w:r>
            <w:r w:rsidRPr="0013141E">
              <w:rPr>
                <w:rFonts w:ascii="Tahoma" w:hAnsi="Tahoma" w:cs="Tahoma" w:hint="cs"/>
                <w:sz w:val="19"/>
                <w:szCs w:val="19"/>
                <w:rtl/>
              </w:rPr>
              <w:t xml:space="preserve">זכאיות </w:t>
            </w:r>
            <w:r w:rsidRPr="0013141E" w:rsidR="00706F43">
              <w:rPr>
                <w:rFonts w:ascii="Tahoma" w:hAnsi="Tahoma" w:cs="Tahoma" w:hint="eastAsia"/>
                <w:sz w:val="19"/>
                <w:szCs w:val="19"/>
                <w:rtl/>
              </w:rPr>
              <w:t>להנחה</w:t>
            </w:r>
            <w:r w:rsidRPr="0013141E" w:rsidR="00706F43">
              <w:rPr>
                <w:rFonts w:ascii="Tahoma" w:hAnsi="Tahoma" w:cs="Tahoma"/>
                <w:sz w:val="19"/>
                <w:szCs w:val="19"/>
                <w:rtl/>
              </w:rPr>
              <w:t xml:space="preserve"> בתשלום חשבונות המים </w:t>
            </w:r>
            <w:r w:rsidRPr="0013141E" w:rsidR="00706F43">
              <w:rPr>
                <w:rFonts w:ascii="Tahoma" w:hAnsi="Tahoma" w:cs="Tahoma" w:hint="cs"/>
                <w:sz w:val="19"/>
                <w:szCs w:val="19"/>
                <w:rtl/>
              </w:rPr>
              <w:t xml:space="preserve"> </w:t>
            </w:r>
            <w:r w:rsidRPr="0013141E">
              <w:rPr>
                <w:rFonts w:ascii="Tahoma" w:hAnsi="Tahoma" w:cs="Tahoma" w:hint="cs"/>
                <w:sz w:val="19"/>
                <w:szCs w:val="19"/>
                <w:rtl/>
              </w:rPr>
              <w:t xml:space="preserve">בשנים </w:t>
            </w:r>
            <w:r w:rsidR="002C3438">
              <w:rPr>
                <w:rFonts w:ascii="Tahoma" w:hAnsi="Tahoma" w:cs="Tahoma" w:hint="cs"/>
                <w:sz w:val="19"/>
                <w:szCs w:val="19"/>
                <w:rtl/>
              </w:rPr>
              <w:t>2019-2015</w:t>
            </w:r>
            <w:r w:rsidRPr="0013141E">
              <w:rPr>
                <w:rFonts w:ascii="Tahoma" w:hAnsi="Tahoma" w:cs="Tahoma" w:hint="cs"/>
                <w:sz w:val="19"/>
                <w:szCs w:val="19"/>
                <w:rtl/>
              </w:rPr>
              <w:t xml:space="preserve"> לא נוצל</w:t>
            </w:r>
            <w:r w:rsidR="00A31049">
              <w:rPr>
                <w:rFonts w:ascii="Tahoma" w:hAnsi="Tahoma" w:cs="Tahoma" w:hint="cs"/>
                <w:sz w:val="19"/>
                <w:szCs w:val="19"/>
                <w:rtl/>
              </w:rPr>
              <w:t>ו</w:t>
            </w:r>
            <w:r w:rsidRPr="0013141E">
              <w:rPr>
                <w:rFonts w:ascii="Tahoma" w:hAnsi="Tahoma" w:cs="Tahoma" w:hint="cs"/>
                <w:sz w:val="19"/>
                <w:szCs w:val="19"/>
                <w:rtl/>
              </w:rPr>
              <w:t xml:space="preserve"> (153 מיליון </w:t>
            </w:r>
            <w:r w:rsidR="00A31049">
              <w:rPr>
                <w:rFonts w:ascii="Tahoma" w:hAnsi="Tahoma" w:cs="Tahoma" w:hint="cs"/>
                <w:sz w:val="19"/>
                <w:szCs w:val="19"/>
                <w:rtl/>
              </w:rPr>
              <w:t>ש"ח</w:t>
            </w:r>
            <w:r w:rsidRPr="0013141E">
              <w:rPr>
                <w:rFonts w:ascii="Tahoma" w:hAnsi="Tahoma" w:cs="Tahoma" w:hint="cs"/>
                <w:sz w:val="19"/>
                <w:szCs w:val="19"/>
                <w:rtl/>
              </w:rPr>
              <w:t>)</w:t>
            </w:r>
          </w:p>
          <w:p w:rsidR="00706F43" w:rsidRPr="0013141E" w:rsidP="00B72FC5" w14:paraId="5C300A4F" w14:textId="77777777">
            <w:pPr>
              <w:spacing w:line="240" w:lineRule="auto"/>
              <w:ind w:right="177"/>
              <w:jc w:val="left"/>
              <w:rPr>
                <w:rFonts w:ascii="Tahoma" w:hAnsi="Tahoma" w:cs="Tahoma"/>
                <w:sz w:val="19"/>
                <w:szCs w:val="19"/>
                <w:rtl/>
              </w:rPr>
            </w:pPr>
          </w:p>
        </w:tc>
      </w:tr>
      <w:tr w14:paraId="6CA1CCCC" w14:textId="77777777" w:rsidTr="001913F4">
        <w:tblPrEx>
          <w:tblW w:w="9401" w:type="dxa"/>
          <w:tblLook w:val="04A0"/>
        </w:tblPrEx>
        <w:trPr>
          <w:trHeight w:val="227"/>
        </w:trPr>
        <w:tc>
          <w:tcPr>
            <w:tcW w:w="2875" w:type="dxa"/>
            <w:gridSpan w:val="2"/>
            <w:tcBorders>
              <w:top w:val="nil"/>
              <w:left w:val="nil"/>
              <w:bottom w:val="single" w:sz="12" w:space="0" w:color="auto"/>
              <w:right w:val="nil"/>
            </w:tcBorders>
            <w:vAlign w:val="center"/>
          </w:tcPr>
          <w:p w:rsidR="002945C1" w:rsidRPr="006C51DB" w:rsidP="008A2D6B" w14:paraId="70277DB4" w14:textId="77777777">
            <w:pPr>
              <w:rPr>
                <w:rFonts w:ascii="Tahoma" w:hAnsi="Tahoma" w:cs="Tahoma"/>
                <w:spacing w:val="-10"/>
                <w:sz w:val="36"/>
                <w:szCs w:val="36"/>
              </w:rPr>
            </w:pPr>
            <w:r>
              <w:rPr>
                <w:rFonts w:ascii="Tahoma" w:hAnsi="Tahoma" w:cs="Tahoma" w:hint="cs"/>
                <w:spacing w:val="-10"/>
                <w:sz w:val="36"/>
                <w:szCs w:val="36"/>
                <w:rtl/>
              </w:rPr>
              <w:t>8.6 מיליארד ש"ח</w:t>
            </w:r>
          </w:p>
        </w:tc>
        <w:tc>
          <w:tcPr>
            <w:tcW w:w="460" w:type="dxa"/>
            <w:tcBorders>
              <w:top w:val="nil"/>
              <w:left w:val="nil"/>
              <w:bottom w:val="nil"/>
              <w:right w:val="nil"/>
            </w:tcBorders>
          </w:tcPr>
          <w:p w:rsidR="002945C1" w:rsidRPr="006C51DB" w:rsidP="008A2D6B" w14:paraId="360E49F1" w14:textId="77777777">
            <w:pPr>
              <w:rPr>
                <w:rFonts w:ascii="Tahoma" w:hAnsi="Tahoma" w:cs="Tahoma"/>
                <w:spacing w:val="-10"/>
              </w:rPr>
            </w:pPr>
          </w:p>
        </w:tc>
        <w:tc>
          <w:tcPr>
            <w:tcW w:w="2920" w:type="dxa"/>
            <w:tcBorders>
              <w:top w:val="nil"/>
              <w:left w:val="nil"/>
              <w:bottom w:val="single" w:sz="12" w:space="0" w:color="auto"/>
              <w:right w:val="nil"/>
            </w:tcBorders>
            <w:vAlign w:val="center"/>
          </w:tcPr>
          <w:p w:rsidR="002945C1" w:rsidRPr="006C51DB" w:rsidP="008A2D6B" w14:paraId="5D377D96" w14:textId="77777777">
            <w:pPr>
              <w:rPr>
                <w:rFonts w:ascii="Tahoma" w:hAnsi="Tahoma" w:cs="Tahoma"/>
                <w:spacing w:val="-10"/>
                <w:sz w:val="36"/>
                <w:szCs w:val="36"/>
              </w:rPr>
            </w:pPr>
            <w:r>
              <w:rPr>
                <w:rFonts w:ascii="Tahoma" w:hAnsi="Tahoma" w:cs="Tahoma" w:hint="cs"/>
                <w:spacing w:val="-10"/>
                <w:sz w:val="36"/>
                <w:szCs w:val="36"/>
                <w:rtl/>
              </w:rPr>
              <w:t>43%</w:t>
            </w:r>
          </w:p>
        </w:tc>
        <w:tc>
          <w:tcPr>
            <w:tcW w:w="519" w:type="dxa"/>
            <w:tcBorders>
              <w:top w:val="nil"/>
              <w:left w:val="nil"/>
              <w:bottom w:val="nil"/>
              <w:right w:val="nil"/>
            </w:tcBorders>
          </w:tcPr>
          <w:p w:rsidR="002945C1" w:rsidRPr="006C51DB" w:rsidP="008A2D6B" w14:paraId="34D9D7EF" w14:textId="77777777">
            <w:pPr>
              <w:rPr>
                <w:rFonts w:ascii="Tahoma" w:hAnsi="Tahoma" w:cs="Tahoma"/>
                <w:spacing w:val="-10"/>
              </w:rPr>
            </w:pPr>
          </w:p>
        </w:tc>
        <w:tc>
          <w:tcPr>
            <w:tcW w:w="2627" w:type="dxa"/>
            <w:tcBorders>
              <w:top w:val="nil"/>
              <w:left w:val="nil"/>
              <w:bottom w:val="single" w:sz="12" w:space="0" w:color="auto"/>
              <w:right w:val="nil"/>
            </w:tcBorders>
            <w:vAlign w:val="center"/>
          </w:tcPr>
          <w:p w:rsidR="002945C1" w:rsidRPr="006C51DB" w:rsidP="008A2D6B" w14:paraId="243DA9A4" w14:textId="77777777">
            <w:pPr>
              <w:rPr>
                <w:rFonts w:ascii="Tahoma" w:hAnsi="Tahoma" w:cs="Tahoma"/>
                <w:spacing w:val="-10"/>
                <w:sz w:val="36"/>
                <w:szCs w:val="36"/>
              </w:rPr>
            </w:pPr>
            <w:r>
              <w:rPr>
                <w:rFonts w:ascii="Tahoma" w:hAnsi="Tahoma" w:cs="Tahoma" w:hint="cs"/>
                <w:spacing w:val="-10"/>
                <w:sz w:val="36"/>
                <w:szCs w:val="36"/>
                <w:rtl/>
              </w:rPr>
              <w:t>56 תאגידים</w:t>
            </w:r>
          </w:p>
        </w:tc>
      </w:tr>
      <w:tr w14:paraId="5F6FBC29" w14:textId="77777777" w:rsidTr="001913F4">
        <w:tblPrEx>
          <w:tblW w:w="9401" w:type="dxa"/>
          <w:tblLook w:val="04A0"/>
        </w:tblPrEx>
        <w:trPr>
          <w:trHeight w:val="70"/>
        </w:trPr>
        <w:tc>
          <w:tcPr>
            <w:tcW w:w="9401" w:type="dxa"/>
            <w:gridSpan w:val="6"/>
            <w:tcBorders>
              <w:top w:val="single" w:sz="12" w:space="0" w:color="auto"/>
              <w:left w:val="nil"/>
              <w:bottom w:val="nil"/>
              <w:right w:val="nil"/>
            </w:tcBorders>
            <w:vAlign w:val="center"/>
          </w:tcPr>
          <w:p w:rsidR="002945C1" w:rsidRPr="006C51DB" w:rsidP="008A2D6B" w14:paraId="163A8E3F" w14:textId="77777777">
            <w:pPr>
              <w:rPr>
                <w:rFonts w:ascii="Tahoma" w:hAnsi="Tahoma" w:cs="Tahoma"/>
                <w:spacing w:val="-10"/>
                <w:sz w:val="6"/>
                <w:szCs w:val="6"/>
                <w:rtl/>
              </w:rPr>
            </w:pPr>
          </w:p>
        </w:tc>
      </w:tr>
      <w:tr w14:paraId="3D6ACF09" w14:textId="77777777" w:rsidTr="00017B0F">
        <w:tblPrEx>
          <w:tblW w:w="9401" w:type="dxa"/>
          <w:tblLook w:val="04A0"/>
        </w:tblPrEx>
        <w:trPr>
          <w:trHeight w:val="2000"/>
        </w:trPr>
        <w:tc>
          <w:tcPr>
            <w:tcW w:w="2875" w:type="dxa"/>
            <w:gridSpan w:val="2"/>
            <w:tcBorders>
              <w:top w:val="nil"/>
              <w:left w:val="nil"/>
              <w:bottom w:val="nil"/>
              <w:right w:val="nil"/>
            </w:tcBorders>
          </w:tcPr>
          <w:p w:rsidR="002945C1" w:rsidRPr="006C51DB" w:rsidP="00B72FC5" w14:paraId="5C92505A" w14:textId="77777777">
            <w:pPr>
              <w:spacing w:line="240" w:lineRule="auto"/>
              <w:jc w:val="left"/>
              <w:rPr>
                <w:rFonts w:ascii="Tahoma" w:hAnsi="Tahoma" w:cs="Tahoma"/>
                <w:sz w:val="19"/>
                <w:szCs w:val="19"/>
                <w:rtl/>
              </w:rPr>
            </w:pPr>
            <w:r>
              <w:rPr>
                <w:rFonts w:ascii="Tahoma" w:hAnsi="Tahoma" w:cs="Tahoma" w:hint="cs"/>
                <w:sz w:val="19"/>
                <w:szCs w:val="19"/>
                <w:rtl/>
              </w:rPr>
              <w:t xml:space="preserve">סך השקעות התאגידים בתשתיות מים וביוב בשנים </w:t>
            </w:r>
            <w:r w:rsidR="00F730E3">
              <w:rPr>
                <w:rFonts w:ascii="Tahoma" w:hAnsi="Tahoma" w:cs="Tahoma" w:hint="cs"/>
                <w:sz w:val="19"/>
                <w:szCs w:val="19"/>
                <w:rtl/>
              </w:rPr>
              <w:t xml:space="preserve">2011 </w:t>
            </w:r>
            <w:r>
              <w:rPr>
                <w:rFonts w:ascii="Tahoma" w:hAnsi="Tahoma" w:cs="Tahoma" w:hint="cs"/>
                <w:sz w:val="19"/>
                <w:szCs w:val="19"/>
                <w:rtl/>
              </w:rPr>
              <w:t>-</w:t>
            </w:r>
            <w:r w:rsidR="00F730E3">
              <w:rPr>
                <w:rFonts w:ascii="Tahoma" w:hAnsi="Tahoma" w:cs="Tahoma" w:hint="cs"/>
                <w:sz w:val="19"/>
                <w:szCs w:val="19"/>
                <w:rtl/>
              </w:rPr>
              <w:t xml:space="preserve"> 2018</w:t>
            </w:r>
          </w:p>
        </w:tc>
        <w:tc>
          <w:tcPr>
            <w:tcW w:w="460" w:type="dxa"/>
            <w:tcBorders>
              <w:top w:val="nil"/>
              <w:left w:val="nil"/>
              <w:bottom w:val="nil"/>
              <w:right w:val="nil"/>
            </w:tcBorders>
          </w:tcPr>
          <w:p w:rsidR="002945C1" w:rsidRPr="006C51DB" w:rsidP="00B72FC5" w14:paraId="74217644" w14:textId="77777777">
            <w:pPr>
              <w:spacing w:line="240" w:lineRule="auto"/>
              <w:jc w:val="left"/>
              <w:rPr>
                <w:rFonts w:ascii="Tahoma" w:hAnsi="Tahoma" w:cs="Tahoma"/>
                <w:sz w:val="19"/>
                <w:szCs w:val="19"/>
                <w:rtl/>
              </w:rPr>
            </w:pPr>
          </w:p>
        </w:tc>
        <w:tc>
          <w:tcPr>
            <w:tcW w:w="2920" w:type="dxa"/>
            <w:tcBorders>
              <w:top w:val="nil"/>
              <w:left w:val="nil"/>
              <w:bottom w:val="nil"/>
              <w:right w:val="nil"/>
            </w:tcBorders>
          </w:tcPr>
          <w:p w:rsidR="002945C1" w:rsidRPr="006C51DB" w:rsidP="00B72FC5" w14:paraId="42C30C48" w14:textId="77777777">
            <w:pPr>
              <w:spacing w:line="240" w:lineRule="auto"/>
              <w:jc w:val="left"/>
              <w:rPr>
                <w:rFonts w:ascii="Tahoma" w:hAnsi="Tahoma" w:cs="Tahoma"/>
                <w:sz w:val="19"/>
                <w:szCs w:val="19"/>
                <w:rtl/>
              </w:rPr>
            </w:pPr>
            <w:r>
              <w:rPr>
                <w:rFonts w:ascii="Tahoma" w:hAnsi="Tahoma" w:cs="Tahoma" w:hint="cs"/>
                <w:sz w:val="19"/>
                <w:szCs w:val="19"/>
                <w:rtl/>
              </w:rPr>
              <w:t>מהיקף ה</w:t>
            </w:r>
            <w:r w:rsidR="0043094E">
              <w:rPr>
                <w:rFonts w:ascii="Tahoma" w:hAnsi="Tahoma" w:cs="Tahoma" w:hint="cs"/>
                <w:sz w:val="19"/>
                <w:szCs w:val="19"/>
                <w:rtl/>
              </w:rPr>
              <w:t xml:space="preserve">מענקים שהוצעו בשנים </w:t>
            </w:r>
            <w:r w:rsidR="002C3438">
              <w:rPr>
                <w:rFonts w:ascii="Tahoma" w:hAnsi="Tahoma" w:cs="Tahoma" w:hint="cs"/>
                <w:sz w:val="19"/>
                <w:szCs w:val="19"/>
                <w:rtl/>
              </w:rPr>
              <w:t>2016-2007</w:t>
            </w:r>
            <w:r>
              <w:rPr>
                <w:rStyle w:val="FootnoteReference"/>
                <w:rFonts w:ascii="Tahoma" w:hAnsi="Tahoma" w:cs="Tahoma"/>
                <w:sz w:val="19"/>
                <w:szCs w:val="19"/>
                <w:rtl/>
              </w:rPr>
              <w:footnoteReference w:id="3"/>
            </w:r>
            <w:r w:rsidR="0043094E">
              <w:rPr>
                <w:rFonts w:ascii="Tahoma" w:hAnsi="Tahoma" w:cs="Tahoma" w:hint="cs"/>
                <w:sz w:val="19"/>
                <w:szCs w:val="19"/>
                <w:rtl/>
              </w:rPr>
              <w:t xml:space="preserve"> לרשויות </w:t>
            </w:r>
            <w:r w:rsidR="00F730E3">
              <w:rPr>
                <w:rFonts w:ascii="Tahoma" w:hAnsi="Tahoma" w:cs="Tahoma" w:hint="cs"/>
                <w:sz w:val="19"/>
                <w:szCs w:val="19"/>
                <w:rtl/>
              </w:rPr>
              <w:t>ה</w:t>
            </w:r>
            <w:r w:rsidR="0043094E">
              <w:rPr>
                <w:rFonts w:ascii="Tahoma" w:hAnsi="Tahoma" w:cs="Tahoma" w:hint="cs"/>
                <w:sz w:val="19"/>
                <w:szCs w:val="19"/>
                <w:rtl/>
              </w:rPr>
              <w:t xml:space="preserve">מקומיות ולתאגידים </w:t>
            </w:r>
            <w:r w:rsidR="00F730E3">
              <w:rPr>
                <w:rFonts w:ascii="Tahoma" w:hAnsi="Tahoma" w:cs="Tahoma" w:hint="cs"/>
                <w:sz w:val="19"/>
                <w:szCs w:val="19"/>
                <w:rtl/>
              </w:rPr>
              <w:t>כדי</w:t>
            </w:r>
            <w:r w:rsidR="0043094E">
              <w:rPr>
                <w:rFonts w:ascii="Tahoma" w:hAnsi="Tahoma" w:cs="Tahoma" w:hint="cs"/>
                <w:sz w:val="19"/>
                <w:szCs w:val="19"/>
                <w:rtl/>
              </w:rPr>
              <w:t xml:space="preserve"> לתמרץ ת</w:t>
            </w:r>
            <w:r w:rsidR="00F730E3">
              <w:rPr>
                <w:rFonts w:ascii="Tahoma" w:hAnsi="Tahoma" w:cs="Tahoma" w:hint="cs"/>
                <w:sz w:val="19"/>
                <w:szCs w:val="19"/>
                <w:rtl/>
              </w:rPr>
              <w:t>י</w:t>
            </w:r>
            <w:r w:rsidR="0043094E">
              <w:rPr>
                <w:rFonts w:ascii="Tahoma" w:hAnsi="Tahoma" w:cs="Tahoma" w:hint="cs"/>
                <w:sz w:val="19"/>
                <w:szCs w:val="19"/>
                <w:rtl/>
              </w:rPr>
              <w:t>אגוד ות</w:t>
            </w:r>
            <w:r w:rsidR="00F730E3">
              <w:rPr>
                <w:rFonts w:ascii="Tahoma" w:hAnsi="Tahoma" w:cs="Tahoma" w:hint="cs"/>
                <w:sz w:val="19"/>
                <w:szCs w:val="19"/>
                <w:rtl/>
              </w:rPr>
              <w:t>י</w:t>
            </w:r>
            <w:r w:rsidR="0043094E">
              <w:rPr>
                <w:rFonts w:ascii="Tahoma" w:hAnsi="Tahoma" w:cs="Tahoma" w:hint="cs"/>
                <w:sz w:val="19"/>
                <w:szCs w:val="19"/>
                <w:rtl/>
              </w:rPr>
              <w:t>אגוד אזורי ולסייע בתקופת הת</w:t>
            </w:r>
            <w:r w:rsidR="00F730E3">
              <w:rPr>
                <w:rFonts w:ascii="Tahoma" w:hAnsi="Tahoma" w:cs="Tahoma" w:hint="cs"/>
                <w:sz w:val="19"/>
                <w:szCs w:val="19"/>
                <w:rtl/>
              </w:rPr>
              <w:t>י</w:t>
            </w:r>
            <w:r w:rsidR="0043094E">
              <w:rPr>
                <w:rFonts w:ascii="Tahoma" w:hAnsi="Tahoma" w:cs="Tahoma" w:hint="cs"/>
                <w:sz w:val="19"/>
                <w:szCs w:val="19"/>
                <w:rtl/>
              </w:rPr>
              <w:t>אגוד הראשונה</w:t>
            </w:r>
            <w:r>
              <w:rPr>
                <w:rFonts w:ascii="Tahoma" w:hAnsi="Tahoma" w:cs="Tahoma" w:hint="cs"/>
                <w:sz w:val="19"/>
                <w:szCs w:val="19"/>
                <w:rtl/>
              </w:rPr>
              <w:t xml:space="preserve"> לא נוצלו</w:t>
            </w:r>
            <w:r w:rsidR="0043094E">
              <w:rPr>
                <w:rFonts w:ascii="Tahoma" w:hAnsi="Tahoma" w:cs="Tahoma" w:hint="cs"/>
                <w:sz w:val="19"/>
                <w:szCs w:val="19"/>
                <w:rtl/>
              </w:rPr>
              <w:t>. כ-940 מיליו</w:t>
            </w:r>
            <w:r w:rsidR="00A436E8">
              <w:rPr>
                <w:rFonts w:ascii="Tahoma" w:hAnsi="Tahoma" w:cs="Tahoma" w:hint="cs"/>
                <w:sz w:val="19"/>
                <w:szCs w:val="19"/>
                <w:rtl/>
              </w:rPr>
              <w:t>ן</w:t>
            </w:r>
            <w:r w:rsidR="0043094E">
              <w:rPr>
                <w:rFonts w:ascii="Tahoma" w:hAnsi="Tahoma" w:cs="Tahoma" w:hint="cs"/>
                <w:sz w:val="19"/>
                <w:szCs w:val="19"/>
                <w:rtl/>
              </w:rPr>
              <w:t xml:space="preserve"> ש"ח </w:t>
            </w:r>
            <w:r w:rsidR="00F730E3">
              <w:rPr>
                <w:rFonts w:ascii="Tahoma" w:hAnsi="Tahoma" w:cs="Tahoma" w:hint="cs"/>
                <w:sz w:val="19"/>
                <w:szCs w:val="19"/>
                <w:rtl/>
              </w:rPr>
              <w:t xml:space="preserve"> </w:t>
            </w:r>
            <w:r>
              <w:rPr>
                <w:rFonts w:ascii="Tahoma" w:hAnsi="Tahoma" w:cs="Tahoma" w:hint="cs"/>
                <w:sz w:val="19"/>
                <w:szCs w:val="19"/>
                <w:rtl/>
              </w:rPr>
              <w:t>מתוך 2.2 מיליארד ש"ח</w:t>
            </w:r>
            <w:r w:rsidR="0043094E">
              <w:rPr>
                <w:rFonts w:ascii="Tahoma" w:hAnsi="Tahoma" w:cs="Tahoma" w:hint="cs"/>
                <w:sz w:val="19"/>
                <w:szCs w:val="19"/>
                <w:rtl/>
              </w:rPr>
              <w:t xml:space="preserve"> </w:t>
            </w:r>
          </w:p>
        </w:tc>
        <w:tc>
          <w:tcPr>
            <w:tcW w:w="519" w:type="dxa"/>
            <w:tcBorders>
              <w:top w:val="nil"/>
              <w:left w:val="nil"/>
              <w:bottom w:val="nil"/>
              <w:right w:val="nil"/>
            </w:tcBorders>
          </w:tcPr>
          <w:p w:rsidR="002945C1" w:rsidRPr="006C51DB" w:rsidP="00B72FC5" w14:paraId="4FBB107B" w14:textId="77777777">
            <w:pPr>
              <w:spacing w:line="240" w:lineRule="auto"/>
              <w:jc w:val="left"/>
              <w:rPr>
                <w:rFonts w:ascii="Tahoma" w:hAnsi="Tahoma" w:cs="Tahoma"/>
                <w:sz w:val="19"/>
                <w:szCs w:val="19"/>
                <w:rtl/>
              </w:rPr>
            </w:pPr>
          </w:p>
        </w:tc>
        <w:tc>
          <w:tcPr>
            <w:tcW w:w="2627" w:type="dxa"/>
            <w:tcBorders>
              <w:top w:val="nil"/>
              <w:left w:val="nil"/>
              <w:bottom w:val="nil"/>
              <w:right w:val="nil"/>
            </w:tcBorders>
          </w:tcPr>
          <w:p w:rsidR="008A2D6B" w:rsidRPr="005941D0" w:rsidP="00B72FC5" w14:paraId="56740EDB" w14:textId="77777777">
            <w:pPr>
              <w:spacing w:line="240" w:lineRule="auto"/>
              <w:jc w:val="left"/>
              <w:rPr>
                <w:rFonts w:ascii="Tahoma" w:hAnsi="Tahoma" w:cs="Tahoma"/>
                <w:sz w:val="19"/>
                <w:szCs w:val="19"/>
                <w:rtl/>
              </w:rPr>
            </w:pPr>
            <w:r>
              <w:rPr>
                <w:rFonts w:ascii="Tahoma" w:hAnsi="Tahoma" w:cs="Tahoma" w:hint="cs"/>
                <w:sz w:val="19"/>
                <w:szCs w:val="19"/>
                <w:rtl/>
              </w:rPr>
              <w:t>קיימים במועד סיום הביקורת</w:t>
            </w:r>
            <w:r w:rsidR="00762983">
              <w:rPr>
                <w:rFonts w:ascii="Tahoma" w:hAnsi="Tahoma" w:cs="Tahoma" w:hint="cs"/>
                <w:sz w:val="19"/>
                <w:szCs w:val="19"/>
                <w:rtl/>
              </w:rPr>
              <w:t xml:space="preserve">, </w:t>
            </w:r>
            <w:r w:rsidR="0006133E">
              <w:rPr>
                <w:rFonts w:ascii="Tahoma" w:hAnsi="Tahoma" w:cs="Tahoma" w:hint="cs"/>
                <w:sz w:val="19"/>
                <w:szCs w:val="19"/>
                <w:rtl/>
              </w:rPr>
              <w:t xml:space="preserve"> תאגידים אלה נותנים שירות לכ-95% מאוכלוסיי</w:t>
            </w:r>
            <w:r w:rsidR="00535EA7">
              <w:rPr>
                <w:rFonts w:ascii="Tahoma" w:hAnsi="Tahoma" w:cs="Tahoma" w:hint="cs"/>
                <w:sz w:val="19"/>
                <w:szCs w:val="19"/>
                <w:rtl/>
              </w:rPr>
              <w:t xml:space="preserve">ת </w:t>
            </w:r>
            <w:r w:rsidR="00677644">
              <w:rPr>
                <w:rFonts w:ascii="Tahoma" w:hAnsi="Tahoma" w:cs="Tahoma" w:hint="cs"/>
                <w:sz w:val="19"/>
                <w:szCs w:val="19"/>
                <w:rtl/>
              </w:rPr>
              <w:t>ה</w:t>
            </w:r>
            <w:r w:rsidR="0006133E">
              <w:rPr>
                <w:rFonts w:ascii="Tahoma" w:hAnsi="Tahoma" w:cs="Tahoma" w:hint="cs"/>
                <w:sz w:val="19"/>
                <w:szCs w:val="19"/>
                <w:rtl/>
              </w:rPr>
              <w:t>רשויות המקומיות החייבות בתיאגוד על פי החוק</w:t>
            </w:r>
            <w:r w:rsidR="00677644">
              <w:rPr>
                <w:rFonts w:ascii="Tahoma" w:hAnsi="Tahoma" w:cs="Tahoma" w:hint="cs"/>
                <w:sz w:val="19"/>
                <w:szCs w:val="19"/>
                <w:rtl/>
              </w:rPr>
              <w:t>,</w:t>
            </w:r>
            <w:r w:rsidR="00535EA7">
              <w:rPr>
                <w:rFonts w:ascii="Tahoma" w:hAnsi="Tahoma" w:cs="Tahoma" w:hint="cs"/>
                <w:sz w:val="19"/>
                <w:szCs w:val="19"/>
                <w:rtl/>
              </w:rPr>
              <w:t xml:space="preserve"> </w:t>
            </w:r>
            <w:r>
              <w:rPr>
                <w:rFonts w:ascii="Tahoma" w:hAnsi="Tahoma" w:cs="Tahoma" w:hint="cs"/>
                <w:sz w:val="19"/>
                <w:szCs w:val="19"/>
                <w:rtl/>
              </w:rPr>
              <w:t>אף שבמועד זה מספרם המרבי על פי החוק היה אמור להיות 30</w:t>
            </w:r>
          </w:p>
        </w:tc>
      </w:tr>
      <w:tr w14:paraId="0E97FC10" w14:textId="77777777" w:rsidTr="00017B0F">
        <w:tblPrEx>
          <w:tblW w:w="9401" w:type="dxa"/>
          <w:tblLook w:val="04A0"/>
        </w:tblPrEx>
        <w:trPr>
          <w:trHeight w:val="770"/>
        </w:trPr>
        <w:tc>
          <w:tcPr>
            <w:tcW w:w="9401" w:type="dxa"/>
            <w:gridSpan w:val="6"/>
            <w:tcBorders>
              <w:top w:val="nil"/>
              <w:left w:val="nil"/>
              <w:bottom w:val="nil"/>
              <w:right w:val="nil"/>
            </w:tcBorders>
            <w:vAlign w:val="center"/>
          </w:tcPr>
          <w:p w:rsidR="00383DB5" w:rsidRPr="006C51DB" w:rsidP="00017B0F" w14:paraId="45956030" w14:textId="77777777">
            <w:pPr>
              <w:rPr>
                <w:rFonts w:ascii="Tahoma" w:hAnsi="Tahoma" w:cs="Tahoma"/>
                <w:sz w:val="17"/>
                <w:szCs w:val="17"/>
                <w:rtl/>
              </w:rPr>
            </w:pPr>
            <w:r w:rsidRPr="006C51DB">
              <w:rPr>
                <w:rFonts w:ascii="Tahoma" w:hAnsi="Tahoma" w:cs="Tahoma"/>
                <w:noProof/>
              </w:rPr>
              <w:drawing>
                <wp:inline distT="0" distB="0" distL="0" distR="0">
                  <wp:extent cx="5832475" cy="498472"/>
                  <wp:effectExtent l="0" t="0" r="0" b="0"/>
                  <wp:docPr id="47" name="תמונה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81075" cy="511172"/>
                          </a:xfrm>
                          <a:prstGeom prst="rect">
                            <a:avLst/>
                          </a:prstGeom>
                        </pic:spPr>
                      </pic:pic>
                    </a:graphicData>
                  </a:graphic>
                </wp:inline>
              </w:drawing>
            </w:r>
          </w:p>
        </w:tc>
      </w:tr>
      <w:tr w14:paraId="713F797B" w14:textId="77777777" w:rsidTr="001913F4">
        <w:tblPrEx>
          <w:tblW w:w="9401" w:type="dxa"/>
          <w:tblLook w:val="04A0"/>
        </w:tblPrEx>
        <w:trPr>
          <w:trHeight w:val="1019"/>
        </w:trPr>
        <w:tc>
          <w:tcPr>
            <w:tcW w:w="955" w:type="dxa"/>
            <w:tcBorders>
              <w:top w:val="nil"/>
              <w:left w:val="nil"/>
              <w:bottom w:val="nil"/>
              <w:right w:val="nil"/>
            </w:tcBorders>
            <w:vAlign w:val="center"/>
          </w:tcPr>
          <w:p w:rsidR="002945C1" w:rsidRPr="006C51DB" w:rsidP="008A2D6B" w14:paraId="77ADB77E" w14:textId="77777777">
            <w:pPr>
              <w:rPr>
                <w:rFonts w:ascii="Tahoma" w:hAnsi="Tahoma" w:cs="Tahoma"/>
                <w:sz w:val="17"/>
                <w:szCs w:val="17"/>
                <w:rtl/>
              </w:rPr>
            </w:pPr>
            <w:r w:rsidRPr="006C51DB">
              <w:rPr>
                <w:rFonts w:ascii="Tahoma" w:hAnsi="Tahoma" w:cs="Tahoma"/>
                <w:noProof/>
              </w:rPr>
              <w:drawing>
                <wp:anchor distT="0" distB="0" distL="114300" distR="114300" simplePos="0" relativeHeight="251661312"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71201"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1DB">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48831"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gridSpan w:val="5"/>
            <w:tcBorders>
              <w:top w:val="nil"/>
              <w:left w:val="nil"/>
              <w:bottom w:val="nil"/>
              <w:right w:val="nil"/>
            </w:tcBorders>
            <w:vAlign w:val="center"/>
          </w:tcPr>
          <w:p w:rsidR="002945C1" w:rsidRPr="006A0CBC" w:rsidP="00017B0F" w14:paraId="5E655A20" w14:textId="77777777">
            <w:pPr>
              <w:rPr>
                <w:rtl/>
              </w:rPr>
            </w:pPr>
            <w:r w:rsidRPr="00017B0F">
              <w:rPr>
                <w:rFonts w:ascii="Tahoma" w:hAnsi="Tahoma" w:cs="Tahoma" w:hint="cs"/>
                <w:sz w:val="19"/>
                <w:szCs w:val="19"/>
                <w:rtl/>
              </w:rPr>
              <w:t>בחודשים מאי-דצמבר 2019 בדק משרד מבקר המדינה את תאגידי המים והביוב בהיבטים שונים</w:t>
            </w:r>
            <w:r w:rsidRPr="00017B0F" w:rsidR="00D43D03">
              <w:rPr>
                <w:rFonts w:ascii="Tahoma" w:hAnsi="Tahoma" w:cs="Tahoma" w:hint="cs"/>
                <w:sz w:val="19"/>
                <w:szCs w:val="19"/>
                <w:rtl/>
              </w:rPr>
              <w:t>,</w:t>
            </w:r>
            <w:r w:rsidRPr="00017B0F">
              <w:rPr>
                <w:rFonts w:ascii="Tahoma" w:hAnsi="Tahoma" w:cs="Tahoma" w:hint="cs"/>
                <w:sz w:val="19"/>
                <w:szCs w:val="19"/>
                <w:rtl/>
              </w:rPr>
              <w:t xml:space="preserve"> לרבות בדיקת הצלחת רפורמת </w:t>
            </w:r>
            <w:r w:rsidRPr="00017B0F" w:rsidR="00D43D03">
              <w:rPr>
                <w:rFonts w:ascii="Tahoma" w:hAnsi="Tahoma" w:cs="Tahoma" w:hint="cs"/>
                <w:sz w:val="19"/>
                <w:szCs w:val="19"/>
                <w:rtl/>
              </w:rPr>
              <w:t>התיאגוד</w:t>
            </w:r>
            <w:r w:rsidRPr="00017B0F">
              <w:rPr>
                <w:rFonts w:ascii="Tahoma" w:hAnsi="Tahoma" w:cs="Tahoma" w:hint="cs"/>
                <w:sz w:val="19"/>
                <w:szCs w:val="19"/>
                <w:rtl/>
              </w:rPr>
              <w:t>, תוך בחינת הגשמת המטרות שנקבעו בחוק</w:t>
            </w:r>
            <w:r w:rsidRPr="00017B0F" w:rsidR="0013163C">
              <w:rPr>
                <w:rFonts w:ascii="Tahoma" w:hAnsi="Tahoma" w:cs="Tahoma" w:hint="cs"/>
                <w:sz w:val="19"/>
                <w:szCs w:val="19"/>
                <w:rtl/>
              </w:rPr>
              <w:t xml:space="preserve"> תאגידי המים והביוב</w:t>
            </w:r>
            <w:r w:rsidRPr="00017B0F">
              <w:rPr>
                <w:rFonts w:ascii="Tahoma" w:hAnsi="Tahoma" w:cs="Tahoma" w:hint="cs"/>
                <w:sz w:val="19"/>
                <w:szCs w:val="19"/>
                <w:rtl/>
              </w:rPr>
              <w:t>. כמו כן</w:t>
            </w:r>
            <w:r w:rsidRPr="00017B0F" w:rsidR="00D43D03">
              <w:rPr>
                <w:rFonts w:ascii="Tahoma" w:hAnsi="Tahoma" w:cs="Tahoma" w:hint="cs"/>
                <w:sz w:val="19"/>
                <w:szCs w:val="19"/>
                <w:rtl/>
              </w:rPr>
              <w:t>,</w:t>
            </w:r>
            <w:r w:rsidRPr="00017B0F">
              <w:rPr>
                <w:rFonts w:ascii="Tahoma" w:hAnsi="Tahoma" w:cs="Tahoma" w:hint="cs"/>
                <w:sz w:val="19"/>
                <w:szCs w:val="19"/>
                <w:rtl/>
              </w:rPr>
              <w:t xml:space="preserve"> נבדק מנגנון ההטבה הניתן לאוכלוסיות מוחלשות. הביקורת נערכה ברשות המים </w:t>
            </w:r>
            <w:r w:rsidRPr="00017B0F" w:rsidR="00D43D03">
              <w:rPr>
                <w:rFonts w:ascii="Tahoma" w:hAnsi="Tahoma" w:cs="Tahoma" w:hint="cs"/>
                <w:sz w:val="19"/>
                <w:szCs w:val="19"/>
                <w:rtl/>
              </w:rPr>
              <w:t>ובכמה</w:t>
            </w:r>
            <w:r w:rsidRPr="00017B0F">
              <w:rPr>
                <w:rFonts w:ascii="Tahoma" w:hAnsi="Tahoma" w:cs="Tahoma" w:hint="cs"/>
                <w:sz w:val="19"/>
                <w:szCs w:val="19"/>
                <w:rtl/>
              </w:rPr>
              <w:t xml:space="preserve"> תאגידי מים</w:t>
            </w:r>
            <w:r w:rsidRPr="00017B0F" w:rsidR="00D43D03">
              <w:rPr>
                <w:rFonts w:ascii="Tahoma" w:hAnsi="Tahoma" w:cs="Tahoma" w:hint="cs"/>
                <w:sz w:val="19"/>
                <w:szCs w:val="19"/>
                <w:rtl/>
              </w:rPr>
              <w:t xml:space="preserve"> וביוב</w:t>
            </w:r>
            <w:r w:rsidRPr="00017B0F">
              <w:rPr>
                <w:rFonts w:ascii="Tahoma" w:hAnsi="Tahoma" w:cs="Tahoma" w:hint="cs"/>
                <w:sz w:val="19"/>
                <w:szCs w:val="19"/>
                <w:rtl/>
              </w:rPr>
              <w:t xml:space="preserve"> בעלי מאפיינים שונים</w:t>
            </w:r>
            <w:r w:rsidRPr="00017B0F" w:rsidR="00084805">
              <w:rPr>
                <w:rFonts w:ascii="Tahoma" w:hAnsi="Tahoma" w:cs="Tahoma" w:hint="cs"/>
                <w:sz w:val="19"/>
                <w:szCs w:val="19"/>
                <w:rtl/>
              </w:rPr>
              <w:t>.</w:t>
            </w:r>
            <w:r w:rsidRPr="00017B0F">
              <w:rPr>
                <w:rFonts w:ascii="Tahoma" w:hAnsi="Tahoma" w:cs="Tahoma" w:hint="cs"/>
                <w:sz w:val="19"/>
                <w:szCs w:val="19"/>
                <w:rtl/>
              </w:rPr>
              <w:t xml:space="preserve"> </w:t>
            </w:r>
            <w:r w:rsidRPr="00017B0F" w:rsidR="00D43D03">
              <w:rPr>
                <w:rFonts w:ascii="Tahoma" w:hAnsi="Tahoma" w:cs="Tahoma" w:hint="cs"/>
                <w:sz w:val="19"/>
                <w:szCs w:val="19"/>
                <w:rtl/>
              </w:rPr>
              <w:t xml:space="preserve">בין היתר </w:t>
            </w:r>
            <w:r w:rsidRPr="00017B0F">
              <w:rPr>
                <w:rFonts w:ascii="Tahoma" w:hAnsi="Tahoma" w:cs="Tahoma" w:hint="cs"/>
                <w:sz w:val="19"/>
                <w:szCs w:val="19"/>
                <w:rtl/>
              </w:rPr>
              <w:t>בהיבטי גודל אוכלוסיי</w:t>
            </w:r>
            <w:r w:rsidRPr="00017B0F">
              <w:rPr>
                <w:rFonts w:ascii="Tahoma" w:hAnsi="Tahoma" w:cs="Tahoma" w:hint="eastAsia"/>
                <w:sz w:val="19"/>
                <w:szCs w:val="19"/>
                <w:rtl/>
              </w:rPr>
              <w:t>ה</w:t>
            </w:r>
            <w:r w:rsidRPr="00017B0F">
              <w:rPr>
                <w:rFonts w:ascii="Tahoma" w:hAnsi="Tahoma" w:cs="Tahoma" w:hint="cs"/>
                <w:sz w:val="19"/>
                <w:szCs w:val="19"/>
                <w:rtl/>
              </w:rPr>
              <w:t xml:space="preserve">, מספר הרשויות המחזיקות בתאגיד, הדירוג </w:t>
            </w:r>
            <w:r w:rsidRPr="00017B0F" w:rsidR="00CE08EA">
              <w:rPr>
                <w:rFonts w:ascii="Tahoma" w:hAnsi="Tahoma" w:cs="Tahoma" w:hint="cs"/>
                <w:sz w:val="19"/>
                <w:szCs w:val="19"/>
                <w:rtl/>
              </w:rPr>
              <w:t>הכלכלי-חברתי</w:t>
            </w:r>
            <w:r w:rsidRPr="00017B0F">
              <w:rPr>
                <w:rFonts w:ascii="Tahoma" w:hAnsi="Tahoma" w:cs="Tahoma" w:hint="cs"/>
                <w:sz w:val="19"/>
                <w:szCs w:val="19"/>
                <w:rtl/>
              </w:rPr>
              <w:t xml:space="preserve"> הממוצע באוכלוסיי</w:t>
            </w:r>
            <w:r w:rsidRPr="00017B0F">
              <w:rPr>
                <w:rFonts w:ascii="Tahoma" w:hAnsi="Tahoma" w:cs="Tahoma" w:hint="eastAsia"/>
                <w:sz w:val="19"/>
                <w:szCs w:val="19"/>
                <w:rtl/>
              </w:rPr>
              <w:t>ה</w:t>
            </w:r>
            <w:r w:rsidRPr="00017B0F">
              <w:rPr>
                <w:rFonts w:ascii="Tahoma" w:hAnsi="Tahoma" w:cs="Tahoma" w:hint="cs"/>
                <w:sz w:val="19"/>
                <w:szCs w:val="19"/>
                <w:rtl/>
              </w:rPr>
              <w:t xml:space="preserve"> </w:t>
            </w:r>
            <w:r w:rsidRPr="00017B0F" w:rsidR="00D43D03">
              <w:rPr>
                <w:rFonts w:ascii="Tahoma" w:hAnsi="Tahoma" w:cs="Tahoma" w:hint="cs"/>
                <w:sz w:val="19"/>
                <w:szCs w:val="19"/>
                <w:rtl/>
              </w:rPr>
              <w:t>ו</w:t>
            </w:r>
            <w:r w:rsidRPr="00017B0F">
              <w:rPr>
                <w:rFonts w:ascii="Tahoma" w:hAnsi="Tahoma" w:cs="Tahoma" w:hint="cs"/>
                <w:sz w:val="19"/>
                <w:szCs w:val="19"/>
                <w:rtl/>
              </w:rPr>
              <w:t>מגזרים</w:t>
            </w:r>
            <w:r w:rsidRPr="00017B0F" w:rsidR="00D43D03">
              <w:rPr>
                <w:rFonts w:ascii="Tahoma" w:hAnsi="Tahoma" w:cs="Tahoma" w:hint="cs"/>
                <w:sz w:val="19"/>
                <w:szCs w:val="19"/>
                <w:rtl/>
              </w:rPr>
              <w:t>.</w:t>
            </w:r>
          </w:p>
        </w:tc>
      </w:tr>
    </w:tbl>
    <w:p w:rsidR="002945C1" w:rsidP="00B059BC" w14:paraId="2B244731" w14:textId="77777777">
      <w:pPr>
        <w:pStyle w:val="a"/>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0"/>
      </w:tblGrid>
      <w:tr w14:paraId="48A67BA5" w14:textId="77777777" w:rsidTr="00683B4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7740" w:type="dxa"/>
          </w:tcPr>
          <w:p w:rsidR="00683B49" w:rsidP="00683B49" w14:paraId="29CBDEAC" w14:textId="77777777">
            <w:pPr>
              <w:rPr>
                <w:rtl/>
              </w:rPr>
            </w:pPr>
            <w:r w:rsidRPr="00383DB5">
              <w:rPr>
                <w:rFonts w:ascii="Tahoma" w:hAnsi="Tahoma" w:cs="Tahoma"/>
                <w:noProof/>
              </w:rPr>
              <w:drawing>
                <wp:inline distT="0" distB="0" distL="0" distR="0">
                  <wp:extent cx="5748020" cy="414010"/>
                  <wp:effectExtent l="0" t="0" r="0" b="5715"/>
                  <wp:docPr id="97563251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קציר תמונה 2.2.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683B49" w:rsidP="00683B49" w14:paraId="0D2A24FC" w14:textId="77777777">
            <w:pPr>
              <w:spacing w:line="288" w:lineRule="auto"/>
              <w:ind w:left="357"/>
              <w:rPr>
                <w:rFonts w:ascii="Tahoma" w:hAnsi="Tahoma" w:cs="Tahoma"/>
                <w:sz w:val="19"/>
                <w:szCs w:val="19"/>
                <w:rtl/>
              </w:rPr>
            </w:pPr>
          </w:p>
          <w:p w:rsidR="00683B49" w:rsidRPr="00683B49" w:rsidP="00683B49" w14:paraId="24D98960" w14:textId="77777777">
            <w:pPr>
              <w:spacing w:line="288" w:lineRule="auto"/>
              <w:ind w:left="357"/>
              <w:rPr>
                <w:rFonts w:ascii="Tahoma" w:hAnsi="Tahoma" w:cs="Tahoma"/>
                <w:sz w:val="19"/>
                <w:szCs w:val="19"/>
              </w:rPr>
            </w:pPr>
            <w:r>
              <w:rPr>
                <w:rFonts w:ascii="Tahoma" w:hAnsi="Tahoma" w:cs="Tahoma"/>
                <w:noProof/>
                <w:rtl/>
              </w:rPr>
              <w:drawing>
                <wp:inline distT="0" distB="0" distL="0" distR="0">
                  <wp:extent cx="2616789" cy="200650"/>
                  <wp:effectExtent l="0" t="0" r="0" b="9525"/>
                  <wp:docPr id="49807825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F848EB" w:rsidP="00CF2F3A" w14:paraId="4877F9B2" w14:textId="77777777">
            <w:pPr>
              <w:numPr>
                <w:ilvl w:val="0"/>
                <w:numId w:val="2"/>
              </w:numPr>
              <w:spacing w:after="120" w:line="300" w:lineRule="auto"/>
              <w:ind w:left="357" w:hanging="357"/>
              <w:rPr>
                <w:rFonts w:ascii="Tahoma" w:hAnsi="Tahoma" w:cs="Tahoma"/>
                <w:sz w:val="19"/>
                <w:szCs w:val="19"/>
              </w:rPr>
            </w:pPr>
            <w:r w:rsidRPr="00F848EB">
              <w:rPr>
                <w:rFonts w:ascii="Tahoma" w:hAnsi="Tahoma" w:cs="Tahoma"/>
                <w:b/>
                <w:bCs/>
                <w:sz w:val="19"/>
                <w:szCs w:val="19"/>
                <w:rtl/>
              </w:rPr>
              <w:t>תעריף המים לצרכן הביתי</w:t>
            </w:r>
            <w:r w:rsidRPr="00F848EB">
              <w:rPr>
                <w:rFonts w:ascii="Tahoma" w:hAnsi="Tahoma" w:cs="Tahoma"/>
                <w:sz w:val="19"/>
                <w:szCs w:val="19"/>
                <w:rtl/>
              </w:rPr>
              <w:t xml:space="preserve"> -  במרכיב המים בלבד בתוך תעריפי המים והביוב (דהיינו, ללא תעריף הביוב), חלה בשנת 2010 עלייה של מעל 30% בעקבות רפורמת התעריפים</w:t>
            </w:r>
            <w:r>
              <w:rPr>
                <w:rFonts w:ascii="Tahoma" w:hAnsi="Tahoma" w:cs="Tahoma"/>
                <w:sz w:val="19"/>
                <w:szCs w:val="19"/>
                <w:vertAlign w:val="superscript"/>
                <w:rtl/>
              </w:rPr>
              <w:footnoteReference w:id="4"/>
            </w:r>
            <w:r w:rsidRPr="00F848EB">
              <w:rPr>
                <w:rFonts w:ascii="Tahoma" w:hAnsi="Tahoma" w:cs="Tahoma"/>
                <w:sz w:val="19"/>
                <w:szCs w:val="19"/>
                <w:rtl/>
              </w:rPr>
              <w:t xml:space="preserve">. לאחר מכן חלה ירידה בתעריפים עד יולי 2018 ואחר כך עלייה מתונה עד ינואר 2020.  </w:t>
            </w:r>
          </w:p>
          <w:p w:rsidR="00683B49" w:rsidRPr="00F848EB" w:rsidP="00CF2F3A" w14:paraId="3DB308FE" w14:textId="77777777">
            <w:pPr>
              <w:numPr>
                <w:ilvl w:val="0"/>
                <w:numId w:val="2"/>
              </w:numPr>
              <w:spacing w:after="120" w:line="300" w:lineRule="auto"/>
              <w:ind w:left="357" w:hanging="357"/>
              <w:rPr>
                <w:rFonts w:ascii="Tahoma" w:hAnsi="Tahoma" w:cs="Tahoma"/>
                <w:sz w:val="19"/>
                <w:szCs w:val="19"/>
              </w:rPr>
            </w:pPr>
            <w:r w:rsidRPr="00F848EB">
              <w:rPr>
                <w:rFonts w:ascii="Tahoma" w:hAnsi="Tahoma" w:cs="Tahoma"/>
                <w:b/>
                <w:bCs/>
                <w:sz w:val="19"/>
                <w:szCs w:val="19"/>
                <w:rtl/>
              </w:rPr>
              <w:t>צמצום חלקי של שיעור פחת המים</w:t>
            </w:r>
            <w:r>
              <w:rPr>
                <w:rFonts w:ascii="Tahoma" w:hAnsi="Tahoma" w:cs="Tahoma"/>
                <w:b/>
                <w:bCs/>
                <w:sz w:val="19"/>
                <w:szCs w:val="19"/>
                <w:vertAlign w:val="superscript"/>
                <w:rtl/>
              </w:rPr>
              <w:footnoteReference w:id="5"/>
            </w:r>
            <w:r w:rsidRPr="00F848EB">
              <w:rPr>
                <w:rFonts w:ascii="Tahoma" w:hAnsi="Tahoma" w:cs="Tahoma"/>
                <w:b/>
                <w:bCs/>
                <w:sz w:val="19"/>
                <w:szCs w:val="19"/>
                <w:rtl/>
              </w:rPr>
              <w:t xml:space="preserve"> - </w:t>
            </w:r>
            <w:r w:rsidRPr="00F848EB">
              <w:rPr>
                <w:rFonts w:ascii="Tahoma" w:hAnsi="Tahoma" w:cs="Tahoma"/>
                <w:sz w:val="19"/>
                <w:szCs w:val="19"/>
                <w:rtl/>
              </w:rPr>
              <w:t>משנת 2011 עד 2018 חל שיפור בממוצע המדדים בתחום פחת המים.   החיסכון שהושג בגין הירידה בפחת המים הממוצע בשנים 2018-2011 הסתכם שנתית בכ-29 מיליון מ"ק ובערך שנתי של כ-203 מיליון ש"ח לשנת 2018. עם זאת, בשנת 2018 עדיין היה שיעור פחת המים הממוצע בפועל (9.64%) גבוה משיעור פחת המים הממוצע שהוגדר בנורמה שקבעה רשות המים (7.97%). ההפרש השנתי מסתכם בכ-10 מיליון מ"ק ומסתכם להפסד כספי שנתי של כ-69 מיליון ש"ח. הפערים הגבוהים ביותר נרשמים בתאגידים שהוגדרו כתאגידים זכאים המשרתים אוכלוסיית מיעוטים</w:t>
            </w:r>
            <w:r>
              <w:rPr>
                <w:rFonts w:ascii="Tahoma" w:hAnsi="Tahoma" w:cs="Tahoma"/>
                <w:sz w:val="19"/>
                <w:szCs w:val="19"/>
                <w:vertAlign w:val="superscript"/>
                <w:rtl/>
              </w:rPr>
              <w:footnoteReference w:id="6"/>
            </w:r>
            <w:r w:rsidRPr="00F848EB">
              <w:rPr>
                <w:rFonts w:ascii="Tahoma" w:hAnsi="Tahoma" w:cs="Tahoma"/>
                <w:sz w:val="19"/>
                <w:szCs w:val="19"/>
                <w:rtl/>
              </w:rPr>
              <w:t xml:space="preserve">. בכך לא הושגה במלואה אחת מהמטרות המרכזיות של רפורמת התאגידים. </w:t>
            </w:r>
          </w:p>
          <w:p w:rsidR="00683B49" w:rsidRPr="00683B49" w:rsidP="00683B49" w14:paraId="186CBE42" w14:textId="77777777">
            <w:pPr>
              <w:numPr>
                <w:ilvl w:val="0"/>
                <w:numId w:val="2"/>
              </w:numPr>
              <w:spacing w:after="120" w:line="300" w:lineRule="auto"/>
              <w:ind w:left="357" w:hanging="357"/>
              <w:rPr>
                <w:rFonts w:ascii="Tahoma" w:hAnsi="Tahoma" w:cs="Tahoma"/>
                <w:sz w:val="19"/>
                <w:szCs w:val="19"/>
                <w:rtl/>
              </w:rPr>
            </w:pPr>
            <w:r w:rsidRPr="00683B49">
              <w:rPr>
                <w:rFonts w:ascii="Tahoma" w:hAnsi="Tahoma" w:cs="Tahoma"/>
                <w:b/>
                <w:bCs/>
                <w:sz w:val="19"/>
                <w:szCs w:val="19"/>
                <w:rtl/>
              </w:rPr>
              <w:t>צמצום חלקי של שיעור פחת הגבייה</w:t>
            </w:r>
            <w:r>
              <w:rPr>
                <w:rFonts w:ascii="Tahoma" w:hAnsi="Tahoma" w:cs="Tahoma"/>
                <w:b/>
                <w:bCs/>
                <w:sz w:val="19"/>
                <w:szCs w:val="19"/>
                <w:vertAlign w:val="superscript"/>
                <w:rtl/>
              </w:rPr>
              <w:footnoteReference w:id="7"/>
            </w:r>
            <w:r w:rsidRPr="00683B49">
              <w:rPr>
                <w:rFonts w:ascii="Tahoma" w:hAnsi="Tahoma" w:cs="Tahoma"/>
                <w:b/>
                <w:bCs/>
                <w:sz w:val="19"/>
                <w:szCs w:val="19"/>
                <w:rtl/>
              </w:rPr>
              <w:t xml:space="preserve"> -</w:t>
            </w:r>
            <w:r w:rsidRPr="00683B49">
              <w:rPr>
                <w:rFonts w:ascii="Tahoma" w:hAnsi="Tahoma" w:cs="Tahoma"/>
                <w:sz w:val="19"/>
                <w:szCs w:val="19"/>
                <w:rtl/>
              </w:rPr>
              <w:t xml:space="preserve">  בקרב התאגידים שנבחנו חלה ירידה בממוצע שיעור פחת הגבייה השוטף בפועל בשנת 2011 לעומת שיעורו בשנת 2018. ממוצע שיעורי הפחת השוטף בשנת 2018 בקרב התאגידים הזכאים (28%) גבוה משמעותית משיעורו בקרב יתר התאגידים (11%). גם לאחר שנתיים של מאמצי גבייה הפערים עדיין משמעותיים. כך, ממוצע שיעורי הפחת המצטבר נכון לסוף 2018 בגין חיובים עבור 2016 בקרב התאגידים הזכאים (13%) גבוה משיעורו בקרב יתר התאגידים (3%) והוא אינו עומד בנורמה שקבעה הרשות לתאגידים החלשים, ששיעורה הממוצע הוא כ-3%.</w:t>
            </w:r>
            <w:r w:rsidRPr="00683B49">
              <w:rPr>
                <w:rFonts w:ascii="Tahoma" w:hAnsi="Tahoma" w:cs="Tahoma"/>
                <w:b/>
                <w:bCs/>
                <w:sz w:val="19"/>
                <w:szCs w:val="19"/>
                <w:rtl/>
              </w:rPr>
              <w:t xml:space="preserve"> </w:t>
            </w:r>
          </w:p>
          <w:p w:rsidR="00683B49" w:rsidRPr="00683B49" w:rsidP="00683B49" w14:paraId="1ECBB67B" w14:textId="77777777">
            <w:pPr>
              <w:numPr>
                <w:ilvl w:val="0"/>
                <w:numId w:val="2"/>
              </w:numPr>
              <w:spacing w:after="120" w:line="300" w:lineRule="auto"/>
              <w:ind w:left="357" w:hanging="357"/>
              <w:rPr>
                <w:rFonts w:ascii="Tahoma" w:hAnsi="Tahoma" w:cs="Tahoma"/>
                <w:sz w:val="19"/>
                <w:szCs w:val="19"/>
              </w:rPr>
            </w:pPr>
            <w:r w:rsidRPr="00683B49">
              <w:rPr>
                <w:rFonts w:ascii="Tahoma" w:hAnsi="Tahoma" w:cs="Tahoma"/>
                <w:b/>
                <w:bCs/>
                <w:sz w:val="19"/>
                <w:szCs w:val="19"/>
                <w:rtl/>
              </w:rPr>
              <w:t>פערים משמעותיים בין התאגידים -</w:t>
            </w:r>
            <w:r w:rsidRPr="00683B49">
              <w:rPr>
                <w:rFonts w:ascii="Tahoma" w:hAnsi="Tahoma" w:cs="Tahoma"/>
                <w:sz w:val="19"/>
                <w:szCs w:val="19"/>
                <w:rtl/>
              </w:rPr>
              <w:t xml:space="preserve"> קיימים פערים משמעותיים בין התאגידים שאינם מסוגלים להתקיים באופן עצמאי מהבחינה הפיננסית, המשרתים בעיקר את אוכלוסיית המיעוטים (תאגידים זכאים), לבין יתר התאגידים. אף שהתאגידים הזכאים קיבלו "סל סיוע" באמצעות סבסוד צולב בתעריף ומענקים, וזאת על מנת שיוכלו לעמוד בנורמות שקבעה רשות המים, נכון לשנת 2018 מטרה זו לא הושגה. הפערים נמצאו בכל היבטי הפעילות: רווחיות, איתנות פיננסית, פחת מים, השקעות ופחת גבייה. </w:t>
            </w:r>
          </w:p>
          <w:p w:rsidR="00683B49" w:rsidP="00683B49" w14:paraId="0824519F" w14:textId="77777777">
            <w:pPr>
              <w:numPr>
                <w:ilvl w:val="0"/>
                <w:numId w:val="2"/>
              </w:numPr>
              <w:spacing w:after="120" w:line="300" w:lineRule="auto"/>
              <w:ind w:left="357" w:hanging="357"/>
            </w:pPr>
            <w:r w:rsidRPr="00683B49">
              <w:rPr>
                <w:rFonts w:ascii="Tahoma" w:hAnsi="Tahoma" w:cs="Tahoma"/>
                <w:b/>
                <w:bCs/>
                <w:sz w:val="19"/>
                <w:szCs w:val="19"/>
                <w:rtl/>
              </w:rPr>
              <w:t>כלי הבקרה והפיקוח על התאגידים -</w:t>
            </w:r>
            <w:r w:rsidRPr="00683B49">
              <w:rPr>
                <w:rFonts w:ascii="Tahoma" w:hAnsi="Tahoma" w:cs="Tahoma"/>
                <w:sz w:val="19"/>
                <w:szCs w:val="19"/>
                <w:rtl/>
              </w:rPr>
              <w:t xml:space="preserve"> כלי הבקרה והפיקוח שהממונה על התאגידים מחיל על תאגידי המים והביוב ואוכף אותם בנושאי איכות הבקרות הפנימיות נמצאו חסרים. הליך </w:t>
            </w:r>
            <w:r w:rsidRPr="00683B49">
              <w:rPr>
                <w:rFonts w:ascii="Tahoma" w:hAnsi="Tahoma" w:cs="Tahoma"/>
                <w:sz w:val="19"/>
                <w:szCs w:val="19"/>
                <w:rtl/>
              </w:rPr>
              <w:t>שהחל הממונה לאסדרת התחום בשנת 2017 הופסק אף שהוחלט להמשיכו במתכונת אחרת. כמו כן לא נבחנה האפשרות להמשיכו בהליך חלופי.</w:t>
            </w:r>
          </w:p>
          <w:p w:rsidR="00683B49" w:rsidRPr="00683B49" w:rsidP="00683B49" w14:paraId="745BF86E" w14:textId="77777777">
            <w:pPr>
              <w:numPr>
                <w:ilvl w:val="0"/>
                <w:numId w:val="2"/>
              </w:numPr>
              <w:spacing w:after="120" w:line="300" w:lineRule="auto"/>
              <w:rPr>
                <w:rFonts w:ascii="Tahoma" w:hAnsi="Tahoma" w:cs="Tahoma"/>
                <w:sz w:val="19"/>
                <w:szCs w:val="19"/>
                <w:rtl/>
              </w:rPr>
            </w:pPr>
            <w:r w:rsidRPr="00683B49">
              <w:rPr>
                <w:rFonts w:ascii="Tahoma" w:hAnsi="Tahoma" w:cs="Tahoma"/>
                <w:b/>
                <w:bCs/>
                <w:sz w:val="19"/>
                <w:szCs w:val="19"/>
                <w:rtl/>
              </w:rPr>
              <w:t>יישום חובת התיאגוד האזורי -</w:t>
            </w:r>
            <w:r w:rsidRPr="00683B49">
              <w:rPr>
                <w:rFonts w:ascii="Tahoma" w:hAnsi="Tahoma" w:cs="Tahoma"/>
                <w:sz w:val="19"/>
                <w:szCs w:val="19"/>
                <w:rtl/>
              </w:rPr>
              <w:t xml:space="preserve"> משנת 2006 הייתה מדיניות הממשלה בין היתר לעודד תיאגוד אזורי, שאמור להקטין את מספר התאגידים, ומשנת 2013 נקבעה חובת תיאגוד אזורי בחוק. אף על פי כן, במועד סיום הביקורת לא צומצם מספר התאגידים, רשויות בדירוג כלכלי-חברתי נמוך התאגדו בעיקר בתאגידים בעלי מדד כלכלי-חברתי נמוך ומתווי התיאגוד האזורי שהציעה הרשות בשנים 2013 ו-2019 לא יצאו לפועל על אף התמריצים והמענקים שהציעה רשות המים לעידוד התיאגוד האזורי. רק 24 מתוך 56 התאגידים הקיימים משרתים מעל 100,000 תושבים.</w:t>
            </w:r>
          </w:p>
          <w:p w:rsidR="00683B49" w:rsidP="00683B49" w14:paraId="07569298" w14:textId="77777777">
            <w:pPr>
              <w:numPr>
                <w:ilvl w:val="0"/>
                <w:numId w:val="2"/>
              </w:numPr>
              <w:spacing w:after="120" w:line="300" w:lineRule="auto"/>
              <w:rPr>
                <w:rFonts w:ascii="Tahoma" w:hAnsi="Tahoma" w:cs="Tahoma"/>
                <w:sz w:val="19"/>
                <w:szCs w:val="19"/>
              </w:rPr>
            </w:pPr>
            <w:r w:rsidRPr="00683B49">
              <w:rPr>
                <w:rFonts w:ascii="Tahoma" w:hAnsi="Tahoma" w:cs="Tahoma"/>
                <w:b/>
                <w:bCs/>
                <w:sz w:val="19"/>
                <w:szCs w:val="19"/>
                <w:rtl/>
              </w:rPr>
              <w:t>מנגנון הסיוע לאוכלוסיות מוחלשות  -</w:t>
            </w:r>
            <w:r w:rsidRPr="00683B49">
              <w:rPr>
                <w:rFonts w:ascii="Tahoma" w:hAnsi="Tahoma" w:cs="Tahoma"/>
                <w:sz w:val="19"/>
                <w:szCs w:val="19"/>
                <w:rtl/>
              </w:rPr>
              <w:t xml:space="preserve"> מנגנון הסיוע לאוכלוסיות מוחלשות אינו מביא לידי מיצוי ההטבה שתוקצבה בעניין זה. אף שחלפו יותר משנתיים וחצי מהמועד שבו הנחתה ועדת הכספים להכין מודל חדש לסיוע לאוכלוסיות מוחלשות, במטרה להביא לתיקון התקנות, ואף שרשות המים שלחה למשרד האוצר כבר במאי 2017 הצעה למודל חדש ולתיקון התקנות, טרם הגיש משרד האוצר לוועדת הכספים הצעת תיקון לתקנות, ומנגנון הסיוע נותר בעינו. יצוין כי כ-60% מתוך תקציב ההטבה לאוכולוסיות הזכאיות להנחה בתשלום חשבונות המים בשנים 2019-2015 לא נוצל (153 מיליון ש"ח).</w:t>
            </w:r>
          </w:p>
          <w:p w:rsidR="00683B49" w:rsidRPr="00683B49" w:rsidP="00683B49" w14:paraId="1F4283CC" w14:textId="77777777">
            <w:pPr>
              <w:spacing w:after="120" w:line="300" w:lineRule="auto"/>
              <w:ind w:left="360"/>
              <w:rPr>
                <w:rFonts w:ascii="Tahoma" w:hAnsi="Tahoma" w:cs="Tahoma"/>
                <w:sz w:val="19"/>
                <w:szCs w:val="19"/>
              </w:rPr>
            </w:pPr>
          </w:p>
          <w:p w:rsidR="00683B49" w:rsidRPr="00683B49" w:rsidP="00683B49" w14:paraId="55C6F3E3" w14:textId="77777777">
            <w:pPr>
              <w:spacing w:after="240" w:line="300" w:lineRule="auto"/>
              <w:rPr>
                <w:rFonts w:ascii="Tahoma" w:hAnsi="Tahoma" w:cs="Tahoma"/>
                <w:sz w:val="19"/>
                <w:szCs w:val="19"/>
                <w:rtl/>
              </w:rPr>
            </w:pPr>
            <w:r w:rsidRPr="00683B49">
              <w:rPr>
                <w:rFonts w:ascii="Tahoma" w:hAnsi="Tahoma" w:cs="Tahoma"/>
                <w:sz w:val="19"/>
                <w:szCs w:val="19"/>
              </w:rPr>
              <w:t xml:space="preserve">  </w:t>
            </w:r>
            <w:r w:rsidRPr="00683B49">
              <w:rPr>
                <w:rFonts w:ascii="Tahoma" w:hAnsi="Tahoma" w:cs="Tahoma"/>
                <w:noProof/>
                <w:sz w:val="19"/>
                <w:szCs w:val="19"/>
                <w:rtl/>
              </w:rPr>
              <w:drawing>
                <wp:inline distT="0" distB="0" distL="0" distR="0">
                  <wp:extent cx="2710450" cy="207831"/>
                  <wp:effectExtent l="0" t="0" r="0" b="190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683B49" w:rsidRPr="00683B49" w:rsidP="00683B49" w14:paraId="4C872FF1" w14:textId="77777777">
            <w:pPr>
              <w:spacing w:after="240" w:line="300" w:lineRule="auto"/>
              <w:ind w:left="423"/>
              <w:rPr>
                <w:rFonts w:ascii="Tahoma" w:hAnsi="Tahoma" w:cs="Tahoma"/>
                <w:sz w:val="19"/>
                <w:szCs w:val="19"/>
              </w:rPr>
            </w:pPr>
            <w:r w:rsidRPr="00683B49">
              <w:rPr>
                <w:rFonts w:ascii="Tahoma" w:hAnsi="Tahoma" w:cs="Tahoma"/>
                <w:b/>
                <w:bCs/>
                <w:sz w:val="19"/>
                <w:szCs w:val="19"/>
                <w:rtl/>
              </w:rPr>
              <w:t>רווחיות התאגידים משנת 2011 עד 2018 -</w:t>
            </w:r>
            <w:r w:rsidRPr="00683B49">
              <w:rPr>
                <w:rFonts w:ascii="Tahoma" w:hAnsi="Tahoma" w:cs="Tahoma"/>
                <w:sz w:val="19"/>
                <w:szCs w:val="19"/>
                <w:rtl/>
              </w:rPr>
              <w:t xml:space="preserve"> חל שיפור בריווחיות התאגידים בשנים 2011 - 2018. בשנת 2011 פעלו 52 תאגידים שסך הרווח שלהם היה כ-10 מיליון ש"ח ושיקף תשואה שנתית זניחה. כ-58% מהתאגידים סיימו את 2011 בהפסד, ואילו בשנת 2018 נאמד סך הרווח של התאגידים בכ-273 מיליון ש"ח, רווח המשקף עלייה בתשואה השנתית לכ-6%, תשואה המקובלת בתחום אספקת שירותי תשתית מפוקחים שאינם חשופים לתחרות. כ-18% מהתאגידים סיימו את 2018 בהפסד.</w:t>
            </w:r>
          </w:p>
          <w:p w:rsidR="00683B49" w:rsidRPr="00683B49" w:rsidP="00683B49" w14:paraId="794720A4" w14:textId="77777777">
            <w:pPr>
              <w:spacing w:after="240" w:line="300" w:lineRule="auto"/>
              <w:ind w:left="423"/>
              <w:rPr>
                <w:rFonts w:ascii="Tahoma" w:hAnsi="Tahoma" w:cs="Tahoma"/>
                <w:sz w:val="19"/>
                <w:szCs w:val="19"/>
              </w:rPr>
            </w:pPr>
            <w:r w:rsidRPr="00683B49">
              <w:rPr>
                <w:rFonts w:ascii="Tahoma" w:hAnsi="Tahoma" w:cs="Tahoma"/>
                <w:b/>
                <w:bCs/>
                <w:sz w:val="19"/>
                <w:szCs w:val="19"/>
                <w:rtl/>
              </w:rPr>
              <w:t>השקעות התאגידים -</w:t>
            </w:r>
            <w:r w:rsidRPr="00683B49">
              <w:rPr>
                <w:rFonts w:ascii="Tahoma" w:hAnsi="Tahoma" w:cs="Tahoma"/>
                <w:sz w:val="19"/>
                <w:szCs w:val="19"/>
                <w:rtl/>
              </w:rPr>
              <w:t xml:space="preserve"> משנת 2011 עד סוף 2018 השקיעו התאגידים ברשתות המים והביוב, לא כולל ההשקעות במט"שים, 8.6 מיליארד ש"ח ומתוכם כ-1.3 מיליארד ש"ח בשנת 2018 לבדה.</w:t>
            </w:r>
          </w:p>
          <w:p w:rsidR="00683B49" w:rsidRPr="00683B49" w:rsidP="00683B49" w14:paraId="38BC2997" w14:textId="77777777">
            <w:pPr>
              <w:spacing w:after="240" w:line="300" w:lineRule="auto"/>
              <w:ind w:left="423"/>
              <w:rPr>
                <w:rFonts w:ascii="Tahoma" w:hAnsi="Tahoma" w:cs="Tahoma"/>
                <w:sz w:val="19"/>
                <w:szCs w:val="19"/>
                <w:rtl/>
              </w:rPr>
            </w:pPr>
            <w:r w:rsidRPr="00683B49">
              <w:rPr>
                <w:rFonts w:ascii="Tahoma" w:hAnsi="Tahoma" w:cs="Tahoma"/>
                <w:b/>
                <w:bCs/>
                <w:sz w:val="19"/>
                <w:szCs w:val="19"/>
                <w:rtl/>
              </w:rPr>
              <w:t xml:space="preserve">שימוש בניתוק מים כאמצעי לגבייה מצרכנים ביתיים - </w:t>
            </w:r>
            <w:r w:rsidRPr="00683B49">
              <w:rPr>
                <w:rFonts w:ascii="Tahoma" w:hAnsi="Tahoma" w:cs="Tahoma"/>
                <w:sz w:val="19"/>
                <w:szCs w:val="19"/>
                <w:rtl/>
              </w:rPr>
              <w:t xml:space="preserve">התקנת כללי הניתוקים בשנת 2015 בידי מועצת רשות המים ופעולותיה ליישומם הביאו ברוב התאגידים לידי צמצום כמעט מוחלט של השימוש בניתוק מים כאמצעי לגביית חובות שוטפים מצרכנים ביתיים. </w:t>
            </w:r>
          </w:p>
          <w:p w:rsidR="00683B49" w:rsidP="00683B49" w14:paraId="259462FE" w14:textId="77777777">
            <w:pPr>
              <w:spacing w:line="276" w:lineRule="auto"/>
              <w:rPr>
                <w:rtl/>
              </w:rPr>
            </w:pPr>
          </w:p>
        </w:tc>
      </w:tr>
    </w:tbl>
    <w:p w:rsidR="00683B49" w:rsidP="00683B49" w14:paraId="35E24CD2" w14:textId="77777777">
      <w:pPr>
        <w:rPr>
          <w:rtl/>
        </w:rPr>
      </w:pPr>
    </w:p>
    <w:p w:rsidR="00683B49" w:rsidRPr="00683B49" w:rsidP="00683B49" w14:paraId="45A9F300" w14:textId="77777777">
      <w:pPr>
        <w:rPr>
          <w:rtl/>
        </w:rPr>
      </w:pPr>
    </w:p>
    <w:p w:rsidR="00C80A62" w14:paraId="23DC1142" w14:textId="77777777">
      <w:pPr>
        <w:rPr>
          <w:rtl/>
        </w:rPr>
      </w:pPr>
    </w:p>
    <w:p w:rsidR="00C80A62" w14:paraId="4C8EC4AD" w14:textId="77777777">
      <w:pPr>
        <w:rPr>
          <w:rtl/>
        </w:rPr>
      </w:pPr>
    </w:p>
    <w:p w:rsidR="00683B49" w14:paraId="1C1C076D" w14:textId="77777777"/>
    <w:tbl>
      <w:tblPr>
        <w:tblStyle w:val="TableGrid"/>
        <w:bidiVisual/>
        <w:tblW w:w="8754" w:type="dxa"/>
        <w:tblLayout w:type="fixed"/>
        <w:tblLook w:val="04A0"/>
      </w:tblPr>
      <w:tblGrid>
        <w:gridCol w:w="8754"/>
      </w:tblGrid>
      <w:tr w14:paraId="43F2A279" w14:textId="77777777" w:rsidTr="00683B49">
        <w:tblPrEx>
          <w:tblW w:w="8754" w:type="dxa"/>
          <w:tblLayout w:type="fixed"/>
          <w:tblLook w:val="04A0"/>
        </w:tblPrEx>
        <w:trPr>
          <w:cantSplit/>
          <w:trHeight w:val="1000"/>
        </w:trPr>
        <w:tc>
          <w:tcPr>
            <w:tcW w:w="8754" w:type="dxa"/>
            <w:tcBorders>
              <w:top w:val="nil"/>
              <w:left w:val="nil"/>
              <w:bottom w:val="nil"/>
              <w:right w:val="nil"/>
            </w:tcBorders>
          </w:tcPr>
          <w:p w:rsidR="002945C1" w:rsidRPr="006C51DB" w:rsidP="00C80A62" w14:paraId="7A55AD9F" w14:textId="77777777">
            <w:pPr>
              <w:rPr>
                <w:rFonts w:ascii="Tahoma" w:hAnsi="Tahoma" w:cs="Tahoma"/>
                <w:rtl/>
              </w:rPr>
            </w:pPr>
            <w:r w:rsidRPr="006C51DB">
              <w:rPr>
                <w:rFonts w:ascii="Tahoma" w:hAnsi="Tahoma" w:cs="Tahoma"/>
                <w:noProof/>
                <w:rtl/>
              </w:rPr>
              <w:drawing>
                <wp:inline distT="0" distB="0" distL="0" distR="0">
                  <wp:extent cx="5398135" cy="439381"/>
                  <wp:effectExtent l="0" t="0" r="0" b="0"/>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14856" name="תקציר תמונה 3.4.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23313" cy="449570"/>
                          </a:xfrm>
                          <a:prstGeom prst="rect">
                            <a:avLst/>
                          </a:prstGeom>
                        </pic:spPr>
                      </pic:pic>
                    </a:graphicData>
                  </a:graphic>
                </wp:inline>
              </w:drawing>
            </w:r>
          </w:p>
        </w:tc>
      </w:tr>
      <w:tr w14:paraId="0CC9D0D7" w14:textId="77777777" w:rsidTr="00683B49">
        <w:tblPrEx>
          <w:tblW w:w="8754" w:type="dxa"/>
          <w:tblLayout w:type="fixed"/>
          <w:tblLook w:val="04A0"/>
        </w:tblPrEx>
        <w:trPr>
          <w:trHeight w:val="2156"/>
        </w:trPr>
        <w:tc>
          <w:tcPr>
            <w:tcW w:w="8754" w:type="dxa"/>
            <w:tcBorders>
              <w:top w:val="nil"/>
              <w:left w:val="nil"/>
              <w:bottom w:val="nil"/>
              <w:right w:val="nil"/>
            </w:tcBorders>
            <w:shd w:val="clear" w:color="auto" w:fill="F1F5F9"/>
          </w:tcPr>
          <w:p w:rsidR="002945C1" w:rsidRPr="0013141E" w:rsidP="00683B49" w14:paraId="4E4FE395" w14:textId="77777777">
            <w:pPr>
              <w:pStyle w:val="ListParagraph"/>
              <w:numPr>
                <w:ilvl w:val="0"/>
                <w:numId w:val="16"/>
              </w:numPr>
              <w:spacing w:before="120" w:after="240"/>
              <w:ind w:left="549" w:right="311" w:hanging="549"/>
              <w:contextualSpacing w:val="0"/>
              <w:rPr>
                <w:rFonts w:ascii="Tahoma" w:hAnsi="Tahoma" w:cs="Tahoma"/>
                <w:sz w:val="19"/>
                <w:szCs w:val="19"/>
              </w:rPr>
            </w:pPr>
            <w:r w:rsidRPr="0013141E">
              <w:rPr>
                <w:rFonts w:ascii="Tahoma" w:hAnsi="Tahoma" w:cs="Tahoma"/>
                <w:sz w:val="19"/>
                <w:szCs w:val="19"/>
                <w:rtl/>
              </w:rPr>
              <w:t xml:space="preserve">ראוי לבחון כיצד ניתן </w:t>
            </w:r>
            <w:r w:rsidRPr="0013141E" w:rsidR="00A07DD5">
              <w:rPr>
                <w:rFonts w:ascii="Tahoma" w:hAnsi="Tahoma" w:cs="Tahoma" w:hint="cs"/>
                <w:sz w:val="19"/>
                <w:szCs w:val="19"/>
                <w:rtl/>
              </w:rPr>
              <w:t>להבטיח את איתנותם הפיננסית של</w:t>
            </w:r>
            <w:r w:rsidRPr="0013141E">
              <w:rPr>
                <w:rFonts w:ascii="Tahoma" w:hAnsi="Tahoma" w:cs="Tahoma"/>
                <w:sz w:val="19"/>
                <w:szCs w:val="19"/>
                <w:rtl/>
              </w:rPr>
              <w:t xml:space="preserve"> התאגידים  הזכאים </w:t>
            </w:r>
            <w:r w:rsidRPr="0013141E" w:rsidR="009215D6">
              <w:rPr>
                <w:rFonts w:ascii="Tahoma" w:hAnsi="Tahoma" w:cs="Tahoma" w:hint="cs"/>
                <w:sz w:val="19"/>
                <w:szCs w:val="19"/>
                <w:rtl/>
              </w:rPr>
              <w:t xml:space="preserve"> </w:t>
            </w:r>
            <w:r w:rsidRPr="0013141E" w:rsidR="009215D6">
              <w:rPr>
                <w:rFonts w:ascii="Tahoma" w:hAnsi="Tahoma" w:cs="Tahoma" w:hint="eastAsia"/>
                <w:sz w:val="19"/>
                <w:szCs w:val="19"/>
                <w:rtl/>
              </w:rPr>
              <w:t>בעלי</w:t>
            </w:r>
            <w:r w:rsidRPr="0013141E" w:rsidR="009215D6">
              <w:rPr>
                <w:rFonts w:ascii="Tahoma" w:hAnsi="Tahoma" w:cs="Tahoma"/>
                <w:sz w:val="19"/>
                <w:szCs w:val="19"/>
                <w:rtl/>
              </w:rPr>
              <w:t xml:space="preserve"> </w:t>
            </w:r>
            <w:r w:rsidRPr="0013141E" w:rsidR="009215D6">
              <w:rPr>
                <w:rFonts w:ascii="Tahoma" w:hAnsi="Tahoma" w:cs="Tahoma" w:hint="eastAsia"/>
                <w:sz w:val="19"/>
                <w:szCs w:val="19"/>
                <w:rtl/>
              </w:rPr>
              <w:t>מדד</w:t>
            </w:r>
            <w:r w:rsidRPr="0013141E" w:rsidR="009215D6">
              <w:rPr>
                <w:rFonts w:ascii="Tahoma" w:hAnsi="Tahoma" w:cs="Tahoma"/>
                <w:sz w:val="19"/>
                <w:szCs w:val="19"/>
                <w:rtl/>
              </w:rPr>
              <w:t xml:space="preserve"> </w:t>
            </w:r>
            <w:r>
              <w:rPr>
                <w:rFonts w:ascii="Tahoma" w:hAnsi="Tahoma" w:cs="Tahoma" w:hint="cs"/>
                <w:sz w:val="19"/>
                <w:szCs w:val="19"/>
                <w:rtl/>
              </w:rPr>
              <w:t>כלכלי-חברתי</w:t>
            </w:r>
            <w:r w:rsidRPr="0013141E" w:rsidR="009215D6">
              <w:rPr>
                <w:rFonts w:ascii="Tahoma" w:hAnsi="Tahoma" w:cs="Tahoma"/>
                <w:sz w:val="19"/>
                <w:szCs w:val="19"/>
                <w:rtl/>
              </w:rPr>
              <w:t xml:space="preserve"> </w:t>
            </w:r>
            <w:r w:rsidRPr="0013141E" w:rsidR="009215D6">
              <w:rPr>
                <w:rFonts w:ascii="Tahoma" w:hAnsi="Tahoma" w:cs="Tahoma" w:hint="eastAsia"/>
                <w:sz w:val="19"/>
                <w:szCs w:val="19"/>
                <w:rtl/>
              </w:rPr>
              <w:t>נמוך</w:t>
            </w:r>
            <w:r w:rsidRPr="0013141E" w:rsidR="00654EC2">
              <w:rPr>
                <w:rFonts w:ascii="Tahoma" w:hAnsi="Tahoma" w:cs="Tahoma" w:hint="cs"/>
                <w:sz w:val="19"/>
                <w:szCs w:val="19"/>
                <w:rtl/>
              </w:rPr>
              <w:t xml:space="preserve">, </w:t>
            </w:r>
            <w:r w:rsidRPr="0013141E" w:rsidR="00A07DD5">
              <w:rPr>
                <w:rFonts w:ascii="Tahoma" w:hAnsi="Tahoma" w:cs="Tahoma" w:hint="cs"/>
                <w:sz w:val="19"/>
                <w:szCs w:val="19"/>
                <w:rtl/>
              </w:rPr>
              <w:t xml:space="preserve">ושל התאגידים בעלי שיעור רווח נמוך או מצויים בהפסד, וכן להביאם </w:t>
            </w:r>
            <w:r w:rsidRPr="0013141E">
              <w:rPr>
                <w:rFonts w:ascii="Tahoma" w:hAnsi="Tahoma" w:cs="Tahoma"/>
                <w:sz w:val="19"/>
                <w:szCs w:val="19"/>
                <w:rtl/>
              </w:rPr>
              <w:t xml:space="preserve">לכך שיעמדו בנורמות שנקבעו להם, ובכלל זה </w:t>
            </w:r>
            <w:r>
              <w:rPr>
                <w:rFonts w:ascii="Tahoma" w:hAnsi="Tahoma" w:cs="Tahoma" w:hint="cs"/>
                <w:sz w:val="19"/>
                <w:szCs w:val="19"/>
                <w:rtl/>
              </w:rPr>
              <w:t xml:space="preserve">ראוי </w:t>
            </w:r>
            <w:r w:rsidRPr="0013141E">
              <w:rPr>
                <w:rFonts w:ascii="Tahoma" w:hAnsi="Tahoma" w:cs="Tahoma"/>
                <w:sz w:val="19"/>
                <w:szCs w:val="19"/>
                <w:rtl/>
              </w:rPr>
              <w:t xml:space="preserve">לשקול </w:t>
            </w:r>
            <w:r w:rsidRPr="0013141E" w:rsidR="00774367">
              <w:rPr>
                <w:rFonts w:ascii="Tahoma" w:hAnsi="Tahoma" w:cs="Tahoma" w:hint="cs"/>
                <w:sz w:val="19"/>
                <w:szCs w:val="19"/>
                <w:rtl/>
              </w:rPr>
              <w:t xml:space="preserve">להציע </w:t>
            </w:r>
            <w:r w:rsidRPr="0013141E" w:rsidR="005B578E">
              <w:rPr>
                <w:rFonts w:ascii="Tahoma" w:hAnsi="Tahoma" w:cs="Tahoma" w:hint="cs"/>
                <w:sz w:val="19"/>
                <w:szCs w:val="19"/>
                <w:rtl/>
              </w:rPr>
              <w:t xml:space="preserve">בעתיד </w:t>
            </w:r>
            <w:r w:rsidRPr="0013141E">
              <w:rPr>
                <w:rFonts w:ascii="Tahoma" w:hAnsi="Tahoma" w:cs="Tahoma"/>
                <w:sz w:val="19"/>
                <w:szCs w:val="19"/>
                <w:rtl/>
              </w:rPr>
              <w:t xml:space="preserve">מענקים </w:t>
            </w:r>
            <w:r w:rsidRPr="0013141E" w:rsidR="00774367">
              <w:rPr>
                <w:rFonts w:ascii="Tahoma" w:hAnsi="Tahoma" w:cs="Tahoma" w:hint="cs"/>
                <w:sz w:val="19"/>
                <w:szCs w:val="19"/>
                <w:rtl/>
              </w:rPr>
              <w:t>ש</w:t>
            </w:r>
            <w:r w:rsidRPr="0013141E">
              <w:rPr>
                <w:rFonts w:ascii="Tahoma" w:hAnsi="Tahoma" w:cs="Tahoma"/>
                <w:sz w:val="19"/>
                <w:szCs w:val="19"/>
                <w:rtl/>
              </w:rPr>
              <w:t>ילוו ביעדים ברורים</w:t>
            </w:r>
            <w:r w:rsidRPr="0013141E" w:rsidR="00774367">
              <w:rPr>
                <w:rFonts w:ascii="Tahoma" w:hAnsi="Tahoma" w:cs="Tahoma" w:hint="cs"/>
                <w:sz w:val="19"/>
                <w:szCs w:val="19"/>
                <w:rtl/>
              </w:rPr>
              <w:t xml:space="preserve"> בנוגע</w:t>
            </w:r>
            <w:r w:rsidRPr="0013141E">
              <w:rPr>
                <w:rFonts w:ascii="Tahoma" w:hAnsi="Tahoma" w:cs="Tahoma"/>
                <w:sz w:val="19"/>
                <w:szCs w:val="19"/>
                <w:rtl/>
              </w:rPr>
              <w:t xml:space="preserve"> לשיפור הנדרש בתשתיות ובעמידה בנורמות, </w:t>
            </w:r>
            <w:r w:rsidRPr="0013141E" w:rsidR="00774367">
              <w:rPr>
                <w:rFonts w:ascii="Tahoma" w:hAnsi="Tahoma" w:cs="Tahoma" w:hint="cs"/>
                <w:sz w:val="19"/>
                <w:szCs w:val="19"/>
                <w:rtl/>
              </w:rPr>
              <w:t xml:space="preserve">וכן </w:t>
            </w:r>
            <w:r w:rsidRPr="0013141E">
              <w:rPr>
                <w:rFonts w:ascii="Tahoma" w:hAnsi="Tahoma" w:cs="Tahoma"/>
                <w:sz w:val="19"/>
                <w:szCs w:val="19"/>
                <w:rtl/>
              </w:rPr>
              <w:t>ב</w:t>
            </w:r>
            <w:r w:rsidR="00D37D99">
              <w:rPr>
                <w:rFonts w:ascii="Tahoma" w:hAnsi="Tahoma" w:cs="Tahoma" w:hint="cs"/>
                <w:sz w:val="19"/>
                <w:szCs w:val="19"/>
                <w:rtl/>
              </w:rPr>
              <w:t xml:space="preserve">קביעת </w:t>
            </w:r>
            <w:r w:rsidRPr="0013141E">
              <w:rPr>
                <w:rFonts w:ascii="Tahoma" w:hAnsi="Tahoma" w:cs="Tahoma"/>
                <w:sz w:val="19"/>
                <w:szCs w:val="19"/>
                <w:rtl/>
              </w:rPr>
              <w:t>אבני דרך ויעדי ביניים מדידים</w:t>
            </w:r>
            <w:r w:rsidR="00D37D99">
              <w:rPr>
                <w:rFonts w:ascii="Tahoma" w:hAnsi="Tahoma" w:cs="Tahoma" w:hint="cs"/>
                <w:sz w:val="19"/>
                <w:szCs w:val="19"/>
                <w:rtl/>
              </w:rPr>
              <w:t>,</w:t>
            </w:r>
            <w:r w:rsidRPr="0013141E">
              <w:rPr>
                <w:rFonts w:ascii="Tahoma" w:hAnsi="Tahoma" w:cs="Tahoma"/>
                <w:sz w:val="19"/>
                <w:szCs w:val="19"/>
                <w:rtl/>
              </w:rPr>
              <w:t xml:space="preserve"> </w:t>
            </w:r>
            <w:r w:rsidRPr="0013141E" w:rsidR="005B578E">
              <w:rPr>
                <w:rFonts w:ascii="Tahoma" w:hAnsi="Tahoma" w:cs="Tahoma" w:hint="cs"/>
                <w:sz w:val="19"/>
                <w:szCs w:val="19"/>
                <w:rtl/>
              </w:rPr>
              <w:t>ש</w:t>
            </w:r>
            <w:r w:rsidRPr="0013141E" w:rsidR="00774367">
              <w:rPr>
                <w:rFonts w:ascii="Tahoma" w:hAnsi="Tahoma" w:cs="Tahoma" w:hint="cs"/>
                <w:sz w:val="19"/>
                <w:szCs w:val="19"/>
                <w:rtl/>
              </w:rPr>
              <w:t>ע</w:t>
            </w:r>
            <w:r w:rsidRPr="0013141E">
              <w:rPr>
                <w:rFonts w:ascii="Tahoma" w:hAnsi="Tahoma" w:cs="Tahoma"/>
                <w:sz w:val="19"/>
                <w:szCs w:val="19"/>
                <w:rtl/>
              </w:rPr>
              <w:t>ל</w:t>
            </w:r>
            <w:r w:rsidRPr="0013141E" w:rsidR="00774367">
              <w:rPr>
                <w:rFonts w:ascii="Tahoma" w:hAnsi="Tahoma" w:cs="Tahoma" w:hint="cs"/>
                <w:sz w:val="19"/>
                <w:szCs w:val="19"/>
                <w:rtl/>
              </w:rPr>
              <w:t xml:space="preserve"> פי</w:t>
            </w:r>
            <w:r w:rsidRPr="0013141E" w:rsidR="005B578E">
              <w:rPr>
                <w:rFonts w:ascii="Tahoma" w:hAnsi="Tahoma" w:cs="Tahoma" w:hint="cs"/>
                <w:sz w:val="19"/>
                <w:szCs w:val="19"/>
                <w:rtl/>
              </w:rPr>
              <w:t>הם</w:t>
            </w:r>
            <w:r w:rsidRPr="0013141E">
              <w:rPr>
                <w:rFonts w:ascii="Tahoma" w:hAnsi="Tahoma" w:cs="Tahoma"/>
                <w:sz w:val="19"/>
                <w:szCs w:val="19"/>
                <w:rtl/>
              </w:rPr>
              <w:t xml:space="preserve"> ייעשה הפיקוח </w:t>
            </w:r>
            <w:r w:rsidRPr="0013141E" w:rsidR="005B578E">
              <w:rPr>
                <w:rFonts w:ascii="Tahoma" w:hAnsi="Tahoma" w:cs="Tahoma" w:hint="cs"/>
                <w:sz w:val="19"/>
                <w:szCs w:val="19"/>
                <w:rtl/>
              </w:rPr>
              <w:t xml:space="preserve">על </w:t>
            </w:r>
            <w:r w:rsidRPr="0013141E">
              <w:rPr>
                <w:rFonts w:ascii="Tahoma" w:hAnsi="Tahoma" w:cs="Tahoma"/>
                <w:sz w:val="19"/>
                <w:szCs w:val="19"/>
                <w:rtl/>
              </w:rPr>
              <w:t>השימוש בכספי המענקים</w:t>
            </w:r>
            <w:r w:rsidRPr="0013141E" w:rsidR="005B578E">
              <w:rPr>
                <w:rFonts w:ascii="Tahoma" w:hAnsi="Tahoma" w:cs="Tahoma"/>
                <w:sz w:val="19"/>
                <w:szCs w:val="19"/>
                <w:rtl/>
              </w:rPr>
              <w:t xml:space="preserve"> והמעקב אחר</w:t>
            </w:r>
            <w:r w:rsidRPr="0013141E" w:rsidR="005B578E">
              <w:rPr>
                <w:rFonts w:ascii="Tahoma" w:hAnsi="Tahoma" w:cs="Tahoma" w:hint="cs"/>
                <w:sz w:val="19"/>
                <w:szCs w:val="19"/>
                <w:rtl/>
              </w:rPr>
              <w:t xml:space="preserve"> שימוש זה</w:t>
            </w:r>
            <w:r w:rsidRPr="0013141E">
              <w:rPr>
                <w:rFonts w:ascii="Tahoma" w:hAnsi="Tahoma" w:cs="Tahoma"/>
                <w:sz w:val="19"/>
                <w:szCs w:val="19"/>
                <w:rtl/>
              </w:rPr>
              <w:t xml:space="preserve">. </w:t>
            </w:r>
          </w:p>
          <w:p w:rsidR="00383DB5" w:rsidP="00683B49" w14:paraId="69DAACFC" w14:textId="77777777">
            <w:pPr>
              <w:pStyle w:val="ListParagraph"/>
              <w:numPr>
                <w:ilvl w:val="0"/>
                <w:numId w:val="16"/>
              </w:numPr>
              <w:spacing w:after="240"/>
              <w:ind w:left="549" w:right="311" w:hanging="549"/>
              <w:contextualSpacing w:val="0"/>
              <w:rPr>
                <w:rFonts w:ascii="Tahoma" w:hAnsi="Tahoma" w:cs="Tahoma"/>
                <w:sz w:val="19"/>
                <w:szCs w:val="19"/>
              </w:rPr>
            </w:pPr>
            <w:r w:rsidRPr="00383DB5">
              <w:rPr>
                <w:rFonts w:ascii="Tahoma" w:hAnsi="Tahoma" w:cs="Tahoma" w:hint="cs"/>
                <w:sz w:val="19"/>
                <w:szCs w:val="19"/>
                <w:rtl/>
              </w:rPr>
              <w:t xml:space="preserve">תשלומי הצרכנים </w:t>
            </w:r>
            <w:r w:rsidRPr="00383DB5" w:rsidR="005F5997">
              <w:rPr>
                <w:rFonts w:ascii="Tahoma" w:hAnsi="Tahoma" w:cs="Tahoma" w:hint="cs"/>
                <w:sz w:val="19"/>
                <w:szCs w:val="19"/>
                <w:rtl/>
              </w:rPr>
              <w:t>עבור</w:t>
            </w:r>
            <w:r w:rsidRPr="00383DB5">
              <w:rPr>
                <w:rFonts w:ascii="Tahoma" w:hAnsi="Tahoma" w:cs="Tahoma" w:hint="cs"/>
                <w:sz w:val="19"/>
                <w:szCs w:val="19"/>
                <w:rtl/>
              </w:rPr>
              <w:t xml:space="preserve"> שירותי מים וביוב אמורים לשמש מקורות מימון. </w:t>
            </w:r>
            <w:r w:rsidRPr="00383DB5">
              <w:rPr>
                <w:rFonts w:ascii="Tahoma" w:hAnsi="Tahoma" w:cs="Tahoma"/>
                <w:sz w:val="19"/>
                <w:szCs w:val="19"/>
                <w:rtl/>
              </w:rPr>
              <w:t>נוכח הפסדים שנתיים</w:t>
            </w:r>
            <w:r w:rsidRPr="00383DB5">
              <w:rPr>
                <w:rFonts w:ascii="Tahoma" w:hAnsi="Tahoma" w:cs="Tahoma" w:hint="cs"/>
                <w:sz w:val="19"/>
                <w:szCs w:val="19"/>
                <w:rtl/>
              </w:rPr>
              <w:t xml:space="preserve"> גבוהים</w:t>
            </w:r>
            <w:r w:rsidRPr="00383DB5">
              <w:rPr>
                <w:rFonts w:ascii="Tahoma" w:hAnsi="Tahoma" w:cs="Tahoma"/>
                <w:sz w:val="19"/>
                <w:szCs w:val="19"/>
                <w:rtl/>
              </w:rPr>
              <w:t xml:space="preserve"> ומצטברים הנובעים מפחת גבי</w:t>
            </w:r>
            <w:r w:rsidRPr="00383DB5" w:rsidR="002B1B97">
              <w:rPr>
                <w:rFonts w:ascii="Tahoma" w:hAnsi="Tahoma" w:cs="Tahoma" w:hint="cs"/>
                <w:sz w:val="19"/>
                <w:szCs w:val="19"/>
                <w:rtl/>
              </w:rPr>
              <w:t>י</w:t>
            </w:r>
            <w:r w:rsidRPr="00383DB5">
              <w:rPr>
                <w:rFonts w:ascii="Tahoma" w:hAnsi="Tahoma" w:cs="Tahoma"/>
                <w:sz w:val="19"/>
                <w:szCs w:val="19"/>
                <w:rtl/>
              </w:rPr>
              <w:t>ה, על רשות המים ו</w:t>
            </w:r>
            <w:r w:rsidRPr="00383DB5" w:rsidR="002B1B97">
              <w:rPr>
                <w:rFonts w:ascii="Tahoma" w:hAnsi="Tahoma" w:cs="Tahoma" w:hint="cs"/>
                <w:sz w:val="19"/>
                <w:szCs w:val="19"/>
                <w:rtl/>
              </w:rPr>
              <w:t xml:space="preserve">על </w:t>
            </w:r>
            <w:r w:rsidRPr="00383DB5">
              <w:rPr>
                <w:rFonts w:ascii="Tahoma" w:hAnsi="Tahoma" w:cs="Tahoma"/>
                <w:sz w:val="19"/>
                <w:szCs w:val="19"/>
                <w:rtl/>
              </w:rPr>
              <w:t>התאגידים,</w:t>
            </w:r>
            <w:r w:rsidRPr="00383DB5" w:rsidR="002B1B97">
              <w:rPr>
                <w:rFonts w:ascii="Tahoma" w:hAnsi="Tahoma" w:cs="Tahoma" w:hint="cs"/>
                <w:sz w:val="19"/>
                <w:szCs w:val="19"/>
                <w:rtl/>
              </w:rPr>
              <w:t xml:space="preserve"> ובייחוד</w:t>
            </w:r>
            <w:r w:rsidRPr="00383DB5">
              <w:rPr>
                <w:rFonts w:ascii="Tahoma" w:hAnsi="Tahoma" w:cs="Tahoma"/>
                <w:sz w:val="19"/>
                <w:szCs w:val="19"/>
                <w:rtl/>
              </w:rPr>
              <w:t xml:space="preserve"> התאגידים הזכאים, </w:t>
            </w:r>
            <w:r w:rsidRPr="00383DB5" w:rsidR="001A6114">
              <w:rPr>
                <w:rFonts w:ascii="Tahoma" w:hAnsi="Tahoma" w:cs="Tahoma" w:hint="cs"/>
                <w:sz w:val="19"/>
                <w:szCs w:val="19"/>
                <w:rtl/>
              </w:rPr>
              <w:t>לעקוב אחר יתרת החובות בכלל התאגידים ו</w:t>
            </w:r>
            <w:r w:rsidRPr="00383DB5">
              <w:rPr>
                <w:rFonts w:ascii="Tahoma" w:hAnsi="Tahoma" w:cs="Tahoma"/>
                <w:sz w:val="19"/>
                <w:szCs w:val="19"/>
                <w:rtl/>
              </w:rPr>
              <w:t>לבחון דרכים נוספות לשיפור שיעור הגב</w:t>
            </w:r>
            <w:r w:rsidRPr="00383DB5" w:rsidR="002B1B97">
              <w:rPr>
                <w:rFonts w:ascii="Tahoma" w:hAnsi="Tahoma" w:cs="Tahoma" w:hint="cs"/>
                <w:sz w:val="19"/>
                <w:szCs w:val="19"/>
                <w:rtl/>
              </w:rPr>
              <w:t>י</w:t>
            </w:r>
            <w:r w:rsidRPr="00383DB5">
              <w:rPr>
                <w:rFonts w:ascii="Tahoma" w:hAnsi="Tahoma" w:cs="Tahoma"/>
                <w:sz w:val="19"/>
                <w:szCs w:val="19"/>
                <w:rtl/>
              </w:rPr>
              <w:t xml:space="preserve">יה, לרבות בחינה </w:t>
            </w:r>
            <w:r w:rsidRPr="00383DB5" w:rsidR="001C7256">
              <w:rPr>
                <w:rFonts w:ascii="Tahoma" w:hAnsi="Tahoma" w:cs="Tahoma" w:hint="cs"/>
                <w:sz w:val="19"/>
                <w:szCs w:val="19"/>
                <w:rtl/>
              </w:rPr>
              <w:t xml:space="preserve">של מנגנוני עידוד </w:t>
            </w:r>
            <w:r w:rsidRPr="00383DB5">
              <w:rPr>
                <w:rFonts w:ascii="Tahoma" w:hAnsi="Tahoma" w:cs="Tahoma" w:hint="cs"/>
                <w:sz w:val="19"/>
                <w:szCs w:val="19"/>
                <w:rtl/>
              </w:rPr>
              <w:t>ומיפוי</w:t>
            </w:r>
            <w:r w:rsidRPr="00383DB5" w:rsidR="002B1B97">
              <w:rPr>
                <w:rFonts w:ascii="Tahoma" w:hAnsi="Tahoma" w:cs="Tahoma" w:hint="cs"/>
                <w:sz w:val="19"/>
                <w:szCs w:val="19"/>
                <w:rtl/>
              </w:rPr>
              <w:t xml:space="preserve"> של</w:t>
            </w:r>
            <w:r w:rsidRPr="00383DB5">
              <w:rPr>
                <w:rFonts w:ascii="Tahoma" w:hAnsi="Tahoma" w:cs="Tahoma"/>
                <w:sz w:val="19"/>
                <w:szCs w:val="19"/>
                <w:rtl/>
              </w:rPr>
              <w:t xml:space="preserve"> גורמים נוספים מחוץ למשק המים שנדרש שיתוף פעולה עימם בתחומים שונים, כדי להביא ל</w:t>
            </w:r>
            <w:r w:rsidRPr="00383DB5" w:rsidR="001C7256">
              <w:rPr>
                <w:rFonts w:ascii="Tahoma" w:hAnsi="Tahoma" w:cs="Tahoma" w:hint="cs"/>
                <w:sz w:val="19"/>
                <w:szCs w:val="19"/>
                <w:rtl/>
              </w:rPr>
              <w:t>שיפור משמעותי ועמידה בפחת הגביה הנורמטיבי.</w:t>
            </w:r>
          </w:p>
          <w:p w:rsidR="005757F9" w:rsidRPr="00383DB5" w:rsidP="00683B49" w14:paraId="052B21EE" w14:textId="77777777">
            <w:pPr>
              <w:pStyle w:val="ListParagraph"/>
              <w:numPr>
                <w:ilvl w:val="0"/>
                <w:numId w:val="16"/>
              </w:numPr>
              <w:spacing w:after="240"/>
              <w:ind w:left="549" w:right="311" w:hanging="549"/>
              <w:contextualSpacing w:val="0"/>
              <w:rPr>
                <w:rFonts w:ascii="Tahoma" w:hAnsi="Tahoma" w:cs="Tahoma"/>
                <w:sz w:val="19"/>
                <w:szCs w:val="19"/>
              </w:rPr>
            </w:pPr>
            <w:r w:rsidRPr="00383DB5">
              <w:rPr>
                <w:rFonts w:ascii="Tahoma" w:hAnsi="Tahoma" w:cs="Tahoma" w:hint="cs"/>
                <w:sz w:val="19"/>
                <w:szCs w:val="19"/>
                <w:rtl/>
              </w:rPr>
              <w:t>מומלץ כי רשות המים תתמקד בתאגידים החורגים מנורמת פחת המים ותפעל לכך שהם יגבשו תוכנית לעמידה בנורמה כנדרש</w:t>
            </w:r>
            <w:r w:rsidRPr="00383DB5" w:rsidR="0080607E">
              <w:rPr>
                <w:rFonts w:ascii="Tahoma" w:hAnsi="Tahoma" w:cs="Tahoma" w:hint="cs"/>
                <w:sz w:val="19"/>
                <w:szCs w:val="19"/>
                <w:rtl/>
              </w:rPr>
              <w:t xml:space="preserve"> וכן תפעל לפיתוח מנגנונים לעידוד תאגידים להתייעלות ולהשאת רווח</w:t>
            </w:r>
            <w:r w:rsidRPr="00383DB5">
              <w:rPr>
                <w:rFonts w:ascii="Tahoma" w:hAnsi="Tahoma" w:cs="Tahoma" w:hint="cs"/>
                <w:sz w:val="19"/>
                <w:szCs w:val="19"/>
                <w:rtl/>
              </w:rPr>
              <w:t xml:space="preserve">. </w:t>
            </w:r>
            <w:r w:rsidRPr="00383DB5" w:rsidR="0080607E">
              <w:rPr>
                <w:rFonts w:ascii="Tahoma" w:hAnsi="Tahoma" w:cs="Tahoma" w:hint="cs"/>
                <w:sz w:val="19"/>
                <w:szCs w:val="19"/>
                <w:rtl/>
              </w:rPr>
              <w:t>כמו כן</w:t>
            </w:r>
            <w:r w:rsidRPr="00383DB5" w:rsidR="006553A3">
              <w:rPr>
                <w:rFonts w:ascii="Tahoma" w:hAnsi="Tahoma" w:cs="Tahoma" w:hint="cs"/>
                <w:sz w:val="19"/>
                <w:szCs w:val="19"/>
                <w:rtl/>
              </w:rPr>
              <w:t>,</w:t>
            </w:r>
            <w:r w:rsidRPr="00383DB5" w:rsidR="0080607E">
              <w:rPr>
                <w:rFonts w:ascii="Tahoma" w:hAnsi="Tahoma" w:cs="Tahoma" w:hint="cs"/>
                <w:sz w:val="19"/>
                <w:szCs w:val="19"/>
                <w:rtl/>
              </w:rPr>
              <w:t xml:space="preserve"> מומלץ כי רשות המים תבחן את תוכניות ההשקעה של התאגידים בהלימה לגידול הצפוי באוכלוס</w:t>
            </w:r>
            <w:r w:rsidRPr="00383DB5" w:rsidR="006553A3">
              <w:rPr>
                <w:rFonts w:ascii="Tahoma" w:hAnsi="Tahoma" w:cs="Tahoma" w:hint="cs"/>
                <w:sz w:val="19"/>
                <w:szCs w:val="19"/>
                <w:rtl/>
              </w:rPr>
              <w:t>י</w:t>
            </w:r>
            <w:r w:rsidRPr="00383DB5" w:rsidR="0080607E">
              <w:rPr>
                <w:rFonts w:ascii="Tahoma" w:hAnsi="Tahoma" w:cs="Tahoma" w:hint="cs"/>
                <w:sz w:val="19"/>
                <w:szCs w:val="19"/>
                <w:rtl/>
              </w:rPr>
              <w:t>יה.</w:t>
            </w:r>
          </w:p>
          <w:p w:rsidR="00183192" w:rsidP="00683B49" w14:paraId="62C16DE4" w14:textId="77777777">
            <w:pPr>
              <w:pStyle w:val="ListParagraph"/>
              <w:numPr>
                <w:ilvl w:val="0"/>
                <w:numId w:val="16"/>
              </w:numPr>
              <w:ind w:left="549" w:right="311" w:hanging="549"/>
              <w:rPr>
                <w:rFonts w:ascii="Tahoma" w:hAnsi="Tahoma" w:cs="Tahoma"/>
                <w:sz w:val="19"/>
                <w:szCs w:val="19"/>
              </w:rPr>
            </w:pPr>
            <w:r w:rsidRPr="0013141E">
              <w:rPr>
                <w:rFonts w:ascii="Tahoma" w:hAnsi="Tahoma" w:cs="Tahoma" w:hint="cs"/>
                <w:sz w:val="19"/>
                <w:szCs w:val="19"/>
                <w:rtl/>
              </w:rPr>
              <w:t>על</w:t>
            </w:r>
            <w:r w:rsidRPr="0013141E">
              <w:rPr>
                <w:rFonts w:ascii="Tahoma" w:hAnsi="Tahoma" w:cs="Tahoma"/>
                <w:sz w:val="19"/>
                <w:szCs w:val="19"/>
                <w:rtl/>
              </w:rPr>
              <w:t xml:space="preserve"> הממונה על התאגידים </w:t>
            </w:r>
            <w:r w:rsidRPr="0013141E">
              <w:rPr>
                <w:rFonts w:ascii="Tahoma" w:hAnsi="Tahoma" w:cs="Tahoma" w:hint="cs"/>
                <w:sz w:val="19"/>
                <w:szCs w:val="19"/>
                <w:rtl/>
              </w:rPr>
              <w:t xml:space="preserve">לפעול </w:t>
            </w:r>
            <w:r w:rsidRPr="0013141E">
              <w:rPr>
                <w:rFonts w:ascii="Tahoma" w:hAnsi="Tahoma" w:cs="Tahoma"/>
                <w:sz w:val="19"/>
                <w:szCs w:val="19"/>
                <w:rtl/>
              </w:rPr>
              <w:t xml:space="preserve">לאסדרת הבקרה הפנימית בתאגידי המים והביוב, </w:t>
            </w:r>
            <w:r w:rsidRPr="0013141E" w:rsidR="001D78A2">
              <w:rPr>
                <w:rFonts w:ascii="Tahoma" w:hAnsi="Tahoma" w:cs="Tahoma" w:hint="cs"/>
                <w:sz w:val="19"/>
                <w:szCs w:val="19"/>
                <w:rtl/>
              </w:rPr>
              <w:t>ו</w:t>
            </w:r>
            <w:r w:rsidR="00F12059">
              <w:rPr>
                <w:rFonts w:ascii="Tahoma" w:hAnsi="Tahoma" w:cs="Tahoma" w:hint="cs"/>
                <w:sz w:val="19"/>
                <w:szCs w:val="19"/>
                <w:rtl/>
              </w:rPr>
              <w:t>ל</w:t>
            </w:r>
            <w:r>
              <w:rPr>
                <w:rFonts w:ascii="Tahoma" w:hAnsi="Tahoma" w:cs="Tahoma" w:hint="cs"/>
                <w:sz w:val="19"/>
                <w:szCs w:val="19"/>
                <w:rtl/>
              </w:rPr>
              <w:t xml:space="preserve">שקול </w:t>
            </w:r>
            <w:r w:rsidRPr="0013141E" w:rsidR="001D78A2">
              <w:rPr>
                <w:rFonts w:ascii="Tahoma" w:hAnsi="Tahoma" w:cs="Tahoma" w:hint="cs"/>
                <w:sz w:val="19"/>
                <w:szCs w:val="19"/>
                <w:rtl/>
              </w:rPr>
              <w:t xml:space="preserve">להעלות </w:t>
            </w:r>
            <w:r w:rsidRPr="0013141E">
              <w:rPr>
                <w:rFonts w:ascii="Tahoma" w:hAnsi="Tahoma" w:cs="Tahoma"/>
                <w:sz w:val="19"/>
                <w:szCs w:val="19"/>
                <w:rtl/>
              </w:rPr>
              <w:t xml:space="preserve">את הנושא לדיון במועצת רשות המים, שבסמכותה לקבוע כללים </w:t>
            </w:r>
            <w:r w:rsidR="00F12059">
              <w:rPr>
                <w:rFonts w:ascii="Tahoma" w:hAnsi="Tahoma" w:cs="Tahoma" w:hint="cs"/>
                <w:sz w:val="19"/>
                <w:szCs w:val="19"/>
                <w:rtl/>
              </w:rPr>
              <w:t>שיחולו</w:t>
            </w:r>
            <w:r w:rsidRPr="0013141E" w:rsidR="00F12059">
              <w:rPr>
                <w:rFonts w:ascii="Tahoma" w:hAnsi="Tahoma" w:cs="Tahoma"/>
                <w:sz w:val="19"/>
                <w:szCs w:val="19"/>
                <w:rtl/>
              </w:rPr>
              <w:t xml:space="preserve"> </w:t>
            </w:r>
            <w:r w:rsidRPr="0013141E">
              <w:rPr>
                <w:rFonts w:ascii="Tahoma" w:hAnsi="Tahoma" w:cs="Tahoma"/>
                <w:sz w:val="19"/>
                <w:szCs w:val="19"/>
                <w:rtl/>
              </w:rPr>
              <w:t xml:space="preserve">על כלל התאגידים. </w:t>
            </w:r>
          </w:p>
          <w:p w:rsidR="00383DB5" w:rsidRPr="00383DB5" w:rsidP="00683B49" w14:paraId="31A1BA24" w14:textId="77777777">
            <w:pPr>
              <w:ind w:left="549" w:right="311" w:hanging="549"/>
              <w:rPr>
                <w:rFonts w:ascii="Tahoma" w:hAnsi="Tahoma" w:cs="Tahoma"/>
                <w:sz w:val="19"/>
                <w:szCs w:val="19"/>
              </w:rPr>
            </w:pPr>
          </w:p>
          <w:p w:rsidR="00183192" w:rsidP="00683B49" w14:paraId="246EC9A7" w14:textId="77777777">
            <w:pPr>
              <w:pStyle w:val="ListParagraph"/>
              <w:numPr>
                <w:ilvl w:val="0"/>
                <w:numId w:val="16"/>
              </w:numPr>
              <w:ind w:left="549" w:right="311" w:hanging="549"/>
              <w:rPr>
                <w:rFonts w:ascii="Tahoma" w:hAnsi="Tahoma" w:cs="Tahoma"/>
                <w:sz w:val="19"/>
                <w:szCs w:val="19"/>
              </w:rPr>
            </w:pPr>
            <w:r w:rsidRPr="0013141E">
              <w:rPr>
                <w:rFonts w:ascii="Tahoma" w:hAnsi="Tahoma" w:cs="Tahoma" w:hint="eastAsia"/>
                <w:sz w:val="19"/>
                <w:szCs w:val="19"/>
                <w:rtl/>
              </w:rPr>
              <w:t>מומלץ</w:t>
            </w:r>
            <w:r w:rsidRPr="0013141E">
              <w:rPr>
                <w:rFonts w:ascii="Tahoma" w:hAnsi="Tahoma" w:cs="Tahoma"/>
                <w:sz w:val="19"/>
                <w:szCs w:val="19"/>
                <w:rtl/>
              </w:rPr>
              <w:t xml:space="preserve"> כי רשות המים תשקול </w:t>
            </w:r>
            <w:r w:rsidRPr="0013141E" w:rsidR="002A3E49">
              <w:rPr>
                <w:rFonts w:ascii="Tahoma" w:hAnsi="Tahoma" w:cs="Tahoma"/>
                <w:sz w:val="19"/>
                <w:szCs w:val="19"/>
                <w:rtl/>
              </w:rPr>
              <w:t>ל</w:t>
            </w:r>
            <w:r w:rsidR="002A3E49">
              <w:rPr>
                <w:rFonts w:ascii="Tahoma" w:hAnsi="Tahoma" w:cs="Tahoma" w:hint="cs"/>
                <w:sz w:val="19"/>
                <w:szCs w:val="19"/>
                <w:rtl/>
              </w:rPr>
              <w:t>העלות</w:t>
            </w:r>
            <w:r w:rsidRPr="0013141E" w:rsidR="002A3E49">
              <w:rPr>
                <w:rFonts w:ascii="Tahoma" w:hAnsi="Tahoma" w:cs="Tahoma"/>
                <w:sz w:val="19"/>
                <w:szCs w:val="19"/>
                <w:rtl/>
              </w:rPr>
              <w:t xml:space="preserve"> </w:t>
            </w:r>
            <w:r>
              <w:rPr>
                <w:rFonts w:ascii="Tahoma" w:hAnsi="Tahoma" w:cs="Tahoma" w:hint="cs"/>
                <w:sz w:val="19"/>
                <w:szCs w:val="19"/>
                <w:rtl/>
              </w:rPr>
              <w:t>ל</w:t>
            </w:r>
            <w:r w:rsidRPr="0013141E">
              <w:rPr>
                <w:rFonts w:ascii="Tahoma" w:hAnsi="Tahoma" w:cs="Tahoma"/>
                <w:sz w:val="19"/>
                <w:szCs w:val="19"/>
                <w:rtl/>
              </w:rPr>
              <w:t xml:space="preserve">פני מועצת הרשות הצעה לתיקון כללי אמות המידה לשירות, באופן שבו תהיה בהם אסדרה מפורטת </w:t>
            </w:r>
            <w:r w:rsidR="00982FB0">
              <w:rPr>
                <w:rFonts w:ascii="Tahoma" w:hAnsi="Tahoma" w:cs="Tahoma" w:hint="cs"/>
                <w:sz w:val="19"/>
                <w:szCs w:val="19"/>
                <w:rtl/>
              </w:rPr>
              <w:t>הנוגעת לפרסום פניות הצרכנים לתאגידים</w:t>
            </w:r>
            <w:r w:rsidR="00E0320A">
              <w:rPr>
                <w:rFonts w:ascii="Tahoma" w:hAnsi="Tahoma" w:cs="Tahoma" w:hint="cs"/>
                <w:sz w:val="19"/>
                <w:szCs w:val="19"/>
                <w:rtl/>
              </w:rPr>
              <w:t xml:space="preserve"> </w:t>
            </w:r>
            <w:r w:rsidRPr="0013141E">
              <w:rPr>
                <w:rFonts w:ascii="Tahoma" w:hAnsi="Tahoma" w:cs="Tahoma"/>
                <w:sz w:val="19"/>
                <w:szCs w:val="19"/>
                <w:rtl/>
              </w:rPr>
              <w:t xml:space="preserve">על מנת ליצור אחידות בדיווח. בין היתר, ראוי שהיא תשקול גם להוסיף על כללים אלה חובת דיווח של התאגידים לצרכניהם על נתוני צריכה מוגברת ועל משך זמן הטיפול בפניות הציבור, </w:t>
            </w:r>
            <w:r w:rsidR="00E0320A">
              <w:rPr>
                <w:rFonts w:ascii="Tahoma" w:hAnsi="Tahoma" w:cs="Tahoma" w:hint="cs"/>
                <w:sz w:val="19"/>
                <w:szCs w:val="19"/>
                <w:rtl/>
              </w:rPr>
              <w:t>ו</w:t>
            </w:r>
            <w:r w:rsidRPr="0013141E">
              <w:rPr>
                <w:rFonts w:ascii="Tahoma" w:hAnsi="Tahoma" w:cs="Tahoma"/>
                <w:sz w:val="19"/>
                <w:szCs w:val="19"/>
                <w:rtl/>
              </w:rPr>
              <w:t>זאת כדי לשקף בפני הצרכנים את המידע הנוגע להם.</w:t>
            </w:r>
          </w:p>
          <w:p w:rsidR="00383DB5" w:rsidRPr="00383DB5" w:rsidP="00683B49" w14:paraId="493AC596" w14:textId="77777777">
            <w:pPr>
              <w:pStyle w:val="ListParagraph"/>
              <w:ind w:left="549" w:right="311" w:hanging="549"/>
              <w:rPr>
                <w:rFonts w:ascii="Tahoma" w:hAnsi="Tahoma" w:cs="Tahoma"/>
                <w:sz w:val="19"/>
                <w:szCs w:val="19"/>
                <w:rtl/>
              </w:rPr>
            </w:pPr>
          </w:p>
          <w:p w:rsidR="002945C1" w:rsidRPr="0013141E" w:rsidP="00683B49" w14:paraId="6EBAF4FD" w14:textId="77777777">
            <w:pPr>
              <w:pStyle w:val="ListParagraph"/>
              <w:numPr>
                <w:ilvl w:val="0"/>
                <w:numId w:val="16"/>
              </w:numPr>
              <w:spacing w:after="240"/>
              <w:ind w:left="549" w:right="311" w:hanging="549"/>
              <w:contextualSpacing w:val="0"/>
              <w:rPr>
                <w:rFonts w:ascii="Tahoma" w:hAnsi="Tahoma" w:cs="Tahoma"/>
                <w:sz w:val="19"/>
                <w:szCs w:val="19"/>
              </w:rPr>
            </w:pPr>
            <w:r w:rsidRPr="0013141E">
              <w:rPr>
                <w:rFonts w:ascii="Tahoma" w:hAnsi="Tahoma" w:cs="Tahoma"/>
                <w:sz w:val="19"/>
                <w:szCs w:val="19"/>
                <w:rtl/>
              </w:rPr>
              <w:t xml:space="preserve">נוכח שיעור הניצול הנמוך של ההטבה לזכאים ונוכח הנחיית ועדת הכספים, מן הראוי </w:t>
            </w:r>
            <w:r w:rsidRPr="0013141E" w:rsidR="00B70CFE">
              <w:rPr>
                <w:rFonts w:ascii="Tahoma" w:hAnsi="Tahoma" w:cs="Tahoma" w:hint="cs"/>
                <w:sz w:val="19"/>
                <w:szCs w:val="19"/>
                <w:rtl/>
              </w:rPr>
              <w:t>ש</w:t>
            </w:r>
            <w:r w:rsidRPr="0013141E">
              <w:rPr>
                <w:rFonts w:ascii="Tahoma" w:hAnsi="Tahoma" w:cs="Tahoma"/>
                <w:sz w:val="19"/>
                <w:szCs w:val="19"/>
                <w:rtl/>
              </w:rPr>
              <w:t xml:space="preserve">משרד האוצר </w:t>
            </w:r>
            <w:r w:rsidRPr="0013141E">
              <w:rPr>
                <w:rFonts w:ascii="Tahoma" w:hAnsi="Tahoma" w:cs="Tahoma" w:hint="cs"/>
                <w:sz w:val="19"/>
                <w:szCs w:val="19"/>
                <w:rtl/>
              </w:rPr>
              <w:t>ה</w:t>
            </w:r>
            <w:r w:rsidRPr="0013141E">
              <w:rPr>
                <w:rFonts w:ascii="Tahoma" w:hAnsi="Tahoma" w:cs="Tahoma"/>
                <w:sz w:val="19"/>
                <w:szCs w:val="19"/>
                <w:rtl/>
              </w:rPr>
              <w:t xml:space="preserve">אמון על הכנת התיקון לתקנות, ורשות המים כגוף המאסדר והמפקח במשק המים, יפעלו לשינוי מנגנון </w:t>
            </w:r>
            <w:r w:rsidRPr="0013141E" w:rsidR="00B70CFE">
              <w:rPr>
                <w:rFonts w:ascii="Tahoma" w:hAnsi="Tahoma" w:cs="Tahoma" w:hint="cs"/>
                <w:sz w:val="19"/>
                <w:szCs w:val="19"/>
                <w:rtl/>
              </w:rPr>
              <w:t>הסיוע</w:t>
            </w:r>
            <w:r w:rsidRPr="0013141E">
              <w:rPr>
                <w:rFonts w:ascii="Tahoma" w:hAnsi="Tahoma" w:cs="Tahoma"/>
                <w:sz w:val="19"/>
                <w:szCs w:val="19"/>
                <w:rtl/>
              </w:rPr>
              <w:t xml:space="preserve"> לאוכלוסיות זכאיות באופן </w:t>
            </w:r>
            <w:r w:rsidRPr="0013141E" w:rsidR="00B70CFE">
              <w:rPr>
                <w:rFonts w:ascii="Tahoma" w:hAnsi="Tahoma" w:cs="Tahoma" w:hint="cs"/>
                <w:sz w:val="19"/>
                <w:szCs w:val="19"/>
                <w:rtl/>
              </w:rPr>
              <w:t>ש</w:t>
            </w:r>
            <w:r w:rsidRPr="0013141E">
              <w:rPr>
                <w:rFonts w:ascii="Tahoma" w:hAnsi="Tahoma" w:cs="Tahoma"/>
                <w:sz w:val="19"/>
                <w:szCs w:val="19"/>
                <w:rtl/>
              </w:rPr>
              <w:t>יאפשר ניצול מיטבי של ההטבה</w:t>
            </w:r>
            <w:r w:rsidRPr="0013141E">
              <w:rPr>
                <w:rFonts w:ascii="Tahoma" w:hAnsi="Tahoma" w:cs="Tahoma" w:hint="cs"/>
                <w:sz w:val="19"/>
                <w:szCs w:val="19"/>
                <w:rtl/>
              </w:rPr>
              <w:t xml:space="preserve"> על</w:t>
            </w:r>
            <w:r w:rsidRPr="0013141E" w:rsidR="00B70CFE">
              <w:rPr>
                <w:rFonts w:ascii="Tahoma" w:hAnsi="Tahoma" w:cs="Tahoma" w:hint="cs"/>
                <w:sz w:val="19"/>
                <w:szCs w:val="19"/>
                <w:rtl/>
              </w:rPr>
              <w:t xml:space="preserve"> יד</w:t>
            </w:r>
            <w:r w:rsidRPr="0013141E" w:rsidR="002A6441">
              <w:rPr>
                <w:rFonts w:ascii="Tahoma" w:hAnsi="Tahoma" w:cs="Tahoma" w:hint="cs"/>
                <w:sz w:val="19"/>
                <w:szCs w:val="19"/>
                <w:rtl/>
              </w:rPr>
              <w:t>י</w:t>
            </w:r>
            <w:r w:rsidRPr="0013141E" w:rsidR="00B70CFE">
              <w:rPr>
                <w:rFonts w:ascii="Tahoma" w:hAnsi="Tahoma" w:cs="Tahoma" w:hint="cs"/>
                <w:sz w:val="19"/>
                <w:szCs w:val="19"/>
                <w:rtl/>
              </w:rPr>
              <w:t xml:space="preserve"> הזכאים לה.</w:t>
            </w:r>
          </w:p>
          <w:p w:rsidR="002945C1" w:rsidRPr="0013141E" w:rsidP="00683B49" w14:paraId="15558486" w14:textId="77777777">
            <w:pPr>
              <w:pStyle w:val="ListParagraph"/>
              <w:numPr>
                <w:ilvl w:val="0"/>
                <w:numId w:val="16"/>
              </w:numPr>
              <w:spacing w:after="240"/>
              <w:ind w:left="549" w:right="311" w:hanging="549"/>
              <w:contextualSpacing w:val="0"/>
              <w:rPr>
                <w:rFonts w:ascii="Tahoma" w:hAnsi="Tahoma" w:cs="Tahoma"/>
                <w:sz w:val="19"/>
                <w:szCs w:val="19"/>
                <w:rtl/>
              </w:rPr>
            </w:pPr>
            <w:r w:rsidRPr="0013141E">
              <w:rPr>
                <w:rFonts w:ascii="Tahoma" w:hAnsi="Tahoma" w:cs="Tahoma" w:hint="cs"/>
                <w:sz w:val="19"/>
                <w:szCs w:val="19"/>
                <w:rtl/>
              </w:rPr>
              <w:t>על מנת</w:t>
            </w:r>
            <w:r w:rsidRPr="0013141E">
              <w:rPr>
                <w:rFonts w:ascii="Tahoma" w:hAnsi="Tahoma" w:cs="Tahoma"/>
                <w:sz w:val="19"/>
                <w:szCs w:val="19"/>
                <w:rtl/>
              </w:rPr>
              <w:t xml:space="preserve"> לבצע תיאגוד אזורי כנדרש על פי החוק, על משרד האוצר, </w:t>
            </w:r>
            <w:r w:rsidR="00A43703">
              <w:rPr>
                <w:rFonts w:ascii="Tahoma" w:hAnsi="Tahoma" w:cs="Tahoma" w:hint="cs"/>
                <w:sz w:val="19"/>
                <w:szCs w:val="19"/>
                <w:rtl/>
              </w:rPr>
              <w:t xml:space="preserve">על </w:t>
            </w:r>
            <w:r w:rsidRPr="0013141E">
              <w:rPr>
                <w:rFonts w:ascii="Tahoma" w:hAnsi="Tahoma" w:cs="Tahoma"/>
                <w:sz w:val="19"/>
                <w:szCs w:val="19"/>
                <w:rtl/>
              </w:rPr>
              <w:t xml:space="preserve">רשות המים, </w:t>
            </w:r>
            <w:r w:rsidR="00A43703">
              <w:rPr>
                <w:rFonts w:ascii="Tahoma" w:hAnsi="Tahoma" w:cs="Tahoma" w:hint="cs"/>
                <w:sz w:val="19"/>
                <w:szCs w:val="19"/>
                <w:rtl/>
              </w:rPr>
              <w:t xml:space="preserve">על </w:t>
            </w:r>
            <w:r w:rsidRPr="0013141E">
              <w:rPr>
                <w:rFonts w:ascii="Tahoma" w:hAnsi="Tahoma" w:cs="Tahoma"/>
                <w:sz w:val="19"/>
                <w:szCs w:val="19"/>
                <w:rtl/>
              </w:rPr>
              <w:t>הרשויות המקומיות ו</w:t>
            </w:r>
            <w:r w:rsidR="00A43703">
              <w:rPr>
                <w:rFonts w:ascii="Tahoma" w:hAnsi="Tahoma" w:cs="Tahoma" w:hint="cs"/>
                <w:sz w:val="19"/>
                <w:szCs w:val="19"/>
                <w:rtl/>
              </w:rPr>
              <w:t xml:space="preserve">על </w:t>
            </w:r>
            <w:r w:rsidRPr="0013141E">
              <w:rPr>
                <w:rFonts w:ascii="Tahoma" w:hAnsi="Tahoma" w:cs="Tahoma"/>
                <w:sz w:val="19"/>
                <w:szCs w:val="19"/>
                <w:rtl/>
              </w:rPr>
              <w:t>מ</w:t>
            </w:r>
            <w:r w:rsidRPr="0013141E">
              <w:rPr>
                <w:rFonts w:ascii="Tahoma" w:hAnsi="Tahoma" w:cs="Tahoma" w:hint="cs"/>
                <w:sz w:val="19"/>
                <w:szCs w:val="19"/>
                <w:rtl/>
              </w:rPr>
              <w:t>רכז השלטון המקומי</w:t>
            </w:r>
            <w:r w:rsidRPr="0013141E">
              <w:rPr>
                <w:rFonts w:ascii="Tahoma" w:hAnsi="Tahoma" w:cs="Tahoma"/>
                <w:sz w:val="19"/>
                <w:szCs w:val="19"/>
                <w:rtl/>
              </w:rPr>
              <w:t>, לבחון</w:t>
            </w:r>
            <w:r w:rsidRPr="0013141E">
              <w:rPr>
                <w:rFonts w:ascii="Tahoma" w:hAnsi="Tahoma" w:cs="Tahoma" w:hint="cs"/>
                <w:sz w:val="19"/>
                <w:szCs w:val="19"/>
                <w:rtl/>
              </w:rPr>
              <w:t xml:space="preserve"> את כלל ההיבטים</w:t>
            </w:r>
            <w:r w:rsidRPr="0013141E" w:rsidR="002A6441">
              <w:rPr>
                <w:rFonts w:ascii="Tahoma" w:hAnsi="Tahoma" w:cs="Tahoma" w:hint="cs"/>
                <w:sz w:val="19"/>
                <w:szCs w:val="19"/>
                <w:rtl/>
              </w:rPr>
              <w:t xml:space="preserve"> -</w:t>
            </w:r>
            <w:r w:rsidRPr="0013141E">
              <w:rPr>
                <w:rFonts w:ascii="Tahoma" w:hAnsi="Tahoma" w:cs="Tahoma" w:hint="cs"/>
                <w:sz w:val="19"/>
                <w:szCs w:val="19"/>
                <w:rtl/>
              </w:rPr>
              <w:t xml:space="preserve"> </w:t>
            </w:r>
            <w:r w:rsidRPr="0013141E" w:rsidR="002A6441">
              <w:rPr>
                <w:rFonts w:ascii="Tahoma" w:hAnsi="Tahoma" w:cs="Tahoma" w:hint="cs"/>
                <w:sz w:val="19"/>
                <w:szCs w:val="19"/>
                <w:rtl/>
              </w:rPr>
              <w:t>היבטי משילות ו</w:t>
            </w:r>
            <w:r w:rsidRPr="0013141E">
              <w:rPr>
                <w:rFonts w:ascii="Tahoma" w:hAnsi="Tahoma" w:cs="Tahoma" w:hint="cs"/>
                <w:sz w:val="19"/>
                <w:szCs w:val="19"/>
                <w:rtl/>
              </w:rPr>
              <w:t xml:space="preserve">היבטים פיננסיים, תרבותיים </w:t>
            </w:r>
            <w:r w:rsidRPr="0013141E" w:rsidR="002A6441">
              <w:rPr>
                <w:rFonts w:ascii="Tahoma" w:hAnsi="Tahoma" w:cs="Tahoma" w:hint="cs"/>
                <w:sz w:val="19"/>
                <w:szCs w:val="19"/>
                <w:rtl/>
              </w:rPr>
              <w:t>ו</w:t>
            </w:r>
            <w:r w:rsidRPr="0013141E">
              <w:rPr>
                <w:rFonts w:ascii="Tahoma" w:hAnsi="Tahoma" w:cs="Tahoma" w:hint="cs"/>
                <w:sz w:val="19"/>
                <w:szCs w:val="19"/>
                <w:rtl/>
              </w:rPr>
              <w:t>טופוגרפיים</w:t>
            </w:r>
            <w:r w:rsidRPr="0013141E" w:rsidR="002A6441">
              <w:rPr>
                <w:rFonts w:ascii="Tahoma" w:hAnsi="Tahoma" w:cs="Tahoma" w:hint="cs"/>
                <w:sz w:val="19"/>
                <w:szCs w:val="19"/>
                <w:rtl/>
              </w:rPr>
              <w:t xml:space="preserve"> -</w:t>
            </w:r>
            <w:r w:rsidRPr="0013141E">
              <w:rPr>
                <w:rFonts w:ascii="Tahoma" w:hAnsi="Tahoma" w:cs="Tahoma" w:hint="cs"/>
                <w:sz w:val="19"/>
                <w:szCs w:val="19"/>
                <w:rtl/>
              </w:rPr>
              <w:t xml:space="preserve"> </w:t>
            </w:r>
            <w:r w:rsidRPr="0013141E" w:rsidR="002A6441">
              <w:rPr>
                <w:rFonts w:ascii="Tahoma" w:hAnsi="Tahoma" w:cs="Tahoma" w:hint="cs"/>
                <w:sz w:val="19"/>
                <w:szCs w:val="19"/>
                <w:rtl/>
              </w:rPr>
              <w:t xml:space="preserve">ולבדוק </w:t>
            </w:r>
            <w:r w:rsidRPr="0013141E">
              <w:rPr>
                <w:rFonts w:ascii="Tahoma" w:hAnsi="Tahoma" w:cs="Tahoma"/>
                <w:sz w:val="19"/>
                <w:szCs w:val="19"/>
                <w:rtl/>
              </w:rPr>
              <w:t>כיצד ניתן להתגבר על בעיית מצב התשתיות, פחת המים ופחת הגבי</w:t>
            </w:r>
            <w:r w:rsidRPr="0013141E" w:rsidR="002A6441">
              <w:rPr>
                <w:rFonts w:ascii="Tahoma" w:hAnsi="Tahoma" w:cs="Tahoma" w:hint="cs"/>
                <w:sz w:val="19"/>
                <w:szCs w:val="19"/>
                <w:rtl/>
              </w:rPr>
              <w:t>י</w:t>
            </w:r>
            <w:r w:rsidRPr="0013141E">
              <w:rPr>
                <w:rFonts w:ascii="Tahoma" w:hAnsi="Tahoma" w:cs="Tahoma"/>
                <w:sz w:val="19"/>
                <w:szCs w:val="19"/>
                <w:rtl/>
              </w:rPr>
              <w:t xml:space="preserve">ה </w:t>
            </w:r>
            <w:r w:rsidRPr="0013141E" w:rsidR="002A6441">
              <w:rPr>
                <w:rFonts w:ascii="Tahoma" w:hAnsi="Tahoma" w:cs="Tahoma" w:hint="cs"/>
                <w:sz w:val="19"/>
                <w:szCs w:val="19"/>
                <w:rtl/>
              </w:rPr>
              <w:t>ב</w:t>
            </w:r>
            <w:r w:rsidRPr="0013141E">
              <w:rPr>
                <w:rFonts w:ascii="Tahoma" w:hAnsi="Tahoma" w:cs="Tahoma"/>
                <w:sz w:val="19"/>
                <w:szCs w:val="19"/>
                <w:rtl/>
              </w:rPr>
              <w:t xml:space="preserve">רשויות </w:t>
            </w:r>
            <w:r w:rsidRPr="0013141E" w:rsidR="000D0EDB">
              <w:rPr>
                <w:rFonts w:ascii="Tahoma" w:hAnsi="Tahoma" w:cs="Tahoma" w:hint="cs"/>
                <w:sz w:val="19"/>
                <w:szCs w:val="19"/>
                <w:rtl/>
              </w:rPr>
              <w:t xml:space="preserve">בדירוג </w:t>
            </w:r>
            <w:r w:rsidR="00A43703">
              <w:rPr>
                <w:rFonts w:ascii="Tahoma" w:hAnsi="Tahoma" w:cs="Tahoma" w:hint="cs"/>
                <w:sz w:val="19"/>
                <w:szCs w:val="19"/>
                <w:rtl/>
              </w:rPr>
              <w:t>חברתי-כלכלי</w:t>
            </w:r>
            <w:r w:rsidRPr="0013141E" w:rsidR="000D0EDB">
              <w:rPr>
                <w:rFonts w:ascii="Tahoma" w:hAnsi="Tahoma" w:cs="Tahoma" w:hint="cs"/>
                <w:sz w:val="19"/>
                <w:szCs w:val="19"/>
                <w:rtl/>
              </w:rPr>
              <w:t xml:space="preserve"> נמוך</w:t>
            </w:r>
            <w:r w:rsidRPr="0013141E">
              <w:rPr>
                <w:rFonts w:ascii="Tahoma" w:hAnsi="Tahoma" w:cs="Tahoma"/>
                <w:sz w:val="19"/>
                <w:szCs w:val="19"/>
                <w:rtl/>
              </w:rPr>
              <w:t>. מפת התיאגוד האזורי ש</w:t>
            </w:r>
            <w:r w:rsidRPr="0013141E">
              <w:rPr>
                <w:rFonts w:ascii="Tahoma" w:hAnsi="Tahoma" w:cs="Tahoma" w:hint="cs"/>
                <w:sz w:val="19"/>
                <w:szCs w:val="19"/>
                <w:rtl/>
              </w:rPr>
              <w:t xml:space="preserve">תוצע בהתאמה </w:t>
            </w:r>
            <w:r w:rsidRPr="0013141E" w:rsidR="002A6441">
              <w:rPr>
                <w:rFonts w:ascii="Tahoma" w:hAnsi="Tahoma" w:cs="Tahoma" w:hint="cs"/>
                <w:sz w:val="19"/>
                <w:szCs w:val="19"/>
                <w:rtl/>
              </w:rPr>
              <w:t>ת</w:t>
            </w:r>
            <w:r w:rsidRPr="0013141E">
              <w:rPr>
                <w:rFonts w:ascii="Tahoma" w:hAnsi="Tahoma" w:cs="Tahoma"/>
                <w:sz w:val="19"/>
                <w:szCs w:val="19"/>
                <w:rtl/>
              </w:rPr>
              <w:t>לווה ב</w:t>
            </w:r>
            <w:r w:rsidRPr="0013141E">
              <w:rPr>
                <w:rFonts w:ascii="Tahoma" w:hAnsi="Tahoma" w:cs="Tahoma" w:hint="cs"/>
                <w:sz w:val="19"/>
                <w:szCs w:val="19"/>
                <w:rtl/>
              </w:rPr>
              <w:t>איתור</w:t>
            </w:r>
            <w:r w:rsidRPr="0013141E">
              <w:rPr>
                <w:rFonts w:ascii="Tahoma" w:hAnsi="Tahoma" w:cs="Tahoma"/>
                <w:sz w:val="19"/>
                <w:szCs w:val="19"/>
                <w:rtl/>
              </w:rPr>
              <w:t xml:space="preserve"> פתרו</w:t>
            </w:r>
            <w:r w:rsidRPr="0013141E">
              <w:rPr>
                <w:rFonts w:ascii="Tahoma" w:hAnsi="Tahoma" w:cs="Tahoma" w:hint="cs"/>
                <w:sz w:val="19"/>
                <w:szCs w:val="19"/>
                <w:rtl/>
              </w:rPr>
              <w:t>נות להיבטים אלה</w:t>
            </w:r>
            <w:r w:rsidRPr="0013141E">
              <w:rPr>
                <w:rFonts w:ascii="Tahoma" w:hAnsi="Tahoma" w:cs="Tahoma"/>
                <w:sz w:val="19"/>
                <w:szCs w:val="19"/>
                <w:rtl/>
              </w:rPr>
              <w:t>.</w:t>
            </w:r>
          </w:p>
        </w:tc>
      </w:tr>
    </w:tbl>
    <w:p w:rsidR="00324CBD" w:rsidP="00B059BC" w14:paraId="355D7883" w14:textId="77777777">
      <w:pPr>
        <w:pStyle w:val="a"/>
        <w:rPr>
          <w:rtl/>
        </w:rPr>
      </w:pPr>
    </w:p>
    <w:tbl>
      <w:tblPr>
        <w:tblStyle w:val="TableGrid"/>
        <w:tblpPr w:leftFromText="180" w:rightFromText="180" w:vertAnchor="text" w:tblpXSpec="center" w:tblpY="1"/>
        <w:tblOverlap w:val="never"/>
        <w:bidiVisual/>
        <w:tblW w:w="9636" w:type="dxa"/>
        <w:tblLook w:val="04A0"/>
      </w:tblPr>
      <w:tblGrid>
        <w:gridCol w:w="9636"/>
      </w:tblGrid>
      <w:tr w14:paraId="345BA059" w14:textId="77777777" w:rsidTr="004C392B">
        <w:tblPrEx>
          <w:tblW w:w="9636" w:type="dxa"/>
          <w:tblLook w:val="04A0"/>
        </w:tblPrEx>
        <w:trPr>
          <w:trHeight w:val="192"/>
        </w:trPr>
        <w:tc>
          <w:tcPr>
            <w:tcW w:w="9636" w:type="dxa"/>
            <w:tcBorders>
              <w:top w:val="nil"/>
              <w:left w:val="nil"/>
              <w:bottom w:val="nil"/>
              <w:right w:val="nil"/>
            </w:tcBorders>
          </w:tcPr>
          <w:p w:rsidR="002945C1" w:rsidRPr="006C51DB" w:rsidP="008A2D6B" w14:paraId="5DE4FA1A" w14:textId="77777777">
            <w:pPr>
              <w:rPr>
                <w:rFonts w:ascii="Tahoma" w:hAnsi="Tahoma" w:cs="Tahoma"/>
                <w:sz w:val="10"/>
                <w:szCs w:val="10"/>
                <w:rtl/>
              </w:rPr>
            </w:pPr>
          </w:p>
        </w:tc>
      </w:tr>
      <w:tr w14:paraId="1F290012" w14:textId="77777777" w:rsidTr="00924AD3">
        <w:tblPrEx>
          <w:tblW w:w="9636" w:type="dxa"/>
          <w:tblLook w:val="04A0"/>
        </w:tblPrEx>
        <w:trPr>
          <w:trHeight w:val="6096"/>
        </w:trPr>
        <w:tc>
          <w:tcPr>
            <w:tcW w:w="9636" w:type="dxa"/>
            <w:tcBorders>
              <w:top w:val="nil"/>
              <w:left w:val="nil"/>
              <w:bottom w:val="nil"/>
              <w:right w:val="nil"/>
            </w:tcBorders>
          </w:tcPr>
          <w:p w:rsidR="003917BC" w:rsidRPr="002812C7" w:rsidP="00266085" w14:paraId="3A233533" w14:textId="77777777">
            <w:pPr>
              <w:pStyle w:val="a"/>
              <w:rPr>
                <w:b/>
                <w:bCs/>
                <w:sz w:val="18"/>
                <w:szCs w:val="18"/>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rsidR="002812C7" w:rsidRPr="002812C7" w:rsidP="002812C7" w14:paraId="0986DC45" w14:textId="211B5263">
            <w:pPr>
              <w:rPr>
                <w:rFonts w:ascii="Tahoma" w:hAnsi="Tahoma" w:cs="Tahoma"/>
                <w:b/>
                <w:bCs/>
                <w:color w:val="FFFFFF" w:themeColor="background1"/>
                <w:sz w:val="19"/>
                <w:szCs w:val="19"/>
                <w:rtl/>
              </w:rPr>
            </w:pPr>
            <w:r w:rsidRPr="002812C7">
              <w:rPr>
                <w:rFonts w:ascii="Tahoma" w:hAnsi="Tahoma" w:cs="Tahoma"/>
                <w:b/>
                <w:bCs/>
                <w:color w:val="FFFFFF" w:themeColor="background1"/>
                <w:sz w:val="19"/>
                <w:szCs w:val="19"/>
                <w:rtl/>
              </w:rPr>
              <w:t>חשבונות המים</w:t>
            </w:r>
            <w:r w:rsidRPr="002812C7">
              <w:rPr>
                <w:rFonts w:ascii="Tahoma" w:hAnsi="Tahoma" w:cs="Tahoma" w:hint="cs"/>
                <w:b/>
                <w:bCs/>
                <w:color w:val="FFFFFF" w:themeColor="background1"/>
                <w:sz w:val="19"/>
                <w:szCs w:val="19"/>
                <w:rtl/>
              </w:rPr>
              <w:t xml:space="preserve"> החודשיים</w:t>
            </w:r>
            <w:r w:rsidRPr="002812C7">
              <w:rPr>
                <w:rFonts w:ascii="Tahoma" w:hAnsi="Tahoma" w:cs="Tahoma"/>
                <w:b/>
                <w:bCs/>
                <w:color w:val="FFFFFF" w:themeColor="background1"/>
                <w:sz w:val="19"/>
                <w:szCs w:val="19"/>
                <w:rtl/>
              </w:rPr>
              <w:t xml:space="preserve"> ללא מרכיב הביוב </w:t>
            </w:r>
            <w:r w:rsidRPr="002812C7" w:rsidR="00A55A6D">
              <w:rPr>
                <w:rFonts w:ascii="Tahoma" w:hAnsi="Tahoma" w:cs="Tahoma"/>
                <w:b/>
                <w:bCs/>
                <w:color w:val="FFFFFF" w:themeColor="background1"/>
                <w:sz w:val="19"/>
                <w:szCs w:val="19"/>
                <w:rtl/>
              </w:rPr>
              <w:t xml:space="preserve">לצריכה ביתית </w:t>
            </w:r>
            <w:r w:rsidRPr="002812C7">
              <w:rPr>
                <w:rFonts w:ascii="Tahoma" w:hAnsi="Tahoma" w:cs="Tahoma"/>
                <w:b/>
                <w:bCs/>
                <w:color w:val="FFFFFF" w:themeColor="background1"/>
                <w:sz w:val="19"/>
                <w:szCs w:val="19"/>
                <w:rtl/>
              </w:rPr>
              <w:t xml:space="preserve">בשנים 2000 - 2020 </w:t>
            </w:r>
            <w:r w:rsidRPr="002812C7" w:rsidR="00A55A6D">
              <w:rPr>
                <w:rFonts w:ascii="Tahoma" w:hAnsi="Tahoma" w:cs="Tahoma"/>
                <w:b/>
                <w:bCs/>
                <w:color w:val="FFFFFF" w:themeColor="background1"/>
                <w:sz w:val="19"/>
                <w:szCs w:val="19"/>
                <w:rtl/>
              </w:rPr>
              <w:t>(</w:t>
            </w:r>
            <w:r w:rsidRPr="002812C7">
              <w:rPr>
                <w:rFonts w:ascii="Tahoma" w:hAnsi="Tahoma" w:cs="Tahoma"/>
                <w:b/>
                <w:bCs/>
                <w:color w:val="FFFFFF" w:themeColor="background1"/>
                <w:sz w:val="19"/>
                <w:szCs w:val="19"/>
                <w:rtl/>
              </w:rPr>
              <w:t>במחירים ריאליים</w:t>
            </w:r>
            <w:r w:rsidRPr="002812C7" w:rsidR="00A55A6D">
              <w:rPr>
                <w:rFonts w:ascii="Tahoma" w:hAnsi="Tahoma" w:cs="Tahoma"/>
                <w:b/>
                <w:bCs/>
                <w:color w:val="FFFFFF" w:themeColor="background1"/>
                <w:sz w:val="19"/>
                <w:szCs w:val="19"/>
                <w:rtl/>
              </w:rPr>
              <w:t>)</w:t>
            </w:r>
          </w:p>
          <w:p w:rsidR="002812C7" w:rsidRPr="002812C7" w:rsidP="002812C7" w14:paraId="30345B62" w14:textId="77777777">
            <w:pPr>
              <w:rPr>
                <w:rFonts w:ascii="Tahoma" w:hAnsi="Tahoma" w:cs="Tahoma"/>
                <w:b/>
                <w:bCs/>
                <w:color w:val="FFFFFF" w:themeColor="background1"/>
                <w:sz w:val="18"/>
                <w:szCs w:val="18"/>
                <w:rtl/>
              </w:rPr>
            </w:pPr>
          </w:p>
          <w:p w:rsidR="00982FB0" w:rsidRPr="0030477B" w:rsidP="009F364A" w14:paraId="1073638B" w14:textId="77777777">
            <w:pPr>
              <w:jc w:val="center"/>
              <w:rPr>
                <w:b/>
                <w:bCs/>
                <w:rtl/>
              </w:rPr>
            </w:pPr>
            <w:bookmarkStart w:id="3" w:name="_GoBack"/>
            <w:bookmarkEnd w:id="3"/>
            <w:r>
              <w:rPr>
                <w:b/>
                <w:bCs/>
                <w:noProof/>
                <w:rtl/>
              </w:rPr>
              <w:drawing>
                <wp:inline distT="0" distB="0" distL="0" distR="0">
                  <wp:extent cx="4322073" cy="2414021"/>
                  <wp:effectExtent l="0" t="0" r="2540" b="5715"/>
                  <wp:docPr id="63792870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91291" name="water-corporations-g-6.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414021"/>
                          </a:xfrm>
                          <a:prstGeom prst="rect">
                            <a:avLst/>
                          </a:prstGeom>
                        </pic:spPr>
                      </pic:pic>
                    </a:graphicData>
                  </a:graphic>
                </wp:inline>
              </w:drawing>
            </w:r>
          </w:p>
          <w:p w:rsidR="004C392B" w:rsidP="00AD17A4" w14:paraId="35BE79A7" w14:textId="77777777">
            <w:pPr>
              <w:rPr>
                <w:sz w:val="22"/>
                <w:szCs w:val="22"/>
                <w:rtl/>
              </w:rPr>
            </w:pPr>
          </w:p>
          <w:p w:rsidR="00AD17A4" w:rsidP="00AD17A4" w14:paraId="674DD14F" w14:textId="77777777">
            <w:pPr>
              <w:rPr>
                <w:sz w:val="22"/>
                <w:szCs w:val="22"/>
                <w:rtl/>
              </w:rPr>
            </w:pPr>
            <w:r w:rsidRPr="00FA5CF1">
              <w:rPr>
                <w:rFonts w:hint="eastAsia"/>
                <w:sz w:val="22"/>
                <w:szCs w:val="22"/>
                <w:rtl/>
              </w:rPr>
              <w:t>על</w:t>
            </w:r>
            <w:r w:rsidRPr="00FA5CF1">
              <w:rPr>
                <w:sz w:val="22"/>
                <w:szCs w:val="22"/>
                <w:rtl/>
              </w:rPr>
              <w:t xml:space="preserve"> </w:t>
            </w:r>
            <w:r w:rsidRPr="00FA5CF1">
              <w:rPr>
                <w:rFonts w:hint="eastAsia"/>
                <w:sz w:val="22"/>
                <w:szCs w:val="22"/>
                <w:rtl/>
              </w:rPr>
              <w:t>פי</w:t>
            </w:r>
            <w:r w:rsidRPr="00FA5CF1">
              <w:rPr>
                <w:sz w:val="22"/>
                <w:szCs w:val="22"/>
                <w:rtl/>
              </w:rPr>
              <w:t xml:space="preserve"> </w:t>
            </w:r>
            <w:r w:rsidRPr="00FA5CF1">
              <w:rPr>
                <w:rFonts w:hint="eastAsia"/>
                <w:sz w:val="22"/>
                <w:szCs w:val="22"/>
                <w:rtl/>
              </w:rPr>
              <w:t>נתוני</w:t>
            </w:r>
            <w:r w:rsidRPr="00FA5CF1">
              <w:rPr>
                <w:sz w:val="22"/>
                <w:szCs w:val="22"/>
                <w:rtl/>
              </w:rPr>
              <w:t xml:space="preserve"> </w:t>
            </w:r>
            <w:r w:rsidRPr="00FA5CF1">
              <w:rPr>
                <w:rFonts w:hint="eastAsia"/>
                <w:sz w:val="22"/>
                <w:szCs w:val="22"/>
                <w:rtl/>
              </w:rPr>
              <w:t>רשות</w:t>
            </w:r>
            <w:r w:rsidRPr="00FA5CF1">
              <w:rPr>
                <w:sz w:val="22"/>
                <w:szCs w:val="22"/>
                <w:rtl/>
              </w:rPr>
              <w:t xml:space="preserve"> </w:t>
            </w:r>
            <w:r w:rsidRPr="00FA5CF1">
              <w:rPr>
                <w:rFonts w:hint="eastAsia"/>
                <w:sz w:val="22"/>
                <w:szCs w:val="22"/>
                <w:rtl/>
              </w:rPr>
              <w:t>המים</w:t>
            </w:r>
            <w:r>
              <w:rPr>
                <w:rFonts w:hint="cs"/>
                <w:sz w:val="22"/>
                <w:szCs w:val="22"/>
                <w:rtl/>
              </w:rPr>
              <w:t>,</w:t>
            </w:r>
            <w:r w:rsidRPr="00FA5CF1">
              <w:rPr>
                <w:sz w:val="22"/>
                <w:szCs w:val="22"/>
                <w:rtl/>
              </w:rPr>
              <w:t xml:space="preserve"> </w:t>
            </w:r>
            <w:r w:rsidRPr="00FA5CF1">
              <w:rPr>
                <w:rFonts w:hint="eastAsia"/>
                <w:sz w:val="22"/>
                <w:szCs w:val="22"/>
                <w:rtl/>
              </w:rPr>
              <w:t>בעיבוד</w:t>
            </w:r>
            <w:r w:rsidRPr="00FA5CF1">
              <w:rPr>
                <w:sz w:val="22"/>
                <w:szCs w:val="22"/>
                <w:rtl/>
              </w:rPr>
              <w:t xml:space="preserve"> </w:t>
            </w:r>
            <w:r w:rsidRPr="00FA5CF1">
              <w:rPr>
                <w:rFonts w:hint="eastAsia"/>
                <w:sz w:val="22"/>
                <w:szCs w:val="22"/>
                <w:rtl/>
              </w:rPr>
              <w:t>משרד</w:t>
            </w:r>
            <w:r w:rsidRPr="00FA5CF1">
              <w:rPr>
                <w:sz w:val="22"/>
                <w:szCs w:val="22"/>
                <w:rtl/>
              </w:rPr>
              <w:t xml:space="preserve"> </w:t>
            </w:r>
            <w:r w:rsidRPr="00FA5CF1">
              <w:rPr>
                <w:rFonts w:hint="eastAsia"/>
                <w:sz w:val="22"/>
                <w:szCs w:val="22"/>
                <w:rtl/>
              </w:rPr>
              <w:t>מבקר</w:t>
            </w:r>
            <w:r w:rsidRPr="00FA5CF1">
              <w:rPr>
                <w:sz w:val="22"/>
                <w:szCs w:val="22"/>
                <w:rtl/>
              </w:rPr>
              <w:t xml:space="preserve"> </w:t>
            </w:r>
            <w:r w:rsidRPr="00FA5CF1">
              <w:rPr>
                <w:rFonts w:hint="eastAsia"/>
                <w:sz w:val="22"/>
                <w:szCs w:val="22"/>
                <w:rtl/>
              </w:rPr>
              <w:t>המדינה</w:t>
            </w:r>
            <w:r w:rsidRPr="00FA5CF1">
              <w:rPr>
                <w:sz w:val="22"/>
                <w:szCs w:val="22"/>
                <w:rtl/>
              </w:rPr>
              <w:t>.</w:t>
            </w:r>
          </w:p>
          <w:p w:rsidR="00324CBD" w:rsidRPr="00A63424" w:rsidP="008A2D6B" w14:paraId="2F63B524" w14:textId="77777777">
            <w:pPr>
              <w:rPr>
                <w:rFonts w:ascii="Tahoma" w:hAnsi="Tahoma" w:cs="Tahoma"/>
                <w:sz w:val="19"/>
                <w:szCs w:val="19"/>
              </w:rPr>
            </w:pPr>
          </w:p>
        </w:tc>
      </w:tr>
      <w:tr w14:paraId="75D7CF2A" w14:textId="77777777" w:rsidTr="004C392B">
        <w:tblPrEx>
          <w:tblW w:w="9636" w:type="dxa"/>
          <w:tblLook w:val="04A0"/>
        </w:tblPrEx>
        <w:trPr>
          <w:trHeight w:val="419"/>
        </w:trPr>
        <w:tc>
          <w:tcPr>
            <w:tcW w:w="9636" w:type="dxa"/>
            <w:tcBorders>
              <w:top w:val="nil"/>
              <w:left w:val="nil"/>
              <w:bottom w:val="nil"/>
              <w:right w:val="nil"/>
            </w:tcBorders>
          </w:tcPr>
          <w:p w:rsidR="002945C1" w:rsidRPr="006C51DB" w:rsidP="008A2D6B" w14:paraId="02F46BCA" w14:textId="77777777">
            <w:pPr>
              <w:rPr>
                <w:rFonts w:ascii="Tahoma" w:hAnsi="Tahoma" w:cs="Tahoma"/>
                <w:sz w:val="19"/>
                <w:szCs w:val="19"/>
                <w:rtl/>
              </w:rPr>
            </w:pPr>
            <w:r w:rsidRPr="006C51DB">
              <w:rPr>
                <w:rFonts w:ascii="Tahoma" w:hAnsi="Tahoma" w:cs="Tahoma"/>
                <w:noProof/>
              </w:rPr>
              <w:drawing>
                <wp:inline distT="0" distB="0" distL="0" distR="0">
                  <wp:extent cx="5867102" cy="342265"/>
                  <wp:effectExtent l="0" t="0" r="635" b="635"/>
                  <wp:docPr id="55" name="תמונה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53652" name="Picture 24"/>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bl>
    <w:p w:rsidR="002945C1" w:rsidRPr="004C392B" w:rsidP="004C392B" w14:paraId="73337398" w14:textId="77777777">
      <w:pPr>
        <w:ind w:left="-569" w:right="-142"/>
        <w:rPr>
          <w:rFonts w:ascii="Tahoma" w:hAnsi="Tahoma" w:cs="Tahoma"/>
          <w:b/>
          <w:bCs/>
          <w:sz w:val="19"/>
          <w:szCs w:val="19"/>
          <w:rtl/>
        </w:rPr>
      </w:pPr>
      <w:r w:rsidRPr="004C392B">
        <w:rPr>
          <w:rFonts w:ascii="Tahoma" w:hAnsi="Tahoma" w:cs="Tahoma"/>
          <w:b/>
          <w:bCs/>
          <w:noProof/>
          <w:color w:val="FFFFFF" w:themeColor="background1"/>
          <w:sz w:val="19"/>
          <w:szCs w:val="19"/>
          <w:rtl/>
        </w:rPr>
        <w:drawing>
          <wp:anchor distT="0" distB="0" distL="114300" distR="114300" simplePos="0" relativeHeight="251662336" behindDoc="1" locked="0" layoutInCell="1" allowOverlap="1">
            <wp:simplePos x="0" y="0"/>
            <wp:positionH relativeFrom="column">
              <wp:posOffset>-207299</wp:posOffset>
            </wp:positionH>
            <wp:positionV relativeFrom="paragraph">
              <wp:posOffset>25689</wp:posOffset>
            </wp:positionV>
            <wp:extent cx="5971964" cy="51879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קציר-03.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56379" cy="526128"/>
                    </a:xfrm>
                    <a:prstGeom prst="rect">
                      <a:avLst/>
                    </a:prstGeom>
                  </pic:spPr>
                </pic:pic>
              </a:graphicData>
            </a:graphic>
            <wp14:sizeRelH relativeFrom="page">
              <wp14:pctWidth>0</wp14:pctWidth>
            </wp14:sizeRelH>
            <wp14:sizeRelV relativeFrom="page">
              <wp14:pctHeight>0</wp14:pctHeight>
            </wp14:sizeRelV>
          </wp:anchor>
        </w:drawing>
      </w:r>
      <w:r w:rsidRPr="004C392B" w:rsidR="00E03899">
        <w:rPr>
          <w:rFonts w:ascii="Tahoma" w:hAnsi="Tahoma" w:cs="Tahoma" w:hint="cs"/>
          <w:sz w:val="19"/>
          <w:szCs w:val="19"/>
          <w:rtl/>
        </w:rPr>
        <w:t xml:space="preserve">מטרות </w:t>
      </w:r>
      <w:r w:rsidRPr="004C392B" w:rsidR="00E03899">
        <w:rPr>
          <w:rFonts w:ascii="Tahoma" w:hAnsi="Tahoma" w:cs="Tahoma"/>
          <w:sz w:val="19"/>
          <w:szCs w:val="19"/>
          <w:rtl/>
        </w:rPr>
        <w:t>רפורמת התאגידים שמסגרתה ניהול מש</w:t>
      </w:r>
      <w:r w:rsidR="00184E51">
        <w:rPr>
          <w:rFonts w:ascii="Tahoma" w:hAnsi="Tahoma" w:cs="Tahoma"/>
          <w:sz w:val="19"/>
          <w:szCs w:val="19"/>
          <w:rtl/>
        </w:rPr>
        <w:t>ק המים והביוב הועבר לידי תאגידי</w:t>
      </w:r>
      <w:r w:rsidRPr="004C392B" w:rsidR="00131249">
        <w:rPr>
          <w:rFonts w:ascii="Tahoma" w:hAnsi="Tahoma" w:cs="Tahoma" w:hint="cs"/>
          <w:sz w:val="19"/>
          <w:szCs w:val="19"/>
          <w:rtl/>
        </w:rPr>
        <w:t xml:space="preserve"> מים וביוב</w:t>
      </w:r>
      <w:r w:rsidRPr="004C392B" w:rsidR="00E03899">
        <w:rPr>
          <w:rFonts w:ascii="Tahoma" w:hAnsi="Tahoma" w:cs="Tahoma"/>
          <w:sz w:val="19"/>
          <w:szCs w:val="19"/>
          <w:rtl/>
        </w:rPr>
        <w:t xml:space="preserve">, </w:t>
      </w:r>
      <w:r w:rsidRPr="004C392B" w:rsidR="00E03899">
        <w:rPr>
          <w:rFonts w:ascii="Tahoma" w:hAnsi="Tahoma" w:cs="Tahoma" w:hint="cs"/>
          <w:sz w:val="19"/>
          <w:szCs w:val="19"/>
          <w:rtl/>
        </w:rPr>
        <w:t>הושגו באופן חלקי</w:t>
      </w:r>
      <w:r w:rsidRPr="004C392B" w:rsidR="00131249">
        <w:rPr>
          <w:rFonts w:ascii="Tahoma" w:hAnsi="Tahoma" w:cs="Tahoma" w:hint="cs"/>
          <w:sz w:val="19"/>
          <w:szCs w:val="19"/>
          <w:rtl/>
        </w:rPr>
        <w:t>.</w:t>
      </w:r>
      <w:r w:rsidRPr="004C392B" w:rsidR="00E03899">
        <w:rPr>
          <w:rFonts w:ascii="Tahoma" w:hAnsi="Tahoma" w:cs="Tahoma" w:hint="cs"/>
          <w:sz w:val="19"/>
          <w:szCs w:val="19"/>
          <w:rtl/>
        </w:rPr>
        <w:t xml:space="preserve"> אף שחל שיפור בכל מדדי הפעילות של התאגידים</w:t>
      </w:r>
      <w:r w:rsidRPr="004C392B" w:rsidR="00131249">
        <w:rPr>
          <w:rFonts w:ascii="Tahoma" w:hAnsi="Tahoma" w:cs="Tahoma" w:hint="cs"/>
          <w:sz w:val="19"/>
          <w:szCs w:val="19"/>
          <w:rtl/>
        </w:rPr>
        <w:t>,</w:t>
      </w:r>
      <w:r w:rsidRPr="004C392B" w:rsidR="00E03899">
        <w:rPr>
          <w:rFonts w:ascii="Tahoma" w:hAnsi="Tahoma" w:cs="Tahoma" w:hint="cs"/>
          <w:sz w:val="19"/>
          <w:szCs w:val="19"/>
          <w:rtl/>
        </w:rPr>
        <w:t xml:space="preserve"> ורוב הרשויות המקומיות התאגדו, עדיין קיימים פערים </w:t>
      </w:r>
      <w:r w:rsidRPr="004C392B" w:rsidR="00131249">
        <w:rPr>
          <w:rFonts w:ascii="Tahoma" w:hAnsi="Tahoma" w:cs="Tahoma" w:hint="cs"/>
          <w:sz w:val="19"/>
          <w:szCs w:val="19"/>
          <w:rtl/>
        </w:rPr>
        <w:t>לעומת</w:t>
      </w:r>
      <w:r w:rsidRPr="004C392B" w:rsidR="00E03899">
        <w:rPr>
          <w:rFonts w:ascii="Tahoma" w:hAnsi="Tahoma" w:cs="Tahoma" w:hint="cs"/>
          <w:sz w:val="19"/>
          <w:szCs w:val="19"/>
          <w:rtl/>
        </w:rPr>
        <w:t xml:space="preserve"> </w:t>
      </w:r>
      <w:r w:rsidRPr="004C392B" w:rsidR="00131249">
        <w:rPr>
          <w:rFonts w:ascii="Tahoma" w:hAnsi="Tahoma" w:cs="Tahoma" w:hint="cs"/>
          <w:sz w:val="19"/>
          <w:szCs w:val="19"/>
          <w:rtl/>
        </w:rPr>
        <w:t>ה</w:t>
      </w:r>
      <w:r w:rsidRPr="004C392B" w:rsidR="00E03899">
        <w:rPr>
          <w:rFonts w:ascii="Tahoma" w:hAnsi="Tahoma" w:cs="Tahoma" w:hint="cs"/>
          <w:sz w:val="19"/>
          <w:szCs w:val="19"/>
          <w:rtl/>
        </w:rPr>
        <w:t>נורמ</w:t>
      </w:r>
      <w:r w:rsidRPr="004C392B" w:rsidR="00BB7BA4">
        <w:rPr>
          <w:rFonts w:ascii="Tahoma" w:hAnsi="Tahoma" w:cs="Tahoma" w:hint="cs"/>
          <w:sz w:val="19"/>
          <w:szCs w:val="19"/>
          <w:rtl/>
        </w:rPr>
        <w:t>ה</w:t>
      </w:r>
      <w:r w:rsidRPr="004C392B" w:rsidR="00E03899">
        <w:rPr>
          <w:rFonts w:ascii="Tahoma" w:hAnsi="Tahoma" w:cs="Tahoma" w:hint="cs"/>
          <w:sz w:val="19"/>
          <w:szCs w:val="19"/>
          <w:rtl/>
        </w:rPr>
        <w:t xml:space="preserve"> ומתווי הת</w:t>
      </w:r>
      <w:r w:rsidRPr="004C392B" w:rsidR="00131249">
        <w:rPr>
          <w:rFonts w:ascii="Tahoma" w:hAnsi="Tahoma" w:cs="Tahoma" w:hint="cs"/>
          <w:sz w:val="19"/>
          <w:szCs w:val="19"/>
          <w:rtl/>
        </w:rPr>
        <w:t>י</w:t>
      </w:r>
      <w:r w:rsidRPr="004C392B" w:rsidR="00E03899">
        <w:rPr>
          <w:rFonts w:ascii="Tahoma" w:hAnsi="Tahoma" w:cs="Tahoma" w:hint="cs"/>
          <w:sz w:val="19"/>
          <w:szCs w:val="19"/>
          <w:rtl/>
        </w:rPr>
        <w:t>אגוד האזורי לא יצאו לפועל. לצד פעולות לקידום התיאגוד האזורי שהוא נדבך אחד מבין תמהיל הפעולות הנדרש לצורך קידום מטרות הרפורמה, יש לבחון פעולות נוספות</w:t>
      </w:r>
      <w:r w:rsidRPr="004C392B" w:rsidR="00131249">
        <w:rPr>
          <w:rFonts w:ascii="Tahoma" w:hAnsi="Tahoma" w:cs="Tahoma" w:hint="cs"/>
          <w:sz w:val="19"/>
          <w:szCs w:val="19"/>
          <w:rtl/>
        </w:rPr>
        <w:t>,</w:t>
      </w:r>
      <w:r w:rsidRPr="004C392B" w:rsidR="00E03899">
        <w:rPr>
          <w:rFonts w:ascii="Tahoma" w:hAnsi="Tahoma" w:cs="Tahoma" w:hint="cs"/>
          <w:sz w:val="19"/>
          <w:szCs w:val="19"/>
          <w:rtl/>
        </w:rPr>
        <w:t xml:space="preserve"> לרבות התמודדות עם הסוגיות הייחודיו</w:t>
      </w:r>
      <w:r w:rsidRPr="004C392B" w:rsidR="00E03899">
        <w:rPr>
          <w:rFonts w:ascii="Tahoma" w:hAnsi="Tahoma" w:cs="Tahoma" w:hint="eastAsia"/>
          <w:sz w:val="19"/>
          <w:szCs w:val="19"/>
          <w:rtl/>
        </w:rPr>
        <w:t>ת</w:t>
      </w:r>
      <w:r w:rsidRPr="004C392B" w:rsidR="00E03899">
        <w:rPr>
          <w:rFonts w:ascii="Tahoma" w:hAnsi="Tahoma" w:cs="Tahoma" w:hint="cs"/>
          <w:sz w:val="19"/>
          <w:szCs w:val="19"/>
          <w:rtl/>
        </w:rPr>
        <w:t xml:space="preserve"> של התאגידים הזכאים </w:t>
      </w:r>
      <w:r w:rsidRPr="004C392B" w:rsidR="00131249">
        <w:rPr>
          <w:rFonts w:ascii="Tahoma" w:hAnsi="Tahoma" w:cs="Tahoma" w:hint="cs"/>
          <w:sz w:val="19"/>
          <w:szCs w:val="19"/>
          <w:rtl/>
        </w:rPr>
        <w:t>ושל ה</w:t>
      </w:r>
      <w:r w:rsidRPr="004C392B" w:rsidR="00E03899">
        <w:rPr>
          <w:rFonts w:ascii="Tahoma" w:hAnsi="Tahoma" w:cs="Tahoma" w:hint="cs"/>
          <w:sz w:val="19"/>
          <w:szCs w:val="19"/>
          <w:rtl/>
        </w:rPr>
        <w:t>אוכלוסיות</w:t>
      </w:r>
      <w:r w:rsidRPr="004C392B" w:rsidR="001B308E">
        <w:rPr>
          <w:rFonts w:ascii="Tahoma" w:hAnsi="Tahoma" w:cs="Tahoma" w:hint="cs"/>
          <w:sz w:val="19"/>
          <w:szCs w:val="19"/>
          <w:rtl/>
        </w:rPr>
        <w:t xml:space="preserve"> המוחלשות</w:t>
      </w:r>
      <w:r w:rsidRPr="004C392B" w:rsidR="00E03899">
        <w:rPr>
          <w:rFonts w:ascii="Tahoma" w:hAnsi="Tahoma" w:cs="Tahoma" w:hint="cs"/>
          <w:sz w:val="19"/>
          <w:szCs w:val="19"/>
          <w:rtl/>
        </w:rPr>
        <w:t>, בקרות פנימיות והעמקת הגב</w:t>
      </w:r>
      <w:r w:rsidRPr="004C392B" w:rsidR="00131249">
        <w:rPr>
          <w:rFonts w:ascii="Tahoma" w:hAnsi="Tahoma" w:cs="Tahoma" w:hint="cs"/>
          <w:sz w:val="19"/>
          <w:szCs w:val="19"/>
          <w:rtl/>
        </w:rPr>
        <w:t>י</w:t>
      </w:r>
      <w:r w:rsidRPr="004C392B" w:rsidR="00E03899">
        <w:rPr>
          <w:rFonts w:ascii="Tahoma" w:hAnsi="Tahoma" w:cs="Tahoma" w:hint="cs"/>
          <w:sz w:val="19"/>
          <w:szCs w:val="19"/>
          <w:rtl/>
        </w:rPr>
        <w:t xml:space="preserve">יה. כמו כן, יש ליישם את הוראות החוק בדבר </w:t>
      </w:r>
      <w:r w:rsidRPr="004C392B" w:rsidR="00131249">
        <w:rPr>
          <w:rFonts w:ascii="Tahoma" w:hAnsi="Tahoma" w:cs="Tahoma" w:hint="cs"/>
          <w:sz w:val="19"/>
          <w:szCs w:val="19"/>
          <w:rtl/>
        </w:rPr>
        <w:t>ה</w:t>
      </w:r>
      <w:r w:rsidRPr="004C392B" w:rsidR="00E03899">
        <w:rPr>
          <w:rFonts w:ascii="Tahoma" w:hAnsi="Tahoma" w:cs="Tahoma" w:hint="cs"/>
          <w:sz w:val="19"/>
          <w:szCs w:val="19"/>
          <w:rtl/>
        </w:rPr>
        <w:t>ת</w:t>
      </w:r>
      <w:r w:rsidRPr="004C392B" w:rsidR="00131249">
        <w:rPr>
          <w:rFonts w:ascii="Tahoma" w:hAnsi="Tahoma" w:cs="Tahoma" w:hint="cs"/>
          <w:sz w:val="19"/>
          <w:szCs w:val="19"/>
          <w:rtl/>
        </w:rPr>
        <w:t>י</w:t>
      </w:r>
      <w:r w:rsidRPr="004C392B" w:rsidR="00E03899">
        <w:rPr>
          <w:rFonts w:ascii="Tahoma" w:hAnsi="Tahoma" w:cs="Tahoma" w:hint="cs"/>
          <w:sz w:val="19"/>
          <w:szCs w:val="19"/>
          <w:rtl/>
        </w:rPr>
        <w:t xml:space="preserve">אגוד </w:t>
      </w:r>
      <w:r w:rsidRPr="004C392B" w:rsidR="00131249">
        <w:rPr>
          <w:rFonts w:ascii="Tahoma" w:hAnsi="Tahoma" w:cs="Tahoma" w:hint="cs"/>
          <w:sz w:val="19"/>
          <w:szCs w:val="19"/>
          <w:rtl/>
        </w:rPr>
        <w:t>ה</w:t>
      </w:r>
      <w:r w:rsidRPr="004C392B" w:rsidR="00E03899">
        <w:rPr>
          <w:rFonts w:ascii="Tahoma" w:hAnsi="Tahoma" w:cs="Tahoma" w:hint="cs"/>
          <w:sz w:val="19"/>
          <w:szCs w:val="19"/>
          <w:rtl/>
        </w:rPr>
        <w:t xml:space="preserve">אזורי וצמצום מספר התאגידים ולפעול להתייעלות התאגידים, בין היתר באמצעות צמצום הפערים בין העלויות בפועל לעלויות הנורמטיביות שקבעה רשות המים. </w:t>
      </w:r>
    </w:p>
    <w:p w:rsidR="00982FB0" w:rsidP="004E4FFC" w14:paraId="17E6905F" w14:textId="77777777">
      <w:pPr>
        <w:rPr>
          <w:rFonts w:ascii="Tahoma" w:hAnsi="Tahoma" w:cs="Tahoma"/>
          <w:b/>
          <w:bCs/>
          <w:rtl/>
        </w:rPr>
      </w:pPr>
    </w:p>
    <w:p w:rsidR="00383DB5" w:rsidP="004E4FFC" w14:paraId="033D539F" w14:textId="77777777">
      <w:pPr>
        <w:rPr>
          <w:rFonts w:ascii="Tahoma" w:hAnsi="Tahoma" w:cs="Tahoma"/>
          <w:b/>
          <w:bCs/>
          <w:rtl/>
        </w:rPr>
      </w:pPr>
    </w:p>
    <w:p w:rsidR="00383DB5" w:rsidP="004E4FFC" w14:paraId="62BDBCB2" w14:textId="77777777">
      <w:pPr>
        <w:rPr>
          <w:rFonts w:ascii="Tahoma" w:hAnsi="Tahoma" w:cs="Tahoma"/>
          <w:b/>
          <w:bCs/>
          <w:rtl/>
        </w:rPr>
      </w:pPr>
    </w:p>
    <w:p w:rsidR="00383DB5" w:rsidP="004E4FFC" w14:paraId="23FCF2E0" w14:textId="77777777">
      <w:pPr>
        <w:rPr>
          <w:rFonts w:ascii="Tahoma" w:hAnsi="Tahoma" w:cs="Tahoma"/>
          <w:b/>
          <w:bCs/>
          <w:rtl/>
        </w:rPr>
      </w:pPr>
    </w:p>
    <w:p w:rsidR="00383DB5" w:rsidP="004E4FFC" w14:paraId="39FE4FAC" w14:textId="77777777">
      <w:pPr>
        <w:rPr>
          <w:rFonts w:ascii="Tahoma" w:hAnsi="Tahoma" w:cs="Tahoma"/>
          <w:b/>
          <w:bCs/>
          <w:rtl/>
        </w:rPr>
      </w:pPr>
    </w:p>
    <w:p w:rsidR="00383DB5" w:rsidP="004E4FFC" w14:paraId="6C433A38" w14:textId="77777777">
      <w:pPr>
        <w:rPr>
          <w:rFonts w:ascii="Tahoma" w:hAnsi="Tahoma" w:cs="Tahoma"/>
          <w:b/>
          <w:bCs/>
          <w:rtl/>
        </w:rPr>
      </w:pPr>
    </w:p>
    <w:p w:rsidR="00383DB5" w:rsidP="004E4FFC" w14:paraId="6A1D7425" w14:textId="77777777">
      <w:pPr>
        <w:rPr>
          <w:rFonts w:ascii="Tahoma" w:hAnsi="Tahoma" w:cs="Tahoma"/>
          <w:b/>
          <w:bCs/>
          <w:rtl/>
        </w:rPr>
      </w:pPr>
    </w:p>
    <w:p w:rsidR="00383DB5" w:rsidP="00383DB5" w14:paraId="06FDAEC0" w14:textId="77777777">
      <w:pPr>
        <w:jc w:val="left"/>
        <w:rPr>
          <w:rFonts w:ascii="Tahoma" w:hAnsi="Tahoma" w:cs="Tahoma"/>
          <w:b/>
          <w:bCs/>
          <w:rtl/>
        </w:rPr>
      </w:pPr>
    </w:p>
    <w:p w:rsidR="00383DB5" w:rsidP="004E4FFC" w14:paraId="4D25A02A" w14:textId="77777777">
      <w:pPr>
        <w:rPr>
          <w:rFonts w:ascii="Tahoma" w:hAnsi="Tahoma" w:cs="Tahoma"/>
          <w:b/>
          <w:bCs/>
          <w:rtl/>
        </w:rPr>
      </w:pPr>
    </w:p>
    <w:p w:rsidR="00383DB5" w:rsidP="004E4FFC" w14:paraId="377E4FBD" w14:textId="77777777">
      <w:pPr>
        <w:rPr>
          <w:rFonts w:ascii="Tahoma" w:hAnsi="Tahoma" w:cs="Tahoma"/>
          <w:b/>
          <w:bCs/>
          <w:rtl/>
        </w:rPr>
      </w:pPr>
    </w:p>
    <w:bookmarkEnd w:id="0"/>
    <w:bookmarkEnd w:id="1"/>
    <w:p w:rsidR="000049C2" w:rsidP="00E42549" w14:paraId="03C5CF65" w14:textId="77777777">
      <w:pPr>
        <w:rPr>
          <w:rtl/>
          <w:cs/>
        </w:rPr>
      </w:pPr>
    </w:p>
    <w:sectPr w:rsidSect="004C392B">
      <w:headerReference w:type="default" r:id="rId17"/>
      <w:headerReference w:type="first" r:id="rId18"/>
      <w:footerReference w:type="first" r:id="rId19"/>
      <w:pgSz w:w="11906" w:h="16838"/>
      <w:pgMar w:top="1701" w:right="1985" w:bottom="158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Narkisim">
    <w:altName w:val="Times New Roman"/>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24F" w:rsidP="00E03202" w14:paraId="2B2AE06F" w14:textId="77777777">
    <w:pPr>
      <w:pStyle w:val="Foo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-130175</wp:posOffset>
              </wp:positionV>
              <wp:extent cx="4445000" cy="518160"/>
              <wp:effectExtent l="0" t="0" r="12700" b="15240"/>
              <wp:wrapNone/>
              <wp:docPr id="624677545"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518160"/>
                      </a:xfrm>
                      <a:prstGeom prst="rect">
                        <a:avLst/>
                      </a:prstGeom>
                      <a:noFill/>
                      <a:ln w="6350">
                        <a:solidFill>
                          <a:srgbClr val="0000FF"/>
                        </a:solidFill>
                      </a:ln>
                    </wps:spPr>
                    <wps:txbx>
                      <w:txbxContent>
                        <w:p w:rsidR="004C392B" w:rsidP="004C392B" w14:textId="77777777">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4C392B" w:rsidRPr="0075512A" w:rsidP="004C392B" w14:textId="77777777">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F" o:spid="_x0000_s2050" type="#_x0000_t202" style="width:350pt;height:40.8pt;margin-top:-10.25pt;margin-left:0;mso-height-percent:0;mso-height-relative:margin;mso-position-horizontal:center;mso-position-horizontal-relative:margin;mso-wrap-distance-bottom:0;mso-wrap-distance-left:9pt;mso-wrap-distance-right:9pt;mso-wrap-distance-top:0;mso-wrap-style:square;position:absolute;visibility:visible;v-text-anchor:top;z-index:251662336" filled="f" strokecolor="blue" strokeweight="0.5pt">
              <v:textbox>
                <w:txbxContent>
                  <w:p w:rsidR="004C392B" w:rsidP="004C392B" w14:paraId="272B7349" w14:textId="77777777">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4C392B" w:rsidRPr="0075512A" w:rsidP="004C392B" w14:paraId="48F281C6" w14:textId="77777777">
                    <w:pPr>
                      <w:spacing w:line="240" w:lineRule="auto"/>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F5900" w:rsidP="00C23CC9" w14:paraId="1A7C472B" w14:textId="77777777">
      <w:pPr>
        <w:spacing w:line="240" w:lineRule="auto"/>
      </w:pPr>
      <w:r>
        <w:separator/>
      </w:r>
    </w:p>
  </w:footnote>
  <w:footnote w:type="continuationSeparator" w:id="1">
    <w:p w:rsidR="004F5900" w:rsidP="00C23CC9" w14:paraId="4F0E6EE8" w14:textId="77777777">
      <w:pPr>
        <w:spacing w:line="240" w:lineRule="auto"/>
      </w:pPr>
      <w:r>
        <w:continuationSeparator/>
      </w:r>
    </w:p>
  </w:footnote>
  <w:footnote w:id="2">
    <w:p w:rsidR="0073124F" w:rsidRPr="009244D1" w14:paraId="0AC17675" w14:textId="77777777">
      <w:pPr>
        <w:pStyle w:val="FootnoteText"/>
        <w:rPr>
          <w:rFonts w:ascii="Tahoma" w:hAnsi="Tahoma" w:cs="Tahoma"/>
          <w:sz w:val="16"/>
          <w:szCs w:val="16"/>
        </w:rPr>
      </w:pPr>
      <w:r w:rsidRPr="009244D1">
        <w:rPr>
          <w:rStyle w:val="FootnoteReference"/>
          <w:rFonts w:ascii="Tahoma" w:hAnsi="Tahoma" w:cs="Tahoma"/>
          <w:sz w:val="16"/>
          <w:szCs w:val="16"/>
        </w:rPr>
        <w:footnoteRef/>
      </w:r>
      <w:r w:rsidRPr="009244D1">
        <w:rPr>
          <w:rFonts w:ascii="Tahoma" w:hAnsi="Tahoma" w:cs="Tahoma"/>
          <w:sz w:val="16"/>
          <w:szCs w:val="16"/>
          <w:rtl/>
        </w:rPr>
        <w:t xml:space="preserve">      נוסף על כך קיימות שתי רשויות מקומיות שאינן מחויבות תיאגוד, אשר השלימו התאגדות.</w:t>
      </w:r>
    </w:p>
  </w:footnote>
  <w:footnote w:id="3">
    <w:p w:rsidR="0073124F" w14:paraId="3AEA19D5" w14:textId="77777777">
      <w:pPr>
        <w:pStyle w:val="FootnoteText"/>
      </w:pPr>
      <w:r w:rsidRPr="009244D1">
        <w:rPr>
          <w:rStyle w:val="FootnoteReference"/>
          <w:rFonts w:ascii="Tahoma" w:hAnsi="Tahoma" w:cs="Tahoma"/>
          <w:sz w:val="16"/>
          <w:szCs w:val="16"/>
        </w:rPr>
        <w:footnoteRef/>
      </w:r>
      <w:r w:rsidRPr="009244D1">
        <w:rPr>
          <w:rFonts w:ascii="Tahoma" w:hAnsi="Tahoma" w:cs="Tahoma"/>
          <w:sz w:val="16"/>
          <w:szCs w:val="16"/>
          <w:rtl/>
        </w:rPr>
        <w:t xml:space="preserve">      המענקים שולמו עד  2018.</w:t>
      </w:r>
    </w:p>
  </w:footnote>
  <w:footnote w:id="4">
    <w:p w:rsidR="00683B49" w:rsidRPr="00741AC9" w:rsidP="00683B49" w14:paraId="41EDC41D" w14:textId="77777777">
      <w:pPr>
        <w:pStyle w:val="FootnoteText"/>
        <w:rPr>
          <w:rFonts w:ascii="Tahoma" w:hAnsi="Tahoma" w:cs="Tahoma"/>
          <w:sz w:val="16"/>
          <w:szCs w:val="16"/>
          <w:rtl/>
        </w:rPr>
      </w:pPr>
      <w:r w:rsidRPr="00741AC9">
        <w:rPr>
          <w:rStyle w:val="FootnoteReference"/>
          <w:rFonts w:ascii="Tahoma" w:hAnsi="Tahoma" w:cs="Tahoma"/>
          <w:sz w:val="16"/>
          <w:szCs w:val="16"/>
        </w:rPr>
        <w:footnoteRef/>
      </w:r>
      <w:r w:rsidRPr="00741AC9">
        <w:rPr>
          <w:rFonts w:ascii="Tahoma" w:hAnsi="Tahoma" w:cs="Tahoma"/>
          <w:sz w:val="16"/>
          <w:szCs w:val="16"/>
          <w:rtl/>
        </w:rPr>
        <w:t xml:space="preserve"> </w:t>
      </w:r>
      <w:r w:rsidRPr="00741AC9">
        <w:rPr>
          <w:rFonts w:ascii="Tahoma" w:hAnsi="Tahoma" w:cs="Tahoma"/>
          <w:sz w:val="16"/>
          <w:szCs w:val="16"/>
          <w:rtl/>
        </w:rPr>
        <w:tab/>
        <w:t>את רפורמת תעריפי המים קבעה מועצת רשות המים. ברפורמה שינתה המועצה את אופן חישובם של תעריפי המים וביססה אותו בין היתר על עקרון העלות המוכרת, על הפסקת הסבסוד</w:t>
      </w:r>
      <w:r>
        <w:rPr>
          <w:rFonts w:ascii="Tahoma" w:hAnsi="Tahoma" w:cs="Tahoma" w:hint="cs"/>
          <w:sz w:val="16"/>
          <w:szCs w:val="16"/>
          <w:rtl/>
        </w:rPr>
        <w:t xml:space="preserve"> </w:t>
      </w:r>
      <w:r w:rsidRPr="00741AC9">
        <w:rPr>
          <w:rFonts w:ascii="Tahoma" w:hAnsi="Tahoma" w:cs="Tahoma"/>
          <w:sz w:val="16"/>
          <w:szCs w:val="16"/>
          <w:rtl/>
        </w:rPr>
        <w:t>הממשלתי ועל השתת מלוא העלויות על הצרכנים. בכללן עלויות התפלה ועלויות גבוהות יותר של טיפול בשפכים כדי לייצר קולחין באיכות טובה יותר. יצוין כי התעריפים שהרשות קובעת משנת 2010 כוללים מרכיב ביוב, ואילו קודם לכן נקבעו אגרות הביוב לפי חוקי עזר עירוניים.</w:t>
      </w:r>
    </w:p>
  </w:footnote>
  <w:footnote w:id="5">
    <w:p w:rsidR="00683B49" w:rsidRPr="00741AC9" w:rsidP="00683B49" w14:paraId="59896E2A" w14:textId="77777777">
      <w:pPr>
        <w:pStyle w:val="FootnoteText"/>
        <w:rPr>
          <w:rFonts w:ascii="Tahoma" w:hAnsi="Tahoma" w:cs="Tahoma"/>
          <w:sz w:val="16"/>
          <w:szCs w:val="16"/>
        </w:rPr>
      </w:pPr>
      <w:r w:rsidRPr="00741AC9">
        <w:rPr>
          <w:rStyle w:val="FootnoteReference"/>
          <w:rFonts w:ascii="Tahoma" w:hAnsi="Tahoma" w:cs="Tahoma"/>
          <w:sz w:val="16"/>
          <w:szCs w:val="16"/>
        </w:rPr>
        <w:footnoteRef/>
      </w:r>
      <w:r w:rsidRPr="00741AC9">
        <w:rPr>
          <w:rFonts w:ascii="Tahoma" w:hAnsi="Tahoma" w:cs="Tahoma"/>
          <w:sz w:val="16"/>
          <w:szCs w:val="16"/>
          <w:rtl/>
        </w:rPr>
        <w:t xml:space="preserve"> </w:t>
      </w:r>
      <w:r w:rsidRPr="00741AC9">
        <w:rPr>
          <w:rFonts w:ascii="Tahoma" w:hAnsi="Tahoma" w:cs="Tahoma"/>
          <w:sz w:val="16"/>
          <w:szCs w:val="16"/>
          <w:rtl/>
        </w:rPr>
        <w:tab/>
        <w:t>פחת מים הוא הפער בין כמות המים הנרכשת (או מופקת) ומוזרמת למערכת המים לבין כמות המים שהצרכנים מחויבים בה לצורך תשלום. פחת מים יכול לנבוע, לדוגמה ממדידה לא נכונה, מדלף, מנזילות ומגניבות מים.</w:t>
      </w:r>
    </w:p>
  </w:footnote>
  <w:footnote w:id="6">
    <w:p w:rsidR="00683B49" w:rsidP="00683B49" w14:paraId="0854351A" w14:textId="77777777">
      <w:pPr>
        <w:pStyle w:val="FootnoteText"/>
      </w:pPr>
      <w:r w:rsidRPr="00741AC9">
        <w:rPr>
          <w:rStyle w:val="FootnoteReference"/>
          <w:rFonts w:ascii="Tahoma" w:hAnsi="Tahoma" w:cs="Tahoma"/>
          <w:sz w:val="16"/>
          <w:szCs w:val="16"/>
        </w:rPr>
        <w:footnoteRef/>
      </w:r>
      <w:r w:rsidRPr="00741AC9">
        <w:rPr>
          <w:rFonts w:ascii="Tahoma" w:hAnsi="Tahoma" w:cs="Tahoma"/>
          <w:sz w:val="16"/>
          <w:szCs w:val="16"/>
          <w:rtl/>
        </w:rPr>
        <w:t xml:space="preserve"> </w:t>
      </w:r>
      <w:r w:rsidRPr="00741AC9">
        <w:rPr>
          <w:rFonts w:ascii="Tahoma" w:hAnsi="Tahoma" w:cs="Tahoma"/>
          <w:sz w:val="16"/>
          <w:szCs w:val="16"/>
          <w:rtl/>
        </w:rPr>
        <w:tab/>
        <w:t>תאגידים אלו סווגו כ"תאגידים זכאים" למענקים ולנורמות מקילות. "תאגידים זכאים" הוגדרו כתאגידים חלשים, בעלי שיעורי פחת מים גבוהים במיוחד, שאינם מסוגלים להתקיים באופן עצמאי מהבחינה הפיננסית בשנים הראשונות להפעלתם והם זכאים למענקים ולנורמות מקילות.</w:t>
      </w:r>
    </w:p>
  </w:footnote>
  <w:footnote w:id="7">
    <w:p w:rsidR="00683B49" w:rsidRPr="00741AC9" w:rsidP="00683B49" w14:paraId="2185D2E1" w14:textId="77777777">
      <w:pPr>
        <w:pStyle w:val="FootnoteText"/>
        <w:rPr>
          <w:rFonts w:ascii="Tahoma" w:hAnsi="Tahoma" w:cs="Tahoma"/>
          <w:sz w:val="16"/>
          <w:szCs w:val="16"/>
        </w:rPr>
      </w:pPr>
      <w:r w:rsidRPr="00741AC9">
        <w:rPr>
          <w:rStyle w:val="FootnoteReference"/>
          <w:rFonts w:ascii="Tahoma" w:hAnsi="Tahoma" w:cs="Tahoma"/>
          <w:sz w:val="16"/>
          <w:szCs w:val="16"/>
        </w:rPr>
        <w:footnoteRef/>
      </w:r>
      <w:r w:rsidRPr="00741AC9">
        <w:rPr>
          <w:rFonts w:ascii="Tahoma" w:hAnsi="Tahoma" w:cs="Tahoma"/>
          <w:sz w:val="16"/>
          <w:szCs w:val="16"/>
          <w:rtl/>
        </w:rPr>
        <w:t xml:space="preserve"> </w:t>
      </w:r>
      <w:r w:rsidRPr="00741AC9">
        <w:rPr>
          <w:rFonts w:ascii="Tahoma" w:hAnsi="Tahoma" w:cs="Tahoma"/>
          <w:sz w:val="16"/>
          <w:szCs w:val="16"/>
          <w:rtl/>
        </w:rPr>
        <w:tab/>
        <w:t>פחת גבייה מחושב כשיעור החיובים שלא נגבו מסך החיובים שהתאגיד הנפיק. משרד מבקר המדינה בחן את ערכי פחת הגבייה השנתי השוטף של התאגידים בשנת 2011 לעומת 2018. נקודת החתך שנבדקה היא ליום 31 בדצמבר של כל אחת מהשנים. יצוין כי על פי חישוב הפחת השוטף, כשנקודת החתך היא כאמור, לא נלקחות בחשבון הכנסות מגביית חיובים שנעשית לאחר תום השנה. לדוגמה  חיובים שמועד פרעונם טרם הגיע וגבייה מפעולות אכיפה שנעשות לאחר תום השנה.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92B" w:rsidP="004C392B" w14:paraId="38916E40" w14:textId="2627C88D">
    <w:pPr>
      <w:pStyle w:val="Header"/>
      <w:jc w:val="center"/>
    </w:pP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2812C7">
      <w:rPr>
        <w:noProof/>
        <w:rtl/>
      </w:rPr>
      <w:t>5</w:t>
    </w:r>
    <w:r>
      <w:rPr>
        <w:rtl/>
      </w:rPr>
      <w:fldChar w:fldCharType="end"/>
    </w:r>
    <w:r>
      <w:t xml:space="preserve"> - </w:t>
    </w:r>
  </w:p>
  <w:p w:rsidR="0073124F" w:rsidRPr="004C392B" w:rsidP="004C392B" w14:paraId="3E3F6A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92B" w:rsidP="004C392B" w14:paraId="482EFB3F" w14:textId="77777777">
    <w:pPr>
      <w:tabs>
        <w:tab w:val="center" w:pos="4153"/>
        <w:tab w:val="right" w:pos="8306"/>
      </w:tabs>
      <w:spacing w:before="120" w:line="240" w:lineRule="auto"/>
      <w:ind w:left="-994"/>
      <w:rPr>
        <w:rtl/>
      </w:rPr>
    </w:pPr>
    <w:r w:rsidRPr="00DC0618">
      <w:rPr>
        <w:rFonts w:ascii="Tahoma" w:hAnsi="Tahoma" w:cs="Tahoma"/>
        <w:noProof/>
        <w:sz w:val="18"/>
      </w:rPr>
      <mc:AlternateContent>
        <mc:Choice Requires="wps">
          <w:drawing>
            <wp:anchor distT="0" distB="0" distL="114300" distR="114300" simplePos="0" relativeHeight="251658240" behindDoc="0" locked="0" layoutInCell="1" allowOverlap="1">
              <wp:simplePos x="0" y="0"/>
              <wp:positionH relativeFrom="column">
                <wp:posOffset>1726565</wp:posOffset>
              </wp:positionH>
              <wp:positionV relativeFrom="paragraph">
                <wp:posOffset>89535</wp:posOffset>
              </wp:positionV>
              <wp:extent cx="1496291" cy="476250"/>
              <wp:effectExtent l="0" t="0" r="27940" b="19050"/>
              <wp:wrapNone/>
              <wp:docPr id="21"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291" cy="476250"/>
                      </a:xfrm>
                      <a:prstGeom prst="rect">
                        <a:avLst/>
                      </a:prstGeom>
                      <a:noFill/>
                      <a:ln w="6350">
                        <a:solidFill>
                          <a:srgbClr val="FFFFFF"/>
                        </a:solidFill>
                      </a:ln>
                    </wps:spPr>
                    <wps:txbx>
                      <w:txbxContent>
                        <w:p w:rsidR="004C392B" w:rsidP="004C392B" w14:textId="77777777">
                          <w:pPr>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4C392B" w:rsidRPr="00DC4ED2" w:rsidP="004C392B" w14:textId="77777777">
                          <w:pPr>
                            <w:jc w:val="center"/>
                            <w:rPr>
                              <w:rFonts w:ascii="Miriam" w:hAnsi="Miriam" w:cs="Miriam"/>
                              <w:spacing w:val="5"/>
                              <w:sz w:val="27"/>
                              <w:szCs w:val="27"/>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49" type="#_x0000_t202" style="width:117.8pt;height:37.5pt;margin-top:7.05pt;margin-left:135.95pt;mso-height-percent:0;mso-height-relative:margin;mso-width-percent:0;mso-width-relative:margin;mso-wrap-distance-bottom:0;mso-wrap-distance-left:9pt;mso-wrap-distance-right:9pt;mso-wrap-distance-top:0;mso-wrap-style:square;position:absolute;visibility:visible;v-text-anchor:top;z-index:251659264" filled="f" strokecolor="white" strokeweight="0.5pt">
              <v:textbox>
                <w:txbxContent>
                  <w:p w:rsidR="004C392B" w:rsidP="004C392B" w14:paraId="2F090173" w14:textId="77777777">
                    <w:pPr>
                      <w:jc w:val="center"/>
                      <w:rPr>
                        <w:rFonts w:ascii="Tahoma" w:hAnsi="Tahoma" w:cs="Tahoma"/>
                        <w:spacing w:val="5"/>
                        <w:sz w:val="27"/>
                        <w:szCs w:val="27"/>
                        <w:rtl/>
                      </w:rPr>
                    </w:pPr>
                    <w:r w:rsidRPr="008D564A">
                      <w:rPr>
                        <w:rFonts w:ascii="Tahoma" w:hAnsi="Tahoma" w:cs="Tahoma"/>
                        <w:spacing w:val="5"/>
                        <w:sz w:val="21"/>
                        <w:szCs w:val="21"/>
                        <w:rtl/>
                      </w:rPr>
                      <w:t>משרד מבקר המדינה</w:t>
                    </w:r>
                  </w:p>
                  <w:p w:rsidR="004C392B" w:rsidRPr="00DC4ED2" w:rsidP="004C392B" w14:paraId="07896A27" w14:textId="77777777">
                    <w:pPr>
                      <w:jc w:val="center"/>
                      <w:rPr>
                        <w:rFonts w:ascii="Miriam" w:hAnsi="Miriam" w:cs="Miriam"/>
                        <w:spacing w:val="5"/>
                        <w:sz w:val="27"/>
                        <w:szCs w:val="27"/>
                      </w:rPr>
                    </w:pP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txbxContent>
              </v:textbox>
            </v:shape>
          </w:pict>
        </mc:Fallback>
      </mc:AlternateContent>
    </w:r>
    <w:r>
      <w:rPr>
        <w:noProof/>
        <w:sz w:val="26"/>
        <w:szCs w:val="26"/>
      </w:rPr>
      <w:drawing>
        <wp:anchor distT="0" distB="0" distL="114300" distR="114300" simplePos="0" relativeHeight="251660288"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8" name="תמונה 8" descr="Logo Mevaker New"/>
          <wp:cNvGraphicFramePr/>
          <a:graphic xmlns:a="http://schemas.openxmlformats.org/drawingml/2006/main">
            <a:graphicData uri="http://schemas.openxmlformats.org/drawingml/2006/picture">
              <pic:pic xmlns:pic="http://schemas.openxmlformats.org/drawingml/2006/picture">
                <pic:nvPicPr>
                  <pic:cNvPr id="1261758515"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124F" w:rsidRPr="004C392B" w:rsidP="004C392B" w14:paraId="4D698198" w14:textId="77777777">
    <w:pPr>
      <w:pStyle w:val="Header"/>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383.25pt" o:bullet="t">
        <v:imagedata r:id="rId1" o:title="light-bulb"/>
      </v:shape>
    </w:pict>
  </w:numPicBullet>
  <w:abstractNum w:abstractNumId="0">
    <w:nsid w:val="05C5770A"/>
    <w:multiLevelType w:val="hybridMultilevel"/>
    <w:tmpl w:val="E7FEB7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755A92"/>
    <w:multiLevelType w:val="hybridMultilevel"/>
    <w:tmpl w:val="E3B410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34B4C9E"/>
    <w:multiLevelType w:val="multilevel"/>
    <w:tmpl w:val="0D387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077032"/>
    <w:multiLevelType w:val="hybridMultilevel"/>
    <w:tmpl w:val="E452DD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E64D33"/>
    <w:multiLevelType w:val="hybridMultilevel"/>
    <w:tmpl w:val="F6D4B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EE4051"/>
    <w:multiLevelType w:val="hybridMultilevel"/>
    <w:tmpl w:val="331C2B68"/>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699458C"/>
    <w:multiLevelType w:val="hybridMultilevel"/>
    <w:tmpl w:val="29366340"/>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FB847BF"/>
    <w:multiLevelType w:val="hybridMultilevel"/>
    <w:tmpl w:val="ADF669EC"/>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7"/>
  </w:num>
  <w:num w:numId="2">
    <w:abstractNumId w:val="8"/>
  </w:num>
  <w:num w:numId="3">
    <w:abstractNumId w:val="2"/>
  </w:num>
  <w:num w:numId="4">
    <w:abstractNumId w:val="4"/>
  </w:num>
  <w:num w:numId="5">
    <w:abstractNumId w:val="0"/>
  </w:num>
  <w:num w:numId="6">
    <w:abstractNumId w:val="5"/>
  </w:num>
  <w:num w:numId="7">
    <w:abstractNumId w:val="9"/>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E9"/>
    <w:rsid w:val="000006D3"/>
    <w:rsid w:val="000007F3"/>
    <w:rsid w:val="00000AF2"/>
    <w:rsid w:val="00000E16"/>
    <w:rsid w:val="000016D4"/>
    <w:rsid w:val="00001BA5"/>
    <w:rsid w:val="0000261C"/>
    <w:rsid w:val="00002A82"/>
    <w:rsid w:val="00003B77"/>
    <w:rsid w:val="00003CCE"/>
    <w:rsid w:val="00004110"/>
    <w:rsid w:val="00004796"/>
    <w:rsid w:val="000049C2"/>
    <w:rsid w:val="00004B1C"/>
    <w:rsid w:val="00005FA4"/>
    <w:rsid w:val="00006F39"/>
    <w:rsid w:val="00006FAA"/>
    <w:rsid w:val="000073FB"/>
    <w:rsid w:val="000076A0"/>
    <w:rsid w:val="00010963"/>
    <w:rsid w:val="00010AFF"/>
    <w:rsid w:val="00011555"/>
    <w:rsid w:val="000116C5"/>
    <w:rsid w:val="00014EE4"/>
    <w:rsid w:val="0001532E"/>
    <w:rsid w:val="00015A7E"/>
    <w:rsid w:val="00015F8E"/>
    <w:rsid w:val="00016A86"/>
    <w:rsid w:val="00016C3C"/>
    <w:rsid w:val="00016CAC"/>
    <w:rsid w:val="00016DC0"/>
    <w:rsid w:val="00016DC1"/>
    <w:rsid w:val="0001735B"/>
    <w:rsid w:val="000173FC"/>
    <w:rsid w:val="000177C9"/>
    <w:rsid w:val="00017A39"/>
    <w:rsid w:val="00017B0F"/>
    <w:rsid w:val="00020EC9"/>
    <w:rsid w:val="00022AA6"/>
    <w:rsid w:val="000230EE"/>
    <w:rsid w:val="00025894"/>
    <w:rsid w:val="000304FA"/>
    <w:rsid w:val="00031A2F"/>
    <w:rsid w:val="00031AC1"/>
    <w:rsid w:val="0003267F"/>
    <w:rsid w:val="00032C7C"/>
    <w:rsid w:val="000354D2"/>
    <w:rsid w:val="000358F3"/>
    <w:rsid w:val="000364EE"/>
    <w:rsid w:val="00036B85"/>
    <w:rsid w:val="000401EE"/>
    <w:rsid w:val="00040236"/>
    <w:rsid w:val="00040CF0"/>
    <w:rsid w:val="00040FEB"/>
    <w:rsid w:val="00041098"/>
    <w:rsid w:val="00042837"/>
    <w:rsid w:val="00042892"/>
    <w:rsid w:val="00043678"/>
    <w:rsid w:val="000438DB"/>
    <w:rsid w:val="00043F55"/>
    <w:rsid w:val="00044B24"/>
    <w:rsid w:val="00044DB8"/>
    <w:rsid w:val="0004650B"/>
    <w:rsid w:val="0004695C"/>
    <w:rsid w:val="00046B7D"/>
    <w:rsid w:val="000476D7"/>
    <w:rsid w:val="00047CB6"/>
    <w:rsid w:val="000501A4"/>
    <w:rsid w:val="00051729"/>
    <w:rsid w:val="00051995"/>
    <w:rsid w:val="00052CC7"/>
    <w:rsid w:val="000532AA"/>
    <w:rsid w:val="000546EC"/>
    <w:rsid w:val="0005620C"/>
    <w:rsid w:val="0006133E"/>
    <w:rsid w:val="00061CA7"/>
    <w:rsid w:val="00061DAC"/>
    <w:rsid w:val="00061F6B"/>
    <w:rsid w:val="0006304C"/>
    <w:rsid w:val="00063B2D"/>
    <w:rsid w:val="0006712E"/>
    <w:rsid w:val="000677E5"/>
    <w:rsid w:val="00071689"/>
    <w:rsid w:val="00071D95"/>
    <w:rsid w:val="00071E92"/>
    <w:rsid w:val="00072070"/>
    <w:rsid w:val="000722D2"/>
    <w:rsid w:val="00072797"/>
    <w:rsid w:val="00072A79"/>
    <w:rsid w:val="00072F14"/>
    <w:rsid w:val="00073918"/>
    <w:rsid w:val="00073D08"/>
    <w:rsid w:val="00074024"/>
    <w:rsid w:val="0007415D"/>
    <w:rsid w:val="00074212"/>
    <w:rsid w:val="00075074"/>
    <w:rsid w:val="000767CC"/>
    <w:rsid w:val="00076935"/>
    <w:rsid w:val="000801B6"/>
    <w:rsid w:val="00081E75"/>
    <w:rsid w:val="000821CE"/>
    <w:rsid w:val="00082D06"/>
    <w:rsid w:val="00083732"/>
    <w:rsid w:val="00083E4F"/>
    <w:rsid w:val="000847C1"/>
    <w:rsid w:val="00084805"/>
    <w:rsid w:val="00085CD3"/>
    <w:rsid w:val="00086E43"/>
    <w:rsid w:val="00087794"/>
    <w:rsid w:val="000927E7"/>
    <w:rsid w:val="00094347"/>
    <w:rsid w:val="000943B8"/>
    <w:rsid w:val="0009466B"/>
    <w:rsid w:val="00094A67"/>
    <w:rsid w:val="00094A84"/>
    <w:rsid w:val="00096AC2"/>
    <w:rsid w:val="00096D9A"/>
    <w:rsid w:val="00096DC8"/>
    <w:rsid w:val="0009774B"/>
    <w:rsid w:val="00097835"/>
    <w:rsid w:val="00097AB1"/>
    <w:rsid w:val="000A0688"/>
    <w:rsid w:val="000A103C"/>
    <w:rsid w:val="000A1413"/>
    <w:rsid w:val="000A1B51"/>
    <w:rsid w:val="000A3947"/>
    <w:rsid w:val="000A3A5E"/>
    <w:rsid w:val="000A4310"/>
    <w:rsid w:val="000A45F0"/>
    <w:rsid w:val="000A51C0"/>
    <w:rsid w:val="000A5587"/>
    <w:rsid w:val="000A61F0"/>
    <w:rsid w:val="000A6379"/>
    <w:rsid w:val="000A640B"/>
    <w:rsid w:val="000A71D9"/>
    <w:rsid w:val="000A7B04"/>
    <w:rsid w:val="000B09CE"/>
    <w:rsid w:val="000B0B01"/>
    <w:rsid w:val="000B0E5D"/>
    <w:rsid w:val="000B1102"/>
    <w:rsid w:val="000B123D"/>
    <w:rsid w:val="000B137F"/>
    <w:rsid w:val="000B1462"/>
    <w:rsid w:val="000B2303"/>
    <w:rsid w:val="000B2C8B"/>
    <w:rsid w:val="000B51C7"/>
    <w:rsid w:val="000B7B9C"/>
    <w:rsid w:val="000B7C2F"/>
    <w:rsid w:val="000C0BAE"/>
    <w:rsid w:val="000C739D"/>
    <w:rsid w:val="000C7459"/>
    <w:rsid w:val="000C7B18"/>
    <w:rsid w:val="000D0EDB"/>
    <w:rsid w:val="000D1D4C"/>
    <w:rsid w:val="000D1D8E"/>
    <w:rsid w:val="000D1E98"/>
    <w:rsid w:val="000D1F95"/>
    <w:rsid w:val="000D2032"/>
    <w:rsid w:val="000D2275"/>
    <w:rsid w:val="000D3E99"/>
    <w:rsid w:val="000D4BC6"/>
    <w:rsid w:val="000D5118"/>
    <w:rsid w:val="000D52A1"/>
    <w:rsid w:val="000D538F"/>
    <w:rsid w:val="000D5F53"/>
    <w:rsid w:val="000D639A"/>
    <w:rsid w:val="000D6CEF"/>
    <w:rsid w:val="000D78C3"/>
    <w:rsid w:val="000D79A8"/>
    <w:rsid w:val="000D7F14"/>
    <w:rsid w:val="000E013E"/>
    <w:rsid w:val="000E03BD"/>
    <w:rsid w:val="000E2993"/>
    <w:rsid w:val="000E45F1"/>
    <w:rsid w:val="000E4E15"/>
    <w:rsid w:val="000E5A9A"/>
    <w:rsid w:val="000E6347"/>
    <w:rsid w:val="000E671C"/>
    <w:rsid w:val="000E6F39"/>
    <w:rsid w:val="000E6FB6"/>
    <w:rsid w:val="000F028D"/>
    <w:rsid w:val="000F0715"/>
    <w:rsid w:val="000F11FE"/>
    <w:rsid w:val="000F226A"/>
    <w:rsid w:val="000F2360"/>
    <w:rsid w:val="000F29EE"/>
    <w:rsid w:val="000F3134"/>
    <w:rsid w:val="000F432D"/>
    <w:rsid w:val="000F50C7"/>
    <w:rsid w:val="000F5A4B"/>
    <w:rsid w:val="000F603D"/>
    <w:rsid w:val="000F62F9"/>
    <w:rsid w:val="000F6430"/>
    <w:rsid w:val="000F7725"/>
    <w:rsid w:val="0010110D"/>
    <w:rsid w:val="00101CC0"/>
    <w:rsid w:val="00101D0F"/>
    <w:rsid w:val="001020B5"/>
    <w:rsid w:val="001028A6"/>
    <w:rsid w:val="00102981"/>
    <w:rsid w:val="001032E7"/>
    <w:rsid w:val="00105834"/>
    <w:rsid w:val="00106F0A"/>
    <w:rsid w:val="00110615"/>
    <w:rsid w:val="00110BC5"/>
    <w:rsid w:val="001120F7"/>
    <w:rsid w:val="00113AE5"/>
    <w:rsid w:val="00113D06"/>
    <w:rsid w:val="00113E28"/>
    <w:rsid w:val="00114013"/>
    <w:rsid w:val="00114325"/>
    <w:rsid w:val="0011480C"/>
    <w:rsid w:val="00115C2A"/>
    <w:rsid w:val="001167E9"/>
    <w:rsid w:val="00116B05"/>
    <w:rsid w:val="001172F2"/>
    <w:rsid w:val="001174CC"/>
    <w:rsid w:val="00117695"/>
    <w:rsid w:val="001200D8"/>
    <w:rsid w:val="0012050E"/>
    <w:rsid w:val="0012100A"/>
    <w:rsid w:val="0012177A"/>
    <w:rsid w:val="00121A40"/>
    <w:rsid w:val="001227ED"/>
    <w:rsid w:val="001239BC"/>
    <w:rsid w:val="00123C9E"/>
    <w:rsid w:val="001242BF"/>
    <w:rsid w:val="001246B8"/>
    <w:rsid w:val="00125465"/>
    <w:rsid w:val="001304E7"/>
    <w:rsid w:val="00130943"/>
    <w:rsid w:val="00131037"/>
    <w:rsid w:val="00131249"/>
    <w:rsid w:val="001313A1"/>
    <w:rsid w:val="0013141E"/>
    <w:rsid w:val="0013163C"/>
    <w:rsid w:val="00133063"/>
    <w:rsid w:val="001337E7"/>
    <w:rsid w:val="001347AC"/>
    <w:rsid w:val="00135D03"/>
    <w:rsid w:val="00137C64"/>
    <w:rsid w:val="00140656"/>
    <w:rsid w:val="001406A0"/>
    <w:rsid w:val="00140982"/>
    <w:rsid w:val="001411AD"/>
    <w:rsid w:val="00141A76"/>
    <w:rsid w:val="00141F87"/>
    <w:rsid w:val="00142CB9"/>
    <w:rsid w:val="0014332C"/>
    <w:rsid w:val="00143C1A"/>
    <w:rsid w:val="00143EDC"/>
    <w:rsid w:val="001445D0"/>
    <w:rsid w:val="0014538B"/>
    <w:rsid w:val="00145806"/>
    <w:rsid w:val="00145CC6"/>
    <w:rsid w:val="00146637"/>
    <w:rsid w:val="00147937"/>
    <w:rsid w:val="00147AF5"/>
    <w:rsid w:val="00147C99"/>
    <w:rsid w:val="00153794"/>
    <w:rsid w:val="001554A4"/>
    <w:rsid w:val="00155BC2"/>
    <w:rsid w:val="0015662E"/>
    <w:rsid w:val="001574B3"/>
    <w:rsid w:val="00157AEB"/>
    <w:rsid w:val="001606E7"/>
    <w:rsid w:val="00160BE7"/>
    <w:rsid w:val="0016188F"/>
    <w:rsid w:val="00161C2D"/>
    <w:rsid w:val="00161F63"/>
    <w:rsid w:val="00162EAE"/>
    <w:rsid w:val="001633E2"/>
    <w:rsid w:val="00163B6E"/>
    <w:rsid w:val="00164330"/>
    <w:rsid w:val="0016456B"/>
    <w:rsid w:val="001648D5"/>
    <w:rsid w:val="00164DCC"/>
    <w:rsid w:val="00165A0D"/>
    <w:rsid w:val="00165F9B"/>
    <w:rsid w:val="0016614C"/>
    <w:rsid w:val="00166477"/>
    <w:rsid w:val="0016685C"/>
    <w:rsid w:val="00166F60"/>
    <w:rsid w:val="001672D1"/>
    <w:rsid w:val="001700BD"/>
    <w:rsid w:val="00170C9C"/>
    <w:rsid w:val="00170CCF"/>
    <w:rsid w:val="00171514"/>
    <w:rsid w:val="001715B4"/>
    <w:rsid w:val="00172562"/>
    <w:rsid w:val="00172C5D"/>
    <w:rsid w:val="001730B0"/>
    <w:rsid w:val="00175919"/>
    <w:rsid w:val="001765C8"/>
    <w:rsid w:val="001774A2"/>
    <w:rsid w:val="0017781A"/>
    <w:rsid w:val="001805C1"/>
    <w:rsid w:val="001807FB"/>
    <w:rsid w:val="0018178D"/>
    <w:rsid w:val="0018269F"/>
    <w:rsid w:val="00183192"/>
    <w:rsid w:val="00184237"/>
    <w:rsid w:val="00184560"/>
    <w:rsid w:val="00184E51"/>
    <w:rsid w:val="0018580B"/>
    <w:rsid w:val="0018660D"/>
    <w:rsid w:val="001876C3"/>
    <w:rsid w:val="00187725"/>
    <w:rsid w:val="00187866"/>
    <w:rsid w:val="001913F4"/>
    <w:rsid w:val="001920A6"/>
    <w:rsid w:val="001926EC"/>
    <w:rsid w:val="00192A91"/>
    <w:rsid w:val="00192B7A"/>
    <w:rsid w:val="00192B90"/>
    <w:rsid w:val="001931AF"/>
    <w:rsid w:val="001931DA"/>
    <w:rsid w:val="00193449"/>
    <w:rsid w:val="0019371E"/>
    <w:rsid w:val="00195ACC"/>
    <w:rsid w:val="00195F08"/>
    <w:rsid w:val="001960B4"/>
    <w:rsid w:val="001965A0"/>
    <w:rsid w:val="00196715"/>
    <w:rsid w:val="001969D3"/>
    <w:rsid w:val="0019742F"/>
    <w:rsid w:val="001A0658"/>
    <w:rsid w:val="001A2849"/>
    <w:rsid w:val="001A2BCE"/>
    <w:rsid w:val="001A2E3A"/>
    <w:rsid w:val="001A325C"/>
    <w:rsid w:val="001A472F"/>
    <w:rsid w:val="001A4983"/>
    <w:rsid w:val="001A4C1F"/>
    <w:rsid w:val="001A5180"/>
    <w:rsid w:val="001A5326"/>
    <w:rsid w:val="001A5D87"/>
    <w:rsid w:val="001A6114"/>
    <w:rsid w:val="001A613C"/>
    <w:rsid w:val="001B0120"/>
    <w:rsid w:val="001B0741"/>
    <w:rsid w:val="001B106F"/>
    <w:rsid w:val="001B14B9"/>
    <w:rsid w:val="001B17F4"/>
    <w:rsid w:val="001B2821"/>
    <w:rsid w:val="001B308E"/>
    <w:rsid w:val="001B3BA2"/>
    <w:rsid w:val="001B41E4"/>
    <w:rsid w:val="001B558D"/>
    <w:rsid w:val="001B62DD"/>
    <w:rsid w:val="001B6A7B"/>
    <w:rsid w:val="001B6BE7"/>
    <w:rsid w:val="001B74E2"/>
    <w:rsid w:val="001B7B74"/>
    <w:rsid w:val="001C0039"/>
    <w:rsid w:val="001C057E"/>
    <w:rsid w:val="001C1C5B"/>
    <w:rsid w:val="001C2270"/>
    <w:rsid w:val="001C27F5"/>
    <w:rsid w:val="001C418C"/>
    <w:rsid w:val="001C4B34"/>
    <w:rsid w:val="001C4EE1"/>
    <w:rsid w:val="001C5C72"/>
    <w:rsid w:val="001C7256"/>
    <w:rsid w:val="001C74DF"/>
    <w:rsid w:val="001C77EB"/>
    <w:rsid w:val="001D17C1"/>
    <w:rsid w:val="001D1CC3"/>
    <w:rsid w:val="001D1D2D"/>
    <w:rsid w:val="001D3946"/>
    <w:rsid w:val="001D5188"/>
    <w:rsid w:val="001D6870"/>
    <w:rsid w:val="001D70C6"/>
    <w:rsid w:val="001D72DF"/>
    <w:rsid w:val="001D78A2"/>
    <w:rsid w:val="001E116C"/>
    <w:rsid w:val="001E252C"/>
    <w:rsid w:val="001E2996"/>
    <w:rsid w:val="001E2F9F"/>
    <w:rsid w:val="001E3477"/>
    <w:rsid w:val="001E3537"/>
    <w:rsid w:val="001E56F9"/>
    <w:rsid w:val="001E5F24"/>
    <w:rsid w:val="001E6246"/>
    <w:rsid w:val="001E66CE"/>
    <w:rsid w:val="001E6BD8"/>
    <w:rsid w:val="001E75AC"/>
    <w:rsid w:val="001E75DF"/>
    <w:rsid w:val="001E75FE"/>
    <w:rsid w:val="001E7982"/>
    <w:rsid w:val="001E7FAD"/>
    <w:rsid w:val="001F02F3"/>
    <w:rsid w:val="001F1DA8"/>
    <w:rsid w:val="001F2B97"/>
    <w:rsid w:val="001F2C37"/>
    <w:rsid w:val="001F3844"/>
    <w:rsid w:val="001F3FE3"/>
    <w:rsid w:val="001F449E"/>
    <w:rsid w:val="001F529A"/>
    <w:rsid w:val="001F547F"/>
    <w:rsid w:val="001F55EA"/>
    <w:rsid w:val="001F56BD"/>
    <w:rsid w:val="001F581C"/>
    <w:rsid w:val="001F5F13"/>
    <w:rsid w:val="001F677F"/>
    <w:rsid w:val="001F7220"/>
    <w:rsid w:val="001F7CE5"/>
    <w:rsid w:val="00203604"/>
    <w:rsid w:val="002040DE"/>
    <w:rsid w:val="002061C8"/>
    <w:rsid w:val="002064F7"/>
    <w:rsid w:val="00210373"/>
    <w:rsid w:val="002114DA"/>
    <w:rsid w:val="0021208F"/>
    <w:rsid w:val="00212313"/>
    <w:rsid w:val="00212757"/>
    <w:rsid w:val="0021335B"/>
    <w:rsid w:val="00214245"/>
    <w:rsid w:val="00214888"/>
    <w:rsid w:val="0021519B"/>
    <w:rsid w:val="00216E68"/>
    <w:rsid w:val="00220210"/>
    <w:rsid w:val="002202E6"/>
    <w:rsid w:val="00221128"/>
    <w:rsid w:val="002218FD"/>
    <w:rsid w:val="0022207B"/>
    <w:rsid w:val="0022284A"/>
    <w:rsid w:val="00222D83"/>
    <w:rsid w:val="00223B6F"/>
    <w:rsid w:val="0022548E"/>
    <w:rsid w:val="002266EA"/>
    <w:rsid w:val="00227057"/>
    <w:rsid w:val="0022732A"/>
    <w:rsid w:val="00230355"/>
    <w:rsid w:val="00230F38"/>
    <w:rsid w:val="00232183"/>
    <w:rsid w:val="00233DAF"/>
    <w:rsid w:val="00234324"/>
    <w:rsid w:val="00234BAD"/>
    <w:rsid w:val="00235E0C"/>
    <w:rsid w:val="00236ABE"/>
    <w:rsid w:val="00237AFB"/>
    <w:rsid w:val="00240029"/>
    <w:rsid w:val="00240887"/>
    <w:rsid w:val="00240F0C"/>
    <w:rsid w:val="0024407B"/>
    <w:rsid w:val="0024447F"/>
    <w:rsid w:val="00245695"/>
    <w:rsid w:val="00246181"/>
    <w:rsid w:val="00247184"/>
    <w:rsid w:val="002476D5"/>
    <w:rsid w:val="00250A5D"/>
    <w:rsid w:val="002518B7"/>
    <w:rsid w:val="00252D20"/>
    <w:rsid w:val="00253598"/>
    <w:rsid w:val="00253B9A"/>
    <w:rsid w:val="00254BD4"/>
    <w:rsid w:val="00255386"/>
    <w:rsid w:val="00255F88"/>
    <w:rsid w:val="00256255"/>
    <w:rsid w:val="002573F1"/>
    <w:rsid w:val="00260223"/>
    <w:rsid w:val="002616E7"/>
    <w:rsid w:val="00261A0C"/>
    <w:rsid w:val="0026220B"/>
    <w:rsid w:val="00262351"/>
    <w:rsid w:val="0026300F"/>
    <w:rsid w:val="00263521"/>
    <w:rsid w:val="0026433B"/>
    <w:rsid w:val="00266085"/>
    <w:rsid w:val="0026692C"/>
    <w:rsid w:val="00266C11"/>
    <w:rsid w:val="0026741E"/>
    <w:rsid w:val="0026776F"/>
    <w:rsid w:val="00270AB1"/>
    <w:rsid w:val="002710AA"/>
    <w:rsid w:val="00271806"/>
    <w:rsid w:val="00272213"/>
    <w:rsid w:val="00273DF7"/>
    <w:rsid w:val="00273F74"/>
    <w:rsid w:val="002742DD"/>
    <w:rsid w:val="00274FEA"/>
    <w:rsid w:val="0027510D"/>
    <w:rsid w:val="00276184"/>
    <w:rsid w:val="00277B65"/>
    <w:rsid w:val="00280A28"/>
    <w:rsid w:val="00281272"/>
    <w:rsid w:val="002812C7"/>
    <w:rsid w:val="002820F3"/>
    <w:rsid w:val="0028487D"/>
    <w:rsid w:val="0028595C"/>
    <w:rsid w:val="00291580"/>
    <w:rsid w:val="002919CC"/>
    <w:rsid w:val="00291F74"/>
    <w:rsid w:val="00292B72"/>
    <w:rsid w:val="002945C1"/>
    <w:rsid w:val="00295B54"/>
    <w:rsid w:val="002965F8"/>
    <w:rsid w:val="0029678F"/>
    <w:rsid w:val="00297EAE"/>
    <w:rsid w:val="002A0B33"/>
    <w:rsid w:val="002A2E33"/>
    <w:rsid w:val="002A399D"/>
    <w:rsid w:val="002A3C42"/>
    <w:rsid w:val="002A3E49"/>
    <w:rsid w:val="002A4053"/>
    <w:rsid w:val="002A4F4A"/>
    <w:rsid w:val="002A5002"/>
    <w:rsid w:val="002A6441"/>
    <w:rsid w:val="002A679E"/>
    <w:rsid w:val="002A6D05"/>
    <w:rsid w:val="002A72E7"/>
    <w:rsid w:val="002A7D21"/>
    <w:rsid w:val="002B07F3"/>
    <w:rsid w:val="002B0C69"/>
    <w:rsid w:val="002B1446"/>
    <w:rsid w:val="002B14CF"/>
    <w:rsid w:val="002B1834"/>
    <w:rsid w:val="002B1B97"/>
    <w:rsid w:val="002B22AC"/>
    <w:rsid w:val="002B2403"/>
    <w:rsid w:val="002B24FC"/>
    <w:rsid w:val="002B27C0"/>
    <w:rsid w:val="002B2CA2"/>
    <w:rsid w:val="002B3314"/>
    <w:rsid w:val="002B3B21"/>
    <w:rsid w:val="002B5F16"/>
    <w:rsid w:val="002B7849"/>
    <w:rsid w:val="002B7D8B"/>
    <w:rsid w:val="002C00D1"/>
    <w:rsid w:val="002C0C78"/>
    <w:rsid w:val="002C1EE0"/>
    <w:rsid w:val="002C2BE3"/>
    <w:rsid w:val="002C3438"/>
    <w:rsid w:val="002C4139"/>
    <w:rsid w:val="002C51B2"/>
    <w:rsid w:val="002C5783"/>
    <w:rsid w:val="002C727A"/>
    <w:rsid w:val="002C7B44"/>
    <w:rsid w:val="002D08D5"/>
    <w:rsid w:val="002D2193"/>
    <w:rsid w:val="002D27A5"/>
    <w:rsid w:val="002D393F"/>
    <w:rsid w:val="002D3A7E"/>
    <w:rsid w:val="002D41BB"/>
    <w:rsid w:val="002E0041"/>
    <w:rsid w:val="002E07B1"/>
    <w:rsid w:val="002E196D"/>
    <w:rsid w:val="002E22C7"/>
    <w:rsid w:val="002E3ED3"/>
    <w:rsid w:val="002E47B2"/>
    <w:rsid w:val="002E4867"/>
    <w:rsid w:val="002E51B2"/>
    <w:rsid w:val="002E65A7"/>
    <w:rsid w:val="002E67C2"/>
    <w:rsid w:val="002E69F4"/>
    <w:rsid w:val="002E6BAE"/>
    <w:rsid w:val="002E6F78"/>
    <w:rsid w:val="002E7086"/>
    <w:rsid w:val="002E782E"/>
    <w:rsid w:val="002F0AEF"/>
    <w:rsid w:val="002F2F24"/>
    <w:rsid w:val="002F3BB7"/>
    <w:rsid w:val="002F46B3"/>
    <w:rsid w:val="002F58D6"/>
    <w:rsid w:val="002F7AC7"/>
    <w:rsid w:val="00301153"/>
    <w:rsid w:val="003012A6"/>
    <w:rsid w:val="0030138E"/>
    <w:rsid w:val="00301A77"/>
    <w:rsid w:val="00303901"/>
    <w:rsid w:val="00303A7D"/>
    <w:rsid w:val="00303A8F"/>
    <w:rsid w:val="00303CDE"/>
    <w:rsid w:val="0030477B"/>
    <w:rsid w:val="00305183"/>
    <w:rsid w:val="00305D1E"/>
    <w:rsid w:val="003066EC"/>
    <w:rsid w:val="0030680D"/>
    <w:rsid w:val="003068B7"/>
    <w:rsid w:val="00307256"/>
    <w:rsid w:val="0030734C"/>
    <w:rsid w:val="00310E2A"/>
    <w:rsid w:val="00311D97"/>
    <w:rsid w:val="00312DCE"/>
    <w:rsid w:val="00313E3C"/>
    <w:rsid w:val="00313EC0"/>
    <w:rsid w:val="003146FA"/>
    <w:rsid w:val="00314FFB"/>
    <w:rsid w:val="00315BB2"/>
    <w:rsid w:val="00315CF4"/>
    <w:rsid w:val="00316013"/>
    <w:rsid w:val="0031708A"/>
    <w:rsid w:val="00317A0F"/>
    <w:rsid w:val="00320AA2"/>
    <w:rsid w:val="00320E0A"/>
    <w:rsid w:val="00321349"/>
    <w:rsid w:val="00321551"/>
    <w:rsid w:val="00321B6C"/>
    <w:rsid w:val="00322527"/>
    <w:rsid w:val="00322E15"/>
    <w:rsid w:val="00323027"/>
    <w:rsid w:val="00323565"/>
    <w:rsid w:val="00324CBD"/>
    <w:rsid w:val="003322F4"/>
    <w:rsid w:val="00333E5C"/>
    <w:rsid w:val="00334BB0"/>
    <w:rsid w:val="00336719"/>
    <w:rsid w:val="00337E3F"/>
    <w:rsid w:val="00337F41"/>
    <w:rsid w:val="00337FB0"/>
    <w:rsid w:val="0034174D"/>
    <w:rsid w:val="003417B5"/>
    <w:rsid w:val="00342270"/>
    <w:rsid w:val="00342D47"/>
    <w:rsid w:val="003432CB"/>
    <w:rsid w:val="00343403"/>
    <w:rsid w:val="00343418"/>
    <w:rsid w:val="003437D2"/>
    <w:rsid w:val="00343FE0"/>
    <w:rsid w:val="00345E1B"/>
    <w:rsid w:val="00346D08"/>
    <w:rsid w:val="003476AE"/>
    <w:rsid w:val="003477EF"/>
    <w:rsid w:val="00347C2D"/>
    <w:rsid w:val="00350AD4"/>
    <w:rsid w:val="00352FB8"/>
    <w:rsid w:val="003548D7"/>
    <w:rsid w:val="003554AF"/>
    <w:rsid w:val="00356EB3"/>
    <w:rsid w:val="0035773B"/>
    <w:rsid w:val="003618F0"/>
    <w:rsid w:val="003628AB"/>
    <w:rsid w:val="003631B0"/>
    <w:rsid w:val="003634D5"/>
    <w:rsid w:val="00363946"/>
    <w:rsid w:val="0036496E"/>
    <w:rsid w:val="00364D64"/>
    <w:rsid w:val="003652BB"/>
    <w:rsid w:val="00366BB3"/>
    <w:rsid w:val="00367122"/>
    <w:rsid w:val="00370115"/>
    <w:rsid w:val="00370434"/>
    <w:rsid w:val="003733D6"/>
    <w:rsid w:val="0037370B"/>
    <w:rsid w:val="00375148"/>
    <w:rsid w:val="00375ADA"/>
    <w:rsid w:val="0037752E"/>
    <w:rsid w:val="00377EB8"/>
    <w:rsid w:val="00380052"/>
    <w:rsid w:val="003800CC"/>
    <w:rsid w:val="003805AD"/>
    <w:rsid w:val="00380693"/>
    <w:rsid w:val="00380ACE"/>
    <w:rsid w:val="00380D1D"/>
    <w:rsid w:val="0038195F"/>
    <w:rsid w:val="00382344"/>
    <w:rsid w:val="003829D9"/>
    <w:rsid w:val="003829F8"/>
    <w:rsid w:val="003831FD"/>
    <w:rsid w:val="00383DB5"/>
    <w:rsid w:val="00384E8B"/>
    <w:rsid w:val="00385984"/>
    <w:rsid w:val="00386266"/>
    <w:rsid w:val="00386E9D"/>
    <w:rsid w:val="00390E99"/>
    <w:rsid w:val="003917BC"/>
    <w:rsid w:val="00392B54"/>
    <w:rsid w:val="00392D5B"/>
    <w:rsid w:val="00393231"/>
    <w:rsid w:val="00393603"/>
    <w:rsid w:val="003938C8"/>
    <w:rsid w:val="0039440F"/>
    <w:rsid w:val="00394487"/>
    <w:rsid w:val="0039540A"/>
    <w:rsid w:val="003972FF"/>
    <w:rsid w:val="00397750"/>
    <w:rsid w:val="00397905"/>
    <w:rsid w:val="003A0072"/>
    <w:rsid w:val="003A0230"/>
    <w:rsid w:val="003A0C0B"/>
    <w:rsid w:val="003A1013"/>
    <w:rsid w:val="003A1EA8"/>
    <w:rsid w:val="003A2F8B"/>
    <w:rsid w:val="003A30A8"/>
    <w:rsid w:val="003A3595"/>
    <w:rsid w:val="003A4194"/>
    <w:rsid w:val="003A4EF5"/>
    <w:rsid w:val="003A5F2D"/>
    <w:rsid w:val="003A60FA"/>
    <w:rsid w:val="003A7DE5"/>
    <w:rsid w:val="003B074A"/>
    <w:rsid w:val="003B0C90"/>
    <w:rsid w:val="003B1351"/>
    <w:rsid w:val="003B1CAB"/>
    <w:rsid w:val="003B26FD"/>
    <w:rsid w:val="003B3C21"/>
    <w:rsid w:val="003B4D17"/>
    <w:rsid w:val="003B54C0"/>
    <w:rsid w:val="003B5728"/>
    <w:rsid w:val="003B795A"/>
    <w:rsid w:val="003B7E05"/>
    <w:rsid w:val="003B7F86"/>
    <w:rsid w:val="003C02D9"/>
    <w:rsid w:val="003C0F75"/>
    <w:rsid w:val="003C1FD6"/>
    <w:rsid w:val="003C2ED1"/>
    <w:rsid w:val="003C3AF8"/>
    <w:rsid w:val="003C4AA9"/>
    <w:rsid w:val="003C50CB"/>
    <w:rsid w:val="003C531E"/>
    <w:rsid w:val="003C5CD8"/>
    <w:rsid w:val="003D032E"/>
    <w:rsid w:val="003D054F"/>
    <w:rsid w:val="003D0ABB"/>
    <w:rsid w:val="003D113D"/>
    <w:rsid w:val="003D153F"/>
    <w:rsid w:val="003D171B"/>
    <w:rsid w:val="003D2512"/>
    <w:rsid w:val="003D3A9E"/>
    <w:rsid w:val="003D3D72"/>
    <w:rsid w:val="003D49E5"/>
    <w:rsid w:val="003D54EB"/>
    <w:rsid w:val="003D5BAA"/>
    <w:rsid w:val="003E01A3"/>
    <w:rsid w:val="003E0CF8"/>
    <w:rsid w:val="003E114A"/>
    <w:rsid w:val="003E16BE"/>
    <w:rsid w:val="003E3F90"/>
    <w:rsid w:val="003E4440"/>
    <w:rsid w:val="003E58C2"/>
    <w:rsid w:val="003E5E41"/>
    <w:rsid w:val="003E6692"/>
    <w:rsid w:val="003E6BF6"/>
    <w:rsid w:val="003E711C"/>
    <w:rsid w:val="003F076C"/>
    <w:rsid w:val="003F1736"/>
    <w:rsid w:val="003F1F46"/>
    <w:rsid w:val="003F26AA"/>
    <w:rsid w:val="003F2E9A"/>
    <w:rsid w:val="003F34AE"/>
    <w:rsid w:val="003F4220"/>
    <w:rsid w:val="003F4376"/>
    <w:rsid w:val="003F4536"/>
    <w:rsid w:val="003F4771"/>
    <w:rsid w:val="003F48ED"/>
    <w:rsid w:val="003F519E"/>
    <w:rsid w:val="003F53C1"/>
    <w:rsid w:val="003F576E"/>
    <w:rsid w:val="003F59D0"/>
    <w:rsid w:val="003F772B"/>
    <w:rsid w:val="003F7CDF"/>
    <w:rsid w:val="00401233"/>
    <w:rsid w:val="0040128D"/>
    <w:rsid w:val="004044EA"/>
    <w:rsid w:val="0040508C"/>
    <w:rsid w:val="00405614"/>
    <w:rsid w:val="0040599B"/>
    <w:rsid w:val="00406C43"/>
    <w:rsid w:val="0040713C"/>
    <w:rsid w:val="00407A59"/>
    <w:rsid w:val="00410206"/>
    <w:rsid w:val="00411013"/>
    <w:rsid w:val="004118E5"/>
    <w:rsid w:val="004136C6"/>
    <w:rsid w:val="00413A60"/>
    <w:rsid w:val="00413BC8"/>
    <w:rsid w:val="00417AE9"/>
    <w:rsid w:val="00420755"/>
    <w:rsid w:val="004213C4"/>
    <w:rsid w:val="0042149B"/>
    <w:rsid w:val="004218B9"/>
    <w:rsid w:val="00422D45"/>
    <w:rsid w:val="00422F13"/>
    <w:rsid w:val="00424661"/>
    <w:rsid w:val="00424A86"/>
    <w:rsid w:val="00424CC3"/>
    <w:rsid w:val="00425756"/>
    <w:rsid w:val="00425804"/>
    <w:rsid w:val="00425D41"/>
    <w:rsid w:val="00426D99"/>
    <w:rsid w:val="0042728E"/>
    <w:rsid w:val="00427562"/>
    <w:rsid w:val="00430044"/>
    <w:rsid w:val="00430327"/>
    <w:rsid w:val="004308DE"/>
    <w:rsid w:val="0043094E"/>
    <w:rsid w:val="004313EA"/>
    <w:rsid w:val="0043183E"/>
    <w:rsid w:val="00432922"/>
    <w:rsid w:val="00432EC9"/>
    <w:rsid w:val="004332EF"/>
    <w:rsid w:val="00433681"/>
    <w:rsid w:val="00433717"/>
    <w:rsid w:val="00433EBC"/>
    <w:rsid w:val="0043466A"/>
    <w:rsid w:val="004347FB"/>
    <w:rsid w:val="00435829"/>
    <w:rsid w:val="00435A87"/>
    <w:rsid w:val="00435DCE"/>
    <w:rsid w:val="00436C37"/>
    <w:rsid w:val="0043778F"/>
    <w:rsid w:val="00437C15"/>
    <w:rsid w:val="0044006E"/>
    <w:rsid w:val="00440336"/>
    <w:rsid w:val="00440828"/>
    <w:rsid w:val="0044148F"/>
    <w:rsid w:val="00441806"/>
    <w:rsid w:val="00441C9D"/>
    <w:rsid w:val="00442ADF"/>
    <w:rsid w:val="004434DB"/>
    <w:rsid w:val="00444721"/>
    <w:rsid w:val="0044713A"/>
    <w:rsid w:val="00450437"/>
    <w:rsid w:val="004509EB"/>
    <w:rsid w:val="00450B77"/>
    <w:rsid w:val="004531A6"/>
    <w:rsid w:val="00453422"/>
    <w:rsid w:val="004536FF"/>
    <w:rsid w:val="0045414A"/>
    <w:rsid w:val="004556E4"/>
    <w:rsid w:val="0045620D"/>
    <w:rsid w:val="00456776"/>
    <w:rsid w:val="00456A0E"/>
    <w:rsid w:val="00456E58"/>
    <w:rsid w:val="00457BEA"/>
    <w:rsid w:val="00457C0A"/>
    <w:rsid w:val="0046167F"/>
    <w:rsid w:val="004642DE"/>
    <w:rsid w:val="0046431D"/>
    <w:rsid w:val="004652D0"/>
    <w:rsid w:val="00466CC5"/>
    <w:rsid w:val="00467774"/>
    <w:rsid w:val="00467DD8"/>
    <w:rsid w:val="0047004C"/>
    <w:rsid w:val="0047043A"/>
    <w:rsid w:val="004717EF"/>
    <w:rsid w:val="00472779"/>
    <w:rsid w:val="00472EC9"/>
    <w:rsid w:val="00473924"/>
    <w:rsid w:val="00473D47"/>
    <w:rsid w:val="00474141"/>
    <w:rsid w:val="0047436D"/>
    <w:rsid w:val="0047459E"/>
    <w:rsid w:val="00476345"/>
    <w:rsid w:val="00476F4B"/>
    <w:rsid w:val="00477672"/>
    <w:rsid w:val="004779AA"/>
    <w:rsid w:val="00480870"/>
    <w:rsid w:val="0048210B"/>
    <w:rsid w:val="0048266E"/>
    <w:rsid w:val="004860EC"/>
    <w:rsid w:val="004875F9"/>
    <w:rsid w:val="00487D0F"/>
    <w:rsid w:val="00491BC1"/>
    <w:rsid w:val="00492B85"/>
    <w:rsid w:val="00492CD8"/>
    <w:rsid w:val="004930B3"/>
    <w:rsid w:val="00493F7E"/>
    <w:rsid w:val="0049585F"/>
    <w:rsid w:val="004960FF"/>
    <w:rsid w:val="004964BF"/>
    <w:rsid w:val="004966EC"/>
    <w:rsid w:val="00496D08"/>
    <w:rsid w:val="00497717"/>
    <w:rsid w:val="004A0385"/>
    <w:rsid w:val="004A04B1"/>
    <w:rsid w:val="004A0CAF"/>
    <w:rsid w:val="004A1783"/>
    <w:rsid w:val="004A6F11"/>
    <w:rsid w:val="004A7157"/>
    <w:rsid w:val="004A7C7A"/>
    <w:rsid w:val="004A7D12"/>
    <w:rsid w:val="004B00EA"/>
    <w:rsid w:val="004B0AEF"/>
    <w:rsid w:val="004B19D1"/>
    <w:rsid w:val="004B1BD8"/>
    <w:rsid w:val="004B1FCF"/>
    <w:rsid w:val="004B2796"/>
    <w:rsid w:val="004B2DD4"/>
    <w:rsid w:val="004B2E00"/>
    <w:rsid w:val="004B3C65"/>
    <w:rsid w:val="004B5851"/>
    <w:rsid w:val="004B6622"/>
    <w:rsid w:val="004B6F55"/>
    <w:rsid w:val="004C0725"/>
    <w:rsid w:val="004C0996"/>
    <w:rsid w:val="004C0F71"/>
    <w:rsid w:val="004C1477"/>
    <w:rsid w:val="004C1BD0"/>
    <w:rsid w:val="004C2561"/>
    <w:rsid w:val="004C295E"/>
    <w:rsid w:val="004C2B86"/>
    <w:rsid w:val="004C38D0"/>
    <w:rsid w:val="004C392B"/>
    <w:rsid w:val="004C3C06"/>
    <w:rsid w:val="004C3D3B"/>
    <w:rsid w:val="004C3DAC"/>
    <w:rsid w:val="004C4964"/>
    <w:rsid w:val="004C4986"/>
    <w:rsid w:val="004C7373"/>
    <w:rsid w:val="004C737B"/>
    <w:rsid w:val="004C78B6"/>
    <w:rsid w:val="004C7D9F"/>
    <w:rsid w:val="004C7FDC"/>
    <w:rsid w:val="004D100C"/>
    <w:rsid w:val="004D1A8F"/>
    <w:rsid w:val="004D1DA3"/>
    <w:rsid w:val="004D2586"/>
    <w:rsid w:val="004D297A"/>
    <w:rsid w:val="004D326D"/>
    <w:rsid w:val="004D3DF2"/>
    <w:rsid w:val="004D3F62"/>
    <w:rsid w:val="004D4985"/>
    <w:rsid w:val="004D6BAB"/>
    <w:rsid w:val="004E0DC3"/>
    <w:rsid w:val="004E21B0"/>
    <w:rsid w:val="004E2904"/>
    <w:rsid w:val="004E3302"/>
    <w:rsid w:val="004E376E"/>
    <w:rsid w:val="004E43A3"/>
    <w:rsid w:val="004E4608"/>
    <w:rsid w:val="004E4CB1"/>
    <w:rsid w:val="004E4D21"/>
    <w:rsid w:val="004E4FFC"/>
    <w:rsid w:val="004E59C0"/>
    <w:rsid w:val="004E5C0D"/>
    <w:rsid w:val="004E708A"/>
    <w:rsid w:val="004F0416"/>
    <w:rsid w:val="004F06DB"/>
    <w:rsid w:val="004F1BA4"/>
    <w:rsid w:val="004F2C1F"/>
    <w:rsid w:val="004F3473"/>
    <w:rsid w:val="004F536C"/>
    <w:rsid w:val="004F5900"/>
    <w:rsid w:val="004F5E28"/>
    <w:rsid w:val="004F689C"/>
    <w:rsid w:val="004F7296"/>
    <w:rsid w:val="005006C5"/>
    <w:rsid w:val="0050078F"/>
    <w:rsid w:val="0050158F"/>
    <w:rsid w:val="005021C3"/>
    <w:rsid w:val="00502AE7"/>
    <w:rsid w:val="005068DF"/>
    <w:rsid w:val="00506E73"/>
    <w:rsid w:val="00507419"/>
    <w:rsid w:val="00510578"/>
    <w:rsid w:val="00510E57"/>
    <w:rsid w:val="00511861"/>
    <w:rsid w:val="00512486"/>
    <w:rsid w:val="00512DAB"/>
    <w:rsid w:val="00513288"/>
    <w:rsid w:val="00513946"/>
    <w:rsid w:val="00513ADE"/>
    <w:rsid w:val="00515844"/>
    <w:rsid w:val="00516293"/>
    <w:rsid w:val="005165FC"/>
    <w:rsid w:val="00516D42"/>
    <w:rsid w:val="00517A73"/>
    <w:rsid w:val="00520F73"/>
    <w:rsid w:val="0052132B"/>
    <w:rsid w:val="005222EA"/>
    <w:rsid w:val="00523418"/>
    <w:rsid w:val="00523933"/>
    <w:rsid w:val="00523D0C"/>
    <w:rsid w:val="00525408"/>
    <w:rsid w:val="0052582D"/>
    <w:rsid w:val="00525D1F"/>
    <w:rsid w:val="00526799"/>
    <w:rsid w:val="00527CE6"/>
    <w:rsid w:val="00530287"/>
    <w:rsid w:val="00530543"/>
    <w:rsid w:val="00531762"/>
    <w:rsid w:val="0053228A"/>
    <w:rsid w:val="00532A5F"/>
    <w:rsid w:val="00532B90"/>
    <w:rsid w:val="0053446C"/>
    <w:rsid w:val="00534924"/>
    <w:rsid w:val="0053570F"/>
    <w:rsid w:val="00535EA7"/>
    <w:rsid w:val="00535F2D"/>
    <w:rsid w:val="00537A68"/>
    <w:rsid w:val="0054068C"/>
    <w:rsid w:val="00540BB8"/>
    <w:rsid w:val="0054137B"/>
    <w:rsid w:val="005415C7"/>
    <w:rsid w:val="00541683"/>
    <w:rsid w:val="00543034"/>
    <w:rsid w:val="005441BD"/>
    <w:rsid w:val="00544263"/>
    <w:rsid w:val="00544535"/>
    <w:rsid w:val="00544E35"/>
    <w:rsid w:val="00544F96"/>
    <w:rsid w:val="005459DF"/>
    <w:rsid w:val="00545A72"/>
    <w:rsid w:val="00545C30"/>
    <w:rsid w:val="005467F4"/>
    <w:rsid w:val="00547C68"/>
    <w:rsid w:val="00550321"/>
    <w:rsid w:val="005503AB"/>
    <w:rsid w:val="00550FBE"/>
    <w:rsid w:val="00551B42"/>
    <w:rsid w:val="00552E20"/>
    <w:rsid w:val="00553D78"/>
    <w:rsid w:val="005547C7"/>
    <w:rsid w:val="005554CA"/>
    <w:rsid w:val="005556AA"/>
    <w:rsid w:val="00555767"/>
    <w:rsid w:val="0055639C"/>
    <w:rsid w:val="00556BB6"/>
    <w:rsid w:val="00557837"/>
    <w:rsid w:val="00561754"/>
    <w:rsid w:val="00561ABA"/>
    <w:rsid w:val="00561EC9"/>
    <w:rsid w:val="00562962"/>
    <w:rsid w:val="00563AA0"/>
    <w:rsid w:val="00565864"/>
    <w:rsid w:val="00565E01"/>
    <w:rsid w:val="00566049"/>
    <w:rsid w:val="00566B3A"/>
    <w:rsid w:val="00567BB3"/>
    <w:rsid w:val="00567F1A"/>
    <w:rsid w:val="00570BD7"/>
    <w:rsid w:val="005714A1"/>
    <w:rsid w:val="0057212A"/>
    <w:rsid w:val="00572552"/>
    <w:rsid w:val="005731EB"/>
    <w:rsid w:val="00574579"/>
    <w:rsid w:val="00574ABF"/>
    <w:rsid w:val="00574CB2"/>
    <w:rsid w:val="005757F9"/>
    <w:rsid w:val="005761F1"/>
    <w:rsid w:val="005767B0"/>
    <w:rsid w:val="00576CBF"/>
    <w:rsid w:val="00576F6A"/>
    <w:rsid w:val="005800E9"/>
    <w:rsid w:val="005804D2"/>
    <w:rsid w:val="00580C5C"/>
    <w:rsid w:val="00581A9D"/>
    <w:rsid w:val="0058292F"/>
    <w:rsid w:val="00582CE0"/>
    <w:rsid w:val="00583B7E"/>
    <w:rsid w:val="00583BBA"/>
    <w:rsid w:val="00583D26"/>
    <w:rsid w:val="005848FD"/>
    <w:rsid w:val="00584C30"/>
    <w:rsid w:val="00585354"/>
    <w:rsid w:val="00585B98"/>
    <w:rsid w:val="0058607F"/>
    <w:rsid w:val="00586E63"/>
    <w:rsid w:val="00590851"/>
    <w:rsid w:val="00591E6F"/>
    <w:rsid w:val="0059292C"/>
    <w:rsid w:val="005941D0"/>
    <w:rsid w:val="005945B5"/>
    <w:rsid w:val="00594B13"/>
    <w:rsid w:val="00594DBB"/>
    <w:rsid w:val="0059586D"/>
    <w:rsid w:val="00597487"/>
    <w:rsid w:val="00597704"/>
    <w:rsid w:val="00597C13"/>
    <w:rsid w:val="005A021D"/>
    <w:rsid w:val="005A0916"/>
    <w:rsid w:val="005A2810"/>
    <w:rsid w:val="005A28B9"/>
    <w:rsid w:val="005A5305"/>
    <w:rsid w:val="005A56B6"/>
    <w:rsid w:val="005B0727"/>
    <w:rsid w:val="005B14F9"/>
    <w:rsid w:val="005B2495"/>
    <w:rsid w:val="005B3524"/>
    <w:rsid w:val="005B38F4"/>
    <w:rsid w:val="005B3B68"/>
    <w:rsid w:val="005B578E"/>
    <w:rsid w:val="005B5B84"/>
    <w:rsid w:val="005B5D0B"/>
    <w:rsid w:val="005B6593"/>
    <w:rsid w:val="005B77C7"/>
    <w:rsid w:val="005B7AA6"/>
    <w:rsid w:val="005B7EAE"/>
    <w:rsid w:val="005C0494"/>
    <w:rsid w:val="005C08BF"/>
    <w:rsid w:val="005C1062"/>
    <w:rsid w:val="005C11ED"/>
    <w:rsid w:val="005C1231"/>
    <w:rsid w:val="005C221C"/>
    <w:rsid w:val="005C2501"/>
    <w:rsid w:val="005C2CF7"/>
    <w:rsid w:val="005C2DB7"/>
    <w:rsid w:val="005C3176"/>
    <w:rsid w:val="005C3F06"/>
    <w:rsid w:val="005C504B"/>
    <w:rsid w:val="005C6793"/>
    <w:rsid w:val="005C741B"/>
    <w:rsid w:val="005C7944"/>
    <w:rsid w:val="005C7D0B"/>
    <w:rsid w:val="005C7D46"/>
    <w:rsid w:val="005C7F67"/>
    <w:rsid w:val="005D02D4"/>
    <w:rsid w:val="005D075B"/>
    <w:rsid w:val="005D08DA"/>
    <w:rsid w:val="005D0985"/>
    <w:rsid w:val="005D0E84"/>
    <w:rsid w:val="005D1186"/>
    <w:rsid w:val="005D1D2D"/>
    <w:rsid w:val="005D22CB"/>
    <w:rsid w:val="005D2EC2"/>
    <w:rsid w:val="005D31C7"/>
    <w:rsid w:val="005D3B86"/>
    <w:rsid w:val="005D3C6C"/>
    <w:rsid w:val="005D42B1"/>
    <w:rsid w:val="005D44E4"/>
    <w:rsid w:val="005D4586"/>
    <w:rsid w:val="005D5721"/>
    <w:rsid w:val="005D5816"/>
    <w:rsid w:val="005D59B9"/>
    <w:rsid w:val="005D63CB"/>
    <w:rsid w:val="005D68F9"/>
    <w:rsid w:val="005D6DCE"/>
    <w:rsid w:val="005D74C0"/>
    <w:rsid w:val="005D7F00"/>
    <w:rsid w:val="005E07B1"/>
    <w:rsid w:val="005E096F"/>
    <w:rsid w:val="005E133D"/>
    <w:rsid w:val="005E156A"/>
    <w:rsid w:val="005E46D7"/>
    <w:rsid w:val="005E5AF7"/>
    <w:rsid w:val="005E5B83"/>
    <w:rsid w:val="005E63DE"/>
    <w:rsid w:val="005E66A5"/>
    <w:rsid w:val="005E69D4"/>
    <w:rsid w:val="005E6B31"/>
    <w:rsid w:val="005E74B4"/>
    <w:rsid w:val="005E7A28"/>
    <w:rsid w:val="005F062D"/>
    <w:rsid w:val="005F0CCE"/>
    <w:rsid w:val="005F115B"/>
    <w:rsid w:val="005F123B"/>
    <w:rsid w:val="005F1C17"/>
    <w:rsid w:val="005F2278"/>
    <w:rsid w:val="005F3B2E"/>
    <w:rsid w:val="005F3F12"/>
    <w:rsid w:val="005F4346"/>
    <w:rsid w:val="005F558A"/>
    <w:rsid w:val="005F5997"/>
    <w:rsid w:val="005F61FA"/>
    <w:rsid w:val="005F655C"/>
    <w:rsid w:val="005F66BA"/>
    <w:rsid w:val="005F69C6"/>
    <w:rsid w:val="00600410"/>
    <w:rsid w:val="0060061C"/>
    <w:rsid w:val="00600BFE"/>
    <w:rsid w:val="006021A6"/>
    <w:rsid w:val="00603E3B"/>
    <w:rsid w:val="0060554C"/>
    <w:rsid w:val="00605C0F"/>
    <w:rsid w:val="00606067"/>
    <w:rsid w:val="006061DA"/>
    <w:rsid w:val="00610022"/>
    <w:rsid w:val="0061160E"/>
    <w:rsid w:val="0061178A"/>
    <w:rsid w:val="0061190F"/>
    <w:rsid w:val="006126A5"/>
    <w:rsid w:val="00612B99"/>
    <w:rsid w:val="00613074"/>
    <w:rsid w:val="00614436"/>
    <w:rsid w:val="00614A7A"/>
    <w:rsid w:val="00615263"/>
    <w:rsid w:val="00615490"/>
    <w:rsid w:val="00616613"/>
    <w:rsid w:val="00616898"/>
    <w:rsid w:val="00616CDF"/>
    <w:rsid w:val="00617684"/>
    <w:rsid w:val="006211FF"/>
    <w:rsid w:val="0062242A"/>
    <w:rsid w:val="006226B6"/>
    <w:rsid w:val="006228BB"/>
    <w:rsid w:val="006251F6"/>
    <w:rsid w:val="00625826"/>
    <w:rsid w:val="00626184"/>
    <w:rsid w:val="00627671"/>
    <w:rsid w:val="006301CE"/>
    <w:rsid w:val="00630AE2"/>
    <w:rsid w:val="00630DDB"/>
    <w:rsid w:val="00631AC4"/>
    <w:rsid w:val="00631EF0"/>
    <w:rsid w:val="00632CEE"/>
    <w:rsid w:val="00633ADB"/>
    <w:rsid w:val="00634092"/>
    <w:rsid w:val="006343DE"/>
    <w:rsid w:val="006346C1"/>
    <w:rsid w:val="00634B40"/>
    <w:rsid w:val="00634DAD"/>
    <w:rsid w:val="0063520D"/>
    <w:rsid w:val="0063573A"/>
    <w:rsid w:val="00635AC0"/>
    <w:rsid w:val="006369C8"/>
    <w:rsid w:val="00636B80"/>
    <w:rsid w:val="00637109"/>
    <w:rsid w:val="00642405"/>
    <w:rsid w:val="006425A2"/>
    <w:rsid w:val="00642A7D"/>
    <w:rsid w:val="00642C5F"/>
    <w:rsid w:val="0064336F"/>
    <w:rsid w:val="006437DB"/>
    <w:rsid w:val="00643A90"/>
    <w:rsid w:val="00644C4F"/>
    <w:rsid w:val="006455F8"/>
    <w:rsid w:val="006457EB"/>
    <w:rsid w:val="00646C3C"/>
    <w:rsid w:val="00647428"/>
    <w:rsid w:val="006475A9"/>
    <w:rsid w:val="006475DC"/>
    <w:rsid w:val="00647710"/>
    <w:rsid w:val="00650489"/>
    <w:rsid w:val="006509EF"/>
    <w:rsid w:val="00651BE8"/>
    <w:rsid w:val="006526FB"/>
    <w:rsid w:val="006531CB"/>
    <w:rsid w:val="0065372F"/>
    <w:rsid w:val="00654EC2"/>
    <w:rsid w:val="00655361"/>
    <w:rsid w:val="006553A3"/>
    <w:rsid w:val="0065575F"/>
    <w:rsid w:val="00656351"/>
    <w:rsid w:val="00657271"/>
    <w:rsid w:val="00657727"/>
    <w:rsid w:val="00657993"/>
    <w:rsid w:val="006621CB"/>
    <w:rsid w:val="00662350"/>
    <w:rsid w:val="00662405"/>
    <w:rsid w:val="006633DE"/>
    <w:rsid w:val="0066394D"/>
    <w:rsid w:val="00664042"/>
    <w:rsid w:val="00664398"/>
    <w:rsid w:val="006644FD"/>
    <w:rsid w:val="00664D5C"/>
    <w:rsid w:val="0066580C"/>
    <w:rsid w:val="00667399"/>
    <w:rsid w:val="0066781B"/>
    <w:rsid w:val="00667F0B"/>
    <w:rsid w:val="00667FC4"/>
    <w:rsid w:val="00670838"/>
    <w:rsid w:val="0067092F"/>
    <w:rsid w:val="00671746"/>
    <w:rsid w:val="006719E7"/>
    <w:rsid w:val="00671A97"/>
    <w:rsid w:val="00672365"/>
    <w:rsid w:val="00672783"/>
    <w:rsid w:val="006738FE"/>
    <w:rsid w:val="006747B4"/>
    <w:rsid w:val="00674965"/>
    <w:rsid w:val="00674F7C"/>
    <w:rsid w:val="00674FA6"/>
    <w:rsid w:val="00677644"/>
    <w:rsid w:val="00680017"/>
    <w:rsid w:val="006802F5"/>
    <w:rsid w:val="00680C95"/>
    <w:rsid w:val="006815E3"/>
    <w:rsid w:val="00682945"/>
    <w:rsid w:val="00683066"/>
    <w:rsid w:val="00683B49"/>
    <w:rsid w:val="0068407A"/>
    <w:rsid w:val="00684A12"/>
    <w:rsid w:val="00686EC4"/>
    <w:rsid w:val="00687ED4"/>
    <w:rsid w:val="00690205"/>
    <w:rsid w:val="00690830"/>
    <w:rsid w:val="00691238"/>
    <w:rsid w:val="00691DD1"/>
    <w:rsid w:val="0069264D"/>
    <w:rsid w:val="00692A75"/>
    <w:rsid w:val="00695B6B"/>
    <w:rsid w:val="006967DF"/>
    <w:rsid w:val="00697509"/>
    <w:rsid w:val="00697606"/>
    <w:rsid w:val="0069761A"/>
    <w:rsid w:val="00697806"/>
    <w:rsid w:val="006A0CBC"/>
    <w:rsid w:val="006A0E83"/>
    <w:rsid w:val="006A12FC"/>
    <w:rsid w:val="006A3F91"/>
    <w:rsid w:val="006A49E0"/>
    <w:rsid w:val="006A4EB1"/>
    <w:rsid w:val="006A5175"/>
    <w:rsid w:val="006A5FE4"/>
    <w:rsid w:val="006A66D8"/>
    <w:rsid w:val="006A6B9E"/>
    <w:rsid w:val="006A6BDD"/>
    <w:rsid w:val="006A79A8"/>
    <w:rsid w:val="006A7F42"/>
    <w:rsid w:val="006B0DF4"/>
    <w:rsid w:val="006B112B"/>
    <w:rsid w:val="006B2F02"/>
    <w:rsid w:val="006B34EB"/>
    <w:rsid w:val="006B3FED"/>
    <w:rsid w:val="006B4565"/>
    <w:rsid w:val="006B5A90"/>
    <w:rsid w:val="006B617B"/>
    <w:rsid w:val="006B6E90"/>
    <w:rsid w:val="006B7428"/>
    <w:rsid w:val="006C000F"/>
    <w:rsid w:val="006C07A0"/>
    <w:rsid w:val="006C0FA1"/>
    <w:rsid w:val="006C127C"/>
    <w:rsid w:val="006C21D5"/>
    <w:rsid w:val="006C2202"/>
    <w:rsid w:val="006C25A5"/>
    <w:rsid w:val="006C29E9"/>
    <w:rsid w:val="006C4CF7"/>
    <w:rsid w:val="006C51DB"/>
    <w:rsid w:val="006C53EB"/>
    <w:rsid w:val="006C6B89"/>
    <w:rsid w:val="006D0CD4"/>
    <w:rsid w:val="006D3647"/>
    <w:rsid w:val="006D3806"/>
    <w:rsid w:val="006D3ADF"/>
    <w:rsid w:val="006D4161"/>
    <w:rsid w:val="006D51AB"/>
    <w:rsid w:val="006D5985"/>
    <w:rsid w:val="006D66C8"/>
    <w:rsid w:val="006D68E7"/>
    <w:rsid w:val="006D6AF5"/>
    <w:rsid w:val="006D6C51"/>
    <w:rsid w:val="006D786C"/>
    <w:rsid w:val="006E0CCB"/>
    <w:rsid w:val="006E107D"/>
    <w:rsid w:val="006E2844"/>
    <w:rsid w:val="006E44FC"/>
    <w:rsid w:val="006E4C1B"/>
    <w:rsid w:val="006E5332"/>
    <w:rsid w:val="006E5AFE"/>
    <w:rsid w:val="006E6976"/>
    <w:rsid w:val="006F090F"/>
    <w:rsid w:val="006F0A33"/>
    <w:rsid w:val="006F2153"/>
    <w:rsid w:val="006F285F"/>
    <w:rsid w:val="006F2F00"/>
    <w:rsid w:val="006F3044"/>
    <w:rsid w:val="006F3532"/>
    <w:rsid w:val="006F43A2"/>
    <w:rsid w:val="006F4474"/>
    <w:rsid w:val="007002BE"/>
    <w:rsid w:val="0070050B"/>
    <w:rsid w:val="00700542"/>
    <w:rsid w:val="00701D0B"/>
    <w:rsid w:val="00701DEE"/>
    <w:rsid w:val="00701F8D"/>
    <w:rsid w:val="00702ACE"/>
    <w:rsid w:val="00702CB7"/>
    <w:rsid w:val="00703898"/>
    <w:rsid w:val="00703FCC"/>
    <w:rsid w:val="00706A30"/>
    <w:rsid w:val="00706E30"/>
    <w:rsid w:val="00706F0C"/>
    <w:rsid w:val="00706F43"/>
    <w:rsid w:val="00711189"/>
    <w:rsid w:val="00711AF1"/>
    <w:rsid w:val="00711B9C"/>
    <w:rsid w:val="00713513"/>
    <w:rsid w:val="007143BF"/>
    <w:rsid w:val="00714841"/>
    <w:rsid w:val="007152DC"/>
    <w:rsid w:val="00715BA7"/>
    <w:rsid w:val="007161E2"/>
    <w:rsid w:val="00716210"/>
    <w:rsid w:val="00717C1A"/>
    <w:rsid w:val="0072091C"/>
    <w:rsid w:val="00720FA6"/>
    <w:rsid w:val="00721384"/>
    <w:rsid w:val="007215F7"/>
    <w:rsid w:val="0072219B"/>
    <w:rsid w:val="0072220F"/>
    <w:rsid w:val="00722963"/>
    <w:rsid w:val="00724102"/>
    <w:rsid w:val="00725A30"/>
    <w:rsid w:val="00725FE1"/>
    <w:rsid w:val="007267BC"/>
    <w:rsid w:val="00726DCF"/>
    <w:rsid w:val="007301AE"/>
    <w:rsid w:val="0073124F"/>
    <w:rsid w:val="007322E2"/>
    <w:rsid w:val="007326AF"/>
    <w:rsid w:val="00733D35"/>
    <w:rsid w:val="0073554C"/>
    <w:rsid w:val="007376F6"/>
    <w:rsid w:val="00737926"/>
    <w:rsid w:val="007406A2"/>
    <w:rsid w:val="00740CA2"/>
    <w:rsid w:val="00741028"/>
    <w:rsid w:val="00741840"/>
    <w:rsid w:val="00741AC9"/>
    <w:rsid w:val="00741C90"/>
    <w:rsid w:val="00741FF2"/>
    <w:rsid w:val="007421DA"/>
    <w:rsid w:val="007422FB"/>
    <w:rsid w:val="00742867"/>
    <w:rsid w:val="00744E84"/>
    <w:rsid w:val="007474F0"/>
    <w:rsid w:val="007514FF"/>
    <w:rsid w:val="0075211B"/>
    <w:rsid w:val="00752D21"/>
    <w:rsid w:val="00752F63"/>
    <w:rsid w:val="00753ADE"/>
    <w:rsid w:val="0075431B"/>
    <w:rsid w:val="0075512A"/>
    <w:rsid w:val="00755423"/>
    <w:rsid w:val="007558D2"/>
    <w:rsid w:val="00757278"/>
    <w:rsid w:val="007606D7"/>
    <w:rsid w:val="00760882"/>
    <w:rsid w:val="00760AFC"/>
    <w:rsid w:val="0076146E"/>
    <w:rsid w:val="00761C01"/>
    <w:rsid w:val="00762983"/>
    <w:rsid w:val="00762F46"/>
    <w:rsid w:val="007634DF"/>
    <w:rsid w:val="007639EC"/>
    <w:rsid w:val="00765218"/>
    <w:rsid w:val="00765294"/>
    <w:rsid w:val="00765484"/>
    <w:rsid w:val="00765FA6"/>
    <w:rsid w:val="00766526"/>
    <w:rsid w:val="00766C77"/>
    <w:rsid w:val="007718D7"/>
    <w:rsid w:val="00771F48"/>
    <w:rsid w:val="007723A7"/>
    <w:rsid w:val="00772F24"/>
    <w:rsid w:val="00773F61"/>
    <w:rsid w:val="00774367"/>
    <w:rsid w:val="00774752"/>
    <w:rsid w:val="00775D9F"/>
    <w:rsid w:val="007764A2"/>
    <w:rsid w:val="00776973"/>
    <w:rsid w:val="00780380"/>
    <w:rsid w:val="00783002"/>
    <w:rsid w:val="00783FE0"/>
    <w:rsid w:val="00784081"/>
    <w:rsid w:val="00786E87"/>
    <w:rsid w:val="00787415"/>
    <w:rsid w:val="007934D4"/>
    <w:rsid w:val="007937A5"/>
    <w:rsid w:val="00793BBF"/>
    <w:rsid w:val="007941D5"/>
    <w:rsid w:val="00794434"/>
    <w:rsid w:val="007945E7"/>
    <w:rsid w:val="00796204"/>
    <w:rsid w:val="00796C25"/>
    <w:rsid w:val="007970F7"/>
    <w:rsid w:val="00797A28"/>
    <w:rsid w:val="007A00B3"/>
    <w:rsid w:val="007A1577"/>
    <w:rsid w:val="007A2F78"/>
    <w:rsid w:val="007A30F5"/>
    <w:rsid w:val="007A3843"/>
    <w:rsid w:val="007A3C4E"/>
    <w:rsid w:val="007A4EBD"/>
    <w:rsid w:val="007A6800"/>
    <w:rsid w:val="007A6FE7"/>
    <w:rsid w:val="007B0B37"/>
    <w:rsid w:val="007B0B8F"/>
    <w:rsid w:val="007B112B"/>
    <w:rsid w:val="007B24CD"/>
    <w:rsid w:val="007B3366"/>
    <w:rsid w:val="007B3B94"/>
    <w:rsid w:val="007B3C05"/>
    <w:rsid w:val="007B4F97"/>
    <w:rsid w:val="007B5497"/>
    <w:rsid w:val="007B5B26"/>
    <w:rsid w:val="007B691A"/>
    <w:rsid w:val="007B6A0F"/>
    <w:rsid w:val="007B6ACF"/>
    <w:rsid w:val="007B6B14"/>
    <w:rsid w:val="007B74D7"/>
    <w:rsid w:val="007B7BD5"/>
    <w:rsid w:val="007C02F1"/>
    <w:rsid w:val="007C0513"/>
    <w:rsid w:val="007C0767"/>
    <w:rsid w:val="007C0D9D"/>
    <w:rsid w:val="007C1CAE"/>
    <w:rsid w:val="007C1FF6"/>
    <w:rsid w:val="007C204B"/>
    <w:rsid w:val="007C3198"/>
    <w:rsid w:val="007C33D0"/>
    <w:rsid w:val="007C33DA"/>
    <w:rsid w:val="007C3E92"/>
    <w:rsid w:val="007C4A11"/>
    <w:rsid w:val="007C5977"/>
    <w:rsid w:val="007C62EA"/>
    <w:rsid w:val="007D04FB"/>
    <w:rsid w:val="007D081A"/>
    <w:rsid w:val="007D0C96"/>
    <w:rsid w:val="007D19FF"/>
    <w:rsid w:val="007D1B65"/>
    <w:rsid w:val="007D1C61"/>
    <w:rsid w:val="007D37B3"/>
    <w:rsid w:val="007D3EFF"/>
    <w:rsid w:val="007D5686"/>
    <w:rsid w:val="007D5919"/>
    <w:rsid w:val="007D5A0D"/>
    <w:rsid w:val="007D5BAC"/>
    <w:rsid w:val="007D61B8"/>
    <w:rsid w:val="007D62F7"/>
    <w:rsid w:val="007D633A"/>
    <w:rsid w:val="007D69AB"/>
    <w:rsid w:val="007D6EA5"/>
    <w:rsid w:val="007D6F65"/>
    <w:rsid w:val="007D7136"/>
    <w:rsid w:val="007D7AB0"/>
    <w:rsid w:val="007E04C2"/>
    <w:rsid w:val="007E09DE"/>
    <w:rsid w:val="007E225F"/>
    <w:rsid w:val="007E261F"/>
    <w:rsid w:val="007E26EF"/>
    <w:rsid w:val="007E43C7"/>
    <w:rsid w:val="007E443A"/>
    <w:rsid w:val="007E4655"/>
    <w:rsid w:val="007E5882"/>
    <w:rsid w:val="007E6A66"/>
    <w:rsid w:val="007E6C86"/>
    <w:rsid w:val="007E7149"/>
    <w:rsid w:val="007E755E"/>
    <w:rsid w:val="007F0620"/>
    <w:rsid w:val="007F2859"/>
    <w:rsid w:val="007F285B"/>
    <w:rsid w:val="007F39C6"/>
    <w:rsid w:val="007F3CDD"/>
    <w:rsid w:val="007F426A"/>
    <w:rsid w:val="007F5FA3"/>
    <w:rsid w:val="007F7211"/>
    <w:rsid w:val="007F7FF2"/>
    <w:rsid w:val="0080061D"/>
    <w:rsid w:val="008013F3"/>
    <w:rsid w:val="00801B1A"/>
    <w:rsid w:val="00802419"/>
    <w:rsid w:val="00802577"/>
    <w:rsid w:val="008029C5"/>
    <w:rsid w:val="00802A5D"/>
    <w:rsid w:val="0080372C"/>
    <w:rsid w:val="00804BFC"/>
    <w:rsid w:val="008051BB"/>
    <w:rsid w:val="00805B42"/>
    <w:rsid w:val="00805E6A"/>
    <w:rsid w:val="0080607E"/>
    <w:rsid w:val="00806CDB"/>
    <w:rsid w:val="00807538"/>
    <w:rsid w:val="0080777E"/>
    <w:rsid w:val="008102AD"/>
    <w:rsid w:val="00810483"/>
    <w:rsid w:val="0081075B"/>
    <w:rsid w:val="00810CBF"/>
    <w:rsid w:val="00811E2E"/>
    <w:rsid w:val="00812A8D"/>
    <w:rsid w:val="00812C13"/>
    <w:rsid w:val="008133AF"/>
    <w:rsid w:val="0081370E"/>
    <w:rsid w:val="0081428C"/>
    <w:rsid w:val="008144E7"/>
    <w:rsid w:val="008147DA"/>
    <w:rsid w:val="00814B1C"/>
    <w:rsid w:val="00815141"/>
    <w:rsid w:val="00815AE5"/>
    <w:rsid w:val="00815C2F"/>
    <w:rsid w:val="00815E04"/>
    <w:rsid w:val="00816B89"/>
    <w:rsid w:val="00820150"/>
    <w:rsid w:val="00820951"/>
    <w:rsid w:val="00821C0F"/>
    <w:rsid w:val="00822046"/>
    <w:rsid w:val="00822DCB"/>
    <w:rsid w:val="008236CE"/>
    <w:rsid w:val="00824A0D"/>
    <w:rsid w:val="00826FA5"/>
    <w:rsid w:val="008279E0"/>
    <w:rsid w:val="00830D0C"/>
    <w:rsid w:val="008312AA"/>
    <w:rsid w:val="008331AD"/>
    <w:rsid w:val="008331C3"/>
    <w:rsid w:val="0083364F"/>
    <w:rsid w:val="00833712"/>
    <w:rsid w:val="008341F4"/>
    <w:rsid w:val="008344B7"/>
    <w:rsid w:val="0083491C"/>
    <w:rsid w:val="00834CFD"/>
    <w:rsid w:val="00834FF5"/>
    <w:rsid w:val="00835083"/>
    <w:rsid w:val="00835DA5"/>
    <w:rsid w:val="00836031"/>
    <w:rsid w:val="008361AF"/>
    <w:rsid w:val="00836629"/>
    <w:rsid w:val="00837368"/>
    <w:rsid w:val="00837997"/>
    <w:rsid w:val="00840A1B"/>
    <w:rsid w:val="00840AA2"/>
    <w:rsid w:val="0084236D"/>
    <w:rsid w:val="00842F33"/>
    <w:rsid w:val="00843AA4"/>
    <w:rsid w:val="008503C7"/>
    <w:rsid w:val="0085215A"/>
    <w:rsid w:val="00852ADB"/>
    <w:rsid w:val="00852BE6"/>
    <w:rsid w:val="00853768"/>
    <w:rsid w:val="00853FA5"/>
    <w:rsid w:val="008540FA"/>
    <w:rsid w:val="0085577A"/>
    <w:rsid w:val="00855B03"/>
    <w:rsid w:val="00856CC2"/>
    <w:rsid w:val="00857157"/>
    <w:rsid w:val="008571E2"/>
    <w:rsid w:val="0085759B"/>
    <w:rsid w:val="008608A3"/>
    <w:rsid w:val="0086095E"/>
    <w:rsid w:val="00860CD5"/>
    <w:rsid w:val="008614D7"/>
    <w:rsid w:val="008614DB"/>
    <w:rsid w:val="00861C8E"/>
    <w:rsid w:val="00861FEB"/>
    <w:rsid w:val="008620BD"/>
    <w:rsid w:val="00862611"/>
    <w:rsid w:val="008628CA"/>
    <w:rsid w:val="00862991"/>
    <w:rsid w:val="00863324"/>
    <w:rsid w:val="0086348C"/>
    <w:rsid w:val="008640E8"/>
    <w:rsid w:val="00864226"/>
    <w:rsid w:val="00864453"/>
    <w:rsid w:val="008656B9"/>
    <w:rsid w:val="0086574E"/>
    <w:rsid w:val="00866373"/>
    <w:rsid w:val="00867FC5"/>
    <w:rsid w:val="00870785"/>
    <w:rsid w:val="00871763"/>
    <w:rsid w:val="00871883"/>
    <w:rsid w:val="0087251A"/>
    <w:rsid w:val="008733E0"/>
    <w:rsid w:val="008742EB"/>
    <w:rsid w:val="0087597E"/>
    <w:rsid w:val="008761C6"/>
    <w:rsid w:val="00876395"/>
    <w:rsid w:val="00876405"/>
    <w:rsid w:val="00876811"/>
    <w:rsid w:val="00877857"/>
    <w:rsid w:val="00877B3C"/>
    <w:rsid w:val="00880F71"/>
    <w:rsid w:val="00881356"/>
    <w:rsid w:val="008819F9"/>
    <w:rsid w:val="00882B3A"/>
    <w:rsid w:val="00882B93"/>
    <w:rsid w:val="00883210"/>
    <w:rsid w:val="00883773"/>
    <w:rsid w:val="00884B17"/>
    <w:rsid w:val="00886057"/>
    <w:rsid w:val="00886D7C"/>
    <w:rsid w:val="008905E8"/>
    <w:rsid w:val="008906E4"/>
    <w:rsid w:val="00891181"/>
    <w:rsid w:val="00891BE1"/>
    <w:rsid w:val="00892748"/>
    <w:rsid w:val="00892873"/>
    <w:rsid w:val="00892D99"/>
    <w:rsid w:val="00892F80"/>
    <w:rsid w:val="00893ECD"/>
    <w:rsid w:val="00896069"/>
    <w:rsid w:val="00896608"/>
    <w:rsid w:val="008A009B"/>
    <w:rsid w:val="008A042F"/>
    <w:rsid w:val="008A0B85"/>
    <w:rsid w:val="008A11B7"/>
    <w:rsid w:val="008A1302"/>
    <w:rsid w:val="008A1578"/>
    <w:rsid w:val="008A18C1"/>
    <w:rsid w:val="008A2262"/>
    <w:rsid w:val="008A2D6B"/>
    <w:rsid w:val="008A2DDC"/>
    <w:rsid w:val="008A2E5A"/>
    <w:rsid w:val="008A3158"/>
    <w:rsid w:val="008A395A"/>
    <w:rsid w:val="008A5AA5"/>
    <w:rsid w:val="008A5B9B"/>
    <w:rsid w:val="008A6B77"/>
    <w:rsid w:val="008A703A"/>
    <w:rsid w:val="008A7E1F"/>
    <w:rsid w:val="008B0296"/>
    <w:rsid w:val="008B0551"/>
    <w:rsid w:val="008B104C"/>
    <w:rsid w:val="008B1EED"/>
    <w:rsid w:val="008B1FD8"/>
    <w:rsid w:val="008B23C2"/>
    <w:rsid w:val="008B2D23"/>
    <w:rsid w:val="008B4180"/>
    <w:rsid w:val="008B4F41"/>
    <w:rsid w:val="008B4F7B"/>
    <w:rsid w:val="008B5840"/>
    <w:rsid w:val="008B65F5"/>
    <w:rsid w:val="008B69AB"/>
    <w:rsid w:val="008B69FE"/>
    <w:rsid w:val="008B7F3B"/>
    <w:rsid w:val="008C157E"/>
    <w:rsid w:val="008C24B4"/>
    <w:rsid w:val="008C2BB7"/>
    <w:rsid w:val="008C4E6B"/>
    <w:rsid w:val="008C553F"/>
    <w:rsid w:val="008C56AC"/>
    <w:rsid w:val="008C6E51"/>
    <w:rsid w:val="008C6F75"/>
    <w:rsid w:val="008C75E0"/>
    <w:rsid w:val="008C7CA3"/>
    <w:rsid w:val="008C7DF7"/>
    <w:rsid w:val="008C7E95"/>
    <w:rsid w:val="008C7F66"/>
    <w:rsid w:val="008D0E57"/>
    <w:rsid w:val="008D0F2B"/>
    <w:rsid w:val="008D1399"/>
    <w:rsid w:val="008D1549"/>
    <w:rsid w:val="008D1CA5"/>
    <w:rsid w:val="008D25EA"/>
    <w:rsid w:val="008D2AA0"/>
    <w:rsid w:val="008D2F1D"/>
    <w:rsid w:val="008D4211"/>
    <w:rsid w:val="008D564A"/>
    <w:rsid w:val="008D5809"/>
    <w:rsid w:val="008D5BF8"/>
    <w:rsid w:val="008D5CEB"/>
    <w:rsid w:val="008E1BFC"/>
    <w:rsid w:val="008E268F"/>
    <w:rsid w:val="008E3812"/>
    <w:rsid w:val="008E3968"/>
    <w:rsid w:val="008E51B8"/>
    <w:rsid w:val="008E6E19"/>
    <w:rsid w:val="008F0C02"/>
    <w:rsid w:val="008F2069"/>
    <w:rsid w:val="008F20E7"/>
    <w:rsid w:val="008F2616"/>
    <w:rsid w:val="008F2B8F"/>
    <w:rsid w:val="008F520A"/>
    <w:rsid w:val="008F52D7"/>
    <w:rsid w:val="008F5B9B"/>
    <w:rsid w:val="008F6245"/>
    <w:rsid w:val="008F645B"/>
    <w:rsid w:val="008F6726"/>
    <w:rsid w:val="008F7723"/>
    <w:rsid w:val="00901226"/>
    <w:rsid w:val="009015B2"/>
    <w:rsid w:val="0090222B"/>
    <w:rsid w:val="00902488"/>
    <w:rsid w:val="0090261A"/>
    <w:rsid w:val="00902F15"/>
    <w:rsid w:val="0090371B"/>
    <w:rsid w:val="009039D5"/>
    <w:rsid w:val="00905D39"/>
    <w:rsid w:val="009062F4"/>
    <w:rsid w:val="00906E0D"/>
    <w:rsid w:val="00906E90"/>
    <w:rsid w:val="009075BF"/>
    <w:rsid w:val="009100A0"/>
    <w:rsid w:val="00910119"/>
    <w:rsid w:val="009101A6"/>
    <w:rsid w:val="0091051D"/>
    <w:rsid w:val="00910700"/>
    <w:rsid w:val="0091098C"/>
    <w:rsid w:val="00913196"/>
    <w:rsid w:val="00913629"/>
    <w:rsid w:val="009139F9"/>
    <w:rsid w:val="009151A7"/>
    <w:rsid w:val="0091539C"/>
    <w:rsid w:val="00915848"/>
    <w:rsid w:val="00915A23"/>
    <w:rsid w:val="00915B39"/>
    <w:rsid w:val="009165C5"/>
    <w:rsid w:val="00916A45"/>
    <w:rsid w:val="00917D37"/>
    <w:rsid w:val="009201E8"/>
    <w:rsid w:val="00920571"/>
    <w:rsid w:val="009215D6"/>
    <w:rsid w:val="00921E9C"/>
    <w:rsid w:val="00922431"/>
    <w:rsid w:val="0092321F"/>
    <w:rsid w:val="009238AC"/>
    <w:rsid w:val="00923A2F"/>
    <w:rsid w:val="00923F4B"/>
    <w:rsid w:val="009241B9"/>
    <w:rsid w:val="009242CB"/>
    <w:rsid w:val="009244D1"/>
    <w:rsid w:val="00924AD3"/>
    <w:rsid w:val="00924B8D"/>
    <w:rsid w:val="0092575A"/>
    <w:rsid w:val="00926B7E"/>
    <w:rsid w:val="00927DDA"/>
    <w:rsid w:val="0093015F"/>
    <w:rsid w:val="009314AF"/>
    <w:rsid w:val="0093199D"/>
    <w:rsid w:val="009335E8"/>
    <w:rsid w:val="009337C7"/>
    <w:rsid w:val="00933CA9"/>
    <w:rsid w:val="00933FEE"/>
    <w:rsid w:val="00934615"/>
    <w:rsid w:val="0093538E"/>
    <w:rsid w:val="009354D6"/>
    <w:rsid w:val="00936F84"/>
    <w:rsid w:val="00937068"/>
    <w:rsid w:val="0093745C"/>
    <w:rsid w:val="00940851"/>
    <w:rsid w:val="00940F40"/>
    <w:rsid w:val="00941291"/>
    <w:rsid w:val="00941DD3"/>
    <w:rsid w:val="00941FB4"/>
    <w:rsid w:val="009423CE"/>
    <w:rsid w:val="0094348F"/>
    <w:rsid w:val="0094361F"/>
    <w:rsid w:val="0094362B"/>
    <w:rsid w:val="009439FE"/>
    <w:rsid w:val="00943C33"/>
    <w:rsid w:val="00944009"/>
    <w:rsid w:val="00944EE7"/>
    <w:rsid w:val="00944F68"/>
    <w:rsid w:val="00945EEB"/>
    <w:rsid w:val="009467E9"/>
    <w:rsid w:val="00946C20"/>
    <w:rsid w:val="009501B6"/>
    <w:rsid w:val="00950723"/>
    <w:rsid w:val="0095089E"/>
    <w:rsid w:val="009517CA"/>
    <w:rsid w:val="0095199A"/>
    <w:rsid w:val="00951BBA"/>
    <w:rsid w:val="009523E7"/>
    <w:rsid w:val="00952613"/>
    <w:rsid w:val="00952A51"/>
    <w:rsid w:val="00953383"/>
    <w:rsid w:val="00953872"/>
    <w:rsid w:val="00953CBC"/>
    <w:rsid w:val="00953D4C"/>
    <w:rsid w:val="00954713"/>
    <w:rsid w:val="0095571A"/>
    <w:rsid w:val="009565DC"/>
    <w:rsid w:val="0096049E"/>
    <w:rsid w:val="00960BAC"/>
    <w:rsid w:val="00961059"/>
    <w:rsid w:val="00961B79"/>
    <w:rsid w:val="009647CB"/>
    <w:rsid w:val="009652A8"/>
    <w:rsid w:val="00965310"/>
    <w:rsid w:val="00965717"/>
    <w:rsid w:val="00966733"/>
    <w:rsid w:val="009674C4"/>
    <w:rsid w:val="009679D9"/>
    <w:rsid w:val="00967D8E"/>
    <w:rsid w:val="009703F9"/>
    <w:rsid w:val="00970CB5"/>
    <w:rsid w:val="00970DC0"/>
    <w:rsid w:val="0097133C"/>
    <w:rsid w:val="009714CA"/>
    <w:rsid w:val="00971836"/>
    <w:rsid w:val="0097457C"/>
    <w:rsid w:val="00974802"/>
    <w:rsid w:val="0097481F"/>
    <w:rsid w:val="009751CD"/>
    <w:rsid w:val="009751F4"/>
    <w:rsid w:val="009764F8"/>
    <w:rsid w:val="00976DE9"/>
    <w:rsid w:val="00977784"/>
    <w:rsid w:val="009800A7"/>
    <w:rsid w:val="009815FE"/>
    <w:rsid w:val="00981787"/>
    <w:rsid w:val="00982FB0"/>
    <w:rsid w:val="009831B1"/>
    <w:rsid w:val="00983C2F"/>
    <w:rsid w:val="00983DD1"/>
    <w:rsid w:val="00984B5F"/>
    <w:rsid w:val="00985650"/>
    <w:rsid w:val="00985BAB"/>
    <w:rsid w:val="0098644A"/>
    <w:rsid w:val="00987F4E"/>
    <w:rsid w:val="00987F8F"/>
    <w:rsid w:val="009907F8"/>
    <w:rsid w:val="00990D2E"/>
    <w:rsid w:val="0099261F"/>
    <w:rsid w:val="00993E82"/>
    <w:rsid w:val="009944E3"/>
    <w:rsid w:val="00995A41"/>
    <w:rsid w:val="00995E40"/>
    <w:rsid w:val="009966C6"/>
    <w:rsid w:val="00996A81"/>
    <w:rsid w:val="00996EA0"/>
    <w:rsid w:val="009A140F"/>
    <w:rsid w:val="009A1FB1"/>
    <w:rsid w:val="009A4EB4"/>
    <w:rsid w:val="009A6FA8"/>
    <w:rsid w:val="009A74A6"/>
    <w:rsid w:val="009A7B02"/>
    <w:rsid w:val="009B11B6"/>
    <w:rsid w:val="009B2747"/>
    <w:rsid w:val="009B2DC6"/>
    <w:rsid w:val="009B33D4"/>
    <w:rsid w:val="009B3DC2"/>
    <w:rsid w:val="009B65EB"/>
    <w:rsid w:val="009B68F9"/>
    <w:rsid w:val="009B70ED"/>
    <w:rsid w:val="009B71C5"/>
    <w:rsid w:val="009B78D8"/>
    <w:rsid w:val="009C0B11"/>
    <w:rsid w:val="009C0D02"/>
    <w:rsid w:val="009C102C"/>
    <w:rsid w:val="009C10BA"/>
    <w:rsid w:val="009C2C1B"/>
    <w:rsid w:val="009C2FB8"/>
    <w:rsid w:val="009C442C"/>
    <w:rsid w:val="009C67B9"/>
    <w:rsid w:val="009C6992"/>
    <w:rsid w:val="009C7080"/>
    <w:rsid w:val="009C754A"/>
    <w:rsid w:val="009C7C06"/>
    <w:rsid w:val="009D0F84"/>
    <w:rsid w:val="009D0FEB"/>
    <w:rsid w:val="009D2B4A"/>
    <w:rsid w:val="009D3343"/>
    <w:rsid w:val="009D453A"/>
    <w:rsid w:val="009D5C23"/>
    <w:rsid w:val="009D5EE9"/>
    <w:rsid w:val="009D6047"/>
    <w:rsid w:val="009D6559"/>
    <w:rsid w:val="009D669D"/>
    <w:rsid w:val="009D6C2D"/>
    <w:rsid w:val="009D705F"/>
    <w:rsid w:val="009D73F5"/>
    <w:rsid w:val="009D7FE1"/>
    <w:rsid w:val="009E058D"/>
    <w:rsid w:val="009E0D32"/>
    <w:rsid w:val="009E1A3F"/>
    <w:rsid w:val="009E2023"/>
    <w:rsid w:val="009E21CB"/>
    <w:rsid w:val="009E37AD"/>
    <w:rsid w:val="009E4FB3"/>
    <w:rsid w:val="009E597F"/>
    <w:rsid w:val="009E77F8"/>
    <w:rsid w:val="009E79D7"/>
    <w:rsid w:val="009F009D"/>
    <w:rsid w:val="009F0BD3"/>
    <w:rsid w:val="009F1AC0"/>
    <w:rsid w:val="009F2CB2"/>
    <w:rsid w:val="009F364A"/>
    <w:rsid w:val="009F37AE"/>
    <w:rsid w:val="009F3C73"/>
    <w:rsid w:val="009F4211"/>
    <w:rsid w:val="009F458A"/>
    <w:rsid w:val="009F4A16"/>
    <w:rsid w:val="009F4C27"/>
    <w:rsid w:val="009F52AF"/>
    <w:rsid w:val="009F5F8B"/>
    <w:rsid w:val="009F6801"/>
    <w:rsid w:val="009F69D0"/>
    <w:rsid w:val="009F6ABC"/>
    <w:rsid w:val="009F75AE"/>
    <w:rsid w:val="009F7CEC"/>
    <w:rsid w:val="00A00D33"/>
    <w:rsid w:val="00A01606"/>
    <w:rsid w:val="00A01EE2"/>
    <w:rsid w:val="00A029C0"/>
    <w:rsid w:val="00A0439E"/>
    <w:rsid w:val="00A04486"/>
    <w:rsid w:val="00A04DA8"/>
    <w:rsid w:val="00A05BC2"/>
    <w:rsid w:val="00A07561"/>
    <w:rsid w:val="00A07625"/>
    <w:rsid w:val="00A078B7"/>
    <w:rsid w:val="00A07DD5"/>
    <w:rsid w:val="00A07E43"/>
    <w:rsid w:val="00A07F85"/>
    <w:rsid w:val="00A107C1"/>
    <w:rsid w:val="00A11783"/>
    <w:rsid w:val="00A1293D"/>
    <w:rsid w:val="00A14688"/>
    <w:rsid w:val="00A152E3"/>
    <w:rsid w:val="00A157A0"/>
    <w:rsid w:val="00A16136"/>
    <w:rsid w:val="00A16216"/>
    <w:rsid w:val="00A163A4"/>
    <w:rsid w:val="00A165E0"/>
    <w:rsid w:val="00A16D6D"/>
    <w:rsid w:val="00A17053"/>
    <w:rsid w:val="00A20031"/>
    <w:rsid w:val="00A20B0E"/>
    <w:rsid w:val="00A2172B"/>
    <w:rsid w:val="00A22027"/>
    <w:rsid w:val="00A22F4F"/>
    <w:rsid w:val="00A239D2"/>
    <w:rsid w:val="00A24708"/>
    <w:rsid w:val="00A24782"/>
    <w:rsid w:val="00A254CB"/>
    <w:rsid w:val="00A25F59"/>
    <w:rsid w:val="00A26356"/>
    <w:rsid w:val="00A26E1C"/>
    <w:rsid w:val="00A27378"/>
    <w:rsid w:val="00A27AAC"/>
    <w:rsid w:val="00A27BCF"/>
    <w:rsid w:val="00A31049"/>
    <w:rsid w:val="00A315D4"/>
    <w:rsid w:val="00A32432"/>
    <w:rsid w:val="00A3372A"/>
    <w:rsid w:val="00A350BA"/>
    <w:rsid w:val="00A355FB"/>
    <w:rsid w:val="00A35A69"/>
    <w:rsid w:val="00A35E4A"/>
    <w:rsid w:val="00A367AF"/>
    <w:rsid w:val="00A37397"/>
    <w:rsid w:val="00A40422"/>
    <w:rsid w:val="00A4081F"/>
    <w:rsid w:val="00A42413"/>
    <w:rsid w:val="00A429F8"/>
    <w:rsid w:val="00A436E8"/>
    <w:rsid w:val="00A43703"/>
    <w:rsid w:val="00A444EB"/>
    <w:rsid w:val="00A45561"/>
    <w:rsid w:val="00A45728"/>
    <w:rsid w:val="00A469D8"/>
    <w:rsid w:val="00A4725A"/>
    <w:rsid w:val="00A47433"/>
    <w:rsid w:val="00A47516"/>
    <w:rsid w:val="00A47814"/>
    <w:rsid w:val="00A50F35"/>
    <w:rsid w:val="00A51A80"/>
    <w:rsid w:val="00A520B2"/>
    <w:rsid w:val="00A5220C"/>
    <w:rsid w:val="00A5242B"/>
    <w:rsid w:val="00A52B21"/>
    <w:rsid w:val="00A543E3"/>
    <w:rsid w:val="00A5476B"/>
    <w:rsid w:val="00A54F01"/>
    <w:rsid w:val="00A553A4"/>
    <w:rsid w:val="00A55A6D"/>
    <w:rsid w:val="00A56321"/>
    <w:rsid w:val="00A565B2"/>
    <w:rsid w:val="00A56D07"/>
    <w:rsid w:val="00A56FEC"/>
    <w:rsid w:val="00A57F78"/>
    <w:rsid w:val="00A60795"/>
    <w:rsid w:val="00A60A9B"/>
    <w:rsid w:val="00A610E2"/>
    <w:rsid w:val="00A61AD5"/>
    <w:rsid w:val="00A62223"/>
    <w:rsid w:val="00A622F2"/>
    <w:rsid w:val="00A62610"/>
    <w:rsid w:val="00A62859"/>
    <w:rsid w:val="00A63401"/>
    <w:rsid w:val="00A63424"/>
    <w:rsid w:val="00A6589E"/>
    <w:rsid w:val="00A670CD"/>
    <w:rsid w:val="00A676A8"/>
    <w:rsid w:val="00A714CB"/>
    <w:rsid w:val="00A71C85"/>
    <w:rsid w:val="00A72FBA"/>
    <w:rsid w:val="00A73038"/>
    <w:rsid w:val="00A73E2C"/>
    <w:rsid w:val="00A74278"/>
    <w:rsid w:val="00A746E9"/>
    <w:rsid w:val="00A768E4"/>
    <w:rsid w:val="00A76C99"/>
    <w:rsid w:val="00A77C55"/>
    <w:rsid w:val="00A81B21"/>
    <w:rsid w:val="00A81C06"/>
    <w:rsid w:val="00A81EBE"/>
    <w:rsid w:val="00A81F4F"/>
    <w:rsid w:val="00A82248"/>
    <w:rsid w:val="00A8231B"/>
    <w:rsid w:val="00A83494"/>
    <w:rsid w:val="00A83863"/>
    <w:rsid w:val="00A83BEB"/>
    <w:rsid w:val="00A8671F"/>
    <w:rsid w:val="00A8703A"/>
    <w:rsid w:val="00A8748E"/>
    <w:rsid w:val="00A876A4"/>
    <w:rsid w:val="00A9040B"/>
    <w:rsid w:val="00A9192B"/>
    <w:rsid w:val="00A91BA4"/>
    <w:rsid w:val="00A93CB2"/>
    <w:rsid w:val="00A9484F"/>
    <w:rsid w:val="00A94ABA"/>
    <w:rsid w:val="00A94C9B"/>
    <w:rsid w:val="00A950C9"/>
    <w:rsid w:val="00A95439"/>
    <w:rsid w:val="00A95E40"/>
    <w:rsid w:val="00A974E8"/>
    <w:rsid w:val="00A97CBD"/>
    <w:rsid w:val="00AA1A79"/>
    <w:rsid w:val="00AA1CD1"/>
    <w:rsid w:val="00AA1DEB"/>
    <w:rsid w:val="00AA215B"/>
    <w:rsid w:val="00AA2983"/>
    <w:rsid w:val="00AA2B3B"/>
    <w:rsid w:val="00AA30D8"/>
    <w:rsid w:val="00AA5080"/>
    <w:rsid w:val="00AA55AA"/>
    <w:rsid w:val="00AA63CC"/>
    <w:rsid w:val="00AA644E"/>
    <w:rsid w:val="00AA70C9"/>
    <w:rsid w:val="00AA7475"/>
    <w:rsid w:val="00AA7589"/>
    <w:rsid w:val="00AB0318"/>
    <w:rsid w:val="00AB1EB5"/>
    <w:rsid w:val="00AB48DB"/>
    <w:rsid w:val="00AB4B4D"/>
    <w:rsid w:val="00AB4B97"/>
    <w:rsid w:val="00AB508A"/>
    <w:rsid w:val="00AB528A"/>
    <w:rsid w:val="00AB54BF"/>
    <w:rsid w:val="00AB57C8"/>
    <w:rsid w:val="00AB6620"/>
    <w:rsid w:val="00AB71EE"/>
    <w:rsid w:val="00AC0435"/>
    <w:rsid w:val="00AC08AC"/>
    <w:rsid w:val="00AC21A1"/>
    <w:rsid w:val="00AC2FF9"/>
    <w:rsid w:val="00AC3331"/>
    <w:rsid w:val="00AC395B"/>
    <w:rsid w:val="00AC4E68"/>
    <w:rsid w:val="00AC532F"/>
    <w:rsid w:val="00AC5AB1"/>
    <w:rsid w:val="00AC5F12"/>
    <w:rsid w:val="00AC5F9D"/>
    <w:rsid w:val="00AC6B95"/>
    <w:rsid w:val="00AC6B98"/>
    <w:rsid w:val="00AC725F"/>
    <w:rsid w:val="00AC7B76"/>
    <w:rsid w:val="00AD17A4"/>
    <w:rsid w:val="00AD2ECF"/>
    <w:rsid w:val="00AD301B"/>
    <w:rsid w:val="00AD317B"/>
    <w:rsid w:val="00AD446B"/>
    <w:rsid w:val="00AD5B5C"/>
    <w:rsid w:val="00AD5C8A"/>
    <w:rsid w:val="00AD61DD"/>
    <w:rsid w:val="00AD665A"/>
    <w:rsid w:val="00AD66CB"/>
    <w:rsid w:val="00AD744E"/>
    <w:rsid w:val="00AD7E42"/>
    <w:rsid w:val="00AE1CD8"/>
    <w:rsid w:val="00AE2C71"/>
    <w:rsid w:val="00AE3E5B"/>
    <w:rsid w:val="00AE4F03"/>
    <w:rsid w:val="00AE5A49"/>
    <w:rsid w:val="00AE5D15"/>
    <w:rsid w:val="00AE6BF3"/>
    <w:rsid w:val="00AE7016"/>
    <w:rsid w:val="00AF14CA"/>
    <w:rsid w:val="00AF2275"/>
    <w:rsid w:val="00AF24EA"/>
    <w:rsid w:val="00AF27ED"/>
    <w:rsid w:val="00AF2B12"/>
    <w:rsid w:val="00AF3BCF"/>
    <w:rsid w:val="00AF3D74"/>
    <w:rsid w:val="00AF4210"/>
    <w:rsid w:val="00AF48E5"/>
    <w:rsid w:val="00AF61BA"/>
    <w:rsid w:val="00B0044C"/>
    <w:rsid w:val="00B00E5C"/>
    <w:rsid w:val="00B011A2"/>
    <w:rsid w:val="00B013E1"/>
    <w:rsid w:val="00B0159C"/>
    <w:rsid w:val="00B0175A"/>
    <w:rsid w:val="00B01FB1"/>
    <w:rsid w:val="00B02EC8"/>
    <w:rsid w:val="00B041B9"/>
    <w:rsid w:val="00B041DC"/>
    <w:rsid w:val="00B04A92"/>
    <w:rsid w:val="00B052D6"/>
    <w:rsid w:val="00B059BC"/>
    <w:rsid w:val="00B06DAA"/>
    <w:rsid w:val="00B108A7"/>
    <w:rsid w:val="00B11304"/>
    <w:rsid w:val="00B11486"/>
    <w:rsid w:val="00B1151C"/>
    <w:rsid w:val="00B11AED"/>
    <w:rsid w:val="00B11C20"/>
    <w:rsid w:val="00B11CF3"/>
    <w:rsid w:val="00B11F59"/>
    <w:rsid w:val="00B120B9"/>
    <w:rsid w:val="00B12400"/>
    <w:rsid w:val="00B12554"/>
    <w:rsid w:val="00B126B4"/>
    <w:rsid w:val="00B12CAB"/>
    <w:rsid w:val="00B13400"/>
    <w:rsid w:val="00B13635"/>
    <w:rsid w:val="00B13976"/>
    <w:rsid w:val="00B13C9D"/>
    <w:rsid w:val="00B14A8D"/>
    <w:rsid w:val="00B1505B"/>
    <w:rsid w:val="00B15108"/>
    <w:rsid w:val="00B15F29"/>
    <w:rsid w:val="00B16CF5"/>
    <w:rsid w:val="00B17044"/>
    <w:rsid w:val="00B1715F"/>
    <w:rsid w:val="00B176AE"/>
    <w:rsid w:val="00B20142"/>
    <w:rsid w:val="00B20E88"/>
    <w:rsid w:val="00B2167F"/>
    <w:rsid w:val="00B21A79"/>
    <w:rsid w:val="00B21C64"/>
    <w:rsid w:val="00B21EB3"/>
    <w:rsid w:val="00B2329F"/>
    <w:rsid w:val="00B233CB"/>
    <w:rsid w:val="00B23976"/>
    <w:rsid w:val="00B247F7"/>
    <w:rsid w:val="00B2577A"/>
    <w:rsid w:val="00B26312"/>
    <w:rsid w:val="00B26D83"/>
    <w:rsid w:val="00B26E9C"/>
    <w:rsid w:val="00B26FC8"/>
    <w:rsid w:val="00B27DF6"/>
    <w:rsid w:val="00B32FE8"/>
    <w:rsid w:val="00B34369"/>
    <w:rsid w:val="00B346A4"/>
    <w:rsid w:val="00B34705"/>
    <w:rsid w:val="00B35673"/>
    <w:rsid w:val="00B3593F"/>
    <w:rsid w:val="00B35AE7"/>
    <w:rsid w:val="00B4008F"/>
    <w:rsid w:val="00B40446"/>
    <w:rsid w:val="00B4192D"/>
    <w:rsid w:val="00B4197D"/>
    <w:rsid w:val="00B42FFA"/>
    <w:rsid w:val="00B43578"/>
    <w:rsid w:val="00B4370D"/>
    <w:rsid w:val="00B43DBD"/>
    <w:rsid w:val="00B4419C"/>
    <w:rsid w:val="00B446B4"/>
    <w:rsid w:val="00B46657"/>
    <w:rsid w:val="00B468DE"/>
    <w:rsid w:val="00B473FD"/>
    <w:rsid w:val="00B479B8"/>
    <w:rsid w:val="00B479E0"/>
    <w:rsid w:val="00B50263"/>
    <w:rsid w:val="00B521D9"/>
    <w:rsid w:val="00B522D3"/>
    <w:rsid w:val="00B53BC0"/>
    <w:rsid w:val="00B54072"/>
    <w:rsid w:val="00B55F01"/>
    <w:rsid w:val="00B56846"/>
    <w:rsid w:val="00B5779B"/>
    <w:rsid w:val="00B57D69"/>
    <w:rsid w:val="00B60A08"/>
    <w:rsid w:val="00B60A0F"/>
    <w:rsid w:val="00B60D7A"/>
    <w:rsid w:val="00B60DEE"/>
    <w:rsid w:val="00B624CF"/>
    <w:rsid w:val="00B633B0"/>
    <w:rsid w:val="00B64263"/>
    <w:rsid w:val="00B65070"/>
    <w:rsid w:val="00B666B9"/>
    <w:rsid w:val="00B66A22"/>
    <w:rsid w:val="00B67E53"/>
    <w:rsid w:val="00B7029F"/>
    <w:rsid w:val="00B70CFE"/>
    <w:rsid w:val="00B70DE1"/>
    <w:rsid w:val="00B71136"/>
    <w:rsid w:val="00B7221F"/>
    <w:rsid w:val="00B72FC5"/>
    <w:rsid w:val="00B74C64"/>
    <w:rsid w:val="00B75BAF"/>
    <w:rsid w:val="00B7647B"/>
    <w:rsid w:val="00B76AFD"/>
    <w:rsid w:val="00B76D0B"/>
    <w:rsid w:val="00B76DC1"/>
    <w:rsid w:val="00B77A48"/>
    <w:rsid w:val="00B77D9C"/>
    <w:rsid w:val="00B77FD4"/>
    <w:rsid w:val="00B805FD"/>
    <w:rsid w:val="00B817B5"/>
    <w:rsid w:val="00B81B91"/>
    <w:rsid w:val="00B81DDD"/>
    <w:rsid w:val="00B824F0"/>
    <w:rsid w:val="00B82A86"/>
    <w:rsid w:val="00B83BAB"/>
    <w:rsid w:val="00B84147"/>
    <w:rsid w:val="00B862C0"/>
    <w:rsid w:val="00B865E6"/>
    <w:rsid w:val="00B874D6"/>
    <w:rsid w:val="00B87681"/>
    <w:rsid w:val="00B90589"/>
    <w:rsid w:val="00B909B8"/>
    <w:rsid w:val="00B90CD9"/>
    <w:rsid w:val="00B9100B"/>
    <w:rsid w:val="00B91359"/>
    <w:rsid w:val="00B916AC"/>
    <w:rsid w:val="00B92AD3"/>
    <w:rsid w:val="00B93A06"/>
    <w:rsid w:val="00B93C36"/>
    <w:rsid w:val="00B93E0B"/>
    <w:rsid w:val="00B94706"/>
    <w:rsid w:val="00B9672F"/>
    <w:rsid w:val="00B96FFC"/>
    <w:rsid w:val="00B97EA9"/>
    <w:rsid w:val="00B97F15"/>
    <w:rsid w:val="00BA01F6"/>
    <w:rsid w:val="00BA0393"/>
    <w:rsid w:val="00BA0B76"/>
    <w:rsid w:val="00BA10AF"/>
    <w:rsid w:val="00BA14B0"/>
    <w:rsid w:val="00BA154D"/>
    <w:rsid w:val="00BA19E8"/>
    <w:rsid w:val="00BA2F70"/>
    <w:rsid w:val="00BA3FB8"/>
    <w:rsid w:val="00BA4F24"/>
    <w:rsid w:val="00BA6635"/>
    <w:rsid w:val="00BA68CA"/>
    <w:rsid w:val="00BA7CFE"/>
    <w:rsid w:val="00BB0842"/>
    <w:rsid w:val="00BB0BA9"/>
    <w:rsid w:val="00BB24F4"/>
    <w:rsid w:val="00BB37C7"/>
    <w:rsid w:val="00BB4CAD"/>
    <w:rsid w:val="00BB4FCC"/>
    <w:rsid w:val="00BB6429"/>
    <w:rsid w:val="00BB7601"/>
    <w:rsid w:val="00BB767B"/>
    <w:rsid w:val="00BB7BA4"/>
    <w:rsid w:val="00BC0286"/>
    <w:rsid w:val="00BC0462"/>
    <w:rsid w:val="00BC0652"/>
    <w:rsid w:val="00BC0AF8"/>
    <w:rsid w:val="00BC124B"/>
    <w:rsid w:val="00BC1965"/>
    <w:rsid w:val="00BC275E"/>
    <w:rsid w:val="00BC2E27"/>
    <w:rsid w:val="00BC2FF3"/>
    <w:rsid w:val="00BC6100"/>
    <w:rsid w:val="00BC67EE"/>
    <w:rsid w:val="00BC7A2D"/>
    <w:rsid w:val="00BD02B5"/>
    <w:rsid w:val="00BD0F82"/>
    <w:rsid w:val="00BD13A6"/>
    <w:rsid w:val="00BD1763"/>
    <w:rsid w:val="00BD2146"/>
    <w:rsid w:val="00BD33DE"/>
    <w:rsid w:val="00BD3781"/>
    <w:rsid w:val="00BD3825"/>
    <w:rsid w:val="00BD38C3"/>
    <w:rsid w:val="00BD433B"/>
    <w:rsid w:val="00BD476E"/>
    <w:rsid w:val="00BD4AD0"/>
    <w:rsid w:val="00BD4B45"/>
    <w:rsid w:val="00BD52CD"/>
    <w:rsid w:val="00BD538B"/>
    <w:rsid w:val="00BD5526"/>
    <w:rsid w:val="00BD5AA3"/>
    <w:rsid w:val="00BE0D33"/>
    <w:rsid w:val="00BE0E2F"/>
    <w:rsid w:val="00BE1341"/>
    <w:rsid w:val="00BE1E53"/>
    <w:rsid w:val="00BE1EE8"/>
    <w:rsid w:val="00BE289E"/>
    <w:rsid w:val="00BE2DD8"/>
    <w:rsid w:val="00BE3687"/>
    <w:rsid w:val="00BE4B7E"/>
    <w:rsid w:val="00BE502E"/>
    <w:rsid w:val="00BE51AC"/>
    <w:rsid w:val="00BE56C8"/>
    <w:rsid w:val="00BE5CDB"/>
    <w:rsid w:val="00BE62C6"/>
    <w:rsid w:val="00BE6513"/>
    <w:rsid w:val="00BE6575"/>
    <w:rsid w:val="00BE7434"/>
    <w:rsid w:val="00BF0419"/>
    <w:rsid w:val="00BF1EA6"/>
    <w:rsid w:val="00BF27A1"/>
    <w:rsid w:val="00BF2FA3"/>
    <w:rsid w:val="00BF3D2B"/>
    <w:rsid w:val="00BF5FE9"/>
    <w:rsid w:val="00BF779F"/>
    <w:rsid w:val="00BF7ADD"/>
    <w:rsid w:val="00C01490"/>
    <w:rsid w:val="00C02F52"/>
    <w:rsid w:val="00C04BCC"/>
    <w:rsid w:val="00C04ED1"/>
    <w:rsid w:val="00C066B2"/>
    <w:rsid w:val="00C06A44"/>
    <w:rsid w:val="00C07182"/>
    <w:rsid w:val="00C11312"/>
    <w:rsid w:val="00C11BA7"/>
    <w:rsid w:val="00C138B1"/>
    <w:rsid w:val="00C14556"/>
    <w:rsid w:val="00C1485E"/>
    <w:rsid w:val="00C154AD"/>
    <w:rsid w:val="00C156A5"/>
    <w:rsid w:val="00C17383"/>
    <w:rsid w:val="00C2300D"/>
    <w:rsid w:val="00C2305A"/>
    <w:rsid w:val="00C2309F"/>
    <w:rsid w:val="00C23927"/>
    <w:rsid w:val="00C23CC9"/>
    <w:rsid w:val="00C24369"/>
    <w:rsid w:val="00C246DF"/>
    <w:rsid w:val="00C24B02"/>
    <w:rsid w:val="00C24C5C"/>
    <w:rsid w:val="00C26E68"/>
    <w:rsid w:val="00C30B3D"/>
    <w:rsid w:val="00C31393"/>
    <w:rsid w:val="00C33AE2"/>
    <w:rsid w:val="00C33DD4"/>
    <w:rsid w:val="00C34268"/>
    <w:rsid w:val="00C34875"/>
    <w:rsid w:val="00C359BD"/>
    <w:rsid w:val="00C35BE2"/>
    <w:rsid w:val="00C364C5"/>
    <w:rsid w:val="00C378A9"/>
    <w:rsid w:val="00C379C3"/>
    <w:rsid w:val="00C40ED1"/>
    <w:rsid w:val="00C40FBC"/>
    <w:rsid w:val="00C41613"/>
    <w:rsid w:val="00C41723"/>
    <w:rsid w:val="00C42553"/>
    <w:rsid w:val="00C429C2"/>
    <w:rsid w:val="00C434EB"/>
    <w:rsid w:val="00C440EF"/>
    <w:rsid w:val="00C44766"/>
    <w:rsid w:val="00C45C95"/>
    <w:rsid w:val="00C46BAD"/>
    <w:rsid w:val="00C46CE8"/>
    <w:rsid w:val="00C477D4"/>
    <w:rsid w:val="00C50450"/>
    <w:rsid w:val="00C50FC4"/>
    <w:rsid w:val="00C514DD"/>
    <w:rsid w:val="00C516B5"/>
    <w:rsid w:val="00C51E3D"/>
    <w:rsid w:val="00C53724"/>
    <w:rsid w:val="00C53CA8"/>
    <w:rsid w:val="00C53EAB"/>
    <w:rsid w:val="00C542BB"/>
    <w:rsid w:val="00C54345"/>
    <w:rsid w:val="00C54C6F"/>
    <w:rsid w:val="00C5613E"/>
    <w:rsid w:val="00C56161"/>
    <w:rsid w:val="00C56E6A"/>
    <w:rsid w:val="00C5758E"/>
    <w:rsid w:val="00C57A4E"/>
    <w:rsid w:val="00C60449"/>
    <w:rsid w:val="00C60A13"/>
    <w:rsid w:val="00C6257E"/>
    <w:rsid w:val="00C62879"/>
    <w:rsid w:val="00C62BAB"/>
    <w:rsid w:val="00C62D4A"/>
    <w:rsid w:val="00C630DA"/>
    <w:rsid w:val="00C63734"/>
    <w:rsid w:val="00C63D21"/>
    <w:rsid w:val="00C64FD7"/>
    <w:rsid w:val="00C65808"/>
    <w:rsid w:val="00C65DB4"/>
    <w:rsid w:val="00C65E9F"/>
    <w:rsid w:val="00C66C53"/>
    <w:rsid w:val="00C70066"/>
    <w:rsid w:val="00C70881"/>
    <w:rsid w:val="00C70895"/>
    <w:rsid w:val="00C70C1A"/>
    <w:rsid w:val="00C71108"/>
    <w:rsid w:val="00C716C1"/>
    <w:rsid w:val="00C72743"/>
    <w:rsid w:val="00C745C5"/>
    <w:rsid w:val="00C74B5B"/>
    <w:rsid w:val="00C75458"/>
    <w:rsid w:val="00C755E0"/>
    <w:rsid w:val="00C76C16"/>
    <w:rsid w:val="00C77289"/>
    <w:rsid w:val="00C77C8D"/>
    <w:rsid w:val="00C8096C"/>
    <w:rsid w:val="00C80A62"/>
    <w:rsid w:val="00C8100B"/>
    <w:rsid w:val="00C81380"/>
    <w:rsid w:val="00C82318"/>
    <w:rsid w:val="00C82773"/>
    <w:rsid w:val="00C834F3"/>
    <w:rsid w:val="00C8350E"/>
    <w:rsid w:val="00C83AB5"/>
    <w:rsid w:val="00C858DB"/>
    <w:rsid w:val="00C85ECB"/>
    <w:rsid w:val="00C86C4E"/>
    <w:rsid w:val="00C875A3"/>
    <w:rsid w:val="00C87D83"/>
    <w:rsid w:val="00C912B1"/>
    <w:rsid w:val="00C918CC"/>
    <w:rsid w:val="00C92188"/>
    <w:rsid w:val="00C932B2"/>
    <w:rsid w:val="00C934D7"/>
    <w:rsid w:val="00C93EF7"/>
    <w:rsid w:val="00C94A96"/>
    <w:rsid w:val="00C9524B"/>
    <w:rsid w:val="00C95500"/>
    <w:rsid w:val="00C95BA1"/>
    <w:rsid w:val="00C963C0"/>
    <w:rsid w:val="00C96F35"/>
    <w:rsid w:val="00C977A9"/>
    <w:rsid w:val="00CA1393"/>
    <w:rsid w:val="00CA2384"/>
    <w:rsid w:val="00CA2530"/>
    <w:rsid w:val="00CA3533"/>
    <w:rsid w:val="00CA35B0"/>
    <w:rsid w:val="00CA41D2"/>
    <w:rsid w:val="00CA4973"/>
    <w:rsid w:val="00CA4F20"/>
    <w:rsid w:val="00CA5602"/>
    <w:rsid w:val="00CA5A65"/>
    <w:rsid w:val="00CA5DA2"/>
    <w:rsid w:val="00CA7A7D"/>
    <w:rsid w:val="00CA7BC6"/>
    <w:rsid w:val="00CB0E0F"/>
    <w:rsid w:val="00CB1616"/>
    <w:rsid w:val="00CB2E64"/>
    <w:rsid w:val="00CB3275"/>
    <w:rsid w:val="00CB358B"/>
    <w:rsid w:val="00CB5FAF"/>
    <w:rsid w:val="00CB688C"/>
    <w:rsid w:val="00CB6E1C"/>
    <w:rsid w:val="00CB6FF9"/>
    <w:rsid w:val="00CC0C47"/>
    <w:rsid w:val="00CC1165"/>
    <w:rsid w:val="00CC16EF"/>
    <w:rsid w:val="00CC174A"/>
    <w:rsid w:val="00CC198D"/>
    <w:rsid w:val="00CC1B43"/>
    <w:rsid w:val="00CC2488"/>
    <w:rsid w:val="00CC2953"/>
    <w:rsid w:val="00CC3331"/>
    <w:rsid w:val="00CC4177"/>
    <w:rsid w:val="00CC5201"/>
    <w:rsid w:val="00CC6270"/>
    <w:rsid w:val="00CD00BD"/>
    <w:rsid w:val="00CD0223"/>
    <w:rsid w:val="00CD0FE7"/>
    <w:rsid w:val="00CD19D2"/>
    <w:rsid w:val="00CD296C"/>
    <w:rsid w:val="00CD2F7F"/>
    <w:rsid w:val="00CD6CA4"/>
    <w:rsid w:val="00CD7140"/>
    <w:rsid w:val="00CD7E0F"/>
    <w:rsid w:val="00CE01E9"/>
    <w:rsid w:val="00CE02BD"/>
    <w:rsid w:val="00CE08EA"/>
    <w:rsid w:val="00CE14B2"/>
    <w:rsid w:val="00CE188A"/>
    <w:rsid w:val="00CE29CD"/>
    <w:rsid w:val="00CE4E0F"/>
    <w:rsid w:val="00CF12A0"/>
    <w:rsid w:val="00CF13BE"/>
    <w:rsid w:val="00CF18B9"/>
    <w:rsid w:val="00CF2F3A"/>
    <w:rsid w:val="00CF359E"/>
    <w:rsid w:val="00CF372A"/>
    <w:rsid w:val="00CF3DB5"/>
    <w:rsid w:val="00CF4B16"/>
    <w:rsid w:val="00CF5BBE"/>
    <w:rsid w:val="00CF6800"/>
    <w:rsid w:val="00CF781D"/>
    <w:rsid w:val="00CF7D49"/>
    <w:rsid w:val="00D019BF"/>
    <w:rsid w:val="00D03EDB"/>
    <w:rsid w:val="00D04226"/>
    <w:rsid w:val="00D04493"/>
    <w:rsid w:val="00D04BC3"/>
    <w:rsid w:val="00D066E5"/>
    <w:rsid w:val="00D101A6"/>
    <w:rsid w:val="00D10D35"/>
    <w:rsid w:val="00D11D4E"/>
    <w:rsid w:val="00D12485"/>
    <w:rsid w:val="00D12D98"/>
    <w:rsid w:val="00D12F4B"/>
    <w:rsid w:val="00D1328C"/>
    <w:rsid w:val="00D133FE"/>
    <w:rsid w:val="00D139C1"/>
    <w:rsid w:val="00D13A13"/>
    <w:rsid w:val="00D13BD8"/>
    <w:rsid w:val="00D14368"/>
    <w:rsid w:val="00D14621"/>
    <w:rsid w:val="00D14BB5"/>
    <w:rsid w:val="00D15179"/>
    <w:rsid w:val="00D154CD"/>
    <w:rsid w:val="00D1583A"/>
    <w:rsid w:val="00D15CB4"/>
    <w:rsid w:val="00D15D0E"/>
    <w:rsid w:val="00D17814"/>
    <w:rsid w:val="00D215F8"/>
    <w:rsid w:val="00D2258E"/>
    <w:rsid w:val="00D22748"/>
    <w:rsid w:val="00D22C54"/>
    <w:rsid w:val="00D24B28"/>
    <w:rsid w:val="00D267E8"/>
    <w:rsid w:val="00D26918"/>
    <w:rsid w:val="00D2702C"/>
    <w:rsid w:val="00D27CC6"/>
    <w:rsid w:val="00D30994"/>
    <w:rsid w:val="00D30F9D"/>
    <w:rsid w:val="00D31E9E"/>
    <w:rsid w:val="00D32012"/>
    <w:rsid w:val="00D328A1"/>
    <w:rsid w:val="00D32F8A"/>
    <w:rsid w:val="00D3474E"/>
    <w:rsid w:val="00D35073"/>
    <w:rsid w:val="00D35223"/>
    <w:rsid w:val="00D352CF"/>
    <w:rsid w:val="00D35D8B"/>
    <w:rsid w:val="00D366F3"/>
    <w:rsid w:val="00D36B69"/>
    <w:rsid w:val="00D37121"/>
    <w:rsid w:val="00D37D99"/>
    <w:rsid w:val="00D40BF3"/>
    <w:rsid w:val="00D423B1"/>
    <w:rsid w:val="00D426AA"/>
    <w:rsid w:val="00D43D03"/>
    <w:rsid w:val="00D43EF9"/>
    <w:rsid w:val="00D44448"/>
    <w:rsid w:val="00D44C67"/>
    <w:rsid w:val="00D4597D"/>
    <w:rsid w:val="00D45A3F"/>
    <w:rsid w:val="00D46185"/>
    <w:rsid w:val="00D4688A"/>
    <w:rsid w:val="00D46B87"/>
    <w:rsid w:val="00D4701A"/>
    <w:rsid w:val="00D478ED"/>
    <w:rsid w:val="00D50CF1"/>
    <w:rsid w:val="00D51099"/>
    <w:rsid w:val="00D51188"/>
    <w:rsid w:val="00D517C7"/>
    <w:rsid w:val="00D51A61"/>
    <w:rsid w:val="00D51F4A"/>
    <w:rsid w:val="00D52340"/>
    <w:rsid w:val="00D53928"/>
    <w:rsid w:val="00D540E9"/>
    <w:rsid w:val="00D542AE"/>
    <w:rsid w:val="00D54C1D"/>
    <w:rsid w:val="00D552E3"/>
    <w:rsid w:val="00D557D9"/>
    <w:rsid w:val="00D569D9"/>
    <w:rsid w:val="00D56BAF"/>
    <w:rsid w:val="00D56CAE"/>
    <w:rsid w:val="00D577DB"/>
    <w:rsid w:val="00D6015D"/>
    <w:rsid w:val="00D60BA1"/>
    <w:rsid w:val="00D617E4"/>
    <w:rsid w:val="00D631A3"/>
    <w:rsid w:val="00D63C84"/>
    <w:rsid w:val="00D64296"/>
    <w:rsid w:val="00D64513"/>
    <w:rsid w:val="00D64705"/>
    <w:rsid w:val="00D64F3C"/>
    <w:rsid w:val="00D6534C"/>
    <w:rsid w:val="00D65427"/>
    <w:rsid w:val="00D65908"/>
    <w:rsid w:val="00D66544"/>
    <w:rsid w:val="00D67FCB"/>
    <w:rsid w:val="00D70FEB"/>
    <w:rsid w:val="00D71492"/>
    <w:rsid w:val="00D716F1"/>
    <w:rsid w:val="00D72AA2"/>
    <w:rsid w:val="00D72BC1"/>
    <w:rsid w:val="00D735C8"/>
    <w:rsid w:val="00D7455E"/>
    <w:rsid w:val="00D750A2"/>
    <w:rsid w:val="00D7565E"/>
    <w:rsid w:val="00D7567D"/>
    <w:rsid w:val="00D75795"/>
    <w:rsid w:val="00D757D3"/>
    <w:rsid w:val="00D75C11"/>
    <w:rsid w:val="00D779F7"/>
    <w:rsid w:val="00D77D10"/>
    <w:rsid w:val="00D81A1A"/>
    <w:rsid w:val="00D828FC"/>
    <w:rsid w:val="00D83279"/>
    <w:rsid w:val="00D83591"/>
    <w:rsid w:val="00D848D9"/>
    <w:rsid w:val="00D84902"/>
    <w:rsid w:val="00D84D90"/>
    <w:rsid w:val="00D84F04"/>
    <w:rsid w:val="00D86F23"/>
    <w:rsid w:val="00D87028"/>
    <w:rsid w:val="00D87350"/>
    <w:rsid w:val="00D87542"/>
    <w:rsid w:val="00D9026C"/>
    <w:rsid w:val="00D9050A"/>
    <w:rsid w:val="00D906D4"/>
    <w:rsid w:val="00D90B1C"/>
    <w:rsid w:val="00D9115A"/>
    <w:rsid w:val="00D917C7"/>
    <w:rsid w:val="00D92549"/>
    <w:rsid w:val="00D94FA1"/>
    <w:rsid w:val="00D950A8"/>
    <w:rsid w:val="00D95191"/>
    <w:rsid w:val="00D95C20"/>
    <w:rsid w:val="00D95D76"/>
    <w:rsid w:val="00D97800"/>
    <w:rsid w:val="00D97C16"/>
    <w:rsid w:val="00DA0B59"/>
    <w:rsid w:val="00DA0D5F"/>
    <w:rsid w:val="00DA3C91"/>
    <w:rsid w:val="00DA4252"/>
    <w:rsid w:val="00DA567C"/>
    <w:rsid w:val="00DA56A0"/>
    <w:rsid w:val="00DA5862"/>
    <w:rsid w:val="00DA6243"/>
    <w:rsid w:val="00DA6B1E"/>
    <w:rsid w:val="00DA717A"/>
    <w:rsid w:val="00DA73D0"/>
    <w:rsid w:val="00DB0065"/>
    <w:rsid w:val="00DB0A4D"/>
    <w:rsid w:val="00DB0D0C"/>
    <w:rsid w:val="00DB1458"/>
    <w:rsid w:val="00DB1743"/>
    <w:rsid w:val="00DB1830"/>
    <w:rsid w:val="00DB1842"/>
    <w:rsid w:val="00DB280D"/>
    <w:rsid w:val="00DB2C78"/>
    <w:rsid w:val="00DB3710"/>
    <w:rsid w:val="00DB3715"/>
    <w:rsid w:val="00DB37F6"/>
    <w:rsid w:val="00DB41BA"/>
    <w:rsid w:val="00DB41BC"/>
    <w:rsid w:val="00DB722B"/>
    <w:rsid w:val="00DC0B27"/>
    <w:rsid w:val="00DC26E6"/>
    <w:rsid w:val="00DC3A17"/>
    <w:rsid w:val="00DC4A23"/>
    <w:rsid w:val="00DC4ED2"/>
    <w:rsid w:val="00DC6776"/>
    <w:rsid w:val="00DC727C"/>
    <w:rsid w:val="00DC7FFE"/>
    <w:rsid w:val="00DD155E"/>
    <w:rsid w:val="00DD1EFC"/>
    <w:rsid w:val="00DD2969"/>
    <w:rsid w:val="00DD2CBD"/>
    <w:rsid w:val="00DD3109"/>
    <w:rsid w:val="00DD313B"/>
    <w:rsid w:val="00DD3319"/>
    <w:rsid w:val="00DD4A8F"/>
    <w:rsid w:val="00DD4FB1"/>
    <w:rsid w:val="00DD5FAB"/>
    <w:rsid w:val="00DD610D"/>
    <w:rsid w:val="00DD6222"/>
    <w:rsid w:val="00DD638A"/>
    <w:rsid w:val="00DD7DB2"/>
    <w:rsid w:val="00DD7E69"/>
    <w:rsid w:val="00DE161E"/>
    <w:rsid w:val="00DE16EC"/>
    <w:rsid w:val="00DE18AD"/>
    <w:rsid w:val="00DE1DAB"/>
    <w:rsid w:val="00DE20A2"/>
    <w:rsid w:val="00DE2876"/>
    <w:rsid w:val="00DE3448"/>
    <w:rsid w:val="00DE4B35"/>
    <w:rsid w:val="00DE4F6D"/>
    <w:rsid w:val="00DE5515"/>
    <w:rsid w:val="00DE5A62"/>
    <w:rsid w:val="00DE614B"/>
    <w:rsid w:val="00DE659C"/>
    <w:rsid w:val="00DE6D68"/>
    <w:rsid w:val="00DE7898"/>
    <w:rsid w:val="00DE796B"/>
    <w:rsid w:val="00DE7A60"/>
    <w:rsid w:val="00DE7DE3"/>
    <w:rsid w:val="00DF00B7"/>
    <w:rsid w:val="00DF0B89"/>
    <w:rsid w:val="00DF2094"/>
    <w:rsid w:val="00DF20BB"/>
    <w:rsid w:val="00DF23CF"/>
    <w:rsid w:val="00DF282A"/>
    <w:rsid w:val="00DF296C"/>
    <w:rsid w:val="00DF3D10"/>
    <w:rsid w:val="00DF42F3"/>
    <w:rsid w:val="00DF435A"/>
    <w:rsid w:val="00DF4907"/>
    <w:rsid w:val="00DF6DE8"/>
    <w:rsid w:val="00E012CE"/>
    <w:rsid w:val="00E0177B"/>
    <w:rsid w:val="00E01F14"/>
    <w:rsid w:val="00E02154"/>
    <w:rsid w:val="00E0263C"/>
    <w:rsid w:val="00E0292D"/>
    <w:rsid w:val="00E03202"/>
    <w:rsid w:val="00E0320A"/>
    <w:rsid w:val="00E03899"/>
    <w:rsid w:val="00E04938"/>
    <w:rsid w:val="00E04B4C"/>
    <w:rsid w:val="00E05CC9"/>
    <w:rsid w:val="00E06634"/>
    <w:rsid w:val="00E071E3"/>
    <w:rsid w:val="00E07EC1"/>
    <w:rsid w:val="00E07F4F"/>
    <w:rsid w:val="00E1087E"/>
    <w:rsid w:val="00E11873"/>
    <w:rsid w:val="00E11DDD"/>
    <w:rsid w:val="00E1461C"/>
    <w:rsid w:val="00E147B9"/>
    <w:rsid w:val="00E164C1"/>
    <w:rsid w:val="00E16903"/>
    <w:rsid w:val="00E17043"/>
    <w:rsid w:val="00E2016A"/>
    <w:rsid w:val="00E202AF"/>
    <w:rsid w:val="00E20630"/>
    <w:rsid w:val="00E2111F"/>
    <w:rsid w:val="00E216F4"/>
    <w:rsid w:val="00E21C6A"/>
    <w:rsid w:val="00E21C6F"/>
    <w:rsid w:val="00E2246D"/>
    <w:rsid w:val="00E22BFC"/>
    <w:rsid w:val="00E22C95"/>
    <w:rsid w:val="00E22E18"/>
    <w:rsid w:val="00E22F57"/>
    <w:rsid w:val="00E2399D"/>
    <w:rsid w:val="00E24046"/>
    <w:rsid w:val="00E25A1D"/>
    <w:rsid w:val="00E26341"/>
    <w:rsid w:val="00E26506"/>
    <w:rsid w:val="00E2672E"/>
    <w:rsid w:val="00E26C63"/>
    <w:rsid w:val="00E30E41"/>
    <w:rsid w:val="00E31786"/>
    <w:rsid w:val="00E317B7"/>
    <w:rsid w:val="00E31CCA"/>
    <w:rsid w:val="00E321E2"/>
    <w:rsid w:val="00E32D89"/>
    <w:rsid w:val="00E348E8"/>
    <w:rsid w:val="00E35682"/>
    <w:rsid w:val="00E356CD"/>
    <w:rsid w:val="00E35B07"/>
    <w:rsid w:val="00E36ABB"/>
    <w:rsid w:val="00E36D93"/>
    <w:rsid w:val="00E37720"/>
    <w:rsid w:val="00E406C0"/>
    <w:rsid w:val="00E40869"/>
    <w:rsid w:val="00E40E49"/>
    <w:rsid w:val="00E41307"/>
    <w:rsid w:val="00E41832"/>
    <w:rsid w:val="00E420D7"/>
    <w:rsid w:val="00E42457"/>
    <w:rsid w:val="00E42549"/>
    <w:rsid w:val="00E42E12"/>
    <w:rsid w:val="00E4329D"/>
    <w:rsid w:val="00E43646"/>
    <w:rsid w:val="00E43AF6"/>
    <w:rsid w:val="00E43B5D"/>
    <w:rsid w:val="00E44123"/>
    <w:rsid w:val="00E44CEC"/>
    <w:rsid w:val="00E44F0D"/>
    <w:rsid w:val="00E4668A"/>
    <w:rsid w:val="00E46B31"/>
    <w:rsid w:val="00E46EA3"/>
    <w:rsid w:val="00E47040"/>
    <w:rsid w:val="00E4792A"/>
    <w:rsid w:val="00E502A8"/>
    <w:rsid w:val="00E50C04"/>
    <w:rsid w:val="00E50C8F"/>
    <w:rsid w:val="00E50E94"/>
    <w:rsid w:val="00E511DD"/>
    <w:rsid w:val="00E51538"/>
    <w:rsid w:val="00E51566"/>
    <w:rsid w:val="00E51C1B"/>
    <w:rsid w:val="00E51CEC"/>
    <w:rsid w:val="00E52765"/>
    <w:rsid w:val="00E5398D"/>
    <w:rsid w:val="00E53DA7"/>
    <w:rsid w:val="00E54FD2"/>
    <w:rsid w:val="00E55600"/>
    <w:rsid w:val="00E55837"/>
    <w:rsid w:val="00E55F2C"/>
    <w:rsid w:val="00E564E3"/>
    <w:rsid w:val="00E570BF"/>
    <w:rsid w:val="00E6297F"/>
    <w:rsid w:val="00E62FCE"/>
    <w:rsid w:val="00E63412"/>
    <w:rsid w:val="00E63833"/>
    <w:rsid w:val="00E63EE3"/>
    <w:rsid w:val="00E6423B"/>
    <w:rsid w:val="00E64432"/>
    <w:rsid w:val="00E647D1"/>
    <w:rsid w:val="00E65487"/>
    <w:rsid w:val="00E654B1"/>
    <w:rsid w:val="00E65634"/>
    <w:rsid w:val="00E65BC7"/>
    <w:rsid w:val="00E665D5"/>
    <w:rsid w:val="00E66F68"/>
    <w:rsid w:val="00E70117"/>
    <w:rsid w:val="00E702C9"/>
    <w:rsid w:val="00E72BB5"/>
    <w:rsid w:val="00E73D9C"/>
    <w:rsid w:val="00E74776"/>
    <w:rsid w:val="00E748EE"/>
    <w:rsid w:val="00E74990"/>
    <w:rsid w:val="00E761C1"/>
    <w:rsid w:val="00E766CB"/>
    <w:rsid w:val="00E767EB"/>
    <w:rsid w:val="00E80C1D"/>
    <w:rsid w:val="00E811E6"/>
    <w:rsid w:val="00E817FA"/>
    <w:rsid w:val="00E81AE3"/>
    <w:rsid w:val="00E8450B"/>
    <w:rsid w:val="00E8450D"/>
    <w:rsid w:val="00E8473D"/>
    <w:rsid w:val="00E84C47"/>
    <w:rsid w:val="00E84D30"/>
    <w:rsid w:val="00E85395"/>
    <w:rsid w:val="00E87C5F"/>
    <w:rsid w:val="00E90AC5"/>
    <w:rsid w:val="00E91192"/>
    <w:rsid w:val="00E92EBF"/>
    <w:rsid w:val="00E9552F"/>
    <w:rsid w:val="00E95594"/>
    <w:rsid w:val="00E95CAE"/>
    <w:rsid w:val="00E96518"/>
    <w:rsid w:val="00E979A2"/>
    <w:rsid w:val="00E979AA"/>
    <w:rsid w:val="00E979FA"/>
    <w:rsid w:val="00E97CC4"/>
    <w:rsid w:val="00EA0271"/>
    <w:rsid w:val="00EA1675"/>
    <w:rsid w:val="00EA6846"/>
    <w:rsid w:val="00EA6A54"/>
    <w:rsid w:val="00EA6BEF"/>
    <w:rsid w:val="00EA727A"/>
    <w:rsid w:val="00EB01FC"/>
    <w:rsid w:val="00EB040D"/>
    <w:rsid w:val="00EB0688"/>
    <w:rsid w:val="00EB11CF"/>
    <w:rsid w:val="00EB1588"/>
    <w:rsid w:val="00EB179B"/>
    <w:rsid w:val="00EB3183"/>
    <w:rsid w:val="00EB31AA"/>
    <w:rsid w:val="00EB3353"/>
    <w:rsid w:val="00EB3FB3"/>
    <w:rsid w:val="00EB4039"/>
    <w:rsid w:val="00EB4D7D"/>
    <w:rsid w:val="00EB5319"/>
    <w:rsid w:val="00EB5AAD"/>
    <w:rsid w:val="00EB5BBE"/>
    <w:rsid w:val="00EB721A"/>
    <w:rsid w:val="00EC0CF5"/>
    <w:rsid w:val="00EC19E3"/>
    <w:rsid w:val="00EC242B"/>
    <w:rsid w:val="00EC36A1"/>
    <w:rsid w:val="00EC6076"/>
    <w:rsid w:val="00EC668A"/>
    <w:rsid w:val="00EC6787"/>
    <w:rsid w:val="00EC6B44"/>
    <w:rsid w:val="00EC7608"/>
    <w:rsid w:val="00EC7BB6"/>
    <w:rsid w:val="00ED08C5"/>
    <w:rsid w:val="00ED1220"/>
    <w:rsid w:val="00ED2667"/>
    <w:rsid w:val="00ED355D"/>
    <w:rsid w:val="00ED362D"/>
    <w:rsid w:val="00ED3955"/>
    <w:rsid w:val="00ED4E92"/>
    <w:rsid w:val="00ED7155"/>
    <w:rsid w:val="00ED76C9"/>
    <w:rsid w:val="00ED78F3"/>
    <w:rsid w:val="00EE0C54"/>
    <w:rsid w:val="00EE0DD7"/>
    <w:rsid w:val="00EE1CD8"/>
    <w:rsid w:val="00EE2654"/>
    <w:rsid w:val="00EE2886"/>
    <w:rsid w:val="00EE2B93"/>
    <w:rsid w:val="00EE3142"/>
    <w:rsid w:val="00EE37A3"/>
    <w:rsid w:val="00EE447E"/>
    <w:rsid w:val="00EE466F"/>
    <w:rsid w:val="00EE4BAF"/>
    <w:rsid w:val="00EE5653"/>
    <w:rsid w:val="00EF1528"/>
    <w:rsid w:val="00EF1F26"/>
    <w:rsid w:val="00EF337E"/>
    <w:rsid w:val="00EF37B3"/>
    <w:rsid w:val="00EF407B"/>
    <w:rsid w:val="00EF5D73"/>
    <w:rsid w:val="00EF6C40"/>
    <w:rsid w:val="00F002E0"/>
    <w:rsid w:val="00F00A0A"/>
    <w:rsid w:val="00F0106D"/>
    <w:rsid w:val="00F01C08"/>
    <w:rsid w:val="00F02398"/>
    <w:rsid w:val="00F02AF0"/>
    <w:rsid w:val="00F035C0"/>
    <w:rsid w:val="00F037C1"/>
    <w:rsid w:val="00F0400D"/>
    <w:rsid w:val="00F05138"/>
    <w:rsid w:val="00F066DC"/>
    <w:rsid w:val="00F07AF0"/>
    <w:rsid w:val="00F10E8E"/>
    <w:rsid w:val="00F11F48"/>
    <w:rsid w:val="00F12059"/>
    <w:rsid w:val="00F13273"/>
    <w:rsid w:val="00F13499"/>
    <w:rsid w:val="00F13B69"/>
    <w:rsid w:val="00F16D80"/>
    <w:rsid w:val="00F1745A"/>
    <w:rsid w:val="00F20546"/>
    <w:rsid w:val="00F211C5"/>
    <w:rsid w:val="00F21F87"/>
    <w:rsid w:val="00F22993"/>
    <w:rsid w:val="00F25155"/>
    <w:rsid w:val="00F257DC"/>
    <w:rsid w:val="00F25B9F"/>
    <w:rsid w:val="00F25EE6"/>
    <w:rsid w:val="00F262C8"/>
    <w:rsid w:val="00F26ACD"/>
    <w:rsid w:val="00F26C72"/>
    <w:rsid w:val="00F279CD"/>
    <w:rsid w:val="00F27FE5"/>
    <w:rsid w:val="00F3013F"/>
    <w:rsid w:val="00F301EF"/>
    <w:rsid w:val="00F30B68"/>
    <w:rsid w:val="00F32D2E"/>
    <w:rsid w:val="00F32EC4"/>
    <w:rsid w:val="00F3342F"/>
    <w:rsid w:val="00F33FE8"/>
    <w:rsid w:val="00F34510"/>
    <w:rsid w:val="00F36595"/>
    <w:rsid w:val="00F3686B"/>
    <w:rsid w:val="00F3710B"/>
    <w:rsid w:val="00F4047A"/>
    <w:rsid w:val="00F40B7C"/>
    <w:rsid w:val="00F413F2"/>
    <w:rsid w:val="00F41449"/>
    <w:rsid w:val="00F417B3"/>
    <w:rsid w:val="00F41CC8"/>
    <w:rsid w:val="00F420BD"/>
    <w:rsid w:val="00F420CA"/>
    <w:rsid w:val="00F423B6"/>
    <w:rsid w:val="00F423FE"/>
    <w:rsid w:val="00F43338"/>
    <w:rsid w:val="00F4385E"/>
    <w:rsid w:val="00F43E86"/>
    <w:rsid w:val="00F4478F"/>
    <w:rsid w:val="00F44EA1"/>
    <w:rsid w:val="00F456B3"/>
    <w:rsid w:val="00F467A5"/>
    <w:rsid w:val="00F50ED8"/>
    <w:rsid w:val="00F53900"/>
    <w:rsid w:val="00F53988"/>
    <w:rsid w:val="00F549B4"/>
    <w:rsid w:val="00F55065"/>
    <w:rsid w:val="00F5525E"/>
    <w:rsid w:val="00F55917"/>
    <w:rsid w:val="00F559B4"/>
    <w:rsid w:val="00F563B3"/>
    <w:rsid w:val="00F60824"/>
    <w:rsid w:val="00F60D55"/>
    <w:rsid w:val="00F60F31"/>
    <w:rsid w:val="00F62507"/>
    <w:rsid w:val="00F627EB"/>
    <w:rsid w:val="00F62BCC"/>
    <w:rsid w:val="00F632E0"/>
    <w:rsid w:val="00F637F7"/>
    <w:rsid w:val="00F63AE5"/>
    <w:rsid w:val="00F65495"/>
    <w:rsid w:val="00F67388"/>
    <w:rsid w:val="00F70A24"/>
    <w:rsid w:val="00F70FFE"/>
    <w:rsid w:val="00F71C65"/>
    <w:rsid w:val="00F72053"/>
    <w:rsid w:val="00F7297B"/>
    <w:rsid w:val="00F72C72"/>
    <w:rsid w:val="00F730E3"/>
    <w:rsid w:val="00F73E35"/>
    <w:rsid w:val="00F74B1C"/>
    <w:rsid w:val="00F7525C"/>
    <w:rsid w:val="00F75A10"/>
    <w:rsid w:val="00F76867"/>
    <w:rsid w:val="00F76970"/>
    <w:rsid w:val="00F76BC1"/>
    <w:rsid w:val="00F77276"/>
    <w:rsid w:val="00F80259"/>
    <w:rsid w:val="00F80342"/>
    <w:rsid w:val="00F80CE6"/>
    <w:rsid w:val="00F81728"/>
    <w:rsid w:val="00F8193F"/>
    <w:rsid w:val="00F81B79"/>
    <w:rsid w:val="00F82E0D"/>
    <w:rsid w:val="00F831CF"/>
    <w:rsid w:val="00F832C4"/>
    <w:rsid w:val="00F84637"/>
    <w:rsid w:val="00F848EB"/>
    <w:rsid w:val="00F851DF"/>
    <w:rsid w:val="00F86C02"/>
    <w:rsid w:val="00F87F62"/>
    <w:rsid w:val="00F90DC9"/>
    <w:rsid w:val="00F914C0"/>
    <w:rsid w:val="00F9235E"/>
    <w:rsid w:val="00F92F7A"/>
    <w:rsid w:val="00F9493C"/>
    <w:rsid w:val="00F94B7B"/>
    <w:rsid w:val="00F94C69"/>
    <w:rsid w:val="00F95755"/>
    <w:rsid w:val="00F962A3"/>
    <w:rsid w:val="00F97317"/>
    <w:rsid w:val="00F978F2"/>
    <w:rsid w:val="00F97F46"/>
    <w:rsid w:val="00FA030C"/>
    <w:rsid w:val="00FA0675"/>
    <w:rsid w:val="00FA1101"/>
    <w:rsid w:val="00FA2D29"/>
    <w:rsid w:val="00FA3CF3"/>
    <w:rsid w:val="00FA5B3C"/>
    <w:rsid w:val="00FA5CF1"/>
    <w:rsid w:val="00FA79C7"/>
    <w:rsid w:val="00FB12C2"/>
    <w:rsid w:val="00FB13FB"/>
    <w:rsid w:val="00FB16A8"/>
    <w:rsid w:val="00FB270B"/>
    <w:rsid w:val="00FB2D54"/>
    <w:rsid w:val="00FB3789"/>
    <w:rsid w:val="00FB3F26"/>
    <w:rsid w:val="00FB3FE2"/>
    <w:rsid w:val="00FB5A43"/>
    <w:rsid w:val="00FB5D07"/>
    <w:rsid w:val="00FB6611"/>
    <w:rsid w:val="00FB6894"/>
    <w:rsid w:val="00FB69C6"/>
    <w:rsid w:val="00FB6E4F"/>
    <w:rsid w:val="00FB711D"/>
    <w:rsid w:val="00FB7525"/>
    <w:rsid w:val="00FC149F"/>
    <w:rsid w:val="00FC1926"/>
    <w:rsid w:val="00FC2809"/>
    <w:rsid w:val="00FC2845"/>
    <w:rsid w:val="00FC3213"/>
    <w:rsid w:val="00FC3E19"/>
    <w:rsid w:val="00FC4100"/>
    <w:rsid w:val="00FC48C6"/>
    <w:rsid w:val="00FC4B6E"/>
    <w:rsid w:val="00FC5D69"/>
    <w:rsid w:val="00FC5FD6"/>
    <w:rsid w:val="00FC60DB"/>
    <w:rsid w:val="00FC684F"/>
    <w:rsid w:val="00FC7448"/>
    <w:rsid w:val="00FC7A08"/>
    <w:rsid w:val="00FD0326"/>
    <w:rsid w:val="00FD0F26"/>
    <w:rsid w:val="00FD1408"/>
    <w:rsid w:val="00FD155B"/>
    <w:rsid w:val="00FD24AF"/>
    <w:rsid w:val="00FD4700"/>
    <w:rsid w:val="00FD492A"/>
    <w:rsid w:val="00FD53F4"/>
    <w:rsid w:val="00FD56F2"/>
    <w:rsid w:val="00FD5B69"/>
    <w:rsid w:val="00FD5B90"/>
    <w:rsid w:val="00FD62B6"/>
    <w:rsid w:val="00FD74D4"/>
    <w:rsid w:val="00FD77E7"/>
    <w:rsid w:val="00FE11DE"/>
    <w:rsid w:val="00FE2314"/>
    <w:rsid w:val="00FE244A"/>
    <w:rsid w:val="00FE38DA"/>
    <w:rsid w:val="00FE40CB"/>
    <w:rsid w:val="00FE56DB"/>
    <w:rsid w:val="00FE6736"/>
    <w:rsid w:val="00FE7199"/>
    <w:rsid w:val="00FE7DEF"/>
    <w:rsid w:val="00FF0070"/>
    <w:rsid w:val="00FF1A12"/>
    <w:rsid w:val="00FF1C46"/>
    <w:rsid w:val="00FF3677"/>
    <w:rsid w:val="00FF43A9"/>
    <w:rsid w:val="00FF4911"/>
    <w:rsid w:val="00FF54AD"/>
    <w:rsid w:val="00FF5BE1"/>
    <w:rsid w:val="00FF5E54"/>
    <w:rsid w:val="00FF64A7"/>
    <w:rsid w:val="00FF66CF"/>
    <w:rsid w:val="00FF6D01"/>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E5A55318-7431-409B-AB6D-DA917ABC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88C"/>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character" w:styleId="CommentReference">
    <w:name w:val="annotation reference"/>
    <w:basedOn w:val="DefaultParagraphFont"/>
    <w:uiPriority w:val="99"/>
    <w:semiHidden/>
    <w:unhideWhenUsed/>
    <w:rsid w:val="00CE01E9"/>
    <w:rPr>
      <w:sz w:val="16"/>
      <w:szCs w:val="16"/>
    </w:rPr>
  </w:style>
  <w:style w:type="paragraph" w:styleId="CommentText">
    <w:name w:val="annotation text"/>
    <w:basedOn w:val="Normal"/>
    <w:link w:val="a5"/>
    <w:uiPriority w:val="99"/>
    <w:unhideWhenUsed/>
    <w:rsid w:val="00CE01E9"/>
    <w:pPr>
      <w:spacing w:line="240" w:lineRule="auto"/>
    </w:pPr>
    <w:rPr>
      <w:szCs w:val="20"/>
    </w:rPr>
  </w:style>
  <w:style w:type="character" w:customStyle="1" w:styleId="a5">
    <w:name w:val="טקסט הערה תו"/>
    <w:basedOn w:val="DefaultParagraphFont"/>
    <w:link w:val="CommentText"/>
    <w:uiPriority w:val="99"/>
    <w:rsid w:val="00CE01E9"/>
    <w:rPr>
      <w:szCs w:val="20"/>
    </w:rPr>
  </w:style>
  <w:style w:type="paragraph" w:styleId="BalloonText">
    <w:name w:val="Balloon Text"/>
    <w:basedOn w:val="Normal"/>
    <w:link w:val="a6"/>
    <w:uiPriority w:val="99"/>
    <w:semiHidden/>
    <w:unhideWhenUsed/>
    <w:rsid w:val="00CE01E9"/>
    <w:pPr>
      <w:spacing w:line="240" w:lineRule="auto"/>
    </w:pPr>
    <w:rPr>
      <w:rFonts w:ascii="Tahoma" w:hAnsi="Tahoma" w:cs="Tahoma"/>
      <w:sz w:val="18"/>
      <w:szCs w:val="18"/>
    </w:rPr>
  </w:style>
  <w:style w:type="character" w:customStyle="1" w:styleId="a6">
    <w:name w:val="טקסט בלונים תו"/>
    <w:basedOn w:val="DefaultParagraphFont"/>
    <w:link w:val="BalloonText"/>
    <w:uiPriority w:val="99"/>
    <w:semiHidden/>
    <w:rsid w:val="00CE01E9"/>
    <w:rPr>
      <w:rFonts w:ascii="Tahoma" w:hAnsi="Tahoma" w:cs="Tahoma"/>
      <w:sz w:val="18"/>
      <w:szCs w:val="18"/>
    </w:rPr>
  </w:style>
  <w:style w:type="table" w:styleId="TableGrid">
    <w:name w:val="Table Grid"/>
    <w:basedOn w:val="TableNormal"/>
    <w:uiPriority w:val="59"/>
    <w:rsid w:val="00F5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278"/>
    <w:pPr>
      <w:ind w:left="720"/>
      <w:contextualSpacing/>
    </w:pPr>
  </w:style>
  <w:style w:type="paragraph" w:styleId="CommentSubject">
    <w:name w:val="annotation subject"/>
    <w:basedOn w:val="CommentText"/>
    <w:next w:val="CommentText"/>
    <w:link w:val="a7"/>
    <w:uiPriority w:val="99"/>
    <w:semiHidden/>
    <w:unhideWhenUsed/>
    <w:rsid w:val="00806CDB"/>
    <w:rPr>
      <w:b/>
      <w:bCs/>
    </w:rPr>
  </w:style>
  <w:style w:type="character" w:customStyle="1" w:styleId="a7">
    <w:name w:val="נושא הערה תו"/>
    <w:basedOn w:val="a5"/>
    <w:link w:val="CommentSubject"/>
    <w:uiPriority w:val="99"/>
    <w:semiHidden/>
    <w:rsid w:val="00806CDB"/>
    <w:rPr>
      <w:b/>
      <w:bCs/>
      <w:szCs w:val="20"/>
    </w:rPr>
  </w:style>
  <w:style w:type="table" w:customStyle="1" w:styleId="4-61">
    <w:name w:val="טבלת רשת 4 - הדגשה 61"/>
    <w:basedOn w:val="TableNormal"/>
    <w:uiPriority w:val="49"/>
    <w:rsid w:val="007608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0049C2"/>
    <w:rPr>
      <w:color w:val="0000FF" w:themeColor="hyperlink"/>
      <w:u w:val="single"/>
    </w:rPr>
  </w:style>
  <w:style w:type="paragraph" w:styleId="TOCHeading">
    <w:name w:val="TOC Heading"/>
    <w:basedOn w:val="Heading1"/>
    <w:next w:val="Normal"/>
    <w:uiPriority w:val="39"/>
    <w:unhideWhenUsed/>
    <w:qFormat/>
    <w:rsid w:val="000049C2"/>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1">
    <w:name w:val="toc 1"/>
    <w:basedOn w:val="Normal"/>
    <w:next w:val="Normal"/>
    <w:autoRedefine/>
    <w:uiPriority w:val="39"/>
    <w:unhideWhenUsed/>
    <w:rsid w:val="00383DB5"/>
    <w:pPr>
      <w:tabs>
        <w:tab w:val="right" w:leader="dot" w:pos="8211"/>
      </w:tabs>
      <w:spacing w:after="100"/>
    </w:pPr>
  </w:style>
  <w:style w:type="paragraph" w:styleId="TOC2">
    <w:name w:val="toc 2"/>
    <w:basedOn w:val="Normal"/>
    <w:next w:val="Normal"/>
    <w:autoRedefine/>
    <w:uiPriority w:val="39"/>
    <w:unhideWhenUsed/>
    <w:rsid w:val="003917BC"/>
    <w:pPr>
      <w:tabs>
        <w:tab w:val="left" w:pos="880"/>
        <w:tab w:val="right" w:leader="dot" w:pos="8211"/>
      </w:tabs>
      <w:spacing w:after="100"/>
      <w:ind w:left="200"/>
    </w:pPr>
    <w:rPr>
      <w:noProof/>
    </w:rPr>
  </w:style>
  <w:style w:type="paragraph" w:styleId="TOC3">
    <w:name w:val="toc 3"/>
    <w:basedOn w:val="Normal"/>
    <w:next w:val="Normal"/>
    <w:autoRedefine/>
    <w:uiPriority w:val="39"/>
    <w:unhideWhenUsed/>
    <w:rsid w:val="000049C2"/>
    <w:pPr>
      <w:spacing w:after="100"/>
      <w:ind w:left="400"/>
    </w:pPr>
  </w:style>
  <w:style w:type="paragraph" w:styleId="Revision">
    <w:name w:val="Revision"/>
    <w:hidden/>
    <w:uiPriority w:val="99"/>
    <w:semiHidden/>
    <w:rsid w:val="009C442C"/>
    <w:pPr>
      <w:spacing w:after="0" w:line="240" w:lineRule="auto"/>
      <w:jc w:val="left"/>
    </w:pPr>
  </w:style>
  <w:style w:type="paragraph" w:customStyle="1" w:styleId="P00">
    <w:name w:val="P00"/>
    <w:link w:val="P000"/>
    <w:rsid w:val="004A178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paragraph" w:customStyle="1" w:styleId="P22">
    <w:name w:val="P22"/>
    <w:basedOn w:val="P00"/>
    <w:rsid w:val="004A1783"/>
    <w:pPr>
      <w:tabs>
        <w:tab w:val="clear" w:pos="624"/>
        <w:tab w:val="clear" w:pos="1021"/>
      </w:tabs>
      <w:ind w:right="1021"/>
    </w:pPr>
  </w:style>
  <w:style w:type="character" w:customStyle="1" w:styleId="default">
    <w:name w:val="default"/>
    <w:rsid w:val="004A1783"/>
    <w:rPr>
      <w:rFonts w:ascii="Times New Roman" w:hAnsi="Times New Roman" w:cs="Times New Roman"/>
      <w:sz w:val="20"/>
      <w:szCs w:val="26"/>
    </w:rPr>
  </w:style>
  <w:style w:type="character" w:customStyle="1" w:styleId="P000">
    <w:name w:val="P00 תו"/>
    <w:link w:val="P00"/>
    <w:rsid w:val="004A1783"/>
    <w:rPr>
      <w:rFonts w:eastAsia="Times New Roman" w:cs="FrankRuehl"/>
      <w:noProof/>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2.xml"/><Relationship Id="rId8" Type="http://schemas.openxmlformats.org/officeDocument/2006/relationships/image" Target="media/image3.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header" Target="header1.xml"/><Relationship Id="rId7" Type="http://schemas.openxmlformats.org/officeDocument/2006/relationships/image" Target="media/image2.jpeg"/><Relationship Id="rId25" Type="http://schemas.openxmlformats.org/officeDocument/2006/relationships/customXml" Target="../customXml/item4.xml"/><Relationship Id="rId16" Type="http://schemas.openxmlformats.org/officeDocument/2006/relationships/image" Target="media/image11.jpeg"/><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image" Target="media/image10.jpeg"/><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1.xml"/><Relationship Id="rId14" Type="http://schemas.openxmlformats.org/officeDocument/2006/relationships/image" Target="media/image9.jpe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jpeg"/></Relationships>
</file>

<file path=word/_rels/header2.xml.rels>&#65279;<?xml version="1.0" encoding="utf-8" standalone="yes"?><Relationships xmlns="http://schemas.openxmlformats.org/package/2006/relationships"><Relationship Id="rId1" Type="http://schemas.openxmlformats.org/officeDocument/2006/relationships/image" Target="media/image1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95E178-3C2F-43D8-A7C6-BECDB7D7AD70}">
  <ds:schemaRefs>
    <ds:schemaRef ds:uri="http://schemas.openxmlformats.org/officeDocument/2006/bibliography"/>
  </ds:schemaRefs>
</ds:datastoreItem>
</file>

<file path=customXml/itemProps2.xml><?xml version="1.0" encoding="utf-8"?>
<ds:datastoreItem xmlns:ds="http://schemas.openxmlformats.org/officeDocument/2006/customXml" ds:itemID="{73D2D417-3463-4CCB-9442-9A53743AE882}"/>
</file>

<file path=customXml/itemProps3.xml><?xml version="1.0" encoding="utf-8"?>
<ds:datastoreItem xmlns:ds="http://schemas.openxmlformats.org/officeDocument/2006/customXml" ds:itemID="{618EBB79-8752-48C6-BE2F-87DBC94BAB97}"/>
</file>

<file path=customXml/itemProps4.xml><?xml version="1.0" encoding="utf-8"?>
<ds:datastoreItem xmlns:ds="http://schemas.openxmlformats.org/officeDocument/2006/customXml" ds:itemID="{029C0E19-B075-4501-B3BE-D3D12E39DFF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