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tbl>
      <w:tblPr>
        <w:tblStyle w:val="1"/>
        <w:tblpPr w:leftFromText="180" w:rightFromText="180" w:vertAnchor="text" w:tblpXSpec="center" w:tblpY="1"/>
        <w:tblOverlap w:val="never"/>
        <w:bidiVisual/>
        <w:tblW w:w="9496"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6"/>
      </w:tblGrid>
      <w:tr w:rsidTr="00C24DF0">
        <w:tblPrEx>
          <w:tblW w:w="9496"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496" w:type="dxa"/>
          </w:tcPr>
          <w:p w:rsidR="004D622F" w:rsidRPr="00EE45F4" w:rsidP="00C24DF0">
            <w:pPr>
              <w:spacing w:line="240" w:lineRule="auto"/>
              <w:rPr>
                <w:rFonts w:ascii="Tahoma" w:hAnsi="Tahoma" w:cs="Tahoma"/>
                <w:b/>
                <w:bCs/>
                <w:sz w:val="40"/>
                <w:szCs w:val="40"/>
                <w:rtl/>
              </w:rPr>
            </w:pPr>
            <w:bookmarkStart w:id="0" w:name="_Toc47430890"/>
            <w:bookmarkStart w:id="1" w:name="_GoBack"/>
            <w:bookmarkEnd w:id="1"/>
            <w:r w:rsidRPr="00EE45F4">
              <w:rPr>
                <w:rFonts w:ascii="Tahoma" w:hAnsi="Tahoma" w:cs="Tahoma" w:hint="cs"/>
                <w:b/>
                <w:bCs/>
                <w:sz w:val="40"/>
                <w:szCs w:val="40"/>
                <w:rtl/>
              </w:rPr>
              <w:t>חיבור רמת הגולן, מעלה כינרת והעמקים המזרחיים למערכת המים</w:t>
            </w:r>
            <w:r>
              <w:rPr>
                <w:rFonts w:ascii="Tahoma" w:hAnsi="Tahoma" w:cs="Tahoma" w:hint="cs"/>
                <w:b/>
                <w:bCs/>
                <w:sz w:val="40"/>
                <w:szCs w:val="40"/>
                <w:rtl/>
              </w:rPr>
              <w:t xml:space="preserve"> </w:t>
            </w:r>
            <w:r w:rsidRPr="00EE45F4">
              <w:rPr>
                <w:rFonts w:ascii="Tahoma" w:hAnsi="Tahoma" w:cs="Tahoma" w:hint="cs"/>
                <w:b/>
                <w:bCs/>
                <w:sz w:val="40"/>
                <w:szCs w:val="40"/>
                <w:rtl/>
              </w:rPr>
              <w:t>הארצית</w:t>
            </w:r>
            <w:bookmarkEnd w:id="0"/>
          </w:p>
          <w:p w:rsidR="004D622F" w:rsidRPr="00EE45F4" w:rsidP="00C24DF0">
            <w:pPr>
              <w:spacing w:line="240" w:lineRule="auto"/>
              <w:rPr>
                <w:rFonts w:ascii="Tahoma" w:hAnsi="Tahoma" w:cs="Tahoma"/>
                <w:sz w:val="40"/>
                <w:szCs w:val="40"/>
                <w:rtl/>
              </w:rPr>
            </w:pPr>
            <w:r w:rsidRPr="00EE45F4">
              <w:rPr>
                <w:rFonts w:ascii="Tahoma" w:hAnsi="Tahoma" w:cs="Tahoma"/>
                <w:sz w:val="36"/>
                <w:szCs w:val="36"/>
                <w:rtl/>
              </w:rPr>
              <w:t>תקציר</w:t>
            </w:r>
          </w:p>
        </w:tc>
      </w:tr>
    </w:tbl>
    <w:p w:rsidR="004D622F" w:rsidRPr="00462ADF" w:rsidP="004D622F">
      <w:pPr>
        <w:tabs>
          <w:tab w:val="left" w:pos="3754"/>
        </w:tabs>
        <w:spacing w:after="200" w:line="276" w:lineRule="auto"/>
        <w:jc w:val="left"/>
        <w:rPr>
          <w:rFonts w:ascii="Tahoma" w:hAnsi="Tahoma" w:cs="Tahoma"/>
          <w:sz w:val="6"/>
          <w:szCs w:val="6"/>
          <w:rtl/>
        </w:rPr>
      </w:pPr>
    </w:p>
    <w:tbl>
      <w:tblPr>
        <w:tblStyle w:val="1"/>
        <w:tblpPr w:leftFromText="180" w:rightFromText="180" w:vertAnchor="text" w:tblpXSpec="center" w:tblpY="1"/>
        <w:tblOverlap w:val="never"/>
        <w:bidiVisual/>
        <w:tblW w:w="9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2"/>
        <w:gridCol w:w="1918"/>
        <w:gridCol w:w="567"/>
        <w:gridCol w:w="2835"/>
        <w:gridCol w:w="567"/>
        <w:gridCol w:w="2723"/>
        <w:gridCol w:w="106"/>
      </w:tblGrid>
      <w:tr w:rsidTr="00C24DF0">
        <w:tblPrEx>
          <w:tblW w:w="9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8"/>
        </w:trPr>
        <w:tc>
          <w:tcPr>
            <w:tcW w:w="9618" w:type="dxa"/>
            <w:gridSpan w:val="7"/>
          </w:tcPr>
          <w:tbl>
            <w:tblPr>
              <w:tblStyle w:val="1"/>
              <w:tblpPr w:leftFromText="180" w:rightFromText="180" w:vertAnchor="text" w:tblpXSpec="center" w:tblpY="1"/>
              <w:tblOverlap w:val="never"/>
              <w:bidiVisual/>
              <w:tblW w:w="9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01"/>
            </w:tblGrid>
            <w:tr w:rsidTr="00C24DF0">
              <w:tblPrEx>
                <w:tblW w:w="9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8"/>
              </w:trPr>
              <w:tc>
                <w:tcPr>
                  <w:tcW w:w="9401" w:type="dxa"/>
                </w:tcPr>
                <w:p w:rsidR="004D622F" w:rsidRPr="00462ADF" w:rsidP="00C24DF0">
                  <w:pPr>
                    <w:spacing w:line="240" w:lineRule="auto"/>
                    <w:jc w:val="center"/>
                    <w:rPr>
                      <w:rtl/>
                    </w:rPr>
                  </w:pPr>
                  <w:r w:rsidRPr="00462ADF">
                    <w:rPr>
                      <w:noProof/>
                      <w:rtl/>
                    </w:rPr>
                    <w:drawing>
                      <wp:anchor distT="0" distB="0" distL="114300" distR="114300" simplePos="0" relativeHeight="251659264" behindDoc="0" locked="0" layoutInCell="1" allowOverlap="1">
                        <wp:simplePos x="0" y="0"/>
                        <wp:positionH relativeFrom="margin">
                          <wp:posOffset>4221480</wp:posOffset>
                        </wp:positionH>
                        <wp:positionV relativeFrom="margin">
                          <wp:posOffset>0</wp:posOffset>
                        </wp:positionV>
                        <wp:extent cx="1638300" cy="411480"/>
                        <wp:effectExtent l="0" t="0" r="0" b="7620"/>
                        <wp:wrapSquare wrapText="bothSides"/>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תקציר-05.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38300" cy="411480"/>
                                </a:xfrm>
                                <a:prstGeom prst="rect">
                                  <a:avLst/>
                                </a:prstGeom>
                              </pic:spPr>
                            </pic:pic>
                          </a:graphicData>
                        </a:graphic>
                        <wp14:sizeRelH relativeFrom="margin">
                          <wp14:pctWidth>0</wp14:pctWidth>
                        </wp14:sizeRelH>
                        <wp14:sizeRelV relativeFrom="margin">
                          <wp14:pctHeight>0</wp14:pctHeight>
                        </wp14:sizeRelV>
                      </wp:anchor>
                    </w:drawing>
                  </w:r>
                </w:p>
              </w:tc>
            </w:tr>
            <w:tr w:rsidTr="00C24DF0">
              <w:tblPrEx>
                <w:tblW w:w="9401" w:type="dxa"/>
                <w:tblLook w:val="04A0"/>
              </w:tblPrEx>
              <w:trPr>
                <w:trHeight w:val="133"/>
              </w:trPr>
              <w:tc>
                <w:tcPr>
                  <w:tcW w:w="9401" w:type="dxa"/>
                </w:tcPr>
                <w:p w:rsidR="004D622F" w:rsidRPr="00462ADF" w:rsidP="00C24DF0">
                  <w:pPr>
                    <w:spacing w:line="240" w:lineRule="auto"/>
                    <w:rPr>
                      <w:sz w:val="6"/>
                      <w:szCs w:val="6"/>
                      <w:rtl/>
                    </w:rPr>
                  </w:pPr>
                </w:p>
              </w:tc>
            </w:tr>
          </w:tbl>
          <w:p w:rsidR="004D622F" w:rsidRPr="00462ADF" w:rsidP="00C24DF0">
            <w:pPr>
              <w:spacing w:line="240" w:lineRule="auto"/>
              <w:jc w:val="center"/>
              <w:rPr>
                <w:rtl/>
              </w:rPr>
            </w:pPr>
          </w:p>
        </w:tc>
      </w:tr>
      <w:tr w:rsidTr="00C24DF0">
        <w:tblPrEx>
          <w:tblW w:w="9618" w:type="dxa"/>
          <w:tblLook w:val="04A0"/>
        </w:tblPrEx>
        <w:trPr>
          <w:trHeight w:val="2328"/>
        </w:trPr>
        <w:tc>
          <w:tcPr>
            <w:tcW w:w="9618" w:type="dxa"/>
            <w:gridSpan w:val="7"/>
          </w:tcPr>
          <w:p w:rsidR="004D622F" w:rsidRPr="00877CFF" w:rsidP="00C24DF0">
            <w:pPr>
              <w:spacing w:line="264" w:lineRule="auto"/>
              <w:rPr>
                <w:rFonts w:ascii="Tahoma" w:hAnsi="Tahoma" w:cs="Tahoma"/>
                <w:sz w:val="19"/>
                <w:szCs w:val="19"/>
                <w:rtl/>
              </w:rPr>
            </w:pPr>
            <w:r w:rsidRPr="00EE45F4">
              <w:rPr>
                <w:rFonts w:ascii="Tahoma" w:hAnsi="Tahoma" w:cs="Tahoma" w:hint="cs"/>
                <w:sz w:val="19"/>
                <w:szCs w:val="19"/>
                <w:rtl/>
              </w:rPr>
              <w:t>מערכת המים הארצית היא מערכת אספקת המים המרכזית, הנשענת בעיקר על המוביל הארצי וקושרת את מקורות המים העיקריים עם המערכת הראשית להולכת מים. קיימים אזורים המנותקים מהמערכת הארצית שבהם אספקת המים מבוססת על מקורות מים מקומיים, ואין בהם גיבוי לאספקת מים מהמערכת הארצית. העיקרים שבהם</w:t>
            </w:r>
            <w:r>
              <w:rPr>
                <w:rFonts w:ascii="Tahoma" w:hAnsi="Tahoma" w:cs="Tahoma" w:hint="cs"/>
                <w:sz w:val="19"/>
                <w:szCs w:val="19"/>
                <w:rtl/>
              </w:rPr>
              <w:t xml:space="preserve"> </w:t>
            </w:r>
            <w:r w:rsidRPr="00EE45F4">
              <w:rPr>
                <w:rFonts w:ascii="Tahoma" w:hAnsi="Tahoma" w:cs="Tahoma" w:hint="cs"/>
                <w:sz w:val="19"/>
                <w:szCs w:val="19"/>
                <w:rtl/>
              </w:rPr>
              <w:t>רמת הגולן, מעלה כינרת, העמקים המזרחיים והערבה.</w:t>
            </w:r>
            <w:r>
              <w:rPr>
                <w:rFonts w:ascii="Tahoma" w:hAnsi="Tahoma" w:cs="Tahoma" w:hint="cs"/>
                <w:sz w:val="19"/>
                <w:szCs w:val="19"/>
                <w:rtl/>
              </w:rPr>
              <w:t xml:space="preserve"> </w:t>
            </w:r>
            <w:r w:rsidRPr="00EE45F4">
              <w:rPr>
                <w:rFonts w:ascii="Tahoma" w:hAnsi="Tahoma" w:cs="Tahoma"/>
                <w:sz w:val="19"/>
                <w:szCs w:val="19"/>
                <w:rtl/>
              </w:rPr>
              <w:t>ב-10.6.18 אישרה הממשלה</w:t>
            </w:r>
            <w:r w:rsidRPr="00EE45F4">
              <w:rPr>
                <w:rFonts w:ascii="Tahoma" w:hAnsi="Tahoma" w:cs="Tahoma" w:hint="cs"/>
                <w:sz w:val="19"/>
                <w:szCs w:val="19"/>
                <w:rtl/>
              </w:rPr>
              <w:t xml:space="preserve"> החלטה</w:t>
            </w:r>
            <w:r w:rsidRPr="00EE45F4">
              <w:rPr>
                <w:rFonts w:ascii="Tahoma" w:hAnsi="Tahoma" w:cs="Tahoma"/>
                <w:sz w:val="19"/>
                <w:szCs w:val="19"/>
                <w:rtl/>
              </w:rPr>
              <w:t xml:space="preserve"> </w:t>
            </w:r>
            <w:r w:rsidRPr="00EE45F4">
              <w:rPr>
                <w:rFonts w:ascii="Tahoma" w:hAnsi="Tahoma" w:cs="Tahoma" w:hint="cs"/>
                <w:sz w:val="19"/>
                <w:szCs w:val="19"/>
                <w:rtl/>
              </w:rPr>
              <w:t>בנושא "</w:t>
            </w:r>
            <w:r w:rsidRPr="00EE45F4">
              <w:rPr>
                <w:rFonts w:ascii="Tahoma" w:hAnsi="Tahoma" w:cs="Tahoma"/>
                <w:sz w:val="19"/>
                <w:szCs w:val="19"/>
                <w:rtl/>
              </w:rPr>
              <w:t>ת</w:t>
            </w:r>
            <w:r w:rsidRPr="00EE45F4">
              <w:rPr>
                <w:rFonts w:ascii="Tahoma" w:hAnsi="Tahoma" w:cs="Tahoma" w:hint="cs"/>
                <w:sz w:val="19"/>
                <w:szCs w:val="19"/>
                <w:rtl/>
              </w:rPr>
              <w:t>ו</w:t>
            </w:r>
            <w:r w:rsidRPr="00EE45F4">
              <w:rPr>
                <w:rFonts w:ascii="Tahoma" w:hAnsi="Tahoma" w:cs="Tahoma"/>
                <w:sz w:val="19"/>
                <w:szCs w:val="19"/>
                <w:rtl/>
              </w:rPr>
              <w:t>כנית אסטרטגית להתמודדות עם תקופות הבצורת במשק המים</w:t>
            </w:r>
            <w:r w:rsidRPr="00EE45F4">
              <w:rPr>
                <w:rFonts w:ascii="Tahoma" w:hAnsi="Tahoma" w:cs="Tahoma" w:hint="cs"/>
                <w:sz w:val="19"/>
                <w:szCs w:val="19"/>
                <w:rtl/>
              </w:rPr>
              <w:t xml:space="preserve"> בשנים 2018 - 2030". בהחלטה נקבע</w:t>
            </w:r>
            <w:r w:rsidRPr="00EE45F4">
              <w:rPr>
                <w:rFonts w:ascii="Tahoma" w:hAnsi="Tahoma" w:cs="Tahoma"/>
                <w:sz w:val="19"/>
                <w:szCs w:val="19"/>
                <w:rtl/>
              </w:rPr>
              <w:t xml:space="preserve"> בין היתר </w:t>
            </w:r>
            <w:r w:rsidRPr="00EE45F4">
              <w:rPr>
                <w:rFonts w:ascii="Tahoma" w:hAnsi="Tahoma" w:cs="Tahoma" w:hint="cs"/>
                <w:sz w:val="19"/>
                <w:szCs w:val="19"/>
                <w:rtl/>
              </w:rPr>
              <w:t>שרשות המים תבחן עד 31.12.18 תוכנית</w:t>
            </w:r>
            <w:r w:rsidRPr="00EE45F4">
              <w:rPr>
                <w:rFonts w:ascii="Tahoma" w:hAnsi="Tahoma" w:cs="Tahoma"/>
                <w:sz w:val="19"/>
                <w:szCs w:val="19"/>
                <w:rtl/>
              </w:rPr>
              <w:t xml:space="preserve"> לחיבור </w:t>
            </w:r>
            <w:r w:rsidRPr="00EE45F4">
              <w:rPr>
                <w:rFonts w:ascii="Tahoma" w:hAnsi="Tahoma" w:cs="Tahoma" w:hint="cs"/>
                <w:sz w:val="19"/>
                <w:szCs w:val="19"/>
                <w:rtl/>
              </w:rPr>
              <w:t>ה</w:t>
            </w:r>
            <w:r w:rsidRPr="00EE45F4">
              <w:rPr>
                <w:rFonts w:ascii="Tahoma" w:hAnsi="Tahoma" w:cs="Tahoma"/>
                <w:sz w:val="19"/>
                <w:szCs w:val="19"/>
                <w:rtl/>
              </w:rPr>
              <w:t xml:space="preserve">אזורים </w:t>
            </w:r>
            <w:r w:rsidRPr="00EE45F4">
              <w:rPr>
                <w:rFonts w:ascii="Tahoma" w:hAnsi="Tahoma" w:cs="Tahoma" w:hint="cs"/>
                <w:sz w:val="19"/>
                <w:szCs w:val="19"/>
                <w:rtl/>
              </w:rPr>
              <w:t>ה</w:t>
            </w:r>
            <w:r w:rsidRPr="00EE45F4">
              <w:rPr>
                <w:rFonts w:ascii="Tahoma" w:hAnsi="Tahoma" w:cs="Tahoma"/>
                <w:sz w:val="19"/>
                <w:szCs w:val="19"/>
                <w:rtl/>
              </w:rPr>
              <w:t>מנותקים</w:t>
            </w:r>
            <w:r w:rsidRPr="00EE45F4">
              <w:rPr>
                <w:rFonts w:ascii="Tahoma" w:hAnsi="Tahoma" w:cs="Tahoma" w:hint="cs"/>
                <w:sz w:val="19"/>
                <w:szCs w:val="19"/>
                <w:rtl/>
              </w:rPr>
              <w:t xml:space="preserve"> למערכת הארצית לטובת יצירת אמינות מלאה לאספקת מי שתייה ולהגדלת אמינות אספקת המים לחקלאות, לטבע ולתיירות באזורים המנותקים - מעלה כינרת, רמת הגולן, העמקים המזרחיים והגליל המערבי.</w:t>
            </w:r>
          </w:p>
        </w:tc>
      </w:tr>
      <w:tr w:rsidTr="00C24DF0">
        <w:tblPrEx>
          <w:tblW w:w="9618" w:type="dxa"/>
          <w:tblLook w:val="04A0"/>
        </w:tblPrEx>
        <w:trPr>
          <w:trHeight w:val="296"/>
        </w:trPr>
        <w:tc>
          <w:tcPr>
            <w:tcW w:w="9618" w:type="dxa"/>
            <w:gridSpan w:val="7"/>
          </w:tcPr>
          <w:p w:rsidR="004D622F" w:rsidRPr="00462ADF" w:rsidP="00C24DF0">
            <w:pPr>
              <w:spacing w:line="240" w:lineRule="auto"/>
              <w:rPr>
                <w:sz w:val="19"/>
                <w:szCs w:val="19"/>
                <w:rtl/>
              </w:rPr>
            </w:pPr>
          </w:p>
        </w:tc>
      </w:tr>
      <w:tr w:rsidTr="00C24DF0">
        <w:tblPrEx>
          <w:tblW w:w="9618" w:type="dxa"/>
          <w:tblLook w:val="04A0"/>
        </w:tblPrEx>
        <w:trPr>
          <w:trHeight w:val="153"/>
        </w:trPr>
        <w:tc>
          <w:tcPr>
            <w:tcW w:w="9618" w:type="dxa"/>
            <w:gridSpan w:val="7"/>
          </w:tcPr>
          <w:p w:rsidR="004D622F" w:rsidRPr="00462ADF" w:rsidP="00C24DF0">
            <w:pPr>
              <w:spacing w:line="240" w:lineRule="auto"/>
              <w:jc w:val="center"/>
              <w:rPr>
                <w:rtl/>
              </w:rPr>
            </w:pPr>
            <w:r w:rsidRPr="00462ADF">
              <w:rPr>
                <w:noProof/>
                <w:rtl/>
              </w:rPr>
              <w:drawing>
                <wp:anchor distT="0" distB="0" distL="114300" distR="114300" simplePos="0" relativeHeight="251660288" behindDoc="0" locked="0" layoutInCell="1" allowOverlap="1">
                  <wp:simplePos x="0" y="0"/>
                  <wp:positionH relativeFrom="margin">
                    <wp:posOffset>4402032</wp:posOffset>
                  </wp:positionH>
                  <wp:positionV relativeFrom="margin">
                    <wp:posOffset>62653</wp:posOffset>
                  </wp:positionV>
                  <wp:extent cx="1579245" cy="359410"/>
                  <wp:effectExtent l="0" t="0" r="1905" b="2540"/>
                  <wp:wrapSquare wrapText="bothSides"/>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תקציר-04.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79245" cy="359410"/>
                          </a:xfrm>
                          <a:prstGeom prst="rect">
                            <a:avLst/>
                          </a:prstGeom>
                        </pic:spPr>
                      </pic:pic>
                    </a:graphicData>
                  </a:graphic>
                  <wp14:sizeRelH relativeFrom="margin">
                    <wp14:pctWidth>0</wp14:pctWidth>
                  </wp14:sizeRelH>
                  <wp14:sizeRelV relativeFrom="margin">
                    <wp14:pctHeight>0</wp14:pctHeight>
                  </wp14:sizeRelV>
                </wp:anchor>
              </w:drawing>
            </w:r>
          </w:p>
        </w:tc>
      </w:tr>
      <w:tr w:rsidTr="00C24DF0">
        <w:tblPrEx>
          <w:tblW w:w="9618" w:type="dxa"/>
          <w:tblLook w:val="04A0"/>
        </w:tblPrEx>
        <w:trPr>
          <w:trHeight w:val="283"/>
        </w:trPr>
        <w:tc>
          <w:tcPr>
            <w:tcW w:w="2820" w:type="dxa"/>
            <w:gridSpan w:val="2"/>
            <w:tcBorders>
              <w:bottom w:val="single" w:sz="12" w:space="0" w:color="auto"/>
            </w:tcBorders>
            <w:shd w:val="clear" w:color="auto" w:fill="auto"/>
            <w:vAlign w:val="center"/>
          </w:tcPr>
          <w:p w:rsidR="004D622F" w:rsidRPr="00462ADF" w:rsidP="00C24DF0">
            <w:pPr>
              <w:spacing w:line="240" w:lineRule="auto"/>
              <w:rPr>
                <w:spacing w:val="-10"/>
                <w:sz w:val="36"/>
                <w:szCs w:val="36"/>
                <w:rtl/>
              </w:rPr>
            </w:pPr>
            <w:r w:rsidRPr="00462ADF">
              <w:rPr>
                <w:rFonts w:hint="cs"/>
                <w:spacing w:val="-10"/>
                <w:sz w:val="36"/>
                <w:szCs w:val="36"/>
                <w:rtl/>
              </w:rPr>
              <w:t>4</w:t>
            </w:r>
            <w:r>
              <w:rPr>
                <w:rFonts w:hint="cs"/>
                <w:spacing w:val="-10"/>
                <w:sz w:val="36"/>
                <w:szCs w:val="36"/>
                <w:rtl/>
              </w:rPr>
              <w:t>6</w:t>
            </w:r>
            <w:r w:rsidRPr="00462ADF">
              <w:rPr>
                <w:rFonts w:hint="cs"/>
                <w:spacing w:val="-10"/>
                <w:sz w:val="36"/>
                <w:szCs w:val="36"/>
                <w:rtl/>
              </w:rPr>
              <w:t>%</w:t>
            </w:r>
          </w:p>
        </w:tc>
        <w:tc>
          <w:tcPr>
            <w:tcW w:w="567" w:type="dxa"/>
          </w:tcPr>
          <w:p w:rsidR="004D622F" w:rsidRPr="00462ADF" w:rsidP="00C24DF0">
            <w:pPr>
              <w:spacing w:line="240" w:lineRule="auto"/>
              <w:rPr>
                <w:spacing w:val="-10"/>
              </w:rPr>
            </w:pPr>
          </w:p>
        </w:tc>
        <w:tc>
          <w:tcPr>
            <w:tcW w:w="2835" w:type="dxa"/>
            <w:tcBorders>
              <w:bottom w:val="single" w:sz="12" w:space="0" w:color="auto"/>
            </w:tcBorders>
            <w:vAlign w:val="center"/>
          </w:tcPr>
          <w:p w:rsidR="004D622F" w:rsidRPr="00462ADF" w:rsidP="00C24DF0">
            <w:pPr>
              <w:spacing w:line="240" w:lineRule="auto"/>
              <w:rPr>
                <w:spacing w:val="-10"/>
                <w:sz w:val="36"/>
                <w:szCs w:val="36"/>
                <w:rtl/>
              </w:rPr>
            </w:pPr>
            <w:r>
              <w:rPr>
                <w:rFonts w:hint="cs"/>
                <w:spacing w:val="-10"/>
                <w:sz w:val="36"/>
                <w:szCs w:val="36"/>
                <w:rtl/>
              </w:rPr>
              <w:t xml:space="preserve">360 </w:t>
            </w:r>
            <w:r w:rsidRPr="00935470">
              <w:rPr>
                <w:rFonts w:hint="cs"/>
                <w:spacing w:val="-10"/>
                <w:sz w:val="26"/>
                <w:szCs w:val="26"/>
                <w:rtl/>
              </w:rPr>
              <w:t>מ</w:t>
            </w:r>
            <w:r>
              <w:rPr>
                <w:rFonts w:hint="cs"/>
                <w:spacing w:val="-10"/>
                <w:sz w:val="26"/>
                <w:szCs w:val="26"/>
                <w:rtl/>
              </w:rPr>
              <w:t>י</w:t>
            </w:r>
            <w:r w:rsidRPr="00935470">
              <w:rPr>
                <w:rFonts w:hint="cs"/>
                <w:spacing w:val="-10"/>
                <w:sz w:val="26"/>
                <w:szCs w:val="26"/>
                <w:rtl/>
              </w:rPr>
              <w:t xml:space="preserve">ליון </w:t>
            </w:r>
            <w:r w:rsidRPr="00462ADF">
              <w:rPr>
                <w:rFonts w:hint="cs"/>
                <w:spacing w:val="-10"/>
                <w:sz w:val="26"/>
                <w:szCs w:val="26"/>
                <w:rtl/>
              </w:rPr>
              <w:t>מ"ק</w:t>
            </w:r>
          </w:p>
        </w:tc>
        <w:tc>
          <w:tcPr>
            <w:tcW w:w="567" w:type="dxa"/>
          </w:tcPr>
          <w:p w:rsidR="004D622F" w:rsidRPr="00462ADF" w:rsidP="00C24DF0">
            <w:pPr>
              <w:spacing w:line="240" w:lineRule="auto"/>
              <w:rPr>
                <w:spacing w:val="-10"/>
              </w:rPr>
            </w:pPr>
          </w:p>
        </w:tc>
        <w:tc>
          <w:tcPr>
            <w:tcW w:w="2829" w:type="dxa"/>
            <w:gridSpan w:val="2"/>
            <w:tcBorders>
              <w:bottom w:val="single" w:sz="12" w:space="0" w:color="auto"/>
            </w:tcBorders>
          </w:tcPr>
          <w:p w:rsidR="004D622F" w:rsidRPr="00462ADF" w:rsidP="00C24DF0">
            <w:pPr>
              <w:spacing w:line="240" w:lineRule="auto"/>
              <w:rPr>
                <w:spacing w:val="-10"/>
                <w:sz w:val="36"/>
                <w:szCs w:val="36"/>
                <w:rtl/>
              </w:rPr>
            </w:pPr>
            <w:r w:rsidRPr="00462ADF">
              <w:rPr>
                <w:rFonts w:hint="cs"/>
                <w:spacing w:val="-10"/>
                <w:sz w:val="36"/>
                <w:szCs w:val="36"/>
                <w:rtl/>
              </w:rPr>
              <w:t xml:space="preserve">22 </w:t>
            </w:r>
            <w:r w:rsidRPr="00462ADF">
              <w:rPr>
                <w:rFonts w:hint="cs"/>
                <w:spacing w:val="-10"/>
                <w:sz w:val="26"/>
                <w:szCs w:val="26"/>
                <w:rtl/>
              </w:rPr>
              <w:t>מיליון מ"ק</w:t>
            </w:r>
          </w:p>
        </w:tc>
      </w:tr>
      <w:tr w:rsidTr="00C24DF0">
        <w:tblPrEx>
          <w:tblW w:w="9618" w:type="dxa"/>
          <w:tblLook w:val="04A0"/>
        </w:tblPrEx>
        <w:trPr>
          <w:trHeight w:val="85"/>
        </w:trPr>
        <w:tc>
          <w:tcPr>
            <w:tcW w:w="9618" w:type="dxa"/>
            <w:gridSpan w:val="7"/>
            <w:shd w:val="clear" w:color="auto" w:fill="auto"/>
            <w:vAlign w:val="center"/>
          </w:tcPr>
          <w:p w:rsidR="004D622F" w:rsidRPr="00462ADF" w:rsidP="00C24DF0">
            <w:pPr>
              <w:spacing w:line="240" w:lineRule="auto"/>
              <w:rPr>
                <w:spacing w:val="-10"/>
                <w:sz w:val="6"/>
                <w:szCs w:val="6"/>
                <w:rtl/>
              </w:rPr>
            </w:pPr>
          </w:p>
        </w:tc>
      </w:tr>
      <w:tr w:rsidTr="00C24DF0">
        <w:tblPrEx>
          <w:tblW w:w="9618" w:type="dxa"/>
          <w:tblLook w:val="04A0"/>
        </w:tblPrEx>
        <w:trPr>
          <w:trHeight w:val="1155"/>
        </w:trPr>
        <w:tc>
          <w:tcPr>
            <w:tcW w:w="2820" w:type="dxa"/>
            <w:gridSpan w:val="2"/>
          </w:tcPr>
          <w:p w:rsidR="004D622F" w:rsidRPr="00877CFF" w:rsidP="00C24DF0">
            <w:pPr>
              <w:spacing w:line="240" w:lineRule="auto"/>
              <w:ind w:right="25"/>
              <w:rPr>
                <w:rFonts w:ascii="Tahoma" w:hAnsi="Tahoma" w:cs="Tahoma"/>
                <w:sz w:val="19"/>
                <w:szCs w:val="19"/>
                <w:rtl/>
              </w:rPr>
            </w:pPr>
            <w:r w:rsidRPr="00877CFF">
              <w:rPr>
                <w:rFonts w:ascii="Tahoma" w:hAnsi="Tahoma" w:cs="Tahoma"/>
                <w:sz w:val="19"/>
                <w:szCs w:val="19"/>
                <w:rtl/>
              </w:rPr>
              <w:t xml:space="preserve">שיעור צריכת המים באזורים המנותקים ב-2018 מכלל צריכת המים השפירים בישראל </w:t>
            </w:r>
            <w:r w:rsidRPr="009C762E">
              <w:rPr>
                <w:rFonts w:ascii="Tahoma" w:hAnsi="Tahoma" w:cs="Tahoma"/>
                <w:sz w:val="19"/>
                <w:szCs w:val="19"/>
                <w:rtl/>
              </w:rPr>
              <w:t>למטרות חקלאות</w:t>
            </w:r>
            <w:r w:rsidRPr="009C762E">
              <w:rPr>
                <w:rFonts w:ascii="Tahoma" w:hAnsi="Tahoma" w:cs="Tahoma" w:hint="cs"/>
                <w:sz w:val="19"/>
                <w:szCs w:val="19"/>
                <w:rtl/>
              </w:rPr>
              <w:t>.</w:t>
            </w:r>
            <w:r w:rsidRPr="009C762E">
              <w:rPr>
                <w:rFonts w:ascii="Tahoma" w:hAnsi="Tahoma" w:cs="Tahoma"/>
                <w:sz w:val="19"/>
                <w:szCs w:val="19"/>
                <w:rtl/>
              </w:rPr>
              <w:t xml:space="preserve"> לפי הערכת רשות המים</w:t>
            </w:r>
            <w:r>
              <w:rPr>
                <w:rFonts w:ascii="Tahoma" w:hAnsi="Tahoma" w:cs="Tahoma"/>
                <w:sz w:val="19"/>
                <w:szCs w:val="19"/>
                <w:vertAlign w:val="superscript"/>
                <w:rtl/>
              </w:rPr>
              <w:footnoteReference w:id="2"/>
            </w:r>
            <w:r>
              <w:rPr>
                <w:rFonts w:ascii="Tahoma" w:hAnsi="Tahoma" w:cs="Tahoma"/>
                <w:sz w:val="19"/>
                <w:szCs w:val="19"/>
                <w:rtl/>
              </w:rPr>
              <w:t xml:space="preserve"> ב-2019 נצרכו 45%</w:t>
            </w:r>
          </w:p>
        </w:tc>
        <w:tc>
          <w:tcPr>
            <w:tcW w:w="567" w:type="dxa"/>
          </w:tcPr>
          <w:p w:rsidR="004D622F" w:rsidRPr="00877CFF" w:rsidP="00C24DF0">
            <w:pPr>
              <w:spacing w:line="240" w:lineRule="auto"/>
              <w:rPr>
                <w:rFonts w:ascii="Tahoma" w:hAnsi="Tahoma" w:cs="Tahoma"/>
                <w:sz w:val="19"/>
                <w:szCs w:val="19"/>
                <w:rtl/>
              </w:rPr>
            </w:pPr>
          </w:p>
        </w:tc>
        <w:tc>
          <w:tcPr>
            <w:tcW w:w="2835" w:type="dxa"/>
          </w:tcPr>
          <w:p w:rsidR="004D622F" w:rsidRPr="00877CFF" w:rsidP="00C24DF0">
            <w:pPr>
              <w:spacing w:line="240" w:lineRule="auto"/>
              <w:ind w:right="25"/>
              <w:rPr>
                <w:rFonts w:ascii="Tahoma" w:hAnsi="Tahoma" w:cs="Tahoma"/>
                <w:sz w:val="19"/>
                <w:szCs w:val="19"/>
                <w:rtl/>
              </w:rPr>
            </w:pPr>
            <w:r w:rsidRPr="00877CFF">
              <w:rPr>
                <w:rFonts w:ascii="Tahoma" w:hAnsi="Tahoma" w:cs="Tahoma"/>
                <w:sz w:val="19"/>
                <w:szCs w:val="19"/>
                <w:rtl/>
              </w:rPr>
              <w:t>המחסור במים במאגרים הטבעיים בשנה ההידרולוגית 2018 - 2019</w:t>
            </w:r>
            <w:r>
              <w:rPr>
                <w:rStyle w:val="FootnoteReference1"/>
                <w:rFonts w:ascii="Tahoma" w:hAnsi="Tahoma" w:cs="Tahoma"/>
                <w:sz w:val="19"/>
                <w:szCs w:val="19"/>
                <w:rtl/>
              </w:rPr>
              <w:footnoteReference w:id="3"/>
            </w:r>
            <w:r w:rsidRPr="00877CFF">
              <w:rPr>
                <w:rFonts w:ascii="Tahoma" w:hAnsi="Tahoma" w:cs="Tahoma"/>
                <w:sz w:val="19"/>
                <w:szCs w:val="19"/>
                <w:rtl/>
              </w:rPr>
              <w:t>. בשנה ההידרולוגית 2017 - 2018 המחסור במים במאגרים הטבעיים היה 1 מ</w:t>
            </w:r>
            <w:r w:rsidR="00F8138A">
              <w:rPr>
                <w:rFonts w:ascii="Tahoma" w:hAnsi="Tahoma" w:cs="Tahoma" w:hint="cs"/>
                <w:sz w:val="19"/>
                <w:szCs w:val="19"/>
                <w:rtl/>
              </w:rPr>
              <w:t>י</w:t>
            </w:r>
            <w:r w:rsidRPr="00877CFF">
              <w:rPr>
                <w:rFonts w:ascii="Tahoma" w:hAnsi="Tahoma" w:cs="Tahoma"/>
                <w:sz w:val="19"/>
                <w:szCs w:val="19"/>
                <w:rtl/>
              </w:rPr>
              <w:t>ליארד מ"ק</w:t>
            </w:r>
          </w:p>
          <w:p w:rsidR="004D622F" w:rsidRPr="00877CFF" w:rsidP="00C24DF0">
            <w:pPr>
              <w:spacing w:line="240" w:lineRule="auto"/>
              <w:ind w:right="25"/>
              <w:rPr>
                <w:rFonts w:ascii="Tahoma" w:hAnsi="Tahoma" w:cs="Tahoma"/>
                <w:sz w:val="19"/>
                <w:szCs w:val="19"/>
                <w:rtl/>
              </w:rPr>
            </w:pPr>
          </w:p>
          <w:p w:rsidR="004D622F" w:rsidRPr="00877CFF" w:rsidP="00C24DF0">
            <w:pPr>
              <w:spacing w:line="240" w:lineRule="auto"/>
              <w:ind w:right="25"/>
              <w:rPr>
                <w:rFonts w:ascii="Tahoma" w:hAnsi="Tahoma" w:cs="Tahoma"/>
                <w:sz w:val="19"/>
                <w:szCs w:val="19"/>
                <w:rtl/>
              </w:rPr>
            </w:pPr>
          </w:p>
        </w:tc>
        <w:tc>
          <w:tcPr>
            <w:tcW w:w="567" w:type="dxa"/>
          </w:tcPr>
          <w:p w:rsidR="004D622F" w:rsidRPr="00877CFF" w:rsidP="00C24DF0">
            <w:pPr>
              <w:spacing w:line="240" w:lineRule="auto"/>
              <w:rPr>
                <w:rFonts w:ascii="Tahoma" w:hAnsi="Tahoma" w:cs="Tahoma"/>
                <w:sz w:val="19"/>
                <w:szCs w:val="19"/>
                <w:rtl/>
              </w:rPr>
            </w:pPr>
          </w:p>
        </w:tc>
        <w:tc>
          <w:tcPr>
            <w:tcW w:w="2829" w:type="dxa"/>
            <w:gridSpan w:val="2"/>
          </w:tcPr>
          <w:p w:rsidR="004D622F" w:rsidRPr="00877CFF" w:rsidP="00C24DF0">
            <w:pPr>
              <w:spacing w:line="240" w:lineRule="auto"/>
              <w:ind w:right="177"/>
              <w:rPr>
                <w:rFonts w:ascii="Tahoma" w:hAnsi="Tahoma" w:cs="Tahoma"/>
                <w:sz w:val="19"/>
                <w:szCs w:val="19"/>
                <w:rtl/>
              </w:rPr>
            </w:pPr>
            <w:r>
              <w:rPr>
                <w:rFonts w:ascii="Tahoma" w:hAnsi="Tahoma" w:cs="Tahoma"/>
                <w:sz w:val="19"/>
                <w:szCs w:val="19"/>
                <w:rtl/>
              </w:rPr>
              <w:t>המחסור המ</w:t>
            </w:r>
            <w:r w:rsidRPr="00877CFF" w:rsidR="00D5130A">
              <w:rPr>
                <w:rFonts w:ascii="Tahoma" w:hAnsi="Tahoma" w:cs="Tahoma"/>
                <w:sz w:val="19"/>
                <w:szCs w:val="19"/>
                <w:rtl/>
              </w:rPr>
              <w:t>רבי הצפוי במים לחקלאות באזור מעלה כינרת ורמת הגולן בשנת 2030 באמינות אס</w:t>
            </w:r>
            <w:r w:rsidR="00D5130A">
              <w:rPr>
                <w:rFonts w:ascii="Tahoma" w:hAnsi="Tahoma" w:cs="Tahoma"/>
                <w:sz w:val="19"/>
                <w:szCs w:val="19"/>
                <w:rtl/>
              </w:rPr>
              <w:t>פקה של 80% לפי הערכת רשות המים</w:t>
            </w:r>
          </w:p>
        </w:tc>
      </w:tr>
      <w:tr w:rsidTr="00C24DF0">
        <w:tblPrEx>
          <w:tblW w:w="9618" w:type="dxa"/>
          <w:tblLook w:val="04A0"/>
        </w:tblPrEx>
        <w:trPr>
          <w:trHeight w:val="227"/>
        </w:trPr>
        <w:tc>
          <w:tcPr>
            <w:tcW w:w="2820" w:type="dxa"/>
            <w:gridSpan w:val="2"/>
            <w:tcBorders>
              <w:bottom w:val="single" w:sz="12" w:space="0" w:color="auto"/>
            </w:tcBorders>
            <w:vAlign w:val="center"/>
          </w:tcPr>
          <w:p w:rsidR="004D622F" w:rsidRPr="00462ADF" w:rsidP="00C24DF0">
            <w:pPr>
              <w:spacing w:line="240" w:lineRule="auto"/>
              <w:rPr>
                <w:spacing w:val="-10"/>
                <w:sz w:val="36"/>
                <w:szCs w:val="36"/>
              </w:rPr>
            </w:pPr>
            <w:r w:rsidRPr="00462ADF">
              <w:rPr>
                <w:rFonts w:hint="cs"/>
                <w:spacing w:val="-10"/>
                <w:sz w:val="36"/>
                <w:szCs w:val="36"/>
                <w:rtl/>
              </w:rPr>
              <w:t xml:space="preserve">51 </w:t>
            </w:r>
            <w:r w:rsidRPr="00462ADF">
              <w:rPr>
                <w:rFonts w:hint="cs"/>
                <w:spacing w:val="-10"/>
                <w:sz w:val="26"/>
                <w:szCs w:val="26"/>
                <w:rtl/>
              </w:rPr>
              <w:t>מיליון מ"ק</w:t>
            </w:r>
          </w:p>
        </w:tc>
        <w:tc>
          <w:tcPr>
            <w:tcW w:w="567" w:type="dxa"/>
          </w:tcPr>
          <w:p w:rsidR="004D622F" w:rsidRPr="00462ADF" w:rsidP="00C24DF0">
            <w:pPr>
              <w:spacing w:line="240" w:lineRule="auto"/>
              <w:rPr>
                <w:spacing w:val="-10"/>
              </w:rPr>
            </w:pPr>
          </w:p>
        </w:tc>
        <w:tc>
          <w:tcPr>
            <w:tcW w:w="2835" w:type="dxa"/>
            <w:tcBorders>
              <w:bottom w:val="single" w:sz="12" w:space="0" w:color="auto"/>
            </w:tcBorders>
            <w:vAlign w:val="center"/>
          </w:tcPr>
          <w:p w:rsidR="004D622F" w:rsidRPr="00462ADF" w:rsidP="00C24DF0">
            <w:pPr>
              <w:spacing w:line="240" w:lineRule="auto"/>
              <w:rPr>
                <w:spacing w:val="-10"/>
                <w:sz w:val="36"/>
                <w:szCs w:val="36"/>
              </w:rPr>
            </w:pPr>
            <w:r w:rsidRPr="00462ADF">
              <w:rPr>
                <w:rFonts w:hint="cs"/>
                <w:spacing w:val="-10"/>
                <w:sz w:val="36"/>
                <w:szCs w:val="36"/>
                <w:rtl/>
              </w:rPr>
              <w:t>1.</w:t>
            </w:r>
            <w:r>
              <w:rPr>
                <w:rFonts w:hint="cs"/>
                <w:spacing w:val="-10"/>
                <w:sz w:val="36"/>
                <w:szCs w:val="36"/>
                <w:rtl/>
              </w:rPr>
              <w:t>7</w:t>
            </w:r>
            <w:r w:rsidRPr="00462ADF">
              <w:rPr>
                <w:rFonts w:hint="cs"/>
                <w:spacing w:val="-10"/>
                <w:sz w:val="36"/>
                <w:szCs w:val="36"/>
                <w:rtl/>
              </w:rPr>
              <w:t>-1.</w:t>
            </w:r>
            <w:r>
              <w:rPr>
                <w:rFonts w:hint="cs"/>
                <w:spacing w:val="-10"/>
                <w:sz w:val="36"/>
                <w:szCs w:val="36"/>
                <w:rtl/>
              </w:rPr>
              <w:t xml:space="preserve">6 </w:t>
            </w:r>
            <w:r w:rsidRPr="00462ADF">
              <w:rPr>
                <w:rFonts w:hint="cs"/>
                <w:spacing w:val="-10"/>
                <w:sz w:val="26"/>
                <w:szCs w:val="26"/>
                <w:rtl/>
              </w:rPr>
              <w:t>מיליארד ש"ח</w:t>
            </w:r>
          </w:p>
        </w:tc>
        <w:tc>
          <w:tcPr>
            <w:tcW w:w="567" w:type="dxa"/>
          </w:tcPr>
          <w:p w:rsidR="004D622F" w:rsidRPr="00462ADF" w:rsidP="00C24DF0">
            <w:pPr>
              <w:spacing w:line="240" w:lineRule="auto"/>
              <w:rPr>
                <w:spacing w:val="-10"/>
              </w:rPr>
            </w:pPr>
          </w:p>
        </w:tc>
        <w:tc>
          <w:tcPr>
            <w:tcW w:w="2829" w:type="dxa"/>
            <w:gridSpan w:val="2"/>
            <w:tcBorders>
              <w:bottom w:val="single" w:sz="12" w:space="0" w:color="auto"/>
            </w:tcBorders>
          </w:tcPr>
          <w:p w:rsidR="004D622F" w:rsidRPr="00462ADF" w:rsidP="00C24DF0">
            <w:pPr>
              <w:spacing w:line="240" w:lineRule="auto"/>
              <w:rPr>
                <w:spacing w:val="-10"/>
                <w:sz w:val="36"/>
                <w:szCs w:val="36"/>
              </w:rPr>
            </w:pPr>
            <w:r w:rsidRPr="00EE45F4">
              <w:rPr>
                <w:rFonts w:hint="cs"/>
                <w:spacing w:val="-10"/>
                <w:sz w:val="36"/>
                <w:szCs w:val="36"/>
                <w:rtl/>
              </w:rPr>
              <w:t>1.5 מיליארד ש"ח</w:t>
            </w:r>
          </w:p>
        </w:tc>
      </w:tr>
      <w:tr w:rsidTr="00C24DF0">
        <w:tblPrEx>
          <w:tblW w:w="9618" w:type="dxa"/>
          <w:tblLook w:val="04A0"/>
        </w:tblPrEx>
        <w:trPr>
          <w:trHeight w:val="70"/>
        </w:trPr>
        <w:tc>
          <w:tcPr>
            <w:tcW w:w="9618" w:type="dxa"/>
            <w:gridSpan w:val="7"/>
            <w:vAlign w:val="center"/>
          </w:tcPr>
          <w:p w:rsidR="004D622F" w:rsidRPr="00462ADF" w:rsidP="00C24DF0">
            <w:pPr>
              <w:spacing w:line="240" w:lineRule="auto"/>
              <w:rPr>
                <w:spacing w:val="-10"/>
                <w:sz w:val="6"/>
                <w:szCs w:val="6"/>
                <w:rtl/>
              </w:rPr>
            </w:pPr>
          </w:p>
        </w:tc>
      </w:tr>
      <w:tr w:rsidTr="00C24DF0">
        <w:tblPrEx>
          <w:tblW w:w="9618" w:type="dxa"/>
          <w:tblLook w:val="04A0"/>
        </w:tblPrEx>
        <w:trPr>
          <w:trHeight w:val="1153"/>
        </w:trPr>
        <w:tc>
          <w:tcPr>
            <w:tcW w:w="2820" w:type="dxa"/>
            <w:gridSpan w:val="2"/>
          </w:tcPr>
          <w:p w:rsidR="004D622F" w:rsidRPr="00877CFF" w:rsidP="00C24DF0">
            <w:pPr>
              <w:spacing w:line="240" w:lineRule="auto"/>
              <w:ind w:right="25"/>
              <w:rPr>
                <w:rFonts w:ascii="Tahoma" w:hAnsi="Tahoma" w:cs="Tahoma"/>
                <w:sz w:val="19"/>
                <w:szCs w:val="19"/>
                <w:rtl/>
              </w:rPr>
            </w:pPr>
            <w:r w:rsidRPr="00877CFF">
              <w:rPr>
                <w:rFonts w:ascii="Tahoma" w:hAnsi="Tahoma" w:cs="Tahoma" w:hint="cs"/>
                <w:sz w:val="19"/>
                <w:szCs w:val="19"/>
                <w:rtl/>
              </w:rPr>
              <w:t>המחסור הצפוי במים לחקלאות באזור העמקים המזרחיים בשנת 2050</w:t>
            </w:r>
          </w:p>
        </w:tc>
        <w:tc>
          <w:tcPr>
            <w:tcW w:w="567" w:type="dxa"/>
          </w:tcPr>
          <w:p w:rsidR="004D622F" w:rsidRPr="00877CFF" w:rsidP="00C24DF0">
            <w:pPr>
              <w:spacing w:line="240" w:lineRule="auto"/>
              <w:ind w:right="25"/>
              <w:rPr>
                <w:rFonts w:ascii="Tahoma" w:hAnsi="Tahoma" w:cs="Tahoma"/>
                <w:sz w:val="19"/>
                <w:szCs w:val="19"/>
                <w:rtl/>
              </w:rPr>
            </w:pPr>
          </w:p>
        </w:tc>
        <w:tc>
          <w:tcPr>
            <w:tcW w:w="2835" w:type="dxa"/>
          </w:tcPr>
          <w:p w:rsidR="004D622F" w:rsidRPr="00877CFF" w:rsidP="00C24DF0">
            <w:pPr>
              <w:spacing w:line="240" w:lineRule="auto"/>
              <w:ind w:right="25"/>
              <w:rPr>
                <w:rFonts w:ascii="Tahoma" w:hAnsi="Tahoma" w:cs="Tahoma"/>
                <w:sz w:val="19"/>
                <w:szCs w:val="19"/>
                <w:rtl/>
              </w:rPr>
            </w:pPr>
            <w:r w:rsidRPr="00877CFF">
              <w:rPr>
                <w:rFonts w:ascii="Tahoma" w:hAnsi="Tahoma" w:cs="Tahoma" w:hint="cs"/>
                <w:sz w:val="19"/>
                <w:szCs w:val="19"/>
                <w:rtl/>
              </w:rPr>
              <w:t>עלויות ההון ועלויות התפעול לחיבור מעלה כינרת, רמת הגולן והעמקים המזרחיים למערכת הארצית בחלופות השונות, לפי אומדן רשות המים</w:t>
            </w:r>
          </w:p>
          <w:p w:rsidR="004D622F" w:rsidRPr="00877CFF" w:rsidP="00C24DF0">
            <w:pPr>
              <w:spacing w:line="240" w:lineRule="auto"/>
              <w:ind w:right="25"/>
              <w:rPr>
                <w:rFonts w:ascii="Tahoma" w:hAnsi="Tahoma" w:cs="Tahoma"/>
                <w:sz w:val="19"/>
                <w:szCs w:val="19"/>
                <w:rtl/>
              </w:rPr>
            </w:pPr>
          </w:p>
        </w:tc>
        <w:tc>
          <w:tcPr>
            <w:tcW w:w="567" w:type="dxa"/>
          </w:tcPr>
          <w:p w:rsidR="004D622F" w:rsidRPr="00877CFF" w:rsidP="00C24DF0">
            <w:pPr>
              <w:spacing w:line="240" w:lineRule="auto"/>
              <w:ind w:right="25"/>
              <w:rPr>
                <w:rFonts w:ascii="Tahoma" w:hAnsi="Tahoma" w:cs="Tahoma"/>
                <w:sz w:val="19"/>
                <w:szCs w:val="19"/>
                <w:rtl/>
              </w:rPr>
            </w:pPr>
          </w:p>
        </w:tc>
        <w:tc>
          <w:tcPr>
            <w:tcW w:w="2829" w:type="dxa"/>
            <w:gridSpan w:val="2"/>
          </w:tcPr>
          <w:p w:rsidR="004D622F" w:rsidRPr="00877CFF" w:rsidP="00C24DF0">
            <w:pPr>
              <w:spacing w:line="240" w:lineRule="auto"/>
              <w:ind w:right="25"/>
              <w:rPr>
                <w:rFonts w:ascii="Tahoma" w:hAnsi="Tahoma" w:cs="Tahoma"/>
                <w:sz w:val="19"/>
                <w:szCs w:val="19"/>
                <w:rtl/>
              </w:rPr>
            </w:pPr>
            <w:r w:rsidRPr="00877CFF">
              <w:rPr>
                <w:rFonts w:ascii="Tahoma" w:hAnsi="Tahoma" w:cs="Tahoma" w:hint="cs"/>
                <w:sz w:val="19"/>
                <w:szCs w:val="19"/>
                <w:rtl/>
              </w:rPr>
              <w:t>עלות תוכנית הפיתוח של חברת מקורות לשנה</w:t>
            </w:r>
            <w:r>
              <w:rPr>
                <w:rFonts w:ascii="Tahoma" w:hAnsi="Tahoma" w:cs="Tahoma" w:hint="cs"/>
                <w:sz w:val="19"/>
                <w:szCs w:val="19"/>
                <w:rtl/>
              </w:rPr>
              <w:t>, בשנים 2020 - 2022</w:t>
            </w:r>
          </w:p>
        </w:tc>
      </w:tr>
      <w:tr w:rsidTr="00C24DF0">
        <w:tblPrEx>
          <w:tblW w:w="9618" w:type="dxa"/>
          <w:tblLook w:val="04A0"/>
        </w:tblPrEx>
        <w:trPr>
          <w:trHeight w:val="495"/>
        </w:trPr>
        <w:tc>
          <w:tcPr>
            <w:tcW w:w="9618" w:type="dxa"/>
            <w:gridSpan w:val="7"/>
            <w:vAlign w:val="center"/>
          </w:tcPr>
          <w:p w:rsidR="004D622F" w:rsidRPr="00462ADF" w:rsidP="00C24DF0">
            <w:pPr>
              <w:spacing w:line="240" w:lineRule="auto"/>
              <w:rPr>
                <w:sz w:val="17"/>
                <w:szCs w:val="17"/>
                <w:rtl/>
              </w:rPr>
            </w:pPr>
          </w:p>
        </w:tc>
      </w:tr>
      <w:tr w:rsidTr="00C24DF0">
        <w:tblPrEx>
          <w:tblW w:w="9618" w:type="dxa"/>
          <w:tblLook w:val="04A0"/>
        </w:tblPrEx>
        <w:trPr>
          <w:trHeight w:val="495"/>
        </w:trPr>
        <w:tc>
          <w:tcPr>
            <w:tcW w:w="9618" w:type="dxa"/>
            <w:gridSpan w:val="7"/>
            <w:vAlign w:val="center"/>
          </w:tcPr>
          <w:p w:rsidR="004D622F" w:rsidRPr="00462ADF" w:rsidP="00C24DF0">
            <w:pPr>
              <w:spacing w:line="240" w:lineRule="auto"/>
              <w:rPr>
                <w:sz w:val="17"/>
                <w:szCs w:val="17"/>
                <w:rtl/>
              </w:rPr>
            </w:pPr>
            <w:r w:rsidRPr="00462ADF">
              <w:rPr>
                <w:noProof/>
              </w:rPr>
              <w:drawing>
                <wp:inline distT="0" distB="0" distL="0" distR="0">
                  <wp:extent cx="5832510" cy="498475"/>
                  <wp:effectExtent l="0" t="0" r="0" b="0"/>
                  <wp:docPr id="54" name="תמונה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954828" name="תקציר תמונה 3.3.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46032" cy="499631"/>
                          </a:xfrm>
                          <a:prstGeom prst="rect">
                            <a:avLst/>
                          </a:prstGeom>
                        </pic:spPr>
                      </pic:pic>
                    </a:graphicData>
                  </a:graphic>
                </wp:inline>
              </w:drawing>
            </w:r>
          </w:p>
        </w:tc>
      </w:tr>
      <w:tr w:rsidTr="00C24DF0">
        <w:tblPrEx>
          <w:tblW w:w="9618" w:type="dxa"/>
          <w:tblLook w:val="04A0"/>
        </w:tblPrEx>
        <w:trPr>
          <w:trHeight w:val="1019"/>
        </w:trPr>
        <w:tc>
          <w:tcPr>
            <w:tcW w:w="902" w:type="dxa"/>
            <w:vAlign w:val="center"/>
          </w:tcPr>
          <w:p w:rsidR="004D622F" w:rsidRPr="00462ADF" w:rsidP="00C24DF0">
            <w:pPr>
              <w:spacing w:line="240" w:lineRule="auto"/>
              <w:rPr>
                <w:sz w:val="17"/>
                <w:szCs w:val="17"/>
                <w:rtl/>
              </w:rPr>
            </w:pPr>
            <w:r w:rsidRPr="00462ADF">
              <w:rPr>
                <w:noProof/>
              </w:rPr>
              <w:drawing>
                <wp:anchor distT="0" distB="0" distL="114300" distR="114300" simplePos="0" relativeHeight="251662336" behindDoc="0" locked="0" layoutInCell="1" allowOverlap="1">
                  <wp:simplePos x="0" y="0"/>
                  <wp:positionH relativeFrom="column">
                    <wp:posOffset>-12065</wp:posOffset>
                  </wp:positionH>
                  <wp:positionV relativeFrom="paragraph">
                    <wp:posOffset>2540</wp:posOffset>
                  </wp:positionV>
                  <wp:extent cx="445135" cy="445135"/>
                  <wp:effectExtent l="0" t="0" r="0" b="0"/>
                  <wp:wrapNone/>
                  <wp:docPr id="55" name="תמונה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47472" name="Picture 56"/>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2ADF">
              <w:rPr>
                <w:noProof/>
              </w:rPr>
              <w:drawing>
                <wp:anchor distT="0" distB="0" distL="114300" distR="114300" simplePos="0" relativeHeight="251661312" behindDoc="0" locked="0" layoutInCell="1" allowOverlap="1">
                  <wp:simplePos x="0" y="0"/>
                  <wp:positionH relativeFrom="column">
                    <wp:posOffset>5289550</wp:posOffset>
                  </wp:positionH>
                  <wp:positionV relativeFrom="paragraph">
                    <wp:posOffset>-50800</wp:posOffset>
                  </wp:positionV>
                  <wp:extent cx="445135" cy="445135"/>
                  <wp:effectExtent l="0" t="0" r="0" b="0"/>
                  <wp:wrapNone/>
                  <wp:docPr id="56" name="תמונה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149573" name="Picture 56"/>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716" w:type="dxa"/>
            <w:gridSpan w:val="6"/>
            <w:vAlign w:val="center"/>
          </w:tcPr>
          <w:p w:rsidR="004D622F" w:rsidRPr="00462ADF" w:rsidP="00C24DF0">
            <w:pPr>
              <w:rPr>
                <w:sz w:val="19"/>
                <w:szCs w:val="19"/>
                <w:rtl/>
              </w:rPr>
            </w:pPr>
            <w:r w:rsidRPr="00EE45F4">
              <w:rPr>
                <w:rFonts w:ascii="Tahoma" w:hAnsi="Tahoma" w:cs="Tahoma" w:hint="cs"/>
                <w:sz w:val="19"/>
                <w:szCs w:val="19"/>
                <w:rtl/>
              </w:rPr>
              <w:t>משרד מבקר המדינה בדק בחודשים אפריל עד דצמבר 2019 את התכנון והיישום של החלטת הממשלה מיוני 2018 בעניין התוכנית לחיבור האזורים המנותקים</w:t>
            </w:r>
            <w:r>
              <w:rPr>
                <w:rFonts w:ascii="Tahoma" w:hAnsi="Tahoma" w:cs="Tahoma" w:hint="cs"/>
                <w:sz w:val="19"/>
                <w:szCs w:val="19"/>
                <w:rtl/>
              </w:rPr>
              <w:t xml:space="preserve"> </w:t>
            </w:r>
            <w:r w:rsidRPr="00EE45F4">
              <w:rPr>
                <w:rFonts w:ascii="Tahoma" w:hAnsi="Tahoma" w:cs="Tahoma" w:hint="cs"/>
                <w:sz w:val="19"/>
                <w:szCs w:val="19"/>
                <w:rtl/>
              </w:rPr>
              <w:t>רמת הגולן, מעלה כינרת, והעמקים המזרחיים. הבדיקות נעשו ברשות המים ובמקורות.</w:t>
            </w:r>
          </w:p>
        </w:tc>
      </w:tr>
      <w:tr w:rsidTr="00C24DF0">
        <w:tblPrEx>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106" w:type="dxa"/>
          <w:trHeight w:val="561"/>
        </w:trPr>
        <w:tc>
          <w:tcPr>
            <w:tcW w:w="9512" w:type="dxa"/>
            <w:gridSpan w:val="6"/>
            <w:tcBorders>
              <w:top w:val="nil"/>
              <w:left w:val="nil"/>
              <w:bottom w:val="nil"/>
              <w:right w:val="nil"/>
            </w:tcBorders>
          </w:tcPr>
          <w:p w:rsidR="004D622F" w:rsidRPr="00462ADF" w:rsidP="00C24DF0">
            <w:pPr>
              <w:spacing w:after="240"/>
              <w:rPr>
                <w:sz w:val="19"/>
                <w:szCs w:val="19"/>
              </w:rPr>
            </w:pPr>
            <w:r w:rsidRPr="00462ADF">
              <w:rPr>
                <w:noProof/>
              </w:rPr>
              <w:drawing>
                <wp:inline distT="0" distB="0" distL="0" distR="0">
                  <wp:extent cx="5748020" cy="414010"/>
                  <wp:effectExtent l="0" t="0" r="0" b="5715"/>
                  <wp:docPr id="57" name="תמונה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50159" name="תקציר תמונה 2.2.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37336" cy="434848"/>
                          </a:xfrm>
                          <a:prstGeom prst="rect">
                            <a:avLst/>
                          </a:prstGeom>
                        </pic:spPr>
                      </pic:pic>
                    </a:graphicData>
                  </a:graphic>
                </wp:inline>
              </w:drawing>
            </w:r>
          </w:p>
          <w:p w:rsidR="004D622F" w:rsidRPr="00EE45F4" w:rsidP="00C24DF0">
            <w:pPr>
              <w:pStyle w:val="ListParagraph"/>
              <w:spacing w:after="240" w:line="240" w:lineRule="auto"/>
              <w:ind w:left="0"/>
              <w:rPr>
                <w:rFonts w:ascii="Tahoma" w:hAnsi="Tahoma" w:cs="Tahoma"/>
                <w:sz w:val="19"/>
                <w:szCs w:val="19"/>
              </w:rPr>
            </w:pPr>
            <w:r w:rsidRPr="00A06B3F">
              <w:rPr>
                <w:rFonts w:ascii="Tahoma" w:hAnsi="Tahoma" w:cs="Tahoma"/>
                <w:noProof/>
                <w:rtl/>
                <w:lang w:eastAsia="en-US"/>
              </w:rPr>
              <w:drawing>
                <wp:inline distT="0" distB="0" distL="0" distR="0">
                  <wp:extent cx="2616789" cy="200650"/>
                  <wp:effectExtent l="0" t="0" r="0" b="9525"/>
                  <wp:docPr id="174388241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rsidR="004D622F" w:rsidRPr="00EE45F4" w:rsidP="004D622F">
            <w:pPr>
              <w:pStyle w:val="ListParagraph"/>
              <w:numPr>
                <w:ilvl w:val="0"/>
                <w:numId w:val="2"/>
              </w:numPr>
              <w:spacing w:before="120" w:line="264" w:lineRule="auto"/>
              <w:ind w:left="357" w:hanging="357"/>
              <w:contextualSpacing w:val="0"/>
              <w:rPr>
                <w:rFonts w:ascii="Tahoma" w:hAnsi="Tahoma" w:cs="Tahoma"/>
                <w:sz w:val="19"/>
                <w:szCs w:val="19"/>
              </w:rPr>
            </w:pPr>
            <w:r w:rsidRPr="00EE45F4">
              <w:rPr>
                <w:rFonts w:ascii="Tahoma" w:hAnsi="Tahoma" w:cs="Tahoma"/>
                <w:b/>
                <w:bCs/>
                <w:sz w:val="19"/>
                <w:szCs w:val="19"/>
                <w:rtl/>
              </w:rPr>
              <w:t>התוכנית לבחינת חיבור האזורים המנותקים למערכת המים הארצית</w:t>
            </w:r>
            <w:r w:rsidRPr="00EE45F4">
              <w:rPr>
                <w:rFonts w:ascii="Tahoma" w:hAnsi="Tahoma" w:cs="Tahoma"/>
                <w:sz w:val="19"/>
                <w:szCs w:val="19"/>
                <w:rtl/>
              </w:rPr>
              <w:t xml:space="preserve"> -</w:t>
            </w:r>
            <w:r w:rsidRPr="00EE45F4">
              <w:rPr>
                <w:rFonts w:ascii="Tahoma" w:hAnsi="Tahoma" w:eastAsiaTheme="minorHAnsi" w:cs="Tahoma"/>
                <w:b/>
                <w:bCs/>
                <w:sz w:val="24"/>
                <w:rtl/>
                <w:lang w:eastAsia="en-US"/>
              </w:rPr>
              <w:t xml:space="preserve"> </w:t>
            </w:r>
            <w:r w:rsidRPr="00EE45F4">
              <w:rPr>
                <w:rFonts w:ascii="Tahoma" w:hAnsi="Tahoma" w:eastAsiaTheme="minorHAnsi" w:cs="Tahoma"/>
                <w:sz w:val="19"/>
                <w:szCs w:val="19"/>
                <w:rtl/>
                <w:lang w:eastAsia="en-US"/>
              </w:rPr>
              <w:t>ביוני 2018 החליטה</w:t>
            </w:r>
            <w:r>
              <w:rPr>
                <w:rFonts w:ascii="Tahoma" w:hAnsi="Tahoma" w:eastAsiaTheme="minorHAnsi" w:cs="Tahoma" w:hint="cs"/>
                <w:sz w:val="19"/>
                <w:szCs w:val="19"/>
                <w:rtl/>
                <w:lang w:eastAsia="en-US"/>
              </w:rPr>
              <w:t xml:space="preserve"> </w:t>
            </w:r>
            <w:r w:rsidRPr="00EE45F4">
              <w:rPr>
                <w:rFonts w:ascii="Tahoma" w:hAnsi="Tahoma" w:eastAsiaTheme="minorHAnsi" w:cs="Tahoma"/>
                <w:sz w:val="19"/>
                <w:szCs w:val="19"/>
                <w:rtl/>
                <w:lang w:eastAsia="en-US"/>
              </w:rPr>
              <w:t>הממשלה כי עד דצמבר אותה שנה על רשות המים להציג תוכנית לבחינת חיבור האזורים המנותקים לשר האנרגייה. עד מועד סיום הביקורת, נמצא כי הרשות</w:t>
            </w:r>
            <w:r>
              <w:rPr>
                <w:rFonts w:ascii="Tahoma" w:hAnsi="Tahoma" w:eastAsiaTheme="minorHAnsi" w:cs="Tahoma" w:hint="cs"/>
                <w:sz w:val="19"/>
                <w:szCs w:val="19"/>
                <w:rtl/>
                <w:lang w:eastAsia="en-US"/>
              </w:rPr>
              <w:t xml:space="preserve"> </w:t>
            </w:r>
            <w:r w:rsidRPr="00EE45F4">
              <w:rPr>
                <w:rFonts w:ascii="Tahoma" w:hAnsi="Tahoma" w:eastAsiaTheme="minorHAnsi" w:cs="Tahoma"/>
                <w:sz w:val="19"/>
                <w:szCs w:val="19"/>
                <w:rtl/>
                <w:lang w:eastAsia="en-US"/>
              </w:rPr>
              <w:t xml:space="preserve">הציגה למועצת הרשות ולשר האנרגייה מצגת שבה </w:t>
            </w:r>
            <w:r>
              <w:rPr>
                <w:rFonts w:ascii="Tahoma" w:hAnsi="Tahoma" w:eastAsiaTheme="minorHAnsi" w:cs="Tahoma"/>
                <w:sz w:val="19"/>
                <w:szCs w:val="19"/>
                <w:rtl/>
                <w:lang w:eastAsia="en-US"/>
              </w:rPr>
              <w:t>עיקרי המידע בנקודות לצרכי הדיון</w:t>
            </w:r>
            <w:r w:rsidRPr="00EE45F4">
              <w:rPr>
                <w:rFonts w:ascii="Tahoma" w:hAnsi="Tahoma" w:eastAsiaTheme="minorHAnsi" w:cs="Tahoma"/>
                <w:sz w:val="19"/>
                <w:szCs w:val="19"/>
                <w:rtl/>
                <w:lang w:eastAsia="en-US"/>
              </w:rPr>
              <w:t>,</w:t>
            </w:r>
            <w:r>
              <w:rPr>
                <w:rFonts w:ascii="Tahoma" w:hAnsi="Tahoma" w:eastAsiaTheme="minorHAnsi" w:cs="Tahoma" w:hint="cs"/>
                <w:sz w:val="19"/>
                <w:szCs w:val="19"/>
                <w:rtl/>
                <w:lang w:eastAsia="en-US"/>
              </w:rPr>
              <w:t xml:space="preserve"> </w:t>
            </w:r>
            <w:r w:rsidRPr="00EE45F4">
              <w:rPr>
                <w:rFonts w:ascii="Tahoma" w:hAnsi="Tahoma" w:eastAsiaTheme="minorHAnsi" w:cs="Tahoma"/>
                <w:sz w:val="19"/>
                <w:szCs w:val="19"/>
                <w:rtl/>
                <w:lang w:eastAsia="en-US"/>
              </w:rPr>
              <w:t>שעודכנה מעת לעת, ברם עד מועד סיום הביקורת לא נמצא כי הוצגה</w:t>
            </w:r>
            <w:r>
              <w:rPr>
                <w:rFonts w:ascii="Tahoma" w:hAnsi="Tahoma" w:eastAsiaTheme="minorHAnsi" w:cs="Tahoma" w:hint="cs"/>
                <w:sz w:val="19"/>
                <w:szCs w:val="19"/>
                <w:rtl/>
                <w:lang w:eastAsia="en-US"/>
              </w:rPr>
              <w:t xml:space="preserve"> </w:t>
            </w:r>
            <w:r w:rsidRPr="00EE45F4">
              <w:rPr>
                <w:rFonts w:ascii="Tahoma" w:hAnsi="Tahoma" w:eastAsiaTheme="minorHAnsi" w:cs="Tahoma"/>
                <w:sz w:val="19"/>
                <w:szCs w:val="19"/>
                <w:rtl/>
                <w:lang w:eastAsia="en-US"/>
              </w:rPr>
              <w:t>תוכנית הכוללת הסברים מפורטים כמצע מפורט לדיון וקבלת החלטה. רשות המים גם לא השלימה את הצגת כל המידע הנדרש להליך קבלת החלטה על אופן חיבור האזורים המנותקים למערכת המים הארצית ומי הגורם שיבצע חיבור זה.</w:t>
            </w:r>
          </w:p>
          <w:p w:rsidR="004D622F" w:rsidRPr="00EE45F4" w:rsidP="002C3751">
            <w:pPr>
              <w:widowControl w:val="0"/>
              <w:numPr>
                <w:ilvl w:val="0"/>
                <w:numId w:val="3"/>
              </w:numPr>
              <w:spacing w:before="80" w:line="264" w:lineRule="auto"/>
              <w:ind w:left="357" w:hanging="357"/>
              <w:rPr>
                <w:rFonts w:ascii="Tahoma" w:hAnsi="Tahoma" w:cs="Tahoma"/>
                <w:sz w:val="19"/>
                <w:szCs w:val="19"/>
              </w:rPr>
            </w:pPr>
            <w:r w:rsidRPr="00EE45F4">
              <w:rPr>
                <w:rFonts w:ascii="Tahoma" w:hAnsi="Tahoma" w:cs="Tahoma"/>
                <w:b/>
                <w:bCs/>
                <w:sz w:val="19"/>
                <w:szCs w:val="19"/>
                <w:rtl/>
              </w:rPr>
              <w:t>הצגת ההשפעה של ביצוע כל אחת מהחלופות לחיבור האזורים המנותקים על תעריף המים לצרכן למועצת רשות המים</w:t>
            </w:r>
            <w:r w:rsidRPr="00EE45F4">
              <w:rPr>
                <w:rFonts w:ascii="Tahoma" w:hAnsi="Tahoma" w:cs="Tahoma"/>
                <w:sz w:val="19"/>
                <w:szCs w:val="19"/>
                <w:rtl/>
              </w:rPr>
              <w:t xml:space="preserve"> - רשות המים לא הציגה למועצת הרשות</w:t>
            </w:r>
            <w:r>
              <w:rPr>
                <w:rFonts w:ascii="Tahoma" w:hAnsi="Tahoma" w:cs="Tahoma" w:hint="cs"/>
                <w:sz w:val="19"/>
                <w:szCs w:val="19"/>
                <w:rtl/>
              </w:rPr>
              <w:t xml:space="preserve"> </w:t>
            </w:r>
            <w:r w:rsidRPr="00EE45F4">
              <w:rPr>
                <w:rFonts w:ascii="Tahoma" w:hAnsi="Tahoma" w:cs="Tahoma"/>
                <w:sz w:val="19"/>
                <w:szCs w:val="19"/>
                <w:rtl/>
              </w:rPr>
              <w:t>בדיקות כלכליות המראות את השפעת כל אחת מהחלופות שהציעה על תעריף המים לצרכן</w:t>
            </w:r>
            <w:r>
              <w:rPr>
                <w:rFonts w:ascii="Tahoma" w:hAnsi="Tahoma" w:cs="Tahoma" w:hint="cs"/>
                <w:sz w:val="19"/>
                <w:szCs w:val="19"/>
                <w:rtl/>
              </w:rPr>
              <w:t xml:space="preserve"> </w:t>
            </w:r>
            <w:r w:rsidRPr="00EE45F4">
              <w:rPr>
                <w:rFonts w:ascii="Tahoma" w:hAnsi="Tahoma" w:cs="Tahoma"/>
                <w:sz w:val="19"/>
                <w:szCs w:val="19"/>
                <w:rtl/>
              </w:rPr>
              <w:t>ל</w:t>
            </w:r>
            <w:r w:rsidR="00F8138A">
              <w:rPr>
                <w:rFonts w:ascii="Tahoma" w:hAnsi="Tahoma" w:cs="Tahoma"/>
                <w:sz w:val="19"/>
                <w:szCs w:val="19"/>
                <w:rtl/>
              </w:rPr>
              <w:t>צורך קבלת החלטה בעניין חיבור הא</w:t>
            </w:r>
            <w:r w:rsidRPr="00EE45F4">
              <w:rPr>
                <w:rFonts w:ascii="Tahoma" w:hAnsi="Tahoma" w:cs="Tahoma"/>
                <w:sz w:val="19"/>
                <w:szCs w:val="19"/>
                <w:rtl/>
              </w:rPr>
              <w:t xml:space="preserve">זורים המנותקים למערכת המים הארצית. </w:t>
            </w:r>
          </w:p>
          <w:p w:rsidR="004D622F" w:rsidRPr="00EE45F4" w:rsidP="004D622F">
            <w:pPr>
              <w:widowControl w:val="0"/>
              <w:numPr>
                <w:ilvl w:val="0"/>
                <w:numId w:val="3"/>
              </w:numPr>
              <w:spacing w:before="80" w:line="264" w:lineRule="auto"/>
              <w:ind w:left="357" w:hanging="357"/>
              <w:rPr>
                <w:rFonts w:ascii="Tahoma" w:hAnsi="Tahoma" w:cs="Tahoma"/>
                <w:sz w:val="19"/>
                <w:szCs w:val="19"/>
              </w:rPr>
            </w:pPr>
            <w:r w:rsidRPr="00EE45F4">
              <w:rPr>
                <w:rFonts w:ascii="Tahoma" w:hAnsi="Tahoma" w:cs="Tahoma"/>
                <w:b/>
                <w:bCs/>
                <w:sz w:val="19"/>
                <w:szCs w:val="19"/>
                <w:rtl/>
              </w:rPr>
              <w:t xml:space="preserve">ניהול הליך בחירת הגורם המבצע לביצוע חלופת חיבור באמצעות הכינרת - </w:t>
            </w:r>
            <w:r w:rsidRPr="00EE45F4">
              <w:rPr>
                <w:rFonts w:ascii="Tahoma" w:hAnsi="Tahoma" w:cs="Tahoma"/>
                <w:sz w:val="19"/>
                <w:szCs w:val="19"/>
                <w:rtl/>
              </w:rPr>
              <w:t>רשות המים טרם השלימה את בחינת ההליך לבחירת הגורם המבצע ולא הציגה למועצה כיצד בכוונתה לנהל את ההליך, הערכת עלויות, השיקולים בבחירה, בחינת האיתנות הפיננסית שנדרשת מהגורם המבצע, והסיכונים הכרוכים במתן אפשרות שליטה בפועל על מקורות המים לגורמים השונים והערכות על משך זמן הביצוע לפי החלופות השונות.</w:t>
            </w:r>
          </w:p>
          <w:p w:rsidR="004D622F" w:rsidRPr="00EE45F4" w:rsidP="004D622F">
            <w:pPr>
              <w:widowControl w:val="0"/>
              <w:numPr>
                <w:ilvl w:val="0"/>
                <w:numId w:val="1"/>
              </w:numPr>
              <w:spacing w:before="80" w:line="264" w:lineRule="auto"/>
              <w:ind w:left="357" w:hanging="357"/>
              <w:rPr>
                <w:rFonts w:ascii="Tahoma" w:hAnsi="Tahoma" w:cs="Tahoma"/>
                <w:sz w:val="19"/>
                <w:szCs w:val="19"/>
                <w:rtl/>
              </w:rPr>
            </w:pPr>
            <w:r w:rsidRPr="00EE45F4">
              <w:rPr>
                <w:rFonts w:ascii="Tahoma" w:hAnsi="Tahoma" w:cs="Tahoma"/>
                <w:b/>
                <w:bCs/>
                <w:sz w:val="19"/>
                <w:szCs w:val="19"/>
                <w:rtl/>
              </w:rPr>
              <w:t xml:space="preserve">תוכניות אב לאזורים המנותקים - </w:t>
            </w:r>
            <w:r w:rsidRPr="00EE45F4">
              <w:rPr>
                <w:rFonts w:ascii="Tahoma" w:hAnsi="Tahoma" w:cs="Tahoma"/>
                <w:sz w:val="19"/>
                <w:szCs w:val="19"/>
                <w:rtl/>
              </w:rPr>
              <w:t>עד מועד סיום הביקורת</w:t>
            </w:r>
            <w:r>
              <w:rPr>
                <w:rFonts w:ascii="Tahoma" w:hAnsi="Tahoma" w:cs="Tahoma" w:hint="cs"/>
                <w:sz w:val="19"/>
                <w:szCs w:val="19"/>
                <w:rtl/>
              </w:rPr>
              <w:t xml:space="preserve"> </w:t>
            </w:r>
            <w:r w:rsidRPr="00EE45F4">
              <w:rPr>
                <w:rFonts w:ascii="Tahoma" w:hAnsi="Tahoma" w:cs="Tahoma"/>
                <w:sz w:val="19"/>
                <w:szCs w:val="19"/>
                <w:rtl/>
              </w:rPr>
              <w:t>אישרה רשות המים תוכניות אב לאספקת מים לחקלאות לאגודות הדרוזים ברמת הגולן ותוכנית לאספקת מים שפירים לצפון רמת הגולן</w:t>
            </w:r>
            <w:r w:rsidR="00F8138A">
              <w:rPr>
                <w:rFonts w:ascii="Tahoma" w:hAnsi="Tahoma" w:cs="Tahoma"/>
                <w:sz w:val="19"/>
                <w:szCs w:val="19"/>
                <w:rtl/>
              </w:rPr>
              <w:t xml:space="preserve"> וכן תוכניות אב לבקעת הירדן ולא</w:t>
            </w:r>
            <w:r w:rsidRPr="00EE45F4">
              <w:rPr>
                <w:rFonts w:ascii="Tahoma" w:hAnsi="Tahoma" w:cs="Tahoma"/>
                <w:sz w:val="19"/>
                <w:szCs w:val="19"/>
                <w:rtl/>
              </w:rPr>
              <w:t>זור בית שאן, אך טרם השלימה הכנת תוכניות אב למעלה כינרת וכן טרם השלימה תוכניות אב כוללות לעמקים המזרחיים. בהיעדר תוכניות אב חסר מידע שהיה יכול לטייב את ההנחות ואת הבדיקה הנעשית לצורך הבאת המידע הרלוונטי לחברי המועצה.</w:t>
            </w:r>
            <w:r w:rsidRPr="00EE45F4">
              <w:rPr>
                <w:rFonts w:ascii="Tahoma" w:hAnsi="Tahoma" w:cs="Tahoma"/>
                <w:rtl/>
              </w:rPr>
              <w:t xml:space="preserve"> </w:t>
            </w:r>
          </w:p>
          <w:p w:rsidR="004D622F" w:rsidRPr="00EE45F4" w:rsidP="004D622F">
            <w:pPr>
              <w:widowControl w:val="0"/>
              <w:numPr>
                <w:ilvl w:val="0"/>
                <w:numId w:val="1"/>
              </w:numPr>
              <w:spacing w:before="80" w:line="264" w:lineRule="auto"/>
              <w:ind w:left="357" w:hanging="357"/>
              <w:rPr>
                <w:rFonts w:ascii="Tahoma" w:hAnsi="Tahoma" w:cs="Tahoma"/>
                <w:sz w:val="19"/>
                <w:szCs w:val="19"/>
                <w:rtl/>
              </w:rPr>
            </w:pPr>
            <w:r w:rsidRPr="00EE45F4">
              <w:rPr>
                <w:rFonts w:ascii="Tahoma" w:hAnsi="Tahoma" w:cs="Tahoma"/>
                <w:b/>
                <w:bCs/>
                <w:sz w:val="19"/>
                <w:szCs w:val="19"/>
                <w:rtl/>
              </w:rPr>
              <w:t>תוכנית אב למים ולחקלאות -</w:t>
            </w:r>
            <w:r w:rsidRPr="00EE45F4">
              <w:rPr>
                <w:rFonts w:ascii="Tahoma" w:hAnsi="Tahoma" w:cs="Tahoma"/>
                <w:sz w:val="19"/>
                <w:szCs w:val="19"/>
                <w:rtl/>
              </w:rPr>
              <w:t xml:space="preserve"> טרם הושלמה הכנת תוכנית אב למים ולחקלאות. בהיעדר תוכנית אב מאושרת המשותפת למים ולחקלאות, לא הייתה בידי רשות המים היכולת לשקלל את כל צורכי המים שנדרשים לחקלאות בבדיקה שעשתה בעניין חיבור האזורים המנותקים, אלא רק את אלה שנדונו בממשלה ואושרו על ידה או שיש לגביהם פרוגרמה חקלאית. לתכנית אב הכוללת נתונים מהימנים קיימת חשיבות רבה לצורך קבלת החלטה על תוכניות בעלות עלויות גבוהות,</w:t>
            </w:r>
            <w:r w:rsidR="00347700">
              <w:rPr>
                <w:rFonts w:ascii="Tahoma" w:hAnsi="Tahoma" w:cs="Tahoma" w:hint="cs"/>
                <w:sz w:val="19"/>
                <w:szCs w:val="19"/>
                <w:rtl/>
              </w:rPr>
              <w:t xml:space="preserve"> </w:t>
            </w:r>
            <w:r w:rsidRPr="00EE45F4">
              <w:rPr>
                <w:rFonts w:ascii="Tahoma" w:hAnsi="Tahoma" w:cs="Tahoma"/>
                <w:sz w:val="19"/>
                <w:szCs w:val="19"/>
                <w:rtl/>
              </w:rPr>
              <w:t xml:space="preserve">שמטרתן לענות על הצרכים העתידיים של האזורים המנותקים. </w:t>
            </w:r>
          </w:p>
          <w:p w:rsidR="004D622F" w:rsidRPr="00EE45F4" w:rsidP="004D622F">
            <w:pPr>
              <w:widowControl w:val="0"/>
              <w:numPr>
                <w:ilvl w:val="0"/>
                <w:numId w:val="1"/>
              </w:numPr>
              <w:spacing w:before="80" w:line="264" w:lineRule="auto"/>
              <w:ind w:left="357" w:hanging="357"/>
              <w:rPr>
                <w:rFonts w:ascii="Tahoma" w:hAnsi="Tahoma" w:cs="Tahoma"/>
                <w:szCs w:val="20"/>
                <w:rtl/>
              </w:rPr>
            </w:pPr>
            <w:r w:rsidRPr="00EE45F4">
              <w:rPr>
                <w:rFonts w:ascii="Tahoma" w:hAnsi="Tahoma" w:cs="Tahoma"/>
                <w:b/>
                <w:bCs/>
                <w:sz w:val="19"/>
                <w:szCs w:val="19"/>
                <w:rtl/>
              </w:rPr>
              <w:t>מידע על זמן הביצוע של כל אחת מהחלופות -</w:t>
            </w:r>
            <w:r w:rsidRPr="00EE45F4">
              <w:rPr>
                <w:rFonts w:ascii="Tahoma" w:hAnsi="Tahoma" w:cs="Tahoma"/>
                <w:sz w:val="19"/>
                <w:szCs w:val="19"/>
                <w:rtl/>
              </w:rPr>
              <w:t xml:space="preserve"> רשות המים לא ציינה במידע שהציגה למועצה לוחות זמנים להשלמת המיזם בחלופות השונות ואבני דרך קריטיות לביצוע כל אחת מהחלופות, ביחס למועד שבו הצורך בחיבור אזורים אלה יהיה </w:t>
            </w:r>
            <w:r w:rsidRPr="00EE45F4">
              <w:rPr>
                <w:rFonts w:ascii="Tahoma" w:hAnsi="Tahoma" w:cs="Tahoma"/>
                <w:szCs w:val="20"/>
                <w:rtl/>
              </w:rPr>
              <w:t>קריטי.</w:t>
            </w:r>
            <w:r>
              <w:rPr>
                <w:rFonts w:ascii="Tahoma" w:hAnsi="Tahoma" w:cs="Tahoma" w:hint="cs"/>
                <w:szCs w:val="20"/>
                <w:rtl/>
              </w:rPr>
              <w:t xml:space="preserve"> </w:t>
            </w:r>
          </w:p>
          <w:p w:rsidR="004D622F" w:rsidP="004D622F">
            <w:pPr>
              <w:pStyle w:val="ListParagraph"/>
              <w:numPr>
                <w:ilvl w:val="0"/>
                <w:numId w:val="1"/>
              </w:numPr>
              <w:spacing w:before="80" w:line="264" w:lineRule="auto"/>
              <w:ind w:left="357" w:hanging="357"/>
              <w:contextualSpacing w:val="0"/>
              <w:rPr>
                <w:rFonts w:ascii="Tahoma" w:hAnsi="Tahoma" w:cs="Tahoma"/>
                <w:sz w:val="19"/>
                <w:szCs w:val="19"/>
              </w:rPr>
            </w:pPr>
            <w:r w:rsidRPr="00EE45F4">
              <w:rPr>
                <w:rFonts w:ascii="Tahoma" w:hAnsi="Tahoma" w:cs="Tahoma"/>
                <w:b/>
                <w:bCs/>
                <w:sz w:val="19"/>
                <w:szCs w:val="19"/>
                <w:rtl/>
              </w:rPr>
              <w:t>התייחסות תוכנית הפיתוח של מקורות למיזמים -</w:t>
            </w:r>
            <w:r w:rsidRPr="00EE45F4">
              <w:rPr>
                <w:rFonts w:ascii="Tahoma" w:hAnsi="Tahoma" w:cs="Tahoma"/>
                <w:sz w:val="19"/>
                <w:szCs w:val="19"/>
                <w:rtl/>
              </w:rPr>
              <w:t xml:space="preserve"> העיכוב בקבלת החלטה לגבי חלופת ביצוע התוכנית וזהות הגורם המבצע, לא אפשר להתייחס למיזמי תוכנית החיבור בקבלת ההחלטה על תוכנית הפיתוח של מקורות לשנים 2020 - 2022 ואשר על כן, המיזמים לא יכלו לה</w:t>
            </w:r>
            <w:r w:rsidR="00F8138A">
              <w:rPr>
                <w:rFonts w:ascii="Tahoma" w:hAnsi="Tahoma" w:cs="Tahoma" w:hint="cs"/>
                <w:sz w:val="19"/>
                <w:szCs w:val="19"/>
                <w:rtl/>
              </w:rPr>
              <w:t>י</w:t>
            </w:r>
            <w:r w:rsidRPr="00EE45F4">
              <w:rPr>
                <w:rFonts w:ascii="Tahoma" w:hAnsi="Tahoma" w:cs="Tahoma"/>
                <w:sz w:val="19"/>
                <w:szCs w:val="19"/>
                <w:rtl/>
              </w:rPr>
              <w:t>כלל בתכנית הפיתוח שאושרה למקורות לשנים 2020 -</w:t>
            </w:r>
            <w:r w:rsidR="00F8138A">
              <w:rPr>
                <w:rFonts w:ascii="Tahoma" w:hAnsi="Tahoma" w:cs="Tahoma" w:hint="cs"/>
                <w:sz w:val="19"/>
                <w:szCs w:val="19"/>
                <w:rtl/>
              </w:rPr>
              <w:t xml:space="preserve"> </w:t>
            </w:r>
            <w:r w:rsidRPr="00EE45F4">
              <w:rPr>
                <w:rFonts w:ascii="Tahoma" w:hAnsi="Tahoma" w:cs="Tahoma"/>
                <w:sz w:val="19"/>
                <w:szCs w:val="19"/>
                <w:rtl/>
              </w:rPr>
              <w:t xml:space="preserve">2022. </w:t>
            </w:r>
          </w:p>
          <w:p w:rsidR="004D622F" w:rsidRPr="00EE45F4" w:rsidP="00C24DF0">
            <w:pPr>
              <w:spacing w:line="240" w:lineRule="auto"/>
              <w:rPr>
                <w:rFonts w:ascii="Tahoma" w:hAnsi="Tahoma" w:cs="Tahoma"/>
                <w:szCs w:val="20"/>
              </w:rPr>
            </w:pPr>
          </w:p>
          <w:p w:rsidR="004D622F" w:rsidP="00C24DF0">
            <w:pPr>
              <w:spacing w:after="240"/>
              <w:rPr>
                <w:rFonts w:ascii="Tahoma" w:hAnsi="Tahoma" w:cs="Tahoma"/>
                <w:b/>
                <w:bCs/>
                <w:sz w:val="19"/>
                <w:szCs w:val="19"/>
                <w:rtl/>
              </w:rPr>
            </w:pPr>
            <w:r w:rsidRPr="00EE45F4">
              <w:rPr>
                <w:rFonts w:ascii="Tahoma" w:hAnsi="Tahoma" w:cs="Tahoma"/>
                <w:sz w:val="19"/>
                <w:szCs w:val="19"/>
              </w:rPr>
              <w:t xml:space="preserve"> </w:t>
            </w:r>
            <w:r w:rsidRPr="00A06B3F">
              <w:rPr>
                <w:rFonts w:ascii="Tahoma" w:hAnsi="Tahoma" w:cs="Tahoma" w:hint="cs"/>
                <w:noProof/>
                <w:sz w:val="19"/>
                <w:szCs w:val="19"/>
                <w:rtl/>
              </w:rPr>
              <w:drawing>
                <wp:inline distT="0" distB="0" distL="0" distR="0">
                  <wp:extent cx="2710450" cy="207831"/>
                  <wp:effectExtent l="0" t="0" r="0" b="1905"/>
                  <wp:docPr id="36" name="תמונה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rsidR="004D622F" w:rsidRPr="00EE45F4" w:rsidP="00C24DF0">
            <w:pPr>
              <w:spacing w:after="240" w:line="264" w:lineRule="auto"/>
              <w:rPr>
                <w:rFonts w:ascii="Tahoma" w:hAnsi="Tahoma" w:cs="Tahoma"/>
                <w:sz w:val="19"/>
                <w:szCs w:val="19"/>
              </w:rPr>
            </w:pPr>
            <w:r w:rsidRPr="00EE45F4">
              <w:rPr>
                <w:rFonts w:ascii="Tahoma" w:hAnsi="Tahoma" w:cs="Tahoma"/>
                <w:b/>
                <w:bCs/>
                <w:sz w:val="19"/>
                <w:szCs w:val="19"/>
                <w:rtl/>
              </w:rPr>
              <w:t xml:space="preserve">ייזום וקידום החלטת ממשלה בעניין חיבור האזורים המנותקים למערכת המים הארצית במסגרת תוכנית אסטרטגית להתמודדות עם תקופת בצורת במשק המים </w:t>
            </w:r>
            <w:r w:rsidRPr="00EE45F4">
              <w:rPr>
                <w:rFonts w:ascii="Tahoma" w:hAnsi="Tahoma" w:cs="Tahoma"/>
                <w:sz w:val="19"/>
                <w:szCs w:val="19"/>
                <w:rtl/>
              </w:rPr>
              <w:t>- משרד האנרגייה יזם וקידם החלטת ממשלה בעניין תוכנית אסטרטגית להתמודדות עם תקופת בצורת במשק המים בשנים 2018 - 2030, שבין היתר דרשה מהרשות לבחון תוכנית לחיבור האזורים המנותקים למערכת המים הארצית. ההחלטה התקבלה ביוני 2018.</w:t>
            </w:r>
          </w:p>
        </w:tc>
      </w:tr>
    </w:tbl>
    <w:p w:rsidR="004D622F" w:rsidP="004D622F"/>
    <w:tbl>
      <w:tblPr>
        <w:tblStyle w:val="1"/>
        <w:tblpPr w:leftFromText="180" w:rightFromText="180" w:vertAnchor="text" w:tblpXSpec="center" w:tblpY="1"/>
        <w:tblOverlap w:val="never"/>
        <w:bidiVisual/>
        <w:tblW w:w="9456" w:type="dxa"/>
        <w:tblLook w:val="04A0"/>
      </w:tblPr>
      <w:tblGrid>
        <w:gridCol w:w="9450"/>
        <w:gridCol w:w="6"/>
      </w:tblGrid>
      <w:tr w:rsidTr="00C24DF0">
        <w:tblPrEx>
          <w:tblW w:w="9456" w:type="dxa"/>
          <w:tblLook w:val="04A0"/>
        </w:tblPrEx>
        <w:trPr>
          <w:gridAfter w:val="1"/>
          <w:wAfter w:w="6" w:type="dxa"/>
        </w:trPr>
        <w:tc>
          <w:tcPr>
            <w:tcW w:w="9450" w:type="dxa"/>
            <w:tcBorders>
              <w:top w:val="nil"/>
              <w:left w:val="nil"/>
              <w:bottom w:val="nil"/>
              <w:right w:val="nil"/>
            </w:tcBorders>
          </w:tcPr>
          <w:p w:rsidR="004D622F" w:rsidRPr="00462ADF" w:rsidP="00C24DF0">
            <w:pPr>
              <w:spacing w:line="240" w:lineRule="auto"/>
              <w:rPr>
                <w:rtl/>
              </w:rPr>
            </w:pPr>
            <w:r w:rsidRPr="00462ADF">
              <w:rPr>
                <w:noProof/>
                <w:rtl/>
              </w:rPr>
              <w:drawing>
                <wp:inline distT="0" distB="0" distL="0" distR="0">
                  <wp:extent cx="5825365" cy="439420"/>
                  <wp:effectExtent l="0" t="0" r="4445" b="0"/>
                  <wp:docPr id="48" name="תמונה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קציר תמונה 3.4.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71598" cy="442907"/>
                          </a:xfrm>
                          <a:prstGeom prst="rect">
                            <a:avLst/>
                          </a:prstGeom>
                        </pic:spPr>
                      </pic:pic>
                    </a:graphicData>
                  </a:graphic>
                </wp:inline>
              </w:drawing>
            </w:r>
          </w:p>
        </w:tc>
      </w:tr>
      <w:tr w:rsidTr="00C24DF0">
        <w:tblPrEx>
          <w:tblW w:w="9456" w:type="dxa"/>
          <w:tblLook w:val="04A0"/>
        </w:tblPrEx>
        <w:trPr>
          <w:gridAfter w:val="1"/>
          <w:wAfter w:w="6" w:type="dxa"/>
          <w:trHeight w:val="2156"/>
        </w:trPr>
        <w:tc>
          <w:tcPr>
            <w:tcW w:w="9450" w:type="dxa"/>
            <w:tcBorders>
              <w:top w:val="nil"/>
              <w:left w:val="nil"/>
              <w:bottom w:val="nil"/>
              <w:right w:val="nil"/>
            </w:tcBorders>
            <w:shd w:val="clear" w:color="auto" w:fill="F1F5F9"/>
          </w:tcPr>
          <w:p w:rsidR="004D622F" w:rsidRPr="00462ADF" w:rsidP="00C24DF0">
            <w:pPr>
              <w:contextualSpacing/>
              <w:rPr>
                <w:sz w:val="13"/>
                <w:szCs w:val="13"/>
              </w:rPr>
            </w:pPr>
          </w:p>
          <w:p w:rsidR="004D622F" w:rsidRPr="00EA7F40" w:rsidP="004D622F">
            <w:pPr>
              <w:numPr>
                <w:ilvl w:val="0"/>
                <w:numId w:val="4"/>
              </w:numPr>
              <w:spacing w:after="240" w:line="288" w:lineRule="auto"/>
              <w:ind w:left="420" w:hanging="420"/>
              <w:rPr>
                <w:rFonts w:ascii="Tahoma" w:hAnsi="Tahoma" w:cs="Tahoma"/>
                <w:sz w:val="19"/>
                <w:szCs w:val="19"/>
              </w:rPr>
            </w:pPr>
            <w:r w:rsidRPr="00EA7F40">
              <w:rPr>
                <w:rFonts w:ascii="Tahoma" w:hAnsi="Tahoma" w:cs="Tahoma"/>
                <w:sz w:val="19"/>
                <w:szCs w:val="19"/>
                <w:rtl/>
              </w:rPr>
              <w:t>מומלץ כי רשות המים תשלים את הבחינה של כל הנושאים שפורטו בדוח זה ותגיש למועצה תוכנית סדורה המפרטת את מכלול ההיבטים והשיקולים הרלוונטיים בעניין חיבור האזורים המנותקים לשם גיבוש החלטה בנושא.</w:t>
            </w:r>
          </w:p>
          <w:p w:rsidR="004D622F" w:rsidRPr="00EA7F40" w:rsidP="004D622F">
            <w:pPr>
              <w:numPr>
                <w:ilvl w:val="0"/>
                <w:numId w:val="4"/>
              </w:numPr>
              <w:spacing w:after="240" w:line="288" w:lineRule="auto"/>
              <w:ind w:left="420" w:hanging="420"/>
              <w:rPr>
                <w:rFonts w:ascii="Tahoma" w:hAnsi="Tahoma" w:cs="Tahoma"/>
                <w:sz w:val="19"/>
                <w:szCs w:val="19"/>
              </w:rPr>
            </w:pPr>
            <w:r w:rsidRPr="00EA7F40">
              <w:rPr>
                <w:rFonts w:ascii="Tahoma" w:hAnsi="Tahoma" w:cs="Tahoma"/>
                <w:sz w:val="19"/>
                <w:szCs w:val="19"/>
                <w:rtl/>
              </w:rPr>
              <w:t>מומלץ כי המשרד למשאבי המים האמון על יישום החלטת הממשלה מיוני 2018 ימשיך ויעקוב אחר השלמת הליך הבחינה על-ידי הרשות והצגתה לשר כאמור בהחלטת הממשלה.</w:t>
            </w:r>
          </w:p>
          <w:p w:rsidR="004D622F" w:rsidRPr="00EA7F40" w:rsidP="004D622F">
            <w:pPr>
              <w:numPr>
                <w:ilvl w:val="0"/>
                <w:numId w:val="4"/>
              </w:numPr>
              <w:spacing w:after="240" w:line="288" w:lineRule="auto"/>
              <w:ind w:left="420" w:hanging="420"/>
              <w:rPr>
                <w:rFonts w:ascii="Tahoma" w:hAnsi="Tahoma" w:cs="Tahoma"/>
                <w:sz w:val="19"/>
                <w:szCs w:val="19"/>
              </w:rPr>
            </w:pPr>
            <w:r w:rsidRPr="00EA7F40">
              <w:rPr>
                <w:rFonts w:ascii="Tahoma" w:hAnsi="Tahoma" w:cs="Tahoma"/>
                <w:sz w:val="19"/>
                <w:szCs w:val="19"/>
                <w:rtl/>
              </w:rPr>
              <w:t>מומלץ כי משרד החקלאות ישלים את גיבוש תוכנית האב המשותפת למים ולחקלאות.</w:t>
            </w:r>
          </w:p>
          <w:p w:rsidR="004D622F" w:rsidRPr="00EA7F40" w:rsidP="004D622F">
            <w:pPr>
              <w:numPr>
                <w:ilvl w:val="0"/>
                <w:numId w:val="4"/>
              </w:numPr>
              <w:spacing w:after="240" w:line="288" w:lineRule="auto"/>
              <w:ind w:left="420" w:hanging="420"/>
              <w:rPr>
                <w:rFonts w:ascii="Tahoma" w:hAnsi="Tahoma" w:cs="Tahoma"/>
                <w:sz w:val="19"/>
                <w:szCs w:val="19"/>
              </w:rPr>
            </w:pPr>
            <w:r w:rsidRPr="00EA7F40">
              <w:rPr>
                <w:rFonts w:ascii="Tahoma" w:hAnsi="Tahoma" w:cs="Tahoma"/>
                <w:sz w:val="19"/>
                <w:szCs w:val="19"/>
                <w:rtl/>
              </w:rPr>
              <w:t>מומלץ כי רשות המים תשלים את</w:t>
            </w:r>
            <w:r w:rsidRPr="00EA7F40">
              <w:rPr>
                <w:rFonts w:ascii="Tahoma" w:hAnsi="Tahoma" w:cs="Tahoma"/>
                <w:rtl/>
              </w:rPr>
              <w:t xml:space="preserve"> </w:t>
            </w:r>
            <w:r w:rsidRPr="00EA7F40">
              <w:rPr>
                <w:rFonts w:ascii="Tahoma" w:hAnsi="Tahoma" w:cs="Tahoma"/>
                <w:sz w:val="19"/>
                <w:szCs w:val="19"/>
                <w:rtl/>
              </w:rPr>
              <w:t>תוכנית האב לאספקת מים למעלה כינרת.</w:t>
            </w:r>
          </w:p>
          <w:p w:rsidR="004D622F" w:rsidRPr="00EA7F40" w:rsidP="004D622F">
            <w:pPr>
              <w:numPr>
                <w:ilvl w:val="0"/>
                <w:numId w:val="4"/>
              </w:numPr>
              <w:spacing w:after="240" w:line="288" w:lineRule="auto"/>
              <w:ind w:left="420" w:hanging="420"/>
              <w:rPr>
                <w:rFonts w:ascii="Tahoma" w:hAnsi="Tahoma" w:cs="Tahoma"/>
                <w:sz w:val="19"/>
                <w:szCs w:val="19"/>
              </w:rPr>
            </w:pPr>
            <w:r w:rsidRPr="00EA7F40">
              <w:rPr>
                <w:rFonts w:ascii="Tahoma" w:hAnsi="Tahoma" w:cs="Tahoma"/>
                <w:sz w:val="19"/>
                <w:szCs w:val="19"/>
                <w:rtl/>
              </w:rPr>
              <w:t>מומלץ כי רשות המים תכין ותציג למועצה בחינה שתראה איך בכוונתה לנהל את הליך בחירת ה</w:t>
            </w:r>
            <w:r w:rsidR="00F8138A">
              <w:rPr>
                <w:rFonts w:ascii="Tahoma" w:hAnsi="Tahoma" w:cs="Tahoma"/>
                <w:sz w:val="19"/>
                <w:szCs w:val="19"/>
                <w:rtl/>
              </w:rPr>
              <w:t>גורמים שיבצעו את מיזמי חיבור הא</w:t>
            </w:r>
            <w:r w:rsidRPr="00EA7F40">
              <w:rPr>
                <w:rFonts w:ascii="Tahoma" w:hAnsi="Tahoma" w:cs="Tahoma"/>
                <w:sz w:val="19"/>
                <w:szCs w:val="19"/>
                <w:rtl/>
              </w:rPr>
              <w:t>זורים המנותקים למערכת המים הארצית, לרבות מתכונת ההליך, הערכת עלויות, השיקולים בבחירה, בחינת האיתנות הפיננסית שנדרשת מהגורם המבצע, הסיכונים הכרוכים במתן אפשרות שליטה בפועל על מקורות המים לגורמים השונים והערכות על משך זמן הביצוע לפי החלופות השונות.</w:t>
            </w:r>
          </w:p>
          <w:p w:rsidR="004D622F" w:rsidRPr="007075F1" w:rsidP="004D622F">
            <w:pPr>
              <w:numPr>
                <w:ilvl w:val="0"/>
                <w:numId w:val="4"/>
              </w:numPr>
              <w:spacing w:after="240" w:line="288" w:lineRule="auto"/>
              <w:ind w:left="420" w:hanging="420"/>
              <w:rPr>
                <w:sz w:val="19"/>
                <w:szCs w:val="19"/>
                <w:rtl/>
              </w:rPr>
            </w:pPr>
            <w:r w:rsidRPr="00EA7F40">
              <w:rPr>
                <w:rFonts w:ascii="Tahoma" w:hAnsi="Tahoma" w:cs="Tahoma"/>
                <w:sz w:val="19"/>
                <w:szCs w:val="19"/>
                <w:rtl/>
              </w:rPr>
              <w:t>מומלץ כי רשות המים תכין תוכנית אב ארוכת טווח למשק המים ותכלול בה בין היתר את קביעת רמת האמינות הנדרשת לאספקת כל סוגי המים.</w:t>
            </w:r>
            <w:r>
              <w:rPr>
                <w:rFonts w:hint="cs"/>
                <w:sz w:val="19"/>
                <w:szCs w:val="19"/>
                <w:rtl/>
              </w:rPr>
              <w:t xml:space="preserve"> </w:t>
            </w:r>
          </w:p>
        </w:tc>
      </w:tr>
      <w:tr w:rsidTr="00C24DF0">
        <w:tblPrEx>
          <w:tblW w:w="9456" w:type="dxa"/>
          <w:tblLook w:val="04A0"/>
        </w:tblPrEx>
        <w:trPr>
          <w:gridAfter w:val="1"/>
          <w:wAfter w:w="6" w:type="dxa"/>
          <w:trHeight w:val="737"/>
        </w:trPr>
        <w:tc>
          <w:tcPr>
            <w:tcW w:w="9450" w:type="dxa"/>
            <w:tcBorders>
              <w:top w:val="nil"/>
              <w:left w:val="nil"/>
              <w:bottom w:val="nil"/>
              <w:right w:val="nil"/>
            </w:tcBorders>
          </w:tcPr>
          <w:p w:rsidR="004D622F" w:rsidRPr="00462ADF" w:rsidP="00C24DF0">
            <w:pPr>
              <w:tabs>
                <w:tab w:val="left" w:pos="2371"/>
              </w:tabs>
              <w:spacing w:line="240" w:lineRule="auto"/>
              <w:rPr>
                <w:sz w:val="40"/>
                <w:szCs w:val="40"/>
                <w:rtl/>
              </w:rPr>
            </w:pPr>
          </w:p>
        </w:tc>
      </w:tr>
      <w:tr w:rsidTr="00C24DF0">
        <w:tblPrEx>
          <w:tblW w:w="9456" w:type="dxa"/>
          <w:tblLook w:val="04A0"/>
        </w:tblPrEx>
        <w:trPr>
          <w:trHeight w:val="506"/>
        </w:trPr>
        <w:tc>
          <w:tcPr>
            <w:tcW w:w="9456" w:type="dxa"/>
            <w:gridSpan w:val="2"/>
            <w:tcBorders>
              <w:top w:val="nil"/>
              <w:left w:val="nil"/>
              <w:bottom w:val="nil"/>
              <w:right w:val="nil"/>
            </w:tcBorders>
            <w:vAlign w:val="center"/>
          </w:tcPr>
          <w:p w:rsidR="004D622F" w:rsidRPr="00462ADF" w:rsidP="00C24DF0">
            <w:pPr>
              <w:spacing w:line="240" w:lineRule="auto"/>
              <w:rPr>
                <w:rtl/>
              </w:rPr>
            </w:pPr>
            <w:r w:rsidRPr="00462ADF">
              <w:rPr>
                <w:b/>
                <w:bCs/>
                <w:noProof/>
                <w:color w:val="FFFFFF" w:themeColor="background1"/>
                <w:rtl/>
              </w:rPr>
              <w:drawing>
                <wp:anchor distT="0" distB="0" distL="114300" distR="114300" simplePos="0" relativeHeight="251658240" behindDoc="1" locked="0" layoutInCell="1" allowOverlap="1">
                  <wp:simplePos x="0" y="0"/>
                  <wp:positionH relativeFrom="column">
                    <wp:posOffset>1253490</wp:posOffset>
                  </wp:positionH>
                  <wp:positionV relativeFrom="paragraph">
                    <wp:posOffset>-139700</wp:posOffset>
                  </wp:positionV>
                  <wp:extent cx="4770120" cy="569595"/>
                  <wp:effectExtent l="0" t="0" r="0" b="1905"/>
                  <wp:wrapNone/>
                  <wp:docPr id="52" name="תמונה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קציר-03.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0120" cy="569595"/>
                          </a:xfrm>
                          <a:prstGeom prst="rect">
                            <a:avLst/>
                          </a:prstGeom>
                        </pic:spPr>
                      </pic:pic>
                    </a:graphicData>
                  </a:graphic>
                  <wp14:sizeRelH relativeFrom="page">
                    <wp14:pctWidth>0</wp14:pctWidth>
                  </wp14:sizeRelH>
                  <wp14:sizeRelV relativeFrom="page">
                    <wp14:pctHeight>0</wp14:pctHeight>
                  </wp14:sizeRelV>
                </wp:anchor>
              </w:drawing>
            </w:r>
            <w:r w:rsidRPr="00462ADF">
              <w:rPr>
                <w:rFonts w:hint="cs"/>
                <w:b/>
                <w:bCs/>
                <w:color w:val="FFFFFF" w:themeColor="background1"/>
                <w:rtl/>
              </w:rPr>
              <w:t>ציר הזמן לתהליך קבלת ה</w:t>
            </w:r>
            <w:r>
              <w:rPr>
                <w:rFonts w:hint="cs"/>
                <w:b/>
                <w:bCs/>
                <w:color w:val="FFFFFF" w:themeColor="background1"/>
                <w:rtl/>
              </w:rPr>
              <w:t>ה</w:t>
            </w:r>
            <w:r w:rsidRPr="00462ADF">
              <w:rPr>
                <w:rFonts w:hint="cs"/>
                <w:b/>
                <w:bCs/>
                <w:color w:val="FFFFFF" w:themeColor="background1"/>
                <w:rtl/>
              </w:rPr>
              <w:t>חלטה בעניין חיבור האזורים המנותקים</w:t>
            </w:r>
            <w:r w:rsidRPr="00462ADF">
              <w:rPr>
                <w:b/>
                <w:bCs/>
                <w:color w:val="FFFFFF" w:themeColor="background1"/>
                <w:rtl/>
              </w:rPr>
              <w:t xml:space="preserve"> </w:t>
            </w:r>
          </w:p>
        </w:tc>
      </w:tr>
      <w:tr w:rsidTr="00C24DF0">
        <w:tblPrEx>
          <w:tblW w:w="9456" w:type="dxa"/>
          <w:tblLook w:val="04A0"/>
        </w:tblPrEx>
        <w:trPr>
          <w:trHeight w:val="192"/>
        </w:trPr>
        <w:tc>
          <w:tcPr>
            <w:tcW w:w="9456" w:type="dxa"/>
            <w:gridSpan w:val="2"/>
            <w:tcBorders>
              <w:top w:val="nil"/>
              <w:left w:val="nil"/>
              <w:bottom w:val="nil"/>
              <w:right w:val="nil"/>
            </w:tcBorders>
          </w:tcPr>
          <w:p w:rsidR="004D622F" w:rsidRPr="00462ADF" w:rsidP="00C24DF0">
            <w:pPr>
              <w:spacing w:line="240" w:lineRule="auto"/>
              <w:rPr>
                <w:sz w:val="10"/>
                <w:szCs w:val="10"/>
                <w:rtl/>
              </w:rPr>
            </w:pPr>
          </w:p>
        </w:tc>
      </w:tr>
      <w:tr w:rsidTr="00C24DF0">
        <w:tblPrEx>
          <w:tblW w:w="9456" w:type="dxa"/>
          <w:tblLook w:val="04A0"/>
        </w:tblPrEx>
        <w:trPr>
          <w:trHeight w:val="4866"/>
        </w:trPr>
        <w:tc>
          <w:tcPr>
            <w:tcW w:w="9456" w:type="dxa"/>
            <w:gridSpan w:val="2"/>
            <w:tcBorders>
              <w:top w:val="nil"/>
              <w:left w:val="nil"/>
              <w:bottom w:val="nil"/>
              <w:right w:val="nil"/>
            </w:tcBorders>
          </w:tcPr>
          <w:p w:rsidR="004D622F" w:rsidRPr="00462ADF" w:rsidP="007F7F01">
            <w:pPr>
              <w:jc w:val="center"/>
              <w:rPr>
                <w:sz w:val="19"/>
                <w:szCs w:val="19"/>
                <w:rtl/>
              </w:rPr>
            </w:pPr>
            <w:r>
              <w:rPr>
                <w:noProof/>
                <w:sz w:val="19"/>
                <w:szCs w:val="19"/>
                <w:rtl/>
              </w:rPr>
              <w:drawing>
                <wp:inline distT="0" distB="0" distL="0" distR="0">
                  <wp:extent cx="3959352" cy="6120384"/>
                  <wp:effectExtent l="0" t="0" r="3175" b="0"/>
                  <wp:docPr id="835371989"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2100" name="_-01~1.JP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959352" cy="6120384"/>
                          </a:xfrm>
                          <a:prstGeom prst="rect">
                            <a:avLst/>
                          </a:prstGeom>
                        </pic:spPr>
                      </pic:pic>
                    </a:graphicData>
                  </a:graphic>
                </wp:inline>
              </w:drawing>
            </w:r>
          </w:p>
        </w:tc>
      </w:tr>
      <w:tr w:rsidTr="00C24DF0">
        <w:tblPrEx>
          <w:tblW w:w="9456" w:type="dxa"/>
          <w:tblLook w:val="04A0"/>
        </w:tblPrEx>
        <w:trPr>
          <w:trHeight w:val="419"/>
        </w:trPr>
        <w:tc>
          <w:tcPr>
            <w:tcW w:w="9456" w:type="dxa"/>
            <w:gridSpan w:val="2"/>
            <w:tcBorders>
              <w:top w:val="nil"/>
              <w:left w:val="nil"/>
              <w:bottom w:val="nil"/>
              <w:right w:val="nil"/>
            </w:tcBorders>
          </w:tcPr>
          <w:p w:rsidR="004D622F" w:rsidRPr="00462ADF" w:rsidP="00C24DF0">
            <w:pPr>
              <w:rPr>
                <w:sz w:val="19"/>
                <w:szCs w:val="19"/>
                <w:rtl/>
              </w:rPr>
            </w:pPr>
            <w:r>
              <w:rPr>
                <w:rFonts w:hint="cs"/>
                <w:sz w:val="19"/>
                <w:szCs w:val="19"/>
                <w:rtl/>
              </w:rPr>
              <w:t>על פי</w:t>
            </w:r>
            <w:r w:rsidRPr="00512803">
              <w:rPr>
                <w:sz w:val="19"/>
                <w:szCs w:val="19"/>
                <w:rtl/>
              </w:rPr>
              <w:t xml:space="preserve"> </w:t>
            </w:r>
            <w:r>
              <w:rPr>
                <w:rFonts w:hint="cs"/>
                <w:sz w:val="19"/>
                <w:szCs w:val="19"/>
                <w:rtl/>
              </w:rPr>
              <w:t xml:space="preserve">נתוני רשות המים, בעיבוד </w:t>
            </w:r>
            <w:r w:rsidRPr="00462ADF">
              <w:rPr>
                <w:rFonts w:hint="cs"/>
                <w:sz w:val="19"/>
                <w:szCs w:val="19"/>
                <w:rtl/>
              </w:rPr>
              <w:t>משרד מבקר המדינה.</w:t>
            </w:r>
          </w:p>
        </w:tc>
      </w:tr>
      <w:tr w:rsidTr="00C24DF0">
        <w:tblPrEx>
          <w:tblW w:w="9456" w:type="dxa"/>
          <w:tblLook w:val="04A0"/>
        </w:tblPrEx>
        <w:trPr>
          <w:trHeight w:val="703"/>
        </w:trPr>
        <w:tc>
          <w:tcPr>
            <w:tcW w:w="9456" w:type="dxa"/>
            <w:gridSpan w:val="2"/>
            <w:tcBorders>
              <w:top w:val="nil"/>
              <w:left w:val="nil"/>
              <w:bottom w:val="nil"/>
              <w:right w:val="nil"/>
            </w:tcBorders>
          </w:tcPr>
          <w:p w:rsidR="004D622F" w:rsidRPr="00462ADF" w:rsidP="00C24DF0">
            <w:pPr>
              <w:rPr>
                <w:sz w:val="19"/>
                <w:szCs w:val="19"/>
                <w:rtl/>
              </w:rPr>
            </w:pPr>
            <w:r w:rsidRPr="00462ADF">
              <w:rPr>
                <w:noProof/>
              </w:rPr>
              <w:drawing>
                <wp:inline distT="0" distB="0" distL="0" distR="0">
                  <wp:extent cx="5867102" cy="342265"/>
                  <wp:effectExtent l="0" t="0" r="635" b="635"/>
                  <wp:docPr id="60" name="תמונה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160431" name="Picture 24"/>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7998" cy="343484"/>
                          </a:xfrm>
                          <a:prstGeom prst="rect">
                            <a:avLst/>
                          </a:prstGeom>
                          <a:noFill/>
                          <a:ln>
                            <a:noFill/>
                          </a:ln>
                        </pic:spPr>
                      </pic:pic>
                    </a:graphicData>
                  </a:graphic>
                </wp:inline>
              </w:drawing>
            </w:r>
          </w:p>
        </w:tc>
      </w:tr>
      <w:tr w:rsidTr="00C24DF0">
        <w:tblPrEx>
          <w:tblW w:w="9456" w:type="dxa"/>
          <w:tblLook w:val="04A0"/>
        </w:tblPrEx>
        <w:trPr>
          <w:trHeight w:val="419"/>
        </w:trPr>
        <w:tc>
          <w:tcPr>
            <w:tcW w:w="9456" w:type="dxa"/>
            <w:gridSpan w:val="2"/>
            <w:tcBorders>
              <w:top w:val="nil"/>
              <w:left w:val="nil"/>
              <w:bottom w:val="nil"/>
              <w:right w:val="nil"/>
            </w:tcBorders>
          </w:tcPr>
          <w:p w:rsidR="004D622F" w:rsidRPr="00EA7F40" w:rsidP="00C24DF0">
            <w:pPr>
              <w:rPr>
                <w:rFonts w:ascii="Tahoma" w:hAnsi="Tahoma" w:cs="Tahoma"/>
                <w:sz w:val="19"/>
                <w:szCs w:val="19"/>
                <w:rtl/>
              </w:rPr>
            </w:pPr>
            <w:r w:rsidRPr="00EA7F40">
              <w:rPr>
                <w:rFonts w:ascii="Tahoma" w:hAnsi="Tahoma" w:cs="Tahoma"/>
                <w:sz w:val="19"/>
                <w:szCs w:val="19"/>
                <w:rtl/>
              </w:rPr>
              <w:t>ביצוע מיזמים תשתיתיים בתחום המים</w:t>
            </w:r>
            <w:r>
              <w:rPr>
                <w:rFonts w:ascii="Tahoma" w:hAnsi="Tahoma" w:cs="Tahoma" w:hint="cs"/>
                <w:sz w:val="19"/>
                <w:szCs w:val="19"/>
                <w:rtl/>
              </w:rPr>
              <w:t xml:space="preserve"> </w:t>
            </w:r>
            <w:r w:rsidRPr="00EA7F40">
              <w:rPr>
                <w:rFonts w:ascii="Tahoma" w:hAnsi="Tahoma" w:cs="Tahoma"/>
                <w:sz w:val="19"/>
                <w:szCs w:val="19"/>
                <w:rtl/>
              </w:rPr>
              <w:t xml:space="preserve">נמשך כעשור. במועד הביקורת טרם נתקבלה החלטה בדבר החלופה לחיבור </w:t>
            </w:r>
            <w:r w:rsidRPr="00EA7F40">
              <w:rPr>
                <w:rFonts w:ascii="Tahoma" w:hAnsi="Tahoma" w:cs="Tahoma"/>
                <w:b/>
                <w:sz w:val="19"/>
                <w:szCs w:val="19"/>
                <w:rtl/>
              </w:rPr>
              <w:t>רמת הגולן, מעלה כינרת והעמקים המזרחיים למערכת המים הארצית.</w:t>
            </w:r>
            <w:r>
              <w:rPr>
                <w:rFonts w:ascii="Tahoma" w:hAnsi="Tahoma" w:cs="Tahoma" w:hint="cs"/>
                <w:b/>
                <w:sz w:val="19"/>
                <w:szCs w:val="19"/>
                <w:rtl/>
              </w:rPr>
              <w:t xml:space="preserve"> </w:t>
            </w:r>
            <w:r w:rsidRPr="00EA7F40">
              <w:rPr>
                <w:rFonts w:ascii="Tahoma" w:hAnsi="Tahoma" w:cs="Tahoma"/>
                <w:sz w:val="19"/>
                <w:szCs w:val="19"/>
                <w:rtl/>
              </w:rPr>
              <w:t>על הרשות לבצע את כל הבחינות הנדרשות כמפורט בדוח זה</w:t>
            </w:r>
            <w:r>
              <w:rPr>
                <w:rFonts w:ascii="Tahoma" w:hAnsi="Tahoma" w:cs="Tahoma" w:hint="cs"/>
                <w:sz w:val="19"/>
                <w:szCs w:val="19"/>
                <w:rtl/>
              </w:rPr>
              <w:t xml:space="preserve"> </w:t>
            </w:r>
            <w:r w:rsidRPr="00EA7F40">
              <w:rPr>
                <w:rFonts w:ascii="Tahoma" w:hAnsi="Tahoma" w:cs="Tahoma"/>
                <w:sz w:val="19"/>
                <w:szCs w:val="19"/>
                <w:rtl/>
              </w:rPr>
              <w:t>ולהביא בפני המועצה את כל המידע הדרוש לקבלת ההחלטה. עיכוב בקבלת ההחלטה בעניין החלופה לחיבור האזורים המנ</w:t>
            </w:r>
            <w:r w:rsidR="00F8138A">
              <w:rPr>
                <w:rFonts w:ascii="Tahoma" w:hAnsi="Tahoma" w:cs="Tahoma"/>
                <w:sz w:val="19"/>
                <w:szCs w:val="19"/>
                <w:rtl/>
              </w:rPr>
              <w:t>ותקים עלול להביא למחסור במים בא</w:t>
            </w:r>
            <w:r w:rsidRPr="00EA7F40">
              <w:rPr>
                <w:rFonts w:ascii="Tahoma" w:hAnsi="Tahoma" w:cs="Tahoma"/>
                <w:sz w:val="19"/>
                <w:szCs w:val="19"/>
                <w:rtl/>
              </w:rPr>
              <w:t>זורים המנותקים בעשור הבא.</w:t>
            </w:r>
            <w:r>
              <w:rPr>
                <w:rFonts w:ascii="Tahoma" w:hAnsi="Tahoma" w:cs="Tahoma" w:hint="cs"/>
                <w:sz w:val="19"/>
                <w:szCs w:val="19"/>
                <w:rtl/>
              </w:rPr>
              <w:t xml:space="preserve"> </w:t>
            </w:r>
            <w:r w:rsidRPr="00EA7F40">
              <w:rPr>
                <w:rFonts w:ascii="Tahoma" w:hAnsi="Tahoma" w:cs="Tahoma"/>
                <w:sz w:val="19"/>
                <w:szCs w:val="19"/>
                <w:rtl/>
              </w:rPr>
              <w:t>עיכוב זה עלול להוביל גם לדחייה בביצוע החלטות ממשלה נוספות לפיתוח האזור החקלאי, כמו החלטת הממשלה לחיזוק הפריפריה החקלאית וההחלטה לפיתוח ולחיזוק החקלאות בגולן.</w:t>
            </w:r>
          </w:p>
          <w:p w:rsidR="004D622F" w:rsidRPr="00462ADF" w:rsidP="00C24DF0">
            <w:pPr>
              <w:spacing w:line="26" w:lineRule="atLeast"/>
              <w:rPr>
                <w:szCs w:val="20"/>
                <w:rtl/>
              </w:rPr>
            </w:pPr>
          </w:p>
        </w:tc>
      </w:tr>
    </w:tbl>
    <w:p w:rsidR="004D622F" w:rsidP="004D622F">
      <w:pPr>
        <w:rPr>
          <w:rtl/>
          <w:cs/>
        </w:rPr>
      </w:pPr>
    </w:p>
    <w:p w:rsidR="0059038E"/>
    <w:sectPr w:rsidSect="00EA7F40">
      <w:headerReference w:type="default" r:id="rId16"/>
      <w:footerReference w:type="default" r:id="rId17"/>
      <w:headerReference w:type="first" r:id="rId18"/>
      <w:footerReference w:type="first" r:id="rId19"/>
      <w:pgSz w:w="11906" w:h="16838"/>
      <w:pgMar w:top="1701" w:right="1985" w:bottom="1588" w:left="1985" w:header="709" w:footer="709" w:gutter="0"/>
      <w:pgNumType w:fmt="numberInDash"/>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altName w:val="Times New Roman"/>
    <w:charset w:val="00"/>
    <w:family w:val="swiss"/>
    <w:pitch w:val="variable"/>
    <w:sig w:usb0="00000803" w:usb1="00000000" w:usb2="00000000" w:usb3="00000000" w:csb0="00000021"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21EB">
    <w:pPr>
      <w:pStyle w:val="Footer"/>
    </w:pPr>
    <w:r>
      <w:rPr>
        <w:noProof/>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-635</wp:posOffset>
              </wp:positionV>
              <wp:extent cx="4445000" cy="457200"/>
              <wp:effectExtent l="0" t="0" r="12700" b="19050"/>
              <wp:wrapNone/>
              <wp:docPr id="3" name="textBoxWarningA"/>
              <wp:cNvGraphicFramePr/>
              <a:graphic xmlns:a="http://schemas.openxmlformats.org/drawingml/2006/main">
                <a:graphicData uri="http://schemas.microsoft.com/office/word/2010/wordprocessingShape">
                  <wps:wsp xmlns:wps="http://schemas.microsoft.com/office/word/2010/wordprocessingShape">
                    <wps:cNvSpPr txBox="1"/>
                    <wps:spPr>
                      <a:xfrm>
                        <a:off x="0" y="0"/>
                        <a:ext cx="4445000" cy="457200"/>
                      </a:xfrm>
                      <a:prstGeom prst="rect">
                        <a:avLst/>
                      </a:prstGeom>
                      <a:noFill/>
                      <a:ln w="6350">
                        <a:solidFill>
                          <a:srgbClr val="0000FF"/>
                        </a:solidFill>
                      </a:ln>
                    </wps:spPr>
                    <wps:txbx>
                      <w:txbxContent>
                        <w:p w:rsidR="003721EB" w:rsidP="00EE45F4">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מסמך זה מכיל ממצאי ביקורת של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פרסומם ללא נטילת רשות מטעם המבקר</w:t>
                          </w:r>
                        </w:p>
                        <w:p w:rsidR="003721EB" w:rsidRPr="00EE45F4" w:rsidP="00EE45F4">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 xml:space="preserve">אסור על פי סעיף </w:t>
                          </w:r>
                          <w:r>
                            <w:rPr>
                              <w:rFonts w:ascii="Narkisim" w:hAnsi="Narkisim" w:cs="Narkisim"/>
                              <w:color w:val="0000FF"/>
                              <w:sz w:val="18"/>
                              <w:szCs w:val="18"/>
                              <w:rtl/>
                            </w:rPr>
                            <w:t>28(</w:t>
                          </w:r>
                          <w:r>
                            <w:rPr>
                              <w:rFonts w:ascii="Narkisim" w:hAnsi="Narkisim" w:cs="Times New Roman"/>
                              <w:color w:val="0000FF"/>
                              <w:sz w:val="18"/>
                              <w:szCs w:val="18"/>
                              <w:rtl/>
                            </w:rPr>
                            <w:t>א</w:t>
                          </w:r>
                          <w:r>
                            <w:rPr>
                              <w:rFonts w:ascii="Narkisim" w:hAnsi="Narkisim" w:cs="Narkisim"/>
                              <w:color w:val="0000FF"/>
                              <w:sz w:val="18"/>
                              <w:szCs w:val="18"/>
                              <w:rtl/>
                            </w:rPr>
                            <w:t xml:space="preserve">)(3) </w:t>
                          </w:r>
                          <w:r>
                            <w:rPr>
                              <w:rFonts w:ascii="Narkisim" w:hAnsi="Narkisim" w:cs="Times New Roman"/>
                              <w:color w:val="0000FF"/>
                              <w:sz w:val="18"/>
                              <w:szCs w:val="18"/>
                              <w:rtl/>
                            </w:rPr>
                            <w:t>לחוק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התשי</w:t>
                          </w:r>
                          <w:r>
                            <w:rPr>
                              <w:rFonts w:ascii="Narkisim" w:hAnsi="Narkisim" w:cs="Narkisim"/>
                              <w:color w:val="0000FF"/>
                              <w:sz w:val="18"/>
                              <w:szCs w:val="18"/>
                              <w:rtl/>
                            </w:rPr>
                            <w:t>''</w:t>
                          </w:r>
                          <w:r>
                            <w:rPr>
                              <w:rFonts w:ascii="Narkisim" w:hAnsi="Narkisim" w:cs="Times New Roman"/>
                              <w:color w:val="0000FF"/>
                              <w:sz w:val="18"/>
                              <w:szCs w:val="18"/>
                              <w:rtl/>
                            </w:rPr>
                            <w:t>ח</w:t>
                          </w:r>
                          <w:r>
                            <w:rPr>
                              <w:rFonts w:ascii="Narkisim" w:hAnsi="Narkisim" w:cs="Narkisim"/>
                              <w:color w:val="0000FF"/>
                              <w:sz w:val="18"/>
                              <w:szCs w:val="18"/>
                              <w:rtl/>
                            </w:rPr>
                            <w:t>-1958 [</w:t>
                          </w:r>
                          <w:r>
                            <w:rPr>
                              <w:rFonts w:ascii="Narkisim" w:hAnsi="Narkisim" w:cs="Times New Roman"/>
                              <w:color w:val="0000FF"/>
                              <w:sz w:val="18"/>
                              <w:szCs w:val="18"/>
                              <w:rtl/>
                            </w:rPr>
                            <w:t>נוסח משולב</w:t>
                          </w:r>
                          <w:r>
                            <w:rPr>
                              <w:rFonts w:ascii="Narkisim" w:hAnsi="Narkisim" w:cs="Narkisim"/>
                              <w:color w:val="0000FF"/>
                              <w:sz w:val="18"/>
                              <w:szCs w:val="18"/>
                              <w:rtl/>
                            </w:rPr>
                            <w:t>].</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BoxWarningA" o:spid="_x0000_s2049" type="#_x0000_t202" style="width:350pt;height:36pt;margin-top:-0.05pt;margin-left:0;mso-position-horizontal:center;mso-wrap-distance-bottom:0;mso-wrap-distance-left:9pt;mso-wrap-distance-right:9pt;mso-wrap-distance-top:0;mso-wrap-style:square;position:absolute;visibility:visible;v-text-anchor:top;z-index:251664384" filled="f" strokecolor="blue" strokeweight="0.5pt">
              <v:textbox>
                <w:txbxContent>
                  <w:p w:rsidR="003721EB" w:rsidP="00EE45F4">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מסמך זה מכיל ממצאי ביקורת של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פרסומם ללא נטילת רשות מטעם המבקר</w:t>
                    </w:r>
                  </w:p>
                  <w:p w:rsidR="003721EB" w:rsidRPr="00EE45F4" w:rsidP="00EE45F4">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 xml:space="preserve">אסור על פי סעיף </w:t>
                    </w:r>
                    <w:r>
                      <w:rPr>
                        <w:rFonts w:ascii="Narkisim" w:hAnsi="Narkisim" w:cs="Narkisim"/>
                        <w:color w:val="0000FF"/>
                        <w:sz w:val="18"/>
                        <w:szCs w:val="18"/>
                        <w:rtl/>
                      </w:rPr>
                      <w:t>28(</w:t>
                    </w:r>
                    <w:r>
                      <w:rPr>
                        <w:rFonts w:ascii="Narkisim" w:hAnsi="Narkisim" w:cs="Times New Roman"/>
                        <w:color w:val="0000FF"/>
                        <w:sz w:val="18"/>
                        <w:szCs w:val="18"/>
                        <w:rtl/>
                      </w:rPr>
                      <w:t>א</w:t>
                    </w:r>
                    <w:r>
                      <w:rPr>
                        <w:rFonts w:ascii="Narkisim" w:hAnsi="Narkisim" w:cs="Narkisim"/>
                        <w:color w:val="0000FF"/>
                        <w:sz w:val="18"/>
                        <w:szCs w:val="18"/>
                        <w:rtl/>
                      </w:rPr>
                      <w:t xml:space="preserve">)(3) </w:t>
                    </w:r>
                    <w:r>
                      <w:rPr>
                        <w:rFonts w:ascii="Narkisim" w:hAnsi="Narkisim" w:cs="Times New Roman"/>
                        <w:color w:val="0000FF"/>
                        <w:sz w:val="18"/>
                        <w:szCs w:val="18"/>
                        <w:rtl/>
                      </w:rPr>
                      <w:t>לחוק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התשי</w:t>
                    </w:r>
                    <w:r>
                      <w:rPr>
                        <w:rFonts w:ascii="Narkisim" w:hAnsi="Narkisim" w:cs="Narkisim"/>
                        <w:color w:val="0000FF"/>
                        <w:sz w:val="18"/>
                        <w:szCs w:val="18"/>
                        <w:rtl/>
                      </w:rPr>
                      <w:t>''</w:t>
                    </w:r>
                    <w:r>
                      <w:rPr>
                        <w:rFonts w:ascii="Narkisim" w:hAnsi="Narkisim" w:cs="Times New Roman"/>
                        <w:color w:val="0000FF"/>
                        <w:sz w:val="18"/>
                        <w:szCs w:val="18"/>
                        <w:rtl/>
                      </w:rPr>
                      <w:t>ח</w:t>
                    </w:r>
                    <w:r>
                      <w:rPr>
                        <w:rFonts w:ascii="Narkisim" w:hAnsi="Narkisim" w:cs="Narkisim"/>
                        <w:color w:val="0000FF"/>
                        <w:sz w:val="18"/>
                        <w:szCs w:val="18"/>
                        <w:rtl/>
                      </w:rPr>
                      <w:t>-1958 [</w:t>
                    </w:r>
                    <w:r>
                      <w:rPr>
                        <w:rFonts w:ascii="Narkisim" w:hAnsi="Narkisim" w:cs="Times New Roman"/>
                        <w:color w:val="0000FF"/>
                        <w:sz w:val="18"/>
                        <w:szCs w:val="18"/>
                        <w:rtl/>
                      </w:rPr>
                      <w:t>נוסח משולב</w:t>
                    </w:r>
                    <w:r>
                      <w:rPr>
                        <w:rFonts w:ascii="Narkisim" w:hAnsi="Narkisim" w:cs="Narkisim"/>
                        <w:color w:val="0000FF"/>
                        <w:sz w:val="18"/>
                        <w:szCs w:val="18"/>
                        <w:rtl/>
                      </w:rPr>
                      <w: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21EB">
    <w:pPr>
      <w:pStyle w:val="Footer"/>
    </w:pPr>
    <w:r>
      <w:rPr>
        <w:noProof/>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-635</wp:posOffset>
              </wp:positionV>
              <wp:extent cx="4445000" cy="457200"/>
              <wp:effectExtent l="0" t="0" r="12700" b="19050"/>
              <wp:wrapNone/>
              <wp:docPr id="1" name="textBoxWarningF"/>
              <wp:cNvGraphicFramePr/>
              <a:graphic xmlns:a="http://schemas.openxmlformats.org/drawingml/2006/main">
                <a:graphicData uri="http://schemas.microsoft.com/office/word/2010/wordprocessingShape">
                  <wps:wsp xmlns:wps="http://schemas.microsoft.com/office/word/2010/wordprocessingShape">
                    <wps:cNvSpPr txBox="1"/>
                    <wps:spPr>
                      <a:xfrm>
                        <a:off x="0" y="0"/>
                        <a:ext cx="4445000" cy="457200"/>
                      </a:xfrm>
                      <a:prstGeom prst="rect">
                        <a:avLst/>
                      </a:prstGeom>
                      <a:noFill/>
                      <a:ln w="6350">
                        <a:solidFill>
                          <a:srgbClr val="0000FF"/>
                        </a:solidFill>
                      </a:ln>
                    </wps:spPr>
                    <wps:txbx>
                      <w:txbxContent>
                        <w:p w:rsidR="003721EB" w:rsidP="00EE45F4">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מסמך זה מכיל ממצאי ביקורת של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פרסומם ללא נטילת רשות מטעם המבקר</w:t>
                          </w:r>
                        </w:p>
                        <w:p w:rsidR="003721EB" w:rsidRPr="00EE45F4" w:rsidP="00EE45F4">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 xml:space="preserve">אסור על פי סעיף </w:t>
                          </w:r>
                          <w:r>
                            <w:rPr>
                              <w:rFonts w:ascii="Narkisim" w:hAnsi="Narkisim" w:cs="Narkisim"/>
                              <w:color w:val="0000FF"/>
                              <w:sz w:val="18"/>
                              <w:szCs w:val="18"/>
                              <w:rtl/>
                            </w:rPr>
                            <w:t>28(</w:t>
                          </w:r>
                          <w:r>
                            <w:rPr>
                              <w:rFonts w:ascii="Narkisim" w:hAnsi="Narkisim" w:cs="Times New Roman"/>
                              <w:color w:val="0000FF"/>
                              <w:sz w:val="18"/>
                              <w:szCs w:val="18"/>
                              <w:rtl/>
                            </w:rPr>
                            <w:t>א</w:t>
                          </w:r>
                          <w:r>
                            <w:rPr>
                              <w:rFonts w:ascii="Narkisim" w:hAnsi="Narkisim" w:cs="Narkisim"/>
                              <w:color w:val="0000FF"/>
                              <w:sz w:val="18"/>
                              <w:szCs w:val="18"/>
                              <w:rtl/>
                            </w:rPr>
                            <w:t xml:space="preserve">)(3) </w:t>
                          </w:r>
                          <w:r>
                            <w:rPr>
                              <w:rFonts w:ascii="Narkisim" w:hAnsi="Narkisim" w:cs="Times New Roman"/>
                              <w:color w:val="0000FF"/>
                              <w:sz w:val="18"/>
                              <w:szCs w:val="18"/>
                              <w:rtl/>
                            </w:rPr>
                            <w:t>לחוק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התשי</w:t>
                          </w:r>
                          <w:r>
                            <w:rPr>
                              <w:rFonts w:ascii="Narkisim" w:hAnsi="Narkisim" w:cs="Narkisim"/>
                              <w:color w:val="0000FF"/>
                              <w:sz w:val="18"/>
                              <w:szCs w:val="18"/>
                              <w:rtl/>
                            </w:rPr>
                            <w:t>''</w:t>
                          </w:r>
                          <w:r>
                            <w:rPr>
                              <w:rFonts w:ascii="Narkisim" w:hAnsi="Narkisim" w:cs="Times New Roman"/>
                              <w:color w:val="0000FF"/>
                              <w:sz w:val="18"/>
                              <w:szCs w:val="18"/>
                              <w:rtl/>
                            </w:rPr>
                            <w:t>ח</w:t>
                          </w:r>
                          <w:r>
                            <w:rPr>
                              <w:rFonts w:ascii="Narkisim" w:hAnsi="Narkisim" w:cs="Narkisim"/>
                              <w:color w:val="0000FF"/>
                              <w:sz w:val="18"/>
                              <w:szCs w:val="18"/>
                              <w:rtl/>
                            </w:rPr>
                            <w:t>-1958 [</w:t>
                          </w:r>
                          <w:r>
                            <w:rPr>
                              <w:rFonts w:ascii="Narkisim" w:hAnsi="Narkisim" w:cs="Times New Roman"/>
                              <w:color w:val="0000FF"/>
                              <w:sz w:val="18"/>
                              <w:szCs w:val="18"/>
                              <w:rtl/>
                            </w:rPr>
                            <w:t>נוסח משולב</w:t>
                          </w:r>
                          <w:r>
                            <w:rPr>
                              <w:rFonts w:ascii="Narkisim" w:hAnsi="Narkisim" w:cs="Narkisim"/>
                              <w:color w:val="0000FF"/>
                              <w:sz w:val="18"/>
                              <w:szCs w:val="18"/>
                              <w:rtl/>
                            </w:rPr>
                            <w:t>].</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BoxWarningF" o:spid="_x0000_s2051" type="#_x0000_t202" style="width:350pt;height:36pt;margin-top:-0.05pt;margin-left:0;mso-position-horizontal:center;mso-wrap-distance-bottom:0;mso-wrap-distance-left:9pt;mso-wrap-distance-right:9pt;mso-wrap-distance-top:0;mso-wrap-style:square;position:absolute;visibility:visible;v-text-anchor:top;z-index:251662336" filled="f" strokecolor="blue" strokeweight="0.5pt">
              <v:textbox>
                <w:txbxContent>
                  <w:p w:rsidR="003721EB" w:rsidP="00EE45F4">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מסמך זה מכיל ממצאי ביקורת של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פרסומם ללא נטילת רשות מטעם המבקר</w:t>
                    </w:r>
                  </w:p>
                  <w:p w:rsidR="003721EB" w:rsidRPr="00EE45F4" w:rsidP="00EE45F4">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 xml:space="preserve">אסור על פי סעיף </w:t>
                    </w:r>
                    <w:r>
                      <w:rPr>
                        <w:rFonts w:ascii="Narkisim" w:hAnsi="Narkisim" w:cs="Narkisim"/>
                        <w:color w:val="0000FF"/>
                        <w:sz w:val="18"/>
                        <w:szCs w:val="18"/>
                        <w:rtl/>
                      </w:rPr>
                      <w:t>28(</w:t>
                    </w:r>
                    <w:r>
                      <w:rPr>
                        <w:rFonts w:ascii="Narkisim" w:hAnsi="Narkisim" w:cs="Times New Roman"/>
                        <w:color w:val="0000FF"/>
                        <w:sz w:val="18"/>
                        <w:szCs w:val="18"/>
                        <w:rtl/>
                      </w:rPr>
                      <w:t>א</w:t>
                    </w:r>
                    <w:r>
                      <w:rPr>
                        <w:rFonts w:ascii="Narkisim" w:hAnsi="Narkisim" w:cs="Narkisim"/>
                        <w:color w:val="0000FF"/>
                        <w:sz w:val="18"/>
                        <w:szCs w:val="18"/>
                        <w:rtl/>
                      </w:rPr>
                      <w:t xml:space="preserve">)(3) </w:t>
                    </w:r>
                    <w:r>
                      <w:rPr>
                        <w:rFonts w:ascii="Narkisim" w:hAnsi="Narkisim" w:cs="Times New Roman"/>
                        <w:color w:val="0000FF"/>
                        <w:sz w:val="18"/>
                        <w:szCs w:val="18"/>
                        <w:rtl/>
                      </w:rPr>
                      <w:t>לחוק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התשי</w:t>
                    </w:r>
                    <w:r>
                      <w:rPr>
                        <w:rFonts w:ascii="Narkisim" w:hAnsi="Narkisim" w:cs="Narkisim"/>
                        <w:color w:val="0000FF"/>
                        <w:sz w:val="18"/>
                        <w:szCs w:val="18"/>
                        <w:rtl/>
                      </w:rPr>
                      <w:t>''</w:t>
                    </w:r>
                    <w:r>
                      <w:rPr>
                        <w:rFonts w:ascii="Narkisim" w:hAnsi="Narkisim" w:cs="Times New Roman"/>
                        <w:color w:val="0000FF"/>
                        <w:sz w:val="18"/>
                        <w:szCs w:val="18"/>
                        <w:rtl/>
                      </w:rPr>
                      <w:t>ח</w:t>
                    </w:r>
                    <w:r>
                      <w:rPr>
                        <w:rFonts w:ascii="Narkisim" w:hAnsi="Narkisim" w:cs="Narkisim"/>
                        <w:color w:val="0000FF"/>
                        <w:sz w:val="18"/>
                        <w:szCs w:val="18"/>
                        <w:rtl/>
                      </w:rPr>
                      <w:t>-1958 [</w:t>
                    </w:r>
                    <w:r>
                      <w:rPr>
                        <w:rFonts w:ascii="Narkisim" w:hAnsi="Narkisim" w:cs="Times New Roman"/>
                        <w:color w:val="0000FF"/>
                        <w:sz w:val="18"/>
                        <w:szCs w:val="18"/>
                        <w:rtl/>
                      </w:rPr>
                      <w:t>נוסח משולב</w:t>
                    </w:r>
                    <w:r>
                      <w:rPr>
                        <w:rFonts w:ascii="Narkisim" w:hAnsi="Narkisim" w:cs="Narkisim"/>
                        <w:color w:val="0000FF"/>
                        <w:sz w:val="18"/>
                        <w:szCs w:val="18"/>
                        <w:rtl/>
                      </w:rP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F0DBB" w:rsidP="004D622F">
      <w:pPr>
        <w:spacing w:line="240" w:lineRule="auto"/>
      </w:pPr>
      <w:r>
        <w:separator/>
      </w:r>
    </w:p>
  </w:footnote>
  <w:footnote w:type="continuationSeparator" w:id="1">
    <w:p w:rsidR="00AF0DBB" w:rsidP="004D622F">
      <w:pPr>
        <w:spacing w:line="240" w:lineRule="auto"/>
      </w:pPr>
      <w:r>
        <w:continuationSeparator/>
      </w:r>
    </w:p>
  </w:footnote>
  <w:footnote w:id="2">
    <w:p w:rsidR="003721EB" w:rsidRPr="00EE45F4" w:rsidP="004D622F">
      <w:pPr>
        <w:pStyle w:val="FootnoteText"/>
        <w:rPr>
          <w:rFonts w:ascii="Tahoma" w:hAnsi="Tahoma" w:cs="Tahoma"/>
          <w:sz w:val="16"/>
          <w:szCs w:val="16"/>
        </w:rPr>
      </w:pPr>
      <w:r w:rsidRPr="00EE45F4">
        <w:rPr>
          <w:rStyle w:val="FootnoteReference1"/>
          <w:rFonts w:ascii="Tahoma" w:hAnsi="Tahoma" w:cs="Tahoma"/>
          <w:sz w:val="16"/>
          <w:szCs w:val="16"/>
        </w:rPr>
        <w:footnoteRef/>
      </w:r>
      <w:r w:rsidRPr="00EE45F4">
        <w:rPr>
          <w:rFonts w:ascii="Tahoma" w:hAnsi="Tahoma" w:cs="Tahoma"/>
          <w:sz w:val="16"/>
          <w:szCs w:val="16"/>
          <w:rtl/>
        </w:rPr>
        <w:t xml:space="preserve"> </w:t>
      </w:r>
      <w:r w:rsidRPr="00EE45F4">
        <w:rPr>
          <w:rFonts w:ascii="Tahoma" w:hAnsi="Tahoma" w:cs="Tahoma"/>
          <w:sz w:val="16"/>
          <w:szCs w:val="16"/>
          <w:rtl/>
        </w:rPr>
        <w:tab/>
        <w:t xml:space="preserve">רשות המים מסרה למשרד מבקר המדינה כי נתוני שנת 2019 "עדיין מצויים בתהליכי עיבוד, ולא ניתן למסור לגביהם נתונים </w:t>
      </w:r>
      <w:r w:rsidRPr="00EE45F4">
        <w:rPr>
          <w:rFonts w:ascii="Tahoma" w:hAnsi="Tahoma" w:cs="Tahoma"/>
          <w:sz w:val="16"/>
          <w:szCs w:val="16"/>
          <w:rtl/>
        </w:rPr>
        <w:t>מדוייקים</w:t>
      </w:r>
      <w:r w:rsidRPr="00EE45F4">
        <w:rPr>
          <w:rFonts w:ascii="Tahoma" w:hAnsi="Tahoma" w:cs="Tahoma"/>
          <w:sz w:val="16"/>
          <w:szCs w:val="16"/>
          <w:rtl/>
        </w:rPr>
        <w:t>".</w:t>
      </w:r>
    </w:p>
  </w:footnote>
  <w:footnote w:id="3">
    <w:p w:rsidR="003721EB" w:rsidRPr="00EE45F4" w:rsidP="004D622F">
      <w:pPr>
        <w:pStyle w:val="FootnoteText"/>
        <w:rPr>
          <w:rFonts w:ascii="Tahoma" w:hAnsi="Tahoma" w:cs="Tahoma"/>
          <w:sz w:val="16"/>
          <w:szCs w:val="16"/>
        </w:rPr>
      </w:pPr>
      <w:r w:rsidRPr="00EE45F4">
        <w:rPr>
          <w:rStyle w:val="FootnoteReference1"/>
          <w:rFonts w:ascii="Tahoma" w:hAnsi="Tahoma" w:cs="Tahoma"/>
          <w:sz w:val="16"/>
          <w:szCs w:val="16"/>
        </w:rPr>
        <w:footnoteRef/>
      </w:r>
      <w:r w:rsidRPr="00EE45F4">
        <w:rPr>
          <w:rFonts w:ascii="Tahoma" w:hAnsi="Tahoma" w:cs="Tahoma"/>
          <w:sz w:val="16"/>
          <w:szCs w:val="16"/>
          <w:rtl/>
        </w:rPr>
        <w:t xml:space="preserve"> </w:t>
      </w:r>
      <w:r w:rsidRPr="00EE45F4">
        <w:rPr>
          <w:rFonts w:ascii="Tahoma" w:hAnsi="Tahoma" w:cs="Tahoma"/>
          <w:sz w:val="16"/>
          <w:szCs w:val="16"/>
          <w:rtl/>
        </w:rPr>
        <w:tab/>
        <w:t>ביחס לקו הירוק שהוא המפלס המומלץ.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tl/>
      </w:rPr>
      <w:id w:val="606006188"/>
      <w:docPartObj>
        <w:docPartGallery w:val="Page Numbers (Top of Page)"/>
        <w:docPartUnique/>
      </w:docPartObj>
    </w:sdtPr>
    <w:sdtEndPr>
      <w:rPr>
        <w:cs/>
      </w:rPr>
    </w:sdtEndPr>
    <w:sdtContent>
      <w:p w:rsidR="003721EB">
        <w:pPr>
          <w:pStyle w:val="Header"/>
          <w:jc w:val="center"/>
          <w:rPr>
            <w:rtl/>
            <w:cs/>
          </w:rPr>
        </w:pPr>
        <w:r>
          <w:fldChar w:fldCharType="begin"/>
        </w:r>
        <w:r>
          <w:rPr>
            <w:rtl/>
            <w:cs/>
          </w:rPr>
          <w:instrText>PAGE   \* MERGEFORMAT</w:instrText>
        </w:r>
        <w:r>
          <w:fldChar w:fldCharType="separate"/>
        </w:r>
        <w:r w:rsidRPr="00C33407" w:rsidR="00C33407">
          <w:rPr>
            <w:noProof/>
            <w:rtl/>
            <w:lang w:val="he-IL"/>
          </w:rPr>
          <w:t>-</w:t>
        </w:r>
        <w:r w:rsidR="00C33407">
          <w:rPr>
            <w:noProof/>
            <w:rtl/>
          </w:rPr>
          <w:t xml:space="preserve"> 4 -</w:t>
        </w:r>
        <w:r>
          <w:fldChar w:fldCharType="end"/>
        </w:r>
      </w:p>
    </w:sdtContent>
  </w:sdt>
  <w:p w:rsidR="003721EB" w:rsidP="0039661A">
    <w:pPr>
      <w:pStyle w:val="Header"/>
    </w:pPr>
    <w:r>
      <w:rPr>
        <w:rtl/>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21EB" w:rsidP="00C54026">
    <w:pPr>
      <w:tabs>
        <w:tab w:val="left" w:pos="6925"/>
      </w:tabs>
      <w:spacing w:line="240" w:lineRule="auto"/>
      <w:ind w:left="-992"/>
      <w:rPr>
        <w:rtl/>
      </w:rPr>
    </w:pPr>
    <w:r>
      <w:tab/>
    </w:r>
  </w:p>
  <w:p w:rsidR="003721EB" w:rsidP="00EE45F4">
    <w:pPr>
      <w:tabs>
        <w:tab w:val="center" w:pos="4153"/>
        <w:tab w:val="right" w:pos="8306"/>
      </w:tabs>
      <w:spacing w:line="240" w:lineRule="auto"/>
      <w:ind w:left="-992"/>
      <w:rPr>
        <w:rtl/>
      </w:rPr>
    </w:pPr>
    <w:r w:rsidRPr="00DC0618">
      <w:rPr>
        <w:rFonts w:ascii="Tahoma" w:hAnsi="Tahoma" w:cs="Tahoma"/>
        <w:noProof/>
        <w:sz w:val="18"/>
      </w:rPr>
      <mc:AlternateContent>
        <mc:Choice Requires="wps">
          <w:drawing>
            <wp:anchor distT="0" distB="0" distL="114300" distR="114300" simplePos="0" relativeHeight="251658240" behindDoc="0" locked="0" layoutInCell="1" allowOverlap="1">
              <wp:simplePos x="0" y="0"/>
              <wp:positionH relativeFrom="column">
                <wp:posOffset>1734185</wp:posOffset>
              </wp:positionH>
              <wp:positionV relativeFrom="paragraph">
                <wp:posOffset>121285</wp:posOffset>
              </wp:positionV>
              <wp:extent cx="1496060" cy="487680"/>
              <wp:effectExtent l="0" t="0" r="27940" b="26670"/>
              <wp:wrapNone/>
              <wp:docPr id="21" name="tbMMHF"/>
              <wp:cNvGraphicFramePr/>
              <a:graphic xmlns:a="http://schemas.openxmlformats.org/drawingml/2006/main">
                <a:graphicData uri="http://schemas.microsoft.com/office/word/2010/wordprocessingShape">
                  <wps:wsp xmlns:wps="http://schemas.microsoft.com/office/word/2010/wordprocessingShape">
                    <wps:cNvSpPr txBox="1"/>
                    <wps:spPr>
                      <a:xfrm>
                        <a:off x="0" y="0"/>
                        <a:ext cx="1496060" cy="487680"/>
                      </a:xfrm>
                      <a:prstGeom prst="rect">
                        <a:avLst/>
                      </a:prstGeom>
                      <a:noFill/>
                      <a:ln w="6350">
                        <a:solidFill>
                          <a:srgbClr val="FFFFFF"/>
                        </a:solidFill>
                      </a:ln>
                    </wps:spPr>
                    <wps:txbx>
                      <w:txbxContent>
                        <w:p w:rsidR="003721EB" w:rsidRPr="00DC4ED2" w:rsidP="00EE45F4">
                          <w:pPr>
                            <w:jc w:val="center"/>
                            <w:rPr>
                              <w:rFonts w:ascii="Miriam" w:hAnsi="Miriam" w:cs="Miriam"/>
                              <w:spacing w:val="5"/>
                              <w:sz w:val="27"/>
                              <w:szCs w:val="27"/>
                            </w:rPr>
                          </w:pPr>
                          <w:r w:rsidRPr="008D564A">
                            <w:rPr>
                              <w:rFonts w:ascii="Tahoma" w:hAnsi="Tahoma" w:cs="Tahoma"/>
                              <w:spacing w:val="5"/>
                              <w:sz w:val="21"/>
                              <w:szCs w:val="21"/>
                              <w:rtl/>
                            </w:rPr>
                            <w:t>משרד מבקר המדינה</w:t>
                          </w:r>
                          <w:r w:rsidRPr="00EE45F4">
                            <w:rPr>
                              <w:rFonts w:ascii="Tahoma" w:hAnsi="Tahoma" w:cs="Tahoma" w:hint="cs"/>
                              <w:spacing w:val="5"/>
                              <w:sz w:val="19"/>
                              <w:szCs w:val="19"/>
                              <w:rtl/>
                            </w:rPr>
                            <w:t xml:space="preserve"> </w:t>
                          </w:r>
                          <w:r w:rsidRPr="008D564A">
                            <w:rPr>
                              <w:rFonts w:ascii="Tahoma" w:hAnsi="Tahoma" w:cs="Tahoma" w:hint="cs"/>
                              <w:spacing w:val="5"/>
                              <w:sz w:val="19"/>
                              <w:szCs w:val="19"/>
                              <w:rtl/>
                            </w:rPr>
                            <w:t>דוח שנתי 7</w:t>
                          </w:r>
                          <w:r>
                            <w:rPr>
                              <w:rFonts w:ascii="Tahoma" w:hAnsi="Tahoma" w:cs="Tahoma" w:hint="cs"/>
                              <w:spacing w:val="5"/>
                              <w:sz w:val="19"/>
                              <w:szCs w:val="19"/>
                              <w:rtl/>
                            </w:rPr>
                            <w:t>1</w:t>
                          </w:r>
                          <w:r w:rsidRPr="008D564A">
                            <w:rPr>
                              <w:rFonts w:ascii="Tahoma" w:hAnsi="Tahoma" w:cs="Tahoma" w:hint="cs"/>
                              <w:spacing w:val="5"/>
                              <w:sz w:val="19"/>
                              <w:szCs w:val="19"/>
                              <w:rtl/>
                            </w:rPr>
                            <w:t>א | 2020</w:t>
                          </w:r>
                        </w:p>
                        <w:p w:rsidR="003721EB" w:rsidRPr="00EE45F4" w:rsidP="00C54026">
                          <w:pPr>
                            <w:spacing w:before="120"/>
                            <w:jc w:val="center"/>
                            <w:rPr>
                              <w:rFonts w:ascii="Tahoma" w:hAnsi="Tahoma" w:cs="Tahoma"/>
                              <w:spacing w:val="5"/>
                              <w:sz w:val="27"/>
                              <w:szCs w:val="27"/>
                              <w:rtl/>
                            </w:rPr>
                          </w:pP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bMMHF" o:spid="_x0000_s2050" type="#_x0000_t202" style="width:117.8pt;height:38.4pt;margin-top:9.55pt;margin-left:136.55pt;mso-height-percent:0;mso-height-relative:margin;mso-width-percent:0;mso-width-relative:margin;mso-wrap-distance-bottom:0;mso-wrap-distance-left:9pt;mso-wrap-distance-right:9pt;mso-wrap-distance-top:0;mso-wrap-style:square;position:absolute;visibility:visible;v-text-anchor:top;z-index:251659264" filled="f" strokecolor="white" strokeweight="0.5pt">
              <v:textbox>
                <w:txbxContent>
                  <w:p w:rsidR="003721EB" w:rsidRPr="00DC4ED2" w:rsidP="00EE45F4">
                    <w:pPr>
                      <w:jc w:val="center"/>
                      <w:rPr>
                        <w:rFonts w:ascii="Miriam" w:hAnsi="Miriam" w:cs="Miriam"/>
                        <w:spacing w:val="5"/>
                        <w:sz w:val="27"/>
                        <w:szCs w:val="27"/>
                      </w:rPr>
                    </w:pPr>
                    <w:r w:rsidRPr="008D564A">
                      <w:rPr>
                        <w:rFonts w:ascii="Tahoma" w:hAnsi="Tahoma" w:cs="Tahoma"/>
                        <w:spacing w:val="5"/>
                        <w:sz w:val="21"/>
                        <w:szCs w:val="21"/>
                        <w:rtl/>
                      </w:rPr>
                      <w:t>משרד מבקר המדינה</w:t>
                    </w:r>
                    <w:r w:rsidRPr="00EE45F4">
                      <w:rPr>
                        <w:rFonts w:ascii="Tahoma" w:hAnsi="Tahoma" w:cs="Tahoma" w:hint="cs"/>
                        <w:spacing w:val="5"/>
                        <w:sz w:val="19"/>
                        <w:szCs w:val="19"/>
                        <w:rtl/>
                      </w:rPr>
                      <w:t xml:space="preserve"> </w:t>
                    </w:r>
                    <w:r w:rsidRPr="008D564A">
                      <w:rPr>
                        <w:rFonts w:ascii="Tahoma" w:hAnsi="Tahoma" w:cs="Tahoma" w:hint="cs"/>
                        <w:spacing w:val="5"/>
                        <w:sz w:val="19"/>
                        <w:szCs w:val="19"/>
                        <w:rtl/>
                      </w:rPr>
                      <w:t>דוח שנתי 7</w:t>
                    </w:r>
                    <w:r>
                      <w:rPr>
                        <w:rFonts w:ascii="Tahoma" w:hAnsi="Tahoma" w:cs="Tahoma" w:hint="cs"/>
                        <w:spacing w:val="5"/>
                        <w:sz w:val="19"/>
                        <w:szCs w:val="19"/>
                        <w:rtl/>
                      </w:rPr>
                      <w:t>1</w:t>
                    </w:r>
                    <w:r w:rsidRPr="008D564A">
                      <w:rPr>
                        <w:rFonts w:ascii="Tahoma" w:hAnsi="Tahoma" w:cs="Tahoma" w:hint="cs"/>
                        <w:spacing w:val="5"/>
                        <w:sz w:val="19"/>
                        <w:szCs w:val="19"/>
                        <w:rtl/>
                      </w:rPr>
                      <w:t>א | 2020</w:t>
                    </w:r>
                  </w:p>
                  <w:p w:rsidR="003721EB" w:rsidRPr="00EE45F4" w:rsidP="00C54026">
                    <w:pPr>
                      <w:spacing w:before="120"/>
                      <w:jc w:val="center"/>
                      <w:rPr>
                        <w:rFonts w:ascii="Tahoma" w:hAnsi="Tahoma" w:cs="Tahoma"/>
                        <w:spacing w:val="5"/>
                        <w:sz w:val="27"/>
                        <w:szCs w:val="27"/>
                        <w:rtl/>
                      </w:rPr>
                    </w:pPr>
                  </w:p>
                </w:txbxContent>
              </v:textbox>
            </v:shape>
          </w:pict>
        </mc:Fallback>
      </mc:AlternateContent>
    </w:r>
    <w:r>
      <w:rPr>
        <w:noProof/>
        <w:sz w:val="26"/>
        <w:szCs w:val="26"/>
      </w:rPr>
      <w:drawing>
        <wp:anchor distT="0" distB="0" distL="114300" distR="114300" simplePos="0" relativeHeight="251660288" behindDoc="0" locked="0" layoutInCell="1" allowOverlap="1">
          <wp:simplePos x="0" y="0"/>
          <wp:positionH relativeFrom="column">
            <wp:posOffset>2186940</wp:posOffset>
          </wp:positionH>
          <wp:positionV relativeFrom="paragraph">
            <wp:posOffset>-247015</wp:posOffset>
          </wp:positionV>
          <wp:extent cx="612140" cy="374650"/>
          <wp:effectExtent l="0" t="0" r="0" b="6350"/>
          <wp:wrapNone/>
          <wp:docPr id="2" name="תמונה 2" descr="Logo Mevaker New"/>
          <wp:cNvGraphicFramePr/>
          <a:graphic xmlns:a="http://schemas.openxmlformats.org/drawingml/2006/main">
            <a:graphicData uri="http://schemas.openxmlformats.org/drawingml/2006/picture">
              <pic:pic xmlns:pic="http://schemas.openxmlformats.org/drawingml/2006/picture">
                <pic:nvPicPr>
                  <pic:cNvPr id="1822085257" name="Picture 12" descr="Logo Mevaker New"/>
                  <pic:cNvPicPr>
                    <a:picLocks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2812"/>
                  <a:stretch>
                    <a:fillRect/>
                  </a:stretch>
                </pic:blipFill>
                <pic:spPr bwMode="auto">
                  <a:xfrm>
                    <a:off x="0" y="0"/>
                    <a:ext cx="612140"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1EB" w:rsidP="00C54026">
    <w:pPr>
      <w:tabs>
        <w:tab w:val="left" w:pos="7081"/>
      </w:tabs>
      <w:spacing w:line="240" w:lineRule="auto"/>
      <w:ind w:left="-992"/>
      <w:rPr>
        <w:rtl/>
      </w:rPr>
    </w:pPr>
    <w:bookmarkStart w:id="2" w:name="tempMark"/>
    <w:bookmarkEnd w:id="2"/>
    <w:r>
      <w:rPr>
        <w:rtl/>
      </w:rPr>
      <w:tab/>
    </w:r>
    <w:r>
      <w:rPr>
        <w:rFonts w:hint="cs"/>
        <w:rtl/>
      </w:rPr>
      <w:t xml:space="preserve"> </w:t>
    </w:r>
  </w:p>
  <w:p w:rsidR="003721EB" w:rsidRPr="009A3B5C" w:rsidP="00C54026">
    <w:pPr>
      <w:tabs>
        <w:tab w:val="center" w:pos="4153"/>
        <w:tab w:val="right" w:pos="8306"/>
      </w:tabs>
      <w:spacing w:before="120" w:line="240" w:lineRule="auto"/>
      <w:ind w:left="-994"/>
      <w:rPr>
        <w:rtl/>
      </w:rPr>
    </w:pPr>
    <w:r>
      <w:rPr>
        <w:rFonts w:hint="cs"/>
        <w:rtl/>
      </w:rPr>
      <w:t xml:space="preserve">    </w:t>
    </w:r>
  </w:p>
  <w:p w:rsidR="003721EB" w:rsidRPr="001A2D2F" w:rsidP="007E6D5B">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C93BF6"/>
    <w:multiLevelType w:val="hybridMultilevel"/>
    <w:tmpl w:val="2FEC008E"/>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5C6F4A4B"/>
    <w:multiLevelType w:val="hybridMultilevel"/>
    <w:tmpl w:val="B060F6B6"/>
    <w:lvl w:ilvl="0">
      <w:start w:val="1"/>
      <w:numFmt w:val="bullet"/>
      <w:lvlText w:val=""/>
      <w:lvlJc w:val="left"/>
      <w:pPr>
        <w:ind w:left="72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699458C"/>
    <w:multiLevelType w:val="hybridMultilevel"/>
    <w:tmpl w:val="B284198A"/>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6B9A37BC"/>
    <w:multiLevelType w:val="hybridMultilevel"/>
    <w:tmpl w:val="0484842E"/>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22F"/>
    <w:rsid w:val="001A2D2F"/>
    <w:rsid w:val="002C3751"/>
    <w:rsid w:val="00347700"/>
    <w:rsid w:val="003721EB"/>
    <w:rsid w:val="0039661A"/>
    <w:rsid w:val="00462ADF"/>
    <w:rsid w:val="004D622F"/>
    <w:rsid w:val="00512803"/>
    <w:rsid w:val="0059038E"/>
    <w:rsid w:val="005A61A1"/>
    <w:rsid w:val="00683C1E"/>
    <w:rsid w:val="007075F1"/>
    <w:rsid w:val="0076190E"/>
    <w:rsid w:val="007D3C86"/>
    <w:rsid w:val="007E6D5B"/>
    <w:rsid w:val="007F7F01"/>
    <w:rsid w:val="00877CFF"/>
    <w:rsid w:val="008D564A"/>
    <w:rsid w:val="00935470"/>
    <w:rsid w:val="009A3B5C"/>
    <w:rsid w:val="009C762E"/>
    <w:rsid w:val="00A104F1"/>
    <w:rsid w:val="00A250D0"/>
    <w:rsid w:val="00A4546C"/>
    <w:rsid w:val="00AF0DBB"/>
    <w:rsid w:val="00C24DF0"/>
    <w:rsid w:val="00C33407"/>
    <w:rsid w:val="00C54026"/>
    <w:rsid w:val="00D5130A"/>
    <w:rsid w:val="00D839F1"/>
    <w:rsid w:val="00DC4ED2"/>
    <w:rsid w:val="00E4679C"/>
    <w:rsid w:val="00EA7F40"/>
    <w:rsid w:val="00EE45F4"/>
    <w:rsid w:val="00F8138A"/>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A87FC99F-DD91-40A1-8725-3FAECAA5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22F"/>
    <w:pPr>
      <w:bidi/>
      <w:spacing w:after="0" w:line="312" w:lineRule="auto"/>
      <w:jc w:val="both"/>
    </w:pPr>
    <w:rPr>
      <w:rFonts w:ascii="Times New Roman" w:hAnsi="Times New Roman" w:cs="David"/>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D622F"/>
    <w:pPr>
      <w:tabs>
        <w:tab w:val="center" w:pos="4153"/>
        <w:tab w:val="right" w:pos="8306"/>
      </w:tabs>
      <w:spacing w:line="240" w:lineRule="auto"/>
    </w:pPr>
  </w:style>
  <w:style w:type="character" w:customStyle="1" w:styleId="a">
    <w:name w:val="כותרת עליונה תו"/>
    <w:basedOn w:val="DefaultParagraphFont"/>
    <w:link w:val="Header"/>
    <w:uiPriority w:val="99"/>
    <w:rsid w:val="004D622F"/>
    <w:rPr>
      <w:rFonts w:ascii="Times New Roman" w:hAnsi="Times New Roman" w:cs="David"/>
      <w:sz w:val="20"/>
      <w:szCs w:val="24"/>
    </w:rPr>
  </w:style>
  <w:style w:type="paragraph" w:styleId="Footer">
    <w:name w:val="footer"/>
    <w:basedOn w:val="Normal"/>
    <w:link w:val="a0"/>
    <w:uiPriority w:val="99"/>
    <w:unhideWhenUsed/>
    <w:rsid w:val="004D622F"/>
    <w:pPr>
      <w:tabs>
        <w:tab w:val="center" w:pos="4153"/>
        <w:tab w:val="right" w:pos="8306"/>
      </w:tabs>
      <w:spacing w:line="240" w:lineRule="auto"/>
    </w:pPr>
  </w:style>
  <w:style w:type="character" w:customStyle="1" w:styleId="a0">
    <w:name w:val="כותרת תחתונה תו"/>
    <w:basedOn w:val="DefaultParagraphFont"/>
    <w:link w:val="Footer"/>
    <w:uiPriority w:val="99"/>
    <w:rsid w:val="004D622F"/>
    <w:rPr>
      <w:rFonts w:ascii="Times New Roman" w:hAnsi="Times New Roman" w:cs="David"/>
      <w:sz w:val="20"/>
      <w:szCs w:val="24"/>
    </w:r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a1"/>
    <w:uiPriority w:val="99"/>
    <w:rsid w:val="004D622F"/>
    <w:pPr>
      <w:spacing w:line="240" w:lineRule="auto"/>
      <w:ind w:left="720" w:hanging="720"/>
    </w:pPr>
    <w:rPr>
      <w:szCs w:val="20"/>
    </w:rPr>
  </w:style>
  <w:style w:type="character" w:customStyle="1" w:styleId="a1">
    <w:name w:val="טקסט הערת שוליים תו"/>
    <w:aliases w:val=" 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4D622F"/>
    <w:rPr>
      <w:rFonts w:ascii="Times New Roman" w:hAnsi="Times New Roman" w:cs="David"/>
      <w:sz w:val="20"/>
      <w:szCs w:val="20"/>
    </w:rPr>
  </w:style>
  <w:style w:type="character" w:styleId="FootnoteReference1">
    <w:name w:val="footnote reference"/>
    <w:aliases w:val="Footnote Reference_0,Footnote Reference_0_0"/>
    <w:basedOn w:val="DefaultParagraphFont"/>
    <w:uiPriority w:val="99"/>
    <w:unhideWhenUsed/>
    <w:rsid w:val="004D622F"/>
    <w:rPr>
      <w:vertAlign w:val="superscript"/>
    </w:rPr>
  </w:style>
  <w:style w:type="paragraph" w:styleId="ListParagraph">
    <w:name w:val="List Paragraph"/>
    <w:basedOn w:val="Normal"/>
    <w:link w:val="a2"/>
    <w:uiPriority w:val="34"/>
    <w:qFormat/>
    <w:rsid w:val="004D622F"/>
    <w:pPr>
      <w:widowControl w:val="0"/>
      <w:ind w:left="720"/>
      <w:contextualSpacing/>
    </w:pPr>
    <w:rPr>
      <w:rFonts w:eastAsia="Times New Roman"/>
      <w:lang w:eastAsia="he-IL"/>
    </w:rPr>
  </w:style>
  <w:style w:type="character" w:customStyle="1" w:styleId="a2">
    <w:name w:val="פיסקת רשימה תו"/>
    <w:link w:val="ListParagraph"/>
    <w:uiPriority w:val="34"/>
    <w:rsid w:val="004D622F"/>
    <w:rPr>
      <w:rFonts w:ascii="Times New Roman" w:eastAsia="Times New Roman" w:hAnsi="Times New Roman" w:cs="David"/>
      <w:sz w:val="20"/>
      <w:szCs w:val="24"/>
      <w:lang w:eastAsia="he-IL"/>
    </w:rPr>
  </w:style>
  <w:style w:type="table" w:customStyle="1" w:styleId="1">
    <w:name w:val="רשת טבלה1"/>
    <w:basedOn w:val="TableNormal"/>
    <w:next w:val="TableGrid"/>
    <w:uiPriority w:val="59"/>
    <w:rsid w:val="004D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D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3"/>
    <w:uiPriority w:val="99"/>
    <w:semiHidden/>
    <w:unhideWhenUsed/>
    <w:rsid w:val="004D622F"/>
    <w:pPr>
      <w:spacing w:line="240" w:lineRule="auto"/>
    </w:pPr>
    <w:rPr>
      <w:rFonts w:ascii="Tahoma" w:hAnsi="Tahoma" w:cs="Tahoma"/>
      <w:sz w:val="16"/>
      <w:szCs w:val="16"/>
    </w:rPr>
  </w:style>
  <w:style w:type="character" w:customStyle="1" w:styleId="a3">
    <w:name w:val="טקסט בלונים תו"/>
    <w:basedOn w:val="DefaultParagraphFont"/>
    <w:link w:val="BalloonText"/>
    <w:uiPriority w:val="99"/>
    <w:semiHidden/>
    <w:rsid w:val="004D62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header" Target="header2.xml"/><Relationship Id="rId8" Type="http://schemas.openxmlformats.org/officeDocument/2006/relationships/image" Target="media/image4.jpeg"/><Relationship Id="rId21" Type="http://schemas.openxmlformats.org/officeDocument/2006/relationships/numbering" Target="numbering.xml"/><Relationship Id="rId3" Type="http://schemas.openxmlformats.org/officeDocument/2006/relationships/webSettings" Target="webSettings.xml"/><Relationship Id="rId12" Type="http://schemas.openxmlformats.org/officeDocument/2006/relationships/image" Target="media/image8.jpeg"/><Relationship Id="rId17" Type="http://schemas.openxmlformats.org/officeDocument/2006/relationships/footer" Target="footer1.xml"/><Relationship Id="rId7" Type="http://schemas.openxmlformats.org/officeDocument/2006/relationships/image" Target="media/image3.jpeg"/><Relationship Id="rId25" Type="http://schemas.openxmlformats.org/officeDocument/2006/relationships/customXml" Target="../customXml/item3.xml"/><Relationship Id="rId16" Type="http://schemas.openxmlformats.org/officeDocument/2006/relationships/header" Target="header1.xml"/><Relationship Id="rId2" Type="http://schemas.openxmlformats.org/officeDocument/2006/relationships/settings" Target="settings.xml"/><Relationship Id="rId20" Type="http://schemas.openxmlformats.org/officeDocument/2006/relationships/theme" Target="theme/theme1.xml"/><Relationship Id="rId1" Type="http://schemas.openxmlformats.org/officeDocument/2006/relationships/footnotes" Target="footnotes.xml"/><Relationship Id="rId11" Type="http://schemas.openxmlformats.org/officeDocument/2006/relationships/image" Target="media/image7.jpeg"/><Relationship Id="rId6" Type="http://schemas.openxmlformats.org/officeDocument/2006/relationships/image" Target="media/image2.jpeg"/><Relationship Id="rId24" Type="http://schemas.openxmlformats.org/officeDocument/2006/relationships/customXml" Target="../customXml/item2.xml"/><Relationship Id="rId15" Type="http://schemas.openxmlformats.org/officeDocument/2006/relationships/image" Target="media/image11.jpeg"/><Relationship Id="rId5" Type="http://schemas.openxmlformats.org/officeDocument/2006/relationships/image" Target="media/image1.jpeg"/><Relationship Id="rId23" Type="http://schemas.openxmlformats.org/officeDocument/2006/relationships/customXml" Target="../customXml/item1.xml"/><Relationship Id="rId10" Type="http://schemas.openxmlformats.org/officeDocument/2006/relationships/image" Target="media/image6.jpeg"/><Relationship Id="rId19" Type="http://schemas.openxmlformats.org/officeDocument/2006/relationships/footer" Target="footer2.xml"/><Relationship Id="rId14" Type="http://schemas.openxmlformats.org/officeDocument/2006/relationships/image" Target="media/image10.jpeg"/><Relationship Id="rId22"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image" Target="media/image5.jpeg"/></Relationships>
</file>

<file path=word/_rels/header2.xml.rels>&#65279;<?xml version="1.0" encoding="utf-8" standalone="yes"?><Relationships xmlns="http://schemas.openxmlformats.org/package/2006/relationships"><Relationship Id="rId1" Type="http://schemas.openxmlformats.org/officeDocument/2006/relationships/image" Target="media/image12.jpeg"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7457C1-08EF-49E0-ACBD-217B20C9D10A}"/>
</file>

<file path=customXml/itemProps2.xml><?xml version="1.0" encoding="utf-8"?>
<ds:datastoreItem xmlns:ds="http://schemas.openxmlformats.org/officeDocument/2006/customXml" ds:itemID="{EEBF3B50-65AD-4DDF-8F83-1F4B70D31C1B}"/>
</file>

<file path=customXml/itemProps3.xml><?xml version="1.0" encoding="utf-8"?>
<ds:datastoreItem xmlns:ds="http://schemas.openxmlformats.org/officeDocument/2006/customXml" ds:itemID="{9B2A857F-A012-4054-A411-91267FBAF1F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