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1"/>
      </w:tblGrid>
      <w:tr w:rsidTr="003A5C36">
        <w:tblPrEx>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37"/>
        </w:trPr>
        <w:tc>
          <w:tcPr>
            <w:tcW w:w="9371" w:type="dxa"/>
          </w:tcPr>
          <w:p w:rsidR="00371CB0" w:rsidRPr="003166C9" w:rsidP="003A5C36">
            <w:pPr>
              <w:rPr>
                <w:rFonts w:ascii="Tahoma" w:hAnsi="Tahoma" w:cs="Tahoma"/>
                <w:b/>
                <w:bCs/>
                <w:sz w:val="40"/>
                <w:szCs w:val="40"/>
                <w:rtl/>
              </w:rPr>
            </w:pPr>
            <w:bookmarkStart w:id="0" w:name="_GoBack"/>
            <w:bookmarkEnd w:id="0"/>
            <w:r w:rsidRPr="003166C9">
              <w:rPr>
                <w:rFonts w:ascii="Tahoma" w:hAnsi="Tahoma" w:cs="Tahoma"/>
                <w:b/>
                <w:bCs/>
                <w:sz w:val="40"/>
                <w:szCs w:val="40"/>
                <w:rtl/>
              </w:rPr>
              <w:t>פעולות הרשויות המקומיות וספקי המים להבטחת איכות מי השתייה - ביקורת מעקב</w:t>
            </w:r>
          </w:p>
          <w:p w:rsidR="00371CB0" w:rsidRPr="006C51DB" w:rsidP="003A5C36">
            <w:pPr>
              <w:rPr>
                <w:rFonts w:ascii="Tahoma" w:hAnsi="Tahoma" w:cs="Tahoma"/>
                <w:sz w:val="40"/>
                <w:szCs w:val="40"/>
                <w:rtl/>
              </w:rPr>
            </w:pPr>
            <w:r w:rsidRPr="006C51DB">
              <w:rPr>
                <w:rFonts w:ascii="Tahoma" w:hAnsi="Tahoma" w:cs="Tahoma"/>
                <w:sz w:val="36"/>
                <w:szCs w:val="36"/>
                <w:rtl/>
              </w:rPr>
              <w:t>תקציר</w:t>
            </w:r>
          </w:p>
        </w:tc>
      </w:tr>
    </w:tbl>
    <w:p w:rsidR="00371CB0" w:rsidRPr="009A3B5C" w:rsidP="00371CB0">
      <w:pPr>
        <w:tabs>
          <w:tab w:val="left" w:pos="3754"/>
        </w:tabs>
        <w:rPr>
          <w:rFonts w:ascii="Tahoma" w:hAnsi="Tahoma" w:cs="Tahoma"/>
          <w:sz w:val="6"/>
          <w:szCs w:val="6"/>
          <w:rtl/>
        </w:rPr>
      </w:pPr>
    </w:p>
    <w:tbl>
      <w:tblPr>
        <w:tblStyle w:val="TableGrid"/>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721"/>
        <w:gridCol w:w="465"/>
        <w:gridCol w:w="1889"/>
        <w:gridCol w:w="461"/>
        <w:gridCol w:w="2178"/>
        <w:gridCol w:w="440"/>
        <w:gridCol w:w="2235"/>
        <w:gridCol w:w="112"/>
      </w:tblGrid>
      <w:tr w:rsidTr="003A5C36">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401" w:type="dxa"/>
            <w:gridSpan w:val="9"/>
          </w:tcPr>
          <w:p w:rsidR="00371CB0" w:rsidRPr="006C51DB" w:rsidP="003A5C36">
            <w:pPr>
              <w:jc w:val="center"/>
              <w:rPr>
                <w:rFonts w:ascii="Tahoma" w:hAnsi="Tahoma" w:cs="Tahoma"/>
                <w:rtl/>
              </w:rPr>
            </w:pPr>
            <w:r w:rsidRPr="006C51DB">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3A5C36">
        <w:tblPrEx>
          <w:tblW w:w="9401" w:type="dxa"/>
          <w:tblLook w:val="04A0"/>
        </w:tblPrEx>
        <w:trPr>
          <w:trHeight w:val="133"/>
        </w:trPr>
        <w:tc>
          <w:tcPr>
            <w:tcW w:w="9401" w:type="dxa"/>
            <w:gridSpan w:val="9"/>
          </w:tcPr>
          <w:p w:rsidR="00371CB0" w:rsidRPr="006C51DB" w:rsidP="003A5C36">
            <w:pPr>
              <w:rPr>
                <w:rFonts w:ascii="Tahoma" w:hAnsi="Tahoma" w:cs="Tahoma"/>
                <w:sz w:val="6"/>
                <w:szCs w:val="6"/>
                <w:rtl/>
              </w:rPr>
            </w:pPr>
          </w:p>
        </w:tc>
      </w:tr>
      <w:tr w:rsidTr="003A5C36">
        <w:tblPrEx>
          <w:tblW w:w="9401" w:type="dxa"/>
          <w:tblLook w:val="04A0"/>
        </w:tblPrEx>
        <w:trPr>
          <w:trHeight w:val="630"/>
        </w:trPr>
        <w:tc>
          <w:tcPr>
            <w:tcW w:w="9401" w:type="dxa"/>
            <w:gridSpan w:val="9"/>
          </w:tcPr>
          <w:p w:rsidR="00371CB0" w:rsidRPr="006C51DB" w:rsidP="003A5C36">
            <w:pPr>
              <w:spacing w:line="264" w:lineRule="auto"/>
              <w:jc w:val="both"/>
              <w:rPr>
                <w:rFonts w:ascii="Tahoma" w:hAnsi="Tahoma" w:cs="Tahoma"/>
                <w:sz w:val="19"/>
                <w:szCs w:val="19"/>
                <w:rtl/>
              </w:rPr>
            </w:pPr>
            <w:r w:rsidRPr="00F60CD3">
              <w:rPr>
                <w:rFonts w:ascii="Tahoma" w:hAnsi="Tahoma" w:cs="Tahoma" w:hint="cs"/>
                <w:b/>
                <w:sz w:val="19"/>
                <w:szCs w:val="19"/>
                <w:rtl/>
              </w:rPr>
              <w:t>מי שתייה הם צורך קיומי בסיסי ומשאב לאומי חיוני ואסטרטגי</w:t>
            </w:r>
            <w:r w:rsidRPr="00F60CD3">
              <w:rPr>
                <w:rFonts w:ascii="Tahoma" w:hAnsi="Tahoma" w:cs="Tahoma"/>
                <w:b/>
                <w:sz w:val="19"/>
                <w:szCs w:val="19"/>
                <w:rtl/>
              </w:rPr>
              <w:t>.</w:t>
            </w:r>
            <w:r w:rsidRPr="00F60CD3">
              <w:rPr>
                <w:rFonts w:ascii="Tahoma" w:hAnsi="Tahoma" w:cs="Tahoma" w:hint="cs"/>
                <w:bCs/>
                <w:sz w:val="19"/>
                <w:szCs w:val="19"/>
                <w:rtl/>
              </w:rPr>
              <w:t xml:space="preserve"> </w:t>
            </w:r>
            <w:r w:rsidRPr="00F60CD3">
              <w:rPr>
                <w:rFonts w:ascii="Tahoma" w:hAnsi="Tahoma" w:cs="Tahoma" w:hint="cs"/>
                <w:sz w:val="19"/>
                <w:szCs w:val="19"/>
                <w:rtl/>
              </w:rPr>
              <w:t>את רוב מי השתייה לתושבי ישראל מספקת מקורות חברת המים בע"מ (מקורות) עד לחיבור</w:t>
            </w:r>
            <w:r w:rsidRPr="00F60CD3">
              <w:rPr>
                <w:rFonts w:ascii="Tahoma" w:hAnsi="Tahoma" w:cs="Tahoma"/>
                <w:sz w:val="19"/>
                <w:szCs w:val="19"/>
                <w:rtl/>
              </w:rPr>
              <w:t xml:space="preserve"> </w:t>
            </w:r>
            <w:r w:rsidRPr="00F60CD3">
              <w:rPr>
                <w:rFonts w:ascii="Tahoma" w:hAnsi="Tahoma" w:cs="Tahoma" w:hint="cs"/>
                <w:sz w:val="19"/>
                <w:szCs w:val="19"/>
                <w:rtl/>
              </w:rPr>
              <w:t>לצרכן</w:t>
            </w:r>
            <w:r w:rsidRPr="00F60CD3">
              <w:rPr>
                <w:rFonts w:ascii="Tahoma" w:hAnsi="Tahoma" w:cs="Tahoma"/>
                <w:sz w:val="19"/>
                <w:szCs w:val="19"/>
                <w:rtl/>
              </w:rPr>
              <w:t xml:space="preserve"> </w:t>
            </w:r>
            <w:r w:rsidRPr="00F60CD3">
              <w:rPr>
                <w:rFonts w:ascii="Tahoma" w:hAnsi="Tahoma" w:cs="Tahoma" w:hint="cs"/>
                <w:sz w:val="19"/>
                <w:szCs w:val="19"/>
                <w:rtl/>
              </w:rPr>
              <w:t>הראשי, ואספקת המים לצרכן</w:t>
            </w:r>
            <w:r w:rsidRPr="00F60CD3">
              <w:rPr>
                <w:rFonts w:ascii="Tahoma" w:hAnsi="Tahoma" w:cs="Tahoma"/>
                <w:sz w:val="19"/>
                <w:szCs w:val="19"/>
                <w:rtl/>
              </w:rPr>
              <w:t xml:space="preserve"> </w:t>
            </w:r>
            <w:r w:rsidRPr="00F60CD3">
              <w:rPr>
                <w:rFonts w:ascii="Tahoma" w:hAnsi="Tahoma" w:cs="Tahoma" w:hint="cs"/>
                <w:sz w:val="19"/>
                <w:szCs w:val="19"/>
                <w:rtl/>
              </w:rPr>
              <w:t>הסופי בתחומי היישוב נעשית באמצעות הספק המקומי - תאגיד המים, וביישובים שלא הקימו תאגיד מים - הרשות המקומית או אגודת המים המקומית (ספק המים או הספק המקומי). כדי שמים יהיו ראויים לשתייה, על ספק המים להבטיח כי הקידוחים שבאחריותו מוגנים מפני זיהומים; לטפל במים באמצעים שונים כמו סינון והכלרה; לדאוג לתקינותן ולחיטוין של מערכות אגירת המים ואספקת המים; לדגום באופן שוטף את המים ולוודא שהם נקיים מזיהומים מיקרוביאליים וכימיים; ולמנוע</w:t>
            </w:r>
            <w:r w:rsidRPr="00F60CD3">
              <w:rPr>
                <w:rFonts w:ascii="Tahoma" w:hAnsi="Tahoma" w:cs="Tahoma"/>
                <w:sz w:val="19"/>
                <w:szCs w:val="19"/>
                <w:rtl/>
              </w:rPr>
              <w:t xml:space="preserve"> חיבור ב</w:t>
            </w:r>
            <w:r w:rsidRPr="00F60CD3">
              <w:rPr>
                <w:rFonts w:ascii="Tahoma" w:hAnsi="Tahoma" w:cs="Tahoma" w:hint="cs"/>
                <w:sz w:val="19"/>
                <w:szCs w:val="19"/>
                <w:rtl/>
              </w:rPr>
              <w:t xml:space="preserve">ין מערכות </w:t>
            </w:r>
            <w:r w:rsidRPr="00F60CD3">
              <w:rPr>
                <w:rFonts w:ascii="Tahoma" w:hAnsi="Tahoma" w:cs="Tahoma"/>
                <w:sz w:val="19"/>
                <w:szCs w:val="19"/>
                <w:rtl/>
              </w:rPr>
              <w:t xml:space="preserve">מים </w:t>
            </w:r>
            <w:r w:rsidRPr="00F60CD3">
              <w:rPr>
                <w:rFonts w:ascii="Tahoma" w:hAnsi="Tahoma" w:cs="Tahoma" w:hint="cs"/>
                <w:sz w:val="19"/>
                <w:szCs w:val="19"/>
                <w:rtl/>
              </w:rPr>
              <w:t>לשתייה ובין מערכות מים ל</w:t>
            </w:r>
            <w:r w:rsidRPr="00F60CD3">
              <w:rPr>
                <w:rFonts w:ascii="Tahoma" w:hAnsi="Tahoma" w:cs="Tahoma"/>
                <w:sz w:val="19"/>
                <w:szCs w:val="19"/>
                <w:rtl/>
              </w:rPr>
              <w:t>חקלא</w:t>
            </w:r>
            <w:r w:rsidRPr="00F60CD3">
              <w:rPr>
                <w:rFonts w:ascii="Tahoma" w:hAnsi="Tahoma" w:cs="Tahoma" w:hint="cs"/>
                <w:sz w:val="19"/>
                <w:szCs w:val="19"/>
                <w:rtl/>
              </w:rPr>
              <w:t>ות</w:t>
            </w:r>
            <w:r w:rsidRPr="00F60CD3">
              <w:rPr>
                <w:rFonts w:ascii="Tahoma" w:hAnsi="Tahoma" w:cs="Tahoma"/>
                <w:sz w:val="19"/>
                <w:szCs w:val="19"/>
                <w:rtl/>
              </w:rPr>
              <w:t xml:space="preserve">, </w:t>
            </w:r>
            <w:r w:rsidRPr="00F60CD3">
              <w:rPr>
                <w:rFonts w:ascii="Tahoma" w:hAnsi="Tahoma" w:cs="Tahoma" w:hint="cs"/>
                <w:sz w:val="19"/>
                <w:szCs w:val="19"/>
                <w:rtl/>
              </w:rPr>
              <w:t>ל</w:t>
            </w:r>
            <w:r w:rsidRPr="00F60CD3">
              <w:rPr>
                <w:rFonts w:ascii="Tahoma" w:hAnsi="Tahoma" w:cs="Tahoma"/>
                <w:sz w:val="19"/>
                <w:szCs w:val="19"/>
                <w:rtl/>
              </w:rPr>
              <w:t>עסקים ו</w:t>
            </w:r>
            <w:r w:rsidRPr="00F60CD3">
              <w:rPr>
                <w:rFonts w:ascii="Tahoma" w:hAnsi="Tahoma" w:cs="Tahoma" w:hint="cs"/>
                <w:sz w:val="19"/>
                <w:szCs w:val="19"/>
                <w:rtl/>
              </w:rPr>
              <w:t>ל</w:t>
            </w:r>
            <w:r w:rsidRPr="00F60CD3">
              <w:rPr>
                <w:rFonts w:ascii="Tahoma" w:hAnsi="Tahoma" w:cs="Tahoma"/>
                <w:sz w:val="19"/>
                <w:szCs w:val="19"/>
                <w:rtl/>
              </w:rPr>
              <w:t>תעשיי</w:t>
            </w:r>
            <w:r w:rsidRPr="00F60CD3">
              <w:rPr>
                <w:rFonts w:ascii="Tahoma" w:hAnsi="Tahoma" w:cs="Tahoma" w:hint="cs"/>
                <w:sz w:val="19"/>
                <w:szCs w:val="19"/>
                <w:rtl/>
              </w:rPr>
              <w:t>ה</w:t>
            </w:r>
          </w:p>
        </w:tc>
      </w:tr>
      <w:tr w:rsidTr="003A5C36">
        <w:tblPrEx>
          <w:tblW w:w="9401" w:type="dxa"/>
          <w:tblLook w:val="04A0"/>
        </w:tblPrEx>
        <w:trPr>
          <w:trHeight w:val="557"/>
        </w:trPr>
        <w:tc>
          <w:tcPr>
            <w:tcW w:w="9401" w:type="dxa"/>
            <w:gridSpan w:val="9"/>
          </w:tcPr>
          <w:p w:rsidR="00371CB0" w:rsidRPr="006C51DB" w:rsidP="003A5C36">
            <w:pPr>
              <w:jc w:val="both"/>
              <w:rPr>
                <w:rFonts w:ascii="Tahoma" w:hAnsi="Tahoma" w:cs="Tahoma"/>
                <w:sz w:val="19"/>
                <w:szCs w:val="19"/>
                <w:rtl/>
              </w:rPr>
            </w:pPr>
          </w:p>
        </w:tc>
      </w:tr>
      <w:tr w:rsidTr="003A5C36">
        <w:tblPrEx>
          <w:tblW w:w="9401" w:type="dxa"/>
          <w:tblLook w:val="04A0"/>
        </w:tblPrEx>
        <w:trPr>
          <w:trHeight w:val="153"/>
        </w:trPr>
        <w:tc>
          <w:tcPr>
            <w:tcW w:w="9401" w:type="dxa"/>
            <w:gridSpan w:val="9"/>
          </w:tcPr>
          <w:p w:rsidR="00371CB0" w:rsidRPr="006C51DB" w:rsidP="003A5C36">
            <w:pPr>
              <w:jc w:val="center"/>
              <w:rPr>
                <w:rFonts w:ascii="Tahoma" w:hAnsi="Tahoma" w:cs="Tahoma"/>
                <w:rtl/>
              </w:rPr>
            </w:pPr>
            <w:r w:rsidRPr="006C51DB">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3A5C36">
        <w:tblPrEx>
          <w:tblW w:w="9401" w:type="dxa"/>
          <w:tblLook w:val="04A0"/>
        </w:tblPrEx>
        <w:trPr>
          <w:trHeight w:val="283"/>
        </w:trPr>
        <w:tc>
          <w:tcPr>
            <w:tcW w:w="1621" w:type="dxa"/>
            <w:gridSpan w:val="2"/>
            <w:tcBorders>
              <w:bottom w:val="single" w:sz="12" w:space="0" w:color="auto"/>
            </w:tcBorders>
            <w:shd w:val="clear" w:color="auto" w:fill="auto"/>
          </w:tcPr>
          <w:p w:rsidR="00371CB0" w:rsidRPr="003166C9" w:rsidP="003A5C36">
            <w:pPr>
              <w:rPr>
                <w:rFonts w:ascii="Tahoma" w:hAnsi="Tahoma" w:cs="Tahoma"/>
                <w:spacing w:val="-10"/>
                <w:sz w:val="26"/>
                <w:szCs w:val="26"/>
                <w:rtl/>
              </w:rPr>
            </w:pPr>
            <w:r w:rsidRPr="003166C9">
              <w:rPr>
                <w:rFonts w:ascii="Tahoma" w:hAnsi="Tahoma" w:cs="Tahoma"/>
                <w:spacing w:val="-10"/>
                <w:sz w:val="36"/>
                <w:szCs w:val="36"/>
                <w:rtl/>
              </w:rPr>
              <w:t>1.2</w:t>
            </w:r>
            <w:r>
              <w:rPr>
                <w:rFonts w:ascii="Tahoma" w:hAnsi="Tahoma" w:cs="Tahoma" w:hint="cs"/>
                <w:spacing w:val="-10"/>
                <w:sz w:val="36"/>
                <w:szCs w:val="36"/>
                <w:rtl/>
              </w:rPr>
              <w:t>9</w:t>
            </w:r>
            <w:r w:rsidRPr="003166C9">
              <w:rPr>
                <w:rFonts w:ascii="Tahoma" w:hAnsi="Tahoma" w:cs="Tahoma"/>
                <w:spacing w:val="-10"/>
                <w:sz w:val="36"/>
                <w:szCs w:val="36"/>
                <w:rtl/>
              </w:rPr>
              <w:t xml:space="preserve"> </w:t>
            </w:r>
          </w:p>
          <w:p w:rsidR="00371CB0" w:rsidRPr="003166C9" w:rsidP="003A5C36">
            <w:pPr>
              <w:rPr>
                <w:rFonts w:ascii="Tahoma" w:hAnsi="Tahoma" w:cs="Tahoma"/>
                <w:spacing w:val="-10"/>
                <w:sz w:val="36"/>
                <w:szCs w:val="36"/>
                <w:rtl/>
              </w:rPr>
            </w:pPr>
            <w:r w:rsidRPr="003166C9">
              <w:rPr>
                <w:rFonts w:ascii="Tahoma" w:hAnsi="Tahoma" w:cs="Tahoma"/>
                <w:spacing w:val="-10"/>
                <w:sz w:val="26"/>
                <w:szCs w:val="26"/>
                <w:rtl/>
              </w:rPr>
              <w:t>מיליארד מ"ק</w:t>
            </w:r>
            <w:r w:rsidRPr="003166C9">
              <w:rPr>
                <w:rFonts w:ascii="Tahoma" w:hAnsi="Tahoma" w:cs="Tahoma"/>
                <w:spacing w:val="-10"/>
                <w:sz w:val="36"/>
                <w:szCs w:val="36"/>
                <w:rtl/>
              </w:rPr>
              <w:t xml:space="preserve"> </w:t>
            </w:r>
          </w:p>
        </w:tc>
        <w:tc>
          <w:tcPr>
            <w:tcW w:w="465" w:type="dxa"/>
          </w:tcPr>
          <w:p w:rsidR="00371CB0" w:rsidRPr="003166C9" w:rsidP="003A5C36">
            <w:pPr>
              <w:rPr>
                <w:rFonts w:ascii="Tahoma" w:hAnsi="Tahoma" w:cs="Tahoma"/>
                <w:spacing w:val="-10"/>
              </w:rPr>
            </w:pPr>
          </w:p>
        </w:tc>
        <w:tc>
          <w:tcPr>
            <w:tcW w:w="1889" w:type="dxa"/>
            <w:tcBorders>
              <w:bottom w:val="single" w:sz="12" w:space="0" w:color="auto"/>
            </w:tcBorders>
          </w:tcPr>
          <w:p w:rsidR="00371CB0" w:rsidRPr="003166C9" w:rsidP="003A5C36">
            <w:pPr>
              <w:rPr>
                <w:rFonts w:ascii="Tahoma" w:hAnsi="Tahoma" w:cs="Tahoma"/>
                <w:spacing w:val="-10"/>
                <w:sz w:val="26"/>
                <w:szCs w:val="26"/>
                <w:rtl/>
              </w:rPr>
            </w:pPr>
            <w:r w:rsidRPr="003166C9">
              <w:rPr>
                <w:rFonts w:ascii="Tahoma" w:hAnsi="Tahoma" w:cs="Tahoma"/>
                <w:spacing w:val="-10"/>
                <w:sz w:val="36"/>
                <w:szCs w:val="36"/>
                <w:rtl/>
              </w:rPr>
              <w:t xml:space="preserve">56 </w:t>
            </w:r>
          </w:p>
          <w:p w:rsidR="00371CB0" w:rsidRPr="003166C9" w:rsidP="003A5C36">
            <w:pPr>
              <w:rPr>
                <w:rFonts w:ascii="Tahoma" w:hAnsi="Tahoma" w:cs="Tahoma"/>
                <w:spacing w:val="-10"/>
                <w:sz w:val="36"/>
                <w:szCs w:val="36"/>
                <w:rtl/>
              </w:rPr>
            </w:pPr>
            <w:r w:rsidRPr="003166C9">
              <w:rPr>
                <w:rFonts w:ascii="Tahoma" w:hAnsi="Tahoma" w:cs="Tahoma"/>
                <w:spacing w:val="-10"/>
                <w:sz w:val="26"/>
                <w:szCs w:val="26"/>
                <w:rtl/>
              </w:rPr>
              <w:t>תאגידי מים</w:t>
            </w:r>
            <w:r w:rsidRPr="003166C9">
              <w:rPr>
                <w:rFonts w:ascii="Tahoma" w:hAnsi="Tahoma" w:cs="Tahoma"/>
                <w:spacing w:val="-10"/>
                <w:sz w:val="36"/>
                <w:szCs w:val="36"/>
                <w:rtl/>
              </w:rPr>
              <w:t xml:space="preserve"> </w:t>
            </w:r>
          </w:p>
        </w:tc>
        <w:tc>
          <w:tcPr>
            <w:tcW w:w="461" w:type="dxa"/>
          </w:tcPr>
          <w:p w:rsidR="00371CB0" w:rsidRPr="003166C9" w:rsidP="003A5C36">
            <w:pPr>
              <w:rPr>
                <w:rFonts w:ascii="Tahoma" w:hAnsi="Tahoma" w:cs="Tahoma"/>
                <w:spacing w:val="-10"/>
              </w:rPr>
            </w:pPr>
          </w:p>
        </w:tc>
        <w:tc>
          <w:tcPr>
            <w:tcW w:w="2178" w:type="dxa"/>
            <w:tcBorders>
              <w:bottom w:val="single" w:sz="12" w:space="0" w:color="auto"/>
            </w:tcBorders>
          </w:tcPr>
          <w:p w:rsidR="00371CB0" w:rsidRPr="003166C9" w:rsidP="003A5C36">
            <w:pPr>
              <w:rPr>
                <w:rFonts w:ascii="Tahoma" w:hAnsi="Tahoma" w:cs="Tahoma"/>
                <w:spacing w:val="-10"/>
                <w:sz w:val="36"/>
                <w:szCs w:val="36"/>
                <w:rtl/>
              </w:rPr>
            </w:pPr>
            <w:r w:rsidRPr="003166C9">
              <w:rPr>
                <w:rFonts w:ascii="Tahoma" w:hAnsi="Tahoma" w:cs="Tahoma"/>
                <w:spacing w:val="-10"/>
                <w:sz w:val="36"/>
                <w:szCs w:val="36"/>
                <w:rtl/>
              </w:rPr>
              <w:t xml:space="preserve">1,351 </w:t>
            </w:r>
          </w:p>
          <w:p w:rsidR="00371CB0" w:rsidRPr="003166C9" w:rsidP="003A5C36">
            <w:pPr>
              <w:rPr>
                <w:rFonts w:ascii="Tahoma" w:hAnsi="Tahoma" w:cs="Tahoma"/>
                <w:spacing w:val="-10"/>
                <w:sz w:val="36"/>
                <w:szCs w:val="36"/>
              </w:rPr>
            </w:pPr>
            <w:r w:rsidRPr="003166C9">
              <w:rPr>
                <w:rFonts w:ascii="Tahoma" w:hAnsi="Tahoma" w:cs="Tahoma"/>
                <w:spacing w:val="-10"/>
                <w:sz w:val="26"/>
                <w:szCs w:val="26"/>
                <w:rtl/>
              </w:rPr>
              <w:t>ספקי מים אחרים</w:t>
            </w:r>
          </w:p>
        </w:tc>
        <w:tc>
          <w:tcPr>
            <w:tcW w:w="440" w:type="dxa"/>
          </w:tcPr>
          <w:p w:rsidR="00371CB0" w:rsidRPr="003166C9" w:rsidP="003A5C36">
            <w:pPr>
              <w:rPr>
                <w:rFonts w:ascii="Tahoma" w:hAnsi="Tahoma" w:cs="Tahoma"/>
                <w:spacing w:val="-10"/>
              </w:rPr>
            </w:pPr>
          </w:p>
        </w:tc>
        <w:tc>
          <w:tcPr>
            <w:tcW w:w="2347" w:type="dxa"/>
            <w:gridSpan w:val="2"/>
            <w:tcBorders>
              <w:bottom w:val="single" w:sz="12" w:space="0" w:color="auto"/>
            </w:tcBorders>
          </w:tcPr>
          <w:p w:rsidR="00371CB0" w:rsidRPr="003166C9" w:rsidP="003A5C36">
            <w:pPr>
              <w:rPr>
                <w:rFonts w:ascii="Tahoma" w:hAnsi="Tahoma" w:cs="Tahoma"/>
                <w:spacing w:val="-10"/>
                <w:sz w:val="36"/>
                <w:szCs w:val="36"/>
                <w:rtl/>
              </w:rPr>
            </w:pPr>
            <w:r w:rsidRPr="003166C9">
              <w:rPr>
                <w:rFonts w:ascii="Tahoma" w:hAnsi="Tahoma" w:cs="Tahoma"/>
                <w:spacing w:val="-10"/>
                <w:sz w:val="36"/>
                <w:szCs w:val="36"/>
                <w:rtl/>
              </w:rPr>
              <w:t>0.58%</w:t>
            </w:r>
          </w:p>
        </w:tc>
      </w:tr>
      <w:tr w:rsidTr="003A5C36">
        <w:tblPrEx>
          <w:tblW w:w="9401" w:type="dxa"/>
          <w:tblLook w:val="04A0"/>
        </w:tblPrEx>
        <w:trPr>
          <w:trHeight w:val="85"/>
        </w:trPr>
        <w:tc>
          <w:tcPr>
            <w:tcW w:w="9401" w:type="dxa"/>
            <w:gridSpan w:val="9"/>
            <w:shd w:val="clear" w:color="auto" w:fill="auto"/>
            <w:vAlign w:val="center"/>
          </w:tcPr>
          <w:p w:rsidR="00371CB0" w:rsidRPr="006C51DB" w:rsidP="003A5C36">
            <w:pPr>
              <w:rPr>
                <w:rFonts w:ascii="Tahoma" w:hAnsi="Tahoma" w:cs="Tahoma"/>
                <w:spacing w:val="-10"/>
                <w:sz w:val="6"/>
                <w:szCs w:val="6"/>
                <w:rtl/>
              </w:rPr>
            </w:pPr>
          </w:p>
        </w:tc>
      </w:tr>
      <w:tr w:rsidTr="003A5C36">
        <w:tblPrEx>
          <w:tblW w:w="9401" w:type="dxa"/>
          <w:tblLook w:val="04A0"/>
        </w:tblPrEx>
        <w:trPr>
          <w:trHeight w:val="1867"/>
        </w:trPr>
        <w:tc>
          <w:tcPr>
            <w:tcW w:w="1621" w:type="dxa"/>
            <w:gridSpan w:val="2"/>
          </w:tcPr>
          <w:p w:rsidR="00371CB0" w:rsidRPr="003166C9" w:rsidP="003A5C36">
            <w:pPr>
              <w:spacing w:line="264" w:lineRule="auto"/>
              <w:rPr>
                <w:rFonts w:ascii="Tahoma" w:hAnsi="Tahoma" w:cs="Tahoma"/>
                <w:sz w:val="18"/>
                <w:szCs w:val="18"/>
                <w:rtl/>
              </w:rPr>
            </w:pPr>
            <w:r w:rsidRPr="003166C9">
              <w:rPr>
                <w:rFonts w:ascii="Tahoma" w:hAnsi="Tahoma" w:cs="Tahoma"/>
                <w:sz w:val="19"/>
                <w:szCs w:val="19"/>
                <w:rtl/>
              </w:rPr>
              <w:t>מים שפירים סיפקו בשנת 2018 ספקי המים השונים</w:t>
            </w:r>
            <w:r>
              <w:rPr>
                <w:rStyle w:val="FootnoteReference"/>
                <w:rFonts w:ascii="Tahoma" w:hAnsi="Tahoma" w:cs="Tahoma"/>
                <w:sz w:val="18"/>
                <w:szCs w:val="18"/>
                <w:rtl/>
              </w:rPr>
              <w:footnoteReference w:id="2"/>
            </w:r>
          </w:p>
        </w:tc>
        <w:tc>
          <w:tcPr>
            <w:tcW w:w="465" w:type="dxa"/>
          </w:tcPr>
          <w:p w:rsidR="00371CB0" w:rsidRPr="003166C9" w:rsidP="003A5C36">
            <w:pPr>
              <w:spacing w:line="264" w:lineRule="auto"/>
              <w:rPr>
                <w:rFonts w:ascii="Tahoma" w:hAnsi="Tahoma" w:cs="Tahoma"/>
                <w:rtl/>
              </w:rPr>
            </w:pPr>
          </w:p>
        </w:tc>
        <w:tc>
          <w:tcPr>
            <w:tcW w:w="1889" w:type="dxa"/>
          </w:tcPr>
          <w:p w:rsidR="00371CB0" w:rsidRPr="003166C9" w:rsidP="003A5C36">
            <w:pPr>
              <w:spacing w:line="264" w:lineRule="auto"/>
              <w:rPr>
                <w:rFonts w:ascii="Tahoma" w:hAnsi="Tahoma" w:cs="Tahoma"/>
                <w:sz w:val="19"/>
                <w:szCs w:val="19"/>
                <w:rtl/>
              </w:rPr>
            </w:pPr>
            <w:r w:rsidRPr="003166C9">
              <w:rPr>
                <w:rFonts w:ascii="Tahoma" w:hAnsi="Tahoma" w:cs="Tahoma"/>
                <w:sz w:val="19"/>
                <w:szCs w:val="19"/>
                <w:rtl/>
              </w:rPr>
              <w:t>מספקים מים למגזר העירוני, ל-6.6 מיליון תושבים ב-155 רשויות מקומיות</w:t>
            </w:r>
          </w:p>
        </w:tc>
        <w:tc>
          <w:tcPr>
            <w:tcW w:w="461" w:type="dxa"/>
          </w:tcPr>
          <w:p w:rsidR="00371CB0" w:rsidRPr="003166C9" w:rsidP="003A5C36">
            <w:pPr>
              <w:spacing w:line="264" w:lineRule="auto"/>
              <w:rPr>
                <w:rFonts w:ascii="Tahoma" w:hAnsi="Tahoma" w:cs="Tahoma"/>
                <w:sz w:val="19"/>
                <w:szCs w:val="19"/>
                <w:rtl/>
              </w:rPr>
            </w:pPr>
          </w:p>
        </w:tc>
        <w:tc>
          <w:tcPr>
            <w:tcW w:w="2178" w:type="dxa"/>
          </w:tcPr>
          <w:p w:rsidR="00371CB0" w:rsidRPr="003166C9" w:rsidP="003A5C36">
            <w:pPr>
              <w:spacing w:line="264" w:lineRule="auto"/>
              <w:rPr>
                <w:rFonts w:ascii="Tahoma" w:hAnsi="Tahoma" w:cs="Tahoma"/>
                <w:sz w:val="19"/>
                <w:szCs w:val="19"/>
                <w:rtl/>
              </w:rPr>
            </w:pPr>
            <w:r w:rsidRPr="003166C9">
              <w:rPr>
                <w:rFonts w:ascii="Tahoma" w:hAnsi="Tahoma" w:cs="Tahoma"/>
                <w:sz w:val="19"/>
                <w:szCs w:val="19"/>
                <w:rtl/>
              </w:rPr>
              <w:t>שהם רשויות מקומיות שאינן מתואגדות, קיבוצים, מושבים, יישובים קהילתיים ואחרים</w:t>
            </w:r>
          </w:p>
        </w:tc>
        <w:tc>
          <w:tcPr>
            <w:tcW w:w="440" w:type="dxa"/>
          </w:tcPr>
          <w:p w:rsidR="00371CB0" w:rsidRPr="003166C9" w:rsidP="003A5C36">
            <w:pPr>
              <w:spacing w:line="264" w:lineRule="auto"/>
              <w:rPr>
                <w:rFonts w:ascii="Tahoma" w:hAnsi="Tahoma" w:cs="Tahoma"/>
                <w:sz w:val="19"/>
                <w:szCs w:val="19"/>
                <w:rtl/>
              </w:rPr>
            </w:pPr>
          </w:p>
        </w:tc>
        <w:tc>
          <w:tcPr>
            <w:tcW w:w="2347" w:type="dxa"/>
            <w:gridSpan w:val="2"/>
          </w:tcPr>
          <w:p w:rsidR="00371CB0" w:rsidRPr="003166C9" w:rsidP="003A5C36">
            <w:pPr>
              <w:spacing w:line="264" w:lineRule="auto"/>
              <w:rPr>
                <w:rFonts w:ascii="Tahoma" w:hAnsi="Tahoma" w:cs="Tahoma"/>
                <w:sz w:val="19"/>
                <w:szCs w:val="19"/>
                <w:rtl/>
              </w:rPr>
            </w:pPr>
            <w:r w:rsidRPr="003166C9">
              <w:rPr>
                <w:rFonts w:ascii="Tahoma" w:hAnsi="Tahoma" w:cs="Tahoma"/>
                <w:sz w:val="19"/>
                <w:szCs w:val="19"/>
                <w:rtl/>
              </w:rPr>
              <w:t>שיעור החריגות  הממוצע בשנים 2014 - 2019 (580 מתוך 100,000 בדיקות, המבוצעות בכל שנה) שהצביעו על הימצאות קוליפורמים וקוליפורמים צואתיים במי השתייה</w:t>
            </w:r>
            <w:r w:rsidRPr="003166C9">
              <w:rPr>
                <w:rFonts w:ascii="Tahoma" w:hAnsi="Tahoma" w:cs="Tahoma"/>
                <w:sz w:val="19"/>
                <w:szCs w:val="19"/>
                <w:rtl/>
              </w:rPr>
              <w:tab/>
            </w:r>
          </w:p>
        </w:tc>
      </w:tr>
      <w:tr w:rsidTr="003A5C36">
        <w:tblPrEx>
          <w:tblW w:w="9401" w:type="dxa"/>
          <w:tblLook w:val="04A0"/>
        </w:tblPrEx>
        <w:trPr>
          <w:trHeight w:val="495"/>
        </w:trPr>
        <w:tc>
          <w:tcPr>
            <w:tcW w:w="9401" w:type="dxa"/>
            <w:gridSpan w:val="9"/>
            <w:vAlign w:val="center"/>
          </w:tcPr>
          <w:p w:rsidR="00371CB0" w:rsidRPr="006C51DB" w:rsidP="003A5C36">
            <w:pPr>
              <w:rPr>
                <w:rFonts w:ascii="Tahoma" w:hAnsi="Tahoma" w:cs="Tahoma"/>
                <w:sz w:val="17"/>
                <w:szCs w:val="17"/>
                <w:rtl/>
              </w:rPr>
            </w:pPr>
          </w:p>
        </w:tc>
      </w:tr>
      <w:tr w:rsidTr="003A5C36">
        <w:tblPrEx>
          <w:tblW w:w="9401" w:type="dxa"/>
          <w:tblLook w:val="04A0"/>
        </w:tblPrEx>
        <w:trPr>
          <w:trHeight w:val="495"/>
        </w:trPr>
        <w:tc>
          <w:tcPr>
            <w:tcW w:w="9401" w:type="dxa"/>
            <w:gridSpan w:val="9"/>
            <w:vAlign w:val="center"/>
          </w:tcPr>
          <w:p w:rsidR="00371CB0" w:rsidRPr="006C51DB" w:rsidP="003A5C36">
            <w:pPr>
              <w:rPr>
                <w:rFonts w:ascii="Tahoma" w:hAnsi="Tahoma" w:cs="Tahoma"/>
                <w:sz w:val="17"/>
                <w:szCs w:val="17"/>
                <w:rtl/>
              </w:rPr>
            </w:pPr>
            <w:r w:rsidRPr="006C51DB">
              <w:rPr>
                <w:rFonts w:ascii="Tahoma" w:hAnsi="Tahoma" w:cs="Tahoma"/>
                <w:noProof/>
              </w:rPr>
              <w:drawing>
                <wp:inline distT="0" distB="0" distL="0" distR="0">
                  <wp:extent cx="5832510" cy="4984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3A5C36">
        <w:tblPrEx>
          <w:tblW w:w="9401" w:type="dxa"/>
          <w:tblLook w:val="04A0"/>
        </w:tblPrEx>
        <w:trPr>
          <w:trHeight w:val="709"/>
        </w:trPr>
        <w:tc>
          <w:tcPr>
            <w:tcW w:w="900" w:type="dxa"/>
            <w:vAlign w:val="center"/>
          </w:tcPr>
          <w:p w:rsidR="00371CB0" w:rsidRPr="006C51DB" w:rsidP="003A5C36">
            <w:pPr>
              <w:rPr>
                <w:rFonts w:ascii="Tahoma" w:hAnsi="Tahoma" w:cs="Tahoma"/>
                <w:sz w:val="17"/>
                <w:szCs w:val="17"/>
                <w:rtl/>
              </w:rPr>
            </w:pPr>
            <w:r w:rsidRPr="006C51DB">
              <w:rPr>
                <w:rFonts w:ascii="Tahoma" w:hAnsi="Tahoma" w:cs="Tahoma"/>
                <w:noProof/>
              </w:rPr>
              <w:drawing>
                <wp:anchor distT="0" distB="0" distL="114300" distR="114300" simplePos="0" relativeHeight="251661312" behindDoc="0" locked="0" layoutInCell="1" allowOverlap="1">
                  <wp:simplePos x="0" y="0"/>
                  <wp:positionH relativeFrom="column">
                    <wp:posOffset>635</wp:posOffset>
                  </wp:positionH>
                  <wp:positionV relativeFrom="paragraph">
                    <wp:posOffset>-367665</wp:posOffset>
                  </wp:positionV>
                  <wp:extent cx="445135" cy="44513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DB">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1" w:type="dxa"/>
            <w:gridSpan w:val="8"/>
            <w:vAlign w:val="center"/>
          </w:tcPr>
          <w:p w:rsidR="00371CB0" w:rsidRPr="006C51DB" w:rsidP="003A5C36">
            <w:pPr>
              <w:spacing w:line="264" w:lineRule="auto"/>
              <w:jc w:val="both"/>
              <w:rPr>
                <w:rFonts w:ascii="Tahoma" w:hAnsi="Tahoma" w:cs="Tahoma"/>
                <w:sz w:val="19"/>
                <w:szCs w:val="19"/>
                <w:rtl/>
              </w:rPr>
            </w:pPr>
            <w:r w:rsidRPr="003166C9">
              <w:rPr>
                <w:rFonts w:ascii="Tahoma" w:hAnsi="Tahoma" w:cs="Tahoma"/>
                <w:sz w:val="19"/>
                <w:szCs w:val="19"/>
                <w:rtl/>
              </w:rPr>
              <w:t>בשנת 2015 פרסם משרד מבקר המדינה דוח בעניין פעולות הרשויות המקומיות וספקי המים להבטחת איכות מי השתייה</w:t>
            </w:r>
            <w:r>
              <w:rPr>
                <w:rFonts w:ascii="Tahoma" w:hAnsi="Tahoma" w:cs="Tahoma"/>
                <w:sz w:val="19"/>
                <w:szCs w:val="19"/>
                <w:vertAlign w:val="superscript"/>
                <w:rtl/>
              </w:rPr>
              <w:footnoteReference w:id="3"/>
            </w:r>
            <w:r w:rsidRPr="003166C9">
              <w:rPr>
                <w:rFonts w:ascii="Tahoma" w:hAnsi="Tahoma" w:cs="Tahoma"/>
                <w:sz w:val="19"/>
                <w:szCs w:val="19"/>
                <w:rtl/>
              </w:rPr>
              <w:t xml:space="preserve"> (הדוח הקודם או הביקורת הקודמת).</w:t>
            </w:r>
            <w:r w:rsidRPr="003166C9">
              <w:rPr>
                <w:rFonts w:ascii="Tahoma" w:eastAsia="Calibri" w:hAnsi="Tahoma" w:cs="Tahoma"/>
                <w:sz w:val="20"/>
                <w:szCs w:val="24"/>
                <w:rtl/>
              </w:rPr>
              <w:t xml:space="preserve"> </w:t>
            </w:r>
            <w:r w:rsidRPr="003166C9">
              <w:rPr>
                <w:rFonts w:ascii="Tahoma" w:hAnsi="Tahoma" w:cs="Tahoma"/>
                <w:sz w:val="19"/>
                <w:szCs w:val="19"/>
                <w:rtl/>
              </w:rPr>
              <w:t>בחודשים ינואר עד מרץ 2020 בדק משרד מבקר המדינה את פעולותיהם של ספקי המים והרשויות המקומיות לתיקון הליקויים העיקריים שצוינו בדוח הקודם בתחום הבטחת איכות מי השתייה. בדוח הנוכחי מובאים ממצאי המעקב אחר תיקון הליקויים העיקריים שצוינו בדוח הקודם.</w:t>
            </w:r>
            <w:r w:rsidRPr="003166C9">
              <w:rPr>
                <w:rFonts w:ascii="Tahoma" w:eastAsia="Calibri" w:hAnsi="Tahoma" w:cs="Tahoma"/>
                <w:szCs w:val="24"/>
                <w:rtl/>
              </w:rPr>
              <w:t xml:space="preserve"> </w:t>
            </w:r>
            <w:r w:rsidRPr="003166C9">
              <w:rPr>
                <w:rFonts w:ascii="Tahoma" w:hAnsi="Tahoma" w:cs="Tahoma"/>
                <w:sz w:val="19"/>
                <w:szCs w:val="19"/>
                <w:rtl/>
              </w:rPr>
              <w:t>המעקב נעשה בכמה תאגידי מים, ברשויות מקומיות, במקורות, אצל ספקי מים אחרים ובמשרד הבריאות</w:t>
            </w:r>
            <w:r>
              <w:rPr>
                <w:rFonts w:ascii="Tahoma" w:hAnsi="Tahoma" w:cs="Tahoma" w:hint="cs"/>
                <w:sz w:val="19"/>
                <w:szCs w:val="19"/>
                <w:rtl/>
              </w:rPr>
              <w:t>.</w:t>
            </w:r>
          </w:p>
        </w:tc>
      </w:tr>
      <w:tr w:rsidTr="003A5C36">
        <w:tblPrEx>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12" w:type="dxa"/>
          <w:trHeight w:val="2555"/>
        </w:trPr>
        <w:tc>
          <w:tcPr>
            <w:tcW w:w="9289" w:type="dxa"/>
            <w:gridSpan w:val="8"/>
            <w:tcBorders>
              <w:top w:val="nil"/>
              <w:left w:val="nil"/>
              <w:bottom w:val="nil"/>
              <w:right w:val="nil"/>
            </w:tcBorders>
          </w:tcPr>
          <w:p w:rsidR="00371CB0" w:rsidRPr="006C51DB" w:rsidP="003A5C36">
            <w:pPr>
              <w:rPr>
                <w:rFonts w:ascii="Tahoma" w:hAnsi="Tahoma" w:cs="Tahoma"/>
                <w:rtl/>
              </w:rPr>
            </w:pPr>
            <w:r w:rsidRPr="006C51DB">
              <w:rPr>
                <w:rFonts w:ascii="Tahoma" w:hAnsi="Tahoma" w:cs="Tahoma"/>
                <w:noProof/>
              </w:rPr>
              <w:drawing>
                <wp:inline distT="0" distB="0" distL="0" distR="0">
                  <wp:extent cx="5748020" cy="414010"/>
                  <wp:effectExtent l="0" t="0" r="0" b="57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30029"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371CB0" w:rsidP="003A5C36">
            <w:pPr>
              <w:rPr>
                <w:rFonts w:ascii="Tahoma" w:hAnsi="Tahoma" w:cs="Tahoma"/>
                <w:rtl/>
              </w:rPr>
            </w:pPr>
          </w:p>
          <w:p w:rsidR="00371CB0" w:rsidP="003A5C36">
            <w:pPr>
              <w:rPr>
                <w:rFonts w:ascii="Tahoma" w:hAnsi="Tahoma" w:cs="Tahoma"/>
                <w:rtl/>
              </w:rPr>
            </w:pPr>
          </w:p>
          <w:p w:rsidR="00371CB0" w:rsidRPr="006C51DB" w:rsidP="003A5C36">
            <w:pPr>
              <w:rPr>
                <w:rFonts w:ascii="Tahoma" w:hAnsi="Tahoma" w:cs="Tahoma"/>
                <w:rtl/>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371CB0" w:rsidRPr="003166C9" w:rsidP="00371CB0">
            <w:pPr>
              <w:numPr>
                <w:ilvl w:val="0"/>
                <w:numId w:val="1"/>
              </w:numPr>
              <w:spacing w:after="79" w:line="288" w:lineRule="auto"/>
              <w:ind w:left="653" w:hanging="653"/>
              <w:jc w:val="both"/>
              <w:rPr>
                <w:rFonts w:ascii="Tahoma" w:hAnsi="Tahoma" w:cs="Tahoma"/>
                <w:sz w:val="19"/>
                <w:szCs w:val="19"/>
              </w:rPr>
            </w:pPr>
            <w:r w:rsidRPr="003166C9">
              <w:rPr>
                <w:rFonts w:ascii="Tahoma" w:hAnsi="Tahoma" w:cs="Tahoma"/>
                <w:b/>
                <w:bCs/>
                <w:sz w:val="19"/>
                <w:szCs w:val="19"/>
                <w:rtl/>
              </w:rPr>
              <w:t>הבטחת איכות מי השתייה על ידי  ספקים</w:t>
            </w:r>
            <w:r w:rsidRPr="003166C9">
              <w:rPr>
                <w:rFonts w:ascii="Tahoma" w:hAnsi="Tahoma" w:cs="Tahoma"/>
                <w:b/>
                <w:bCs/>
                <w:sz w:val="19"/>
                <w:szCs w:val="19"/>
              </w:rPr>
              <w:t xml:space="preserve"> </w:t>
            </w:r>
            <w:r w:rsidRPr="003166C9">
              <w:rPr>
                <w:rFonts w:ascii="Tahoma" w:hAnsi="Tahoma" w:cs="Tahoma"/>
                <w:b/>
                <w:bCs/>
                <w:sz w:val="19"/>
                <w:szCs w:val="19"/>
                <w:rtl/>
              </w:rPr>
              <w:t>-</w:t>
            </w:r>
            <w:r w:rsidRPr="003166C9">
              <w:rPr>
                <w:rFonts w:ascii="Tahoma" w:hAnsi="Tahoma" w:cs="Tahoma"/>
                <w:sz w:val="19"/>
                <w:szCs w:val="19"/>
                <w:rtl/>
              </w:rPr>
              <w:t xml:space="preserve"> נמצאו שלושה ספקים שרמת תיקון הליקויים אצלם טעונה שיפור - עיריית נשר, ספק המים המקומי באחיהוד והוועד המקומי תל יוסף. ספקים אלה לא פעלו על פי הנחיות משרד הבריאות: </w:t>
            </w:r>
          </w:p>
          <w:p w:rsidR="00371CB0" w:rsidRPr="00CA27FD" w:rsidP="00371CB0">
            <w:pPr>
              <w:pStyle w:val="ListParagraph"/>
              <w:numPr>
                <w:ilvl w:val="0"/>
                <w:numId w:val="2"/>
              </w:numPr>
              <w:spacing w:after="79" w:line="288" w:lineRule="auto"/>
              <w:ind w:left="936" w:hanging="283"/>
              <w:contextualSpacing w:val="0"/>
              <w:jc w:val="both"/>
              <w:rPr>
                <w:rFonts w:ascii="Tahoma" w:hAnsi="Tahoma" w:cs="Tahoma"/>
                <w:sz w:val="19"/>
                <w:szCs w:val="19"/>
              </w:rPr>
            </w:pPr>
            <w:r w:rsidRPr="00CA27FD">
              <w:rPr>
                <w:rFonts w:ascii="Tahoma" w:hAnsi="Tahoma" w:cs="Tahoma"/>
                <w:sz w:val="19"/>
                <w:szCs w:val="19"/>
                <w:rtl/>
              </w:rPr>
              <w:t xml:space="preserve">בביקורת הקודמת נמצא כי עיריית נשר לא שטפה את מאגרי מי השתייה שבאחריותה משנת 2008 במשך שש שנים ועשתה כן במהלך הביקורת הקודמת. בביקורת המעקב נמצא כי בשנים 2017 - 2019 העירייה לא שטפה ולא חיטאה את המאגרים ועשתה זאת במהלך ביקורת המעקב, בינואר 2020. </w:t>
            </w:r>
          </w:p>
          <w:p w:rsidR="00371CB0" w:rsidRPr="003166C9" w:rsidP="00371CB0">
            <w:pPr>
              <w:pStyle w:val="ListParagraph"/>
              <w:numPr>
                <w:ilvl w:val="0"/>
                <w:numId w:val="2"/>
              </w:numPr>
              <w:spacing w:after="79" w:line="288" w:lineRule="auto"/>
              <w:ind w:left="936" w:hanging="283"/>
              <w:contextualSpacing w:val="0"/>
              <w:jc w:val="both"/>
              <w:rPr>
                <w:rFonts w:ascii="Tahoma" w:hAnsi="Tahoma" w:cs="Tahoma"/>
                <w:sz w:val="19"/>
                <w:szCs w:val="19"/>
              </w:rPr>
            </w:pPr>
            <w:r w:rsidRPr="003166C9">
              <w:rPr>
                <w:rFonts w:ascii="Tahoma" w:hAnsi="Tahoma" w:cs="Tahoma"/>
                <w:sz w:val="19"/>
                <w:szCs w:val="19"/>
                <w:rtl/>
              </w:rPr>
              <w:t>בביקורת הקודמת עלה כי הוועד המקומי של קיבוץ תל יוסף שאצלו נמצאו זיהומים חוזרים לא מילא במלואן את דרישות משרד הבריאות לטיפול בזיהומים ולמניעת הישנותם.</w:t>
            </w:r>
          </w:p>
          <w:p w:rsidR="00371CB0" w:rsidRPr="003166C9" w:rsidP="00371CB0">
            <w:pPr>
              <w:pStyle w:val="ListParagraph"/>
              <w:numPr>
                <w:ilvl w:val="0"/>
                <w:numId w:val="2"/>
              </w:numPr>
              <w:spacing w:after="79" w:line="288" w:lineRule="auto"/>
              <w:ind w:left="936" w:hanging="283"/>
              <w:contextualSpacing w:val="0"/>
              <w:jc w:val="both"/>
              <w:rPr>
                <w:rFonts w:ascii="Tahoma" w:hAnsi="Tahoma" w:cs="Tahoma"/>
                <w:sz w:val="19"/>
                <w:szCs w:val="19"/>
              </w:rPr>
            </w:pPr>
            <w:r w:rsidRPr="003166C9">
              <w:rPr>
                <w:rFonts w:ascii="Tahoma" w:hAnsi="Tahoma" w:cs="Tahoma"/>
                <w:sz w:val="19"/>
                <w:szCs w:val="19"/>
                <w:rtl/>
              </w:rPr>
              <w:t xml:space="preserve">בביקורת הקודמת עלה כי ספק המים המקומי של מושב אחיהוד לא פעל בהתאם להנחיות משרד הבריאות, מה שיצר זיהום במי השתייה והצריך את הרתחתם. </w:t>
            </w:r>
          </w:p>
          <w:p w:rsidR="00371CB0" w:rsidRPr="003166C9" w:rsidP="003A5C36">
            <w:pPr>
              <w:pStyle w:val="ListParagraph"/>
              <w:spacing w:after="79" w:line="288" w:lineRule="auto"/>
              <w:ind w:left="653"/>
              <w:contextualSpacing w:val="0"/>
              <w:jc w:val="both"/>
              <w:rPr>
                <w:rFonts w:ascii="Tahoma" w:hAnsi="Tahoma" w:cs="Tahoma"/>
                <w:sz w:val="19"/>
                <w:szCs w:val="19"/>
              </w:rPr>
            </w:pPr>
            <w:r w:rsidRPr="003166C9">
              <w:rPr>
                <w:rFonts w:ascii="Tahoma" w:hAnsi="Tahoma" w:cs="Tahoma"/>
                <w:sz w:val="19"/>
                <w:szCs w:val="19"/>
                <w:rtl/>
              </w:rPr>
              <w:t xml:space="preserve">בביקורת המעקב נמצא כי ספקים אלו ממשיכים שלא לפעול לפי הנחיות משרד הבריאות שמטרתן להבטיח את איכות מי השתייה שהם מספקים. </w:t>
            </w:r>
          </w:p>
          <w:p w:rsidR="00371CB0" w:rsidRPr="003166C9" w:rsidP="00371CB0">
            <w:pPr>
              <w:numPr>
                <w:ilvl w:val="0"/>
                <w:numId w:val="1"/>
              </w:numPr>
              <w:spacing w:after="79" w:line="288" w:lineRule="auto"/>
              <w:ind w:left="653" w:hanging="653"/>
              <w:jc w:val="both"/>
              <w:rPr>
                <w:rFonts w:ascii="Tahoma" w:hAnsi="Tahoma" w:cs="Tahoma"/>
                <w:sz w:val="19"/>
                <w:szCs w:val="19"/>
                <w:rtl/>
              </w:rPr>
            </w:pPr>
            <w:r w:rsidRPr="003166C9">
              <w:rPr>
                <w:rFonts w:ascii="Tahoma" w:hAnsi="Tahoma" w:cs="Tahoma"/>
                <w:b/>
                <w:bCs/>
                <w:sz w:val="19"/>
                <w:szCs w:val="19"/>
                <w:rtl/>
              </w:rPr>
              <w:t>עמידה בתוכנית הדיגום</w:t>
            </w:r>
            <w:r w:rsidRPr="003166C9">
              <w:rPr>
                <w:rFonts w:ascii="Tahoma" w:hAnsi="Tahoma" w:cs="Tahoma"/>
                <w:b/>
                <w:bCs/>
                <w:sz w:val="19"/>
                <w:szCs w:val="19"/>
              </w:rPr>
              <w:t xml:space="preserve"> </w:t>
            </w:r>
            <w:r w:rsidRPr="003166C9">
              <w:rPr>
                <w:rFonts w:ascii="Tahoma" w:hAnsi="Tahoma" w:cs="Tahoma"/>
                <w:b/>
                <w:bCs/>
                <w:sz w:val="19"/>
                <w:szCs w:val="19"/>
                <w:rtl/>
              </w:rPr>
              <w:t>-</w:t>
            </w:r>
            <w:r w:rsidRPr="003166C9">
              <w:rPr>
                <w:rFonts w:ascii="Tahoma" w:hAnsi="Tahoma" w:cs="Tahoma"/>
                <w:sz w:val="19"/>
                <w:szCs w:val="19"/>
                <w:rtl/>
              </w:rPr>
              <w:t xml:space="preserve"> בביקורת הקודמת נמצאו 28 ספקים שלא עמדו בתוכנית הדיגום השנתית לביצוע בדיקות מיקרוביאליות וכימיות במערכת אספקת המים. בביקורת המעקב נמצא כי 11 מהם לא עמדו בתוכנית הדיגום, בעיקר בנוגע לבדיקות להימצאות מתכות מזיקות במי השתייה.</w:t>
            </w:r>
          </w:p>
          <w:p w:rsidR="00371CB0" w:rsidRPr="003166C9" w:rsidP="00371CB0">
            <w:pPr>
              <w:numPr>
                <w:ilvl w:val="0"/>
                <w:numId w:val="1"/>
              </w:numPr>
              <w:spacing w:after="79" w:line="288" w:lineRule="auto"/>
              <w:ind w:left="653" w:hanging="653"/>
              <w:jc w:val="both"/>
              <w:rPr>
                <w:rFonts w:ascii="Tahoma" w:hAnsi="Tahoma" w:cs="Tahoma"/>
                <w:sz w:val="19"/>
                <w:szCs w:val="19"/>
              </w:rPr>
            </w:pPr>
            <w:r w:rsidRPr="003166C9">
              <w:rPr>
                <w:rFonts w:ascii="Tahoma" w:hAnsi="Tahoma" w:cs="Tahoma"/>
                <w:b/>
                <w:bCs/>
                <w:sz w:val="19"/>
                <w:szCs w:val="19"/>
                <w:rtl/>
              </w:rPr>
              <w:t>תיקון ליקויים שמצא משרד הבריאות</w:t>
            </w:r>
            <w:r w:rsidRPr="003166C9">
              <w:rPr>
                <w:rFonts w:ascii="Tahoma" w:hAnsi="Tahoma" w:cs="Tahoma"/>
                <w:b/>
                <w:bCs/>
                <w:sz w:val="19"/>
                <w:szCs w:val="19"/>
              </w:rPr>
              <w:t xml:space="preserve"> </w:t>
            </w:r>
            <w:r w:rsidRPr="003166C9">
              <w:rPr>
                <w:rFonts w:ascii="Tahoma" w:hAnsi="Tahoma" w:cs="Tahoma"/>
                <w:b/>
                <w:bCs/>
                <w:sz w:val="19"/>
                <w:szCs w:val="19"/>
                <w:rtl/>
              </w:rPr>
              <w:t>-</w:t>
            </w:r>
            <w:r w:rsidRPr="003166C9">
              <w:rPr>
                <w:rFonts w:ascii="Tahoma" w:hAnsi="Tahoma" w:cs="Tahoma"/>
                <w:sz w:val="19"/>
                <w:szCs w:val="19"/>
                <w:rtl/>
              </w:rPr>
              <w:t xml:space="preserve"> בביקורת הקודמת מצא משרד מבקר המדינה כי בארבעה מקרים ערך משרד הבריאות ביקורות חוזרות אצל ספקי מים, אך מצא ליקויים חוזרים שהספקים לא פעלו לתיקונם. בביקורת המעקב שעשה משרד מבקר המדינה נמצא כי שלושה מהספקים עדיין לא השלימו את תיקון הליקויים.</w:t>
            </w:r>
          </w:p>
          <w:p w:rsidR="00371CB0" w:rsidP="00371CB0">
            <w:pPr>
              <w:numPr>
                <w:ilvl w:val="0"/>
                <w:numId w:val="1"/>
              </w:numPr>
              <w:spacing w:after="79" w:line="288" w:lineRule="auto"/>
              <w:ind w:left="653" w:hanging="653"/>
              <w:jc w:val="both"/>
              <w:rPr>
                <w:rFonts w:ascii="Tahoma" w:hAnsi="Tahoma" w:cs="Tahoma"/>
                <w:sz w:val="19"/>
                <w:szCs w:val="19"/>
              </w:rPr>
            </w:pPr>
            <w:r w:rsidRPr="003166C9">
              <w:rPr>
                <w:rFonts w:ascii="Tahoma" w:hAnsi="Tahoma" w:cs="Tahoma"/>
                <w:b/>
                <w:bCs/>
                <w:sz w:val="19"/>
                <w:szCs w:val="19"/>
                <w:rtl/>
              </w:rPr>
              <w:t>נתונים על מונעי זרימה חוזרת (מז"חים)</w:t>
            </w:r>
            <w:r w:rsidRPr="003166C9">
              <w:rPr>
                <w:rFonts w:ascii="Tahoma" w:hAnsi="Tahoma" w:cs="Tahoma"/>
                <w:b/>
                <w:bCs/>
                <w:sz w:val="19"/>
                <w:szCs w:val="19"/>
              </w:rPr>
              <w:t xml:space="preserve"> </w:t>
            </w:r>
            <w:r w:rsidRPr="003166C9">
              <w:rPr>
                <w:rFonts w:ascii="Tahoma" w:hAnsi="Tahoma" w:cs="Tahoma"/>
                <w:b/>
                <w:bCs/>
                <w:sz w:val="19"/>
                <w:szCs w:val="19"/>
                <w:rtl/>
              </w:rPr>
              <w:t>-</w:t>
            </w:r>
            <w:r w:rsidRPr="003166C9">
              <w:rPr>
                <w:rFonts w:ascii="Tahoma" w:hAnsi="Tahoma" w:cs="Tahoma"/>
                <w:sz w:val="19"/>
                <w:szCs w:val="19"/>
                <w:rtl/>
              </w:rPr>
              <w:t xml:space="preserve"> למשרד הבריאות אין נתונים עדכניים על טיפול הספקים בתיקון הליקויים שנמצאו בנוגע להתקנת מונעי זרימה חוזרת (מז"חים) בכמה יישובים במגזר החקלאי</w:t>
            </w:r>
          </w:p>
          <w:p w:rsidR="00371CB0" w:rsidRPr="006C51DB" w:rsidP="003A5C36">
            <w:pPr>
              <w:pStyle w:val="ListParagraph"/>
              <w:spacing w:after="79" w:line="288" w:lineRule="auto"/>
              <w:ind w:left="235"/>
              <w:contextualSpacing w:val="0"/>
              <w:jc w:val="both"/>
              <w:rPr>
                <w:rFonts w:ascii="Tahoma" w:hAnsi="Tahoma" w:cs="Tahoma"/>
                <w:sz w:val="19"/>
                <w:szCs w:val="19"/>
              </w:rPr>
            </w:pPr>
          </w:p>
          <w:p w:rsidR="00371CB0" w:rsidRPr="006C51DB" w:rsidP="003A5C36">
            <w:pPr>
              <w:pStyle w:val="ListParagraph"/>
              <w:spacing w:after="105" w:line="312" w:lineRule="auto"/>
              <w:ind w:left="299" w:hanging="299"/>
              <w:contextualSpacing w:val="0"/>
              <w:jc w:val="both"/>
              <w:rPr>
                <w:rFonts w:ascii="Tahoma" w:hAnsi="Tahoma" w:cs="Tahoma"/>
                <w:sz w:val="19"/>
                <w:szCs w:val="19"/>
                <w:rtl/>
              </w:rPr>
            </w:pPr>
            <w:r>
              <w:rPr>
                <w:rFonts w:ascii="Tahoma" w:hAnsi="Tahoma" w:cs="Tahoma" w:hint="cs"/>
                <w:noProof/>
                <w:sz w:val="19"/>
                <w:szCs w:val="19"/>
                <w:rtl/>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371CB0" w:rsidRPr="003166C9" w:rsidP="003A5C36">
            <w:pPr>
              <w:spacing w:after="158" w:line="288" w:lineRule="auto"/>
              <w:jc w:val="both"/>
              <w:rPr>
                <w:rFonts w:ascii="Tahoma" w:hAnsi="Tahoma" w:cs="Tahoma"/>
                <w:sz w:val="19"/>
                <w:szCs w:val="19"/>
              </w:rPr>
            </w:pPr>
            <w:r w:rsidRPr="003166C9">
              <w:rPr>
                <w:rFonts w:ascii="Tahoma" w:hAnsi="Tahoma" w:cs="Tahoma"/>
                <w:b/>
                <w:bCs/>
                <w:sz w:val="19"/>
                <w:szCs w:val="19"/>
                <w:rtl/>
              </w:rPr>
              <w:t>הסדרת קידוחי מי השתייה</w:t>
            </w:r>
            <w:r w:rsidRPr="003166C9">
              <w:rPr>
                <w:rFonts w:ascii="Tahoma" w:hAnsi="Tahoma" w:cs="Tahoma"/>
                <w:b/>
                <w:bCs/>
                <w:sz w:val="19"/>
                <w:szCs w:val="19"/>
              </w:rPr>
              <w:t xml:space="preserve"> </w:t>
            </w:r>
            <w:r w:rsidRPr="003166C9">
              <w:rPr>
                <w:rFonts w:ascii="Tahoma" w:hAnsi="Tahoma" w:cs="Tahoma"/>
                <w:b/>
                <w:bCs/>
                <w:sz w:val="19"/>
                <w:szCs w:val="19"/>
                <w:rtl/>
              </w:rPr>
              <w:t>-</w:t>
            </w:r>
            <w:r w:rsidRPr="003166C9">
              <w:rPr>
                <w:rFonts w:ascii="Tahoma" w:hAnsi="Tahoma" w:cs="Tahoma"/>
                <w:sz w:val="19"/>
                <w:szCs w:val="19"/>
                <w:rtl/>
              </w:rPr>
              <w:t xml:space="preserve"> בביקורת הקודמת נמצא כי 4</w:t>
            </w:r>
            <w:r>
              <w:rPr>
                <w:rFonts w:ascii="Tahoma" w:hAnsi="Tahoma" w:cs="Tahoma" w:hint="cs"/>
                <w:sz w:val="19"/>
                <w:szCs w:val="19"/>
                <w:rtl/>
              </w:rPr>
              <w:t>8</w:t>
            </w:r>
            <w:r w:rsidRPr="003166C9">
              <w:rPr>
                <w:rFonts w:ascii="Tahoma" w:hAnsi="Tahoma" w:cs="Tahoma"/>
                <w:sz w:val="19"/>
                <w:szCs w:val="19"/>
                <w:rtl/>
              </w:rPr>
              <w:t xml:space="preserve"> קידוחי מי שתייה פעלו ללא אישור משרד הבריאות או רישיון עסק, ובמרבית הקידוחים היו מפגעים בתחום אזורי המגן, העלולים לגרום זיהום במי הקידוח. ביקורת המעקב העלתה כי במועד סיום הביקורת פעלו שני קידוחים בלבד ללא אישור. </w:t>
            </w:r>
          </w:p>
          <w:p w:rsidR="00371CB0" w:rsidRPr="003166C9" w:rsidP="003A5C36">
            <w:pPr>
              <w:spacing w:after="158" w:line="288" w:lineRule="auto"/>
              <w:jc w:val="both"/>
              <w:rPr>
                <w:rFonts w:ascii="Tahoma" w:hAnsi="Tahoma" w:cs="Tahoma"/>
                <w:sz w:val="19"/>
                <w:szCs w:val="19"/>
              </w:rPr>
            </w:pPr>
            <w:r w:rsidRPr="003166C9">
              <w:rPr>
                <w:rFonts w:ascii="Tahoma" w:hAnsi="Tahoma" w:cs="Tahoma"/>
                <w:b/>
                <w:bCs/>
                <w:sz w:val="19"/>
                <w:szCs w:val="19"/>
                <w:rtl/>
              </w:rPr>
              <w:t>התקנת מערכת אוטומטית להזנת חומר חיטוי</w:t>
            </w:r>
            <w:r w:rsidRPr="003166C9">
              <w:rPr>
                <w:rFonts w:ascii="Tahoma" w:hAnsi="Tahoma" w:cs="Tahoma"/>
                <w:sz w:val="19"/>
                <w:szCs w:val="19"/>
              </w:rPr>
              <w:t xml:space="preserve"> </w:t>
            </w:r>
            <w:r w:rsidRPr="003166C9">
              <w:rPr>
                <w:rFonts w:ascii="Tahoma" w:hAnsi="Tahoma" w:cs="Tahoma"/>
                <w:b/>
                <w:bCs/>
                <w:sz w:val="19"/>
                <w:szCs w:val="19"/>
                <w:rtl/>
              </w:rPr>
              <w:t>-</w:t>
            </w:r>
            <w:r w:rsidRPr="003166C9">
              <w:rPr>
                <w:rFonts w:ascii="Tahoma" w:hAnsi="Tahoma" w:cs="Tahoma"/>
                <w:sz w:val="19"/>
                <w:szCs w:val="19"/>
                <w:rtl/>
              </w:rPr>
              <w:t xml:space="preserve"> בביקורת הקודמת נמצא כי בקידוחים שמפעילים תאגידי המים מי אונו, מי אביבים ומעיינות המשולש לא הותקנה מערכת אוטומטית ומבוקרת להזנת חומר חיטוי. ביקורת המעקב העלתה כי הליקוי תוקן, וכי בקידוחים שמפעילים ספקים אלה הותקנה מערכת אוטומטית כאמור.</w:t>
            </w:r>
          </w:p>
          <w:p w:rsidR="00371CB0" w:rsidRPr="003166C9" w:rsidP="003A5C36">
            <w:pPr>
              <w:spacing w:after="158" w:line="288" w:lineRule="auto"/>
              <w:jc w:val="both"/>
              <w:rPr>
                <w:rFonts w:ascii="Tahoma" w:hAnsi="Tahoma" w:cs="Tahoma"/>
                <w:sz w:val="19"/>
                <w:szCs w:val="19"/>
              </w:rPr>
            </w:pPr>
            <w:r w:rsidRPr="003166C9">
              <w:rPr>
                <w:rFonts w:ascii="Tahoma" w:hAnsi="Tahoma" w:cs="Tahoma"/>
                <w:b/>
                <w:bCs/>
                <w:sz w:val="19"/>
                <w:szCs w:val="19"/>
                <w:rtl/>
              </w:rPr>
              <w:t>שטיפת מאגרי מי השתייה בטירת כרמל</w:t>
            </w:r>
            <w:r w:rsidRPr="003166C9">
              <w:rPr>
                <w:rFonts w:ascii="Tahoma" w:hAnsi="Tahoma" w:cs="Tahoma"/>
                <w:sz w:val="19"/>
                <w:szCs w:val="19"/>
                <w:rtl/>
              </w:rPr>
              <w:t xml:space="preserve"> </w:t>
            </w:r>
            <w:r w:rsidRPr="003166C9">
              <w:rPr>
                <w:rFonts w:ascii="Tahoma" w:hAnsi="Tahoma" w:cs="Tahoma"/>
                <w:b/>
                <w:bCs/>
                <w:sz w:val="19"/>
                <w:szCs w:val="19"/>
                <w:rtl/>
              </w:rPr>
              <w:t>-</w:t>
            </w:r>
            <w:r w:rsidRPr="003166C9">
              <w:rPr>
                <w:rFonts w:ascii="Tahoma" w:hAnsi="Tahoma" w:cs="Tahoma"/>
                <w:sz w:val="19"/>
                <w:szCs w:val="19"/>
                <w:rtl/>
              </w:rPr>
              <w:t xml:space="preserve"> בביקורת הקודמת נמצא כי עיריית טירת כרמל לא שטפה את מאגרי מי השתייה שבאחריותה במשך כשבע שנים. בביקורת המעקב נמצא כי בספטמבר 2016 הצטרפה טירת כרמל לתאגיד מעיינות החוף, ומשנת 2017 התאגיד מבצע שטיפה למאגרים האלה אחת לשנה.</w:t>
            </w:r>
          </w:p>
          <w:p w:rsidR="00371CB0" w:rsidRPr="003166C9" w:rsidP="003A5C36">
            <w:pPr>
              <w:spacing w:after="158" w:line="288" w:lineRule="auto"/>
              <w:jc w:val="both"/>
              <w:rPr>
                <w:rFonts w:ascii="Tahoma" w:hAnsi="Tahoma" w:cs="Tahoma"/>
                <w:sz w:val="19"/>
                <w:szCs w:val="19"/>
              </w:rPr>
            </w:pPr>
            <w:r w:rsidRPr="003166C9">
              <w:rPr>
                <w:rFonts w:ascii="Tahoma" w:hAnsi="Tahoma" w:cs="Tahoma"/>
                <w:b/>
                <w:bCs/>
                <w:sz w:val="19"/>
                <w:szCs w:val="19"/>
                <w:rtl/>
              </w:rPr>
              <w:t>עמידה בתוכנית דיגום מיקרוביאלי</w:t>
            </w:r>
            <w:r w:rsidRPr="003166C9">
              <w:rPr>
                <w:rFonts w:ascii="Tahoma" w:hAnsi="Tahoma" w:cs="Tahoma"/>
                <w:sz w:val="19"/>
                <w:szCs w:val="19"/>
                <w:rtl/>
              </w:rPr>
              <w:t xml:space="preserve"> </w:t>
            </w:r>
            <w:r w:rsidRPr="003166C9">
              <w:rPr>
                <w:rFonts w:ascii="Tahoma" w:hAnsi="Tahoma" w:cs="Tahoma"/>
                <w:b/>
                <w:bCs/>
                <w:sz w:val="19"/>
                <w:szCs w:val="19"/>
                <w:rtl/>
              </w:rPr>
              <w:t>-</w:t>
            </w:r>
            <w:r w:rsidRPr="003166C9">
              <w:rPr>
                <w:rFonts w:ascii="Tahoma" w:hAnsi="Tahoma" w:cs="Tahoma"/>
                <w:sz w:val="19"/>
                <w:szCs w:val="19"/>
                <w:rtl/>
              </w:rPr>
              <w:t xml:space="preserve"> בביקורת הקודמת נמצא כי 28 ספקי מים לא עמדו בתוכנית הדיגום השנתית לביצוע בדיקות מיקרוביאליות. ביקורת המעקב העלתה כי כל הספקים למעט אחד מבצעים את תוכנית הדיגום המיקרוביאלי כסדרה</w:t>
            </w:r>
            <w:r>
              <w:rPr>
                <w:rFonts w:ascii="Tahoma" w:hAnsi="Tahoma" w:cs="Tahoma"/>
                <w:sz w:val="19"/>
                <w:szCs w:val="19"/>
                <w:vertAlign w:val="superscript"/>
                <w:rtl/>
              </w:rPr>
              <w:footnoteReference w:id="4"/>
            </w:r>
            <w:r w:rsidRPr="003166C9">
              <w:rPr>
                <w:rFonts w:ascii="Tahoma" w:hAnsi="Tahoma" w:cs="Tahoma"/>
                <w:sz w:val="19"/>
                <w:szCs w:val="19"/>
                <w:rtl/>
              </w:rPr>
              <w:t xml:space="preserve">. </w:t>
            </w:r>
          </w:p>
          <w:p w:rsidR="00371CB0" w:rsidRPr="00762C79" w:rsidP="003A5C36">
            <w:pPr>
              <w:spacing w:after="158" w:line="288" w:lineRule="auto"/>
              <w:jc w:val="both"/>
              <w:rPr>
                <w:rFonts w:ascii="Tahoma" w:hAnsi="Tahoma" w:cs="Tahoma"/>
                <w:sz w:val="19"/>
                <w:szCs w:val="19"/>
              </w:rPr>
            </w:pPr>
            <w:r w:rsidRPr="003166C9">
              <w:rPr>
                <w:rFonts w:ascii="Tahoma" w:hAnsi="Tahoma" w:cs="Tahoma"/>
                <w:b/>
                <w:bCs/>
                <w:sz w:val="19"/>
                <w:szCs w:val="19"/>
                <w:rtl/>
              </w:rPr>
              <w:t>טיפול בנושא מונעי זרימה חוזרת (מז"חים)</w:t>
            </w:r>
            <w:r w:rsidRPr="003166C9">
              <w:rPr>
                <w:rFonts w:ascii="Tahoma" w:hAnsi="Tahoma" w:cs="Tahoma"/>
                <w:sz w:val="19"/>
                <w:szCs w:val="19"/>
                <w:rtl/>
              </w:rPr>
              <w:t xml:space="preserve"> </w:t>
            </w:r>
            <w:r w:rsidRPr="003166C9">
              <w:rPr>
                <w:rFonts w:ascii="Tahoma" w:hAnsi="Tahoma" w:cs="Tahoma"/>
                <w:b/>
                <w:bCs/>
                <w:sz w:val="19"/>
                <w:szCs w:val="19"/>
                <w:rtl/>
              </w:rPr>
              <w:t>-</w:t>
            </w:r>
            <w:r w:rsidRPr="003166C9">
              <w:rPr>
                <w:rFonts w:ascii="Tahoma" w:hAnsi="Tahoma" w:cs="Tahoma"/>
                <w:sz w:val="19"/>
                <w:szCs w:val="19"/>
                <w:rtl/>
              </w:rPr>
              <w:t xml:space="preserve"> בביקורת הקודמת נמצא כי תשעה ספקים לא</w:t>
            </w:r>
            <w:r w:rsidRPr="003166C9">
              <w:rPr>
                <w:rFonts w:ascii="Tahoma" w:eastAsia="Calibri" w:hAnsi="Tahoma" w:cs="Tahoma"/>
                <w:sz w:val="24"/>
                <w:szCs w:val="24"/>
                <w:rtl/>
              </w:rPr>
              <w:t xml:space="preserve"> </w:t>
            </w:r>
            <w:r w:rsidRPr="003166C9">
              <w:rPr>
                <w:rFonts w:ascii="Tahoma" w:hAnsi="Tahoma" w:cs="Tahoma"/>
                <w:sz w:val="19"/>
                <w:szCs w:val="19"/>
                <w:rtl/>
              </w:rPr>
              <w:t>עשו רשימה של העסקים בתחומם החייבים בהתקנת מז"ח, לא פיקחו על התקנת המז"ח בעסקים החייבים מז"ח ולא וידאו את תקינותם של המז"חים כנדרש באמצעות מעקב ואכיפה.</w:t>
            </w:r>
            <w:r w:rsidRPr="003166C9">
              <w:rPr>
                <w:rFonts w:ascii="Tahoma" w:hAnsi="Tahoma" w:cs="Tahoma"/>
                <w:b/>
                <w:bCs/>
                <w:sz w:val="19"/>
                <w:szCs w:val="19"/>
                <w:rtl/>
              </w:rPr>
              <w:t xml:space="preserve"> </w:t>
            </w:r>
            <w:r w:rsidRPr="003166C9">
              <w:rPr>
                <w:rFonts w:ascii="Tahoma" w:hAnsi="Tahoma" w:cs="Tahoma"/>
                <w:sz w:val="19"/>
                <w:szCs w:val="19"/>
                <w:rtl/>
              </w:rPr>
              <w:t>בביקורת המעקב נמצא כי שמונה ספקים קידמו את הטיפול בנושא התקנת המז"חים ובדיקת תקינותם</w:t>
            </w:r>
            <w:r>
              <w:rPr>
                <w:rFonts w:ascii="Tahoma" w:hAnsi="Tahoma" w:cs="Tahoma" w:hint="cs"/>
                <w:sz w:val="19"/>
                <w:szCs w:val="19"/>
                <w:rtl/>
              </w:rPr>
              <w:t>.</w:t>
            </w:r>
          </w:p>
        </w:tc>
      </w:tr>
    </w:tbl>
    <w:p w:rsidR="00371CB0" w:rsidRPr="00CA27FD" w:rsidP="00371CB0">
      <w:pPr>
        <w:bidi w:val="0"/>
        <w:jc w:val="both"/>
        <w:rPr>
          <w:rFonts w:ascii="Tahoma" w:hAnsi="Tahoma" w:cs="Tahoma"/>
          <w:color w:val="FF0000"/>
        </w:rPr>
      </w:pPr>
    </w:p>
    <w:tbl>
      <w:tblPr>
        <w:tblStyle w:val="TableGrid"/>
        <w:tblpPr w:leftFromText="180" w:rightFromText="180" w:vertAnchor="text" w:tblpXSpec="center" w:tblpY="1"/>
        <w:tblOverlap w:val="never"/>
        <w:bidiVisual/>
        <w:tblW w:w="9316" w:type="dxa"/>
        <w:tblLayout w:type="fixed"/>
        <w:tblLook w:val="04A0"/>
      </w:tblPr>
      <w:tblGrid>
        <w:gridCol w:w="9309"/>
        <w:gridCol w:w="7"/>
      </w:tblGrid>
      <w:tr w:rsidTr="003A5C36">
        <w:tblPrEx>
          <w:tblW w:w="9316" w:type="dxa"/>
          <w:tblLayout w:type="fixed"/>
          <w:tblLook w:val="04A0"/>
        </w:tblPrEx>
        <w:trPr>
          <w:gridAfter w:val="1"/>
          <w:wAfter w:w="7" w:type="dxa"/>
        </w:trPr>
        <w:tc>
          <w:tcPr>
            <w:tcW w:w="9309" w:type="dxa"/>
            <w:tcBorders>
              <w:top w:val="nil"/>
              <w:left w:val="nil"/>
              <w:bottom w:val="nil"/>
              <w:right w:val="nil"/>
            </w:tcBorders>
          </w:tcPr>
          <w:p w:rsidR="00371CB0" w:rsidRPr="006C51DB" w:rsidP="003A5C36">
            <w:pPr>
              <w:rPr>
                <w:rFonts w:ascii="Tahoma" w:hAnsi="Tahoma" w:cs="Tahoma"/>
                <w:rtl/>
              </w:rPr>
            </w:pPr>
            <w:r w:rsidRPr="006C51DB">
              <w:rPr>
                <w:rFonts w:ascii="Tahoma" w:hAnsi="Tahoma" w:cs="Tahoma"/>
                <w:noProof/>
                <w:rtl/>
              </w:rPr>
              <w:drawing>
                <wp:inline distT="0" distB="0" distL="0" distR="0">
                  <wp:extent cx="5825365" cy="439420"/>
                  <wp:effectExtent l="0" t="0" r="4445"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3A5C36">
        <w:tblPrEx>
          <w:tblW w:w="9316" w:type="dxa"/>
          <w:tblLayout w:type="fixed"/>
          <w:tblLook w:val="04A0"/>
        </w:tblPrEx>
        <w:trPr>
          <w:gridAfter w:val="1"/>
          <w:wAfter w:w="7" w:type="dxa"/>
        </w:trPr>
        <w:tc>
          <w:tcPr>
            <w:tcW w:w="9309" w:type="dxa"/>
            <w:tcBorders>
              <w:top w:val="nil"/>
              <w:left w:val="nil"/>
              <w:bottom w:val="nil"/>
              <w:right w:val="nil"/>
            </w:tcBorders>
          </w:tcPr>
          <w:p w:rsidR="00371CB0" w:rsidRPr="006C51DB" w:rsidP="003A5C36">
            <w:pPr>
              <w:pStyle w:val="ListParagraph"/>
              <w:ind w:left="0"/>
              <w:rPr>
                <w:rFonts w:ascii="Tahoma" w:hAnsi="Tahoma" w:cs="Tahoma"/>
                <w:noProof/>
                <w:rtl/>
              </w:rPr>
            </w:pPr>
          </w:p>
        </w:tc>
      </w:tr>
      <w:tr w:rsidTr="003A5C36">
        <w:tblPrEx>
          <w:tblW w:w="9316" w:type="dxa"/>
          <w:tblLayout w:type="fixed"/>
          <w:tblLook w:val="04A0"/>
        </w:tblPrEx>
        <w:trPr>
          <w:gridAfter w:val="1"/>
          <w:wAfter w:w="7" w:type="dxa"/>
          <w:trHeight w:val="2156"/>
        </w:trPr>
        <w:tc>
          <w:tcPr>
            <w:tcW w:w="9309" w:type="dxa"/>
            <w:tcBorders>
              <w:top w:val="nil"/>
              <w:left w:val="nil"/>
              <w:bottom w:val="nil"/>
              <w:right w:val="nil"/>
            </w:tcBorders>
            <w:shd w:val="clear" w:color="auto" w:fill="F1F5F9"/>
          </w:tcPr>
          <w:p w:rsidR="00371CB0" w:rsidRPr="006C51DB" w:rsidP="003A5C36">
            <w:pPr>
              <w:pStyle w:val="ListParagraph"/>
              <w:spacing w:line="312" w:lineRule="auto"/>
              <w:ind w:left="237"/>
              <w:jc w:val="both"/>
              <w:rPr>
                <w:rFonts w:ascii="Tahoma" w:hAnsi="Tahoma" w:cs="Tahoma"/>
                <w:sz w:val="13"/>
                <w:szCs w:val="13"/>
              </w:rPr>
            </w:pPr>
          </w:p>
          <w:p w:rsidR="00371CB0" w:rsidRPr="003166C9" w:rsidP="00371CB0">
            <w:pPr>
              <w:numPr>
                <w:ilvl w:val="0"/>
                <w:numId w:val="3"/>
              </w:numPr>
              <w:spacing w:after="158" w:line="288" w:lineRule="auto"/>
              <w:ind w:left="421" w:hanging="421"/>
              <w:jc w:val="both"/>
              <w:rPr>
                <w:rFonts w:ascii="Tahoma" w:hAnsi="Tahoma" w:cs="Tahoma"/>
                <w:b/>
                <w:bCs/>
                <w:sz w:val="19"/>
                <w:szCs w:val="19"/>
              </w:rPr>
            </w:pPr>
            <w:r w:rsidRPr="003166C9">
              <w:rPr>
                <w:rFonts w:ascii="Tahoma" w:hAnsi="Tahoma" w:cs="Tahoma"/>
                <w:sz w:val="19"/>
                <w:szCs w:val="19"/>
                <w:rtl/>
              </w:rPr>
              <w:t xml:space="preserve">מומלץ כי המועצה האזורית מטה אשר תפעל להסדרת אישור הקידוח בקיבוץ סער, לרבות באמצעות האצלת הסמכות לוועד המקומי של קיבוץ סער, ככל שתמצא זאת לנכון. </w:t>
            </w:r>
          </w:p>
          <w:p w:rsidR="00371CB0" w:rsidRPr="003166C9" w:rsidP="00371CB0">
            <w:pPr>
              <w:numPr>
                <w:ilvl w:val="0"/>
                <w:numId w:val="3"/>
              </w:numPr>
              <w:spacing w:after="158" w:line="288" w:lineRule="auto"/>
              <w:ind w:left="421" w:hanging="421"/>
              <w:jc w:val="both"/>
              <w:rPr>
                <w:rFonts w:ascii="Tahoma" w:hAnsi="Tahoma" w:cs="Tahoma"/>
                <w:sz w:val="19"/>
                <w:szCs w:val="19"/>
              </w:rPr>
            </w:pPr>
            <w:r w:rsidRPr="003166C9">
              <w:rPr>
                <w:rFonts w:ascii="Tahoma" w:hAnsi="Tahoma" w:cs="Tahoma"/>
                <w:sz w:val="19"/>
                <w:szCs w:val="19"/>
                <w:rtl/>
              </w:rPr>
              <w:t xml:space="preserve">מומלץ כי עיריית נשר, המועצה האזורית גלבוע  והוועד המקומי של קיבוץ תל יוסף, וכן המועצה האזורית מטה אשר - לרבות באמצעות הסמכת הוועד המקומי של מושב אחיהוד - ככל שתמצא זאת לנכון, יפעלו להבטחת איכות מי השתייה במערכת האספקה כל אחד בתחומו, בהתאם להנחיות של משרד הבריאות. </w:t>
            </w:r>
          </w:p>
          <w:p w:rsidR="00371CB0" w:rsidRPr="00F60CD3" w:rsidP="00371CB0">
            <w:pPr>
              <w:numPr>
                <w:ilvl w:val="0"/>
                <w:numId w:val="3"/>
              </w:numPr>
              <w:spacing w:after="158" w:line="288" w:lineRule="auto"/>
              <w:ind w:left="421" w:hanging="421"/>
              <w:jc w:val="both"/>
              <w:rPr>
                <w:rFonts w:ascii="Tahoma" w:hAnsi="Tahoma" w:cs="Tahoma"/>
                <w:sz w:val="19"/>
                <w:szCs w:val="19"/>
              </w:rPr>
            </w:pPr>
            <w:r w:rsidRPr="003166C9">
              <w:rPr>
                <w:rFonts w:ascii="Tahoma" w:hAnsi="Tahoma" w:cs="Tahoma"/>
                <w:sz w:val="19"/>
                <w:szCs w:val="19"/>
                <w:rtl/>
              </w:rPr>
              <w:t>מומלץ כי משרד הבריאות יזרז את הטיפול בעניין הקידוחים הפועלים בלי אישור או שלא על פי הנחיותיו וינקוט צעדי אכיפה נגד ספקים שאינם ממלאים את הוראות החוק והנחיות המשרד.</w:t>
            </w:r>
          </w:p>
          <w:p w:rsidR="00371CB0" w:rsidRPr="00F60CD3" w:rsidP="00371CB0">
            <w:pPr>
              <w:numPr>
                <w:ilvl w:val="0"/>
                <w:numId w:val="3"/>
              </w:numPr>
              <w:spacing w:after="158" w:line="288" w:lineRule="auto"/>
              <w:ind w:left="421" w:hanging="421"/>
              <w:jc w:val="both"/>
              <w:rPr>
                <w:rFonts w:ascii="Tahoma" w:hAnsi="Tahoma" w:cs="Tahoma"/>
                <w:sz w:val="19"/>
                <w:szCs w:val="19"/>
                <w:rtl/>
              </w:rPr>
            </w:pPr>
            <w:r w:rsidRPr="003166C9">
              <w:rPr>
                <w:rFonts w:ascii="Tahoma" w:hAnsi="Tahoma" w:cs="Tahoma"/>
                <w:sz w:val="19"/>
                <w:szCs w:val="19"/>
                <w:rtl/>
              </w:rPr>
              <w:t>במקרה של ספקי מים שאינם פועלים בהתאם להנחיות משרד הבריאות, מומלץ כי משרד הבריאות יְיַדע את הרשויות המקומיות כדי שיוכלו לפעול בהתאם לאחריותן ולוודא שספקי המים ליישובים בתחום סמכותן ינקטו את הצעדים הנדרשים להבטחת איכות מי השתייה</w:t>
            </w:r>
            <w:r>
              <w:rPr>
                <w:rFonts w:ascii="Tahoma" w:hAnsi="Tahoma" w:cs="Tahoma" w:hint="cs"/>
                <w:sz w:val="19"/>
                <w:szCs w:val="19"/>
                <w:rtl/>
              </w:rPr>
              <w:t>.</w:t>
            </w:r>
          </w:p>
        </w:tc>
      </w:tr>
      <w:tr w:rsidTr="003A5C36">
        <w:tblPrEx>
          <w:tblW w:w="9316" w:type="dxa"/>
          <w:tblLayout w:type="fixed"/>
          <w:tblLook w:val="04A0"/>
        </w:tblPrEx>
        <w:trPr>
          <w:gridAfter w:val="1"/>
          <w:wAfter w:w="7" w:type="dxa"/>
          <w:trHeight w:val="571"/>
        </w:trPr>
        <w:tc>
          <w:tcPr>
            <w:tcW w:w="9309" w:type="dxa"/>
            <w:tcBorders>
              <w:top w:val="nil"/>
              <w:left w:val="nil"/>
              <w:bottom w:val="nil"/>
              <w:right w:val="nil"/>
            </w:tcBorders>
          </w:tcPr>
          <w:p w:rsidR="00371CB0" w:rsidRPr="006C51DB" w:rsidP="003A5C36">
            <w:pPr>
              <w:tabs>
                <w:tab w:val="left" w:pos="1564"/>
              </w:tabs>
              <w:rPr>
                <w:rFonts w:ascii="Tahoma" w:hAnsi="Tahoma" w:cs="Tahoma"/>
                <w:sz w:val="40"/>
                <w:szCs w:val="40"/>
                <w:rtl/>
              </w:rPr>
            </w:pPr>
            <w:r w:rsidRPr="006C51DB">
              <w:rPr>
                <w:rFonts w:ascii="Tahoma" w:hAnsi="Tahoma" w:cs="Tahoma"/>
                <w:rtl/>
              </w:rPr>
              <w:tab/>
            </w:r>
          </w:p>
        </w:tc>
      </w:tr>
      <w:tr w:rsidTr="003A5C36">
        <w:tblPrEx>
          <w:tblW w:w="9316" w:type="dxa"/>
          <w:tblLayout w:type="fixed"/>
          <w:tblLook w:val="04A0"/>
        </w:tblPrEx>
        <w:trPr>
          <w:trHeight w:val="419"/>
        </w:trPr>
        <w:tc>
          <w:tcPr>
            <w:tcW w:w="9316" w:type="dxa"/>
            <w:gridSpan w:val="2"/>
            <w:tcBorders>
              <w:top w:val="nil"/>
              <w:left w:val="nil"/>
              <w:bottom w:val="nil"/>
              <w:right w:val="nil"/>
            </w:tcBorders>
          </w:tcPr>
          <w:p w:rsidR="00371CB0" w:rsidRPr="006C51DB" w:rsidP="003A5C36">
            <w:pPr>
              <w:spacing w:line="312" w:lineRule="auto"/>
              <w:jc w:val="both"/>
              <w:rPr>
                <w:rFonts w:ascii="Tahoma" w:hAnsi="Tahoma" w:cs="Tahoma"/>
                <w:sz w:val="19"/>
                <w:szCs w:val="19"/>
                <w:rtl/>
              </w:rPr>
            </w:pPr>
            <w:r w:rsidRPr="006C51DB">
              <w:rPr>
                <w:rFonts w:ascii="Tahoma" w:hAnsi="Tahoma" w:cs="Tahoma"/>
                <w:noProof/>
              </w:rPr>
              <w:drawing>
                <wp:inline distT="0" distB="0" distL="0" distR="0">
                  <wp:extent cx="5867102" cy="342265"/>
                  <wp:effectExtent l="0" t="0" r="635"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3A5C36">
        <w:tblPrEx>
          <w:tblW w:w="9316" w:type="dxa"/>
          <w:tblLayout w:type="fixed"/>
          <w:tblLook w:val="04A0"/>
        </w:tblPrEx>
        <w:trPr>
          <w:trHeight w:val="419"/>
        </w:trPr>
        <w:tc>
          <w:tcPr>
            <w:tcW w:w="9316" w:type="dxa"/>
            <w:gridSpan w:val="2"/>
            <w:tcBorders>
              <w:top w:val="nil"/>
              <w:left w:val="nil"/>
              <w:bottom w:val="nil"/>
              <w:right w:val="nil"/>
            </w:tcBorders>
          </w:tcPr>
          <w:p w:rsidR="00371CB0" w:rsidRPr="006C51DB" w:rsidP="003A5C36">
            <w:pPr>
              <w:spacing w:line="288" w:lineRule="auto"/>
              <w:jc w:val="both"/>
              <w:rPr>
                <w:rFonts w:ascii="Tahoma" w:hAnsi="Tahoma" w:cs="Tahoma"/>
                <w:sz w:val="20"/>
                <w:szCs w:val="20"/>
                <w:rtl/>
              </w:rPr>
            </w:pPr>
            <w:r w:rsidRPr="00F60CD3">
              <w:rPr>
                <w:rFonts w:ascii="Tahoma" w:hAnsi="Tahoma" w:cs="Tahoma" w:hint="eastAsia"/>
                <w:sz w:val="19"/>
                <w:szCs w:val="19"/>
                <w:rtl/>
              </w:rPr>
              <w:t>זיהום</w:t>
            </w:r>
            <w:r w:rsidRPr="00F60CD3">
              <w:rPr>
                <w:rFonts w:ascii="Tahoma" w:hAnsi="Tahoma" w:cs="Tahoma"/>
                <w:sz w:val="19"/>
                <w:szCs w:val="19"/>
                <w:rtl/>
              </w:rPr>
              <w:t xml:space="preserve"> במי השתייה עלול לגרום לפגיעה חמורה ונרחבת בבריאות הציבור. הקפדה יתרה על הוראות החוק ועל הנחיות משרד הבריאות חיונית לשם מניעת זיהום במי השתייה. בדוח הקודם פורטו מקרים רבים שבהם ספקי מים לא הקפידו על קיום הוראות החוק והנחיות משרד הבריאות וסיכנו את בריאות התושבים שהם מספקים להם מים. הביקורת הנוכחית העלתה כי מרבית הליקויים תוקנו, וכי מרביתם המכרעת של הספקים שנבדקו מקפידים על ביצוע הפעולות הנדרשות לשם הבטחת איכות מי השתייה. עם זאת, נמצאו ספקי מים שעדיין אינם מקפידים על קיום ההוראות וההנחיות ואינם מבצעים את הפעולות האמורות לעיל, ובכך עלולים לפגוע בבריאות צרכני המים. על ספקי המים, הרשויות המקומיות ומשרד הבריאות לפעול לתיקון הליקויים שנמנו בדוח זה כדי להבטיח כי יסופקו לציבור מי שתייה באיכות הנדרשת, וכי הציבור יקבל דיווח מלא ומדויק על איכות מי השתייה המסופקים לו</w:t>
            </w:r>
            <w:r>
              <w:rPr>
                <w:rFonts w:ascii="Tahoma" w:hAnsi="Tahoma" w:cs="Tahoma" w:hint="cs"/>
                <w:sz w:val="20"/>
                <w:szCs w:val="20"/>
                <w:rtl/>
              </w:rPr>
              <w:t>.</w:t>
            </w:r>
          </w:p>
        </w:tc>
      </w:tr>
    </w:tbl>
    <w:p w:rsidR="00371CB0" w:rsidP="00371CB0">
      <w:pPr>
        <w:ind w:left="-426"/>
        <w:rPr>
          <w:rFonts w:ascii="Tahoma" w:hAnsi="Tahoma" w:cs="Tahoma"/>
          <w:b/>
          <w:bCs/>
          <w:rtl/>
        </w:rPr>
      </w:pPr>
    </w:p>
    <w:p w:rsidR="00371CB0" w:rsidP="00371CB0">
      <w:pPr>
        <w:ind w:left="-426"/>
        <w:rPr>
          <w:rFonts w:ascii="Tahoma" w:hAnsi="Tahoma" w:cs="Tahoma"/>
          <w:b/>
          <w:bCs/>
          <w:rtl/>
        </w:rPr>
      </w:pPr>
    </w:p>
    <w:p w:rsidR="00371CB0" w:rsidP="00371CB0">
      <w:pPr>
        <w:ind w:left="-426"/>
        <w:rPr>
          <w:rFonts w:ascii="Tahoma" w:hAnsi="Tahoma" w:cs="Tahoma"/>
          <w:b/>
          <w:bCs/>
          <w:rtl/>
        </w:rPr>
      </w:pPr>
    </w:p>
    <w:p w:rsidR="00371CB0" w:rsidP="00371CB0">
      <w:pPr>
        <w:ind w:left="-993"/>
        <w:rPr>
          <w:rFonts w:ascii="Tahoma" w:hAnsi="Tahoma" w:cs="Tahoma"/>
          <w:b/>
          <w:bCs/>
          <w:color w:val="FFFFFF" w:themeColor="background1"/>
          <w:sz w:val="24"/>
          <w:szCs w:val="24"/>
          <w:rtl/>
        </w:rPr>
      </w:pPr>
      <w:r w:rsidRPr="00CA27FD">
        <w:rPr>
          <w:rFonts w:ascii="Tahoma" w:hAnsi="Tahoma" w:cs="Tahoma"/>
          <w:b/>
          <w:bCs/>
          <w:noProof/>
          <w:color w:val="FFFFFF" w:themeColor="background1"/>
          <w:sz w:val="24"/>
          <w:szCs w:val="24"/>
          <w:rtl/>
        </w:rPr>
        <w:drawing>
          <wp:anchor distT="0" distB="0" distL="114300" distR="114300" simplePos="0" relativeHeight="251662336" behindDoc="1" locked="0" layoutInCell="1" allowOverlap="1">
            <wp:simplePos x="0" y="0"/>
            <wp:positionH relativeFrom="column">
              <wp:posOffset>1205865</wp:posOffset>
            </wp:positionH>
            <wp:positionV relativeFrom="paragraph">
              <wp:posOffset>-116205</wp:posOffset>
            </wp:positionV>
            <wp:extent cx="4733925" cy="569595"/>
            <wp:effectExtent l="0" t="0" r="9525" b="1905"/>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3925" cy="569595"/>
                    </a:xfrm>
                    <a:prstGeom prst="rect">
                      <a:avLst/>
                    </a:prstGeom>
                  </pic:spPr>
                </pic:pic>
              </a:graphicData>
            </a:graphic>
            <wp14:sizeRelH relativeFrom="page">
              <wp14:pctWidth>0</wp14:pctWidth>
            </wp14:sizeRelH>
            <wp14:sizeRelV relativeFrom="page">
              <wp14:pctHeight>0</wp14:pctHeight>
            </wp14:sizeRelV>
          </wp:anchor>
        </w:drawing>
      </w:r>
      <w:r w:rsidRPr="00CA27FD" w:rsidR="003F2B81">
        <w:rPr>
          <w:rFonts w:ascii="Tahoma" w:hAnsi="Tahoma" w:cs="Tahoma" w:hint="cs"/>
          <w:b/>
          <w:bCs/>
          <w:color w:val="FFFFFF" w:themeColor="background1"/>
          <w:sz w:val="24"/>
          <w:szCs w:val="24"/>
          <w:rtl/>
        </w:rPr>
        <w:t>הבטחת איכות מי השתייה - עיקרי ממצאי ביקורת המעקב</w:t>
      </w:r>
    </w:p>
    <w:p w:rsidR="00DD56D5" w:rsidP="00CC23D2">
      <w:pPr>
        <w:rPr>
          <w:rFonts w:ascii="Tahoma" w:hAnsi="Tahoma" w:cs="Tahoma"/>
          <w:noProof/>
          <w:rtl/>
        </w:rPr>
      </w:pPr>
    </w:p>
    <w:p w:rsidR="00371CB0" w:rsidP="00C95054">
      <w:pPr>
        <w:ind w:left="-426"/>
        <w:rPr>
          <w:rFonts w:ascii="Tahoma" w:hAnsi="Tahoma" w:cs="Tahoma"/>
          <w:rtl/>
        </w:rPr>
      </w:pPr>
      <w:r>
        <w:rPr>
          <w:rFonts w:ascii="Tahoma" w:hAnsi="Tahoma" w:cs="Tahoma"/>
          <w:noProof/>
        </w:rPr>
        <w:drawing>
          <wp:inline distT="0" distB="0" distL="0" distR="0">
            <wp:extent cx="4640533" cy="6041390"/>
            <wp:effectExtent l="0" t="0" r="8255" b="0"/>
            <wp:docPr id="171354310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05560" name="הבטחת איכות מי השתיה3.JPG"/>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647432" cy="605037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A0FFB" w:rsidP="00C95054">
      <w:pPr>
        <w:ind w:left="-426"/>
        <w:rPr>
          <w:rFonts w:ascii="Tahoma" w:hAnsi="Tahoma" w:cs="Tahoma"/>
          <w:rtl/>
        </w:rPr>
      </w:pPr>
    </w:p>
    <w:p w:rsidR="00DD56D5" w:rsidRPr="006C51DB" w:rsidP="00C95054">
      <w:pPr>
        <w:ind w:left="-426"/>
        <w:rPr>
          <w:rFonts w:ascii="Tahoma" w:hAnsi="Tahoma" w:cs="Tahoma"/>
        </w:rPr>
      </w:pPr>
    </w:p>
    <w:p w:rsidR="00411F32"/>
    <w:sectPr w:rsidSect="004A0CAF">
      <w:headerReference w:type="default" r:id="rId16"/>
      <w:footerReference w:type="default" r:id="rId17"/>
      <w:headerReference w:type="first" r:id="rId18"/>
      <w:foot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MDL2 Assets">
    <w:panose1 w:val="050A0102010101010101"/>
    <w:charset w:val="00"/>
    <w:family w:val="roman"/>
    <w:pitch w:val="variable"/>
    <w:sig w:usb0="00000003" w:usb1="1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panose1 w:val="020B0502050101010101"/>
    <w:charset w:val="B1"/>
    <w:family w:val="swiss"/>
    <w:pitch w:val="variable"/>
    <w:sig w:usb0="00000801" w:usb1="00000000" w:usb2="00000000" w:usb3="00000000" w:csb0="00000020" w:csb1="00000000"/>
  </w:font>
  <w:font w:name="Narkisim">
    <w:altName w:val="Arial"/>
    <w:charset w:val="00"/>
    <w:family w:val="swiss"/>
    <w:pitch w:val="variable"/>
    <w:sig w:usb0="00000000"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8C8">
    <w:pPr>
      <w:pStyle w:val="Footer"/>
    </w:pP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20782</wp:posOffset>
              </wp:positionV>
              <wp:extent cx="4445000" cy="457200"/>
              <wp:effectExtent l="0" t="0" r="12700" b="19050"/>
              <wp:wrapNone/>
              <wp:docPr id="13"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E178C8" w:rsidP="004E3B37">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E178C8" w:rsidRPr="009A3B5C" w:rsidP="004E3B37">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w:t>
                          </w:r>
                          <w:r>
                            <w:rPr>
                              <w:rFonts w:ascii="Narkisim" w:hAnsi="Narkisim" w:cs="Times New Roman"/>
                              <w:color w:val="0000FF"/>
                              <w:sz w:val="18"/>
                              <w:szCs w:val="18"/>
                              <w:rtl/>
                            </w:rPr>
                            <w:t xml:space="preserve"> 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0" type="#_x0000_t202" style="width:350pt;height:36pt;margin-top:1.65pt;margin-left:0;mso-position-horizontal:center;mso-position-horizontal-relative:page;mso-wrap-distance-bottom:0;mso-wrap-distance-left:9pt;mso-wrap-distance-right:9pt;mso-wrap-distance-top:0;mso-wrap-style:square;position:absolute;visibility:visible;v-text-anchor:top;z-index:251663360" filled="f" strokecolor="blue" strokeweight="0.5pt">
              <v:textbox>
                <w:txbxContent>
                  <w:p w:rsidR="00E178C8" w:rsidP="004E3B37">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E178C8" w:rsidRPr="009A3B5C" w:rsidP="004E3B37">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w:t>
                    </w:r>
                    <w:r>
                      <w:rPr>
                        <w:rFonts w:ascii="Narkisim" w:hAnsi="Narkisim" w:cs="Times New Roman"/>
                        <w:color w:val="0000FF"/>
                        <w:sz w:val="18"/>
                        <w:szCs w:val="18"/>
                        <w:rtl/>
                      </w:rPr>
                      <w:t xml:space="preserve"> 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8C8" w:rsidP="002025E5">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4445000" cy="533400"/>
              <wp:effectExtent l="0" t="0" r="12700" b="19050"/>
              <wp:wrapNone/>
              <wp:docPr id="5"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533400"/>
                      </a:xfrm>
                      <a:prstGeom prst="rect">
                        <a:avLst/>
                      </a:prstGeom>
                      <a:noFill/>
                      <a:ln w="6350">
                        <a:solidFill>
                          <a:srgbClr val="0000FF"/>
                        </a:solidFill>
                      </a:ln>
                    </wps:spPr>
                    <wps:txbx>
                      <w:txbxContent>
                        <w:p w:rsidR="00E178C8" w:rsidP="00CA27FD">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E178C8" w:rsidRPr="009A3B5C" w:rsidP="00CA27FD">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w:t>
                          </w:r>
                          <w:r>
                            <w:rPr>
                              <w:rFonts w:ascii="Narkisim" w:hAnsi="Narkisim" w:cs="Times New Roman"/>
                              <w:color w:val="0000FF"/>
                              <w:sz w:val="18"/>
                              <w:szCs w:val="18"/>
                              <w:rtl/>
                            </w:rPr>
                            <w:t xml:space="preserve"> 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350pt;height:42pt;margin-top:0;margin-left:0;mso-height-percent:0;mso-height-relative:margin;mso-position-horizontal:center;mso-wrap-distance-bottom:0;mso-wrap-distance-left:9pt;mso-wrap-distance-right:9pt;mso-wrap-distance-top:0;mso-wrap-style:square;position:absolute;visibility:visible;v-text-anchor:top;z-index:251659264" filled="f" strokecolor="blue" strokeweight="0.5pt">
              <v:textbox>
                <w:txbxContent>
                  <w:p w:rsidR="00E178C8" w:rsidP="00CA27FD">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E178C8" w:rsidRPr="009A3B5C" w:rsidP="00CA27FD">
                    <w:pPr>
                      <w:spacing w:after="0"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w:t>
                    </w:r>
                    <w:r>
                      <w:rPr>
                        <w:rFonts w:ascii="Narkisim" w:hAnsi="Narkisim" w:cs="Times New Roman"/>
                        <w:color w:val="0000FF"/>
                        <w:sz w:val="18"/>
                        <w:szCs w:val="18"/>
                        <w:rtl/>
                      </w:rPr>
                      <w:t xml:space="preserve"> 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23E2" w:rsidP="00371CB0">
      <w:pPr>
        <w:spacing w:after="0" w:line="240" w:lineRule="auto"/>
      </w:pPr>
      <w:r>
        <w:separator/>
      </w:r>
    </w:p>
  </w:footnote>
  <w:footnote w:type="continuationSeparator" w:id="1">
    <w:p w:rsidR="002523E2" w:rsidP="00371CB0">
      <w:pPr>
        <w:spacing w:after="0" w:line="240" w:lineRule="auto"/>
      </w:pPr>
      <w:r>
        <w:continuationSeparator/>
      </w:r>
    </w:p>
  </w:footnote>
  <w:footnote w:id="2">
    <w:p w:rsidR="00371CB0" w:rsidRPr="00F60CD3" w:rsidP="00371CB0">
      <w:pPr>
        <w:pStyle w:val="FootnoteText"/>
        <w:spacing w:after="0"/>
        <w:rPr>
          <w:rFonts w:ascii="Tahoma" w:hAnsi="Tahoma" w:cs="Tahoma"/>
          <w:sz w:val="16"/>
          <w:szCs w:val="16"/>
          <w:rtl/>
        </w:rPr>
      </w:pPr>
      <w:r w:rsidRPr="00F60CD3">
        <w:rPr>
          <w:rStyle w:val="FootnoteReference"/>
          <w:rFonts w:ascii="Tahoma" w:hAnsi="Tahoma" w:cs="Tahoma"/>
          <w:sz w:val="16"/>
          <w:szCs w:val="16"/>
        </w:rPr>
        <w:footnoteRef/>
      </w:r>
      <w:r w:rsidRPr="00F60CD3">
        <w:rPr>
          <w:rFonts w:ascii="Tahoma" w:hAnsi="Tahoma" w:cs="Tahoma"/>
          <w:sz w:val="16"/>
          <w:szCs w:val="16"/>
          <w:rtl/>
        </w:rPr>
        <w:t xml:space="preserve"> </w:t>
      </w:r>
      <w:r w:rsidRPr="00F60CD3">
        <w:rPr>
          <w:rFonts w:ascii="Tahoma" w:hAnsi="Tahoma" w:cs="Tahoma"/>
          <w:sz w:val="16"/>
          <w:szCs w:val="16"/>
          <w:rtl/>
        </w:rPr>
        <w:tab/>
        <w:t>תאגידים, רשויות מקומיות שאינן מתואגדות, יישובים קהילתיים, קיבוצים ומושבים, לא כולל אספקת 140 מלמ"ק מים לירדן ולרשות הפלסטינית וכ-20 מלמ"ק מים לטבע.</w:t>
      </w:r>
    </w:p>
  </w:footnote>
  <w:footnote w:id="3">
    <w:p w:rsidR="00371CB0" w:rsidRPr="0019225F" w:rsidP="00371CB0">
      <w:pPr>
        <w:pStyle w:val="FootnoteText"/>
        <w:spacing w:after="0"/>
        <w:rPr>
          <w:rFonts w:ascii="Tahoma" w:hAnsi="Tahoma" w:cs="Tahoma"/>
          <w:sz w:val="16"/>
          <w:szCs w:val="16"/>
          <w:rtl/>
        </w:rPr>
      </w:pPr>
      <w:r w:rsidRPr="00F60CD3">
        <w:rPr>
          <w:rStyle w:val="FootnoteReference"/>
          <w:rFonts w:ascii="Tahoma" w:hAnsi="Tahoma" w:cs="Tahoma"/>
          <w:sz w:val="16"/>
          <w:szCs w:val="16"/>
        </w:rPr>
        <w:footnoteRef/>
      </w:r>
      <w:r w:rsidRPr="00F60CD3">
        <w:rPr>
          <w:rFonts w:ascii="Tahoma" w:hAnsi="Tahoma" w:cs="Tahoma"/>
          <w:sz w:val="16"/>
          <w:szCs w:val="16"/>
          <w:rtl/>
        </w:rPr>
        <w:t xml:space="preserve"> </w:t>
      </w:r>
      <w:r w:rsidRPr="00F60CD3">
        <w:rPr>
          <w:rFonts w:ascii="Tahoma" w:hAnsi="Tahoma" w:cs="Tahoma"/>
          <w:sz w:val="16"/>
          <w:szCs w:val="16"/>
          <w:rtl/>
        </w:rPr>
        <w:tab/>
        <w:t xml:space="preserve">מבקר המדינה, </w:t>
      </w:r>
      <w:r w:rsidRPr="00F60CD3">
        <w:rPr>
          <w:rFonts w:ascii="Tahoma" w:hAnsi="Tahoma" w:cs="Tahoma"/>
          <w:b/>
          <w:bCs/>
          <w:sz w:val="16"/>
          <w:szCs w:val="16"/>
          <w:rtl/>
        </w:rPr>
        <w:t>דוח שנתי 66א</w:t>
      </w:r>
      <w:r w:rsidRPr="00F60CD3">
        <w:rPr>
          <w:rFonts w:ascii="Tahoma" w:hAnsi="Tahoma" w:cs="Tahoma"/>
          <w:sz w:val="16"/>
          <w:szCs w:val="16"/>
          <w:rtl/>
        </w:rPr>
        <w:t xml:space="preserve"> (2015), "פעולות הרשויות המקומיות וספקי המים להבטחת איכות מי השתייה", </w:t>
      </w:r>
      <w:r w:rsidRPr="00CA27FD">
        <w:rPr>
          <w:rFonts w:ascii="Tahoma" w:hAnsi="Tahoma" w:cs="Tahoma"/>
          <w:sz w:val="19"/>
          <w:szCs w:val="19"/>
          <w:rtl/>
        </w:rPr>
        <w:t>עמ'</w:t>
      </w:r>
      <w:r w:rsidRPr="0019225F">
        <w:rPr>
          <w:rFonts w:ascii="Tahoma" w:hAnsi="Tahoma" w:cs="Tahoma"/>
          <w:sz w:val="16"/>
          <w:szCs w:val="16"/>
          <w:rtl/>
        </w:rPr>
        <w:t xml:space="preserve"> 609. </w:t>
      </w:r>
    </w:p>
  </w:footnote>
  <w:footnote w:id="4">
    <w:p w:rsidR="00371CB0" w:rsidRPr="00FF2CD4" w:rsidP="00371CB0">
      <w:pPr>
        <w:pStyle w:val="FootnoteText"/>
        <w:ind w:left="0" w:firstLine="0"/>
        <w:rPr>
          <w:sz w:val="16"/>
        </w:rPr>
      </w:pPr>
      <w:r w:rsidRPr="00FF2CD4">
        <w:rPr>
          <w:rStyle w:val="FootnoteReference"/>
          <w:sz w:val="16"/>
        </w:rPr>
        <w:footnoteRef/>
      </w:r>
      <w:r w:rsidRPr="00FF2CD4">
        <w:rPr>
          <w:sz w:val="16"/>
          <w:szCs w:val="16"/>
          <w:rtl/>
        </w:rPr>
        <w:t xml:space="preserve"> </w:t>
      </w:r>
      <w:r w:rsidRPr="00FF2CD4">
        <w:rPr>
          <w:sz w:val="16"/>
          <w:szCs w:val="16"/>
          <w:rtl/>
        </w:rPr>
        <w:tab/>
      </w:r>
      <w:r w:rsidRPr="00FF2CD4">
        <w:rPr>
          <w:rFonts w:hint="eastAsia"/>
          <w:sz w:val="16"/>
          <w:szCs w:val="16"/>
          <w:rtl/>
        </w:rPr>
        <w:t>אם</w:t>
      </w:r>
      <w:r w:rsidRPr="00FF2CD4">
        <w:rPr>
          <w:sz w:val="16"/>
          <w:szCs w:val="16"/>
          <w:rtl/>
        </w:rPr>
        <w:t xml:space="preserve"> </w:t>
      </w:r>
      <w:r w:rsidRPr="00FF2CD4">
        <w:rPr>
          <w:rFonts w:hint="eastAsia"/>
          <w:sz w:val="16"/>
          <w:szCs w:val="16"/>
          <w:rtl/>
        </w:rPr>
        <w:t>כי</w:t>
      </w:r>
      <w:r w:rsidRPr="00FF2CD4">
        <w:rPr>
          <w:sz w:val="16"/>
          <w:szCs w:val="16"/>
          <w:rtl/>
        </w:rPr>
        <w:t xml:space="preserve"> </w:t>
      </w:r>
      <w:r w:rsidRPr="00FF2CD4">
        <w:rPr>
          <w:rFonts w:hint="eastAsia"/>
          <w:sz w:val="16"/>
          <w:szCs w:val="16"/>
          <w:rtl/>
        </w:rPr>
        <w:t>נמצא</w:t>
      </w:r>
      <w:r w:rsidRPr="00FF2CD4">
        <w:rPr>
          <w:sz w:val="16"/>
          <w:szCs w:val="16"/>
          <w:rtl/>
        </w:rPr>
        <w:t xml:space="preserve"> </w:t>
      </w:r>
      <w:r w:rsidRPr="00FF2CD4">
        <w:rPr>
          <w:rFonts w:hint="eastAsia"/>
          <w:sz w:val="16"/>
          <w:szCs w:val="16"/>
          <w:rtl/>
        </w:rPr>
        <w:t>שחלקם</w:t>
      </w:r>
      <w:r w:rsidRPr="00FF2CD4">
        <w:rPr>
          <w:sz w:val="16"/>
          <w:szCs w:val="16"/>
          <w:rtl/>
        </w:rPr>
        <w:t xml:space="preserve"> </w:t>
      </w:r>
      <w:r w:rsidRPr="00FF2CD4">
        <w:rPr>
          <w:rFonts w:hint="eastAsia"/>
          <w:sz w:val="16"/>
          <w:szCs w:val="16"/>
          <w:rtl/>
        </w:rPr>
        <w:t>אינם</w:t>
      </w:r>
      <w:r w:rsidRPr="00FF2CD4">
        <w:rPr>
          <w:sz w:val="16"/>
          <w:szCs w:val="16"/>
          <w:rtl/>
        </w:rPr>
        <w:t xml:space="preserve"> </w:t>
      </w:r>
      <w:r w:rsidRPr="00FF2CD4">
        <w:rPr>
          <w:rFonts w:hint="eastAsia"/>
          <w:sz w:val="16"/>
          <w:szCs w:val="16"/>
          <w:rtl/>
        </w:rPr>
        <w:t>מבצעים</w:t>
      </w:r>
      <w:r w:rsidRPr="00FF2CD4">
        <w:rPr>
          <w:sz w:val="16"/>
          <w:szCs w:val="16"/>
          <w:rtl/>
        </w:rPr>
        <w:t xml:space="preserve"> </w:t>
      </w:r>
      <w:r w:rsidRPr="00FF2CD4">
        <w:rPr>
          <w:rFonts w:hint="eastAsia"/>
          <w:sz w:val="16"/>
          <w:szCs w:val="16"/>
          <w:rtl/>
        </w:rPr>
        <w:t>את</w:t>
      </w:r>
      <w:r w:rsidRPr="00FF2CD4">
        <w:rPr>
          <w:sz w:val="16"/>
          <w:szCs w:val="16"/>
          <w:rtl/>
        </w:rPr>
        <w:t xml:space="preserve"> </w:t>
      </w:r>
      <w:r w:rsidRPr="00FF2CD4">
        <w:rPr>
          <w:rFonts w:hint="eastAsia"/>
          <w:sz w:val="16"/>
          <w:szCs w:val="16"/>
          <w:rtl/>
        </w:rPr>
        <w:t>דיגום</w:t>
      </w:r>
      <w:r w:rsidRPr="00FF2CD4">
        <w:rPr>
          <w:sz w:val="16"/>
          <w:szCs w:val="16"/>
          <w:rtl/>
        </w:rPr>
        <w:t xml:space="preserve"> </w:t>
      </w:r>
      <w:r w:rsidRPr="00FF2CD4">
        <w:rPr>
          <w:rFonts w:hint="eastAsia"/>
          <w:sz w:val="16"/>
          <w:szCs w:val="16"/>
          <w:rtl/>
        </w:rPr>
        <w:t>המתכות</w:t>
      </w:r>
      <w:r w:rsidRPr="00FF2CD4">
        <w:rPr>
          <w:sz w:val="16"/>
          <w:szCs w:val="16"/>
          <w:rtl/>
        </w:rPr>
        <w:t xml:space="preserve"> </w:t>
      </w:r>
      <w:r w:rsidRPr="00FF2CD4">
        <w:rPr>
          <w:rFonts w:hint="eastAsia"/>
          <w:sz w:val="16"/>
          <w:szCs w:val="16"/>
          <w:rtl/>
        </w:rPr>
        <w:t>כנדרש</w:t>
      </w:r>
      <w:r w:rsidRPr="00FF2CD4">
        <w:rPr>
          <w:sz w:val="16"/>
          <w:szCs w:val="16"/>
          <w:rtl/>
        </w:rPr>
        <w:t>.</w:t>
      </w:r>
      <w:r w:rsidRPr="0019225F">
        <w:rPr>
          <w:rFonts w:hint="cs"/>
          <w:sz w:val="16"/>
          <w:szCs w:val="1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8C8" w:rsidP="002025E5">
    <w:pPr>
      <w:pStyle w:val="Header"/>
      <w:jc w:val="center"/>
      <w:rPr>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E178C8" w:rsidRPr="004A0CAF" w:rsidP="002025E5">
                          <w:pPr>
                            <w:jc w:val="center"/>
                            <w:rPr>
                              <w:rFonts w:ascii="Miriam" w:hAnsi="Miriam" w:cs="Miriam"/>
                              <w:spacing w:val="5"/>
                              <w:sz w:val="27"/>
                              <w:szCs w:val="27"/>
                            </w:rPr>
                          </w:pPr>
                          <w:r w:rsidRPr="004A0CAF">
                            <w:rPr>
                              <w:rFonts w:ascii="Miriam" w:hAnsi="Miriam" w:cs="Miriam"/>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61312" filled="f" strokecolor="white" strokeweight="0.5pt">
              <v:textbox>
                <w:txbxContent>
                  <w:p w:rsidR="00E178C8" w:rsidRPr="004A0CAF" w:rsidP="002025E5">
                    <w:pPr>
                      <w:jc w:val="center"/>
                      <w:rPr>
                        <w:rFonts w:ascii="Miriam" w:hAnsi="Miriam" w:cs="Miriam"/>
                        <w:spacing w:val="5"/>
                        <w:sz w:val="27"/>
                        <w:szCs w:val="27"/>
                      </w:rPr>
                    </w:pPr>
                    <w:r w:rsidRPr="004A0CAF">
                      <w:rPr>
                        <w:rFonts w:ascii="Miriam" w:hAnsi="Miriam" w:cs="Miriam"/>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A2170B">
      <w:rPr>
        <w:noProof/>
        <w:rtl/>
      </w:rPr>
      <w:t>1</w:t>
    </w:r>
    <w:r>
      <w:rPr>
        <w:rtl/>
      </w:rPr>
      <w:fldChar w:fldCharType="end"/>
    </w:r>
    <w:r>
      <w:t xml:space="preserve"> - </w:t>
    </w:r>
  </w:p>
  <w:p w:rsidR="00E17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8C8" w:rsidP="00F60CD3">
    <w:pPr>
      <w:tabs>
        <w:tab w:val="left" w:pos="6925"/>
      </w:tabs>
      <w:spacing w:line="240" w:lineRule="auto"/>
      <w:ind w:left="-992"/>
      <w:rPr>
        <w:rtl/>
      </w:rPr>
    </w:pPr>
    <w:r>
      <w:tab/>
    </w:r>
  </w:p>
  <w:p w:rsidR="00E178C8" w:rsidP="00F60CD3">
    <w:pPr>
      <w:tabs>
        <w:tab w:val="center" w:pos="4153"/>
        <w:tab w:val="right" w:pos="8306"/>
      </w:tabs>
      <w:spacing w:line="240" w:lineRule="auto"/>
      <w:ind w:left="-992"/>
      <w:rPr>
        <w:rtl/>
      </w:rPr>
    </w:pPr>
    <w:r w:rsidRPr="00DC0618">
      <w:rPr>
        <w:rFonts w:ascii="Tahoma" w:hAnsi="Tahoma" w:cs="Tahoma"/>
        <w:noProof/>
        <w:sz w:val="18"/>
      </w:rPr>
      <mc:AlternateContent>
        <mc:Choice Requires="wps">
          <w:drawing>
            <wp:anchor distT="0" distB="0" distL="114300" distR="114300" simplePos="0" relativeHeight="251664384"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E178C8" w:rsidRPr="00DC4ED2" w:rsidP="00F60CD3">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E178C8" w:rsidRPr="00EE45F4" w:rsidP="00F60CD3">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65408" filled="f" strokecolor="white" strokeweight="0.5pt">
              <v:textbox>
                <w:txbxContent>
                  <w:p w:rsidR="00E178C8" w:rsidRPr="00DC4ED2" w:rsidP="00F60CD3">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E178C8" w:rsidRPr="00EE45F4" w:rsidP="00F60CD3">
                    <w:pPr>
                      <w:spacing w:before="120"/>
                      <w:jc w:val="center"/>
                      <w:rPr>
                        <w:rFonts w:ascii="Tahoma" w:hAnsi="Tahoma" w:cs="Tahoma"/>
                        <w:spacing w:val="5"/>
                        <w:sz w:val="27"/>
                        <w:szCs w:val="27"/>
                        <w:rtl/>
                      </w:rPr>
                    </w:pPr>
                  </w:p>
                </w:txbxContent>
              </v:textbox>
            </v:shape>
          </w:pict>
        </mc:Fallback>
      </mc:AlternateContent>
    </w:r>
    <w:r>
      <w:rPr>
        <w:noProof/>
        <w:sz w:val="26"/>
        <w:szCs w:val="26"/>
      </w:rPr>
      <w:drawing>
        <wp:anchor distT="0" distB="0" distL="114300" distR="114300" simplePos="0" relativeHeight="251666432"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2" name="תמונה 2" descr="Logo Mevaker New"/>
          <wp:cNvGraphicFramePr/>
          <a:graphic xmlns:a="http://schemas.openxmlformats.org/drawingml/2006/main">
            <a:graphicData uri="http://schemas.openxmlformats.org/drawingml/2006/picture">
              <pic:pic xmlns:pic="http://schemas.openxmlformats.org/drawingml/2006/picture">
                <pic:nvPicPr>
                  <pic:cNvPr id="1918877635"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8C8" w:rsidP="00F60CD3">
    <w:pPr>
      <w:tabs>
        <w:tab w:val="left" w:pos="7081"/>
      </w:tabs>
      <w:spacing w:line="240" w:lineRule="auto"/>
      <w:ind w:left="-992"/>
      <w:rPr>
        <w:rtl/>
      </w:rPr>
    </w:pPr>
    <w:bookmarkStart w:id="1" w:name="tempMark"/>
    <w:bookmarkEnd w:id="1"/>
    <w:r>
      <w:rPr>
        <w:rtl/>
      </w:rPr>
      <w:tab/>
    </w:r>
    <w:r>
      <w:rPr>
        <w:rFonts w:hint="cs"/>
        <w:rtl/>
      </w:rPr>
      <w:t xml:space="preserve"> </w:t>
    </w:r>
  </w:p>
  <w:p w:rsidR="00E178C8" w:rsidRPr="00CA27FD" w:rsidP="00F60CD3">
    <w:pPr>
      <w:tabs>
        <w:tab w:val="center" w:pos="4153"/>
        <w:tab w:val="right" w:pos="8306"/>
      </w:tabs>
      <w:spacing w:before="120" w:line="240" w:lineRule="auto"/>
      <w:ind w:left="-994"/>
      <w:rPr>
        <w:sz w:val="10"/>
        <w:szCs w:val="10"/>
        <w:rtl/>
      </w:rPr>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624DC"/>
    <w:multiLevelType w:val="hybridMultilevel"/>
    <w:tmpl w:val="773C97E4"/>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CE8092A"/>
    <w:multiLevelType w:val="hybridMultilevel"/>
    <w:tmpl w:val="7B9EBC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B0"/>
    <w:rsid w:val="00086C92"/>
    <w:rsid w:val="000A0FFB"/>
    <w:rsid w:val="0019225F"/>
    <w:rsid w:val="002025E5"/>
    <w:rsid w:val="002523E2"/>
    <w:rsid w:val="003166C9"/>
    <w:rsid w:val="00371CB0"/>
    <w:rsid w:val="003A5C36"/>
    <w:rsid w:val="003A741B"/>
    <w:rsid w:val="003B2BB0"/>
    <w:rsid w:val="003F2B81"/>
    <w:rsid w:val="00411F32"/>
    <w:rsid w:val="004A0CAF"/>
    <w:rsid w:val="004E3B37"/>
    <w:rsid w:val="006C51DB"/>
    <w:rsid w:val="0076190E"/>
    <w:rsid w:val="00762C79"/>
    <w:rsid w:val="007B2ADD"/>
    <w:rsid w:val="008C2DA2"/>
    <w:rsid w:val="008D564A"/>
    <w:rsid w:val="008D7E5C"/>
    <w:rsid w:val="009A3B5C"/>
    <w:rsid w:val="009D2547"/>
    <w:rsid w:val="00A2170B"/>
    <w:rsid w:val="00C95054"/>
    <w:rsid w:val="00CA05AF"/>
    <w:rsid w:val="00CA27FD"/>
    <w:rsid w:val="00CC23D2"/>
    <w:rsid w:val="00DC4ED2"/>
    <w:rsid w:val="00DD56D5"/>
    <w:rsid w:val="00DD7995"/>
    <w:rsid w:val="00E178C8"/>
    <w:rsid w:val="00EE45F4"/>
    <w:rsid w:val="00F5630F"/>
    <w:rsid w:val="00F60CD3"/>
    <w:rsid w:val="00FB1A98"/>
    <w:rsid w:val="00FF2CD4"/>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390B136C-D65A-46D4-85F2-8E9B5E81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C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71CB0"/>
    <w:pPr>
      <w:tabs>
        <w:tab w:val="center" w:pos="4153"/>
        <w:tab w:val="right" w:pos="8306"/>
      </w:tabs>
      <w:spacing w:line="240" w:lineRule="auto"/>
    </w:pPr>
  </w:style>
  <w:style w:type="character" w:customStyle="1" w:styleId="a">
    <w:name w:val="כותרת עליונה תו"/>
    <w:basedOn w:val="DefaultParagraphFont"/>
    <w:link w:val="Header"/>
    <w:uiPriority w:val="99"/>
    <w:rsid w:val="00371CB0"/>
  </w:style>
  <w:style w:type="paragraph" w:styleId="Footer">
    <w:name w:val="footer"/>
    <w:basedOn w:val="Normal"/>
    <w:link w:val="a0"/>
    <w:uiPriority w:val="99"/>
    <w:unhideWhenUsed/>
    <w:rsid w:val="00371CB0"/>
    <w:pPr>
      <w:tabs>
        <w:tab w:val="center" w:pos="4153"/>
        <w:tab w:val="right" w:pos="8306"/>
      </w:tabs>
      <w:spacing w:line="240" w:lineRule="auto"/>
    </w:pPr>
  </w:style>
  <w:style w:type="character" w:customStyle="1" w:styleId="a0">
    <w:name w:val="כותרת תחתונה תו"/>
    <w:basedOn w:val="DefaultParagraphFont"/>
    <w:link w:val="Footer"/>
    <w:uiPriority w:val="99"/>
    <w:rsid w:val="00371CB0"/>
  </w:style>
  <w:style w:type="paragraph" w:styleId="FootnoteText">
    <w:name w:val="footnote text"/>
    <w:basedOn w:val="Normal"/>
    <w:link w:val="a1"/>
    <w:uiPriority w:val="99"/>
    <w:rsid w:val="00371CB0"/>
    <w:pPr>
      <w:spacing w:line="240" w:lineRule="auto"/>
      <w:ind w:left="720" w:hanging="720"/>
    </w:pPr>
    <w:rPr>
      <w:szCs w:val="20"/>
    </w:rPr>
  </w:style>
  <w:style w:type="character" w:customStyle="1" w:styleId="a1">
    <w:name w:val="טקסט הערת שוליים תו"/>
    <w:basedOn w:val="DefaultParagraphFont"/>
    <w:link w:val="FootnoteText"/>
    <w:uiPriority w:val="99"/>
    <w:rsid w:val="00371CB0"/>
    <w:rPr>
      <w:szCs w:val="20"/>
    </w:rPr>
  </w:style>
  <w:style w:type="character" w:styleId="FootnoteReference">
    <w:name w:val="footnote reference"/>
    <w:basedOn w:val="DefaultParagraphFont"/>
    <w:uiPriority w:val="99"/>
    <w:semiHidden/>
    <w:unhideWhenUsed/>
    <w:rsid w:val="00371CB0"/>
    <w:rPr>
      <w:vertAlign w:val="superscript"/>
    </w:rPr>
  </w:style>
  <w:style w:type="paragraph" w:styleId="ListParagraph">
    <w:name w:val="List Paragraph"/>
    <w:basedOn w:val="Normal"/>
    <w:uiPriority w:val="34"/>
    <w:qFormat/>
    <w:rsid w:val="00371CB0"/>
    <w:pPr>
      <w:ind w:left="720"/>
      <w:contextualSpacing/>
    </w:pPr>
  </w:style>
  <w:style w:type="table" w:styleId="TableGrid">
    <w:name w:val="Table Grid"/>
    <w:basedOn w:val="TableNormal"/>
    <w:uiPriority w:val="59"/>
    <w:rsid w:val="00371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2"/>
    <w:uiPriority w:val="99"/>
    <w:semiHidden/>
    <w:unhideWhenUsed/>
    <w:rsid w:val="00371CB0"/>
    <w:pPr>
      <w:spacing w:after="0" w:line="240" w:lineRule="auto"/>
    </w:pPr>
    <w:rPr>
      <w:rFonts w:ascii="Tahoma" w:hAnsi="Tahoma" w:cs="Tahoma"/>
      <w:sz w:val="16"/>
      <w:szCs w:val="16"/>
    </w:rPr>
  </w:style>
  <w:style w:type="character" w:customStyle="1" w:styleId="a2">
    <w:name w:val="טקסט בלונים תו"/>
    <w:basedOn w:val="DefaultParagraphFont"/>
    <w:link w:val="BalloonText"/>
    <w:uiPriority w:val="99"/>
    <w:semiHidden/>
    <w:rsid w:val="00371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eader" Target="header2.xml"/><Relationship Id="rId8" Type="http://schemas.openxmlformats.org/officeDocument/2006/relationships/image" Target="media/image4.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8.jpeg"/><Relationship Id="rId17" Type="http://schemas.openxmlformats.org/officeDocument/2006/relationships/footer" Target="footer1.xml"/><Relationship Id="rId7" Type="http://schemas.openxmlformats.org/officeDocument/2006/relationships/image" Target="media/image3.jpeg"/><Relationship Id="rId25" Type="http://schemas.openxmlformats.org/officeDocument/2006/relationships/customXml" Target="../customXml/item3.xml"/><Relationship Id="rId16"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2.xml"/><Relationship Id="rId15" Type="http://schemas.openxmlformats.org/officeDocument/2006/relationships/image" Target="media/image11.jpeg"/><Relationship Id="rId5" Type="http://schemas.openxmlformats.org/officeDocument/2006/relationships/image" Target="media/image1.jpeg"/><Relationship Id="rId23" Type="http://schemas.openxmlformats.org/officeDocument/2006/relationships/customXml" Target="../customXml/item1.xml"/><Relationship Id="rId10" Type="http://schemas.openxmlformats.org/officeDocument/2006/relationships/image" Target="media/image6.jpeg"/><Relationship Id="rId1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279C66-D37A-4ECB-83DD-5477535B6426}"/>
</file>

<file path=customXml/itemProps2.xml><?xml version="1.0" encoding="utf-8"?>
<ds:datastoreItem xmlns:ds="http://schemas.openxmlformats.org/officeDocument/2006/customXml" ds:itemID="{84575BC0-1BBB-4732-9B8B-E5D0C11DABC0}"/>
</file>

<file path=customXml/itemProps3.xml><?xml version="1.0" encoding="utf-8"?>
<ds:datastoreItem xmlns:ds="http://schemas.openxmlformats.org/officeDocument/2006/customXml" ds:itemID="{39D60019-952C-4B65-8129-009FA6C152E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