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rsidTr="00542416">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71" w:type="dxa"/>
          </w:tcPr>
          <w:p w:rsidR="004A0CAF" w:rsidRPr="006C51DB" w:rsidP="00542416">
            <w:pPr>
              <w:rPr>
                <w:rFonts w:ascii="Tahoma" w:hAnsi="Tahoma" w:cs="Tahoma"/>
                <w:b/>
                <w:bCs/>
                <w:sz w:val="40"/>
                <w:szCs w:val="40"/>
                <w:rtl/>
              </w:rPr>
            </w:pPr>
            <w:bookmarkStart w:id="0" w:name="_GoBack"/>
            <w:bookmarkEnd w:id="0"/>
            <w:r>
              <w:rPr>
                <w:rFonts w:ascii="Tahoma" w:hAnsi="Tahoma" w:cs="Tahoma" w:hint="cs"/>
                <w:b/>
                <w:bCs/>
                <w:sz w:val="40"/>
                <w:szCs w:val="40"/>
                <w:rtl/>
              </w:rPr>
              <w:t xml:space="preserve">מוכנות ללחימה בחזית </w:t>
            </w:r>
            <w:r w:rsidR="002C2996">
              <w:rPr>
                <w:rFonts w:ascii="Tahoma" w:hAnsi="Tahoma" w:cs="Tahoma" w:hint="cs"/>
                <w:b/>
                <w:bCs/>
                <w:sz w:val="40"/>
                <w:szCs w:val="40"/>
                <w:rtl/>
              </w:rPr>
              <w:t xml:space="preserve">תחת </w:t>
            </w:r>
            <w:r>
              <w:rPr>
                <w:rFonts w:ascii="Tahoma" w:hAnsi="Tahoma" w:cs="Tahoma" w:hint="cs"/>
                <w:b/>
                <w:bCs/>
                <w:sz w:val="40"/>
                <w:szCs w:val="40"/>
                <w:rtl/>
              </w:rPr>
              <w:t>איום חומרי לחימה כימיים</w:t>
            </w:r>
          </w:p>
          <w:p w:rsidR="004A0CAF" w:rsidRPr="004C49D1" w:rsidP="003C7B6E">
            <w:pPr>
              <w:spacing w:line="312" w:lineRule="auto"/>
              <w:rPr>
                <w:rFonts w:ascii="Tahoma" w:hAnsi="Tahoma" w:cs="Tahoma"/>
                <w:sz w:val="40"/>
                <w:szCs w:val="40"/>
                <w:rtl/>
              </w:rPr>
            </w:pPr>
            <w:r w:rsidRPr="004C49D1">
              <w:rPr>
                <w:rFonts w:ascii="Tahoma" w:hAnsi="Tahoma" w:cs="Tahoma"/>
                <w:sz w:val="36"/>
                <w:szCs w:val="36"/>
                <w:rtl/>
              </w:rPr>
              <w:t>תקציר</w:t>
            </w:r>
          </w:p>
        </w:tc>
      </w:tr>
    </w:tbl>
    <w:p w:rsidR="004A0CAF" w:rsidRPr="004C49D1" w:rsidP="003C7B6E">
      <w:pPr>
        <w:tabs>
          <w:tab w:val="left" w:pos="3754"/>
        </w:tabs>
        <w:spacing w:line="312" w:lineRule="auto"/>
        <w:rPr>
          <w:rFonts w:ascii="Tahoma" w:hAnsi="Tahoma" w:cs="Tahoma"/>
          <w:sz w:val="2"/>
          <w:szCs w:val="2"/>
          <w:rtl/>
        </w:rPr>
      </w:pPr>
    </w:p>
    <w:tbl>
      <w:tblPr>
        <w:tblStyle w:val="TableGrid"/>
        <w:tblpPr w:leftFromText="180" w:rightFromText="180" w:vertAnchor="text" w:tblpXSpec="center" w:tblpY="1"/>
        <w:tblOverlap w:val="never"/>
        <w:bidiVisual/>
        <w:tblW w:w="9428" w:type="dxa"/>
        <w:tblLook w:val="04A0"/>
      </w:tblPr>
      <w:tblGrid>
        <w:gridCol w:w="18"/>
        <w:gridCol w:w="1028"/>
        <w:gridCol w:w="8365"/>
        <w:gridCol w:w="17"/>
      </w:tblGrid>
      <w:tr w:rsidTr="008D0FE9">
        <w:tblPrEx>
          <w:tblW w:w="9428" w:type="dxa"/>
          <w:tblLook w:val="04A0"/>
        </w:tblPrEx>
        <w:trPr>
          <w:gridAfter w:val="1"/>
          <w:wAfter w:w="17" w:type="dxa"/>
          <w:trHeight w:val="209"/>
        </w:trPr>
        <w:tc>
          <w:tcPr>
            <w:tcW w:w="9411" w:type="dxa"/>
            <w:gridSpan w:val="3"/>
            <w:tcBorders>
              <w:top w:val="nil"/>
              <w:left w:val="nil"/>
              <w:bottom w:val="nil"/>
              <w:right w:val="nil"/>
            </w:tcBorders>
          </w:tcPr>
          <w:p w:rsidR="004A0CAF" w:rsidRPr="006C51DB" w:rsidP="003C7B6E">
            <w:pPr>
              <w:spacing w:line="312" w:lineRule="auto"/>
              <w:jc w:val="center"/>
              <w:rPr>
                <w:rFonts w:ascii="Tahoma" w:hAnsi="Tahoma" w:cs="Tahoma"/>
                <w:rtl/>
              </w:rPr>
            </w:pPr>
            <w:r w:rsidRPr="006C51DB">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49398"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8D0FE9">
        <w:tblPrEx>
          <w:tblW w:w="9428" w:type="dxa"/>
          <w:tblLook w:val="04A0"/>
        </w:tblPrEx>
        <w:trPr>
          <w:gridAfter w:val="1"/>
          <w:wAfter w:w="17" w:type="dxa"/>
          <w:trHeight w:val="103"/>
        </w:trPr>
        <w:tc>
          <w:tcPr>
            <w:tcW w:w="9411" w:type="dxa"/>
            <w:gridSpan w:val="3"/>
            <w:tcBorders>
              <w:top w:val="nil"/>
              <w:left w:val="nil"/>
              <w:bottom w:val="nil"/>
              <w:right w:val="nil"/>
            </w:tcBorders>
          </w:tcPr>
          <w:p w:rsidR="004A0CAF" w:rsidRPr="006C51DB" w:rsidP="003C7B6E">
            <w:pPr>
              <w:spacing w:line="312" w:lineRule="auto"/>
              <w:rPr>
                <w:rFonts w:ascii="Tahoma" w:hAnsi="Tahoma" w:cs="Tahoma"/>
                <w:sz w:val="6"/>
                <w:szCs w:val="6"/>
                <w:rtl/>
              </w:rPr>
            </w:pPr>
          </w:p>
        </w:tc>
      </w:tr>
      <w:tr w:rsidTr="008E4664">
        <w:tblPrEx>
          <w:tblW w:w="9428" w:type="dxa"/>
          <w:tblLook w:val="04A0"/>
        </w:tblPrEx>
        <w:trPr>
          <w:gridAfter w:val="1"/>
          <w:wAfter w:w="17" w:type="dxa"/>
          <w:trHeight w:val="1218"/>
        </w:trPr>
        <w:tc>
          <w:tcPr>
            <w:tcW w:w="9411" w:type="dxa"/>
            <w:gridSpan w:val="3"/>
            <w:tcBorders>
              <w:top w:val="nil"/>
              <w:left w:val="nil"/>
              <w:bottom w:val="nil"/>
              <w:right w:val="nil"/>
            </w:tcBorders>
          </w:tcPr>
          <w:p w:rsidR="00DF5F97" w:rsidRPr="00895237" w:rsidP="00DF5F97">
            <w:pPr>
              <w:spacing w:line="312" w:lineRule="auto"/>
              <w:jc w:val="both"/>
              <w:rPr>
                <w:rFonts w:ascii="Tahoma" w:hAnsi="Tahoma" w:cs="Tahoma"/>
                <w:sz w:val="19"/>
                <w:szCs w:val="19"/>
                <w:rtl/>
              </w:rPr>
            </w:pPr>
            <w:r w:rsidRPr="00895237">
              <w:rPr>
                <w:rFonts w:ascii="Tahoma" w:hAnsi="Tahoma" w:cs="Tahoma"/>
                <w:sz w:val="19"/>
                <w:szCs w:val="19"/>
                <w:rtl/>
              </w:rPr>
              <w:t>שימוש בחומרי לחימה</w:t>
            </w:r>
            <w:r w:rsidRPr="00895237" w:rsidR="00533D41">
              <w:rPr>
                <w:rFonts w:ascii="Tahoma" w:hAnsi="Tahoma" w:cs="Tahoma"/>
                <w:sz w:val="19"/>
                <w:szCs w:val="19"/>
                <w:rtl/>
              </w:rPr>
              <w:t xml:space="preserve"> כימי</w:t>
            </w:r>
            <w:r w:rsidRPr="00895237">
              <w:rPr>
                <w:rFonts w:ascii="Tahoma" w:hAnsi="Tahoma" w:cs="Tahoma"/>
                <w:sz w:val="19"/>
                <w:szCs w:val="19"/>
                <w:rtl/>
              </w:rPr>
              <w:t>ים</w:t>
            </w:r>
            <w:r w:rsidRPr="00895237" w:rsidR="001A068D">
              <w:rPr>
                <w:rFonts w:ascii="Tahoma" w:hAnsi="Tahoma" w:cs="Tahoma"/>
                <w:sz w:val="19"/>
                <w:szCs w:val="19"/>
                <w:rtl/>
              </w:rPr>
              <w:t xml:space="preserve"> </w:t>
            </w:r>
            <w:r w:rsidRPr="00895237">
              <w:rPr>
                <w:rFonts w:ascii="Tahoma" w:hAnsi="Tahoma" w:cs="Tahoma"/>
                <w:sz w:val="19"/>
                <w:szCs w:val="19"/>
                <w:rtl/>
              </w:rPr>
              <w:t xml:space="preserve">(חל"ך) במהלך לוחמה </w:t>
            </w:r>
            <w:r w:rsidRPr="00895237" w:rsidR="006C128B">
              <w:rPr>
                <w:rFonts w:ascii="Tahoma" w:hAnsi="Tahoma" w:cs="Tahoma"/>
                <w:sz w:val="19"/>
                <w:szCs w:val="19"/>
                <w:rtl/>
              </w:rPr>
              <w:t>ה</w:t>
            </w:r>
            <w:r w:rsidRPr="00895237">
              <w:rPr>
                <w:rFonts w:ascii="Tahoma" w:hAnsi="Tahoma" w:cs="Tahoma"/>
                <w:sz w:val="19"/>
                <w:szCs w:val="19"/>
                <w:rtl/>
              </w:rPr>
              <w:t>ו</w:t>
            </w:r>
            <w:r w:rsidRPr="00895237" w:rsidR="006C128B">
              <w:rPr>
                <w:rFonts w:ascii="Tahoma" w:hAnsi="Tahoma" w:cs="Tahoma"/>
                <w:sz w:val="19"/>
                <w:szCs w:val="19"/>
                <w:rtl/>
              </w:rPr>
              <w:t xml:space="preserve">א איום מוכר </w:t>
            </w:r>
            <w:r w:rsidRPr="00895237" w:rsidR="00AA57ED">
              <w:rPr>
                <w:rFonts w:ascii="Tahoma" w:hAnsi="Tahoma" w:cs="Tahoma"/>
                <w:sz w:val="19"/>
                <w:szCs w:val="19"/>
                <w:rtl/>
              </w:rPr>
              <w:t xml:space="preserve">זה </w:t>
            </w:r>
            <w:r w:rsidRPr="00895237" w:rsidR="006C128B">
              <w:rPr>
                <w:rFonts w:ascii="Tahoma" w:hAnsi="Tahoma" w:cs="Tahoma"/>
                <w:sz w:val="19"/>
                <w:szCs w:val="19"/>
                <w:rtl/>
              </w:rPr>
              <w:t>שנים רבות</w:t>
            </w:r>
            <w:r w:rsidRPr="00895237" w:rsidR="006E44B4">
              <w:rPr>
                <w:rFonts w:ascii="Tahoma" w:hAnsi="Tahoma" w:cs="Tahoma"/>
                <w:sz w:val="19"/>
                <w:szCs w:val="19"/>
                <w:rtl/>
              </w:rPr>
              <w:t xml:space="preserve"> (מוכר בצה"ל כאיום</w:t>
            </w:r>
            <w:r w:rsidRPr="00895237" w:rsidR="00551C87">
              <w:rPr>
                <w:rFonts w:ascii="Tahoma" w:hAnsi="Tahoma" w:cs="Tahoma"/>
                <w:sz w:val="19"/>
                <w:szCs w:val="19"/>
                <w:rtl/>
              </w:rPr>
              <w:t xml:space="preserve"> הב"ך או איום</w:t>
            </w:r>
            <w:r w:rsidRPr="00895237" w:rsidR="006E44B4">
              <w:rPr>
                <w:rFonts w:ascii="Tahoma" w:hAnsi="Tahoma" w:cs="Tahoma"/>
                <w:sz w:val="19"/>
                <w:szCs w:val="19"/>
                <w:rtl/>
              </w:rPr>
              <w:t xml:space="preserve"> אב"ך [אטומי-ביולוגי-כימי])</w:t>
            </w:r>
            <w:r w:rsidRPr="00895237" w:rsidR="00796A29">
              <w:rPr>
                <w:rFonts w:ascii="Tahoma" w:hAnsi="Tahoma" w:cs="Tahoma"/>
                <w:sz w:val="19"/>
                <w:szCs w:val="19"/>
                <w:rtl/>
              </w:rPr>
              <w:t>.</w:t>
            </w:r>
            <w:r w:rsidRPr="00895237" w:rsidR="00F566FB">
              <w:rPr>
                <w:rFonts w:ascii="Tahoma" w:hAnsi="Tahoma" w:cs="Tahoma"/>
                <w:sz w:val="19"/>
                <w:szCs w:val="19"/>
                <w:rtl/>
              </w:rPr>
              <w:t xml:space="preserve"> </w:t>
            </w:r>
            <w:r w:rsidRPr="00895237" w:rsidR="00F566FB">
              <w:rPr>
                <w:rFonts w:ascii="Tahoma" w:eastAsia="Times New Roman" w:hAnsi="Tahoma" w:cs="Tahoma"/>
                <w:sz w:val="19"/>
                <w:szCs w:val="19"/>
                <w:rtl/>
                <w:lang w:eastAsia="he-IL"/>
              </w:rPr>
              <w:t xml:space="preserve">במהלך מלחמת האזרחים בסוריה, שהחלה בשנת 2011, השתמש המשטר הסורי בחל"ך נגד כוחות מורדים ונגד אוכלוסייה אזרחית. </w:t>
            </w:r>
            <w:r w:rsidRPr="00895237" w:rsidR="00F532F8">
              <w:rPr>
                <w:rFonts w:ascii="Tahoma" w:hAnsi="Tahoma" w:cs="Tahoma"/>
                <w:sz w:val="19"/>
                <w:szCs w:val="19"/>
                <w:rtl/>
              </w:rPr>
              <w:t>צבאות שונים מתמודדים עם איום זה</w:t>
            </w:r>
            <w:r w:rsidRPr="00895237" w:rsidR="001A068D">
              <w:rPr>
                <w:rFonts w:ascii="Tahoma" w:hAnsi="Tahoma" w:cs="Tahoma"/>
                <w:sz w:val="19"/>
                <w:szCs w:val="19"/>
                <w:rtl/>
              </w:rPr>
              <w:t>, ובהם צבא א</w:t>
            </w:r>
            <w:r>
              <w:rPr>
                <w:rFonts w:ascii="Tahoma" w:hAnsi="Tahoma" w:cs="Tahoma"/>
                <w:sz w:val="19"/>
                <w:szCs w:val="19"/>
                <w:rtl/>
              </w:rPr>
              <w:t>רה"ב, שרואה בו אתגר גדול ומורכב</w:t>
            </w:r>
            <w:r w:rsidR="00791F86">
              <w:rPr>
                <w:rFonts w:ascii="Tahoma" w:hAnsi="Tahoma" w:cs="Tahoma" w:hint="cs"/>
                <w:sz w:val="19"/>
                <w:szCs w:val="19"/>
                <w:rtl/>
              </w:rPr>
              <w:t>.</w:t>
            </w:r>
          </w:p>
        </w:tc>
      </w:tr>
      <w:tr w:rsidTr="008D0FE9">
        <w:tblPrEx>
          <w:tblW w:w="9428" w:type="dxa"/>
          <w:tblLook w:val="04A0"/>
        </w:tblPrEx>
        <w:trPr>
          <w:gridAfter w:val="1"/>
          <w:wAfter w:w="17" w:type="dxa"/>
          <w:trHeight w:val="119"/>
        </w:trPr>
        <w:tc>
          <w:tcPr>
            <w:tcW w:w="9411" w:type="dxa"/>
            <w:gridSpan w:val="3"/>
            <w:tcBorders>
              <w:top w:val="nil"/>
              <w:left w:val="nil"/>
              <w:bottom w:val="nil"/>
              <w:right w:val="nil"/>
            </w:tcBorders>
          </w:tcPr>
          <w:p w:rsidR="004A0CAF" w:rsidRPr="006C51DB" w:rsidP="001D0714">
            <w:pPr>
              <w:spacing w:line="312" w:lineRule="auto"/>
              <w:rPr>
                <w:rFonts w:ascii="Tahoma" w:hAnsi="Tahoma" w:cs="Tahoma"/>
                <w:rtl/>
              </w:rPr>
            </w:pPr>
          </w:p>
        </w:tc>
      </w:tr>
      <w:tr w:rsidTr="008D0FE9">
        <w:tblPrEx>
          <w:tblW w:w="9428" w:type="dxa"/>
          <w:tblLook w:val="04A0"/>
        </w:tblPrEx>
        <w:trPr>
          <w:gridAfter w:val="1"/>
          <w:wAfter w:w="17" w:type="dxa"/>
          <w:trHeight w:val="386"/>
        </w:trPr>
        <w:tc>
          <w:tcPr>
            <w:tcW w:w="9411" w:type="dxa"/>
            <w:gridSpan w:val="3"/>
            <w:tcBorders>
              <w:top w:val="nil"/>
              <w:left w:val="nil"/>
              <w:bottom w:val="nil"/>
              <w:right w:val="nil"/>
            </w:tcBorders>
            <w:vAlign w:val="center"/>
          </w:tcPr>
          <w:p w:rsidR="004B4FB9" w:rsidRPr="006C51DB" w:rsidP="003C7B6E">
            <w:pPr>
              <w:spacing w:line="312" w:lineRule="auto"/>
              <w:rPr>
                <w:rFonts w:ascii="Tahoma" w:hAnsi="Tahoma" w:cs="Tahoma"/>
                <w:sz w:val="17"/>
                <w:szCs w:val="17"/>
                <w:rtl/>
              </w:rPr>
            </w:pPr>
            <w:r w:rsidRPr="006C51DB">
              <w:rPr>
                <w:rFonts w:ascii="Tahoma" w:hAnsi="Tahoma" w:cs="Tahoma"/>
                <w:noProof/>
              </w:rPr>
              <w:drawing>
                <wp:inline distT="0" distB="0" distL="0" distR="0">
                  <wp:extent cx="5832510" cy="4984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8D0FE9">
        <w:tblPrEx>
          <w:tblW w:w="9428" w:type="dxa"/>
          <w:tblLook w:val="04A0"/>
        </w:tblPrEx>
        <w:trPr>
          <w:gridBefore w:val="1"/>
          <w:wBefore w:w="18" w:type="dxa"/>
          <w:trHeight w:val="795"/>
        </w:trPr>
        <w:tc>
          <w:tcPr>
            <w:tcW w:w="1028" w:type="dxa"/>
            <w:tcBorders>
              <w:top w:val="nil"/>
              <w:left w:val="nil"/>
              <w:bottom w:val="nil"/>
              <w:right w:val="nil"/>
            </w:tcBorders>
            <w:vAlign w:val="center"/>
          </w:tcPr>
          <w:p w:rsidR="004B4FB9" w:rsidRPr="006C51DB" w:rsidP="003C7B6E">
            <w:pPr>
              <w:spacing w:line="312" w:lineRule="auto"/>
              <w:rPr>
                <w:rFonts w:ascii="Tahoma" w:hAnsi="Tahoma" w:cs="Tahoma"/>
                <w:sz w:val="17"/>
                <w:szCs w:val="17"/>
                <w:rtl/>
              </w:rPr>
            </w:pPr>
            <w:r w:rsidRPr="006C51DB">
              <w:rPr>
                <w:rFonts w:ascii="Tahoma" w:hAnsi="Tahoma" w:cs="Tahoma"/>
                <w:noProof/>
              </w:rPr>
              <w:drawing>
                <wp:anchor distT="0" distB="0" distL="114300" distR="114300" simplePos="0" relativeHeight="251660288" behindDoc="0" locked="0" layoutInCell="1" allowOverlap="1">
                  <wp:simplePos x="0" y="0"/>
                  <wp:positionH relativeFrom="column">
                    <wp:posOffset>62230</wp:posOffset>
                  </wp:positionH>
                  <wp:positionV relativeFrom="paragraph">
                    <wp:posOffset>-915035</wp:posOffset>
                  </wp:positionV>
                  <wp:extent cx="445135" cy="44513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76908" name="Picture 56"/>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1DB">
              <w:rPr>
                <w:rFonts w:ascii="Tahoma" w:hAnsi="Tahoma" w:cs="Tahoma"/>
                <w:noProof/>
              </w:rPr>
              <w:drawing>
                <wp:anchor distT="0" distB="0" distL="114300" distR="114300" simplePos="0" relativeHeight="251659264"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8537" name="Picture 56"/>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82" w:type="dxa"/>
            <w:gridSpan w:val="2"/>
            <w:tcBorders>
              <w:top w:val="nil"/>
              <w:left w:val="nil"/>
              <w:bottom w:val="nil"/>
              <w:right w:val="nil"/>
            </w:tcBorders>
            <w:vAlign w:val="center"/>
          </w:tcPr>
          <w:p w:rsidR="004B4FB9" w:rsidP="00B11EAF">
            <w:pPr>
              <w:spacing w:line="312" w:lineRule="auto"/>
              <w:jc w:val="both"/>
              <w:rPr>
                <w:rFonts w:ascii="Tahoma" w:hAnsi="Tahoma" w:cs="Tahoma"/>
                <w:sz w:val="19"/>
                <w:szCs w:val="19"/>
                <w:rtl/>
              </w:rPr>
            </w:pPr>
            <w:r>
              <w:rPr>
                <w:rFonts w:ascii="Tahoma" w:hAnsi="Tahoma" w:cs="Tahoma" w:hint="cs"/>
                <w:sz w:val="19"/>
                <w:szCs w:val="19"/>
                <w:rtl/>
              </w:rPr>
              <w:t xml:space="preserve">בתקופה שבין </w:t>
            </w:r>
            <w:r w:rsidRPr="00BE4394" w:rsidR="00BE4394">
              <w:rPr>
                <w:rFonts w:ascii="Tahoma" w:hAnsi="Tahoma" w:cs="Tahoma" w:hint="cs"/>
                <w:sz w:val="19"/>
                <w:szCs w:val="19"/>
                <w:rtl/>
              </w:rPr>
              <w:t xml:space="preserve">יוני 2019 </w:t>
            </w:r>
            <w:r>
              <w:rPr>
                <w:rFonts w:ascii="Tahoma" w:hAnsi="Tahoma" w:cs="Tahoma" w:hint="cs"/>
                <w:sz w:val="19"/>
                <w:szCs w:val="19"/>
                <w:rtl/>
              </w:rPr>
              <w:t>ל</w:t>
            </w:r>
            <w:r w:rsidR="00F86F4E">
              <w:rPr>
                <w:rFonts w:ascii="Tahoma" w:hAnsi="Tahoma" w:cs="Tahoma" w:hint="cs"/>
                <w:sz w:val="19"/>
                <w:szCs w:val="19"/>
                <w:rtl/>
              </w:rPr>
              <w:t>פברואר</w:t>
            </w:r>
            <w:r w:rsidRPr="00BE4394" w:rsidR="00BE4394">
              <w:rPr>
                <w:rFonts w:ascii="Tahoma" w:hAnsi="Tahoma" w:cs="Tahoma" w:hint="cs"/>
                <w:sz w:val="19"/>
                <w:szCs w:val="19"/>
                <w:rtl/>
              </w:rPr>
              <w:t xml:space="preserve"> 2020 בדק משרד מבקר המדינה את מוכנות צה"ל ללחימה בחזית </w:t>
            </w:r>
            <w:r w:rsidR="00E075BA">
              <w:rPr>
                <w:rFonts w:ascii="Tahoma" w:hAnsi="Tahoma" w:cs="Tahoma" w:hint="cs"/>
                <w:sz w:val="19"/>
                <w:szCs w:val="19"/>
                <w:rtl/>
              </w:rPr>
              <w:t>תחת</w:t>
            </w:r>
            <w:r w:rsidRPr="00BE4394" w:rsidR="00E075BA">
              <w:rPr>
                <w:rFonts w:ascii="Tahoma" w:hAnsi="Tahoma" w:cs="Tahoma" w:hint="cs"/>
                <w:sz w:val="19"/>
                <w:szCs w:val="19"/>
                <w:rtl/>
              </w:rPr>
              <w:t xml:space="preserve"> </w:t>
            </w:r>
            <w:r w:rsidRPr="00BE4394" w:rsidR="00BE4394">
              <w:rPr>
                <w:rFonts w:ascii="Tahoma" w:hAnsi="Tahoma" w:cs="Tahoma" w:hint="cs"/>
                <w:sz w:val="19"/>
                <w:szCs w:val="19"/>
                <w:rtl/>
              </w:rPr>
              <w:t xml:space="preserve">איום </w:t>
            </w:r>
            <w:r>
              <w:rPr>
                <w:rFonts w:ascii="Tahoma" w:hAnsi="Tahoma" w:cs="Tahoma" w:hint="cs"/>
                <w:sz w:val="19"/>
                <w:szCs w:val="19"/>
                <w:rtl/>
              </w:rPr>
              <w:t>חל"ך</w:t>
            </w:r>
            <w:r w:rsidRPr="00BE4394" w:rsidR="00BE4394">
              <w:rPr>
                <w:rFonts w:ascii="Tahoma" w:hAnsi="Tahoma" w:cs="Tahoma" w:hint="cs"/>
                <w:sz w:val="19"/>
                <w:szCs w:val="19"/>
                <w:rtl/>
              </w:rPr>
              <w:t>. נבדקו בעיקר</w:t>
            </w:r>
            <w:r w:rsidR="00F86F4E">
              <w:rPr>
                <w:rFonts w:ascii="Tahoma" w:hAnsi="Tahoma" w:cs="Tahoma" w:hint="cs"/>
                <w:sz w:val="19"/>
                <w:szCs w:val="19"/>
                <w:rtl/>
              </w:rPr>
              <w:t>:</w:t>
            </w:r>
            <w:r w:rsidRPr="00BE4394" w:rsidR="00BE4394">
              <w:rPr>
                <w:rFonts w:ascii="Tahoma" w:hAnsi="Tahoma" w:cs="Tahoma" w:hint="cs"/>
                <w:sz w:val="19"/>
                <w:szCs w:val="19"/>
                <w:rtl/>
              </w:rPr>
              <w:t xml:space="preserve"> מוכנות כוחות היבשה; גדודי האב"ך</w:t>
            </w:r>
            <w:r w:rsidR="000E4939">
              <w:rPr>
                <w:rFonts w:ascii="Tahoma" w:hAnsi="Tahoma" w:cs="Tahoma" w:hint="cs"/>
                <w:sz w:val="19"/>
                <w:szCs w:val="19"/>
                <w:rtl/>
              </w:rPr>
              <w:t>; וניהול משק ציוד הב"ך</w:t>
            </w:r>
            <w:r w:rsidRPr="00BE4394" w:rsidR="00BE4394">
              <w:rPr>
                <w:rFonts w:ascii="Tahoma" w:hAnsi="Tahoma" w:cs="Tahoma" w:hint="cs"/>
                <w:sz w:val="19"/>
                <w:szCs w:val="19"/>
                <w:rtl/>
              </w:rPr>
              <w:t xml:space="preserve">. הביקורת </w:t>
            </w:r>
            <w:r w:rsidR="002E6D53">
              <w:rPr>
                <w:rFonts w:ascii="Tahoma" w:hAnsi="Tahoma" w:cs="Tahoma" w:hint="cs"/>
                <w:sz w:val="19"/>
                <w:szCs w:val="19"/>
                <w:rtl/>
              </w:rPr>
              <w:t>נע</w:t>
            </w:r>
            <w:r w:rsidR="00CF1F6D">
              <w:rPr>
                <w:rFonts w:ascii="Tahoma" w:hAnsi="Tahoma" w:cs="Tahoma" w:hint="cs"/>
                <w:sz w:val="19"/>
                <w:szCs w:val="19"/>
                <w:rtl/>
              </w:rPr>
              <w:t>רכ</w:t>
            </w:r>
            <w:r w:rsidR="002E6D53">
              <w:rPr>
                <w:rFonts w:ascii="Tahoma" w:hAnsi="Tahoma" w:cs="Tahoma" w:hint="cs"/>
                <w:sz w:val="19"/>
                <w:szCs w:val="19"/>
                <w:rtl/>
              </w:rPr>
              <w:t>ה</w:t>
            </w:r>
            <w:r w:rsidRPr="00BE4394" w:rsidR="002E6D53">
              <w:rPr>
                <w:rFonts w:ascii="Tahoma" w:hAnsi="Tahoma" w:cs="Tahoma" w:hint="cs"/>
                <w:sz w:val="19"/>
                <w:szCs w:val="19"/>
                <w:rtl/>
              </w:rPr>
              <w:t xml:space="preserve"> </w:t>
            </w:r>
            <w:r w:rsidRPr="00BE4394" w:rsidR="00BE4394">
              <w:rPr>
                <w:rFonts w:ascii="Tahoma" w:hAnsi="Tahoma" w:cs="Tahoma" w:hint="cs"/>
                <w:sz w:val="19"/>
                <w:szCs w:val="19"/>
                <w:rtl/>
              </w:rPr>
              <w:t>בעיקר בצה"ל</w:t>
            </w:r>
            <w:r w:rsidR="00BE4394">
              <w:rPr>
                <w:rFonts w:ascii="Tahoma" w:hAnsi="Tahoma" w:cs="Tahoma" w:hint="cs"/>
                <w:sz w:val="19"/>
                <w:szCs w:val="19"/>
                <w:rtl/>
              </w:rPr>
              <w:t xml:space="preserve"> - בזרוע היבשה</w:t>
            </w:r>
            <w:r w:rsidRPr="00BE4394" w:rsidR="00BE4394">
              <w:rPr>
                <w:rFonts w:ascii="Tahoma" w:hAnsi="Tahoma" w:cs="Tahoma" w:hint="cs"/>
                <w:sz w:val="19"/>
                <w:szCs w:val="19"/>
                <w:rtl/>
              </w:rPr>
              <w:t>: במפקדת</w:t>
            </w:r>
            <w:r w:rsidR="00BE4394">
              <w:rPr>
                <w:rFonts w:ascii="Tahoma" w:hAnsi="Tahoma" w:cs="Tahoma" w:hint="cs"/>
                <w:sz w:val="19"/>
                <w:szCs w:val="19"/>
                <w:rtl/>
              </w:rPr>
              <w:t xml:space="preserve"> קצין הנדסה ראשי</w:t>
            </w:r>
            <w:r w:rsidRPr="00BE4394" w:rsidR="00BE4394">
              <w:rPr>
                <w:rFonts w:ascii="Tahoma" w:hAnsi="Tahoma" w:cs="Tahoma" w:hint="cs"/>
                <w:sz w:val="19"/>
                <w:szCs w:val="19"/>
                <w:rtl/>
              </w:rPr>
              <w:t>, ב</w:t>
            </w:r>
            <w:r w:rsidR="00BE4394">
              <w:rPr>
                <w:rFonts w:ascii="Tahoma" w:hAnsi="Tahoma" w:cs="Tahoma" w:hint="cs"/>
                <w:sz w:val="19"/>
                <w:szCs w:val="19"/>
                <w:rtl/>
              </w:rPr>
              <w:t xml:space="preserve">אגף הטכנולוגיה </w:t>
            </w:r>
            <w:r w:rsidR="007E2FEA">
              <w:rPr>
                <w:rFonts w:ascii="Tahoma" w:hAnsi="Tahoma" w:cs="Tahoma" w:hint="cs"/>
                <w:sz w:val="19"/>
                <w:szCs w:val="19"/>
                <w:rtl/>
              </w:rPr>
              <w:t xml:space="preserve">והלוגיסטיקה </w:t>
            </w:r>
            <w:r w:rsidRPr="00BE4394" w:rsidR="00BE4394">
              <w:rPr>
                <w:rFonts w:ascii="Tahoma" w:hAnsi="Tahoma" w:cs="Tahoma" w:hint="cs"/>
                <w:sz w:val="19"/>
                <w:szCs w:val="19"/>
                <w:rtl/>
              </w:rPr>
              <w:t>ובמפ</w:t>
            </w:r>
            <w:r w:rsidR="00BE4394">
              <w:rPr>
                <w:rFonts w:ascii="Tahoma" w:hAnsi="Tahoma" w:cs="Tahoma" w:hint="cs"/>
                <w:sz w:val="19"/>
                <w:szCs w:val="19"/>
                <w:rtl/>
              </w:rPr>
              <w:t>קדת קצין רפואה ראשי</w:t>
            </w:r>
            <w:r w:rsidRPr="00BE4394" w:rsidR="00BE4394">
              <w:rPr>
                <w:rFonts w:ascii="Tahoma" w:hAnsi="Tahoma" w:cs="Tahoma" w:hint="cs"/>
                <w:sz w:val="19"/>
                <w:szCs w:val="19"/>
                <w:rtl/>
              </w:rPr>
              <w:t>; ב</w:t>
            </w:r>
            <w:r w:rsidR="00BE4394">
              <w:rPr>
                <w:rFonts w:ascii="Tahoma" w:hAnsi="Tahoma" w:cs="Tahoma" w:hint="cs"/>
                <w:sz w:val="19"/>
                <w:szCs w:val="19"/>
                <w:rtl/>
              </w:rPr>
              <w:t>פיקוד העורף</w:t>
            </w:r>
            <w:r w:rsidRPr="00BE4394" w:rsidR="00BE4394">
              <w:rPr>
                <w:rFonts w:ascii="Tahoma" w:hAnsi="Tahoma" w:cs="Tahoma" w:hint="cs"/>
                <w:sz w:val="19"/>
                <w:szCs w:val="19"/>
                <w:rtl/>
              </w:rPr>
              <w:t xml:space="preserve">; </w:t>
            </w:r>
            <w:r w:rsidRPr="00B11EAF" w:rsidR="00BE4394">
              <w:rPr>
                <w:rFonts w:ascii="Tahoma" w:hAnsi="Tahoma" w:cs="Tahoma" w:hint="cs"/>
                <w:sz w:val="19"/>
                <w:szCs w:val="19"/>
                <w:rtl/>
              </w:rPr>
              <w:t>ב</w:t>
            </w:r>
            <w:r w:rsidRPr="00B11EAF" w:rsidR="00DC5E72">
              <w:rPr>
                <w:rFonts w:ascii="Tahoma" w:hAnsi="Tahoma" w:cs="Tahoma" w:hint="cs"/>
                <w:sz w:val="19"/>
                <w:szCs w:val="19"/>
                <w:rtl/>
              </w:rPr>
              <w:t>אוגדות</w:t>
            </w:r>
            <w:r w:rsidRPr="00B11EAF" w:rsidR="00DC5E72">
              <w:rPr>
                <w:rFonts w:ascii="Tahoma" w:hAnsi="Tahoma" w:cs="Tahoma"/>
                <w:sz w:val="19"/>
                <w:szCs w:val="19"/>
                <w:rtl/>
              </w:rPr>
              <w:t xml:space="preserve"> </w:t>
            </w:r>
            <w:r w:rsidR="001D0714">
              <w:rPr>
                <w:rFonts w:ascii="Tahoma" w:hAnsi="Tahoma" w:cs="Tahoma" w:hint="cs"/>
                <w:sz w:val="19"/>
                <w:szCs w:val="19"/>
                <w:rtl/>
              </w:rPr>
              <w:t>מסוי</w:t>
            </w:r>
            <w:r w:rsidRPr="00B11EAF" w:rsidR="00DC5E72">
              <w:rPr>
                <w:rFonts w:ascii="Tahoma" w:hAnsi="Tahoma" w:cs="Tahoma" w:hint="cs"/>
                <w:sz w:val="19"/>
                <w:szCs w:val="19"/>
                <w:rtl/>
              </w:rPr>
              <w:t>מות</w:t>
            </w:r>
            <w:r w:rsidRPr="00B11EAF" w:rsidR="00DC5E72">
              <w:rPr>
                <w:rFonts w:ascii="Tahoma" w:hAnsi="Tahoma" w:cs="Tahoma"/>
                <w:sz w:val="19"/>
                <w:szCs w:val="19"/>
                <w:rtl/>
              </w:rPr>
              <w:t xml:space="preserve"> </w:t>
            </w:r>
            <w:r w:rsidRPr="00B11EAF" w:rsidR="00DC5E72">
              <w:rPr>
                <w:rFonts w:ascii="Tahoma" w:hAnsi="Tahoma" w:cs="Tahoma" w:hint="cs"/>
                <w:sz w:val="19"/>
                <w:szCs w:val="19"/>
                <w:rtl/>
              </w:rPr>
              <w:t>ב</w:t>
            </w:r>
            <w:r w:rsidRPr="00B11EAF" w:rsidR="00BE4394">
              <w:rPr>
                <w:rFonts w:ascii="Tahoma" w:hAnsi="Tahoma" w:cs="Tahoma" w:hint="cs"/>
                <w:sz w:val="19"/>
                <w:szCs w:val="19"/>
                <w:rtl/>
              </w:rPr>
              <w:t>פיקוד</w:t>
            </w:r>
            <w:r w:rsidRPr="00B11EAF" w:rsidR="00BE4394">
              <w:rPr>
                <w:rFonts w:ascii="Tahoma" w:hAnsi="Tahoma" w:cs="Tahoma"/>
                <w:sz w:val="19"/>
                <w:szCs w:val="19"/>
                <w:rtl/>
              </w:rPr>
              <w:t xml:space="preserve"> </w:t>
            </w:r>
            <w:r w:rsidRPr="00B11EAF" w:rsidR="00BE4394">
              <w:rPr>
                <w:rFonts w:ascii="Tahoma" w:hAnsi="Tahoma" w:cs="Tahoma" w:hint="cs"/>
                <w:sz w:val="19"/>
                <w:szCs w:val="19"/>
                <w:rtl/>
              </w:rPr>
              <w:t>הצפון</w:t>
            </w:r>
            <w:r w:rsidRPr="00B11EAF" w:rsidR="00BE4394">
              <w:rPr>
                <w:rFonts w:ascii="Tahoma" w:hAnsi="Tahoma" w:cs="Tahoma"/>
                <w:sz w:val="19"/>
                <w:szCs w:val="19"/>
                <w:rtl/>
              </w:rPr>
              <w:t xml:space="preserve"> </w:t>
            </w:r>
            <w:r w:rsidRPr="00B11EAF" w:rsidR="00DC5E72">
              <w:rPr>
                <w:rFonts w:ascii="Tahoma" w:hAnsi="Tahoma" w:cs="Tahoma" w:hint="cs"/>
                <w:sz w:val="19"/>
                <w:szCs w:val="19"/>
                <w:rtl/>
              </w:rPr>
              <w:t>ו</w:t>
            </w:r>
            <w:r w:rsidRPr="00B11EAF">
              <w:rPr>
                <w:rFonts w:ascii="Tahoma" w:hAnsi="Tahoma" w:cs="Tahoma" w:hint="cs"/>
                <w:sz w:val="19"/>
                <w:szCs w:val="19"/>
                <w:rtl/>
              </w:rPr>
              <w:t>בפיקוד</w:t>
            </w:r>
            <w:r w:rsidRPr="00B11EAF">
              <w:rPr>
                <w:rFonts w:ascii="Tahoma" w:hAnsi="Tahoma" w:cs="Tahoma"/>
                <w:sz w:val="19"/>
                <w:szCs w:val="19"/>
                <w:rtl/>
              </w:rPr>
              <w:t xml:space="preserve"> </w:t>
            </w:r>
            <w:r w:rsidRPr="00B11EAF">
              <w:rPr>
                <w:rFonts w:ascii="Tahoma" w:hAnsi="Tahoma" w:cs="Tahoma" w:hint="cs"/>
                <w:sz w:val="19"/>
                <w:szCs w:val="19"/>
                <w:rtl/>
              </w:rPr>
              <w:t>הדרום</w:t>
            </w:r>
            <w:r w:rsidRPr="00B11EAF">
              <w:rPr>
                <w:rFonts w:ascii="Tahoma" w:hAnsi="Tahoma" w:cs="Tahoma"/>
                <w:sz w:val="19"/>
                <w:szCs w:val="19"/>
                <w:rtl/>
              </w:rPr>
              <w:t>;</w:t>
            </w:r>
            <w:r>
              <w:rPr>
                <w:rFonts w:ascii="Tahoma" w:hAnsi="Tahoma" w:cs="Tahoma" w:hint="cs"/>
                <w:sz w:val="19"/>
                <w:szCs w:val="19"/>
                <w:rtl/>
              </w:rPr>
              <w:t xml:space="preserve"> </w:t>
            </w:r>
            <w:r w:rsidRPr="00BE4394" w:rsidR="00BE4394">
              <w:rPr>
                <w:rFonts w:ascii="Tahoma" w:hAnsi="Tahoma" w:cs="Tahoma" w:hint="cs"/>
                <w:sz w:val="19"/>
                <w:szCs w:val="19"/>
                <w:rtl/>
              </w:rPr>
              <w:t>ב</w:t>
            </w:r>
            <w:r w:rsidR="00BE4394">
              <w:rPr>
                <w:rFonts w:ascii="Tahoma" w:hAnsi="Tahoma" w:cs="Tahoma" w:hint="cs"/>
                <w:sz w:val="19"/>
                <w:szCs w:val="19"/>
                <w:rtl/>
              </w:rPr>
              <w:t>זרוע האוויר והחלל</w:t>
            </w:r>
            <w:r w:rsidR="00AF0951">
              <w:rPr>
                <w:rFonts w:ascii="Tahoma" w:hAnsi="Tahoma" w:cs="Tahoma" w:hint="cs"/>
                <w:sz w:val="19"/>
                <w:szCs w:val="19"/>
                <w:rtl/>
              </w:rPr>
              <w:t>; באגף המודיעין</w:t>
            </w:r>
            <w:r>
              <w:rPr>
                <w:rFonts w:ascii="Tahoma" w:hAnsi="Tahoma" w:cs="Tahoma" w:hint="cs"/>
                <w:sz w:val="19"/>
                <w:szCs w:val="19"/>
                <w:rtl/>
              </w:rPr>
              <w:t xml:space="preserve">; </w:t>
            </w:r>
            <w:r w:rsidR="00551C87">
              <w:rPr>
                <w:rFonts w:ascii="Tahoma" w:hAnsi="Tahoma" w:cs="Tahoma" w:hint="cs"/>
                <w:sz w:val="19"/>
                <w:szCs w:val="19"/>
                <w:rtl/>
              </w:rPr>
              <w:t>ו</w:t>
            </w:r>
            <w:r w:rsidRPr="00BE4394" w:rsidR="00BE4394">
              <w:rPr>
                <w:rFonts w:ascii="Tahoma" w:hAnsi="Tahoma" w:cs="Tahoma" w:hint="cs"/>
                <w:sz w:val="19"/>
                <w:szCs w:val="19"/>
                <w:rtl/>
              </w:rPr>
              <w:t>ב</w:t>
            </w:r>
            <w:r w:rsidR="00BE4394">
              <w:rPr>
                <w:rFonts w:ascii="Tahoma" w:hAnsi="Tahoma" w:cs="Tahoma" w:hint="cs"/>
                <w:sz w:val="19"/>
                <w:szCs w:val="19"/>
                <w:rtl/>
              </w:rPr>
              <w:t>אגף המבצעים</w:t>
            </w:r>
            <w:r w:rsidR="00551C87">
              <w:rPr>
                <w:rFonts w:ascii="Tahoma" w:hAnsi="Tahoma" w:cs="Tahoma" w:hint="cs"/>
                <w:sz w:val="19"/>
                <w:szCs w:val="19"/>
                <w:rtl/>
              </w:rPr>
              <w:t xml:space="preserve">. </w:t>
            </w:r>
            <w:r w:rsidR="00AF0951">
              <w:rPr>
                <w:rFonts w:ascii="Tahoma" w:hAnsi="Tahoma" w:cs="Tahoma" w:hint="cs"/>
                <w:sz w:val="19"/>
                <w:szCs w:val="19"/>
                <w:rtl/>
              </w:rPr>
              <w:t>במשרד הביטחון; ובמטה לביטחון לאומי</w:t>
            </w:r>
            <w:r w:rsidRPr="00BE4394" w:rsidR="00BE4394">
              <w:rPr>
                <w:rFonts w:ascii="Tahoma" w:hAnsi="Tahoma" w:cs="Tahoma" w:hint="cs"/>
                <w:sz w:val="19"/>
                <w:szCs w:val="19"/>
                <w:rtl/>
              </w:rPr>
              <w:t>.</w:t>
            </w:r>
          </w:p>
          <w:p w:rsidR="00957E0B" w:rsidP="00B11EAF">
            <w:pPr>
              <w:spacing w:line="312" w:lineRule="auto"/>
              <w:jc w:val="both"/>
              <w:rPr>
                <w:rFonts w:ascii="Tahoma" w:hAnsi="Tahoma" w:cs="Tahoma"/>
                <w:sz w:val="19"/>
                <w:szCs w:val="19"/>
                <w:rtl/>
              </w:rPr>
            </w:pPr>
          </w:p>
          <w:p w:rsidR="00957E0B" w:rsidP="00957E0B">
            <w:pPr>
              <w:spacing w:line="312" w:lineRule="auto"/>
              <w:jc w:val="both"/>
              <w:rPr>
                <w:rFonts w:ascii="Tahoma" w:hAnsi="Tahoma" w:cs="Tahoma"/>
                <w:sz w:val="19"/>
                <w:szCs w:val="19"/>
                <w:rtl/>
              </w:rPr>
            </w:pPr>
            <w:r w:rsidRPr="00957E0B">
              <w:rPr>
                <w:rFonts w:ascii="Tahoma" w:hAnsi="Tahoma" w:cs="Tahoma"/>
                <w:sz w:val="19"/>
                <w:szCs w:val="19"/>
                <w:rtl/>
              </w:rPr>
              <w:t>ועדת המשנה של הוועדה לענייני ביקורת המדינה של הכנסת החליטה שלא להניח על שולחן הכנסת ולא לפרסם נתונים מדוח זה, לשם שמירה על ביטחון המדינה, בהתאם לסעיף 17 לחוק מבקר המדינה, התשי"ח-1958 [נוסח משולב]. חיסיון נתונים אלה אינו מונע את הבנת מהות הביקורת.</w:t>
            </w:r>
          </w:p>
          <w:p w:rsidR="00791F86" w:rsidRPr="00957E0B" w:rsidP="00957E0B">
            <w:pPr>
              <w:spacing w:line="312" w:lineRule="auto"/>
              <w:jc w:val="both"/>
              <w:rPr>
                <w:rFonts w:ascii="Tahoma" w:hAnsi="Tahoma" w:cs="Tahoma" w:hint="cs"/>
                <w:sz w:val="19"/>
                <w:szCs w:val="19"/>
                <w:rtl/>
              </w:rPr>
            </w:pPr>
          </w:p>
        </w:tc>
      </w:tr>
      <w:tr w:rsidTr="008D0FE9">
        <w:tblPrEx>
          <w:tblW w:w="9428" w:type="dxa"/>
          <w:tblLook w:val="04A0"/>
        </w:tblPrEx>
        <w:trPr>
          <w:trHeight w:val="278"/>
        </w:trPr>
        <w:tc>
          <w:tcPr>
            <w:tcW w:w="9428" w:type="dxa"/>
            <w:gridSpan w:val="4"/>
            <w:tcBorders>
              <w:top w:val="nil"/>
              <w:left w:val="nil"/>
              <w:bottom w:val="nil"/>
              <w:right w:val="nil"/>
            </w:tcBorders>
          </w:tcPr>
          <w:p w:rsidR="004A0CAF" w:rsidRPr="002F45E7" w:rsidP="00542416">
            <w:pPr>
              <w:spacing w:line="26" w:lineRule="atLeast"/>
              <w:rPr>
                <w:rFonts w:ascii="Tahoma" w:hAnsi="Tahoma" w:cs="Tahoma"/>
                <w:rtl/>
              </w:rPr>
            </w:pPr>
            <w:r w:rsidRPr="006C51DB">
              <w:rPr>
                <w:rFonts w:ascii="Tahoma" w:hAnsi="Tahoma" w:cs="Tahoma"/>
                <w:noProof/>
              </w:rPr>
              <w:drawing>
                <wp:inline distT="0" distB="0" distL="0" distR="0">
                  <wp:extent cx="5748020" cy="414010"/>
                  <wp:effectExtent l="0" t="0" r="0" b="57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קציר תמונה 2.2.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542416" w:rsidRPr="00542416" w:rsidP="00542416">
            <w:pPr>
              <w:pStyle w:val="ListParagraph"/>
              <w:spacing w:line="312" w:lineRule="atLeast"/>
              <w:ind w:left="0"/>
              <w:contextualSpacing w:val="0"/>
              <w:jc w:val="both"/>
              <w:rPr>
                <w:rFonts w:ascii="Tahoma" w:hAnsi="Tahoma" w:cs="Tahoma"/>
                <w:sz w:val="19"/>
                <w:szCs w:val="19"/>
              </w:rPr>
            </w:pPr>
            <w:r>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F662E2" w:rsidRPr="00AF08BF" w:rsidP="00542416">
            <w:pPr>
              <w:pStyle w:val="ListParagraph"/>
              <w:numPr>
                <w:ilvl w:val="0"/>
                <w:numId w:val="2"/>
              </w:numPr>
              <w:spacing w:line="312" w:lineRule="atLeast"/>
              <w:ind w:left="454" w:hanging="454"/>
              <w:contextualSpacing w:val="0"/>
              <w:jc w:val="both"/>
              <w:rPr>
                <w:rFonts w:ascii="Tahoma" w:hAnsi="Tahoma" w:cs="Tahoma"/>
                <w:sz w:val="19"/>
                <w:szCs w:val="19"/>
              </w:rPr>
            </w:pPr>
            <w:r w:rsidRPr="00233ECF">
              <w:rPr>
                <w:rFonts w:ascii="Tahoma" w:hAnsi="Tahoma" w:cs="Tahoma"/>
                <w:b/>
                <w:bCs/>
                <w:sz w:val="19"/>
                <w:szCs w:val="19"/>
                <w:rtl/>
              </w:rPr>
              <w:t>מוכנות להתמודדות עם חל"ך בגבולות -</w:t>
            </w:r>
            <w:r w:rsidRPr="00233ECF">
              <w:rPr>
                <w:rFonts w:ascii="Tahoma" w:hAnsi="Tahoma" w:cs="Tahoma"/>
                <w:sz w:val="19"/>
                <w:szCs w:val="19"/>
                <w:rtl/>
              </w:rPr>
              <w:t xml:space="preserve"> נמצא כי זרוע היבשה אינה מבצעת בקרה על שמירת הכשירות</w:t>
            </w:r>
            <w:r w:rsidR="00E32E49">
              <w:rPr>
                <w:rFonts w:ascii="Tahoma" w:hAnsi="Tahoma" w:cs="Tahoma" w:hint="cs"/>
                <w:sz w:val="19"/>
                <w:szCs w:val="19"/>
                <w:rtl/>
              </w:rPr>
              <w:t xml:space="preserve"> לכך</w:t>
            </w:r>
            <w:r w:rsidRPr="00233ECF">
              <w:rPr>
                <w:rFonts w:ascii="Tahoma" w:hAnsi="Tahoma" w:cs="Tahoma"/>
                <w:sz w:val="19"/>
                <w:szCs w:val="19"/>
                <w:rtl/>
              </w:rPr>
              <w:t>.</w:t>
            </w:r>
          </w:p>
          <w:p w:rsidR="00F662E2" w:rsidRPr="00AF08BF" w:rsidP="00542416">
            <w:pPr>
              <w:pStyle w:val="ListParagraph"/>
              <w:numPr>
                <w:ilvl w:val="0"/>
                <w:numId w:val="2"/>
              </w:numPr>
              <w:spacing w:line="312" w:lineRule="atLeast"/>
              <w:ind w:left="454" w:hanging="454"/>
              <w:contextualSpacing w:val="0"/>
              <w:jc w:val="both"/>
              <w:rPr>
                <w:rFonts w:ascii="Tahoma" w:hAnsi="Tahoma" w:cs="Tahoma"/>
                <w:sz w:val="19"/>
                <w:szCs w:val="19"/>
              </w:rPr>
            </w:pPr>
            <w:r w:rsidRPr="00233ECF">
              <w:rPr>
                <w:rFonts w:ascii="Tahoma" w:hAnsi="Tahoma" w:cs="Tahoma"/>
                <w:b/>
                <w:bCs/>
                <w:sz w:val="19"/>
                <w:szCs w:val="19"/>
                <w:rtl/>
              </w:rPr>
              <w:t>מוכנות גדודי האב"ך -</w:t>
            </w:r>
            <w:r w:rsidRPr="00233ECF">
              <w:rPr>
                <w:rFonts w:ascii="Tahoma" w:hAnsi="Tahoma" w:cs="Tahoma"/>
                <w:sz w:val="19"/>
                <w:szCs w:val="19"/>
                <w:rtl/>
              </w:rPr>
              <w:t xml:space="preserve"> </w:t>
            </w:r>
            <w:r w:rsidRPr="00233ECF" w:rsidR="00F9381A">
              <w:rPr>
                <w:rFonts w:ascii="Tahoma" w:hAnsi="Tahoma" w:cs="Tahoma"/>
                <w:sz w:val="19"/>
                <w:szCs w:val="19"/>
                <w:rtl/>
              </w:rPr>
              <w:t>גדודים אלו</w:t>
            </w:r>
            <w:r w:rsidRPr="00233ECF" w:rsidR="00BD7EC3">
              <w:rPr>
                <w:rFonts w:ascii="Tahoma" w:hAnsi="Tahoma" w:cs="Tahoma"/>
                <w:sz w:val="19"/>
                <w:szCs w:val="19"/>
                <w:rtl/>
              </w:rPr>
              <w:t xml:space="preserve"> אינם </w:t>
            </w:r>
            <w:r w:rsidRPr="00233ECF" w:rsidR="00F9381A">
              <w:rPr>
                <w:rFonts w:ascii="Tahoma" w:hAnsi="Tahoma" w:cs="Tahoma"/>
                <w:sz w:val="19"/>
                <w:szCs w:val="19"/>
                <w:rtl/>
              </w:rPr>
              <w:t>מתאמנים</w:t>
            </w:r>
            <w:r w:rsidRPr="00233ECF" w:rsidR="00BD7EC3">
              <w:rPr>
                <w:rFonts w:ascii="Tahoma" w:hAnsi="Tahoma" w:cs="Tahoma"/>
                <w:sz w:val="19"/>
                <w:szCs w:val="19"/>
                <w:rtl/>
              </w:rPr>
              <w:t xml:space="preserve"> כנדרש</w:t>
            </w:r>
            <w:r w:rsidRPr="00233ECF">
              <w:rPr>
                <w:rFonts w:ascii="Tahoma" w:hAnsi="Tahoma" w:cs="Tahoma"/>
                <w:sz w:val="19"/>
                <w:szCs w:val="19"/>
                <w:rtl/>
              </w:rPr>
              <w:t>.</w:t>
            </w:r>
          </w:p>
          <w:p w:rsidR="002C0637" w:rsidRPr="00AF08BF" w:rsidP="00542416">
            <w:pPr>
              <w:pStyle w:val="ListParagraph"/>
              <w:numPr>
                <w:ilvl w:val="0"/>
                <w:numId w:val="2"/>
              </w:numPr>
              <w:spacing w:line="312" w:lineRule="atLeast"/>
              <w:ind w:left="454" w:hanging="454"/>
              <w:contextualSpacing w:val="0"/>
              <w:jc w:val="both"/>
              <w:rPr>
                <w:rFonts w:ascii="Tahoma" w:hAnsi="Tahoma" w:cs="Tahoma"/>
                <w:sz w:val="19"/>
                <w:szCs w:val="19"/>
              </w:rPr>
            </w:pPr>
            <w:r w:rsidRPr="00233ECF">
              <w:rPr>
                <w:rFonts w:ascii="Tahoma" w:hAnsi="Tahoma" w:cs="Tahoma"/>
                <w:b/>
                <w:bCs/>
                <w:sz w:val="19"/>
                <w:szCs w:val="19"/>
                <w:rtl/>
              </w:rPr>
              <w:t xml:space="preserve">האחריות לניהול משק </w:t>
            </w:r>
            <w:r w:rsidRPr="00233ECF" w:rsidR="00731086">
              <w:rPr>
                <w:rFonts w:ascii="Tahoma" w:hAnsi="Tahoma" w:cs="Tahoma"/>
                <w:b/>
                <w:bCs/>
                <w:sz w:val="19"/>
                <w:szCs w:val="19"/>
                <w:rtl/>
              </w:rPr>
              <w:t xml:space="preserve">ציוד </w:t>
            </w:r>
            <w:r w:rsidRPr="00233ECF">
              <w:rPr>
                <w:rFonts w:ascii="Tahoma" w:hAnsi="Tahoma" w:cs="Tahoma"/>
                <w:b/>
                <w:bCs/>
                <w:sz w:val="19"/>
                <w:szCs w:val="19"/>
                <w:rtl/>
              </w:rPr>
              <w:t>הב"ך -</w:t>
            </w:r>
            <w:r w:rsidRPr="00233ECF">
              <w:rPr>
                <w:rFonts w:ascii="Tahoma" w:hAnsi="Tahoma" w:cs="Tahoma"/>
                <w:sz w:val="19"/>
                <w:szCs w:val="19"/>
                <w:rtl/>
              </w:rPr>
              <w:t xml:space="preserve"> </w:t>
            </w:r>
            <w:r w:rsidRPr="00233ECF" w:rsidR="00F8360D">
              <w:rPr>
                <w:rFonts w:ascii="Tahoma" w:hAnsi="Tahoma" w:cs="Tahoma"/>
                <w:sz w:val="19"/>
                <w:szCs w:val="19"/>
                <w:rtl/>
              </w:rPr>
              <w:t>אף על פי שבספטמבר 2014 קבע סגן הרמטכ"ל כי</w:t>
            </w:r>
            <w:r w:rsidRPr="00233ECF" w:rsidR="00DB77D0">
              <w:rPr>
                <w:rFonts w:ascii="Tahoma" w:hAnsi="Tahoma" w:cs="Tahoma"/>
                <w:sz w:val="19"/>
                <w:szCs w:val="19"/>
                <w:rtl/>
              </w:rPr>
              <w:t xml:space="preserve"> האחריות למשק ציוד הב"ך לכלל צה"ל תוטל על פקע"ר</w:t>
            </w:r>
            <w:r w:rsidRPr="00233ECF" w:rsidR="00F8360D">
              <w:rPr>
                <w:rFonts w:ascii="Tahoma" w:hAnsi="Tahoma" w:cs="Tahoma"/>
                <w:sz w:val="19"/>
                <w:szCs w:val="19"/>
                <w:rtl/>
              </w:rPr>
              <w:t>,</w:t>
            </w:r>
            <w:r w:rsidRPr="00233ECF" w:rsidR="00F8360D">
              <w:rPr>
                <w:rFonts w:ascii="Tahoma" w:hAnsi="Tahoma" w:cs="Tahoma"/>
                <w:b/>
                <w:bCs/>
                <w:sz w:val="19"/>
                <w:szCs w:val="19"/>
                <w:rtl/>
              </w:rPr>
              <w:t xml:space="preserve"> </w:t>
            </w:r>
            <w:r w:rsidRPr="00233ECF" w:rsidR="00C21C2A">
              <w:rPr>
                <w:rFonts w:ascii="Tahoma" w:hAnsi="Tahoma" w:cs="Tahoma"/>
                <w:sz w:val="19"/>
                <w:szCs w:val="19"/>
                <w:rtl/>
              </w:rPr>
              <w:t>בפועל משק ציוד הב"ך בצה"ל נותר מבוזר בין זרוע היבשה,</w:t>
            </w:r>
            <w:r w:rsidRPr="00233ECF" w:rsidR="00444FCA">
              <w:rPr>
                <w:rFonts w:ascii="Tahoma" w:hAnsi="Tahoma" w:cs="Tahoma"/>
                <w:sz w:val="19"/>
                <w:szCs w:val="19"/>
                <w:rtl/>
              </w:rPr>
              <w:t xml:space="preserve"> </w:t>
            </w:r>
            <w:r w:rsidRPr="00233ECF" w:rsidR="00C21C2A">
              <w:rPr>
                <w:rFonts w:ascii="Tahoma" w:hAnsi="Tahoma" w:cs="Tahoma"/>
                <w:sz w:val="19"/>
                <w:szCs w:val="19"/>
                <w:rtl/>
              </w:rPr>
              <w:t>פיקוד העורף ו</w:t>
            </w:r>
            <w:r w:rsidRPr="00233ECF" w:rsidR="00F8360D">
              <w:rPr>
                <w:rFonts w:ascii="Tahoma" w:hAnsi="Tahoma" w:cs="Tahoma"/>
                <w:sz w:val="19"/>
                <w:szCs w:val="19"/>
                <w:rtl/>
              </w:rPr>
              <w:t>חיל האוויר והחלל</w:t>
            </w:r>
            <w:r w:rsidRPr="00814A19" w:rsidR="008E4B93">
              <w:rPr>
                <w:rFonts w:ascii="Tahoma" w:hAnsi="Tahoma" w:cs="Tahoma"/>
                <w:sz w:val="19"/>
                <w:szCs w:val="19"/>
                <w:rtl/>
              </w:rPr>
              <w:t>.</w:t>
            </w:r>
          </w:p>
          <w:p w:rsidR="003229C0" w:rsidRPr="008D0FE9" w:rsidP="00542416">
            <w:pPr>
              <w:pStyle w:val="ListParagraph"/>
              <w:numPr>
                <w:ilvl w:val="0"/>
                <w:numId w:val="2"/>
              </w:numPr>
              <w:spacing w:after="120" w:line="312" w:lineRule="atLeast"/>
              <w:ind w:left="454" w:hanging="454"/>
              <w:contextualSpacing w:val="0"/>
              <w:jc w:val="both"/>
              <w:rPr>
                <w:rFonts w:ascii="Tahoma" w:hAnsi="Tahoma" w:cs="Tahoma"/>
                <w:sz w:val="16"/>
                <w:szCs w:val="16"/>
              </w:rPr>
            </w:pPr>
            <w:r w:rsidRPr="00233ECF">
              <w:rPr>
                <w:rFonts w:ascii="Tahoma" w:hAnsi="Tahoma" w:cs="Tahoma"/>
                <w:b/>
                <w:bCs/>
                <w:sz w:val="19"/>
                <w:szCs w:val="19"/>
                <w:rtl/>
              </w:rPr>
              <w:t>משקפי אב"ך למרכיבי משקפיים -</w:t>
            </w:r>
            <w:r w:rsidRPr="00233ECF">
              <w:rPr>
                <w:rFonts w:ascii="Tahoma" w:hAnsi="Tahoma" w:cs="Tahoma"/>
                <w:sz w:val="19"/>
                <w:szCs w:val="19"/>
                <w:rtl/>
              </w:rPr>
              <w:t xml:space="preserve"> </w:t>
            </w:r>
            <w:r w:rsidRPr="00233ECF" w:rsidR="00844B8B">
              <w:rPr>
                <w:rFonts w:ascii="Tahoma" w:eastAsia="Times New Roman" w:hAnsi="Tahoma" w:cs="Tahoma"/>
                <w:sz w:val="19"/>
                <w:szCs w:val="19"/>
                <w:rtl/>
                <w:lang w:eastAsia="he-IL"/>
              </w:rPr>
              <w:t>ל</w:t>
            </w:r>
            <w:r w:rsidR="001D6E79">
              <w:rPr>
                <w:rFonts w:ascii="Tahoma" w:eastAsia="Times New Roman" w:hAnsi="Tahoma" w:cs="Tahoma" w:hint="cs"/>
                <w:sz w:val="19"/>
                <w:szCs w:val="19"/>
                <w:rtl/>
                <w:lang w:eastAsia="he-IL"/>
              </w:rPr>
              <w:t>כל ה</w:t>
            </w:r>
            <w:r w:rsidRPr="00233ECF" w:rsidR="00844B8B">
              <w:rPr>
                <w:rFonts w:ascii="Tahoma" w:eastAsia="Times New Roman" w:hAnsi="Tahoma" w:cs="Tahoma"/>
                <w:sz w:val="19"/>
                <w:szCs w:val="19"/>
                <w:rtl/>
                <w:lang w:eastAsia="he-IL"/>
              </w:rPr>
              <w:t xml:space="preserve">פחות משנת 2017 </w:t>
            </w:r>
            <w:r w:rsidRPr="00233ECF" w:rsidR="006B6494">
              <w:rPr>
                <w:rFonts w:ascii="Tahoma" w:eastAsia="Times New Roman" w:hAnsi="Tahoma" w:cs="Tahoma"/>
                <w:sz w:val="19"/>
                <w:szCs w:val="19"/>
                <w:rtl/>
                <w:lang w:eastAsia="he-IL"/>
              </w:rPr>
              <w:t>לא מונפקים משקפי אב"ך</w:t>
            </w:r>
            <w:r w:rsidRPr="00233ECF" w:rsidR="005C4285">
              <w:rPr>
                <w:rFonts w:ascii="Tahoma" w:eastAsia="Times New Roman" w:hAnsi="Tahoma" w:cs="Tahoma"/>
                <w:sz w:val="19"/>
                <w:szCs w:val="19"/>
                <w:rtl/>
                <w:lang w:eastAsia="he-IL"/>
              </w:rPr>
              <w:t xml:space="preserve"> </w:t>
            </w:r>
            <w:r w:rsidRPr="00233ECF" w:rsidR="006B6494">
              <w:rPr>
                <w:rFonts w:ascii="Tahoma" w:eastAsia="Times New Roman" w:hAnsi="Tahoma" w:cs="Tahoma"/>
                <w:sz w:val="19"/>
                <w:szCs w:val="19"/>
                <w:rtl/>
                <w:lang w:eastAsia="he-IL"/>
              </w:rPr>
              <w:t>לחיילים המרכיבים משקפי ראייה</w:t>
            </w:r>
            <w:r w:rsidRPr="00233ECF" w:rsidR="006B6494">
              <w:rPr>
                <w:rFonts w:ascii="Tahoma" w:hAnsi="Tahoma" w:cs="Tahoma"/>
                <w:sz w:val="19"/>
                <w:szCs w:val="19"/>
                <w:rtl/>
              </w:rPr>
              <w:t>.</w:t>
            </w:r>
          </w:p>
          <w:p w:rsidR="0089105C" w:rsidRPr="003C7B6E" w:rsidP="00542416">
            <w:pPr>
              <w:pStyle w:val="ListParagraph"/>
              <w:tabs>
                <w:tab w:val="left" w:pos="4090"/>
                <w:tab w:val="center" w:pos="4833"/>
              </w:tabs>
              <w:spacing w:line="312" w:lineRule="atLeast"/>
              <w:ind w:left="0"/>
              <w:contextualSpacing w:val="0"/>
              <w:rPr>
                <w:rFonts w:ascii="Arial" w:hAnsi="Arial" w:cs="Arial"/>
                <w:sz w:val="18"/>
                <w:szCs w:val="18"/>
                <w:rtl/>
              </w:rPr>
            </w:pPr>
            <w:r>
              <w:rPr>
                <w:rFonts w:hint="cs"/>
                <w:noProof/>
                <w:sz w:val="19"/>
                <w:szCs w:val="19"/>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01103D" w:rsidRPr="002F45E7" w:rsidP="00542416">
            <w:pPr>
              <w:pStyle w:val="ListParagraph"/>
              <w:spacing w:line="312" w:lineRule="atLeast"/>
              <w:ind w:left="454"/>
              <w:contextualSpacing w:val="0"/>
              <w:jc w:val="both"/>
              <w:rPr>
                <w:rFonts w:ascii="Tahoma" w:hAnsi="Tahoma" w:cs="Tahoma"/>
                <w:sz w:val="19"/>
                <w:szCs w:val="19"/>
              </w:rPr>
            </w:pPr>
            <w:r>
              <w:rPr>
                <w:rFonts w:ascii="Tahoma" w:hAnsi="Tahoma" w:cs="Tahoma" w:hint="cs"/>
                <w:b/>
                <w:bCs/>
                <w:sz w:val="19"/>
                <w:szCs w:val="19"/>
                <w:rtl/>
              </w:rPr>
              <w:t xml:space="preserve">כשירות מערכות </w:t>
            </w:r>
            <w:r w:rsidR="00D052EA">
              <w:rPr>
                <w:rFonts w:ascii="Tahoma" w:hAnsi="Tahoma" w:cs="Tahoma" w:hint="cs"/>
                <w:b/>
                <w:bCs/>
                <w:sz w:val="19"/>
                <w:szCs w:val="19"/>
                <w:rtl/>
              </w:rPr>
              <w:t>ייעודיות</w:t>
            </w:r>
            <w:r>
              <w:rPr>
                <w:rFonts w:ascii="Tahoma" w:hAnsi="Tahoma" w:cs="Tahoma" w:hint="cs"/>
                <w:b/>
                <w:bCs/>
                <w:sz w:val="19"/>
                <w:szCs w:val="19"/>
                <w:rtl/>
              </w:rPr>
              <w:t xml:space="preserve"> - </w:t>
            </w:r>
            <w:r w:rsidRPr="00E61FF0" w:rsidR="0090716F">
              <w:rPr>
                <w:rFonts w:ascii="Tahoma" w:hAnsi="Tahoma" w:cs="Tahoma" w:hint="cs"/>
                <w:sz w:val="19"/>
                <w:szCs w:val="19"/>
                <w:rtl/>
              </w:rPr>
              <w:t>צה</w:t>
            </w:r>
            <w:r w:rsidRPr="00E61FF0" w:rsidR="0090716F">
              <w:rPr>
                <w:rFonts w:ascii="Tahoma" w:hAnsi="Tahoma" w:cs="Tahoma"/>
                <w:sz w:val="19"/>
                <w:szCs w:val="19"/>
                <w:rtl/>
              </w:rPr>
              <w:t xml:space="preserve">"ל </w:t>
            </w:r>
            <w:r w:rsidRPr="00E61FF0">
              <w:rPr>
                <w:rFonts w:ascii="Tahoma" w:hAnsi="Tahoma" w:cs="Tahoma" w:hint="cs"/>
                <w:sz w:val="19"/>
                <w:szCs w:val="19"/>
                <w:rtl/>
              </w:rPr>
              <w:t>שיפר</w:t>
            </w:r>
            <w:r w:rsidRPr="00E61FF0">
              <w:rPr>
                <w:rFonts w:ascii="Tahoma" w:hAnsi="Tahoma" w:cs="Tahoma"/>
                <w:sz w:val="19"/>
                <w:szCs w:val="19"/>
                <w:rtl/>
              </w:rPr>
              <w:t xml:space="preserve"> </w:t>
            </w:r>
            <w:r w:rsidRPr="00F922B7" w:rsidR="006C48AC">
              <w:rPr>
                <w:rFonts w:ascii="Tahoma" w:hAnsi="Tahoma" w:cs="Tahoma" w:hint="cs"/>
                <w:sz w:val="19"/>
                <w:szCs w:val="19"/>
                <w:rtl/>
              </w:rPr>
              <w:t>במידה ניכרת</w:t>
            </w:r>
            <w:r w:rsidRPr="00F922B7" w:rsidR="00B24586">
              <w:rPr>
                <w:rFonts w:ascii="Tahoma" w:hAnsi="Tahoma" w:cs="Tahoma" w:hint="cs"/>
                <w:sz w:val="19"/>
                <w:szCs w:val="19"/>
                <w:rtl/>
              </w:rPr>
              <w:t xml:space="preserve"> את</w:t>
            </w:r>
            <w:r w:rsidRPr="00F922B7" w:rsidR="00B13DE1">
              <w:rPr>
                <w:rFonts w:ascii="Tahoma" w:hAnsi="Tahoma" w:cs="Tahoma" w:hint="cs"/>
                <w:sz w:val="19"/>
                <w:szCs w:val="19"/>
                <w:rtl/>
              </w:rPr>
              <w:t xml:space="preserve"> כשירות</w:t>
            </w:r>
            <w:r>
              <w:rPr>
                <w:rFonts w:ascii="Tahoma" w:hAnsi="Tahoma" w:cs="Tahoma" w:hint="cs"/>
                <w:sz w:val="19"/>
                <w:szCs w:val="19"/>
                <w:rtl/>
              </w:rPr>
              <w:t>ן</w:t>
            </w:r>
            <w:r w:rsidR="0058674D">
              <w:rPr>
                <w:rFonts w:ascii="Tahoma" w:hAnsi="Tahoma" w:cs="Tahoma" w:hint="cs"/>
                <w:sz w:val="19"/>
                <w:szCs w:val="19"/>
                <w:rtl/>
              </w:rPr>
              <w:t>.</w:t>
            </w:r>
            <w:r w:rsidRPr="00B13DE1" w:rsidR="00B13DE1">
              <w:rPr>
                <w:rFonts w:ascii="Tahoma" w:hAnsi="Tahoma" w:cs="Tahoma" w:hint="cs"/>
                <w:b/>
                <w:bCs/>
                <w:sz w:val="19"/>
                <w:szCs w:val="19"/>
                <w:rtl/>
              </w:rPr>
              <w:t xml:space="preserve"> </w:t>
            </w:r>
          </w:p>
        </w:tc>
      </w:tr>
    </w:tbl>
    <w:p w:rsidR="008D0FE9" w:rsidRPr="00814A19" w:rsidP="00542416">
      <w:pPr>
        <w:spacing w:after="0" w:line="26" w:lineRule="atLeast"/>
        <w:rPr>
          <w:sz w:val="6"/>
          <w:szCs w:val="6"/>
        </w:rPr>
      </w:pPr>
    </w:p>
    <w:tbl>
      <w:tblPr>
        <w:tblStyle w:val="TableGrid"/>
        <w:tblpPr w:leftFromText="180" w:rightFromText="180" w:vertAnchor="text" w:tblpXSpec="center" w:tblpY="1"/>
        <w:tblOverlap w:val="never"/>
        <w:bidiVisual/>
        <w:tblW w:w="9434" w:type="dxa"/>
        <w:tblLook w:val="04A0"/>
      </w:tblPr>
      <w:tblGrid>
        <w:gridCol w:w="9434"/>
      </w:tblGrid>
      <w:tr w:rsidTr="00542416">
        <w:tblPrEx>
          <w:tblW w:w="9434" w:type="dxa"/>
          <w:tblLook w:val="04A0"/>
        </w:tblPrEx>
        <w:trPr>
          <w:trHeight w:val="990"/>
        </w:trPr>
        <w:tc>
          <w:tcPr>
            <w:tcW w:w="9434" w:type="dxa"/>
            <w:tcBorders>
              <w:top w:val="nil"/>
              <w:left w:val="nil"/>
              <w:bottom w:val="nil"/>
              <w:right w:val="nil"/>
            </w:tcBorders>
          </w:tcPr>
          <w:p w:rsidR="006C51DB" w:rsidRPr="006C51DB" w:rsidP="003C7B6E">
            <w:pPr>
              <w:spacing w:line="312" w:lineRule="auto"/>
              <w:rPr>
                <w:rFonts w:ascii="Tahoma" w:hAnsi="Tahoma" w:cs="Tahoma"/>
                <w:rtl/>
              </w:rPr>
            </w:pPr>
            <w:r w:rsidRPr="006C51DB">
              <w:rPr>
                <w:rFonts w:ascii="Tahoma" w:hAnsi="Tahoma" w:cs="Tahoma"/>
                <w:noProof/>
                <w:rtl/>
              </w:rPr>
              <w:drawing>
                <wp:inline distT="0" distB="0" distL="0" distR="0">
                  <wp:extent cx="5825365" cy="439420"/>
                  <wp:effectExtent l="0" t="0" r="444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01827" name="תקציר תמונה 3.4.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2F45E7">
        <w:tblPrEx>
          <w:tblW w:w="9434" w:type="dxa"/>
          <w:tblLook w:val="04A0"/>
        </w:tblPrEx>
        <w:trPr>
          <w:trHeight w:val="2781"/>
        </w:trPr>
        <w:tc>
          <w:tcPr>
            <w:tcW w:w="9434" w:type="dxa"/>
            <w:tcBorders>
              <w:top w:val="nil"/>
              <w:left w:val="nil"/>
              <w:bottom w:val="nil"/>
              <w:right w:val="nil"/>
            </w:tcBorders>
            <w:shd w:val="clear" w:color="auto" w:fill="F1F5F9"/>
          </w:tcPr>
          <w:p w:rsidR="006C51DB" w:rsidRPr="006C51DB" w:rsidP="003C7B6E">
            <w:pPr>
              <w:pStyle w:val="ListParagraph"/>
              <w:spacing w:line="312" w:lineRule="auto"/>
              <w:ind w:left="0"/>
              <w:jc w:val="both"/>
              <w:rPr>
                <w:rFonts w:ascii="Tahoma" w:hAnsi="Tahoma" w:cs="Tahoma"/>
                <w:sz w:val="13"/>
                <w:szCs w:val="13"/>
              </w:rPr>
            </w:pPr>
          </w:p>
          <w:p w:rsidR="006C51DB" w:rsidRPr="00AF08BF" w:rsidP="00542416">
            <w:pPr>
              <w:pStyle w:val="ListParagraph"/>
              <w:numPr>
                <w:ilvl w:val="0"/>
                <w:numId w:val="7"/>
              </w:numPr>
              <w:spacing w:after="120" w:line="312" w:lineRule="auto"/>
              <w:ind w:left="357" w:hanging="357"/>
              <w:contextualSpacing w:val="0"/>
              <w:jc w:val="both"/>
              <w:rPr>
                <w:rFonts w:ascii="Tahoma" w:hAnsi="Tahoma" w:cs="Tahoma"/>
                <w:sz w:val="19"/>
                <w:szCs w:val="19"/>
              </w:rPr>
            </w:pPr>
            <w:r w:rsidRPr="00233ECF">
              <w:rPr>
                <w:rFonts w:ascii="Tahoma" w:hAnsi="Tahoma" w:cs="Tahoma"/>
                <w:sz w:val="19"/>
                <w:szCs w:val="19"/>
                <w:rtl/>
              </w:rPr>
              <w:t xml:space="preserve">מומלץ כי </w:t>
            </w:r>
            <w:r w:rsidRPr="00233ECF" w:rsidR="002C2FB3">
              <w:rPr>
                <w:rFonts w:ascii="Tahoma" w:hAnsi="Tahoma" w:cs="Tahoma"/>
                <w:sz w:val="19"/>
                <w:szCs w:val="19"/>
                <w:rtl/>
              </w:rPr>
              <w:t>צה"ל, בהובלת מפקד זרוע היבשה</w:t>
            </w:r>
            <w:r w:rsidRPr="00233ECF" w:rsidR="00D41AD8">
              <w:rPr>
                <w:rFonts w:ascii="Tahoma" w:hAnsi="Tahoma" w:cs="Tahoma"/>
                <w:sz w:val="19"/>
                <w:szCs w:val="19"/>
                <w:rtl/>
              </w:rPr>
              <w:t>,</w:t>
            </w:r>
            <w:r w:rsidRPr="00233ECF">
              <w:rPr>
                <w:rFonts w:ascii="Tahoma" w:hAnsi="Tahoma" w:cs="Tahoma"/>
                <w:sz w:val="19"/>
                <w:szCs w:val="19"/>
                <w:rtl/>
              </w:rPr>
              <w:t xml:space="preserve"> יפעל</w:t>
            </w:r>
            <w:r w:rsidRPr="00233ECF" w:rsidR="00C12AD3">
              <w:rPr>
                <w:rFonts w:ascii="Tahoma" w:hAnsi="Tahoma" w:cs="Tahoma"/>
                <w:sz w:val="19"/>
                <w:szCs w:val="19"/>
                <w:rtl/>
              </w:rPr>
              <w:t xml:space="preserve"> לשיפור המוכנות של היחידות הלוחמות, ב</w:t>
            </w:r>
            <w:r w:rsidR="002C21BC">
              <w:rPr>
                <w:rFonts w:ascii="Tahoma" w:hAnsi="Tahoma" w:cs="Tahoma" w:hint="cs"/>
                <w:sz w:val="19"/>
                <w:szCs w:val="19"/>
                <w:rtl/>
              </w:rPr>
              <w:t>מערך ה</w:t>
            </w:r>
            <w:r w:rsidRPr="00233ECF" w:rsidR="00C12AD3">
              <w:rPr>
                <w:rFonts w:ascii="Tahoma" w:hAnsi="Tahoma" w:cs="Tahoma"/>
                <w:sz w:val="19"/>
                <w:szCs w:val="19"/>
                <w:rtl/>
              </w:rPr>
              <w:t>סדיר וב</w:t>
            </w:r>
            <w:r w:rsidR="002C21BC">
              <w:rPr>
                <w:rFonts w:ascii="Tahoma" w:hAnsi="Tahoma" w:cs="Tahoma" w:hint="cs"/>
                <w:sz w:val="19"/>
                <w:szCs w:val="19"/>
                <w:rtl/>
              </w:rPr>
              <w:t>מערך ה</w:t>
            </w:r>
            <w:r w:rsidRPr="00233ECF" w:rsidR="00C12AD3">
              <w:rPr>
                <w:rFonts w:ascii="Tahoma" w:hAnsi="Tahoma" w:cs="Tahoma"/>
                <w:sz w:val="19"/>
                <w:szCs w:val="19"/>
                <w:rtl/>
              </w:rPr>
              <w:t xml:space="preserve">מילואים, להתמודד עם </w:t>
            </w:r>
            <w:r w:rsidRPr="00233ECF" w:rsidR="00380FCA">
              <w:rPr>
                <w:rFonts w:ascii="Tahoma" w:hAnsi="Tahoma" w:cs="Tahoma"/>
                <w:sz w:val="19"/>
                <w:szCs w:val="19"/>
                <w:rtl/>
              </w:rPr>
              <w:t>ה</w:t>
            </w:r>
            <w:r w:rsidRPr="00233ECF" w:rsidR="00C12AD3">
              <w:rPr>
                <w:rFonts w:ascii="Tahoma" w:hAnsi="Tahoma" w:cs="Tahoma"/>
                <w:sz w:val="19"/>
                <w:szCs w:val="19"/>
                <w:rtl/>
              </w:rPr>
              <w:t xml:space="preserve">איום </w:t>
            </w:r>
            <w:r w:rsidRPr="00233ECF" w:rsidR="00380FCA">
              <w:rPr>
                <w:rFonts w:ascii="Tahoma" w:hAnsi="Tahoma" w:cs="Tahoma"/>
                <w:sz w:val="19"/>
                <w:szCs w:val="19"/>
                <w:rtl/>
              </w:rPr>
              <w:t>הכימי,</w:t>
            </w:r>
            <w:r w:rsidRPr="00233ECF" w:rsidR="00C12AD3">
              <w:rPr>
                <w:rFonts w:ascii="Tahoma" w:hAnsi="Tahoma" w:cs="Tahoma"/>
                <w:sz w:val="19"/>
                <w:szCs w:val="19"/>
                <w:rtl/>
              </w:rPr>
              <w:t xml:space="preserve"> ב</w:t>
            </w:r>
            <w:r w:rsidRPr="00233ECF" w:rsidR="00D86A12">
              <w:rPr>
                <w:rFonts w:ascii="Tahoma" w:hAnsi="Tahoma" w:cs="Tahoma"/>
                <w:sz w:val="19"/>
                <w:szCs w:val="19"/>
                <w:rtl/>
              </w:rPr>
              <w:t>מסגרת ה</w:t>
            </w:r>
            <w:r w:rsidRPr="00233ECF" w:rsidR="00C12AD3">
              <w:rPr>
                <w:rFonts w:ascii="Tahoma" w:hAnsi="Tahoma" w:cs="Tahoma"/>
                <w:sz w:val="19"/>
                <w:szCs w:val="19"/>
                <w:rtl/>
              </w:rPr>
              <w:t>ב</w:t>
            </w:r>
            <w:r w:rsidRPr="00233ECF" w:rsidR="00D429A2">
              <w:rPr>
                <w:rFonts w:ascii="Tahoma" w:hAnsi="Tahoma" w:cs="Tahoma"/>
                <w:sz w:val="19"/>
                <w:szCs w:val="19"/>
                <w:rtl/>
              </w:rPr>
              <w:t>יטחון השוטף</w:t>
            </w:r>
            <w:r w:rsidRPr="00233ECF" w:rsidR="00C12AD3">
              <w:rPr>
                <w:rFonts w:ascii="Tahoma" w:hAnsi="Tahoma" w:cs="Tahoma"/>
                <w:sz w:val="19"/>
                <w:szCs w:val="19"/>
                <w:rtl/>
              </w:rPr>
              <w:t xml:space="preserve"> וב</w:t>
            </w:r>
            <w:r w:rsidR="002C21BC">
              <w:rPr>
                <w:rFonts w:ascii="Tahoma" w:hAnsi="Tahoma" w:cs="Tahoma" w:hint="cs"/>
                <w:sz w:val="19"/>
                <w:szCs w:val="19"/>
                <w:rtl/>
              </w:rPr>
              <w:t xml:space="preserve">עת </w:t>
            </w:r>
            <w:r w:rsidRPr="00233ECF" w:rsidR="00C12AD3">
              <w:rPr>
                <w:rFonts w:ascii="Tahoma" w:hAnsi="Tahoma" w:cs="Tahoma"/>
                <w:sz w:val="19"/>
                <w:szCs w:val="19"/>
                <w:rtl/>
              </w:rPr>
              <w:t>מלחמה</w:t>
            </w:r>
            <w:r w:rsidRPr="00233ECF" w:rsidR="00971F54">
              <w:rPr>
                <w:rFonts w:ascii="Tahoma" w:hAnsi="Tahoma" w:cs="Tahoma"/>
                <w:sz w:val="19"/>
                <w:szCs w:val="19"/>
                <w:rtl/>
              </w:rPr>
              <w:t>.</w:t>
            </w:r>
            <w:r w:rsidRPr="00233ECF" w:rsidR="008B1963">
              <w:rPr>
                <w:rFonts w:ascii="Tahoma" w:hAnsi="Tahoma" w:cs="Tahoma"/>
                <w:sz w:val="19"/>
                <w:szCs w:val="19"/>
                <w:rtl/>
              </w:rPr>
              <w:t xml:space="preserve"> </w:t>
            </w:r>
          </w:p>
          <w:p w:rsidR="00DD0785" w:rsidRPr="00AF08BF" w:rsidP="00542416">
            <w:pPr>
              <w:pStyle w:val="ListParagraph"/>
              <w:numPr>
                <w:ilvl w:val="0"/>
                <w:numId w:val="7"/>
              </w:numPr>
              <w:spacing w:after="120" w:line="312" w:lineRule="auto"/>
              <w:ind w:left="357" w:hanging="357"/>
              <w:contextualSpacing w:val="0"/>
              <w:jc w:val="both"/>
              <w:rPr>
                <w:rFonts w:ascii="Tahoma" w:hAnsi="Tahoma" w:cs="Tahoma"/>
                <w:sz w:val="19"/>
                <w:szCs w:val="19"/>
              </w:rPr>
            </w:pPr>
            <w:r w:rsidRPr="00233ECF">
              <w:rPr>
                <w:rFonts w:ascii="Tahoma" w:hAnsi="Tahoma" w:cs="Tahoma"/>
                <w:sz w:val="19"/>
                <w:szCs w:val="19"/>
                <w:rtl/>
                <w:lang w:eastAsia="he-IL"/>
              </w:rPr>
              <w:t xml:space="preserve">מומלץ כי </w:t>
            </w:r>
            <w:r w:rsidRPr="00233ECF" w:rsidR="00C72F84">
              <w:rPr>
                <w:rFonts w:ascii="Tahoma" w:hAnsi="Tahoma" w:cs="Tahoma"/>
                <w:sz w:val="19"/>
                <w:szCs w:val="19"/>
                <w:rtl/>
                <w:lang w:eastAsia="he-IL"/>
              </w:rPr>
              <w:t>ז</w:t>
            </w:r>
            <w:r w:rsidRPr="00233ECF" w:rsidR="00D429A2">
              <w:rPr>
                <w:rFonts w:ascii="Tahoma" w:hAnsi="Tahoma" w:cs="Tahoma"/>
                <w:sz w:val="19"/>
                <w:szCs w:val="19"/>
                <w:rtl/>
                <w:lang w:eastAsia="he-IL"/>
              </w:rPr>
              <w:t>רוע הי</w:t>
            </w:r>
            <w:r w:rsidRPr="00233ECF" w:rsidR="006122F1">
              <w:rPr>
                <w:rFonts w:ascii="Tahoma" w:hAnsi="Tahoma" w:cs="Tahoma"/>
                <w:sz w:val="19"/>
                <w:szCs w:val="19"/>
                <w:rtl/>
                <w:lang w:eastAsia="he-IL"/>
              </w:rPr>
              <w:t>ב</w:t>
            </w:r>
            <w:r w:rsidRPr="00233ECF" w:rsidR="00D429A2">
              <w:rPr>
                <w:rFonts w:ascii="Tahoma" w:hAnsi="Tahoma" w:cs="Tahoma"/>
                <w:sz w:val="19"/>
                <w:szCs w:val="19"/>
                <w:rtl/>
                <w:lang w:eastAsia="he-IL"/>
              </w:rPr>
              <w:t>שה</w:t>
            </w:r>
            <w:r w:rsidRPr="00233ECF" w:rsidR="008B1963">
              <w:rPr>
                <w:rFonts w:ascii="Tahoma" w:hAnsi="Tahoma" w:cs="Tahoma"/>
                <w:sz w:val="19"/>
                <w:szCs w:val="19"/>
                <w:rtl/>
                <w:lang w:eastAsia="he-IL"/>
              </w:rPr>
              <w:t>, בהובלת קצין ההנדסה הראשי,</w:t>
            </w:r>
            <w:r w:rsidRPr="00233ECF" w:rsidR="00C72F84">
              <w:rPr>
                <w:rFonts w:ascii="Tahoma" w:hAnsi="Tahoma" w:cs="Tahoma"/>
                <w:sz w:val="19"/>
                <w:szCs w:val="19"/>
                <w:rtl/>
                <w:lang w:eastAsia="he-IL"/>
              </w:rPr>
              <w:t xml:space="preserve"> </w:t>
            </w:r>
            <w:r w:rsidRPr="00233ECF">
              <w:rPr>
                <w:rFonts w:ascii="Tahoma" w:hAnsi="Tahoma" w:cs="Tahoma"/>
                <w:sz w:val="19"/>
                <w:szCs w:val="19"/>
                <w:rtl/>
                <w:lang w:eastAsia="he-IL"/>
              </w:rPr>
              <w:t xml:space="preserve">תפעל </w:t>
            </w:r>
            <w:r w:rsidRPr="00233ECF" w:rsidR="00C72F84">
              <w:rPr>
                <w:rFonts w:ascii="Tahoma" w:hAnsi="Tahoma" w:cs="Tahoma"/>
                <w:sz w:val="19"/>
                <w:szCs w:val="19"/>
                <w:rtl/>
                <w:lang w:eastAsia="he-IL"/>
              </w:rPr>
              <w:t xml:space="preserve">לצמצום הפערים </w:t>
            </w:r>
            <w:r w:rsidRPr="00233ECF" w:rsidR="007570AD">
              <w:rPr>
                <w:rFonts w:ascii="Tahoma" w:hAnsi="Tahoma" w:cs="Tahoma"/>
                <w:sz w:val="19"/>
                <w:szCs w:val="19"/>
                <w:rtl/>
                <w:lang w:eastAsia="he-IL"/>
              </w:rPr>
              <w:t>ב</w:t>
            </w:r>
            <w:r w:rsidRPr="00233ECF" w:rsidR="00C72F84">
              <w:rPr>
                <w:rFonts w:ascii="Tahoma" w:hAnsi="Tahoma" w:cs="Tahoma"/>
                <w:sz w:val="19"/>
                <w:szCs w:val="19"/>
                <w:rtl/>
                <w:lang w:eastAsia="he-IL"/>
              </w:rPr>
              <w:t>מוכנותם של גדודי האב"ך</w:t>
            </w:r>
            <w:r w:rsidRPr="00233ECF" w:rsidR="00752786">
              <w:rPr>
                <w:rFonts w:ascii="Tahoma" w:hAnsi="Tahoma" w:cs="Tahoma"/>
                <w:sz w:val="19"/>
                <w:szCs w:val="19"/>
                <w:rtl/>
              </w:rPr>
              <w:t>.</w:t>
            </w:r>
            <w:r w:rsidRPr="00233ECF" w:rsidR="00566246">
              <w:rPr>
                <w:rFonts w:ascii="Tahoma" w:hAnsi="Tahoma" w:cs="Tahoma"/>
                <w:sz w:val="19"/>
                <w:szCs w:val="19"/>
                <w:rtl/>
              </w:rPr>
              <w:t xml:space="preserve"> </w:t>
            </w:r>
            <w:r w:rsidRPr="00233ECF" w:rsidR="008B1963">
              <w:rPr>
                <w:rFonts w:ascii="Tahoma" w:hAnsi="Tahoma" w:cs="Tahoma"/>
                <w:b/>
                <w:bCs/>
                <w:sz w:val="19"/>
                <w:szCs w:val="19"/>
                <w:rtl/>
                <w:lang w:eastAsia="he-IL"/>
              </w:rPr>
              <w:t xml:space="preserve"> </w:t>
            </w:r>
          </w:p>
          <w:p w:rsidR="008B1963" w:rsidRPr="008B1963" w:rsidP="00542416">
            <w:pPr>
              <w:pStyle w:val="ListParagraph"/>
              <w:numPr>
                <w:ilvl w:val="0"/>
                <w:numId w:val="7"/>
              </w:numPr>
              <w:spacing w:after="120" w:line="312" w:lineRule="auto"/>
              <w:ind w:left="357" w:hanging="357"/>
              <w:contextualSpacing w:val="0"/>
              <w:jc w:val="both"/>
              <w:rPr>
                <w:rFonts w:ascii="Tahoma" w:hAnsi="Tahoma" w:cs="Tahoma"/>
                <w:sz w:val="19"/>
                <w:szCs w:val="19"/>
                <w:rtl/>
              </w:rPr>
            </w:pPr>
            <w:r w:rsidRPr="00441DC1">
              <w:rPr>
                <w:rFonts w:ascii="Tahoma" w:hAnsi="Tahoma" w:cs="Tahoma" w:hint="cs"/>
                <w:sz w:val="19"/>
                <w:szCs w:val="19"/>
                <w:rtl/>
              </w:rPr>
              <w:t>מומלץ</w:t>
            </w:r>
            <w:r w:rsidRPr="00441DC1">
              <w:rPr>
                <w:rFonts w:ascii="Tahoma" w:hAnsi="Tahoma" w:cs="Tahoma"/>
                <w:sz w:val="19"/>
                <w:szCs w:val="19"/>
                <w:rtl/>
              </w:rPr>
              <w:t xml:space="preserve"> כי</w:t>
            </w:r>
            <w:r w:rsidRPr="00441DC1">
              <w:rPr>
                <w:rFonts w:ascii="Tahoma" w:hAnsi="Tahoma" w:cs="Tahoma" w:hint="cs"/>
                <w:sz w:val="19"/>
                <w:szCs w:val="19"/>
                <w:rtl/>
              </w:rPr>
              <w:t xml:space="preserve"> עבודת המטה בנושא ההתמודדות עם איום הב"ך</w:t>
            </w:r>
            <w:r w:rsidR="004E0F82">
              <w:rPr>
                <w:rFonts w:ascii="Tahoma" w:hAnsi="Tahoma" w:cs="Tahoma" w:hint="cs"/>
                <w:sz w:val="19"/>
                <w:szCs w:val="19"/>
                <w:rtl/>
              </w:rPr>
              <w:t>,</w:t>
            </w:r>
            <w:r w:rsidRPr="00441DC1">
              <w:rPr>
                <w:rFonts w:ascii="Tahoma" w:hAnsi="Tahoma" w:cs="Tahoma" w:hint="cs"/>
                <w:sz w:val="19"/>
                <w:szCs w:val="19"/>
                <w:rtl/>
              </w:rPr>
              <w:t xml:space="preserve"> </w:t>
            </w:r>
            <w:r w:rsidR="00BA624B">
              <w:rPr>
                <w:rFonts w:ascii="Tahoma" w:hAnsi="Tahoma" w:cs="Tahoma" w:hint="cs"/>
                <w:sz w:val="19"/>
                <w:szCs w:val="19"/>
                <w:rtl/>
              </w:rPr>
              <w:t>ש</w:t>
            </w:r>
            <w:r w:rsidRPr="00441DC1">
              <w:rPr>
                <w:rFonts w:ascii="Tahoma" w:hAnsi="Tahoma" w:cs="Tahoma" w:hint="cs"/>
                <w:sz w:val="19"/>
                <w:szCs w:val="19"/>
                <w:rtl/>
              </w:rPr>
              <w:t>אותה הנחה סגן הרמטכ"ל לקיים</w:t>
            </w:r>
            <w:r w:rsidR="004E0F82">
              <w:rPr>
                <w:rFonts w:ascii="Tahoma" w:hAnsi="Tahoma" w:cs="Tahoma" w:hint="cs"/>
                <w:sz w:val="19"/>
                <w:szCs w:val="19"/>
                <w:rtl/>
              </w:rPr>
              <w:t>,</w:t>
            </w:r>
            <w:r w:rsidRPr="00441DC1">
              <w:rPr>
                <w:rFonts w:ascii="Tahoma" w:hAnsi="Tahoma" w:cs="Tahoma" w:hint="cs"/>
                <w:sz w:val="19"/>
                <w:szCs w:val="19"/>
                <w:rtl/>
              </w:rPr>
              <w:t xml:space="preserve"> תתייחס לכל הפערים שעלו בדוח זה לגבי איום הב"ך בחזית.</w:t>
            </w:r>
            <w:r w:rsidRPr="00441DC1">
              <w:rPr>
                <w:rFonts w:ascii="Times New Roman" w:eastAsia="Calibri" w:hAnsi="Times New Roman" w:cs="David" w:hint="cs"/>
                <w:sz w:val="20"/>
                <w:szCs w:val="24"/>
                <w:rtl/>
                <w:lang w:eastAsia="he-IL"/>
              </w:rPr>
              <w:t xml:space="preserve"> </w:t>
            </w:r>
            <w:r w:rsidRPr="00441DC1">
              <w:rPr>
                <w:rFonts w:ascii="Tahoma" w:hAnsi="Tahoma" w:cs="Tahoma" w:hint="cs"/>
                <w:sz w:val="19"/>
                <w:szCs w:val="19"/>
                <w:rtl/>
              </w:rPr>
              <w:t>בהתאם</w:t>
            </w:r>
            <w:r w:rsidRPr="00441DC1">
              <w:rPr>
                <w:rFonts w:ascii="Tahoma" w:hAnsi="Tahoma" w:cs="Tahoma"/>
                <w:sz w:val="19"/>
                <w:szCs w:val="19"/>
                <w:rtl/>
              </w:rPr>
              <w:t xml:space="preserve"> </w:t>
            </w:r>
            <w:r w:rsidRPr="00441DC1">
              <w:rPr>
                <w:rFonts w:ascii="Tahoma" w:hAnsi="Tahoma" w:cs="Tahoma" w:hint="cs"/>
                <w:sz w:val="19"/>
                <w:szCs w:val="19"/>
                <w:rtl/>
              </w:rPr>
              <w:t>לתוצאות</w:t>
            </w:r>
            <w:r w:rsidRPr="00441DC1">
              <w:rPr>
                <w:rFonts w:ascii="Tahoma" w:hAnsi="Tahoma" w:cs="Tahoma"/>
                <w:sz w:val="19"/>
                <w:szCs w:val="19"/>
                <w:rtl/>
              </w:rPr>
              <w:t xml:space="preserve"> </w:t>
            </w:r>
            <w:r w:rsidRPr="00441DC1">
              <w:rPr>
                <w:rFonts w:ascii="Tahoma" w:hAnsi="Tahoma" w:cs="Tahoma" w:hint="cs"/>
                <w:sz w:val="19"/>
                <w:szCs w:val="19"/>
                <w:rtl/>
              </w:rPr>
              <w:t>עבודת</w:t>
            </w:r>
            <w:r w:rsidRPr="00441DC1">
              <w:rPr>
                <w:rFonts w:ascii="Tahoma" w:hAnsi="Tahoma" w:cs="Tahoma"/>
                <w:sz w:val="19"/>
                <w:szCs w:val="19"/>
                <w:rtl/>
              </w:rPr>
              <w:t xml:space="preserve"> </w:t>
            </w:r>
            <w:r w:rsidRPr="00441DC1">
              <w:rPr>
                <w:rFonts w:ascii="Tahoma" w:hAnsi="Tahoma" w:cs="Tahoma" w:hint="cs"/>
                <w:sz w:val="19"/>
                <w:szCs w:val="19"/>
                <w:rtl/>
              </w:rPr>
              <w:t>מטה</w:t>
            </w:r>
            <w:r w:rsidRPr="00441DC1">
              <w:rPr>
                <w:rFonts w:ascii="Tahoma" w:hAnsi="Tahoma" w:cs="Tahoma"/>
                <w:sz w:val="19"/>
                <w:szCs w:val="19"/>
                <w:rtl/>
              </w:rPr>
              <w:t xml:space="preserve"> </w:t>
            </w:r>
            <w:r w:rsidRPr="00441DC1">
              <w:rPr>
                <w:rFonts w:ascii="Tahoma" w:hAnsi="Tahoma" w:cs="Tahoma" w:hint="cs"/>
                <w:sz w:val="19"/>
                <w:szCs w:val="19"/>
                <w:rtl/>
              </w:rPr>
              <w:t>זו</w:t>
            </w:r>
            <w:r w:rsidRPr="00441DC1">
              <w:rPr>
                <w:rFonts w:ascii="Tahoma" w:hAnsi="Tahoma" w:cs="Tahoma"/>
                <w:sz w:val="19"/>
                <w:szCs w:val="19"/>
                <w:rtl/>
              </w:rPr>
              <w:t xml:space="preserve">, </w:t>
            </w:r>
            <w:r w:rsidRPr="00441DC1">
              <w:rPr>
                <w:rFonts w:ascii="Tahoma" w:hAnsi="Tahoma" w:cs="Tahoma" w:hint="cs"/>
                <w:sz w:val="19"/>
                <w:szCs w:val="19"/>
                <w:rtl/>
              </w:rPr>
              <w:t>מומלץ</w:t>
            </w:r>
            <w:r w:rsidRPr="00441DC1">
              <w:rPr>
                <w:rFonts w:ascii="Tahoma" w:hAnsi="Tahoma" w:cs="Tahoma"/>
                <w:sz w:val="19"/>
                <w:szCs w:val="19"/>
                <w:rtl/>
              </w:rPr>
              <w:t xml:space="preserve"> </w:t>
            </w:r>
            <w:r w:rsidRPr="00441DC1">
              <w:rPr>
                <w:rFonts w:ascii="Tahoma" w:hAnsi="Tahoma" w:cs="Tahoma" w:hint="cs"/>
                <w:sz w:val="19"/>
                <w:szCs w:val="19"/>
                <w:rtl/>
              </w:rPr>
              <w:t>כי</w:t>
            </w:r>
            <w:r w:rsidRPr="00441DC1">
              <w:rPr>
                <w:rFonts w:ascii="Tahoma" w:hAnsi="Tahoma" w:cs="Tahoma"/>
                <w:sz w:val="19"/>
                <w:szCs w:val="19"/>
                <w:rtl/>
              </w:rPr>
              <w:t xml:space="preserve"> </w:t>
            </w:r>
            <w:r w:rsidRPr="00441DC1">
              <w:rPr>
                <w:rFonts w:ascii="Tahoma" w:hAnsi="Tahoma" w:cs="Tahoma" w:hint="cs"/>
                <w:sz w:val="19"/>
                <w:szCs w:val="19"/>
                <w:rtl/>
              </w:rPr>
              <w:t>סגן</w:t>
            </w:r>
            <w:r w:rsidRPr="00441DC1">
              <w:rPr>
                <w:rFonts w:ascii="Tahoma" w:hAnsi="Tahoma" w:cs="Tahoma"/>
                <w:sz w:val="19"/>
                <w:szCs w:val="19"/>
                <w:rtl/>
              </w:rPr>
              <w:t xml:space="preserve"> </w:t>
            </w:r>
            <w:r w:rsidRPr="00441DC1">
              <w:rPr>
                <w:rFonts w:ascii="Tahoma" w:hAnsi="Tahoma" w:cs="Tahoma" w:hint="cs"/>
                <w:sz w:val="19"/>
                <w:szCs w:val="19"/>
                <w:rtl/>
              </w:rPr>
              <w:t>הרמטכ</w:t>
            </w:r>
            <w:r w:rsidRPr="00441DC1">
              <w:rPr>
                <w:rFonts w:ascii="Tahoma" w:hAnsi="Tahoma" w:cs="Tahoma"/>
                <w:sz w:val="19"/>
                <w:szCs w:val="19"/>
                <w:rtl/>
              </w:rPr>
              <w:t xml:space="preserve">"ל </w:t>
            </w:r>
            <w:r w:rsidRPr="00441DC1">
              <w:rPr>
                <w:rFonts w:ascii="Tahoma" w:hAnsi="Tahoma" w:cs="Tahoma" w:hint="cs"/>
                <w:sz w:val="19"/>
                <w:szCs w:val="19"/>
                <w:rtl/>
              </w:rPr>
              <w:t>יגבש הנחיות לגבי דרכים לשיפור ההיערכות להתמודדות ע</w:t>
            </w:r>
            <w:r w:rsidR="00BA624B">
              <w:rPr>
                <w:rFonts w:ascii="Tahoma" w:hAnsi="Tahoma" w:cs="Tahoma" w:hint="cs"/>
                <w:sz w:val="19"/>
                <w:szCs w:val="19"/>
                <w:rtl/>
                <w:lang w:eastAsia="he-IL"/>
              </w:rPr>
              <w:t>ם איום</w:t>
            </w:r>
            <w:r w:rsidR="00A31FC2">
              <w:rPr>
                <w:rFonts w:ascii="Tahoma" w:hAnsi="Tahoma" w:cs="Tahoma" w:hint="cs"/>
                <w:sz w:val="19"/>
                <w:szCs w:val="19"/>
                <w:rtl/>
                <w:lang w:eastAsia="he-IL"/>
              </w:rPr>
              <w:t xml:space="preserve"> זה</w:t>
            </w:r>
            <w:r w:rsidRPr="00233ECF" w:rsidR="00C72F84">
              <w:rPr>
                <w:rFonts w:ascii="Tahoma" w:hAnsi="Tahoma" w:cs="Tahoma"/>
                <w:sz w:val="19"/>
                <w:szCs w:val="19"/>
                <w:rtl/>
                <w:lang w:eastAsia="he-IL"/>
              </w:rPr>
              <w:t>.</w:t>
            </w:r>
            <w:r>
              <w:rPr>
                <w:rFonts w:ascii="Tahoma" w:hAnsi="Tahoma" w:cs="Tahoma" w:hint="cs"/>
                <w:sz w:val="19"/>
                <w:szCs w:val="19"/>
                <w:rtl/>
              </w:rPr>
              <w:t xml:space="preserve"> </w:t>
            </w:r>
          </w:p>
        </w:tc>
      </w:tr>
    </w:tbl>
    <w:p w:rsidR="00DC1911">
      <w:pPr>
        <w:rPr>
          <w:sz w:val="6"/>
          <w:szCs w:val="6"/>
          <w:rtl/>
        </w:rPr>
      </w:pPr>
    </w:p>
    <w:p w:rsidR="00542416" w:rsidRPr="00814A19">
      <w:pPr>
        <w:rPr>
          <w:rFonts w:hint="cs"/>
          <w:sz w:val="6"/>
          <w:szCs w:val="6"/>
        </w:rPr>
      </w:pPr>
    </w:p>
    <w:tbl>
      <w:tblPr>
        <w:tblStyle w:val="TableGrid"/>
        <w:tblpPr w:leftFromText="180" w:rightFromText="180" w:vertAnchor="text" w:tblpXSpec="center" w:tblpY="1"/>
        <w:tblOverlap w:val="never"/>
        <w:bidiVisual/>
        <w:tblW w:w="9456" w:type="dxa"/>
        <w:tblLook w:val="04A0"/>
      </w:tblPr>
      <w:tblGrid>
        <w:gridCol w:w="9456"/>
      </w:tblGrid>
      <w:tr w:rsidTr="00542416">
        <w:tblPrEx>
          <w:tblW w:w="9456" w:type="dxa"/>
          <w:tblLook w:val="04A0"/>
        </w:tblPrEx>
        <w:trPr>
          <w:trHeight w:val="851"/>
        </w:trPr>
        <w:tc>
          <w:tcPr>
            <w:tcW w:w="9456" w:type="dxa"/>
            <w:tcBorders>
              <w:top w:val="nil"/>
              <w:left w:val="nil"/>
              <w:bottom w:val="nil"/>
              <w:right w:val="nil"/>
            </w:tcBorders>
          </w:tcPr>
          <w:p w:rsidR="006C51DB" w:rsidRPr="006C51DB" w:rsidP="003C7B6E">
            <w:pPr>
              <w:spacing w:line="312" w:lineRule="auto"/>
              <w:jc w:val="both"/>
              <w:rPr>
                <w:rFonts w:ascii="Tahoma" w:hAnsi="Tahoma" w:cs="Tahoma"/>
                <w:sz w:val="19"/>
                <w:szCs w:val="19"/>
                <w:rtl/>
              </w:rPr>
            </w:pPr>
            <w:r w:rsidRPr="006C51DB">
              <w:rPr>
                <w:rFonts w:ascii="Tahoma" w:hAnsi="Tahoma" w:cs="Tahoma"/>
                <w:noProof/>
              </w:rPr>
              <w:drawing>
                <wp:inline distT="0" distB="0" distL="0" distR="0">
                  <wp:extent cx="5867102" cy="342265"/>
                  <wp:effectExtent l="0" t="0" r="635"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88254" name="Picture 24"/>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rsidTr="003C7B6E">
        <w:tblPrEx>
          <w:tblW w:w="9456" w:type="dxa"/>
          <w:tblLook w:val="04A0"/>
        </w:tblPrEx>
        <w:trPr>
          <w:trHeight w:val="419"/>
        </w:trPr>
        <w:tc>
          <w:tcPr>
            <w:tcW w:w="9456" w:type="dxa"/>
            <w:tcBorders>
              <w:top w:val="nil"/>
              <w:left w:val="nil"/>
              <w:bottom w:val="nil"/>
              <w:right w:val="nil"/>
            </w:tcBorders>
          </w:tcPr>
          <w:p w:rsidR="006C51DB" w:rsidRPr="00C72F84" w:rsidP="00814A19">
            <w:pPr>
              <w:spacing w:line="312" w:lineRule="auto"/>
              <w:jc w:val="both"/>
              <w:rPr>
                <w:rFonts w:ascii="Tahoma" w:hAnsi="Tahoma" w:cs="Tahoma"/>
                <w:sz w:val="19"/>
                <w:szCs w:val="19"/>
                <w:rtl/>
              </w:rPr>
            </w:pPr>
            <w:r w:rsidRPr="009B494E">
              <w:rPr>
                <w:rFonts w:ascii="Tahoma" w:hAnsi="Tahoma" w:cs="Tahoma"/>
                <w:sz w:val="19"/>
                <w:szCs w:val="19"/>
                <w:rtl/>
              </w:rPr>
              <w:t xml:space="preserve">לאחר העברת </w:t>
            </w:r>
            <w:r w:rsidR="00EF07B8">
              <w:rPr>
                <w:rFonts w:ascii="Tahoma" w:hAnsi="Tahoma" w:cs="Tahoma" w:hint="cs"/>
                <w:sz w:val="19"/>
                <w:szCs w:val="19"/>
                <w:rtl/>
              </w:rPr>
              <w:t>ממצאי</w:t>
            </w:r>
            <w:r w:rsidRPr="009B494E">
              <w:rPr>
                <w:rFonts w:ascii="Tahoma" w:hAnsi="Tahoma" w:cs="Tahoma"/>
                <w:sz w:val="19"/>
                <w:szCs w:val="19"/>
                <w:rtl/>
              </w:rPr>
              <w:t xml:space="preserve"> הביקורת לצה"ל הנחה סגן הרמטכ"ל לבצע עבודת מטה לבחינת ההתמודדות עם איום הב"ך. ראוי כי עבודת מטה זו </w:t>
            </w:r>
            <w:r w:rsidR="00EF07B8">
              <w:rPr>
                <w:rFonts w:ascii="Tahoma" w:hAnsi="Tahoma" w:cs="Tahoma" w:hint="cs"/>
                <w:sz w:val="19"/>
                <w:szCs w:val="19"/>
                <w:rtl/>
              </w:rPr>
              <w:t>תעסוק</w:t>
            </w:r>
            <w:r w:rsidRPr="009B494E">
              <w:rPr>
                <w:rFonts w:ascii="Tahoma" w:hAnsi="Tahoma" w:cs="Tahoma"/>
                <w:sz w:val="19"/>
                <w:szCs w:val="19"/>
                <w:rtl/>
              </w:rPr>
              <w:t xml:space="preserve"> </w:t>
            </w:r>
            <w:r w:rsidR="00EF07B8">
              <w:rPr>
                <w:rFonts w:ascii="Tahoma" w:hAnsi="Tahoma" w:cs="Tahoma" w:hint="cs"/>
                <w:sz w:val="19"/>
                <w:szCs w:val="19"/>
                <w:rtl/>
              </w:rPr>
              <w:t>ב</w:t>
            </w:r>
            <w:r w:rsidRPr="000214E3">
              <w:rPr>
                <w:rFonts w:ascii="Tahoma" w:hAnsi="Tahoma" w:cs="Tahoma"/>
                <w:sz w:val="19"/>
                <w:szCs w:val="19"/>
                <w:rtl/>
              </w:rPr>
              <w:t>מכלול השיקולים האמורים.</w:t>
            </w:r>
          </w:p>
        </w:tc>
      </w:tr>
    </w:tbl>
    <w:p w:rsidR="00A356BE" w:rsidP="003C7B6E">
      <w:pPr>
        <w:spacing w:line="312" w:lineRule="auto"/>
        <w:rPr>
          <w:rFonts w:ascii="Tahoma" w:hAnsi="Tahoma" w:cs="Tahoma"/>
        </w:rPr>
      </w:pPr>
    </w:p>
    <w:sectPr w:rsidSect="005C0A85">
      <w:headerReference w:type="default" r:id="rId13"/>
      <w:footerReference w:type="default" r:id="rId14"/>
      <w:headerReference w:type="first" r:id="rId15"/>
      <w:pgSz w:w="11906" w:h="16838"/>
      <w:pgMar w:top="1701" w:right="1984" w:bottom="1587" w:left="1701" w:header="709" w:footer="709" w:gutter="0"/>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204639921"/>
      <w:docPartObj>
        <w:docPartGallery w:val="Page Numbers (Bottom of Page)"/>
        <w:docPartUnique/>
      </w:docPartObj>
    </w:sdtPr>
    <w:sdtEndPr>
      <w:rPr>
        <w:cs/>
      </w:rPr>
    </w:sdtEndPr>
    <w:sdtContent>
      <w:p w:rsidR="00542416" w:rsidP="00141B5D">
        <w:pPr>
          <w:pStyle w:val="Footer"/>
          <w:jc w:val="center"/>
          <w:rPr>
            <w:rtl/>
            <w:cs/>
          </w:rPr>
        </w:pPr>
      </w:p>
    </w:sdtContent>
  </w:sdt>
  <w:p w:rsidR="005424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416" w:rsidP="00DA5620">
    <w:pPr>
      <w:pStyle w:val="Header"/>
      <w:jc w:val="center"/>
      <w:rPr>
        <w:rtl/>
        <w:cs/>
      </w:rPr>
    </w:pPr>
  </w:p>
  <w:p w:rsidR="00542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416" w:rsidP="00542416">
    <w:pPr>
      <w:spacing w:after="0" w:line="240" w:lineRule="auto"/>
      <w:jc w:val="center"/>
      <w:rPr>
        <w:rFonts w:ascii="Arial" w:hAnsi="Arial" w:cs="Arial"/>
        <w:bCs/>
        <w:sz w:val="18"/>
        <w:szCs w:val="18"/>
        <w:rtl/>
      </w:rPr>
    </w:pPr>
    <w:r>
      <w:rPr>
        <w:rFonts w:ascii="Arial" w:hAnsi="Arial" w:cs="Arial"/>
        <w:bCs/>
        <w:noProof/>
        <w:sz w:val="18"/>
        <w:szCs w:val="18"/>
      </w:rPr>
      <w:drawing>
        <wp:inline distT="0" distB="0" distL="0" distR="0">
          <wp:extent cx="885825" cy="377825"/>
          <wp:effectExtent l="0" t="0" r="9525" b="317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3917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85825" cy="377825"/>
                  </a:xfrm>
                  <a:prstGeom prst="rect">
                    <a:avLst/>
                  </a:prstGeom>
                  <a:noFill/>
                </pic:spPr>
              </pic:pic>
            </a:graphicData>
          </a:graphic>
        </wp:inline>
      </w:drawing>
    </w:r>
  </w:p>
  <w:p w:rsidR="00542416" w:rsidRPr="00141B5D" w:rsidP="00542416">
    <w:pPr>
      <w:spacing w:after="0" w:line="240" w:lineRule="auto"/>
      <w:jc w:val="center"/>
      <w:rPr>
        <w:rFonts w:ascii="Tahoma" w:hAnsi="Tahoma" w:cs="Tahoma"/>
        <w:bCs/>
        <w:sz w:val="19"/>
        <w:szCs w:val="19"/>
        <w:rtl/>
      </w:rPr>
    </w:pPr>
    <w:r w:rsidRPr="00141B5D">
      <w:rPr>
        <w:rFonts w:ascii="Tahoma" w:hAnsi="Tahoma" w:cs="Tahoma"/>
        <w:bCs/>
        <w:sz w:val="19"/>
        <w:szCs w:val="19"/>
        <w:rtl/>
      </w:rPr>
      <w:t>משרד מבקר המדינה</w:t>
    </w:r>
  </w:p>
  <w:p w:rsidR="00542416" w:rsidRPr="00141B5D" w:rsidP="00542416">
    <w:pPr>
      <w:spacing w:line="240" w:lineRule="auto"/>
      <w:jc w:val="center"/>
      <w:rPr>
        <w:rFonts w:ascii="Tahoma" w:hAnsi="Tahoma" w:cs="Tahoma"/>
        <w:b/>
        <w:sz w:val="19"/>
        <w:szCs w:val="19"/>
        <w:rtl/>
      </w:rPr>
    </w:pPr>
    <w:r w:rsidRPr="00141B5D">
      <w:rPr>
        <w:rFonts w:ascii="Tahoma" w:hAnsi="Tahoma" w:cs="Tahoma"/>
        <w:b/>
        <w:sz w:val="19"/>
        <w:szCs w:val="19"/>
        <w:rtl/>
      </w:rPr>
      <w:t>דוח 71א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C8164DD"/>
    <w:multiLevelType w:val="hybridMultilevel"/>
    <w:tmpl w:val="65DC0490"/>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1A93B76"/>
    <w:multiLevelType w:val="hybridMultilevel"/>
    <w:tmpl w:val="67D0259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061C9"/>
    <w:multiLevelType w:val="hybridMultilevel"/>
    <w:tmpl w:val="39D4C3E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FD6457B"/>
    <w:multiLevelType w:val="hybridMultilevel"/>
    <w:tmpl w:val="39666632"/>
    <w:lvl w:ilvl="0">
      <w:start w:val="1"/>
      <w:numFmt w:val="bullet"/>
      <w:lvlText w:val=""/>
      <w:lvlPicBulletId w:val="0"/>
      <w:lvlJc w:val="left"/>
      <w:pPr>
        <w:ind w:left="360" w:hanging="360"/>
      </w:pPr>
      <w:rPr>
        <w:rFonts w:ascii="Symbol" w:hAnsi="Symbol" w:hint="default"/>
        <w:b/>
        <w:bCs/>
        <w:i w:val="0"/>
        <w:iCs w:val="0"/>
        <w:color w:val="auto"/>
        <w:position w:val="-6"/>
        <w:sz w:val="36"/>
        <w:szCs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9836211"/>
    <w:multiLevelType w:val="hybridMultilevel"/>
    <w:tmpl w:val="C48238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76654EEC"/>
    <w:multiLevelType w:val="hybridMultilevel"/>
    <w:tmpl w:val="948C4E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20"/>
  <w:drawingGridHorizontalSpacing w:val="100"/>
  <w:displayHorizontalDrawingGridEvery w:val="2"/>
  <w:displayVerticalDrawingGridEvery w:val="2"/>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AF"/>
    <w:rsid w:val="00001C08"/>
    <w:rsid w:val="00003B77"/>
    <w:rsid w:val="000048E6"/>
    <w:rsid w:val="00005483"/>
    <w:rsid w:val="0001103D"/>
    <w:rsid w:val="00011B2B"/>
    <w:rsid w:val="0001509C"/>
    <w:rsid w:val="0001735B"/>
    <w:rsid w:val="0001756C"/>
    <w:rsid w:val="000214E3"/>
    <w:rsid w:val="00023011"/>
    <w:rsid w:val="000238CA"/>
    <w:rsid w:val="000307D7"/>
    <w:rsid w:val="00031BA2"/>
    <w:rsid w:val="0003498B"/>
    <w:rsid w:val="00035277"/>
    <w:rsid w:val="000415A5"/>
    <w:rsid w:val="00042837"/>
    <w:rsid w:val="00045B6F"/>
    <w:rsid w:val="00047BB3"/>
    <w:rsid w:val="00050164"/>
    <w:rsid w:val="000501A4"/>
    <w:rsid w:val="000532AA"/>
    <w:rsid w:val="000610F4"/>
    <w:rsid w:val="000627EC"/>
    <w:rsid w:val="00063492"/>
    <w:rsid w:val="0006569E"/>
    <w:rsid w:val="00073752"/>
    <w:rsid w:val="000742BC"/>
    <w:rsid w:val="0007452D"/>
    <w:rsid w:val="00077AF6"/>
    <w:rsid w:val="00082361"/>
    <w:rsid w:val="00091DDB"/>
    <w:rsid w:val="000A047C"/>
    <w:rsid w:val="000A2B9B"/>
    <w:rsid w:val="000B1102"/>
    <w:rsid w:val="000B263B"/>
    <w:rsid w:val="000B49E9"/>
    <w:rsid w:val="000B57AD"/>
    <w:rsid w:val="000C4C12"/>
    <w:rsid w:val="000C7459"/>
    <w:rsid w:val="000D7A83"/>
    <w:rsid w:val="000E013E"/>
    <w:rsid w:val="000E2822"/>
    <w:rsid w:val="000E4939"/>
    <w:rsid w:val="000E6A36"/>
    <w:rsid w:val="000F7725"/>
    <w:rsid w:val="00100495"/>
    <w:rsid w:val="00101D0F"/>
    <w:rsid w:val="00102075"/>
    <w:rsid w:val="0010321C"/>
    <w:rsid w:val="00110D98"/>
    <w:rsid w:val="00111722"/>
    <w:rsid w:val="00113E28"/>
    <w:rsid w:val="00114325"/>
    <w:rsid w:val="001211E3"/>
    <w:rsid w:val="00122E49"/>
    <w:rsid w:val="001240A3"/>
    <w:rsid w:val="001318D9"/>
    <w:rsid w:val="00133A2A"/>
    <w:rsid w:val="001369A2"/>
    <w:rsid w:val="00141B5D"/>
    <w:rsid w:val="00147A1B"/>
    <w:rsid w:val="001547D0"/>
    <w:rsid w:val="001563B2"/>
    <w:rsid w:val="00162E3F"/>
    <w:rsid w:val="00166477"/>
    <w:rsid w:val="001730B0"/>
    <w:rsid w:val="001869C0"/>
    <w:rsid w:val="001960B4"/>
    <w:rsid w:val="0019666C"/>
    <w:rsid w:val="00196788"/>
    <w:rsid w:val="001A068D"/>
    <w:rsid w:val="001A3934"/>
    <w:rsid w:val="001A4872"/>
    <w:rsid w:val="001A613C"/>
    <w:rsid w:val="001A6F49"/>
    <w:rsid w:val="001B2821"/>
    <w:rsid w:val="001B2CBE"/>
    <w:rsid w:val="001B46D9"/>
    <w:rsid w:val="001C057E"/>
    <w:rsid w:val="001C166E"/>
    <w:rsid w:val="001D0714"/>
    <w:rsid w:val="001D1061"/>
    <w:rsid w:val="001D5434"/>
    <w:rsid w:val="001D6E79"/>
    <w:rsid w:val="001E6607"/>
    <w:rsid w:val="001E7F4F"/>
    <w:rsid w:val="001F1EE3"/>
    <w:rsid w:val="001F2986"/>
    <w:rsid w:val="001F43F3"/>
    <w:rsid w:val="00200049"/>
    <w:rsid w:val="00203604"/>
    <w:rsid w:val="002064F7"/>
    <w:rsid w:val="00210C64"/>
    <w:rsid w:val="0021269A"/>
    <w:rsid w:val="002131F7"/>
    <w:rsid w:val="00220016"/>
    <w:rsid w:val="00232E35"/>
    <w:rsid w:val="00233ECF"/>
    <w:rsid w:val="00236066"/>
    <w:rsid w:val="00240887"/>
    <w:rsid w:val="0025007B"/>
    <w:rsid w:val="00252A3D"/>
    <w:rsid w:val="00254370"/>
    <w:rsid w:val="00255FD2"/>
    <w:rsid w:val="00257A18"/>
    <w:rsid w:val="0026014A"/>
    <w:rsid w:val="002629DD"/>
    <w:rsid w:val="00263521"/>
    <w:rsid w:val="00277D26"/>
    <w:rsid w:val="00291526"/>
    <w:rsid w:val="00296967"/>
    <w:rsid w:val="00297DE9"/>
    <w:rsid w:val="002A0621"/>
    <w:rsid w:val="002A7D21"/>
    <w:rsid w:val="002B1F92"/>
    <w:rsid w:val="002B7C4E"/>
    <w:rsid w:val="002B7C82"/>
    <w:rsid w:val="002C0637"/>
    <w:rsid w:val="002C1EE0"/>
    <w:rsid w:val="002C21BC"/>
    <w:rsid w:val="002C2996"/>
    <w:rsid w:val="002C2FB3"/>
    <w:rsid w:val="002C4139"/>
    <w:rsid w:val="002D40B0"/>
    <w:rsid w:val="002E1832"/>
    <w:rsid w:val="002E6D53"/>
    <w:rsid w:val="002F0620"/>
    <w:rsid w:val="002F1C99"/>
    <w:rsid w:val="002F45E7"/>
    <w:rsid w:val="002F53D7"/>
    <w:rsid w:val="00301153"/>
    <w:rsid w:val="003053D5"/>
    <w:rsid w:val="00317887"/>
    <w:rsid w:val="003229C0"/>
    <w:rsid w:val="00323027"/>
    <w:rsid w:val="00345382"/>
    <w:rsid w:val="00345694"/>
    <w:rsid w:val="00346430"/>
    <w:rsid w:val="0035038B"/>
    <w:rsid w:val="00351461"/>
    <w:rsid w:val="00351DC3"/>
    <w:rsid w:val="00362380"/>
    <w:rsid w:val="0036532D"/>
    <w:rsid w:val="003729F4"/>
    <w:rsid w:val="0037370B"/>
    <w:rsid w:val="00375EC8"/>
    <w:rsid w:val="0037752E"/>
    <w:rsid w:val="00380052"/>
    <w:rsid w:val="00380FCA"/>
    <w:rsid w:val="0039003D"/>
    <w:rsid w:val="00390E89"/>
    <w:rsid w:val="00396E8E"/>
    <w:rsid w:val="003A1BDD"/>
    <w:rsid w:val="003A519F"/>
    <w:rsid w:val="003B4C0E"/>
    <w:rsid w:val="003B6B83"/>
    <w:rsid w:val="003B7346"/>
    <w:rsid w:val="003C2AA7"/>
    <w:rsid w:val="003C562B"/>
    <w:rsid w:val="003C7B6E"/>
    <w:rsid w:val="003D424B"/>
    <w:rsid w:val="003D59DE"/>
    <w:rsid w:val="003D665F"/>
    <w:rsid w:val="003D7D6C"/>
    <w:rsid w:val="003E2EA7"/>
    <w:rsid w:val="003E4232"/>
    <w:rsid w:val="003E58C2"/>
    <w:rsid w:val="003F1302"/>
    <w:rsid w:val="003F5C88"/>
    <w:rsid w:val="0040412F"/>
    <w:rsid w:val="004063C4"/>
    <w:rsid w:val="00410BDB"/>
    <w:rsid w:val="0041187C"/>
    <w:rsid w:val="00412669"/>
    <w:rsid w:val="00412E59"/>
    <w:rsid w:val="0041501C"/>
    <w:rsid w:val="00415482"/>
    <w:rsid w:val="00415C25"/>
    <w:rsid w:val="00416183"/>
    <w:rsid w:val="004200D7"/>
    <w:rsid w:val="00424A47"/>
    <w:rsid w:val="004253BF"/>
    <w:rsid w:val="00427E4C"/>
    <w:rsid w:val="00431342"/>
    <w:rsid w:val="00441DC1"/>
    <w:rsid w:val="00444FCA"/>
    <w:rsid w:val="0044625D"/>
    <w:rsid w:val="00451E03"/>
    <w:rsid w:val="00452416"/>
    <w:rsid w:val="0045763F"/>
    <w:rsid w:val="004631DF"/>
    <w:rsid w:val="004657BD"/>
    <w:rsid w:val="00466F9B"/>
    <w:rsid w:val="0046719A"/>
    <w:rsid w:val="00470E90"/>
    <w:rsid w:val="004779AA"/>
    <w:rsid w:val="00482936"/>
    <w:rsid w:val="0048745E"/>
    <w:rsid w:val="0049585B"/>
    <w:rsid w:val="004A016F"/>
    <w:rsid w:val="004A0385"/>
    <w:rsid w:val="004A0CAF"/>
    <w:rsid w:val="004B31F2"/>
    <w:rsid w:val="004B4FB9"/>
    <w:rsid w:val="004B651F"/>
    <w:rsid w:val="004C1302"/>
    <w:rsid w:val="004C2314"/>
    <w:rsid w:val="004C238F"/>
    <w:rsid w:val="004C49D1"/>
    <w:rsid w:val="004C7D9F"/>
    <w:rsid w:val="004D2249"/>
    <w:rsid w:val="004D347A"/>
    <w:rsid w:val="004D5BBB"/>
    <w:rsid w:val="004E0F82"/>
    <w:rsid w:val="004E2B38"/>
    <w:rsid w:val="004E3192"/>
    <w:rsid w:val="005006C5"/>
    <w:rsid w:val="005079D2"/>
    <w:rsid w:val="00513B85"/>
    <w:rsid w:val="005210CC"/>
    <w:rsid w:val="005219FA"/>
    <w:rsid w:val="00521C97"/>
    <w:rsid w:val="00522579"/>
    <w:rsid w:val="0052693F"/>
    <w:rsid w:val="005305B1"/>
    <w:rsid w:val="005311DE"/>
    <w:rsid w:val="00533D41"/>
    <w:rsid w:val="0053551D"/>
    <w:rsid w:val="00536CE8"/>
    <w:rsid w:val="00542416"/>
    <w:rsid w:val="005448FB"/>
    <w:rsid w:val="00545554"/>
    <w:rsid w:val="00551B42"/>
    <w:rsid w:val="00551C87"/>
    <w:rsid w:val="0055430F"/>
    <w:rsid w:val="00560B4E"/>
    <w:rsid w:val="00560D73"/>
    <w:rsid w:val="00566246"/>
    <w:rsid w:val="005664A7"/>
    <w:rsid w:val="00574579"/>
    <w:rsid w:val="00580C5C"/>
    <w:rsid w:val="0058304C"/>
    <w:rsid w:val="00584EC7"/>
    <w:rsid w:val="0058674D"/>
    <w:rsid w:val="005A021D"/>
    <w:rsid w:val="005A2605"/>
    <w:rsid w:val="005A28B5"/>
    <w:rsid w:val="005A5194"/>
    <w:rsid w:val="005B2235"/>
    <w:rsid w:val="005B5A50"/>
    <w:rsid w:val="005B7522"/>
    <w:rsid w:val="005C0A85"/>
    <w:rsid w:val="005C4285"/>
    <w:rsid w:val="005C4A94"/>
    <w:rsid w:val="005D1124"/>
    <w:rsid w:val="005D3AD8"/>
    <w:rsid w:val="005E66CD"/>
    <w:rsid w:val="005F6A38"/>
    <w:rsid w:val="006122F1"/>
    <w:rsid w:val="00613581"/>
    <w:rsid w:val="00615D5C"/>
    <w:rsid w:val="00626A9F"/>
    <w:rsid w:val="00626AEC"/>
    <w:rsid w:val="0062752E"/>
    <w:rsid w:val="00634DAD"/>
    <w:rsid w:val="00636CDD"/>
    <w:rsid w:val="006435FD"/>
    <w:rsid w:val="006457EB"/>
    <w:rsid w:val="006471C0"/>
    <w:rsid w:val="00647BD3"/>
    <w:rsid w:val="006531CB"/>
    <w:rsid w:val="00662C55"/>
    <w:rsid w:val="00664EFB"/>
    <w:rsid w:val="00671BB0"/>
    <w:rsid w:val="006732C7"/>
    <w:rsid w:val="00676134"/>
    <w:rsid w:val="00692630"/>
    <w:rsid w:val="00693BB8"/>
    <w:rsid w:val="0069617F"/>
    <w:rsid w:val="006A709F"/>
    <w:rsid w:val="006A71C9"/>
    <w:rsid w:val="006A761B"/>
    <w:rsid w:val="006B6494"/>
    <w:rsid w:val="006B74BF"/>
    <w:rsid w:val="006C128B"/>
    <w:rsid w:val="006C1B51"/>
    <w:rsid w:val="006C21D8"/>
    <w:rsid w:val="006C2799"/>
    <w:rsid w:val="006C48AC"/>
    <w:rsid w:val="006C4C1B"/>
    <w:rsid w:val="006C4E4B"/>
    <w:rsid w:val="006C51DB"/>
    <w:rsid w:val="006D0219"/>
    <w:rsid w:val="006D4161"/>
    <w:rsid w:val="006D5747"/>
    <w:rsid w:val="006D591F"/>
    <w:rsid w:val="006D632A"/>
    <w:rsid w:val="006D75D6"/>
    <w:rsid w:val="006D786C"/>
    <w:rsid w:val="006E0EDF"/>
    <w:rsid w:val="006E3AC6"/>
    <w:rsid w:val="006E40F2"/>
    <w:rsid w:val="006E44B4"/>
    <w:rsid w:val="006E61FE"/>
    <w:rsid w:val="006F285F"/>
    <w:rsid w:val="006F6A51"/>
    <w:rsid w:val="00701D0B"/>
    <w:rsid w:val="00706C85"/>
    <w:rsid w:val="00706FB0"/>
    <w:rsid w:val="00715021"/>
    <w:rsid w:val="007162A9"/>
    <w:rsid w:val="007165CF"/>
    <w:rsid w:val="007168A4"/>
    <w:rsid w:val="007219C6"/>
    <w:rsid w:val="0072219B"/>
    <w:rsid w:val="00723E25"/>
    <w:rsid w:val="00727D03"/>
    <w:rsid w:val="00731086"/>
    <w:rsid w:val="007339D3"/>
    <w:rsid w:val="00741384"/>
    <w:rsid w:val="007474F0"/>
    <w:rsid w:val="00747775"/>
    <w:rsid w:val="007516DB"/>
    <w:rsid w:val="00752786"/>
    <w:rsid w:val="00753AA3"/>
    <w:rsid w:val="00753ADE"/>
    <w:rsid w:val="00753E0C"/>
    <w:rsid w:val="00755E82"/>
    <w:rsid w:val="007561B2"/>
    <w:rsid w:val="007570AD"/>
    <w:rsid w:val="007609D2"/>
    <w:rsid w:val="0076179A"/>
    <w:rsid w:val="00763E2C"/>
    <w:rsid w:val="00766164"/>
    <w:rsid w:val="00773F61"/>
    <w:rsid w:val="00776513"/>
    <w:rsid w:val="00783A11"/>
    <w:rsid w:val="00784E6E"/>
    <w:rsid w:val="00791F86"/>
    <w:rsid w:val="007941CC"/>
    <w:rsid w:val="00796368"/>
    <w:rsid w:val="00796A29"/>
    <w:rsid w:val="0079754A"/>
    <w:rsid w:val="007A4C8E"/>
    <w:rsid w:val="007A4EBD"/>
    <w:rsid w:val="007B065E"/>
    <w:rsid w:val="007B112B"/>
    <w:rsid w:val="007B20B4"/>
    <w:rsid w:val="007B5B26"/>
    <w:rsid w:val="007B691A"/>
    <w:rsid w:val="007C1DA3"/>
    <w:rsid w:val="007C1FF6"/>
    <w:rsid w:val="007C6951"/>
    <w:rsid w:val="007D1200"/>
    <w:rsid w:val="007D3311"/>
    <w:rsid w:val="007D34F6"/>
    <w:rsid w:val="007D61B8"/>
    <w:rsid w:val="007D6CFC"/>
    <w:rsid w:val="007E070D"/>
    <w:rsid w:val="007E2FEA"/>
    <w:rsid w:val="007E32A7"/>
    <w:rsid w:val="007F7FF2"/>
    <w:rsid w:val="00802616"/>
    <w:rsid w:val="00805B42"/>
    <w:rsid w:val="008102AD"/>
    <w:rsid w:val="00814A19"/>
    <w:rsid w:val="00822FFA"/>
    <w:rsid w:val="00823485"/>
    <w:rsid w:val="00827D7B"/>
    <w:rsid w:val="008319E9"/>
    <w:rsid w:val="00832BBC"/>
    <w:rsid w:val="00836AD6"/>
    <w:rsid w:val="008372A6"/>
    <w:rsid w:val="00837997"/>
    <w:rsid w:val="00843315"/>
    <w:rsid w:val="00843FD2"/>
    <w:rsid w:val="00844B8B"/>
    <w:rsid w:val="0085634D"/>
    <w:rsid w:val="00857074"/>
    <w:rsid w:val="00857341"/>
    <w:rsid w:val="00861389"/>
    <w:rsid w:val="00861953"/>
    <w:rsid w:val="00867FC5"/>
    <w:rsid w:val="00872981"/>
    <w:rsid w:val="00885DC9"/>
    <w:rsid w:val="0089105C"/>
    <w:rsid w:val="00892F80"/>
    <w:rsid w:val="0089362C"/>
    <w:rsid w:val="008939C4"/>
    <w:rsid w:val="008943B8"/>
    <w:rsid w:val="00895237"/>
    <w:rsid w:val="008B0F27"/>
    <w:rsid w:val="008B12C0"/>
    <w:rsid w:val="008B1963"/>
    <w:rsid w:val="008B1C48"/>
    <w:rsid w:val="008B4F41"/>
    <w:rsid w:val="008B66AB"/>
    <w:rsid w:val="008C6F75"/>
    <w:rsid w:val="008D0FE9"/>
    <w:rsid w:val="008D3D0C"/>
    <w:rsid w:val="008D7D86"/>
    <w:rsid w:val="008E3320"/>
    <w:rsid w:val="008E3B33"/>
    <w:rsid w:val="008E4203"/>
    <w:rsid w:val="008E4664"/>
    <w:rsid w:val="008E4B93"/>
    <w:rsid w:val="008F0271"/>
    <w:rsid w:val="009015B2"/>
    <w:rsid w:val="00901E41"/>
    <w:rsid w:val="009040FE"/>
    <w:rsid w:val="00906E90"/>
    <w:rsid w:val="00906EFE"/>
    <w:rsid w:val="0090716F"/>
    <w:rsid w:val="0091051D"/>
    <w:rsid w:val="0092034C"/>
    <w:rsid w:val="0092370B"/>
    <w:rsid w:val="00923752"/>
    <w:rsid w:val="00923E2F"/>
    <w:rsid w:val="00925DBA"/>
    <w:rsid w:val="00925FB4"/>
    <w:rsid w:val="0093259C"/>
    <w:rsid w:val="00936050"/>
    <w:rsid w:val="00936663"/>
    <w:rsid w:val="00936F84"/>
    <w:rsid w:val="00940851"/>
    <w:rsid w:val="00953ADE"/>
    <w:rsid w:val="00955312"/>
    <w:rsid w:val="00957E0B"/>
    <w:rsid w:val="00963F52"/>
    <w:rsid w:val="00966F8F"/>
    <w:rsid w:val="009675C9"/>
    <w:rsid w:val="009677DA"/>
    <w:rsid w:val="009679D9"/>
    <w:rsid w:val="009717AD"/>
    <w:rsid w:val="00971F54"/>
    <w:rsid w:val="00972571"/>
    <w:rsid w:val="0097423C"/>
    <w:rsid w:val="00976BDC"/>
    <w:rsid w:val="00983C9B"/>
    <w:rsid w:val="00985828"/>
    <w:rsid w:val="00985F15"/>
    <w:rsid w:val="00990C5A"/>
    <w:rsid w:val="00991E6D"/>
    <w:rsid w:val="009A2FFC"/>
    <w:rsid w:val="009B1C1E"/>
    <w:rsid w:val="009B494E"/>
    <w:rsid w:val="009B6BD1"/>
    <w:rsid w:val="009C28A5"/>
    <w:rsid w:val="009D5B6A"/>
    <w:rsid w:val="009D73F5"/>
    <w:rsid w:val="009E03A4"/>
    <w:rsid w:val="009E1A3F"/>
    <w:rsid w:val="009E3028"/>
    <w:rsid w:val="009E4861"/>
    <w:rsid w:val="009E5337"/>
    <w:rsid w:val="009E7EF8"/>
    <w:rsid w:val="009F048B"/>
    <w:rsid w:val="009F04E7"/>
    <w:rsid w:val="009F0BD3"/>
    <w:rsid w:val="009F35C4"/>
    <w:rsid w:val="009F5977"/>
    <w:rsid w:val="00A1610B"/>
    <w:rsid w:val="00A20D62"/>
    <w:rsid w:val="00A2441F"/>
    <w:rsid w:val="00A31FC2"/>
    <w:rsid w:val="00A3250C"/>
    <w:rsid w:val="00A33499"/>
    <w:rsid w:val="00A35014"/>
    <w:rsid w:val="00A35255"/>
    <w:rsid w:val="00A356BE"/>
    <w:rsid w:val="00A448D0"/>
    <w:rsid w:val="00A51014"/>
    <w:rsid w:val="00A51729"/>
    <w:rsid w:val="00A5337D"/>
    <w:rsid w:val="00A61AD5"/>
    <w:rsid w:val="00A65726"/>
    <w:rsid w:val="00A71CD3"/>
    <w:rsid w:val="00A72B2C"/>
    <w:rsid w:val="00A73038"/>
    <w:rsid w:val="00A76C99"/>
    <w:rsid w:val="00A8191C"/>
    <w:rsid w:val="00A81EBE"/>
    <w:rsid w:val="00A87E5F"/>
    <w:rsid w:val="00A91D0E"/>
    <w:rsid w:val="00A945AC"/>
    <w:rsid w:val="00A972F6"/>
    <w:rsid w:val="00AA57ED"/>
    <w:rsid w:val="00AA5E32"/>
    <w:rsid w:val="00AA68E7"/>
    <w:rsid w:val="00AB7E23"/>
    <w:rsid w:val="00AC6B95"/>
    <w:rsid w:val="00AC732A"/>
    <w:rsid w:val="00AD0213"/>
    <w:rsid w:val="00AD2825"/>
    <w:rsid w:val="00AD32DD"/>
    <w:rsid w:val="00AD3643"/>
    <w:rsid w:val="00AD6D05"/>
    <w:rsid w:val="00AE1CCA"/>
    <w:rsid w:val="00AE2B82"/>
    <w:rsid w:val="00AE40A0"/>
    <w:rsid w:val="00AE4166"/>
    <w:rsid w:val="00AE72FC"/>
    <w:rsid w:val="00AE7420"/>
    <w:rsid w:val="00AF08BF"/>
    <w:rsid w:val="00AF0951"/>
    <w:rsid w:val="00AF15DD"/>
    <w:rsid w:val="00AF1C32"/>
    <w:rsid w:val="00AF1FD9"/>
    <w:rsid w:val="00AF2281"/>
    <w:rsid w:val="00AF28A1"/>
    <w:rsid w:val="00B00E5C"/>
    <w:rsid w:val="00B03DD4"/>
    <w:rsid w:val="00B0544B"/>
    <w:rsid w:val="00B05E28"/>
    <w:rsid w:val="00B05F04"/>
    <w:rsid w:val="00B11EAF"/>
    <w:rsid w:val="00B1204F"/>
    <w:rsid w:val="00B12454"/>
    <w:rsid w:val="00B126A9"/>
    <w:rsid w:val="00B12E4B"/>
    <w:rsid w:val="00B13DE1"/>
    <w:rsid w:val="00B1777D"/>
    <w:rsid w:val="00B201FA"/>
    <w:rsid w:val="00B24586"/>
    <w:rsid w:val="00B30BCE"/>
    <w:rsid w:val="00B325B6"/>
    <w:rsid w:val="00B3683C"/>
    <w:rsid w:val="00B4055A"/>
    <w:rsid w:val="00B42BAE"/>
    <w:rsid w:val="00B47665"/>
    <w:rsid w:val="00B53811"/>
    <w:rsid w:val="00B55F8E"/>
    <w:rsid w:val="00B616D8"/>
    <w:rsid w:val="00B63DC0"/>
    <w:rsid w:val="00B666B9"/>
    <w:rsid w:val="00B6745F"/>
    <w:rsid w:val="00B72F5A"/>
    <w:rsid w:val="00B74BE0"/>
    <w:rsid w:val="00B75A21"/>
    <w:rsid w:val="00B76DC1"/>
    <w:rsid w:val="00B77710"/>
    <w:rsid w:val="00B815B2"/>
    <w:rsid w:val="00B81F98"/>
    <w:rsid w:val="00B862C0"/>
    <w:rsid w:val="00BA0274"/>
    <w:rsid w:val="00BA5E69"/>
    <w:rsid w:val="00BA624B"/>
    <w:rsid w:val="00BB16EE"/>
    <w:rsid w:val="00BB1FA6"/>
    <w:rsid w:val="00BB2098"/>
    <w:rsid w:val="00BC2FAD"/>
    <w:rsid w:val="00BD0DEF"/>
    <w:rsid w:val="00BD4D02"/>
    <w:rsid w:val="00BD56CB"/>
    <w:rsid w:val="00BD7EC3"/>
    <w:rsid w:val="00BE297F"/>
    <w:rsid w:val="00BE2C24"/>
    <w:rsid w:val="00BE2DD8"/>
    <w:rsid w:val="00BE4394"/>
    <w:rsid w:val="00BF5F93"/>
    <w:rsid w:val="00BF7197"/>
    <w:rsid w:val="00C12AD3"/>
    <w:rsid w:val="00C21C2A"/>
    <w:rsid w:val="00C2305A"/>
    <w:rsid w:val="00C23CC9"/>
    <w:rsid w:val="00C24F96"/>
    <w:rsid w:val="00C30B3D"/>
    <w:rsid w:val="00C33AE2"/>
    <w:rsid w:val="00C3465D"/>
    <w:rsid w:val="00C37541"/>
    <w:rsid w:val="00C46D9B"/>
    <w:rsid w:val="00C606EE"/>
    <w:rsid w:val="00C66E67"/>
    <w:rsid w:val="00C71A68"/>
    <w:rsid w:val="00C72F84"/>
    <w:rsid w:val="00C8096C"/>
    <w:rsid w:val="00C8100B"/>
    <w:rsid w:val="00C814A3"/>
    <w:rsid w:val="00C83849"/>
    <w:rsid w:val="00C85654"/>
    <w:rsid w:val="00C8610C"/>
    <w:rsid w:val="00C87D7D"/>
    <w:rsid w:val="00C93634"/>
    <w:rsid w:val="00C94354"/>
    <w:rsid w:val="00CA29FA"/>
    <w:rsid w:val="00CA41D2"/>
    <w:rsid w:val="00CA4F20"/>
    <w:rsid w:val="00CA631E"/>
    <w:rsid w:val="00CA67F3"/>
    <w:rsid w:val="00CC3717"/>
    <w:rsid w:val="00CD53E7"/>
    <w:rsid w:val="00CE4855"/>
    <w:rsid w:val="00CE7F3E"/>
    <w:rsid w:val="00CF1F6D"/>
    <w:rsid w:val="00CF4260"/>
    <w:rsid w:val="00CF754D"/>
    <w:rsid w:val="00D00309"/>
    <w:rsid w:val="00D044E6"/>
    <w:rsid w:val="00D052EA"/>
    <w:rsid w:val="00D073BC"/>
    <w:rsid w:val="00D107D5"/>
    <w:rsid w:val="00D11777"/>
    <w:rsid w:val="00D1403B"/>
    <w:rsid w:val="00D21021"/>
    <w:rsid w:val="00D22748"/>
    <w:rsid w:val="00D26918"/>
    <w:rsid w:val="00D34A18"/>
    <w:rsid w:val="00D36472"/>
    <w:rsid w:val="00D37121"/>
    <w:rsid w:val="00D401DA"/>
    <w:rsid w:val="00D41AD8"/>
    <w:rsid w:val="00D420AE"/>
    <w:rsid w:val="00D429A2"/>
    <w:rsid w:val="00D43ACA"/>
    <w:rsid w:val="00D43DC3"/>
    <w:rsid w:val="00D45B47"/>
    <w:rsid w:val="00D47842"/>
    <w:rsid w:val="00D628CE"/>
    <w:rsid w:val="00D63013"/>
    <w:rsid w:val="00D63AA2"/>
    <w:rsid w:val="00D723A5"/>
    <w:rsid w:val="00D7254F"/>
    <w:rsid w:val="00D730AD"/>
    <w:rsid w:val="00D73963"/>
    <w:rsid w:val="00D779F7"/>
    <w:rsid w:val="00D86A12"/>
    <w:rsid w:val="00D86E0F"/>
    <w:rsid w:val="00D87542"/>
    <w:rsid w:val="00D95C20"/>
    <w:rsid w:val="00D97C16"/>
    <w:rsid w:val="00DA5620"/>
    <w:rsid w:val="00DA7709"/>
    <w:rsid w:val="00DA78F6"/>
    <w:rsid w:val="00DB30FC"/>
    <w:rsid w:val="00DB4B95"/>
    <w:rsid w:val="00DB77D0"/>
    <w:rsid w:val="00DC1911"/>
    <w:rsid w:val="00DC4EFD"/>
    <w:rsid w:val="00DC5E72"/>
    <w:rsid w:val="00DD0785"/>
    <w:rsid w:val="00DD3438"/>
    <w:rsid w:val="00DE12F6"/>
    <w:rsid w:val="00DE1DAB"/>
    <w:rsid w:val="00DE20A2"/>
    <w:rsid w:val="00DE26A2"/>
    <w:rsid w:val="00DF0B89"/>
    <w:rsid w:val="00DF0DC6"/>
    <w:rsid w:val="00DF265A"/>
    <w:rsid w:val="00DF46AB"/>
    <w:rsid w:val="00DF5F97"/>
    <w:rsid w:val="00E026B7"/>
    <w:rsid w:val="00E061D4"/>
    <w:rsid w:val="00E075BA"/>
    <w:rsid w:val="00E149C8"/>
    <w:rsid w:val="00E153EA"/>
    <w:rsid w:val="00E16C60"/>
    <w:rsid w:val="00E17D6B"/>
    <w:rsid w:val="00E23894"/>
    <w:rsid w:val="00E27C39"/>
    <w:rsid w:val="00E31B64"/>
    <w:rsid w:val="00E32E49"/>
    <w:rsid w:val="00E35682"/>
    <w:rsid w:val="00E443AF"/>
    <w:rsid w:val="00E46B4A"/>
    <w:rsid w:val="00E46EA3"/>
    <w:rsid w:val="00E500F8"/>
    <w:rsid w:val="00E51C1B"/>
    <w:rsid w:val="00E53DA7"/>
    <w:rsid w:val="00E61FF0"/>
    <w:rsid w:val="00E645D6"/>
    <w:rsid w:val="00E65BF3"/>
    <w:rsid w:val="00E7348D"/>
    <w:rsid w:val="00E73E13"/>
    <w:rsid w:val="00E968F6"/>
    <w:rsid w:val="00EA2433"/>
    <w:rsid w:val="00EA71A1"/>
    <w:rsid w:val="00EB386A"/>
    <w:rsid w:val="00EB4DFE"/>
    <w:rsid w:val="00EC1E40"/>
    <w:rsid w:val="00EC2D3A"/>
    <w:rsid w:val="00EC324F"/>
    <w:rsid w:val="00EC6B44"/>
    <w:rsid w:val="00EC6D91"/>
    <w:rsid w:val="00ED67B9"/>
    <w:rsid w:val="00ED7464"/>
    <w:rsid w:val="00EE37A3"/>
    <w:rsid w:val="00EF07B8"/>
    <w:rsid w:val="00EF1271"/>
    <w:rsid w:val="00EF20C7"/>
    <w:rsid w:val="00EF37A9"/>
    <w:rsid w:val="00EF4316"/>
    <w:rsid w:val="00F050FD"/>
    <w:rsid w:val="00F05917"/>
    <w:rsid w:val="00F15588"/>
    <w:rsid w:val="00F24199"/>
    <w:rsid w:val="00F26803"/>
    <w:rsid w:val="00F27A3D"/>
    <w:rsid w:val="00F36ABC"/>
    <w:rsid w:val="00F4247A"/>
    <w:rsid w:val="00F4385E"/>
    <w:rsid w:val="00F43D09"/>
    <w:rsid w:val="00F450AE"/>
    <w:rsid w:val="00F471FA"/>
    <w:rsid w:val="00F532F8"/>
    <w:rsid w:val="00F53CE7"/>
    <w:rsid w:val="00F566FB"/>
    <w:rsid w:val="00F6067E"/>
    <w:rsid w:val="00F6093D"/>
    <w:rsid w:val="00F627EB"/>
    <w:rsid w:val="00F656CF"/>
    <w:rsid w:val="00F662E2"/>
    <w:rsid w:val="00F67686"/>
    <w:rsid w:val="00F67A11"/>
    <w:rsid w:val="00F73600"/>
    <w:rsid w:val="00F75A10"/>
    <w:rsid w:val="00F77276"/>
    <w:rsid w:val="00F80E05"/>
    <w:rsid w:val="00F820B8"/>
    <w:rsid w:val="00F8360D"/>
    <w:rsid w:val="00F86F4E"/>
    <w:rsid w:val="00F905A7"/>
    <w:rsid w:val="00F922B7"/>
    <w:rsid w:val="00F9381A"/>
    <w:rsid w:val="00F94B88"/>
    <w:rsid w:val="00FA4353"/>
    <w:rsid w:val="00FA601E"/>
    <w:rsid w:val="00FA6F0B"/>
    <w:rsid w:val="00FB3F26"/>
    <w:rsid w:val="00FB4063"/>
    <w:rsid w:val="00FC3213"/>
    <w:rsid w:val="00FC47D8"/>
    <w:rsid w:val="00FC48C6"/>
    <w:rsid w:val="00FD393D"/>
    <w:rsid w:val="00FD7335"/>
    <w:rsid w:val="00FE7A38"/>
    <w:rsid w:val="00FF16BA"/>
    <w:rsid w:val="00FF1A99"/>
    <w:rsid w:val="00FF3E8A"/>
    <w:rsid w:val="00FF47F0"/>
    <w:rsid w:val="00FF4911"/>
    <w:rsid w:val="00FF5E54"/>
    <w:rsid w:val="00FF7AC2"/>
  </w:rsids>
  <w:docVars>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9C6E79E4-7979-4586-A7B3-3E407556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AF"/>
    <w:pPr>
      <w:bidi/>
      <w:jc w:val="left"/>
    </w:pPr>
    <w:rPr>
      <w:rFonts w:asciiTheme="minorHAnsi" w:hAnsiTheme="minorHAnsi" w:cstheme="minorBidi"/>
      <w:sz w:val="22"/>
      <w:szCs w:val="22"/>
    </w:rPr>
  </w:style>
  <w:style w:type="paragraph" w:styleId="Heading1">
    <w:name w:val="heading 1"/>
    <w:basedOn w:val="Normal"/>
    <w:next w:val="Normal"/>
    <w:link w:val="1"/>
    <w:uiPriority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ListParagraph">
    <w:name w:val="List Paragraph"/>
    <w:basedOn w:val="Normal"/>
    <w:uiPriority w:val="34"/>
    <w:qFormat/>
    <w:rsid w:val="004A0CAF"/>
    <w:pPr>
      <w:ind w:left="720"/>
      <w:contextualSpacing/>
    </w:pPr>
  </w:style>
  <w:style w:type="table" w:styleId="TableGrid">
    <w:name w:val="Table Grid"/>
    <w:basedOn w:val="TableNormal"/>
    <w:uiPriority w:val="59"/>
    <w:rsid w:val="004A0CAF"/>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1563B2"/>
    <w:pPr>
      <w:spacing w:after="0"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1563B2"/>
    <w:rPr>
      <w:rFonts w:ascii="Tahoma" w:hAnsi="Tahoma" w:cs="Tahoma"/>
      <w:sz w:val="18"/>
      <w:szCs w:val="18"/>
    </w:rPr>
  </w:style>
  <w:style w:type="character" w:styleId="CommentReference">
    <w:name w:val="annotation reference"/>
    <w:basedOn w:val="DefaultParagraphFont"/>
    <w:uiPriority w:val="99"/>
    <w:semiHidden/>
    <w:unhideWhenUsed/>
    <w:rsid w:val="002C0637"/>
    <w:rPr>
      <w:sz w:val="16"/>
      <w:szCs w:val="16"/>
    </w:rPr>
  </w:style>
  <w:style w:type="paragraph" w:styleId="CommentText">
    <w:name w:val="annotation text"/>
    <w:basedOn w:val="Normal"/>
    <w:link w:val="a6"/>
    <w:uiPriority w:val="99"/>
    <w:unhideWhenUsed/>
    <w:rsid w:val="002C0637"/>
    <w:pPr>
      <w:spacing w:line="240" w:lineRule="auto"/>
    </w:pPr>
    <w:rPr>
      <w:sz w:val="20"/>
      <w:szCs w:val="20"/>
    </w:rPr>
  </w:style>
  <w:style w:type="character" w:customStyle="1" w:styleId="a6">
    <w:name w:val="טקסט הערה תו"/>
    <w:basedOn w:val="DefaultParagraphFont"/>
    <w:link w:val="CommentText"/>
    <w:uiPriority w:val="99"/>
    <w:rsid w:val="002C0637"/>
    <w:rPr>
      <w:rFonts w:asciiTheme="minorHAnsi" w:hAnsiTheme="minorHAnsi" w:cstheme="minorBidi"/>
      <w:szCs w:val="20"/>
    </w:rPr>
  </w:style>
  <w:style w:type="paragraph" w:styleId="CommentSubject">
    <w:name w:val="annotation subject"/>
    <w:basedOn w:val="CommentText"/>
    <w:next w:val="CommentText"/>
    <w:link w:val="a7"/>
    <w:uiPriority w:val="99"/>
    <w:semiHidden/>
    <w:unhideWhenUsed/>
    <w:rsid w:val="002C0637"/>
    <w:rPr>
      <w:b/>
      <w:bCs/>
    </w:rPr>
  </w:style>
  <w:style w:type="character" w:customStyle="1" w:styleId="a7">
    <w:name w:val="נושא הערה תו"/>
    <w:basedOn w:val="a6"/>
    <w:link w:val="CommentSubject"/>
    <w:uiPriority w:val="99"/>
    <w:semiHidden/>
    <w:rsid w:val="002C0637"/>
    <w:rPr>
      <w:rFonts w:asciiTheme="minorHAnsi" w:hAnsiTheme="minorHAnsi" w:cstheme="minorBidi"/>
      <w:b/>
      <w:bCs/>
      <w:szCs w:val="20"/>
    </w:rPr>
  </w:style>
  <w:style w:type="paragraph" w:styleId="Revision">
    <w:name w:val="Revision"/>
    <w:hidden/>
    <w:uiPriority w:val="99"/>
    <w:semiHidden/>
    <w:rsid w:val="00233ECF"/>
    <w:pPr>
      <w:spacing w:after="0" w:line="240" w:lineRule="auto"/>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styles" Target="styles.xml"/><Relationship Id="rId8" Type="http://schemas.openxmlformats.org/officeDocument/2006/relationships/image" Target="media/image4.jpeg"/><Relationship Id="rId3" Type="http://schemas.openxmlformats.org/officeDocument/2006/relationships/fontTable" Target="fontTable.xml"/><Relationship Id="rId21" Type="http://schemas.openxmlformats.org/officeDocument/2006/relationships/customXml" Target="../customXml/item4.xml"/><Relationship Id="rId12" Type="http://schemas.openxmlformats.org/officeDocument/2006/relationships/image" Target="media/image8.jpeg"/><Relationship Id="rId17" Type="http://schemas.openxmlformats.org/officeDocument/2006/relationships/numbering" Target="numbering.xml"/><Relationship Id="rId7" Type="http://schemas.openxmlformats.org/officeDocument/2006/relationships/image" Target="media/image3.jpeg"/><Relationship Id="rId16" Type="http://schemas.openxmlformats.org/officeDocument/2006/relationships/theme" Target="theme/theme1.xml"/><Relationship Id="rId2" Type="http://schemas.openxmlformats.org/officeDocument/2006/relationships/webSettings" Target="webSettings.xml"/><Relationship Id="rId20"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image" Target="media/image7.jpeg"/><Relationship Id="rId6" Type="http://schemas.openxmlformats.org/officeDocument/2006/relationships/image" Target="media/image2.jpeg"/><Relationship Id="rId15"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image" Target="media/image6.jpeg"/><Relationship Id="rId19" Type="http://schemas.openxmlformats.org/officeDocument/2006/relationships/customXml" Target="../customXml/item2.xml"/><Relationship Id="rId14" Type="http://schemas.openxmlformats.org/officeDocument/2006/relationships/footer" Target="footer1.xml"/><Relationship Id="rId4" Type="http://schemas.openxmlformats.org/officeDocument/2006/relationships/customXml" Target="../customXml/item1.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9.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ערכת נושא Office">
  <a:themeElements>
    <a:clrScheme name="שלט">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97E1E6-83F6-4EB3-AF57-48B0B40B8DB6}">
  <ds:schemaRefs>
    <ds:schemaRef ds:uri="http://schemas.openxmlformats.org/officeDocument/2006/bibliography"/>
  </ds:schemaRefs>
</ds:datastoreItem>
</file>

<file path=customXml/itemProps2.xml><?xml version="1.0" encoding="utf-8"?>
<ds:datastoreItem xmlns:ds="http://schemas.openxmlformats.org/officeDocument/2006/customXml" ds:itemID="{74D14F4E-5E5C-4DE0-9467-358B07C80A9E}"/>
</file>

<file path=customXml/itemProps3.xml><?xml version="1.0" encoding="utf-8"?>
<ds:datastoreItem xmlns:ds="http://schemas.openxmlformats.org/officeDocument/2006/customXml" ds:itemID="{2EB54BD6-6C3F-49A4-A939-87F10B86BAAF}"/>
</file>

<file path=customXml/itemProps4.xml><?xml version="1.0" encoding="utf-8"?>
<ds:datastoreItem xmlns:ds="http://schemas.openxmlformats.org/officeDocument/2006/customXml" ds:itemID="{2A1C1471-4B08-4412-B713-189EE3DCD0D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