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493A4F" w:rsidRPr="00493A4F" w:rsidP="00493A4F">
      <w:pPr>
        <w:jc w:val="center"/>
        <w:rPr>
          <w:rFonts w:eastAsiaTheme="majorEastAsia"/>
          <w:bCs/>
          <w:szCs w:val="36"/>
          <w:u w:val="single"/>
        </w:rPr>
      </w:pPr>
      <w:r w:rsidRPr="00493A4F">
        <w:rPr>
          <w:rFonts w:eastAsiaTheme="majorEastAsia" w:hint="cs"/>
          <w:bCs/>
          <w:szCs w:val="36"/>
          <w:u w:val="single"/>
          <w:rtl/>
        </w:rPr>
        <w:t>מוכנות ללחימה בחזית תחת איום חומרי לחימה כימיים</w:t>
      </w:r>
    </w:p>
    <w:p w:rsidR="00493A4F" w:rsidP="00493A4F">
      <w:pPr>
        <w:rPr>
          <w:rtl/>
        </w:rPr>
      </w:pPr>
    </w:p>
    <w:p w:rsidR="00493A4F" w:rsidP="00493A4F">
      <w:pPr>
        <w:rPr>
          <w:rtl/>
        </w:rPr>
      </w:pPr>
    </w:p>
    <w:p w:rsidR="00696E87" w:rsidRPr="00055E0C" w:rsidP="00DA7B52">
      <w:pPr>
        <w:pStyle w:val="Heading3"/>
        <w:rPr>
          <w:rFonts w:eastAsia="Times New Roman"/>
        </w:rPr>
      </w:pPr>
      <w:r w:rsidRPr="00055E0C">
        <w:rPr>
          <w:rFonts w:eastAsia="Times New Roman" w:hint="eastAsia"/>
          <w:rtl/>
        </w:rPr>
        <w:t>מבוא</w:t>
      </w:r>
    </w:p>
    <w:p w:rsidR="00696E87" w:rsidRPr="00055E0C" w:rsidP="00696E87">
      <w:pPr>
        <w:rPr>
          <w:rFonts w:eastAsia="Calibri"/>
          <w:rtl/>
        </w:rPr>
      </w:pPr>
    </w:p>
    <w:p w:rsidR="00696E87" w:rsidRPr="00055E0C" w:rsidP="00353D00">
      <w:pPr>
        <w:widowControl w:val="0"/>
        <w:rPr>
          <w:rFonts w:eastAsia="Times New Roman"/>
          <w:sz w:val="24"/>
          <w:rtl/>
          <w:lang w:eastAsia="he-IL"/>
        </w:rPr>
      </w:pPr>
      <w:r w:rsidRPr="00055E0C">
        <w:rPr>
          <w:rFonts w:eastAsia="Times New Roman"/>
          <w:sz w:val="24"/>
          <w:rtl/>
          <w:lang w:eastAsia="he-IL"/>
        </w:rPr>
        <w:t xml:space="preserve">שימוש </w:t>
      </w:r>
      <w:r w:rsidRPr="00055E0C">
        <w:rPr>
          <w:rFonts w:eastAsia="Times New Roman" w:hint="cs"/>
          <w:sz w:val="24"/>
          <w:rtl/>
          <w:lang w:eastAsia="he-IL"/>
        </w:rPr>
        <w:t xml:space="preserve">של כוחות האויב </w:t>
      </w:r>
      <w:r w:rsidRPr="00055E0C">
        <w:rPr>
          <w:rFonts w:eastAsia="Times New Roman"/>
          <w:sz w:val="24"/>
          <w:rtl/>
          <w:lang w:eastAsia="he-IL"/>
        </w:rPr>
        <w:t>ב</w:t>
      </w:r>
      <w:r w:rsidRPr="00055E0C">
        <w:rPr>
          <w:rFonts w:eastAsia="Times New Roman" w:hint="cs"/>
          <w:sz w:val="24"/>
          <w:rtl/>
          <w:lang w:eastAsia="he-IL"/>
        </w:rPr>
        <w:t>חומרי לחימה</w:t>
      </w:r>
      <w:r w:rsidRPr="00055E0C">
        <w:rPr>
          <w:rFonts w:eastAsia="Times New Roman"/>
          <w:sz w:val="24"/>
          <w:rtl/>
          <w:lang w:eastAsia="he-IL"/>
        </w:rPr>
        <w:t xml:space="preserve"> כימי</w:t>
      </w:r>
      <w:r w:rsidRPr="00055E0C">
        <w:rPr>
          <w:rFonts w:eastAsia="Times New Roman" w:hint="cs"/>
          <w:sz w:val="24"/>
          <w:rtl/>
          <w:lang w:eastAsia="he-IL"/>
        </w:rPr>
        <w:t>ים</w:t>
      </w:r>
      <w:r w:rsidRPr="00055E0C">
        <w:rPr>
          <w:rFonts w:eastAsia="Times New Roman"/>
          <w:sz w:val="24"/>
          <w:rtl/>
          <w:lang w:eastAsia="he-IL"/>
        </w:rPr>
        <w:t xml:space="preserve"> </w:t>
      </w:r>
      <w:r w:rsidRPr="00055E0C">
        <w:rPr>
          <w:rFonts w:eastAsia="Times New Roman" w:hint="cs"/>
          <w:sz w:val="24"/>
          <w:rtl/>
          <w:lang w:eastAsia="he-IL"/>
        </w:rPr>
        <w:t xml:space="preserve">(להלן - חל"ך) במהלך לחימה </w:t>
      </w:r>
      <w:r w:rsidRPr="00055E0C">
        <w:rPr>
          <w:rFonts w:eastAsia="Times New Roman"/>
          <w:sz w:val="24"/>
          <w:rtl/>
          <w:lang w:eastAsia="he-IL"/>
        </w:rPr>
        <w:t>הוא איום</w:t>
      </w:r>
      <w:r>
        <w:rPr>
          <w:rFonts w:ascii="David" w:eastAsia="Times New Roman" w:hAnsi="David"/>
          <w:sz w:val="24"/>
          <w:vertAlign w:val="superscript"/>
          <w:rtl/>
          <w:lang w:eastAsia="he-IL"/>
        </w:rPr>
        <w:footnoteReference w:id="2"/>
      </w:r>
      <w:r w:rsidRPr="00055E0C">
        <w:rPr>
          <w:rFonts w:ascii="David" w:eastAsia="Calibri" w:hAnsi="David"/>
          <w:vertAlign w:val="superscript"/>
          <w:rtl/>
        </w:rPr>
        <w:t xml:space="preserve"> </w:t>
      </w:r>
      <w:r w:rsidRPr="00055E0C">
        <w:rPr>
          <w:rFonts w:eastAsia="Times New Roman" w:hint="cs"/>
          <w:sz w:val="24"/>
          <w:rtl/>
          <w:lang w:eastAsia="he-IL"/>
        </w:rPr>
        <w:t>ה</w:t>
      </w:r>
      <w:r w:rsidRPr="00055E0C">
        <w:rPr>
          <w:rFonts w:eastAsia="Times New Roman"/>
          <w:sz w:val="24"/>
          <w:rtl/>
          <w:lang w:eastAsia="he-IL"/>
        </w:rPr>
        <w:t xml:space="preserve">מוכר </w:t>
      </w:r>
      <w:r w:rsidRPr="00055E0C">
        <w:rPr>
          <w:rFonts w:eastAsia="Times New Roman" w:hint="cs"/>
          <w:sz w:val="24"/>
          <w:rtl/>
          <w:lang w:eastAsia="he-IL"/>
        </w:rPr>
        <w:t>זה</w:t>
      </w:r>
      <w:r w:rsidRPr="00055E0C">
        <w:rPr>
          <w:rFonts w:eastAsia="Times New Roman"/>
          <w:sz w:val="24"/>
          <w:rtl/>
          <w:lang w:eastAsia="he-IL"/>
        </w:rPr>
        <w:t xml:space="preserve"> שנים רבות. לוחמה כימית היא "לוחמה שמשתמשים בה בחומרים כימיים רעילים כדי להמית בני אדם... או להוציא מכלל פעולה את חיילי האויב או את אזרחיו, וכן לנגע שטחים, מבנים וציוד לחימה"</w:t>
      </w:r>
      <w:r>
        <w:rPr>
          <w:rFonts w:ascii="David" w:eastAsia="Times New Roman" w:hAnsi="David"/>
          <w:sz w:val="24"/>
          <w:vertAlign w:val="superscript"/>
          <w:rtl/>
          <w:lang w:eastAsia="he-IL"/>
        </w:rPr>
        <w:footnoteReference w:id="3"/>
      </w:r>
      <w:r w:rsidRPr="00055E0C">
        <w:rPr>
          <w:rFonts w:eastAsia="Times New Roman"/>
          <w:sz w:val="24"/>
          <w:rtl/>
          <w:lang w:eastAsia="he-IL"/>
        </w:rPr>
        <w:t xml:space="preserve">. </w:t>
      </w:r>
      <w:r w:rsidRPr="00055E0C">
        <w:rPr>
          <w:rFonts w:eastAsia="Times New Roman" w:hint="cs"/>
          <w:sz w:val="24"/>
          <w:rtl/>
          <w:lang w:eastAsia="he-IL"/>
        </w:rPr>
        <w:t xml:space="preserve">נזקי לוחמה כימית כוללים, בין היתר, כוויות, פגיעה בעצבים, חנק, גירוי ריריות ומערכת הנשימה, ירידה במצב ההכרה עד אובדן ההכרה ופרכוסים. האיום הכימי מכונה </w:t>
      </w:r>
      <w:r w:rsidRPr="00055E0C">
        <w:rPr>
          <w:rFonts w:eastAsia="Times New Roman"/>
          <w:sz w:val="24"/>
          <w:rtl/>
          <w:lang w:eastAsia="he-IL"/>
        </w:rPr>
        <w:t xml:space="preserve">בצה"ל </w:t>
      </w:r>
      <w:r w:rsidRPr="00055E0C">
        <w:rPr>
          <w:rFonts w:eastAsia="Times New Roman" w:hint="cs"/>
          <w:sz w:val="24"/>
          <w:rtl/>
          <w:lang w:eastAsia="he-IL"/>
        </w:rPr>
        <w:t xml:space="preserve">ב"ך (ביולוגי-כימי), או אב"ך (אטומי-ביולוגי-כימי - בעיקר בספרות המקצועית) </w:t>
      </w:r>
      <w:r w:rsidRPr="00055E0C">
        <w:rPr>
          <w:rFonts w:eastAsia="Times New Roman"/>
          <w:sz w:val="24"/>
          <w:rtl/>
          <w:lang w:eastAsia="he-IL"/>
        </w:rPr>
        <w:t xml:space="preserve">גם כאשר </w:t>
      </w:r>
      <w:r w:rsidRPr="00055E0C">
        <w:rPr>
          <w:rFonts w:eastAsia="Times New Roman" w:hint="cs"/>
          <w:sz w:val="24"/>
          <w:rtl/>
          <w:lang w:eastAsia="he-IL"/>
        </w:rPr>
        <w:t>מדובר רק ב</w:t>
      </w:r>
      <w:r w:rsidRPr="00055E0C">
        <w:rPr>
          <w:rFonts w:eastAsia="Times New Roman"/>
          <w:sz w:val="24"/>
          <w:rtl/>
          <w:lang w:eastAsia="he-IL"/>
        </w:rPr>
        <w:t xml:space="preserve">איום הכימי, שבו עוסק </w:t>
      </w:r>
      <w:r w:rsidRPr="00055E0C">
        <w:rPr>
          <w:rFonts w:eastAsia="Times New Roman" w:hint="cs"/>
          <w:sz w:val="24"/>
          <w:rtl/>
          <w:lang w:eastAsia="he-IL"/>
        </w:rPr>
        <w:t>דוח זה.</w:t>
      </w:r>
    </w:p>
    <w:p w:rsidR="00696E87" w:rsidRPr="00055E0C" w:rsidP="0056494E">
      <w:pPr>
        <w:widowControl w:val="0"/>
        <w:rPr>
          <w:rFonts w:eastAsia="Times New Roman"/>
          <w:sz w:val="24"/>
          <w:lang w:eastAsia="he-IL"/>
        </w:rPr>
      </w:pPr>
      <w:r w:rsidRPr="00055E0C">
        <w:rPr>
          <w:rFonts w:eastAsia="Times New Roman" w:hint="cs"/>
          <w:sz w:val="24"/>
          <w:rtl/>
          <w:lang w:eastAsia="he-IL"/>
        </w:rPr>
        <w:br/>
      </w:r>
      <w:r w:rsidRPr="00055E0C">
        <w:rPr>
          <w:rFonts w:eastAsia="Times New Roman"/>
          <w:sz w:val="24"/>
          <w:rtl/>
          <w:lang w:eastAsia="he-IL"/>
        </w:rPr>
        <w:t xml:space="preserve">ההתמודדות עם האיום הכימי כוללת פעילות במגוון תחומים: (1) איסוף מודיעיני לצורך </w:t>
      </w:r>
      <w:r w:rsidRPr="00055E0C">
        <w:rPr>
          <w:rFonts w:eastAsia="Times New Roman" w:hint="cs"/>
          <w:sz w:val="24"/>
          <w:rtl/>
          <w:lang w:eastAsia="he-IL"/>
        </w:rPr>
        <w:t>גיבוש</w:t>
      </w:r>
      <w:r w:rsidRPr="00055E0C">
        <w:rPr>
          <w:rFonts w:eastAsia="Times New Roman"/>
          <w:sz w:val="24"/>
          <w:rtl/>
          <w:lang w:eastAsia="he-IL"/>
        </w:rPr>
        <w:t xml:space="preserve"> תמונת מצב</w:t>
      </w:r>
      <w:r w:rsidRPr="00055E0C">
        <w:rPr>
          <w:rFonts w:eastAsia="Times New Roman" w:hint="cs"/>
          <w:sz w:val="24"/>
          <w:rtl/>
          <w:lang w:eastAsia="he-IL"/>
        </w:rPr>
        <w:t xml:space="preserve"> של</w:t>
      </w:r>
      <w:r w:rsidRPr="00055E0C">
        <w:rPr>
          <w:rFonts w:eastAsia="Times New Roman"/>
          <w:sz w:val="24"/>
          <w:rtl/>
          <w:lang w:eastAsia="he-IL"/>
        </w:rPr>
        <w:t xml:space="preserve"> האיום והיערכות להתמודדות </w:t>
      </w:r>
      <w:r w:rsidRPr="00055E0C">
        <w:rPr>
          <w:rFonts w:eastAsia="Times New Roman" w:hint="cs"/>
          <w:sz w:val="24"/>
          <w:rtl/>
          <w:lang w:eastAsia="he-IL"/>
        </w:rPr>
        <w:t>עימ</w:t>
      </w:r>
      <w:r w:rsidRPr="00055E0C">
        <w:rPr>
          <w:rFonts w:eastAsia="Times New Roman"/>
          <w:sz w:val="24"/>
          <w:rtl/>
          <w:lang w:eastAsia="he-IL"/>
        </w:rPr>
        <w:t xml:space="preserve">ו; (2) </w:t>
      </w:r>
      <w:r w:rsidRPr="00055E0C">
        <w:rPr>
          <w:rFonts w:eastAsia="Times New Roman" w:hint="cs"/>
          <w:sz w:val="24"/>
          <w:rtl/>
          <w:lang w:eastAsia="he-IL"/>
        </w:rPr>
        <w:t>הצטיידות</w:t>
      </w:r>
      <w:r w:rsidRPr="00055E0C">
        <w:rPr>
          <w:rFonts w:eastAsia="Times New Roman"/>
          <w:sz w:val="24"/>
          <w:rtl/>
          <w:lang w:eastAsia="he-IL"/>
        </w:rPr>
        <w:t xml:space="preserve"> במיגון אישי ו</w:t>
      </w:r>
      <w:r w:rsidRPr="00055E0C">
        <w:rPr>
          <w:rFonts w:eastAsia="Times New Roman" w:hint="cs"/>
          <w:sz w:val="24"/>
          <w:rtl/>
          <w:lang w:eastAsia="he-IL"/>
        </w:rPr>
        <w:t xml:space="preserve">במיגון לרכב קרבי משוריין (להלן - </w:t>
      </w:r>
      <w:r w:rsidRPr="00055E0C">
        <w:rPr>
          <w:rFonts w:eastAsia="Times New Roman"/>
          <w:sz w:val="24"/>
          <w:rtl/>
          <w:lang w:eastAsia="he-IL"/>
        </w:rPr>
        <w:t>רק"ם</w:t>
      </w:r>
      <w:r w:rsidRPr="00055E0C">
        <w:rPr>
          <w:rFonts w:eastAsia="Times New Roman" w:hint="cs"/>
          <w:sz w:val="24"/>
          <w:rtl/>
          <w:lang w:eastAsia="he-IL"/>
        </w:rPr>
        <w:t>)</w:t>
      </w:r>
      <w:r w:rsidRPr="00055E0C">
        <w:rPr>
          <w:rFonts w:eastAsia="Times New Roman"/>
          <w:sz w:val="24"/>
          <w:rtl/>
          <w:lang w:eastAsia="he-IL"/>
        </w:rPr>
        <w:t>; (3) פעולות גילוי</w:t>
      </w:r>
      <w:r w:rsidRPr="00055E0C">
        <w:rPr>
          <w:rFonts w:eastAsia="Times New Roman" w:hint="cs"/>
          <w:sz w:val="24"/>
          <w:rtl/>
          <w:lang w:eastAsia="he-IL"/>
        </w:rPr>
        <w:t>,</w:t>
      </w:r>
      <w:r w:rsidRPr="00055E0C">
        <w:rPr>
          <w:rFonts w:eastAsia="Times New Roman"/>
          <w:sz w:val="24"/>
          <w:rtl/>
          <w:lang w:eastAsia="he-IL"/>
        </w:rPr>
        <w:t xml:space="preserve"> זיהוי וטיהור; (4) טיפול רפואי בנפגעי התקפה כימית</w:t>
      </w:r>
      <w:r w:rsidR="0056494E">
        <w:rPr>
          <w:rFonts w:eastAsia="Times New Roman" w:hint="cs"/>
          <w:sz w:val="24"/>
          <w:rtl/>
          <w:lang w:eastAsia="he-IL"/>
        </w:rPr>
        <w:t>.</w:t>
      </w:r>
      <w:r w:rsidRPr="00055E0C">
        <w:rPr>
          <w:rFonts w:eastAsia="Times New Roman"/>
          <w:sz w:val="24"/>
          <w:rtl/>
          <w:lang w:eastAsia="he-IL"/>
        </w:rPr>
        <w:t xml:space="preserve"> </w:t>
      </w:r>
    </w:p>
    <w:p w:rsidR="00696E87" w:rsidP="00696E87">
      <w:pPr>
        <w:rPr>
          <w:rFonts w:eastAsia="Calibri"/>
          <w:rtl/>
        </w:rPr>
      </w:pPr>
      <w:r w:rsidRPr="00055E0C">
        <w:rPr>
          <w:rFonts w:eastAsia="Calibri" w:hint="cs"/>
          <w:rtl/>
        </w:rPr>
        <w:br/>
        <w:t>ההיערכות להתמודדות עם האיום הכימי מאתגרת לא רק את ישראל אלא גם מדינות אחרות, ובכללן ארה"ב. כבר בדוח ביקורת של משרד מבקר המדינה האמריקאי (</w:t>
      </w:r>
      <w:r w:rsidRPr="00055E0C">
        <w:rPr>
          <w:rFonts w:eastAsia="Calibri" w:hint="cs"/>
        </w:rPr>
        <w:t>GAO</w:t>
      </w:r>
      <w:r w:rsidRPr="00055E0C">
        <w:rPr>
          <w:rFonts w:eastAsia="Calibri" w:hint="cs"/>
          <w:rtl/>
        </w:rPr>
        <w:t xml:space="preserve">) משנת 2000 נכתב כי מזכיר ההגנה של ארה"ב רואה באיום הכימי ובפוטנציאל השימוש בו כנגד ארה"ב וכנגד בעלות בריתה את האתגר הגדול והמורכב ביותר שניצב לפני מחלקת ההגנה של </w:t>
      </w:r>
      <w:r w:rsidRPr="00055E0C">
        <w:rPr>
          <w:rFonts w:eastAsia="Calibri"/>
          <w:rtl/>
        </w:rPr>
        <w:br/>
      </w:r>
      <w:r w:rsidRPr="00055E0C">
        <w:rPr>
          <w:rFonts w:eastAsia="Calibri" w:hint="cs"/>
          <w:rtl/>
        </w:rPr>
        <w:t xml:space="preserve">ארה"ב - </w:t>
      </w:r>
      <w:r w:rsidR="0067340E">
        <w:rPr>
          <w:rFonts w:ascii="David" w:eastAsia="Calibri" w:hAnsi="David"/>
          <w:sz w:val="24"/>
        </w:rPr>
        <w:t xml:space="preserve"> </w:t>
      </w:r>
      <w:r w:rsidRPr="00055E0C">
        <w:rPr>
          <w:rFonts w:ascii="David" w:eastAsia="Calibri" w:hAnsi="David"/>
          <w:sz w:val="24"/>
        </w:rPr>
        <w:t>Department Of Defense</w:t>
      </w:r>
      <w:r w:rsidRPr="00055E0C">
        <w:rPr>
          <w:rFonts w:ascii="David" w:eastAsia="Calibri" w:hAnsi="David"/>
          <w:sz w:val="24"/>
          <w:rtl/>
        </w:rPr>
        <w:t>(</w:t>
      </w:r>
      <w:r w:rsidRPr="00055E0C">
        <w:rPr>
          <w:rFonts w:ascii="David" w:eastAsia="Calibri" w:hAnsi="David"/>
          <w:sz w:val="24"/>
        </w:rPr>
        <w:t>DOD</w:t>
      </w:r>
      <w:r w:rsidRPr="00055E0C">
        <w:rPr>
          <w:rFonts w:ascii="David" w:eastAsia="Calibri" w:hAnsi="David"/>
          <w:sz w:val="24"/>
          <w:rtl/>
        </w:rPr>
        <w:t>);</w:t>
      </w:r>
      <w:r w:rsidRPr="00055E0C">
        <w:rPr>
          <w:rFonts w:ascii="David" w:eastAsia="Calibri" w:hAnsi="David"/>
          <w:rtl/>
        </w:rPr>
        <w:t xml:space="preserve"> </w:t>
      </w:r>
      <w:r w:rsidRPr="00055E0C">
        <w:rPr>
          <w:rFonts w:eastAsia="Calibri" w:hint="cs"/>
          <w:rtl/>
        </w:rPr>
        <w:t>וכי במסגרת עדות של ראש המודיעין לפני הקונגרס בפברואר 2000 הודגשה חומרתו של האיום הכימי</w:t>
      </w:r>
      <w:r>
        <w:rPr>
          <w:rFonts w:ascii="David" w:eastAsia="Calibri" w:hAnsi="David"/>
          <w:vertAlign w:val="superscript"/>
          <w:rtl/>
        </w:rPr>
        <w:footnoteReference w:id="4"/>
      </w:r>
      <w:r w:rsidR="002E79C5">
        <w:rPr>
          <w:rFonts w:eastAsia="Calibri" w:hint="cs"/>
          <w:rtl/>
        </w:rPr>
        <w:t>.</w:t>
      </w:r>
    </w:p>
    <w:p w:rsidR="002E79C5" w:rsidP="00696E87">
      <w:pPr>
        <w:rPr>
          <w:rFonts w:eastAsia="Calibri"/>
          <w:rtl/>
        </w:rPr>
      </w:pPr>
    </w:p>
    <w:p w:rsidR="002E79C5" w:rsidRPr="00055E0C" w:rsidP="002E79C5">
      <w:pPr>
        <w:widowControl w:val="0"/>
        <w:rPr>
          <w:rFonts w:eastAsia="Times New Roman"/>
          <w:sz w:val="24"/>
          <w:lang w:eastAsia="he-IL"/>
        </w:rPr>
      </w:pPr>
      <w:r w:rsidRPr="00055E0C">
        <w:rPr>
          <w:rFonts w:eastAsia="Times New Roman"/>
          <w:sz w:val="24"/>
          <w:rtl/>
          <w:lang w:eastAsia="he-IL"/>
        </w:rPr>
        <w:t>במהלך מלחמת האזרחים בסוריה</w:t>
      </w:r>
      <w:r w:rsidRPr="00055E0C">
        <w:rPr>
          <w:rFonts w:eastAsia="Times New Roman" w:hint="cs"/>
          <w:sz w:val="24"/>
          <w:rtl/>
          <w:lang w:eastAsia="he-IL"/>
        </w:rPr>
        <w:t>,</w:t>
      </w:r>
      <w:r w:rsidRPr="00055E0C">
        <w:rPr>
          <w:rFonts w:eastAsia="Times New Roman"/>
          <w:sz w:val="24"/>
          <w:rtl/>
          <w:lang w:eastAsia="he-IL"/>
        </w:rPr>
        <w:t xml:space="preserve"> שהחלה בשנת 2011, </w:t>
      </w:r>
      <w:r w:rsidRPr="00055E0C">
        <w:rPr>
          <w:rFonts w:eastAsia="Times New Roman" w:hint="cs"/>
          <w:sz w:val="24"/>
          <w:rtl/>
          <w:lang w:eastAsia="he-IL"/>
        </w:rPr>
        <w:t>השתמש</w:t>
      </w:r>
      <w:r w:rsidRPr="00055E0C">
        <w:rPr>
          <w:rFonts w:eastAsia="Times New Roman"/>
          <w:sz w:val="24"/>
          <w:rtl/>
          <w:lang w:eastAsia="he-IL"/>
        </w:rPr>
        <w:t xml:space="preserve"> המשטר הסורי נגד כוחות מורדים ו</w:t>
      </w:r>
      <w:r w:rsidRPr="00055E0C">
        <w:rPr>
          <w:rFonts w:eastAsia="Times New Roman" w:hint="cs"/>
          <w:sz w:val="24"/>
          <w:rtl/>
          <w:lang w:eastAsia="he-IL"/>
        </w:rPr>
        <w:t xml:space="preserve">נגד </w:t>
      </w:r>
      <w:r w:rsidRPr="00055E0C">
        <w:rPr>
          <w:rFonts w:eastAsia="Times New Roman"/>
          <w:sz w:val="24"/>
          <w:rtl/>
          <w:lang w:eastAsia="he-IL"/>
        </w:rPr>
        <w:t>אוכלוסייה</w:t>
      </w:r>
      <w:r>
        <w:rPr>
          <w:rFonts w:eastAsia="Times New Roman" w:hint="cs"/>
          <w:sz w:val="24"/>
          <w:rtl/>
          <w:lang w:eastAsia="he-IL"/>
        </w:rPr>
        <w:t xml:space="preserve"> אזרחית,</w:t>
      </w:r>
      <w:r w:rsidRPr="00055E0C">
        <w:rPr>
          <w:rFonts w:eastAsia="Times New Roman" w:hint="cs"/>
          <w:sz w:val="24"/>
          <w:rtl/>
          <w:lang w:eastAsia="he-IL"/>
        </w:rPr>
        <w:t xml:space="preserve"> </w:t>
      </w:r>
      <w:r>
        <w:rPr>
          <w:rFonts w:eastAsia="Times New Roman" w:hint="cs"/>
          <w:sz w:val="24"/>
          <w:rtl/>
          <w:lang w:eastAsia="he-IL"/>
        </w:rPr>
        <w:t>ב</w:t>
      </w:r>
      <w:r w:rsidRPr="00055E0C">
        <w:rPr>
          <w:rFonts w:eastAsia="Times New Roman"/>
          <w:sz w:val="24"/>
          <w:rtl/>
          <w:lang w:eastAsia="he-IL"/>
        </w:rPr>
        <w:t>חל"ך הגורמים לכוויות כימיות חמורות ו</w:t>
      </w:r>
      <w:r w:rsidRPr="00055E0C">
        <w:rPr>
          <w:rFonts w:eastAsia="Times New Roman" w:hint="cs"/>
          <w:sz w:val="24"/>
          <w:rtl/>
          <w:lang w:eastAsia="he-IL"/>
        </w:rPr>
        <w:t xml:space="preserve">אף </w:t>
      </w:r>
      <w:r w:rsidRPr="00055E0C">
        <w:rPr>
          <w:rFonts w:eastAsia="Times New Roman"/>
          <w:sz w:val="24"/>
          <w:rtl/>
          <w:lang w:eastAsia="he-IL"/>
        </w:rPr>
        <w:t>עלולים לגרום למוות.</w:t>
      </w:r>
    </w:p>
    <w:p w:rsidR="00E7027E" w:rsidP="002E79C5">
      <w:pPr>
        <w:rPr>
          <w:rFonts w:eastAsia="Times New Roman"/>
          <w:sz w:val="24"/>
          <w:rtl/>
          <w:lang w:eastAsia="he-IL"/>
        </w:rPr>
      </w:pPr>
    </w:p>
    <w:p w:rsidR="002E79C5" w:rsidRPr="00055E0C" w:rsidP="002E79C5">
      <w:pPr>
        <w:rPr>
          <w:rFonts w:eastAsia="Calibri"/>
          <w:rtl/>
        </w:rPr>
      </w:pPr>
      <w:r w:rsidRPr="00055E0C">
        <w:rPr>
          <w:rFonts w:eastAsia="Times New Roman" w:hint="cs"/>
          <w:sz w:val="24"/>
          <w:rtl/>
          <w:lang w:eastAsia="he-IL"/>
        </w:rPr>
        <w:t>בעקבות שימוש זה בחל"ך הגיעו ארה"ב ורוסיה בשנת</w:t>
      </w:r>
      <w:r w:rsidRPr="00055E0C">
        <w:rPr>
          <w:rFonts w:eastAsia="Times New Roman"/>
          <w:sz w:val="24"/>
          <w:rtl/>
          <w:lang w:eastAsia="he-IL"/>
        </w:rPr>
        <w:t xml:space="preserve"> 2013 </w:t>
      </w:r>
      <w:r w:rsidRPr="00055E0C">
        <w:rPr>
          <w:rFonts w:eastAsia="Times New Roman" w:hint="cs"/>
          <w:sz w:val="24"/>
          <w:rtl/>
          <w:lang w:eastAsia="he-IL"/>
        </w:rPr>
        <w:t>להסכם לפירוק סוריה מנשק כימי, ובעקבות כך פורקו עד סוף אותה שנה מרבית היכולות הכימיות של סוריה</w:t>
      </w:r>
      <w:r w:rsidRPr="00055E0C">
        <w:rPr>
          <w:rFonts w:eastAsia="Times New Roman"/>
          <w:sz w:val="24"/>
          <w:rtl/>
          <w:lang w:eastAsia="he-IL"/>
        </w:rPr>
        <w:t xml:space="preserve">. </w:t>
      </w:r>
      <w:r w:rsidRPr="00055E0C">
        <w:rPr>
          <w:rFonts w:eastAsia="Times New Roman" w:hint="cs"/>
          <w:sz w:val="24"/>
          <w:rtl/>
          <w:lang w:eastAsia="he-IL"/>
        </w:rPr>
        <w:t>תהליך פירוק הנשק הכימי אמור היה להסתיים עד סוף יוני 2014</w:t>
      </w:r>
      <w:r w:rsidRPr="00055E0C">
        <w:rPr>
          <w:rFonts w:eastAsia="Times New Roman"/>
          <w:sz w:val="24"/>
          <w:rtl/>
          <w:lang w:eastAsia="he-IL"/>
        </w:rPr>
        <w:t>.</w:t>
      </w:r>
    </w:p>
    <w:p w:rsidR="00696E87" w:rsidRPr="00055E0C" w:rsidP="00696E87">
      <w:pPr>
        <w:widowControl w:val="0"/>
        <w:rPr>
          <w:rFonts w:eastAsia="Times New Roman"/>
          <w:sz w:val="24"/>
          <w:rtl/>
          <w:lang w:eastAsia="he-IL"/>
        </w:rPr>
      </w:pPr>
    </w:p>
    <w:p w:rsidR="00696E87" w:rsidRPr="00055E0C" w:rsidP="003F07DD">
      <w:pPr>
        <w:widowControl w:val="0"/>
        <w:rPr>
          <w:rFonts w:eastAsia="Times New Roman"/>
          <w:sz w:val="24"/>
          <w:rtl/>
          <w:lang w:eastAsia="he-IL"/>
        </w:rPr>
      </w:pPr>
      <w:r w:rsidRPr="00055E0C">
        <w:rPr>
          <w:rFonts w:eastAsia="Times New Roman" w:hint="cs"/>
          <w:sz w:val="24"/>
          <w:rtl/>
          <w:lang w:eastAsia="he-IL"/>
        </w:rPr>
        <w:t>בינואר 2014 התכנסה לראשונה ועדה שאותה</w:t>
      </w:r>
      <w:r w:rsidRPr="00055E0C">
        <w:rPr>
          <w:rFonts w:eastAsia="Times New Roman"/>
          <w:sz w:val="24"/>
          <w:rtl/>
          <w:lang w:eastAsia="he-IL"/>
        </w:rPr>
        <w:t xml:space="preserve"> </w:t>
      </w:r>
      <w:r w:rsidRPr="00055E0C">
        <w:rPr>
          <w:rFonts w:eastAsia="Times New Roman" w:hint="cs"/>
          <w:sz w:val="24"/>
          <w:rtl/>
          <w:lang w:eastAsia="he-IL"/>
        </w:rPr>
        <w:t>מינה סגן הרמטכ"ל דאז, בהנחיית הרמטכ"ל ושר הביטחון, על מנת</w:t>
      </w:r>
      <w:r w:rsidRPr="00055E0C">
        <w:rPr>
          <w:rFonts w:eastAsia="Times New Roman"/>
          <w:sz w:val="24"/>
          <w:rtl/>
          <w:lang w:eastAsia="he-IL"/>
        </w:rPr>
        <w:t xml:space="preserve"> לבחון את המענה לאיום הב"ך </w:t>
      </w:r>
      <w:r w:rsidRPr="00055E0C">
        <w:rPr>
          <w:rFonts w:eastAsia="Times New Roman" w:hint="cs"/>
          <w:sz w:val="24"/>
          <w:rtl/>
          <w:lang w:eastAsia="he-IL"/>
        </w:rPr>
        <w:t>בצה"ל נוכח</w:t>
      </w:r>
      <w:r w:rsidRPr="00055E0C" w:rsidR="0075276B">
        <w:rPr>
          <w:rFonts w:eastAsia="Times New Roman" w:hint="cs"/>
          <w:sz w:val="24"/>
          <w:rtl/>
          <w:lang w:eastAsia="he-IL"/>
        </w:rPr>
        <w:t xml:space="preserve"> </w:t>
      </w:r>
      <w:r w:rsidRPr="00055E0C">
        <w:rPr>
          <w:rFonts w:eastAsia="Times New Roman" w:hint="cs"/>
          <w:sz w:val="24"/>
          <w:rtl/>
          <w:lang w:eastAsia="he-IL"/>
        </w:rPr>
        <w:t>איום הייחוס</w:t>
      </w:r>
      <w:r>
        <w:rPr>
          <w:rStyle w:val="FootnoteReference"/>
          <w:rFonts w:eastAsia="Times New Roman"/>
          <w:sz w:val="24"/>
          <w:rtl/>
          <w:lang w:eastAsia="he-IL"/>
        </w:rPr>
        <w:footnoteReference w:id="5"/>
      </w:r>
      <w:r w:rsidRPr="00055E0C">
        <w:rPr>
          <w:rFonts w:eastAsia="Times New Roman"/>
          <w:sz w:val="24"/>
          <w:rtl/>
          <w:lang w:eastAsia="he-IL"/>
        </w:rPr>
        <w:t xml:space="preserve"> </w:t>
      </w:r>
      <w:r w:rsidRPr="00055E0C">
        <w:rPr>
          <w:rFonts w:eastAsia="Times New Roman" w:hint="cs"/>
          <w:sz w:val="24"/>
          <w:rtl/>
          <w:lang w:eastAsia="he-IL"/>
        </w:rPr>
        <w:t>על</w:t>
      </w:r>
      <w:r w:rsidRPr="00055E0C">
        <w:rPr>
          <w:rFonts w:eastAsia="Times New Roman"/>
          <w:sz w:val="24"/>
          <w:rtl/>
          <w:lang w:eastAsia="he-IL"/>
        </w:rPr>
        <w:t xml:space="preserve"> מדינת ישראל </w:t>
      </w:r>
      <w:r w:rsidRPr="00055E0C">
        <w:rPr>
          <w:rFonts w:eastAsia="Times New Roman" w:hint="cs"/>
          <w:sz w:val="24"/>
          <w:rtl/>
          <w:lang w:eastAsia="he-IL"/>
        </w:rPr>
        <w:t>בהקשר זה. בראש הו</w:t>
      </w:r>
      <w:r w:rsidRPr="00055E0C">
        <w:rPr>
          <w:rFonts w:eastAsia="Times New Roman"/>
          <w:sz w:val="24"/>
          <w:rtl/>
          <w:lang w:eastAsia="he-IL"/>
        </w:rPr>
        <w:t xml:space="preserve">ועדה </w:t>
      </w:r>
      <w:r w:rsidRPr="00055E0C">
        <w:rPr>
          <w:rFonts w:eastAsia="Times New Roman" w:hint="cs"/>
          <w:sz w:val="24"/>
          <w:rtl/>
          <w:lang w:eastAsia="he-IL"/>
        </w:rPr>
        <w:t>עמד</w:t>
      </w:r>
      <w:r w:rsidRPr="00055E0C">
        <w:rPr>
          <w:rFonts w:eastAsia="Times New Roman"/>
          <w:sz w:val="24"/>
          <w:rtl/>
          <w:lang w:eastAsia="he-IL"/>
        </w:rPr>
        <w:t xml:space="preserve"> ראש מטה (להלן - רמ"ט) פיקוד העורף</w:t>
      </w:r>
      <w:r w:rsidRPr="00055E0C">
        <w:rPr>
          <w:rFonts w:eastAsia="Times New Roman" w:hint="cs"/>
          <w:sz w:val="24"/>
          <w:rtl/>
          <w:lang w:eastAsia="he-IL"/>
        </w:rPr>
        <w:t xml:space="preserve"> לשעבר,</w:t>
      </w:r>
      <w:r w:rsidRPr="00055E0C">
        <w:rPr>
          <w:rFonts w:eastAsia="Times New Roman"/>
          <w:sz w:val="24"/>
          <w:rtl/>
          <w:lang w:eastAsia="he-IL"/>
        </w:rPr>
        <w:t xml:space="preserve"> </w:t>
      </w:r>
      <w:r w:rsidRPr="00055E0C">
        <w:rPr>
          <w:rFonts w:eastAsia="Times New Roman" w:hint="cs"/>
          <w:sz w:val="24"/>
          <w:rtl/>
          <w:lang w:eastAsia="he-IL"/>
        </w:rPr>
        <w:t>תת-אלוף</w:t>
      </w:r>
      <w:r w:rsidRPr="00055E0C">
        <w:rPr>
          <w:rFonts w:eastAsia="Times New Roman"/>
          <w:sz w:val="24"/>
          <w:rtl/>
          <w:lang w:eastAsia="he-IL"/>
        </w:rPr>
        <w:t xml:space="preserve"> </w:t>
      </w:r>
      <w:r w:rsidRPr="00055E0C">
        <w:rPr>
          <w:rFonts w:eastAsia="Times New Roman" w:hint="cs"/>
          <w:sz w:val="24"/>
          <w:rtl/>
          <w:lang w:eastAsia="he-IL"/>
        </w:rPr>
        <w:t xml:space="preserve">(מילואים) </w:t>
      </w:r>
      <w:r w:rsidRPr="00055E0C">
        <w:rPr>
          <w:rFonts w:eastAsia="Times New Roman"/>
          <w:sz w:val="24"/>
          <w:rtl/>
          <w:lang w:eastAsia="he-IL"/>
        </w:rPr>
        <w:t>צביקי טסלר</w:t>
      </w:r>
      <w:r w:rsidRPr="00055E0C">
        <w:rPr>
          <w:rFonts w:eastAsia="Times New Roman" w:hint="cs"/>
          <w:sz w:val="24"/>
          <w:rtl/>
          <w:lang w:eastAsia="he-IL"/>
        </w:rPr>
        <w:t xml:space="preserve">, ומכאן שמה של הוועדה </w:t>
      </w:r>
      <w:r w:rsidRPr="00055E0C">
        <w:rPr>
          <w:rFonts w:eastAsia="Times New Roman"/>
          <w:sz w:val="24"/>
          <w:rtl/>
          <w:lang w:eastAsia="he-IL"/>
        </w:rPr>
        <w:t>- ועדת טסלר.</w:t>
      </w:r>
    </w:p>
    <w:p w:rsidR="00696E87" w:rsidRPr="00055E0C" w:rsidP="00696E87">
      <w:pPr>
        <w:widowControl w:val="0"/>
        <w:rPr>
          <w:rFonts w:eastAsia="Times New Roman"/>
          <w:sz w:val="24"/>
          <w:rtl/>
          <w:lang w:eastAsia="he-IL"/>
        </w:rPr>
      </w:pPr>
    </w:p>
    <w:p w:rsidR="00696E87" w:rsidRPr="00055E0C" w:rsidP="0075276B">
      <w:pPr>
        <w:widowControl w:val="0"/>
        <w:rPr>
          <w:rFonts w:eastAsia="Times New Roman"/>
          <w:sz w:val="24"/>
          <w:rtl/>
          <w:lang w:eastAsia="he-IL"/>
        </w:rPr>
      </w:pPr>
      <w:r w:rsidRPr="00055E0C">
        <w:rPr>
          <w:rFonts w:eastAsia="Times New Roman" w:hint="cs"/>
          <w:sz w:val="24"/>
          <w:rtl/>
          <w:lang w:eastAsia="he-IL"/>
        </w:rPr>
        <w:t xml:space="preserve">ביוני 2014 הגישה הוועדה דוח מסכם ובו גם המלצות, דוגמת: הצורך בעדכון </w:t>
      </w:r>
      <w:r w:rsidRPr="00055E0C">
        <w:rPr>
          <w:rFonts w:eastAsia="Times New Roman"/>
          <w:sz w:val="24"/>
          <w:rtl/>
          <w:lang w:eastAsia="he-IL"/>
        </w:rPr>
        <w:t xml:space="preserve">איום </w:t>
      </w:r>
      <w:r w:rsidRPr="00055E0C">
        <w:rPr>
          <w:rFonts w:eastAsia="Times New Roman" w:hint="cs"/>
          <w:sz w:val="24"/>
          <w:rtl/>
          <w:lang w:eastAsia="he-IL"/>
        </w:rPr>
        <w:t>ה</w:t>
      </w:r>
      <w:r w:rsidRPr="00055E0C">
        <w:rPr>
          <w:rFonts w:eastAsia="Times New Roman"/>
          <w:sz w:val="24"/>
          <w:rtl/>
          <w:lang w:eastAsia="he-IL"/>
        </w:rPr>
        <w:t>ייחוס</w:t>
      </w:r>
      <w:r w:rsidRPr="00055E0C">
        <w:rPr>
          <w:rFonts w:eastAsia="Times New Roman" w:hint="cs"/>
          <w:sz w:val="24"/>
          <w:rtl/>
          <w:lang w:eastAsia="he-IL"/>
        </w:rPr>
        <w:t xml:space="preserve"> לב"ך </w:t>
      </w:r>
      <w:r w:rsidRPr="00055E0C">
        <w:rPr>
          <w:rFonts w:eastAsia="Times New Roman"/>
          <w:sz w:val="24"/>
          <w:rtl/>
          <w:lang w:eastAsia="he-IL"/>
        </w:rPr>
        <w:t>ו</w:t>
      </w:r>
      <w:r w:rsidRPr="00055E0C">
        <w:rPr>
          <w:rFonts w:eastAsia="Times New Roman" w:hint="cs"/>
          <w:sz w:val="24"/>
          <w:rtl/>
          <w:lang w:eastAsia="he-IL"/>
        </w:rPr>
        <w:t>ה</w:t>
      </w:r>
      <w:r w:rsidRPr="00055E0C">
        <w:rPr>
          <w:rFonts w:eastAsia="Times New Roman"/>
          <w:sz w:val="24"/>
          <w:rtl/>
          <w:lang w:eastAsia="he-IL"/>
        </w:rPr>
        <w:t xml:space="preserve">צורך בגיבוש מענה צה"לי מותאם </w:t>
      </w:r>
      <w:r w:rsidRPr="00055E0C">
        <w:rPr>
          <w:rFonts w:eastAsia="Times New Roman" w:hint="cs"/>
          <w:sz w:val="24"/>
          <w:rtl/>
          <w:lang w:eastAsia="he-IL"/>
        </w:rPr>
        <w:t xml:space="preserve">אליו. הרמטכ"ל אישר את המלצות ועדת טסלר </w:t>
      </w:r>
      <w:r w:rsidRPr="00055E0C">
        <w:rPr>
          <w:rFonts w:eastAsia="Times New Roman"/>
          <w:sz w:val="24"/>
          <w:rtl/>
          <w:lang w:eastAsia="he-IL"/>
        </w:rPr>
        <w:br/>
      </w:r>
      <w:r w:rsidRPr="00055E0C">
        <w:rPr>
          <w:rFonts w:eastAsia="Times New Roman" w:hint="cs"/>
          <w:sz w:val="24"/>
          <w:rtl/>
          <w:lang w:eastAsia="he-IL"/>
        </w:rPr>
        <w:t xml:space="preserve">בספטמבר 2014, ובדצמבר 2014 הפיץ אגף התכנון (להלן - אג"ת) הנחיות למימוש המלצותיה של הוועדה. </w:t>
      </w:r>
    </w:p>
    <w:p w:rsidR="000933B2" w:rsidP="00E7027E">
      <w:pPr>
        <w:rPr>
          <w:rtl/>
          <w:lang w:eastAsia="he-IL"/>
        </w:rPr>
      </w:pPr>
    </w:p>
    <w:p w:rsidR="00E7027E" w:rsidRPr="00055E0C" w:rsidP="00E7027E">
      <w:pPr>
        <w:rPr>
          <w:rtl/>
          <w:lang w:eastAsia="he-IL"/>
        </w:rPr>
      </w:pPr>
    </w:p>
    <w:p w:rsidR="00696E87" w:rsidRPr="00055E0C" w:rsidP="000D3B2D">
      <w:pPr>
        <w:pStyle w:val="Heading3"/>
        <w:rPr>
          <w:rFonts w:eastAsia="Times New Roman"/>
          <w:rtl/>
          <w:lang w:eastAsia="he-IL"/>
        </w:rPr>
      </w:pPr>
      <w:r w:rsidRPr="00055E0C">
        <w:rPr>
          <w:rFonts w:eastAsia="Times New Roman" w:hint="cs"/>
          <w:rtl/>
          <w:lang w:eastAsia="he-IL"/>
        </w:rPr>
        <w:t>פעולות הביקורת</w:t>
      </w:r>
    </w:p>
    <w:p w:rsidR="00696E87" w:rsidRPr="00055E0C" w:rsidP="00696E87">
      <w:pPr>
        <w:rPr>
          <w:rFonts w:eastAsia="Calibri"/>
          <w:rtl/>
          <w:lang w:eastAsia="he-IL"/>
        </w:rPr>
      </w:pPr>
    </w:p>
    <w:p w:rsidR="00696E87" w:rsidP="002F1B13">
      <w:pPr>
        <w:rPr>
          <w:rFonts w:eastAsia="Calibri"/>
          <w:rtl/>
          <w:lang w:eastAsia="he-IL"/>
        </w:rPr>
      </w:pPr>
      <w:r w:rsidRPr="00055E0C">
        <w:rPr>
          <w:rFonts w:eastAsia="Times New Roman" w:hint="cs"/>
          <w:sz w:val="24"/>
          <w:rtl/>
          <w:lang w:eastAsia="he-IL"/>
        </w:rPr>
        <w:t xml:space="preserve">בתקופה שבין יוני 2019 לפברואר 2020 בדק משרד מבקר המדינה </w:t>
      </w:r>
      <w:r w:rsidRPr="00055E0C">
        <w:rPr>
          <w:rFonts w:eastAsia="Calibri" w:hint="cs"/>
          <w:rtl/>
        </w:rPr>
        <w:t>את מוכנות צה"ל ללחימה בחזית תחת איום חל"ך</w:t>
      </w:r>
      <w:r w:rsidRPr="00055E0C">
        <w:rPr>
          <w:rFonts w:eastAsia="Times New Roman" w:hint="cs"/>
          <w:sz w:val="24"/>
          <w:rtl/>
          <w:lang w:eastAsia="he-IL"/>
        </w:rPr>
        <w:t xml:space="preserve">. נבדקו בעיקר: מוכנות כוחות היבשה; גדודי האב"ך; וניהול משק ציוד הב"ך. הביקורת נערכה בעיקר בצה"ל - בז"י: </w:t>
      </w:r>
      <w:r w:rsidRPr="00055E0C">
        <w:rPr>
          <w:rFonts w:eastAsia="Calibri" w:hint="cs"/>
          <w:rtl/>
        </w:rPr>
        <w:t>במפקדת</w:t>
      </w:r>
      <w:r w:rsidRPr="00055E0C">
        <w:rPr>
          <w:rFonts w:eastAsia="Times New Roman" w:hint="cs"/>
          <w:sz w:val="24"/>
          <w:rtl/>
          <w:lang w:eastAsia="he-IL"/>
        </w:rPr>
        <w:t xml:space="preserve"> קצין הנדסה ראשי (להלן - מקהנ"ר), באגף הטכנולוגיה והלוגיסטיקה (להלן - אט"ל) ובמפקדת קצין רפואה ראשי (להלן - מקרפ"ר); בפיקוד העורף (להלן - פקע"ר);</w:t>
      </w:r>
      <w:r w:rsidR="00DA730C">
        <w:rPr>
          <w:rFonts w:eastAsia="Times New Roman" w:hint="cs"/>
          <w:sz w:val="24"/>
          <w:rtl/>
          <w:lang w:eastAsia="he-IL"/>
        </w:rPr>
        <w:t xml:space="preserve"> </w:t>
      </w:r>
      <w:r w:rsidRPr="005D2FB9" w:rsidR="00DA730C">
        <w:rPr>
          <w:rFonts w:eastAsia="Times New Roman" w:hint="eastAsia"/>
          <w:sz w:val="24"/>
          <w:rtl/>
          <w:lang w:eastAsia="he-IL"/>
        </w:rPr>
        <w:t>באוגדות</w:t>
      </w:r>
      <w:r w:rsidRPr="005D2FB9" w:rsidR="00DA730C">
        <w:rPr>
          <w:rFonts w:eastAsia="Times New Roman"/>
          <w:sz w:val="24"/>
          <w:rtl/>
          <w:lang w:eastAsia="he-IL"/>
        </w:rPr>
        <w:t xml:space="preserve"> </w:t>
      </w:r>
      <w:r w:rsidRPr="005D2FB9" w:rsidR="00DA730C">
        <w:rPr>
          <w:rFonts w:eastAsia="Times New Roman" w:hint="eastAsia"/>
          <w:sz w:val="24"/>
          <w:rtl/>
          <w:lang w:eastAsia="he-IL"/>
        </w:rPr>
        <w:t>מסוימות</w:t>
      </w:r>
      <w:r w:rsidRPr="005D2FB9">
        <w:rPr>
          <w:rFonts w:eastAsia="Times New Roman"/>
          <w:sz w:val="24"/>
          <w:rtl/>
          <w:lang w:eastAsia="he-IL"/>
        </w:rPr>
        <w:t xml:space="preserve"> בפיקוד הצפון (להלן - פצ"ן)</w:t>
      </w:r>
      <w:r w:rsidRPr="005D2FB9" w:rsidR="0075276B">
        <w:rPr>
          <w:rFonts w:eastAsia="Times New Roman"/>
          <w:sz w:val="24"/>
          <w:rtl/>
          <w:lang w:eastAsia="he-IL"/>
        </w:rPr>
        <w:t xml:space="preserve"> </w:t>
      </w:r>
      <w:r w:rsidRPr="005D2FB9" w:rsidR="00DA730C">
        <w:rPr>
          <w:rFonts w:eastAsia="Times New Roman" w:hint="eastAsia"/>
          <w:sz w:val="24"/>
          <w:rtl/>
          <w:lang w:eastAsia="he-IL"/>
        </w:rPr>
        <w:t>ו</w:t>
      </w:r>
      <w:r w:rsidRPr="005D2FB9">
        <w:rPr>
          <w:rFonts w:eastAsia="Times New Roman" w:hint="eastAsia"/>
          <w:sz w:val="24"/>
          <w:rtl/>
          <w:lang w:eastAsia="he-IL"/>
        </w:rPr>
        <w:t>בפיקוד</w:t>
      </w:r>
      <w:r w:rsidRPr="005D2FB9">
        <w:rPr>
          <w:rFonts w:eastAsia="Times New Roman"/>
          <w:sz w:val="24"/>
          <w:rtl/>
          <w:lang w:eastAsia="he-IL"/>
        </w:rPr>
        <w:t xml:space="preserve"> </w:t>
      </w:r>
      <w:r w:rsidRPr="005D2FB9">
        <w:rPr>
          <w:rFonts w:eastAsia="Times New Roman" w:hint="eastAsia"/>
          <w:sz w:val="24"/>
          <w:rtl/>
          <w:lang w:eastAsia="he-IL"/>
        </w:rPr>
        <w:t>הדרום</w:t>
      </w:r>
      <w:r w:rsidRPr="005D2FB9">
        <w:rPr>
          <w:rFonts w:eastAsia="Times New Roman"/>
          <w:sz w:val="24"/>
          <w:rtl/>
          <w:lang w:eastAsia="he-IL"/>
        </w:rPr>
        <w:t xml:space="preserve"> (להלן - </w:t>
      </w:r>
      <w:r w:rsidRPr="005D2FB9">
        <w:rPr>
          <w:rFonts w:eastAsia="Times New Roman" w:hint="eastAsia"/>
          <w:sz w:val="24"/>
          <w:rtl/>
          <w:lang w:eastAsia="he-IL"/>
        </w:rPr>
        <w:t>פד</w:t>
      </w:r>
      <w:r w:rsidRPr="005D2FB9">
        <w:rPr>
          <w:rFonts w:eastAsia="Times New Roman"/>
          <w:sz w:val="24"/>
          <w:rtl/>
          <w:lang w:eastAsia="he-IL"/>
        </w:rPr>
        <w:t>"ם);</w:t>
      </w:r>
      <w:r w:rsidRPr="00055E0C">
        <w:rPr>
          <w:rFonts w:eastAsia="Times New Roman" w:hint="cs"/>
          <w:sz w:val="24"/>
          <w:rtl/>
          <w:lang w:eastAsia="he-IL"/>
        </w:rPr>
        <w:t xml:space="preserve"> בזרוע האוויר והחלל (להלן - חה"א); באמ"ן; ובאגף המבצעים (להלן - אמ"ץ). במשרד הביטחון; ובמל"ל.</w:t>
      </w:r>
    </w:p>
    <w:p w:rsidR="0093529C" w:rsidP="002F1B13">
      <w:pPr>
        <w:rPr>
          <w:rFonts w:eastAsia="Calibri"/>
          <w:rtl/>
          <w:lang w:eastAsia="he-IL"/>
        </w:rPr>
      </w:pPr>
    </w:p>
    <w:p w:rsidR="0093529C" w:rsidP="0093529C">
      <w:r w:rsidRPr="009B1E17">
        <w:rPr>
          <w:rtl/>
        </w:rPr>
        <w:t>ועדת המשנה של הוועדה לענייני ביקורת המדינה של הכנסת החליטה שלא להניח על שולחן הכנסת ולא לפרסם נתונים מדוח זה, לשם שמירה על ביטחון המדינה, בהתאם לסעיף 17 לחוק מבקר המדינה, התשי"ח-1958 [נוסח משולב]. חיסיון נתונים אלה אינו מונע את הבנת מהות הביקורת.</w:t>
      </w:r>
    </w:p>
    <w:p w:rsidR="00696E87" w:rsidRPr="00055E0C" w:rsidP="000933B2">
      <w:pPr>
        <w:pStyle w:val="Heading2"/>
        <w:rPr>
          <w:rtl/>
        </w:rPr>
      </w:pPr>
      <w:r w:rsidRPr="00055E0C">
        <w:rPr>
          <w:rFonts w:hint="cs"/>
          <w:rtl/>
        </w:rPr>
        <w:t>מוכנות וכשירות של כוחות היבשה ללחימה תחת איום כימי</w:t>
      </w:r>
    </w:p>
    <w:p w:rsidR="00696E87" w:rsidRPr="00055E0C" w:rsidP="00696E87">
      <w:pPr>
        <w:rPr>
          <w:rFonts w:eastAsia="Calibri"/>
          <w:rtl/>
        </w:rPr>
      </w:pPr>
    </w:p>
    <w:p w:rsidR="00696E87" w:rsidRPr="00055E0C" w:rsidP="00696E87">
      <w:pPr>
        <w:rPr>
          <w:rFonts w:eastAsia="Calibri"/>
          <w:rtl/>
        </w:rPr>
      </w:pPr>
      <w:r w:rsidRPr="00055E0C">
        <w:rPr>
          <w:rFonts w:eastAsia="Calibri" w:hint="cs"/>
          <w:rtl/>
        </w:rPr>
        <w:t>מוכנות היא "יכולת של כוחות ושל יחידות לעמוד בהישגים נדרשים כדי למלא משימות שלשמן אומנו, או להיערך לפעולה בלא עיכובים. יכולת זו כוללת גם הפעלת מערכות נשק וציוד"</w:t>
      </w:r>
      <w:r>
        <w:rPr>
          <w:rFonts w:eastAsia="Calibri" w:cs="Times New Roman"/>
          <w:vertAlign w:val="superscript"/>
          <w:rtl/>
        </w:rPr>
        <w:footnoteReference w:id="6"/>
      </w:r>
      <w:r w:rsidRPr="00055E0C">
        <w:rPr>
          <w:rFonts w:eastAsia="Calibri" w:hint="cs"/>
          <w:rtl/>
        </w:rPr>
        <w:t>. כשירות היא "כושר הדרוש למלא משימה כלשהי או להגשים דבר-מה"</w:t>
      </w:r>
      <w:r>
        <w:rPr>
          <w:rFonts w:eastAsia="Calibri" w:cs="Times New Roman"/>
          <w:vertAlign w:val="superscript"/>
          <w:rtl/>
        </w:rPr>
        <w:footnoteReference w:id="7"/>
      </w:r>
      <w:r w:rsidRPr="00055E0C">
        <w:rPr>
          <w:rFonts w:eastAsia="Calibri" w:hint="cs"/>
          <w:rtl/>
        </w:rPr>
        <w:t>. עקד תורת האימונים של אמ"ץ מגדיר כי "מוכנות נוצרת אחרי הכשירות הרלוונטית ומתבססת עליה, ולכן גם מכילה אותה".</w:t>
      </w:r>
    </w:p>
    <w:p w:rsidR="00696E87" w:rsidRPr="00055E0C" w:rsidP="00696E87">
      <w:pPr>
        <w:rPr>
          <w:rFonts w:eastAsia="Calibri"/>
          <w:rtl/>
        </w:rPr>
      </w:pPr>
      <w:r w:rsidRPr="00055E0C">
        <w:rPr>
          <w:rFonts w:eastAsia="Calibri" w:hint="cs"/>
          <w:rtl/>
        </w:rPr>
        <w:br/>
        <w:t>כוחות צה"ל הלוחמים נדרשים להמשיך בביצוע משימתם המבצעית גם בזמן התקפת אב"ך, על פי העיקרון המנחה של "שרידות והמשך לחימה". היכולת לשרוד מושגת על ידי שימוש נכון ומקצועי ברכיבי המיגון של הכוחות, החל במיגון האישי וכלה במיגון הצוות, והיכולת לבצע את משימותיהם המבצעיות מושגת על ידי המיומנות להילחם תוך</w:t>
      </w:r>
      <w:r w:rsidRPr="00055E0C">
        <w:rPr>
          <w:rFonts w:eastAsia="Calibri"/>
          <w:rtl/>
        </w:rPr>
        <w:t xml:space="preserve"> </w:t>
      </w:r>
      <w:r w:rsidRPr="00055E0C">
        <w:rPr>
          <w:rFonts w:eastAsia="Calibri" w:hint="cs"/>
          <w:rtl/>
        </w:rPr>
        <w:t>כדי</w:t>
      </w:r>
      <w:r w:rsidRPr="00055E0C">
        <w:rPr>
          <w:rFonts w:eastAsia="Calibri"/>
          <w:rtl/>
        </w:rPr>
        <w:t xml:space="preserve"> </w:t>
      </w:r>
      <w:r w:rsidRPr="00055E0C">
        <w:rPr>
          <w:rFonts w:eastAsia="Calibri" w:hint="cs"/>
          <w:rtl/>
        </w:rPr>
        <w:t>שימוש במיגון מחל"ך.</w:t>
      </w:r>
    </w:p>
    <w:p w:rsidR="00696E87" w:rsidRPr="00055E0C" w:rsidP="00696E87">
      <w:pPr>
        <w:rPr>
          <w:rFonts w:eastAsia="Calibri"/>
          <w:rtl/>
        </w:rPr>
      </w:pPr>
    </w:p>
    <w:p w:rsidR="00696E87" w:rsidP="00956282">
      <w:pPr>
        <w:rPr>
          <w:rFonts w:eastAsia="Calibri"/>
          <w:rtl/>
        </w:rPr>
      </w:pPr>
      <w:r w:rsidRPr="00055E0C">
        <w:rPr>
          <w:rFonts w:eastAsia="Calibri" w:hint="cs"/>
          <w:b/>
          <w:bCs/>
          <w:rtl/>
        </w:rPr>
        <w:t>בביקורת על</w:t>
      </w:r>
      <w:r w:rsidRPr="00055E0C" w:rsidR="00E50EB9">
        <w:rPr>
          <w:rFonts w:eastAsia="Calibri" w:hint="cs"/>
          <w:b/>
          <w:bCs/>
          <w:rtl/>
        </w:rPr>
        <w:t>ו</w:t>
      </w:r>
      <w:r w:rsidRPr="00055E0C" w:rsidR="000C23B7">
        <w:rPr>
          <w:rFonts w:eastAsia="Calibri" w:hint="cs"/>
          <w:b/>
          <w:bCs/>
          <w:rtl/>
        </w:rPr>
        <w:t xml:space="preserve"> פערים</w:t>
      </w:r>
      <w:r w:rsidRPr="00055E0C">
        <w:rPr>
          <w:rFonts w:eastAsia="Calibri" w:hint="cs"/>
          <w:b/>
          <w:bCs/>
          <w:rtl/>
        </w:rPr>
        <w:t xml:space="preserve"> </w:t>
      </w:r>
      <w:r w:rsidRPr="00055E0C" w:rsidR="000C23B7">
        <w:rPr>
          <w:rFonts w:eastAsia="Calibri" w:hint="cs"/>
          <w:b/>
          <w:bCs/>
          <w:rtl/>
        </w:rPr>
        <w:t>ב</w:t>
      </w:r>
      <w:r w:rsidRPr="00055E0C">
        <w:rPr>
          <w:rFonts w:eastAsia="Calibri" w:hint="cs"/>
          <w:b/>
          <w:bCs/>
          <w:rtl/>
        </w:rPr>
        <w:t>מוכנות</w:t>
      </w:r>
      <w:r w:rsidRPr="00055E0C" w:rsidR="0075276B">
        <w:rPr>
          <w:rFonts w:eastAsia="Calibri" w:hint="cs"/>
          <w:b/>
          <w:bCs/>
          <w:rtl/>
        </w:rPr>
        <w:t xml:space="preserve"> כוחות היבשה</w:t>
      </w:r>
      <w:r w:rsidRPr="00055E0C">
        <w:rPr>
          <w:rFonts w:eastAsia="Calibri" w:hint="cs"/>
          <w:b/>
          <w:bCs/>
          <w:rtl/>
        </w:rPr>
        <w:t xml:space="preserve"> להתמודד עם האיום הכימי, וכ</w:t>
      </w:r>
      <w:r w:rsidR="00956282">
        <w:rPr>
          <w:rFonts w:eastAsia="Calibri" w:hint="cs"/>
          <w:b/>
          <w:bCs/>
          <w:rtl/>
        </w:rPr>
        <w:t>י</w:t>
      </w:r>
      <w:r w:rsidRPr="00055E0C">
        <w:rPr>
          <w:rFonts w:eastAsia="Calibri" w:hint="cs"/>
          <w:b/>
          <w:bCs/>
          <w:rtl/>
        </w:rPr>
        <w:t xml:space="preserve"> הסוגיה לא טופלה דייה</w:t>
      </w:r>
      <w:r w:rsidRPr="00055E0C" w:rsidR="0075276B">
        <w:rPr>
          <w:rFonts w:eastAsia="Calibri" w:hint="cs"/>
          <w:b/>
          <w:bCs/>
          <w:rtl/>
        </w:rPr>
        <w:t>.</w:t>
      </w:r>
    </w:p>
    <w:p w:rsidR="002B6512" w:rsidP="00956282">
      <w:pPr>
        <w:rPr>
          <w:rFonts w:eastAsia="Calibri"/>
          <w:rtl/>
        </w:rPr>
      </w:pPr>
    </w:p>
    <w:p w:rsidR="002B6512" w:rsidRPr="00055E0C" w:rsidP="00956282">
      <w:pPr>
        <w:rPr>
          <w:rFonts w:eastAsia="Calibri"/>
          <w:rtl/>
        </w:rPr>
      </w:pPr>
      <w:r w:rsidRPr="00055E0C">
        <w:rPr>
          <w:rFonts w:eastAsia="Calibri" w:hint="cs"/>
          <w:rtl/>
        </w:rPr>
        <w:t>אחד מהיבטי המוכנות הוא ביצוע אימונים. הוראת שילוב נושאי אב"ך באימונים והכשרות של פקע"ר מאוקטובר 2016, קובעת את נושאי החובה באימוני ב"ך של כלל יחידות הצבא. גם מפקד ז"י הנחה</w:t>
      </w:r>
      <w:r w:rsidRPr="00055E0C">
        <w:rPr>
          <w:rFonts w:eastAsia="Calibri"/>
          <w:rtl/>
        </w:rPr>
        <w:t xml:space="preserve"> </w:t>
      </w:r>
      <w:r w:rsidRPr="00055E0C">
        <w:rPr>
          <w:rFonts w:eastAsia="Calibri" w:hint="cs"/>
          <w:rtl/>
        </w:rPr>
        <w:t>בנובמבר 2017 את כלל</w:t>
      </w:r>
      <w:r w:rsidRPr="00055E0C">
        <w:rPr>
          <w:rFonts w:eastAsia="Calibri"/>
          <w:rtl/>
        </w:rPr>
        <w:t xml:space="preserve"> יחידות היבשה </w:t>
      </w:r>
      <w:r w:rsidRPr="00055E0C">
        <w:rPr>
          <w:rFonts w:eastAsia="Calibri" w:hint="cs"/>
          <w:rtl/>
        </w:rPr>
        <w:t>בסדיר ובמילואים להתאמן</w:t>
      </w:r>
      <w:r>
        <w:rPr>
          <w:rFonts w:eastAsia="Calibri" w:hint="cs"/>
          <w:rtl/>
        </w:rPr>
        <w:t xml:space="preserve"> לאיום זה.</w:t>
      </w:r>
    </w:p>
    <w:p w:rsidR="00696E87" w:rsidRPr="00055E0C" w:rsidP="00696E87">
      <w:pPr>
        <w:jc w:val="center"/>
        <w:rPr>
          <w:rFonts w:ascii="Arial" w:eastAsia="Calibri" w:hAnsi="Arial" w:cs="Arial"/>
          <w:b/>
          <w:bCs/>
          <w:sz w:val="36"/>
          <w:rtl/>
        </w:rPr>
      </w:pPr>
    </w:p>
    <w:p w:rsidR="00696E87" w:rsidRPr="00055E0C" w:rsidP="00155A35">
      <w:pPr>
        <w:rPr>
          <w:rFonts w:eastAsia="Calibri"/>
          <w:b/>
          <w:bCs/>
          <w:rtl/>
        </w:rPr>
      </w:pPr>
      <w:r w:rsidRPr="00055E0C">
        <w:rPr>
          <w:rFonts w:eastAsia="Calibri" w:hint="cs"/>
          <w:b/>
          <w:bCs/>
          <w:rtl/>
        </w:rPr>
        <w:t xml:space="preserve">נמצאו פערים בשילוב האיום הכימי באימונים בכוחות היבשה, בסדיר ובמילואים. </w:t>
      </w:r>
    </w:p>
    <w:p w:rsidR="00696E87" w:rsidRPr="00055E0C" w:rsidP="00DA117F">
      <w:pPr>
        <w:rPr>
          <w:rFonts w:eastAsia="Calibri"/>
          <w:b/>
          <w:bCs/>
          <w:rtl/>
        </w:rPr>
      </w:pPr>
      <w:r w:rsidRPr="00055E0C">
        <w:rPr>
          <w:rFonts w:eastAsia="Calibri" w:hint="cs"/>
          <w:b/>
          <w:bCs/>
          <w:rtl/>
        </w:rPr>
        <w:br/>
        <w:t>על מפקד ז"י, האחראי לבניין הכוח ביבשה, לוודא כי מבצעים את הנחיותיו ואת ההוראה המקצועית של פקע"ר בנוגע לאימוני כוחות היבשה להתמודדות עם האיום הכימי, וכן כי מתקיימת בקרה על ביצוען. גם על מפקדי הפיקודים המרחביים כמפעילי הכוח לוודא כי היחידות שתחת פיקודם ממלאות את ההוראה וההנחיות האמורות</w:t>
      </w:r>
      <w:r w:rsidR="001C60DB">
        <w:rPr>
          <w:rFonts w:eastAsia="Calibri" w:hint="cs"/>
          <w:b/>
          <w:bCs/>
          <w:rtl/>
        </w:rPr>
        <w:t xml:space="preserve"> ומשלבות תוכני ב"ך באימוניהן</w:t>
      </w:r>
      <w:r w:rsidRPr="00055E0C">
        <w:rPr>
          <w:rFonts w:eastAsia="Calibri" w:hint="cs"/>
          <w:b/>
          <w:bCs/>
          <w:rtl/>
        </w:rPr>
        <w:t>.</w:t>
      </w:r>
    </w:p>
    <w:p w:rsidR="00696E87" w:rsidRPr="00055E0C" w:rsidP="00DA117F">
      <w:pPr>
        <w:rPr>
          <w:rFonts w:eastAsia="Calibri"/>
          <w:b/>
          <w:bCs/>
          <w:rtl/>
        </w:rPr>
      </w:pPr>
      <w:r w:rsidRPr="00055E0C">
        <w:rPr>
          <w:rFonts w:eastAsia="Calibri" w:hint="cs"/>
          <w:rtl/>
        </w:rPr>
        <w:br/>
        <w:t>בתגובה שמסר צה"ל במאי 2020 למשרד מבקר המדינה נכתב כי ז"י - כאחראית לבניין הכוח ביבשה - תבצע בקרה על מימוש הנחיותיה</w:t>
      </w:r>
      <w:r w:rsidRPr="00055E0C">
        <w:rPr>
          <w:rFonts w:eastAsia="Calibri"/>
          <w:rtl/>
        </w:rPr>
        <w:t xml:space="preserve">; </w:t>
      </w:r>
      <w:r w:rsidRPr="00055E0C">
        <w:rPr>
          <w:rFonts w:eastAsia="Calibri" w:hint="cs"/>
          <w:rtl/>
        </w:rPr>
        <w:t>וכי הפיקודים</w:t>
      </w:r>
      <w:r w:rsidRPr="00055E0C">
        <w:rPr>
          <w:rFonts w:eastAsia="Calibri"/>
          <w:rtl/>
        </w:rPr>
        <w:t xml:space="preserve"> </w:t>
      </w:r>
      <w:r w:rsidRPr="00055E0C">
        <w:rPr>
          <w:rFonts w:eastAsia="Calibri" w:hint="cs"/>
          <w:rtl/>
        </w:rPr>
        <w:t>המרחביים</w:t>
      </w:r>
      <w:r w:rsidRPr="00055E0C">
        <w:rPr>
          <w:rFonts w:eastAsia="Calibri"/>
          <w:rtl/>
        </w:rPr>
        <w:t xml:space="preserve"> </w:t>
      </w:r>
      <w:r w:rsidRPr="00055E0C">
        <w:rPr>
          <w:rFonts w:eastAsia="Calibri" w:hint="cs"/>
          <w:rtl/>
        </w:rPr>
        <w:t>יפעלו גם כן לחיזוק הבקרה בנושא כשירות ב"ך באוגדות בהתאם להוראות המקצועיות של ז"י ומקהנ"ר.</w:t>
      </w:r>
    </w:p>
    <w:p w:rsidR="00FF3D0C" w:rsidRPr="00055E0C" w:rsidP="00FF3D0C">
      <w:pPr>
        <w:keepNext/>
        <w:keepLines/>
        <w:spacing w:before="120"/>
        <w:outlineLvl w:val="2"/>
        <w:rPr>
          <w:rFonts w:eastAsia="Times New Roman"/>
          <w:bCs/>
          <w:szCs w:val="28"/>
          <w:u w:val="single"/>
          <w:rtl/>
        </w:rPr>
      </w:pPr>
    </w:p>
    <w:p w:rsidR="00696E87" w:rsidRPr="00055E0C" w:rsidP="00DA7B52">
      <w:pPr>
        <w:pStyle w:val="Heading3"/>
        <w:rPr>
          <w:rFonts w:eastAsia="Times New Roman"/>
          <w:rtl/>
        </w:rPr>
      </w:pPr>
      <w:r w:rsidRPr="00055E0C">
        <w:rPr>
          <w:rFonts w:eastAsia="Times New Roman" w:hint="cs"/>
          <w:rtl/>
        </w:rPr>
        <w:t>מוכנות להתמודדות עם חל"ך בגבולות</w:t>
      </w:r>
    </w:p>
    <w:p w:rsidR="00696E87" w:rsidRPr="00055E0C" w:rsidP="00696E87">
      <w:pPr>
        <w:rPr>
          <w:rFonts w:eastAsia="Calibri"/>
          <w:rtl/>
        </w:rPr>
      </w:pPr>
    </w:p>
    <w:p w:rsidR="00696E87" w:rsidRPr="00055E0C" w:rsidP="00B73C20">
      <w:pPr>
        <w:rPr>
          <w:rFonts w:eastAsia="Calibri"/>
          <w:rtl/>
        </w:rPr>
      </w:pPr>
      <w:r w:rsidRPr="00055E0C">
        <w:rPr>
          <w:rFonts w:eastAsia="Calibri" w:hint="cs"/>
          <w:rtl/>
        </w:rPr>
        <w:t>פקודה של אמ"ץ מגדירה את המענה לאירוע פח"ע (פעילות חבלנית עוינת) משולב חל"ך בגבולות.</w:t>
      </w:r>
    </w:p>
    <w:p w:rsidR="00696E87" w:rsidRPr="00055E0C" w:rsidP="00696E87">
      <w:pPr>
        <w:rPr>
          <w:rFonts w:eastAsia="Times New Roman"/>
          <w:bCs/>
          <w:spacing w:val="40"/>
          <w:rtl/>
        </w:rPr>
      </w:pPr>
    </w:p>
    <w:p w:rsidR="00696E87" w:rsidRPr="00055E0C" w:rsidP="00B73C20">
      <w:pPr>
        <w:pStyle w:val="Heading4"/>
        <w:rPr>
          <w:rFonts w:eastAsia="Times New Roman"/>
          <w:rtl/>
        </w:rPr>
      </w:pPr>
      <w:r w:rsidRPr="00055E0C">
        <w:rPr>
          <w:rFonts w:eastAsia="Times New Roman" w:hint="cs"/>
          <w:rtl/>
        </w:rPr>
        <w:t xml:space="preserve">היקף תחולת </w:t>
      </w:r>
      <w:r w:rsidRPr="00055E0C" w:rsidR="00B73C20">
        <w:rPr>
          <w:rFonts w:eastAsia="Times New Roman" w:hint="cs"/>
          <w:rtl/>
        </w:rPr>
        <w:t>הפקודה</w:t>
      </w:r>
      <w:r w:rsidRPr="00055E0C">
        <w:rPr>
          <w:rFonts w:eastAsia="Times New Roman" w:hint="cs"/>
          <w:rtl/>
        </w:rPr>
        <w:t xml:space="preserve"> </w:t>
      </w:r>
    </w:p>
    <w:p w:rsidR="00696E87" w:rsidRPr="00055E0C" w:rsidP="00696E87">
      <w:pPr>
        <w:rPr>
          <w:rFonts w:eastAsia="Calibri"/>
          <w:rtl/>
        </w:rPr>
      </w:pPr>
    </w:p>
    <w:p w:rsidR="00696E87" w:rsidP="00DF72F2">
      <w:pPr>
        <w:rPr>
          <w:rFonts w:eastAsia="Calibri"/>
          <w:rtl/>
        </w:rPr>
      </w:pPr>
      <w:r w:rsidRPr="00055E0C">
        <w:rPr>
          <w:rFonts w:eastAsia="Calibri" w:hint="cs"/>
          <w:rtl/>
        </w:rPr>
        <w:t>הפקודה עוסקת בכל גבולות המדינה ומחייבת את כל הפיקודים המרחביים והאוגדות המרחביות הכפופות להם, הנדרשות להגן על גזרתן בעת שמתרחש אירוע כאמור.</w:t>
      </w:r>
    </w:p>
    <w:p w:rsidR="00353D00" w:rsidRPr="00055E0C" w:rsidP="00DF72F2">
      <w:pPr>
        <w:rPr>
          <w:rFonts w:eastAsia="Calibri"/>
          <w:rtl/>
        </w:rPr>
      </w:pPr>
    </w:p>
    <w:p w:rsidR="00696E87" w:rsidRPr="00055E0C" w:rsidP="00B73C20">
      <w:pPr>
        <w:rPr>
          <w:rFonts w:eastAsia="Calibri"/>
          <w:rtl/>
        </w:rPr>
      </w:pPr>
      <w:r w:rsidRPr="00055E0C">
        <w:rPr>
          <w:rFonts w:eastAsia="Calibri" w:hint="cs"/>
          <w:b/>
          <w:bCs/>
          <w:rtl/>
        </w:rPr>
        <w:t xml:space="preserve">מנוסח </w:t>
      </w:r>
      <w:r w:rsidRPr="00055E0C" w:rsidR="00B73C20">
        <w:rPr>
          <w:rFonts w:eastAsia="Calibri" w:hint="cs"/>
          <w:b/>
          <w:bCs/>
          <w:rtl/>
        </w:rPr>
        <w:t>ה</w:t>
      </w:r>
      <w:r w:rsidRPr="00055E0C">
        <w:rPr>
          <w:rFonts w:eastAsia="Calibri" w:hint="cs"/>
          <w:b/>
          <w:bCs/>
          <w:rtl/>
        </w:rPr>
        <w:t>פקוד</w:t>
      </w:r>
      <w:r w:rsidRPr="00055E0C" w:rsidR="00B73C20">
        <w:rPr>
          <w:rFonts w:eastAsia="Calibri" w:hint="cs"/>
          <w:b/>
          <w:bCs/>
          <w:rtl/>
        </w:rPr>
        <w:t>ה</w:t>
      </w:r>
      <w:r w:rsidRPr="00055E0C">
        <w:rPr>
          <w:rFonts w:eastAsia="Calibri" w:hint="cs"/>
          <w:b/>
          <w:bCs/>
          <w:rtl/>
        </w:rPr>
        <w:t xml:space="preserve"> עולה כי היא מחייבת את כל הפיקודים המרחביים והאוגדות המרחביות לשמ</w:t>
      </w:r>
      <w:r w:rsidR="00DA7B52">
        <w:rPr>
          <w:rFonts w:eastAsia="Calibri" w:hint="cs"/>
          <w:b/>
          <w:bCs/>
          <w:rtl/>
        </w:rPr>
        <w:t>ור על כשירות מבצעית לאירוע חל"ך</w:t>
      </w:r>
      <w:r w:rsidRPr="00055E0C">
        <w:rPr>
          <w:rFonts w:eastAsia="Calibri" w:hint="cs"/>
          <w:b/>
          <w:bCs/>
          <w:rtl/>
        </w:rPr>
        <w:t xml:space="preserve">. </w:t>
      </w:r>
    </w:p>
    <w:p w:rsidR="00696E87" w:rsidRPr="00055E0C" w:rsidP="00696E87">
      <w:pPr>
        <w:spacing w:line="240" w:lineRule="auto"/>
        <w:ind w:left="-567"/>
        <w:rPr>
          <w:rFonts w:eastAsia="Calibri"/>
          <w:szCs w:val="20"/>
          <w:rtl/>
        </w:rPr>
      </w:pPr>
    </w:p>
    <w:p w:rsidR="00696E87" w:rsidRPr="00055E0C" w:rsidP="00B73C20">
      <w:pPr>
        <w:rPr>
          <w:rFonts w:eastAsia="Calibri"/>
          <w:b/>
          <w:bCs/>
          <w:rtl/>
        </w:rPr>
      </w:pPr>
      <w:r w:rsidRPr="00055E0C">
        <w:rPr>
          <w:rFonts w:eastAsia="Calibri" w:hint="cs"/>
          <w:b/>
          <w:bCs/>
          <w:rtl/>
        </w:rPr>
        <w:t xml:space="preserve">על אמ"ץ לבחון אם וכיצד </w:t>
      </w:r>
      <w:r w:rsidRPr="00055E0C" w:rsidR="00B73C20">
        <w:rPr>
          <w:rFonts w:eastAsia="Calibri" w:hint="cs"/>
          <w:b/>
          <w:bCs/>
          <w:rtl/>
        </w:rPr>
        <w:t>הפקודה</w:t>
      </w:r>
      <w:r w:rsidRPr="00055E0C">
        <w:rPr>
          <w:rFonts w:eastAsia="Calibri" w:hint="cs"/>
          <w:b/>
          <w:bCs/>
          <w:rtl/>
        </w:rPr>
        <w:t xml:space="preserve"> קשורה למצבי הכוננות השונים</w:t>
      </w:r>
      <w:r w:rsidRPr="00055E0C">
        <w:rPr>
          <w:rFonts w:eastAsia="Calibri"/>
          <w:b/>
          <w:bCs/>
          <w:rtl/>
        </w:rPr>
        <w:t>.</w:t>
      </w:r>
      <w:r w:rsidRPr="00055E0C">
        <w:rPr>
          <w:rFonts w:eastAsia="Calibri" w:hint="cs"/>
          <w:b/>
          <w:bCs/>
          <w:rtl/>
        </w:rPr>
        <w:t xml:space="preserve"> נוסף על כך, על אמ"ץ להקפיד לבצע בקרה על אופן מימוש הפקודה.</w:t>
      </w:r>
    </w:p>
    <w:p w:rsidR="00EB1437" w:rsidP="00EB1437">
      <w:pPr>
        <w:rPr>
          <w:rtl/>
        </w:rPr>
      </w:pPr>
    </w:p>
    <w:p w:rsidR="00696E87" w:rsidRPr="00055E0C" w:rsidP="00BB2B0E">
      <w:pPr>
        <w:pStyle w:val="Heading4"/>
        <w:rPr>
          <w:rFonts w:eastAsia="Times New Roman"/>
          <w:rtl/>
        </w:rPr>
      </w:pPr>
      <w:r w:rsidRPr="00055E0C">
        <w:rPr>
          <w:rFonts w:eastAsia="Times New Roman" w:hint="cs"/>
          <w:rtl/>
        </w:rPr>
        <w:t xml:space="preserve">מוכנות ליישום </w:t>
      </w:r>
      <w:r w:rsidRPr="00055E0C" w:rsidR="00BB2B0E">
        <w:rPr>
          <w:rFonts w:eastAsia="Times New Roman" w:hint="cs"/>
          <w:rtl/>
        </w:rPr>
        <w:t>הפקודה</w:t>
      </w:r>
    </w:p>
    <w:p w:rsidR="00696E87" w:rsidRPr="00055E0C" w:rsidP="00696E87">
      <w:pPr>
        <w:rPr>
          <w:rFonts w:eastAsia="Calibri"/>
          <w:rtl/>
        </w:rPr>
      </w:pPr>
    </w:p>
    <w:p w:rsidR="00696E87" w:rsidRPr="00055E0C" w:rsidP="00DF72F2">
      <w:pPr>
        <w:rPr>
          <w:rFonts w:eastAsia="Calibri"/>
          <w:rtl/>
        </w:rPr>
      </w:pPr>
      <w:r w:rsidRPr="00055E0C">
        <w:rPr>
          <w:rFonts w:eastAsia="Calibri" w:hint="cs"/>
          <w:rtl/>
        </w:rPr>
        <w:t xml:space="preserve">משרד מבקר המדינה בדק את מוכנותן של אוגדות מרחביות ליישום </w:t>
      </w:r>
      <w:r w:rsidRPr="00055E0C" w:rsidR="00B73C20">
        <w:rPr>
          <w:rFonts w:eastAsia="Calibri" w:hint="cs"/>
          <w:rtl/>
        </w:rPr>
        <w:t>ה</w:t>
      </w:r>
      <w:r w:rsidRPr="00055E0C">
        <w:rPr>
          <w:rFonts w:eastAsia="Calibri" w:hint="cs"/>
          <w:rtl/>
        </w:rPr>
        <w:t>פקוד</w:t>
      </w:r>
      <w:r w:rsidRPr="00055E0C" w:rsidR="00B73C20">
        <w:rPr>
          <w:rFonts w:eastAsia="Calibri" w:hint="cs"/>
          <w:rtl/>
        </w:rPr>
        <w:t>ה ומצא פערים</w:t>
      </w:r>
      <w:r w:rsidRPr="00055E0C" w:rsidR="0071256A">
        <w:rPr>
          <w:rFonts w:eastAsia="Calibri" w:hint="cs"/>
          <w:rtl/>
        </w:rPr>
        <w:t>.</w:t>
      </w:r>
      <w:r w:rsidRPr="00055E0C">
        <w:rPr>
          <w:rFonts w:eastAsia="Calibri" w:hint="cs"/>
          <w:rtl/>
        </w:rPr>
        <w:t xml:space="preserve"> </w:t>
      </w:r>
    </w:p>
    <w:p w:rsidR="00696E87" w:rsidRPr="00055E0C" w:rsidP="00696E87">
      <w:pPr>
        <w:rPr>
          <w:rFonts w:eastAsia="Calibri"/>
          <w:rtl/>
        </w:rPr>
      </w:pPr>
    </w:p>
    <w:p w:rsidR="00696E87" w:rsidRPr="00055E0C" w:rsidP="00DD285D">
      <w:pPr>
        <w:pStyle w:val="Heading4"/>
        <w:rPr>
          <w:rFonts w:eastAsia="Times New Roman"/>
          <w:rtl/>
        </w:rPr>
      </w:pPr>
      <w:r w:rsidRPr="00055E0C">
        <w:rPr>
          <w:rFonts w:eastAsia="Times New Roman" w:hint="cs"/>
          <w:rtl/>
        </w:rPr>
        <w:t>הבקרה של ז"י על כשירות לפקודה</w:t>
      </w:r>
    </w:p>
    <w:p w:rsidR="00696E87" w:rsidRPr="00055E0C" w:rsidP="00696E87">
      <w:pPr>
        <w:rPr>
          <w:rFonts w:eastAsia="Calibri"/>
          <w:rtl/>
        </w:rPr>
      </w:pPr>
    </w:p>
    <w:p w:rsidR="00696E87" w:rsidRPr="00055E0C" w:rsidP="00B73C20">
      <w:pPr>
        <w:rPr>
          <w:rFonts w:eastAsia="Calibri"/>
          <w:b/>
          <w:bCs/>
          <w:rtl/>
        </w:rPr>
      </w:pPr>
      <w:r w:rsidRPr="00055E0C">
        <w:rPr>
          <w:rFonts w:eastAsia="Calibri" w:hint="cs"/>
          <w:rtl/>
        </w:rPr>
        <w:t>על</w:t>
      </w:r>
      <w:r w:rsidRPr="00055E0C">
        <w:rPr>
          <w:rFonts w:eastAsia="Calibri"/>
          <w:rtl/>
        </w:rPr>
        <w:t xml:space="preserve"> </w:t>
      </w:r>
      <w:r w:rsidRPr="00055E0C">
        <w:rPr>
          <w:rFonts w:eastAsia="Calibri" w:hint="cs"/>
          <w:rtl/>
        </w:rPr>
        <w:t>פי</w:t>
      </w:r>
      <w:r w:rsidRPr="00055E0C">
        <w:rPr>
          <w:rFonts w:eastAsia="Calibri"/>
          <w:rtl/>
        </w:rPr>
        <w:t xml:space="preserve"> </w:t>
      </w:r>
      <w:r w:rsidRPr="00055E0C" w:rsidR="00B73C20">
        <w:rPr>
          <w:rFonts w:eastAsia="Calibri" w:hint="cs"/>
          <w:rtl/>
        </w:rPr>
        <w:t>ה</w:t>
      </w:r>
      <w:r w:rsidRPr="00055E0C">
        <w:rPr>
          <w:rFonts w:eastAsia="Calibri" w:hint="cs"/>
          <w:rtl/>
        </w:rPr>
        <w:t>פקוד</w:t>
      </w:r>
      <w:r w:rsidRPr="00055E0C" w:rsidR="00B73C20">
        <w:rPr>
          <w:rFonts w:eastAsia="Calibri" w:hint="cs"/>
          <w:rtl/>
        </w:rPr>
        <w:t>ה</w:t>
      </w:r>
      <w:r w:rsidRPr="00055E0C">
        <w:rPr>
          <w:rFonts w:eastAsia="Calibri"/>
          <w:rtl/>
        </w:rPr>
        <w:t xml:space="preserve"> </w:t>
      </w:r>
      <w:r w:rsidRPr="00055E0C">
        <w:rPr>
          <w:rFonts w:eastAsia="Calibri" w:hint="cs"/>
          <w:rtl/>
        </w:rPr>
        <w:t>ז</w:t>
      </w:r>
      <w:r w:rsidRPr="00055E0C">
        <w:rPr>
          <w:rFonts w:eastAsia="Calibri"/>
          <w:rtl/>
        </w:rPr>
        <w:t xml:space="preserve">"י </w:t>
      </w:r>
      <w:r w:rsidRPr="00055E0C">
        <w:rPr>
          <w:rFonts w:eastAsia="Calibri" w:hint="cs"/>
          <w:rtl/>
        </w:rPr>
        <w:t>אחראית</w:t>
      </w:r>
      <w:r w:rsidRPr="00055E0C">
        <w:rPr>
          <w:rFonts w:eastAsia="Calibri"/>
          <w:rtl/>
        </w:rPr>
        <w:t xml:space="preserve"> </w:t>
      </w:r>
      <w:r w:rsidRPr="00055E0C">
        <w:rPr>
          <w:rFonts w:eastAsia="Calibri" w:hint="cs"/>
          <w:rtl/>
        </w:rPr>
        <w:t>להטמיע</w:t>
      </w:r>
      <w:r w:rsidRPr="00055E0C">
        <w:rPr>
          <w:rFonts w:eastAsia="Calibri"/>
          <w:rtl/>
        </w:rPr>
        <w:t xml:space="preserve"> </w:t>
      </w:r>
      <w:r w:rsidRPr="00055E0C">
        <w:rPr>
          <w:rFonts w:eastAsia="Calibri" w:hint="cs"/>
          <w:rtl/>
        </w:rPr>
        <w:t>את</w:t>
      </w:r>
      <w:r w:rsidRPr="00055E0C">
        <w:rPr>
          <w:rFonts w:eastAsia="Calibri"/>
          <w:rtl/>
        </w:rPr>
        <w:t xml:space="preserve"> </w:t>
      </w:r>
      <w:r w:rsidRPr="00055E0C">
        <w:rPr>
          <w:rFonts w:eastAsia="Calibri" w:hint="cs"/>
          <w:rtl/>
        </w:rPr>
        <w:t>המוכנות</w:t>
      </w:r>
      <w:r w:rsidRPr="00055E0C">
        <w:rPr>
          <w:rFonts w:eastAsia="Calibri"/>
          <w:rtl/>
        </w:rPr>
        <w:t xml:space="preserve"> </w:t>
      </w:r>
      <w:r w:rsidRPr="00055E0C">
        <w:rPr>
          <w:rFonts w:eastAsia="Calibri" w:hint="cs"/>
          <w:rtl/>
        </w:rPr>
        <w:t>והכשירות</w:t>
      </w:r>
      <w:r w:rsidRPr="00055E0C">
        <w:rPr>
          <w:rFonts w:eastAsia="Calibri"/>
          <w:rtl/>
        </w:rPr>
        <w:t xml:space="preserve"> </w:t>
      </w:r>
      <w:r w:rsidRPr="00055E0C">
        <w:rPr>
          <w:rFonts w:eastAsia="Calibri" w:hint="cs"/>
          <w:rtl/>
        </w:rPr>
        <w:t>של</w:t>
      </w:r>
      <w:r w:rsidRPr="00055E0C">
        <w:rPr>
          <w:rFonts w:eastAsia="Calibri"/>
          <w:rtl/>
        </w:rPr>
        <w:t xml:space="preserve"> </w:t>
      </w:r>
      <w:r w:rsidRPr="00055E0C">
        <w:rPr>
          <w:rFonts w:eastAsia="Calibri" w:hint="cs"/>
          <w:rtl/>
        </w:rPr>
        <w:t>כוחות</w:t>
      </w:r>
      <w:r w:rsidRPr="00055E0C">
        <w:rPr>
          <w:rFonts w:eastAsia="Calibri"/>
          <w:rtl/>
        </w:rPr>
        <w:t xml:space="preserve"> </w:t>
      </w:r>
      <w:r w:rsidRPr="00055E0C">
        <w:rPr>
          <w:rFonts w:eastAsia="Calibri" w:hint="cs"/>
          <w:rtl/>
        </w:rPr>
        <w:t>הבט</w:t>
      </w:r>
      <w:r w:rsidRPr="00055E0C">
        <w:rPr>
          <w:rFonts w:eastAsia="Calibri"/>
          <w:rtl/>
        </w:rPr>
        <w:t xml:space="preserve">"ש </w:t>
      </w:r>
      <w:r w:rsidRPr="00055E0C">
        <w:rPr>
          <w:rFonts w:eastAsia="Calibri" w:hint="cs"/>
          <w:rtl/>
        </w:rPr>
        <w:t>למענה</w:t>
      </w:r>
      <w:r w:rsidRPr="00055E0C">
        <w:rPr>
          <w:rFonts w:eastAsia="Calibri"/>
          <w:rtl/>
        </w:rPr>
        <w:t xml:space="preserve"> </w:t>
      </w:r>
      <w:r w:rsidRPr="00055E0C">
        <w:rPr>
          <w:rFonts w:eastAsia="Calibri" w:hint="cs"/>
          <w:rtl/>
        </w:rPr>
        <w:t>לאירוע</w:t>
      </w:r>
      <w:r w:rsidRPr="00055E0C">
        <w:rPr>
          <w:rFonts w:eastAsia="Calibri"/>
          <w:rtl/>
        </w:rPr>
        <w:t xml:space="preserve"> </w:t>
      </w:r>
      <w:r w:rsidRPr="00055E0C" w:rsidR="00B73C20">
        <w:rPr>
          <w:rFonts w:eastAsia="Calibri" w:hint="cs"/>
          <w:rtl/>
        </w:rPr>
        <w:t>חל"ך</w:t>
      </w:r>
      <w:r w:rsidRPr="00055E0C">
        <w:rPr>
          <w:rFonts w:eastAsia="Calibri"/>
          <w:rtl/>
        </w:rPr>
        <w:t xml:space="preserve"> </w:t>
      </w:r>
      <w:r w:rsidRPr="00055E0C">
        <w:rPr>
          <w:rFonts w:eastAsia="Calibri" w:hint="cs"/>
          <w:rtl/>
        </w:rPr>
        <w:t>ולבצע</w:t>
      </w:r>
      <w:r w:rsidRPr="00055E0C">
        <w:rPr>
          <w:rFonts w:eastAsia="Calibri"/>
          <w:rtl/>
        </w:rPr>
        <w:t xml:space="preserve"> </w:t>
      </w:r>
      <w:r w:rsidRPr="00055E0C">
        <w:rPr>
          <w:rFonts w:eastAsia="Calibri" w:hint="cs"/>
          <w:rtl/>
        </w:rPr>
        <w:t>בקרה</w:t>
      </w:r>
      <w:r w:rsidRPr="00055E0C">
        <w:rPr>
          <w:rFonts w:eastAsia="Calibri"/>
          <w:rtl/>
        </w:rPr>
        <w:t xml:space="preserve"> </w:t>
      </w:r>
      <w:r w:rsidRPr="00055E0C">
        <w:rPr>
          <w:rFonts w:eastAsia="Calibri" w:hint="cs"/>
          <w:rtl/>
        </w:rPr>
        <w:t>על</w:t>
      </w:r>
      <w:r w:rsidRPr="00055E0C">
        <w:rPr>
          <w:rFonts w:eastAsia="Calibri"/>
          <w:rtl/>
        </w:rPr>
        <w:t xml:space="preserve"> </w:t>
      </w:r>
      <w:r w:rsidRPr="00055E0C">
        <w:rPr>
          <w:rFonts w:eastAsia="Calibri" w:hint="cs"/>
          <w:rtl/>
        </w:rPr>
        <w:t>הכשירות</w:t>
      </w:r>
      <w:r w:rsidRPr="00055E0C">
        <w:rPr>
          <w:rFonts w:eastAsia="Calibri"/>
          <w:rtl/>
        </w:rPr>
        <w:t xml:space="preserve"> </w:t>
      </w:r>
      <w:r w:rsidRPr="00055E0C">
        <w:rPr>
          <w:rFonts w:eastAsia="Calibri" w:hint="cs"/>
          <w:rtl/>
        </w:rPr>
        <w:t>המבצעית</w:t>
      </w:r>
      <w:r w:rsidRPr="00055E0C">
        <w:rPr>
          <w:rFonts w:eastAsia="Calibri"/>
          <w:rtl/>
        </w:rPr>
        <w:t xml:space="preserve"> </w:t>
      </w:r>
      <w:r w:rsidRPr="00055E0C">
        <w:rPr>
          <w:rFonts w:eastAsia="Calibri" w:hint="cs"/>
          <w:rtl/>
        </w:rPr>
        <w:t>שלהם.</w:t>
      </w:r>
    </w:p>
    <w:p w:rsidR="00E7027E" w:rsidP="00B73C20">
      <w:pPr>
        <w:rPr>
          <w:rFonts w:eastAsia="Calibri"/>
          <w:b/>
          <w:bCs/>
          <w:rtl/>
        </w:rPr>
      </w:pPr>
    </w:p>
    <w:p w:rsidR="00696E87" w:rsidRPr="00055E0C" w:rsidP="00B73C20">
      <w:pPr>
        <w:rPr>
          <w:rFonts w:eastAsia="Calibri"/>
          <w:b/>
          <w:bCs/>
          <w:rtl/>
        </w:rPr>
      </w:pPr>
      <w:r w:rsidRPr="00055E0C">
        <w:rPr>
          <w:rFonts w:eastAsia="Calibri" w:hint="cs"/>
          <w:b/>
          <w:bCs/>
          <w:rtl/>
        </w:rPr>
        <w:t xml:space="preserve">בביקורת נמצא כי על אף האמור בפקודה, ז"י </w:t>
      </w:r>
      <w:r w:rsidRPr="00055E0C">
        <w:rPr>
          <w:rFonts w:eastAsia="Calibri"/>
          <w:b/>
          <w:bCs/>
          <w:rtl/>
        </w:rPr>
        <w:t xml:space="preserve">לא ביצעה בקרה </w:t>
      </w:r>
      <w:r w:rsidRPr="00055E0C">
        <w:rPr>
          <w:rFonts w:eastAsia="Calibri" w:hint="cs"/>
          <w:b/>
          <w:bCs/>
          <w:rtl/>
        </w:rPr>
        <w:t>על הטמעת הפקודה ו</w:t>
      </w:r>
      <w:r w:rsidRPr="00055E0C">
        <w:rPr>
          <w:rFonts w:eastAsia="Calibri"/>
          <w:b/>
          <w:bCs/>
          <w:rtl/>
        </w:rPr>
        <w:t xml:space="preserve">על הכשירות המבצעית לאירוע </w:t>
      </w:r>
      <w:r w:rsidRPr="00055E0C" w:rsidR="00B73C20">
        <w:rPr>
          <w:rFonts w:eastAsia="Calibri" w:hint="cs"/>
          <w:b/>
          <w:bCs/>
          <w:rtl/>
        </w:rPr>
        <w:t>חל"ך</w:t>
      </w:r>
      <w:r w:rsidRPr="00055E0C">
        <w:rPr>
          <w:rFonts w:eastAsia="Calibri"/>
          <w:b/>
          <w:bCs/>
          <w:rtl/>
        </w:rPr>
        <w:t xml:space="preserve"> של האוגדות המרחביות שנבדקו</w:t>
      </w:r>
      <w:r w:rsidRPr="00055E0C">
        <w:rPr>
          <w:rFonts w:eastAsia="Calibri" w:hint="cs"/>
          <w:b/>
          <w:bCs/>
          <w:rtl/>
        </w:rPr>
        <w:t>.</w:t>
      </w:r>
    </w:p>
    <w:p w:rsidR="00E7027E" w:rsidP="00B73C20">
      <w:pPr>
        <w:rPr>
          <w:rFonts w:eastAsia="Calibri"/>
          <w:b/>
          <w:bCs/>
          <w:rtl/>
        </w:rPr>
      </w:pPr>
    </w:p>
    <w:p w:rsidR="00696E87" w:rsidRPr="00055E0C" w:rsidP="00B73C20">
      <w:pPr>
        <w:rPr>
          <w:rFonts w:eastAsia="Calibri"/>
          <w:b/>
          <w:bCs/>
          <w:rtl/>
        </w:rPr>
      </w:pPr>
      <w:r w:rsidRPr="00055E0C">
        <w:rPr>
          <w:rFonts w:eastAsia="Calibri" w:hint="cs"/>
          <w:b/>
          <w:bCs/>
          <w:rtl/>
        </w:rPr>
        <w:t xml:space="preserve">היערכות להפעלת </w:t>
      </w:r>
      <w:r w:rsidRPr="00055E0C" w:rsidR="00B73C20">
        <w:rPr>
          <w:rFonts w:eastAsia="Calibri" w:hint="cs"/>
          <w:b/>
          <w:bCs/>
          <w:rtl/>
        </w:rPr>
        <w:t>ה</w:t>
      </w:r>
      <w:r w:rsidRPr="00055E0C">
        <w:rPr>
          <w:rFonts w:eastAsia="Calibri" w:hint="cs"/>
          <w:b/>
          <w:bCs/>
          <w:rtl/>
        </w:rPr>
        <w:t>פקוד</w:t>
      </w:r>
      <w:r w:rsidRPr="00055E0C" w:rsidR="00B73C20">
        <w:rPr>
          <w:rFonts w:eastAsia="Calibri" w:hint="cs"/>
          <w:b/>
          <w:bCs/>
          <w:rtl/>
        </w:rPr>
        <w:t>ה</w:t>
      </w:r>
      <w:r w:rsidRPr="00055E0C">
        <w:rPr>
          <w:rFonts w:eastAsia="Calibri" w:hint="cs"/>
          <w:b/>
          <w:bCs/>
          <w:rtl/>
        </w:rPr>
        <w:t xml:space="preserve"> ותרגולה נועדו לשפר את יכולת ההתמודדות עם אירוע פח"ע משולב חל"ך. </w:t>
      </w:r>
    </w:p>
    <w:p w:rsidR="00E7027E" w:rsidP="00B73C20">
      <w:pPr>
        <w:rPr>
          <w:rFonts w:eastAsia="Calibri"/>
          <w:b/>
          <w:bCs/>
          <w:rtl/>
        </w:rPr>
      </w:pPr>
    </w:p>
    <w:p w:rsidR="00696E87" w:rsidRPr="00055E0C" w:rsidP="00B73C20">
      <w:pPr>
        <w:rPr>
          <w:rFonts w:eastAsia="Calibri"/>
          <w:rtl/>
        </w:rPr>
      </w:pPr>
      <w:r w:rsidRPr="00055E0C">
        <w:rPr>
          <w:rFonts w:eastAsia="Calibri" w:hint="cs"/>
          <w:b/>
          <w:bCs/>
          <w:rtl/>
        </w:rPr>
        <w:t xml:space="preserve">על ז"י לבצע בקרה על הכשירות המבצעית של האוגדות להתמודד עם אירוע של חל"ך בגבולות, כפי שמנחה </w:t>
      </w:r>
      <w:r w:rsidRPr="00055E0C" w:rsidR="00B73C20">
        <w:rPr>
          <w:rFonts w:eastAsia="Calibri" w:hint="cs"/>
          <w:b/>
          <w:bCs/>
          <w:rtl/>
        </w:rPr>
        <w:t>הפקודה</w:t>
      </w:r>
      <w:r w:rsidRPr="00055E0C">
        <w:rPr>
          <w:rFonts w:eastAsia="Calibri" w:hint="cs"/>
          <w:b/>
          <w:bCs/>
          <w:rtl/>
        </w:rPr>
        <w:t>, ובין היתר עליה לוודא כי הן מתרגלות את הפקודה. זאת על מנת להיערך באופן המיטבי לאירוע פח"ע משולב חל"ך ולמזער את הנזק הצפוי בגינו.</w:t>
      </w:r>
    </w:p>
    <w:p w:rsidR="00E7027E" w:rsidP="00B73C20">
      <w:pPr>
        <w:rPr>
          <w:rFonts w:eastAsia="Calibri"/>
          <w:rtl/>
        </w:rPr>
      </w:pPr>
    </w:p>
    <w:p w:rsidR="00696E87" w:rsidRPr="00055E0C" w:rsidP="00B73C20">
      <w:pPr>
        <w:rPr>
          <w:rFonts w:eastAsia="Calibri"/>
          <w:rtl/>
        </w:rPr>
      </w:pPr>
      <w:r w:rsidRPr="00055E0C">
        <w:rPr>
          <w:rFonts w:eastAsia="Calibri" w:hint="cs"/>
          <w:rtl/>
        </w:rPr>
        <w:t xml:space="preserve">בתגובה שמסר צה"ל במאי 2020 למשרד מבקר המדינה נכתב כי חטיבת המבצעים תוציא פקודה להבהרת תחולת </w:t>
      </w:r>
      <w:r w:rsidRPr="00055E0C" w:rsidR="00B73C20">
        <w:rPr>
          <w:rFonts w:eastAsia="Calibri" w:hint="cs"/>
          <w:rtl/>
        </w:rPr>
        <w:t>ה</w:t>
      </w:r>
      <w:r w:rsidRPr="00055E0C">
        <w:rPr>
          <w:rFonts w:eastAsia="Calibri" w:hint="cs"/>
          <w:rtl/>
        </w:rPr>
        <w:t>פקוד</w:t>
      </w:r>
      <w:r w:rsidRPr="00055E0C" w:rsidR="00B73C20">
        <w:rPr>
          <w:rFonts w:eastAsia="Calibri" w:hint="cs"/>
          <w:rtl/>
        </w:rPr>
        <w:t>ה</w:t>
      </w:r>
      <w:r w:rsidRPr="00055E0C">
        <w:rPr>
          <w:rFonts w:eastAsia="Calibri" w:hint="cs"/>
          <w:rtl/>
        </w:rPr>
        <w:t xml:space="preserve"> על הפיקודים המרחביים והאוגדות הרלוונטיים, ותפעל לבקרה על מימושה בפועל. עוד מסר צה"ל כי ז"י תבצע בקרה על הכשירות המבצעית של האוגדות כנדרש.</w:t>
      </w:r>
    </w:p>
    <w:p w:rsidR="00696E87" w:rsidRPr="00055E0C" w:rsidP="00E7027E">
      <w:pPr>
        <w:rPr>
          <w:rtl/>
        </w:rPr>
      </w:pPr>
    </w:p>
    <w:p w:rsidR="00696E87" w:rsidRPr="00055E0C" w:rsidP="00696E87">
      <w:pPr>
        <w:jc w:val="center"/>
        <w:rPr>
          <w:rFonts w:ascii="Arial" w:eastAsia="Calibri" w:hAnsi="Arial" w:cs="Arial"/>
          <w:b/>
          <w:bCs/>
          <w:sz w:val="36"/>
          <w:rtl/>
        </w:rPr>
      </w:pPr>
      <w:r w:rsidRPr="00055E0C">
        <w:rPr>
          <w:rFonts w:ascii="MS Gothic" w:eastAsia="MS Gothic" w:hAnsi="MS Gothic" w:cs="MS Gothic" w:hint="eastAsia"/>
          <w:b/>
          <w:bCs/>
          <w:sz w:val="36"/>
          <w:rtl/>
        </w:rPr>
        <w:t>✰</w:t>
      </w:r>
    </w:p>
    <w:p w:rsidR="00E7027E" w:rsidP="00C20BB3">
      <w:pPr>
        <w:rPr>
          <w:rFonts w:eastAsia="Calibri"/>
          <w:b/>
          <w:bCs/>
          <w:rtl/>
        </w:rPr>
      </w:pPr>
    </w:p>
    <w:p w:rsidR="00696E87" w:rsidRPr="00055E0C" w:rsidP="00C20BB3">
      <w:pPr>
        <w:rPr>
          <w:rFonts w:eastAsia="Calibri"/>
          <w:b/>
          <w:bCs/>
          <w:rtl/>
        </w:rPr>
      </w:pPr>
      <w:r w:rsidRPr="00055E0C">
        <w:rPr>
          <w:rFonts w:eastAsia="Calibri" w:hint="cs"/>
          <w:b/>
          <w:bCs/>
          <w:rtl/>
        </w:rPr>
        <w:t>על צה"ל, בהובלת מפקד ז"י, לפעול לשיפור המוכנות של היחידות הלוחמות, במערך הסדיר ובמערך המילואים, להתמודד עם האיום הכימי, במסגרת בט"ש ובעת מלחמה.</w:t>
      </w:r>
    </w:p>
    <w:p w:rsidR="00696E87" w:rsidRPr="00055E0C" w:rsidP="00EB1437">
      <w:pPr>
        <w:pStyle w:val="Heading2"/>
        <w:rPr>
          <w:rFonts w:eastAsia="Times New Roman"/>
          <w:rtl/>
        </w:rPr>
      </w:pPr>
      <w:r w:rsidRPr="00055E0C">
        <w:rPr>
          <w:rFonts w:eastAsia="Times New Roman" w:hint="cs"/>
          <w:rtl/>
        </w:rPr>
        <w:t>גדודי האב"ך</w:t>
      </w:r>
    </w:p>
    <w:p w:rsidR="00696E87" w:rsidRPr="00055E0C" w:rsidP="00696E87">
      <w:pPr>
        <w:rPr>
          <w:rFonts w:eastAsia="Calibri"/>
          <w:rtl/>
        </w:rPr>
      </w:pPr>
    </w:p>
    <w:p w:rsidR="00696E87" w:rsidRPr="00055E0C" w:rsidP="00CA6D37">
      <w:pPr>
        <w:rPr>
          <w:rFonts w:eastAsia="Calibri"/>
          <w:rtl/>
        </w:rPr>
      </w:pPr>
      <w:r w:rsidRPr="00055E0C">
        <w:rPr>
          <w:rFonts w:eastAsia="Calibri" w:hint="cs"/>
          <w:rtl/>
        </w:rPr>
        <w:t xml:space="preserve">גדוד האב"ך נמנה עם גדודי הסיוע הקרבי ביבשה, והוא מרכיב הכרחי וחשוב ביכולת של כוחות היבשה להילחם בתנאי חל"ך. </w:t>
      </w:r>
      <w:r w:rsidRPr="00055E0C">
        <w:rPr>
          <w:rFonts w:eastAsia="Times New Roman" w:hint="cs"/>
          <w:sz w:val="24"/>
          <w:rtl/>
          <w:lang w:eastAsia="he-IL"/>
        </w:rPr>
        <w:t xml:space="preserve"> </w:t>
      </w:r>
    </w:p>
    <w:p w:rsidR="00E7027E" w:rsidP="00BB2B0E">
      <w:pPr>
        <w:rPr>
          <w:rFonts w:eastAsia="Calibri"/>
          <w:b/>
          <w:bCs/>
          <w:rtl/>
        </w:rPr>
      </w:pPr>
    </w:p>
    <w:p w:rsidR="00696E87" w:rsidRPr="00055E0C" w:rsidP="00BB2B0E">
      <w:pPr>
        <w:rPr>
          <w:rFonts w:eastAsia="Calibri"/>
          <w:b/>
          <w:bCs/>
          <w:rtl/>
        </w:rPr>
      </w:pPr>
      <w:r w:rsidRPr="00055E0C">
        <w:rPr>
          <w:rFonts w:eastAsia="Calibri" w:hint="cs"/>
          <w:b/>
          <w:bCs/>
          <w:rtl/>
        </w:rPr>
        <w:t>במועד סיום הביקורת עלה כי טרם נעשו התאמות בגדודי האב"ך לשינויים שחלו</w:t>
      </w:r>
      <w:r w:rsidRPr="00055E0C" w:rsidR="0075276B">
        <w:rPr>
          <w:rFonts w:eastAsia="Calibri" w:hint="cs"/>
          <w:b/>
          <w:bCs/>
          <w:rtl/>
        </w:rPr>
        <w:t xml:space="preserve"> בנושא</w:t>
      </w:r>
      <w:r w:rsidRPr="00055E0C">
        <w:rPr>
          <w:rFonts w:eastAsia="Calibri" w:hint="cs"/>
          <w:b/>
          <w:bCs/>
          <w:rtl/>
        </w:rPr>
        <w:t xml:space="preserve">. </w:t>
      </w:r>
    </w:p>
    <w:p w:rsidR="00E7027E" w:rsidP="00696E87">
      <w:pPr>
        <w:rPr>
          <w:rFonts w:eastAsia="Calibri"/>
          <w:rtl/>
        </w:rPr>
      </w:pPr>
    </w:p>
    <w:p w:rsidR="00696E87" w:rsidRPr="00055E0C" w:rsidP="00696E87">
      <w:pPr>
        <w:rPr>
          <w:rFonts w:eastAsia="Calibri"/>
          <w:b/>
          <w:bCs/>
          <w:rtl/>
        </w:rPr>
      </w:pPr>
      <w:r w:rsidRPr="00055E0C">
        <w:rPr>
          <w:rFonts w:eastAsia="Calibri" w:hint="cs"/>
          <w:rtl/>
        </w:rPr>
        <w:t xml:space="preserve">בתגובה שמסר צה"ל במאי 2020 למשרד מבקר המדינה נכתב כי זרוע היבשה ביצעה עבודת מטה בנושא אך יכולת מימוש המלצותיה תלוית תקציב. </w:t>
      </w:r>
    </w:p>
    <w:p w:rsidR="00696E87" w:rsidRPr="00055E0C" w:rsidP="00696E87">
      <w:pPr>
        <w:rPr>
          <w:rFonts w:eastAsia="Calibri"/>
          <w:b/>
          <w:bCs/>
          <w:rtl/>
        </w:rPr>
      </w:pPr>
    </w:p>
    <w:p w:rsidR="00696E87" w:rsidRPr="00055E0C" w:rsidP="00696E87">
      <w:pPr>
        <w:rPr>
          <w:rFonts w:eastAsia="Calibri"/>
          <w:b/>
          <w:bCs/>
          <w:rtl/>
        </w:rPr>
      </w:pPr>
      <w:r w:rsidRPr="00055E0C">
        <w:rPr>
          <w:rFonts w:eastAsia="Calibri" w:hint="cs"/>
          <w:b/>
          <w:bCs/>
          <w:rtl/>
        </w:rPr>
        <w:t xml:space="preserve">על ז"י לקבוע תוכנית למימוש המלצות עבודת המטה, הכוללת לוחות זמנים ליישומה. </w:t>
      </w:r>
    </w:p>
    <w:p w:rsidR="00D64926" w:rsidRPr="00055E0C" w:rsidP="00696E87">
      <w:pPr>
        <w:keepNext/>
        <w:keepLines/>
        <w:spacing w:before="120"/>
        <w:outlineLvl w:val="2"/>
        <w:rPr>
          <w:rFonts w:eastAsia="Times New Roman"/>
          <w:bCs/>
          <w:szCs w:val="28"/>
          <w:u w:val="single"/>
          <w:rtl/>
        </w:rPr>
      </w:pPr>
    </w:p>
    <w:p w:rsidR="00696E87" w:rsidRPr="00055E0C" w:rsidP="00EB1437">
      <w:pPr>
        <w:pStyle w:val="Heading3"/>
        <w:rPr>
          <w:rFonts w:eastAsia="Times New Roman"/>
          <w:rtl/>
        </w:rPr>
      </w:pPr>
      <w:r w:rsidRPr="00055E0C">
        <w:rPr>
          <w:rFonts w:eastAsia="Times New Roman" w:hint="cs"/>
          <w:rtl/>
        </w:rPr>
        <w:t>מוכנות גדודי האב"ך</w:t>
      </w:r>
    </w:p>
    <w:p w:rsidR="00696E87" w:rsidRPr="00055E0C" w:rsidP="00696E87">
      <w:pPr>
        <w:rPr>
          <w:rFonts w:eastAsia="Calibri"/>
          <w:rtl/>
        </w:rPr>
      </w:pPr>
    </w:p>
    <w:p w:rsidR="00696E87" w:rsidRPr="00055E0C" w:rsidP="00BB2B0E">
      <w:pPr>
        <w:rPr>
          <w:rFonts w:eastAsia="Calibri"/>
          <w:rtl/>
        </w:rPr>
      </w:pPr>
      <w:r w:rsidRPr="00055E0C">
        <w:rPr>
          <w:rFonts w:eastAsia="Calibri" w:hint="cs"/>
          <w:b/>
          <w:bCs/>
          <w:rtl/>
        </w:rPr>
        <w:t xml:space="preserve">בביקורת עלו פערים ביכולת הגדודים לממש את ייעודם. </w:t>
      </w:r>
      <w:r w:rsidRPr="00055E0C">
        <w:rPr>
          <w:rFonts w:eastAsia="Calibri" w:hint="cs"/>
          <w:rtl/>
        </w:rPr>
        <w:t xml:space="preserve">להלן הפרטים: </w:t>
      </w:r>
    </w:p>
    <w:p w:rsidR="00D64926" w:rsidRPr="00055E0C" w:rsidP="00696E87">
      <w:pPr>
        <w:ind w:left="312"/>
        <w:rPr>
          <w:rFonts w:eastAsia="Calibri"/>
          <w:b/>
          <w:bCs/>
          <w:rtl/>
        </w:rPr>
      </w:pPr>
    </w:p>
    <w:p w:rsidR="00696E87" w:rsidRPr="00055E0C" w:rsidP="00DF72F2">
      <w:pPr>
        <w:keepNext/>
        <w:keepLines/>
        <w:numPr>
          <w:ilvl w:val="0"/>
          <w:numId w:val="27"/>
        </w:numPr>
        <w:spacing w:before="120"/>
        <w:ind w:left="312"/>
        <w:outlineLvl w:val="3"/>
        <w:rPr>
          <w:rFonts w:eastAsia="Times New Roman"/>
          <w:bCs/>
          <w:sz w:val="24"/>
          <w:szCs w:val="26"/>
          <w:rtl/>
          <w:lang w:eastAsia="he-IL"/>
        </w:rPr>
      </w:pPr>
      <w:r w:rsidRPr="00055E0C">
        <w:rPr>
          <w:rFonts w:eastAsia="Times New Roman" w:hint="cs"/>
          <w:bCs/>
          <w:szCs w:val="26"/>
          <w:rtl/>
        </w:rPr>
        <w:t xml:space="preserve">מערכת </w:t>
      </w:r>
      <w:r w:rsidRPr="00055E0C" w:rsidR="00DF72F2">
        <w:rPr>
          <w:rFonts w:eastAsia="Times New Roman" w:hint="cs"/>
          <w:bCs/>
          <w:szCs w:val="26"/>
          <w:rtl/>
        </w:rPr>
        <w:t>ייעודית</w:t>
      </w:r>
    </w:p>
    <w:p w:rsidR="00696E87" w:rsidRPr="00055E0C" w:rsidP="00696E87">
      <w:pPr>
        <w:rPr>
          <w:rFonts w:eastAsia="Calibri"/>
          <w:lang w:eastAsia="he-IL"/>
        </w:rPr>
      </w:pPr>
    </w:p>
    <w:p w:rsidR="00696E87" w:rsidRPr="00055E0C" w:rsidP="008A4933">
      <w:pPr>
        <w:widowControl w:val="0"/>
        <w:ind w:left="312"/>
        <w:contextualSpacing/>
        <w:rPr>
          <w:rFonts w:eastAsia="Times New Roman"/>
          <w:b/>
          <w:bCs/>
          <w:sz w:val="24"/>
          <w:rtl/>
          <w:lang w:eastAsia="he-IL"/>
        </w:rPr>
      </w:pPr>
      <w:r w:rsidRPr="00055E0C">
        <w:rPr>
          <w:rFonts w:eastAsia="Times New Roman" w:hint="cs"/>
          <w:sz w:val="24"/>
          <w:rtl/>
          <w:lang w:eastAsia="he-IL"/>
        </w:rPr>
        <w:t xml:space="preserve">אמצעי הטיהור המרכזי של גדודי האב"ך הוא מערכת </w:t>
      </w:r>
      <w:r w:rsidR="00353D00">
        <w:rPr>
          <w:rFonts w:eastAsia="Times New Roman" w:hint="cs"/>
          <w:sz w:val="24"/>
          <w:rtl/>
          <w:lang w:eastAsia="he-IL"/>
        </w:rPr>
        <w:t>ייעודית.</w:t>
      </w:r>
    </w:p>
    <w:p w:rsidR="00E7027E" w:rsidP="00DF72F2">
      <w:pPr>
        <w:ind w:left="312"/>
        <w:rPr>
          <w:rFonts w:eastAsia="Times New Roman"/>
          <w:b/>
          <w:bCs/>
          <w:sz w:val="24"/>
          <w:rtl/>
          <w:lang w:eastAsia="he-IL"/>
        </w:rPr>
      </w:pPr>
    </w:p>
    <w:p w:rsidR="00696E87" w:rsidRPr="00055E0C" w:rsidP="00DF72F2">
      <w:pPr>
        <w:ind w:left="312"/>
        <w:rPr>
          <w:rFonts w:eastAsia="Calibri"/>
          <w:b/>
          <w:bCs/>
          <w:rtl/>
          <w:lang w:eastAsia="he-IL"/>
        </w:rPr>
      </w:pPr>
      <w:r w:rsidRPr="00055E0C">
        <w:rPr>
          <w:rFonts w:eastAsia="Times New Roman" w:hint="cs"/>
          <w:b/>
          <w:bCs/>
          <w:sz w:val="24"/>
          <w:rtl/>
          <w:lang w:eastAsia="he-IL"/>
        </w:rPr>
        <w:t xml:space="preserve">משרד מבקר המדינה מציין לחיוב את צה"ל על שהעלה במידה ניכרת את כשירות </w:t>
      </w:r>
      <w:r w:rsidRPr="00055E0C" w:rsidR="00DF72F2">
        <w:rPr>
          <w:rFonts w:eastAsia="Times New Roman" w:hint="cs"/>
          <w:b/>
          <w:bCs/>
          <w:sz w:val="24"/>
          <w:rtl/>
          <w:lang w:eastAsia="he-IL"/>
        </w:rPr>
        <w:t>ה</w:t>
      </w:r>
      <w:r w:rsidRPr="00055E0C">
        <w:rPr>
          <w:rFonts w:eastAsia="Times New Roman" w:hint="cs"/>
          <w:b/>
          <w:bCs/>
          <w:sz w:val="24"/>
          <w:rtl/>
          <w:lang w:eastAsia="he-IL"/>
        </w:rPr>
        <w:t>מערכות</w:t>
      </w:r>
      <w:r w:rsidRPr="00055E0C" w:rsidR="0075276B">
        <w:rPr>
          <w:rFonts w:eastAsia="Times New Roman" w:hint="cs"/>
          <w:b/>
          <w:bCs/>
          <w:sz w:val="24"/>
          <w:rtl/>
          <w:lang w:eastAsia="he-IL"/>
        </w:rPr>
        <w:t xml:space="preserve"> הייעודיות</w:t>
      </w:r>
      <w:r w:rsidRPr="00055E0C">
        <w:rPr>
          <w:rFonts w:eastAsia="Times New Roman" w:hint="cs"/>
          <w:b/>
          <w:bCs/>
          <w:sz w:val="24"/>
          <w:rtl/>
          <w:lang w:eastAsia="he-IL"/>
        </w:rPr>
        <w:t xml:space="preserve">, וזאת בתוך פרק הזמן הקצר שעבר בין מועד סיום הביקורת למאי 2020. </w:t>
      </w:r>
      <w:r w:rsidRPr="00055E0C">
        <w:rPr>
          <w:rFonts w:eastAsia="Calibri" w:hint="cs"/>
          <w:b/>
          <w:bCs/>
          <w:rtl/>
          <w:lang w:eastAsia="he-IL"/>
        </w:rPr>
        <w:t xml:space="preserve">כשירות מערכות חיונית למוכנות גדודי האב"ך ללחימה ולמענה שעליהם לספק לכוחות המתמרנים בעת התקפת חל"ך. </w:t>
      </w:r>
    </w:p>
    <w:p w:rsidR="00E7027E" w:rsidP="00DF72F2">
      <w:pPr>
        <w:ind w:left="312"/>
        <w:rPr>
          <w:rFonts w:eastAsia="Calibri"/>
          <w:b/>
          <w:bCs/>
          <w:rtl/>
          <w:lang w:eastAsia="he-IL"/>
        </w:rPr>
      </w:pPr>
    </w:p>
    <w:p w:rsidR="00696E87" w:rsidRPr="00055E0C" w:rsidP="00DF72F2">
      <w:pPr>
        <w:ind w:left="312"/>
        <w:rPr>
          <w:rFonts w:eastAsia="Calibri"/>
          <w:b/>
          <w:bCs/>
          <w:rtl/>
          <w:lang w:eastAsia="he-IL"/>
        </w:rPr>
      </w:pPr>
      <w:r w:rsidRPr="00055E0C">
        <w:rPr>
          <w:rFonts w:eastAsia="Calibri" w:hint="cs"/>
          <w:b/>
          <w:bCs/>
          <w:rtl/>
          <w:lang w:eastAsia="he-IL"/>
        </w:rPr>
        <w:t xml:space="preserve">על ז"י - האחראית לבניין הכוח ביבשה, ועל קהנ"ר - האחראי לכל תחום הב"ך ביבשה, להמשיך את מגמת השיפור ולוודא כי </w:t>
      </w:r>
      <w:r w:rsidRPr="00055E0C" w:rsidR="00DF72F2">
        <w:rPr>
          <w:rFonts w:eastAsia="Calibri" w:hint="cs"/>
          <w:b/>
          <w:bCs/>
          <w:rtl/>
          <w:lang w:eastAsia="he-IL"/>
        </w:rPr>
        <w:t>ה</w:t>
      </w:r>
      <w:r w:rsidRPr="00055E0C">
        <w:rPr>
          <w:rFonts w:eastAsia="Calibri" w:hint="cs"/>
          <w:b/>
          <w:bCs/>
          <w:rtl/>
          <w:lang w:eastAsia="he-IL"/>
        </w:rPr>
        <w:t>מערכות עומדות ברמת הכשירות שנקבעה להן למלחמה</w:t>
      </w:r>
      <w:r w:rsidR="00353D00">
        <w:rPr>
          <w:rFonts w:eastAsia="Calibri" w:hint="cs"/>
          <w:b/>
          <w:bCs/>
          <w:rtl/>
          <w:lang w:eastAsia="he-IL"/>
        </w:rPr>
        <w:t>.</w:t>
      </w:r>
    </w:p>
    <w:p w:rsidR="00D64926" w:rsidRPr="00055E0C" w:rsidP="00696E87">
      <w:pPr>
        <w:ind w:left="312"/>
        <w:rPr>
          <w:rFonts w:eastAsia="Calibri"/>
          <w:b/>
          <w:bCs/>
          <w:rtl/>
          <w:lang w:eastAsia="he-IL"/>
        </w:rPr>
      </w:pPr>
    </w:p>
    <w:p w:rsidR="00696E87" w:rsidRPr="00055E0C" w:rsidP="00696E87">
      <w:pPr>
        <w:keepNext/>
        <w:keepLines/>
        <w:numPr>
          <w:ilvl w:val="0"/>
          <w:numId w:val="27"/>
        </w:numPr>
        <w:spacing w:before="120"/>
        <w:ind w:left="312"/>
        <w:outlineLvl w:val="3"/>
        <w:rPr>
          <w:rFonts w:eastAsia="Times New Roman"/>
          <w:bCs/>
          <w:szCs w:val="26"/>
          <w:rtl/>
        </w:rPr>
      </w:pPr>
      <w:r w:rsidRPr="00055E0C">
        <w:rPr>
          <w:rFonts w:eastAsia="Times New Roman" w:hint="cs"/>
          <w:bCs/>
          <w:szCs w:val="26"/>
          <w:rtl/>
        </w:rPr>
        <w:t xml:space="preserve">אימוני גדודי האב"ך </w:t>
      </w:r>
    </w:p>
    <w:p w:rsidR="00696E87" w:rsidRPr="00055E0C" w:rsidP="00696E87">
      <w:pPr>
        <w:rPr>
          <w:rFonts w:eastAsia="Calibri"/>
        </w:rPr>
      </w:pPr>
    </w:p>
    <w:p w:rsidR="00696E87" w:rsidRPr="00055E0C" w:rsidP="008A4933">
      <w:pPr>
        <w:ind w:left="312"/>
        <w:rPr>
          <w:rFonts w:eastAsia="Calibri"/>
          <w:b/>
          <w:bCs/>
          <w:rtl/>
        </w:rPr>
      </w:pPr>
      <w:r w:rsidRPr="00055E0C">
        <w:rPr>
          <w:rFonts w:eastAsia="Calibri" w:hint="cs"/>
          <w:b/>
          <w:bCs/>
          <w:rtl/>
        </w:rPr>
        <w:t>משרד מבקר המדינה מציין כי אי-ביצוע אימונים של גדודי האב"ך בהתאם למדדים שנקבעו, עלול לפגוע הן בתפקודם המקצועי של הגדודים במהלך לחימה והן ביכולת המיצוי של גדודים אלה על ידי כוחות יבשה שיהיו נתונים להתקפת חל"ך.</w:t>
      </w:r>
    </w:p>
    <w:p w:rsidR="00B22EF9" w:rsidP="00B22EF9">
      <w:pPr>
        <w:ind w:left="312"/>
        <w:rPr>
          <w:rFonts w:eastAsia="Calibri"/>
          <w:rtl/>
        </w:rPr>
      </w:pPr>
    </w:p>
    <w:p w:rsidR="00B22EF9" w:rsidRPr="00055E0C" w:rsidP="00B22EF9">
      <w:pPr>
        <w:ind w:left="312"/>
        <w:rPr>
          <w:rFonts w:eastAsia="Calibri"/>
          <w:rtl/>
        </w:rPr>
      </w:pPr>
      <w:r w:rsidRPr="00055E0C">
        <w:rPr>
          <w:rFonts w:eastAsia="Calibri" w:hint="cs"/>
          <w:rtl/>
        </w:rPr>
        <w:t>בתגובה שמסר צה"ל במאי 2020 למשרד מבקר המדינה נכתב כי הנושא מוכר, וכי ייבחן אופן שילוב הב"ך באימוני היבשה.</w:t>
      </w:r>
    </w:p>
    <w:p w:rsidR="00E7027E" w:rsidRPr="00E7027E" w:rsidP="00E7027E">
      <w:pPr>
        <w:jc w:val="left"/>
        <w:rPr>
          <w:rFonts w:eastAsia="Calibri" w:asciiTheme="minorBidi" w:hAnsiTheme="minorBidi"/>
          <w:sz w:val="36"/>
          <w:rtl/>
        </w:rPr>
      </w:pPr>
    </w:p>
    <w:p w:rsidR="00696E87" w:rsidRPr="00055E0C" w:rsidP="00696E87">
      <w:pPr>
        <w:jc w:val="center"/>
        <w:rPr>
          <w:rFonts w:ascii="Arial" w:eastAsia="Calibri" w:hAnsi="Arial" w:cs="Arial"/>
          <w:sz w:val="36"/>
          <w:rtl/>
        </w:rPr>
      </w:pPr>
      <w:r w:rsidRPr="00055E0C">
        <w:rPr>
          <w:rFonts w:ascii="Segoe UI Symbol" w:eastAsia="Calibri" w:hAnsi="Segoe UI Symbol" w:cs="Segoe UI Symbol" w:hint="cs"/>
          <w:sz w:val="36"/>
          <w:rtl/>
        </w:rPr>
        <w:t>✰</w:t>
      </w:r>
    </w:p>
    <w:p w:rsidR="00E7027E" w:rsidP="00BB2B0E">
      <w:pPr>
        <w:rPr>
          <w:rFonts w:eastAsia="Calibri"/>
          <w:b/>
          <w:bCs/>
          <w:rtl/>
          <w:lang w:eastAsia="he-IL"/>
        </w:rPr>
      </w:pPr>
    </w:p>
    <w:p w:rsidR="00696E87" w:rsidRPr="00055E0C" w:rsidP="00BB2B0E">
      <w:pPr>
        <w:rPr>
          <w:rFonts w:eastAsia="Calibri"/>
          <w:b/>
          <w:bCs/>
          <w:rtl/>
          <w:lang w:eastAsia="he-IL"/>
        </w:rPr>
      </w:pPr>
      <w:r w:rsidRPr="00055E0C">
        <w:rPr>
          <w:rFonts w:eastAsia="Calibri" w:hint="cs"/>
          <w:b/>
          <w:bCs/>
          <w:rtl/>
          <w:lang w:eastAsia="he-IL"/>
        </w:rPr>
        <w:t>על ז"י, בהובלת קהנ"ר, לפעול לצמצום הפערים שעלו בפרק זה, על מנת לשפר את מוכנותם של גדודי האב"ך.</w:t>
      </w:r>
    </w:p>
    <w:p w:rsidR="00696E87" w:rsidRPr="00055E0C" w:rsidP="00EB1437">
      <w:pPr>
        <w:pStyle w:val="Heading2"/>
        <w:rPr>
          <w:rFonts w:eastAsia="Times New Roman"/>
          <w:rtl/>
        </w:rPr>
      </w:pPr>
      <w:r w:rsidRPr="00055E0C">
        <w:rPr>
          <w:rFonts w:eastAsia="Times New Roman" w:hint="cs"/>
          <w:rtl/>
        </w:rPr>
        <w:t>ניהול משק ציוד הב"ך</w:t>
      </w:r>
    </w:p>
    <w:p w:rsidR="00696E87" w:rsidRPr="00055E0C" w:rsidP="00696E87">
      <w:pPr>
        <w:rPr>
          <w:rFonts w:eastAsia="Calibri"/>
          <w:rtl/>
        </w:rPr>
      </w:pPr>
    </w:p>
    <w:p w:rsidR="00696E87" w:rsidRPr="00055E0C" w:rsidP="00A94083">
      <w:pPr>
        <w:rPr>
          <w:rFonts w:eastAsia="Calibri"/>
        </w:rPr>
      </w:pPr>
      <w:r w:rsidRPr="00A94083">
        <w:rPr>
          <w:rFonts w:eastAsia="Calibri" w:hint="cs"/>
          <w:rtl/>
        </w:rPr>
        <w:t>האמצעים</w:t>
      </w:r>
      <w:r w:rsidRPr="00A94083">
        <w:rPr>
          <w:rFonts w:eastAsia="Calibri"/>
          <w:rtl/>
        </w:rPr>
        <w:t xml:space="preserve"> העומדים לרשות צה"ל </w:t>
      </w:r>
      <w:r w:rsidRPr="00A94083">
        <w:rPr>
          <w:rFonts w:eastAsia="Calibri" w:hint="cs"/>
          <w:rtl/>
        </w:rPr>
        <w:t>לצורך</w:t>
      </w:r>
      <w:r w:rsidRPr="00A94083">
        <w:rPr>
          <w:rFonts w:eastAsia="Calibri"/>
          <w:rtl/>
        </w:rPr>
        <w:t xml:space="preserve"> התמודדות עם חל"ך (להלן - משק ציוד הב"ך) </w:t>
      </w:r>
      <w:r w:rsidRPr="00A94083">
        <w:rPr>
          <w:rFonts w:eastAsia="Calibri" w:hint="cs"/>
          <w:rtl/>
        </w:rPr>
        <w:t>כוללים</w:t>
      </w:r>
      <w:r w:rsidRPr="00A94083">
        <w:rPr>
          <w:rFonts w:eastAsia="Calibri"/>
          <w:rtl/>
        </w:rPr>
        <w:t xml:space="preserve">: </w:t>
      </w:r>
      <w:r w:rsidRPr="00A94083">
        <w:rPr>
          <w:rFonts w:eastAsia="Calibri" w:hint="cs"/>
          <w:b/>
          <w:bCs/>
          <w:rtl/>
        </w:rPr>
        <w:t>מיגון</w:t>
      </w:r>
      <w:r w:rsidRPr="00A94083">
        <w:rPr>
          <w:rFonts w:eastAsia="Calibri"/>
          <w:b/>
          <w:bCs/>
          <w:rtl/>
        </w:rPr>
        <w:t xml:space="preserve"> </w:t>
      </w:r>
      <w:r w:rsidRPr="00A94083">
        <w:rPr>
          <w:rFonts w:eastAsia="Calibri" w:hint="cs"/>
          <w:b/>
          <w:bCs/>
          <w:rtl/>
        </w:rPr>
        <w:t>אישי</w:t>
      </w:r>
      <w:r w:rsidRPr="00A94083">
        <w:rPr>
          <w:rFonts w:eastAsia="Calibri"/>
          <w:rtl/>
        </w:rPr>
        <w:t xml:space="preserve">; </w:t>
      </w:r>
      <w:r w:rsidRPr="00A94083">
        <w:rPr>
          <w:rFonts w:eastAsia="Calibri" w:hint="cs"/>
          <w:b/>
          <w:bCs/>
          <w:rtl/>
        </w:rPr>
        <w:t>מערכות</w:t>
      </w:r>
      <w:r w:rsidRPr="00A94083">
        <w:rPr>
          <w:rFonts w:eastAsia="Calibri"/>
          <w:b/>
          <w:bCs/>
          <w:rtl/>
        </w:rPr>
        <w:t xml:space="preserve"> </w:t>
      </w:r>
      <w:r w:rsidRPr="00A94083">
        <w:rPr>
          <w:rFonts w:eastAsia="Calibri" w:hint="cs"/>
          <w:b/>
          <w:bCs/>
          <w:rtl/>
        </w:rPr>
        <w:t>מיגון</w:t>
      </w:r>
      <w:r w:rsidRPr="00A94083">
        <w:rPr>
          <w:rFonts w:eastAsia="Calibri"/>
          <w:b/>
          <w:bCs/>
          <w:rtl/>
        </w:rPr>
        <w:t xml:space="preserve"> </w:t>
      </w:r>
      <w:r w:rsidRPr="00A94083">
        <w:rPr>
          <w:rFonts w:eastAsia="Calibri" w:hint="cs"/>
          <w:b/>
          <w:bCs/>
          <w:rtl/>
        </w:rPr>
        <w:t>לרק</w:t>
      </w:r>
      <w:r w:rsidRPr="00A94083">
        <w:rPr>
          <w:rFonts w:eastAsia="Calibri"/>
          <w:b/>
          <w:bCs/>
          <w:rtl/>
        </w:rPr>
        <w:t>"ם</w:t>
      </w:r>
      <w:r w:rsidRPr="00A94083">
        <w:rPr>
          <w:rFonts w:eastAsia="Calibri"/>
          <w:rtl/>
        </w:rPr>
        <w:t xml:space="preserve">; </w:t>
      </w:r>
      <w:r w:rsidRPr="00A94083">
        <w:rPr>
          <w:rFonts w:eastAsia="Calibri" w:hint="cs"/>
          <w:b/>
          <w:bCs/>
          <w:rtl/>
        </w:rPr>
        <w:t>אמצעי</w:t>
      </w:r>
      <w:r w:rsidRPr="00A94083">
        <w:rPr>
          <w:rFonts w:eastAsia="Calibri"/>
          <w:b/>
          <w:bCs/>
          <w:rtl/>
        </w:rPr>
        <w:t xml:space="preserve"> </w:t>
      </w:r>
      <w:r w:rsidRPr="00A94083">
        <w:rPr>
          <w:rFonts w:eastAsia="Calibri" w:hint="cs"/>
          <w:b/>
          <w:bCs/>
          <w:rtl/>
        </w:rPr>
        <w:t>גו</w:t>
      </w:r>
      <w:r w:rsidRPr="00A94083">
        <w:rPr>
          <w:rFonts w:eastAsia="Calibri"/>
          <w:b/>
          <w:bCs/>
          <w:rtl/>
        </w:rPr>
        <w:t>"ז</w:t>
      </w:r>
      <w:r w:rsidRPr="00A94083">
        <w:rPr>
          <w:rFonts w:eastAsia="Calibri"/>
          <w:rtl/>
        </w:rPr>
        <w:t xml:space="preserve">; </w:t>
      </w:r>
      <w:r w:rsidRPr="00A94083">
        <w:rPr>
          <w:rFonts w:eastAsia="Calibri" w:hint="cs"/>
          <w:b/>
          <w:bCs/>
          <w:rtl/>
        </w:rPr>
        <w:t>אמצעי</w:t>
      </w:r>
      <w:r w:rsidRPr="00A94083">
        <w:rPr>
          <w:rFonts w:eastAsia="Calibri"/>
          <w:b/>
          <w:bCs/>
          <w:rtl/>
        </w:rPr>
        <w:t xml:space="preserve"> </w:t>
      </w:r>
      <w:r w:rsidRPr="00A94083">
        <w:rPr>
          <w:rFonts w:eastAsia="Calibri" w:hint="cs"/>
          <w:b/>
          <w:bCs/>
          <w:rtl/>
        </w:rPr>
        <w:t>טיהור</w:t>
      </w:r>
      <w:r w:rsidRPr="00A94083">
        <w:rPr>
          <w:rFonts w:eastAsia="Calibri"/>
          <w:rtl/>
        </w:rPr>
        <w:t xml:space="preserve">; </w:t>
      </w:r>
      <w:r w:rsidRPr="00A94083">
        <w:rPr>
          <w:rFonts w:eastAsia="Calibri" w:hint="cs"/>
          <w:b/>
          <w:bCs/>
          <w:rtl/>
        </w:rPr>
        <w:t>וציוד</w:t>
      </w:r>
      <w:r w:rsidRPr="00A94083">
        <w:rPr>
          <w:rFonts w:eastAsia="Calibri"/>
          <w:b/>
          <w:bCs/>
          <w:rtl/>
        </w:rPr>
        <w:t xml:space="preserve"> </w:t>
      </w:r>
      <w:r w:rsidRPr="00A94083">
        <w:rPr>
          <w:rFonts w:eastAsia="Calibri" w:hint="cs"/>
          <w:b/>
          <w:bCs/>
          <w:rtl/>
        </w:rPr>
        <w:t>רפואי</w:t>
      </w:r>
      <w:r w:rsidRPr="00A94083">
        <w:rPr>
          <w:rFonts w:eastAsia="Calibri"/>
          <w:rtl/>
        </w:rPr>
        <w:t xml:space="preserve"> (צר"פ).</w:t>
      </w:r>
    </w:p>
    <w:p w:rsidR="00AF14B8" w:rsidP="00AF14B8">
      <w:pPr>
        <w:keepNext/>
        <w:keepLines/>
        <w:spacing w:before="120"/>
        <w:outlineLvl w:val="2"/>
        <w:rPr>
          <w:rFonts w:eastAsia="Times New Roman"/>
          <w:bCs/>
          <w:szCs w:val="28"/>
          <w:u w:val="single"/>
          <w:rtl/>
          <w:lang w:eastAsia="he-IL"/>
        </w:rPr>
      </w:pPr>
      <w:r w:rsidRPr="00055E0C">
        <w:rPr>
          <w:rFonts w:eastAsia="Calibri" w:hint="cs"/>
          <w:rtl/>
        </w:rPr>
        <w:t>מרבית פריטי משק ציוד הב"ך עשויים מחומרים שונים (כגון גומי וכימיקלים שונים) המאבדים מיעילותם לאורך זמן, ולכן מוגדר להם אורך חיי מדף. אופי משק זה מחייב תקצוב קבוע כדי לשומרו ולתת מענה שוטף לריענון פריטים פגי-תוקף, בד בבד עם מתן מענה על שינויים בצרכים, ובהתחשב במשך הזמן הנדרש להצטיידות.</w:t>
      </w:r>
    </w:p>
    <w:p w:rsidR="006F2102" w:rsidRPr="00055E0C" w:rsidP="006F2102">
      <w:pPr>
        <w:keepNext/>
        <w:keepLines/>
        <w:spacing w:before="120"/>
        <w:outlineLvl w:val="2"/>
        <w:rPr>
          <w:rFonts w:eastAsia="Times New Roman"/>
          <w:bCs/>
          <w:szCs w:val="28"/>
          <w:u w:val="single"/>
          <w:rtl/>
        </w:rPr>
      </w:pPr>
    </w:p>
    <w:p w:rsidR="00696E87" w:rsidRPr="00055E0C" w:rsidP="00EB1437">
      <w:pPr>
        <w:pStyle w:val="Heading3"/>
        <w:rPr>
          <w:rFonts w:eastAsia="Times New Roman"/>
          <w:rtl/>
          <w:lang w:eastAsia="he-IL"/>
        </w:rPr>
      </w:pPr>
      <w:r w:rsidRPr="00055E0C">
        <w:rPr>
          <w:rFonts w:eastAsia="Times New Roman" w:hint="cs"/>
          <w:rtl/>
          <w:lang w:eastAsia="he-IL"/>
        </w:rPr>
        <w:t>האחריות והסמכות לניהול משק ציוד הב"ך</w:t>
      </w:r>
    </w:p>
    <w:p w:rsidR="00696E87" w:rsidRPr="00055E0C" w:rsidP="00696E87">
      <w:pPr>
        <w:rPr>
          <w:rFonts w:eastAsia="Calibri"/>
          <w:lang w:eastAsia="he-IL"/>
        </w:rPr>
      </w:pPr>
    </w:p>
    <w:p w:rsidR="00696E87" w:rsidRPr="00055E0C" w:rsidP="00696E87">
      <w:pPr>
        <w:rPr>
          <w:rFonts w:eastAsia="Times New Roman"/>
          <w:sz w:val="24"/>
          <w:rtl/>
          <w:lang w:eastAsia="he-IL"/>
        </w:rPr>
      </w:pPr>
      <w:r w:rsidRPr="00055E0C">
        <w:rPr>
          <w:rFonts w:eastAsia="Calibri" w:hint="cs"/>
          <w:rtl/>
        </w:rPr>
        <w:t>בהתאם להחלטת סגן הרמטכ"ל מאוקטובר 2001, מתחילת שנת 2003 מבוזר הניהול השוטף של משק ציוד הב"ך לפקע"ר, לחה"א ולז"י (ז"י מוסמכת גם לעניין יתר הגופים). משמע כי על גופים אלו הוטלו הסמכות והאחריות להגדיר את צורכיהם ואת התקינה, לקבוע את סדר העדיפויות, להקצות משאבים להתעצמות ולשימור של המשק, להגדיר תוכנית רכש ולקבוע סדרי עדיפויות לעניין ניפוק הציוד</w:t>
      </w:r>
      <w:r w:rsidRPr="00055E0C">
        <w:rPr>
          <w:rFonts w:eastAsia="Calibri" w:hint="cs"/>
          <w:rtl/>
          <w:lang w:eastAsia="he-IL"/>
        </w:rPr>
        <w:t>.</w:t>
      </w:r>
    </w:p>
    <w:p w:rsidR="00E7027E" w:rsidP="00085EE8">
      <w:pPr>
        <w:rPr>
          <w:rFonts w:eastAsia="Times New Roman"/>
          <w:sz w:val="24"/>
          <w:rtl/>
          <w:lang w:eastAsia="he-IL"/>
        </w:rPr>
      </w:pPr>
    </w:p>
    <w:p w:rsidR="00696E87" w:rsidRPr="00055E0C" w:rsidP="00085EE8">
      <w:pPr>
        <w:rPr>
          <w:rFonts w:eastAsia="Times New Roman"/>
          <w:sz w:val="24"/>
          <w:rtl/>
          <w:lang w:eastAsia="he-IL"/>
        </w:rPr>
      </w:pPr>
      <w:r w:rsidRPr="00055E0C">
        <w:rPr>
          <w:rFonts w:eastAsia="Times New Roman" w:hint="cs"/>
          <w:sz w:val="24"/>
          <w:rtl/>
          <w:lang w:eastAsia="he-IL"/>
        </w:rPr>
        <w:t>בסיכום</w:t>
      </w:r>
      <w:r w:rsidRPr="00055E0C">
        <w:rPr>
          <w:rFonts w:eastAsia="Times New Roman"/>
          <w:sz w:val="24"/>
          <w:rtl/>
          <w:lang w:eastAsia="he-IL"/>
        </w:rPr>
        <w:t xml:space="preserve"> ל</w:t>
      </w:r>
      <w:r w:rsidRPr="00055E0C">
        <w:rPr>
          <w:rFonts w:eastAsia="Times New Roman" w:hint="cs"/>
          <w:sz w:val="24"/>
          <w:rtl/>
          <w:lang w:eastAsia="he-IL"/>
        </w:rPr>
        <w:t xml:space="preserve">המלצות </w:t>
      </w:r>
      <w:r w:rsidRPr="00055E0C">
        <w:rPr>
          <w:rFonts w:eastAsia="Times New Roman"/>
          <w:sz w:val="24"/>
          <w:rtl/>
          <w:lang w:eastAsia="he-IL"/>
        </w:rPr>
        <w:t xml:space="preserve">ועדת </w:t>
      </w:r>
      <w:r w:rsidRPr="00055E0C">
        <w:rPr>
          <w:rFonts w:eastAsia="Times New Roman" w:hint="cs"/>
          <w:sz w:val="24"/>
          <w:rtl/>
          <w:lang w:eastAsia="he-IL"/>
        </w:rPr>
        <w:t>טסלר</w:t>
      </w:r>
      <w:r w:rsidRPr="00055E0C">
        <w:rPr>
          <w:rFonts w:eastAsia="Times New Roman"/>
          <w:sz w:val="24"/>
          <w:rtl/>
          <w:lang w:eastAsia="he-IL"/>
        </w:rPr>
        <w:t xml:space="preserve"> </w:t>
      </w:r>
      <w:r w:rsidRPr="00055E0C">
        <w:rPr>
          <w:rFonts w:eastAsia="Times New Roman" w:hint="cs"/>
          <w:sz w:val="24"/>
          <w:rtl/>
          <w:lang w:eastAsia="he-IL"/>
        </w:rPr>
        <w:t>מספטמבר 2014</w:t>
      </w:r>
      <w:r w:rsidRPr="00055E0C">
        <w:rPr>
          <w:rFonts w:eastAsia="Times New Roman"/>
          <w:sz w:val="24"/>
          <w:rtl/>
          <w:lang w:eastAsia="he-IL"/>
        </w:rPr>
        <w:t xml:space="preserve"> </w:t>
      </w:r>
      <w:r w:rsidRPr="00055E0C">
        <w:rPr>
          <w:rFonts w:eastAsia="Times New Roman" w:hint="cs"/>
          <w:sz w:val="24"/>
          <w:rtl/>
          <w:lang w:eastAsia="he-IL"/>
        </w:rPr>
        <w:t>קבע</w:t>
      </w:r>
      <w:r w:rsidRPr="00055E0C">
        <w:rPr>
          <w:rFonts w:eastAsia="Times New Roman"/>
          <w:sz w:val="24"/>
          <w:rtl/>
          <w:lang w:eastAsia="he-IL"/>
        </w:rPr>
        <w:t xml:space="preserve"> </w:t>
      </w:r>
      <w:r w:rsidRPr="00055E0C">
        <w:rPr>
          <w:rFonts w:eastAsia="Times New Roman" w:hint="cs"/>
          <w:sz w:val="24"/>
          <w:rtl/>
          <w:lang w:eastAsia="he-IL"/>
        </w:rPr>
        <w:t>סגן</w:t>
      </w:r>
      <w:r w:rsidRPr="00055E0C">
        <w:rPr>
          <w:rFonts w:eastAsia="Times New Roman"/>
          <w:sz w:val="24"/>
          <w:rtl/>
          <w:lang w:eastAsia="he-IL"/>
        </w:rPr>
        <w:t xml:space="preserve"> </w:t>
      </w:r>
      <w:r w:rsidRPr="00055E0C">
        <w:rPr>
          <w:rFonts w:eastAsia="Times New Roman" w:hint="cs"/>
          <w:sz w:val="24"/>
          <w:rtl/>
          <w:lang w:eastAsia="he-IL"/>
        </w:rPr>
        <w:t>הרמטכ</w:t>
      </w:r>
      <w:r w:rsidRPr="00055E0C">
        <w:rPr>
          <w:rFonts w:eastAsia="Times New Roman"/>
          <w:sz w:val="24"/>
          <w:rtl/>
          <w:lang w:eastAsia="he-IL"/>
        </w:rPr>
        <w:t xml:space="preserve">"ל </w:t>
      </w:r>
      <w:r w:rsidRPr="00055E0C">
        <w:rPr>
          <w:rFonts w:eastAsia="Times New Roman" w:hint="cs"/>
          <w:sz w:val="24"/>
          <w:rtl/>
          <w:lang w:eastAsia="he-IL"/>
        </w:rPr>
        <w:t>כי</w:t>
      </w:r>
      <w:r w:rsidRPr="00055E0C">
        <w:rPr>
          <w:rFonts w:eastAsia="Times New Roman"/>
          <w:sz w:val="24"/>
          <w:rtl/>
          <w:lang w:eastAsia="he-IL"/>
        </w:rPr>
        <w:t xml:space="preserve"> "האחריות </w:t>
      </w:r>
      <w:r w:rsidRPr="00055E0C">
        <w:rPr>
          <w:rFonts w:eastAsia="Times New Roman" w:hint="cs"/>
          <w:sz w:val="24"/>
          <w:rtl/>
          <w:lang w:eastAsia="he-IL"/>
        </w:rPr>
        <w:t>למשק</w:t>
      </w:r>
      <w:r w:rsidRPr="00055E0C">
        <w:rPr>
          <w:rFonts w:eastAsia="Times New Roman"/>
          <w:sz w:val="24"/>
          <w:rtl/>
          <w:lang w:eastAsia="he-IL"/>
        </w:rPr>
        <w:t xml:space="preserve"> [</w:t>
      </w:r>
      <w:r w:rsidRPr="00055E0C">
        <w:rPr>
          <w:rFonts w:eastAsia="Times New Roman" w:hint="cs"/>
          <w:sz w:val="24"/>
          <w:rtl/>
          <w:lang w:eastAsia="he-IL"/>
        </w:rPr>
        <w:t>ציוד הב</w:t>
      </w:r>
      <w:r w:rsidRPr="00055E0C">
        <w:rPr>
          <w:rFonts w:eastAsia="Times New Roman"/>
          <w:sz w:val="24"/>
          <w:rtl/>
          <w:lang w:eastAsia="he-IL"/>
        </w:rPr>
        <w:t xml:space="preserve">"ך], רכש והצטיידות </w:t>
      </w:r>
      <w:r w:rsidRPr="00055E0C">
        <w:rPr>
          <w:rFonts w:eastAsia="Times New Roman" w:hint="cs"/>
          <w:b/>
          <w:bCs/>
          <w:sz w:val="24"/>
          <w:rtl/>
          <w:lang w:eastAsia="he-IL"/>
        </w:rPr>
        <w:t>לכלל</w:t>
      </w:r>
      <w:r w:rsidRPr="00055E0C">
        <w:rPr>
          <w:rFonts w:eastAsia="Times New Roman"/>
          <w:b/>
          <w:bCs/>
          <w:sz w:val="24"/>
          <w:rtl/>
          <w:lang w:eastAsia="he-IL"/>
        </w:rPr>
        <w:t xml:space="preserve"> </w:t>
      </w:r>
      <w:r w:rsidRPr="00055E0C">
        <w:rPr>
          <w:rFonts w:eastAsia="Times New Roman" w:hint="cs"/>
          <w:b/>
          <w:bCs/>
          <w:sz w:val="24"/>
          <w:rtl/>
          <w:lang w:eastAsia="he-IL"/>
        </w:rPr>
        <w:t>צה</w:t>
      </w:r>
      <w:r w:rsidRPr="00055E0C">
        <w:rPr>
          <w:rFonts w:eastAsia="Times New Roman"/>
          <w:b/>
          <w:bCs/>
          <w:sz w:val="24"/>
          <w:rtl/>
          <w:lang w:eastAsia="he-IL"/>
        </w:rPr>
        <w:t>"ל</w:t>
      </w:r>
      <w:r w:rsidRPr="00055E0C">
        <w:rPr>
          <w:rFonts w:eastAsia="Times New Roman"/>
          <w:sz w:val="24"/>
          <w:rtl/>
          <w:lang w:eastAsia="he-IL"/>
        </w:rPr>
        <w:t xml:space="preserve"> בתחום זה כולל רגולציה מטכ"לית תועבר באופן מלא לאחריות פקע"ר </w:t>
      </w:r>
      <w:r w:rsidRPr="00055E0C">
        <w:rPr>
          <w:rFonts w:eastAsia="Calibri"/>
          <w:rtl/>
        </w:rPr>
        <w:t>ותעודכן</w:t>
      </w:r>
      <w:r w:rsidRPr="00055E0C">
        <w:rPr>
          <w:rFonts w:eastAsia="Times New Roman"/>
          <w:sz w:val="24"/>
          <w:rtl/>
          <w:lang w:eastAsia="he-IL"/>
        </w:rPr>
        <w:t xml:space="preserve"> </w:t>
      </w:r>
      <w:r w:rsidRPr="00055E0C">
        <w:rPr>
          <w:rFonts w:eastAsia="Times New Roman" w:hint="cs"/>
          <w:sz w:val="24"/>
          <w:rtl/>
          <w:lang w:eastAsia="he-IL"/>
        </w:rPr>
        <w:t>בהפ</w:t>
      </w:r>
      <w:r w:rsidRPr="00055E0C">
        <w:rPr>
          <w:rFonts w:eastAsia="Times New Roman"/>
          <w:sz w:val="24"/>
          <w:rtl/>
          <w:lang w:eastAsia="he-IL"/>
        </w:rPr>
        <w:t xml:space="preserve">"ע </w:t>
      </w:r>
      <w:r w:rsidRPr="00055E0C">
        <w:rPr>
          <w:rFonts w:eastAsia="Times New Roman" w:hint="cs"/>
          <w:sz w:val="24"/>
          <w:rtl/>
          <w:lang w:eastAsia="he-IL"/>
        </w:rPr>
        <w:t>[הוראת הפיקוד העליון</w:t>
      </w:r>
      <w:r>
        <w:rPr>
          <w:rFonts w:eastAsia="Times New Roman" w:cs="Times New Roman"/>
          <w:sz w:val="24"/>
          <w:vertAlign w:val="superscript"/>
          <w:rtl/>
          <w:lang w:eastAsia="he-IL"/>
        </w:rPr>
        <w:footnoteReference w:id="8"/>
      </w:r>
      <w:r w:rsidRPr="00055E0C">
        <w:rPr>
          <w:rFonts w:eastAsia="Times New Roman" w:hint="cs"/>
          <w:sz w:val="24"/>
          <w:rtl/>
          <w:lang w:eastAsia="he-IL"/>
        </w:rPr>
        <w:t xml:space="preserve">] </w:t>
      </w:r>
      <w:r w:rsidRPr="00055E0C">
        <w:rPr>
          <w:rFonts w:eastAsia="Times New Roman"/>
          <w:sz w:val="24"/>
          <w:rtl/>
          <w:lang w:eastAsia="he-IL"/>
        </w:rPr>
        <w:t xml:space="preserve">פקע"ר" (ההדגשה במקור). </w:t>
      </w:r>
      <w:r w:rsidRPr="00055E0C">
        <w:rPr>
          <w:rFonts w:eastAsia="Times New Roman" w:hint="cs"/>
          <w:sz w:val="24"/>
          <w:rtl/>
          <w:lang w:eastAsia="he-IL"/>
        </w:rPr>
        <w:t>נוסף על כך, באפריל 2017 אישר סגן הרמטכ"ל תר"ש ב"ך מטכ"לית, ובמסגרתה הנחה</w:t>
      </w:r>
      <w:r w:rsidRPr="00055E0C">
        <w:rPr>
          <w:rFonts w:eastAsia="Times New Roman"/>
          <w:sz w:val="24"/>
          <w:rtl/>
          <w:lang w:eastAsia="he-IL"/>
        </w:rPr>
        <w:t xml:space="preserve"> את פקע"ר </w:t>
      </w:r>
      <w:r w:rsidRPr="00055E0C">
        <w:rPr>
          <w:rFonts w:eastAsia="Times New Roman" w:hint="cs"/>
          <w:sz w:val="24"/>
          <w:rtl/>
          <w:lang w:eastAsia="he-IL"/>
        </w:rPr>
        <w:t>"</w:t>
      </w:r>
      <w:r w:rsidRPr="00055E0C">
        <w:rPr>
          <w:rFonts w:eastAsia="Times New Roman"/>
          <w:sz w:val="24"/>
          <w:rtl/>
          <w:lang w:eastAsia="he-IL"/>
        </w:rPr>
        <w:t>לשמר וקטור קבוע של גריטה והצטיידות במשק האב"ך בצה"ל על מנת להביא ליציבות הציוד בתחום</w:t>
      </w:r>
      <w:r w:rsidRPr="00055E0C">
        <w:rPr>
          <w:rFonts w:eastAsia="Times New Roman" w:hint="cs"/>
          <w:sz w:val="24"/>
          <w:rtl/>
          <w:lang w:eastAsia="he-IL"/>
        </w:rPr>
        <w:t>"</w:t>
      </w:r>
      <w:r w:rsidRPr="00055E0C">
        <w:rPr>
          <w:rFonts w:eastAsia="Times New Roman"/>
          <w:sz w:val="24"/>
          <w:rtl/>
          <w:lang w:eastAsia="he-IL"/>
        </w:rPr>
        <w:t>.</w:t>
      </w:r>
    </w:p>
    <w:p w:rsidR="00E7027E" w:rsidP="00085EE8">
      <w:pPr>
        <w:rPr>
          <w:rFonts w:eastAsia="Calibri"/>
          <w:b/>
          <w:bCs/>
          <w:rtl/>
        </w:rPr>
      </w:pPr>
    </w:p>
    <w:p w:rsidR="00696E87" w:rsidRPr="00055E0C" w:rsidP="00085EE8">
      <w:pPr>
        <w:rPr>
          <w:rFonts w:eastAsia="Calibri"/>
          <w:b/>
          <w:bCs/>
          <w:rtl/>
        </w:rPr>
      </w:pPr>
      <w:r w:rsidRPr="00055E0C">
        <w:rPr>
          <w:rFonts w:eastAsia="Calibri" w:hint="cs"/>
          <w:b/>
          <w:bCs/>
          <w:rtl/>
        </w:rPr>
        <w:t>הפ"ע פקע"ר לא עודכנה בהתאם להחלטת סגן הרמטכ"ל מספטמבר 2014 ולפיה האחריות למשק ציוד הב"ך לכלל צה"ל תוטל על פקע"ר. בפועל, משק ציוד הב"ך בצה"ל נותר מבוזר בין ז"י, פקע"ר וחה"א.</w:t>
      </w:r>
    </w:p>
    <w:p w:rsidR="00E7027E" w:rsidP="00DC13F8">
      <w:pPr>
        <w:rPr>
          <w:rFonts w:eastAsia="Calibri"/>
          <w:rtl/>
          <w:lang w:eastAsia="he-IL"/>
        </w:rPr>
      </w:pPr>
    </w:p>
    <w:p w:rsidR="00696E87" w:rsidRPr="00055E0C" w:rsidP="00DC13F8">
      <w:pPr>
        <w:rPr>
          <w:rFonts w:eastAsia="Calibri"/>
          <w:rtl/>
        </w:rPr>
      </w:pPr>
      <w:r w:rsidRPr="00055E0C">
        <w:rPr>
          <w:rFonts w:eastAsia="Times New Roman" w:hint="cs"/>
          <w:sz w:val="24"/>
          <w:rtl/>
          <w:lang w:eastAsia="he-IL"/>
        </w:rPr>
        <w:t>בפברואר 2019 כתב רמ"ט פקע"ר בעניין זה לאג"ת כי לא בוצעה בקרה מטכ"לית על מימוש תר"ש ב"ך האמורה</w:t>
      </w:r>
      <w:r w:rsidRPr="00055E0C" w:rsidR="0075276B">
        <w:rPr>
          <w:rFonts w:eastAsia="Times New Roman" w:hint="cs"/>
          <w:sz w:val="24"/>
          <w:rtl/>
          <w:lang w:eastAsia="he-IL"/>
        </w:rPr>
        <w:t>.</w:t>
      </w:r>
      <w:r w:rsidRPr="00055E0C">
        <w:rPr>
          <w:rFonts w:eastAsia="Calibri" w:hint="cs"/>
          <w:rtl/>
          <w:lang w:eastAsia="he-IL"/>
        </w:rPr>
        <w:t xml:space="preserve"> רמ"ט פקע"ר המליץ לתכנן תר"ש ב"ך לשנים הבאות בהתבסס על תקציב מרכזי קשיח לנושא, למנות אחראי לתוכנית ולבצע בקרה על מימושה, ולשלב את הנושא בסדר העדיפויות המטכ"לי. </w:t>
      </w:r>
    </w:p>
    <w:p w:rsidR="00E7027E" w:rsidP="00F049BB">
      <w:pPr>
        <w:jc w:val="left"/>
        <w:rPr>
          <w:rFonts w:eastAsia="Calibri"/>
          <w:rtl/>
          <w:lang w:eastAsia="he-IL"/>
        </w:rPr>
      </w:pPr>
    </w:p>
    <w:p w:rsidR="00696E87" w:rsidRPr="00055E0C" w:rsidP="00F049BB">
      <w:pPr>
        <w:jc w:val="left"/>
        <w:rPr>
          <w:rFonts w:eastAsia="Calibri"/>
          <w:rtl/>
          <w:lang w:eastAsia="he-IL"/>
        </w:rPr>
      </w:pPr>
      <w:r w:rsidRPr="00055E0C">
        <w:rPr>
          <w:rFonts w:eastAsia="Calibri" w:hint="cs"/>
          <w:rtl/>
          <w:lang w:eastAsia="he-IL"/>
        </w:rPr>
        <w:t>ב</w:t>
      </w:r>
      <w:r w:rsidRPr="00055E0C" w:rsidR="00E7027E">
        <w:rPr>
          <w:rFonts w:eastAsia="Calibri" w:hint="cs"/>
          <w:rtl/>
          <w:lang w:eastAsia="he-IL"/>
        </w:rPr>
        <w:t>יוני 2019</w:t>
      </w:r>
      <w:r w:rsidRPr="00055E0C">
        <w:rPr>
          <w:rFonts w:eastAsia="Calibri" w:hint="cs"/>
          <w:rtl/>
          <w:lang w:eastAsia="he-IL"/>
        </w:rPr>
        <w:t xml:space="preserve"> </w:t>
      </w:r>
      <w:r w:rsidRPr="00055E0C" w:rsidR="00E7027E">
        <w:rPr>
          <w:rFonts w:eastAsia="Calibri" w:hint="cs"/>
          <w:rtl/>
          <w:lang w:eastAsia="he-IL"/>
        </w:rPr>
        <w:t xml:space="preserve">מסר רמ"ט </w:t>
      </w:r>
      <w:r w:rsidRPr="00055E0C">
        <w:rPr>
          <w:rFonts w:eastAsia="Calibri" w:hint="cs"/>
          <w:rtl/>
          <w:lang w:eastAsia="he-IL"/>
        </w:rPr>
        <w:t xml:space="preserve"> </w:t>
      </w:r>
      <w:r w:rsidRPr="00055E0C" w:rsidR="00E7027E">
        <w:rPr>
          <w:rFonts w:eastAsia="Calibri" w:hint="cs"/>
          <w:rtl/>
          <w:lang w:eastAsia="he-IL"/>
        </w:rPr>
        <w:t>פקע"ר למשרד מבקר המדינה כי ז"י מנהלת</w:t>
      </w:r>
      <w:r w:rsidRPr="00055E0C">
        <w:rPr>
          <w:rFonts w:eastAsia="Calibri" w:hint="cs"/>
          <w:rtl/>
          <w:lang w:eastAsia="he-IL"/>
        </w:rPr>
        <w:t xml:space="preserve">  </w:t>
      </w:r>
      <w:r w:rsidRPr="00055E0C" w:rsidR="00E7027E">
        <w:rPr>
          <w:rFonts w:eastAsia="Calibri" w:hint="cs"/>
          <w:rtl/>
          <w:lang w:eastAsia="he-IL"/>
        </w:rPr>
        <w:t xml:space="preserve">בעצמה את משק ציוד </w:t>
      </w:r>
      <w:r w:rsidRPr="00055E0C">
        <w:rPr>
          <w:rFonts w:eastAsia="Calibri" w:hint="cs"/>
          <w:rtl/>
          <w:lang w:eastAsia="he-IL"/>
        </w:rPr>
        <w:t>ה</w:t>
      </w:r>
      <w:r w:rsidRPr="00055E0C" w:rsidR="00E7027E">
        <w:rPr>
          <w:rFonts w:eastAsia="Calibri" w:hint="cs"/>
          <w:rtl/>
          <w:lang w:eastAsia="he-IL"/>
        </w:rPr>
        <w:t xml:space="preserve">ב"ך </w:t>
      </w:r>
      <w:r w:rsidRPr="00055E0C">
        <w:rPr>
          <w:rFonts w:eastAsia="Calibri" w:hint="cs"/>
          <w:rtl/>
          <w:lang w:eastAsia="he-IL"/>
        </w:rPr>
        <w:t>ש</w:t>
      </w:r>
      <w:r w:rsidRPr="00055E0C" w:rsidR="00E7027E">
        <w:rPr>
          <w:rFonts w:eastAsia="Calibri" w:hint="cs"/>
          <w:rtl/>
          <w:lang w:eastAsia="he-IL"/>
        </w:rPr>
        <w:t xml:space="preserve">לה. בז"י נמסרו לצוות מבקר המדינה דברים דומים. </w:t>
      </w:r>
    </w:p>
    <w:p w:rsidR="00E7027E" w:rsidP="00696E87">
      <w:pPr>
        <w:rPr>
          <w:rFonts w:eastAsia="Calibri"/>
          <w:rtl/>
          <w:lang w:eastAsia="he-IL"/>
        </w:rPr>
      </w:pPr>
    </w:p>
    <w:p w:rsidR="00696E87" w:rsidRPr="00055E0C" w:rsidP="00696E87">
      <w:pPr>
        <w:rPr>
          <w:rFonts w:eastAsia="Times New Roman"/>
          <w:sz w:val="24"/>
          <w:rtl/>
          <w:lang w:eastAsia="he-IL"/>
        </w:rPr>
      </w:pPr>
      <w:r w:rsidRPr="00055E0C">
        <w:rPr>
          <w:rFonts w:eastAsia="Calibri" w:hint="cs"/>
          <w:rtl/>
          <w:lang w:eastAsia="he-IL"/>
        </w:rPr>
        <w:t xml:space="preserve">בפגישה מיוני 2019 נמסר לצוות מבקר המדינה מאט"ל כי </w:t>
      </w:r>
      <w:r w:rsidRPr="00055E0C">
        <w:rPr>
          <w:rFonts w:eastAsia="Times New Roman" w:hint="cs"/>
          <w:sz w:val="24"/>
          <w:rtl/>
          <w:lang w:eastAsia="he-IL"/>
        </w:rPr>
        <w:t>מורגש כיום היעדרו של גורם צבאי מטכ"לי שרואה את כל התמונה ויכול לווסת את העברתם של פריטי ב"ך בין גופים שונים בצה"ל (ניוד עודפים). בפגישה מיולי 2019 מסר ראש ענף השברה</w:t>
      </w:r>
      <w:r>
        <w:rPr>
          <w:rFonts w:eastAsia="Times New Roman" w:cs="Times New Roman"/>
          <w:sz w:val="24"/>
          <w:vertAlign w:val="superscript"/>
          <w:rtl/>
          <w:lang w:eastAsia="he-IL"/>
        </w:rPr>
        <w:footnoteReference w:id="9"/>
      </w:r>
      <w:r w:rsidRPr="00055E0C">
        <w:rPr>
          <w:rFonts w:eastAsia="Times New Roman" w:hint="cs"/>
          <w:sz w:val="24"/>
          <w:rtl/>
          <w:lang w:eastAsia="he-IL"/>
        </w:rPr>
        <w:t xml:space="preserve"> במרכז ציוד שבאט"ל לצוות מבקר המדינה, כי בתחום הב"ך, שלא כמו ברוב המשקים אחרים, אין ראייה כלל-משקית, אף על פי שראוי שתהיה כזאת, וכי הבעיה העיקרית בהיעדר ראייה כלל-משקית היא המורכבות שבתכנון הרב-שנתי של ריענון הפריטים שהם בעלי אורך חיים מוגבל.</w:t>
      </w:r>
    </w:p>
    <w:p w:rsidR="00E7027E" w:rsidP="00696E87">
      <w:pPr>
        <w:rPr>
          <w:rFonts w:eastAsia="Times New Roman"/>
          <w:sz w:val="24"/>
          <w:rtl/>
          <w:lang w:eastAsia="he-IL"/>
        </w:rPr>
      </w:pPr>
    </w:p>
    <w:p w:rsidR="00696E87" w:rsidRPr="00055E0C" w:rsidP="00696E87">
      <w:pPr>
        <w:rPr>
          <w:rFonts w:eastAsia="Times New Roman"/>
          <w:sz w:val="24"/>
          <w:rtl/>
          <w:lang w:eastAsia="he-IL"/>
        </w:rPr>
      </w:pPr>
      <w:r w:rsidRPr="00055E0C">
        <w:rPr>
          <w:rFonts w:eastAsia="Times New Roman" w:hint="cs"/>
          <w:sz w:val="24"/>
          <w:rtl/>
          <w:lang w:eastAsia="he-IL"/>
        </w:rPr>
        <w:t>בפגישה מפברואר 2020 שקיים צוות מבקר המדינה עם רמ"ט פקע"ר מסר הרמ"ט כי הנחיית סגן הרמטכ"ל לא תורגמה לעבודת מטה, וכי פקע"ר אינו מנהל את משק ציוד האב"ך של ז"י, אלא את משק ציוד הב"ך המיועד לאזרחים בלבד.</w:t>
      </w:r>
    </w:p>
    <w:p w:rsidR="00E7027E" w:rsidP="00696E87">
      <w:pPr>
        <w:rPr>
          <w:rFonts w:eastAsia="Times New Roman"/>
          <w:b/>
          <w:bCs/>
          <w:sz w:val="24"/>
          <w:rtl/>
          <w:lang w:eastAsia="he-IL"/>
        </w:rPr>
      </w:pPr>
    </w:p>
    <w:p w:rsidR="00696E87" w:rsidRPr="00055E0C" w:rsidP="00696E87">
      <w:pPr>
        <w:rPr>
          <w:rFonts w:eastAsia="Calibri"/>
          <w:b/>
          <w:bCs/>
          <w:rtl/>
          <w:lang w:eastAsia="he-IL"/>
        </w:rPr>
      </w:pPr>
      <w:r w:rsidRPr="00055E0C">
        <w:rPr>
          <w:rFonts w:eastAsia="Times New Roman" w:hint="cs"/>
          <w:b/>
          <w:bCs/>
          <w:sz w:val="24"/>
          <w:rtl/>
          <w:lang w:eastAsia="he-IL"/>
        </w:rPr>
        <w:t xml:space="preserve">מומלץ כי סגן הרמטכ"ל </w:t>
      </w:r>
      <w:r w:rsidRPr="00055E0C">
        <w:rPr>
          <w:rFonts w:eastAsia="Times New Roman"/>
          <w:b/>
          <w:bCs/>
          <w:sz w:val="24"/>
          <w:rtl/>
          <w:lang w:eastAsia="he-IL"/>
        </w:rPr>
        <w:t>י</w:t>
      </w:r>
      <w:r w:rsidRPr="00055E0C">
        <w:rPr>
          <w:rFonts w:eastAsia="Times New Roman" w:hint="cs"/>
          <w:b/>
          <w:bCs/>
          <w:sz w:val="24"/>
          <w:rtl/>
          <w:lang w:eastAsia="he-IL"/>
        </w:rPr>
        <w:t>נחה על ביצוע עבודת מטה שתבחן</w:t>
      </w:r>
      <w:r w:rsidRPr="00055E0C">
        <w:rPr>
          <w:rFonts w:eastAsia="Times New Roman"/>
          <w:b/>
          <w:bCs/>
          <w:sz w:val="24"/>
          <w:rtl/>
          <w:lang w:eastAsia="he-IL"/>
        </w:rPr>
        <w:t xml:space="preserve"> מהן תכולות האחריות של </w:t>
      </w:r>
      <w:r w:rsidRPr="00055E0C">
        <w:rPr>
          <w:rFonts w:eastAsia="Times New Roman" w:hint="cs"/>
          <w:b/>
          <w:bCs/>
          <w:sz w:val="24"/>
          <w:rtl/>
          <w:lang w:eastAsia="he-IL"/>
        </w:rPr>
        <w:t>פקע"ר</w:t>
      </w:r>
      <w:r w:rsidRPr="00055E0C">
        <w:rPr>
          <w:rFonts w:eastAsia="Times New Roman"/>
          <w:b/>
          <w:bCs/>
          <w:sz w:val="24"/>
          <w:rtl/>
          <w:lang w:eastAsia="he-IL"/>
        </w:rPr>
        <w:t xml:space="preserve"> לגבי משק ציוד הב"ך הכלל</w:t>
      </w:r>
      <w:r w:rsidRPr="00055E0C">
        <w:rPr>
          <w:rFonts w:eastAsia="Times New Roman" w:hint="cs"/>
          <w:b/>
          <w:bCs/>
          <w:sz w:val="24"/>
          <w:rtl/>
          <w:lang w:eastAsia="he-IL"/>
        </w:rPr>
        <w:t>-</w:t>
      </w:r>
      <w:r w:rsidRPr="00055E0C">
        <w:rPr>
          <w:rFonts w:eastAsia="Times New Roman"/>
          <w:b/>
          <w:bCs/>
          <w:sz w:val="24"/>
          <w:rtl/>
          <w:lang w:eastAsia="he-IL"/>
        </w:rPr>
        <w:t>צה"לי</w:t>
      </w:r>
      <w:r w:rsidRPr="00055E0C">
        <w:rPr>
          <w:rFonts w:eastAsia="Times New Roman" w:hint="cs"/>
          <w:b/>
          <w:bCs/>
          <w:sz w:val="24"/>
          <w:rtl/>
          <w:lang w:eastAsia="he-IL"/>
        </w:rPr>
        <w:t>, בהמשך להחלטתו משנת 2014 בעניין זה.</w:t>
      </w:r>
      <w:r w:rsidRPr="00055E0C">
        <w:rPr>
          <w:rFonts w:eastAsia="Times New Roman"/>
          <w:b/>
          <w:bCs/>
          <w:sz w:val="24"/>
          <w:rtl/>
          <w:lang w:eastAsia="he-IL"/>
        </w:rPr>
        <w:t xml:space="preserve"> </w:t>
      </w:r>
    </w:p>
    <w:p w:rsidR="00E7027E" w:rsidP="00085EE8">
      <w:pPr>
        <w:rPr>
          <w:rFonts w:eastAsia="Times New Roman"/>
          <w:sz w:val="24"/>
          <w:rtl/>
          <w:lang w:eastAsia="he-IL"/>
        </w:rPr>
      </w:pPr>
    </w:p>
    <w:p w:rsidR="00696E87" w:rsidRPr="00055E0C" w:rsidP="00085EE8">
      <w:pPr>
        <w:rPr>
          <w:rFonts w:eastAsia="Times New Roman"/>
          <w:sz w:val="24"/>
          <w:rtl/>
          <w:lang w:eastAsia="he-IL"/>
        </w:rPr>
      </w:pPr>
      <w:r w:rsidRPr="00055E0C">
        <w:rPr>
          <w:rFonts w:eastAsia="Times New Roman" w:hint="cs"/>
          <w:sz w:val="24"/>
          <w:rtl/>
          <w:lang w:eastAsia="he-IL"/>
        </w:rPr>
        <w:t>בדיון שקיים סגן הרמטכ"ל במאי 2020 בנושא</w:t>
      </w:r>
      <w:r w:rsidRPr="00055E0C">
        <w:rPr>
          <w:rFonts w:eastAsia="Times New Roman"/>
          <w:sz w:val="24"/>
          <w:rtl/>
          <w:lang w:eastAsia="he-IL"/>
        </w:rPr>
        <w:t xml:space="preserve"> מוכנות ללחימה בחזית </w:t>
      </w:r>
      <w:r w:rsidRPr="00055E0C">
        <w:rPr>
          <w:rFonts w:eastAsia="Times New Roman" w:hint="cs"/>
          <w:sz w:val="24"/>
          <w:rtl/>
          <w:lang w:eastAsia="he-IL"/>
        </w:rPr>
        <w:t>תחת</w:t>
      </w:r>
      <w:r w:rsidRPr="00055E0C">
        <w:rPr>
          <w:rFonts w:eastAsia="Times New Roman"/>
          <w:sz w:val="24"/>
          <w:rtl/>
          <w:lang w:eastAsia="he-IL"/>
        </w:rPr>
        <w:t xml:space="preserve"> </w:t>
      </w:r>
      <w:r w:rsidRPr="00055E0C">
        <w:rPr>
          <w:rFonts w:eastAsia="Times New Roman" w:hint="cs"/>
          <w:sz w:val="24"/>
          <w:rtl/>
          <w:lang w:eastAsia="he-IL"/>
        </w:rPr>
        <w:t>איום</w:t>
      </w:r>
      <w:r w:rsidRPr="00055E0C">
        <w:rPr>
          <w:rFonts w:eastAsia="Times New Roman"/>
          <w:sz w:val="24"/>
          <w:rtl/>
          <w:lang w:eastAsia="he-IL"/>
        </w:rPr>
        <w:t xml:space="preserve"> </w:t>
      </w:r>
      <w:r w:rsidRPr="00055E0C">
        <w:rPr>
          <w:rFonts w:eastAsia="Times New Roman" w:hint="cs"/>
          <w:sz w:val="24"/>
          <w:rtl/>
          <w:lang w:eastAsia="he-IL"/>
        </w:rPr>
        <w:t>חל</w:t>
      </w:r>
      <w:r w:rsidRPr="00055E0C">
        <w:rPr>
          <w:rFonts w:eastAsia="Times New Roman"/>
          <w:sz w:val="24"/>
          <w:rtl/>
          <w:lang w:eastAsia="he-IL"/>
        </w:rPr>
        <w:t xml:space="preserve">"ך הוא סיכם, בין היתר, כי יסוכמו </w:t>
      </w:r>
      <w:r w:rsidRPr="00055E0C">
        <w:rPr>
          <w:rFonts w:eastAsia="Times New Roman" w:hint="cs"/>
          <w:sz w:val="24"/>
          <w:rtl/>
          <w:lang w:eastAsia="he-IL"/>
        </w:rPr>
        <w:t xml:space="preserve">היבטי </w:t>
      </w:r>
      <w:r w:rsidRPr="00055E0C">
        <w:rPr>
          <w:rFonts w:eastAsia="Times New Roman"/>
          <w:sz w:val="24"/>
          <w:rtl/>
          <w:lang w:eastAsia="he-IL"/>
        </w:rPr>
        <w:t xml:space="preserve">הסמכות והאחריות בתחום </w:t>
      </w:r>
      <w:r w:rsidRPr="00055E0C">
        <w:rPr>
          <w:rFonts w:eastAsia="Times New Roman" w:hint="cs"/>
          <w:sz w:val="24"/>
          <w:rtl/>
          <w:lang w:eastAsia="he-IL"/>
        </w:rPr>
        <w:t>הב</w:t>
      </w:r>
      <w:r w:rsidRPr="00055E0C">
        <w:rPr>
          <w:rFonts w:eastAsia="Times New Roman"/>
          <w:sz w:val="24"/>
          <w:rtl/>
          <w:lang w:eastAsia="he-IL"/>
        </w:rPr>
        <w:t>"ך.</w:t>
      </w:r>
    </w:p>
    <w:p w:rsidR="00E7027E" w:rsidRPr="00E7027E">
      <w:pPr>
        <w:bidi w:val="0"/>
        <w:spacing w:after="200" w:line="276" w:lineRule="auto"/>
        <w:rPr>
          <w:rFonts w:eastAsia="Times New Roman"/>
          <w:b/>
          <w:szCs w:val="28"/>
          <w:rtl/>
          <w:lang w:eastAsia="he-IL"/>
        </w:rPr>
      </w:pPr>
      <w:r w:rsidRPr="00E7027E">
        <w:rPr>
          <w:rFonts w:eastAsia="Times New Roman"/>
          <w:b/>
          <w:szCs w:val="28"/>
          <w:rtl/>
          <w:lang w:eastAsia="he-IL"/>
        </w:rPr>
        <w:br w:type="page"/>
      </w:r>
    </w:p>
    <w:p w:rsidR="00696E87" w:rsidRPr="00055E0C" w:rsidP="00EB1437">
      <w:pPr>
        <w:pStyle w:val="Heading3"/>
        <w:rPr>
          <w:rFonts w:eastAsia="Times New Roman"/>
          <w:rtl/>
          <w:lang w:eastAsia="he-IL"/>
        </w:rPr>
      </w:pPr>
      <w:r w:rsidRPr="00055E0C">
        <w:rPr>
          <w:rFonts w:eastAsia="Times New Roman"/>
          <w:rtl/>
          <w:lang w:eastAsia="he-IL"/>
        </w:rPr>
        <w:t xml:space="preserve">משקפי אב"ך למרכיבי משקפיים </w:t>
      </w:r>
    </w:p>
    <w:p w:rsidR="00696E87" w:rsidRPr="00055E0C" w:rsidP="00696E87">
      <w:pPr>
        <w:rPr>
          <w:rFonts w:eastAsia="Calibri"/>
          <w:lang w:eastAsia="he-IL"/>
        </w:rPr>
      </w:pPr>
    </w:p>
    <w:p w:rsidR="00696E87" w:rsidRPr="00055E0C" w:rsidP="008A4933">
      <w:pPr>
        <w:rPr>
          <w:rFonts w:eastAsia="Calibri"/>
          <w:rtl/>
        </w:rPr>
      </w:pPr>
      <w:r w:rsidRPr="00055E0C">
        <w:rPr>
          <w:rFonts w:eastAsia="Times New Roman"/>
          <w:sz w:val="24"/>
          <w:rtl/>
          <w:lang w:eastAsia="he-IL"/>
        </w:rPr>
        <w:t xml:space="preserve">משקפי אב"ך </w:t>
      </w:r>
      <w:r w:rsidRPr="00055E0C">
        <w:rPr>
          <w:rFonts w:eastAsia="Times New Roman" w:hint="cs"/>
          <w:sz w:val="24"/>
          <w:rtl/>
          <w:lang w:eastAsia="he-IL"/>
        </w:rPr>
        <w:t xml:space="preserve">הם </w:t>
      </w:r>
      <w:r w:rsidRPr="00055E0C">
        <w:rPr>
          <w:rFonts w:eastAsia="Times New Roman"/>
          <w:sz w:val="24"/>
          <w:rtl/>
          <w:lang w:eastAsia="he-IL"/>
        </w:rPr>
        <w:t xml:space="preserve">בעלי מסגרות מיוחדות המתאימות להתקן מרובע </w:t>
      </w:r>
      <w:r w:rsidRPr="00055E0C">
        <w:rPr>
          <w:rFonts w:eastAsia="Times New Roman" w:hint="cs"/>
          <w:sz w:val="24"/>
          <w:rtl/>
          <w:lang w:eastAsia="he-IL"/>
        </w:rPr>
        <w:t>הנמצא</w:t>
      </w:r>
      <w:r w:rsidRPr="00055E0C">
        <w:rPr>
          <w:rFonts w:eastAsia="Times New Roman"/>
          <w:sz w:val="24"/>
          <w:rtl/>
          <w:lang w:eastAsia="he-IL"/>
        </w:rPr>
        <w:t xml:space="preserve"> במסכת האב"ך הצבאית. על פי עקד האב"ך, השימוש במשקפי אב"ך </w:t>
      </w:r>
      <w:r w:rsidRPr="00055E0C">
        <w:rPr>
          <w:rFonts w:eastAsia="Times New Roman" w:hint="cs"/>
          <w:sz w:val="24"/>
          <w:rtl/>
          <w:lang w:eastAsia="he-IL"/>
        </w:rPr>
        <w:t>נחוץ מאוד</w:t>
      </w:r>
      <w:r w:rsidRPr="00055E0C">
        <w:rPr>
          <w:rFonts w:eastAsia="Times New Roman"/>
          <w:sz w:val="24"/>
          <w:rtl/>
          <w:lang w:eastAsia="he-IL"/>
        </w:rPr>
        <w:t xml:space="preserve"> לגבי כל חייל </w:t>
      </w:r>
      <w:r w:rsidRPr="00055E0C">
        <w:rPr>
          <w:rFonts w:eastAsia="Times New Roman" w:hint="cs"/>
          <w:sz w:val="24"/>
          <w:rtl/>
          <w:lang w:eastAsia="he-IL"/>
        </w:rPr>
        <w:t>הזקוק למשקפי</w:t>
      </w:r>
      <w:r w:rsidRPr="00055E0C">
        <w:rPr>
          <w:rFonts w:eastAsia="Times New Roman"/>
          <w:sz w:val="24"/>
          <w:rtl/>
          <w:lang w:eastAsia="he-IL"/>
        </w:rPr>
        <w:t xml:space="preserve"> </w:t>
      </w:r>
      <w:r w:rsidRPr="00055E0C" w:rsidR="00D64926">
        <w:rPr>
          <w:rFonts w:eastAsia="Times New Roman"/>
          <w:sz w:val="24"/>
          <w:rtl/>
          <w:lang w:eastAsia="he-IL"/>
        </w:rPr>
        <w:br/>
      </w:r>
      <w:r w:rsidRPr="00055E0C">
        <w:rPr>
          <w:rFonts w:eastAsia="Times New Roman"/>
          <w:sz w:val="24"/>
          <w:rtl/>
          <w:lang w:eastAsia="he-IL"/>
        </w:rPr>
        <w:t xml:space="preserve">ראייה </w:t>
      </w:r>
      <w:r w:rsidRPr="00055E0C">
        <w:rPr>
          <w:rFonts w:eastAsia="Times New Roman" w:hint="cs"/>
          <w:sz w:val="24"/>
          <w:rtl/>
          <w:lang w:eastAsia="he-IL"/>
        </w:rPr>
        <w:t>שהוא</w:t>
      </w:r>
      <w:r w:rsidRPr="00055E0C">
        <w:rPr>
          <w:rFonts w:eastAsia="Times New Roman"/>
          <w:sz w:val="24"/>
          <w:rtl/>
          <w:lang w:eastAsia="he-IL"/>
        </w:rPr>
        <w:t xml:space="preserve"> בעל תפקיד קריטי ומשמעותי בעת חירום</w:t>
      </w:r>
      <w:r w:rsidRPr="00055E0C">
        <w:rPr>
          <w:rFonts w:eastAsia="Times New Roman" w:hint="cs"/>
          <w:sz w:val="24"/>
          <w:rtl/>
          <w:lang w:eastAsia="he-IL"/>
        </w:rPr>
        <w:t>,</w:t>
      </w:r>
      <w:r w:rsidRPr="00055E0C">
        <w:rPr>
          <w:rFonts w:eastAsia="Times New Roman"/>
          <w:sz w:val="24"/>
          <w:rtl/>
          <w:lang w:eastAsia="he-IL"/>
        </w:rPr>
        <w:t xml:space="preserve"> על מנת שיוכל לבצע את תפקידו ולהשלים את משימתו.</w:t>
      </w:r>
    </w:p>
    <w:p w:rsidR="00696E87" w:rsidRPr="00055E0C" w:rsidP="00696E87">
      <w:pPr>
        <w:rPr>
          <w:rFonts w:eastAsia="Calibri"/>
          <w:rtl/>
        </w:rPr>
      </w:pPr>
    </w:p>
    <w:p w:rsidR="00696E87" w:rsidRPr="00055E0C" w:rsidP="00696E87">
      <w:pPr>
        <w:rPr>
          <w:rFonts w:eastAsia="Times New Roman"/>
          <w:sz w:val="24"/>
          <w:rtl/>
          <w:lang w:eastAsia="he-IL"/>
        </w:rPr>
      </w:pPr>
      <w:r w:rsidRPr="00055E0C">
        <w:rPr>
          <w:rFonts w:eastAsia="Times New Roman" w:hint="cs"/>
          <w:sz w:val="24"/>
          <w:rtl/>
          <w:lang w:eastAsia="he-IL"/>
        </w:rPr>
        <w:t xml:space="preserve">נוהל הניפוק של משקפי אב"ך שבעקד האב"ך קובע את הקריטריונים המזכים למשקפי אב"ך ואת העקרונות לניפוקם. על פי נוהל זה, </w:t>
      </w:r>
      <w:r w:rsidRPr="00055E0C">
        <w:rPr>
          <w:rFonts w:eastAsia="Times New Roman"/>
          <w:sz w:val="24"/>
          <w:rtl/>
          <w:lang w:eastAsia="he-IL"/>
        </w:rPr>
        <w:t xml:space="preserve">האחריות למימוש </w:t>
      </w:r>
      <w:r w:rsidRPr="00055E0C">
        <w:rPr>
          <w:rFonts w:eastAsia="Times New Roman" w:hint="cs"/>
          <w:sz w:val="24"/>
          <w:rtl/>
          <w:lang w:eastAsia="he-IL"/>
        </w:rPr>
        <w:t>ה</w:t>
      </w:r>
      <w:r w:rsidRPr="00055E0C">
        <w:rPr>
          <w:rFonts w:eastAsia="Times New Roman"/>
          <w:sz w:val="24"/>
          <w:rtl/>
          <w:lang w:eastAsia="he-IL"/>
        </w:rPr>
        <w:t xml:space="preserve">זכאות </w:t>
      </w:r>
      <w:r w:rsidRPr="00055E0C">
        <w:rPr>
          <w:rFonts w:eastAsia="Times New Roman" w:hint="cs"/>
          <w:sz w:val="24"/>
          <w:rtl/>
          <w:lang w:eastAsia="he-IL"/>
        </w:rPr>
        <w:t>נתונה בידי</w:t>
      </w:r>
      <w:r w:rsidRPr="00055E0C">
        <w:rPr>
          <w:rFonts w:eastAsia="Times New Roman"/>
          <w:sz w:val="24"/>
          <w:rtl/>
          <w:lang w:eastAsia="he-IL"/>
        </w:rPr>
        <w:t xml:space="preserve"> </w:t>
      </w:r>
      <w:r w:rsidRPr="00055E0C">
        <w:rPr>
          <w:rFonts w:eastAsia="Times New Roman" w:hint="cs"/>
          <w:sz w:val="24"/>
          <w:rtl/>
          <w:lang w:eastAsia="he-IL"/>
        </w:rPr>
        <w:t>קצין הלוגיסטיקה וקצין השלישות היחידתיים</w:t>
      </w:r>
      <w:r w:rsidRPr="00055E0C">
        <w:rPr>
          <w:rFonts w:eastAsia="Times New Roman"/>
          <w:sz w:val="24"/>
          <w:rtl/>
          <w:lang w:eastAsia="he-IL"/>
        </w:rPr>
        <w:t xml:space="preserve">, וניפוק המשקפיים מתבצע </w:t>
      </w:r>
      <w:r w:rsidRPr="00055E0C">
        <w:rPr>
          <w:rFonts w:eastAsia="Times New Roman" w:hint="cs"/>
          <w:sz w:val="24"/>
          <w:rtl/>
          <w:lang w:eastAsia="he-IL"/>
        </w:rPr>
        <w:t>ב</w:t>
      </w:r>
      <w:r w:rsidRPr="00055E0C">
        <w:rPr>
          <w:rFonts w:eastAsia="Times New Roman"/>
          <w:sz w:val="24"/>
          <w:rtl/>
          <w:lang w:eastAsia="he-IL"/>
        </w:rPr>
        <w:t xml:space="preserve">רשתות אזרחיות. </w:t>
      </w:r>
    </w:p>
    <w:p w:rsidR="00E7027E" w:rsidP="00696E87">
      <w:pPr>
        <w:rPr>
          <w:rFonts w:eastAsia="Times New Roman"/>
          <w:b/>
          <w:bCs/>
          <w:sz w:val="24"/>
          <w:rtl/>
          <w:lang w:eastAsia="he-IL"/>
        </w:rPr>
      </w:pPr>
    </w:p>
    <w:p w:rsidR="00696E87" w:rsidRPr="00055E0C" w:rsidP="00696E87">
      <w:pPr>
        <w:rPr>
          <w:rFonts w:eastAsia="Times New Roman"/>
          <w:sz w:val="24"/>
          <w:rtl/>
          <w:lang w:eastAsia="he-IL"/>
        </w:rPr>
      </w:pPr>
      <w:r w:rsidRPr="00055E0C">
        <w:rPr>
          <w:rFonts w:eastAsia="Times New Roman"/>
          <w:b/>
          <w:bCs/>
          <w:sz w:val="24"/>
          <w:rtl/>
          <w:lang w:eastAsia="he-IL"/>
        </w:rPr>
        <w:t xml:space="preserve">בביקורת נמצא כי זה </w:t>
      </w:r>
      <w:r w:rsidRPr="00055E0C">
        <w:rPr>
          <w:rFonts w:eastAsia="Times New Roman" w:hint="cs"/>
          <w:b/>
          <w:bCs/>
          <w:sz w:val="24"/>
          <w:rtl/>
          <w:lang w:eastAsia="he-IL"/>
        </w:rPr>
        <w:t xml:space="preserve">כמה </w:t>
      </w:r>
      <w:r w:rsidRPr="00055E0C">
        <w:rPr>
          <w:rFonts w:eastAsia="Times New Roman"/>
          <w:b/>
          <w:bCs/>
          <w:sz w:val="24"/>
          <w:rtl/>
          <w:lang w:eastAsia="he-IL"/>
        </w:rPr>
        <w:t>שנים</w:t>
      </w:r>
      <w:r w:rsidRPr="00055E0C">
        <w:rPr>
          <w:rFonts w:eastAsia="Times New Roman" w:hint="cs"/>
          <w:b/>
          <w:bCs/>
          <w:sz w:val="24"/>
          <w:rtl/>
          <w:lang w:eastAsia="he-IL"/>
        </w:rPr>
        <w:t>, ולכל הפחות משנת 2017, לא מונפקים משקפי אב"ך לחיילים המרכיבים משקפי ראייה</w:t>
      </w:r>
      <w:r w:rsidRPr="00055E0C">
        <w:rPr>
          <w:rFonts w:eastAsia="Times New Roman"/>
          <w:b/>
          <w:bCs/>
          <w:sz w:val="24"/>
          <w:rtl/>
          <w:lang w:eastAsia="he-IL"/>
        </w:rPr>
        <w:t>.</w:t>
      </w:r>
      <w:r w:rsidRPr="00055E0C">
        <w:rPr>
          <w:rFonts w:eastAsia="Times New Roman"/>
          <w:sz w:val="24"/>
          <w:rtl/>
          <w:lang w:eastAsia="he-IL"/>
        </w:rPr>
        <w:t xml:space="preserve"> </w:t>
      </w:r>
    </w:p>
    <w:p w:rsidR="00E7027E" w:rsidP="00946A55">
      <w:pPr>
        <w:rPr>
          <w:rFonts w:eastAsia="Calibri"/>
          <w:rtl/>
        </w:rPr>
      </w:pPr>
    </w:p>
    <w:p w:rsidR="00696E87" w:rsidRPr="00055E0C" w:rsidP="00946A55">
      <w:pPr>
        <w:rPr>
          <w:rFonts w:eastAsia="Calibri"/>
          <w:rtl/>
        </w:rPr>
      </w:pPr>
      <w:r w:rsidRPr="00055E0C">
        <w:rPr>
          <w:rFonts w:eastAsia="Calibri" w:hint="cs"/>
          <w:rtl/>
        </w:rPr>
        <w:t xml:space="preserve">הדבר עלה, בין היתר, </w:t>
      </w:r>
      <w:r w:rsidRPr="00055E0C">
        <w:rPr>
          <w:rFonts w:eastAsia="Calibri"/>
          <w:rtl/>
        </w:rPr>
        <w:t>בביקור</w:t>
      </w:r>
      <w:r w:rsidRPr="00055E0C" w:rsidR="00946A55">
        <w:rPr>
          <w:rFonts w:eastAsia="Calibri" w:hint="cs"/>
          <w:rtl/>
        </w:rPr>
        <w:t>ו</w:t>
      </w:r>
      <w:r w:rsidRPr="00055E0C">
        <w:rPr>
          <w:rFonts w:eastAsia="Calibri"/>
          <w:rtl/>
        </w:rPr>
        <w:t xml:space="preserve">ת </w:t>
      </w:r>
      <w:r w:rsidRPr="00055E0C" w:rsidR="00946A55">
        <w:rPr>
          <w:rFonts w:eastAsia="Calibri" w:hint="cs"/>
          <w:rtl/>
        </w:rPr>
        <w:t>נוספות</w:t>
      </w:r>
      <w:r w:rsidRPr="00055E0C">
        <w:rPr>
          <w:rFonts w:eastAsia="Calibri"/>
          <w:rtl/>
        </w:rPr>
        <w:t xml:space="preserve">, </w:t>
      </w:r>
      <w:r w:rsidRPr="00055E0C">
        <w:rPr>
          <w:rFonts w:eastAsia="Calibri" w:hint="cs"/>
          <w:rtl/>
        </w:rPr>
        <w:t>שבסיכומ</w:t>
      </w:r>
      <w:r w:rsidRPr="00055E0C" w:rsidR="00946A55">
        <w:rPr>
          <w:rFonts w:eastAsia="Calibri" w:hint="cs"/>
          <w:rtl/>
        </w:rPr>
        <w:t>ן</w:t>
      </w:r>
      <w:r w:rsidRPr="00055E0C">
        <w:rPr>
          <w:rFonts w:eastAsia="Calibri" w:hint="cs"/>
          <w:rtl/>
        </w:rPr>
        <w:t xml:space="preserve"> הודגש</w:t>
      </w:r>
      <w:r w:rsidRPr="00055E0C">
        <w:rPr>
          <w:rFonts w:eastAsia="Calibri"/>
          <w:rtl/>
        </w:rPr>
        <w:t xml:space="preserve"> כי חייל בעל צורך במשקפי ראייה לא יכול לתפקד בשעת ח</w:t>
      </w:r>
      <w:r w:rsidRPr="00055E0C">
        <w:rPr>
          <w:rFonts w:eastAsia="Calibri" w:hint="cs"/>
          <w:rtl/>
        </w:rPr>
        <w:t>י</w:t>
      </w:r>
      <w:r w:rsidRPr="00055E0C">
        <w:rPr>
          <w:rFonts w:eastAsia="Calibri"/>
          <w:rtl/>
        </w:rPr>
        <w:t>רום</w:t>
      </w:r>
      <w:r w:rsidRPr="00055E0C">
        <w:rPr>
          <w:rFonts w:eastAsia="Calibri" w:hint="cs"/>
          <w:rtl/>
        </w:rPr>
        <w:t xml:space="preserve"> ללא משקפי אב"ך</w:t>
      </w:r>
      <w:r w:rsidRPr="00055E0C">
        <w:rPr>
          <w:rFonts w:eastAsia="Calibri"/>
          <w:rtl/>
        </w:rPr>
        <w:t>.</w:t>
      </w:r>
    </w:p>
    <w:p w:rsidR="00E7027E" w:rsidP="002B1DDE">
      <w:pPr>
        <w:rPr>
          <w:rFonts w:eastAsia="Times New Roman"/>
          <w:sz w:val="24"/>
          <w:rtl/>
          <w:lang w:eastAsia="he-IL"/>
        </w:rPr>
      </w:pPr>
    </w:p>
    <w:p w:rsidR="00696E87" w:rsidRPr="00055E0C" w:rsidP="002B1DDE">
      <w:pPr>
        <w:rPr>
          <w:rFonts w:eastAsia="Times New Roman"/>
          <w:b/>
          <w:bCs/>
          <w:sz w:val="24"/>
          <w:rtl/>
          <w:lang w:eastAsia="he-IL"/>
        </w:rPr>
      </w:pPr>
      <w:r w:rsidRPr="00055E0C">
        <w:rPr>
          <w:rFonts w:eastAsia="Times New Roman" w:hint="cs"/>
          <w:sz w:val="24"/>
          <w:rtl/>
          <w:lang w:eastAsia="he-IL"/>
        </w:rPr>
        <w:t>בתגובת צה"ל ממאי 2020 למשרד מבקר המדינה נמסר כי מכרז אביזרי ראייה מ-2019-2018 בין צה"ל לספק אזרחי לא כלל משקפי אב"ך, ולכן לאחרונה החלה עבודת מטה לעדכון המכרז באופן שייכלל בו ניפוק משקפי אב"ך בהתאם לצורך.</w:t>
      </w:r>
    </w:p>
    <w:p w:rsidR="00E7027E" w:rsidP="00696E87">
      <w:pPr>
        <w:rPr>
          <w:rFonts w:eastAsia="Times New Roman"/>
          <w:b/>
          <w:bCs/>
          <w:sz w:val="24"/>
          <w:rtl/>
          <w:lang w:eastAsia="he-IL"/>
        </w:rPr>
      </w:pPr>
    </w:p>
    <w:p w:rsidR="00696E87" w:rsidRPr="00055E0C" w:rsidP="00696E87">
      <w:pPr>
        <w:rPr>
          <w:rFonts w:eastAsia="Times New Roman"/>
          <w:b/>
          <w:bCs/>
          <w:sz w:val="24"/>
          <w:rtl/>
          <w:lang w:eastAsia="he-IL"/>
        </w:rPr>
      </w:pPr>
      <w:r w:rsidRPr="00055E0C">
        <w:rPr>
          <w:rFonts w:eastAsia="Times New Roman" w:hint="cs"/>
          <w:b/>
          <w:bCs/>
          <w:sz w:val="24"/>
          <w:rtl/>
          <w:lang w:eastAsia="he-IL"/>
        </w:rPr>
        <w:t>היעדר</w:t>
      </w:r>
      <w:r w:rsidRPr="00055E0C">
        <w:rPr>
          <w:rFonts w:eastAsia="Times New Roman"/>
          <w:b/>
          <w:bCs/>
          <w:sz w:val="24"/>
          <w:rtl/>
          <w:lang w:eastAsia="he-IL"/>
        </w:rPr>
        <w:t xml:space="preserve"> משקפי אב"ך לחיילים הזקוקים לכך </w:t>
      </w:r>
      <w:r w:rsidRPr="00055E0C">
        <w:rPr>
          <w:rFonts w:eastAsia="Times New Roman" w:hint="cs"/>
          <w:b/>
          <w:bCs/>
          <w:sz w:val="24"/>
          <w:rtl/>
          <w:lang w:eastAsia="he-IL"/>
        </w:rPr>
        <w:t xml:space="preserve">עלול לשבש את </w:t>
      </w:r>
      <w:r w:rsidRPr="00055E0C">
        <w:rPr>
          <w:rFonts w:eastAsia="Times New Roman"/>
          <w:b/>
          <w:bCs/>
          <w:sz w:val="24"/>
          <w:rtl/>
          <w:lang w:eastAsia="he-IL"/>
        </w:rPr>
        <w:t>תפקודם</w:t>
      </w:r>
      <w:r w:rsidRPr="00055E0C">
        <w:rPr>
          <w:rFonts w:eastAsia="Times New Roman" w:hint="cs"/>
          <w:b/>
          <w:bCs/>
          <w:sz w:val="24"/>
          <w:rtl/>
          <w:lang w:eastAsia="he-IL"/>
        </w:rPr>
        <w:t>, לפגוע ביכולתם למלא את משימתם</w:t>
      </w:r>
      <w:r w:rsidRPr="00055E0C">
        <w:rPr>
          <w:rFonts w:eastAsia="Times New Roman"/>
          <w:b/>
          <w:bCs/>
          <w:sz w:val="24"/>
          <w:rtl/>
          <w:lang w:eastAsia="he-IL"/>
        </w:rPr>
        <w:t xml:space="preserve"> ב</w:t>
      </w:r>
      <w:r w:rsidRPr="00055E0C">
        <w:rPr>
          <w:rFonts w:eastAsia="Times New Roman" w:hint="cs"/>
          <w:b/>
          <w:bCs/>
          <w:sz w:val="24"/>
          <w:rtl/>
          <w:lang w:eastAsia="he-IL"/>
        </w:rPr>
        <w:t>לחימה</w:t>
      </w:r>
      <w:r w:rsidRPr="00055E0C">
        <w:rPr>
          <w:rFonts w:eastAsia="Times New Roman"/>
          <w:b/>
          <w:bCs/>
          <w:sz w:val="24"/>
          <w:rtl/>
          <w:lang w:eastAsia="he-IL"/>
        </w:rPr>
        <w:t xml:space="preserve"> </w:t>
      </w:r>
      <w:r w:rsidRPr="00055E0C">
        <w:rPr>
          <w:rFonts w:eastAsia="Times New Roman" w:hint="cs"/>
          <w:b/>
          <w:bCs/>
          <w:sz w:val="24"/>
          <w:rtl/>
          <w:lang w:eastAsia="he-IL"/>
        </w:rPr>
        <w:t>ואף להעמידם</w:t>
      </w:r>
      <w:r w:rsidRPr="00055E0C">
        <w:rPr>
          <w:rFonts w:eastAsia="Times New Roman"/>
          <w:b/>
          <w:bCs/>
          <w:sz w:val="24"/>
          <w:rtl/>
          <w:lang w:eastAsia="he-IL"/>
        </w:rPr>
        <w:t xml:space="preserve"> בסיכון מיותר</w:t>
      </w:r>
      <w:r w:rsidRPr="00055E0C">
        <w:rPr>
          <w:rFonts w:eastAsia="Times New Roman" w:hint="cs"/>
          <w:b/>
          <w:bCs/>
          <w:sz w:val="24"/>
          <w:rtl/>
          <w:lang w:eastAsia="he-IL"/>
        </w:rPr>
        <w:t xml:space="preserve">. </w:t>
      </w:r>
    </w:p>
    <w:p w:rsidR="00E7027E" w:rsidP="00696E87">
      <w:pPr>
        <w:rPr>
          <w:rFonts w:eastAsia="Times New Roman"/>
          <w:b/>
          <w:bCs/>
          <w:sz w:val="24"/>
          <w:rtl/>
          <w:lang w:eastAsia="he-IL"/>
        </w:rPr>
      </w:pPr>
    </w:p>
    <w:p w:rsidR="00696E87" w:rsidRPr="00055E0C" w:rsidP="00696E87">
      <w:pPr>
        <w:rPr>
          <w:rFonts w:eastAsia="Times New Roman"/>
          <w:b/>
          <w:bCs/>
          <w:sz w:val="24"/>
          <w:rtl/>
          <w:lang w:eastAsia="he-IL"/>
        </w:rPr>
      </w:pPr>
      <w:r w:rsidRPr="00055E0C">
        <w:rPr>
          <w:rFonts w:eastAsia="Times New Roman" w:hint="cs"/>
          <w:b/>
          <w:bCs/>
          <w:sz w:val="24"/>
          <w:rtl/>
          <w:lang w:eastAsia="he-IL"/>
        </w:rPr>
        <w:t xml:space="preserve">על ז"י, בשיתוף פקע"ר ומקרפ"ר, להשלים את עבודת המטה על מנת לצמצם פער מתמשך זה. לאחר מכן על ז"י לבצע בקרה על כך שנוהל הנפקת משקפי אב"ך מיושם כנדרש בכל יחידות הזרוע, וזאת על מנת שכל חייל המרכיב משקפיים בעת השירות הסדיר ובמילואים </w:t>
      </w:r>
      <w:r w:rsidRPr="00055E0C">
        <w:rPr>
          <w:rFonts w:eastAsia="Times New Roman"/>
          <w:b/>
          <w:bCs/>
          <w:sz w:val="24"/>
          <w:rtl/>
          <w:lang w:eastAsia="he-IL"/>
        </w:rPr>
        <w:t xml:space="preserve">יוכל לבצע את תפקידו </w:t>
      </w:r>
      <w:r w:rsidRPr="00055E0C">
        <w:rPr>
          <w:rFonts w:eastAsia="Times New Roman" w:hint="cs"/>
          <w:b/>
          <w:bCs/>
          <w:sz w:val="24"/>
          <w:rtl/>
          <w:lang w:eastAsia="he-IL"/>
        </w:rPr>
        <w:t xml:space="preserve">בעת חירום </w:t>
      </w:r>
      <w:r w:rsidRPr="00055E0C">
        <w:rPr>
          <w:rFonts w:eastAsia="Times New Roman"/>
          <w:b/>
          <w:bCs/>
          <w:sz w:val="24"/>
          <w:rtl/>
          <w:lang w:eastAsia="he-IL"/>
        </w:rPr>
        <w:t>ולהשלים את משימתו</w:t>
      </w:r>
      <w:r w:rsidRPr="00055E0C">
        <w:rPr>
          <w:rFonts w:eastAsia="Times New Roman" w:hint="cs"/>
          <w:b/>
          <w:bCs/>
          <w:sz w:val="24"/>
          <w:rtl/>
          <w:lang w:eastAsia="he-IL"/>
        </w:rPr>
        <w:t xml:space="preserve"> בעת התקפת חל"ך.</w:t>
      </w:r>
    </w:p>
    <w:p w:rsidR="00696E87" w:rsidRPr="00055E0C" w:rsidP="00696E87">
      <w:pPr>
        <w:spacing w:line="240" w:lineRule="auto"/>
        <w:rPr>
          <w:rFonts w:eastAsia="Times New Roman"/>
          <w:b/>
          <w:bCs/>
          <w:sz w:val="24"/>
          <w:rtl/>
          <w:lang w:eastAsia="he-IL"/>
        </w:rPr>
      </w:pPr>
    </w:p>
    <w:p w:rsidR="00696E87" w:rsidRPr="00055E0C" w:rsidP="00EB1437">
      <w:pPr>
        <w:pStyle w:val="Heading2"/>
        <w:rPr>
          <w:rFonts w:eastAsia="Times New Roman"/>
          <w:rtl/>
        </w:rPr>
      </w:pPr>
      <w:r w:rsidRPr="00055E0C">
        <w:rPr>
          <w:rFonts w:eastAsia="Times New Roman" w:hint="cs"/>
          <w:rtl/>
        </w:rPr>
        <w:t xml:space="preserve">תמונת מצב ההיערכות לאיום הב"ך ביבשה </w:t>
      </w:r>
    </w:p>
    <w:p w:rsidR="00696E87" w:rsidRPr="00055E0C" w:rsidP="00696E87">
      <w:pPr>
        <w:rPr>
          <w:rFonts w:eastAsia="Calibri"/>
          <w:rtl/>
        </w:rPr>
      </w:pPr>
    </w:p>
    <w:p w:rsidR="00696E87" w:rsidRPr="00055E0C" w:rsidP="00085EE8">
      <w:pPr>
        <w:rPr>
          <w:rFonts w:eastAsia="Calibri"/>
          <w:b/>
          <w:bCs/>
          <w:rtl/>
          <w:lang w:eastAsia="he-IL"/>
        </w:rPr>
      </w:pPr>
      <w:r w:rsidRPr="00055E0C">
        <w:rPr>
          <w:rFonts w:eastAsia="Calibri" w:hint="cs"/>
          <w:b/>
          <w:bCs/>
          <w:rtl/>
          <w:lang w:eastAsia="he-IL"/>
        </w:rPr>
        <w:t xml:space="preserve">נוכח הממצאים שעלו הן בביקורת הקודמת והן בדוח זה, וכן נוכח השנים הרבות שעברו מאז הוגש דוח טסלר, ראוי שכל נושא איום הב"ך בחזית ייבחן שוב בצה"ל הן לעניין בניין הכוח והן לעניין הפעלתו. זאת כדי להבטיח מענה מיטבי לאיום הב"ך ביום פקודה. </w:t>
      </w:r>
    </w:p>
    <w:p w:rsidR="00E7027E" w:rsidP="00696E87">
      <w:pPr>
        <w:rPr>
          <w:rFonts w:eastAsia="Calibri"/>
          <w:rtl/>
          <w:lang w:eastAsia="he-IL"/>
        </w:rPr>
      </w:pPr>
    </w:p>
    <w:p w:rsidR="00696E87" w:rsidRPr="00055E0C" w:rsidP="00696E87">
      <w:pPr>
        <w:rPr>
          <w:rFonts w:eastAsia="Calibri"/>
          <w:rtl/>
          <w:lang w:eastAsia="he-IL"/>
        </w:rPr>
      </w:pPr>
      <w:r w:rsidRPr="00055E0C">
        <w:rPr>
          <w:rFonts w:eastAsia="Calibri" w:hint="cs"/>
          <w:rtl/>
          <w:lang w:eastAsia="he-IL"/>
        </w:rPr>
        <w:t>בתגובה שמסר צה"ל במאי 2020 למשרד מבקר המדינה נכתב כי הוא יחל בביצוע עבודת מטה בהובלת סגן הרמטכ"ל, אשר תבחן את אופן אסדרת ההתמודדות עם איום הב"ך הרלוונטי, ואת סוגיית האחריות לבניין הכוח, למוכנות ולכשירות.</w:t>
      </w:r>
    </w:p>
    <w:p w:rsidR="00E7027E" w:rsidP="00085EE8">
      <w:pPr>
        <w:rPr>
          <w:rFonts w:eastAsia="Calibri"/>
          <w:rtl/>
          <w:lang w:eastAsia="he-IL"/>
        </w:rPr>
      </w:pPr>
    </w:p>
    <w:p w:rsidR="00696E87" w:rsidRPr="00055E0C" w:rsidP="00085EE8">
      <w:pPr>
        <w:rPr>
          <w:rFonts w:eastAsia="Calibri"/>
          <w:rtl/>
          <w:lang w:eastAsia="he-IL"/>
        </w:rPr>
      </w:pPr>
      <w:r w:rsidRPr="00055E0C">
        <w:rPr>
          <w:rFonts w:eastAsia="Calibri" w:hint="cs"/>
          <w:rtl/>
          <w:lang w:eastAsia="he-IL"/>
        </w:rPr>
        <w:t>בסיכום סגן הרמטכ"ל לדיון בתגובת צה"ל למשרד מבקר המדינה הוא הנחה כי עבודת המטה תוצג לו בספטמבר 2020, על מנת שתשולב במסגרת תר"ש 'תנופה', וזאת בהתחשב בסדרי העדיפויות והתקציב.</w:t>
      </w:r>
    </w:p>
    <w:p w:rsidR="00E7027E" w:rsidP="00085EE8">
      <w:pPr>
        <w:rPr>
          <w:rFonts w:eastAsia="Calibri"/>
          <w:b/>
          <w:bCs/>
          <w:rtl/>
          <w:lang w:eastAsia="he-IL"/>
        </w:rPr>
      </w:pPr>
    </w:p>
    <w:p w:rsidR="00696E87" w:rsidRPr="00055E0C" w:rsidP="00085EE8">
      <w:pPr>
        <w:rPr>
          <w:rFonts w:eastAsia="Calibri"/>
          <w:b/>
          <w:bCs/>
          <w:rtl/>
          <w:lang w:eastAsia="he-IL"/>
        </w:rPr>
      </w:pPr>
      <w:r w:rsidRPr="00055E0C">
        <w:rPr>
          <w:rFonts w:eastAsia="Calibri" w:hint="cs"/>
          <w:b/>
          <w:bCs/>
          <w:rtl/>
          <w:lang w:eastAsia="he-IL"/>
        </w:rPr>
        <w:t>מבקר המדינה מציין לחיוב את הנחיית סגן הרמטכ"ל לבחון בעבודת מטה את ההתמודדות עם איום הב"ך. מומלץ</w:t>
      </w:r>
      <w:r w:rsidRPr="00055E0C">
        <w:rPr>
          <w:rFonts w:eastAsia="Calibri"/>
          <w:b/>
          <w:bCs/>
          <w:rtl/>
          <w:lang w:eastAsia="he-IL"/>
        </w:rPr>
        <w:t xml:space="preserve"> כי</w:t>
      </w:r>
      <w:r w:rsidRPr="00055E0C">
        <w:rPr>
          <w:rFonts w:eastAsia="Calibri" w:hint="cs"/>
          <w:b/>
          <w:bCs/>
          <w:rtl/>
          <w:lang w:eastAsia="he-IL"/>
        </w:rPr>
        <w:t xml:space="preserve"> עבודת מטה זו תעסוק בכל הפערים שעלו בדוח זה. בהתאם</w:t>
      </w:r>
      <w:r w:rsidRPr="00055E0C">
        <w:rPr>
          <w:rFonts w:eastAsia="Calibri"/>
          <w:b/>
          <w:bCs/>
          <w:rtl/>
          <w:lang w:eastAsia="he-IL"/>
        </w:rPr>
        <w:t xml:space="preserve"> </w:t>
      </w:r>
      <w:r w:rsidRPr="00055E0C">
        <w:rPr>
          <w:rFonts w:eastAsia="Calibri" w:hint="cs"/>
          <w:b/>
          <w:bCs/>
          <w:rtl/>
          <w:lang w:eastAsia="he-IL"/>
        </w:rPr>
        <w:t>לתוצאות</w:t>
      </w:r>
      <w:r w:rsidRPr="00055E0C">
        <w:rPr>
          <w:rFonts w:eastAsia="Calibri"/>
          <w:b/>
          <w:bCs/>
          <w:rtl/>
          <w:lang w:eastAsia="he-IL"/>
        </w:rPr>
        <w:t xml:space="preserve"> </w:t>
      </w:r>
      <w:r w:rsidRPr="00055E0C">
        <w:rPr>
          <w:rFonts w:eastAsia="Calibri" w:hint="cs"/>
          <w:b/>
          <w:bCs/>
          <w:rtl/>
          <w:lang w:eastAsia="he-IL"/>
        </w:rPr>
        <w:t>עבודת</w:t>
      </w:r>
      <w:r w:rsidRPr="00055E0C">
        <w:rPr>
          <w:rFonts w:eastAsia="Calibri"/>
          <w:b/>
          <w:bCs/>
          <w:rtl/>
          <w:lang w:eastAsia="he-IL"/>
        </w:rPr>
        <w:t xml:space="preserve"> </w:t>
      </w:r>
      <w:r w:rsidRPr="00055E0C">
        <w:rPr>
          <w:rFonts w:eastAsia="Calibri" w:hint="cs"/>
          <w:b/>
          <w:bCs/>
          <w:rtl/>
          <w:lang w:eastAsia="he-IL"/>
        </w:rPr>
        <w:t>מטה</w:t>
      </w:r>
      <w:r w:rsidRPr="00055E0C">
        <w:rPr>
          <w:rFonts w:eastAsia="Calibri"/>
          <w:b/>
          <w:bCs/>
          <w:rtl/>
          <w:lang w:eastAsia="he-IL"/>
        </w:rPr>
        <w:t xml:space="preserve"> </w:t>
      </w:r>
      <w:r w:rsidRPr="00055E0C">
        <w:rPr>
          <w:rFonts w:eastAsia="Calibri" w:hint="cs"/>
          <w:b/>
          <w:bCs/>
          <w:rtl/>
          <w:lang w:eastAsia="he-IL"/>
        </w:rPr>
        <w:t>זו</w:t>
      </w:r>
      <w:r w:rsidRPr="00055E0C">
        <w:rPr>
          <w:rFonts w:eastAsia="Calibri"/>
          <w:b/>
          <w:bCs/>
          <w:rtl/>
          <w:lang w:eastAsia="he-IL"/>
        </w:rPr>
        <w:t xml:space="preserve">, </w:t>
      </w:r>
      <w:r w:rsidRPr="00055E0C">
        <w:rPr>
          <w:rFonts w:eastAsia="Calibri" w:hint="cs"/>
          <w:b/>
          <w:bCs/>
          <w:rtl/>
          <w:lang w:eastAsia="he-IL"/>
        </w:rPr>
        <w:t>מומלץ</w:t>
      </w:r>
      <w:r w:rsidRPr="00055E0C">
        <w:rPr>
          <w:rFonts w:eastAsia="Calibri"/>
          <w:b/>
          <w:bCs/>
          <w:rtl/>
          <w:lang w:eastAsia="he-IL"/>
        </w:rPr>
        <w:t xml:space="preserve"> </w:t>
      </w:r>
      <w:r w:rsidRPr="00055E0C">
        <w:rPr>
          <w:rFonts w:eastAsia="Calibri" w:hint="cs"/>
          <w:b/>
          <w:bCs/>
          <w:rtl/>
          <w:lang w:eastAsia="he-IL"/>
        </w:rPr>
        <w:t>כי</w:t>
      </w:r>
      <w:r w:rsidRPr="00055E0C">
        <w:rPr>
          <w:rFonts w:eastAsia="Calibri"/>
          <w:b/>
          <w:bCs/>
          <w:rtl/>
          <w:lang w:eastAsia="he-IL"/>
        </w:rPr>
        <w:t xml:space="preserve"> </w:t>
      </w:r>
      <w:r w:rsidRPr="00055E0C">
        <w:rPr>
          <w:rFonts w:eastAsia="Calibri" w:hint="cs"/>
          <w:b/>
          <w:bCs/>
          <w:rtl/>
          <w:lang w:eastAsia="he-IL"/>
        </w:rPr>
        <w:t>סגן</w:t>
      </w:r>
      <w:r w:rsidRPr="00055E0C">
        <w:rPr>
          <w:rFonts w:eastAsia="Calibri"/>
          <w:b/>
          <w:bCs/>
          <w:rtl/>
          <w:lang w:eastAsia="he-IL"/>
        </w:rPr>
        <w:t xml:space="preserve"> </w:t>
      </w:r>
      <w:r w:rsidRPr="00055E0C">
        <w:rPr>
          <w:rFonts w:eastAsia="Calibri" w:hint="cs"/>
          <w:b/>
          <w:bCs/>
          <w:rtl/>
          <w:lang w:eastAsia="he-IL"/>
        </w:rPr>
        <w:t>הרמטכ</w:t>
      </w:r>
      <w:r w:rsidRPr="00055E0C">
        <w:rPr>
          <w:rFonts w:eastAsia="Calibri"/>
          <w:b/>
          <w:bCs/>
          <w:rtl/>
          <w:lang w:eastAsia="he-IL"/>
        </w:rPr>
        <w:t xml:space="preserve">"ל </w:t>
      </w:r>
      <w:r w:rsidRPr="00055E0C">
        <w:rPr>
          <w:rFonts w:eastAsia="Calibri" w:hint="cs"/>
          <w:b/>
          <w:bCs/>
          <w:rtl/>
          <w:lang w:eastAsia="he-IL"/>
        </w:rPr>
        <w:t>יגבש הנחיות לגבי דרכים לשיפור ההיערכות להתמודדות עם איום זה.</w:t>
      </w:r>
    </w:p>
    <w:p w:rsidR="00696E87" w:rsidP="00696E87">
      <w:pPr>
        <w:rPr>
          <w:rFonts w:eastAsia="Calibri"/>
          <w:rtl/>
          <w:lang w:eastAsia="he-IL"/>
        </w:rPr>
      </w:pPr>
    </w:p>
    <w:p w:rsidR="00493A4F" w:rsidRPr="00055E0C" w:rsidP="00696E87">
      <w:pPr>
        <w:rPr>
          <w:rFonts w:eastAsia="Calibri"/>
          <w:rtl/>
          <w:lang w:eastAsia="he-IL"/>
        </w:rPr>
      </w:pPr>
    </w:p>
    <w:p w:rsidR="00696E87" w:rsidP="00493A4F">
      <w:pPr>
        <w:pStyle w:val="Heading3"/>
        <w:rPr>
          <w:rFonts w:eastAsia="Times New Roman"/>
          <w:rtl/>
        </w:rPr>
      </w:pPr>
      <w:r w:rsidRPr="00055E0C">
        <w:rPr>
          <w:rFonts w:eastAsia="Times New Roman" w:hint="cs"/>
          <w:rtl/>
        </w:rPr>
        <w:t xml:space="preserve">סיכום </w:t>
      </w:r>
    </w:p>
    <w:p w:rsidR="00493A4F" w:rsidRPr="00493A4F" w:rsidP="00493A4F">
      <w:pPr>
        <w:rPr>
          <w:rtl/>
        </w:rPr>
      </w:pPr>
    </w:p>
    <w:p w:rsidR="00696E87" w:rsidRPr="00055E0C" w:rsidP="00C27D96">
      <w:pPr>
        <w:rPr>
          <w:rFonts w:eastAsia="Calibri"/>
          <w:b/>
          <w:bCs/>
          <w:rtl/>
        </w:rPr>
      </w:pPr>
      <w:r w:rsidRPr="00055E0C">
        <w:rPr>
          <w:rFonts w:eastAsia="Calibri" w:hint="cs"/>
          <w:b/>
          <w:bCs/>
          <w:rtl/>
        </w:rPr>
        <w:t xml:space="preserve">תמונת המצב של מוכנות כוחות היבשה לאיום הכימי </w:t>
      </w:r>
      <w:r w:rsidRPr="00055E0C" w:rsidR="00946A55">
        <w:rPr>
          <w:rFonts w:eastAsia="Calibri" w:hint="cs"/>
          <w:b/>
          <w:bCs/>
          <w:rtl/>
        </w:rPr>
        <w:t xml:space="preserve">דורשת </w:t>
      </w:r>
      <w:r w:rsidRPr="00055E0C">
        <w:rPr>
          <w:rFonts w:eastAsia="Calibri" w:hint="cs"/>
          <w:b/>
          <w:bCs/>
          <w:rtl/>
        </w:rPr>
        <w:t xml:space="preserve">מעורבות מפקדים על מנת לטפל בנושא זה. ראוי שזרוע היבשה תגביר את הבקרה על שמירת הכשירות לאיום הכימי, בדגש על אימונים, ותקדם את עבודת המטה בנושא גדודי האב"ך. </w:t>
      </w:r>
    </w:p>
    <w:p w:rsidR="00696E87" w:rsidRPr="00696E87" w:rsidP="00696E87">
      <w:pPr>
        <w:rPr>
          <w:rFonts w:eastAsia="Calibri"/>
          <w:b/>
          <w:bCs/>
          <w:rtl/>
        </w:rPr>
      </w:pPr>
      <w:r w:rsidRPr="00055E0C">
        <w:rPr>
          <w:rFonts w:eastAsia="Calibri" w:hint="cs"/>
          <w:b/>
          <w:bCs/>
          <w:rtl/>
        </w:rPr>
        <w:br/>
        <w:t>לאחר העברת ממצאי הביקורת לצה"ל הנחה סגן הרמטכ"ל לבצע עבודת מטה לבחינת ההתמודדות עם איום הב"ך. מומלץ כי עבודת מטה זו תעסוק במכלול השיקולים האמורים.</w:t>
      </w:r>
    </w:p>
    <w:sectPr w:rsidSect="00F701FB">
      <w:headerReference w:type="default" r:id="rId6"/>
      <w:pgSz w:w="11906" w:h="16838"/>
      <w:pgMar w:top="1701" w:right="1984" w:bottom="1587" w:left="1701" w:header="709" w:footer="709" w:gutter="0"/>
      <w:pgNumType w:start="4"/>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27C55">
      <w:pPr>
        <w:spacing w:line="240" w:lineRule="auto"/>
      </w:pPr>
      <w:r>
        <w:separator/>
      </w:r>
    </w:p>
  </w:footnote>
  <w:footnote w:type="continuationSeparator" w:id="1">
    <w:p w:rsidR="00C27C55">
      <w:pPr>
        <w:spacing w:line="240" w:lineRule="auto"/>
      </w:pPr>
      <w:r>
        <w:continuationSeparator/>
      </w:r>
    </w:p>
  </w:footnote>
  <w:footnote w:id="2">
    <w:p w:rsidR="00696E87" w:rsidP="00696E87">
      <w:pPr>
        <w:pStyle w:val="FootnoteText"/>
      </w:pPr>
      <w:r>
        <w:rPr>
          <w:rStyle w:val="FootnoteReference"/>
        </w:rPr>
        <w:footnoteRef/>
      </w:r>
      <w:r>
        <w:rPr>
          <w:rtl/>
        </w:rPr>
        <w:t xml:space="preserve"> </w:t>
      </w:r>
      <w:r>
        <w:rPr>
          <w:rtl/>
        </w:rPr>
        <w:tab/>
      </w:r>
      <w:r>
        <w:rPr>
          <w:rFonts w:hint="cs"/>
          <w:rtl/>
        </w:rPr>
        <w:t xml:space="preserve">איום - </w:t>
      </w:r>
      <w:r w:rsidRPr="00BE3DD8">
        <w:rPr>
          <w:rFonts w:hint="cs"/>
          <w:rtl/>
        </w:rPr>
        <w:t>יכולת</w:t>
      </w:r>
      <w:r>
        <w:rPr>
          <w:rFonts w:hint="cs"/>
          <w:rtl/>
        </w:rPr>
        <w:t xml:space="preserve"> </w:t>
      </w:r>
      <w:r w:rsidRPr="00BE3DD8">
        <w:rPr>
          <w:rFonts w:hint="cs"/>
          <w:rtl/>
        </w:rPr>
        <w:t>הצפונה</w:t>
      </w:r>
      <w:r>
        <w:rPr>
          <w:rFonts w:hint="cs"/>
          <w:rtl/>
        </w:rPr>
        <w:t xml:space="preserve"> </w:t>
      </w:r>
      <w:r w:rsidRPr="00BE3DD8">
        <w:rPr>
          <w:rFonts w:hint="cs"/>
          <w:rtl/>
        </w:rPr>
        <w:t>באויב</w:t>
      </w:r>
      <w:r>
        <w:rPr>
          <w:rFonts w:hint="cs"/>
          <w:rtl/>
        </w:rPr>
        <w:t xml:space="preserve"> </w:t>
      </w:r>
      <w:r w:rsidRPr="00BE3DD8">
        <w:rPr>
          <w:rFonts w:hint="cs"/>
          <w:rtl/>
        </w:rPr>
        <w:t>(ודאי</w:t>
      </w:r>
      <w:r>
        <w:rPr>
          <w:rFonts w:hint="cs"/>
          <w:rtl/>
        </w:rPr>
        <w:t xml:space="preserve"> </w:t>
      </w:r>
      <w:r w:rsidRPr="00BE3DD8">
        <w:rPr>
          <w:rFonts w:hint="cs"/>
          <w:rtl/>
        </w:rPr>
        <w:t>או</w:t>
      </w:r>
      <w:r>
        <w:rPr>
          <w:rFonts w:hint="cs"/>
          <w:rtl/>
        </w:rPr>
        <w:t xml:space="preserve"> </w:t>
      </w:r>
      <w:r w:rsidRPr="00BE3DD8">
        <w:rPr>
          <w:rFonts w:hint="cs"/>
          <w:rtl/>
        </w:rPr>
        <w:t>אפשרי)</w:t>
      </w:r>
      <w:r>
        <w:rPr>
          <w:rFonts w:hint="cs"/>
          <w:rtl/>
        </w:rPr>
        <w:t xml:space="preserve"> </w:t>
      </w:r>
      <w:r w:rsidRPr="00BE3DD8">
        <w:rPr>
          <w:rFonts w:hint="cs"/>
          <w:rtl/>
        </w:rPr>
        <w:t>לתקוף</w:t>
      </w:r>
      <w:r>
        <w:rPr>
          <w:rFonts w:hint="cs"/>
          <w:rtl/>
        </w:rPr>
        <w:t xml:space="preserve"> </w:t>
      </w:r>
      <w:r w:rsidRPr="00BE3DD8">
        <w:rPr>
          <w:rFonts w:hint="cs"/>
          <w:rtl/>
        </w:rPr>
        <w:t>את</w:t>
      </w:r>
      <w:r>
        <w:rPr>
          <w:rFonts w:hint="cs"/>
          <w:rtl/>
        </w:rPr>
        <w:t xml:space="preserve"> </w:t>
      </w:r>
      <w:r w:rsidRPr="00BE3DD8">
        <w:rPr>
          <w:rFonts w:hint="cs"/>
          <w:rtl/>
        </w:rPr>
        <w:t>כוחותינו,</w:t>
      </w:r>
      <w:r>
        <w:rPr>
          <w:rFonts w:hint="cs"/>
          <w:rtl/>
        </w:rPr>
        <w:t xml:space="preserve"> </w:t>
      </w:r>
      <w:r w:rsidRPr="00BE3DD8">
        <w:rPr>
          <w:rFonts w:hint="cs"/>
          <w:rtl/>
        </w:rPr>
        <w:t>לסכן</w:t>
      </w:r>
      <w:r>
        <w:rPr>
          <w:rFonts w:hint="cs"/>
          <w:rtl/>
        </w:rPr>
        <w:t xml:space="preserve"> </w:t>
      </w:r>
      <w:r w:rsidRPr="00BE3DD8">
        <w:rPr>
          <w:rFonts w:hint="cs"/>
          <w:rtl/>
        </w:rPr>
        <w:t>אותם,</w:t>
      </w:r>
      <w:r>
        <w:rPr>
          <w:rFonts w:hint="cs"/>
          <w:rtl/>
        </w:rPr>
        <w:t xml:space="preserve"> </w:t>
      </w:r>
      <w:r w:rsidRPr="00BE3DD8">
        <w:rPr>
          <w:rFonts w:hint="cs"/>
          <w:rtl/>
        </w:rPr>
        <w:t>לכפות</w:t>
      </w:r>
      <w:r>
        <w:rPr>
          <w:rFonts w:hint="cs"/>
          <w:rtl/>
        </w:rPr>
        <w:t xml:space="preserve"> </w:t>
      </w:r>
      <w:r w:rsidRPr="00BE3DD8">
        <w:rPr>
          <w:rFonts w:hint="cs"/>
          <w:rtl/>
        </w:rPr>
        <w:t>עליהם</w:t>
      </w:r>
      <w:r>
        <w:rPr>
          <w:rFonts w:hint="cs"/>
          <w:rtl/>
        </w:rPr>
        <w:t xml:space="preserve"> </w:t>
      </w:r>
      <w:r w:rsidRPr="00BE3DD8">
        <w:rPr>
          <w:rFonts w:hint="cs"/>
          <w:rtl/>
        </w:rPr>
        <w:t>את</w:t>
      </w:r>
      <w:r>
        <w:rPr>
          <w:rFonts w:hint="cs"/>
          <w:rtl/>
        </w:rPr>
        <w:t xml:space="preserve"> </w:t>
      </w:r>
      <w:r w:rsidRPr="00BE3DD8">
        <w:rPr>
          <w:rFonts w:hint="cs"/>
          <w:rtl/>
        </w:rPr>
        <w:t>רצונו</w:t>
      </w:r>
      <w:r>
        <w:rPr>
          <w:rFonts w:hint="cs"/>
          <w:rtl/>
        </w:rPr>
        <w:t xml:space="preserve"> </w:t>
      </w:r>
      <w:r w:rsidRPr="00BE3DD8">
        <w:rPr>
          <w:rFonts w:hint="cs"/>
          <w:rtl/>
        </w:rPr>
        <w:t>או</w:t>
      </w:r>
      <w:r>
        <w:rPr>
          <w:rFonts w:hint="cs"/>
          <w:rtl/>
        </w:rPr>
        <w:t xml:space="preserve"> </w:t>
      </w:r>
      <w:r w:rsidRPr="00BE3DD8">
        <w:rPr>
          <w:rFonts w:hint="cs"/>
          <w:rtl/>
        </w:rPr>
        <w:t>להתנגד</w:t>
      </w:r>
      <w:r>
        <w:rPr>
          <w:rFonts w:hint="cs"/>
          <w:rtl/>
        </w:rPr>
        <w:t xml:space="preserve"> </w:t>
      </w:r>
      <w:r w:rsidRPr="00BE3DD8">
        <w:rPr>
          <w:rFonts w:hint="cs"/>
          <w:rtl/>
        </w:rPr>
        <w:t>לפעולותיהם</w:t>
      </w:r>
      <w:r>
        <w:rPr>
          <w:rFonts w:hint="cs"/>
          <w:rtl/>
        </w:rPr>
        <w:t xml:space="preserve"> </w:t>
      </w:r>
      <w:r w:rsidRPr="00BE3DD8">
        <w:rPr>
          <w:rFonts w:hint="cs"/>
          <w:rtl/>
        </w:rPr>
        <w:t>נגדו.</w:t>
      </w:r>
      <w:r>
        <w:rPr>
          <w:rFonts w:hint="cs"/>
          <w:rtl/>
        </w:rPr>
        <w:t xml:space="preserve"> </w:t>
      </w:r>
      <w:r w:rsidRPr="00BE3DD8">
        <w:rPr>
          <w:rFonts w:hint="cs"/>
          <w:rtl/>
        </w:rPr>
        <w:t>היחס</w:t>
      </w:r>
      <w:r>
        <w:rPr>
          <w:rFonts w:hint="cs"/>
          <w:rtl/>
        </w:rPr>
        <w:t xml:space="preserve"> </w:t>
      </w:r>
      <w:r w:rsidRPr="00BE3DD8">
        <w:rPr>
          <w:rFonts w:hint="cs"/>
          <w:rtl/>
        </w:rPr>
        <w:t>לכל</w:t>
      </w:r>
      <w:r>
        <w:rPr>
          <w:rFonts w:hint="cs"/>
          <w:rtl/>
        </w:rPr>
        <w:t xml:space="preserve"> </w:t>
      </w:r>
      <w:r w:rsidRPr="00BE3DD8">
        <w:rPr>
          <w:rFonts w:hint="cs"/>
          <w:rtl/>
        </w:rPr>
        <w:t>איום</w:t>
      </w:r>
      <w:r>
        <w:rPr>
          <w:rFonts w:hint="cs"/>
          <w:rtl/>
        </w:rPr>
        <w:t xml:space="preserve"> </w:t>
      </w:r>
      <w:r w:rsidRPr="00BE3DD8">
        <w:rPr>
          <w:rFonts w:hint="cs"/>
          <w:rtl/>
        </w:rPr>
        <w:t>האויב</w:t>
      </w:r>
      <w:r>
        <w:rPr>
          <w:rFonts w:hint="cs"/>
          <w:rtl/>
        </w:rPr>
        <w:t xml:space="preserve"> נקבע על פי </w:t>
      </w:r>
      <w:r w:rsidRPr="00BE3DD8">
        <w:rPr>
          <w:rFonts w:hint="cs"/>
          <w:rtl/>
        </w:rPr>
        <w:t>הנחות</w:t>
      </w:r>
      <w:r>
        <w:rPr>
          <w:rFonts w:hint="cs"/>
          <w:rtl/>
        </w:rPr>
        <w:t xml:space="preserve"> </w:t>
      </w:r>
      <w:r w:rsidRPr="00BE3DD8">
        <w:rPr>
          <w:rFonts w:hint="cs"/>
          <w:rtl/>
        </w:rPr>
        <w:t>אלו:</w:t>
      </w:r>
      <w:r>
        <w:rPr>
          <w:rFonts w:hint="cs"/>
          <w:rtl/>
        </w:rPr>
        <w:t xml:space="preserve"> </w:t>
      </w:r>
      <w:r w:rsidRPr="00BE3DD8">
        <w:rPr>
          <w:rFonts w:hint="cs"/>
          <w:rtl/>
        </w:rPr>
        <w:t>הוא</w:t>
      </w:r>
      <w:r>
        <w:rPr>
          <w:rFonts w:hint="cs"/>
          <w:rtl/>
        </w:rPr>
        <w:t xml:space="preserve"> </w:t>
      </w:r>
      <w:r w:rsidRPr="00BE3DD8">
        <w:rPr>
          <w:rFonts w:hint="cs"/>
          <w:rtl/>
        </w:rPr>
        <w:t>יוציא</w:t>
      </w:r>
      <w:r>
        <w:rPr>
          <w:rFonts w:hint="cs"/>
          <w:rtl/>
        </w:rPr>
        <w:t xml:space="preserve"> </w:t>
      </w:r>
      <w:r w:rsidRPr="00BE3DD8">
        <w:rPr>
          <w:rFonts w:hint="cs"/>
          <w:rtl/>
        </w:rPr>
        <w:t>אל</w:t>
      </w:r>
      <w:r>
        <w:rPr>
          <w:rFonts w:hint="cs"/>
          <w:rtl/>
        </w:rPr>
        <w:t xml:space="preserve"> </w:t>
      </w:r>
      <w:r w:rsidRPr="00BE3DD8">
        <w:rPr>
          <w:rFonts w:hint="cs"/>
          <w:rtl/>
        </w:rPr>
        <w:t>הפועל</w:t>
      </w:r>
      <w:r>
        <w:rPr>
          <w:rFonts w:hint="cs"/>
          <w:rtl/>
        </w:rPr>
        <w:t xml:space="preserve"> </w:t>
      </w:r>
      <w:r w:rsidRPr="00BE3DD8">
        <w:rPr>
          <w:rFonts w:hint="cs"/>
          <w:rtl/>
        </w:rPr>
        <w:t>כל</w:t>
      </w:r>
      <w:r>
        <w:rPr>
          <w:rFonts w:hint="cs"/>
          <w:rtl/>
        </w:rPr>
        <w:t xml:space="preserve"> </w:t>
      </w:r>
      <w:r w:rsidRPr="00BE3DD8">
        <w:rPr>
          <w:rFonts w:hint="cs"/>
          <w:rtl/>
        </w:rPr>
        <w:t>יכולת-בכוח</w:t>
      </w:r>
      <w:r>
        <w:rPr>
          <w:rFonts w:hint="cs"/>
          <w:rtl/>
        </w:rPr>
        <w:t xml:space="preserve"> </w:t>
      </w:r>
      <w:r w:rsidRPr="00BE3DD8">
        <w:rPr>
          <w:rFonts w:hint="cs"/>
          <w:rtl/>
        </w:rPr>
        <w:t>הטמונה</w:t>
      </w:r>
      <w:r>
        <w:rPr>
          <w:rFonts w:hint="cs"/>
          <w:rtl/>
        </w:rPr>
        <w:t xml:space="preserve"> </w:t>
      </w:r>
      <w:r w:rsidRPr="00BE3DD8">
        <w:rPr>
          <w:rFonts w:hint="cs"/>
          <w:rtl/>
        </w:rPr>
        <w:t>בו</w:t>
      </w:r>
      <w:r>
        <w:rPr>
          <w:rFonts w:hint="cs"/>
          <w:rtl/>
        </w:rPr>
        <w:t xml:space="preserve"> </w:t>
      </w:r>
      <w:r w:rsidRPr="00BE3DD8">
        <w:rPr>
          <w:rFonts w:hint="cs"/>
          <w:rtl/>
        </w:rPr>
        <w:t>או</w:t>
      </w:r>
      <w:r>
        <w:rPr>
          <w:rFonts w:hint="cs"/>
          <w:rtl/>
        </w:rPr>
        <w:t xml:space="preserve"> </w:t>
      </w:r>
      <w:r w:rsidRPr="00BE3DD8">
        <w:rPr>
          <w:rFonts w:hint="cs"/>
          <w:rtl/>
        </w:rPr>
        <w:t>הזמינה</w:t>
      </w:r>
      <w:r>
        <w:rPr>
          <w:rFonts w:hint="cs"/>
          <w:rtl/>
        </w:rPr>
        <w:t xml:space="preserve"> </w:t>
      </w:r>
      <w:r w:rsidRPr="00BE3DD8">
        <w:rPr>
          <w:rFonts w:hint="cs"/>
          <w:rtl/>
        </w:rPr>
        <w:t>לו;</w:t>
      </w:r>
      <w:r>
        <w:rPr>
          <w:rFonts w:hint="cs"/>
          <w:rtl/>
        </w:rPr>
        <w:t xml:space="preserve"> </w:t>
      </w:r>
      <w:r w:rsidRPr="00BE3DD8">
        <w:rPr>
          <w:rFonts w:hint="cs"/>
          <w:rtl/>
        </w:rPr>
        <w:t>יממש</w:t>
      </w:r>
      <w:r>
        <w:rPr>
          <w:rFonts w:hint="cs"/>
          <w:rtl/>
        </w:rPr>
        <w:t xml:space="preserve"> </w:t>
      </w:r>
      <w:r w:rsidRPr="00BE3DD8">
        <w:rPr>
          <w:rFonts w:hint="cs"/>
          <w:rtl/>
        </w:rPr>
        <w:t>את</w:t>
      </w:r>
      <w:r>
        <w:rPr>
          <w:rFonts w:hint="cs"/>
          <w:rtl/>
        </w:rPr>
        <w:t xml:space="preserve"> </w:t>
      </w:r>
      <w:r w:rsidRPr="00BE3DD8">
        <w:rPr>
          <w:rFonts w:hint="cs"/>
          <w:rtl/>
        </w:rPr>
        <w:t>יכולותיו</w:t>
      </w:r>
      <w:r>
        <w:rPr>
          <w:rFonts w:hint="cs"/>
          <w:rtl/>
        </w:rPr>
        <w:t xml:space="preserve"> </w:t>
      </w:r>
      <w:r w:rsidRPr="00BE3DD8">
        <w:rPr>
          <w:rFonts w:hint="cs"/>
          <w:rtl/>
        </w:rPr>
        <w:t>מימוש</w:t>
      </w:r>
      <w:r>
        <w:rPr>
          <w:rFonts w:hint="cs"/>
          <w:rtl/>
        </w:rPr>
        <w:t xml:space="preserve"> </w:t>
      </w:r>
      <w:r w:rsidRPr="00BE3DD8">
        <w:rPr>
          <w:rFonts w:hint="cs"/>
          <w:rtl/>
        </w:rPr>
        <w:t>מרבי;</w:t>
      </w:r>
      <w:r>
        <w:rPr>
          <w:rFonts w:hint="cs"/>
          <w:rtl/>
        </w:rPr>
        <w:t xml:space="preserve"> </w:t>
      </w:r>
      <w:r w:rsidRPr="00BE3DD8">
        <w:rPr>
          <w:rFonts w:hint="cs"/>
          <w:rtl/>
        </w:rPr>
        <w:t>יפעל</w:t>
      </w:r>
      <w:r>
        <w:rPr>
          <w:rFonts w:hint="cs"/>
          <w:rtl/>
        </w:rPr>
        <w:t xml:space="preserve"> </w:t>
      </w:r>
      <w:r w:rsidRPr="00BE3DD8">
        <w:rPr>
          <w:rFonts w:hint="cs"/>
          <w:rtl/>
        </w:rPr>
        <w:t>באופן,</w:t>
      </w:r>
      <w:r>
        <w:rPr>
          <w:rFonts w:hint="cs"/>
          <w:rtl/>
        </w:rPr>
        <w:t xml:space="preserve"> </w:t>
      </w:r>
      <w:r w:rsidRPr="00BE3DD8">
        <w:rPr>
          <w:rFonts w:hint="cs"/>
          <w:rtl/>
        </w:rPr>
        <w:t>בזמן</w:t>
      </w:r>
      <w:r>
        <w:rPr>
          <w:rFonts w:hint="cs"/>
          <w:rtl/>
        </w:rPr>
        <w:t xml:space="preserve"> </w:t>
      </w:r>
      <w:r w:rsidRPr="00BE3DD8">
        <w:rPr>
          <w:rFonts w:hint="cs"/>
          <w:rtl/>
        </w:rPr>
        <w:t>ובמקום</w:t>
      </w:r>
      <w:r>
        <w:rPr>
          <w:rFonts w:hint="cs"/>
          <w:rtl/>
        </w:rPr>
        <w:t xml:space="preserve"> </w:t>
      </w:r>
      <w:r w:rsidRPr="00BE3DD8">
        <w:rPr>
          <w:rFonts w:hint="cs"/>
          <w:rtl/>
        </w:rPr>
        <w:t>הנוחים</w:t>
      </w:r>
      <w:r>
        <w:rPr>
          <w:rFonts w:hint="cs"/>
          <w:rtl/>
        </w:rPr>
        <w:t xml:space="preserve"> </w:t>
      </w:r>
      <w:r w:rsidRPr="00BE3DD8">
        <w:rPr>
          <w:rFonts w:hint="cs"/>
          <w:rtl/>
        </w:rPr>
        <w:t>ביותר</w:t>
      </w:r>
      <w:r>
        <w:rPr>
          <w:rFonts w:hint="cs"/>
          <w:rtl/>
        </w:rPr>
        <w:t xml:space="preserve"> </w:t>
      </w:r>
      <w:r w:rsidRPr="00BE3DD8">
        <w:rPr>
          <w:rFonts w:hint="cs"/>
          <w:rtl/>
        </w:rPr>
        <w:t>עבורו,</w:t>
      </w:r>
      <w:r>
        <w:rPr>
          <w:rFonts w:hint="cs"/>
          <w:rtl/>
        </w:rPr>
        <w:t xml:space="preserve"> </w:t>
      </w:r>
      <w:r w:rsidRPr="00BE3DD8">
        <w:rPr>
          <w:rFonts w:hint="cs"/>
          <w:rtl/>
        </w:rPr>
        <w:t>והמסוכנים</w:t>
      </w:r>
      <w:r>
        <w:rPr>
          <w:rFonts w:hint="cs"/>
          <w:rtl/>
        </w:rPr>
        <w:t xml:space="preserve"> </w:t>
      </w:r>
      <w:r w:rsidRPr="00BE3DD8">
        <w:rPr>
          <w:rFonts w:hint="cs"/>
          <w:rtl/>
        </w:rPr>
        <w:t>ביותר</w:t>
      </w:r>
      <w:r>
        <w:rPr>
          <w:rFonts w:hint="cs"/>
          <w:rtl/>
        </w:rPr>
        <w:t xml:space="preserve"> </w:t>
      </w:r>
      <w:r w:rsidRPr="00BE3DD8">
        <w:rPr>
          <w:rFonts w:hint="cs"/>
          <w:rtl/>
        </w:rPr>
        <w:t>לנו</w:t>
      </w:r>
      <w:r>
        <w:rPr>
          <w:rFonts w:hint="cs"/>
          <w:rtl/>
        </w:rPr>
        <w:t>. המילון למונחי צה"ל (1998), אג"ם-תוה"ד, עמוד 31.</w:t>
      </w:r>
    </w:p>
  </w:footnote>
  <w:footnote w:id="3">
    <w:p w:rsidR="00696E87" w:rsidP="0067340E">
      <w:pPr>
        <w:pStyle w:val="FootnoteText"/>
      </w:pPr>
      <w:r>
        <w:rPr>
          <w:rStyle w:val="FootnoteReference"/>
        </w:rPr>
        <w:footnoteRef/>
      </w:r>
      <w:r>
        <w:rPr>
          <w:rtl/>
        </w:rPr>
        <w:t xml:space="preserve"> </w:t>
      </w:r>
      <w:r>
        <w:rPr>
          <w:rtl/>
        </w:rPr>
        <w:tab/>
      </w:r>
      <w:r>
        <w:rPr>
          <w:rFonts w:hint="cs"/>
          <w:rtl/>
        </w:rPr>
        <w:t xml:space="preserve">המילון למונחי צה"ל (1998), אג"ם-תוה"ד, עמוד 269. </w:t>
      </w:r>
    </w:p>
  </w:footnote>
  <w:footnote w:id="4">
    <w:p w:rsidR="00696E87" w:rsidP="00696E87">
      <w:pPr>
        <w:pStyle w:val="FootnoteText"/>
        <w:rPr>
          <w:rFonts w:hint="cs"/>
          <w:rtl/>
        </w:rPr>
      </w:pPr>
      <w:r>
        <w:rPr>
          <w:rStyle w:val="FootnoteReference"/>
        </w:rPr>
        <w:footnoteRef/>
      </w:r>
      <w:r>
        <w:rPr>
          <w:rtl/>
        </w:rPr>
        <w:t xml:space="preserve"> </w:t>
      </w:r>
      <w:r>
        <w:rPr>
          <w:rtl/>
        </w:rPr>
        <w:tab/>
      </w:r>
      <w:r>
        <w:t>.WEAPONS OF MASS DESTRUCTION, GAO, May 2000</w:t>
      </w:r>
    </w:p>
  </w:footnote>
  <w:footnote w:id="5">
    <w:p w:rsidR="003F07DD" w:rsidP="00BF7AA6">
      <w:pPr>
        <w:pStyle w:val="FootnoteText"/>
        <w:rPr>
          <w:rtl/>
        </w:rPr>
      </w:pPr>
      <w:r>
        <w:rPr>
          <w:rStyle w:val="FootnoteReference"/>
        </w:rPr>
        <w:footnoteRef/>
      </w:r>
      <w:r>
        <w:rPr>
          <w:rtl/>
        </w:rPr>
        <w:t xml:space="preserve"> </w:t>
      </w:r>
      <w:r w:rsidR="00BF7AA6">
        <w:rPr>
          <w:rtl/>
        </w:rPr>
        <w:tab/>
      </w:r>
      <w:r w:rsidRPr="003F07DD">
        <w:rPr>
          <w:rFonts w:hint="cs"/>
          <w:rtl/>
        </w:rPr>
        <w:t>איום</w:t>
      </w:r>
      <w:r w:rsidRPr="003F07DD">
        <w:t xml:space="preserve"> </w:t>
      </w:r>
      <w:r w:rsidRPr="003F07DD">
        <w:rPr>
          <w:rFonts w:hint="cs"/>
          <w:rtl/>
        </w:rPr>
        <w:t>ייחוס</w:t>
      </w:r>
      <w:r w:rsidRPr="003F07DD">
        <w:t xml:space="preserve"> - </w:t>
      </w:r>
      <w:r w:rsidRPr="003F07DD">
        <w:rPr>
          <w:rFonts w:hint="cs"/>
          <w:rtl/>
        </w:rPr>
        <w:t>האיום</w:t>
      </w:r>
      <w:r w:rsidRPr="003F07DD">
        <w:t xml:space="preserve"> </w:t>
      </w:r>
      <w:r w:rsidRPr="003F07DD">
        <w:rPr>
          <w:rFonts w:hint="cs"/>
          <w:rtl/>
        </w:rPr>
        <w:t>הנקבע</w:t>
      </w:r>
      <w:r w:rsidRPr="003F07DD">
        <w:t xml:space="preserve"> </w:t>
      </w:r>
      <w:r w:rsidRPr="003F07DD">
        <w:rPr>
          <w:rFonts w:hint="cs"/>
          <w:rtl/>
        </w:rPr>
        <w:t>לפי</w:t>
      </w:r>
      <w:r w:rsidRPr="003F07DD">
        <w:t xml:space="preserve"> </w:t>
      </w:r>
      <w:r w:rsidRPr="003F07DD">
        <w:rPr>
          <w:rFonts w:hint="cs"/>
          <w:rtl/>
        </w:rPr>
        <w:t>מכלול</w:t>
      </w:r>
      <w:r w:rsidRPr="003F07DD">
        <w:t xml:space="preserve"> </w:t>
      </w:r>
      <w:r w:rsidRPr="003F07DD">
        <w:rPr>
          <w:rFonts w:hint="cs"/>
          <w:rtl/>
        </w:rPr>
        <w:t>האיומים</w:t>
      </w:r>
      <w:r w:rsidRPr="003F07DD">
        <w:t xml:space="preserve"> </w:t>
      </w:r>
      <w:r w:rsidRPr="003F07DD">
        <w:rPr>
          <w:rFonts w:hint="cs"/>
          <w:rtl/>
        </w:rPr>
        <w:t>האסטרטגיים</w:t>
      </w:r>
      <w:r w:rsidR="00D2569C">
        <w:rPr>
          <w:rFonts w:hint="cs"/>
          <w:rtl/>
        </w:rPr>
        <w:t xml:space="preserve">, </w:t>
      </w:r>
      <w:r w:rsidRPr="003F07DD">
        <w:rPr>
          <w:rFonts w:hint="cs"/>
          <w:rtl/>
        </w:rPr>
        <w:t>הנכללים</w:t>
      </w:r>
      <w:r w:rsidRPr="003F07DD">
        <w:t xml:space="preserve"> </w:t>
      </w:r>
      <w:r w:rsidRPr="003F07DD">
        <w:rPr>
          <w:rFonts w:hint="cs"/>
          <w:rtl/>
        </w:rPr>
        <w:t>בהערכת</w:t>
      </w:r>
      <w:r w:rsidRPr="003F07DD">
        <w:t xml:space="preserve"> </w:t>
      </w:r>
      <w:r w:rsidRPr="003F07DD">
        <w:rPr>
          <w:rFonts w:hint="cs"/>
          <w:rtl/>
        </w:rPr>
        <w:t>המודיעין</w:t>
      </w:r>
      <w:r w:rsidRPr="003F07DD">
        <w:t xml:space="preserve"> </w:t>
      </w:r>
      <w:r w:rsidRPr="003F07DD">
        <w:rPr>
          <w:rFonts w:hint="cs"/>
          <w:rtl/>
        </w:rPr>
        <w:t>במסגרת</w:t>
      </w:r>
      <w:r w:rsidR="00BF7AA6">
        <w:rPr>
          <w:rFonts w:hint="cs"/>
          <w:rtl/>
        </w:rPr>
        <w:t xml:space="preserve"> </w:t>
      </w:r>
      <w:r w:rsidRPr="003F07DD">
        <w:rPr>
          <w:rFonts w:hint="cs"/>
          <w:rtl/>
        </w:rPr>
        <w:t>הערכת</w:t>
      </w:r>
      <w:r w:rsidRPr="003F07DD">
        <w:t xml:space="preserve"> </w:t>
      </w:r>
      <w:r w:rsidRPr="003F07DD">
        <w:rPr>
          <w:rFonts w:hint="cs"/>
          <w:rtl/>
        </w:rPr>
        <w:t>המצב</w:t>
      </w:r>
      <w:r w:rsidRPr="003F07DD">
        <w:t xml:space="preserve"> </w:t>
      </w:r>
      <w:r w:rsidRPr="003F07DD">
        <w:rPr>
          <w:rFonts w:hint="cs"/>
          <w:rtl/>
        </w:rPr>
        <w:t>בתחום</w:t>
      </w:r>
      <w:r w:rsidRPr="003F07DD">
        <w:t xml:space="preserve"> </w:t>
      </w:r>
      <w:r w:rsidRPr="003F07DD">
        <w:rPr>
          <w:rFonts w:hint="cs"/>
          <w:rtl/>
        </w:rPr>
        <w:t>הביטחון</w:t>
      </w:r>
      <w:r w:rsidRPr="003F07DD">
        <w:t xml:space="preserve"> </w:t>
      </w:r>
      <w:r w:rsidRPr="003F07DD">
        <w:rPr>
          <w:rFonts w:hint="cs"/>
          <w:rtl/>
        </w:rPr>
        <w:t>הלאומי</w:t>
      </w:r>
      <w:r w:rsidR="00D2569C">
        <w:rPr>
          <w:rFonts w:hint="cs"/>
          <w:rtl/>
        </w:rPr>
        <w:t>,</w:t>
      </w:r>
      <w:r w:rsidRPr="003F07DD">
        <w:t xml:space="preserve"> </w:t>
      </w:r>
      <w:r w:rsidRPr="003F07DD">
        <w:rPr>
          <w:rFonts w:hint="cs"/>
          <w:rtl/>
        </w:rPr>
        <w:t>והוא</w:t>
      </w:r>
      <w:r w:rsidRPr="003F07DD">
        <w:t xml:space="preserve"> </w:t>
      </w:r>
      <w:r w:rsidRPr="003F07DD">
        <w:rPr>
          <w:rFonts w:hint="cs"/>
          <w:rtl/>
        </w:rPr>
        <w:t>האיום</w:t>
      </w:r>
      <w:r w:rsidRPr="003F07DD">
        <w:t xml:space="preserve"> </w:t>
      </w:r>
      <w:r w:rsidRPr="003F07DD">
        <w:rPr>
          <w:rFonts w:hint="cs"/>
          <w:rtl/>
        </w:rPr>
        <w:t>המוגדר</w:t>
      </w:r>
      <w:r w:rsidRPr="003F07DD">
        <w:t xml:space="preserve"> </w:t>
      </w:r>
      <w:r w:rsidRPr="003F07DD">
        <w:rPr>
          <w:rFonts w:hint="cs"/>
          <w:rtl/>
        </w:rPr>
        <w:t>או</w:t>
      </w:r>
      <w:r w:rsidRPr="003F07DD">
        <w:t xml:space="preserve"> </w:t>
      </w:r>
      <w:r w:rsidRPr="003F07DD">
        <w:rPr>
          <w:rFonts w:hint="cs"/>
          <w:rtl/>
        </w:rPr>
        <w:t>המתואר</w:t>
      </w:r>
      <w:r w:rsidRPr="003F07DD">
        <w:t xml:space="preserve"> </w:t>
      </w:r>
      <w:r w:rsidRPr="003F07DD">
        <w:rPr>
          <w:rFonts w:hint="cs"/>
          <w:rtl/>
        </w:rPr>
        <w:t>בתסריט</w:t>
      </w:r>
      <w:r w:rsidRPr="003F07DD">
        <w:t xml:space="preserve"> </w:t>
      </w:r>
      <w:r w:rsidRPr="003F07DD">
        <w:rPr>
          <w:rFonts w:hint="cs"/>
          <w:rtl/>
        </w:rPr>
        <w:t>הייחוס</w:t>
      </w:r>
      <w:r w:rsidR="00D2569C">
        <w:rPr>
          <w:rFonts w:hint="cs"/>
          <w:rtl/>
        </w:rPr>
        <w:t xml:space="preserve">. </w:t>
      </w:r>
      <w:r w:rsidRPr="003F07DD">
        <w:rPr>
          <w:rFonts w:hint="cs"/>
          <w:rtl/>
        </w:rPr>
        <w:t>ראו</w:t>
      </w:r>
      <w:r w:rsidR="00D2569C">
        <w:rPr>
          <w:rFonts w:hint="cs"/>
          <w:rtl/>
        </w:rPr>
        <w:t xml:space="preserve"> הערה 1,</w:t>
      </w:r>
      <w:r w:rsidR="00BF7AA6">
        <w:rPr>
          <w:rFonts w:hint="cs"/>
          <w:rtl/>
        </w:rPr>
        <w:t xml:space="preserve"> </w:t>
      </w:r>
      <w:bookmarkStart w:id="0" w:name="_GoBack"/>
      <w:bookmarkEnd w:id="0"/>
      <w:r w:rsidRPr="003F07DD">
        <w:rPr>
          <w:rFonts w:hint="cs"/>
          <w:rtl/>
        </w:rPr>
        <w:t>עמ</w:t>
      </w:r>
      <w:r w:rsidR="000F779A">
        <w:rPr>
          <w:rFonts w:hint="cs"/>
          <w:rtl/>
        </w:rPr>
        <w:t>'</w:t>
      </w:r>
      <w:r w:rsidR="000F779A">
        <w:t>31</w:t>
      </w:r>
      <w:r w:rsidR="000F779A">
        <w:rPr>
          <w:rFonts w:hint="cs"/>
          <w:rtl/>
        </w:rPr>
        <w:t>.</w:t>
      </w:r>
      <w:r w:rsidRPr="003F07DD">
        <w:t xml:space="preserve"> </w:t>
      </w:r>
      <w:r w:rsidRPr="003F07DD">
        <w:rPr>
          <w:rFonts w:hint="cs"/>
          <w:rtl/>
        </w:rPr>
        <w:t>מול</w:t>
      </w:r>
      <w:r w:rsidRPr="003F07DD">
        <w:t xml:space="preserve"> </w:t>
      </w:r>
      <w:r w:rsidRPr="003F07DD">
        <w:rPr>
          <w:rFonts w:hint="cs"/>
          <w:rtl/>
        </w:rPr>
        <w:t>איום</w:t>
      </w:r>
      <w:r w:rsidRPr="003F07DD">
        <w:t xml:space="preserve"> </w:t>
      </w:r>
      <w:r w:rsidRPr="003F07DD">
        <w:rPr>
          <w:rFonts w:hint="cs"/>
          <w:rtl/>
        </w:rPr>
        <w:t>הייחוס</w:t>
      </w:r>
      <w:r w:rsidRPr="003F07DD">
        <w:t xml:space="preserve"> </w:t>
      </w:r>
      <w:r w:rsidRPr="003F07DD">
        <w:rPr>
          <w:rFonts w:hint="cs"/>
          <w:rtl/>
        </w:rPr>
        <w:t>יועמד</w:t>
      </w:r>
      <w:r w:rsidRPr="003F07DD">
        <w:t xml:space="preserve"> </w:t>
      </w:r>
      <w:r w:rsidRPr="003F07DD">
        <w:rPr>
          <w:rFonts w:hint="cs"/>
          <w:rtl/>
        </w:rPr>
        <w:t>מענה</w:t>
      </w:r>
      <w:r w:rsidRPr="003F07DD">
        <w:t xml:space="preserve"> </w:t>
      </w:r>
      <w:r w:rsidRPr="003F07DD">
        <w:rPr>
          <w:rFonts w:hint="cs"/>
          <w:rtl/>
        </w:rPr>
        <w:t>בבניין</w:t>
      </w:r>
      <w:r w:rsidRPr="003F07DD">
        <w:t xml:space="preserve"> </w:t>
      </w:r>
      <w:r w:rsidRPr="003F07DD">
        <w:rPr>
          <w:rFonts w:hint="cs"/>
          <w:rtl/>
        </w:rPr>
        <w:t>הכוח</w:t>
      </w:r>
      <w:r w:rsidRPr="003F07DD">
        <w:t xml:space="preserve"> </w:t>
      </w:r>
      <w:r w:rsidRPr="003F07DD">
        <w:rPr>
          <w:rFonts w:hint="cs"/>
          <w:rtl/>
        </w:rPr>
        <w:t>במסגרת</w:t>
      </w:r>
      <w:r w:rsidRPr="003F07DD">
        <w:t xml:space="preserve"> </w:t>
      </w:r>
      <w:r w:rsidRPr="003F07DD">
        <w:rPr>
          <w:rFonts w:hint="cs"/>
          <w:rtl/>
        </w:rPr>
        <w:t>התוכנית</w:t>
      </w:r>
      <w:r w:rsidRPr="003F07DD">
        <w:t xml:space="preserve"> </w:t>
      </w:r>
      <w:r w:rsidRPr="003F07DD">
        <w:rPr>
          <w:rFonts w:hint="cs"/>
          <w:rtl/>
        </w:rPr>
        <w:t>הרב</w:t>
      </w:r>
      <w:r w:rsidRPr="003F07DD">
        <w:t>-</w:t>
      </w:r>
      <w:r w:rsidRPr="003F07DD">
        <w:rPr>
          <w:rFonts w:hint="cs"/>
          <w:rtl/>
        </w:rPr>
        <w:t>שנתית</w:t>
      </w:r>
      <w:r w:rsidR="00D2569C">
        <w:rPr>
          <w:rFonts w:hint="cs"/>
          <w:rtl/>
        </w:rPr>
        <w:t xml:space="preserve"> </w:t>
      </w:r>
      <w:r w:rsidRPr="003F07DD">
        <w:t>)</w:t>
      </w:r>
      <w:r w:rsidR="00D2569C">
        <w:rPr>
          <w:rFonts w:hint="cs"/>
          <w:rtl/>
        </w:rPr>
        <w:t>תר"ש).</w:t>
      </w:r>
    </w:p>
  </w:footnote>
  <w:footnote w:id="6">
    <w:p w:rsidR="00696E87" w:rsidP="00696E87">
      <w:pPr>
        <w:pStyle w:val="FootnoteText"/>
      </w:pPr>
      <w:r>
        <w:rPr>
          <w:rStyle w:val="FootnoteReference"/>
        </w:rPr>
        <w:footnoteRef/>
      </w:r>
      <w:r>
        <w:rPr>
          <w:rtl/>
        </w:rPr>
        <w:t xml:space="preserve"> </w:t>
      </w:r>
      <w:r>
        <w:rPr>
          <w:rtl/>
        </w:rPr>
        <w:tab/>
      </w:r>
      <w:r>
        <w:rPr>
          <w:rFonts w:hint="cs"/>
          <w:rtl/>
        </w:rPr>
        <w:t>ראו הערה 1, עמ' 299.</w:t>
      </w:r>
    </w:p>
  </w:footnote>
  <w:footnote w:id="7">
    <w:p w:rsidR="00696E87" w:rsidP="00696E87">
      <w:pPr>
        <w:pStyle w:val="FootnoteText"/>
      </w:pPr>
      <w:r>
        <w:rPr>
          <w:rStyle w:val="FootnoteReference"/>
        </w:rPr>
        <w:footnoteRef/>
      </w:r>
      <w:r>
        <w:rPr>
          <w:rtl/>
        </w:rPr>
        <w:t xml:space="preserve"> </w:t>
      </w:r>
      <w:r>
        <w:rPr>
          <w:rtl/>
        </w:rPr>
        <w:tab/>
      </w:r>
      <w:r>
        <w:rPr>
          <w:rFonts w:hint="cs"/>
          <w:rtl/>
        </w:rPr>
        <w:t>שם, עמ' 263.</w:t>
      </w:r>
    </w:p>
  </w:footnote>
  <w:footnote w:id="8">
    <w:p w:rsidR="00696E87" w:rsidP="00696E87">
      <w:pPr>
        <w:pStyle w:val="FootnoteText"/>
        <w:rPr>
          <w:rtl/>
        </w:rPr>
      </w:pPr>
      <w:r>
        <w:rPr>
          <w:rStyle w:val="FootnoteReference"/>
        </w:rPr>
        <w:footnoteRef/>
      </w:r>
      <w:r>
        <w:rPr>
          <w:rtl/>
        </w:rPr>
        <w:t xml:space="preserve"> </w:t>
      </w:r>
      <w:r>
        <w:rPr>
          <w:rtl/>
        </w:rPr>
        <w:tab/>
      </w:r>
      <w:r>
        <w:rPr>
          <w:rFonts w:hint="cs"/>
          <w:rtl/>
        </w:rPr>
        <w:t>הפקודות הכלליות שמוציא הרמטכ"ל באישור שר הביטחון, ובהן מפורטות פקודות הנוגעות לארגון הצבא, למנהל, למשטר ולמשמעת שבו ולהבטחת פעולתו התקינה של הצבא. המילון למונחי צה"ל, התשנ"ח-1998, עמוד 127.</w:t>
      </w:r>
    </w:p>
  </w:footnote>
  <w:footnote w:id="9">
    <w:p w:rsidR="00696E87" w:rsidP="00696E87">
      <w:pPr>
        <w:pStyle w:val="FootnoteText"/>
      </w:pPr>
      <w:r>
        <w:rPr>
          <w:rStyle w:val="FootnoteReference"/>
        </w:rPr>
        <w:footnoteRef/>
      </w:r>
      <w:r>
        <w:rPr>
          <w:rtl/>
        </w:rPr>
        <w:t xml:space="preserve"> </w:t>
      </w:r>
      <w:r>
        <w:rPr>
          <w:rtl/>
        </w:rPr>
        <w:tab/>
      </w:r>
      <w:r>
        <w:rPr>
          <w:rFonts w:hint="cs"/>
          <w:rtl/>
        </w:rPr>
        <w:t xml:space="preserve">השברה משמעה פעולות הכרוכות בעיתוד, בהרכשה, בהחסנה ובניפוק של אפסניה ליחידות צה"ל. </w:t>
      </w:r>
      <w:r>
        <w:rPr>
          <w:rtl/>
        </w:rPr>
        <w:br/>
      </w:r>
      <w:r>
        <w:rPr>
          <w:rFonts w:hint="cs"/>
          <w:rtl/>
        </w:rPr>
        <w:t>ראו הערה 1, עמ' 1 - 10, עמ' 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864903208"/>
      <w:docPartObj>
        <w:docPartGallery w:val="Page Numbers (Top of Page)"/>
        <w:docPartUnique/>
      </w:docPartObj>
    </w:sdtPr>
    <w:sdtEndPr>
      <w:rPr>
        <w:cs/>
      </w:rPr>
    </w:sdtEndPr>
    <w:sdtContent>
      <w:p w:rsidR="00AA4A06">
        <w:pPr>
          <w:pStyle w:val="Header"/>
          <w:jc w:val="center"/>
          <w:rPr>
            <w:rtl/>
            <w:cs/>
          </w:rPr>
        </w:pPr>
        <w:r>
          <w:fldChar w:fldCharType="begin"/>
        </w:r>
        <w:r>
          <w:rPr>
            <w:rtl/>
            <w:cs/>
          </w:rPr>
          <w:instrText>PAGE   \* MERGEFORMAT</w:instrText>
        </w:r>
        <w:r>
          <w:fldChar w:fldCharType="separate"/>
        </w:r>
        <w:r w:rsidRPr="00BF7AA6" w:rsidR="00BF7AA6">
          <w:rPr>
            <w:noProof/>
            <w:rtl/>
            <w:lang w:val="he-IL"/>
          </w:rPr>
          <w:t>5</w:t>
        </w:r>
        <w:r>
          <w:fldChar w:fldCharType="end"/>
        </w:r>
      </w:p>
    </w:sdtContent>
  </w:sdt>
  <w:p w:rsidR="00696E87" w:rsidRPr="00AA4A06" w:rsidP="00AA4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806CB"/>
    <w:multiLevelType w:val="multilevel"/>
    <w:tmpl w:val="72A002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0D08B0"/>
    <w:multiLevelType w:val="hybridMultilevel"/>
    <w:tmpl w:val="65DAB4AA"/>
    <w:lvl w:ilvl="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2">
    <w:nsid w:val="11A93B76"/>
    <w:multiLevelType w:val="hybridMultilevel"/>
    <w:tmpl w:val="67D0259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CB5B02"/>
    <w:multiLevelType w:val="hybridMultilevel"/>
    <w:tmpl w:val="345AAB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B17239"/>
    <w:multiLevelType w:val="hybridMultilevel"/>
    <w:tmpl w:val="CBD661C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D82C05"/>
    <w:multiLevelType w:val="hybridMultilevel"/>
    <w:tmpl w:val="18E0ABDE"/>
    <w:lvl w:ilvl="0">
      <w:start w:val="1"/>
      <w:numFmt w:val="decimal"/>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
    <w:nsid w:val="2AB50D15"/>
    <w:multiLevelType w:val="hybridMultilevel"/>
    <w:tmpl w:val="6E6A35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897E2A"/>
    <w:multiLevelType w:val="hybridMultilevel"/>
    <w:tmpl w:val="217271B8"/>
    <w:lvl w:ilvl="0">
      <w:start w:val="1"/>
      <w:numFmt w:val="hebrew1"/>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36633B26"/>
    <w:multiLevelType w:val="hybridMultilevel"/>
    <w:tmpl w:val="CBE238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D424D78"/>
    <w:multiLevelType w:val="hybridMultilevel"/>
    <w:tmpl w:val="6EB231DE"/>
    <w:lvl w:ilvl="0">
      <w:start w:val="1"/>
      <w:numFmt w:val="decimal"/>
      <w:lvlText w:val="%1."/>
      <w:lvlJc w:val="left"/>
      <w:pPr>
        <w:ind w:left="1032" w:hanging="360"/>
      </w:pPr>
    </w:lvl>
    <w:lvl w:ilvl="1" w:tentative="1">
      <w:start w:val="1"/>
      <w:numFmt w:val="lowerLetter"/>
      <w:lvlText w:val="%2."/>
      <w:lvlJc w:val="left"/>
      <w:pPr>
        <w:ind w:left="1752" w:hanging="360"/>
      </w:pPr>
    </w:lvl>
    <w:lvl w:ilvl="2" w:tentative="1">
      <w:start w:val="1"/>
      <w:numFmt w:val="lowerRoman"/>
      <w:lvlText w:val="%3."/>
      <w:lvlJc w:val="right"/>
      <w:pPr>
        <w:ind w:left="2472" w:hanging="180"/>
      </w:pPr>
    </w:lvl>
    <w:lvl w:ilvl="3" w:tentative="1">
      <w:start w:val="1"/>
      <w:numFmt w:val="decimal"/>
      <w:lvlText w:val="%4."/>
      <w:lvlJc w:val="left"/>
      <w:pPr>
        <w:ind w:left="3192" w:hanging="360"/>
      </w:pPr>
    </w:lvl>
    <w:lvl w:ilvl="4" w:tentative="1">
      <w:start w:val="1"/>
      <w:numFmt w:val="lowerLetter"/>
      <w:lvlText w:val="%5."/>
      <w:lvlJc w:val="left"/>
      <w:pPr>
        <w:ind w:left="3912" w:hanging="360"/>
      </w:pPr>
    </w:lvl>
    <w:lvl w:ilvl="5" w:tentative="1">
      <w:start w:val="1"/>
      <w:numFmt w:val="lowerRoman"/>
      <w:lvlText w:val="%6."/>
      <w:lvlJc w:val="right"/>
      <w:pPr>
        <w:ind w:left="4632" w:hanging="180"/>
      </w:pPr>
    </w:lvl>
    <w:lvl w:ilvl="6" w:tentative="1">
      <w:start w:val="1"/>
      <w:numFmt w:val="decimal"/>
      <w:lvlText w:val="%7."/>
      <w:lvlJc w:val="left"/>
      <w:pPr>
        <w:ind w:left="5352" w:hanging="360"/>
      </w:pPr>
    </w:lvl>
    <w:lvl w:ilvl="7" w:tentative="1">
      <w:start w:val="1"/>
      <w:numFmt w:val="lowerLetter"/>
      <w:lvlText w:val="%8."/>
      <w:lvlJc w:val="left"/>
      <w:pPr>
        <w:ind w:left="6072" w:hanging="360"/>
      </w:pPr>
    </w:lvl>
    <w:lvl w:ilvl="8" w:tentative="1">
      <w:start w:val="1"/>
      <w:numFmt w:val="lowerRoman"/>
      <w:lvlText w:val="%9."/>
      <w:lvlJc w:val="right"/>
      <w:pPr>
        <w:ind w:left="6792" w:hanging="180"/>
      </w:pPr>
    </w:lvl>
  </w:abstractNum>
  <w:abstractNum w:abstractNumId="10">
    <w:nsid w:val="400E174A"/>
    <w:multiLevelType w:val="hybridMultilevel"/>
    <w:tmpl w:val="EEEC63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400925"/>
    <w:multiLevelType w:val="hybridMultilevel"/>
    <w:tmpl w:val="BE72AE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621D17"/>
    <w:multiLevelType w:val="hybridMultilevel"/>
    <w:tmpl w:val="8C26F2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E8450E"/>
    <w:multiLevelType w:val="hybridMultilevel"/>
    <w:tmpl w:val="57D644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836211"/>
    <w:multiLevelType w:val="hybridMultilevel"/>
    <w:tmpl w:val="C48238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2B4223"/>
    <w:multiLevelType w:val="hybridMultilevel"/>
    <w:tmpl w:val="1D522E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1637E6"/>
    <w:multiLevelType w:val="hybridMultilevel"/>
    <w:tmpl w:val="A912A422"/>
    <w:lvl w:ilvl="0">
      <w:start w:val="1"/>
      <w:numFmt w:val="decimal"/>
      <w:lvlText w:val="%1."/>
      <w:lvlJc w:val="left"/>
      <w:pPr>
        <w:ind w:left="672" w:hanging="360"/>
      </w:pPr>
      <w:rPr>
        <w:rFonts w:hint="default"/>
        <w:u w:val="none"/>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7">
    <w:nsid w:val="5B7C7F4C"/>
    <w:multiLevelType w:val="hybridMultilevel"/>
    <w:tmpl w:val="6F78E4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6001F0"/>
    <w:multiLevelType w:val="hybridMultilevel"/>
    <w:tmpl w:val="94DC3A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D3C5902"/>
    <w:multiLevelType w:val="hybridMultilevel"/>
    <w:tmpl w:val="67D84B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6654EEC"/>
    <w:multiLevelType w:val="hybridMultilevel"/>
    <w:tmpl w:val="948C4E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AA00DF9"/>
    <w:multiLevelType w:val="hybridMultilevel"/>
    <w:tmpl w:val="38547BD2"/>
    <w:lvl w:ilvl="0">
      <w:start w:val="1"/>
      <w:numFmt w:val="decimal"/>
      <w:lvlText w:val="%1."/>
      <w:lvlJc w:val="left"/>
      <w:pPr>
        <w:ind w:left="720" w:hanging="360"/>
      </w:pPr>
      <w:rPr>
        <w:rFonts w:hint="default"/>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7"/>
  </w:num>
  <w:num w:numId="5">
    <w:abstractNumId w:val="16"/>
  </w:num>
  <w:num w:numId="6">
    <w:abstractNumId w:val="1"/>
  </w:num>
  <w:num w:numId="7">
    <w:abstractNumId w:val="17"/>
  </w:num>
  <w:num w:numId="8">
    <w:abstractNumId w:val="18"/>
  </w:num>
  <w:num w:numId="9">
    <w:abstractNumId w:val="6"/>
  </w:num>
  <w:num w:numId="10">
    <w:abstractNumId w:val="1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19"/>
  </w:num>
  <w:num w:numId="20">
    <w:abstractNumId w:val="15"/>
  </w:num>
  <w:num w:numId="21">
    <w:abstractNumId w:val="8"/>
  </w:num>
  <w:num w:numId="22">
    <w:abstractNumId w:val="3"/>
  </w:num>
  <w:num w:numId="23">
    <w:abstractNumId w:val="4"/>
  </w:num>
  <w:num w:numId="24">
    <w:abstractNumId w:val="11"/>
  </w:num>
  <w:num w:numId="25">
    <w:abstractNumId w:val="10"/>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87"/>
    <w:rsid w:val="00003A25"/>
    <w:rsid w:val="00006C3A"/>
    <w:rsid w:val="000113A1"/>
    <w:rsid w:val="00035D7D"/>
    <w:rsid w:val="00055E0C"/>
    <w:rsid w:val="00076B21"/>
    <w:rsid w:val="00084C12"/>
    <w:rsid w:val="00085EE8"/>
    <w:rsid w:val="000933B2"/>
    <w:rsid w:val="000A0D0E"/>
    <w:rsid w:val="000A4843"/>
    <w:rsid w:val="000C23B7"/>
    <w:rsid w:val="000D3B2D"/>
    <w:rsid w:val="000E1DA6"/>
    <w:rsid w:val="000E239F"/>
    <w:rsid w:val="000F0C59"/>
    <w:rsid w:val="000F779A"/>
    <w:rsid w:val="0014476D"/>
    <w:rsid w:val="00155A35"/>
    <w:rsid w:val="001639F5"/>
    <w:rsid w:val="001C60DB"/>
    <w:rsid w:val="001F5EAC"/>
    <w:rsid w:val="002832ED"/>
    <w:rsid w:val="00296C4F"/>
    <w:rsid w:val="0029718E"/>
    <w:rsid w:val="002A2B44"/>
    <w:rsid w:val="002B1DDE"/>
    <w:rsid w:val="002B6512"/>
    <w:rsid w:val="002E4B61"/>
    <w:rsid w:val="002E79C5"/>
    <w:rsid w:val="002F1B13"/>
    <w:rsid w:val="003004A7"/>
    <w:rsid w:val="00336615"/>
    <w:rsid w:val="00353D00"/>
    <w:rsid w:val="00355768"/>
    <w:rsid w:val="003B4F5C"/>
    <w:rsid w:val="003C656A"/>
    <w:rsid w:val="003D707C"/>
    <w:rsid w:val="003F07DD"/>
    <w:rsid w:val="0041428D"/>
    <w:rsid w:val="00421F36"/>
    <w:rsid w:val="0045139B"/>
    <w:rsid w:val="00493A4F"/>
    <w:rsid w:val="004A2345"/>
    <w:rsid w:val="004B6C14"/>
    <w:rsid w:val="004E2829"/>
    <w:rsid w:val="0052652E"/>
    <w:rsid w:val="005348A0"/>
    <w:rsid w:val="00562AE4"/>
    <w:rsid w:val="0056494E"/>
    <w:rsid w:val="00583E4F"/>
    <w:rsid w:val="005D2FB9"/>
    <w:rsid w:val="005D5383"/>
    <w:rsid w:val="00604343"/>
    <w:rsid w:val="00617D88"/>
    <w:rsid w:val="00650E78"/>
    <w:rsid w:val="0067340E"/>
    <w:rsid w:val="006962ED"/>
    <w:rsid w:val="00696E87"/>
    <w:rsid w:val="006C4AE2"/>
    <w:rsid w:val="006D407F"/>
    <w:rsid w:val="006F2102"/>
    <w:rsid w:val="007011AF"/>
    <w:rsid w:val="0071256A"/>
    <w:rsid w:val="00713C26"/>
    <w:rsid w:val="0072226B"/>
    <w:rsid w:val="007353FB"/>
    <w:rsid w:val="00745AC2"/>
    <w:rsid w:val="0075276B"/>
    <w:rsid w:val="00790BCF"/>
    <w:rsid w:val="007D3BAB"/>
    <w:rsid w:val="008706A5"/>
    <w:rsid w:val="008A4933"/>
    <w:rsid w:val="0093529C"/>
    <w:rsid w:val="0094207C"/>
    <w:rsid w:val="00946A55"/>
    <w:rsid w:val="00956282"/>
    <w:rsid w:val="0096407C"/>
    <w:rsid w:val="00966E80"/>
    <w:rsid w:val="009B1E17"/>
    <w:rsid w:val="009E5059"/>
    <w:rsid w:val="00A840BA"/>
    <w:rsid w:val="00A94083"/>
    <w:rsid w:val="00AA2517"/>
    <w:rsid w:val="00AA4A06"/>
    <w:rsid w:val="00AA7451"/>
    <w:rsid w:val="00AB1AB4"/>
    <w:rsid w:val="00AD4300"/>
    <w:rsid w:val="00AE04C5"/>
    <w:rsid w:val="00AE679A"/>
    <w:rsid w:val="00AF14B8"/>
    <w:rsid w:val="00AF3FBC"/>
    <w:rsid w:val="00B10CAB"/>
    <w:rsid w:val="00B14CA2"/>
    <w:rsid w:val="00B22EF9"/>
    <w:rsid w:val="00B2351C"/>
    <w:rsid w:val="00B3155D"/>
    <w:rsid w:val="00B41CBA"/>
    <w:rsid w:val="00B67B2A"/>
    <w:rsid w:val="00B73C20"/>
    <w:rsid w:val="00BB09F3"/>
    <w:rsid w:val="00BB2B0E"/>
    <w:rsid w:val="00BB4337"/>
    <w:rsid w:val="00BE3DD8"/>
    <w:rsid w:val="00BF7AA6"/>
    <w:rsid w:val="00C1468A"/>
    <w:rsid w:val="00C20BB3"/>
    <w:rsid w:val="00C27C55"/>
    <w:rsid w:val="00C27D96"/>
    <w:rsid w:val="00C45396"/>
    <w:rsid w:val="00C70D3A"/>
    <w:rsid w:val="00CA3E68"/>
    <w:rsid w:val="00CA6D37"/>
    <w:rsid w:val="00CC41FF"/>
    <w:rsid w:val="00CD0B54"/>
    <w:rsid w:val="00CE2E32"/>
    <w:rsid w:val="00D2569C"/>
    <w:rsid w:val="00D51E01"/>
    <w:rsid w:val="00D6376B"/>
    <w:rsid w:val="00D64926"/>
    <w:rsid w:val="00D92538"/>
    <w:rsid w:val="00DA117F"/>
    <w:rsid w:val="00DA3560"/>
    <w:rsid w:val="00DA730C"/>
    <w:rsid w:val="00DA7B52"/>
    <w:rsid w:val="00DB3B88"/>
    <w:rsid w:val="00DC13F8"/>
    <w:rsid w:val="00DD285D"/>
    <w:rsid w:val="00DE1047"/>
    <w:rsid w:val="00DF52D1"/>
    <w:rsid w:val="00DF72F2"/>
    <w:rsid w:val="00E15A93"/>
    <w:rsid w:val="00E20127"/>
    <w:rsid w:val="00E21790"/>
    <w:rsid w:val="00E23319"/>
    <w:rsid w:val="00E50EB9"/>
    <w:rsid w:val="00E6381F"/>
    <w:rsid w:val="00E7027E"/>
    <w:rsid w:val="00E76DDC"/>
    <w:rsid w:val="00E86BD9"/>
    <w:rsid w:val="00E97B9F"/>
    <w:rsid w:val="00EA14B5"/>
    <w:rsid w:val="00EB1437"/>
    <w:rsid w:val="00EC2509"/>
    <w:rsid w:val="00EC5B2D"/>
    <w:rsid w:val="00ED33EC"/>
    <w:rsid w:val="00F049BB"/>
    <w:rsid w:val="00F64424"/>
    <w:rsid w:val="00F701FB"/>
    <w:rsid w:val="00F72F0D"/>
    <w:rsid w:val="00FD30FC"/>
    <w:rsid w:val="00FF3D0C"/>
  </w:rsids>
  <w:docVars>
    <w:docVar w:name="sivug" w:val="0"/>
    <w:docVar w:name="space" w:val="Tru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7188F9E-B30E-4960-85BC-24ACD0B6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312" w:lineRule="auto"/>
    </w:pPr>
  </w:style>
  <w:style w:type="paragraph" w:styleId="Heading1">
    <w:name w:val="heading 1"/>
    <w:basedOn w:val="Normal"/>
    <w:next w:val="Normal"/>
    <w:link w:val="1"/>
    <w:uiPriority w:val="1"/>
    <w:qFormat/>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pPr>
      <w:keepNext/>
      <w:keepLines/>
      <w:spacing w:before="120"/>
      <w:outlineLvl w:val="3"/>
    </w:pPr>
    <w:rPr>
      <w:rFonts w:eastAsiaTheme="majorEastAsia"/>
      <w:bCs/>
      <w:szCs w:val="26"/>
    </w:rPr>
  </w:style>
  <w:style w:type="paragraph" w:styleId="Heading5">
    <w:name w:val="heading 5"/>
    <w:basedOn w:val="Normal"/>
    <w:next w:val="Normal"/>
    <w:link w:val="5"/>
    <w:uiPriority w:val="1"/>
    <w:qFormat/>
    <w:pPr>
      <w:keepNext/>
      <w:keepLines/>
      <w:outlineLvl w:val="4"/>
    </w:pPr>
    <w:rPr>
      <w:rFonts w:eastAsiaTheme="majorEastAsia"/>
      <w:bCs/>
      <w:spacing w:val="40"/>
    </w:rPr>
  </w:style>
  <w:style w:type="paragraph" w:styleId="Heading6">
    <w:name w:val="heading 6"/>
    <w:basedOn w:val="Normal"/>
    <w:next w:val="Normal"/>
    <w:link w:val="6"/>
    <w:uiPriority w:val="1"/>
    <w:qFormat/>
    <w:pPr>
      <w:keepNext/>
      <w:keepLines/>
      <w:outlineLvl w:val="5"/>
    </w:pPr>
    <w:rPr>
      <w:rFonts w:eastAsiaTheme="majorEastAsia"/>
      <w:spacing w:val="40"/>
    </w:rPr>
  </w:style>
  <w:style w:type="paragraph" w:styleId="Heading7">
    <w:name w:val="heading 7"/>
    <w:basedOn w:val="Normal"/>
    <w:next w:val="Normal"/>
    <w:link w:val="7"/>
    <w:uiPriority w:val="1"/>
    <w:qFormat/>
    <w:pPr>
      <w:keepNext/>
      <w:keepLines/>
      <w:outlineLvl w:val="6"/>
    </w:pPr>
    <w:rPr>
      <w:rFonts w:eastAsiaTheme="majorEastAsia"/>
      <w:bCs/>
      <w:spacing w:val="40"/>
    </w:rPr>
  </w:style>
  <w:style w:type="paragraph" w:styleId="Heading8">
    <w:name w:val="heading 8"/>
    <w:basedOn w:val="Normal"/>
    <w:next w:val="Normal"/>
    <w:link w:val="8"/>
    <w:uiPriority w:val="1"/>
    <w:qFormat/>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Pr>
      <w:rFonts w:eastAsiaTheme="majorEastAsia"/>
      <w:bCs/>
      <w:szCs w:val="36"/>
      <w:u w:val="single"/>
    </w:rPr>
  </w:style>
  <w:style w:type="character" w:customStyle="1" w:styleId="2">
    <w:name w:val="כותרת 2 תו"/>
    <w:basedOn w:val="DefaultParagraphFont"/>
    <w:link w:val="Heading2"/>
    <w:uiPriority w:val="1"/>
    <w:rPr>
      <w:rFonts w:eastAsiaTheme="majorEastAsia"/>
      <w:bCs/>
      <w:szCs w:val="32"/>
    </w:rPr>
  </w:style>
  <w:style w:type="character" w:customStyle="1" w:styleId="3">
    <w:name w:val="כותרת 3 תו"/>
    <w:basedOn w:val="DefaultParagraphFont"/>
    <w:link w:val="Heading3"/>
    <w:uiPriority w:val="1"/>
    <w:rPr>
      <w:rFonts w:eastAsiaTheme="majorEastAsia"/>
      <w:bCs/>
      <w:szCs w:val="28"/>
      <w:u w:val="single"/>
    </w:rPr>
  </w:style>
  <w:style w:type="character" w:customStyle="1" w:styleId="4">
    <w:name w:val="כותרת 4 תו"/>
    <w:basedOn w:val="DefaultParagraphFont"/>
    <w:link w:val="Heading4"/>
    <w:uiPriority w:val="1"/>
    <w:rPr>
      <w:rFonts w:eastAsiaTheme="majorEastAsia"/>
      <w:bCs/>
      <w:szCs w:val="26"/>
    </w:rPr>
  </w:style>
  <w:style w:type="character" w:customStyle="1" w:styleId="5">
    <w:name w:val="כותרת 5 תו"/>
    <w:basedOn w:val="DefaultParagraphFont"/>
    <w:link w:val="Heading5"/>
    <w:uiPriority w:val="1"/>
    <w:rPr>
      <w:rFonts w:eastAsiaTheme="majorEastAsia"/>
      <w:bCs/>
      <w:spacing w:val="40"/>
    </w:rPr>
  </w:style>
  <w:style w:type="character" w:customStyle="1" w:styleId="6">
    <w:name w:val="כותרת 6 תו"/>
    <w:basedOn w:val="DefaultParagraphFont"/>
    <w:link w:val="Heading6"/>
    <w:uiPriority w:val="1"/>
    <w:rPr>
      <w:rFonts w:eastAsiaTheme="majorEastAsia"/>
      <w:spacing w:val="40"/>
    </w:rPr>
  </w:style>
  <w:style w:type="character" w:customStyle="1" w:styleId="7">
    <w:name w:val="כותרת 7 תו"/>
    <w:basedOn w:val="DefaultParagraphFont"/>
    <w:link w:val="Heading7"/>
    <w:uiPriority w:val="1"/>
    <w:rPr>
      <w:rFonts w:eastAsiaTheme="majorEastAsia"/>
      <w:bCs/>
      <w:spacing w:val="40"/>
    </w:rPr>
  </w:style>
  <w:style w:type="character" w:customStyle="1" w:styleId="8">
    <w:name w:val="כותרת 8 תו"/>
    <w:basedOn w:val="DefaultParagraphFont"/>
    <w:link w:val="Heading8"/>
    <w:uiPriority w:val="1"/>
    <w:rPr>
      <w:rFonts w:eastAsiaTheme="majorEastAsia"/>
      <w:spacing w:val="40"/>
    </w:rPr>
  </w:style>
  <w:style w:type="paragraph" w:customStyle="1" w:styleId="a">
    <w:name w:val="נבנצאל"/>
    <w:basedOn w:val="Normal"/>
    <w:next w:val="Normal"/>
    <w:link w:val="a0"/>
    <w:uiPriority w:val="99"/>
    <w:pPr>
      <w:ind w:left="-567"/>
    </w:pPr>
    <w:rPr>
      <w:szCs w:val="20"/>
    </w:rPr>
  </w:style>
  <w:style w:type="character" w:customStyle="1" w:styleId="a0">
    <w:name w:val="נבנצאל תו"/>
    <w:basedOn w:val="DefaultParagraphFont"/>
    <w:link w:val="a"/>
    <w:uiPriority w:val="99"/>
    <w:rPr>
      <w:szCs w:val="20"/>
    </w:rPr>
  </w:style>
  <w:style w:type="paragraph" w:styleId="Header">
    <w:name w:val="header"/>
    <w:basedOn w:val="Normal"/>
    <w:link w:val="a1"/>
    <w:uiPriority w:val="99"/>
    <w:unhideWhenUsed/>
    <w:pPr>
      <w:tabs>
        <w:tab w:val="center" w:pos="4153"/>
        <w:tab w:val="right" w:pos="8306"/>
      </w:tabs>
      <w:spacing w:line="240" w:lineRule="auto"/>
    </w:pPr>
  </w:style>
  <w:style w:type="character" w:customStyle="1" w:styleId="a1">
    <w:name w:val="כותרת עליונה תו"/>
    <w:basedOn w:val="DefaultParagraphFont"/>
    <w:link w:val="Header"/>
    <w:uiPriority w:val="99"/>
  </w:style>
  <w:style w:type="paragraph" w:styleId="Footer">
    <w:name w:val="footer"/>
    <w:basedOn w:val="Normal"/>
    <w:link w:val="a2"/>
    <w:uiPriority w:val="99"/>
    <w:unhideWhenUsed/>
    <w:pPr>
      <w:tabs>
        <w:tab w:val="center" w:pos="4153"/>
        <w:tab w:val="right" w:pos="8306"/>
      </w:tabs>
      <w:spacing w:line="240" w:lineRule="auto"/>
    </w:pPr>
  </w:style>
  <w:style w:type="character" w:customStyle="1" w:styleId="a2">
    <w:name w:val="כותרת תחתונה תו"/>
    <w:basedOn w:val="DefaultParagraphFont"/>
    <w:link w:val="Footer"/>
    <w:uiPriority w:val="99"/>
  </w:style>
  <w:style w:type="paragraph" w:styleId="Date">
    <w:name w:val="Date"/>
    <w:basedOn w:val="Normal"/>
    <w:next w:val="Normal"/>
    <w:link w:val="a3"/>
    <w:uiPriority w:val="99"/>
    <w:unhideWhenUsed/>
    <w:pPr>
      <w:spacing w:before="120" w:line="240" w:lineRule="auto"/>
    </w:pPr>
  </w:style>
  <w:style w:type="character" w:customStyle="1" w:styleId="a3">
    <w:name w:val="תאריך תו"/>
    <w:basedOn w:val="DefaultParagraphFont"/>
    <w:link w:val="Date"/>
    <w:uiPriority w:val="99"/>
  </w:style>
  <w:style w:type="paragraph" w:styleId="FootnoteText">
    <w:name w:val="footnote text"/>
    <w:basedOn w:val="Normal"/>
    <w:link w:val="a4"/>
    <w:uiPriority w:val="99"/>
    <w:pPr>
      <w:spacing w:line="240" w:lineRule="auto"/>
      <w:ind w:left="720" w:hanging="720"/>
    </w:pPr>
    <w:rPr>
      <w:szCs w:val="20"/>
    </w:rPr>
  </w:style>
  <w:style w:type="character" w:customStyle="1" w:styleId="a4">
    <w:name w:val="טקסט הערת שוליים תו"/>
    <w:basedOn w:val="DefaultParagraphFont"/>
    <w:link w:val="FootnoteText"/>
    <w:uiPriority w:val="99"/>
    <w:rPr>
      <w:szCs w:val="20"/>
    </w:rPr>
  </w:style>
  <w:style w:type="character" w:styleId="FootnoteReference">
    <w:name w:val="footnote reference"/>
    <w:basedOn w:val="DefaultParagraphFont"/>
    <w:uiPriority w:val="99"/>
    <w:semiHidden/>
    <w:unhideWhenUsed/>
    <w:rPr>
      <w:vertAlign w:val="superscript"/>
    </w:rPr>
  </w:style>
  <w:style w:type="numbering" w:customStyle="1" w:styleId="10">
    <w:name w:val="ללא רשימה1"/>
    <w:next w:val="NoList"/>
    <w:uiPriority w:val="99"/>
    <w:semiHidden/>
    <w:unhideWhenUsed/>
    <w:rsid w:val="00696E87"/>
  </w:style>
  <w:style w:type="paragraph" w:styleId="BalloonText">
    <w:name w:val="Balloon Text"/>
    <w:basedOn w:val="Normal"/>
    <w:link w:val="a5"/>
    <w:uiPriority w:val="99"/>
    <w:semiHidden/>
    <w:rsid w:val="00696E87"/>
    <w:pPr>
      <w:spacing w:line="240" w:lineRule="auto"/>
    </w:pPr>
    <w:rPr>
      <w:rFonts w:ascii="Tahoma" w:eastAsia="Calibri" w:hAnsi="Tahoma" w:cs="Tahoma"/>
      <w:sz w:val="16"/>
      <w:szCs w:val="16"/>
    </w:rPr>
  </w:style>
  <w:style w:type="character" w:customStyle="1" w:styleId="a5">
    <w:name w:val="טקסט בלונים תו"/>
    <w:basedOn w:val="DefaultParagraphFont"/>
    <w:link w:val="BalloonText"/>
    <w:uiPriority w:val="99"/>
    <w:semiHidden/>
    <w:rsid w:val="00696E87"/>
    <w:rPr>
      <w:rFonts w:ascii="Tahoma" w:eastAsia="Calibri" w:hAnsi="Tahoma" w:cs="Tahoma"/>
      <w:sz w:val="16"/>
      <w:szCs w:val="16"/>
    </w:rPr>
  </w:style>
  <w:style w:type="table" w:styleId="TableGrid">
    <w:name w:val="Table Grid"/>
    <w:basedOn w:val="TableNormal"/>
    <w:uiPriority w:val="59"/>
    <w:rsid w:val="00696E87"/>
    <w:pPr>
      <w:spacing w:after="0" w:line="240" w:lineRule="auto"/>
      <w:jc w:val="left"/>
    </w:pPr>
    <w:rPr>
      <w:rFonts w:eastAsia="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E87"/>
    <w:rPr>
      <w:sz w:val="16"/>
      <w:szCs w:val="16"/>
    </w:rPr>
  </w:style>
  <w:style w:type="paragraph" w:styleId="CommentText">
    <w:name w:val="annotation text"/>
    <w:basedOn w:val="Normal"/>
    <w:link w:val="a6"/>
    <w:uiPriority w:val="99"/>
    <w:unhideWhenUsed/>
    <w:rsid w:val="00696E87"/>
    <w:pPr>
      <w:spacing w:line="240" w:lineRule="auto"/>
    </w:pPr>
    <w:rPr>
      <w:rFonts w:eastAsia="Calibri"/>
      <w:szCs w:val="20"/>
    </w:rPr>
  </w:style>
  <w:style w:type="character" w:customStyle="1" w:styleId="a6">
    <w:name w:val="טקסט הערה תו"/>
    <w:basedOn w:val="DefaultParagraphFont"/>
    <w:link w:val="CommentText"/>
    <w:uiPriority w:val="99"/>
    <w:rsid w:val="00696E87"/>
    <w:rPr>
      <w:rFonts w:eastAsia="Calibri"/>
      <w:szCs w:val="20"/>
    </w:rPr>
  </w:style>
  <w:style w:type="paragraph" w:styleId="CommentSubject">
    <w:name w:val="annotation subject"/>
    <w:basedOn w:val="CommentText"/>
    <w:next w:val="CommentText"/>
    <w:link w:val="a7"/>
    <w:uiPriority w:val="99"/>
    <w:semiHidden/>
    <w:unhideWhenUsed/>
    <w:rsid w:val="00696E87"/>
    <w:rPr>
      <w:b/>
      <w:bCs/>
    </w:rPr>
  </w:style>
  <w:style w:type="character" w:customStyle="1" w:styleId="a7">
    <w:name w:val="נושא הערה תו"/>
    <w:basedOn w:val="a6"/>
    <w:link w:val="CommentSubject"/>
    <w:uiPriority w:val="99"/>
    <w:semiHidden/>
    <w:rsid w:val="00696E87"/>
    <w:rPr>
      <w:rFonts w:eastAsia="Calibri"/>
      <w:b/>
      <w:bCs/>
      <w:szCs w:val="20"/>
    </w:rPr>
  </w:style>
  <w:style w:type="paragraph" w:styleId="ListParagraph">
    <w:name w:val="List Paragraph"/>
    <w:basedOn w:val="Normal"/>
    <w:uiPriority w:val="34"/>
    <w:qFormat/>
    <w:rsid w:val="00696E87"/>
    <w:pPr>
      <w:ind w:left="720"/>
      <w:contextualSpacing/>
    </w:pPr>
    <w:rPr>
      <w:rFonts w:eastAsia="Calibri"/>
    </w:rPr>
  </w:style>
  <w:style w:type="paragraph" w:styleId="Revision">
    <w:name w:val="Revision"/>
    <w:hidden/>
    <w:uiPriority w:val="99"/>
    <w:semiHidden/>
    <w:rsid w:val="00696E87"/>
    <w:pPr>
      <w:spacing w:after="0" w:line="240" w:lineRule="auto"/>
      <w:jc w:val="left"/>
    </w:pPr>
    <w:rPr>
      <w:rFonts w:eastAsia="Calibri"/>
    </w:rPr>
  </w:style>
  <w:style w:type="paragraph" w:customStyle="1" w:styleId="11">
    <w:name w:val="כותרת תוכן עניינים1"/>
    <w:basedOn w:val="Heading1"/>
    <w:next w:val="Normal"/>
    <w:uiPriority w:val="39"/>
    <w:unhideWhenUsed/>
    <w:qFormat/>
    <w:rsid w:val="00696E87"/>
    <w:pPr>
      <w:spacing w:before="480" w:line="276" w:lineRule="auto"/>
      <w:jc w:val="left"/>
      <w:outlineLvl w:val="9"/>
    </w:pPr>
    <w:rPr>
      <w:rFonts w:ascii="Cambria" w:hAnsi="Cambria" w:cs="Times New Roman"/>
      <w:b/>
      <w:color w:val="365F91"/>
      <w:sz w:val="28"/>
      <w:szCs w:val="28"/>
      <w:u w:val="none"/>
      <w:rtl/>
      <w:cs/>
    </w:rPr>
  </w:style>
  <w:style w:type="paragraph" w:styleId="TOC1">
    <w:name w:val="toc 1"/>
    <w:basedOn w:val="Normal"/>
    <w:next w:val="Normal"/>
    <w:autoRedefine/>
    <w:uiPriority w:val="39"/>
    <w:unhideWhenUsed/>
    <w:qFormat/>
    <w:rsid w:val="00696E87"/>
    <w:pPr>
      <w:spacing w:after="100"/>
    </w:pPr>
    <w:rPr>
      <w:rFonts w:eastAsia="Calibri"/>
    </w:rPr>
  </w:style>
  <w:style w:type="paragraph" w:styleId="TOC3">
    <w:name w:val="toc 3"/>
    <w:basedOn w:val="Normal"/>
    <w:next w:val="Normal"/>
    <w:autoRedefine/>
    <w:uiPriority w:val="39"/>
    <w:unhideWhenUsed/>
    <w:qFormat/>
    <w:rsid w:val="00696E87"/>
    <w:pPr>
      <w:spacing w:after="100"/>
      <w:ind w:left="400"/>
    </w:pPr>
    <w:rPr>
      <w:rFonts w:eastAsia="Calibri"/>
    </w:rPr>
  </w:style>
  <w:style w:type="paragraph" w:styleId="TOC2">
    <w:name w:val="toc 2"/>
    <w:basedOn w:val="Normal"/>
    <w:next w:val="Normal"/>
    <w:autoRedefine/>
    <w:uiPriority w:val="39"/>
    <w:unhideWhenUsed/>
    <w:qFormat/>
    <w:rsid w:val="00696E87"/>
    <w:pPr>
      <w:spacing w:after="100"/>
      <w:ind w:left="200"/>
    </w:pPr>
    <w:rPr>
      <w:rFonts w:eastAsia="Calibri"/>
    </w:rPr>
  </w:style>
  <w:style w:type="character" w:customStyle="1" w:styleId="Hyperlink1">
    <w:name w:val="Hyperlink1"/>
    <w:basedOn w:val="DefaultParagraphFont"/>
    <w:uiPriority w:val="99"/>
    <w:unhideWhenUsed/>
    <w:locked/>
    <w:rsid w:val="00696E87"/>
    <w:rPr>
      <w:color w:val="0000FF"/>
      <w:u w:val="single"/>
    </w:rPr>
  </w:style>
  <w:style w:type="character" w:styleId="PageNumber">
    <w:name w:val="page number"/>
    <w:basedOn w:val="DefaultParagraphFont"/>
    <w:uiPriority w:val="99"/>
    <w:semiHidden/>
    <w:unhideWhenUsed/>
    <w:rsid w:val="00696E87"/>
  </w:style>
  <w:style w:type="paragraph" w:styleId="BodyText">
    <w:name w:val="Body Text"/>
    <w:basedOn w:val="Normal"/>
    <w:link w:val="a8"/>
    <w:rsid w:val="00696E87"/>
    <w:pPr>
      <w:widowControl w:val="0"/>
    </w:pPr>
    <w:rPr>
      <w:rFonts w:eastAsia="Times New Roman"/>
      <w:lang w:eastAsia="he-IL"/>
    </w:rPr>
  </w:style>
  <w:style w:type="character" w:customStyle="1" w:styleId="a8">
    <w:name w:val="גוף טקסט תו"/>
    <w:basedOn w:val="DefaultParagraphFont"/>
    <w:link w:val="BodyText"/>
    <w:rsid w:val="00696E87"/>
    <w:rPr>
      <w:rFonts w:eastAsia="Times New Roman"/>
      <w:lang w:eastAsia="he-IL"/>
    </w:rPr>
  </w:style>
  <w:style w:type="character" w:styleId="Hyperlink">
    <w:name w:val="Hyperlink"/>
    <w:basedOn w:val="DefaultParagraphFont"/>
    <w:uiPriority w:val="99"/>
    <w:semiHidden/>
    <w:unhideWhenUsed/>
    <w:rsid w:val="00696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customXml" Target="../customXml/item1.xml"/><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9DB50E-9AF7-4A39-8F9C-E54114CEDAE7}">
  <ds:schemaRefs>
    <ds:schemaRef ds:uri="http://schemas.openxmlformats.org/officeDocument/2006/bibliography"/>
  </ds:schemaRefs>
</ds:datastoreItem>
</file>

<file path=customXml/itemProps2.xml><?xml version="1.0" encoding="utf-8"?>
<ds:datastoreItem xmlns:ds="http://schemas.openxmlformats.org/officeDocument/2006/customXml" ds:itemID="{AB64C799-234B-485C-86EB-B7875AF00648}"/>
</file>

<file path=customXml/itemProps3.xml><?xml version="1.0" encoding="utf-8"?>
<ds:datastoreItem xmlns:ds="http://schemas.openxmlformats.org/officeDocument/2006/customXml" ds:itemID="{69C4E8CB-3AFB-46F0-9C8E-379647D62E5B}"/>
</file>

<file path=customXml/itemProps4.xml><?xml version="1.0" encoding="utf-8"?>
<ds:datastoreItem xmlns:ds="http://schemas.openxmlformats.org/officeDocument/2006/customXml" ds:itemID="{672AC8DE-5502-4EE0-985B-ACE7AF9CB9D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