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E1" w:rsidRDefault="006658E1" w:rsidP="003323CD">
      <w:pPr>
        <w:spacing w:line="240" w:lineRule="exact"/>
        <w:jc w:val="both"/>
        <w:rPr>
          <w:rFonts w:ascii="Tahoma" w:hAnsi="Tahoma" w:cs="Tahoma"/>
          <w:sz w:val="17"/>
          <w:szCs w:val="18"/>
        </w:rPr>
      </w:pPr>
      <w:bookmarkStart w:id="0" w:name="_Toc349122061"/>
      <w:bookmarkStart w:id="1" w:name="_Toc349136480"/>
      <w:bookmarkStart w:id="2" w:name="_Toc352831083"/>
      <w:bookmarkStart w:id="3" w:name="_Toc354324568"/>
      <w:bookmarkStart w:id="4" w:name="_Toc354661923"/>
    </w:p>
    <w:p w:rsidR="00E077B7" w:rsidRPr="00590929" w:rsidRDefault="0036711D" w:rsidP="003323CD">
      <w:pPr>
        <w:spacing w:line="240" w:lineRule="exact"/>
        <w:jc w:val="both"/>
        <w:rPr>
          <w:rFonts w:ascii="Tahoma" w:hAnsi="Tahoma" w:cs="Tahoma"/>
          <w:sz w:val="17"/>
          <w:szCs w:val="18"/>
          <w:rtl/>
        </w:rPr>
      </w:pPr>
      <w:r>
        <w:rPr>
          <w:rFonts w:ascii="Tahoma" w:hAnsi="Tahoma" w:cs="Tahoma"/>
          <w:noProof/>
          <w:sz w:val="17"/>
          <w:szCs w:val="18"/>
          <w:rtl/>
        </w:rPr>
        <w:drawing>
          <wp:anchor distT="0" distB="0" distL="114300" distR="114300" simplePos="0" relativeHeight="251658240" behindDoc="1" locked="0" layoutInCell="1" allowOverlap="1" wp14:anchorId="1AC86E22" wp14:editId="1635E100">
            <wp:simplePos x="1528877" y="-4147718"/>
            <wp:positionH relativeFrom="page">
              <wp:align>center</wp:align>
            </wp:positionH>
            <wp:positionV relativeFrom="page">
              <wp:align>center</wp:align>
            </wp:positionV>
            <wp:extent cx="6519600" cy="90612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ar-chap-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9600" cy="90612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RDefault="006C5F46" w:rsidP="00E077B7">
      <w:pPr>
        <w:pStyle w:val="NAME"/>
        <w:rPr>
          <w:rtl/>
        </w:rPr>
        <w:sectPr w:rsidR="006C5F46" w:rsidRPr="00E077B7" w:rsidSect="00D10340">
          <w:headerReference w:type="even" r:id="rId10"/>
          <w:headerReference w:type="default" r:id="rId11"/>
          <w:pgSz w:w="11906" w:h="16838" w:code="9"/>
          <w:pgMar w:top="3119" w:right="2410" w:bottom="2268" w:left="2410" w:header="1985" w:footer="709" w:gutter="0"/>
          <w:cols w:space="708"/>
          <w:titlePg/>
          <w:bidi/>
          <w:rtlGutter/>
          <w:docGrid w:linePitch="360"/>
        </w:sectPr>
      </w:pPr>
    </w:p>
    <w:bookmarkEnd w:id="0"/>
    <w:bookmarkEnd w:id="1"/>
    <w:bookmarkEnd w:id="2"/>
    <w:bookmarkEnd w:id="3"/>
    <w:bookmarkEnd w:id="4"/>
    <w:p w:rsidR="006658E1" w:rsidRPr="006658E1" w:rsidRDefault="006658E1" w:rsidP="006658E1">
      <w:pPr>
        <w:pStyle w:val="running-text"/>
        <w:bidi/>
        <w:ind w:right="0"/>
        <w:rPr>
          <w:sz w:val="24"/>
        </w:rPr>
      </w:pPr>
    </w:p>
    <w:p w:rsidR="006658E1" w:rsidRDefault="006658E1" w:rsidP="000A251B">
      <w:pPr>
        <w:pStyle w:val="KOT2"/>
        <w:pageBreakBefore w:val="0"/>
        <w:ind w:right="0"/>
        <w:rPr>
          <w:rtl/>
        </w:rPr>
        <w:sectPr w:rsidR="006658E1" w:rsidSect="00EB5C46">
          <w:headerReference w:type="even" r:id="rId12"/>
          <w:headerReference w:type="default" r:id="rId13"/>
          <w:pgSz w:w="11906" w:h="16838" w:code="9"/>
          <w:pgMar w:top="3119" w:right="2410" w:bottom="2268" w:left="2410" w:header="1871" w:footer="709" w:gutter="0"/>
          <w:cols w:space="708"/>
          <w:bidi/>
          <w:rtlGutter/>
          <w:docGrid w:linePitch="360"/>
        </w:sectPr>
      </w:pPr>
    </w:p>
    <w:p w:rsidR="000A251B" w:rsidRPr="000A251B" w:rsidRDefault="000A251B" w:rsidP="000A251B">
      <w:pPr>
        <w:pStyle w:val="KOT2"/>
        <w:pageBreakBefore w:val="0"/>
        <w:ind w:right="0"/>
      </w:pPr>
      <w:bookmarkStart w:id="5" w:name="_GoBack"/>
      <w:bookmarkEnd w:id="5"/>
      <w:r w:rsidRPr="000A251B">
        <w:rPr>
          <w:rtl/>
        </w:rPr>
        <w:lastRenderedPageBreak/>
        <w:t>תקציר</w:t>
      </w:r>
    </w:p>
    <w:p w:rsidR="00FE0AD4" w:rsidRDefault="00FE0AD4" w:rsidP="00FE0AD4">
      <w:pPr>
        <w:pStyle w:val="running-text"/>
        <w:bidi/>
        <w:spacing w:line="360" w:lineRule="auto"/>
        <w:ind w:right="0"/>
        <w:rPr>
          <w:sz w:val="24"/>
          <w:rtl/>
        </w:rPr>
      </w:pPr>
      <w:r w:rsidRPr="00995AD8">
        <w:rPr>
          <w:noProof/>
          <w:rtl/>
        </w:rPr>
        <w:drawing>
          <wp:inline distT="0" distB="0" distL="0" distR="0" wp14:anchorId="6DFCEE02" wp14:editId="1B43A1F7">
            <wp:extent cx="1638000" cy="410400"/>
            <wp:effectExtent l="0" t="0" r="635" b="8890"/>
            <wp:docPr id="7" name="תמונה 174388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000" cy="410400"/>
                    </a:xfrm>
                    <a:prstGeom prst="rect">
                      <a:avLst/>
                    </a:prstGeom>
                  </pic:spPr>
                </pic:pic>
              </a:graphicData>
            </a:graphic>
          </wp:inline>
        </w:drawing>
      </w:r>
    </w:p>
    <w:p w:rsidR="009F5EB6" w:rsidRPr="002876E1" w:rsidRDefault="009F5EB6" w:rsidP="009F5EB6">
      <w:pPr>
        <w:pStyle w:val="running-text"/>
        <w:bidi/>
        <w:ind w:right="0"/>
        <w:rPr>
          <w:sz w:val="24"/>
          <w:rtl/>
        </w:rPr>
      </w:pPr>
      <w:r w:rsidRPr="002876E1">
        <w:rPr>
          <w:sz w:val="24"/>
          <w:rtl/>
        </w:rPr>
        <w:t xml:space="preserve">גם בעת התמודדות מערכת הבריאות עם התפשטות נגיף הקורונה יש להבטיח את מתן רצף השירותים הרפואיים החיוניים בקהילה, כדי למנוע פגיעה בבריאות הציבור והידרדרות במצב הרפואי של חולים. למשל, יש להמשיך להפעיל שירותי רפואה ראשונית ורפואת מומחים, וכן להמשיך במתן טיפולי שגרה לחולים כרוניים. במסגרת הפעילות השגרתית של הרפואה בקהילה ולקראת החורף יש גם לחסן את הציבור נגד שפעת, וזאת כדי להפחית את שיעור התחלואה במחלה בכלל ואת הצורך באשפוז </w:t>
      </w:r>
      <w:proofErr w:type="spellStart"/>
      <w:r w:rsidRPr="002876E1">
        <w:rPr>
          <w:sz w:val="24"/>
          <w:rtl/>
        </w:rPr>
        <w:t>בעטייה</w:t>
      </w:r>
      <w:proofErr w:type="spellEnd"/>
      <w:r w:rsidRPr="002876E1">
        <w:rPr>
          <w:sz w:val="24"/>
          <w:rtl/>
        </w:rPr>
        <w:t xml:space="preserve"> בפרט. צורך זה חיוני במיוחד בעת התפשטותה של מגפת הקורונה, מאחר שהוא נועד לצמצם במידת האפשר את התחלואה בשפעת, להקל את העומס המוטל על הרופאים ועל מחלקות האשפוז, וכך לאפשר למערכת הבריאות להתמודד טוב יותר עם מגפת הקורונה. </w:t>
      </w:r>
    </w:p>
    <w:p w:rsidR="009C13C8" w:rsidRDefault="009C13C8">
      <w:pPr>
        <w:rPr>
          <w:rtl/>
        </w:rPr>
      </w:pPr>
    </w:p>
    <w:p w:rsidR="009C13C8" w:rsidRDefault="00E33AFB">
      <w:r w:rsidRPr="00995AD8">
        <w:rPr>
          <w:rFonts w:ascii="Tahoma" w:hAnsi="Tahoma" w:cs="Tahoma"/>
          <w:noProof/>
          <w:rtl/>
        </w:rPr>
        <w:drawing>
          <wp:inline distT="0" distB="0" distL="0" distR="0" wp14:anchorId="0CA92F1D" wp14:editId="51812FB8">
            <wp:extent cx="1580400" cy="360000"/>
            <wp:effectExtent l="0" t="0" r="1270" b="2540"/>
            <wp:docPr id="14" name="תמונה 174388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0400" cy="360000"/>
                    </a:xfrm>
                    <a:prstGeom prst="rect">
                      <a:avLst/>
                    </a:prstGeom>
                  </pic:spPr>
                </pic:pic>
              </a:graphicData>
            </a:graphic>
          </wp:inline>
        </w:drawing>
      </w:r>
    </w:p>
    <w:tbl>
      <w:tblPr>
        <w:tblStyle w:val="13"/>
        <w:tblpPr w:leftFromText="180" w:rightFromText="180" w:vertAnchor="text" w:tblpXSpec="center" w:tblpY="1"/>
        <w:tblOverlap w:val="never"/>
        <w:bidiVisual/>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342"/>
        <w:gridCol w:w="1465"/>
        <w:gridCol w:w="341"/>
        <w:gridCol w:w="1503"/>
        <w:gridCol w:w="341"/>
        <w:gridCol w:w="1503"/>
      </w:tblGrid>
      <w:tr w:rsidR="009F5EB6" w:rsidTr="009F5EB6">
        <w:trPr>
          <w:trHeight w:val="283"/>
        </w:trPr>
        <w:tc>
          <w:tcPr>
            <w:tcW w:w="1593" w:type="dxa"/>
            <w:tcBorders>
              <w:bottom w:val="single" w:sz="12" w:space="0" w:color="auto"/>
            </w:tcBorders>
            <w:shd w:val="clear" w:color="auto" w:fill="auto"/>
            <w:vAlign w:val="bottom"/>
          </w:tcPr>
          <w:p w:rsidR="009F5EB6" w:rsidRPr="002876E1" w:rsidRDefault="009F5EB6" w:rsidP="009F5EB6">
            <w:pPr>
              <w:rPr>
                <w:rFonts w:ascii="Tahoma" w:hAnsi="Tahoma" w:cs="Tahoma"/>
                <w:b/>
                <w:bCs/>
                <w:spacing w:val="-10"/>
                <w:sz w:val="28"/>
                <w:szCs w:val="28"/>
                <w:rtl/>
              </w:rPr>
            </w:pPr>
            <w:r w:rsidRPr="002876E1">
              <w:rPr>
                <w:rFonts w:ascii="Tahoma" w:hAnsi="Tahoma" w:cs="Tahoma"/>
                <w:b/>
                <w:bCs/>
                <w:spacing w:val="-10"/>
                <w:sz w:val="28"/>
                <w:szCs w:val="28"/>
                <w:rtl/>
              </w:rPr>
              <w:t>3.4 מיליון</w:t>
            </w:r>
          </w:p>
        </w:tc>
        <w:tc>
          <w:tcPr>
            <w:tcW w:w="342" w:type="dxa"/>
            <w:vAlign w:val="bottom"/>
          </w:tcPr>
          <w:p w:rsidR="009F5EB6" w:rsidRPr="002876E1" w:rsidRDefault="009F5EB6" w:rsidP="009F5EB6">
            <w:pPr>
              <w:rPr>
                <w:rFonts w:ascii="Tahoma" w:hAnsi="Tahoma" w:cs="Tahoma"/>
                <w:b/>
                <w:bCs/>
                <w:spacing w:val="-10"/>
                <w:sz w:val="28"/>
                <w:szCs w:val="28"/>
              </w:rPr>
            </w:pPr>
          </w:p>
        </w:tc>
        <w:tc>
          <w:tcPr>
            <w:tcW w:w="1465" w:type="dxa"/>
            <w:tcBorders>
              <w:bottom w:val="single" w:sz="12" w:space="0" w:color="auto"/>
            </w:tcBorders>
            <w:vAlign w:val="bottom"/>
          </w:tcPr>
          <w:p w:rsidR="009F5EB6" w:rsidRPr="002876E1" w:rsidRDefault="009F5EB6" w:rsidP="009F5EB6">
            <w:pPr>
              <w:rPr>
                <w:rFonts w:ascii="Tahoma" w:hAnsi="Tahoma" w:cs="Tahoma"/>
                <w:b/>
                <w:bCs/>
                <w:spacing w:val="-10"/>
                <w:sz w:val="28"/>
                <w:szCs w:val="28"/>
                <w:rtl/>
              </w:rPr>
            </w:pPr>
            <w:r w:rsidRPr="002876E1">
              <w:rPr>
                <w:rFonts w:ascii="Tahoma" w:hAnsi="Tahoma" w:cs="Tahoma"/>
                <w:b/>
                <w:bCs/>
                <w:spacing w:val="-10"/>
                <w:sz w:val="28"/>
                <w:szCs w:val="28"/>
                <w:rtl/>
              </w:rPr>
              <w:t>1.75 מיליון</w:t>
            </w:r>
          </w:p>
        </w:tc>
        <w:tc>
          <w:tcPr>
            <w:tcW w:w="341" w:type="dxa"/>
            <w:vAlign w:val="bottom"/>
          </w:tcPr>
          <w:p w:rsidR="009F5EB6" w:rsidRPr="002876E1" w:rsidRDefault="009F5EB6" w:rsidP="009F5EB6">
            <w:pPr>
              <w:rPr>
                <w:rFonts w:ascii="Tahoma" w:hAnsi="Tahoma" w:cs="Tahoma"/>
                <w:b/>
                <w:bCs/>
                <w:spacing w:val="-10"/>
                <w:sz w:val="28"/>
                <w:szCs w:val="28"/>
              </w:rPr>
            </w:pPr>
          </w:p>
        </w:tc>
        <w:tc>
          <w:tcPr>
            <w:tcW w:w="1503" w:type="dxa"/>
            <w:tcBorders>
              <w:bottom w:val="single" w:sz="12" w:space="0" w:color="auto"/>
            </w:tcBorders>
            <w:vAlign w:val="bottom"/>
          </w:tcPr>
          <w:p w:rsidR="009F5EB6" w:rsidRPr="002876E1" w:rsidRDefault="009F5EB6" w:rsidP="009F5EB6">
            <w:pPr>
              <w:rPr>
                <w:rFonts w:ascii="Tahoma" w:hAnsi="Tahoma" w:cs="Tahoma"/>
                <w:b/>
                <w:bCs/>
                <w:spacing w:val="-10"/>
                <w:sz w:val="28"/>
                <w:szCs w:val="28"/>
                <w:rtl/>
              </w:rPr>
            </w:pPr>
            <w:r w:rsidRPr="002876E1">
              <w:rPr>
                <w:rFonts w:ascii="Tahoma" w:hAnsi="Tahoma" w:cs="Tahoma"/>
                <w:b/>
                <w:bCs/>
                <w:spacing w:val="-10"/>
                <w:sz w:val="28"/>
                <w:szCs w:val="28"/>
                <w:rtl/>
              </w:rPr>
              <w:t>60.4%</w:t>
            </w:r>
          </w:p>
        </w:tc>
        <w:tc>
          <w:tcPr>
            <w:tcW w:w="341" w:type="dxa"/>
            <w:vAlign w:val="bottom"/>
          </w:tcPr>
          <w:p w:rsidR="009F5EB6" w:rsidRPr="002876E1" w:rsidRDefault="009F5EB6" w:rsidP="009F5EB6">
            <w:pPr>
              <w:rPr>
                <w:rFonts w:ascii="Tahoma" w:hAnsi="Tahoma" w:cs="Tahoma"/>
                <w:b/>
                <w:bCs/>
                <w:spacing w:val="-10"/>
                <w:sz w:val="28"/>
                <w:szCs w:val="28"/>
              </w:rPr>
            </w:pPr>
          </w:p>
        </w:tc>
        <w:tc>
          <w:tcPr>
            <w:tcW w:w="1503" w:type="dxa"/>
            <w:tcBorders>
              <w:bottom w:val="single" w:sz="12" w:space="0" w:color="auto"/>
            </w:tcBorders>
            <w:vAlign w:val="bottom"/>
          </w:tcPr>
          <w:p w:rsidR="009F5EB6" w:rsidRPr="002876E1" w:rsidRDefault="009F5EB6" w:rsidP="009F5EB6">
            <w:pPr>
              <w:rPr>
                <w:rFonts w:ascii="Tahoma" w:hAnsi="Tahoma" w:cs="Tahoma"/>
                <w:b/>
                <w:bCs/>
                <w:spacing w:val="-10"/>
                <w:sz w:val="28"/>
                <w:szCs w:val="28"/>
              </w:rPr>
            </w:pPr>
            <w:r w:rsidRPr="002876E1">
              <w:rPr>
                <w:rFonts w:ascii="Tahoma" w:hAnsi="Tahoma" w:cs="Tahoma"/>
                <w:b/>
                <w:bCs/>
                <w:spacing w:val="-10"/>
                <w:sz w:val="28"/>
                <w:szCs w:val="28"/>
                <w:rtl/>
              </w:rPr>
              <w:t>36%</w:t>
            </w:r>
          </w:p>
        </w:tc>
      </w:tr>
      <w:tr w:rsidR="000A251B" w:rsidTr="009F5EB6">
        <w:trPr>
          <w:trHeight w:val="85"/>
        </w:trPr>
        <w:tc>
          <w:tcPr>
            <w:tcW w:w="7088" w:type="dxa"/>
            <w:gridSpan w:val="7"/>
            <w:shd w:val="clear" w:color="auto" w:fill="auto"/>
            <w:vAlign w:val="center"/>
          </w:tcPr>
          <w:p w:rsidR="000A251B" w:rsidRPr="00995AD8" w:rsidRDefault="000A251B" w:rsidP="002C5E2B">
            <w:pPr>
              <w:spacing w:after="200" w:line="480" w:lineRule="auto"/>
              <w:rPr>
                <w:rFonts w:ascii="Tahoma" w:hAnsi="Tahoma" w:cs="Tahoma"/>
                <w:spacing w:val="-10"/>
                <w:sz w:val="6"/>
                <w:szCs w:val="6"/>
                <w:rtl/>
              </w:rPr>
            </w:pPr>
          </w:p>
        </w:tc>
      </w:tr>
      <w:tr w:rsidR="009F5EB6" w:rsidTr="009F5EB6">
        <w:trPr>
          <w:trHeight w:val="1155"/>
        </w:trPr>
        <w:tc>
          <w:tcPr>
            <w:tcW w:w="1593" w:type="dxa"/>
          </w:tcPr>
          <w:p w:rsidR="009F5EB6" w:rsidRPr="002876E1" w:rsidRDefault="009F5EB6" w:rsidP="009F5EB6">
            <w:pPr>
              <w:pStyle w:val="running-text"/>
              <w:bidi/>
              <w:ind w:right="0"/>
              <w:jc w:val="left"/>
              <w:rPr>
                <w:sz w:val="19"/>
                <w:szCs w:val="19"/>
                <w:rtl/>
              </w:rPr>
            </w:pPr>
            <w:r w:rsidRPr="002876E1">
              <w:rPr>
                <w:sz w:val="19"/>
                <w:szCs w:val="19"/>
                <w:rtl/>
              </w:rPr>
              <w:t>מספר מנות חיסון נגד שפעת שהוזמנו עד סוף אוגוסט 2020 עבור חורף 2021-2020</w:t>
            </w:r>
          </w:p>
        </w:tc>
        <w:tc>
          <w:tcPr>
            <w:tcW w:w="342" w:type="dxa"/>
          </w:tcPr>
          <w:p w:rsidR="009F5EB6" w:rsidRPr="002876E1" w:rsidRDefault="009F5EB6" w:rsidP="009F5EB6">
            <w:pPr>
              <w:pStyle w:val="running-text"/>
              <w:bidi/>
              <w:ind w:right="0"/>
              <w:jc w:val="left"/>
              <w:rPr>
                <w:sz w:val="19"/>
                <w:szCs w:val="19"/>
                <w:rtl/>
              </w:rPr>
            </w:pPr>
          </w:p>
        </w:tc>
        <w:tc>
          <w:tcPr>
            <w:tcW w:w="1465" w:type="dxa"/>
          </w:tcPr>
          <w:p w:rsidR="009F5EB6" w:rsidRPr="002876E1" w:rsidRDefault="009F5EB6" w:rsidP="009F5EB6">
            <w:pPr>
              <w:pStyle w:val="running-text"/>
              <w:bidi/>
              <w:ind w:right="0"/>
              <w:jc w:val="left"/>
              <w:rPr>
                <w:sz w:val="19"/>
                <w:szCs w:val="19"/>
                <w:rtl/>
              </w:rPr>
            </w:pPr>
            <w:r w:rsidRPr="002876E1">
              <w:rPr>
                <w:sz w:val="19"/>
                <w:szCs w:val="19"/>
                <w:rtl/>
              </w:rPr>
              <w:t>מספר המתחסנים נגד שפעת בחורף 2019-2018</w:t>
            </w:r>
          </w:p>
        </w:tc>
        <w:tc>
          <w:tcPr>
            <w:tcW w:w="341" w:type="dxa"/>
          </w:tcPr>
          <w:p w:rsidR="009F5EB6" w:rsidRPr="002876E1" w:rsidRDefault="009F5EB6" w:rsidP="009F5EB6">
            <w:pPr>
              <w:pStyle w:val="running-text"/>
              <w:bidi/>
              <w:ind w:right="0"/>
              <w:jc w:val="left"/>
              <w:rPr>
                <w:sz w:val="19"/>
                <w:szCs w:val="19"/>
                <w:rtl/>
              </w:rPr>
            </w:pPr>
          </w:p>
        </w:tc>
        <w:tc>
          <w:tcPr>
            <w:tcW w:w="1503" w:type="dxa"/>
          </w:tcPr>
          <w:p w:rsidR="009F5EB6" w:rsidRPr="002876E1" w:rsidRDefault="009F5EB6" w:rsidP="009F5EB6">
            <w:pPr>
              <w:pStyle w:val="running-text"/>
              <w:bidi/>
              <w:ind w:right="0"/>
              <w:jc w:val="left"/>
              <w:rPr>
                <w:sz w:val="19"/>
                <w:szCs w:val="19"/>
                <w:rtl/>
              </w:rPr>
            </w:pPr>
            <w:r w:rsidRPr="002876E1">
              <w:rPr>
                <w:sz w:val="19"/>
                <w:szCs w:val="19"/>
                <w:rtl/>
              </w:rPr>
              <w:t>שיעור בני 65 ומעלה שהתחסנו בחורף 2019-2018 נגד שפעת</w:t>
            </w:r>
          </w:p>
        </w:tc>
        <w:tc>
          <w:tcPr>
            <w:tcW w:w="341" w:type="dxa"/>
          </w:tcPr>
          <w:p w:rsidR="009F5EB6" w:rsidRPr="002876E1" w:rsidRDefault="009F5EB6" w:rsidP="009F5EB6">
            <w:pPr>
              <w:pStyle w:val="running-text"/>
              <w:bidi/>
              <w:ind w:right="0"/>
              <w:jc w:val="left"/>
              <w:rPr>
                <w:sz w:val="19"/>
                <w:szCs w:val="19"/>
                <w:rtl/>
              </w:rPr>
            </w:pPr>
          </w:p>
        </w:tc>
        <w:tc>
          <w:tcPr>
            <w:tcW w:w="1503" w:type="dxa"/>
          </w:tcPr>
          <w:p w:rsidR="009F5EB6" w:rsidRPr="002876E1" w:rsidRDefault="009F5EB6" w:rsidP="009F5EB6">
            <w:pPr>
              <w:pStyle w:val="running-text"/>
              <w:bidi/>
              <w:ind w:right="0"/>
              <w:jc w:val="left"/>
              <w:rPr>
                <w:sz w:val="19"/>
                <w:szCs w:val="19"/>
                <w:rtl/>
              </w:rPr>
            </w:pPr>
            <w:r w:rsidRPr="002876E1">
              <w:rPr>
                <w:sz w:val="19"/>
                <w:szCs w:val="19"/>
                <w:rtl/>
              </w:rPr>
              <w:t xml:space="preserve">שיעור עובדי מערכת הבריאות שהתחסנו בחורף 2019-2018 נגד שפעת </w:t>
            </w:r>
          </w:p>
        </w:tc>
      </w:tr>
      <w:tr w:rsidR="000A251B" w:rsidTr="009F5EB6">
        <w:trPr>
          <w:trHeight w:val="363"/>
        </w:trPr>
        <w:tc>
          <w:tcPr>
            <w:tcW w:w="7088" w:type="dxa"/>
            <w:gridSpan w:val="7"/>
          </w:tcPr>
          <w:p w:rsidR="000A251B" w:rsidRPr="00995AD8" w:rsidRDefault="000A251B" w:rsidP="002C5E2B">
            <w:pPr>
              <w:spacing w:after="200" w:line="480" w:lineRule="auto"/>
              <w:jc w:val="center"/>
              <w:rPr>
                <w:rFonts w:ascii="Tahoma" w:hAnsi="Tahoma" w:cs="Tahoma"/>
                <w:sz w:val="6"/>
                <w:szCs w:val="6"/>
                <w:rtl/>
              </w:rPr>
            </w:pPr>
          </w:p>
        </w:tc>
      </w:tr>
      <w:tr w:rsidR="009F5EB6" w:rsidTr="009F5EB6">
        <w:trPr>
          <w:trHeight w:val="227"/>
        </w:trPr>
        <w:tc>
          <w:tcPr>
            <w:tcW w:w="1593" w:type="dxa"/>
            <w:tcBorders>
              <w:bottom w:val="single" w:sz="12" w:space="0" w:color="auto"/>
            </w:tcBorders>
          </w:tcPr>
          <w:p w:rsidR="009F5EB6" w:rsidRPr="002876E1" w:rsidRDefault="009F5EB6" w:rsidP="009F5EB6">
            <w:pPr>
              <w:rPr>
                <w:rFonts w:ascii="Tahoma" w:hAnsi="Tahoma" w:cs="Tahoma"/>
                <w:b/>
                <w:bCs/>
                <w:spacing w:val="-10"/>
                <w:sz w:val="28"/>
                <w:szCs w:val="28"/>
              </w:rPr>
            </w:pPr>
            <w:r w:rsidRPr="002876E1">
              <w:rPr>
                <w:rFonts w:ascii="Tahoma" w:hAnsi="Tahoma" w:cs="Tahoma"/>
                <w:b/>
                <w:bCs/>
                <w:spacing w:val="-10"/>
                <w:sz w:val="28"/>
                <w:szCs w:val="28"/>
                <w:rtl/>
              </w:rPr>
              <w:t>50%</w:t>
            </w:r>
          </w:p>
        </w:tc>
        <w:tc>
          <w:tcPr>
            <w:tcW w:w="342" w:type="dxa"/>
          </w:tcPr>
          <w:p w:rsidR="009F5EB6" w:rsidRPr="002876E1" w:rsidRDefault="009F5EB6" w:rsidP="009F5EB6">
            <w:pPr>
              <w:rPr>
                <w:rFonts w:ascii="Tahoma" w:hAnsi="Tahoma" w:cs="Tahoma"/>
                <w:b/>
                <w:bCs/>
                <w:spacing w:val="-10"/>
                <w:sz w:val="28"/>
                <w:szCs w:val="28"/>
              </w:rPr>
            </w:pPr>
          </w:p>
        </w:tc>
        <w:tc>
          <w:tcPr>
            <w:tcW w:w="1465" w:type="dxa"/>
            <w:tcBorders>
              <w:bottom w:val="single" w:sz="12" w:space="0" w:color="auto"/>
            </w:tcBorders>
          </w:tcPr>
          <w:p w:rsidR="009F5EB6" w:rsidRPr="002876E1" w:rsidRDefault="009F5EB6" w:rsidP="009F5EB6">
            <w:pPr>
              <w:rPr>
                <w:rFonts w:ascii="Tahoma" w:hAnsi="Tahoma" w:cs="Tahoma"/>
                <w:b/>
                <w:bCs/>
                <w:spacing w:val="-10"/>
                <w:sz w:val="28"/>
                <w:szCs w:val="28"/>
              </w:rPr>
            </w:pPr>
            <w:r w:rsidRPr="002876E1">
              <w:rPr>
                <w:rFonts w:ascii="Tahoma" w:hAnsi="Tahoma" w:cs="Tahoma"/>
                <w:b/>
                <w:bCs/>
                <w:spacing w:val="-10"/>
                <w:sz w:val="28"/>
                <w:szCs w:val="28"/>
                <w:rtl/>
              </w:rPr>
              <w:t>35.1%</w:t>
            </w:r>
          </w:p>
        </w:tc>
        <w:tc>
          <w:tcPr>
            <w:tcW w:w="341" w:type="dxa"/>
          </w:tcPr>
          <w:p w:rsidR="009F5EB6" w:rsidRPr="002876E1" w:rsidRDefault="009F5EB6" w:rsidP="009F5EB6">
            <w:pPr>
              <w:rPr>
                <w:rFonts w:ascii="Tahoma" w:hAnsi="Tahoma" w:cs="Tahoma"/>
                <w:b/>
                <w:bCs/>
                <w:spacing w:val="-10"/>
                <w:sz w:val="28"/>
                <w:szCs w:val="28"/>
              </w:rPr>
            </w:pPr>
          </w:p>
        </w:tc>
        <w:tc>
          <w:tcPr>
            <w:tcW w:w="1503" w:type="dxa"/>
            <w:tcBorders>
              <w:bottom w:val="single" w:sz="12" w:space="0" w:color="auto"/>
            </w:tcBorders>
          </w:tcPr>
          <w:p w:rsidR="009F5EB6" w:rsidRPr="002876E1" w:rsidRDefault="009F5EB6" w:rsidP="009F5EB6">
            <w:pPr>
              <w:rPr>
                <w:rFonts w:ascii="Tahoma" w:hAnsi="Tahoma" w:cs="Tahoma"/>
                <w:b/>
                <w:bCs/>
                <w:spacing w:val="-10"/>
                <w:sz w:val="28"/>
                <w:szCs w:val="28"/>
              </w:rPr>
            </w:pPr>
            <w:r w:rsidRPr="002876E1">
              <w:rPr>
                <w:rFonts w:ascii="Tahoma" w:hAnsi="Tahoma" w:cs="Tahoma"/>
                <w:b/>
                <w:bCs/>
                <w:spacing w:val="-10"/>
                <w:sz w:val="28"/>
                <w:szCs w:val="28"/>
                <w:rtl/>
              </w:rPr>
              <w:t>53%</w:t>
            </w:r>
          </w:p>
        </w:tc>
        <w:tc>
          <w:tcPr>
            <w:tcW w:w="341" w:type="dxa"/>
            <w:vAlign w:val="bottom"/>
          </w:tcPr>
          <w:p w:rsidR="009F5EB6" w:rsidRPr="000A251B" w:rsidRDefault="009F5EB6" w:rsidP="009F5EB6">
            <w:pPr>
              <w:rPr>
                <w:rFonts w:ascii="Tahoma" w:hAnsi="Tahoma" w:cs="Tahoma"/>
                <w:b/>
                <w:bCs/>
                <w:spacing w:val="-10"/>
                <w:sz w:val="28"/>
                <w:szCs w:val="28"/>
              </w:rPr>
            </w:pPr>
          </w:p>
        </w:tc>
        <w:tc>
          <w:tcPr>
            <w:tcW w:w="1503" w:type="dxa"/>
            <w:vAlign w:val="bottom"/>
          </w:tcPr>
          <w:p w:rsidR="009F5EB6" w:rsidRPr="000A251B" w:rsidRDefault="009F5EB6" w:rsidP="009F5EB6">
            <w:pPr>
              <w:rPr>
                <w:rFonts w:ascii="Tahoma" w:hAnsi="Tahoma" w:cs="Tahoma"/>
                <w:b/>
                <w:bCs/>
                <w:spacing w:val="-10"/>
                <w:sz w:val="28"/>
                <w:szCs w:val="28"/>
              </w:rPr>
            </w:pPr>
          </w:p>
        </w:tc>
      </w:tr>
      <w:tr w:rsidR="000A251B" w:rsidTr="009F5EB6">
        <w:trPr>
          <w:trHeight w:val="70"/>
        </w:trPr>
        <w:tc>
          <w:tcPr>
            <w:tcW w:w="7088" w:type="dxa"/>
            <w:gridSpan w:val="7"/>
            <w:vAlign w:val="center"/>
          </w:tcPr>
          <w:p w:rsidR="000A251B" w:rsidRPr="00995AD8" w:rsidRDefault="000A251B" w:rsidP="002C5E2B">
            <w:pPr>
              <w:spacing w:after="200" w:line="480" w:lineRule="auto"/>
              <w:rPr>
                <w:rFonts w:ascii="Tahoma" w:hAnsi="Tahoma" w:cs="Tahoma"/>
                <w:spacing w:val="-10"/>
                <w:sz w:val="6"/>
                <w:szCs w:val="6"/>
                <w:rtl/>
              </w:rPr>
            </w:pPr>
          </w:p>
        </w:tc>
      </w:tr>
      <w:tr w:rsidR="009F5EB6" w:rsidTr="009F5EB6">
        <w:trPr>
          <w:trHeight w:val="1153"/>
        </w:trPr>
        <w:tc>
          <w:tcPr>
            <w:tcW w:w="1593" w:type="dxa"/>
          </w:tcPr>
          <w:p w:rsidR="009F5EB6" w:rsidRPr="002876E1" w:rsidRDefault="009F5EB6" w:rsidP="009F5EB6">
            <w:pPr>
              <w:pStyle w:val="running-text"/>
              <w:bidi/>
              <w:ind w:right="0"/>
              <w:jc w:val="left"/>
              <w:rPr>
                <w:sz w:val="19"/>
                <w:szCs w:val="19"/>
                <w:rtl/>
              </w:rPr>
            </w:pPr>
            <w:r w:rsidRPr="002876E1">
              <w:rPr>
                <w:sz w:val="19"/>
                <w:szCs w:val="19"/>
                <w:rtl/>
              </w:rPr>
              <w:t xml:space="preserve">הפחתת שיעור הביקורים הפיזיים במרפאות במרץ-אפריל 2020 לעומת החודשים ינואר-פברואר אותה שנה </w:t>
            </w:r>
          </w:p>
        </w:tc>
        <w:tc>
          <w:tcPr>
            <w:tcW w:w="342" w:type="dxa"/>
          </w:tcPr>
          <w:p w:rsidR="009F5EB6" w:rsidRPr="002876E1" w:rsidRDefault="009F5EB6" w:rsidP="009F5EB6">
            <w:pPr>
              <w:pStyle w:val="running-text"/>
              <w:bidi/>
              <w:ind w:right="0"/>
              <w:jc w:val="left"/>
              <w:rPr>
                <w:sz w:val="19"/>
                <w:szCs w:val="19"/>
                <w:rtl/>
              </w:rPr>
            </w:pPr>
          </w:p>
        </w:tc>
        <w:tc>
          <w:tcPr>
            <w:tcW w:w="1465" w:type="dxa"/>
          </w:tcPr>
          <w:p w:rsidR="009F5EB6" w:rsidRPr="002876E1" w:rsidRDefault="009F5EB6" w:rsidP="009F5EB6">
            <w:pPr>
              <w:pStyle w:val="running-text"/>
              <w:bidi/>
              <w:ind w:right="0"/>
              <w:jc w:val="left"/>
              <w:rPr>
                <w:sz w:val="19"/>
                <w:szCs w:val="19"/>
                <w:rtl/>
              </w:rPr>
            </w:pPr>
            <w:r w:rsidRPr="002876E1">
              <w:rPr>
                <w:sz w:val="19"/>
                <w:szCs w:val="19"/>
                <w:rtl/>
              </w:rPr>
              <w:t>הפחתת שיעור הפונים שאובחנו כסובלים מאירוע של שבץ מוחי חולף במרץ 2020 לעומת מרץ 2019</w:t>
            </w:r>
          </w:p>
        </w:tc>
        <w:tc>
          <w:tcPr>
            <w:tcW w:w="341" w:type="dxa"/>
          </w:tcPr>
          <w:p w:rsidR="009F5EB6" w:rsidRPr="002876E1" w:rsidRDefault="009F5EB6" w:rsidP="009F5EB6">
            <w:pPr>
              <w:pStyle w:val="running-text"/>
              <w:bidi/>
              <w:ind w:right="0"/>
              <w:jc w:val="left"/>
              <w:rPr>
                <w:sz w:val="19"/>
                <w:szCs w:val="19"/>
                <w:rtl/>
              </w:rPr>
            </w:pPr>
          </w:p>
        </w:tc>
        <w:tc>
          <w:tcPr>
            <w:tcW w:w="1503" w:type="dxa"/>
          </w:tcPr>
          <w:p w:rsidR="009F5EB6" w:rsidRPr="002876E1" w:rsidRDefault="009F5EB6" w:rsidP="009F5EB6">
            <w:pPr>
              <w:pStyle w:val="running-text"/>
              <w:bidi/>
              <w:ind w:right="0"/>
              <w:jc w:val="left"/>
              <w:rPr>
                <w:sz w:val="19"/>
                <w:szCs w:val="19"/>
                <w:rtl/>
              </w:rPr>
            </w:pPr>
            <w:r w:rsidRPr="002876E1">
              <w:rPr>
                <w:sz w:val="19"/>
                <w:szCs w:val="19"/>
                <w:rtl/>
              </w:rPr>
              <w:t>מהביקורים ברפואת משפחה בלאומית שירותי בריאות התקיימו באפריל 2020 באמצעות רפואה מרחוק</w:t>
            </w:r>
          </w:p>
        </w:tc>
        <w:tc>
          <w:tcPr>
            <w:tcW w:w="341" w:type="dxa"/>
          </w:tcPr>
          <w:p w:rsidR="009F5EB6" w:rsidRPr="00995AD8" w:rsidRDefault="009F5EB6" w:rsidP="009F5EB6">
            <w:pPr>
              <w:ind w:right="25"/>
              <w:rPr>
                <w:rFonts w:ascii="Tahoma" w:hAnsi="Tahoma" w:cs="Tahoma"/>
                <w:sz w:val="19"/>
                <w:szCs w:val="19"/>
                <w:rtl/>
              </w:rPr>
            </w:pPr>
          </w:p>
        </w:tc>
        <w:tc>
          <w:tcPr>
            <w:tcW w:w="1503" w:type="dxa"/>
          </w:tcPr>
          <w:p w:rsidR="009F5EB6" w:rsidRPr="00995AD8" w:rsidRDefault="009F5EB6" w:rsidP="009F5EB6">
            <w:pPr>
              <w:ind w:right="25"/>
              <w:rPr>
                <w:rFonts w:ascii="Tahoma" w:hAnsi="Tahoma" w:cs="Tahoma"/>
                <w:sz w:val="19"/>
                <w:szCs w:val="19"/>
                <w:rtl/>
              </w:rPr>
            </w:pPr>
          </w:p>
        </w:tc>
      </w:tr>
    </w:tbl>
    <w:p w:rsidR="00E33AFB" w:rsidRPr="000A251B" w:rsidRDefault="00E33AFB" w:rsidP="007373F6">
      <w:pPr>
        <w:pStyle w:val="running-text"/>
        <w:bidi/>
        <w:spacing w:line="480" w:lineRule="auto"/>
        <w:ind w:right="0"/>
        <w:rPr>
          <w:b/>
          <w:bCs/>
          <w:sz w:val="18"/>
          <w:rtl/>
        </w:rPr>
      </w:pPr>
      <w:r w:rsidRPr="00995AD8">
        <w:rPr>
          <w:noProof/>
        </w:rPr>
        <w:lastRenderedPageBreak/>
        <w:drawing>
          <wp:inline distT="0" distB="0" distL="0" distR="0" wp14:anchorId="64108AEC" wp14:editId="69AE5AD8">
            <wp:extent cx="4499610" cy="407287"/>
            <wp:effectExtent l="0" t="0" r="0" b="0"/>
            <wp:docPr id="9" name="תמונה 17438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25231" name="תקציר תמונה 2.2.png"/>
                    <pic:cNvPicPr/>
                  </pic:nvPicPr>
                  <pic:blipFill rotWithShape="1">
                    <a:blip r:embed="rId16" cstate="print">
                      <a:extLst>
                        <a:ext uri="{28A0092B-C50C-407E-A947-70E740481C1C}">
                          <a14:useLocalDpi xmlns:a14="http://schemas.microsoft.com/office/drawing/2010/main" val="0"/>
                        </a:ext>
                      </a:extLst>
                    </a:blip>
                    <a:srcRect l="20499" r="1"/>
                    <a:stretch/>
                  </pic:blipFill>
                  <pic:spPr bwMode="auto">
                    <a:xfrm>
                      <a:off x="0" y="0"/>
                      <a:ext cx="4499610" cy="407287"/>
                    </a:xfrm>
                    <a:prstGeom prst="rect">
                      <a:avLst/>
                    </a:prstGeom>
                    <a:ln>
                      <a:noFill/>
                    </a:ln>
                    <a:extLst>
                      <a:ext uri="{53640926-AAD7-44D8-BBD7-CCE9431645EC}">
                        <a14:shadowObscured xmlns:a14="http://schemas.microsoft.com/office/drawing/2010/main"/>
                      </a:ext>
                    </a:extLst>
                  </pic:spPr>
                </pic:pic>
              </a:graphicData>
            </a:graphic>
          </wp:inline>
        </w:drawing>
      </w:r>
    </w:p>
    <w:p w:rsidR="009F5EB6" w:rsidRPr="00BD2E94" w:rsidRDefault="009F5EB6" w:rsidP="00BD2E94">
      <w:pPr>
        <w:pStyle w:val="ListParagraph"/>
        <w:numPr>
          <w:ilvl w:val="0"/>
          <w:numId w:val="7"/>
        </w:numPr>
        <w:autoSpaceDE/>
        <w:autoSpaceDN/>
        <w:adjustRightInd/>
        <w:spacing w:line="240" w:lineRule="exact"/>
        <w:ind w:left="397" w:hanging="397"/>
        <w:rPr>
          <w:sz w:val="18"/>
          <w:szCs w:val="18"/>
        </w:rPr>
      </w:pPr>
      <w:r w:rsidRPr="00BD2E94">
        <w:rPr>
          <w:sz w:val="18"/>
          <w:szCs w:val="18"/>
          <w:rtl/>
        </w:rPr>
        <w:t xml:space="preserve">לקראת כל חורף יש להיערך להתפרצותה של שפעת עונתית, אולם בחורף תשפ"א </w:t>
      </w:r>
      <w:r w:rsidR="00BD2E94" w:rsidRPr="00BD2E94">
        <w:rPr>
          <w:rFonts w:hint="cs"/>
          <w:sz w:val="18"/>
          <w:szCs w:val="18"/>
          <w:rtl/>
        </w:rPr>
        <w:br/>
      </w:r>
      <w:r w:rsidRPr="00BD2E94">
        <w:rPr>
          <w:sz w:val="18"/>
          <w:szCs w:val="18"/>
          <w:rtl/>
        </w:rPr>
        <w:t>(2021-2020) צפויה התפרצות של שפעת עונתית בד בבד עם המשך התחלואה ממגפת הקורונה. בכל שנה המועד הרצוי להתחלת מתן חיסון נגד שפעת עונתית הוא חודש ספטמבר. בעת סיכום ממצאי הביקורת הראשוניים, תחילת ספטמבר 2020, עדיין לא הושלמה ההיערכות למתן 3.4 מיליון החיסונים שהוזמנו.</w:t>
      </w:r>
    </w:p>
    <w:p w:rsidR="009F5EB6" w:rsidRPr="00BD2E94" w:rsidRDefault="009F5EB6" w:rsidP="00BD2E94">
      <w:pPr>
        <w:pStyle w:val="ListParagraph"/>
        <w:numPr>
          <w:ilvl w:val="0"/>
          <w:numId w:val="7"/>
        </w:numPr>
        <w:autoSpaceDE/>
        <w:autoSpaceDN/>
        <w:adjustRightInd/>
        <w:spacing w:line="240" w:lineRule="exact"/>
        <w:ind w:left="397" w:hanging="397"/>
        <w:rPr>
          <w:sz w:val="18"/>
          <w:szCs w:val="18"/>
          <w:rtl/>
        </w:rPr>
      </w:pPr>
      <w:r w:rsidRPr="00BD2E94">
        <w:rPr>
          <w:sz w:val="18"/>
          <w:szCs w:val="18"/>
          <w:rtl/>
        </w:rPr>
        <w:t xml:space="preserve">בישראל שיעור ההתחסנות נגד שפעת עונתית של עובדי מערכת הבריאות, המטפלים בחולים ובאוכלוסיות פגיעות, קטן יחסית למדינות מפותחות. למשל, בחורף 2019-2018 היה שיעור ההתחסנות של עובדי מערכת הבריאות 36% בלבד, וזאת לעומת שיעור של 50% - 78% במדינות מפותחות. </w:t>
      </w:r>
    </w:p>
    <w:p w:rsidR="009F5EB6" w:rsidRPr="00BD2E94" w:rsidRDefault="009F5EB6" w:rsidP="00BD2E94">
      <w:pPr>
        <w:pStyle w:val="ListParagraph"/>
        <w:numPr>
          <w:ilvl w:val="0"/>
          <w:numId w:val="7"/>
        </w:numPr>
        <w:autoSpaceDE/>
        <w:autoSpaceDN/>
        <w:adjustRightInd/>
        <w:spacing w:line="240" w:lineRule="exact"/>
        <w:ind w:left="397" w:hanging="397"/>
        <w:rPr>
          <w:sz w:val="18"/>
          <w:szCs w:val="18"/>
          <w:rtl/>
        </w:rPr>
      </w:pPr>
      <w:r w:rsidRPr="00BD2E94">
        <w:rPr>
          <w:sz w:val="18"/>
          <w:szCs w:val="18"/>
          <w:rtl/>
        </w:rPr>
        <w:t>בעת התפרצות מגפת הקורונה, בתקופת הסגר הראשון ואחריה, פחת שיעור החולים שהגיעו למרפאות הקופות, למרפאות חוץ בבתי חולים וכן לבתי החולים לשם קבלת טיפול רפואי. למשל, באפריל (בשבוע 15) בעת התפרצות הקורונה ביקרו במרפאות לרפואת משפחה כ-24,500 איש בשבוע, וזאת לעומת 71,200 איש בשבוע לפני ההתפרצות. המצב הרפואי של חלק מהחולים בכל הקופות היה חמור, הם היו זקוקים לטיפול דחוף והימנעותם מקבלתו עלולה הייתה לסכן אותם.</w:t>
      </w:r>
    </w:p>
    <w:p w:rsidR="009F5EB6" w:rsidRPr="00BD2E94" w:rsidRDefault="009F5EB6" w:rsidP="00BD2E94">
      <w:pPr>
        <w:pStyle w:val="ListParagraph"/>
        <w:numPr>
          <w:ilvl w:val="0"/>
          <w:numId w:val="7"/>
        </w:numPr>
        <w:autoSpaceDE/>
        <w:autoSpaceDN/>
        <w:adjustRightInd/>
        <w:spacing w:line="240" w:lineRule="exact"/>
        <w:ind w:left="397" w:hanging="397"/>
        <w:rPr>
          <w:sz w:val="18"/>
          <w:szCs w:val="18"/>
          <w:rtl/>
        </w:rPr>
      </w:pPr>
      <w:r w:rsidRPr="00BD2E94">
        <w:rPr>
          <w:sz w:val="18"/>
          <w:szCs w:val="18"/>
          <w:rtl/>
        </w:rPr>
        <w:t xml:space="preserve">משרד הבריאות לא פעל לגיבוש אופן הפעולה המיטבי שיפחית את רתיעתו של הציבור מלבקר בעת הצורך במרפאות הקופות, במרפאות החוץ בבתי חולים ובחדרי המיון, ויפיג את חששותיהם של הצוותים המטפלים מלתת שירות לחולים המבקרים במקום. </w:t>
      </w:r>
    </w:p>
    <w:p w:rsidR="009F5EB6" w:rsidRPr="00BD2E94" w:rsidRDefault="009F5EB6" w:rsidP="00BD2E94">
      <w:pPr>
        <w:pStyle w:val="ListParagraph"/>
        <w:numPr>
          <w:ilvl w:val="0"/>
          <w:numId w:val="7"/>
        </w:numPr>
        <w:autoSpaceDE/>
        <w:autoSpaceDN/>
        <w:adjustRightInd/>
        <w:spacing w:line="240" w:lineRule="exact"/>
        <w:ind w:left="397" w:hanging="397"/>
        <w:rPr>
          <w:sz w:val="18"/>
          <w:szCs w:val="18"/>
          <w:rtl/>
        </w:rPr>
      </w:pPr>
      <w:r w:rsidRPr="00BD2E94">
        <w:rPr>
          <w:sz w:val="18"/>
          <w:szCs w:val="18"/>
          <w:rtl/>
        </w:rPr>
        <w:t xml:space="preserve">בזמן משבר הקורונה היקפי השימוש ברפואה מרחוק גדלו במידה ניכרת. למשל, בתחום רפואת המשפחה בלאומית שירותי בריאות גדלו ההיקפים מ-22% בחודשים ינואר - פברואר 2020 ל-53% באפריל 2020. עלה כי הקופות קיימו בקרב הצוותים הדרכות טכניות בנוגע לשימוש ברפואה מרחוק באמצעות הטלפונים הסלולריים, שיחות וידאו ועוד, אולם לא התקיימה הדרכה על פי קווים רפואיים מנחים , בשיתוף האיגודים המקצועיים </w:t>
      </w:r>
      <w:proofErr w:type="spellStart"/>
      <w:r w:rsidRPr="00BD2E94">
        <w:rPr>
          <w:sz w:val="18"/>
          <w:szCs w:val="18"/>
          <w:rtl/>
        </w:rPr>
        <w:t>בהר"י</w:t>
      </w:r>
      <w:proofErr w:type="spellEnd"/>
      <w:r w:rsidRPr="00BD2E94">
        <w:rPr>
          <w:rStyle w:val="FootnoteReference"/>
          <w:sz w:val="18"/>
          <w:szCs w:val="18"/>
          <w:rtl/>
        </w:rPr>
        <w:footnoteReference w:id="1"/>
      </w:r>
      <w:r w:rsidRPr="00BD2E94">
        <w:rPr>
          <w:sz w:val="18"/>
          <w:szCs w:val="18"/>
          <w:rtl/>
        </w:rPr>
        <w:t xml:space="preserve">, בנושא המצבים הרפואיים והמאפיינים של החולים שניתן לטפל בהם מרחוק והתנאים המאפשרים מתן טיפול מרחוק. </w:t>
      </w:r>
    </w:p>
    <w:p w:rsidR="009F5EB6" w:rsidRPr="00BD2E94" w:rsidRDefault="009F5EB6" w:rsidP="00BD2E94">
      <w:pPr>
        <w:pStyle w:val="ListParagraph"/>
        <w:numPr>
          <w:ilvl w:val="0"/>
          <w:numId w:val="7"/>
        </w:numPr>
        <w:autoSpaceDE/>
        <w:autoSpaceDN/>
        <w:adjustRightInd/>
        <w:spacing w:line="240" w:lineRule="exact"/>
        <w:ind w:left="397" w:hanging="397"/>
        <w:rPr>
          <w:b/>
          <w:bCs/>
          <w:sz w:val="18"/>
          <w:szCs w:val="18"/>
          <w:rtl/>
        </w:rPr>
      </w:pPr>
      <w:r w:rsidRPr="00BD2E94">
        <w:rPr>
          <w:sz w:val="18"/>
          <w:szCs w:val="18"/>
          <w:rtl/>
        </w:rPr>
        <w:t>שירותי הרפואה מרחוק אינם זמינים ונגישים לכלל האוכלוסייה, ובכלל זה לאוכלוסיות ראויות לקידום, לאוכלוסיות בעלות אוריינות</w:t>
      </w:r>
      <w:r w:rsidRPr="00BD2E94">
        <w:rPr>
          <w:sz w:val="18"/>
          <w:szCs w:val="18"/>
        </w:rPr>
        <w:t xml:space="preserve"> </w:t>
      </w:r>
      <w:r w:rsidRPr="00BD2E94">
        <w:rPr>
          <w:sz w:val="18"/>
          <w:szCs w:val="18"/>
          <w:rtl/>
        </w:rPr>
        <w:t>דיגיטלית נמוכה ולמי שאין לו מחשב או טלפון חכם ואף למי שאין במקום מגוריו תשתית אינטרנט.</w:t>
      </w:r>
    </w:p>
    <w:p w:rsidR="00E33AFB" w:rsidRPr="00E33AFB" w:rsidRDefault="00E33AFB" w:rsidP="00E33AFB">
      <w:pPr>
        <w:pStyle w:val="running-text"/>
        <w:bidi/>
        <w:ind w:right="0"/>
        <w:rPr>
          <w:b/>
          <w:bCs/>
          <w:sz w:val="18"/>
        </w:rPr>
      </w:pPr>
    </w:p>
    <w:p w:rsidR="002557C3" w:rsidRPr="00E33AFB" w:rsidRDefault="002557C3" w:rsidP="004D04B2">
      <w:pPr>
        <w:pStyle w:val="TableofFigures"/>
        <w:pageBreakBefore/>
        <w:spacing w:line="480" w:lineRule="auto"/>
        <w:rPr>
          <w:rFonts w:ascii="Tahoma" w:hAnsi="Tahoma" w:cs="Tahoma"/>
          <w:noProof/>
          <w:sz w:val="22"/>
          <w:szCs w:val="22"/>
          <w:lang w:eastAsia="en-US"/>
        </w:rPr>
      </w:pPr>
      <w:r w:rsidRPr="00E33AFB">
        <w:rPr>
          <w:rFonts w:ascii="Tahoma" w:hAnsi="Tahoma" w:cs="Tahoma"/>
          <w:noProof/>
          <w:rtl/>
          <w:lang w:eastAsia="en-US"/>
        </w:rPr>
        <w:lastRenderedPageBreak/>
        <w:drawing>
          <wp:inline distT="0" distB="0" distL="0" distR="0" wp14:anchorId="60E00BE0" wp14:editId="0E347070">
            <wp:extent cx="4499610" cy="339445"/>
            <wp:effectExtent l="0" t="0" r="0" b="3810"/>
            <wp:docPr id="1743882414" name="תמונה 174388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9610" cy="339445"/>
                    </a:xfrm>
                    <a:prstGeom prst="rect">
                      <a:avLst/>
                    </a:prstGeom>
                  </pic:spPr>
                </pic:pic>
              </a:graphicData>
            </a:graphic>
          </wp:inline>
        </w:drawing>
      </w:r>
    </w:p>
    <w:p w:rsidR="004D04B2" w:rsidRPr="004D04B2" w:rsidRDefault="004D04B2" w:rsidP="00BD2E94">
      <w:pPr>
        <w:pStyle w:val="ListParagraph"/>
        <w:numPr>
          <w:ilvl w:val="0"/>
          <w:numId w:val="7"/>
        </w:numPr>
        <w:autoSpaceDE/>
        <w:autoSpaceDN/>
        <w:adjustRightInd/>
        <w:spacing w:line="220" w:lineRule="exact"/>
        <w:ind w:left="397" w:hanging="397"/>
        <w:rPr>
          <w:sz w:val="19"/>
          <w:szCs w:val="18"/>
        </w:rPr>
      </w:pPr>
      <w:r w:rsidRPr="004D04B2">
        <w:rPr>
          <w:sz w:val="19"/>
          <w:szCs w:val="18"/>
          <w:rtl/>
        </w:rPr>
        <w:t xml:space="preserve">כדי להבטיח כי שיעור גדול ככל האפשר מהאוכלוסייה יחוסן נגד נגיף השפעת, וכי החיסונים יינתנו בזמן ובאופן בטוח, ממליץ משרד מבקר המדינה למשרד הבריאות ולקופות לגבש </w:t>
      </w:r>
      <w:proofErr w:type="spellStart"/>
      <w:r w:rsidRPr="004D04B2">
        <w:rPr>
          <w:sz w:val="19"/>
          <w:szCs w:val="18"/>
          <w:rtl/>
        </w:rPr>
        <w:t>תוכנית</w:t>
      </w:r>
      <w:proofErr w:type="spellEnd"/>
      <w:r w:rsidRPr="004D04B2">
        <w:rPr>
          <w:sz w:val="19"/>
          <w:szCs w:val="18"/>
          <w:rtl/>
        </w:rPr>
        <w:t xml:space="preserve"> סדורה למתן החיסונים, שתכלול כוח אדם רפואי בהיקף המותאם להיקף המתחסנים; לקבוע לפי אילו שיקולים יוחלט מיהן הקבוצות באוכלוסייה שמומלץ לחסנן ולפרסם שיקולים אלה; לאתר מקומות מתאימים לביצוע החיסונים; להסדיר תנאים פיזיים לשמירת בטיחות המטפלים והמטופלים; לשקול לחסן בביתן אוכלוסיות בסיכון עם מחלות מורכבות; לקבוע תאריך יעד לתחילת מבצע החיסונים (קרוב ככל האפשר למועד הגעת החיסונים), ולסיומו; להבטיח כי יחוסנו השוהים במוסדות, ובייחוד במוסדות המיועדים לקשישים; ולגבש מסע הסברה בנושא חשיבות ההתחסנות נגד שפעת עונתית. </w:t>
      </w:r>
    </w:p>
    <w:p w:rsidR="004D04B2" w:rsidRPr="00BD2E94" w:rsidRDefault="004D04B2" w:rsidP="00BD2E94">
      <w:pPr>
        <w:pStyle w:val="ListParagraph"/>
        <w:numPr>
          <w:ilvl w:val="0"/>
          <w:numId w:val="7"/>
        </w:numPr>
        <w:autoSpaceDE/>
        <w:autoSpaceDN/>
        <w:adjustRightInd/>
        <w:spacing w:line="220" w:lineRule="exact"/>
        <w:ind w:left="397" w:hanging="397"/>
        <w:rPr>
          <w:sz w:val="18"/>
          <w:szCs w:val="18"/>
        </w:rPr>
      </w:pPr>
      <w:r w:rsidRPr="00BD2E94">
        <w:rPr>
          <w:sz w:val="18"/>
          <w:szCs w:val="18"/>
          <w:rtl/>
        </w:rPr>
        <w:t xml:space="preserve">נוכח השיעור הקטן יחסית של עובדי מערכת הבריאות המתחסנים נגד שפעת, המסתכם בכ-36% בחורף 2019-2018, ולפי תשובת המשרד - בכ-47% בחורף </w:t>
      </w:r>
      <w:r w:rsidR="00066A61">
        <w:rPr>
          <w:rFonts w:hint="cs"/>
          <w:sz w:val="18"/>
          <w:szCs w:val="18"/>
          <w:rtl/>
        </w:rPr>
        <w:br/>
      </w:r>
      <w:r w:rsidRPr="00BD2E94">
        <w:rPr>
          <w:sz w:val="18"/>
          <w:szCs w:val="18"/>
          <w:rtl/>
        </w:rPr>
        <w:t>2020-2019, מומלץ שמשרד הבריאות וקופות החולים יגבשו דרך פעולה שתאפשר להגדיל שיעור זה באופן שהוא יהיה קרוב ככל האפשר ליעד הגבוה שקבע המשרד, ולפיו יחוסנו כ-85% - 90% מכלל עובדי מערכת הבריאות. בעניין זה מומלץ גם לבחון אילו כלים שבהם השתמשו מדינות אחרות הביאו לשיעור מתחסנים גדול.</w:t>
      </w:r>
    </w:p>
    <w:p w:rsidR="004D04B2" w:rsidRPr="00BD2E94" w:rsidRDefault="004D04B2" w:rsidP="00BD2E94">
      <w:pPr>
        <w:pStyle w:val="ListParagraph"/>
        <w:numPr>
          <w:ilvl w:val="0"/>
          <w:numId w:val="7"/>
        </w:numPr>
        <w:autoSpaceDE/>
        <w:autoSpaceDN/>
        <w:adjustRightInd/>
        <w:spacing w:line="220" w:lineRule="exact"/>
        <w:ind w:left="397" w:hanging="397"/>
        <w:rPr>
          <w:sz w:val="18"/>
          <w:szCs w:val="18"/>
        </w:rPr>
      </w:pPr>
      <w:r w:rsidRPr="004D04B2">
        <w:rPr>
          <w:sz w:val="19"/>
          <w:szCs w:val="18"/>
          <w:rtl/>
        </w:rPr>
        <w:t xml:space="preserve">נוכח </w:t>
      </w:r>
      <w:r w:rsidRPr="00BD2E94">
        <w:rPr>
          <w:sz w:val="18"/>
          <w:szCs w:val="18"/>
          <w:rtl/>
        </w:rPr>
        <w:t>החשיבות שבהתחסנות נגד נגיף השפעת העונתית, הצפי לביקוש גבוה להתחסנות בחורף הקרוב והמלאי המוגבל של חיסונים, משרד מבקר המדינה ממליץ למשרד הבריאות לוודא שהקופות מדווחות אחת לשבוע</w:t>
      </w:r>
      <w:r w:rsidR="00066A61">
        <w:rPr>
          <w:sz w:val="18"/>
          <w:szCs w:val="18"/>
          <w:rtl/>
        </w:rPr>
        <w:t xml:space="preserve"> </w:t>
      </w:r>
      <w:r w:rsidRPr="00BD2E94">
        <w:rPr>
          <w:sz w:val="18"/>
          <w:szCs w:val="18"/>
          <w:rtl/>
        </w:rPr>
        <w:t>למרכז הלאומי לבקרת מחלות (</w:t>
      </w:r>
      <w:proofErr w:type="spellStart"/>
      <w:r w:rsidRPr="00BD2E94">
        <w:rPr>
          <w:sz w:val="18"/>
          <w:szCs w:val="18"/>
          <w:rtl/>
        </w:rPr>
        <w:t>מלב"ם</w:t>
      </w:r>
      <w:proofErr w:type="spellEnd"/>
      <w:r w:rsidRPr="00BD2E94">
        <w:rPr>
          <w:sz w:val="18"/>
          <w:szCs w:val="18"/>
          <w:rtl/>
        </w:rPr>
        <w:t>) על שיעורי ההתחסנות, כפי שהנחה אותן. הדבר נחוץ כדי לעקוב בזמן אמת אחר מגמת ההתחסנות, לווסת כראוי את קצב ההתחסנות ולעודד את הציבור - ובייחוד אוכלוסיות בסיכון -</w:t>
      </w:r>
      <w:r w:rsidR="00066A61">
        <w:rPr>
          <w:sz w:val="18"/>
          <w:szCs w:val="18"/>
          <w:rtl/>
        </w:rPr>
        <w:t xml:space="preserve"> </w:t>
      </w:r>
      <w:r w:rsidRPr="00BD2E94">
        <w:rPr>
          <w:sz w:val="18"/>
          <w:szCs w:val="18"/>
          <w:rtl/>
        </w:rPr>
        <w:t xml:space="preserve">להתחסן. </w:t>
      </w:r>
    </w:p>
    <w:p w:rsidR="004D04B2" w:rsidRPr="004D04B2" w:rsidRDefault="004D04B2" w:rsidP="00BD2E94">
      <w:pPr>
        <w:pStyle w:val="ListParagraph"/>
        <w:numPr>
          <w:ilvl w:val="0"/>
          <w:numId w:val="7"/>
        </w:numPr>
        <w:autoSpaceDE/>
        <w:autoSpaceDN/>
        <w:adjustRightInd/>
        <w:spacing w:line="220" w:lineRule="exact"/>
        <w:ind w:left="397" w:hanging="397"/>
        <w:rPr>
          <w:sz w:val="19"/>
          <w:szCs w:val="18"/>
          <w:rtl/>
        </w:rPr>
      </w:pPr>
      <w:r w:rsidRPr="004D04B2">
        <w:rPr>
          <w:sz w:val="19"/>
          <w:szCs w:val="18"/>
          <w:rtl/>
        </w:rPr>
        <w:t>מומלץ לבחון את האפשרויות לחזרה לשגרת ביקורים פרונטליים במרפאות בכלל, ובעת מגבלות תנועה שיוטלו על הציבור בפרט (אם אלו יוטלו), לקבוע את שיטת העבודה המיטבית כדי להבטיח שמירה על הרצף הטיפולי וכן להבטיח למטופלים מסלולים בטוחים ונקיים, כדי שלא יחששו לפנות לקבלת טיפול פרונטלי בעת הצורך. לאחר שהדבר יוסדר, יש מקום להסביר לציבור כי באפשרותו לקבל טיפול רפואי בסביבה בטוחה, וזאת כדי שלא יימנע בעת הצורך מלהגיע למרפאה.</w:t>
      </w:r>
      <w:r w:rsidRPr="00387246">
        <w:rPr>
          <w:rtl/>
        </w:rPr>
        <w:t xml:space="preserve"> </w:t>
      </w:r>
      <w:r w:rsidRPr="004D04B2">
        <w:rPr>
          <w:sz w:val="19"/>
          <w:szCs w:val="18"/>
          <w:rtl/>
        </w:rPr>
        <w:t>ראוי שההסברה תתקיים הן במישור הלאומי והן במישור של כל קופת חולים בקרב מבוטחיה, ובפרט ראוי שהדבר ייעשה באופן יזום וממוקד בקרב אוכלוסיות בסיכון.</w:t>
      </w:r>
    </w:p>
    <w:p w:rsidR="004D04B2" w:rsidRPr="004D04B2" w:rsidRDefault="004D04B2" w:rsidP="00BD2E94">
      <w:pPr>
        <w:pStyle w:val="ListParagraph"/>
        <w:numPr>
          <w:ilvl w:val="0"/>
          <w:numId w:val="7"/>
        </w:numPr>
        <w:autoSpaceDE/>
        <w:autoSpaceDN/>
        <w:adjustRightInd/>
        <w:spacing w:line="220" w:lineRule="exact"/>
        <w:ind w:left="397" w:hanging="397"/>
        <w:rPr>
          <w:sz w:val="19"/>
          <w:szCs w:val="18"/>
        </w:rPr>
      </w:pPr>
      <w:r w:rsidRPr="004D04B2">
        <w:rPr>
          <w:sz w:val="19"/>
          <w:szCs w:val="18"/>
          <w:rtl/>
        </w:rPr>
        <w:t xml:space="preserve">מומלץ כי משרד הבריאות, בשיתוף האיגודים המקצועיים </w:t>
      </w:r>
      <w:proofErr w:type="spellStart"/>
      <w:r w:rsidRPr="004D04B2">
        <w:rPr>
          <w:sz w:val="19"/>
          <w:szCs w:val="18"/>
          <w:rtl/>
        </w:rPr>
        <w:t>בהר"י</w:t>
      </w:r>
      <w:proofErr w:type="spellEnd"/>
      <w:r w:rsidRPr="004D04B2">
        <w:rPr>
          <w:sz w:val="19"/>
          <w:szCs w:val="18"/>
          <w:rtl/>
        </w:rPr>
        <w:t xml:space="preserve">, ישלימו הליך להפקת לקחים מהניסיון שנצבר עד כה בנושא הרפואה מרחוק, ויפעלו לשימור היכולות שפותחו מאז פרוץ מגפת הקורונה. זאת לצורך מימושן של יכולות אלה בעת שגרה ולקראת </w:t>
      </w:r>
      <w:proofErr w:type="spellStart"/>
      <w:r w:rsidRPr="004D04B2">
        <w:rPr>
          <w:sz w:val="19"/>
          <w:szCs w:val="18"/>
          <w:rtl/>
        </w:rPr>
        <w:t>עיתות</w:t>
      </w:r>
      <w:proofErr w:type="spellEnd"/>
      <w:r w:rsidRPr="004D04B2">
        <w:rPr>
          <w:sz w:val="19"/>
          <w:szCs w:val="18"/>
          <w:rtl/>
        </w:rPr>
        <w:t xml:space="preserve"> חירום, ובכלל זה במסגרת ההיערכות להתפרצות של גלים נוספים, אם אכן יתחוללו התפרצויות כאמור.</w:t>
      </w:r>
      <w:r w:rsidRPr="004D04B2">
        <w:rPr>
          <w:b/>
          <w:bCs/>
          <w:sz w:val="19"/>
          <w:szCs w:val="18"/>
          <w:rtl/>
        </w:rPr>
        <w:t xml:space="preserve"> </w:t>
      </w:r>
    </w:p>
    <w:p w:rsidR="004D04B2" w:rsidRPr="004D04B2" w:rsidRDefault="004D04B2" w:rsidP="00BD2E94">
      <w:pPr>
        <w:pStyle w:val="ListParagraph"/>
        <w:numPr>
          <w:ilvl w:val="0"/>
          <w:numId w:val="7"/>
        </w:numPr>
        <w:autoSpaceDE/>
        <w:autoSpaceDN/>
        <w:adjustRightInd/>
        <w:spacing w:line="220" w:lineRule="exact"/>
        <w:ind w:left="397" w:hanging="397"/>
        <w:rPr>
          <w:sz w:val="19"/>
          <w:szCs w:val="18"/>
        </w:rPr>
      </w:pPr>
      <w:r w:rsidRPr="004D04B2">
        <w:rPr>
          <w:sz w:val="19"/>
          <w:szCs w:val="18"/>
          <w:rtl/>
        </w:rPr>
        <w:t xml:space="preserve">ראוי שמשרד הבריאות והאיגודים המקצועיים יגבשו קווים רפואיים מנחים לשילוב הראוי שבין שירותי הרפואה הפרונטלית לבין שירותי הרפואה מרחוק. מומלץ שמשרד הבריאות והקופות יגבשו מענה מתאים עבור אוכלוסיות הראויות לקידום ויכינו </w:t>
      </w:r>
      <w:proofErr w:type="spellStart"/>
      <w:r w:rsidRPr="004D04B2">
        <w:rPr>
          <w:sz w:val="19"/>
          <w:szCs w:val="18"/>
          <w:rtl/>
        </w:rPr>
        <w:t>תוכניות</w:t>
      </w:r>
      <w:proofErr w:type="spellEnd"/>
      <w:r w:rsidRPr="004D04B2">
        <w:rPr>
          <w:sz w:val="19"/>
          <w:szCs w:val="18"/>
          <w:rtl/>
        </w:rPr>
        <w:t xml:space="preserve"> הדרכה וסיוע למטופלים בעלי אוריינות דיגיטלית נמוכה.</w:t>
      </w:r>
    </w:p>
    <w:p w:rsidR="004D04B2" w:rsidRPr="004D04B2" w:rsidRDefault="004D04B2" w:rsidP="00BD2E94">
      <w:pPr>
        <w:pStyle w:val="running-text"/>
        <w:bidi/>
        <w:spacing w:line="220" w:lineRule="exact"/>
        <w:ind w:right="0"/>
        <w:rPr>
          <w:sz w:val="18"/>
          <w:rtl/>
        </w:rPr>
      </w:pPr>
    </w:p>
    <w:p w:rsidR="004D04B2" w:rsidRPr="00BD2E94" w:rsidRDefault="004D04B2" w:rsidP="00BD2E94">
      <w:pPr>
        <w:pStyle w:val="ListParagraph"/>
        <w:numPr>
          <w:ilvl w:val="0"/>
          <w:numId w:val="6"/>
        </w:numPr>
        <w:autoSpaceDE/>
        <w:autoSpaceDN/>
        <w:adjustRightInd/>
        <w:spacing w:line="220" w:lineRule="exact"/>
        <w:ind w:left="397" w:right="284" w:hanging="397"/>
        <w:rPr>
          <w:sz w:val="18"/>
          <w:szCs w:val="18"/>
        </w:rPr>
      </w:pPr>
      <w:r w:rsidRPr="00BD2E94">
        <w:rPr>
          <w:sz w:val="18"/>
          <w:szCs w:val="18"/>
          <w:rtl/>
        </w:rPr>
        <w:t>בתגובתו על ממצאי הביניים שהועלו בביקורת פירט משרד הבריאות פעולות שכבר החל לנקוט או שבכוונתו לנקוט בעתיד, זאת בהלימה להמלצות הביקורת.</w:t>
      </w:r>
    </w:p>
    <w:sectPr w:rsidR="004D04B2" w:rsidRPr="00BD2E94" w:rsidSect="00EB5C46">
      <w:headerReference w:type="even" r:id="rId18"/>
      <w:headerReference w:type="default" r:id="rId19"/>
      <w:pgSz w:w="11906" w:h="16838" w:code="9"/>
      <w:pgMar w:top="3119" w:right="2410" w:bottom="2268" w:left="2410" w:header="1871"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CA" w:rsidRDefault="00A300CA" w:rsidP="00CB3322">
      <w:pPr>
        <w:spacing w:after="0" w:line="240" w:lineRule="auto"/>
      </w:pPr>
      <w:r>
        <w:separator/>
      </w:r>
    </w:p>
    <w:p w:rsidR="00A300CA" w:rsidRDefault="00A300CA"/>
  </w:endnote>
  <w:endnote w:type="continuationSeparator" w:id="0">
    <w:p w:rsidR="00A300CA" w:rsidRDefault="00A300CA" w:rsidP="00CB3322">
      <w:pPr>
        <w:spacing w:after="0" w:line="240" w:lineRule="auto"/>
      </w:pPr>
      <w:r>
        <w:continuationSeparator/>
      </w:r>
    </w:p>
    <w:p w:rsidR="00A300CA" w:rsidRDefault="00A30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CA" w:rsidRPr="008A007A" w:rsidRDefault="00A300CA" w:rsidP="008A007A">
      <w:pPr>
        <w:pStyle w:val="Footer"/>
      </w:pPr>
    </w:p>
  </w:footnote>
  <w:footnote w:type="continuationSeparator" w:id="0">
    <w:p w:rsidR="00A300CA" w:rsidRDefault="00A300CA" w:rsidP="00CB3322">
      <w:pPr>
        <w:spacing w:after="0" w:line="240" w:lineRule="auto"/>
      </w:pPr>
      <w:r>
        <w:continuationSeparator/>
      </w:r>
    </w:p>
    <w:p w:rsidR="00A300CA" w:rsidRDefault="00A300CA"/>
  </w:footnote>
  <w:footnote w:id="1">
    <w:p w:rsidR="009F5EB6" w:rsidRPr="004D04B2" w:rsidRDefault="009F5EB6" w:rsidP="004D04B2">
      <w:pPr>
        <w:pStyle w:val="FootnoteText"/>
        <w:ind w:right="0"/>
        <w:rPr>
          <w:rStyle w:val="FootnoteReference"/>
          <w:vertAlign w:val="baseline"/>
          <w:rtl/>
        </w:rPr>
      </w:pPr>
      <w:r w:rsidRPr="004D04B2">
        <w:rPr>
          <w:rStyle w:val="FootnoteReference"/>
          <w:vertAlign w:val="baseline"/>
        </w:rPr>
        <w:footnoteRef/>
      </w:r>
      <w:r w:rsidRPr="004D04B2">
        <w:rPr>
          <w:rStyle w:val="FootnoteReference"/>
          <w:vertAlign w:val="baseline"/>
          <w:rtl/>
        </w:rPr>
        <w:t xml:space="preserve"> </w:t>
      </w:r>
      <w:r w:rsidRPr="004D04B2">
        <w:rPr>
          <w:rStyle w:val="FootnoteReference"/>
          <w:vertAlign w:val="baseline"/>
          <w:rtl/>
        </w:rPr>
        <w:tab/>
      </w:r>
      <w:r w:rsidRPr="004D04B2">
        <w:rPr>
          <w:rStyle w:val="FootnoteReference"/>
          <w:rFonts w:hint="cs"/>
          <w:vertAlign w:val="baseline"/>
          <w:rtl/>
        </w:rPr>
        <w:t>בהסתדרות הרפואית בישראל (</w:t>
      </w:r>
      <w:proofErr w:type="spellStart"/>
      <w:r w:rsidRPr="004D04B2">
        <w:rPr>
          <w:rStyle w:val="FootnoteReference"/>
          <w:rFonts w:hint="cs"/>
          <w:vertAlign w:val="baseline"/>
          <w:rtl/>
        </w:rPr>
        <w:t>הר"י</w:t>
      </w:r>
      <w:proofErr w:type="spellEnd"/>
      <w:r w:rsidRPr="004D04B2">
        <w:rPr>
          <w:rStyle w:val="FootnoteReference"/>
          <w:rFonts w:hint="cs"/>
          <w:vertAlign w:val="baseline"/>
          <w:rtl/>
        </w:rPr>
        <w:t xml:space="preserve">) פועלים ארגונים מדעיים במגוון תחומי המומחיות של הרפואה, כמו איגוד רופאי המשפחה, האיגוד הישראלי לכירורגיית לב וחזה, האיגוד הישראלי לאורתופדיה.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08" w:rsidRPr="000536D4" w:rsidRDefault="00B12E08"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115908">
      <w:rPr>
        <w:rFonts w:ascii="Arial Bold" w:hAnsi="Arial Bold" w:cs="Tahoma"/>
        <w:noProof/>
        <w:sz w:val="16"/>
        <w:szCs w:val="16"/>
        <w:rtl/>
      </w:rPr>
      <w:t>2</w:t>
    </w:r>
    <w:r w:rsidRPr="000536D4">
      <w:rPr>
        <w:rFonts w:ascii="Arial Bold" w:hAnsi="Arial Bold" w:cs="Tahoma"/>
        <w:noProof/>
        <w:sz w:val="16"/>
        <w:szCs w:val="16"/>
      </w:rPr>
      <w:fldChar w:fldCharType="end"/>
    </w:r>
    <w:r w:rsidR="004D04B2">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sidR="004D04B2">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08" w:rsidRPr="000536D4" w:rsidRDefault="00B12E08"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sidR="004D04B2">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sidR="004D04B2">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40" w:rsidRPr="006658E1" w:rsidRDefault="00D10340" w:rsidP="006658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40" w:rsidRPr="007F1A39" w:rsidRDefault="00D10340" w:rsidP="0036711D">
    <w:pPr>
      <w:pStyle w:val="Header"/>
      <w:spacing w:before="240" w:after="180"/>
      <w:jc w:val="right"/>
      <w:rPr>
        <w:rFonts w:ascii="Tahoma" w:eastAsiaTheme="majorEastAsia" w:hAnsi="Tahoma" w:cs="Tahoma"/>
        <w:noProof/>
        <w:color w:val="0B5294" w:themeColor="accent1" w:themeShade="BF"/>
        <w:sz w:val="16"/>
        <w:szCs w:val="16"/>
      </w:rPr>
    </w:pPr>
    <w:r w:rsidRPr="009F5EB6">
      <w:rPr>
        <w:rFonts w:ascii="Tahoma" w:eastAsiaTheme="majorEastAsia" w:hAnsi="Tahoma" w:cs="Tahoma" w:hint="eastAsia"/>
        <w:noProof/>
        <w:color w:val="0B5294" w:themeColor="accent1" w:themeShade="BF"/>
        <w:sz w:val="16"/>
        <w:szCs w:val="16"/>
        <w:rtl/>
      </w:rPr>
      <w:t>רפואה</w:t>
    </w:r>
    <w:r w:rsidRPr="009F5EB6">
      <w:rPr>
        <w:rFonts w:ascii="Tahoma" w:eastAsiaTheme="majorEastAsia" w:hAnsi="Tahoma" w:cs="Tahoma"/>
        <w:noProof/>
        <w:color w:val="0B5294" w:themeColor="accent1" w:themeShade="BF"/>
        <w:sz w:val="16"/>
        <w:szCs w:val="16"/>
        <w:rtl/>
      </w:rPr>
      <w:t xml:space="preserve"> </w:t>
    </w:r>
    <w:r w:rsidRPr="009F5EB6">
      <w:rPr>
        <w:rFonts w:ascii="Tahoma" w:eastAsiaTheme="majorEastAsia" w:hAnsi="Tahoma" w:cs="Tahoma" w:hint="eastAsia"/>
        <w:noProof/>
        <w:color w:val="0B5294" w:themeColor="accent1" w:themeShade="BF"/>
        <w:sz w:val="16"/>
        <w:szCs w:val="16"/>
        <w:rtl/>
      </w:rPr>
      <w:t>בקהילה</w:t>
    </w:r>
    <w:r w:rsidRPr="009F5EB6">
      <w:rPr>
        <w:rFonts w:ascii="Tahoma" w:eastAsiaTheme="majorEastAsia" w:hAnsi="Tahoma" w:cs="Tahoma"/>
        <w:noProof/>
        <w:color w:val="0B5294" w:themeColor="accent1" w:themeShade="BF"/>
        <w:sz w:val="16"/>
        <w:szCs w:val="16"/>
        <w:rtl/>
      </w:rPr>
      <w:t xml:space="preserve"> </w:t>
    </w:r>
    <w:r w:rsidRPr="009F5EB6">
      <w:rPr>
        <w:rFonts w:ascii="Tahoma" w:eastAsiaTheme="majorEastAsia" w:hAnsi="Tahoma" w:cs="Tahoma" w:hint="eastAsia"/>
        <w:noProof/>
        <w:color w:val="0B5294" w:themeColor="accent1" w:themeShade="BF"/>
        <w:sz w:val="16"/>
        <w:szCs w:val="16"/>
        <w:rtl/>
      </w:rPr>
      <w:t>בעת</w:t>
    </w:r>
    <w:r w:rsidRPr="009F5EB6">
      <w:rPr>
        <w:rFonts w:ascii="Tahoma" w:eastAsiaTheme="majorEastAsia" w:hAnsi="Tahoma" w:cs="Tahoma"/>
        <w:noProof/>
        <w:color w:val="0B5294" w:themeColor="accent1" w:themeShade="BF"/>
        <w:sz w:val="16"/>
        <w:szCs w:val="16"/>
        <w:rtl/>
      </w:rPr>
      <w:t xml:space="preserve"> </w:t>
    </w:r>
    <w:r>
      <w:rPr>
        <w:rFonts w:ascii="Tahoma" w:eastAsiaTheme="majorEastAsia" w:hAnsi="Tahoma" w:cs="Tahoma" w:hint="cs"/>
        <w:noProof/>
        <w:color w:val="0B5294" w:themeColor="accent1" w:themeShade="BF"/>
        <w:sz w:val="16"/>
        <w:szCs w:val="16"/>
        <w:rtl/>
      </w:rPr>
      <w:t>משבר</w:t>
    </w:r>
    <w:r w:rsidRPr="009F5EB6">
      <w:rPr>
        <w:rFonts w:ascii="Tahoma" w:eastAsiaTheme="majorEastAsia" w:hAnsi="Tahoma" w:cs="Tahoma"/>
        <w:noProof/>
        <w:color w:val="0B5294" w:themeColor="accent1" w:themeShade="BF"/>
        <w:sz w:val="16"/>
        <w:szCs w:val="16"/>
        <w:rtl/>
      </w:rPr>
      <w:t xml:space="preserve"> </w:t>
    </w:r>
    <w:r w:rsidRPr="009F5EB6">
      <w:rPr>
        <w:rFonts w:ascii="Tahoma" w:eastAsiaTheme="majorEastAsia" w:hAnsi="Tahoma" w:cs="Tahoma" w:hint="eastAsia"/>
        <w:noProof/>
        <w:color w:val="0B5294" w:themeColor="accent1" w:themeShade="BF"/>
        <w:sz w:val="16"/>
        <w:szCs w:val="16"/>
        <w:rtl/>
      </w:rPr>
      <w:t>הקורונה</w:t>
    </w:r>
    <w:r>
      <w:rPr>
        <w:rFonts w:ascii="Tahoma" w:eastAsiaTheme="majorEastAsia" w:hAnsi="Tahoma" w:cs="Tahoma" w:hint="cs"/>
        <w:noProof/>
        <w:color w:val="0B5294" w:themeColor="accent1" w:themeShade="BF"/>
        <w:sz w:val="16"/>
        <w:szCs w:val="16"/>
        <w:rtl/>
      </w:rPr>
      <w:t xml:space="preserve">  </w:t>
    </w:r>
    <w:r w:rsidRPr="007F1A39">
      <w:rPr>
        <w:rFonts w:ascii="Tahoma" w:eastAsiaTheme="majorEastAsia" w:hAnsi="Tahoma" w:cs="Tahoma" w:hint="cs"/>
        <w:noProof/>
        <w:color w:val="0B5294" w:themeColor="accent1" w:themeShade="BF"/>
        <w:sz w:val="16"/>
        <w:szCs w:val="16"/>
        <w:rtl/>
      </w:rPr>
      <w:t>|</w:t>
    </w:r>
    <w:r>
      <w:rPr>
        <w:rFonts w:ascii="Tahoma" w:eastAsiaTheme="majorEastAsia" w:hAnsi="Tahoma" w:cs="Tahoma" w:hint="cs"/>
        <w:noProof/>
        <w:color w:val="0B5294" w:themeColor="accent1" w:themeShade="BF"/>
        <w:sz w:val="16"/>
        <w:szCs w:val="16"/>
        <w:rtl/>
      </w:rPr>
      <w:t xml:space="preserve">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sidR="006658E1">
      <w:rPr>
        <w:rFonts w:ascii="Tahoma" w:eastAsiaTheme="majorEastAsia" w:hAnsi="Tahoma" w:cs="Tahoma"/>
        <w:b/>
        <w:bCs/>
        <w:noProof/>
        <w:color w:val="0B5294" w:themeColor="accent1" w:themeShade="BF"/>
        <w:sz w:val="16"/>
        <w:szCs w:val="16"/>
        <w:rtl/>
      </w:rPr>
      <w:t>3</w:t>
    </w:r>
    <w:r w:rsidRPr="007F1A39">
      <w:rPr>
        <w:rFonts w:ascii="Tahoma" w:eastAsiaTheme="majorEastAsia" w:hAnsi="Tahoma" w:cs="Tahoma"/>
        <w:b/>
        <w:bCs/>
        <w:noProof/>
        <w:color w:val="0B5294" w:themeColor="accent1" w:themeShade="BF"/>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E1" w:rsidRPr="00B4501E" w:rsidRDefault="006658E1" w:rsidP="0036711D">
    <w:pPr>
      <w:pStyle w:val="Header"/>
      <w:spacing w:before="240" w:after="180"/>
      <w:rPr>
        <w:rFonts w:ascii="Tahoma" w:eastAsiaTheme="majorEastAsia" w:hAnsi="Tahoma" w:cs="Tahoma"/>
        <w:color w:val="0B5294" w:themeColor="accent1" w:themeShade="BF"/>
        <w:sz w:val="16"/>
        <w:szCs w:val="16"/>
      </w:rPr>
    </w:pPr>
    <w:r w:rsidRPr="00B4501E">
      <w:rPr>
        <w:rFonts w:ascii="Tahoma" w:eastAsiaTheme="majorEastAsia" w:hAnsi="Tahoma" w:cs="Tahoma"/>
        <w:b/>
        <w:bCs/>
        <w:color w:val="0B5294" w:themeColor="accent1" w:themeShade="BF"/>
        <w:sz w:val="16"/>
        <w:szCs w:val="16"/>
      </w:rPr>
      <w:fldChar w:fldCharType="begin"/>
    </w:r>
    <w:r w:rsidRPr="00B4501E">
      <w:rPr>
        <w:rFonts w:ascii="Tahoma" w:eastAsiaTheme="majorEastAsia" w:hAnsi="Tahoma" w:cs="Tahoma"/>
        <w:b/>
        <w:bCs/>
        <w:color w:val="0B5294" w:themeColor="accent1" w:themeShade="BF"/>
        <w:sz w:val="16"/>
        <w:szCs w:val="16"/>
      </w:rPr>
      <w:instrText xml:space="preserve"> PAGE   \* MERGEFORMAT </w:instrText>
    </w:r>
    <w:r w:rsidRPr="00B4501E">
      <w:rPr>
        <w:rFonts w:ascii="Tahoma" w:eastAsiaTheme="majorEastAsia" w:hAnsi="Tahoma" w:cs="Tahoma"/>
        <w:b/>
        <w:bCs/>
        <w:color w:val="0B5294" w:themeColor="accent1" w:themeShade="BF"/>
        <w:sz w:val="16"/>
        <w:szCs w:val="16"/>
      </w:rPr>
      <w:fldChar w:fldCharType="separate"/>
    </w:r>
    <w:r w:rsidR="00080287">
      <w:rPr>
        <w:rFonts w:ascii="Tahoma" w:eastAsiaTheme="majorEastAsia" w:hAnsi="Tahoma" w:cs="Tahoma"/>
        <w:b/>
        <w:bCs/>
        <w:noProof/>
        <w:color w:val="0B5294" w:themeColor="accent1" w:themeShade="BF"/>
        <w:sz w:val="16"/>
        <w:szCs w:val="16"/>
        <w:rtl/>
      </w:rPr>
      <w:t>4</w:t>
    </w:r>
    <w:r w:rsidRPr="00B4501E">
      <w:rPr>
        <w:rFonts w:ascii="Tahoma" w:eastAsiaTheme="majorEastAsia" w:hAnsi="Tahoma" w:cs="Tahoma"/>
        <w:b/>
        <w:bCs/>
        <w:color w:val="0B5294" w:themeColor="accent1" w:themeShade="BF"/>
        <w:sz w:val="16"/>
        <w:szCs w:val="16"/>
      </w:rPr>
      <w:fldChar w:fldCharType="end"/>
    </w:r>
    <w:r>
      <w:rPr>
        <w:rFonts w:ascii="Tahoma" w:eastAsiaTheme="majorEastAsia" w:hAnsi="Tahoma" w:cs="Tahoma"/>
        <w:color w:val="0B5294" w:themeColor="accent1" w:themeShade="BF"/>
        <w:sz w:val="16"/>
        <w:szCs w:val="16"/>
        <w:rtl/>
      </w:rPr>
      <w:t xml:space="preserve"> </w:t>
    </w:r>
    <w:r>
      <w:rPr>
        <w:rFonts w:ascii="Tahoma" w:eastAsiaTheme="majorEastAsia" w:hAnsi="Tahoma" w:cs="Tahoma" w:hint="cs"/>
        <w:color w:val="0B5294" w:themeColor="accent1" w:themeShade="BF"/>
        <w:sz w:val="16"/>
        <w:szCs w:val="16"/>
        <w:rtl/>
      </w:rPr>
      <w:t xml:space="preserve"> </w:t>
    </w:r>
    <w:r w:rsidRPr="00B4501E">
      <w:rPr>
        <w:rFonts w:ascii="Tahoma" w:eastAsiaTheme="majorEastAsia" w:hAnsi="Tahoma" w:cs="Tahoma"/>
        <w:color w:val="0B5294" w:themeColor="accent1" w:themeShade="BF"/>
        <w:sz w:val="16"/>
        <w:szCs w:val="16"/>
        <w:rtl/>
      </w:rPr>
      <w:t>|</w:t>
    </w:r>
    <w:r>
      <w:rPr>
        <w:rFonts w:ascii="Tahoma" w:eastAsiaTheme="majorEastAsia" w:hAnsi="Tahoma" w:cs="Tahoma"/>
        <w:color w:val="0B5294" w:themeColor="accent1" w:themeShade="BF"/>
        <w:sz w:val="16"/>
        <w:szCs w:val="16"/>
        <w:rtl/>
      </w:rPr>
      <w:t xml:space="preserve"> </w:t>
    </w:r>
    <w:r>
      <w:rPr>
        <w:rFonts w:ascii="Tahoma" w:eastAsiaTheme="majorEastAsia" w:hAnsi="Tahoma" w:cs="Tahoma" w:hint="cs"/>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דוח</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ביניים</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מיוחד</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בנושא</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התמודדות</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מדינת</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ישראל</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עם</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משבר</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הקורונה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E1" w:rsidRPr="007F1A39" w:rsidRDefault="006658E1" w:rsidP="0036711D">
    <w:pPr>
      <w:pStyle w:val="Header"/>
      <w:spacing w:before="240" w:after="180"/>
      <w:jc w:val="right"/>
      <w:rPr>
        <w:rFonts w:ascii="Tahoma" w:eastAsiaTheme="majorEastAsia" w:hAnsi="Tahoma" w:cs="Tahoma"/>
        <w:noProof/>
        <w:color w:val="0B5294" w:themeColor="accent1" w:themeShade="BF"/>
        <w:sz w:val="16"/>
        <w:szCs w:val="16"/>
      </w:rPr>
    </w:pPr>
    <w:r w:rsidRPr="009F5EB6">
      <w:rPr>
        <w:rFonts w:ascii="Tahoma" w:eastAsiaTheme="majorEastAsia" w:hAnsi="Tahoma" w:cs="Tahoma" w:hint="eastAsia"/>
        <w:noProof/>
        <w:color w:val="0B5294" w:themeColor="accent1" w:themeShade="BF"/>
        <w:sz w:val="16"/>
        <w:szCs w:val="16"/>
        <w:rtl/>
      </w:rPr>
      <w:t>רפואה</w:t>
    </w:r>
    <w:r w:rsidRPr="009F5EB6">
      <w:rPr>
        <w:rFonts w:ascii="Tahoma" w:eastAsiaTheme="majorEastAsia" w:hAnsi="Tahoma" w:cs="Tahoma"/>
        <w:noProof/>
        <w:color w:val="0B5294" w:themeColor="accent1" w:themeShade="BF"/>
        <w:sz w:val="16"/>
        <w:szCs w:val="16"/>
        <w:rtl/>
      </w:rPr>
      <w:t xml:space="preserve"> </w:t>
    </w:r>
    <w:r w:rsidRPr="009F5EB6">
      <w:rPr>
        <w:rFonts w:ascii="Tahoma" w:eastAsiaTheme="majorEastAsia" w:hAnsi="Tahoma" w:cs="Tahoma" w:hint="eastAsia"/>
        <w:noProof/>
        <w:color w:val="0B5294" w:themeColor="accent1" w:themeShade="BF"/>
        <w:sz w:val="16"/>
        <w:szCs w:val="16"/>
        <w:rtl/>
      </w:rPr>
      <w:t>בקהילה</w:t>
    </w:r>
    <w:r w:rsidRPr="009F5EB6">
      <w:rPr>
        <w:rFonts w:ascii="Tahoma" w:eastAsiaTheme="majorEastAsia" w:hAnsi="Tahoma" w:cs="Tahoma"/>
        <w:noProof/>
        <w:color w:val="0B5294" w:themeColor="accent1" w:themeShade="BF"/>
        <w:sz w:val="16"/>
        <w:szCs w:val="16"/>
        <w:rtl/>
      </w:rPr>
      <w:t xml:space="preserve"> </w:t>
    </w:r>
    <w:r w:rsidRPr="009F5EB6">
      <w:rPr>
        <w:rFonts w:ascii="Tahoma" w:eastAsiaTheme="majorEastAsia" w:hAnsi="Tahoma" w:cs="Tahoma" w:hint="eastAsia"/>
        <w:noProof/>
        <w:color w:val="0B5294" w:themeColor="accent1" w:themeShade="BF"/>
        <w:sz w:val="16"/>
        <w:szCs w:val="16"/>
        <w:rtl/>
      </w:rPr>
      <w:t>בעת</w:t>
    </w:r>
    <w:r w:rsidRPr="009F5EB6">
      <w:rPr>
        <w:rFonts w:ascii="Tahoma" w:eastAsiaTheme="majorEastAsia" w:hAnsi="Tahoma" w:cs="Tahoma"/>
        <w:noProof/>
        <w:color w:val="0B5294" w:themeColor="accent1" w:themeShade="BF"/>
        <w:sz w:val="16"/>
        <w:szCs w:val="16"/>
        <w:rtl/>
      </w:rPr>
      <w:t xml:space="preserve"> </w:t>
    </w:r>
    <w:r>
      <w:rPr>
        <w:rFonts w:ascii="Tahoma" w:eastAsiaTheme="majorEastAsia" w:hAnsi="Tahoma" w:cs="Tahoma" w:hint="cs"/>
        <w:noProof/>
        <w:color w:val="0B5294" w:themeColor="accent1" w:themeShade="BF"/>
        <w:sz w:val="16"/>
        <w:szCs w:val="16"/>
        <w:rtl/>
      </w:rPr>
      <w:t>משבר</w:t>
    </w:r>
    <w:r w:rsidRPr="009F5EB6">
      <w:rPr>
        <w:rFonts w:ascii="Tahoma" w:eastAsiaTheme="majorEastAsia" w:hAnsi="Tahoma" w:cs="Tahoma"/>
        <w:noProof/>
        <w:color w:val="0B5294" w:themeColor="accent1" w:themeShade="BF"/>
        <w:sz w:val="16"/>
        <w:szCs w:val="16"/>
        <w:rtl/>
      </w:rPr>
      <w:t xml:space="preserve"> </w:t>
    </w:r>
    <w:r w:rsidRPr="009F5EB6">
      <w:rPr>
        <w:rFonts w:ascii="Tahoma" w:eastAsiaTheme="majorEastAsia" w:hAnsi="Tahoma" w:cs="Tahoma" w:hint="eastAsia"/>
        <w:noProof/>
        <w:color w:val="0B5294" w:themeColor="accent1" w:themeShade="BF"/>
        <w:sz w:val="16"/>
        <w:szCs w:val="16"/>
        <w:rtl/>
      </w:rPr>
      <w:t>הקורונה</w:t>
    </w:r>
    <w:r>
      <w:rPr>
        <w:rFonts w:ascii="Tahoma" w:eastAsiaTheme="majorEastAsia" w:hAnsi="Tahoma" w:cs="Tahoma" w:hint="cs"/>
        <w:noProof/>
        <w:color w:val="0B5294" w:themeColor="accent1" w:themeShade="BF"/>
        <w:sz w:val="16"/>
        <w:szCs w:val="16"/>
        <w:rtl/>
      </w:rPr>
      <w:t xml:space="preserve">  </w:t>
    </w:r>
    <w:r w:rsidRPr="007F1A39">
      <w:rPr>
        <w:rFonts w:ascii="Tahoma" w:eastAsiaTheme="majorEastAsia" w:hAnsi="Tahoma" w:cs="Tahoma" w:hint="cs"/>
        <w:noProof/>
        <w:color w:val="0B5294" w:themeColor="accent1" w:themeShade="BF"/>
        <w:sz w:val="16"/>
        <w:szCs w:val="16"/>
        <w:rtl/>
      </w:rPr>
      <w:t>|</w:t>
    </w:r>
    <w:r>
      <w:rPr>
        <w:rFonts w:ascii="Tahoma" w:eastAsiaTheme="majorEastAsia" w:hAnsi="Tahoma" w:cs="Tahoma" w:hint="cs"/>
        <w:noProof/>
        <w:color w:val="0B5294" w:themeColor="accent1" w:themeShade="BF"/>
        <w:sz w:val="16"/>
        <w:szCs w:val="16"/>
        <w:rtl/>
      </w:rPr>
      <w:t xml:space="preserve">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sidR="00080287">
      <w:rPr>
        <w:rFonts w:ascii="Tahoma" w:eastAsiaTheme="majorEastAsia" w:hAnsi="Tahoma" w:cs="Tahoma"/>
        <w:b/>
        <w:bCs/>
        <w:noProof/>
        <w:color w:val="0B5294" w:themeColor="accent1" w:themeShade="BF"/>
        <w:sz w:val="16"/>
        <w:szCs w:val="16"/>
        <w:rtl/>
      </w:rPr>
      <w:t>3</w:t>
    </w:r>
    <w:r w:rsidRPr="007F1A39">
      <w:rPr>
        <w:rFonts w:ascii="Tahoma" w:eastAsiaTheme="majorEastAsia" w:hAnsi="Tahom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84.5pt;height:384.5pt" o:bullet="t">
        <v:imagedata r:id="rId1" o:title="light-bulb"/>
      </v:shape>
    </w:pict>
  </w:numPicBullet>
  <w:abstractNum w:abstractNumId="0">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
    <w:nsid w:val="235F1CDB"/>
    <w:multiLevelType w:val="hybridMultilevel"/>
    <w:tmpl w:val="8284614E"/>
    <w:lvl w:ilvl="0" w:tplc="94AC14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72AA1"/>
    <w:multiLevelType w:val="hybridMultilevel"/>
    <w:tmpl w:val="46CA4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FD6457B"/>
    <w:multiLevelType w:val="hybridMultilevel"/>
    <w:tmpl w:val="344EDB6C"/>
    <w:lvl w:ilvl="0" w:tplc="9F90D4E8">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plc="5FCA5B92" w:tentative="1">
      <w:start w:val="1"/>
      <w:numFmt w:val="bullet"/>
      <w:lvlText w:val="o"/>
      <w:lvlJc w:val="left"/>
      <w:pPr>
        <w:ind w:left="1080" w:hanging="360"/>
      </w:pPr>
      <w:rPr>
        <w:rFonts w:ascii="Courier New" w:hAnsi="Courier New" w:cs="Courier New" w:hint="default"/>
      </w:rPr>
    </w:lvl>
    <w:lvl w:ilvl="2" w:tplc="8A92989A" w:tentative="1">
      <w:start w:val="1"/>
      <w:numFmt w:val="bullet"/>
      <w:lvlText w:val=""/>
      <w:lvlJc w:val="left"/>
      <w:pPr>
        <w:ind w:left="1800" w:hanging="360"/>
      </w:pPr>
      <w:rPr>
        <w:rFonts w:ascii="Wingdings" w:hAnsi="Wingdings" w:hint="default"/>
      </w:rPr>
    </w:lvl>
    <w:lvl w:ilvl="3" w:tplc="D2409D5A" w:tentative="1">
      <w:start w:val="1"/>
      <w:numFmt w:val="bullet"/>
      <w:lvlText w:val=""/>
      <w:lvlJc w:val="left"/>
      <w:pPr>
        <w:ind w:left="2520" w:hanging="360"/>
      </w:pPr>
      <w:rPr>
        <w:rFonts w:ascii="Symbol" w:hAnsi="Symbol" w:hint="default"/>
      </w:rPr>
    </w:lvl>
    <w:lvl w:ilvl="4" w:tplc="313633A4" w:tentative="1">
      <w:start w:val="1"/>
      <w:numFmt w:val="bullet"/>
      <w:lvlText w:val="o"/>
      <w:lvlJc w:val="left"/>
      <w:pPr>
        <w:ind w:left="3240" w:hanging="360"/>
      </w:pPr>
      <w:rPr>
        <w:rFonts w:ascii="Courier New" w:hAnsi="Courier New" w:cs="Courier New" w:hint="default"/>
      </w:rPr>
    </w:lvl>
    <w:lvl w:ilvl="5" w:tplc="8F7AA34A" w:tentative="1">
      <w:start w:val="1"/>
      <w:numFmt w:val="bullet"/>
      <w:lvlText w:val=""/>
      <w:lvlJc w:val="left"/>
      <w:pPr>
        <w:ind w:left="3960" w:hanging="360"/>
      </w:pPr>
      <w:rPr>
        <w:rFonts w:ascii="Wingdings" w:hAnsi="Wingdings" w:hint="default"/>
      </w:rPr>
    </w:lvl>
    <w:lvl w:ilvl="6" w:tplc="F280AC78" w:tentative="1">
      <w:start w:val="1"/>
      <w:numFmt w:val="bullet"/>
      <w:lvlText w:val=""/>
      <w:lvlJc w:val="left"/>
      <w:pPr>
        <w:ind w:left="4680" w:hanging="360"/>
      </w:pPr>
      <w:rPr>
        <w:rFonts w:ascii="Symbol" w:hAnsi="Symbol" w:hint="default"/>
      </w:rPr>
    </w:lvl>
    <w:lvl w:ilvl="7" w:tplc="ECB69714" w:tentative="1">
      <w:start w:val="1"/>
      <w:numFmt w:val="bullet"/>
      <w:lvlText w:val="o"/>
      <w:lvlJc w:val="left"/>
      <w:pPr>
        <w:ind w:left="5400" w:hanging="360"/>
      </w:pPr>
      <w:rPr>
        <w:rFonts w:ascii="Courier New" w:hAnsi="Courier New" w:cs="Courier New" w:hint="default"/>
      </w:rPr>
    </w:lvl>
    <w:lvl w:ilvl="8" w:tplc="3E722B06" w:tentative="1">
      <w:start w:val="1"/>
      <w:numFmt w:val="bullet"/>
      <w:lvlText w:val=""/>
      <w:lvlJc w:val="left"/>
      <w:pPr>
        <w:ind w:left="6120" w:hanging="360"/>
      </w:pPr>
      <w:rPr>
        <w:rFonts w:ascii="Wingdings" w:hAnsi="Wingdings" w:hint="default"/>
      </w:rPr>
    </w:lvl>
  </w:abstractNum>
  <w:abstractNum w:abstractNumId="5">
    <w:nsid w:val="49296053"/>
    <w:multiLevelType w:val="hybridMultilevel"/>
    <w:tmpl w:val="4BB6FC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שה-יחיאל גינצברג">
    <w15:presenceInfo w15:providerId="None" w15:userId="משה-יחיאל גינצבר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6AA4"/>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48"/>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6A61"/>
    <w:rsid w:val="00067E4F"/>
    <w:rsid w:val="00067F8D"/>
    <w:rsid w:val="000700BA"/>
    <w:rsid w:val="00070DF2"/>
    <w:rsid w:val="00072DC7"/>
    <w:rsid w:val="000760A4"/>
    <w:rsid w:val="00076160"/>
    <w:rsid w:val="000761E8"/>
    <w:rsid w:val="00076C3B"/>
    <w:rsid w:val="00076C6A"/>
    <w:rsid w:val="000771FA"/>
    <w:rsid w:val="000772F2"/>
    <w:rsid w:val="00080287"/>
    <w:rsid w:val="000812BC"/>
    <w:rsid w:val="0008321A"/>
    <w:rsid w:val="00083F4F"/>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251B"/>
    <w:rsid w:val="000A2903"/>
    <w:rsid w:val="000A2BC9"/>
    <w:rsid w:val="000A34B5"/>
    <w:rsid w:val="000A3DC6"/>
    <w:rsid w:val="000A47E6"/>
    <w:rsid w:val="000A57AD"/>
    <w:rsid w:val="000A5B7B"/>
    <w:rsid w:val="000A60EB"/>
    <w:rsid w:val="000A62A7"/>
    <w:rsid w:val="000A6566"/>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908"/>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A05"/>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AAE"/>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996"/>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6A1"/>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3E3E"/>
    <w:rsid w:val="00274D7E"/>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C0E"/>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23CD"/>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11D"/>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48E"/>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04B2"/>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621D"/>
    <w:rsid w:val="00527462"/>
    <w:rsid w:val="005276C3"/>
    <w:rsid w:val="00527873"/>
    <w:rsid w:val="00530040"/>
    <w:rsid w:val="005302AB"/>
    <w:rsid w:val="00530A7F"/>
    <w:rsid w:val="005315C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303"/>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2B4"/>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8E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F96"/>
    <w:rsid w:val="006B5117"/>
    <w:rsid w:val="006B5429"/>
    <w:rsid w:val="006B59CA"/>
    <w:rsid w:val="006B5D69"/>
    <w:rsid w:val="006B6B3C"/>
    <w:rsid w:val="006B6E97"/>
    <w:rsid w:val="006B77AC"/>
    <w:rsid w:val="006B78C5"/>
    <w:rsid w:val="006C2541"/>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3CF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3CAC"/>
    <w:rsid w:val="008B5613"/>
    <w:rsid w:val="008B5617"/>
    <w:rsid w:val="008B57E5"/>
    <w:rsid w:val="008B6F73"/>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1B13"/>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4D87"/>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EB6"/>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0CA"/>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5B8"/>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7241"/>
    <w:rsid w:val="00AE0013"/>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4E00"/>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2E94"/>
    <w:rsid w:val="00BD38C5"/>
    <w:rsid w:val="00BD675C"/>
    <w:rsid w:val="00BD6C42"/>
    <w:rsid w:val="00BD704C"/>
    <w:rsid w:val="00BD71E6"/>
    <w:rsid w:val="00BE03E9"/>
    <w:rsid w:val="00BE0988"/>
    <w:rsid w:val="00BE37E0"/>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26D64"/>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4BA"/>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340"/>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59A5"/>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605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58"/>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4DEC"/>
    <w:rsid w:val="00F46AFB"/>
    <w:rsid w:val="00F46BF5"/>
    <w:rsid w:val="00F47170"/>
    <w:rsid w:val="00F47BD3"/>
    <w:rsid w:val="00F47FF3"/>
    <w:rsid w:val="00F50B37"/>
    <w:rsid w:val="00F514E1"/>
    <w:rsid w:val="00F521FE"/>
    <w:rsid w:val="00F52D85"/>
    <w:rsid w:val="00F52E56"/>
    <w:rsid w:val="00F535ED"/>
    <w:rsid w:val="00F5471B"/>
    <w:rsid w:val="00F55B59"/>
    <w:rsid w:val="00F55C4B"/>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7EF3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
    <w:name w:val="footnote reference"/>
    <w:aliases w:val="מ"/>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
    <w:name w:val="footnote reference"/>
    <w:aliases w:val="מ"/>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iPriority w:val="35"/>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eader" Target="head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C14767-5A75-4AF3-8B1A-4CBDA854C590}">
  <ds:schemaRefs>
    <ds:schemaRef ds:uri="http://schemas.openxmlformats.org/officeDocument/2006/bibliography"/>
  </ds:schemaRefs>
</ds:datastoreItem>
</file>

<file path=customXml/itemProps2.xml><?xml version="1.0" encoding="utf-8"?>
<ds:datastoreItem xmlns:ds="http://schemas.openxmlformats.org/officeDocument/2006/customXml" ds:itemID="{6C5EBA35-6F5A-4092-8472-7839B1812424}"/>
</file>

<file path=customXml/itemProps3.xml><?xml version="1.0" encoding="utf-8"?>
<ds:datastoreItem xmlns:ds="http://schemas.openxmlformats.org/officeDocument/2006/customXml" ds:itemID="{A50329EA-6850-41E0-B56A-9EA6D753DBDF}"/>
</file>

<file path=customXml/itemProps4.xml><?xml version="1.0" encoding="utf-8"?>
<ds:datastoreItem xmlns:ds="http://schemas.openxmlformats.org/officeDocument/2006/customXml" ds:itemID="{3AAA535A-61CD-4E5C-885D-EB619E83ED70}"/>
</file>

<file path=docProps/app.xml><?xml version="1.0" encoding="utf-8"?>
<Properties xmlns="http://schemas.openxmlformats.org/officeDocument/2006/extended-properties" xmlns:vt="http://schemas.openxmlformats.org/officeDocument/2006/docPropsVTypes">
  <Template>Normal.dotm</Template>
  <TotalTime>156</TotalTime>
  <Pages>5</Pages>
  <Words>970</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24</cp:revision>
  <cp:lastPrinted>2020-10-22T11:38:00Z</cp:lastPrinted>
  <dcterms:created xsi:type="dcterms:W3CDTF">2020-10-19T17:08:00Z</dcterms:created>
  <dcterms:modified xsi:type="dcterms:W3CDTF">2020-10-22T11:39:00Z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