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charts/chart/colors1.xml" ContentType="application/vnd.ms-office.chartcolorstyle+xml"/>
  <Override PartName="/word/charts/chart/colors10.xml" ContentType="application/vnd.ms-office.chartcolorstyle+xml"/>
  <Override PartName="/word/charts/chart/colors11.xml" ContentType="application/vnd.ms-office.chartcolorstyle+xml"/>
  <Override PartName="/word/charts/chart/colors12.xml" ContentType="application/vnd.ms-office.chartcolorstyle+xml"/>
  <Override PartName="/word/charts/chart/colors2.xml" ContentType="application/vnd.ms-office.chartcolorstyle+xml"/>
  <Override PartName="/word/charts/chart/colors3.xml" ContentType="application/vnd.ms-office.chartcolorstyle+xml"/>
  <Override PartName="/word/charts/chart/colors4.xml" ContentType="application/vnd.ms-office.chartcolorstyle+xml"/>
  <Override PartName="/word/charts/chart/colors5.xml" ContentType="application/vnd.ms-office.chartcolorstyle+xml"/>
  <Override PartName="/word/charts/chart/colors6.xml" ContentType="application/vnd.ms-office.chartcolorstyle+xml"/>
  <Override PartName="/word/charts/chart/colors7.xml" ContentType="application/vnd.ms-office.chartcolorstyle+xml"/>
  <Override PartName="/word/charts/chart/colors8.xml" ContentType="application/vnd.ms-office.chartcolorstyle+xml"/>
  <Override PartName="/word/charts/chart/colors9.xml" ContentType="application/vnd.ms-office.chartcolorstyle+xml"/>
  <Override PartName="/word/charts/chart/style1.xml" ContentType="application/vnd.ms-office.chartstyle+xml"/>
  <Override PartName="/word/charts/chart/style10.xml" ContentType="application/vnd.ms-office.chartstyle+xml"/>
  <Override PartName="/word/charts/chart/style11.xml" ContentType="application/vnd.ms-office.chartstyle+xml"/>
  <Override PartName="/word/charts/chart/style12.xml" ContentType="application/vnd.ms-office.chartstyle+xml"/>
  <Override PartName="/word/charts/chart/style2.xml" ContentType="application/vnd.ms-office.chartstyle+xml"/>
  <Override PartName="/word/charts/chart/style3.xml" ContentType="application/vnd.ms-office.chartstyle+xml"/>
  <Override PartName="/word/charts/chart/style4.xml" ContentType="application/vnd.ms-office.chartstyle+xml"/>
  <Override PartName="/word/charts/chart/style5.xml" ContentType="application/vnd.ms-office.chartstyle+xml"/>
  <Override PartName="/word/charts/chart/style6.xml" ContentType="application/vnd.ms-office.chartstyle+xml"/>
  <Override PartName="/word/charts/chart/style7.xml" ContentType="application/vnd.ms-office.chartstyle+xml"/>
  <Override PartName="/word/charts/chart/style8.xml" ContentType="application/vnd.ms-office.chartstyle+xml"/>
  <Override PartName="/word/charts/chart/style9.xml" ContentType="application/vnd.ms-office.chartstyle+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ocument.xml" ContentType="application/vnd.openxmlformats-officedocument.wordprocessingml.document.main+xml"/>
  <Override PartName="/word/embeddings/Microsoft_Excel_Worksheet1.xlsx" ContentType="application/vnd.openxmlformats-officedocument.spreadsheetml.sheet"/>
  <Override PartName="/word/embeddings/Microsoft_Excel_Worksheet10.xlsx" ContentType="application/vnd.openxmlformats-officedocument.spreadsheetml.sheet"/>
  <Override PartName="/word/embeddings/Microsoft_Excel_Worksheet11.xlsx" ContentType="application/vnd.openxmlformats-officedocument.spreadsheetml.sheet"/>
  <Override PartName="/word/embeddings/Microsoft_Excel_Worksheet12.xlsx" ContentType="application/vnd.openxmlformats-officedocument.spreadsheetml.sheet"/>
  <Override PartName="/word/embeddings/Microsoft_Excel_Worksheet13.xlsx" ContentType="application/vnd.openxmlformats-officedocument.spreadsheetml.sheet"/>
  <Override PartName="/word/embeddings/Microsoft_Excel_Worksheet14.xlsx" ContentType="application/vnd.openxmlformats-officedocument.spreadsheetml.sheet"/>
  <Override PartName="/word/embeddings/Microsoft_Excel_Worksheet15.xlsx" ContentType="application/vnd.openxmlformats-officedocument.spreadsheetml.sheet"/>
  <Override PartName="/word/embeddings/Microsoft_Excel_Worksheet2.xlsx" ContentType="application/vnd.openxmlformats-officedocument.spreadsheetml.sheet"/>
  <Override PartName="/word/embeddings/Microsoft_Excel_Worksheet3.xlsx" ContentType="application/vnd.openxmlformats-officedocument.spreadsheetml.sheet"/>
  <Override PartName="/word/embeddings/Microsoft_Excel_Worksheet4.xlsx" ContentType="application/vnd.openxmlformats-officedocument.spreadsheetml.sheet"/>
  <Override PartName="/word/embeddings/Microsoft_Excel_Worksheet5.xlsx" ContentType="application/vnd.openxmlformats-officedocument.spreadsheetml.sheet"/>
  <Override PartName="/word/embeddings/Microsoft_Excel_Worksheet6.xlsx" ContentType="application/vnd.openxmlformats-officedocument.spreadsheetml.sheet"/>
  <Override PartName="/word/embeddings/Microsoft_Excel_Worksheet7.xlsx" ContentType="application/vnd.openxmlformats-officedocument.spreadsheetml.sheet"/>
  <Override PartName="/word/embeddings/Microsoft_Excel_Worksheet8.xlsx" ContentType="application/vnd.openxmlformats-officedocument.spreadsheetml.sheet"/>
  <Override PartName="/word/embeddings/Microsoft_Excel_Worksheet9.xlsx" ContentType="application/vnd.openxmlformats-officedocument.spreadsheetml.shee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10.xml" ContentType="application/vnd.openxmlformats-officedocument.themeOverride+xml"/>
  <Override PartName="/word/theme/themeOverride11.xml" ContentType="application/vnd.openxmlformats-officedocument.themeOverride+xml"/>
  <Override PartName="/word/theme/themeOverride12.xml" ContentType="application/vnd.openxmlformats-officedocument.themeOverride+xml"/>
  <Override PartName="/word/theme/themeOverride13.xml" ContentType="application/vnd.openxmlformats-officedocument.themeOverride+xml"/>
  <Override PartName="/word/theme/themeOverride14.xml" ContentType="application/vnd.openxmlformats-officedocument.themeOverride+xml"/>
  <Override PartName="/word/theme/themeOverride15.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theme/themeOverride4.xml" ContentType="application/vnd.openxmlformats-officedocument.themeOverride+xml"/>
  <Override PartName="/word/theme/themeOverride5.xml" ContentType="application/vnd.openxmlformats-officedocument.themeOverride+xml"/>
  <Override PartName="/word/theme/themeOverride6.xml" ContentType="application/vnd.openxmlformats-officedocument.themeOverride+xml"/>
  <Override PartName="/word/theme/themeOverride7.xml" ContentType="application/vnd.openxmlformats-officedocument.themeOverride+xml"/>
  <Override PartName="/word/theme/themeOverride8.xml" ContentType="application/vnd.openxmlformats-officedocument.themeOverride+xml"/>
  <Override PartName="/word/theme/themeOverride9.xml" ContentType="application/vnd.openxmlformats-officedocument.themeOverrid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9.11 -->
  <w:body>
    <w:p w:rsidR="005E17DC" w:rsidRPr="005E17DC" w:rsidP="00385106">
      <w:pPr>
        <w:keepNext/>
        <w:keepLines/>
        <w:spacing w:line="269" w:lineRule="auto"/>
        <w:jc w:val="center"/>
        <w:outlineLvl w:val="0"/>
        <w:rPr>
          <w:rFonts w:eastAsiaTheme="majorEastAsia"/>
          <w:bCs/>
          <w:szCs w:val="36"/>
          <w:u w:val="single"/>
          <w:rtl/>
        </w:rPr>
      </w:pPr>
      <w:bookmarkStart w:id="0" w:name="copyNevSelection"/>
      <w:r w:rsidRPr="005E17DC">
        <w:rPr>
          <w:rFonts w:eastAsiaTheme="majorEastAsia" w:hint="cs"/>
          <w:bCs/>
          <w:szCs w:val="36"/>
          <w:u w:val="single"/>
          <w:rtl/>
        </w:rPr>
        <w:t>עיריית רמלה - מצב פיננסי וניהול ההון האנושי</w:t>
      </w:r>
    </w:p>
    <w:p w:rsidR="0094574B" w:rsidP="00120BCA">
      <w:pPr>
        <w:rPr>
          <w:rtl/>
        </w:rPr>
      </w:pPr>
    </w:p>
    <w:p w:rsidR="0094574B" w:rsidP="00120BCA">
      <w:pPr>
        <w:rPr>
          <w:rtl/>
        </w:rPr>
      </w:pPr>
    </w:p>
    <w:p w:rsidR="005E17DC" w:rsidRPr="005E17DC" w:rsidP="00120BCA">
      <w:pPr>
        <w:pStyle w:val="Heading3"/>
        <w:rPr>
          <w:rtl/>
        </w:rPr>
      </w:pPr>
      <w:r w:rsidRPr="005E17DC">
        <w:rPr>
          <w:rFonts w:hint="cs"/>
          <w:rtl/>
        </w:rPr>
        <w:t>מבוא</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Fonts w:hint="cs"/>
          <w:rtl/>
        </w:rPr>
        <w:t>העיר רמלה שוכנת במרכז הארץ. שטח השיפוט שלה 11,983 קמ"ר, מספר תושביה בסוף שנת 2018 היה 80,996 ומספר משקי הבית בה 21,589</w:t>
      </w:r>
      <w:r>
        <w:rPr>
          <w:vertAlign w:val="superscript"/>
          <w:rtl/>
        </w:rPr>
        <w:footnoteReference w:id="2"/>
      </w:r>
      <w:r w:rsidRPr="005E17DC">
        <w:rPr>
          <w:rFonts w:hint="cs"/>
          <w:rtl/>
        </w:rPr>
        <w:t xml:space="preserve">. העיר מדורגת באשכול 4 במדד החברתי-כלכלי של הלשכה המרכזית לסטטיסטיקה (להלן - </w:t>
      </w:r>
      <w:r w:rsidRPr="005E17DC">
        <w:rPr>
          <w:rFonts w:hint="cs"/>
          <w:rtl/>
        </w:rPr>
        <w:t>הלמ"ס</w:t>
      </w:r>
      <w:r w:rsidRPr="005E17DC">
        <w:rPr>
          <w:rFonts w:hint="cs"/>
          <w:rtl/>
        </w:rPr>
        <w:t>)</w:t>
      </w:r>
      <w:r>
        <w:rPr>
          <w:vertAlign w:val="superscript"/>
          <w:rtl/>
        </w:rPr>
        <w:footnoteReference w:id="3"/>
      </w:r>
      <w:r w:rsidRPr="005E17DC">
        <w:rPr>
          <w:rFonts w:hint="cs"/>
          <w:rtl/>
        </w:rPr>
        <w:t xml:space="preserve"> ובדרגה 8 במדד הפריפריאליות של </w:t>
      </w:r>
      <w:r w:rsidRPr="005E17DC">
        <w:rPr>
          <w:rFonts w:hint="cs"/>
          <w:rtl/>
        </w:rPr>
        <w:t>הלמ"ס</w:t>
      </w:r>
      <w:r>
        <w:rPr>
          <w:vertAlign w:val="superscript"/>
          <w:rtl/>
        </w:rPr>
        <w:footnoteReference w:id="4"/>
      </w:r>
      <w:r w:rsidRPr="005E17DC">
        <w:rPr>
          <w:rFonts w:hint="cs"/>
          <w:rtl/>
        </w:rPr>
        <w:t>. מ-2008 עד 2018 גדלה אוכלוסייתה ב-15% בקירוב. ראש העירייה העכשווי מכהן מיוני 2017.</w:t>
      </w:r>
    </w:p>
    <w:p w:rsidR="005E17DC" w:rsidRPr="005E17DC" w:rsidP="00385106">
      <w:pPr>
        <w:spacing w:line="269" w:lineRule="auto"/>
        <w:ind w:left="-567"/>
        <w:rPr>
          <w:szCs w:val="20"/>
          <w:rtl/>
        </w:rPr>
      </w:pPr>
    </w:p>
    <w:p w:rsidR="005E17DC" w:rsidRPr="005E17DC" w:rsidP="00120BCA">
      <w:pPr>
        <w:spacing w:after="120" w:line="269" w:lineRule="auto"/>
        <w:jc w:val="center"/>
        <w:rPr>
          <w:b/>
          <w:bCs/>
          <w:rtl/>
        </w:rPr>
      </w:pPr>
      <w:r w:rsidRPr="005E17DC">
        <w:rPr>
          <w:rFonts w:hint="cs"/>
          <w:b/>
          <w:bCs/>
          <w:rtl/>
        </w:rPr>
        <w:t xml:space="preserve">תמונה 1: תחום השיפוט של רמלה </w:t>
      </w:r>
    </w:p>
    <w:p w:rsidR="005E17DC" w:rsidRPr="005E17DC" w:rsidP="00385106">
      <w:pPr>
        <w:spacing w:line="269" w:lineRule="auto"/>
        <w:rPr>
          <w:rtl/>
        </w:rPr>
      </w:pPr>
      <w:r w:rsidRPr="005E17DC">
        <w:rPr>
          <w:noProof/>
          <w:rtl/>
        </w:rPr>
        <w:drawing>
          <wp:inline distT="0" distB="0" distL="0" distR="0">
            <wp:extent cx="5345430" cy="2809875"/>
            <wp:effectExtent l="0" t="0" r="7620" b="9525"/>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633366" name="תמונה 1 - תחום שיפוט.jpg"/>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a:xfrm>
                      <a:off x="0" y="0"/>
                      <a:ext cx="5346966" cy="2810682"/>
                    </a:xfrm>
                    <a:prstGeom prst="rect">
                      <a:avLst/>
                    </a:prstGeom>
                  </pic:spPr>
                </pic:pic>
              </a:graphicData>
            </a:graphic>
          </wp:inline>
        </w:drawing>
      </w:r>
    </w:p>
    <w:p w:rsidR="005E17DC" w:rsidRPr="005E17DC" w:rsidP="00120BCA">
      <w:pPr>
        <w:spacing w:before="120" w:line="269" w:lineRule="auto"/>
        <w:rPr>
          <w:sz w:val="22"/>
          <w:szCs w:val="22"/>
          <w:rtl/>
        </w:rPr>
      </w:pPr>
      <w:r w:rsidRPr="005E17DC">
        <w:rPr>
          <w:rFonts w:hint="cs"/>
          <w:sz w:val="22"/>
          <w:szCs w:val="22"/>
          <w:rtl/>
        </w:rPr>
        <w:t>על פי נתוני עיריית רמלה (מערכת המידע הגיאוגרפי), בעיבוד משרד מבקר המדינה.</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Fonts w:hint="eastAsia"/>
          <w:rtl/>
        </w:rPr>
        <w:t>על</w:t>
      </w:r>
      <w:r w:rsidRPr="005E17DC">
        <w:rPr>
          <w:rtl/>
        </w:rPr>
        <w:t xml:space="preserve"> פי נתוני </w:t>
      </w:r>
      <w:r w:rsidRPr="005E17DC">
        <w:rPr>
          <w:rFonts w:hint="cs"/>
          <w:rtl/>
        </w:rPr>
        <w:t>הלמ"ס</w:t>
      </w:r>
      <w:r w:rsidRPr="005E17DC">
        <w:rPr>
          <w:rtl/>
        </w:rPr>
        <w:t xml:space="preserve"> </w:t>
      </w:r>
      <w:r w:rsidRPr="005E17DC">
        <w:rPr>
          <w:rFonts w:hint="eastAsia"/>
          <w:rtl/>
        </w:rPr>
        <w:t>ל</w:t>
      </w:r>
      <w:r w:rsidRPr="005E17DC">
        <w:rPr>
          <w:rFonts w:hint="cs"/>
          <w:rtl/>
        </w:rPr>
        <w:t xml:space="preserve">סוף </w:t>
      </w:r>
      <w:r w:rsidRPr="005E17DC">
        <w:rPr>
          <w:rFonts w:hint="eastAsia"/>
          <w:rtl/>
        </w:rPr>
        <w:t>שנת</w:t>
      </w:r>
      <w:r w:rsidRPr="005E17DC">
        <w:rPr>
          <w:rtl/>
        </w:rPr>
        <w:t xml:space="preserve"> 2017</w:t>
      </w:r>
      <w:r w:rsidRPr="005E17DC">
        <w:rPr>
          <w:rFonts w:hint="cs"/>
          <w:rtl/>
        </w:rPr>
        <w:t>,</w:t>
      </w:r>
      <w:r w:rsidRPr="005E17DC">
        <w:rPr>
          <w:rtl/>
        </w:rPr>
        <w:t xml:space="preserve"> </w:t>
      </w:r>
      <w:r w:rsidRPr="005E17DC">
        <w:rPr>
          <w:rFonts w:hint="eastAsia"/>
          <w:rtl/>
        </w:rPr>
        <w:t>אוכלוסייתה</w:t>
      </w:r>
      <w:r w:rsidRPr="005E17DC">
        <w:rPr>
          <w:rtl/>
        </w:rPr>
        <w:t xml:space="preserve"> של רמלה מגוונת</w:t>
      </w:r>
      <w:r w:rsidRPr="005E17DC">
        <w:rPr>
          <w:rFonts w:hint="cs"/>
          <w:rtl/>
        </w:rPr>
        <w:t>:</w:t>
      </w:r>
      <w:r w:rsidRPr="005E17DC">
        <w:rPr>
          <w:rtl/>
        </w:rPr>
        <w:t xml:space="preserve"> כ-23.3% </w:t>
      </w:r>
      <w:r w:rsidRPr="005E17DC">
        <w:rPr>
          <w:rFonts w:hint="cs"/>
          <w:rtl/>
        </w:rPr>
        <w:t>מתושביה</w:t>
      </w:r>
      <w:r w:rsidRPr="005E17DC">
        <w:rPr>
          <w:rtl/>
        </w:rPr>
        <w:t xml:space="preserve"> ערבים וכ-19% עולים </w:t>
      </w:r>
      <w:r w:rsidRPr="005E17DC">
        <w:rPr>
          <w:rFonts w:hint="cs"/>
          <w:rtl/>
        </w:rPr>
        <w:t>ש</w:t>
      </w:r>
      <w:r w:rsidRPr="005E17DC">
        <w:rPr>
          <w:rtl/>
        </w:rPr>
        <w:t xml:space="preserve">עלו לאחר שנת 1990. אוכלוסיות אלו נחשבות </w:t>
      </w:r>
      <w:r w:rsidRPr="005E17DC">
        <w:rPr>
          <w:rFonts w:hint="cs"/>
          <w:rtl/>
        </w:rPr>
        <w:t>ראויות לקידום</w:t>
      </w:r>
      <w:r w:rsidRPr="005E17DC">
        <w:rPr>
          <w:rtl/>
        </w:rPr>
        <w:t xml:space="preserve"> </w:t>
      </w:r>
      <w:r w:rsidRPr="005E17DC">
        <w:rPr>
          <w:rFonts w:hint="eastAsia"/>
          <w:rtl/>
        </w:rPr>
        <w:t>ובדרך</w:t>
      </w:r>
      <w:r w:rsidRPr="005E17DC">
        <w:rPr>
          <w:rtl/>
        </w:rPr>
        <w:t xml:space="preserve"> כלל </w:t>
      </w:r>
      <w:r w:rsidRPr="005E17DC">
        <w:rPr>
          <w:rFonts w:hint="cs"/>
          <w:rtl/>
        </w:rPr>
        <w:t>טעונות</w:t>
      </w:r>
      <w:r w:rsidRPr="005E17DC">
        <w:rPr>
          <w:rtl/>
        </w:rPr>
        <w:t xml:space="preserve"> השקעה </w:t>
      </w:r>
      <w:r w:rsidRPr="005E17DC">
        <w:rPr>
          <w:rFonts w:hint="eastAsia"/>
          <w:rtl/>
        </w:rPr>
        <w:t>מיוחדת</w:t>
      </w:r>
      <w:r w:rsidRPr="005E17DC">
        <w:rPr>
          <w:rtl/>
        </w:rPr>
        <w:t xml:space="preserve"> של הרשות. יחס התלות</w:t>
      </w:r>
      <w:r>
        <w:rPr>
          <w:vertAlign w:val="superscript"/>
          <w:rtl/>
        </w:rPr>
        <w:footnoteReference w:id="5"/>
      </w:r>
      <w:r w:rsidRPr="005E17DC">
        <w:rPr>
          <w:rtl/>
        </w:rPr>
        <w:t xml:space="preserve"> שלה עמד בשנת 2017 על</w:t>
      </w:r>
      <w:r w:rsidRPr="005E17DC">
        <w:rPr>
          <w:rFonts w:hint="cs"/>
          <w:rtl/>
        </w:rPr>
        <w:t xml:space="preserve"> </w:t>
      </w:r>
      <w:r w:rsidRPr="005E17DC">
        <w:rPr>
          <w:rtl/>
        </w:rPr>
        <w:t>810</w:t>
      </w:r>
      <w:r w:rsidRPr="005E17DC">
        <w:rPr>
          <w:rFonts w:hint="cs"/>
          <w:rtl/>
        </w:rPr>
        <w:t xml:space="preserve"> ל-1,000, </w:t>
      </w:r>
      <w:r w:rsidRPr="005E17DC">
        <w:rPr>
          <w:rtl/>
        </w:rPr>
        <w:t>נמוך מהממוצע בכלל העיריות</w:t>
      </w:r>
      <w:r w:rsidRPr="005E17DC">
        <w:rPr>
          <w:rFonts w:hint="cs"/>
          <w:rtl/>
        </w:rPr>
        <w:t>, שהיה</w:t>
      </w:r>
      <w:r w:rsidRPr="005E17DC">
        <w:rPr>
          <w:rtl/>
        </w:rPr>
        <w:t xml:space="preserve"> 908</w:t>
      </w:r>
      <w:r w:rsidRPr="005E17DC">
        <w:rPr>
          <w:rFonts w:hint="cs"/>
          <w:rtl/>
        </w:rPr>
        <w:t xml:space="preserve"> ל-1,000. יחס זה נגזר מההרכב הגילאי של האוכלוסייה בעיר, כמוצג להלן:</w:t>
      </w:r>
    </w:p>
    <w:p w:rsidR="005E17DC" w:rsidRPr="005E17DC" w:rsidP="00385106">
      <w:pPr>
        <w:bidi w:val="0"/>
        <w:spacing w:line="269" w:lineRule="auto"/>
      </w:pPr>
      <w:r w:rsidRPr="005E17DC">
        <w:rPr>
          <w:rtl/>
        </w:rPr>
        <w:br w:type="page"/>
      </w:r>
    </w:p>
    <w:p w:rsidR="005E17DC" w:rsidRPr="005E17DC" w:rsidP="00385106">
      <w:pPr>
        <w:spacing w:line="269" w:lineRule="auto"/>
        <w:ind w:left="-567"/>
        <w:rPr>
          <w:szCs w:val="20"/>
          <w:rtl/>
        </w:rPr>
      </w:pPr>
    </w:p>
    <w:p w:rsidR="005E17DC" w:rsidRPr="005E17DC" w:rsidP="00120BCA">
      <w:pPr>
        <w:spacing w:after="120" w:line="269" w:lineRule="auto"/>
        <w:jc w:val="center"/>
        <w:rPr>
          <w:b/>
          <w:bCs/>
          <w:rtl/>
        </w:rPr>
      </w:pPr>
      <w:r w:rsidRPr="005E17DC">
        <w:rPr>
          <w:rFonts w:hint="eastAsia"/>
          <w:b/>
          <w:bCs/>
          <w:rtl/>
        </w:rPr>
        <w:t>תרשים</w:t>
      </w:r>
      <w:r w:rsidRPr="005E17DC">
        <w:rPr>
          <w:b/>
          <w:bCs/>
          <w:rtl/>
        </w:rPr>
        <w:t xml:space="preserve"> </w:t>
      </w:r>
      <w:r w:rsidRPr="005E17DC">
        <w:rPr>
          <w:rFonts w:hint="cs"/>
          <w:b/>
          <w:bCs/>
          <w:rtl/>
        </w:rPr>
        <w:t>1:</w:t>
      </w:r>
      <w:r w:rsidRPr="005E17DC">
        <w:rPr>
          <w:b/>
          <w:bCs/>
          <w:rtl/>
        </w:rPr>
        <w:t xml:space="preserve"> </w:t>
      </w:r>
      <w:r w:rsidRPr="005E17DC">
        <w:rPr>
          <w:rFonts w:hint="eastAsia"/>
          <w:b/>
          <w:bCs/>
          <w:rtl/>
        </w:rPr>
        <w:t>התפלגות</w:t>
      </w:r>
      <w:r w:rsidRPr="005E17DC">
        <w:rPr>
          <w:b/>
          <w:bCs/>
          <w:rtl/>
        </w:rPr>
        <w:t xml:space="preserve"> </w:t>
      </w:r>
      <w:r w:rsidRPr="005E17DC">
        <w:rPr>
          <w:rFonts w:hint="eastAsia"/>
          <w:b/>
          <w:bCs/>
          <w:rtl/>
        </w:rPr>
        <w:t>אוכלוסייתה</w:t>
      </w:r>
      <w:r w:rsidRPr="005E17DC">
        <w:rPr>
          <w:b/>
          <w:bCs/>
          <w:rtl/>
        </w:rPr>
        <w:t xml:space="preserve"> </w:t>
      </w:r>
      <w:r w:rsidRPr="005E17DC">
        <w:rPr>
          <w:rFonts w:hint="eastAsia"/>
          <w:b/>
          <w:bCs/>
          <w:rtl/>
        </w:rPr>
        <w:t>של</w:t>
      </w:r>
      <w:r w:rsidRPr="005E17DC">
        <w:rPr>
          <w:b/>
          <w:bCs/>
          <w:rtl/>
        </w:rPr>
        <w:t xml:space="preserve"> </w:t>
      </w:r>
      <w:r w:rsidRPr="005E17DC">
        <w:rPr>
          <w:rFonts w:hint="eastAsia"/>
          <w:b/>
          <w:bCs/>
          <w:rtl/>
        </w:rPr>
        <w:t>רמלה</w:t>
      </w:r>
      <w:r w:rsidRPr="005E17DC">
        <w:rPr>
          <w:rFonts w:hint="cs"/>
          <w:b/>
          <w:bCs/>
          <w:rtl/>
        </w:rPr>
        <w:t xml:space="preserve"> לפי גיל, 2017</w:t>
      </w:r>
    </w:p>
    <w:p w:rsidR="005E17DC" w:rsidRPr="005E17DC" w:rsidP="00385106">
      <w:pPr>
        <w:spacing w:line="269" w:lineRule="auto"/>
        <w:jc w:val="center"/>
        <w:rPr>
          <w:b/>
          <w:bCs/>
          <w:rtl/>
        </w:rPr>
      </w:pPr>
      <w:r w:rsidRPr="005E17DC">
        <w:rPr>
          <w:noProof/>
        </w:rPr>
        <w:drawing>
          <wp:inline distT="0" distB="0" distL="0" distR="0">
            <wp:extent cx="5219700" cy="2743200"/>
            <wp:effectExtent l="0" t="0" r="0" b="0"/>
            <wp:docPr id="22" name="תרשים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5E17DC" w:rsidRPr="005E17DC" w:rsidP="00120BCA">
      <w:pPr>
        <w:spacing w:before="120" w:line="269" w:lineRule="auto"/>
        <w:rPr>
          <w:sz w:val="22"/>
          <w:szCs w:val="22"/>
          <w:rtl/>
        </w:rPr>
      </w:pPr>
      <w:r w:rsidRPr="005E17DC">
        <w:rPr>
          <w:rFonts w:hint="cs"/>
          <w:sz w:val="22"/>
          <w:szCs w:val="22"/>
          <w:rtl/>
        </w:rPr>
        <w:t>ה</w:t>
      </w:r>
      <w:r w:rsidRPr="005E17DC">
        <w:rPr>
          <w:rFonts w:hint="eastAsia"/>
          <w:sz w:val="22"/>
          <w:szCs w:val="22"/>
          <w:rtl/>
        </w:rPr>
        <w:t>מקור</w:t>
      </w:r>
      <w:r w:rsidRPr="005E17DC">
        <w:rPr>
          <w:sz w:val="22"/>
          <w:szCs w:val="22"/>
          <w:rtl/>
        </w:rPr>
        <w:t xml:space="preserve">: </w:t>
      </w:r>
      <w:r w:rsidRPr="005E17DC">
        <w:rPr>
          <w:rFonts w:hint="cs"/>
          <w:sz w:val="22"/>
          <w:szCs w:val="22"/>
          <w:rtl/>
        </w:rPr>
        <w:t>ה</w:t>
      </w:r>
      <w:r w:rsidRPr="005E17DC">
        <w:rPr>
          <w:rFonts w:hint="eastAsia"/>
          <w:sz w:val="22"/>
          <w:szCs w:val="22"/>
          <w:rtl/>
        </w:rPr>
        <w:t>למ</w:t>
      </w:r>
      <w:r w:rsidRPr="005E17DC">
        <w:rPr>
          <w:sz w:val="22"/>
          <w:szCs w:val="22"/>
          <w:rtl/>
        </w:rPr>
        <w:t>"ס</w:t>
      </w:r>
      <w:r w:rsidRPr="005E17DC">
        <w:rPr>
          <w:sz w:val="22"/>
          <w:szCs w:val="22"/>
          <w:rtl/>
        </w:rPr>
        <w:t xml:space="preserve">, </w:t>
      </w:r>
      <w:r w:rsidRPr="005E17DC">
        <w:rPr>
          <w:rFonts w:hint="cs"/>
          <w:sz w:val="22"/>
          <w:szCs w:val="22"/>
          <w:rtl/>
        </w:rPr>
        <w:t>הרשויות המקומיות בישראל</w:t>
      </w:r>
      <w:r w:rsidRPr="005E17DC">
        <w:rPr>
          <w:sz w:val="22"/>
          <w:szCs w:val="22"/>
          <w:rtl/>
        </w:rPr>
        <w:t xml:space="preserve"> </w:t>
      </w:r>
      <w:r w:rsidRPr="005E17DC">
        <w:rPr>
          <w:rFonts w:hint="cs"/>
          <w:sz w:val="22"/>
          <w:szCs w:val="22"/>
          <w:rtl/>
        </w:rPr>
        <w:t>(</w:t>
      </w:r>
      <w:r w:rsidRPr="005E17DC">
        <w:rPr>
          <w:sz w:val="22"/>
          <w:szCs w:val="22"/>
          <w:rtl/>
        </w:rPr>
        <w:t>2017</w:t>
      </w:r>
      <w:r w:rsidRPr="005E17DC">
        <w:rPr>
          <w:rFonts w:hint="cs"/>
          <w:sz w:val="22"/>
          <w:szCs w:val="22"/>
          <w:rtl/>
        </w:rPr>
        <w:t>)</w:t>
      </w:r>
      <w:r w:rsidRPr="005E17DC">
        <w:rPr>
          <w:sz w:val="22"/>
          <w:szCs w:val="22"/>
          <w:rtl/>
        </w:rPr>
        <w:t>.</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Fonts w:hint="cs"/>
          <w:rtl/>
        </w:rPr>
        <w:t xml:space="preserve">עוד עולה מנתוני </w:t>
      </w:r>
      <w:r w:rsidRPr="005E17DC">
        <w:rPr>
          <w:rFonts w:hint="cs"/>
          <w:rtl/>
        </w:rPr>
        <w:t>הלמ"ס</w:t>
      </w:r>
      <w:r w:rsidRPr="005E17DC">
        <w:rPr>
          <w:rFonts w:hint="cs"/>
          <w:rtl/>
        </w:rPr>
        <w:t xml:space="preserve"> כי </w:t>
      </w:r>
      <w:r w:rsidRPr="005E17DC">
        <w:rPr>
          <w:rFonts w:hint="eastAsia"/>
          <w:rtl/>
        </w:rPr>
        <w:t>בשנת</w:t>
      </w:r>
      <w:r w:rsidRPr="005E17DC">
        <w:rPr>
          <w:rtl/>
        </w:rPr>
        <w:t xml:space="preserve"> 2017 </w:t>
      </w:r>
      <w:r w:rsidRPr="005E17DC">
        <w:rPr>
          <w:rFonts w:hint="cs"/>
          <w:rtl/>
        </w:rPr>
        <w:t>היה</w:t>
      </w:r>
      <w:r w:rsidRPr="005E17DC">
        <w:rPr>
          <w:rtl/>
        </w:rPr>
        <w:t xml:space="preserve"> </w:t>
      </w:r>
      <w:r w:rsidRPr="005E17DC">
        <w:rPr>
          <w:rFonts w:hint="cs"/>
          <w:rtl/>
        </w:rPr>
        <w:t xml:space="preserve">ברמלה </w:t>
      </w:r>
      <w:r w:rsidRPr="005E17DC">
        <w:rPr>
          <w:rFonts w:hint="eastAsia"/>
          <w:rtl/>
        </w:rPr>
        <w:t>שיעור</w:t>
      </w:r>
      <w:r w:rsidRPr="005E17DC">
        <w:rPr>
          <w:rtl/>
        </w:rPr>
        <w:t xml:space="preserve"> </w:t>
      </w:r>
      <w:r w:rsidRPr="005E17DC">
        <w:rPr>
          <w:rFonts w:hint="eastAsia"/>
          <w:rtl/>
        </w:rPr>
        <w:t>הבוגרים</w:t>
      </w:r>
      <w:r>
        <w:rPr>
          <w:vertAlign w:val="superscript"/>
          <w:rtl/>
        </w:rPr>
        <w:footnoteReference w:id="6"/>
      </w:r>
      <w:r w:rsidRPr="005E17DC">
        <w:rPr>
          <w:rtl/>
        </w:rPr>
        <w:t xml:space="preserve"> בעלי הרשעה פלילית 6.7</w:t>
      </w:r>
      <w:r w:rsidRPr="005E17DC">
        <w:rPr>
          <w:rFonts w:hint="cs"/>
          <w:rtl/>
        </w:rPr>
        <w:t xml:space="preserve"> ל-1,000</w:t>
      </w:r>
      <w:r w:rsidRPr="005E17DC">
        <w:rPr>
          <w:rtl/>
        </w:rPr>
        <w:t xml:space="preserve">. </w:t>
      </w:r>
      <w:r w:rsidRPr="005E17DC">
        <w:rPr>
          <w:rFonts w:hint="cs"/>
          <w:rtl/>
        </w:rPr>
        <w:t>בכלל ה</w:t>
      </w:r>
      <w:r w:rsidRPr="005E17DC">
        <w:rPr>
          <w:rtl/>
        </w:rPr>
        <w:t xml:space="preserve">רשויות </w:t>
      </w:r>
      <w:r w:rsidRPr="005E17DC">
        <w:rPr>
          <w:rFonts w:hint="eastAsia"/>
          <w:rtl/>
        </w:rPr>
        <w:t>שיש</w:t>
      </w:r>
      <w:r w:rsidRPr="005E17DC">
        <w:rPr>
          <w:rtl/>
        </w:rPr>
        <w:t xml:space="preserve"> בהן </w:t>
      </w:r>
      <w:r w:rsidRPr="005E17DC">
        <w:rPr>
          <w:rFonts w:hint="cs"/>
          <w:rtl/>
        </w:rPr>
        <w:t>יותר מ-50,000</w:t>
      </w:r>
      <w:r w:rsidRPr="005E17DC">
        <w:rPr>
          <w:rtl/>
        </w:rPr>
        <w:t xml:space="preserve"> תושבים</w:t>
      </w:r>
      <w:r>
        <w:rPr>
          <w:vertAlign w:val="superscript"/>
          <w:rtl/>
        </w:rPr>
        <w:footnoteReference w:id="7"/>
      </w:r>
      <w:r w:rsidRPr="005E17DC">
        <w:rPr>
          <w:rtl/>
        </w:rPr>
        <w:t xml:space="preserve">, רמלה ממוקמת </w:t>
      </w:r>
      <w:r w:rsidRPr="005E17DC">
        <w:rPr>
          <w:rFonts w:hint="eastAsia"/>
          <w:rtl/>
        </w:rPr>
        <w:t>במקום</w:t>
      </w:r>
      <w:r w:rsidRPr="005E17DC">
        <w:rPr>
          <w:rtl/>
        </w:rPr>
        <w:t xml:space="preserve"> השלישי </w:t>
      </w:r>
      <w:r w:rsidRPr="005E17DC">
        <w:rPr>
          <w:rFonts w:hint="cs"/>
          <w:rtl/>
        </w:rPr>
        <w:t>ב</w:t>
      </w:r>
      <w:r w:rsidRPr="005E17DC">
        <w:rPr>
          <w:rtl/>
        </w:rPr>
        <w:t>שיעור זה</w:t>
      </w:r>
      <w:r w:rsidRPr="005E17DC">
        <w:rPr>
          <w:rFonts w:hint="cs"/>
          <w:rtl/>
        </w:rPr>
        <w:t>,</w:t>
      </w:r>
      <w:r w:rsidRPr="005E17DC">
        <w:rPr>
          <w:rtl/>
        </w:rPr>
        <w:t xml:space="preserve"> אחרי אילת ורהט. </w:t>
      </w:r>
      <w:r w:rsidRPr="005E17DC">
        <w:rPr>
          <w:rFonts w:hint="cs"/>
          <w:rtl/>
        </w:rPr>
        <w:t xml:space="preserve">ועוד, </w:t>
      </w:r>
      <w:r w:rsidRPr="005E17DC">
        <w:rPr>
          <w:rtl/>
        </w:rPr>
        <w:t xml:space="preserve">אחוז </w:t>
      </w:r>
      <w:r w:rsidRPr="005E17DC">
        <w:rPr>
          <w:rFonts w:hint="eastAsia"/>
          <w:rtl/>
        </w:rPr>
        <w:t>ה</w:t>
      </w:r>
      <w:r w:rsidRPr="005E17DC">
        <w:rPr>
          <w:rtl/>
        </w:rPr>
        <w:t xml:space="preserve">זכאים לתעודת בגרות בעיר מבין תלמידי כיתות י"ב עמד </w:t>
      </w:r>
      <w:r w:rsidRPr="005E17DC">
        <w:rPr>
          <w:rFonts w:hint="eastAsia"/>
          <w:rtl/>
        </w:rPr>
        <w:t>בשנת</w:t>
      </w:r>
      <w:r w:rsidRPr="005E17DC">
        <w:rPr>
          <w:rtl/>
        </w:rPr>
        <w:t xml:space="preserve"> 2017 </w:t>
      </w:r>
      <w:r w:rsidRPr="005E17DC">
        <w:rPr>
          <w:rFonts w:hint="eastAsia"/>
          <w:rtl/>
        </w:rPr>
        <w:t>על</w:t>
      </w:r>
      <w:r w:rsidRPr="005E17DC">
        <w:rPr>
          <w:rtl/>
        </w:rPr>
        <w:t xml:space="preserve"> 65.7%; </w:t>
      </w:r>
      <w:r w:rsidRPr="005E17DC">
        <w:rPr>
          <w:rFonts w:hint="eastAsia"/>
          <w:rtl/>
        </w:rPr>
        <w:t>בשיעור</w:t>
      </w:r>
      <w:r w:rsidRPr="005E17DC">
        <w:rPr>
          <w:rtl/>
        </w:rPr>
        <w:t xml:space="preserve"> </w:t>
      </w:r>
      <w:r w:rsidRPr="005E17DC">
        <w:rPr>
          <w:rFonts w:hint="eastAsia"/>
          <w:rtl/>
        </w:rPr>
        <w:t>זה</w:t>
      </w:r>
      <w:r w:rsidRPr="005E17DC">
        <w:rPr>
          <w:rtl/>
        </w:rPr>
        <w:t xml:space="preserve"> </w:t>
      </w:r>
      <w:r w:rsidRPr="005E17DC">
        <w:rPr>
          <w:rFonts w:hint="eastAsia"/>
          <w:rtl/>
        </w:rPr>
        <w:t>רמלה</w:t>
      </w:r>
      <w:r w:rsidRPr="005E17DC">
        <w:rPr>
          <w:rtl/>
        </w:rPr>
        <w:t xml:space="preserve"> </w:t>
      </w:r>
      <w:r w:rsidRPr="005E17DC">
        <w:rPr>
          <w:rFonts w:hint="eastAsia"/>
          <w:rtl/>
        </w:rPr>
        <w:t>ממוקמת</w:t>
      </w:r>
      <w:r w:rsidRPr="005E17DC">
        <w:rPr>
          <w:rtl/>
        </w:rPr>
        <w:t xml:space="preserve"> במקום </w:t>
      </w:r>
      <w:r w:rsidRPr="005E17DC">
        <w:rPr>
          <w:rFonts w:hint="eastAsia"/>
          <w:rtl/>
        </w:rPr>
        <w:t>ה</w:t>
      </w:r>
      <w:r w:rsidRPr="005E17DC">
        <w:rPr>
          <w:rtl/>
        </w:rPr>
        <w:t xml:space="preserve">-26 </w:t>
      </w:r>
      <w:r w:rsidRPr="005E17DC">
        <w:rPr>
          <w:rFonts w:hint="eastAsia"/>
          <w:rtl/>
        </w:rPr>
        <w:t>מ</w:t>
      </w:r>
      <w:r w:rsidRPr="005E17DC">
        <w:rPr>
          <w:rFonts w:hint="cs"/>
          <w:rtl/>
        </w:rPr>
        <w:t>-</w:t>
      </w:r>
      <w:r w:rsidRPr="005E17DC">
        <w:rPr>
          <w:rtl/>
        </w:rPr>
        <w:t xml:space="preserve">77 </w:t>
      </w:r>
      <w:r w:rsidRPr="005E17DC">
        <w:rPr>
          <w:rFonts w:hint="eastAsia"/>
          <w:rtl/>
        </w:rPr>
        <w:t>ערי</w:t>
      </w:r>
      <w:r w:rsidRPr="005E17DC">
        <w:rPr>
          <w:rtl/>
        </w:rPr>
        <w:t xml:space="preserve"> </w:t>
      </w:r>
      <w:r w:rsidRPr="005E17DC">
        <w:rPr>
          <w:rFonts w:hint="eastAsia"/>
          <w:rtl/>
        </w:rPr>
        <w:t>ישראל</w:t>
      </w:r>
      <w:r w:rsidRPr="005E17DC">
        <w:rPr>
          <w:rtl/>
        </w:rPr>
        <w:t>.</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Fonts w:hint="cs"/>
          <w:rtl/>
        </w:rPr>
        <w:t xml:space="preserve">מימוש </w:t>
      </w:r>
      <w:r w:rsidRPr="005E17DC">
        <w:rPr>
          <w:rFonts w:hint="eastAsia"/>
          <w:rtl/>
        </w:rPr>
        <w:t>תקציבה</w:t>
      </w:r>
      <w:r w:rsidRPr="005E17DC">
        <w:rPr>
          <w:rFonts w:hint="cs"/>
          <w:rtl/>
        </w:rPr>
        <w:t xml:space="preserve"> הרגיל </w:t>
      </w:r>
      <w:r w:rsidRPr="005E17DC">
        <w:rPr>
          <w:rtl/>
        </w:rPr>
        <w:t>של עיריית רמלה</w:t>
      </w:r>
      <w:r w:rsidRPr="005E17DC">
        <w:rPr>
          <w:rFonts w:hint="cs"/>
          <w:rtl/>
        </w:rPr>
        <w:t xml:space="preserve"> לשנים 2016 עד 2018 מפורט בלוח שלהלן:</w:t>
      </w:r>
    </w:p>
    <w:p w:rsidR="005E17DC" w:rsidRPr="005E17DC" w:rsidP="00385106">
      <w:pPr>
        <w:spacing w:line="269" w:lineRule="auto"/>
        <w:ind w:left="-567"/>
        <w:rPr>
          <w:szCs w:val="20"/>
          <w:rtl/>
        </w:rPr>
      </w:pPr>
    </w:p>
    <w:p w:rsidR="005E17DC" w:rsidRPr="005E17DC" w:rsidP="00120BCA">
      <w:pPr>
        <w:spacing w:after="120" w:line="269" w:lineRule="auto"/>
        <w:jc w:val="center"/>
        <w:rPr>
          <w:b/>
          <w:bCs/>
          <w:rtl/>
        </w:rPr>
      </w:pPr>
      <w:r w:rsidRPr="005E17DC">
        <w:rPr>
          <w:rFonts w:hint="cs"/>
          <w:b/>
          <w:bCs/>
          <w:rtl/>
        </w:rPr>
        <w:t>לוח 1: מימוש</w:t>
      </w:r>
      <w:r w:rsidRPr="005E17DC">
        <w:rPr>
          <w:b/>
          <w:bCs/>
          <w:rtl/>
        </w:rPr>
        <w:t xml:space="preserve"> תקציבה </w:t>
      </w:r>
      <w:r w:rsidRPr="005E17DC">
        <w:rPr>
          <w:rFonts w:hint="cs"/>
          <w:b/>
          <w:bCs/>
          <w:rtl/>
        </w:rPr>
        <w:t xml:space="preserve">הרגיל </w:t>
      </w:r>
      <w:r w:rsidRPr="005E17DC">
        <w:rPr>
          <w:b/>
          <w:bCs/>
          <w:rtl/>
        </w:rPr>
        <w:t>של עיריית רמלה</w:t>
      </w:r>
      <w:r w:rsidRPr="005E17DC">
        <w:rPr>
          <w:rFonts w:hint="cs"/>
          <w:b/>
          <w:bCs/>
          <w:rtl/>
        </w:rPr>
        <w:t>,</w:t>
      </w:r>
      <w:r w:rsidRPr="005E17DC">
        <w:rPr>
          <w:b/>
          <w:bCs/>
          <w:rtl/>
        </w:rPr>
        <w:t xml:space="preserve"> 2016 עד 2018</w:t>
      </w:r>
      <w:r w:rsidRPr="005E17DC">
        <w:rPr>
          <w:rFonts w:hint="cs"/>
          <w:b/>
          <w:bCs/>
          <w:rtl/>
        </w:rPr>
        <w:t xml:space="preserve"> (ב</w:t>
      </w:r>
      <w:r w:rsidRPr="005E17DC">
        <w:rPr>
          <w:rFonts w:hint="eastAsia"/>
          <w:b/>
          <w:bCs/>
          <w:rtl/>
        </w:rPr>
        <w:t>מיליוני</w:t>
      </w:r>
      <w:r w:rsidRPr="005E17DC">
        <w:rPr>
          <w:b/>
          <w:bCs/>
          <w:rtl/>
        </w:rPr>
        <w:t xml:space="preserve"> </w:t>
      </w:r>
      <w:r w:rsidRPr="005E17DC">
        <w:rPr>
          <w:rFonts w:hint="eastAsia"/>
          <w:b/>
          <w:bCs/>
          <w:rtl/>
        </w:rPr>
        <w:t>ש</w:t>
      </w:r>
      <w:r w:rsidRPr="005E17DC">
        <w:rPr>
          <w:b/>
          <w:bCs/>
          <w:rtl/>
        </w:rPr>
        <w:t>"ח</w:t>
      </w:r>
      <w:r w:rsidRPr="005E17DC">
        <w:rPr>
          <w:rFonts w:hint="cs"/>
          <w:b/>
          <w:bCs/>
          <w:rtl/>
        </w:rPr>
        <w:t>)</w:t>
      </w:r>
    </w:p>
    <w:tbl>
      <w:tblPr>
        <w:tblStyle w:val="TableGrid"/>
        <w:bidiVisual/>
        <w:tblW w:w="0" w:type="auto"/>
        <w:tblLook w:val="04A0"/>
      </w:tblPr>
      <w:tblGrid>
        <w:gridCol w:w="3606"/>
        <w:gridCol w:w="1417"/>
        <w:gridCol w:w="1417"/>
        <w:gridCol w:w="1417"/>
      </w:tblGrid>
      <w:tr w:rsidTr="00262AD9">
        <w:tblPrEx>
          <w:tblW w:w="0" w:type="auto"/>
          <w:tblLook w:val="04A0"/>
        </w:tblPrEx>
        <w:tc>
          <w:tcPr>
            <w:tcW w:w="3606" w:type="dxa"/>
          </w:tcPr>
          <w:p w:rsidR="005E17DC" w:rsidRPr="005E17DC" w:rsidP="00385106">
            <w:pPr>
              <w:spacing w:line="269" w:lineRule="auto"/>
              <w:jc w:val="center"/>
              <w:rPr>
                <w:b/>
                <w:bCs/>
                <w:szCs w:val="20"/>
                <w:rtl/>
              </w:rPr>
            </w:pPr>
          </w:p>
        </w:tc>
        <w:tc>
          <w:tcPr>
            <w:tcW w:w="1417" w:type="dxa"/>
          </w:tcPr>
          <w:p w:rsidR="005E17DC" w:rsidRPr="005E17DC" w:rsidP="00385106">
            <w:pPr>
              <w:spacing w:line="269" w:lineRule="auto"/>
              <w:jc w:val="center"/>
              <w:rPr>
                <w:b/>
                <w:bCs/>
                <w:szCs w:val="20"/>
                <w:rtl/>
              </w:rPr>
            </w:pPr>
            <w:r w:rsidRPr="005E17DC">
              <w:rPr>
                <w:rFonts w:hint="cs"/>
                <w:b/>
                <w:bCs/>
                <w:szCs w:val="20"/>
                <w:rtl/>
              </w:rPr>
              <w:t>2016</w:t>
            </w:r>
          </w:p>
        </w:tc>
        <w:tc>
          <w:tcPr>
            <w:tcW w:w="1417" w:type="dxa"/>
          </w:tcPr>
          <w:p w:rsidR="005E17DC" w:rsidRPr="005E17DC" w:rsidP="00385106">
            <w:pPr>
              <w:spacing w:line="269" w:lineRule="auto"/>
              <w:jc w:val="center"/>
              <w:rPr>
                <w:b/>
                <w:bCs/>
                <w:szCs w:val="20"/>
                <w:rtl/>
              </w:rPr>
            </w:pPr>
            <w:r w:rsidRPr="005E17DC">
              <w:rPr>
                <w:rFonts w:hint="cs"/>
                <w:b/>
                <w:bCs/>
                <w:szCs w:val="20"/>
                <w:rtl/>
              </w:rPr>
              <w:t>2017</w:t>
            </w:r>
          </w:p>
        </w:tc>
        <w:tc>
          <w:tcPr>
            <w:tcW w:w="1417" w:type="dxa"/>
            <w:tcBorders>
              <w:bottom w:val="single" w:sz="4" w:space="0" w:color="auto"/>
            </w:tcBorders>
          </w:tcPr>
          <w:p w:rsidR="005E17DC" w:rsidRPr="005E17DC" w:rsidP="00385106">
            <w:pPr>
              <w:spacing w:line="269" w:lineRule="auto"/>
              <w:jc w:val="center"/>
              <w:rPr>
                <w:b/>
                <w:bCs/>
                <w:szCs w:val="20"/>
                <w:rtl/>
              </w:rPr>
            </w:pPr>
            <w:r w:rsidRPr="005E17DC">
              <w:rPr>
                <w:rFonts w:hint="cs"/>
                <w:b/>
                <w:bCs/>
                <w:szCs w:val="20"/>
                <w:rtl/>
              </w:rPr>
              <w:t>2018</w:t>
            </w:r>
          </w:p>
        </w:tc>
      </w:tr>
      <w:tr w:rsidTr="00262AD9">
        <w:tblPrEx>
          <w:tblW w:w="0" w:type="auto"/>
          <w:tblLook w:val="04A0"/>
        </w:tblPrEx>
        <w:tc>
          <w:tcPr>
            <w:tcW w:w="3606" w:type="dxa"/>
          </w:tcPr>
          <w:p w:rsidR="005E17DC" w:rsidRPr="005E17DC" w:rsidP="00385106">
            <w:pPr>
              <w:spacing w:line="269" w:lineRule="auto"/>
              <w:jc w:val="left"/>
              <w:rPr>
                <w:b/>
                <w:bCs/>
                <w:szCs w:val="20"/>
                <w:rtl/>
              </w:rPr>
            </w:pPr>
            <w:r w:rsidRPr="005E17DC">
              <w:rPr>
                <w:rFonts w:hint="cs"/>
                <w:b/>
                <w:bCs/>
                <w:szCs w:val="20"/>
                <w:rtl/>
              </w:rPr>
              <w:t>הכנסות</w:t>
            </w:r>
          </w:p>
        </w:tc>
        <w:tc>
          <w:tcPr>
            <w:tcW w:w="1417" w:type="dxa"/>
          </w:tcPr>
          <w:p w:rsidR="005E17DC" w:rsidRPr="005E17DC" w:rsidP="00385106">
            <w:pPr>
              <w:spacing w:line="269" w:lineRule="auto"/>
              <w:jc w:val="center"/>
              <w:rPr>
                <w:rFonts w:ascii="David" w:hAnsi="David"/>
                <w:b/>
                <w:bCs/>
                <w:szCs w:val="20"/>
                <w:rtl/>
              </w:rPr>
            </w:pPr>
          </w:p>
        </w:tc>
        <w:tc>
          <w:tcPr>
            <w:tcW w:w="1417" w:type="dxa"/>
            <w:tcBorders>
              <w:bottom w:val="single" w:sz="4" w:space="0" w:color="auto"/>
            </w:tcBorders>
          </w:tcPr>
          <w:p w:rsidR="005E17DC" w:rsidRPr="005E17DC" w:rsidP="00385106">
            <w:pPr>
              <w:spacing w:line="269" w:lineRule="auto"/>
              <w:jc w:val="center"/>
              <w:rPr>
                <w:rFonts w:ascii="David" w:hAnsi="David"/>
                <w:b/>
                <w:bCs/>
                <w:szCs w:val="20"/>
                <w:rtl/>
              </w:rPr>
            </w:pPr>
          </w:p>
        </w:tc>
        <w:tc>
          <w:tcPr>
            <w:tcW w:w="1417" w:type="dxa"/>
            <w:tcBorders>
              <w:bottom w:val="single" w:sz="4" w:space="0" w:color="auto"/>
            </w:tcBorders>
          </w:tcPr>
          <w:p w:rsidR="005E17DC" w:rsidRPr="005E17DC" w:rsidP="00385106">
            <w:pPr>
              <w:spacing w:line="269" w:lineRule="auto"/>
              <w:jc w:val="center"/>
              <w:rPr>
                <w:rFonts w:ascii="David" w:hAnsi="David"/>
                <w:b/>
                <w:bCs/>
                <w:szCs w:val="20"/>
                <w:rtl/>
              </w:rPr>
            </w:pPr>
          </w:p>
        </w:tc>
      </w:tr>
      <w:tr w:rsidTr="00262AD9">
        <w:tblPrEx>
          <w:tblW w:w="0" w:type="auto"/>
          <w:tblLook w:val="04A0"/>
        </w:tblPrEx>
        <w:tc>
          <w:tcPr>
            <w:tcW w:w="3606" w:type="dxa"/>
          </w:tcPr>
          <w:p w:rsidR="005E17DC" w:rsidRPr="005E17DC" w:rsidP="00385106">
            <w:pPr>
              <w:spacing w:line="269" w:lineRule="auto"/>
              <w:jc w:val="left"/>
              <w:rPr>
                <w:szCs w:val="20"/>
                <w:rtl/>
              </w:rPr>
            </w:pPr>
            <w:r w:rsidRPr="005E17DC">
              <w:rPr>
                <w:rFonts w:hint="eastAsia"/>
                <w:szCs w:val="20"/>
                <w:rtl/>
              </w:rPr>
              <w:t>הכנסות</w:t>
            </w:r>
            <w:r w:rsidRPr="005E17DC">
              <w:rPr>
                <w:szCs w:val="20"/>
                <w:rtl/>
              </w:rPr>
              <w:t xml:space="preserve"> </w:t>
            </w:r>
            <w:r w:rsidRPr="005E17DC">
              <w:rPr>
                <w:rFonts w:hint="eastAsia"/>
                <w:szCs w:val="20"/>
                <w:rtl/>
              </w:rPr>
              <w:t>עצמיות</w:t>
            </w:r>
          </w:p>
        </w:tc>
        <w:tc>
          <w:tcPr>
            <w:tcW w:w="1417" w:type="dxa"/>
            <w:tcBorders>
              <w:right w:val="nil"/>
            </w:tcBorders>
            <w:vAlign w:val="bottom"/>
          </w:tcPr>
          <w:p w:rsidR="005E17DC" w:rsidRPr="005E17DC" w:rsidP="00385106">
            <w:pPr>
              <w:spacing w:line="269" w:lineRule="auto"/>
              <w:jc w:val="center"/>
              <w:rPr>
                <w:rFonts w:ascii="David" w:hAnsi="David"/>
                <w:szCs w:val="20"/>
              </w:rPr>
            </w:pPr>
            <w:r w:rsidRPr="005E17DC">
              <w:rPr>
                <w:rFonts w:ascii="David" w:hAnsi="David"/>
                <w:szCs w:val="20"/>
              </w:rPr>
              <w:t>270</w:t>
            </w:r>
          </w:p>
        </w:tc>
        <w:tc>
          <w:tcPr>
            <w:tcW w:w="1417" w:type="dxa"/>
            <w:tcBorders>
              <w:right w:val="single" w:sz="4" w:space="0" w:color="auto"/>
            </w:tcBorders>
            <w:vAlign w:val="bottom"/>
          </w:tcPr>
          <w:p w:rsidR="005E17DC" w:rsidRPr="005E17DC" w:rsidP="00385106">
            <w:pPr>
              <w:spacing w:line="269" w:lineRule="auto"/>
              <w:jc w:val="center"/>
              <w:rPr>
                <w:rFonts w:ascii="David" w:hAnsi="David"/>
                <w:szCs w:val="20"/>
              </w:rPr>
            </w:pPr>
            <w:r w:rsidRPr="005E17DC">
              <w:rPr>
                <w:rFonts w:ascii="David" w:hAnsi="David"/>
                <w:szCs w:val="20"/>
              </w:rPr>
              <w:t>283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5E17DC" w:rsidRPr="005E17DC" w:rsidP="00385106">
            <w:pPr>
              <w:spacing w:line="269" w:lineRule="auto"/>
              <w:jc w:val="center"/>
              <w:rPr>
                <w:rFonts w:asciiTheme="minorHAnsi" w:hAnsiTheme="minorHAnsi"/>
                <w:szCs w:val="20"/>
                <w:rtl/>
              </w:rPr>
            </w:pPr>
            <w:r w:rsidRPr="005E17DC">
              <w:rPr>
                <w:rFonts w:ascii="David" w:hAnsi="David"/>
                <w:szCs w:val="20"/>
              </w:rPr>
              <w:t>302</w:t>
            </w:r>
          </w:p>
        </w:tc>
      </w:tr>
      <w:tr w:rsidTr="00262AD9">
        <w:tblPrEx>
          <w:tblW w:w="0" w:type="auto"/>
          <w:tblLook w:val="04A0"/>
        </w:tblPrEx>
        <w:tc>
          <w:tcPr>
            <w:tcW w:w="3606" w:type="dxa"/>
          </w:tcPr>
          <w:p w:rsidR="005E17DC" w:rsidRPr="005E17DC" w:rsidP="00385106">
            <w:pPr>
              <w:spacing w:line="269" w:lineRule="auto"/>
              <w:jc w:val="left"/>
              <w:rPr>
                <w:szCs w:val="20"/>
                <w:rtl/>
              </w:rPr>
            </w:pPr>
            <w:r w:rsidRPr="005E17DC">
              <w:rPr>
                <w:rFonts w:hint="eastAsia"/>
                <w:szCs w:val="20"/>
                <w:rtl/>
              </w:rPr>
              <w:t>השתתפות</w:t>
            </w:r>
            <w:r w:rsidRPr="005E17DC">
              <w:rPr>
                <w:szCs w:val="20"/>
                <w:rtl/>
              </w:rPr>
              <w:t xml:space="preserve"> </w:t>
            </w:r>
            <w:r w:rsidRPr="005E17DC">
              <w:rPr>
                <w:rFonts w:hint="eastAsia"/>
                <w:szCs w:val="20"/>
                <w:rtl/>
              </w:rPr>
              <w:t>משרדי</w:t>
            </w:r>
            <w:r w:rsidRPr="005E17DC">
              <w:rPr>
                <w:szCs w:val="20"/>
                <w:rtl/>
              </w:rPr>
              <w:t xml:space="preserve"> </w:t>
            </w:r>
            <w:r w:rsidRPr="005E17DC">
              <w:rPr>
                <w:rFonts w:hint="eastAsia"/>
                <w:szCs w:val="20"/>
                <w:rtl/>
              </w:rPr>
              <w:t>ממשלה</w:t>
            </w:r>
            <w:r w:rsidRPr="005E17DC">
              <w:rPr>
                <w:szCs w:val="20"/>
                <w:rtl/>
              </w:rPr>
              <w:t xml:space="preserve"> </w:t>
            </w:r>
            <w:r w:rsidRPr="005E17DC">
              <w:rPr>
                <w:rFonts w:hint="eastAsia"/>
                <w:szCs w:val="20"/>
                <w:rtl/>
              </w:rPr>
              <w:t>ומענקים</w:t>
            </w:r>
          </w:p>
        </w:tc>
        <w:tc>
          <w:tcPr>
            <w:tcW w:w="1417" w:type="dxa"/>
            <w:tcBorders>
              <w:right w:val="nil"/>
            </w:tcBorders>
            <w:vAlign w:val="bottom"/>
          </w:tcPr>
          <w:p w:rsidR="005E17DC" w:rsidRPr="005E17DC" w:rsidP="00385106">
            <w:pPr>
              <w:spacing w:line="269" w:lineRule="auto"/>
              <w:jc w:val="center"/>
              <w:rPr>
                <w:rFonts w:ascii="David" w:hAnsi="David"/>
                <w:szCs w:val="20"/>
              </w:rPr>
            </w:pPr>
            <w:r w:rsidRPr="005E17DC">
              <w:rPr>
                <w:rFonts w:ascii="David" w:hAnsi="David"/>
                <w:szCs w:val="20"/>
              </w:rPr>
              <w:t>236</w:t>
            </w:r>
          </w:p>
        </w:tc>
        <w:tc>
          <w:tcPr>
            <w:tcW w:w="1417" w:type="dxa"/>
            <w:tcBorders>
              <w:right w:val="single" w:sz="4" w:space="0" w:color="auto"/>
            </w:tcBorders>
            <w:vAlign w:val="bottom"/>
          </w:tcPr>
          <w:p w:rsidR="005E17DC" w:rsidRPr="005E17DC" w:rsidP="00385106">
            <w:pPr>
              <w:spacing w:line="269" w:lineRule="auto"/>
              <w:jc w:val="center"/>
              <w:rPr>
                <w:rFonts w:ascii="David" w:hAnsi="David"/>
                <w:szCs w:val="20"/>
              </w:rPr>
            </w:pPr>
            <w:r w:rsidRPr="005E17DC">
              <w:rPr>
                <w:rFonts w:ascii="David" w:hAnsi="David"/>
                <w:szCs w:val="20"/>
              </w:rPr>
              <w:t>224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5E17DC" w:rsidRPr="005E17DC" w:rsidP="00385106">
            <w:pPr>
              <w:spacing w:line="269" w:lineRule="auto"/>
              <w:jc w:val="center"/>
              <w:rPr>
                <w:rFonts w:ascii="David" w:hAnsi="David"/>
                <w:szCs w:val="20"/>
                <w:rtl/>
              </w:rPr>
            </w:pPr>
            <w:r w:rsidRPr="005E17DC">
              <w:rPr>
                <w:rFonts w:ascii="David" w:hAnsi="David"/>
                <w:szCs w:val="20"/>
              </w:rPr>
              <w:t>243</w:t>
            </w:r>
          </w:p>
        </w:tc>
      </w:tr>
      <w:tr w:rsidTr="00262AD9">
        <w:tblPrEx>
          <w:tblW w:w="0" w:type="auto"/>
          <w:tblLook w:val="04A0"/>
        </w:tblPrEx>
        <w:tc>
          <w:tcPr>
            <w:tcW w:w="3606" w:type="dxa"/>
          </w:tcPr>
          <w:p w:rsidR="005E17DC" w:rsidRPr="005E17DC" w:rsidP="00385106">
            <w:pPr>
              <w:spacing w:line="269" w:lineRule="auto"/>
              <w:jc w:val="left"/>
              <w:rPr>
                <w:b/>
                <w:bCs/>
                <w:szCs w:val="20"/>
                <w:rtl/>
              </w:rPr>
            </w:pPr>
            <w:r w:rsidRPr="005E17DC">
              <w:rPr>
                <w:rFonts w:hint="cs"/>
                <w:b/>
                <w:bCs/>
                <w:szCs w:val="20"/>
                <w:rtl/>
              </w:rPr>
              <w:t>סה"כ הכנסות</w:t>
            </w:r>
          </w:p>
        </w:tc>
        <w:tc>
          <w:tcPr>
            <w:tcW w:w="1417" w:type="dxa"/>
            <w:tcBorders>
              <w:right w:val="nil"/>
            </w:tcBorders>
            <w:vAlign w:val="bottom"/>
          </w:tcPr>
          <w:p w:rsidR="005E17DC" w:rsidRPr="005E17DC" w:rsidP="00385106">
            <w:pPr>
              <w:spacing w:line="269" w:lineRule="auto"/>
              <w:jc w:val="center"/>
              <w:rPr>
                <w:rFonts w:ascii="David" w:hAnsi="David"/>
                <w:b/>
                <w:bCs/>
                <w:szCs w:val="20"/>
              </w:rPr>
            </w:pPr>
            <w:r w:rsidRPr="005E17DC">
              <w:rPr>
                <w:rFonts w:ascii="David" w:hAnsi="David"/>
                <w:b/>
                <w:bCs/>
                <w:szCs w:val="20"/>
              </w:rPr>
              <w:t>506</w:t>
            </w:r>
          </w:p>
        </w:tc>
        <w:tc>
          <w:tcPr>
            <w:tcW w:w="1417" w:type="dxa"/>
            <w:tcBorders>
              <w:right w:val="single" w:sz="4" w:space="0" w:color="auto"/>
            </w:tcBorders>
            <w:vAlign w:val="bottom"/>
          </w:tcPr>
          <w:p w:rsidR="005E17DC" w:rsidRPr="005E17DC" w:rsidP="00385106">
            <w:pPr>
              <w:spacing w:line="269" w:lineRule="auto"/>
              <w:jc w:val="center"/>
              <w:rPr>
                <w:rFonts w:ascii="David" w:hAnsi="David"/>
                <w:b/>
                <w:bCs/>
                <w:szCs w:val="20"/>
              </w:rPr>
            </w:pPr>
            <w:r w:rsidRPr="005E17DC">
              <w:rPr>
                <w:rFonts w:ascii="David" w:hAnsi="David"/>
                <w:b/>
                <w:bCs/>
                <w:szCs w:val="20"/>
              </w:rPr>
              <w:t>507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5E17DC" w:rsidRPr="005E17DC" w:rsidP="00385106">
            <w:pPr>
              <w:spacing w:line="269" w:lineRule="auto"/>
              <w:jc w:val="center"/>
              <w:rPr>
                <w:rFonts w:ascii="David" w:hAnsi="David"/>
                <w:b/>
                <w:bCs/>
                <w:szCs w:val="20"/>
                <w:rtl/>
              </w:rPr>
            </w:pPr>
            <w:r w:rsidRPr="005E17DC">
              <w:rPr>
                <w:rFonts w:ascii="David" w:hAnsi="David"/>
                <w:b/>
                <w:bCs/>
                <w:szCs w:val="20"/>
              </w:rPr>
              <w:t>545</w:t>
            </w:r>
          </w:p>
        </w:tc>
      </w:tr>
      <w:tr w:rsidTr="00262AD9">
        <w:tblPrEx>
          <w:tblW w:w="0" w:type="auto"/>
          <w:tblLook w:val="04A0"/>
        </w:tblPrEx>
        <w:tc>
          <w:tcPr>
            <w:tcW w:w="3606" w:type="dxa"/>
          </w:tcPr>
          <w:p w:rsidR="005E17DC" w:rsidRPr="005E17DC" w:rsidP="00385106">
            <w:pPr>
              <w:spacing w:line="269" w:lineRule="auto"/>
              <w:jc w:val="left"/>
              <w:rPr>
                <w:b/>
                <w:bCs/>
                <w:szCs w:val="20"/>
                <w:rtl/>
              </w:rPr>
            </w:pPr>
            <w:r w:rsidRPr="005E17DC">
              <w:rPr>
                <w:rFonts w:hint="cs"/>
                <w:b/>
                <w:bCs/>
                <w:szCs w:val="20"/>
                <w:rtl/>
              </w:rPr>
              <w:t>הוצאות</w:t>
            </w:r>
          </w:p>
        </w:tc>
        <w:tc>
          <w:tcPr>
            <w:tcW w:w="1417" w:type="dxa"/>
          </w:tcPr>
          <w:p w:rsidR="005E17DC" w:rsidRPr="005E17DC" w:rsidP="00385106">
            <w:pPr>
              <w:spacing w:line="269" w:lineRule="auto"/>
              <w:jc w:val="center"/>
              <w:rPr>
                <w:rFonts w:ascii="David" w:hAnsi="David"/>
                <w:b/>
                <w:bCs/>
                <w:szCs w:val="20"/>
                <w:rtl/>
              </w:rPr>
            </w:pPr>
          </w:p>
        </w:tc>
        <w:tc>
          <w:tcPr>
            <w:tcW w:w="1417" w:type="dxa"/>
            <w:tcBorders>
              <w:bottom w:val="single" w:sz="4" w:space="0" w:color="auto"/>
            </w:tcBorders>
          </w:tcPr>
          <w:p w:rsidR="005E17DC" w:rsidRPr="005E17DC" w:rsidP="00385106">
            <w:pPr>
              <w:spacing w:line="269" w:lineRule="auto"/>
              <w:jc w:val="center"/>
              <w:rPr>
                <w:rFonts w:ascii="David" w:hAnsi="David"/>
                <w:b/>
                <w:bCs/>
                <w:szCs w:val="20"/>
                <w:rtl/>
              </w:rPr>
            </w:pPr>
          </w:p>
        </w:tc>
        <w:tc>
          <w:tcPr>
            <w:tcW w:w="1417" w:type="dxa"/>
            <w:tcBorders>
              <w:bottom w:val="single" w:sz="4" w:space="0" w:color="auto"/>
            </w:tcBorders>
          </w:tcPr>
          <w:p w:rsidR="005E17DC" w:rsidRPr="005E17DC" w:rsidP="00385106">
            <w:pPr>
              <w:spacing w:line="269" w:lineRule="auto"/>
              <w:jc w:val="center"/>
              <w:rPr>
                <w:rFonts w:ascii="David" w:hAnsi="David"/>
                <w:b/>
                <w:bCs/>
                <w:szCs w:val="20"/>
                <w:rtl/>
              </w:rPr>
            </w:pPr>
          </w:p>
        </w:tc>
      </w:tr>
      <w:tr w:rsidTr="00262AD9">
        <w:tblPrEx>
          <w:tblW w:w="0" w:type="auto"/>
          <w:tblLook w:val="04A0"/>
        </w:tblPrEx>
        <w:tc>
          <w:tcPr>
            <w:tcW w:w="3606" w:type="dxa"/>
          </w:tcPr>
          <w:p w:rsidR="005E17DC" w:rsidRPr="005E17DC" w:rsidP="00385106">
            <w:pPr>
              <w:spacing w:line="269" w:lineRule="auto"/>
              <w:jc w:val="left"/>
              <w:rPr>
                <w:szCs w:val="20"/>
                <w:rtl/>
              </w:rPr>
            </w:pPr>
            <w:r w:rsidRPr="005E17DC">
              <w:rPr>
                <w:rFonts w:hint="eastAsia"/>
                <w:szCs w:val="20"/>
                <w:rtl/>
              </w:rPr>
              <w:t>הוצאות</w:t>
            </w:r>
            <w:r w:rsidRPr="005E17DC">
              <w:rPr>
                <w:szCs w:val="20"/>
                <w:rtl/>
              </w:rPr>
              <w:t xml:space="preserve"> </w:t>
            </w:r>
            <w:r w:rsidRPr="005E17DC">
              <w:rPr>
                <w:rFonts w:hint="eastAsia"/>
                <w:szCs w:val="20"/>
                <w:rtl/>
              </w:rPr>
              <w:t>על</w:t>
            </w:r>
            <w:r w:rsidRPr="005E17DC">
              <w:rPr>
                <w:szCs w:val="20"/>
                <w:rtl/>
              </w:rPr>
              <w:t xml:space="preserve"> </w:t>
            </w:r>
            <w:r w:rsidRPr="005E17DC">
              <w:rPr>
                <w:rFonts w:hint="eastAsia"/>
                <w:szCs w:val="20"/>
                <w:rtl/>
              </w:rPr>
              <w:t>חינוך</w:t>
            </w:r>
            <w:r w:rsidRPr="005E17DC">
              <w:rPr>
                <w:szCs w:val="20"/>
                <w:rtl/>
              </w:rPr>
              <w:t xml:space="preserve"> </w:t>
            </w:r>
            <w:r w:rsidRPr="005E17DC">
              <w:rPr>
                <w:rFonts w:hint="eastAsia"/>
                <w:szCs w:val="20"/>
                <w:rtl/>
              </w:rPr>
              <w:t>ורווחה</w:t>
            </w:r>
          </w:p>
        </w:tc>
        <w:tc>
          <w:tcPr>
            <w:tcW w:w="1417" w:type="dxa"/>
            <w:tcBorders>
              <w:right w:val="nil"/>
            </w:tcBorders>
            <w:vAlign w:val="bottom"/>
          </w:tcPr>
          <w:p w:rsidR="005E17DC" w:rsidRPr="005E17DC" w:rsidP="00385106">
            <w:pPr>
              <w:spacing w:line="269" w:lineRule="auto"/>
              <w:jc w:val="center"/>
              <w:rPr>
                <w:rFonts w:ascii="David" w:hAnsi="David"/>
                <w:szCs w:val="20"/>
              </w:rPr>
            </w:pPr>
            <w:r w:rsidRPr="005E17DC">
              <w:rPr>
                <w:rFonts w:ascii="David" w:hAnsi="David"/>
                <w:szCs w:val="20"/>
              </w:rPr>
              <w:t>220</w:t>
            </w:r>
          </w:p>
        </w:tc>
        <w:tc>
          <w:tcPr>
            <w:tcW w:w="1417" w:type="dxa"/>
            <w:tcBorders>
              <w:right w:val="single" w:sz="4" w:space="0" w:color="auto"/>
            </w:tcBorders>
            <w:vAlign w:val="bottom"/>
          </w:tcPr>
          <w:p w:rsidR="005E17DC" w:rsidRPr="005E17DC" w:rsidP="00385106">
            <w:pPr>
              <w:spacing w:line="269" w:lineRule="auto"/>
              <w:jc w:val="center"/>
              <w:rPr>
                <w:rFonts w:asciiTheme="minorHAnsi" w:hAnsiTheme="minorHAnsi"/>
                <w:szCs w:val="20"/>
              </w:rPr>
            </w:pPr>
            <w:r w:rsidRPr="005E17DC">
              <w:rPr>
                <w:rFonts w:ascii="David" w:hAnsi="David"/>
                <w:szCs w:val="20"/>
              </w:rPr>
              <w:t>243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5E17DC" w:rsidRPr="005E17DC" w:rsidP="00385106">
            <w:pPr>
              <w:spacing w:line="269" w:lineRule="auto"/>
              <w:jc w:val="center"/>
              <w:rPr>
                <w:rFonts w:asciiTheme="minorHAnsi" w:hAnsiTheme="minorHAnsi"/>
                <w:szCs w:val="20"/>
                <w:rtl/>
              </w:rPr>
            </w:pPr>
            <w:r w:rsidRPr="005E17DC">
              <w:rPr>
                <w:rFonts w:ascii="David" w:hAnsi="David"/>
                <w:szCs w:val="20"/>
              </w:rPr>
              <w:t>262</w:t>
            </w:r>
          </w:p>
        </w:tc>
      </w:tr>
      <w:tr w:rsidTr="00262AD9">
        <w:tblPrEx>
          <w:tblW w:w="0" w:type="auto"/>
          <w:tblLook w:val="04A0"/>
        </w:tblPrEx>
        <w:tc>
          <w:tcPr>
            <w:tcW w:w="3606" w:type="dxa"/>
          </w:tcPr>
          <w:p w:rsidR="005E17DC" w:rsidRPr="005E17DC" w:rsidP="00385106">
            <w:pPr>
              <w:spacing w:line="269" w:lineRule="auto"/>
              <w:jc w:val="left"/>
              <w:rPr>
                <w:szCs w:val="20"/>
                <w:rtl/>
              </w:rPr>
            </w:pPr>
            <w:r w:rsidRPr="005E17DC">
              <w:rPr>
                <w:rFonts w:hint="eastAsia"/>
                <w:szCs w:val="20"/>
                <w:rtl/>
              </w:rPr>
              <w:t>הוצאות</w:t>
            </w:r>
            <w:r w:rsidRPr="005E17DC">
              <w:rPr>
                <w:szCs w:val="20"/>
                <w:rtl/>
              </w:rPr>
              <w:t xml:space="preserve"> </w:t>
            </w:r>
            <w:r w:rsidRPr="005E17DC">
              <w:rPr>
                <w:rFonts w:hint="eastAsia"/>
                <w:szCs w:val="20"/>
                <w:rtl/>
              </w:rPr>
              <w:t>כלליות</w:t>
            </w:r>
            <w:r w:rsidRPr="005E17DC">
              <w:rPr>
                <w:szCs w:val="20"/>
                <w:rtl/>
              </w:rPr>
              <w:t xml:space="preserve">, </w:t>
            </w:r>
            <w:r w:rsidRPr="005E17DC">
              <w:rPr>
                <w:rFonts w:hint="eastAsia"/>
                <w:szCs w:val="20"/>
                <w:rtl/>
              </w:rPr>
              <w:t>מימון</w:t>
            </w:r>
            <w:r w:rsidRPr="005E17DC">
              <w:rPr>
                <w:szCs w:val="20"/>
                <w:rtl/>
              </w:rPr>
              <w:t xml:space="preserve"> </w:t>
            </w:r>
            <w:r w:rsidRPr="005E17DC">
              <w:rPr>
                <w:rFonts w:hint="eastAsia"/>
                <w:szCs w:val="20"/>
                <w:rtl/>
              </w:rPr>
              <w:t>ופ</w:t>
            </w:r>
            <w:r w:rsidRPr="005E17DC">
              <w:rPr>
                <w:rFonts w:hint="cs"/>
                <w:szCs w:val="20"/>
                <w:rtl/>
              </w:rPr>
              <w:t>י</w:t>
            </w:r>
            <w:r w:rsidRPr="005E17DC">
              <w:rPr>
                <w:rFonts w:hint="eastAsia"/>
                <w:szCs w:val="20"/>
                <w:rtl/>
              </w:rPr>
              <w:t>רעון</w:t>
            </w:r>
            <w:r w:rsidRPr="005E17DC">
              <w:rPr>
                <w:szCs w:val="20"/>
                <w:rtl/>
              </w:rPr>
              <w:t xml:space="preserve"> </w:t>
            </w:r>
            <w:r w:rsidRPr="005E17DC">
              <w:rPr>
                <w:rFonts w:hint="eastAsia"/>
                <w:szCs w:val="20"/>
                <w:rtl/>
              </w:rPr>
              <w:t>מלוות</w:t>
            </w:r>
          </w:p>
        </w:tc>
        <w:tc>
          <w:tcPr>
            <w:tcW w:w="1417" w:type="dxa"/>
            <w:tcBorders>
              <w:right w:val="nil"/>
            </w:tcBorders>
            <w:vAlign w:val="bottom"/>
          </w:tcPr>
          <w:p w:rsidR="005E17DC" w:rsidRPr="005E17DC" w:rsidP="00385106">
            <w:pPr>
              <w:spacing w:line="269" w:lineRule="auto"/>
              <w:jc w:val="center"/>
              <w:rPr>
                <w:rFonts w:ascii="David" w:hAnsi="David"/>
                <w:szCs w:val="20"/>
              </w:rPr>
            </w:pPr>
            <w:r w:rsidRPr="005E17DC">
              <w:rPr>
                <w:rFonts w:ascii="David" w:hAnsi="David"/>
                <w:szCs w:val="20"/>
              </w:rPr>
              <w:t>288</w:t>
            </w:r>
          </w:p>
        </w:tc>
        <w:tc>
          <w:tcPr>
            <w:tcW w:w="1417" w:type="dxa"/>
            <w:tcBorders>
              <w:right w:val="single" w:sz="4" w:space="0" w:color="auto"/>
            </w:tcBorders>
            <w:vAlign w:val="bottom"/>
          </w:tcPr>
          <w:p w:rsidR="005E17DC" w:rsidRPr="005E17DC" w:rsidP="00385106">
            <w:pPr>
              <w:spacing w:line="269" w:lineRule="auto"/>
              <w:jc w:val="center"/>
              <w:rPr>
                <w:rFonts w:ascii="David" w:hAnsi="David"/>
                <w:szCs w:val="20"/>
              </w:rPr>
            </w:pPr>
            <w:r w:rsidRPr="005E17DC">
              <w:rPr>
                <w:rFonts w:ascii="David" w:hAnsi="David"/>
                <w:szCs w:val="20"/>
              </w:rPr>
              <w:t>271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5E17DC" w:rsidRPr="005E17DC" w:rsidP="00385106">
            <w:pPr>
              <w:spacing w:line="269" w:lineRule="auto"/>
              <w:jc w:val="center"/>
              <w:rPr>
                <w:rFonts w:ascii="David" w:hAnsi="David"/>
                <w:szCs w:val="20"/>
                <w:rtl/>
              </w:rPr>
            </w:pPr>
            <w:r w:rsidRPr="005E17DC">
              <w:rPr>
                <w:rFonts w:ascii="David" w:hAnsi="David"/>
                <w:szCs w:val="20"/>
              </w:rPr>
              <w:t>284</w:t>
            </w:r>
          </w:p>
        </w:tc>
      </w:tr>
      <w:tr w:rsidTr="00262AD9">
        <w:tblPrEx>
          <w:tblW w:w="0" w:type="auto"/>
          <w:tblLook w:val="04A0"/>
        </w:tblPrEx>
        <w:tc>
          <w:tcPr>
            <w:tcW w:w="3606" w:type="dxa"/>
          </w:tcPr>
          <w:p w:rsidR="005E17DC" w:rsidRPr="005E17DC" w:rsidP="00385106">
            <w:pPr>
              <w:spacing w:line="269" w:lineRule="auto"/>
              <w:jc w:val="left"/>
              <w:rPr>
                <w:b/>
                <w:bCs/>
                <w:szCs w:val="20"/>
                <w:rtl/>
              </w:rPr>
            </w:pPr>
            <w:r w:rsidRPr="005E17DC">
              <w:rPr>
                <w:rFonts w:hint="cs"/>
                <w:b/>
                <w:bCs/>
                <w:szCs w:val="20"/>
                <w:rtl/>
              </w:rPr>
              <w:t>סה"כ הוצאות</w:t>
            </w:r>
          </w:p>
        </w:tc>
        <w:tc>
          <w:tcPr>
            <w:tcW w:w="1417" w:type="dxa"/>
            <w:tcBorders>
              <w:right w:val="nil"/>
            </w:tcBorders>
            <w:vAlign w:val="bottom"/>
          </w:tcPr>
          <w:p w:rsidR="005E17DC" w:rsidRPr="005E17DC" w:rsidP="00385106">
            <w:pPr>
              <w:spacing w:line="269" w:lineRule="auto"/>
              <w:jc w:val="center"/>
              <w:rPr>
                <w:rFonts w:ascii="David" w:hAnsi="David"/>
                <w:b/>
                <w:bCs/>
                <w:szCs w:val="20"/>
              </w:rPr>
            </w:pPr>
            <w:r w:rsidRPr="005E17DC">
              <w:rPr>
                <w:rFonts w:ascii="David" w:hAnsi="David"/>
                <w:b/>
                <w:bCs/>
                <w:szCs w:val="20"/>
              </w:rPr>
              <w:t>508</w:t>
            </w:r>
          </w:p>
        </w:tc>
        <w:tc>
          <w:tcPr>
            <w:tcW w:w="1417" w:type="dxa"/>
            <w:tcBorders>
              <w:right w:val="single" w:sz="4" w:space="0" w:color="auto"/>
            </w:tcBorders>
            <w:vAlign w:val="bottom"/>
          </w:tcPr>
          <w:p w:rsidR="005E17DC" w:rsidRPr="005E17DC" w:rsidP="00385106">
            <w:pPr>
              <w:spacing w:line="269" w:lineRule="auto"/>
              <w:jc w:val="center"/>
              <w:rPr>
                <w:rFonts w:ascii="David" w:hAnsi="David"/>
                <w:b/>
                <w:bCs/>
                <w:szCs w:val="20"/>
              </w:rPr>
            </w:pPr>
            <w:r w:rsidRPr="005E17DC">
              <w:rPr>
                <w:rFonts w:ascii="David" w:hAnsi="David"/>
                <w:b/>
                <w:bCs/>
                <w:szCs w:val="20"/>
              </w:rPr>
              <w:t>514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5E17DC" w:rsidRPr="005E17DC" w:rsidP="00385106">
            <w:pPr>
              <w:spacing w:line="269" w:lineRule="auto"/>
              <w:jc w:val="center"/>
              <w:rPr>
                <w:rFonts w:ascii="David" w:hAnsi="David"/>
                <w:b/>
                <w:bCs/>
                <w:szCs w:val="20"/>
                <w:rtl/>
              </w:rPr>
            </w:pPr>
            <w:r w:rsidRPr="005E17DC">
              <w:rPr>
                <w:rFonts w:ascii="David" w:hAnsi="David"/>
                <w:b/>
                <w:bCs/>
                <w:szCs w:val="20"/>
              </w:rPr>
              <w:t>546</w:t>
            </w:r>
          </w:p>
        </w:tc>
      </w:tr>
      <w:tr w:rsidTr="00262AD9">
        <w:tblPrEx>
          <w:tblW w:w="0" w:type="auto"/>
          <w:tblLook w:val="04A0"/>
        </w:tblPrEx>
        <w:tc>
          <w:tcPr>
            <w:tcW w:w="3606" w:type="dxa"/>
          </w:tcPr>
          <w:p w:rsidR="005E17DC" w:rsidRPr="005E17DC" w:rsidP="00385106">
            <w:pPr>
              <w:spacing w:line="269" w:lineRule="auto"/>
              <w:jc w:val="left"/>
              <w:rPr>
                <w:b/>
                <w:bCs/>
                <w:szCs w:val="20"/>
                <w:rtl/>
              </w:rPr>
            </w:pPr>
          </w:p>
        </w:tc>
        <w:tc>
          <w:tcPr>
            <w:tcW w:w="1417" w:type="dxa"/>
          </w:tcPr>
          <w:p w:rsidR="005E17DC" w:rsidRPr="005E17DC" w:rsidP="00385106">
            <w:pPr>
              <w:spacing w:line="269" w:lineRule="auto"/>
              <w:jc w:val="center"/>
              <w:rPr>
                <w:rFonts w:ascii="David" w:hAnsi="David"/>
                <w:b/>
                <w:bCs/>
                <w:szCs w:val="20"/>
                <w:rtl/>
              </w:rPr>
            </w:pPr>
          </w:p>
        </w:tc>
        <w:tc>
          <w:tcPr>
            <w:tcW w:w="1417" w:type="dxa"/>
          </w:tcPr>
          <w:p w:rsidR="005E17DC" w:rsidRPr="005E17DC" w:rsidP="00385106">
            <w:pPr>
              <w:spacing w:line="269" w:lineRule="auto"/>
              <w:jc w:val="center"/>
              <w:rPr>
                <w:rFonts w:ascii="David" w:hAnsi="David"/>
                <w:b/>
                <w:bCs/>
                <w:szCs w:val="20"/>
                <w:rtl/>
              </w:rPr>
            </w:pPr>
          </w:p>
        </w:tc>
        <w:tc>
          <w:tcPr>
            <w:tcW w:w="1417" w:type="dxa"/>
          </w:tcPr>
          <w:p w:rsidR="005E17DC" w:rsidRPr="005E17DC" w:rsidP="00385106">
            <w:pPr>
              <w:spacing w:line="269" w:lineRule="auto"/>
              <w:jc w:val="center"/>
              <w:rPr>
                <w:rFonts w:ascii="David" w:hAnsi="David"/>
                <w:b/>
                <w:bCs/>
                <w:szCs w:val="20"/>
                <w:rtl/>
              </w:rPr>
            </w:pPr>
          </w:p>
        </w:tc>
      </w:tr>
      <w:tr w:rsidTr="00262AD9">
        <w:tblPrEx>
          <w:tblW w:w="0" w:type="auto"/>
          <w:tblLook w:val="04A0"/>
        </w:tblPrEx>
        <w:tc>
          <w:tcPr>
            <w:tcW w:w="3606" w:type="dxa"/>
          </w:tcPr>
          <w:p w:rsidR="005E17DC" w:rsidRPr="005E17DC" w:rsidP="00385106">
            <w:pPr>
              <w:spacing w:line="269" w:lineRule="auto"/>
              <w:jc w:val="left"/>
              <w:rPr>
                <w:b/>
                <w:bCs/>
                <w:szCs w:val="20"/>
                <w:rtl/>
              </w:rPr>
            </w:pPr>
            <w:r w:rsidRPr="005E17DC">
              <w:rPr>
                <w:rFonts w:hint="cs"/>
                <w:b/>
                <w:bCs/>
                <w:szCs w:val="20"/>
                <w:rtl/>
              </w:rPr>
              <w:t>גירעון שוטף לסוף שנה</w:t>
            </w:r>
          </w:p>
        </w:tc>
        <w:tc>
          <w:tcPr>
            <w:tcW w:w="1417" w:type="dxa"/>
          </w:tcPr>
          <w:p w:rsidR="005E17DC" w:rsidRPr="005E17DC" w:rsidP="00385106">
            <w:pPr>
              <w:spacing w:line="269" w:lineRule="auto"/>
              <w:jc w:val="center"/>
              <w:rPr>
                <w:rFonts w:ascii="David" w:hAnsi="David"/>
                <w:b/>
                <w:bCs/>
                <w:szCs w:val="20"/>
              </w:rPr>
            </w:pPr>
            <w:r w:rsidRPr="005E17DC">
              <w:rPr>
                <w:rFonts w:ascii="David" w:hAnsi="David"/>
                <w:b/>
                <w:bCs/>
                <w:szCs w:val="20"/>
                <w:rtl/>
              </w:rPr>
              <w:t>2</w:t>
            </w:r>
          </w:p>
        </w:tc>
        <w:tc>
          <w:tcPr>
            <w:tcW w:w="1417" w:type="dxa"/>
          </w:tcPr>
          <w:p w:rsidR="005E17DC" w:rsidRPr="005E17DC" w:rsidP="00385106">
            <w:pPr>
              <w:spacing w:line="269" w:lineRule="auto"/>
              <w:jc w:val="center"/>
              <w:rPr>
                <w:rFonts w:ascii="David" w:hAnsi="David"/>
                <w:b/>
                <w:bCs/>
                <w:szCs w:val="20"/>
              </w:rPr>
            </w:pPr>
            <w:r w:rsidRPr="005E17DC">
              <w:rPr>
                <w:rFonts w:ascii="David" w:hAnsi="David"/>
                <w:b/>
                <w:bCs/>
                <w:szCs w:val="20"/>
                <w:rtl/>
              </w:rPr>
              <w:t>7</w:t>
            </w:r>
          </w:p>
        </w:tc>
        <w:tc>
          <w:tcPr>
            <w:tcW w:w="1417" w:type="dxa"/>
            <w:tcBorders>
              <w:top w:val="single" w:sz="4" w:space="0" w:color="auto"/>
              <w:left w:val="nil"/>
              <w:bottom w:val="single" w:sz="4" w:space="0" w:color="auto"/>
              <w:right w:val="single" w:sz="4" w:space="0" w:color="auto"/>
            </w:tcBorders>
            <w:shd w:val="clear" w:color="auto" w:fill="auto"/>
            <w:vAlign w:val="bottom"/>
          </w:tcPr>
          <w:p w:rsidR="005E17DC" w:rsidRPr="005E17DC" w:rsidP="00385106">
            <w:pPr>
              <w:spacing w:line="269" w:lineRule="auto"/>
              <w:jc w:val="center"/>
              <w:rPr>
                <w:rFonts w:asciiTheme="minorHAnsi" w:hAnsiTheme="minorHAnsi"/>
                <w:b/>
                <w:bCs/>
                <w:szCs w:val="20"/>
                <w:rtl/>
              </w:rPr>
            </w:pPr>
            <w:r w:rsidRPr="005E17DC">
              <w:rPr>
                <w:rFonts w:ascii="David" w:hAnsi="David"/>
                <w:b/>
                <w:bCs/>
                <w:szCs w:val="20"/>
              </w:rPr>
              <w:t>1</w:t>
            </w:r>
          </w:p>
        </w:tc>
      </w:tr>
    </w:tbl>
    <w:p w:rsidR="005E17DC" w:rsidRPr="005E17DC" w:rsidP="00120BCA">
      <w:pPr>
        <w:spacing w:before="120" w:line="269" w:lineRule="auto"/>
        <w:rPr>
          <w:b/>
          <w:bCs/>
          <w:sz w:val="22"/>
          <w:szCs w:val="22"/>
          <w:rtl/>
        </w:rPr>
      </w:pPr>
      <w:r w:rsidRPr="005E17DC">
        <w:rPr>
          <w:rFonts w:hint="cs"/>
          <w:sz w:val="22"/>
          <w:szCs w:val="22"/>
          <w:rtl/>
        </w:rPr>
        <w:t>ה</w:t>
      </w:r>
      <w:r w:rsidRPr="005E17DC">
        <w:rPr>
          <w:rFonts w:hint="eastAsia"/>
          <w:sz w:val="22"/>
          <w:szCs w:val="22"/>
          <w:rtl/>
        </w:rPr>
        <w:t>מקור</w:t>
      </w:r>
      <w:r w:rsidRPr="005E17DC">
        <w:rPr>
          <w:sz w:val="22"/>
          <w:szCs w:val="22"/>
          <w:rtl/>
        </w:rPr>
        <w:t xml:space="preserve">: </w:t>
      </w:r>
      <w:r w:rsidRPr="005E17DC">
        <w:rPr>
          <w:rFonts w:hint="eastAsia"/>
          <w:sz w:val="22"/>
          <w:szCs w:val="22"/>
          <w:rtl/>
        </w:rPr>
        <w:t>הדוחות</w:t>
      </w:r>
      <w:r w:rsidRPr="005E17DC">
        <w:rPr>
          <w:sz w:val="22"/>
          <w:szCs w:val="22"/>
          <w:rtl/>
        </w:rPr>
        <w:t xml:space="preserve"> </w:t>
      </w:r>
      <w:r w:rsidRPr="005E17DC">
        <w:rPr>
          <w:rFonts w:hint="eastAsia"/>
          <w:sz w:val="22"/>
          <w:szCs w:val="22"/>
          <w:rtl/>
        </w:rPr>
        <w:t>הכספיים</w:t>
      </w:r>
      <w:r w:rsidRPr="005E17DC">
        <w:rPr>
          <w:sz w:val="22"/>
          <w:szCs w:val="22"/>
          <w:rtl/>
        </w:rPr>
        <w:t xml:space="preserve"> </w:t>
      </w:r>
      <w:r w:rsidRPr="005E17DC">
        <w:rPr>
          <w:rFonts w:hint="eastAsia"/>
          <w:sz w:val="22"/>
          <w:szCs w:val="22"/>
          <w:rtl/>
        </w:rPr>
        <w:t>המבוקרים</w:t>
      </w:r>
      <w:r w:rsidRPr="005E17DC">
        <w:rPr>
          <w:sz w:val="22"/>
          <w:szCs w:val="22"/>
          <w:rtl/>
        </w:rPr>
        <w:t xml:space="preserve"> </w:t>
      </w:r>
      <w:r w:rsidRPr="005E17DC">
        <w:rPr>
          <w:rFonts w:hint="eastAsia"/>
          <w:sz w:val="22"/>
          <w:szCs w:val="22"/>
          <w:rtl/>
        </w:rPr>
        <w:t>של</w:t>
      </w:r>
      <w:r w:rsidRPr="005E17DC">
        <w:rPr>
          <w:sz w:val="22"/>
          <w:szCs w:val="22"/>
          <w:rtl/>
        </w:rPr>
        <w:t xml:space="preserve"> </w:t>
      </w:r>
      <w:r w:rsidRPr="005E17DC">
        <w:rPr>
          <w:rFonts w:hint="eastAsia"/>
          <w:sz w:val="22"/>
          <w:szCs w:val="22"/>
          <w:rtl/>
        </w:rPr>
        <w:t>עיריית</w:t>
      </w:r>
      <w:r w:rsidRPr="005E17DC">
        <w:rPr>
          <w:sz w:val="22"/>
          <w:szCs w:val="22"/>
          <w:rtl/>
        </w:rPr>
        <w:t xml:space="preserve"> </w:t>
      </w:r>
      <w:r w:rsidRPr="005E17DC">
        <w:rPr>
          <w:rFonts w:hint="eastAsia"/>
          <w:sz w:val="22"/>
          <w:szCs w:val="22"/>
          <w:rtl/>
        </w:rPr>
        <w:t>רמלה</w:t>
      </w:r>
      <w:r w:rsidRPr="005E17DC">
        <w:rPr>
          <w:sz w:val="22"/>
          <w:szCs w:val="22"/>
          <w:rtl/>
        </w:rPr>
        <w:t xml:space="preserve"> לשנים </w:t>
      </w:r>
      <w:r w:rsidRPr="005E17DC">
        <w:rPr>
          <w:rFonts w:hint="cs"/>
          <w:sz w:val="22"/>
          <w:szCs w:val="22"/>
          <w:rtl/>
        </w:rPr>
        <w:t>2016 - 2018</w:t>
      </w:r>
      <w:r w:rsidRPr="005E17DC">
        <w:rPr>
          <w:sz w:val="22"/>
          <w:szCs w:val="22"/>
          <w:rtl/>
        </w:rPr>
        <w:t>.</w:t>
      </w:r>
      <w:r w:rsidRPr="005E17DC">
        <w:rPr>
          <w:b/>
          <w:bCs/>
          <w:sz w:val="22"/>
          <w:szCs w:val="22"/>
          <w:rtl/>
        </w:rPr>
        <w:br w:type="page"/>
      </w:r>
    </w:p>
    <w:p w:rsidR="005E17DC" w:rsidRPr="005E17DC" w:rsidP="00385106">
      <w:pPr>
        <w:spacing w:line="269" w:lineRule="auto"/>
        <w:ind w:left="-567"/>
        <w:rPr>
          <w:szCs w:val="20"/>
          <w:rtl/>
        </w:rPr>
      </w:pPr>
    </w:p>
    <w:p w:rsidR="005E17DC" w:rsidRPr="005E17DC" w:rsidP="00385106">
      <w:pPr>
        <w:spacing w:line="269" w:lineRule="auto"/>
        <w:rPr>
          <w:rtl/>
        </w:rPr>
      </w:pPr>
      <w:r w:rsidRPr="005E17DC">
        <w:rPr>
          <w:rFonts w:hint="cs"/>
          <w:rtl/>
        </w:rPr>
        <w:t xml:space="preserve">משרד מבקר המדינה בחן גם את התפתחות שיעורן של הוצאות העירייה מסך התקציב הרגיל בחמש השנים האחרונות, כמפורט להלן: </w:t>
      </w:r>
    </w:p>
    <w:p w:rsidR="005E17DC" w:rsidRPr="005E17DC" w:rsidP="00385106">
      <w:pPr>
        <w:spacing w:line="269" w:lineRule="auto"/>
        <w:ind w:left="-567"/>
        <w:rPr>
          <w:szCs w:val="20"/>
          <w:rtl/>
        </w:rPr>
      </w:pPr>
    </w:p>
    <w:p w:rsidR="005E17DC" w:rsidRPr="005E17DC" w:rsidP="00120BCA">
      <w:pPr>
        <w:spacing w:after="120" w:line="269" w:lineRule="auto"/>
        <w:jc w:val="center"/>
        <w:rPr>
          <w:b/>
          <w:bCs/>
          <w:rtl/>
        </w:rPr>
      </w:pPr>
      <w:r w:rsidRPr="005E17DC">
        <w:rPr>
          <w:rFonts w:hint="eastAsia"/>
          <w:b/>
          <w:bCs/>
          <w:rtl/>
        </w:rPr>
        <w:t>תרשים</w:t>
      </w:r>
      <w:r w:rsidRPr="005E17DC">
        <w:rPr>
          <w:rFonts w:hint="cs"/>
          <w:b/>
          <w:bCs/>
          <w:rtl/>
        </w:rPr>
        <w:t xml:space="preserve"> 2:</w:t>
      </w:r>
      <w:r w:rsidRPr="005E17DC">
        <w:rPr>
          <w:b/>
          <w:bCs/>
          <w:rtl/>
        </w:rPr>
        <w:t xml:space="preserve"> </w:t>
      </w:r>
      <w:r w:rsidRPr="005E17DC">
        <w:rPr>
          <w:rFonts w:hint="eastAsia"/>
          <w:b/>
          <w:bCs/>
          <w:rtl/>
        </w:rPr>
        <w:t>שיעור</w:t>
      </w:r>
      <w:r w:rsidRPr="005E17DC">
        <w:rPr>
          <w:b/>
          <w:bCs/>
          <w:rtl/>
        </w:rPr>
        <w:t xml:space="preserve"> </w:t>
      </w:r>
      <w:r w:rsidRPr="005E17DC">
        <w:rPr>
          <w:rFonts w:hint="eastAsia"/>
          <w:b/>
          <w:bCs/>
          <w:rtl/>
        </w:rPr>
        <w:t>ההוצאות</w:t>
      </w:r>
      <w:r w:rsidRPr="005E17DC">
        <w:rPr>
          <w:b/>
          <w:bCs/>
          <w:rtl/>
        </w:rPr>
        <w:t xml:space="preserve"> </w:t>
      </w:r>
      <w:r w:rsidRPr="005E17DC">
        <w:rPr>
          <w:rFonts w:hint="cs"/>
          <w:b/>
          <w:bCs/>
          <w:rtl/>
        </w:rPr>
        <w:t>לסוגיהן מה</w:t>
      </w:r>
      <w:r w:rsidRPr="005E17DC">
        <w:rPr>
          <w:rFonts w:hint="eastAsia"/>
          <w:b/>
          <w:bCs/>
          <w:rtl/>
        </w:rPr>
        <w:t>תקציב</w:t>
      </w:r>
      <w:r w:rsidRPr="005E17DC">
        <w:rPr>
          <w:b/>
          <w:bCs/>
          <w:rtl/>
        </w:rPr>
        <w:t xml:space="preserve"> </w:t>
      </w:r>
      <w:r w:rsidRPr="005E17DC">
        <w:rPr>
          <w:rFonts w:hint="eastAsia"/>
          <w:b/>
          <w:bCs/>
          <w:rtl/>
        </w:rPr>
        <w:t>הרגיל</w:t>
      </w:r>
      <w:r w:rsidRPr="005E17DC">
        <w:rPr>
          <w:b/>
          <w:bCs/>
          <w:rtl/>
        </w:rPr>
        <w:t xml:space="preserve"> </w:t>
      </w:r>
      <w:r w:rsidRPr="005E17DC">
        <w:rPr>
          <w:rFonts w:hint="eastAsia"/>
          <w:b/>
          <w:bCs/>
          <w:rtl/>
        </w:rPr>
        <w:t>של</w:t>
      </w:r>
      <w:r w:rsidRPr="005E17DC">
        <w:rPr>
          <w:b/>
          <w:bCs/>
          <w:rtl/>
        </w:rPr>
        <w:t xml:space="preserve"> </w:t>
      </w:r>
      <w:r w:rsidRPr="005E17DC">
        <w:rPr>
          <w:rFonts w:hint="eastAsia"/>
          <w:b/>
          <w:bCs/>
          <w:rtl/>
        </w:rPr>
        <w:t>עיריית</w:t>
      </w:r>
      <w:r w:rsidRPr="005E17DC">
        <w:rPr>
          <w:b/>
          <w:bCs/>
          <w:rtl/>
        </w:rPr>
        <w:t xml:space="preserve"> </w:t>
      </w:r>
      <w:r w:rsidRPr="005E17DC">
        <w:rPr>
          <w:rFonts w:hint="eastAsia"/>
          <w:b/>
          <w:bCs/>
          <w:rtl/>
        </w:rPr>
        <w:t>רמלה</w:t>
      </w:r>
      <w:r w:rsidRPr="005E17DC">
        <w:rPr>
          <w:b/>
          <w:bCs/>
          <w:rtl/>
        </w:rPr>
        <w:t xml:space="preserve">, 2014 </w:t>
      </w:r>
      <w:r w:rsidRPr="005E17DC">
        <w:rPr>
          <w:rFonts w:hint="eastAsia"/>
          <w:b/>
          <w:bCs/>
          <w:rtl/>
        </w:rPr>
        <w:t>עד</w:t>
      </w:r>
      <w:r w:rsidRPr="005E17DC">
        <w:rPr>
          <w:b/>
          <w:bCs/>
          <w:rtl/>
        </w:rPr>
        <w:t xml:space="preserve"> 2018</w:t>
      </w:r>
    </w:p>
    <w:p w:rsidR="005E17DC" w:rsidRPr="005E17DC" w:rsidP="00385106">
      <w:pPr>
        <w:spacing w:line="269" w:lineRule="auto"/>
        <w:rPr>
          <w:rtl/>
        </w:rPr>
      </w:pPr>
      <w:r w:rsidRPr="005E17DC">
        <w:rPr>
          <w:noProof/>
        </w:rPr>
        <w:drawing>
          <wp:inline distT="0" distB="0" distL="0" distR="0">
            <wp:extent cx="5091113" cy="3395662"/>
            <wp:effectExtent l="0" t="0" r="14605" b="14605"/>
            <wp:docPr id="8" name="תרשים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5E17DC" w:rsidRPr="005E17DC" w:rsidP="00120BCA">
      <w:pPr>
        <w:spacing w:before="120" w:line="269" w:lineRule="auto"/>
        <w:rPr>
          <w:sz w:val="22"/>
          <w:szCs w:val="22"/>
          <w:rtl/>
        </w:rPr>
      </w:pPr>
      <w:r w:rsidRPr="005E17DC">
        <w:rPr>
          <w:rFonts w:hint="cs"/>
          <w:sz w:val="22"/>
          <w:szCs w:val="22"/>
          <w:rtl/>
        </w:rPr>
        <w:t xml:space="preserve">המקור: דוחות לתושב של עיריית רמלה לשנים 2014 - 2018. </w:t>
      </w:r>
    </w:p>
    <w:p w:rsidR="005E17DC" w:rsidRPr="005E17DC" w:rsidP="00385106">
      <w:pPr>
        <w:spacing w:line="269" w:lineRule="auto"/>
        <w:ind w:left="-567"/>
        <w:rPr>
          <w:szCs w:val="20"/>
          <w:rtl/>
        </w:rPr>
      </w:pPr>
    </w:p>
    <w:p w:rsidR="005E17DC" w:rsidRPr="005E17DC" w:rsidP="00385106">
      <w:pPr>
        <w:keepNext/>
        <w:keepLines/>
        <w:spacing w:line="269" w:lineRule="auto"/>
        <w:outlineLvl w:val="2"/>
        <w:rPr>
          <w:rFonts w:eastAsiaTheme="majorEastAsia"/>
          <w:bCs/>
          <w:szCs w:val="28"/>
          <w:u w:val="single"/>
          <w:rtl/>
        </w:rPr>
      </w:pPr>
      <w:r w:rsidRPr="005E17DC">
        <w:rPr>
          <w:rFonts w:eastAsiaTheme="majorEastAsia" w:hint="cs"/>
          <w:bCs/>
          <w:szCs w:val="28"/>
          <w:u w:val="single"/>
          <w:rtl/>
        </w:rPr>
        <w:t>פעולות הביקורת</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Fonts w:hint="cs"/>
          <w:rtl/>
        </w:rPr>
        <w:t xml:space="preserve">בחודשים אפריל עד נובמבר </w:t>
      </w:r>
      <w:r w:rsidRPr="005E17DC">
        <w:rPr>
          <w:rtl/>
        </w:rPr>
        <w:t>201</w:t>
      </w:r>
      <w:r w:rsidRPr="005E17DC">
        <w:rPr>
          <w:rFonts w:hint="cs"/>
          <w:rtl/>
        </w:rPr>
        <w:t>9</w:t>
      </w:r>
      <w:r w:rsidRPr="005E17DC">
        <w:rPr>
          <w:rtl/>
        </w:rPr>
        <w:t xml:space="preserve"> </w:t>
      </w:r>
      <w:r w:rsidRPr="005E17DC">
        <w:rPr>
          <w:rFonts w:hint="cs"/>
          <w:rtl/>
        </w:rPr>
        <w:t>בדק</w:t>
      </w:r>
      <w:r w:rsidRPr="005E17DC">
        <w:rPr>
          <w:rtl/>
        </w:rPr>
        <w:t xml:space="preserve"> משרד מבקר המדינה </w:t>
      </w:r>
      <w:r w:rsidRPr="005E17DC">
        <w:rPr>
          <w:rFonts w:hint="cs"/>
          <w:rtl/>
        </w:rPr>
        <w:t xml:space="preserve">את החוסן הכספי של עיריית רמלה ואת ניהול </w:t>
      </w:r>
      <w:r w:rsidR="009309E8">
        <w:rPr>
          <w:rFonts w:hint="cs"/>
          <w:rtl/>
        </w:rPr>
        <w:t>ההון האנושי</w:t>
      </w:r>
      <w:r w:rsidRPr="005E17DC">
        <w:rPr>
          <w:rFonts w:hint="cs"/>
          <w:rtl/>
        </w:rPr>
        <w:t xml:space="preserve"> בה</w:t>
      </w:r>
      <w:r w:rsidRPr="005E17DC">
        <w:rPr>
          <w:rtl/>
        </w:rPr>
        <w:t>.</w:t>
      </w:r>
      <w:r w:rsidRPr="005E17DC">
        <w:rPr>
          <w:rFonts w:hint="cs"/>
          <w:rtl/>
        </w:rPr>
        <w:t xml:space="preserve"> נושאים אלו משפיעים על תפקודה של העירייה בליבת העשייה שלה ועל רמת השירותים לתושב. כמו כן נבדק המידע הנמסר לתושבים באתר המרשתת של העירייה. </w:t>
      </w:r>
      <w:r w:rsidRPr="005E17DC">
        <w:rPr>
          <w:rtl/>
        </w:rPr>
        <w:t>בדיקות השלמה נעשו במשרד הפנים</w:t>
      </w:r>
      <w:r w:rsidRPr="005E17DC">
        <w:rPr>
          <w:rFonts w:hint="cs"/>
          <w:rtl/>
        </w:rPr>
        <w:t>.</w:t>
      </w:r>
    </w:p>
    <w:p w:rsidR="005E17DC" w:rsidRPr="005E17DC" w:rsidP="00385106">
      <w:pPr>
        <w:spacing w:line="269" w:lineRule="auto"/>
        <w:rPr>
          <w:rtl/>
        </w:rPr>
      </w:pPr>
      <w:r w:rsidRPr="005E17DC">
        <w:rPr>
          <w:rtl/>
        </w:rPr>
        <w:br w:type="page"/>
      </w:r>
    </w:p>
    <w:p w:rsidR="005E17DC" w:rsidRPr="005E17DC" w:rsidP="00385106">
      <w:pPr>
        <w:keepNext/>
        <w:keepLines/>
        <w:spacing w:line="269" w:lineRule="auto"/>
        <w:jc w:val="center"/>
        <w:outlineLvl w:val="1"/>
        <w:rPr>
          <w:rFonts w:eastAsiaTheme="majorEastAsia"/>
          <w:bCs/>
          <w:szCs w:val="32"/>
          <w:rtl/>
        </w:rPr>
      </w:pPr>
      <w:r w:rsidRPr="005E17DC">
        <w:rPr>
          <w:rFonts w:eastAsiaTheme="majorEastAsia" w:hint="cs"/>
          <w:bCs/>
          <w:szCs w:val="32"/>
          <w:rtl/>
        </w:rPr>
        <w:t>החוסן הכספי של העירייה</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Fonts w:hint="cs"/>
          <w:rtl/>
        </w:rPr>
        <w:t>חוסנה הכספי של עירייה הוא אבן בוחן לניהולה התקין, לעצמאותה וליכולתה לתת שירותים הולמים לתושביה. החוסן הכספי נבחן בשורה של מדדים כספיים, שחלקם אף הוגדרו בדין כתבחינים להגדרתה של עירייה כעירייה איתנה או כתבחינים למינוי חשב מלווה או ועדה ממונה במקרה של משבר כספי, כמפורט להלן</w:t>
      </w:r>
      <w:r>
        <w:rPr>
          <w:vertAlign w:val="superscript"/>
          <w:rtl/>
        </w:rPr>
        <w:footnoteReference w:id="8"/>
      </w:r>
      <w:r w:rsidRPr="005E17DC">
        <w:rPr>
          <w:rFonts w:hint="cs"/>
          <w:rtl/>
        </w:rPr>
        <w:t xml:space="preserve">. </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Fonts w:hint="cs"/>
          <w:rtl/>
        </w:rPr>
        <w:t>בחוק יסודות התקציב, ה</w:t>
      </w:r>
      <w:r w:rsidRPr="005E17DC">
        <w:rPr>
          <w:rtl/>
        </w:rPr>
        <w:t>תשמ"ה</w:t>
      </w:r>
      <w:r w:rsidRPr="005E17DC">
        <w:rPr>
          <w:rFonts w:hint="cs"/>
          <w:rtl/>
        </w:rPr>
        <w:t>-</w:t>
      </w:r>
      <w:r w:rsidRPr="005E17DC">
        <w:rPr>
          <w:rtl/>
        </w:rPr>
        <w:t>1985</w:t>
      </w:r>
      <w:r w:rsidRPr="005E17DC">
        <w:rPr>
          <w:rFonts w:hint="cs"/>
          <w:rtl/>
        </w:rPr>
        <w:t>, ובפקודת העיריות [נוסח חדש] (להלן - פקודת העיריות או הפקודה) מוגדרים</w:t>
      </w:r>
      <w:r>
        <w:rPr>
          <w:vertAlign w:val="superscript"/>
          <w:rtl/>
        </w:rPr>
        <w:footnoteReference w:id="9"/>
      </w:r>
      <w:r w:rsidRPr="005E17DC">
        <w:rPr>
          <w:rFonts w:hint="cs"/>
          <w:rtl/>
        </w:rPr>
        <w:t xml:space="preserve"> מונחים כלכליים-חשבונאיים שעל בסיסם, ועל בסיס עמידתה של העירייה בתבחינים שהוגדרו בפקודת העיריות, יכריז שר הפנים על עירייה כאיתנה. הכרזה כזאת משפיעה על מידת הפיקוח של משרד הפנים על ענייני העירייה - עירייה איתנה </w:t>
      </w:r>
      <w:r w:rsidRPr="005E17DC">
        <w:rPr>
          <w:rtl/>
        </w:rPr>
        <w:t>פטור</w:t>
      </w:r>
      <w:r w:rsidRPr="005E17DC">
        <w:rPr>
          <w:rFonts w:hint="cs"/>
          <w:rtl/>
        </w:rPr>
        <w:t>ה</w:t>
      </w:r>
      <w:r w:rsidRPr="005E17DC">
        <w:rPr>
          <w:rtl/>
        </w:rPr>
        <w:t xml:space="preserve"> מקבלת אישור </w:t>
      </w:r>
      <w:r w:rsidRPr="005E17DC">
        <w:rPr>
          <w:rFonts w:hint="cs"/>
          <w:rtl/>
        </w:rPr>
        <w:t>ה</w:t>
      </w:r>
      <w:r w:rsidRPr="005E17DC">
        <w:rPr>
          <w:rtl/>
        </w:rPr>
        <w:t>שר לביצוע עסקאות במקרקעין, לעריכת חוזי זיכיון או מונופול, לנושאים הקשורים בתקציב העירייה (אישור התקציב, העברה בין סעיפים ועוד)</w:t>
      </w:r>
      <w:r w:rsidRPr="005E17DC">
        <w:rPr>
          <w:rFonts w:hint="cs"/>
          <w:rtl/>
        </w:rPr>
        <w:t xml:space="preserve"> ו</w:t>
      </w:r>
      <w:r w:rsidRPr="005E17DC">
        <w:rPr>
          <w:rtl/>
        </w:rPr>
        <w:t>למחיקת חובות.</w:t>
      </w:r>
    </w:p>
    <w:p w:rsidR="005E17DC" w:rsidRPr="005E17DC" w:rsidP="00385106">
      <w:pPr>
        <w:spacing w:line="269" w:lineRule="auto"/>
        <w:ind w:left="-567"/>
        <w:rPr>
          <w:szCs w:val="20"/>
          <w:rtl/>
        </w:rPr>
      </w:pPr>
    </w:p>
    <w:p w:rsidR="005E17DC" w:rsidRPr="005E17DC" w:rsidP="00385106">
      <w:pPr>
        <w:spacing w:line="269" w:lineRule="auto"/>
        <w:rPr>
          <w:sz w:val="24"/>
          <w:rtl/>
        </w:rPr>
      </w:pPr>
      <w:r w:rsidRPr="005E17DC">
        <w:rPr>
          <w:rFonts w:hint="cs"/>
          <w:sz w:val="24"/>
          <w:rtl/>
        </w:rPr>
        <w:t>עוד נקבעו בפקודה תבחינים למינוי חשב מלווה במקרה של משבר כספי, על פי נתוני הדוחות הכספיים הנוגעים לגירעונות. בת</w:t>
      </w:r>
      <w:r w:rsidRPr="005E17DC">
        <w:rPr>
          <w:sz w:val="24"/>
          <w:rtl/>
        </w:rPr>
        <w:t>קנות העיריות (כללים למינוי ועדה למילוי תפקידי ראש הרשות המקומית והמועצה), התשס"ד-2004</w:t>
      </w:r>
      <w:r w:rsidRPr="005E17DC">
        <w:rPr>
          <w:rFonts w:hint="cs"/>
          <w:sz w:val="24"/>
          <w:rtl/>
        </w:rPr>
        <w:t xml:space="preserve">, אף נקבעו כללים לפיזור המועצה, </w:t>
      </w:r>
      <w:r w:rsidRPr="005E17DC">
        <w:rPr>
          <w:sz w:val="24"/>
          <w:rtl/>
        </w:rPr>
        <w:t>בתוקף סמכות שר הפנים</w:t>
      </w:r>
      <w:r w:rsidRPr="005E17DC">
        <w:rPr>
          <w:rFonts w:hint="cs"/>
          <w:sz w:val="24"/>
          <w:rtl/>
        </w:rPr>
        <w:t>, על יסוד תבחינים כגון שיעור הגירעונות ושיעורה של גביית הארנונה.</w:t>
      </w:r>
    </w:p>
    <w:p w:rsidR="005E17DC" w:rsidRPr="005E17DC" w:rsidP="00385106">
      <w:pPr>
        <w:spacing w:line="269" w:lineRule="auto"/>
        <w:ind w:left="-567"/>
        <w:rPr>
          <w:szCs w:val="20"/>
          <w:rtl/>
        </w:rPr>
      </w:pPr>
    </w:p>
    <w:p w:rsidR="005E17DC" w:rsidRPr="005E17DC" w:rsidP="00385106">
      <w:pPr>
        <w:spacing w:line="269" w:lineRule="auto"/>
        <w:rPr>
          <w:sz w:val="24"/>
          <w:rtl/>
        </w:rPr>
      </w:pPr>
      <w:r w:rsidRPr="005E17DC">
        <w:rPr>
          <w:rFonts w:hint="cs"/>
          <w:sz w:val="24"/>
          <w:rtl/>
        </w:rPr>
        <w:t>משרד</w:t>
      </w:r>
      <w:r w:rsidRPr="005E17DC">
        <w:rPr>
          <w:sz w:val="24"/>
          <w:rtl/>
        </w:rPr>
        <w:t xml:space="preserve"> </w:t>
      </w:r>
      <w:r w:rsidRPr="005E17DC">
        <w:rPr>
          <w:rFonts w:hint="cs"/>
          <w:sz w:val="24"/>
          <w:rtl/>
        </w:rPr>
        <w:t>הפנים</w:t>
      </w:r>
      <w:r w:rsidRPr="005E17DC">
        <w:rPr>
          <w:sz w:val="24"/>
          <w:rtl/>
        </w:rPr>
        <w:t xml:space="preserve"> </w:t>
      </w:r>
      <w:r w:rsidRPr="005E17DC">
        <w:rPr>
          <w:rFonts w:hint="cs"/>
          <w:sz w:val="24"/>
          <w:rtl/>
        </w:rPr>
        <w:t>קבע</w:t>
      </w:r>
      <w:r w:rsidRPr="005E17DC">
        <w:rPr>
          <w:sz w:val="24"/>
          <w:rtl/>
        </w:rPr>
        <w:t xml:space="preserve"> </w:t>
      </w:r>
      <w:r w:rsidRPr="005E17DC">
        <w:rPr>
          <w:rFonts w:hint="cs"/>
          <w:sz w:val="24"/>
          <w:rtl/>
        </w:rPr>
        <w:t>אף</w:t>
      </w:r>
      <w:r w:rsidRPr="005E17DC">
        <w:rPr>
          <w:sz w:val="24"/>
          <w:rtl/>
        </w:rPr>
        <w:t xml:space="preserve"> </w:t>
      </w:r>
      <w:r w:rsidRPr="005E17DC">
        <w:rPr>
          <w:rFonts w:hint="cs"/>
          <w:sz w:val="24"/>
          <w:rtl/>
        </w:rPr>
        <w:t>הוא</w:t>
      </w:r>
      <w:r w:rsidRPr="005E17DC">
        <w:rPr>
          <w:sz w:val="24"/>
          <w:rtl/>
        </w:rPr>
        <w:t xml:space="preserve"> </w:t>
      </w:r>
      <w:r w:rsidRPr="005E17DC">
        <w:rPr>
          <w:rFonts w:hint="cs"/>
          <w:sz w:val="24"/>
          <w:rtl/>
        </w:rPr>
        <w:t>שורה</w:t>
      </w:r>
      <w:r w:rsidRPr="005E17DC">
        <w:rPr>
          <w:sz w:val="24"/>
          <w:rtl/>
        </w:rPr>
        <w:t xml:space="preserve"> </w:t>
      </w:r>
      <w:r w:rsidRPr="005E17DC">
        <w:rPr>
          <w:rFonts w:hint="cs"/>
          <w:sz w:val="24"/>
          <w:rtl/>
        </w:rPr>
        <w:t>של</w:t>
      </w:r>
      <w:r w:rsidRPr="005E17DC">
        <w:rPr>
          <w:sz w:val="24"/>
          <w:rtl/>
        </w:rPr>
        <w:t xml:space="preserve"> </w:t>
      </w:r>
      <w:r w:rsidRPr="005E17DC">
        <w:rPr>
          <w:rFonts w:hint="cs"/>
          <w:sz w:val="24"/>
          <w:rtl/>
        </w:rPr>
        <w:t>מדדים</w:t>
      </w:r>
      <w:r w:rsidRPr="005E17DC">
        <w:rPr>
          <w:sz w:val="24"/>
          <w:rtl/>
        </w:rPr>
        <w:t xml:space="preserve"> </w:t>
      </w:r>
      <w:r w:rsidRPr="005E17DC">
        <w:rPr>
          <w:rFonts w:hint="cs"/>
          <w:sz w:val="24"/>
          <w:rtl/>
        </w:rPr>
        <w:t>לחוסנן</w:t>
      </w:r>
      <w:r w:rsidRPr="005E17DC">
        <w:rPr>
          <w:sz w:val="24"/>
          <w:rtl/>
        </w:rPr>
        <w:t xml:space="preserve"> </w:t>
      </w:r>
      <w:r w:rsidRPr="005E17DC">
        <w:rPr>
          <w:rFonts w:hint="cs"/>
          <w:sz w:val="24"/>
          <w:rtl/>
        </w:rPr>
        <w:t>הכלכלי</w:t>
      </w:r>
      <w:r w:rsidRPr="005E17DC">
        <w:rPr>
          <w:sz w:val="24"/>
          <w:rtl/>
        </w:rPr>
        <w:t xml:space="preserve"> </w:t>
      </w:r>
      <w:r w:rsidRPr="005E17DC">
        <w:rPr>
          <w:rFonts w:hint="cs"/>
          <w:sz w:val="24"/>
          <w:rtl/>
        </w:rPr>
        <w:t>של</w:t>
      </w:r>
      <w:r w:rsidRPr="005E17DC">
        <w:rPr>
          <w:sz w:val="24"/>
          <w:rtl/>
        </w:rPr>
        <w:t xml:space="preserve"> </w:t>
      </w:r>
      <w:r w:rsidRPr="005E17DC">
        <w:rPr>
          <w:rFonts w:hint="cs"/>
          <w:sz w:val="24"/>
          <w:rtl/>
        </w:rPr>
        <w:t>הרשויות</w:t>
      </w:r>
      <w:r w:rsidRPr="005E17DC">
        <w:rPr>
          <w:sz w:val="24"/>
          <w:rtl/>
        </w:rPr>
        <w:t xml:space="preserve"> </w:t>
      </w:r>
      <w:r w:rsidRPr="005E17DC">
        <w:rPr>
          <w:rFonts w:hint="cs"/>
          <w:sz w:val="24"/>
          <w:rtl/>
        </w:rPr>
        <w:t>המקומיות,</w:t>
      </w:r>
      <w:r w:rsidRPr="005E17DC">
        <w:rPr>
          <w:sz w:val="24"/>
          <w:rtl/>
        </w:rPr>
        <w:t xml:space="preserve"> </w:t>
      </w:r>
      <w:r w:rsidRPr="005E17DC">
        <w:rPr>
          <w:rFonts w:hint="cs"/>
          <w:sz w:val="24"/>
          <w:rtl/>
        </w:rPr>
        <w:t xml:space="preserve">כחלק מפעולות האסדרה שלו. </w:t>
      </w:r>
      <w:r w:rsidRPr="005E17DC">
        <w:rPr>
          <w:rFonts w:hint="cs"/>
          <w:rtl/>
        </w:rPr>
        <w:t>לפי מדדים אלו סווגו הרשויות המקומיות לקבוצות: רשויות איתנות, רשויות יציבות, רשויות במצב ביניים, רשויות בתוכנית התייעלות ורשויות בתוכנית הבראה</w:t>
      </w:r>
      <w:r>
        <w:rPr>
          <w:sz w:val="24"/>
          <w:vertAlign w:val="superscript"/>
          <w:rtl/>
        </w:rPr>
        <w:footnoteReference w:id="10"/>
      </w:r>
      <w:r w:rsidRPr="005E17DC">
        <w:rPr>
          <w:sz w:val="24"/>
          <w:rtl/>
        </w:rPr>
        <w:t>.</w:t>
      </w:r>
      <w:r w:rsidRPr="005E17DC">
        <w:rPr>
          <w:rFonts w:hint="cs"/>
          <w:sz w:val="24"/>
          <w:rtl/>
        </w:rPr>
        <w:t xml:space="preserve"> על פי מדדים אלו רמלה מסווגת כרשות במצב ביניים.</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Fonts w:hint="cs"/>
          <w:sz w:val="24"/>
          <w:rtl/>
        </w:rPr>
        <w:t>משרד מבקר המדינה בדק כמה מדדים המשקפים את מצבה הכספי של עיריית רמלה בשנים 2014 עד 2018, בהשוואה לכלל העיריות (77) ול-21 עיריות שמספר תושביהן 50,000 - 100,000 (להלן - עיריות בינוניות), טווח אוכלוסייתה של רמלה. הניתוח מתבסס על נתוני הדוחות הכספיים המבוקרים שהיו בידי משרד הפנים</w:t>
      </w:r>
      <w:r w:rsidRPr="005E17DC">
        <w:rPr>
          <w:rFonts w:hint="cs"/>
          <w:sz w:val="24"/>
        </w:rPr>
        <w:t xml:space="preserve"> </w:t>
      </w:r>
      <w:r w:rsidRPr="005E17DC">
        <w:rPr>
          <w:rFonts w:hint="cs"/>
          <w:sz w:val="24"/>
          <w:rtl/>
        </w:rPr>
        <w:t>לכל שנה מהשנים שנבדקו</w:t>
      </w:r>
      <w:r>
        <w:rPr>
          <w:sz w:val="24"/>
          <w:vertAlign w:val="superscript"/>
          <w:rtl/>
        </w:rPr>
        <w:footnoteReference w:id="11"/>
      </w:r>
      <w:r w:rsidRPr="005E17DC">
        <w:rPr>
          <w:rFonts w:hint="cs"/>
          <w:sz w:val="24"/>
          <w:rtl/>
        </w:rPr>
        <w:t xml:space="preserve">. יודגש כי אף שעיריית רמלה אינה עשויה להיחשב רשות איתנה מאחר שהיא מקבלת מענקי איזון (ראו להלן), עדיין יש חשיבות רבה להבנת חוסנה על פי מידת עמידתה בתבחיני איתנותה של רשות מקומית. </w:t>
      </w:r>
    </w:p>
    <w:p w:rsidR="005E17DC" w:rsidRPr="005E17DC" w:rsidP="00385106">
      <w:pPr>
        <w:spacing w:line="269" w:lineRule="auto"/>
        <w:rPr>
          <w:rtl/>
        </w:rPr>
      </w:pPr>
    </w:p>
    <w:p w:rsidR="005E17DC" w:rsidRPr="005E17DC" w:rsidP="00385106">
      <w:pPr>
        <w:keepNext/>
        <w:keepLines/>
        <w:spacing w:line="269" w:lineRule="auto"/>
        <w:outlineLvl w:val="2"/>
        <w:rPr>
          <w:rFonts w:eastAsiaTheme="majorEastAsia"/>
          <w:bCs/>
          <w:szCs w:val="28"/>
          <w:u w:val="single"/>
          <w:rtl/>
        </w:rPr>
      </w:pPr>
      <w:r w:rsidRPr="005E17DC">
        <w:rPr>
          <w:rFonts w:eastAsiaTheme="majorEastAsia" w:hint="cs"/>
          <w:bCs/>
          <w:szCs w:val="28"/>
          <w:u w:val="single"/>
          <w:rtl/>
        </w:rPr>
        <w:t>גירעונו</w:t>
      </w:r>
      <w:r w:rsidRPr="005E17DC">
        <w:rPr>
          <w:rFonts w:eastAsiaTheme="majorEastAsia" w:hint="eastAsia"/>
          <w:bCs/>
          <w:szCs w:val="28"/>
          <w:u w:val="single"/>
          <w:rtl/>
        </w:rPr>
        <w:t>ת</w:t>
      </w:r>
      <w:r w:rsidRPr="005E17DC">
        <w:rPr>
          <w:rFonts w:eastAsiaTheme="majorEastAsia" w:hint="cs"/>
          <w:bCs/>
          <w:szCs w:val="28"/>
          <w:u w:val="single"/>
          <w:rtl/>
        </w:rPr>
        <w:t xml:space="preserve"> ומלוות</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Fonts w:eastAsiaTheme="majorEastAsia" w:hint="cs"/>
          <w:bCs/>
          <w:spacing w:val="40"/>
          <w:rtl/>
        </w:rPr>
        <w:t>גירעון שוטף</w:t>
      </w:r>
      <w:r>
        <w:rPr>
          <w:vertAlign w:val="superscript"/>
          <w:rtl/>
        </w:rPr>
        <w:footnoteReference w:id="12"/>
      </w:r>
      <w:r w:rsidRPr="005E17DC">
        <w:rPr>
          <w:rFonts w:eastAsiaTheme="majorEastAsia" w:hint="cs"/>
          <w:bCs/>
          <w:spacing w:val="40"/>
          <w:rtl/>
        </w:rPr>
        <w:t>:</w:t>
      </w:r>
      <w:r w:rsidRPr="005E17DC">
        <w:rPr>
          <w:rFonts w:hint="cs"/>
          <w:rtl/>
        </w:rPr>
        <w:t xml:space="preserve"> לפי פקודת העיריות,</w:t>
      </w:r>
      <w:r w:rsidRPr="005E17DC">
        <w:rPr>
          <w:rtl/>
        </w:rPr>
        <w:t xml:space="preserve"> </w:t>
      </w:r>
      <w:r w:rsidRPr="005E17DC">
        <w:rPr>
          <w:rFonts w:hint="cs"/>
          <w:rtl/>
        </w:rPr>
        <w:t>היעדר</w:t>
      </w:r>
      <w:r w:rsidRPr="005E17DC">
        <w:rPr>
          <w:rtl/>
        </w:rPr>
        <w:t xml:space="preserve"> גירעון שוטף לעירייה ב</w:t>
      </w:r>
      <w:r w:rsidRPr="005E17DC">
        <w:rPr>
          <w:rFonts w:hint="cs"/>
          <w:rtl/>
        </w:rPr>
        <w:t xml:space="preserve">משך </w:t>
      </w:r>
      <w:r w:rsidRPr="005E17DC">
        <w:rPr>
          <w:rtl/>
        </w:rPr>
        <w:t>שלוש שנים הוא</w:t>
      </w:r>
      <w:r w:rsidRPr="005E17DC">
        <w:rPr>
          <w:rFonts w:hint="cs"/>
          <w:rtl/>
        </w:rPr>
        <w:t xml:space="preserve"> תבחין</w:t>
      </w:r>
      <w:r w:rsidRPr="005E17DC">
        <w:rPr>
          <w:rtl/>
        </w:rPr>
        <w:t xml:space="preserve"> לאיתנות</w:t>
      </w:r>
      <w:r w:rsidRPr="005E17DC">
        <w:rPr>
          <w:rFonts w:hint="cs"/>
          <w:rtl/>
        </w:rPr>
        <w:t>ה;</w:t>
      </w:r>
      <w:r w:rsidRPr="005E17DC">
        <w:rPr>
          <w:rtl/>
        </w:rPr>
        <w:t xml:space="preserve"> </w:t>
      </w:r>
      <w:r w:rsidRPr="005E17DC">
        <w:rPr>
          <w:rFonts w:hint="cs"/>
          <w:rtl/>
        </w:rPr>
        <w:t>שיעור גירעון</w:t>
      </w:r>
      <w:r w:rsidRPr="005E17DC">
        <w:rPr>
          <w:rtl/>
        </w:rPr>
        <w:t xml:space="preserve"> </w:t>
      </w:r>
      <w:r w:rsidRPr="005E17DC">
        <w:rPr>
          <w:rFonts w:hint="cs"/>
          <w:rtl/>
        </w:rPr>
        <w:t>שוטף</w:t>
      </w:r>
      <w:r w:rsidRPr="005E17DC">
        <w:rPr>
          <w:rtl/>
        </w:rPr>
        <w:t xml:space="preserve"> </w:t>
      </w:r>
      <w:r w:rsidRPr="005E17DC">
        <w:rPr>
          <w:rFonts w:hint="cs"/>
          <w:rtl/>
        </w:rPr>
        <w:t>הגבוה</w:t>
      </w:r>
      <w:r w:rsidRPr="005E17DC">
        <w:rPr>
          <w:rtl/>
        </w:rPr>
        <w:t xml:space="preserve"> </w:t>
      </w:r>
      <w:r w:rsidRPr="005E17DC">
        <w:rPr>
          <w:rFonts w:hint="cs"/>
          <w:rtl/>
        </w:rPr>
        <w:t>מ</w:t>
      </w:r>
      <w:r w:rsidRPr="005E17DC">
        <w:rPr>
          <w:rtl/>
        </w:rPr>
        <w:t xml:space="preserve">-10% </w:t>
      </w:r>
      <w:r w:rsidRPr="005E17DC">
        <w:rPr>
          <w:rFonts w:hint="cs"/>
          <w:rtl/>
        </w:rPr>
        <w:t>עשוי</w:t>
      </w:r>
      <w:r w:rsidRPr="005E17DC">
        <w:rPr>
          <w:rtl/>
        </w:rPr>
        <w:t xml:space="preserve"> להביא ל</w:t>
      </w:r>
      <w:r w:rsidRPr="005E17DC">
        <w:rPr>
          <w:rFonts w:hint="cs"/>
          <w:rtl/>
        </w:rPr>
        <w:t xml:space="preserve">ידי </w:t>
      </w:r>
      <w:r w:rsidRPr="005E17DC">
        <w:rPr>
          <w:rtl/>
        </w:rPr>
        <w:t>מינוי חשב מלווה</w:t>
      </w:r>
      <w:r w:rsidRPr="005E17DC">
        <w:rPr>
          <w:rFonts w:hint="cs"/>
          <w:rtl/>
        </w:rPr>
        <w:t xml:space="preserve">, ושיעור </w:t>
      </w:r>
      <w:r w:rsidRPr="005E17DC">
        <w:rPr>
          <w:rtl/>
        </w:rPr>
        <w:t>גירעון שוטף גבוה</w:t>
      </w:r>
      <w:r w:rsidRPr="005E17DC">
        <w:rPr>
          <w:rFonts w:hint="cs"/>
          <w:rtl/>
        </w:rPr>
        <w:t xml:space="preserve"> </w:t>
      </w:r>
      <w:r w:rsidRPr="005E17DC">
        <w:rPr>
          <w:rtl/>
        </w:rPr>
        <w:t xml:space="preserve">מ-15% </w:t>
      </w:r>
      <w:r w:rsidRPr="005E17DC">
        <w:rPr>
          <w:rFonts w:hint="cs"/>
          <w:rtl/>
        </w:rPr>
        <w:t>עשוי</w:t>
      </w:r>
      <w:r w:rsidRPr="005E17DC">
        <w:rPr>
          <w:rtl/>
        </w:rPr>
        <w:t xml:space="preserve"> להביא ל</w:t>
      </w:r>
      <w:r w:rsidRPr="005E17DC">
        <w:rPr>
          <w:rFonts w:hint="cs"/>
          <w:rtl/>
        </w:rPr>
        <w:t xml:space="preserve">ידי </w:t>
      </w:r>
      <w:r w:rsidRPr="005E17DC">
        <w:rPr>
          <w:rtl/>
        </w:rPr>
        <w:t>פיזור המועצה.</w:t>
      </w:r>
      <w:r w:rsidRPr="005E17DC">
        <w:rPr>
          <w:rFonts w:hint="cs"/>
          <w:rtl/>
        </w:rPr>
        <w:t xml:space="preserve"> בכל אחת מחמש השנים האחרונות חתמה עיריית רמלה את השנה בגירעון שוטף, אך שיעור גירעונה השוטף בשנים אלה נמוך בהרבה מ-10%: בשנת 2018 הוא עמד על 0.3%, ובארבע השנים שקדמו לשנת 2018 היה 0.4% - 2.9%.</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Fonts w:eastAsiaTheme="majorEastAsia" w:hint="cs"/>
          <w:bCs/>
          <w:spacing w:val="40"/>
          <w:rtl/>
        </w:rPr>
        <w:t>גירעון מצטבר ויתרת אשראי:</w:t>
      </w:r>
      <w:r w:rsidRPr="005E17DC">
        <w:rPr>
          <w:rFonts w:hint="cs"/>
          <w:rtl/>
        </w:rPr>
        <w:t xml:space="preserve"> אחד מתבחיני הפקודה </w:t>
      </w:r>
      <w:r w:rsidRPr="005E17DC">
        <w:rPr>
          <w:rtl/>
        </w:rPr>
        <w:t xml:space="preserve">לאיתנות </w:t>
      </w:r>
      <w:r w:rsidRPr="005E17DC">
        <w:rPr>
          <w:rFonts w:hint="cs"/>
          <w:rtl/>
        </w:rPr>
        <w:t xml:space="preserve">של עירייה </w:t>
      </w:r>
      <w:r w:rsidRPr="005E17DC">
        <w:rPr>
          <w:rtl/>
        </w:rPr>
        <w:t xml:space="preserve">הוא שיעור </w:t>
      </w:r>
      <w:r w:rsidRPr="005E17DC">
        <w:rPr>
          <w:rFonts w:hint="cs"/>
          <w:rtl/>
        </w:rPr>
        <w:t>ה</w:t>
      </w:r>
      <w:r w:rsidRPr="005E17DC">
        <w:rPr>
          <w:rtl/>
        </w:rPr>
        <w:t xml:space="preserve">גירעון </w:t>
      </w:r>
      <w:r w:rsidRPr="005E17DC">
        <w:rPr>
          <w:rFonts w:hint="cs"/>
          <w:rtl/>
        </w:rPr>
        <w:t>ה</w:t>
      </w:r>
      <w:r w:rsidRPr="005E17DC">
        <w:rPr>
          <w:rtl/>
        </w:rPr>
        <w:t>מצטבר</w:t>
      </w:r>
      <w:r w:rsidRPr="005E17DC">
        <w:rPr>
          <w:rFonts w:hint="cs"/>
          <w:rtl/>
        </w:rPr>
        <w:t xml:space="preserve"> שלה</w:t>
      </w:r>
      <w:r>
        <w:rPr>
          <w:vertAlign w:val="superscript"/>
          <w:rtl/>
        </w:rPr>
        <w:footnoteReference w:id="13"/>
      </w:r>
      <w:r w:rsidRPr="005E17DC">
        <w:rPr>
          <w:rFonts w:hint="cs"/>
          <w:rtl/>
        </w:rPr>
        <w:t xml:space="preserve">. לפי הפקודה, אפשר להכריז על עירייה כאיתנה אם </w:t>
      </w:r>
      <w:r w:rsidRPr="005E17DC">
        <w:rPr>
          <w:rtl/>
        </w:rPr>
        <w:t xml:space="preserve">שיעור </w:t>
      </w:r>
      <w:r w:rsidRPr="005E17DC">
        <w:rPr>
          <w:rFonts w:hint="cs"/>
          <w:rtl/>
        </w:rPr>
        <w:t>גירעונה</w:t>
      </w:r>
      <w:r w:rsidRPr="005E17DC">
        <w:rPr>
          <w:rtl/>
        </w:rPr>
        <w:t xml:space="preserve"> המצטבר אינו עולה על 12.5%</w:t>
      </w:r>
      <w:r w:rsidRPr="005E17DC">
        <w:rPr>
          <w:rFonts w:hint="cs"/>
          <w:rtl/>
        </w:rPr>
        <w:t xml:space="preserve"> ו</w:t>
      </w:r>
      <w:r w:rsidRPr="005E17DC">
        <w:rPr>
          <w:rtl/>
        </w:rPr>
        <w:t>יתרת האשראי שקיבלה אינה עולה על 50% מהכנסות</w:t>
      </w:r>
      <w:r w:rsidRPr="005E17DC">
        <w:rPr>
          <w:rFonts w:hint="cs"/>
          <w:rtl/>
        </w:rPr>
        <w:t>יה בתקציב השוטף</w:t>
      </w:r>
      <w:r>
        <w:rPr>
          <w:vertAlign w:val="superscript"/>
          <w:rtl/>
        </w:rPr>
        <w:footnoteReference w:id="14"/>
      </w:r>
      <w:r w:rsidRPr="005E17DC">
        <w:rPr>
          <w:rFonts w:hint="cs"/>
          <w:rtl/>
        </w:rPr>
        <w:t>,</w:t>
      </w:r>
      <w:r w:rsidRPr="005E17DC">
        <w:rPr>
          <w:rtl/>
        </w:rPr>
        <w:t xml:space="preserve"> </w:t>
      </w:r>
      <w:r w:rsidRPr="005E17DC">
        <w:rPr>
          <w:rFonts w:hint="cs"/>
          <w:rtl/>
        </w:rPr>
        <w:t xml:space="preserve">או אם </w:t>
      </w:r>
      <w:r w:rsidRPr="005E17DC">
        <w:rPr>
          <w:rtl/>
        </w:rPr>
        <w:t xml:space="preserve">שיעור </w:t>
      </w:r>
      <w:r w:rsidRPr="005E17DC">
        <w:rPr>
          <w:rFonts w:hint="cs"/>
          <w:rtl/>
        </w:rPr>
        <w:t>גירעונה</w:t>
      </w:r>
      <w:r w:rsidRPr="005E17DC">
        <w:rPr>
          <w:rtl/>
        </w:rPr>
        <w:t xml:space="preserve"> המצטבר אינו עולה על</w:t>
      </w:r>
      <w:r w:rsidRPr="005E17DC">
        <w:rPr>
          <w:rFonts w:hint="cs"/>
          <w:rtl/>
        </w:rPr>
        <w:t xml:space="preserve"> 16% ויתרת האשראי בצירוף שיעור הגירעון המצטבר אינם עולים על 60% מהכנסותיה</w:t>
      </w:r>
      <w:r>
        <w:rPr>
          <w:vertAlign w:val="superscript"/>
          <w:rtl/>
        </w:rPr>
        <w:footnoteReference w:id="15"/>
      </w:r>
      <w:r w:rsidRPr="005E17DC">
        <w:rPr>
          <w:rFonts w:hint="cs"/>
          <w:rtl/>
        </w:rPr>
        <w:t>. ואולם במקרה של גירעון שוטף גבוה מ-10%</w:t>
      </w:r>
      <w:r>
        <w:rPr>
          <w:vertAlign w:val="superscript"/>
          <w:rtl/>
        </w:rPr>
        <w:footnoteReference w:id="16"/>
      </w:r>
      <w:r w:rsidRPr="005E17DC">
        <w:rPr>
          <w:rFonts w:hint="cs"/>
          <w:rtl/>
        </w:rPr>
        <w:t>, שיעור גירעון</w:t>
      </w:r>
      <w:r w:rsidRPr="005E17DC">
        <w:rPr>
          <w:rtl/>
        </w:rPr>
        <w:t xml:space="preserve"> </w:t>
      </w:r>
      <w:r w:rsidRPr="005E17DC">
        <w:rPr>
          <w:rFonts w:hint="cs"/>
          <w:rtl/>
        </w:rPr>
        <w:t>מצטבר</w:t>
      </w:r>
      <w:r w:rsidRPr="005E17DC">
        <w:rPr>
          <w:rtl/>
        </w:rPr>
        <w:t xml:space="preserve"> </w:t>
      </w:r>
      <w:r w:rsidRPr="005E17DC">
        <w:rPr>
          <w:rFonts w:hint="cs"/>
          <w:rtl/>
        </w:rPr>
        <w:t>הגבוה</w:t>
      </w:r>
      <w:r w:rsidRPr="005E17DC">
        <w:rPr>
          <w:rtl/>
        </w:rPr>
        <w:t xml:space="preserve"> </w:t>
      </w:r>
      <w:r w:rsidRPr="005E17DC">
        <w:rPr>
          <w:rFonts w:hint="cs"/>
          <w:rtl/>
        </w:rPr>
        <w:t>מ</w:t>
      </w:r>
      <w:r w:rsidRPr="005E17DC">
        <w:rPr>
          <w:rtl/>
        </w:rPr>
        <w:t>-15%</w:t>
      </w:r>
      <w:r w:rsidRPr="005E17DC">
        <w:rPr>
          <w:rFonts w:hint="cs"/>
          <w:rtl/>
        </w:rPr>
        <w:t xml:space="preserve"> </w:t>
      </w:r>
      <w:r w:rsidRPr="005E17DC">
        <w:rPr>
          <w:rtl/>
        </w:rPr>
        <w:t xml:space="preserve">הוא </w:t>
      </w:r>
      <w:r w:rsidRPr="005E17DC">
        <w:rPr>
          <w:rFonts w:hint="cs"/>
          <w:rtl/>
        </w:rPr>
        <w:t>תבחין</w:t>
      </w:r>
      <w:r w:rsidRPr="005E17DC">
        <w:rPr>
          <w:rtl/>
        </w:rPr>
        <w:t xml:space="preserve"> למינוי חשב מלווה</w:t>
      </w:r>
      <w:r w:rsidRPr="005E17DC">
        <w:rPr>
          <w:rFonts w:hint="cs"/>
          <w:rtl/>
        </w:rPr>
        <w:t xml:space="preserve"> לעירייה מטעם משרד הפנים.</w:t>
      </w:r>
      <w:r w:rsidRPr="005E17DC">
        <w:rPr>
          <w:rtl/>
        </w:rPr>
        <w:t xml:space="preserve"> </w:t>
      </w:r>
      <w:r w:rsidRPr="005E17DC">
        <w:rPr>
          <w:rFonts w:hint="cs"/>
          <w:rtl/>
        </w:rPr>
        <w:t>אם שיעור הגירעון השוטף גבוה מ-15%</w:t>
      </w:r>
      <w:r>
        <w:rPr>
          <w:vertAlign w:val="superscript"/>
          <w:rtl/>
        </w:rPr>
        <w:footnoteReference w:id="17"/>
      </w:r>
      <w:r w:rsidRPr="005E17DC">
        <w:rPr>
          <w:rFonts w:hint="cs"/>
          <w:rtl/>
        </w:rPr>
        <w:t xml:space="preserve">, שיעור </w:t>
      </w:r>
      <w:r w:rsidRPr="005E17DC">
        <w:rPr>
          <w:rtl/>
        </w:rPr>
        <w:t xml:space="preserve">גירעון </w:t>
      </w:r>
      <w:r w:rsidRPr="005E17DC">
        <w:rPr>
          <w:rFonts w:hint="cs"/>
          <w:rtl/>
        </w:rPr>
        <w:t xml:space="preserve">מצטבר </w:t>
      </w:r>
      <w:r w:rsidRPr="005E17DC">
        <w:rPr>
          <w:rtl/>
        </w:rPr>
        <w:t xml:space="preserve">גבוה מ-30% </w:t>
      </w:r>
      <w:r w:rsidRPr="005E17DC">
        <w:rPr>
          <w:rFonts w:hint="cs"/>
          <w:rtl/>
        </w:rPr>
        <w:t>אף יכול</w:t>
      </w:r>
      <w:r w:rsidRPr="005E17DC">
        <w:rPr>
          <w:rtl/>
        </w:rPr>
        <w:t xml:space="preserve"> </w:t>
      </w:r>
      <w:r w:rsidRPr="005E17DC">
        <w:rPr>
          <w:rFonts w:hint="cs"/>
          <w:rtl/>
        </w:rPr>
        <w:t>להביא</w:t>
      </w:r>
      <w:r w:rsidRPr="005E17DC">
        <w:rPr>
          <w:rtl/>
        </w:rPr>
        <w:t xml:space="preserve"> ל</w:t>
      </w:r>
      <w:r w:rsidRPr="005E17DC">
        <w:rPr>
          <w:rFonts w:hint="cs"/>
          <w:rtl/>
        </w:rPr>
        <w:t xml:space="preserve">ידי </w:t>
      </w:r>
      <w:r w:rsidRPr="005E17DC">
        <w:rPr>
          <w:rtl/>
        </w:rPr>
        <w:t>פיזור המועצה</w:t>
      </w:r>
      <w:r w:rsidRPr="005E17DC">
        <w:rPr>
          <w:rFonts w:hint="cs"/>
          <w:rtl/>
        </w:rPr>
        <w:t xml:space="preserve">. </w:t>
      </w:r>
    </w:p>
    <w:p w:rsidR="005E17DC" w:rsidRPr="005E17DC" w:rsidP="00385106">
      <w:pPr>
        <w:spacing w:line="269" w:lineRule="auto"/>
        <w:ind w:left="-567"/>
        <w:rPr>
          <w:szCs w:val="20"/>
          <w:rtl/>
        </w:rPr>
      </w:pPr>
    </w:p>
    <w:p w:rsidR="005E17DC" w:rsidRPr="005E17DC" w:rsidP="00120BCA">
      <w:pPr>
        <w:spacing w:after="120" w:line="269" w:lineRule="auto"/>
        <w:ind w:left="312"/>
        <w:jc w:val="center"/>
        <w:rPr>
          <w:rtl/>
        </w:rPr>
      </w:pPr>
      <w:r w:rsidRPr="005E17DC">
        <w:rPr>
          <w:rFonts w:hint="cs"/>
          <w:b/>
          <w:bCs/>
          <w:rtl/>
        </w:rPr>
        <w:t>ת</w:t>
      </w:r>
      <w:r w:rsidRPr="005E17DC">
        <w:rPr>
          <w:rFonts w:hint="eastAsia"/>
          <w:b/>
          <w:bCs/>
          <w:rtl/>
        </w:rPr>
        <w:t>רשים</w:t>
      </w:r>
      <w:r w:rsidRPr="005E17DC">
        <w:rPr>
          <w:b/>
          <w:bCs/>
          <w:rtl/>
        </w:rPr>
        <w:t xml:space="preserve"> </w:t>
      </w:r>
      <w:r w:rsidRPr="005E17DC">
        <w:rPr>
          <w:rFonts w:hint="cs"/>
          <w:b/>
          <w:bCs/>
          <w:rtl/>
        </w:rPr>
        <w:t>3: שיעור הגירעון המצטבר</w:t>
      </w:r>
      <w:r w:rsidRPr="005E17DC">
        <w:rPr>
          <w:b/>
          <w:bCs/>
          <w:rtl/>
        </w:rPr>
        <w:t xml:space="preserve"> </w:t>
      </w:r>
      <w:r w:rsidRPr="005E17DC">
        <w:rPr>
          <w:rFonts w:hint="eastAsia"/>
          <w:b/>
          <w:bCs/>
          <w:rtl/>
        </w:rPr>
        <w:t>ב</w:t>
      </w:r>
      <w:r w:rsidRPr="005E17DC">
        <w:rPr>
          <w:rFonts w:hint="cs"/>
          <w:b/>
          <w:bCs/>
          <w:rtl/>
        </w:rPr>
        <w:t>עיריית רמלה</w:t>
      </w:r>
      <w:r w:rsidRPr="005E17DC">
        <w:rPr>
          <w:b/>
          <w:bCs/>
          <w:rtl/>
        </w:rPr>
        <w:t xml:space="preserve">, </w:t>
      </w:r>
      <w:r w:rsidRPr="005E17DC">
        <w:rPr>
          <w:rFonts w:hint="eastAsia"/>
          <w:b/>
          <w:bCs/>
          <w:rtl/>
        </w:rPr>
        <w:t>ב</w:t>
      </w:r>
      <w:r w:rsidRPr="005E17DC">
        <w:rPr>
          <w:rFonts w:hint="cs"/>
          <w:b/>
          <w:bCs/>
          <w:rtl/>
        </w:rPr>
        <w:t xml:space="preserve">כלל העיריות </w:t>
      </w:r>
      <w:r w:rsidRPr="005E17DC">
        <w:rPr>
          <w:rFonts w:hint="eastAsia"/>
          <w:b/>
          <w:bCs/>
          <w:rtl/>
        </w:rPr>
        <w:t>ו</w:t>
      </w:r>
      <w:r w:rsidRPr="005E17DC">
        <w:rPr>
          <w:rFonts w:hint="cs"/>
          <w:b/>
          <w:bCs/>
          <w:rtl/>
        </w:rPr>
        <w:t>בעיריות בינוניות</w:t>
      </w:r>
      <w:r w:rsidRPr="005E17DC">
        <w:rPr>
          <w:b/>
          <w:bCs/>
          <w:rtl/>
        </w:rPr>
        <w:t>, 20</w:t>
      </w:r>
      <w:r w:rsidRPr="005E17DC">
        <w:rPr>
          <w:rFonts w:hint="cs"/>
          <w:b/>
          <w:bCs/>
          <w:rtl/>
        </w:rPr>
        <w:t>14</w:t>
      </w:r>
      <w:r w:rsidRPr="005E17DC">
        <w:rPr>
          <w:b/>
          <w:bCs/>
          <w:rtl/>
        </w:rPr>
        <w:t xml:space="preserve"> </w:t>
      </w:r>
      <w:r w:rsidRPr="005E17DC">
        <w:rPr>
          <w:rFonts w:hint="cs"/>
          <w:b/>
          <w:bCs/>
          <w:rtl/>
        </w:rPr>
        <w:t>-</w:t>
      </w:r>
      <w:r w:rsidRPr="005E17DC">
        <w:rPr>
          <w:b/>
          <w:bCs/>
          <w:rtl/>
        </w:rPr>
        <w:t xml:space="preserve"> 201</w:t>
      </w:r>
      <w:r w:rsidRPr="005E17DC">
        <w:rPr>
          <w:rFonts w:hint="cs"/>
          <w:b/>
          <w:bCs/>
          <w:rtl/>
        </w:rPr>
        <w:t>8</w:t>
      </w:r>
    </w:p>
    <w:p w:rsidR="005E17DC" w:rsidRPr="005E17DC" w:rsidP="00385106">
      <w:pPr>
        <w:spacing w:line="269" w:lineRule="auto"/>
        <w:jc w:val="center"/>
        <w:rPr>
          <w:rtl/>
        </w:rPr>
      </w:pPr>
      <w:r w:rsidRPr="005E17DC">
        <w:rPr>
          <w:noProof/>
        </w:rPr>
        <w:drawing>
          <wp:inline distT="0" distB="0" distL="0" distR="0">
            <wp:extent cx="5213445" cy="2743200"/>
            <wp:effectExtent l="0" t="0" r="6350" b="0"/>
            <wp:docPr id="10" name="תרשים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E17DC" w:rsidRPr="005E17DC" w:rsidP="00120BCA">
      <w:pPr>
        <w:spacing w:before="120" w:line="269" w:lineRule="auto"/>
        <w:rPr>
          <w:sz w:val="18"/>
          <w:szCs w:val="22"/>
          <w:rtl/>
        </w:rPr>
      </w:pPr>
      <w:r w:rsidRPr="005E17DC">
        <w:rPr>
          <w:rFonts w:hint="cs"/>
          <w:sz w:val="18"/>
          <w:szCs w:val="22"/>
          <w:rtl/>
        </w:rPr>
        <w:t>על פי נתוני הדוחות הכספיים המבוקרים של הרשויות המקומיות, בעיבוד משרד מבקר המדינה.</w:t>
      </w:r>
    </w:p>
    <w:p w:rsidR="005E17DC" w:rsidRPr="005E17DC" w:rsidP="00385106">
      <w:pPr>
        <w:spacing w:line="269" w:lineRule="auto"/>
        <w:ind w:left="-567"/>
        <w:rPr>
          <w:szCs w:val="20"/>
          <w:rtl/>
        </w:rPr>
      </w:pPr>
    </w:p>
    <w:p w:rsidR="005E17DC" w:rsidRPr="005E17DC" w:rsidP="00385106">
      <w:pPr>
        <w:spacing w:line="269" w:lineRule="auto"/>
        <w:rPr>
          <w:b/>
          <w:bCs/>
          <w:rtl/>
        </w:rPr>
      </w:pPr>
      <w:r w:rsidRPr="005E17DC">
        <w:rPr>
          <w:rFonts w:hint="eastAsia"/>
          <w:b/>
          <w:bCs/>
          <w:rtl/>
        </w:rPr>
        <w:t>מהתרשים</w:t>
      </w:r>
      <w:r w:rsidRPr="005E17DC">
        <w:rPr>
          <w:b/>
          <w:bCs/>
          <w:rtl/>
        </w:rPr>
        <w:t xml:space="preserve"> עולה כי בשנים 2014 </w:t>
      </w:r>
      <w:r w:rsidRPr="005E17DC">
        <w:rPr>
          <w:rFonts w:hint="eastAsia"/>
          <w:b/>
          <w:bCs/>
          <w:rtl/>
        </w:rPr>
        <w:t>עד</w:t>
      </w:r>
      <w:r w:rsidRPr="005E17DC">
        <w:rPr>
          <w:b/>
          <w:bCs/>
          <w:rtl/>
        </w:rPr>
        <w:t xml:space="preserve"> 2018 </w:t>
      </w:r>
      <w:r w:rsidRPr="005E17DC">
        <w:rPr>
          <w:rFonts w:hint="eastAsia"/>
          <w:b/>
          <w:bCs/>
          <w:rtl/>
        </w:rPr>
        <w:t>חצה</w:t>
      </w:r>
      <w:r w:rsidRPr="005E17DC">
        <w:rPr>
          <w:b/>
          <w:bCs/>
          <w:rtl/>
        </w:rPr>
        <w:t xml:space="preserve"> </w:t>
      </w:r>
      <w:r w:rsidRPr="005E17DC">
        <w:rPr>
          <w:rFonts w:hint="eastAsia"/>
          <w:b/>
          <w:bCs/>
          <w:rtl/>
        </w:rPr>
        <w:t>ה</w:t>
      </w:r>
      <w:r w:rsidRPr="005E17DC">
        <w:rPr>
          <w:b/>
          <w:bCs/>
          <w:rtl/>
        </w:rPr>
        <w:t xml:space="preserve">גירעון המצטבר </w:t>
      </w:r>
      <w:r w:rsidRPr="005E17DC">
        <w:rPr>
          <w:rFonts w:hint="eastAsia"/>
          <w:b/>
          <w:bCs/>
          <w:rtl/>
        </w:rPr>
        <w:t>של</w:t>
      </w:r>
      <w:r w:rsidRPr="005E17DC">
        <w:rPr>
          <w:b/>
          <w:bCs/>
          <w:rtl/>
        </w:rPr>
        <w:t xml:space="preserve"> עיריית רמלה את </w:t>
      </w:r>
      <w:r w:rsidRPr="005E17DC">
        <w:rPr>
          <w:rFonts w:hint="eastAsia"/>
          <w:b/>
          <w:bCs/>
          <w:rtl/>
        </w:rPr>
        <w:t>רף</w:t>
      </w:r>
      <w:r w:rsidRPr="005E17DC">
        <w:rPr>
          <w:b/>
          <w:bCs/>
          <w:rtl/>
        </w:rPr>
        <w:t xml:space="preserve"> </w:t>
      </w:r>
      <w:r w:rsidRPr="005E17DC">
        <w:rPr>
          <w:rFonts w:hint="eastAsia"/>
          <w:b/>
          <w:bCs/>
          <w:rtl/>
        </w:rPr>
        <w:t>ה</w:t>
      </w:r>
      <w:r w:rsidRPr="005E17DC">
        <w:rPr>
          <w:b/>
          <w:bCs/>
          <w:rtl/>
        </w:rPr>
        <w:t>-15%</w:t>
      </w:r>
      <w:r w:rsidRPr="005E17DC">
        <w:rPr>
          <w:rFonts w:hint="cs"/>
          <w:b/>
          <w:bCs/>
          <w:rtl/>
        </w:rPr>
        <w:t xml:space="preserve"> שלוש פעמים</w:t>
      </w:r>
      <w:r w:rsidRPr="005E17DC">
        <w:rPr>
          <w:b/>
          <w:bCs/>
          <w:rtl/>
        </w:rPr>
        <w:t>, וב-2018 עמד על 15.6%</w:t>
      </w:r>
      <w:r w:rsidRPr="005E17DC">
        <w:rPr>
          <w:rFonts w:hint="cs"/>
          <w:b/>
          <w:bCs/>
          <w:rtl/>
        </w:rPr>
        <w:t xml:space="preserve"> בקירוב (כ-79 מיליוני ש"ח)</w:t>
      </w:r>
      <w:r w:rsidRPr="005E17DC">
        <w:rPr>
          <w:b/>
          <w:bCs/>
          <w:rtl/>
        </w:rPr>
        <w:t xml:space="preserve">. </w:t>
      </w:r>
      <w:r w:rsidRPr="005E17DC">
        <w:rPr>
          <w:rFonts w:hint="cs"/>
          <w:b/>
          <w:bCs/>
          <w:rtl/>
        </w:rPr>
        <w:t>שיעור זה גבוה מהשיעור הממוצע</w:t>
      </w:r>
      <w:r w:rsidRPr="005E17DC">
        <w:rPr>
          <w:b/>
          <w:bCs/>
          <w:rtl/>
        </w:rPr>
        <w:t xml:space="preserve"> </w:t>
      </w:r>
      <w:r w:rsidRPr="005E17DC">
        <w:rPr>
          <w:rFonts w:hint="eastAsia"/>
          <w:b/>
          <w:bCs/>
          <w:rtl/>
        </w:rPr>
        <w:t>בכלל</w:t>
      </w:r>
      <w:r w:rsidRPr="005E17DC">
        <w:rPr>
          <w:b/>
          <w:bCs/>
          <w:rtl/>
        </w:rPr>
        <w:t xml:space="preserve"> העיריות ובעיריות הבינוניות</w:t>
      </w:r>
      <w:r w:rsidRPr="005E17DC">
        <w:rPr>
          <w:rFonts w:hint="cs"/>
          <w:b/>
          <w:bCs/>
          <w:rtl/>
        </w:rPr>
        <w:t xml:space="preserve"> בכל השנים שנבדקו; בשנת 2018 היה גבוה ב-9% בקירוב מן השיעור הממוצע בכלל העיריות וב-6% בקירוב מן השיעור הממוצע של העיריות הבינוניו</w:t>
      </w:r>
      <w:r w:rsidRPr="005E17DC">
        <w:rPr>
          <w:rFonts w:hint="eastAsia"/>
          <w:b/>
          <w:bCs/>
          <w:rtl/>
        </w:rPr>
        <w:t>ת</w:t>
      </w:r>
      <w:r w:rsidRPr="005E17DC">
        <w:rPr>
          <w:rFonts w:hint="cs"/>
          <w:b/>
          <w:bCs/>
          <w:rtl/>
        </w:rPr>
        <w:t>.</w:t>
      </w:r>
      <w:r w:rsidRPr="005E17DC">
        <w:rPr>
          <w:b/>
          <w:bCs/>
          <w:rtl/>
        </w:rPr>
        <w:t xml:space="preserve"> </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Fonts w:hint="cs"/>
          <w:rtl/>
        </w:rPr>
        <w:t>תקנה 4(ב) ל</w:t>
      </w:r>
      <w:r w:rsidRPr="005E17DC">
        <w:rPr>
          <w:rtl/>
        </w:rPr>
        <w:t xml:space="preserve">תקנות הרשויות המקומיות (הכנת תקציבים), </w:t>
      </w:r>
      <w:r w:rsidRPr="005E17DC">
        <w:rPr>
          <w:rFonts w:hint="cs"/>
          <w:rtl/>
        </w:rPr>
        <w:t>ה</w:t>
      </w:r>
      <w:r w:rsidRPr="005E17DC">
        <w:rPr>
          <w:rtl/>
        </w:rPr>
        <w:t>תשל"א-1971</w:t>
      </w:r>
      <w:r w:rsidRPr="005E17DC">
        <w:rPr>
          <w:rFonts w:hint="cs"/>
          <w:rtl/>
        </w:rPr>
        <w:t>, קובעת: "</w:t>
      </w:r>
      <w:r w:rsidRPr="005E17DC">
        <w:rPr>
          <w:rtl/>
        </w:rPr>
        <w:t>היה לרשות המקומית גרעון משנים קודמות, תפריש בתקציב את הסכומים הדרושים לכיסוי הגרעון, או כל סכום אחר שאישר שר הפנים או מי שהסמיך לכך</w:t>
      </w:r>
      <w:r w:rsidRPr="005E17DC">
        <w:rPr>
          <w:rFonts w:hint="cs"/>
          <w:rtl/>
        </w:rPr>
        <w:t>". בביקורת לא נמצא כי עיריית רמלה הפרישה בתקציבה סכום לכיסוי הגירעון המצטבר.</w:t>
      </w:r>
    </w:p>
    <w:p w:rsidR="00E20FAF" w:rsidP="00E20FAF">
      <w:pPr>
        <w:pStyle w:val="a"/>
        <w:rPr>
          <w:rtl/>
        </w:rPr>
      </w:pPr>
    </w:p>
    <w:p w:rsidR="005E17DC" w:rsidRPr="005E17DC" w:rsidP="00385106">
      <w:pPr>
        <w:spacing w:line="269" w:lineRule="auto"/>
        <w:rPr>
          <w:b/>
          <w:bCs/>
          <w:rtl/>
        </w:rPr>
      </w:pPr>
      <w:r w:rsidRPr="005E17DC">
        <w:rPr>
          <w:rFonts w:hint="cs"/>
          <w:b/>
          <w:bCs/>
          <w:rtl/>
        </w:rPr>
        <w:t>משרד מבקר המדינה ממליץ ל</w:t>
      </w:r>
      <w:r w:rsidRPr="005E17DC">
        <w:rPr>
          <w:rFonts w:hint="eastAsia"/>
          <w:b/>
          <w:bCs/>
          <w:rtl/>
        </w:rPr>
        <w:t>עיריית</w:t>
      </w:r>
      <w:r w:rsidRPr="005E17DC">
        <w:rPr>
          <w:b/>
          <w:bCs/>
          <w:rtl/>
        </w:rPr>
        <w:t xml:space="preserve"> רמלה </w:t>
      </w:r>
      <w:r w:rsidRPr="005E17DC">
        <w:rPr>
          <w:rFonts w:hint="eastAsia"/>
          <w:b/>
          <w:bCs/>
          <w:rtl/>
        </w:rPr>
        <w:t>להכין</w:t>
      </w:r>
      <w:r w:rsidRPr="005E17DC">
        <w:rPr>
          <w:b/>
          <w:bCs/>
          <w:rtl/>
        </w:rPr>
        <w:t xml:space="preserve"> </w:t>
      </w:r>
      <w:r w:rsidRPr="005E17DC">
        <w:rPr>
          <w:b/>
          <w:bCs/>
          <w:rtl/>
        </w:rPr>
        <w:t>ת</w:t>
      </w:r>
      <w:r w:rsidRPr="005E17DC">
        <w:rPr>
          <w:rFonts w:hint="cs"/>
          <w:b/>
          <w:bCs/>
          <w:rtl/>
        </w:rPr>
        <w:t>ו</w:t>
      </w:r>
      <w:r w:rsidRPr="005E17DC">
        <w:rPr>
          <w:b/>
          <w:bCs/>
          <w:rtl/>
        </w:rPr>
        <w:t>כנית</w:t>
      </w:r>
      <w:r w:rsidRPr="005E17DC">
        <w:rPr>
          <w:b/>
          <w:bCs/>
          <w:rtl/>
        </w:rPr>
        <w:t xml:space="preserve"> פעולה לצמצום </w:t>
      </w:r>
      <w:r w:rsidRPr="005E17DC">
        <w:rPr>
          <w:rFonts w:hint="eastAsia"/>
          <w:b/>
          <w:bCs/>
          <w:rtl/>
        </w:rPr>
        <w:t>הג</w:t>
      </w:r>
      <w:r w:rsidRPr="005E17DC">
        <w:rPr>
          <w:rFonts w:hint="cs"/>
          <w:b/>
          <w:bCs/>
          <w:rtl/>
        </w:rPr>
        <w:t>י</w:t>
      </w:r>
      <w:r w:rsidRPr="005E17DC">
        <w:rPr>
          <w:rFonts w:hint="eastAsia"/>
          <w:b/>
          <w:bCs/>
          <w:rtl/>
        </w:rPr>
        <w:t>רעון</w:t>
      </w:r>
      <w:r w:rsidRPr="005E17DC">
        <w:rPr>
          <w:b/>
          <w:bCs/>
          <w:rtl/>
        </w:rPr>
        <w:t xml:space="preserve"> המצטבר </w:t>
      </w:r>
      <w:r w:rsidRPr="005E17DC">
        <w:rPr>
          <w:rFonts w:hint="eastAsia"/>
          <w:b/>
          <w:bCs/>
          <w:rtl/>
        </w:rPr>
        <w:t>ולהפריש</w:t>
      </w:r>
      <w:r w:rsidRPr="005E17DC">
        <w:rPr>
          <w:b/>
          <w:bCs/>
          <w:rtl/>
        </w:rPr>
        <w:t xml:space="preserve"> כספים </w:t>
      </w:r>
      <w:r w:rsidRPr="005E17DC">
        <w:rPr>
          <w:rFonts w:hint="cs"/>
          <w:b/>
          <w:bCs/>
          <w:rtl/>
        </w:rPr>
        <w:t>כ</w:t>
      </w:r>
      <w:r w:rsidRPr="005E17DC">
        <w:rPr>
          <w:b/>
          <w:bCs/>
          <w:rtl/>
        </w:rPr>
        <w:t xml:space="preserve">נדרש </w:t>
      </w:r>
      <w:r w:rsidRPr="005E17DC">
        <w:rPr>
          <w:rFonts w:hint="eastAsia"/>
          <w:b/>
          <w:bCs/>
          <w:rtl/>
        </w:rPr>
        <w:t>בתקנה</w:t>
      </w:r>
      <w:r w:rsidRPr="005E17DC">
        <w:rPr>
          <w:b/>
          <w:bCs/>
          <w:rtl/>
        </w:rPr>
        <w:t xml:space="preserve"> </w:t>
      </w:r>
      <w:r w:rsidRPr="005E17DC">
        <w:rPr>
          <w:rFonts w:hint="eastAsia"/>
          <w:b/>
          <w:bCs/>
          <w:rtl/>
        </w:rPr>
        <w:t>האמורה</w:t>
      </w:r>
      <w:r w:rsidRPr="005E17DC">
        <w:rPr>
          <w:b/>
          <w:bCs/>
          <w:rtl/>
        </w:rPr>
        <w:t>.</w:t>
      </w:r>
    </w:p>
    <w:p w:rsidR="005E17DC" w:rsidRPr="005E17DC" w:rsidP="00385106">
      <w:pPr>
        <w:spacing w:line="269" w:lineRule="auto"/>
        <w:ind w:left="-567"/>
        <w:rPr>
          <w:szCs w:val="20"/>
          <w:rtl/>
        </w:rPr>
      </w:pPr>
    </w:p>
    <w:p w:rsidR="005E17DC" w:rsidRPr="005E17DC" w:rsidP="00385106">
      <w:pPr>
        <w:spacing w:line="269" w:lineRule="auto"/>
        <w:rPr>
          <w:b/>
          <w:rtl/>
        </w:rPr>
      </w:pPr>
      <w:r>
        <w:rPr>
          <w:rFonts w:hint="cs"/>
          <w:b/>
          <w:bCs/>
          <w:rtl/>
        </w:rPr>
        <w:t>י</w:t>
      </w:r>
      <w:r w:rsidRPr="005E17DC">
        <w:rPr>
          <w:rFonts w:hint="cs"/>
          <w:b/>
          <w:bCs/>
          <w:rtl/>
        </w:rPr>
        <w:t xml:space="preserve">ש לציין כי בשלוש מחמש השנים המובאות בתרשים לא חצה הגירעון המצטבר של עיריית </w:t>
      </w:r>
      <w:r w:rsidR="00F22594">
        <w:rPr>
          <w:rFonts w:hint="cs"/>
          <w:b/>
          <w:bCs/>
          <w:rtl/>
        </w:rPr>
        <w:t>ר</w:t>
      </w:r>
      <w:r w:rsidRPr="005E17DC">
        <w:rPr>
          <w:rFonts w:hint="cs"/>
          <w:b/>
          <w:bCs/>
          <w:rtl/>
        </w:rPr>
        <w:t xml:space="preserve">מלה את רף ה-16%, ויתרת האשראי שלה בצירוף גירעונה המצטבר לא עלו על 60% מהכנסותיה </w:t>
      </w:r>
      <w:r w:rsidR="00F22594">
        <w:rPr>
          <w:rFonts w:hint="cs"/>
          <w:b/>
          <w:bCs/>
          <w:rtl/>
        </w:rPr>
        <w:t>(</w:t>
      </w:r>
      <w:r w:rsidRPr="005E17DC">
        <w:rPr>
          <w:rFonts w:hint="cs"/>
          <w:b/>
          <w:bCs/>
          <w:rtl/>
        </w:rPr>
        <w:t xml:space="preserve">ראו פירוט להלן), ולפיכך עמדה עיריית רמלה בדרישות תבחין זה לאיתנותה. </w:t>
      </w:r>
    </w:p>
    <w:p w:rsidR="005E17DC" w:rsidRPr="005E17DC" w:rsidP="00385106">
      <w:pPr>
        <w:spacing w:line="269" w:lineRule="auto"/>
        <w:ind w:left="-567"/>
        <w:rPr>
          <w:szCs w:val="20"/>
          <w:rtl/>
        </w:rPr>
      </w:pPr>
    </w:p>
    <w:p w:rsidR="005E17DC" w:rsidRPr="005E17DC" w:rsidP="00385106">
      <w:pPr>
        <w:spacing w:line="269" w:lineRule="auto"/>
        <w:rPr>
          <w:rtl/>
        </w:rPr>
      </w:pPr>
      <w:r>
        <w:rPr>
          <w:rFonts w:hint="cs"/>
          <w:rtl/>
        </w:rPr>
        <w:t>ב</w:t>
      </w:r>
      <w:r w:rsidRPr="005E17DC">
        <w:rPr>
          <w:rtl/>
        </w:rPr>
        <w:t>תשובתה של עיריית רמלה</w:t>
      </w:r>
      <w:r w:rsidRPr="005E17DC">
        <w:rPr>
          <w:rFonts w:hint="cs"/>
          <w:rtl/>
        </w:rPr>
        <w:t xml:space="preserve"> </w:t>
      </w:r>
      <w:r w:rsidRPr="005E17DC">
        <w:rPr>
          <w:rtl/>
        </w:rPr>
        <w:t xml:space="preserve">למשרד מבקר המדינה מפברואר 2020 (להלן - תשובת העירייה) מסרה </w:t>
      </w:r>
      <w:r w:rsidR="00120BCA">
        <w:rPr>
          <w:rFonts w:hint="cs"/>
          <w:rtl/>
        </w:rPr>
        <w:t>כ</w:t>
      </w:r>
      <w:r w:rsidRPr="005E17DC">
        <w:rPr>
          <w:rtl/>
        </w:rPr>
        <w:t xml:space="preserve">י </w:t>
      </w:r>
      <w:r w:rsidRPr="005E17DC">
        <w:rPr>
          <w:rFonts w:hint="cs"/>
          <w:rtl/>
        </w:rPr>
        <w:t xml:space="preserve">מקורו של גירעונה המצטבר הוא בשנים 2004 - 2005, שהייתה קרובה בהן לפשיטת רגל ולכן </w:t>
      </w:r>
      <w:r w:rsidR="00120BCA">
        <w:rPr>
          <w:rFonts w:hint="cs"/>
          <w:rtl/>
        </w:rPr>
        <w:t>ה</w:t>
      </w:r>
      <w:r w:rsidRPr="005E17DC">
        <w:rPr>
          <w:rFonts w:hint="cs"/>
          <w:rtl/>
        </w:rPr>
        <w:t>נפיקה איגרות חוב בסך 140 מיליון ש"ח. העיריי</w:t>
      </w:r>
      <w:r w:rsidRPr="005E17DC">
        <w:rPr>
          <w:rFonts w:hint="eastAsia"/>
          <w:rtl/>
        </w:rPr>
        <w:t>ה</w:t>
      </w:r>
      <w:r w:rsidRPr="005E17DC">
        <w:rPr>
          <w:rFonts w:hint="cs"/>
          <w:rtl/>
        </w:rPr>
        <w:t xml:space="preserve"> ציינה כי בשנתיים האחרונות, עקב התפטרותו </w:t>
      </w:r>
      <w:r w:rsidR="00120BCA">
        <w:rPr>
          <w:rFonts w:hint="cs"/>
          <w:rtl/>
        </w:rPr>
        <w:t>ש</w:t>
      </w:r>
      <w:r w:rsidRPr="005E17DC">
        <w:rPr>
          <w:rFonts w:hint="cs"/>
          <w:rtl/>
        </w:rPr>
        <w:t xml:space="preserve">ל ראש העירייה הקודם, הייתה שרויה בתקופת בחירות ממושכת והדבר הכביד עליה מן הבחינה </w:t>
      </w:r>
      <w:r w:rsidR="00120BCA">
        <w:rPr>
          <w:rFonts w:hint="cs"/>
          <w:rtl/>
        </w:rPr>
        <w:t>ה</w:t>
      </w:r>
      <w:r w:rsidRPr="005E17DC">
        <w:rPr>
          <w:rFonts w:hint="cs"/>
          <w:rtl/>
        </w:rPr>
        <w:t>כספית. עוד מסרה כי טיפלה בגירעונו</w:t>
      </w:r>
      <w:r w:rsidRPr="005E17DC">
        <w:rPr>
          <w:rFonts w:hint="eastAsia"/>
          <w:rtl/>
        </w:rPr>
        <w:t>ת</w:t>
      </w:r>
      <w:r w:rsidRPr="005E17DC">
        <w:rPr>
          <w:rFonts w:hint="cs"/>
          <w:rtl/>
        </w:rPr>
        <w:t xml:space="preserve"> בכוחות עצמה, בלי מענקים והלוואות מהממשלה, ו</w:t>
      </w:r>
      <w:r w:rsidRPr="005E17DC">
        <w:rPr>
          <w:rtl/>
        </w:rPr>
        <w:t xml:space="preserve">היא </w:t>
      </w:r>
      <w:r w:rsidR="00120BCA">
        <w:rPr>
          <w:rFonts w:hint="cs"/>
          <w:rtl/>
        </w:rPr>
        <w:t>ה</w:t>
      </w:r>
      <w:r w:rsidRPr="005E17DC">
        <w:rPr>
          <w:rtl/>
        </w:rPr>
        <w:t>קדישה מאמצים רבים מאוד לייצוב</w:t>
      </w:r>
      <w:r w:rsidRPr="005E17DC">
        <w:rPr>
          <w:rFonts w:hint="cs"/>
          <w:rtl/>
        </w:rPr>
        <w:t xml:space="preserve"> </w:t>
      </w:r>
      <w:r w:rsidRPr="005E17DC">
        <w:rPr>
          <w:rtl/>
        </w:rPr>
        <w:t>חוסנה הכספי</w:t>
      </w:r>
      <w:r w:rsidRPr="005E17DC">
        <w:rPr>
          <w:rFonts w:hint="cs"/>
          <w:rtl/>
        </w:rPr>
        <w:t xml:space="preserve"> ולחיזוקו</w:t>
      </w:r>
      <w:r w:rsidRPr="005E17DC">
        <w:rPr>
          <w:rtl/>
        </w:rPr>
        <w:t>. טיפול בג</w:t>
      </w:r>
      <w:r w:rsidRPr="005E17DC">
        <w:rPr>
          <w:rFonts w:hint="cs"/>
          <w:rtl/>
        </w:rPr>
        <w:t>י</w:t>
      </w:r>
      <w:r w:rsidRPr="005E17DC">
        <w:rPr>
          <w:rtl/>
        </w:rPr>
        <w:t xml:space="preserve">רעון מצטבר שנוצר </w:t>
      </w:r>
      <w:r w:rsidRPr="005E17DC">
        <w:rPr>
          <w:rFonts w:hint="cs"/>
          <w:rtl/>
        </w:rPr>
        <w:t>ב</w:t>
      </w:r>
      <w:r w:rsidRPr="005E17DC">
        <w:rPr>
          <w:rtl/>
        </w:rPr>
        <w:t xml:space="preserve">משך </w:t>
      </w:r>
      <w:r w:rsidR="009042D5">
        <w:rPr>
          <w:rFonts w:hint="cs"/>
          <w:rtl/>
        </w:rPr>
        <w:t>ש</w:t>
      </w:r>
      <w:r w:rsidRPr="005E17DC">
        <w:rPr>
          <w:rtl/>
        </w:rPr>
        <w:t xml:space="preserve">נים רבות </w:t>
      </w:r>
      <w:r w:rsidRPr="005E17DC">
        <w:rPr>
          <w:rFonts w:hint="cs"/>
          <w:rtl/>
        </w:rPr>
        <w:t>הוא</w:t>
      </w:r>
      <w:r w:rsidRPr="005E17DC">
        <w:rPr>
          <w:rtl/>
        </w:rPr>
        <w:t xml:space="preserve"> משימה מורכבת והעירייה עושה כל מאמץ לפעול בנושא</w:t>
      </w:r>
      <w:r w:rsidRPr="005E17DC">
        <w:rPr>
          <w:rFonts w:hint="cs"/>
          <w:rtl/>
        </w:rPr>
        <w:t xml:space="preserve"> -</w:t>
      </w:r>
      <w:r w:rsidRPr="005E17DC">
        <w:rPr>
          <w:rtl/>
        </w:rPr>
        <w:t xml:space="preserve"> ראיה לכך היא </w:t>
      </w:r>
      <w:r w:rsidR="00120BCA">
        <w:rPr>
          <w:rFonts w:hint="cs"/>
          <w:rtl/>
        </w:rPr>
        <w:t>ה</w:t>
      </w:r>
      <w:r w:rsidRPr="005E17DC">
        <w:rPr>
          <w:rFonts w:hint="cs"/>
          <w:rtl/>
        </w:rPr>
        <w:t>צטמצמות</w:t>
      </w:r>
      <w:r w:rsidRPr="005E17DC">
        <w:rPr>
          <w:rtl/>
        </w:rPr>
        <w:t xml:space="preserve"> הגירעון השוטף.</w:t>
      </w:r>
    </w:p>
    <w:p w:rsidR="005E17DC" w:rsidRPr="005E17DC" w:rsidP="00385106">
      <w:pPr>
        <w:spacing w:line="269" w:lineRule="auto"/>
        <w:ind w:left="-567"/>
        <w:rPr>
          <w:szCs w:val="20"/>
          <w:rtl/>
        </w:rPr>
      </w:pPr>
    </w:p>
    <w:p w:rsidR="005E17DC" w:rsidRPr="005E17DC" w:rsidP="00385106">
      <w:pPr>
        <w:spacing w:line="269" w:lineRule="auto"/>
        <w:rPr>
          <w:rtl/>
        </w:rPr>
      </w:pPr>
      <w:r>
        <w:rPr>
          <w:rFonts w:eastAsiaTheme="majorEastAsia" w:hint="cs"/>
          <w:bCs/>
          <w:spacing w:val="40"/>
          <w:rtl/>
        </w:rPr>
        <w:t>ע</w:t>
      </w:r>
      <w:r w:rsidRPr="005E17DC">
        <w:rPr>
          <w:rFonts w:eastAsiaTheme="majorEastAsia" w:hint="eastAsia"/>
          <w:bCs/>
          <w:spacing w:val="40"/>
          <w:rtl/>
        </w:rPr>
        <w:t>ומס</w:t>
      </w:r>
      <w:r w:rsidRPr="005E17DC">
        <w:rPr>
          <w:rFonts w:eastAsiaTheme="majorEastAsia"/>
          <w:bCs/>
          <w:spacing w:val="40"/>
          <w:rtl/>
        </w:rPr>
        <w:t xml:space="preserve"> </w:t>
      </w:r>
      <w:r w:rsidRPr="005E17DC">
        <w:rPr>
          <w:rFonts w:eastAsiaTheme="majorEastAsia" w:hint="eastAsia"/>
          <w:bCs/>
          <w:spacing w:val="40"/>
          <w:rtl/>
        </w:rPr>
        <w:t>המלוות</w:t>
      </w:r>
      <w:r w:rsidRPr="005E17DC">
        <w:rPr>
          <w:rFonts w:eastAsiaTheme="majorEastAsia"/>
          <w:bCs/>
          <w:spacing w:val="40"/>
          <w:rtl/>
        </w:rPr>
        <w:t>:</w:t>
      </w:r>
      <w:r w:rsidRPr="005E17DC">
        <w:rPr>
          <w:rtl/>
        </w:rPr>
        <w:t xml:space="preserve"> </w:t>
      </w:r>
      <w:r w:rsidRPr="005E17DC">
        <w:rPr>
          <w:rFonts w:hint="cs"/>
          <w:rtl/>
        </w:rPr>
        <w:t xml:space="preserve">שיעור </w:t>
      </w:r>
      <w:r w:rsidRPr="005E17DC">
        <w:rPr>
          <w:rtl/>
        </w:rPr>
        <w:t>עומס המלוות</w:t>
      </w:r>
      <w:r>
        <w:rPr>
          <w:vertAlign w:val="superscript"/>
          <w:rtl/>
        </w:rPr>
        <w:footnoteReference w:id="18"/>
      </w:r>
      <w:r w:rsidRPr="005E17DC">
        <w:rPr>
          <w:rtl/>
        </w:rPr>
        <w:t xml:space="preserve"> </w:t>
      </w:r>
      <w:r w:rsidRPr="005E17DC">
        <w:rPr>
          <w:rFonts w:hint="cs"/>
          <w:rtl/>
        </w:rPr>
        <w:t xml:space="preserve">של הרשות המקומית </w:t>
      </w:r>
      <w:r w:rsidRPr="005E17DC">
        <w:rPr>
          <w:rtl/>
        </w:rPr>
        <w:t>מלמד על מבנה ההון של</w:t>
      </w:r>
      <w:r w:rsidRPr="005E17DC">
        <w:rPr>
          <w:rFonts w:hint="cs"/>
          <w:rtl/>
        </w:rPr>
        <w:t>ה</w:t>
      </w:r>
      <w:r w:rsidRPr="005E17DC">
        <w:rPr>
          <w:rtl/>
        </w:rPr>
        <w:t xml:space="preserve">. </w:t>
      </w:r>
      <w:r w:rsidR="003F02BF">
        <w:rPr>
          <w:rFonts w:hint="cs"/>
          <w:rtl/>
        </w:rPr>
        <w:t>ב</w:t>
      </w:r>
      <w:r w:rsidRPr="005E17DC">
        <w:rPr>
          <w:rtl/>
        </w:rPr>
        <w:t>פקודת העיריות לא נקבע רף ל</w:t>
      </w:r>
      <w:r w:rsidRPr="005E17DC">
        <w:rPr>
          <w:rFonts w:hint="cs"/>
          <w:rtl/>
        </w:rPr>
        <w:t xml:space="preserve">שיעור </w:t>
      </w:r>
      <w:r w:rsidRPr="005E17DC">
        <w:rPr>
          <w:rtl/>
        </w:rPr>
        <w:t>עומס מלוות אלא כחלק מתחשיב המביא בחשבון את</w:t>
      </w:r>
      <w:r w:rsidRPr="005E17DC">
        <w:rPr>
          <w:rFonts w:hint="cs"/>
          <w:rtl/>
        </w:rPr>
        <w:t xml:space="preserve"> שיעור </w:t>
      </w:r>
      <w:r w:rsidR="00C66A0B">
        <w:rPr>
          <w:rFonts w:hint="cs"/>
          <w:rtl/>
        </w:rPr>
        <w:t>ה</w:t>
      </w:r>
      <w:r w:rsidRPr="005E17DC">
        <w:rPr>
          <w:rtl/>
        </w:rPr>
        <w:t xml:space="preserve">גירעון המצטבר, </w:t>
      </w:r>
      <w:r w:rsidRPr="005E17DC">
        <w:rPr>
          <w:rFonts w:hint="eastAsia"/>
          <w:rtl/>
        </w:rPr>
        <w:t>כמוסבר</w:t>
      </w:r>
      <w:r w:rsidRPr="005E17DC">
        <w:rPr>
          <w:rtl/>
        </w:rPr>
        <w:t xml:space="preserve"> </w:t>
      </w:r>
      <w:r w:rsidRPr="005E17DC">
        <w:rPr>
          <w:rFonts w:hint="eastAsia"/>
          <w:rtl/>
        </w:rPr>
        <w:t>לעיל</w:t>
      </w:r>
      <w:r w:rsidRPr="005E17DC">
        <w:rPr>
          <w:rFonts w:hint="cs"/>
          <w:rtl/>
        </w:rPr>
        <w:t>.</w:t>
      </w:r>
      <w:r w:rsidRPr="005E17DC">
        <w:rPr>
          <w:rtl/>
        </w:rPr>
        <w:t xml:space="preserve"> </w:t>
      </w:r>
      <w:r w:rsidRPr="005E17DC">
        <w:rPr>
          <w:rFonts w:hint="cs"/>
          <w:rtl/>
        </w:rPr>
        <w:t>ואולם</w:t>
      </w:r>
      <w:r w:rsidRPr="005E17DC">
        <w:rPr>
          <w:rtl/>
        </w:rPr>
        <w:t xml:space="preserve"> </w:t>
      </w:r>
      <w:r w:rsidRPr="005E17DC">
        <w:rPr>
          <w:rFonts w:hint="cs"/>
          <w:rtl/>
        </w:rPr>
        <w:t>משרד הפנים קבע בעבר כי שיעור עומס מלוות הגבוה מ-34</w:t>
      </w:r>
      <w:r w:rsidR="00C66A0B">
        <w:rPr>
          <w:rFonts w:hint="cs"/>
          <w:rtl/>
        </w:rPr>
        <w:t>%</w:t>
      </w:r>
      <w:r w:rsidRPr="005E17DC">
        <w:rPr>
          <w:rFonts w:hint="cs"/>
          <w:rtl/>
        </w:rPr>
        <w:t xml:space="preserve"> הוא תבחין למצב כלכלי בסיכון</w:t>
      </w:r>
      <w:r>
        <w:rPr>
          <w:vertAlign w:val="superscript"/>
          <w:rtl/>
        </w:rPr>
        <w:footnoteReference w:id="19"/>
      </w:r>
      <w:r w:rsidRPr="005E17DC">
        <w:rPr>
          <w:rFonts w:hint="cs"/>
          <w:rtl/>
        </w:rPr>
        <w:t>.</w:t>
      </w:r>
    </w:p>
    <w:p w:rsidR="005E17DC" w:rsidRPr="005E17DC" w:rsidP="00385106">
      <w:pPr>
        <w:spacing w:line="269" w:lineRule="auto"/>
        <w:ind w:left="-567"/>
        <w:rPr>
          <w:szCs w:val="20"/>
          <w:rtl/>
        </w:rPr>
      </w:pPr>
    </w:p>
    <w:p w:rsidR="005E17DC" w:rsidRPr="005E17DC" w:rsidP="00E20FAF">
      <w:pPr>
        <w:spacing w:after="120" w:line="269" w:lineRule="auto"/>
        <w:ind w:left="312"/>
        <w:jc w:val="center"/>
        <w:rPr>
          <w:rtl/>
        </w:rPr>
      </w:pPr>
      <w:r w:rsidRPr="005E17DC">
        <w:rPr>
          <w:rFonts w:hint="cs"/>
          <w:b/>
          <w:bCs/>
          <w:rtl/>
        </w:rPr>
        <w:t>ת</w:t>
      </w:r>
      <w:r w:rsidRPr="005E17DC">
        <w:rPr>
          <w:rFonts w:hint="eastAsia"/>
          <w:b/>
          <w:bCs/>
          <w:rtl/>
        </w:rPr>
        <w:t>רשים</w:t>
      </w:r>
      <w:r w:rsidRPr="005E17DC">
        <w:rPr>
          <w:b/>
          <w:bCs/>
          <w:rtl/>
        </w:rPr>
        <w:t xml:space="preserve"> </w:t>
      </w:r>
      <w:r w:rsidRPr="005E17DC">
        <w:rPr>
          <w:rFonts w:hint="cs"/>
          <w:b/>
          <w:bCs/>
          <w:rtl/>
        </w:rPr>
        <w:t>4: שיעור עומס המלוות ברמלה</w:t>
      </w:r>
      <w:r w:rsidRPr="005E17DC">
        <w:rPr>
          <w:b/>
          <w:bCs/>
          <w:rtl/>
        </w:rPr>
        <w:t xml:space="preserve">, </w:t>
      </w:r>
      <w:r w:rsidRPr="005E17DC">
        <w:rPr>
          <w:rFonts w:hint="eastAsia"/>
          <w:b/>
          <w:bCs/>
          <w:rtl/>
        </w:rPr>
        <w:t>ב</w:t>
      </w:r>
      <w:r w:rsidRPr="005E17DC">
        <w:rPr>
          <w:rFonts w:hint="cs"/>
          <w:b/>
          <w:bCs/>
          <w:rtl/>
        </w:rPr>
        <w:t xml:space="preserve">כלל העיריות </w:t>
      </w:r>
      <w:r w:rsidRPr="005E17DC">
        <w:rPr>
          <w:rFonts w:hint="eastAsia"/>
          <w:b/>
          <w:bCs/>
          <w:rtl/>
        </w:rPr>
        <w:t>ו</w:t>
      </w:r>
      <w:r w:rsidRPr="005E17DC">
        <w:rPr>
          <w:rFonts w:hint="cs"/>
          <w:b/>
          <w:bCs/>
          <w:rtl/>
        </w:rPr>
        <w:t>בעיריות בינוניות</w:t>
      </w:r>
      <w:r w:rsidRPr="005E17DC">
        <w:rPr>
          <w:b/>
          <w:bCs/>
          <w:rtl/>
        </w:rPr>
        <w:t>, 20</w:t>
      </w:r>
      <w:r w:rsidRPr="005E17DC">
        <w:rPr>
          <w:rFonts w:hint="cs"/>
          <w:b/>
          <w:bCs/>
          <w:rtl/>
        </w:rPr>
        <w:t>14</w:t>
      </w:r>
      <w:r w:rsidRPr="005E17DC">
        <w:rPr>
          <w:b/>
          <w:bCs/>
          <w:rtl/>
        </w:rPr>
        <w:t xml:space="preserve"> </w:t>
      </w:r>
      <w:r w:rsidRPr="005E17DC">
        <w:rPr>
          <w:rFonts w:hint="eastAsia"/>
          <w:b/>
          <w:bCs/>
          <w:rtl/>
        </w:rPr>
        <w:t>עד</w:t>
      </w:r>
      <w:r w:rsidRPr="005E17DC">
        <w:rPr>
          <w:b/>
          <w:bCs/>
          <w:rtl/>
        </w:rPr>
        <w:t xml:space="preserve"> 201</w:t>
      </w:r>
      <w:r w:rsidRPr="005E17DC">
        <w:rPr>
          <w:rFonts w:hint="cs"/>
          <w:b/>
          <w:bCs/>
          <w:rtl/>
        </w:rPr>
        <w:t>8</w:t>
      </w:r>
    </w:p>
    <w:p w:rsidR="005E17DC" w:rsidRPr="005E17DC" w:rsidP="00385106">
      <w:pPr>
        <w:spacing w:line="269" w:lineRule="auto"/>
        <w:jc w:val="center"/>
        <w:rPr>
          <w:rtl/>
        </w:rPr>
      </w:pPr>
      <w:r w:rsidRPr="005E17DC">
        <w:rPr>
          <w:noProof/>
        </w:rPr>
        <w:drawing>
          <wp:inline distT="0" distB="0" distL="0" distR="0">
            <wp:extent cx="5186150" cy="2743200"/>
            <wp:effectExtent l="0" t="0" r="14605" b="0"/>
            <wp:docPr id="16" name="תרשים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E17DC" w:rsidRPr="005E17DC" w:rsidP="00E20FAF">
      <w:pPr>
        <w:spacing w:before="120" w:line="269" w:lineRule="auto"/>
        <w:rPr>
          <w:sz w:val="18"/>
          <w:szCs w:val="22"/>
          <w:rtl/>
        </w:rPr>
      </w:pPr>
      <w:r w:rsidRPr="005E17DC">
        <w:rPr>
          <w:rFonts w:hint="cs"/>
          <w:sz w:val="18"/>
          <w:szCs w:val="22"/>
          <w:rtl/>
        </w:rPr>
        <w:t>על פי נתוני הדוחות הכספיים המבוקרים של הרשויות המקומיות, בעיבוד משרד מבקר המדינה.</w:t>
      </w:r>
    </w:p>
    <w:p w:rsidR="005E17DC" w:rsidRPr="005E17DC" w:rsidP="00385106">
      <w:pPr>
        <w:spacing w:line="269" w:lineRule="auto"/>
        <w:ind w:left="-567"/>
        <w:rPr>
          <w:szCs w:val="20"/>
          <w:rtl/>
        </w:rPr>
      </w:pPr>
    </w:p>
    <w:p w:rsidR="005E17DC" w:rsidRPr="005E17DC" w:rsidP="00385106">
      <w:pPr>
        <w:spacing w:line="269" w:lineRule="auto"/>
        <w:rPr>
          <w:b/>
          <w:bCs/>
          <w:rtl/>
        </w:rPr>
      </w:pPr>
      <w:r w:rsidRPr="005E17DC">
        <w:rPr>
          <w:rFonts w:hint="eastAsia"/>
          <w:b/>
          <w:bCs/>
          <w:rtl/>
        </w:rPr>
        <w:t>מהתרשים</w:t>
      </w:r>
      <w:r w:rsidRPr="005E17DC">
        <w:rPr>
          <w:b/>
          <w:bCs/>
          <w:rtl/>
        </w:rPr>
        <w:t xml:space="preserve"> </w:t>
      </w:r>
      <w:r w:rsidRPr="005E17DC">
        <w:rPr>
          <w:rFonts w:hint="eastAsia"/>
          <w:b/>
          <w:bCs/>
          <w:rtl/>
        </w:rPr>
        <w:t>שלעיל</w:t>
      </w:r>
      <w:r w:rsidRPr="005E17DC">
        <w:rPr>
          <w:b/>
          <w:bCs/>
          <w:rtl/>
        </w:rPr>
        <w:t xml:space="preserve"> </w:t>
      </w:r>
      <w:r w:rsidRPr="005E17DC">
        <w:rPr>
          <w:rFonts w:hint="eastAsia"/>
          <w:b/>
          <w:bCs/>
          <w:rtl/>
        </w:rPr>
        <w:t>עולה</w:t>
      </w:r>
      <w:r w:rsidRPr="005E17DC">
        <w:rPr>
          <w:b/>
          <w:bCs/>
          <w:rtl/>
        </w:rPr>
        <w:t xml:space="preserve"> </w:t>
      </w:r>
      <w:r w:rsidRPr="005E17DC">
        <w:rPr>
          <w:rFonts w:hint="eastAsia"/>
          <w:b/>
          <w:bCs/>
          <w:rtl/>
        </w:rPr>
        <w:t>כי</w:t>
      </w:r>
      <w:r w:rsidRPr="005E17DC">
        <w:rPr>
          <w:b/>
          <w:bCs/>
          <w:rtl/>
        </w:rPr>
        <w:t xml:space="preserve"> </w:t>
      </w:r>
      <w:r w:rsidRPr="005E17DC">
        <w:rPr>
          <w:rFonts w:hint="cs"/>
          <w:b/>
          <w:bCs/>
          <w:rtl/>
        </w:rPr>
        <w:t>במרוצת</w:t>
      </w:r>
      <w:r w:rsidRPr="005E17DC">
        <w:rPr>
          <w:b/>
          <w:bCs/>
          <w:rtl/>
        </w:rPr>
        <w:t xml:space="preserve"> </w:t>
      </w:r>
      <w:r w:rsidRPr="005E17DC">
        <w:rPr>
          <w:rFonts w:hint="eastAsia"/>
          <w:b/>
          <w:bCs/>
          <w:rtl/>
        </w:rPr>
        <w:t>השנים</w:t>
      </w:r>
      <w:r w:rsidRPr="005E17DC">
        <w:rPr>
          <w:b/>
          <w:bCs/>
          <w:rtl/>
        </w:rPr>
        <w:t xml:space="preserve"> </w:t>
      </w:r>
      <w:r w:rsidRPr="005E17DC">
        <w:rPr>
          <w:rFonts w:hint="eastAsia"/>
          <w:b/>
          <w:bCs/>
          <w:rtl/>
        </w:rPr>
        <w:t>שנבדקו</w:t>
      </w:r>
      <w:r w:rsidRPr="005E17DC">
        <w:rPr>
          <w:b/>
          <w:bCs/>
          <w:rtl/>
        </w:rPr>
        <w:t xml:space="preserve"> </w:t>
      </w:r>
      <w:r w:rsidRPr="005E17DC">
        <w:rPr>
          <w:rFonts w:hint="cs"/>
          <w:b/>
          <w:bCs/>
          <w:rtl/>
        </w:rPr>
        <w:t xml:space="preserve">השתפר </w:t>
      </w:r>
      <w:r w:rsidRPr="005E17DC">
        <w:rPr>
          <w:b/>
          <w:bCs/>
          <w:rtl/>
        </w:rPr>
        <w:t>מצבה של עיריית רמלה</w:t>
      </w:r>
      <w:r w:rsidRPr="005E17DC">
        <w:rPr>
          <w:rFonts w:hint="cs"/>
          <w:b/>
          <w:bCs/>
          <w:rtl/>
        </w:rPr>
        <w:t>:</w:t>
      </w:r>
      <w:r w:rsidRPr="005E17DC">
        <w:rPr>
          <w:b/>
          <w:bCs/>
          <w:rtl/>
        </w:rPr>
        <w:t xml:space="preserve"> </w:t>
      </w:r>
      <w:r w:rsidRPr="005E17DC">
        <w:rPr>
          <w:rFonts w:hint="cs"/>
          <w:b/>
          <w:bCs/>
          <w:rtl/>
        </w:rPr>
        <w:t xml:space="preserve">שיעור </w:t>
      </w:r>
      <w:r w:rsidRPr="005E17DC">
        <w:rPr>
          <w:b/>
          <w:bCs/>
          <w:rtl/>
        </w:rPr>
        <w:t>עומס המלוות שלה ירד מ-33.6% בשנת 2014 ל-25.2% בשנת 2018</w:t>
      </w:r>
      <w:r w:rsidRPr="005E17DC">
        <w:rPr>
          <w:rFonts w:hint="cs"/>
          <w:b/>
          <w:bCs/>
          <w:rtl/>
        </w:rPr>
        <w:t>,</w:t>
      </w:r>
      <w:r w:rsidRPr="005E17DC">
        <w:rPr>
          <w:b/>
          <w:bCs/>
          <w:rtl/>
        </w:rPr>
        <w:t xml:space="preserve"> </w:t>
      </w:r>
      <w:r w:rsidRPr="005E17DC">
        <w:rPr>
          <w:rFonts w:hint="eastAsia"/>
          <w:b/>
          <w:bCs/>
          <w:rtl/>
        </w:rPr>
        <w:t>ובסך</w:t>
      </w:r>
      <w:r w:rsidRPr="005E17DC">
        <w:rPr>
          <w:b/>
          <w:bCs/>
          <w:rtl/>
        </w:rPr>
        <w:t xml:space="preserve"> </w:t>
      </w:r>
      <w:r w:rsidRPr="005E17DC">
        <w:rPr>
          <w:rFonts w:hint="eastAsia"/>
          <w:b/>
          <w:bCs/>
          <w:rtl/>
        </w:rPr>
        <w:t>הכול</w:t>
      </w:r>
      <w:r w:rsidRPr="005E17DC">
        <w:rPr>
          <w:b/>
          <w:bCs/>
          <w:rtl/>
        </w:rPr>
        <w:t xml:space="preserve"> </w:t>
      </w:r>
      <w:r w:rsidRPr="005E17DC">
        <w:rPr>
          <w:rFonts w:hint="eastAsia"/>
          <w:b/>
          <w:bCs/>
          <w:rtl/>
        </w:rPr>
        <w:t>היא</w:t>
      </w:r>
      <w:r w:rsidRPr="005E17DC">
        <w:rPr>
          <w:b/>
          <w:bCs/>
          <w:rtl/>
        </w:rPr>
        <w:t xml:space="preserve"> </w:t>
      </w:r>
      <w:r w:rsidRPr="005E17DC">
        <w:rPr>
          <w:rFonts w:hint="eastAsia"/>
          <w:b/>
          <w:bCs/>
          <w:rtl/>
        </w:rPr>
        <w:t>לא</w:t>
      </w:r>
      <w:r w:rsidRPr="005E17DC">
        <w:rPr>
          <w:b/>
          <w:bCs/>
          <w:rtl/>
        </w:rPr>
        <w:t xml:space="preserve"> </w:t>
      </w:r>
      <w:r w:rsidRPr="005E17DC">
        <w:rPr>
          <w:rFonts w:hint="eastAsia"/>
          <w:b/>
          <w:bCs/>
          <w:rtl/>
        </w:rPr>
        <w:t>חצתה</w:t>
      </w:r>
      <w:r w:rsidRPr="005E17DC">
        <w:rPr>
          <w:b/>
          <w:bCs/>
          <w:rtl/>
        </w:rPr>
        <w:t xml:space="preserve"> </w:t>
      </w:r>
      <w:r w:rsidRPr="005E17DC">
        <w:rPr>
          <w:rFonts w:hint="eastAsia"/>
          <w:b/>
          <w:bCs/>
          <w:rtl/>
        </w:rPr>
        <w:t>את</w:t>
      </w:r>
      <w:r w:rsidRPr="005E17DC">
        <w:rPr>
          <w:b/>
          <w:bCs/>
          <w:rtl/>
        </w:rPr>
        <w:t xml:space="preserve"> </w:t>
      </w:r>
      <w:r w:rsidRPr="005E17DC">
        <w:rPr>
          <w:rFonts w:hint="eastAsia"/>
          <w:b/>
          <w:bCs/>
          <w:rtl/>
        </w:rPr>
        <w:t>רף</w:t>
      </w:r>
      <w:r w:rsidRPr="005E17DC">
        <w:rPr>
          <w:b/>
          <w:bCs/>
          <w:rtl/>
        </w:rPr>
        <w:t xml:space="preserve"> </w:t>
      </w:r>
      <w:r w:rsidRPr="005E17DC">
        <w:rPr>
          <w:rFonts w:hint="eastAsia"/>
          <w:b/>
          <w:bCs/>
          <w:rtl/>
        </w:rPr>
        <w:t>ה</w:t>
      </w:r>
      <w:r w:rsidRPr="005E17DC">
        <w:rPr>
          <w:b/>
          <w:bCs/>
          <w:rtl/>
        </w:rPr>
        <w:t xml:space="preserve">-60% </w:t>
      </w:r>
      <w:r w:rsidRPr="005E17DC">
        <w:rPr>
          <w:rFonts w:hint="eastAsia"/>
          <w:b/>
          <w:bCs/>
          <w:rtl/>
        </w:rPr>
        <w:t>בצירוף</w:t>
      </w:r>
      <w:r w:rsidRPr="005E17DC">
        <w:rPr>
          <w:b/>
          <w:bCs/>
          <w:rtl/>
        </w:rPr>
        <w:t xml:space="preserve"> </w:t>
      </w:r>
      <w:r w:rsidRPr="005E17DC">
        <w:rPr>
          <w:rFonts w:hint="eastAsia"/>
          <w:b/>
          <w:bCs/>
          <w:rtl/>
        </w:rPr>
        <w:t>הגירעון</w:t>
      </w:r>
      <w:r w:rsidRPr="005E17DC">
        <w:rPr>
          <w:b/>
          <w:bCs/>
          <w:rtl/>
        </w:rPr>
        <w:t xml:space="preserve"> </w:t>
      </w:r>
      <w:r w:rsidRPr="005E17DC">
        <w:rPr>
          <w:rFonts w:hint="eastAsia"/>
          <w:b/>
          <w:bCs/>
          <w:rtl/>
        </w:rPr>
        <w:t>המצטבר</w:t>
      </w:r>
      <w:r w:rsidRPr="005E17DC">
        <w:rPr>
          <w:b/>
          <w:bCs/>
          <w:rtl/>
        </w:rPr>
        <w:t>.</w:t>
      </w:r>
      <w:r w:rsidRPr="005E17DC">
        <w:rPr>
          <w:b/>
          <w:bCs/>
        </w:rPr>
        <w:t xml:space="preserve"> </w:t>
      </w:r>
      <w:r w:rsidRPr="005E17DC">
        <w:rPr>
          <w:rFonts w:hint="eastAsia"/>
          <w:b/>
          <w:bCs/>
          <w:rtl/>
        </w:rPr>
        <w:t>השוואה</w:t>
      </w:r>
      <w:r w:rsidRPr="005E17DC">
        <w:rPr>
          <w:b/>
          <w:bCs/>
          <w:rtl/>
        </w:rPr>
        <w:t xml:space="preserve"> </w:t>
      </w:r>
      <w:r w:rsidRPr="005E17DC">
        <w:rPr>
          <w:rFonts w:hint="eastAsia"/>
          <w:b/>
          <w:bCs/>
          <w:rtl/>
        </w:rPr>
        <w:t>לכלל</w:t>
      </w:r>
      <w:r w:rsidRPr="005E17DC">
        <w:rPr>
          <w:b/>
          <w:bCs/>
          <w:rtl/>
        </w:rPr>
        <w:t xml:space="preserve"> </w:t>
      </w:r>
      <w:r w:rsidRPr="005E17DC">
        <w:rPr>
          <w:rFonts w:hint="eastAsia"/>
          <w:b/>
          <w:bCs/>
          <w:rtl/>
        </w:rPr>
        <w:t>העיריות</w:t>
      </w:r>
      <w:r w:rsidRPr="005E17DC">
        <w:rPr>
          <w:b/>
          <w:bCs/>
          <w:rtl/>
        </w:rPr>
        <w:t xml:space="preserve"> </w:t>
      </w:r>
      <w:r w:rsidRPr="005E17DC">
        <w:rPr>
          <w:rFonts w:hint="eastAsia"/>
          <w:b/>
          <w:bCs/>
          <w:rtl/>
        </w:rPr>
        <w:t>מראה</w:t>
      </w:r>
      <w:r w:rsidRPr="005E17DC">
        <w:rPr>
          <w:b/>
          <w:bCs/>
          <w:rtl/>
        </w:rPr>
        <w:t xml:space="preserve"> כי</w:t>
      </w:r>
      <w:r w:rsidRPr="005E17DC">
        <w:rPr>
          <w:rFonts w:hint="cs"/>
          <w:b/>
          <w:bCs/>
          <w:rtl/>
        </w:rPr>
        <w:t xml:space="preserve"> שיעור</w:t>
      </w:r>
      <w:r w:rsidRPr="005E17DC">
        <w:rPr>
          <w:b/>
          <w:bCs/>
          <w:rtl/>
        </w:rPr>
        <w:t xml:space="preserve"> </w:t>
      </w:r>
      <w:r w:rsidRPr="005E17DC">
        <w:rPr>
          <w:rFonts w:hint="eastAsia"/>
          <w:b/>
          <w:bCs/>
          <w:rtl/>
        </w:rPr>
        <w:t>עומס</w:t>
      </w:r>
      <w:r w:rsidRPr="005E17DC">
        <w:rPr>
          <w:b/>
          <w:bCs/>
          <w:rtl/>
        </w:rPr>
        <w:t xml:space="preserve"> </w:t>
      </w:r>
      <w:r w:rsidRPr="005E17DC">
        <w:rPr>
          <w:rFonts w:hint="eastAsia"/>
          <w:b/>
          <w:bCs/>
          <w:rtl/>
        </w:rPr>
        <w:t>המלוות</w:t>
      </w:r>
      <w:r w:rsidRPr="005E17DC">
        <w:rPr>
          <w:b/>
          <w:bCs/>
          <w:rtl/>
        </w:rPr>
        <w:t xml:space="preserve"> </w:t>
      </w:r>
      <w:r w:rsidRPr="005E17DC">
        <w:rPr>
          <w:rFonts w:hint="cs"/>
          <w:b/>
          <w:bCs/>
          <w:rtl/>
        </w:rPr>
        <w:t xml:space="preserve">בעיריית רמלה זהה בסוף שנת 2018 לשיעור ממוצע </w:t>
      </w:r>
      <w:r w:rsidRPr="005E17DC">
        <w:rPr>
          <w:rFonts w:hint="eastAsia"/>
          <w:b/>
          <w:bCs/>
          <w:rtl/>
        </w:rPr>
        <w:t>עומס</w:t>
      </w:r>
      <w:r w:rsidRPr="005E17DC">
        <w:rPr>
          <w:b/>
          <w:bCs/>
          <w:rtl/>
        </w:rPr>
        <w:t xml:space="preserve"> </w:t>
      </w:r>
      <w:r w:rsidRPr="005E17DC">
        <w:rPr>
          <w:rFonts w:hint="eastAsia"/>
          <w:b/>
          <w:bCs/>
          <w:rtl/>
        </w:rPr>
        <w:t>המלוות</w:t>
      </w:r>
      <w:r w:rsidRPr="005E17DC">
        <w:rPr>
          <w:b/>
          <w:bCs/>
          <w:rtl/>
        </w:rPr>
        <w:t xml:space="preserve"> </w:t>
      </w:r>
      <w:r w:rsidRPr="005E17DC">
        <w:rPr>
          <w:rFonts w:hint="eastAsia"/>
          <w:b/>
          <w:bCs/>
          <w:rtl/>
        </w:rPr>
        <w:t>של</w:t>
      </w:r>
      <w:r w:rsidRPr="005E17DC">
        <w:rPr>
          <w:b/>
          <w:bCs/>
          <w:rtl/>
        </w:rPr>
        <w:t xml:space="preserve"> </w:t>
      </w:r>
      <w:r w:rsidRPr="005E17DC">
        <w:rPr>
          <w:rFonts w:hint="cs"/>
          <w:b/>
          <w:bCs/>
          <w:rtl/>
        </w:rPr>
        <w:t>כלל העיריות</w:t>
      </w:r>
      <w:r w:rsidRPr="005E17DC">
        <w:rPr>
          <w:b/>
          <w:bCs/>
          <w:rtl/>
        </w:rPr>
        <w:t xml:space="preserve">. </w:t>
      </w:r>
      <w:r w:rsidRPr="005E17DC">
        <w:rPr>
          <w:rFonts w:hint="cs"/>
          <w:b/>
          <w:bCs/>
          <w:rtl/>
        </w:rPr>
        <w:t>ואולם</w:t>
      </w:r>
      <w:r w:rsidRPr="005E17DC">
        <w:rPr>
          <w:b/>
          <w:bCs/>
          <w:rtl/>
        </w:rPr>
        <w:t xml:space="preserve"> </w:t>
      </w:r>
      <w:r w:rsidRPr="005E17DC">
        <w:rPr>
          <w:rFonts w:hint="eastAsia"/>
          <w:b/>
          <w:bCs/>
          <w:rtl/>
        </w:rPr>
        <w:t>עומס</w:t>
      </w:r>
      <w:r w:rsidRPr="005E17DC">
        <w:rPr>
          <w:b/>
          <w:bCs/>
          <w:rtl/>
        </w:rPr>
        <w:t xml:space="preserve"> המלוות </w:t>
      </w:r>
      <w:r w:rsidRPr="005E17DC">
        <w:rPr>
          <w:rFonts w:hint="cs"/>
          <w:b/>
          <w:bCs/>
          <w:rtl/>
        </w:rPr>
        <w:t xml:space="preserve">הממוצע </w:t>
      </w:r>
      <w:r w:rsidRPr="005E17DC">
        <w:rPr>
          <w:rFonts w:hint="eastAsia"/>
          <w:b/>
          <w:bCs/>
          <w:rtl/>
        </w:rPr>
        <w:t>בעיריות</w:t>
      </w:r>
      <w:r w:rsidRPr="005E17DC">
        <w:rPr>
          <w:b/>
          <w:bCs/>
          <w:rtl/>
        </w:rPr>
        <w:t xml:space="preserve"> הבינוניות </w:t>
      </w:r>
      <w:r w:rsidRPr="005E17DC">
        <w:rPr>
          <w:rFonts w:hint="eastAsia"/>
          <w:b/>
          <w:bCs/>
          <w:rtl/>
        </w:rPr>
        <w:t>עמד</w:t>
      </w:r>
      <w:r w:rsidRPr="005E17DC">
        <w:rPr>
          <w:b/>
          <w:bCs/>
          <w:rtl/>
        </w:rPr>
        <w:t xml:space="preserve"> </w:t>
      </w:r>
      <w:r w:rsidRPr="005E17DC">
        <w:rPr>
          <w:rFonts w:hint="eastAsia"/>
          <w:b/>
          <w:bCs/>
          <w:rtl/>
        </w:rPr>
        <w:t>ב</w:t>
      </w:r>
      <w:r w:rsidRPr="005E17DC">
        <w:rPr>
          <w:b/>
          <w:bCs/>
          <w:rtl/>
        </w:rPr>
        <w:t xml:space="preserve">-2018 </w:t>
      </w:r>
      <w:r w:rsidRPr="005E17DC">
        <w:rPr>
          <w:rFonts w:hint="eastAsia"/>
          <w:b/>
          <w:bCs/>
          <w:rtl/>
        </w:rPr>
        <w:t>על</w:t>
      </w:r>
      <w:r w:rsidRPr="005E17DC">
        <w:rPr>
          <w:b/>
          <w:bCs/>
          <w:rtl/>
        </w:rPr>
        <w:t xml:space="preserve"> 19.6% - </w:t>
      </w:r>
      <w:r w:rsidRPr="005E17DC">
        <w:rPr>
          <w:rFonts w:hint="eastAsia"/>
          <w:b/>
          <w:bCs/>
          <w:rtl/>
        </w:rPr>
        <w:t>נמוך</w:t>
      </w:r>
      <w:r w:rsidRPr="005E17DC">
        <w:rPr>
          <w:b/>
          <w:bCs/>
          <w:rtl/>
        </w:rPr>
        <w:t xml:space="preserve"> </w:t>
      </w:r>
      <w:r w:rsidRPr="005E17DC">
        <w:rPr>
          <w:rFonts w:hint="eastAsia"/>
          <w:b/>
          <w:bCs/>
          <w:rtl/>
        </w:rPr>
        <w:t>ב</w:t>
      </w:r>
      <w:r w:rsidRPr="005E17DC">
        <w:rPr>
          <w:b/>
          <w:bCs/>
          <w:rtl/>
        </w:rPr>
        <w:t>-5.</w:t>
      </w:r>
      <w:r w:rsidRPr="005E17DC">
        <w:rPr>
          <w:rFonts w:hint="cs"/>
          <w:b/>
          <w:bCs/>
          <w:rtl/>
        </w:rPr>
        <w:t>6</w:t>
      </w:r>
      <w:r w:rsidRPr="005E17DC">
        <w:rPr>
          <w:b/>
          <w:bCs/>
          <w:rtl/>
        </w:rPr>
        <w:t xml:space="preserve">% </w:t>
      </w:r>
      <w:r w:rsidRPr="005E17DC">
        <w:rPr>
          <w:rFonts w:hint="eastAsia"/>
          <w:b/>
          <w:bCs/>
          <w:rtl/>
        </w:rPr>
        <w:t>מ</w:t>
      </w:r>
      <w:r w:rsidRPr="005E17DC">
        <w:rPr>
          <w:b/>
          <w:bCs/>
          <w:rtl/>
        </w:rPr>
        <w:t xml:space="preserve">של </w:t>
      </w:r>
      <w:r w:rsidRPr="005E17DC">
        <w:rPr>
          <w:rFonts w:hint="eastAsia"/>
          <w:b/>
          <w:bCs/>
          <w:rtl/>
        </w:rPr>
        <w:t>עיריית</w:t>
      </w:r>
      <w:r w:rsidRPr="005E17DC">
        <w:rPr>
          <w:b/>
          <w:bCs/>
          <w:rtl/>
        </w:rPr>
        <w:t xml:space="preserve"> </w:t>
      </w:r>
      <w:r w:rsidRPr="005E17DC">
        <w:rPr>
          <w:rFonts w:hint="eastAsia"/>
          <w:b/>
          <w:bCs/>
          <w:rtl/>
        </w:rPr>
        <w:t>רמלה</w:t>
      </w:r>
      <w:r w:rsidRPr="005E17DC">
        <w:rPr>
          <w:b/>
          <w:bCs/>
          <w:rtl/>
        </w:rPr>
        <w:t xml:space="preserve">. </w:t>
      </w:r>
    </w:p>
    <w:p w:rsidR="005E17DC" w:rsidRPr="005E17DC" w:rsidP="00385106">
      <w:pPr>
        <w:spacing w:line="269" w:lineRule="auto"/>
        <w:ind w:left="-567"/>
        <w:rPr>
          <w:szCs w:val="20"/>
          <w:rtl/>
        </w:rPr>
      </w:pPr>
    </w:p>
    <w:p w:rsidR="00E20FAF" w:rsidP="00E20FAF">
      <w:pPr>
        <w:pStyle w:val="a"/>
        <w:rPr>
          <w:rtl/>
        </w:rPr>
      </w:pPr>
    </w:p>
    <w:p w:rsidR="005E17DC" w:rsidRPr="005E17DC" w:rsidP="00385106">
      <w:pPr>
        <w:spacing w:line="269" w:lineRule="auto"/>
        <w:rPr>
          <w:rtl/>
        </w:rPr>
      </w:pPr>
      <w:r w:rsidRPr="005E17DC">
        <w:rPr>
          <w:rFonts w:hint="eastAsia"/>
          <w:rtl/>
        </w:rPr>
        <w:t>סך</w:t>
      </w:r>
      <w:r w:rsidRPr="005E17DC">
        <w:rPr>
          <w:rtl/>
        </w:rPr>
        <w:t xml:space="preserve"> המלוות </w:t>
      </w:r>
      <w:r w:rsidRPr="005E17DC">
        <w:rPr>
          <w:rFonts w:hint="eastAsia"/>
          <w:rtl/>
        </w:rPr>
        <w:t>של</w:t>
      </w:r>
      <w:r w:rsidRPr="005E17DC">
        <w:rPr>
          <w:rtl/>
        </w:rPr>
        <w:t xml:space="preserve"> </w:t>
      </w:r>
      <w:r w:rsidRPr="005E17DC">
        <w:rPr>
          <w:rFonts w:hint="eastAsia"/>
          <w:rtl/>
        </w:rPr>
        <w:t>עיריית</w:t>
      </w:r>
      <w:r w:rsidRPr="005E17DC">
        <w:rPr>
          <w:rtl/>
        </w:rPr>
        <w:t xml:space="preserve"> </w:t>
      </w:r>
      <w:r w:rsidRPr="005E17DC">
        <w:rPr>
          <w:rFonts w:hint="eastAsia"/>
          <w:rtl/>
        </w:rPr>
        <w:t>רמלה</w:t>
      </w:r>
      <w:r w:rsidRPr="005E17DC">
        <w:rPr>
          <w:rtl/>
        </w:rPr>
        <w:t xml:space="preserve"> </w:t>
      </w:r>
      <w:r w:rsidRPr="005E17DC">
        <w:rPr>
          <w:rFonts w:hint="eastAsia"/>
          <w:rtl/>
        </w:rPr>
        <w:t>ל</w:t>
      </w:r>
      <w:r w:rsidRPr="005E17DC">
        <w:rPr>
          <w:rFonts w:hint="cs"/>
          <w:rtl/>
        </w:rPr>
        <w:t xml:space="preserve">סוף </w:t>
      </w:r>
      <w:r w:rsidRPr="005E17DC">
        <w:rPr>
          <w:rFonts w:hint="eastAsia"/>
          <w:rtl/>
        </w:rPr>
        <w:t>שנת</w:t>
      </w:r>
      <w:r w:rsidRPr="005E17DC">
        <w:rPr>
          <w:rtl/>
        </w:rPr>
        <w:t xml:space="preserve"> 2018 </w:t>
      </w:r>
      <w:r w:rsidRPr="005E17DC">
        <w:rPr>
          <w:rFonts w:hint="cs"/>
          <w:rtl/>
        </w:rPr>
        <w:t>היה</w:t>
      </w:r>
      <w:r w:rsidRPr="005E17DC">
        <w:rPr>
          <w:rtl/>
        </w:rPr>
        <w:t xml:space="preserve"> 127 מיליו</w:t>
      </w:r>
      <w:r w:rsidRPr="005E17DC">
        <w:rPr>
          <w:rFonts w:hint="cs"/>
          <w:rtl/>
        </w:rPr>
        <w:t>ן</w:t>
      </w:r>
      <w:r w:rsidRPr="005E17DC">
        <w:rPr>
          <w:rtl/>
        </w:rPr>
        <w:t xml:space="preserve"> ש"ח</w:t>
      </w:r>
      <w:r w:rsidRPr="005E17DC">
        <w:rPr>
          <w:rFonts w:hint="cs"/>
          <w:rtl/>
        </w:rPr>
        <w:t>,</w:t>
      </w:r>
      <w:r w:rsidRPr="005E17DC">
        <w:rPr>
          <w:rtl/>
        </w:rPr>
        <w:t xml:space="preserve"> לפי החלוקה שלהלן:</w:t>
      </w:r>
    </w:p>
    <w:p w:rsidR="005E17DC" w:rsidRPr="005E17DC" w:rsidP="00385106">
      <w:pPr>
        <w:spacing w:line="269" w:lineRule="auto"/>
        <w:ind w:left="-567"/>
        <w:rPr>
          <w:szCs w:val="20"/>
          <w:rtl/>
        </w:rPr>
      </w:pPr>
    </w:p>
    <w:p w:rsidR="005E17DC" w:rsidRPr="005E17DC" w:rsidP="00E20FAF">
      <w:pPr>
        <w:spacing w:after="120" w:line="269" w:lineRule="auto"/>
        <w:jc w:val="center"/>
        <w:rPr>
          <w:b/>
          <w:bCs/>
          <w:rtl/>
        </w:rPr>
      </w:pPr>
      <w:r w:rsidRPr="005E17DC">
        <w:rPr>
          <w:rFonts w:hint="eastAsia"/>
          <w:b/>
          <w:bCs/>
          <w:rtl/>
        </w:rPr>
        <w:t>תרשים</w:t>
      </w:r>
      <w:r w:rsidRPr="005E17DC">
        <w:rPr>
          <w:rFonts w:hint="cs"/>
          <w:b/>
          <w:bCs/>
          <w:rtl/>
        </w:rPr>
        <w:t xml:space="preserve"> 5:</w:t>
      </w:r>
      <w:r w:rsidRPr="005E17DC">
        <w:rPr>
          <w:b/>
          <w:bCs/>
          <w:rtl/>
        </w:rPr>
        <w:t xml:space="preserve"> הרכב </w:t>
      </w:r>
      <w:r w:rsidRPr="005E17DC">
        <w:rPr>
          <w:rFonts w:hint="cs"/>
          <w:b/>
          <w:bCs/>
          <w:rtl/>
        </w:rPr>
        <w:t>ה</w:t>
      </w:r>
      <w:r w:rsidRPr="005E17DC">
        <w:rPr>
          <w:b/>
          <w:bCs/>
          <w:rtl/>
        </w:rPr>
        <w:t>מלוות של עיריית רמלה</w:t>
      </w:r>
      <w:r w:rsidRPr="005E17DC">
        <w:rPr>
          <w:rFonts w:hint="cs"/>
          <w:b/>
          <w:bCs/>
          <w:rtl/>
        </w:rPr>
        <w:t>,</w:t>
      </w:r>
      <w:r w:rsidRPr="005E17DC">
        <w:rPr>
          <w:b/>
          <w:bCs/>
          <w:rtl/>
        </w:rPr>
        <w:t xml:space="preserve"> 2018</w:t>
      </w:r>
      <w:r w:rsidRPr="005E17DC">
        <w:rPr>
          <w:rFonts w:hint="cs"/>
          <w:b/>
          <w:bCs/>
          <w:rtl/>
        </w:rPr>
        <w:t xml:space="preserve"> (ב</w:t>
      </w:r>
      <w:r w:rsidRPr="005E17DC">
        <w:rPr>
          <w:b/>
          <w:bCs/>
          <w:rtl/>
        </w:rPr>
        <w:t>מיליוני ש"ח</w:t>
      </w:r>
      <w:r w:rsidRPr="005E17DC">
        <w:rPr>
          <w:rFonts w:hint="cs"/>
          <w:b/>
          <w:bCs/>
          <w:rtl/>
        </w:rPr>
        <w:t>)</w:t>
      </w:r>
    </w:p>
    <w:p w:rsidR="005E17DC" w:rsidRPr="005E17DC" w:rsidP="00385106">
      <w:pPr>
        <w:spacing w:line="269" w:lineRule="auto"/>
        <w:rPr>
          <w:rtl/>
        </w:rPr>
      </w:pPr>
      <w:r w:rsidRPr="005E17DC">
        <w:rPr>
          <w:noProof/>
        </w:rPr>
        <w:drawing>
          <wp:inline distT="0" distB="0" distL="0" distR="0">
            <wp:extent cx="5237018" cy="2113280"/>
            <wp:effectExtent l="0" t="0" r="1905" b="1270"/>
            <wp:docPr id="20" name="תרשים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E17DC" w:rsidRPr="005E17DC" w:rsidP="00E20FAF">
      <w:pPr>
        <w:spacing w:before="120" w:line="269" w:lineRule="auto"/>
        <w:rPr>
          <w:sz w:val="22"/>
          <w:szCs w:val="22"/>
          <w:rtl/>
        </w:rPr>
      </w:pPr>
      <w:r w:rsidRPr="005E17DC">
        <w:rPr>
          <w:rFonts w:hint="cs"/>
          <w:sz w:val="22"/>
          <w:szCs w:val="22"/>
          <w:rtl/>
        </w:rPr>
        <w:t>ה</w:t>
      </w:r>
      <w:r w:rsidRPr="005E17DC">
        <w:rPr>
          <w:rFonts w:hint="eastAsia"/>
          <w:sz w:val="22"/>
          <w:szCs w:val="22"/>
          <w:rtl/>
        </w:rPr>
        <w:t>מקור</w:t>
      </w:r>
      <w:r w:rsidRPr="005E17DC">
        <w:rPr>
          <w:sz w:val="22"/>
          <w:szCs w:val="22"/>
          <w:rtl/>
        </w:rPr>
        <w:t xml:space="preserve">: </w:t>
      </w:r>
      <w:r w:rsidRPr="005E17DC">
        <w:rPr>
          <w:rFonts w:hint="eastAsia"/>
          <w:sz w:val="22"/>
          <w:szCs w:val="22"/>
          <w:rtl/>
        </w:rPr>
        <w:t>עיריית</w:t>
      </w:r>
      <w:r w:rsidRPr="005E17DC">
        <w:rPr>
          <w:sz w:val="22"/>
          <w:szCs w:val="22"/>
          <w:rtl/>
        </w:rPr>
        <w:t xml:space="preserve"> </w:t>
      </w:r>
      <w:r w:rsidRPr="005E17DC">
        <w:rPr>
          <w:rFonts w:hint="eastAsia"/>
          <w:sz w:val="22"/>
          <w:szCs w:val="22"/>
          <w:rtl/>
        </w:rPr>
        <w:t>רמלה</w:t>
      </w:r>
      <w:r w:rsidRPr="005E17DC">
        <w:rPr>
          <w:rFonts w:hint="cs"/>
          <w:sz w:val="22"/>
          <w:szCs w:val="22"/>
          <w:rtl/>
        </w:rPr>
        <w:t>,</w:t>
      </w:r>
      <w:r w:rsidRPr="005E17DC">
        <w:rPr>
          <w:sz w:val="22"/>
          <w:szCs w:val="22"/>
          <w:rtl/>
        </w:rPr>
        <w:t xml:space="preserve"> </w:t>
      </w:r>
      <w:r w:rsidRPr="005E17DC">
        <w:rPr>
          <w:rFonts w:hint="eastAsia"/>
          <w:sz w:val="22"/>
          <w:szCs w:val="22"/>
          <w:rtl/>
        </w:rPr>
        <w:t>דוח</w:t>
      </w:r>
      <w:r w:rsidRPr="005E17DC">
        <w:rPr>
          <w:sz w:val="22"/>
          <w:szCs w:val="22"/>
          <w:rtl/>
        </w:rPr>
        <w:t xml:space="preserve"> </w:t>
      </w:r>
      <w:r w:rsidRPr="005E17DC">
        <w:rPr>
          <w:rFonts w:hint="eastAsia"/>
          <w:sz w:val="22"/>
          <w:szCs w:val="22"/>
          <w:rtl/>
        </w:rPr>
        <w:t>כספי</w:t>
      </w:r>
      <w:r w:rsidRPr="005E17DC">
        <w:rPr>
          <w:sz w:val="22"/>
          <w:szCs w:val="22"/>
          <w:rtl/>
        </w:rPr>
        <w:t xml:space="preserve"> </w:t>
      </w:r>
      <w:r w:rsidRPr="005E17DC">
        <w:rPr>
          <w:rFonts w:hint="eastAsia"/>
          <w:sz w:val="22"/>
          <w:szCs w:val="22"/>
          <w:rtl/>
        </w:rPr>
        <w:t>מבוקר</w:t>
      </w:r>
      <w:r w:rsidRPr="005E17DC">
        <w:rPr>
          <w:sz w:val="22"/>
          <w:szCs w:val="22"/>
          <w:rtl/>
        </w:rPr>
        <w:t xml:space="preserve"> </w:t>
      </w:r>
      <w:r w:rsidRPr="005E17DC">
        <w:rPr>
          <w:rFonts w:hint="eastAsia"/>
          <w:sz w:val="22"/>
          <w:szCs w:val="22"/>
          <w:rtl/>
        </w:rPr>
        <w:t>לשנת</w:t>
      </w:r>
      <w:r w:rsidRPr="005E17DC">
        <w:rPr>
          <w:sz w:val="22"/>
          <w:szCs w:val="22"/>
          <w:rtl/>
        </w:rPr>
        <w:t xml:space="preserve"> 2018.</w:t>
      </w:r>
    </w:p>
    <w:p w:rsidR="005E17DC" w:rsidRPr="005E17DC" w:rsidP="00385106">
      <w:pPr>
        <w:spacing w:line="269" w:lineRule="auto"/>
        <w:ind w:left="-567"/>
        <w:rPr>
          <w:szCs w:val="20"/>
          <w:rtl/>
        </w:rPr>
      </w:pPr>
    </w:p>
    <w:p w:rsidR="005E17DC" w:rsidRPr="005E17DC" w:rsidP="00385106">
      <w:pPr>
        <w:spacing w:line="269" w:lineRule="auto"/>
        <w:rPr>
          <w:b/>
          <w:bCs/>
          <w:rtl/>
        </w:rPr>
      </w:pPr>
      <w:r w:rsidRPr="005E17DC">
        <w:rPr>
          <w:rFonts w:hint="cs"/>
          <w:b/>
          <w:bCs/>
          <w:rtl/>
        </w:rPr>
        <w:t>מהתרשים עולה כי בהרכב המלוות של עיריית רמלה יש איגרות חוב שהנפיקה בעצמה בשנת 2005. הנפקה זו של איגרות החוב ייחודית לעיריית רמלה ולשלוש רשויות מקומיות אחרות</w:t>
      </w:r>
      <w:r>
        <w:rPr>
          <w:b/>
          <w:bCs/>
          <w:vertAlign w:val="superscript"/>
          <w:rtl/>
        </w:rPr>
        <w:footnoteReference w:id="20"/>
      </w:r>
      <w:r w:rsidRPr="005E17DC">
        <w:rPr>
          <w:rFonts w:hint="cs"/>
          <w:b/>
          <w:bCs/>
          <w:rtl/>
        </w:rPr>
        <w:t xml:space="preserve">. עיריית רמלה מִחזרה חלק מאיגרות החוב באמצעות </w:t>
      </w:r>
      <w:r w:rsidRPr="005E17DC">
        <w:rPr>
          <w:b/>
          <w:bCs/>
          <w:rtl/>
        </w:rPr>
        <w:t>הלוואה</w:t>
      </w:r>
      <w:r w:rsidRPr="005E17DC">
        <w:rPr>
          <w:rFonts w:hint="cs"/>
          <w:b/>
          <w:bCs/>
          <w:rtl/>
        </w:rPr>
        <w:t xml:space="preserve"> שלקחה</w:t>
      </w:r>
      <w:r w:rsidRPr="005E17DC">
        <w:rPr>
          <w:b/>
          <w:bCs/>
          <w:rtl/>
        </w:rPr>
        <w:t xml:space="preserve"> מגוף מוסדי בשנת 2016</w:t>
      </w:r>
      <w:r w:rsidRPr="005E17DC">
        <w:rPr>
          <w:rFonts w:hint="cs"/>
          <w:b/>
          <w:bCs/>
          <w:rtl/>
        </w:rPr>
        <w:t>, על מנת לשפר את תנאי המימון</w:t>
      </w:r>
      <w:r w:rsidRPr="005E17DC">
        <w:rPr>
          <w:b/>
          <w:bCs/>
          <w:rtl/>
        </w:rPr>
        <w:t xml:space="preserve">. </w:t>
      </w:r>
      <w:r w:rsidRPr="005E17DC">
        <w:rPr>
          <w:rFonts w:hint="cs"/>
          <w:b/>
          <w:bCs/>
          <w:rtl/>
        </w:rPr>
        <w:t xml:space="preserve">יש לציין לחיוב </w:t>
      </w:r>
      <w:r w:rsidRPr="005E17DC">
        <w:rPr>
          <w:rFonts w:hint="eastAsia"/>
          <w:b/>
          <w:bCs/>
          <w:rtl/>
        </w:rPr>
        <w:t>פעולה</w:t>
      </w:r>
      <w:r w:rsidRPr="005E17DC">
        <w:rPr>
          <w:b/>
          <w:bCs/>
          <w:rtl/>
        </w:rPr>
        <w:t xml:space="preserve"> </w:t>
      </w:r>
      <w:r w:rsidRPr="005E17DC">
        <w:rPr>
          <w:rFonts w:hint="eastAsia"/>
          <w:b/>
          <w:bCs/>
          <w:rtl/>
        </w:rPr>
        <w:t>זו</w:t>
      </w:r>
      <w:r w:rsidRPr="005E17DC">
        <w:rPr>
          <w:rFonts w:hint="cs"/>
          <w:b/>
          <w:bCs/>
          <w:rtl/>
        </w:rPr>
        <w:t>,</w:t>
      </w:r>
      <w:r w:rsidRPr="005E17DC">
        <w:rPr>
          <w:b/>
          <w:bCs/>
          <w:rtl/>
        </w:rPr>
        <w:t xml:space="preserve"> </w:t>
      </w:r>
      <w:r w:rsidRPr="005E17DC">
        <w:rPr>
          <w:rFonts w:hint="cs"/>
          <w:b/>
          <w:bCs/>
          <w:rtl/>
        </w:rPr>
        <w:t xml:space="preserve">אשר </w:t>
      </w:r>
      <w:r w:rsidRPr="005E17DC">
        <w:rPr>
          <w:b/>
          <w:bCs/>
          <w:rtl/>
        </w:rPr>
        <w:t>הו</w:t>
      </w:r>
      <w:r w:rsidRPr="005E17DC">
        <w:rPr>
          <w:rFonts w:hint="eastAsia"/>
          <w:b/>
          <w:bCs/>
          <w:rtl/>
        </w:rPr>
        <w:t>ריד</w:t>
      </w:r>
      <w:r w:rsidRPr="005E17DC">
        <w:rPr>
          <w:b/>
          <w:bCs/>
          <w:rtl/>
        </w:rPr>
        <w:t xml:space="preserve">ה את עלויות </w:t>
      </w:r>
      <w:r w:rsidRPr="005E17DC">
        <w:rPr>
          <w:rFonts w:hint="eastAsia"/>
          <w:b/>
          <w:bCs/>
          <w:rtl/>
        </w:rPr>
        <w:t>הריבית</w:t>
      </w:r>
      <w:r w:rsidRPr="005E17DC">
        <w:rPr>
          <w:b/>
          <w:bCs/>
          <w:rtl/>
        </w:rPr>
        <w:t xml:space="preserve"> שהעירייה משלמת </w:t>
      </w:r>
      <w:r w:rsidRPr="005E17DC">
        <w:rPr>
          <w:rFonts w:hint="eastAsia"/>
          <w:b/>
          <w:bCs/>
          <w:rtl/>
        </w:rPr>
        <w:t>מ</w:t>
      </w:r>
      <w:r w:rsidRPr="005E17DC">
        <w:rPr>
          <w:b/>
          <w:bCs/>
          <w:rtl/>
        </w:rPr>
        <w:t xml:space="preserve">-5.1 </w:t>
      </w:r>
      <w:r w:rsidRPr="005E17DC">
        <w:rPr>
          <w:rFonts w:hint="eastAsia"/>
          <w:b/>
          <w:bCs/>
          <w:rtl/>
        </w:rPr>
        <w:t>מיליו</w:t>
      </w:r>
      <w:r w:rsidRPr="005E17DC">
        <w:rPr>
          <w:rFonts w:hint="cs"/>
          <w:b/>
          <w:bCs/>
          <w:rtl/>
        </w:rPr>
        <w:t>ן</w:t>
      </w:r>
      <w:r w:rsidRPr="005E17DC">
        <w:rPr>
          <w:b/>
          <w:bCs/>
          <w:rtl/>
        </w:rPr>
        <w:t xml:space="preserve"> </w:t>
      </w:r>
      <w:r w:rsidRPr="005E17DC">
        <w:rPr>
          <w:rFonts w:hint="eastAsia"/>
          <w:b/>
          <w:bCs/>
          <w:rtl/>
        </w:rPr>
        <w:t>ש</w:t>
      </w:r>
      <w:r w:rsidRPr="005E17DC">
        <w:rPr>
          <w:b/>
          <w:bCs/>
          <w:rtl/>
        </w:rPr>
        <w:t xml:space="preserve">"ח </w:t>
      </w:r>
      <w:r w:rsidRPr="005E17DC">
        <w:rPr>
          <w:rFonts w:hint="eastAsia"/>
          <w:b/>
          <w:bCs/>
          <w:rtl/>
        </w:rPr>
        <w:t>בשנת</w:t>
      </w:r>
      <w:r w:rsidRPr="005E17DC">
        <w:rPr>
          <w:b/>
          <w:bCs/>
          <w:rtl/>
        </w:rPr>
        <w:t xml:space="preserve"> 2015 </w:t>
      </w:r>
      <w:r w:rsidRPr="005E17DC">
        <w:rPr>
          <w:rFonts w:hint="eastAsia"/>
          <w:b/>
          <w:bCs/>
          <w:rtl/>
        </w:rPr>
        <w:t>ל</w:t>
      </w:r>
      <w:r w:rsidRPr="005E17DC">
        <w:rPr>
          <w:b/>
          <w:bCs/>
          <w:rtl/>
        </w:rPr>
        <w:t xml:space="preserve">-3.2 </w:t>
      </w:r>
      <w:r w:rsidRPr="005E17DC">
        <w:rPr>
          <w:rFonts w:hint="eastAsia"/>
          <w:b/>
          <w:bCs/>
          <w:rtl/>
        </w:rPr>
        <w:t>מיליו</w:t>
      </w:r>
      <w:r w:rsidRPr="005E17DC">
        <w:rPr>
          <w:rFonts w:hint="cs"/>
          <w:b/>
          <w:bCs/>
          <w:rtl/>
        </w:rPr>
        <w:t>ן</w:t>
      </w:r>
      <w:r w:rsidRPr="005E17DC">
        <w:rPr>
          <w:b/>
          <w:bCs/>
          <w:rtl/>
        </w:rPr>
        <w:t xml:space="preserve"> </w:t>
      </w:r>
      <w:r w:rsidRPr="005E17DC">
        <w:rPr>
          <w:rFonts w:hint="eastAsia"/>
          <w:b/>
          <w:bCs/>
          <w:rtl/>
        </w:rPr>
        <w:t>ש</w:t>
      </w:r>
      <w:r w:rsidRPr="005E17DC">
        <w:rPr>
          <w:b/>
          <w:bCs/>
          <w:rtl/>
        </w:rPr>
        <w:t xml:space="preserve">"ח </w:t>
      </w:r>
      <w:r w:rsidRPr="005E17DC">
        <w:rPr>
          <w:rFonts w:hint="eastAsia"/>
          <w:b/>
          <w:bCs/>
          <w:rtl/>
        </w:rPr>
        <w:t>בשנת</w:t>
      </w:r>
      <w:r w:rsidRPr="005E17DC">
        <w:rPr>
          <w:b/>
          <w:bCs/>
          <w:rtl/>
        </w:rPr>
        <w:t xml:space="preserve"> 2018, </w:t>
      </w:r>
      <w:r w:rsidRPr="005E17DC">
        <w:rPr>
          <w:rFonts w:hint="cs"/>
          <w:b/>
          <w:bCs/>
          <w:rtl/>
        </w:rPr>
        <w:t>ופינתה</w:t>
      </w:r>
      <w:r w:rsidRPr="005E17DC">
        <w:rPr>
          <w:b/>
          <w:bCs/>
          <w:rtl/>
        </w:rPr>
        <w:t xml:space="preserve"> משאבים כספיים </w:t>
      </w:r>
      <w:r w:rsidRPr="005E17DC">
        <w:rPr>
          <w:rFonts w:hint="eastAsia"/>
          <w:b/>
          <w:bCs/>
          <w:rtl/>
        </w:rPr>
        <w:t>לצרכים</w:t>
      </w:r>
      <w:r w:rsidRPr="005E17DC">
        <w:rPr>
          <w:b/>
          <w:bCs/>
          <w:rtl/>
        </w:rPr>
        <w:t xml:space="preserve"> </w:t>
      </w:r>
      <w:r w:rsidRPr="005E17DC">
        <w:rPr>
          <w:rFonts w:hint="eastAsia"/>
          <w:b/>
          <w:bCs/>
          <w:rtl/>
        </w:rPr>
        <w:t>אחרים</w:t>
      </w:r>
      <w:r w:rsidRPr="005E17DC">
        <w:rPr>
          <w:b/>
          <w:bCs/>
          <w:rtl/>
        </w:rPr>
        <w:t xml:space="preserve">. </w:t>
      </w:r>
    </w:p>
    <w:p w:rsidR="005E17DC" w:rsidRPr="005E17DC" w:rsidP="00385106">
      <w:pPr>
        <w:spacing w:line="269" w:lineRule="auto"/>
        <w:ind w:left="-567"/>
        <w:rPr>
          <w:szCs w:val="20"/>
          <w:rtl/>
        </w:rPr>
      </w:pPr>
    </w:p>
    <w:p w:rsidR="005E17DC" w:rsidRPr="005E17DC" w:rsidP="00385106">
      <w:pPr>
        <w:spacing w:line="269" w:lineRule="auto"/>
        <w:rPr>
          <w:b/>
          <w:bCs/>
          <w:rtl/>
        </w:rPr>
      </w:pPr>
      <w:r w:rsidRPr="005E17DC">
        <w:rPr>
          <w:rFonts w:hint="eastAsia"/>
          <w:b/>
          <w:bCs/>
          <w:rtl/>
        </w:rPr>
        <w:t>משרד</w:t>
      </w:r>
      <w:r w:rsidRPr="005E17DC">
        <w:rPr>
          <w:b/>
          <w:bCs/>
          <w:rtl/>
        </w:rPr>
        <w:t xml:space="preserve"> </w:t>
      </w:r>
      <w:r w:rsidRPr="005E17DC">
        <w:rPr>
          <w:rFonts w:hint="eastAsia"/>
          <w:b/>
          <w:bCs/>
          <w:rtl/>
        </w:rPr>
        <w:t>מבקר</w:t>
      </w:r>
      <w:r w:rsidRPr="005E17DC">
        <w:rPr>
          <w:b/>
          <w:bCs/>
          <w:rtl/>
        </w:rPr>
        <w:t xml:space="preserve"> </w:t>
      </w:r>
      <w:r w:rsidRPr="005E17DC">
        <w:rPr>
          <w:rFonts w:hint="eastAsia"/>
          <w:b/>
          <w:bCs/>
          <w:rtl/>
        </w:rPr>
        <w:t>המדינה</w:t>
      </w:r>
      <w:r w:rsidRPr="005E17DC">
        <w:rPr>
          <w:b/>
          <w:bCs/>
          <w:rtl/>
        </w:rPr>
        <w:t xml:space="preserve"> </w:t>
      </w:r>
      <w:r w:rsidRPr="005E17DC">
        <w:rPr>
          <w:rFonts w:hint="eastAsia"/>
          <w:b/>
          <w:bCs/>
          <w:rtl/>
        </w:rPr>
        <w:t>ממליץ</w:t>
      </w:r>
      <w:r w:rsidRPr="005E17DC">
        <w:rPr>
          <w:b/>
          <w:bCs/>
          <w:rtl/>
        </w:rPr>
        <w:t xml:space="preserve"> </w:t>
      </w:r>
      <w:r w:rsidRPr="005E17DC">
        <w:rPr>
          <w:rFonts w:hint="eastAsia"/>
          <w:b/>
          <w:bCs/>
          <w:rtl/>
        </w:rPr>
        <w:t>למשרד</w:t>
      </w:r>
      <w:r w:rsidRPr="005E17DC">
        <w:rPr>
          <w:b/>
          <w:bCs/>
          <w:rtl/>
        </w:rPr>
        <w:t xml:space="preserve"> </w:t>
      </w:r>
      <w:r w:rsidRPr="005E17DC">
        <w:rPr>
          <w:rFonts w:hint="eastAsia"/>
          <w:b/>
          <w:bCs/>
          <w:rtl/>
        </w:rPr>
        <w:t>הפנים</w:t>
      </w:r>
      <w:r w:rsidRPr="005E17DC">
        <w:rPr>
          <w:b/>
          <w:bCs/>
          <w:rtl/>
        </w:rPr>
        <w:t xml:space="preserve"> </w:t>
      </w:r>
      <w:r w:rsidRPr="005E17DC">
        <w:rPr>
          <w:rFonts w:hint="eastAsia"/>
          <w:b/>
          <w:bCs/>
          <w:rtl/>
        </w:rPr>
        <w:t>לעודד</w:t>
      </w:r>
      <w:r w:rsidRPr="005E17DC">
        <w:rPr>
          <w:b/>
          <w:bCs/>
          <w:rtl/>
        </w:rPr>
        <w:t xml:space="preserve"> את הרשויות</w:t>
      </w:r>
      <w:r w:rsidRPr="005E17DC">
        <w:rPr>
          <w:rFonts w:hint="cs"/>
          <w:b/>
          <w:bCs/>
          <w:rtl/>
        </w:rPr>
        <w:t xml:space="preserve"> המקומיות</w:t>
      </w:r>
      <w:r w:rsidRPr="005E17DC">
        <w:rPr>
          <w:b/>
          <w:bCs/>
          <w:rtl/>
        </w:rPr>
        <w:t xml:space="preserve"> </w:t>
      </w:r>
      <w:r w:rsidRPr="005E17DC">
        <w:rPr>
          <w:rFonts w:hint="eastAsia"/>
          <w:b/>
          <w:bCs/>
          <w:rtl/>
        </w:rPr>
        <w:t>לבחון</w:t>
      </w:r>
      <w:r w:rsidRPr="005E17DC">
        <w:rPr>
          <w:b/>
          <w:bCs/>
          <w:rtl/>
        </w:rPr>
        <w:t xml:space="preserve"> </w:t>
      </w:r>
      <w:r w:rsidRPr="005E17DC">
        <w:rPr>
          <w:rFonts w:hint="cs"/>
          <w:b/>
          <w:bCs/>
          <w:rtl/>
        </w:rPr>
        <w:t>מדי פעם</w:t>
      </w:r>
      <w:r w:rsidRPr="005E17DC">
        <w:rPr>
          <w:b/>
          <w:bCs/>
          <w:rtl/>
        </w:rPr>
        <w:t xml:space="preserve"> את מבנה החוב שלהן ולפעול למ</w:t>
      </w:r>
      <w:r w:rsidRPr="005E17DC">
        <w:rPr>
          <w:rFonts w:hint="cs"/>
          <w:b/>
          <w:bCs/>
          <w:rtl/>
        </w:rPr>
        <w:t>ִ</w:t>
      </w:r>
      <w:r w:rsidRPr="005E17DC">
        <w:rPr>
          <w:b/>
          <w:bCs/>
          <w:rtl/>
        </w:rPr>
        <w:t>חזורו</w:t>
      </w:r>
      <w:r w:rsidRPr="005E17DC">
        <w:rPr>
          <w:rFonts w:hint="cs"/>
          <w:b/>
          <w:bCs/>
          <w:rtl/>
        </w:rPr>
        <w:t>,</w:t>
      </w:r>
      <w:r w:rsidRPr="005E17DC">
        <w:rPr>
          <w:b/>
          <w:bCs/>
          <w:rtl/>
        </w:rPr>
        <w:t xml:space="preserve"> על מנת להוריד את עלויות המימון ככל </w:t>
      </w:r>
      <w:r w:rsidRPr="005E17DC">
        <w:rPr>
          <w:rFonts w:hint="cs"/>
          <w:b/>
          <w:bCs/>
          <w:rtl/>
        </w:rPr>
        <w:t>האפשר</w:t>
      </w:r>
      <w:r w:rsidRPr="005E17DC">
        <w:rPr>
          <w:b/>
          <w:bCs/>
          <w:rtl/>
        </w:rPr>
        <w:t>.</w:t>
      </w:r>
    </w:p>
    <w:p w:rsidR="005E17DC" w:rsidRPr="005E17DC" w:rsidP="00385106">
      <w:pPr>
        <w:spacing w:line="269" w:lineRule="auto"/>
        <w:ind w:left="-567"/>
        <w:rPr>
          <w:szCs w:val="20"/>
          <w:rtl/>
        </w:rPr>
      </w:pPr>
    </w:p>
    <w:p w:rsidR="005E17DC" w:rsidRPr="005E17DC" w:rsidP="00385106">
      <w:pPr>
        <w:keepNext/>
        <w:keepLines/>
        <w:spacing w:line="269" w:lineRule="auto"/>
        <w:outlineLvl w:val="2"/>
        <w:rPr>
          <w:rFonts w:eastAsiaTheme="majorEastAsia"/>
          <w:bCs/>
          <w:szCs w:val="28"/>
          <w:u w:val="single"/>
          <w:rtl/>
        </w:rPr>
      </w:pPr>
      <w:r w:rsidRPr="005E17DC">
        <w:rPr>
          <w:rFonts w:eastAsiaTheme="majorEastAsia" w:hint="cs"/>
          <w:bCs/>
          <w:szCs w:val="28"/>
          <w:u w:val="single"/>
          <w:rtl/>
        </w:rPr>
        <w:t>הכנסות הרשות המקומית</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Fonts w:hint="cs"/>
          <w:sz w:val="24"/>
          <w:rtl/>
        </w:rPr>
        <w:t xml:space="preserve">מקורות ההכנסה בתקציב הרגיל של רשויות מקומיות הם הכנסות עצמיות, השתתפות משרדי הממשלה במתן שירותים ממלכתיים, מענקי ממשלה ומלוות. </w:t>
      </w:r>
      <w:r w:rsidRPr="005E17DC">
        <w:rPr>
          <w:rFonts w:hint="cs"/>
          <w:rtl/>
        </w:rPr>
        <w:t xml:space="preserve">ההכנסות העצמיות של הרשות מקורן בעיקר ארנונה, אגרות והיטלים שהיא גובה. </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Fonts w:eastAsiaTheme="majorEastAsia" w:hint="eastAsia"/>
          <w:bCs/>
          <w:spacing w:val="40"/>
          <w:rtl/>
        </w:rPr>
        <w:t>מענק</w:t>
      </w:r>
      <w:r w:rsidRPr="005E17DC">
        <w:rPr>
          <w:rFonts w:eastAsiaTheme="majorEastAsia"/>
          <w:bCs/>
          <w:spacing w:val="40"/>
          <w:rtl/>
        </w:rPr>
        <w:t xml:space="preserve"> </w:t>
      </w:r>
      <w:r w:rsidRPr="005E17DC">
        <w:rPr>
          <w:rFonts w:eastAsiaTheme="majorEastAsia" w:hint="eastAsia"/>
          <w:bCs/>
          <w:spacing w:val="40"/>
          <w:rtl/>
        </w:rPr>
        <w:t>איזון</w:t>
      </w:r>
      <w:r w:rsidRPr="005E17DC">
        <w:rPr>
          <w:rFonts w:eastAsiaTheme="majorEastAsia"/>
          <w:bCs/>
          <w:spacing w:val="40"/>
          <w:rtl/>
        </w:rPr>
        <w:t>:</w:t>
      </w:r>
      <w:r w:rsidRPr="005E17DC">
        <w:rPr>
          <w:rFonts w:hint="cs"/>
          <w:rtl/>
        </w:rPr>
        <w:t xml:space="preserve"> </w:t>
      </w:r>
      <w:r w:rsidRPr="005E17DC">
        <w:rPr>
          <w:rtl/>
        </w:rPr>
        <w:t xml:space="preserve">מענק איזון הוא מענק הניתן לחלק מהרשויות המקומיות כדי </w:t>
      </w:r>
      <w:r w:rsidRPr="005E17DC">
        <w:rPr>
          <w:rFonts w:hint="cs"/>
          <w:rtl/>
        </w:rPr>
        <w:t>לצמצם את הפער בין</w:t>
      </w:r>
      <w:r w:rsidRPr="005E17DC">
        <w:rPr>
          <w:rtl/>
        </w:rPr>
        <w:t xml:space="preserve"> הוצאותיהן להכנסותיהן. גובהו נקבע על פי נוסחה וכללים של משרד הפנים ו</w:t>
      </w:r>
      <w:r w:rsidRPr="005E17DC">
        <w:rPr>
          <w:rFonts w:hint="cs"/>
          <w:rtl/>
        </w:rPr>
        <w:t xml:space="preserve">על פי </w:t>
      </w:r>
      <w:r w:rsidRPr="005E17DC">
        <w:rPr>
          <w:rtl/>
        </w:rPr>
        <w:t>אילוצי התקציב. זכאות למענק איזון משמעותה גירעון מובנה בתקציב הרשות המקומית, חוסר עצמאות כלכלית שלה והיעדר בסיס כלכלי איתן לפעילותה.</w:t>
      </w:r>
      <w:r w:rsidRPr="005E17DC">
        <w:rPr>
          <w:rFonts w:hint="cs"/>
          <w:rtl/>
        </w:rPr>
        <w:t xml:space="preserve"> על פי פקודת העיריות</w:t>
      </w:r>
      <w:r>
        <w:rPr>
          <w:vertAlign w:val="superscript"/>
          <w:rtl/>
        </w:rPr>
        <w:footnoteReference w:id="21"/>
      </w:r>
      <w:r w:rsidRPr="005E17DC">
        <w:rPr>
          <w:rFonts w:hint="cs"/>
          <w:rtl/>
        </w:rPr>
        <w:t>, רשות המקבלת מענק איזון אינה יכולה להיחשב רשות איתנה. עיריית רמלה מקבלת מענק איזון - ב-2018 היה גובהו כ-39 מיליון ש"ח ושיעורו מתקציב העירייה היה כ-7%, שיעור נמוך מאשר בשנת 2010, אז היה כ-12%.</w:t>
      </w:r>
    </w:p>
    <w:p w:rsidR="005E17DC" w:rsidRPr="005E17DC" w:rsidP="00385106">
      <w:pPr>
        <w:spacing w:line="269" w:lineRule="auto"/>
        <w:ind w:left="-567"/>
        <w:rPr>
          <w:szCs w:val="20"/>
          <w:rtl/>
        </w:rPr>
      </w:pPr>
    </w:p>
    <w:p w:rsidR="005E17DC" w:rsidRPr="005E17DC" w:rsidP="00385106">
      <w:pPr>
        <w:spacing w:line="269" w:lineRule="auto"/>
      </w:pPr>
      <w:r w:rsidRPr="005E17DC">
        <w:rPr>
          <w:rFonts w:hint="cs"/>
          <w:rtl/>
        </w:rPr>
        <w:t xml:space="preserve">התפלגות מקורות ההכנסה של רשות מקומית מלמדת בין השאר על מידת עצמאותה התקציבית ועל החוסן המבני שלה - ככל שגבוה יותר משקלן היחסי של ההכנסות העצמיות מכלל הכנסותיה, כן בסיסה הכלכלי איתן יותר, תלותה בשלטון המרכזי מעטה יותר, ורבה יותר יכולתה לגייס אשראי בתנאים טובים. </w:t>
      </w:r>
    </w:p>
    <w:p w:rsidR="00262AD9" w:rsidP="00385106">
      <w:pPr>
        <w:spacing w:line="269" w:lineRule="auto"/>
        <w:ind w:left="-567"/>
        <w:rPr>
          <w:szCs w:val="20"/>
          <w:rtl/>
        </w:rPr>
      </w:pPr>
    </w:p>
    <w:p w:rsidR="005E17DC" w:rsidRPr="005E17DC" w:rsidP="00385106">
      <w:pPr>
        <w:spacing w:line="269" w:lineRule="auto"/>
        <w:rPr>
          <w:rFonts w:eastAsia="Times New Roman"/>
          <w:color w:val="000000"/>
          <w:sz w:val="24"/>
          <w:rtl/>
        </w:rPr>
      </w:pPr>
      <w:r w:rsidRPr="005E17DC">
        <w:rPr>
          <w:rFonts w:eastAsiaTheme="majorEastAsia" w:hint="cs"/>
          <w:bCs/>
          <w:spacing w:val="40"/>
          <w:rtl/>
        </w:rPr>
        <w:t>שיעור ההכנסות עצמיות</w:t>
      </w:r>
      <w:r>
        <w:rPr>
          <w:rFonts w:eastAsia="Times New Roman"/>
          <w:color w:val="000000"/>
          <w:sz w:val="24"/>
          <w:vertAlign w:val="superscript"/>
          <w:rtl/>
        </w:rPr>
        <w:footnoteReference w:id="22"/>
      </w:r>
      <w:r w:rsidRPr="005E17DC">
        <w:rPr>
          <w:rFonts w:eastAsiaTheme="majorEastAsia" w:hint="cs"/>
          <w:bCs/>
          <w:spacing w:val="40"/>
          <w:rtl/>
        </w:rPr>
        <w:t>:</w:t>
      </w:r>
      <w:r w:rsidRPr="005E17DC">
        <w:rPr>
          <w:rFonts w:eastAsia="Times New Roman" w:hint="cs"/>
          <w:color w:val="000000"/>
          <w:sz w:val="24"/>
          <w:rtl/>
        </w:rPr>
        <w:t xml:space="preserve"> לפי פקודת העיריות, תבחין הכרחי אחר להכרזת איתנות הוא הכנסה עצמית העולה על 62.5% מן ההכנסות. לפי בדיקה שעשה משרד הפנים, יש מתאם חיובי בין שיעור ההכנסות העצמיות של רשויות מקומיות ובין מצבן הכלכלי, ונמצא כי רשויות איתנות מתאפיינות בהכנסות עצמיות ששיעורן גבוה מ-70%</w:t>
      </w:r>
      <w:r>
        <w:rPr>
          <w:rFonts w:eastAsia="Times New Roman"/>
          <w:color w:val="000000"/>
          <w:sz w:val="24"/>
          <w:vertAlign w:val="superscript"/>
          <w:rtl/>
        </w:rPr>
        <w:footnoteReference w:id="23"/>
      </w:r>
      <w:r w:rsidRPr="005E17DC">
        <w:rPr>
          <w:rFonts w:eastAsia="Times New Roman" w:hint="cs"/>
          <w:color w:val="000000"/>
          <w:sz w:val="24"/>
          <w:rtl/>
        </w:rPr>
        <w:t xml:space="preserve">. </w:t>
      </w:r>
    </w:p>
    <w:p w:rsidR="005E17DC" w:rsidRPr="005E17DC" w:rsidP="00385106">
      <w:pPr>
        <w:spacing w:line="269" w:lineRule="auto"/>
        <w:ind w:left="-567"/>
        <w:rPr>
          <w:szCs w:val="20"/>
          <w:rtl/>
        </w:rPr>
      </w:pPr>
    </w:p>
    <w:p w:rsidR="005E17DC" w:rsidRPr="005E17DC" w:rsidP="00E20FAF">
      <w:pPr>
        <w:spacing w:after="120" w:line="269" w:lineRule="auto"/>
        <w:ind w:left="312"/>
        <w:jc w:val="center"/>
        <w:rPr>
          <w:b/>
          <w:bCs/>
          <w:rtl/>
        </w:rPr>
      </w:pPr>
      <w:r w:rsidRPr="005E17DC">
        <w:rPr>
          <w:rFonts w:hint="cs"/>
          <w:b/>
          <w:bCs/>
          <w:rtl/>
        </w:rPr>
        <w:t>ת</w:t>
      </w:r>
      <w:r w:rsidRPr="005E17DC">
        <w:rPr>
          <w:rFonts w:hint="eastAsia"/>
          <w:b/>
          <w:bCs/>
          <w:rtl/>
        </w:rPr>
        <w:t>רשים</w:t>
      </w:r>
      <w:r w:rsidRPr="005E17DC">
        <w:rPr>
          <w:b/>
          <w:bCs/>
          <w:rtl/>
        </w:rPr>
        <w:t xml:space="preserve"> </w:t>
      </w:r>
      <w:r w:rsidRPr="005E17DC">
        <w:rPr>
          <w:rFonts w:hint="cs"/>
          <w:b/>
          <w:bCs/>
          <w:rtl/>
        </w:rPr>
        <w:t>6: שיעור ההכנסה העצמית בעיריית רמלה</w:t>
      </w:r>
      <w:r w:rsidRPr="005E17DC">
        <w:rPr>
          <w:b/>
          <w:bCs/>
          <w:rtl/>
        </w:rPr>
        <w:t xml:space="preserve">, </w:t>
      </w:r>
      <w:r w:rsidRPr="005E17DC">
        <w:rPr>
          <w:rFonts w:hint="eastAsia"/>
          <w:b/>
          <w:bCs/>
          <w:rtl/>
        </w:rPr>
        <w:t>ב</w:t>
      </w:r>
      <w:r w:rsidRPr="005E17DC">
        <w:rPr>
          <w:rFonts w:hint="cs"/>
          <w:b/>
          <w:bCs/>
          <w:rtl/>
        </w:rPr>
        <w:t xml:space="preserve">כלל העיריות </w:t>
      </w:r>
      <w:r w:rsidRPr="005E17DC">
        <w:rPr>
          <w:rFonts w:hint="eastAsia"/>
          <w:b/>
          <w:bCs/>
          <w:rtl/>
        </w:rPr>
        <w:t>ו</w:t>
      </w:r>
      <w:r w:rsidRPr="005E17DC">
        <w:rPr>
          <w:rFonts w:hint="cs"/>
          <w:b/>
          <w:bCs/>
          <w:rtl/>
        </w:rPr>
        <w:t>בעיריות בינוניות</w:t>
      </w:r>
      <w:r w:rsidRPr="005E17DC">
        <w:rPr>
          <w:b/>
          <w:bCs/>
          <w:rtl/>
        </w:rPr>
        <w:t>,</w:t>
      </w:r>
      <w:r w:rsidRPr="005E17DC">
        <w:rPr>
          <w:b/>
          <w:bCs/>
          <w:rtl/>
        </w:rPr>
        <w:br/>
        <w:t>20</w:t>
      </w:r>
      <w:r w:rsidRPr="005E17DC">
        <w:rPr>
          <w:rFonts w:hint="cs"/>
          <w:b/>
          <w:bCs/>
          <w:rtl/>
        </w:rPr>
        <w:t>14</w:t>
      </w:r>
      <w:r w:rsidRPr="005E17DC">
        <w:rPr>
          <w:b/>
          <w:bCs/>
          <w:rtl/>
        </w:rPr>
        <w:t xml:space="preserve"> </w:t>
      </w:r>
      <w:r w:rsidRPr="005E17DC">
        <w:rPr>
          <w:rFonts w:hint="cs"/>
          <w:b/>
          <w:bCs/>
          <w:rtl/>
        </w:rPr>
        <w:t>-</w:t>
      </w:r>
      <w:r w:rsidRPr="005E17DC">
        <w:rPr>
          <w:b/>
          <w:bCs/>
          <w:rtl/>
        </w:rPr>
        <w:t xml:space="preserve"> 201</w:t>
      </w:r>
      <w:r w:rsidRPr="005E17DC">
        <w:rPr>
          <w:rFonts w:hint="cs"/>
          <w:b/>
          <w:bCs/>
          <w:rtl/>
        </w:rPr>
        <w:t>8</w:t>
      </w:r>
    </w:p>
    <w:p w:rsidR="005E17DC" w:rsidRPr="005E17DC" w:rsidP="00385106">
      <w:pPr>
        <w:spacing w:line="269" w:lineRule="auto"/>
        <w:rPr>
          <w:rtl/>
        </w:rPr>
      </w:pPr>
      <w:r w:rsidRPr="005E17DC">
        <w:rPr>
          <w:noProof/>
        </w:rPr>
        <w:drawing>
          <wp:inline distT="0" distB="0" distL="0" distR="0">
            <wp:extent cx="5294801" cy="3219450"/>
            <wp:effectExtent l="0" t="0" r="1270" b="0"/>
            <wp:docPr id="19" name="תרשים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E17DC" w:rsidRPr="005E17DC" w:rsidP="00E20FAF">
      <w:pPr>
        <w:spacing w:before="120" w:line="269" w:lineRule="auto"/>
        <w:rPr>
          <w:sz w:val="18"/>
          <w:szCs w:val="22"/>
          <w:rtl/>
        </w:rPr>
      </w:pPr>
      <w:r w:rsidRPr="005E17DC">
        <w:rPr>
          <w:rFonts w:hint="cs"/>
          <w:sz w:val="18"/>
          <w:szCs w:val="22"/>
          <w:rtl/>
        </w:rPr>
        <w:t>על פי נתוני הדוחות הכספיים המבוקרים של הרשויות המקומיות, בעיבוד משרד מבקר המדינה.</w:t>
      </w:r>
    </w:p>
    <w:p w:rsidR="005E17DC" w:rsidRPr="005E17DC" w:rsidP="00385106">
      <w:pPr>
        <w:spacing w:line="269" w:lineRule="auto"/>
        <w:ind w:left="-567"/>
        <w:rPr>
          <w:szCs w:val="20"/>
          <w:rtl/>
        </w:rPr>
      </w:pPr>
    </w:p>
    <w:p w:rsidR="005E17DC" w:rsidRPr="005E17DC" w:rsidP="00385106">
      <w:pPr>
        <w:spacing w:line="269" w:lineRule="auto"/>
        <w:rPr>
          <w:color w:val="000000"/>
          <w:rtl/>
        </w:rPr>
      </w:pPr>
      <w:r w:rsidRPr="005E17DC">
        <w:rPr>
          <w:rFonts w:hint="cs"/>
          <w:color w:val="000000"/>
          <w:rtl/>
        </w:rPr>
        <w:t>מהתרשים לעיל עולה שעיריית רמלה עמדה בתבחין זה לאיתנות בשנים 2014 ו-2015 אך בשלוש השנים שאחריהן ירד שיעור הכנסתה העצמית ובשנת 2018 עמד על 60%. סיבת הירידה היא הגידול הנמוך של ההכנסות העצמיות של העירייה יחסית לגידולן של כלל ההכנסות בתקציבה.</w:t>
      </w:r>
    </w:p>
    <w:p w:rsidR="005E17DC" w:rsidRPr="005E17DC" w:rsidP="00385106">
      <w:pPr>
        <w:spacing w:line="269" w:lineRule="auto"/>
        <w:ind w:left="-567"/>
        <w:rPr>
          <w:szCs w:val="20"/>
          <w:rtl/>
        </w:rPr>
      </w:pPr>
    </w:p>
    <w:p w:rsidR="005E17DC" w:rsidRPr="005E17DC" w:rsidP="00385106">
      <w:pPr>
        <w:spacing w:line="269" w:lineRule="auto"/>
        <w:rPr>
          <w:rFonts w:eastAsia="Times New Roman" w:cs="Times New Roman"/>
          <w:color w:val="000000"/>
          <w:sz w:val="24"/>
          <w:rtl/>
        </w:rPr>
      </w:pPr>
      <w:r w:rsidRPr="005E17DC">
        <w:rPr>
          <w:rFonts w:eastAsia="Times New Roman" w:hint="cs"/>
          <w:color w:val="000000"/>
          <w:sz w:val="24"/>
          <w:rtl/>
        </w:rPr>
        <w:t>גם ברשויות מקומיות בקבוצות ההשוואה ירדו שיעורי ההכנסות העצמיות במרוצת השנים, אם כי ירידה מתונה יותר: ההכנסה העצמית הממוצעת של כלל העיריות ירדה מ-72% ל-69% ושל העיריות הבינוניות - מ-67% בקירוב ל-63% בקירוב.</w:t>
      </w:r>
    </w:p>
    <w:p w:rsidR="005E17DC" w:rsidRPr="005E17DC" w:rsidP="00385106">
      <w:pPr>
        <w:spacing w:line="269" w:lineRule="auto"/>
        <w:ind w:left="-567"/>
        <w:rPr>
          <w:szCs w:val="20"/>
          <w:rtl/>
        </w:rPr>
      </w:pPr>
    </w:p>
    <w:p w:rsidR="005E17DC" w:rsidRPr="005E17DC" w:rsidP="00385106">
      <w:pPr>
        <w:spacing w:line="269" w:lineRule="auto"/>
        <w:rPr>
          <w:b/>
          <w:rtl/>
        </w:rPr>
      </w:pPr>
      <w:r w:rsidRPr="005E17DC">
        <w:rPr>
          <w:rFonts w:hint="cs"/>
          <w:b/>
          <w:bCs/>
          <w:rtl/>
        </w:rPr>
        <w:t>משרד מבקר המדינה ממליץ ל</w:t>
      </w:r>
      <w:r w:rsidRPr="005E17DC">
        <w:rPr>
          <w:rFonts w:hint="eastAsia"/>
          <w:b/>
          <w:bCs/>
          <w:rtl/>
        </w:rPr>
        <w:t>עיריית</w:t>
      </w:r>
      <w:r w:rsidRPr="005E17DC">
        <w:rPr>
          <w:b/>
          <w:bCs/>
          <w:rtl/>
        </w:rPr>
        <w:t xml:space="preserve"> </w:t>
      </w:r>
      <w:r w:rsidRPr="005E17DC">
        <w:rPr>
          <w:rFonts w:hint="eastAsia"/>
          <w:b/>
          <w:bCs/>
          <w:rtl/>
        </w:rPr>
        <w:t>רמלה</w:t>
      </w:r>
      <w:r w:rsidRPr="005E17DC">
        <w:rPr>
          <w:b/>
          <w:bCs/>
          <w:rtl/>
        </w:rPr>
        <w:t xml:space="preserve"> </w:t>
      </w:r>
      <w:r w:rsidRPr="005E17DC">
        <w:rPr>
          <w:rFonts w:hint="eastAsia"/>
          <w:b/>
          <w:bCs/>
          <w:rtl/>
        </w:rPr>
        <w:t>לבחון</w:t>
      </w:r>
      <w:r w:rsidRPr="005E17DC">
        <w:rPr>
          <w:b/>
          <w:bCs/>
          <w:rtl/>
        </w:rPr>
        <w:t xml:space="preserve"> </w:t>
      </w:r>
      <w:r w:rsidRPr="005E17DC">
        <w:rPr>
          <w:rFonts w:hint="cs"/>
          <w:b/>
          <w:bCs/>
          <w:rtl/>
        </w:rPr>
        <w:t>דרכים</w:t>
      </w:r>
      <w:r w:rsidRPr="005E17DC">
        <w:rPr>
          <w:b/>
          <w:bCs/>
          <w:rtl/>
        </w:rPr>
        <w:t xml:space="preserve"> </w:t>
      </w:r>
      <w:r w:rsidRPr="005E17DC">
        <w:rPr>
          <w:rFonts w:hint="cs"/>
          <w:b/>
          <w:bCs/>
          <w:rtl/>
        </w:rPr>
        <w:t xml:space="preserve">להגדלת </w:t>
      </w:r>
      <w:r w:rsidRPr="005E17DC">
        <w:rPr>
          <w:b/>
          <w:bCs/>
          <w:rtl/>
        </w:rPr>
        <w:t>הכנסותיה העצמיות</w:t>
      </w:r>
      <w:r w:rsidRPr="005E17DC">
        <w:rPr>
          <w:rFonts w:hint="cs"/>
          <w:b/>
          <w:bCs/>
          <w:rtl/>
        </w:rPr>
        <w:t>, כדי לחזק את איתנותה הפיננסית ולצמצם את תלותה בממשלה.</w:t>
      </w:r>
      <w:r w:rsidRPr="005E17DC">
        <w:rPr>
          <w:b/>
          <w:bCs/>
          <w:rtl/>
        </w:rPr>
        <w:t xml:space="preserve"> </w:t>
      </w:r>
    </w:p>
    <w:p w:rsidR="005E17DC" w:rsidRPr="005E17DC" w:rsidP="00385106">
      <w:pPr>
        <w:bidi w:val="0"/>
        <w:spacing w:line="269" w:lineRule="auto"/>
        <w:rPr>
          <w:szCs w:val="20"/>
          <w:rtl/>
        </w:rPr>
      </w:pPr>
      <w:r w:rsidRPr="005E17DC">
        <w:rPr>
          <w:rtl/>
        </w:rPr>
        <w:br w:type="page"/>
      </w:r>
    </w:p>
    <w:p w:rsidR="005E17DC" w:rsidRPr="005E17DC" w:rsidP="00385106">
      <w:pPr>
        <w:spacing w:line="269" w:lineRule="auto"/>
        <w:ind w:left="-567"/>
        <w:rPr>
          <w:szCs w:val="20"/>
          <w:rtl/>
        </w:rPr>
      </w:pPr>
    </w:p>
    <w:p w:rsidR="005E17DC" w:rsidRPr="005E17DC" w:rsidP="00385106">
      <w:pPr>
        <w:spacing w:line="269" w:lineRule="auto"/>
        <w:rPr>
          <w:rtl/>
        </w:rPr>
      </w:pPr>
      <w:r w:rsidRPr="005E17DC">
        <w:rPr>
          <w:rFonts w:eastAsiaTheme="majorEastAsia" w:hint="cs"/>
          <w:bCs/>
          <w:spacing w:val="40"/>
          <w:rtl/>
        </w:rPr>
        <w:t>שיעור גביית ארנונה</w:t>
      </w:r>
      <w:r>
        <w:rPr>
          <w:vertAlign w:val="superscript"/>
          <w:rtl/>
        </w:rPr>
        <w:footnoteReference w:id="24"/>
      </w:r>
      <w:r w:rsidRPr="005E17DC">
        <w:rPr>
          <w:rFonts w:eastAsiaTheme="majorEastAsia" w:hint="cs"/>
          <w:bCs/>
          <w:spacing w:val="40"/>
          <w:rtl/>
        </w:rPr>
        <w:t>:</w:t>
      </w:r>
      <w:r w:rsidRPr="005E17DC">
        <w:rPr>
          <w:rFonts w:hint="cs"/>
          <w:rtl/>
        </w:rPr>
        <w:t xml:space="preserve"> ארנונה היא מס המוטל על מחזיקי נכסים בשטח הרשות המקומית - נכסים למגורים ונכסים לשימושים אחרים, כמו בתי עסק, בתי מלון ומבני תעשייה. ההכנסות מארנונה מיועדות למימון פעולותיה של הרשות. </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Fonts w:hint="cs"/>
          <w:rtl/>
        </w:rPr>
        <w:t>תבחין לאיתנות</w:t>
      </w:r>
      <w:r>
        <w:rPr>
          <w:vertAlign w:val="superscript"/>
          <w:rtl/>
        </w:rPr>
        <w:footnoteReference w:id="25"/>
      </w:r>
      <w:r w:rsidRPr="005E17DC">
        <w:rPr>
          <w:rFonts w:hint="cs"/>
          <w:rtl/>
        </w:rPr>
        <w:t xml:space="preserve"> של עירייה הוא גביית ארנונה בשיעור העולה על 80% מחיובי הארנונה השוטפים בכל אחת משלוש השנים שקדמו לשנת הכספים. ככל ששיעורי גביית הארנונה גבוהים יותר, כך גדלה ההכנסה העצמית של הרשות ורבות יותר יכולתה הכלכלית ועצמאותה. זאת ועוד, שיעורי גבייה גבוהים הם ביטוי </w:t>
      </w:r>
      <w:r w:rsidRPr="005E17DC">
        <w:rPr>
          <w:rFonts w:hint="cs"/>
          <w:rtl/>
        </w:rPr>
        <w:t>למינהל</w:t>
      </w:r>
      <w:r w:rsidRPr="005E17DC">
        <w:rPr>
          <w:rFonts w:hint="cs"/>
          <w:rtl/>
        </w:rPr>
        <w:t xml:space="preserve"> תקין ומשקפים חלוקה שוויונית של נטל המס.</w:t>
      </w:r>
    </w:p>
    <w:p w:rsidR="005E17DC" w:rsidRPr="005E17DC" w:rsidP="00385106">
      <w:pPr>
        <w:spacing w:line="269" w:lineRule="auto"/>
        <w:ind w:left="-567"/>
        <w:rPr>
          <w:szCs w:val="20"/>
          <w:rtl/>
        </w:rPr>
      </w:pPr>
    </w:p>
    <w:p w:rsidR="005E17DC" w:rsidRPr="005E17DC" w:rsidP="00E20FAF">
      <w:pPr>
        <w:spacing w:after="120" w:line="269" w:lineRule="auto"/>
        <w:ind w:left="312"/>
        <w:jc w:val="center"/>
        <w:rPr>
          <w:b/>
          <w:rtl/>
        </w:rPr>
      </w:pPr>
      <w:r w:rsidRPr="005E17DC">
        <w:rPr>
          <w:rFonts w:hint="cs"/>
          <w:b/>
          <w:bCs/>
          <w:rtl/>
        </w:rPr>
        <w:t>ת</w:t>
      </w:r>
      <w:r w:rsidRPr="005E17DC">
        <w:rPr>
          <w:rFonts w:hint="eastAsia"/>
          <w:b/>
          <w:bCs/>
          <w:rtl/>
        </w:rPr>
        <w:t>רשים</w:t>
      </w:r>
      <w:r w:rsidRPr="005E17DC">
        <w:rPr>
          <w:b/>
          <w:bCs/>
          <w:rtl/>
        </w:rPr>
        <w:t xml:space="preserve"> </w:t>
      </w:r>
      <w:r w:rsidRPr="005E17DC">
        <w:rPr>
          <w:rFonts w:hint="cs"/>
          <w:b/>
          <w:bCs/>
          <w:rtl/>
        </w:rPr>
        <w:t xml:space="preserve">7: </w:t>
      </w:r>
      <w:r w:rsidRPr="005E17DC">
        <w:rPr>
          <w:rFonts w:hint="eastAsia"/>
          <w:b/>
          <w:bCs/>
          <w:rtl/>
        </w:rPr>
        <w:t>שיעור</w:t>
      </w:r>
      <w:r w:rsidRPr="005E17DC">
        <w:rPr>
          <w:b/>
          <w:bCs/>
          <w:rtl/>
        </w:rPr>
        <w:t xml:space="preserve"> גביית </w:t>
      </w:r>
      <w:r w:rsidRPr="005E17DC">
        <w:rPr>
          <w:rFonts w:hint="cs"/>
          <w:b/>
          <w:bCs/>
          <w:rtl/>
        </w:rPr>
        <w:t>ה</w:t>
      </w:r>
      <w:r w:rsidRPr="005E17DC">
        <w:rPr>
          <w:b/>
          <w:bCs/>
          <w:rtl/>
        </w:rPr>
        <w:t xml:space="preserve">ארנונה </w:t>
      </w:r>
      <w:r w:rsidRPr="005E17DC">
        <w:rPr>
          <w:rFonts w:hint="eastAsia"/>
          <w:b/>
          <w:bCs/>
          <w:rtl/>
        </w:rPr>
        <w:t>ב</w:t>
      </w:r>
      <w:r w:rsidRPr="005E17DC">
        <w:rPr>
          <w:rFonts w:hint="cs"/>
          <w:b/>
          <w:bCs/>
          <w:rtl/>
        </w:rPr>
        <w:t>רמלה</w:t>
      </w:r>
      <w:r w:rsidRPr="005E17DC">
        <w:rPr>
          <w:b/>
          <w:bCs/>
          <w:rtl/>
        </w:rPr>
        <w:t xml:space="preserve">, </w:t>
      </w:r>
      <w:r w:rsidRPr="005E17DC">
        <w:rPr>
          <w:rFonts w:hint="eastAsia"/>
          <w:b/>
          <w:bCs/>
          <w:rtl/>
        </w:rPr>
        <w:t>ב</w:t>
      </w:r>
      <w:r w:rsidRPr="005E17DC">
        <w:rPr>
          <w:rFonts w:hint="cs"/>
          <w:b/>
          <w:bCs/>
          <w:rtl/>
        </w:rPr>
        <w:t xml:space="preserve">כלל העיריות </w:t>
      </w:r>
      <w:r w:rsidRPr="005E17DC">
        <w:rPr>
          <w:rFonts w:hint="eastAsia"/>
          <w:b/>
          <w:bCs/>
          <w:rtl/>
        </w:rPr>
        <w:t>ו</w:t>
      </w:r>
      <w:r w:rsidRPr="005E17DC">
        <w:rPr>
          <w:rFonts w:hint="cs"/>
          <w:b/>
          <w:bCs/>
          <w:rtl/>
        </w:rPr>
        <w:t>בעיריות בינוניות</w:t>
      </w:r>
      <w:r w:rsidRPr="005E17DC">
        <w:rPr>
          <w:b/>
          <w:bCs/>
          <w:rtl/>
        </w:rPr>
        <w:t>, 20</w:t>
      </w:r>
      <w:r w:rsidRPr="005E17DC">
        <w:rPr>
          <w:rFonts w:hint="cs"/>
          <w:b/>
          <w:bCs/>
          <w:rtl/>
        </w:rPr>
        <w:t>14</w:t>
      </w:r>
      <w:r w:rsidRPr="005E17DC">
        <w:rPr>
          <w:b/>
          <w:bCs/>
          <w:rtl/>
        </w:rPr>
        <w:t xml:space="preserve"> </w:t>
      </w:r>
      <w:r w:rsidRPr="005E17DC">
        <w:rPr>
          <w:rFonts w:hint="eastAsia"/>
          <w:b/>
          <w:bCs/>
          <w:rtl/>
        </w:rPr>
        <w:t>עד</w:t>
      </w:r>
      <w:r w:rsidRPr="005E17DC">
        <w:rPr>
          <w:b/>
          <w:bCs/>
          <w:rtl/>
        </w:rPr>
        <w:t xml:space="preserve"> 201</w:t>
      </w:r>
      <w:r w:rsidRPr="005E17DC">
        <w:rPr>
          <w:rFonts w:hint="cs"/>
          <w:b/>
          <w:bCs/>
          <w:rtl/>
        </w:rPr>
        <w:t>8</w:t>
      </w:r>
    </w:p>
    <w:p w:rsidR="005E17DC" w:rsidRPr="005E17DC" w:rsidP="00385106">
      <w:pPr>
        <w:spacing w:line="269" w:lineRule="auto"/>
        <w:jc w:val="center"/>
        <w:rPr>
          <w:rtl/>
        </w:rPr>
      </w:pPr>
      <w:r w:rsidRPr="005E17DC">
        <w:rPr>
          <w:noProof/>
        </w:rPr>
        <w:drawing>
          <wp:inline distT="0" distB="0" distL="0" distR="0">
            <wp:extent cx="5185382" cy="2743200"/>
            <wp:effectExtent l="0" t="0" r="15875" b="0"/>
            <wp:docPr id="17" name="תרשים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E17DC" w:rsidRPr="005E17DC" w:rsidP="004765AF">
      <w:pPr>
        <w:spacing w:before="120" w:line="269" w:lineRule="auto"/>
        <w:rPr>
          <w:sz w:val="18"/>
          <w:szCs w:val="22"/>
          <w:rtl/>
        </w:rPr>
      </w:pPr>
      <w:r w:rsidRPr="005E17DC">
        <w:rPr>
          <w:rFonts w:hint="cs"/>
          <w:sz w:val="18"/>
          <w:szCs w:val="22"/>
          <w:rtl/>
        </w:rPr>
        <w:t>על פי נתוני הדוחות הכספיים המבוקרים של הרשויות המקומיות, בעיבוד משרד מבקר המדינה.</w:t>
      </w:r>
    </w:p>
    <w:p w:rsidR="005E17DC" w:rsidRPr="005E17DC" w:rsidP="00385106">
      <w:pPr>
        <w:spacing w:line="269" w:lineRule="auto"/>
        <w:ind w:left="-567"/>
        <w:rPr>
          <w:szCs w:val="20"/>
          <w:rtl/>
        </w:rPr>
      </w:pPr>
    </w:p>
    <w:p w:rsidR="005E17DC" w:rsidRPr="005E17DC" w:rsidP="00385106">
      <w:pPr>
        <w:spacing w:line="269" w:lineRule="auto"/>
        <w:rPr>
          <w:b/>
          <w:bCs/>
          <w:rtl/>
        </w:rPr>
      </w:pPr>
      <w:r w:rsidRPr="005E17DC">
        <w:rPr>
          <w:rFonts w:hint="cs"/>
          <w:b/>
          <w:bCs/>
          <w:rtl/>
        </w:rPr>
        <w:t>מהתרשים</w:t>
      </w:r>
      <w:r w:rsidRPr="005E17DC">
        <w:rPr>
          <w:b/>
          <w:bCs/>
          <w:rtl/>
        </w:rPr>
        <w:t xml:space="preserve"> שלעיל עולה כי בחמש השנים האחרונות </w:t>
      </w:r>
      <w:r w:rsidRPr="005E17DC">
        <w:rPr>
          <w:rFonts w:hint="cs"/>
          <w:b/>
          <w:bCs/>
          <w:rtl/>
        </w:rPr>
        <w:t xml:space="preserve">היו </w:t>
      </w:r>
      <w:r w:rsidRPr="005E17DC">
        <w:rPr>
          <w:b/>
          <w:bCs/>
          <w:rtl/>
        </w:rPr>
        <w:t xml:space="preserve">שיעורי הגבייה של </w:t>
      </w:r>
      <w:r w:rsidRPr="005E17DC">
        <w:rPr>
          <w:rFonts w:hint="cs"/>
          <w:b/>
          <w:bCs/>
          <w:rtl/>
        </w:rPr>
        <w:t>הארנונה</w:t>
      </w:r>
      <w:r w:rsidRPr="005E17DC">
        <w:rPr>
          <w:b/>
          <w:bCs/>
          <w:rtl/>
        </w:rPr>
        <w:t xml:space="preserve"> ברמלה </w:t>
      </w:r>
      <w:r w:rsidRPr="005E17DC">
        <w:rPr>
          <w:rFonts w:hint="cs"/>
          <w:b/>
          <w:bCs/>
          <w:rtl/>
        </w:rPr>
        <w:t>גבוהים</w:t>
      </w:r>
      <w:r w:rsidRPr="005E17DC">
        <w:rPr>
          <w:b/>
          <w:bCs/>
          <w:rtl/>
        </w:rPr>
        <w:t xml:space="preserve"> </w:t>
      </w:r>
      <w:r w:rsidRPr="005E17DC">
        <w:rPr>
          <w:rFonts w:hint="cs"/>
          <w:b/>
          <w:bCs/>
          <w:rtl/>
        </w:rPr>
        <w:t>מ</w:t>
      </w:r>
      <w:r w:rsidRPr="005E17DC">
        <w:rPr>
          <w:b/>
          <w:bCs/>
          <w:rtl/>
        </w:rPr>
        <w:t xml:space="preserve">-89%, </w:t>
      </w:r>
      <w:r w:rsidRPr="005E17DC">
        <w:rPr>
          <w:rFonts w:hint="cs"/>
          <w:b/>
          <w:bCs/>
          <w:rtl/>
        </w:rPr>
        <w:t>משמע שהעירייה</w:t>
      </w:r>
      <w:r w:rsidRPr="005E17DC">
        <w:rPr>
          <w:b/>
          <w:bCs/>
          <w:rtl/>
        </w:rPr>
        <w:t xml:space="preserve"> מקיימת תנאי זה לאיתנות. </w:t>
      </w:r>
      <w:r w:rsidRPr="005E17DC">
        <w:rPr>
          <w:rFonts w:hint="cs"/>
          <w:b/>
          <w:bCs/>
          <w:rtl/>
        </w:rPr>
        <w:t>יתר</w:t>
      </w:r>
      <w:r w:rsidRPr="005E17DC">
        <w:rPr>
          <w:b/>
          <w:bCs/>
          <w:rtl/>
        </w:rPr>
        <w:t xml:space="preserve"> </w:t>
      </w:r>
      <w:r w:rsidRPr="005E17DC">
        <w:rPr>
          <w:rFonts w:hint="cs"/>
          <w:b/>
          <w:bCs/>
          <w:rtl/>
        </w:rPr>
        <w:t>על</w:t>
      </w:r>
      <w:r w:rsidRPr="005E17DC">
        <w:rPr>
          <w:b/>
          <w:bCs/>
          <w:rtl/>
        </w:rPr>
        <w:t xml:space="preserve"> </w:t>
      </w:r>
      <w:r w:rsidRPr="005E17DC">
        <w:rPr>
          <w:rFonts w:hint="cs"/>
          <w:b/>
          <w:bCs/>
          <w:rtl/>
        </w:rPr>
        <w:t>כן</w:t>
      </w:r>
      <w:r w:rsidRPr="005E17DC">
        <w:rPr>
          <w:b/>
          <w:bCs/>
          <w:rtl/>
        </w:rPr>
        <w:t xml:space="preserve">, </w:t>
      </w:r>
      <w:r w:rsidRPr="005E17DC">
        <w:rPr>
          <w:rFonts w:hint="cs"/>
          <w:b/>
          <w:bCs/>
          <w:rtl/>
        </w:rPr>
        <w:t>יצוין</w:t>
      </w:r>
      <w:r w:rsidRPr="005E17DC">
        <w:rPr>
          <w:b/>
          <w:bCs/>
          <w:rtl/>
        </w:rPr>
        <w:t xml:space="preserve"> לחיוב כי </w:t>
      </w:r>
      <w:r w:rsidRPr="005E17DC">
        <w:rPr>
          <w:rFonts w:hint="cs"/>
          <w:b/>
          <w:bCs/>
          <w:rtl/>
        </w:rPr>
        <w:t>מ</w:t>
      </w:r>
      <w:r w:rsidRPr="005E17DC">
        <w:rPr>
          <w:b/>
          <w:bCs/>
          <w:rtl/>
        </w:rPr>
        <w:t xml:space="preserve">-2017 שיעורי הגבייה ברמלה גבוהים מ-90% - </w:t>
      </w:r>
      <w:r w:rsidRPr="005E17DC">
        <w:rPr>
          <w:rFonts w:hint="cs"/>
          <w:b/>
          <w:bCs/>
          <w:rtl/>
        </w:rPr>
        <w:t xml:space="preserve">כ-3% יותר </w:t>
      </w:r>
      <w:r w:rsidRPr="005E17DC">
        <w:rPr>
          <w:b/>
          <w:bCs/>
          <w:rtl/>
        </w:rPr>
        <w:t xml:space="preserve">משיעורי הגבייה </w:t>
      </w:r>
      <w:r w:rsidRPr="005E17DC">
        <w:rPr>
          <w:rFonts w:hint="cs"/>
          <w:b/>
          <w:bCs/>
          <w:rtl/>
        </w:rPr>
        <w:t>הממוצעים</w:t>
      </w:r>
      <w:r w:rsidRPr="005E17DC">
        <w:rPr>
          <w:b/>
          <w:bCs/>
          <w:rtl/>
        </w:rPr>
        <w:t xml:space="preserve"> </w:t>
      </w:r>
      <w:r w:rsidRPr="005E17DC">
        <w:rPr>
          <w:rFonts w:hint="cs"/>
          <w:b/>
          <w:bCs/>
          <w:rtl/>
        </w:rPr>
        <w:t>בכלל</w:t>
      </w:r>
      <w:r w:rsidRPr="005E17DC">
        <w:rPr>
          <w:b/>
          <w:bCs/>
          <w:rtl/>
        </w:rPr>
        <w:t xml:space="preserve"> </w:t>
      </w:r>
      <w:r w:rsidRPr="005E17DC">
        <w:rPr>
          <w:rFonts w:hint="cs"/>
          <w:b/>
          <w:bCs/>
          <w:rtl/>
        </w:rPr>
        <w:t>העיריות</w:t>
      </w:r>
      <w:r w:rsidRPr="005E17DC">
        <w:rPr>
          <w:b/>
          <w:bCs/>
          <w:rtl/>
        </w:rPr>
        <w:t xml:space="preserve"> </w:t>
      </w:r>
      <w:r w:rsidRPr="005E17DC">
        <w:rPr>
          <w:rFonts w:hint="cs"/>
          <w:b/>
          <w:bCs/>
          <w:rtl/>
        </w:rPr>
        <w:t>וכ-2% יותר משיעורי</w:t>
      </w:r>
      <w:r w:rsidRPr="005E17DC">
        <w:rPr>
          <w:b/>
          <w:bCs/>
          <w:rtl/>
        </w:rPr>
        <w:t xml:space="preserve"> הגבייה הממוצעים </w:t>
      </w:r>
      <w:r w:rsidRPr="005E17DC">
        <w:rPr>
          <w:rFonts w:hint="cs"/>
          <w:b/>
          <w:bCs/>
          <w:rtl/>
        </w:rPr>
        <w:t>בעיריות</w:t>
      </w:r>
      <w:r w:rsidRPr="005E17DC">
        <w:rPr>
          <w:b/>
          <w:bCs/>
          <w:rtl/>
        </w:rPr>
        <w:t xml:space="preserve"> </w:t>
      </w:r>
      <w:r w:rsidRPr="005E17DC">
        <w:rPr>
          <w:rFonts w:hint="cs"/>
          <w:b/>
          <w:bCs/>
          <w:rtl/>
        </w:rPr>
        <w:t>בינוניות.</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Fonts w:eastAsiaTheme="majorEastAsia" w:hint="eastAsia"/>
          <w:bCs/>
          <w:spacing w:val="40"/>
          <w:rtl/>
        </w:rPr>
        <w:t>ארנונה</w:t>
      </w:r>
      <w:r w:rsidRPr="005E17DC">
        <w:rPr>
          <w:rFonts w:eastAsiaTheme="majorEastAsia"/>
          <w:bCs/>
          <w:spacing w:val="40"/>
          <w:rtl/>
        </w:rPr>
        <w:t xml:space="preserve"> </w:t>
      </w:r>
      <w:r w:rsidRPr="005E17DC">
        <w:rPr>
          <w:rFonts w:eastAsiaTheme="majorEastAsia" w:hint="cs"/>
          <w:bCs/>
          <w:spacing w:val="40"/>
          <w:rtl/>
        </w:rPr>
        <w:t xml:space="preserve">למבנים </w:t>
      </w:r>
      <w:r w:rsidRPr="005E17DC">
        <w:rPr>
          <w:rFonts w:eastAsiaTheme="majorEastAsia" w:hint="eastAsia"/>
          <w:bCs/>
          <w:spacing w:val="40"/>
          <w:rtl/>
        </w:rPr>
        <w:t>שאינ</w:t>
      </w:r>
      <w:r w:rsidRPr="005E17DC">
        <w:rPr>
          <w:rFonts w:eastAsiaTheme="majorEastAsia" w:hint="cs"/>
          <w:bCs/>
          <w:spacing w:val="40"/>
          <w:rtl/>
        </w:rPr>
        <w:t>ם</w:t>
      </w:r>
      <w:r w:rsidRPr="005E17DC">
        <w:rPr>
          <w:rFonts w:eastAsiaTheme="majorEastAsia"/>
          <w:bCs/>
          <w:spacing w:val="40"/>
          <w:rtl/>
        </w:rPr>
        <w:t xml:space="preserve"> </w:t>
      </w:r>
      <w:r w:rsidRPr="005E17DC">
        <w:rPr>
          <w:rFonts w:eastAsiaTheme="majorEastAsia" w:hint="eastAsia"/>
          <w:bCs/>
          <w:spacing w:val="40"/>
          <w:rtl/>
        </w:rPr>
        <w:t>למגורים</w:t>
      </w:r>
      <w:r w:rsidRPr="005E17DC">
        <w:rPr>
          <w:b/>
          <w:bCs/>
          <w:rtl/>
        </w:rPr>
        <w:t>:</w:t>
      </w:r>
      <w:r w:rsidRPr="005E17DC">
        <w:rPr>
          <w:rFonts w:hint="cs"/>
          <w:rtl/>
        </w:rPr>
        <w:t xml:space="preserve"> לפי נתוני משרד הפנים יש קשר בין החוסן הכספי של רשות מקומית ובין תמהיל הכנסותיה מארנונה למגורים ושלא למגורים. למשל, ברשויות איתנות היה חיוב ארנונה שלא למגורים 58% מסך חיובי הארנונה, ואילו ברשויות שמצבן הכלכלי אינו איתן והן נדרשות להתייעלות כלכלית היה שיעור חיוב הארנונה שלא למגורים 48% בלבד מסך חיובי הארנונה. ההסבר לכך הוא שארנונה שמשלמים התושבים אינה מכסה את כלל הוצאות הרשות המקומית על שירותים הניתנים להם, כגון שירותי חינוך, רווחה וניקיון, ואילו עסקים ותעשייה משלמים תעריפי ארנונה גבוהים אך צורכים פחות שירותים, והוצאות העירייה בגינם פחותות.</w:t>
      </w:r>
    </w:p>
    <w:p w:rsidR="00A67A80">
      <w:pPr>
        <w:bidi w:val="0"/>
        <w:spacing w:after="200" w:line="276" w:lineRule="auto"/>
        <w:rPr>
          <w:szCs w:val="20"/>
          <w:rtl/>
        </w:rPr>
      </w:pPr>
      <w:r>
        <w:rPr>
          <w:szCs w:val="20"/>
          <w:rtl/>
        </w:rPr>
        <w:br w:type="page"/>
      </w:r>
    </w:p>
    <w:p w:rsidR="005E17DC" w:rsidRPr="005E17DC" w:rsidP="00A67A80">
      <w:pPr>
        <w:spacing w:after="120" w:line="269" w:lineRule="auto"/>
        <w:jc w:val="center"/>
        <w:rPr>
          <w:rtl/>
        </w:rPr>
      </w:pPr>
      <w:r w:rsidRPr="005E17DC">
        <w:rPr>
          <w:rFonts w:hint="cs"/>
          <w:b/>
          <w:bCs/>
          <w:rtl/>
        </w:rPr>
        <w:t>ת</w:t>
      </w:r>
      <w:r w:rsidRPr="005E17DC">
        <w:rPr>
          <w:rFonts w:hint="eastAsia"/>
          <w:b/>
          <w:bCs/>
          <w:rtl/>
        </w:rPr>
        <w:t>רשים</w:t>
      </w:r>
      <w:r w:rsidRPr="005E17DC">
        <w:rPr>
          <w:b/>
          <w:bCs/>
          <w:rtl/>
        </w:rPr>
        <w:t xml:space="preserve"> </w:t>
      </w:r>
      <w:r w:rsidRPr="005E17DC">
        <w:rPr>
          <w:rFonts w:hint="cs"/>
          <w:b/>
          <w:bCs/>
          <w:rtl/>
        </w:rPr>
        <w:t>8: שיעור חיוב</w:t>
      </w:r>
      <w:r w:rsidRPr="005E17DC">
        <w:rPr>
          <w:b/>
          <w:bCs/>
          <w:rtl/>
        </w:rPr>
        <w:t xml:space="preserve"> </w:t>
      </w:r>
      <w:r w:rsidRPr="005E17DC">
        <w:rPr>
          <w:rFonts w:hint="cs"/>
          <w:b/>
          <w:bCs/>
          <w:rtl/>
        </w:rPr>
        <w:t>ארנונה שאינה למגורים ברמלה, בכלל העיריות ובעיריות בינוניות,</w:t>
      </w:r>
      <w:r w:rsidRPr="005E17DC">
        <w:rPr>
          <w:b/>
          <w:bCs/>
          <w:rtl/>
        </w:rPr>
        <w:br/>
        <w:t>20</w:t>
      </w:r>
      <w:r w:rsidRPr="005E17DC">
        <w:rPr>
          <w:rFonts w:hint="cs"/>
          <w:b/>
          <w:bCs/>
          <w:rtl/>
        </w:rPr>
        <w:t>14</w:t>
      </w:r>
      <w:r w:rsidRPr="005E17DC">
        <w:rPr>
          <w:b/>
          <w:bCs/>
          <w:rtl/>
        </w:rPr>
        <w:t xml:space="preserve"> </w:t>
      </w:r>
      <w:r w:rsidRPr="005E17DC">
        <w:rPr>
          <w:rFonts w:hint="eastAsia"/>
          <w:b/>
          <w:bCs/>
          <w:rtl/>
        </w:rPr>
        <w:t>עד</w:t>
      </w:r>
      <w:r w:rsidRPr="005E17DC">
        <w:rPr>
          <w:b/>
          <w:bCs/>
          <w:rtl/>
        </w:rPr>
        <w:t xml:space="preserve"> 201</w:t>
      </w:r>
      <w:r w:rsidRPr="005E17DC">
        <w:rPr>
          <w:rFonts w:hint="cs"/>
          <w:b/>
          <w:bCs/>
          <w:rtl/>
        </w:rPr>
        <w:t>8</w:t>
      </w:r>
    </w:p>
    <w:p w:rsidR="005E17DC" w:rsidRPr="005E17DC" w:rsidP="00385106">
      <w:pPr>
        <w:spacing w:line="269" w:lineRule="auto"/>
        <w:jc w:val="center"/>
        <w:rPr>
          <w:rtl/>
        </w:rPr>
      </w:pPr>
      <w:r w:rsidRPr="005E17DC">
        <w:rPr>
          <w:noProof/>
        </w:rPr>
        <w:drawing>
          <wp:inline distT="0" distB="0" distL="0" distR="0">
            <wp:extent cx="5254265" cy="2743200"/>
            <wp:effectExtent l="0" t="0" r="3810" b="0"/>
            <wp:docPr id="18" name="תרשים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E17DC" w:rsidRPr="005E17DC" w:rsidP="00A67A80">
      <w:pPr>
        <w:spacing w:before="120" w:line="269" w:lineRule="auto"/>
        <w:rPr>
          <w:sz w:val="18"/>
          <w:szCs w:val="22"/>
          <w:rtl/>
        </w:rPr>
      </w:pPr>
      <w:r w:rsidRPr="005E17DC">
        <w:rPr>
          <w:rFonts w:hint="cs"/>
          <w:sz w:val="18"/>
          <w:szCs w:val="22"/>
          <w:rtl/>
        </w:rPr>
        <w:t>על פי נתוני הדוחות הכספיים המבוקרים של הרשויות המקומיות, בעיבוד משרד מבקר המדינה.</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Fonts w:hint="cs"/>
          <w:rtl/>
        </w:rPr>
        <w:t>מהתרשים שלעיל עולה כי בחמש השנים האחרונות שיעור חיוב הארנונה שאינה למגורים ברמלה גבוה מ-61%, שיעור המאפיין רשויות איתנות. עוד עולה כי שיעור זה גבוה ברמלה ב-8% בערך מהשיעור הממוצע בכלל העיריות וב-12% בערך מהשיעור הממוצע בעיריות בינוניות.</w:t>
      </w:r>
    </w:p>
    <w:p w:rsidR="005E17DC" w:rsidRPr="005E17DC" w:rsidP="00385106">
      <w:pPr>
        <w:spacing w:line="269" w:lineRule="auto"/>
        <w:ind w:left="-567"/>
        <w:rPr>
          <w:szCs w:val="20"/>
          <w:rtl/>
        </w:rPr>
      </w:pPr>
    </w:p>
    <w:p w:rsidR="005E17DC" w:rsidRPr="005E17DC" w:rsidP="00385106">
      <w:pPr>
        <w:spacing w:line="269" w:lineRule="auto"/>
        <w:rPr>
          <w:b/>
          <w:bCs/>
          <w:rtl/>
        </w:rPr>
      </w:pPr>
      <w:r w:rsidRPr="005E17DC">
        <w:rPr>
          <w:rFonts w:hint="cs"/>
          <w:b/>
          <w:bCs/>
          <w:rtl/>
        </w:rPr>
        <w:t>שמירה על שיעור גבוה יחסית של חיוב הארנונה שאינה למגורים</w:t>
      </w:r>
      <w:r w:rsidRPr="005E17DC">
        <w:rPr>
          <w:b/>
          <w:bCs/>
          <w:rtl/>
        </w:rPr>
        <w:t xml:space="preserve"> ואף </w:t>
      </w:r>
      <w:r w:rsidRPr="005E17DC">
        <w:rPr>
          <w:rFonts w:hint="eastAsia"/>
          <w:b/>
          <w:bCs/>
          <w:rtl/>
        </w:rPr>
        <w:t>הגדלתו</w:t>
      </w:r>
      <w:r w:rsidRPr="005E17DC">
        <w:rPr>
          <w:b/>
          <w:bCs/>
          <w:rtl/>
        </w:rPr>
        <w:t xml:space="preserve"> </w:t>
      </w:r>
      <w:r w:rsidRPr="005E17DC">
        <w:rPr>
          <w:rFonts w:hint="eastAsia"/>
          <w:b/>
          <w:bCs/>
          <w:rtl/>
        </w:rPr>
        <w:t>עשוי</w:t>
      </w:r>
      <w:r w:rsidRPr="005E17DC">
        <w:rPr>
          <w:rFonts w:hint="cs"/>
          <w:b/>
          <w:bCs/>
          <w:rtl/>
        </w:rPr>
        <w:t>ות</w:t>
      </w:r>
      <w:r w:rsidRPr="005E17DC">
        <w:rPr>
          <w:b/>
          <w:bCs/>
          <w:rtl/>
        </w:rPr>
        <w:t xml:space="preserve"> </w:t>
      </w:r>
      <w:r w:rsidRPr="005E17DC">
        <w:rPr>
          <w:rFonts w:hint="eastAsia"/>
          <w:b/>
          <w:bCs/>
          <w:rtl/>
        </w:rPr>
        <w:t>לתרום</w:t>
      </w:r>
      <w:r w:rsidRPr="005E17DC">
        <w:rPr>
          <w:b/>
          <w:bCs/>
          <w:rtl/>
        </w:rPr>
        <w:t xml:space="preserve"> </w:t>
      </w:r>
      <w:r w:rsidRPr="005E17DC">
        <w:rPr>
          <w:rFonts w:hint="eastAsia"/>
          <w:b/>
          <w:bCs/>
          <w:rtl/>
        </w:rPr>
        <w:t>לאיתנותה</w:t>
      </w:r>
      <w:r w:rsidRPr="005E17DC">
        <w:rPr>
          <w:b/>
          <w:bCs/>
          <w:rtl/>
        </w:rPr>
        <w:t xml:space="preserve"> הכספית של העירייה. </w:t>
      </w:r>
      <w:r w:rsidRPr="005E17DC">
        <w:rPr>
          <w:rFonts w:hint="eastAsia"/>
          <w:b/>
          <w:bCs/>
          <w:rtl/>
        </w:rPr>
        <w:t>בהמ</w:t>
      </w:r>
      <w:r w:rsidRPr="005E17DC">
        <w:rPr>
          <w:rFonts w:hint="cs"/>
          <w:b/>
          <w:bCs/>
          <w:rtl/>
        </w:rPr>
        <w:t xml:space="preserve">שך הדוח יובאו נתונים על השטחים המחויבים כיום בארנונה לסוגיה ועל הצפוי בעתיד בנושא זה. </w:t>
      </w:r>
    </w:p>
    <w:p w:rsidR="005E17DC" w:rsidRPr="005E17DC" w:rsidP="00A67A80">
      <w:pPr>
        <w:spacing w:before="120" w:line="269" w:lineRule="auto"/>
        <w:jc w:val="center"/>
        <w:rPr>
          <w:rFonts w:ascii="Arial" w:hAnsi="Arial" w:cs="Arial"/>
          <w:b/>
          <w:bCs/>
          <w:sz w:val="36"/>
          <w:rtl/>
        </w:rPr>
      </w:pPr>
      <w:r w:rsidRPr="005E17DC">
        <w:rPr>
          <w:rFonts w:ascii="Segoe UI Symbol" w:hAnsi="Segoe UI Symbol" w:cs="Segoe UI Symbol" w:hint="cs"/>
          <w:b/>
          <w:bCs/>
          <w:sz w:val="36"/>
          <w:rtl/>
        </w:rPr>
        <w:t>✰</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Fonts w:hint="cs"/>
          <w:rtl/>
        </w:rPr>
        <w:t>משרד הפנים מסר בתשובתו למשרד מבקר המדינה מפברואר 2020 (להלן - תשובת משרד הפנים) כי מנכ"ל המשרד והגורמים המקצועיים במטה ובמחוזות מקיימים בקרה שוטפת על מצבן הכלכלי של כלל הרשויות המקומיות ובמסגרת זו מחליטים על צעדים שיש לנקוט.</w:t>
      </w:r>
    </w:p>
    <w:p w:rsidR="005E17DC" w:rsidRPr="005E17DC" w:rsidP="00385106">
      <w:pPr>
        <w:spacing w:line="269" w:lineRule="auto"/>
        <w:ind w:left="-567"/>
        <w:rPr>
          <w:szCs w:val="20"/>
          <w:rtl/>
        </w:rPr>
      </w:pPr>
    </w:p>
    <w:p w:rsidR="005E17DC" w:rsidRPr="005E17DC" w:rsidP="00385106">
      <w:pPr>
        <w:keepNext/>
        <w:keepLines/>
        <w:spacing w:line="269" w:lineRule="auto"/>
        <w:outlineLvl w:val="2"/>
        <w:rPr>
          <w:rFonts w:eastAsiaTheme="majorEastAsia"/>
          <w:bCs/>
          <w:szCs w:val="28"/>
          <w:u w:val="single"/>
          <w:rtl/>
        </w:rPr>
      </w:pPr>
      <w:r w:rsidRPr="005E17DC">
        <w:rPr>
          <w:rFonts w:eastAsiaTheme="majorEastAsia" w:hint="cs"/>
          <w:bCs/>
          <w:szCs w:val="28"/>
          <w:u w:val="single"/>
          <w:rtl/>
        </w:rPr>
        <w:t>הוצאה ממוצעת לתושב</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Fonts w:hint="cs"/>
          <w:rtl/>
        </w:rPr>
        <w:t>משרד מבקר המדינה בדק את היחס בין מספר התושבים בעיר ובין ההוצאות בתקציב הרגיל של העירייה</w:t>
      </w:r>
      <w:r>
        <w:rPr>
          <w:vertAlign w:val="superscript"/>
          <w:rtl/>
        </w:rPr>
        <w:footnoteReference w:id="26"/>
      </w:r>
      <w:r w:rsidRPr="005E17DC">
        <w:rPr>
          <w:rFonts w:hint="cs"/>
          <w:rtl/>
        </w:rPr>
        <w:t>. יש לציין כי חלק מהכנסות העירייה מקורן בכספים המועברים מהממשלה, בעיקר בתחום החינוך והרווחה, וגודלם של סכומים אלה משתנה לפי מאפייניה של מערכת החינוך ולצורכי הרווחה. זאת ועוד, חלק מהמימון של שירותי החינוך ניתן במישרין ממשרדי ממשלה למוסדות החינוך. לכן, ההוצאה הממוצעת לנפש היא נתון המשקף את המשאבים שהיו בידי עירייה לשם מתן שירות לתושב, לא בהכרח את המשאבים שהושקעו בתושב בפועל.</w:t>
      </w:r>
    </w:p>
    <w:p w:rsidR="005E17DC" w:rsidRPr="005E17DC" w:rsidP="00385106">
      <w:pPr>
        <w:bidi w:val="0"/>
        <w:spacing w:line="269" w:lineRule="auto"/>
        <w:rPr>
          <w:szCs w:val="20"/>
          <w:rtl/>
        </w:rPr>
      </w:pPr>
      <w:r w:rsidRPr="005E17DC">
        <w:rPr>
          <w:rtl/>
        </w:rPr>
        <w:br w:type="page"/>
      </w:r>
    </w:p>
    <w:p w:rsidR="005E17DC" w:rsidRPr="005E17DC" w:rsidP="00385106">
      <w:pPr>
        <w:spacing w:line="269" w:lineRule="auto"/>
        <w:ind w:left="-567"/>
        <w:rPr>
          <w:szCs w:val="20"/>
          <w:rtl/>
        </w:rPr>
      </w:pPr>
    </w:p>
    <w:p w:rsidR="005E17DC" w:rsidRPr="005E17DC" w:rsidP="00A67A80">
      <w:pPr>
        <w:spacing w:after="120" w:line="269" w:lineRule="auto"/>
        <w:ind w:left="312"/>
        <w:jc w:val="center"/>
        <w:rPr>
          <w:b/>
          <w:bCs/>
          <w:rtl/>
        </w:rPr>
      </w:pPr>
      <w:r w:rsidRPr="005E17DC">
        <w:rPr>
          <w:rFonts w:hint="eastAsia"/>
          <w:b/>
          <w:bCs/>
          <w:rtl/>
        </w:rPr>
        <w:t>תרשים</w:t>
      </w:r>
      <w:r w:rsidRPr="005E17DC">
        <w:rPr>
          <w:b/>
          <w:bCs/>
          <w:rtl/>
        </w:rPr>
        <w:t xml:space="preserve"> </w:t>
      </w:r>
      <w:r w:rsidRPr="005E17DC">
        <w:rPr>
          <w:rFonts w:hint="cs"/>
          <w:b/>
          <w:bCs/>
          <w:rtl/>
        </w:rPr>
        <w:t>9:</w:t>
      </w:r>
      <w:r w:rsidRPr="005E17DC">
        <w:rPr>
          <w:b/>
          <w:bCs/>
          <w:rtl/>
        </w:rPr>
        <w:t xml:space="preserve"> </w:t>
      </w:r>
      <w:r w:rsidRPr="005E17DC">
        <w:rPr>
          <w:rFonts w:hint="cs"/>
          <w:b/>
          <w:bCs/>
          <w:rtl/>
        </w:rPr>
        <w:t xml:space="preserve">הוצאה ממוצעת לתושב </w:t>
      </w:r>
      <w:r w:rsidRPr="005E17DC">
        <w:rPr>
          <w:b/>
          <w:bCs/>
          <w:rtl/>
        </w:rPr>
        <w:t>ב</w:t>
      </w:r>
      <w:r w:rsidRPr="005E17DC">
        <w:rPr>
          <w:rFonts w:hint="cs"/>
          <w:b/>
          <w:bCs/>
          <w:rtl/>
        </w:rPr>
        <w:t>רמלה,</w:t>
      </w:r>
      <w:r w:rsidRPr="005E17DC">
        <w:rPr>
          <w:b/>
          <w:bCs/>
          <w:rtl/>
        </w:rPr>
        <w:t xml:space="preserve"> </w:t>
      </w:r>
      <w:r w:rsidRPr="005E17DC">
        <w:rPr>
          <w:rFonts w:hint="cs"/>
          <w:b/>
          <w:bCs/>
          <w:rtl/>
        </w:rPr>
        <w:t>בכלל העיריות ובעיריות בינוניות (בש"ח),</w:t>
      </w:r>
      <w:r w:rsidRPr="005E17DC">
        <w:rPr>
          <w:b/>
          <w:bCs/>
          <w:rtl/>
        </w:rPr>
        <w:br/>
        <w:t>20</w:t>
      </w:r>
      <w:r w:rsidRPr="005E17DC">
        <w:rPr>
          <w:rFonts w:hint="cs"/>
          <w:b/>
          <w:bCs/>
          <w:rtl/>
        </w:rPr>
        <w:t>14</w:t>
      </w:r>
      <w:r w:rsidRPr="005E17DC">
        <w:rPr>
          <w:b/>
          <w:bCs/>
          <w:rtl/>
        </w:rPr>
        <w:t xml:space="preserve"> </w:t>
      </w:r>
      <w:r w:rsidRPr="005E17DC">
        <w:rPr>
          <w:rFonts w:hint="cs"/>
          <w:b/>
          <w:bCs/>
          <w:rtl/>
        </w:rPr>
        <w:t>עד</w:t>
      </w:r>
      <w:r w:rsidRPr="005E17DC">
        <w:rPr>
          <w:b/>
          <w:bCs/>
          <w:rtl/>
        </w:rPr>
        <w:t xml:space="preserve"> 201</w:t>
      </w:r>
      <w:r w:rsidRPr="005E17DC">
        <w:rPr>
          <w:rFonts w:hint="cs"/>
          <w:b/>
          <w:bCs/>
          <w:rtl/>
        </w:rPr>
        <w:t>8</w:t>
      </w:r>
    </w:p>
    <w:p w:rsidR="005E17DC" w:rsidRPr="005E17DC" w:rsidP="00385106">
      <w:pPr>
        <w:spacing w:line="269" w:lineRule="auto"/>
        <w:rPr>
          <w:rtl/>
        </w:rPr>
      </w:pPr>
      <w:r w:rsidRPr="005E17DC">
        <w:rPr>
          <w:noProof/>
        </w:rPr>
        <w:drawing>
          <wp:inline distT="0" distB="0" distL="0" distR="0">
            <wp:extent cx="5308097" cy="2743200"/>
            <wp:effectExtent l="0" t="0" r="6985" b="0"/>
            <wp:docPr id="9" name="תרשים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E17DC" w:rsidRPr="005E17DC" w:rsidP="00A67A80">
      <w:pPr>
        <w:spacing w:before="120" w:line="269" w:lineRule="auto"/>
        <w:ind w:left="-567"/>
        <w:jc w:val="center"/>
        <w:rPr>
          <w:sz w:val="22"/>
          <w:szCs w:val="22"/>
          <w:rtl/>
        </w:rPr>
      </w:pPr>
      <w:r w:rsidRPr="005E17DC">
        <w:rPr>
          <w:rFonts w:hint="cs"/>
          <w:sz w:val="22"/>
          <w:szCs w:val="22"/>
          <w:rtl/>
        </w:rPr>
        <w:t>על פי נתוני הדוחות הכספיים המבוקרים של הרשויות המקומיות, בעיבוד משרד מבקר המדינה.</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Fonts w:hint="cs"/>
          <w:rtl/>
        </w:rPr>
        <w:t xml:space="preserve">התרשים מלמד כי בשנים 2014 עד 2018 צמחה ההוצאה הממוצעת לתושב ברמלה ב-20%, </w:t>
      </w:r>
      <w:r w:rsidRPr="005E17DC">
        <w:rPr>
          <w:rtl/>
        </w:rPr>
        <w:br/>
      </w:r>
      <w:r w:rsidRPr="005E17DC">
        <w:rPr>
          <w:rFonts w:hint="cs"/>
          <w:rtl/>
        </w:rPr>
        <w:t xml:space="preserve">מ-5,628 ש"ח ב-2014 ל-6,743 ש"ח ב-2018. בשנים 2014 ו-2015 הייתה הוצאה זו דומה ברמלה ובעיריות בינוניות, ומשנת 2016 היא גבוהה ברמלה יותר מן הממוצע בעיריות אלו. הפער בין רמלה ובין כלל העיריות בהוצאה הממוצעת לתושב הוא זניח - בשנת 2018 הייתה ההוצאה הממוצעת לתושב בכלל העיריות 60 ש"ח יותר </w:t>
      </w:r>
      <w:r w:rsidRPr="005E17DC">
        <w:rPr>
          <w:rFonts w:hint="cs"/>
          <w:rtl/>
        </w:rPr>
        <w:t>מברמלה</w:t>
      </w:r>
      <w:r w:rsidRPr="005E17DC">
        <w:rPr>
          <w:rFonts w:hint="cs"/>
          <w:rtl/>
        </w:rPr>
        <w:t>.</w:t>
      </w:r>
    </w:p>
    <w:p w:rsidR="005E17DC" w:rsidRPr="005E17DC" w:rsidP="00385106">
      <w:pPr>
        <w:spacing w:line="269" w:lineRule="auto"/>
        <w:ind w:left="-567"/>
        <w:rPr>
          <w:szCs w:val="20"/>
          <w:rtl/>
        </w:rPr>
      </w:pPr>
    </w:p>
    <w:p w:rsidR="005E17DC" w:rsidRPr="005E17DC" w:rsidP="00385106">
      <w:pPr>
        <w:spacing w:line="269" w:lineRule="auto"/>
        <w:rPr>
          <w:b/>
          <w:bCs/>
          <w:rtl/>
        </w:rPr>
      </w:pPr>
      <w:r w:rsidRPr="005E17DC">
        <w:rPr>
          <w:rFonts w:hint="cs"/>
          <w:b/>
          <w:bCs/>
          <w:rtl/>
        </w:rPr>
        <w:t>יש לציין כי עיריית רמלה הגדילה מאוד את ההוצאה הממוצעת לתושב ובעת הביקורת היא הייתה דומה להוצאה הממוצעת של כלל העיריות. ואולם ירידה בהכנסות העצמיות של העירייה, כפי שהוצג לעיל, עלולה להביא לידי הקטנת שיעורי הצמיחה שהשיגה העירייה בנתון זה בחמש השנים האחרונות ולידי פגיעה במשאבים שיהיו לה למתן שירותים לתושבים.</w:t>
      </w:r>
    </w:p>
    <w:p w:rsidR="005E17DC" w:rsidRPr="005E17DC" w:rsidP="00385106">
      <w:pPr>
        <w:spacing w:line="269" w:lineRule="auto"/>
        <w:ind w:left="-567"/>
        <w:rPr>
          <w:szCs w:val="20"/>
          <w:rtl/>
        </w:rPr>
      </w:pPr>
    </w:p>
    <w:p w:rsidR="005E17DC" w:rsidRPr="005E17DC" w:rsidP="00385106">
      <w:pPr>
        <w:keepNext/>
        <w:keepLines/>
        <w:spacing w:line="269" w:lineRule="auto"/>
        <w:outlineLvl w:val="4"/>
        <w:rPr>
          <w:rFonts w:eastAsiaTheme="majorEastAsia"/>
          <w:bCs/>
          <w:spacing w:val="40"/>
          <w:rtl/>
        </w:rPr>
      </w:pPr>
      <w:r w:rsidRPr="005E17DC">
        <w:rPr>
          <w:rFonts w:eastAsiaTheme="majorEastAsia" w:hint="cs"/>
          <w:bCs/>
          <w:spacing w:val="40"/>
          <w:rtl/>
        </w:rPr>
        <w:t>השוואה בין רמלה לרשויות מקומיות בסביבתה</w:t>
      </w:r>
    </w:p>
    <w:p w:rsidR="005E17DC" w:rsidRPr="005E17DC" w:rsidP="00385106">
      <w:pPr>
        <w:spacing w:line="269" w:lineRule="auto"/>
        <w:ind w:left="-567"/>
        <w:rPr>
          <w:szCs w:val="20"/>
          <w:rtl/>
        </w:rPr>
      </w:pPr>
    </w:p>
    <w:p w:rsidR="00262AD9" w:rsidP="00385106">
      <w:pPr>
        <w:spacing w:line="269" w:lineRule="auto"/>
        <w:rPr>
          <w:szCs w:val="20"/>
          <w:rtl/>
        </w:rPr>
      </w:pPr>
      <w:r w:rsidRPr="005E17DC">
        <w:rPr>
          <w:rFonts w:hint="cs"/>
          <w:rtl/>
        </w:rPr>
        <w:t>משרד מבקר המדינה בדק את מצבה של רמלה יחסית ליישובים הסובבים אותה. הנחת היסוד היא שככל שיהיה לרמלה יתרון על היישובים סביבה במשאבים שהיא משקיעה בשירותים לתושב וברמת השירותים לתושב, כך תגבר האטרקטיביות שלה לאוכלוסיות חזקות מהבחינה החברתית-כלכלית ולעסקים שבכוחם להגדיל את ההכנסות העצמיות של העירייה.</w:t>
      </w:r>
    </w:p>
    <w:p w:rsidR="00262AD9" w:rsidP="00385106">
      <w:pPr>
        <w:bidi w:val="0"/>
        <w:spacing w:line="269" w:lineRule="auto"/>
        <w:rPr>
          <w:szCs w:val="20"/>
        </w:rPr>
      </w:pPr>
      <w:r>
        <w:rPr>
          <w:szCs w:val="20"/>
          <w:rtl/>
        </w:rPr>
        <w:br w:type="page"/>
      </w:r>
    </w:p>
    <w:p w:rsidR="005E17DC" w:rsidRPr="005E17DC" w:rsidP="00385106">
      <w:pPr>
        <w:spacing w:line="269" w:lineRule="auto"/>
        <w:rPr>
          <w:szCs w:val="20"/>
          <w:rtl/>
        </w:rPr>
      </w:pPr>
    </w:p>
    <w:p w:rsidR="005E17DC" w:rsidRPr="005E17DC" w:rsidP="00A67A80">
      <w:pPr>
        <w:spacing w:after="120" w:line="269" w:lineRule="auto"/>
        <w:jc w:val="center"/>
        <w:rPr>
          <w:sz w:val="22"/>
          <w:szCs w:val="22"/>
          <w:rtl/>
        </w:rPr>
      </w:pPr>
      <w:r w:rsidRPr="005E17DC">
        <w:rPr>
          <w:rFonts w:hint="cs"/>
          <w:b/>
          <w:bCs/>
          <w:rtl/>
        </w:rPr>
        <w:t>לוח 2: השוואה בין רמלה לרשויות מקומיות בסביבתה בפרמטרים חברתיים-כלכליים</w:t>
      </w:r>
    </w:p>
    <w:tbl>
      <w:tblPr>
        <w:bidiVisual/>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2"/>
        <w:gridCol w:w="791"/>
        <w:gridCol w:w="809"/>
        <w:gridCol w:w="1276"/>
        <w:gridCol w:w="798"/>
        <w:gridCol w:w="864"/>
        <w:gridCol w:w="1139"/>
        <w:gridCol w:w="1104"/>
        <w:gridCol w:w="1013"/>
      </w:tblGrid>
      <w:tr w:rsidTr="00A67A80">
        <w:tblPrEx>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1501"/>
        </w:trPr>
        <w:tc>
          <w:tcPr>
            <w:tcW w:w="992" w:type="dxa"/>
            <w:tcBorders>
              <w:bottom w:val="single" w:sz="4" w:space="0" w:color="auto"/>
            </w:tcBorders>
            <w:shd w:val="clear" w:color="auto" w:fill="auto"/>
            <w:noWrap/>
            <w:vAlign w:val="bottom"/>
            <w:hideMark/>
          </w:tcPr>
          <w:p w:rsidR="005E17DC" w:rsidRPr="005E17DC" w:rsidP="00385106">
            <w:pPr>
              <w:spacing w:line="269" w:lineRule="auto"/>
              <w:jc w:val="left"/>
              <w:rPr>
                <w:rFonts w:ascii="Arial" w:eastAsia="Times New Roman" w:hAnsi="Arial"/>
                <w:b/>
                <w:bCs/>
                <w:color w:val="000000"/>
                <w:szCs w:val="20"/>
              </w:rPr>
            </w:pPr>
            <w:r w:rsidRPr="005E17DC">
              <w:rPr>
                <w:rFonts w:ascii="Arial" w:eastAsia="Times New Roman" w:hAnsi="Arial"/>
                <w:b/>
                <w:bCs/>
                <w:color w:val="000000"/>
                <w:szCs w:val="20"/>
                <w:rtl/>
              </w:rPr>
              <w:t>רשות מקומית</w:t>
            </w:r>
          </w:p>
        </w:tc>
        <w:tc>
          <w:tcPr>
            <w:tcW w:w="791" w:type="dxa"/>
            <w:shd w:val="clear" w:color="auto" w:fill="auto"/>
            <w:noWrap/>
            <w:vAlign w:val="bottom"/>
            <w:hideMark/>
          </w:tcPr>
          <w:p w:rsidR="005E17DC" w:rsidRPr="005E17DC" w:rsidP="00385106">
            <w:pPr>
              <w:spacing w:line="269" w:lineRule="auto"/>
              <w:jc w:val="center"/>
              <w:rPr>
                <w:rFonts w:ascii="Arial" w:eastAsia="Times New Roman" w:hAnsi="Arial"/>
                <w:b/>
                <w:bCs/>
                <w:color w:val="000000"/>
                <w:szCs w:val="20"/>
                <w:rtl/>
              </w:rPr>
            </w:pPr>
            <w:r w:rsidRPr="005E17DC">
              <w:rPr>
                <w:rFonts w:ascii="Arial" w:eastAsia="Times New Roman" w:hAnsi="Arial"/>
                <w:b/>
                <w:bCs/>
                <w:color w:val="000000"/>
                <w:szCs w:val="20"/>
                <w:rtl/>
              </w:rPr>
              <w:t xml:space="preserve">דירוג </w:t>
            </w:r>
            <w:r w:rsidRPr="005E17DC">
              <w:rPr>
                <w:rFonts w:ascii="Arial" w:eastAsia="Times New Roman" w:hAnsi="Arial" w:hint="cs"/>
                <w:b/>
                <w:bCs/>
                <w:color w:val="000000"/>
                <w:szCs w:val="20"/>
                <w:rtl/>
              </w:rPr>
              <w:t>חברתי-כלכלי</w:t>
            </w:r>
            <w:r w:rsidRPr="005E17DC">
              <w:rPr>
                <w:rFonts w:ascii="Arial" w:eastAsia="Times New Roman" w:hAnsi="Arial"/>
                <w:b/>
                <w:bCs/>
                <w:color w:val="000000"/>
                <w:szCs w:val="20"/>
                <w:rtl/>
              </w:rPr>
              <w:t xml:space="preserve"> (2015)</w:t>
            </w:r>
          </w:p>
        </w:tc>
        <w:tc>
          <w:tcPr>
            <w:tcW w:w="809" w:type="dxa"/>
            <w:shd w:val="clear" w:color="auto" w:fill="auto"/>
            <w:noWrap/>
            <w:vAlign w:val="bottom"/>
            <w:hideMark/>
          </w:tcPr>
          <w:p w:rsidR="005E17DC" w:rsidRPr="005E17DC" w:rsidP="00385106">
            <w:pPr>
              <w:spacing w:line="269" w:lineRule="auto"/>
              <w:jc w:val="center"/>
              <w:rPr>
                <w:rFonts w:ascii="Arial" w:eastAsia="Times New Roman" w:hAnsi="Arial"/>
                <w:b/>
                <w:bCs/>
                <w:color w:val="000000"/>
                <w:szCs w:val="20"/>
                <w:rtl/>
              </w:rPr>
            </w:pPr>
            <w:r w:rsidRPr="005E17DC">
              <w:rPr>
                <w:rFonts w:ascii="Arial" w:eastAsia="Times New Roman" w:hAnsi="Arial"/>
                <w:b/>
                <w:bCs/>
                <w:color w:val="000000"/>
                <w:szCs w:val="20"/>
                <w:rtl/>
              </w:rPr>
              <w:t>הוצאה ממוצעת לתושב (2017, ש"ח)</w:t>
            </w:r>
          </w:p>
        </w:tc>
        <w:tc>
          <w:tcPr>
            <w:tcW w:w="1276" w:type="dxa"/>
            <w:shd w:val="clear" w:color="auto" w:fill="auto"/>
            <w:noWrap/>
            <w:vAlign w:val="bottom"/>
            <w:hideMark/>
          </w:tcPr>
          <w:p w:rsidR="005E17DC" w:rsidRPr="005E17DC" w:rsidP="00385106">
            <w:pPr>
              <w:spacing w:line="269" w:lineRule="auto"/>
              <w:jc w:val="center"/>
              <w:rPr>
                <w:rFonts w:ascii="Arial" w:eastAsia="Times New Roman" w:hAnsi="Arial"/>
                <w:b/>
                <w:bCs/>
                <w:color w:val="000000"/>
                <w:szCs w:val="20"/>
                <w:rtl/>
              </w:rPr>
            </w:pPr>
            <w:r w:rsidRPr="005E17DC">
              <w:rPr>
                <w:rFonts w:ascii="Arial" w:eastAsia="Times New Roman" w:hAnsi="Arial"/>
                <w:b/>
                <w:bCs/>
                <w:color w:val="000000"/>
                <w:szCs w:val="20"/>
                <w:rtl/>
              </w:rPr>
              <w:t xml:space="preserve">הוצאה ממוצעת לתושב </w:t>
            </w:r>
            <w:r w:rsidRPr="005E17DC">
              <w:rPr>
                <w:rFonts w:ascii="Arial" w:eastAsia="Times New Roman" w:hAnsi="Arial" w:hint="cs"/>
                <w:b/>
                <w:bCs/>
                <w:color w:val="000000"/>
                <w:szCs w:val="20"/>
                <w:rtl/>
              </w:rPr>
              <w:t>למעט</w:t>
            </w:r>
            <w:r w:rsidRPr="005E17DC">
              <w:rPr>
                <w:rFonts w:ascii="Arial" w:eastAsia="Times New Roman" w:hAnsi="Arial"/>
                <w:b/>
                <w:bCs/>
                <w:color w:val="000000"/>
                <w:szCs w:val="20"/>
                <w:rtl/>
              </w:rPr>
              <w:t xml:space="preserve"> חינוך ורווחה (2017, ש"ח)</w:t>
            </w:r>
            <w:r w:rsidRPr="005E17DC">
              <w:rPr>
                <w:rFonts w:ascii="Arial" w:eastAsia="Times New Roman" w:hAnsi="Arial" w:hint="cs"/>
                <w:b/>
                <w:bCs/>
                <w:color w:val="000000"/>
                <w:szCs w:val="20"/>
                <w:rtl/>
              </w:rPr>
              <w:t>**</w:t>
            </w:r>
          </w:p>
        </w:tc>
        <w:tc>
          <w:tcPr>
            <w:tcW w:w="798" w:type="dxa"/>
            <w:shd w:val="clear" w:color="auto" w:fill="auto"/>
            <w:noWrap/>
            <w:vAlign w:val="bottom"/>
            <w:hideMark/>
          </w:tcPr>
          <w:p w:rsidR="005E17DC" w:rsidRPr="005E17DC" w:rsidP="00385106">
            <w:pPr>
              <w:spacing w:line="269" w:lineRule="auto"/>
              <w:jc w:val="center"/>
              <w:rPr>
                <w:rFonts w:ascii="Arial" w:eastAsia="Times New Roman" w:hAnsi="Arial"/>
                <w:b/>
                <w:bCs/>
                <w:color w:val="000000"/>
                <w:szCs w:val="20"/>
                <w:rtl/>
              </w:rPr>
            </w:pPr>
            <w:r w:rsidRPr="005E17DC">
              <w:rPr>
                <w:rFonts w:ascii="Arial" w:eastAsia="Times New Roman" w:hAnsi="Arial"/>
                <w:b/>
                <w:bCs/>
                <w:color w:val="000000"/>
                <w:szCs w:val="20"/>
                <w:rtl/>
              </w:rPr>
              <w:t>שכר</w:t>
            </w:r>
            <w:r w:rsidRPr="005E17DC">
              <w:rPr>
                <w:rFonts w:ascii="Arial" w:eastAsia="Times New Roman" w:hAnsi="Arial" w:hint="cs"/>
                <w:b/>
                <w:bCs/>
                <w:color w:val="000000"/>
                <w:szCs w:val="20"/>
                <w:rtl/>
              </w:rPr>
              <w:t xml:space="preserve"> חודשי</w:t>
            </w:r>
            <w:r w:rsidRPr="005E17DC">
              <w:rPr>
                <w:rFonts w:ascii="Arial" w:eastAsia="Times New Roman" w:hAnsi="Arial"/>
                <w:b/>
                <w:bCs/>
                <w:color w:val="000000"/>
                <w:szCs w:val="20"/>
                <w:rtl/>
              </w:rPr>
              <w:t xml:space="preserve"> ממוצע</w:t>
            </w:r>
            <w:r w:rsidRPr="005E17DC">
              <w:rPr>
                <w:rFonts w:ascii="Arial" w:eastAsia="Times New Roman" w:hAnsi="Arial" w:hint="cs"/>
                <w:b/>
                <w:bCs/>
                <w:color w:val="000000"/>
                <w:szCs w:val="20"/>
                <w:rtl/>
              </w:rPr>
              <w:t>,</w:t>
            </w:r>
            <w:r w:rsidRPr="005E17DC">
              <w:rPr>
                <w:rFonts w:ascii="Arial" w:eastAsia="Times New Roman" w:hAnsi="Arial"/>
                <w:b/>
                <w:bCs/>
                <w:color w:val="000000"/>
                <w:szCs w:val="20"/>
                <w:rtl/>
              </w:rPr>
              <w:t xml:space="preserve"> שכירים (2016, ש"ח)</w:t>
            </w:r>
          </w:p>
        </w:tc>
        <w:tc>
          <w:tcPr>
            <w:tcW w:w="864" w:type="dxa"/>
            <w:shd w:val="clear" w:color="auto" w:fill="auto"/>
            <w:noWrap/>
            <w:vAlign w:val="bottom"/>
            <w:hideMark/>
          </w:tcPr>
          <w:p w:rsidR="005E17DC" w:rsidRPr="005E17DC" w:rsidP="00385106">
            <w:pPr>
              <w:spacing w:line="269" w:lineRule="auto"/>
              <w:jc w:val="center"/>
              <w:rPr>
                <w:rFonts w:ascii="Arial" w:eastAsia="Times New Roman" w:hAnsi="Arial"/>
                <w:b/>
                <w:bCs/>
                <w:color w:val="000000"/>
                <w:szCs w:val="20"/>
                <w:rtl/>
              </w:rPr>
            </w:pPr>
            <w:r w:rsidRPr="005E17DC">
              <w:rPr>
                <w:rFonts w:ascii="Arial" w:eastAsia="Times New Roman" w:hAnsi="Arial"/>
                <w:b/>
                <w:bCs/>
                <w:color w:val="000000"/>
                <w:szCs w:val="20"/>
                <w:rtl/>
              </w:rPr>
              <w:t xml:space="preserve">הכנסה </w:t>
            </w:r>
            <w:r w:rsidRPr="005E17DC">
              <w:rPr>
                <w:rFonts w:ascii="Arial" w:eastAsia="Times New Roman" w:hAnsi="Arial" w:hint="cs"/>
                <w:b/>
                <w:bCs/>
                <w:color w:val="000000"/>
                <w:szCs w:val="20"/>
                <w:rtl/>
              </w:rPr>
              <w:t xml:space="preserve">חודשית </w:t>
            </w:r>
            <w:r w:rsidRPr="005E17DC">
              <w:rPr>
                <w:rFonts w:ascii="Arial" w:eastAsia="Times New Roman" w:hAnsi="Arial"/>
                <w:b/>
                <w:bCs/>
                <w:color w:val="000000"/>
                <w:szCs w:val="20"/>
                <w:rtl/>
              </w:rPr>
              <w:t>ממוצעת</w:t>
            </w:r>
            <w:r w:rsidRPr="005E17DC">
              <w:rPr>
                <w:rFonts w:ascii="Arial" w:eastAsia="Times New Roman" w:hAnsi="Arial" w:hint="cs"/>
                <w:b/>
                <w:bCs/>
                <w:color w:val="000000"/>
                <w:szCs w:val="20"/>
                <w:rtl/>
              </w:rPr>
              <w:t>,</w:t>
            </w:r>
            <w:r w:rsidRPr="005E17DC">
              <w:rPr>
                <w:rFonts w:ascii="Arial" w:eastAsia="Times New Roman" w:hAnsi="Arial"/>
                <w:b/>
                <w:bCs/>
                <w:color w:val="000000"/>
                <w:szCs w:val="20"/>
                <w:rtl/>
              </w:rPr>
              <w:t xml:space="preserve"> עצמאים (2016, ש"ח)</w:t>
            </w:r>
          </w:p>
        </w:tc>
        <w:tc>
          <w:tcPr>
            <w:tcW w:w="1139" w:type="dxa"/>
            <w:shd w:val="clear" w:color="auto" w:fill="auto"/>
            <w:noWrap/>
            <w:vAlign w:val="bottom"/>
            <w:hideMark/>
          </w:tcPr>
          <w:p w:rsidR="005E17DC" w:rsidRPr="005E17DC" w:rsidP="00385106">
            <w:pPr>
              <w:spacing w:line="269" w:lineRule="auto"/>
              <w:jc w:val="center"/>
              <w:rPr>
                <w:rFonts w:ascii="Arial" w:eastAsia="Times New Roman" w:hAnsi="Arial"/>
                <w:b/>
                <w:bCs/>
                <w:color w:val="000000"/>
                <w:szCs w:val="20"/>
                <w:rtl/>
              </w:rPr>
            </w:pPr>
            <w:r w:rsidRPr="005E17DC">
              <w:rPr>
                <w:rFonts w:ascii="Arial" w:eastAsia="Times New Roman" w:hAnsi="Arial" w:hint="cs"/>
                <w:b/>
                <w:bCs/>
                <w:color w:val="000000"/>
                <w:szCs w:val="20"/>
                <w:rtl/>
              </w:rPr>
              <w:t>אחוז</w:t>
            </w:r>
          </w:p>
          <w:p w:rsidR="005E17DC" w:rsidRPr="005E17DC" w:rsidP="00385106">
            <w:pPr>
              <w:spacing w:line="269" w:lineRule="auto"/>
              <w:jc w:val="center"/>
              <w:rPr>
                <w:rFonts w:ascii="Arial" w:eastAsia="Times New Roman" w:hAnsi="Arial"/>
                <w:b/>
                <w:bCs/>
                <w:color w:val="000000"/>
                <w:szCs w:val="20"/>
                <w:rtl/>
              </w:rPr>
            </w:pPr>
            <w:r w:rsidRPr="005E17DC">
              <w:rPr>
                <w:rFonts w:ascii="Arial" w:eastAsia="Times New Roman" w:hAnsi="Arial"/>
                <w:b/>
                <w:bCs/>
                <w:color w:val="000000"/>
                <w:szCs w:val="20"/>
                <w:rtl/>
              </w:rPr>
              <w:t>השכירים המשתכרים שכר מינימום (2017)</w:t>
            </w:r>
          </w:p>
        </w:tc>
        <w:tc>
          <w:tcPr>
            <w:tcW w:w="1104" w:type="dxa"/>
            <w:shd w:val="clear" w:color="auto" w:fill="auto"/>
            <w:vAlign w:val="bottom"/>
            <w:hideMark/>
          </w:tcPr>
          <w:p w:rsidR="005E17DC" w:rsidRPr="005E17DC" w:rsidP="00385106">
            <w:pPr>
              <w:spacing w:line="269" w:lineRule="auto"/>
              <w:jc w:val="center"/>
              <w:rPr>
                <w:rFonts w:ascii="Arial" w:eastAsia="Times New Roman" w:hAnsi="Arial"/>
                <w:b/>
                <w:bCs/>
                <w:color w:val="000000"/>
                <w:szCs w:val="20"/>
                <w:rtl/>
              </w:rPr>
            </w:pPr>
            <w:r w:rsidRPr="005E17DC">
              <w:rPr>
                <w:rFonts w:ascii="Arial" w:eastAsia="Times New Roman" w:hAnsi="Arial" w:hint="cs"/>
                <w:b/>
                <w:bCs/>
                <w:color w:val="000000"/>
                <w:szCs w:val="20"/>
                <w:rtl/>
              </w:rPr>
              <w:t>אחוז</w:t>
            </w:r>
            <w:r w:rsidRPr="005E17DC">
              <w:rPr>
                <w:rFonts w:ascii="Arial" w:eastAsia="Times New Roman" w:hAnsi="Arial"/>
                <w:b/>
                <w:bCs/>
                <w:color w:val="000000"/>
                <w:szCs w:val="20"/>
                <w:rtl/>
              </w:rPr>
              <w:t xml:space="preserve"> מקבלי השלמת הכנסה מבין מקבלי קצבות זקנה ושאירים</w:t>
            </w:r>
            <w:r w:rsidRPr="005E17DC">
              <w:rPr>
                <w:rFonts w:ascii="Arial" w:eastAsia="Times New Roman" w:hAnsi="Arial"/>
                <w:b/>
                <w:bCs/>
                <w:color w:val="000000"/>
                <w:szCs w:val="20"/>
                <w:rtl/>
              </w:rPr>
              <w:br/>
              <w:t>(2017)</w:t>
            </w:r>
          </w:p>
        </w:tc>
        <w:tc>
          <w:tcPr>
            <w:tcW w:w="1013" w:type="dxa"/>
            <w:noWrap/>
            <w:vAlign w:val="bottom"/>
            <w:hideMark/>
          </w:tcPr>
          <w:p w:rsidR="005E17DC" w:rsidRPr="005E17DC" w:rsidP="00385106">
            <w:pPr>
              <w:spacing w:line="269" w:lineRule="auto"/>
              <w:jc w:val="center"/>
              <w:rPr>
                <w:rFonts w:ascii="Arial" w:eastAsia="Times New Roman" w:hAnsi="Arial"/>
                <w:b/>
                <w:bCs/>
                <w:color w:val="000000"/>
                <w:szCs w:val="20"/>
                <w:rtl/>
              </w:rPr>
            </w:pPr>
            <w:r w:rsidRPr="005E17DC">
              <w:rPr>
                <w:rFonts w:ascii="Arial" w:eastAsia="Times New Roman" w:hAnsi="Arial"/>
                <w:b/>
                <w:bCs/>
                <w:color w:val="000000"/>
                <w:szCs w:val="20"/>
                <w:rtl/>
              </w:rPr>
              <w:t>בעלי הרשעה פלילית - בני 19 ומעלה (2016</w:t>
            </w:r>
            <w:r w:rsidRPr="005E17DC">
              <w:rPr>
                <w:rFonts w:ascii="Arial" w:eastAsia="Times New Roman" w:hAnsi="Arial" w:hint="cs"/>
                <w:b/>
                <w:bCs/>
                <w:color w:val="000000"/>
                <w:szCs w:val="20"/>
                <w:rtl/>
              </w:rPr>
              <w:t>, פרומיל</w:t>
            </w:r>
            <w:r w:rsidRPr="005E17DC">
              <w:rPr>
                <w:rFonts w:ascii="Arial" w:eastAsia="Times New Roman" w:hAnsi="Arial"/>
                <w:b/>
                <w:bCs/>
                <w:color w:val="000000"/>
                <w:szCs w:val="20"/>
                <w:rtl/>
              </w:rPr>
              <w:t>)</w:t>
            </w:r>
            <w:r w:rsidRPr="005E17DC">
              <w:rPr>
                <w:rFonts w:ascii="Arial" w:eastAsia="Times New Roman" w:hAnsi="Arial" w:hint="cs"/>
                <w:b/>
                <w:bCs/>
                <w:color w:val="000000"/>
                <w:szCs w:val="20"/>
                <w:rtl/>
              </w:rPr>
              <w:t>***</w:t>
            </w:r>
          </w:p>
        </w:tc>
      </w:tr>
      <w:tr w:rsidTr="00A67A80">
        <w:tblPrEx>
          <w:tblW w:w="8786" w:type="dxa"/>
          <w:tblLook w:val="04A0"/>
        </w:tblPrEx>
        <w:trPr>
          <w:trHeight w:val="20"/>
        </w:trPr>
        <w:tc>
          <w:tcPr>
            <w:tcW w:w="992" w:type="dxa"/>
            <w:shd w:val="clear" w:color="auto" w:fill="auto"/>
            <w:noWrap/>
            <w:vAlign w:val="center"/>
            <w:hideMark/>
          </w:tcPr>
          <w:p w:rsidR="005E17DC" w:rsidRPr="005E17DC" w:rsidP="00385106">
            <w:pPr>
              <w:spacing w:line="269" w:lineRule="auto"/>
              <w:jc w:val="left"/>
              <w:rPr>
                <w:rFonts w:ascii="Arial" w:eastAsia="Times New Roman" w:hAnsi="Arial"/>
                <w:color w:val="000000"/>
                <w:szCs w:val="20"/>
                <w:rtl/>
              </w:rPr>
            </w:pPr>
            <w:r w:rsidRPr="005E17DC">
              <w:rPr>
                <w:rFonts w:ascii="Arial" w:eastAsia="Times New Roman" w:hAnsi="Arial"/>
                <w:color w:val="000000"/>
                <w:szCs w:val="20"/>
                <w:rtl/>
              </w:rPr>
              <w:t>מועצה מקומית באר יעקב</w:t>
            </w:r>
          </w:p>
        </w:tc>
        <w:tc>
          <w:tcPr>
            <w:tcW w:w="791" w:type="dxa"/>
            <w:shd w:val="clear" w:color="D9D9D9" w:fill="FFEB84"/>
            <w:noWrap/>
            <w:vAlign w:val="center"/>
            <w:hideMark/>
          </w:tcPr>
          <w:p w:rsidR="005E17DC" w:rsidRPr="005E17DC" w:rsidP="00385106">
            <w:pPr>
              <w:bidi w:val="0"/>
              <w:spacing w:line="269" w:lineRule="auto"/>
              <w:jc w:val="center"/>
              <w:rPr>
                <w:rFonts w:ascii="David" w:eastAsia="Times New Roman" w:hAnsi="David"/>
                <w:color w:val="000000"/>
                <w:szCs w:val="20"/>
                <w:rtl/>
              </w:rPr>
            </w:pPr>
            <w:r w:rsidRPr="005E17DC">
              <w:rPr>
                <w:rFonts w:ascii="David" w:eastAsia="Times New Roman" w:hAnsi="David"/>
                <w:color w:val="000000"/>
                <w:szCs w:val="20"/>
              </w:rPr>
              <w:t>7</w:t>
            </w:r>
          </w:p>
        </w:tc>
        <w:tc>
          <w:tcPr>
            <w:tcW w:w="809" w:type="dxa"/>
            <w:shd w:val="clear" w:color="D9D9D9" w:fill="C7DB81"/>
            <w:noWrap/>
            <w:vAlign w:val="center"/>
            <w:hideMark/>
          </w:tcPr>
          <w:p w:rsidR="005E17DC" w:rsidRPr="005E17DC" w:rsidP="00385106">
            <w:pPr>
              <w:bidi w:val="0"/>
              <w:spacing w:line="269" w:lineRule="auto"/>
              <w:jc w:val="center"/>
              <w:rPr>
                <w:rFonts w:asciiTheme="minorHAnsi" w:hAnsiTheme="minorHAnsi"/>
                <w:color w:val="000000"/>
                <w:szCs w:val="20"/>
              </w:rPr>
            </w:pPr>
            <w:r w:rsidRPr="005E17DC">
              <w:rPr>
                <w:rFonts w:ascii="David" w:eastAsia="Times New Roman" w:hAnsi="David" w:hint="cs"/>
                <w:color w:val="000000"/>
                <w:szCs w:val="20"/>
              </w:rPr>
              <w:t>9,939</w:t>
            </w:r>
          </w:p>
        </w:tc>
        <w:tc>
          <w:tcPr>
            <w:tcW w:w="1276" w:type="dxa"/>
            <w:shd w:val="clear" w:color="D9D9D9" w:fill="B8D780"/>
            <w:noWrap/>
            <w:vAlign w:val="center"/>
            <w:hideMark/>
          </w:tcPr>
          <w:p w:rsidR="005E17DC" w:rsidRPr="005E17DC" w:rsidP="00385106">
            <w:pPr>
              <w:bidi w:val="0"/>
              <w:spacing w:line="269" w:lineRule="auto"/>
              <w:jc w:val="center"/>
              <w:rPr>
                <w:rFonts w:ascii="David" w:eastAsia="Times New Roman" w:hAnsi="David"/>
                <w:color w:val="000000"/>
                <w:szCs w:val="20"/>
              </w:rPr>
            </w:pPr>
            <w:r w:rsidRPr="005E17DC">
              <w:rPr>
                <w:rFonts w:ascii="David" w:eastAsia="Times New Roman" w:hAnsi="David" w:hint="cs"/>
                <w:color w:val="000000"/>
                <w:szCs w:val="20"/>
              </w:rPr>
              <w:t>6,307</w:t>
            </w:r>
          </w:p>
        </w:tc>
        <w:tc>
          <w:tcPr>
            <w:tcW w:w="798" w:type="dxa"/>
            <w:shd w:val="clear" w:color="D9D9D9" w:fill="E8E583"/>
            <w:noWrap/>
            <w:vAlign w:val="center"/>
            <w:hideMark/>
          </w:tcPr>
          <w:p w:rsidR="005E17DC" w:rsidRPr="005E17DC" w:rsidP="00385106">
            <w:pPr>
              <w:bidi w:val="0"/>
              <w:spacing w:line="269" w:lineRule="auto"/>
              <w:jc w:val="center"/>
              <w:rPr>
                <w:rFonts w:ascii="David" w:eastAsia="Times New Roman" w:hAnsi="David"/>
                <w:color w:val="000000"/>
                <w:szCs w:val="20"/>
              </w:rPr>
            </w:pPr>
            <w:r w:rsidRPr="005E17DC">
              <w:rPr>
                <w:rFonts w:ascii="David" w:eastAsia="Times New Roman" w:hAnsi="David" w:hint="cs"/>
                <w:color w:val="000000"/>
                <w:szCs w:val="20"/>
              </w:rPr>
              <w:t>10,733</w:t>
            </w:r>
          </w:p>
        </w:tc>
        <w:tc>
          <w:tcPr>
            <w:tcW w:w="864" w:type="dxa"/>
            <w:shd w:val="clear" w:color="D9D9D9" w:fill="C9DC81"/>
            <w:noWrap/>
            <w:vAlign w:val="center"/>
            <w:hideMark/>
          </w:tcPr>
          <w:p w:rsidR="005E17DC" w:rsidRPr="005E17DC" w:rsidP="00385106">
            <w:pPr>
              <w:bidi w:val="0"/>
              <w:spacing w:line="269" w:lineRule="auto"/>
              <w:jc w:val="center"/>
              <w:rPr>
                <w:rFonts w:asciiTheme="minorHAnsi" w:hAnsiTheme="minorHAnsi"/>
                <w:color w:val="000000"/>
                <w:szCs w:val="20"/>
              </w:rPr>
            </w:pPr>
            <w:r w:rsidRPr="005E17DC">
              <w:rPr>
                <w:rFonts w:ascii="David" w:eastAsia="Times New Roman" w:hAnsi="David"/>
                <w:color w:val="000000"/>
                <w:szCs w:val="20"/>
              </w:rPr>
              <w:t>11,838</w:t>
            </w:r>
          </w:p>
        </w:tc>
        <w:tc>
          <w:tcPr>
            <w:tcW w:w="1139" w:type="dxa"/>
            <w:shd w:val="clear" w:color="D9D9D9" w:fill="63BE7B"/>
            <w:noWrap/>
            <w:vAlign w:val="center"/>
            <w:hideMark/>
          </w:tcPr>
          <w:p w:rsidR="005E17DC" w:rsidRPr="005E17DC" w:rsidP="00385106">
            <w:pPr>
              <w:bidi w:val="0"/>
              <w:spacing w:line="269" w:lineRule="auto"/>
              <w:jc w:val="center"/>
              <w:rPr>
                <w:rFonts w:ascii="David" w:eastAsia="Times New Roman" w:hAnsi="David"/>
                <w:szCs w:val="20"/>
              </w:rPr>
            </w:pPr>
            <w:r w:rsidRPr="005E17DC">
              <w:rPr>
                <w:rFonts w:ascii="David" w:eastAsia="Times New Roman" w:hAnsi="David"/>
                <w:szCs w:val="20"/>
              </w:rPr>
              <w:t>25.4</w:t>
            </w:r>
          </w:p>
        </w:tc>
        <w:tc>
          <w:tcPr>
            <w:tcW w:w="1104" w:type="dxa"/>
            <w:shd w:val="clear" w:color="D9D9D9" w:fill="FFEB84"/>
            <w:noWrap/>
            <w:vAlign w:val="center"/>
            <w:hideMark/>
          </w:tcPr>
          <w:p w:rsidR="005E17DC" w:rsidRPr="005E17DC" w:rsidP="00385106">
            <w:pPr>
              <w:bidi w:val="0"/>
              <w:spacing w:line="269" w:lineRule="auto"/>
              <w:jc w:val="center"/>
              <w:rPr>
                <w:rFonts w:ascii="David" w:eastAsia="Times New Roman" w:hAnsi="David"/>
                <w:color w:val="000000"/>
                <w:szCs w:val="20"/>
              </w:rPr>
            </w:pPr>
            <w:r w:rsidRPr="005E17DC">
              <w:rPr>
                <w:rFonts w:ascii="David" w:eastAsia="Times New Roman" w:hAnsi="David"/>
                <w:color w:val="000000"/>
                <w:szCs w:val="20"/>
              </w:rPr>
              <w:t>11.0</w:t>
            </w:r>
          </w:p>
        </w:tc>
        <w:tc>
          <w:tcPr>
            <w:tcW w:w="1013" w:type="dxa"/>
            <w:shd w:val="clear" w:color="D9D9D9" w:fill="D9D9D9"/>
            <w:noWrap/>
            <w:vAlign w:val="center"/>
            <w:hideMark/>
          </w:tcPr>
          <w:p w:rsidR="005E17DC" w:rsidRPr="005E17DC" w:rsidP="00385106">
            <w:pPr>
              <w:bidi w:val="0"/>
              <w:spacing w:line="269" w:lineRule="auto"/>
              <w:jc w:val="center"/>
              <w:rPr>
                <w:rFonts w:eastAsia="Times New Roman" w:asciiTheme="minorHAnsi" w:hAnsiTheme="minorHAnsi"/>
                <w:color w:val="000000"/>
                <w:szCs w:val="20"/>
              </w:rPr>
            </w:pPr>
          </w:p>
        </w:tc>
      </w:tr>
      <w:tr w:rsidTr="00A67A80">
        <w:tblPrEx>
          <w:tblW w:w="8786" w:type="dxa"/>
          <w:tblLook w:val="04A0"/>
        </w:tblPrEx>
        <w:trPr>
          <w:trHeight w:val="20"/>
        </w:trPr>
        <w:tc>
          <w:tcPr>
            <w:tcW w:w="992" w:type="dxa"/>
            <w:shd w:val="clear" w:color="auto" w:fill="auto"/>
            <w:noWrap/>
            <w:vAlign w:val="center"/>
            <w:hideMark/>
          </w:tcPr>
          <w:p w:rsidR="005E17DC" w:rsidRPr="005E17DC" w:rsidP="00385106">
            <w:pPr>
              <w:spacing w:line="269" w:lineRule="auto"/>
              <w:jc w:val="left"/>
              <w:rPr>
                <w:rFonts w:ascii="Arial" w:eastAsia="Times New Roman" w:hAnsi="Arial"/>
                <w:color w:val="000000"/>
                <w:szCs w:val="20"/>
              </w:rPr>
            </w:pPr>
            <w:r w:rsidRPr="005E17DC">
              <w:rPr>
                <w:rFonts w:ascii="Arial" w:eastAsia="Times New Roman" w:hAnsi="Arial"/>
                <w:color w:val="000000"/>
                <w:szCs w:val="20"/>
                <w:rtl/>
              </w:rPr>
              <w:t>מועצה אזורית ברנר</w:t>
            </w:r>
          </w:p>
        </w:tc>
        <w:tc>
          <w:tcPr>
            <w:tcW w:w="791" w:type="dxa"/>
            <w:shd w:val="clear" w:color="000000" w:fill="63BE7B"/>
            <w:noWrap/>
            <w:vAlign w:val="center"/>
            <w:hideMark/>
          </w:tcPr>
          <w:p w:rsidR="005E17DC" w:rsidRPr="005E17DC" w:rsidP="00385106">
            <w:pPr>
              <w:bidi w:val="0"/>
              <w:spacing w:line="269" w:lineRule="auto"/>
              <w:jc w:val="center"/>
              <w:rPr>
                <w:rFonts w:ascii="David" w:eastAsia="Times New Roman" w:hAnsi="David"/>
                <w:color w:val="000000"/>
                <w:szCs w:val="20"/>
                <w:rtl/>
              </w:rPr>
            </w:pPr>
            <w:r w:rsidRPr="005E17DC">
              <w:rPr>
                <w:rFonts w:ascii="David" w:eastAsia="Times New Roman" w:hAnsi="David" w:hint="cs"/>
                <w:color w:val="000000"/>
                <w:szCs w:val="20"/>
              </w:rPr>
              <w:t>8</w:t>
            </w:r>
          </w:p>
        </w:tc>
        <w:tc>
          <w:tcPr>
            <w:tcW w:w="809" w:type="dxa"/>
            <w:shd w:val="clear" w:color="000000" w:fill="63BE7B"/>
            <w:noWrap/>
            <w:vAlign w:val="center"/>
            <w:hideMark/>
          </w:tcPr>
          <w:p w:rsidR="005E17DC" w:rsidRPr="005E17DC" w:rsidP="00385106">
            <w:pPr>
              <w:bidi w:val="0"/>
              <w:spacing w:line="269" w:lineRule="auto"/>
              <w:jc w:val="center"/>
              <w:rPr>
                <w:rFonts w:ascii="David" w:eastAsia="Times New Roman" w:hAnsi="David"/>
                <w:color w:val="000000"/>
                <w:szCs w:val="20"/>
              </w:rPr>
            </w:pPr>
            <w:r w:rsidRPr="005E17DC">
              <w:rPr>
                <w:rFonts w:ascii="David" w:eastAsia="Times New Roman" w:hAnsi="David" w:hint="cs"/>
                <w:color w:val="000000"/>
                <w:szCs w:val="20"/>
              </w:rPr>
              <w:t>15,711</w:t>
            </w:r>
          </w:p>
        </w:tc>
        <w:tc>
          <w:tcPr>
            <w:tcW w:w="1276" w:type="dxa"/>
            <w:shd w:val="clear" w:color="000000" w:fill="63BE7B"/>
            <w:noWrap/>
            <w:vAlign w:val="center"/>
            <w:hideMark/>
          </w:tcPr>
          <w:p w:rsidR="005E17DC" w:rsidRPr="005E17DC" w:rsidP="00385106">
            <w:pPr>
              <w:bidi w:val="0"/>
              <w:spacing w:line="269" w:lineRule="auto"/>
              <w:jc w:val="center"/>
              <w:rPr>
                <w:rFonts w:ascii="David" w:eastAsia="Times New Roman" w:hAnsi="David"/>
                <w:color w:val="000000"/>
                <w:szCs w:val="20"/>
              </w:rPr>
            </w:pPr>
            <w:r w:rsidRPr="005E17DC">
              <w:rPr>
                <w:rFonts w:ascii="David" w:eastAsia="Times New Roman" w:hAnsi="David" w:hint="cs"/>
                <w:color w:val="000000"/>
                <w:szCs w:val="20"/>
              </w:rPr>
              <w:t>9,766</w:t>
            </w:r>
          </w:p>
        </w:tc>
        <w:tc>
          <w:tcPr>
            <w:tcW w:w="798" w:type="dxa"/>
            <w:shd w:val="clear" w:color="000000" w:fill="8ECB7E"/>
            <w:noWrap/>
            <w:vAlign w:val="center"/>
            <w:hideMark/>
          </w:tcPr>
          <w:p w:rsidR="005E17DC" w:rsidRPr="005E17DC" w:rsidP="00385106">
            <w:pPr>
              <w:bidi w:val="0"/>
              <w:spacing w:line="269" w:lineRule="auto"/>
              <w:jc w:val="center"/>
              <w:rPr>
                <w:rFonts w:ascii="David" w:eastAsia="Times New Roman" w:hAnsi="David"/>
                <w:color w:val="000000"/>
                <w:szCs w:val="20"/>
              </w:rPr>
            </w:pPr>
            <w:r w:rsidRPr="005E17DC">
              <w:rPr>
                <w:rFonts w:ascii="David" w:eastAsia="Times New Roman" w:hAnsi="David" w:hint="cs"/>
                <w:color w:val="000000"/>
                <w:szCs w:val="20"/>
              </w:rPr>
              <w:t>12,775</w:t>
            </w:r>
          </w:p>
        </w:tc>
        <w:tc>
          <w:tcPr>
            <w:tcW w:w="864" w:type="dxa"/>
            <w:shd w:val="clear" w:color="000000" w:fill="FDD680"/>
            <w:noWrap/>
            <w:vAlign w:val="center"/>
            <w:hideMark/>
          </w:tcPr>
          <w:p w:rsidR="005E17DC" w:rsidRPr="005E17DC" w:rsidP="00385106">
            <w:pPr>
              <w:bidi w:val="0"/>
              <w:spacing w:line="269" w:lineRule="auto"/>
              <w:jc w:val="center"/>
              <w:rPr>
                <w:rFonts w:ascii="David" w:eastAsia="Times New Roman" w:hAnsi="David"/>
                <w:color w:val="000000"/>
                <w:szCs w:val="20"/>
              </w:rPr>
            </w:pPr>
            <w:r w:rsidRPr="005E17DC">
              <w:rPr>
                <w:rFonts w:ascii="David" w:eastAsia="Times New Roman" w:hAnsi="David"/>
                <w:color w:val="000000"/>
                <w:szCs w:val="20"/>
              </w:rPr>
              <w:t>10,342</w:t>
            </w:r>
          </w:p>
        </w:tc>
        <w:tc>
          <w:tcPr>
            <w:tcW w:w="1139" w:type="dxa"/>
            <w:shd w:val="clear" w:color="000000" w:fill="C0D880"/>
            <w:noWrap/>
            <w:vAlign w:val="center"/>
            <w:hideMark/>
          </w:tcPr>
          <w:p w:rsidR="005E17DC" w:rsidRPr="005E17DC" w:rsidP="00385106">
            <w:pPr>
              <w:bidi w:val="0"/>
              <w:spacing w:line="269" w:lineRule="auto"/>
              <w:jc w:val="center"/>
              <w:rPr>
                <w:rFonts w:ascii="David" w:eastAsia="Times New Roman" w:hAnsi="David"/>
                <w:szCs w:val="20"/>
              </w:rPr>
            </w:pPr>
            <w:r w:rsidRPr="005E17DC">
              <w:rPr>
                <w:rFonts w:ascii="David" w:eastAsia="Times New Roman" w:hAnsi="David"/>
                <w:szCs w:val="20"/>
              </w:rPr>
              <w:t>29.4</w:t>
            </w:r>
          </w:p>
        </w:tc>
        <w:tc>
          <w:tcPr>
            <w:tcW w:w="1104" w:type="dxa"/>
            <w:shd w:val="clear" w:color="000000" w:fill="63BE7B"/>
            <w:noWrap/>
            <w:vAlign w:val="center"/>
            <w:hideMark/>
          </w:tcPr>
          <w:p w:rsidR="005E17DC" w:rsidRPr="005E17DC" w:rsidP="00385106">
            <w:pPr>
              <w:bidi w:val="0"/>
              <w:spacing w:line="269" w:lineRule="auto"/>
              <w:jc w:val="center"/>
              <w:rPr>
                <w:rFonts w:ascii="David" w:eastAsia="Times New Roman" w:hAnsi="David"/>
                <w:color w:val="000000"/>
                <w:szCs w:val="20"/>
              </w:rPr>
            </w:pPr>
            <w:r w:rsidRPr="005E17DC">
              <w:rPr>
                <w:rFonts w:ascii="David" w:eastAsia="Times New Roman" w:hAnsi="David"/>
                <w:color w:val="000000"/>
                <w:szCs w:val="20"/>
              </w:rPr>
              <w:t>0.9</w:t>
            </w:r>
          </w:p>
        </w:tc>
        <w:tc>
          <w:tcPr>
            <w:tcW w:w="1013" w:type="dxa"/>
            <w:shd w:val="clear" w:color="auto" w:fill="D9D9D9" w:themeFill="background1" w:themeFillShade="D9"/>
            <w:noWrap/>
            <w:vAlign w:val="center"/>
            <w:hideMark/>
          </w:tcPr>
          <w:p w:rsidR="005E17DC" w:rsidRPr="005E17DC" w:rsidP="00385106">
            <w:pPr>
              <w:bidi w:val="0"/>
              <w:spacing w:line="269" w:lineRule="auto"/>
              <w:jc w:val="center"/>
              <w:rPr>
                <w:rFonts w:eastAsia="Times New Roman" w:asciiTheme="minorHAnsi" w:hAnsiTheme="minorHAnsi"/>
                <w:color w:val="000000"/>
                <w:szCs w:val="20"/>
              </w:rPr>
            </w:pPr>
          </w:p>
        </w:tc>
      </w:tr>
      <w:tr w:rsidTr="00A67A80">
        <w:tblPrEx>
          <w:tblW w:w="8786" w:type="dxa"/>
          <w:tblLook w:val="04A0"/>
        </w:tblPrEx>
        <w:trPr>
          <w:trHeight w:val="20"/>
        </w:trPr>
        <w:tc>
          <w:tcPr>
            <w:tcW w:w="992" w:type="dxa"/>
            <w:shd w:val="clear" w:color="auto" w:fill="auto"/>
            <w:noWrap/>
            <w:vAlign w:val="center"/>
            <w:hideMark/>
          </w:tcPr>
          <w:p w:rsidR="005E17DC" w:rsidRPr="005E17DC" w:rsidP="00385106">
            <w:pPr>
              <w:spacing w:line="269" w:lineRule="auto"/>
              <w:jc w:val="left"/>
              <w:rPr>
                <w:rFonts w:ascii="Arial" w:eastAsia="Times New Roman" w:hAnsi="Arial"/>
                <w:color w:val="000000"/>
                <w:szCs w:val="20"/>
              </w:rPr>
            </w:pPr>
            <w:r w:rsidRPr="005E17DC">
              <w:rPr>
                <w:rFonts w:ascii="Arial" w:eastAsia="Times New Roman" w:hAnsi="Arial"/>
                <w:color w:val="000000"/>
                <w:szCs w:val="20"/>
                <w:rtl/>
              </w:rPr>
              <w:t>מועצה אזורית גזר</w:t>
            </w:r>
          </w:p>
        </w:tc>
        <w:tc>
          <w:tcPr>
            <w:tcW w:w="791" w:type="dxa"/>
            <w:shd w:val="clear" w:color="D9D9D9" w:fill="63BE7B"/>
            <w:noWrap/>
            <w:vAlign w:val="center"/>
            <w:hideMark/>
          </w:tcPr>
          <w:p w:rsidR="005E17DC" w:rsidRPr="005E17DC" w:rsidP="00385106">
            <w:pPr>
              <w:bidi w:val="0"/>
              <w:spacing w:line="269" w:lineRule="auto"/>
              <w:jc w:val="center"/>
              <w:rPr>
                <w:rFonts w:ascii="David" w:eastAsia="Times New Roman" w:hAnsi="David"/>
                <w:color w:val="000000"/>
                <w:szCs w:val="20"/>
                <w:rtl/>
              </w:rPr>
            </w:pPr>
            <w:r w:rsidRPr="005E17DC">
              <w:rPr>
                <w:rFonts w:ascii="David" w:eastAsia="Times New Roman" w:hAnsi="David" w:hint="cs"/>
                <w:color w:val="000000"/>
                <w:szCs w:val="20"/>
              </w:rPr>
              <w:t>8</w:t>
            </w:r>
          </w:p>
        </w:tc>
        <w:tc>
          <w:tcPr>
            <w:tcW w:w="809" w:type="dxa"/>
            <w:shd w:val="clear" w:color="D9D9D9" w:fill="FFEB84"/>
            <w:noWrap/>
            <w:vAlign w:val="center"/>
            <w:hideMark/>
          </w:tcPr>
          <w:p w:rsidR="005E17DC" w:rsidRPr="005E17DC" w:rsidP="00385106">
            <w:pPr>
              <w:bidi w:val="0"/>
              <w:spacing w:line="269" w:lineRule="auto"/>
              <w:jc w:val="center"/>
              <w:rPr>
                <w:rFonts w:eastAsia="Times New Roman" w:asciiTheme="minorHAnsi" w:hAnsiTheme="minorHAnsi"/>
                <w:color w:val="000000"/>
                <w:szCs w:val="20"/>
              </w:rPr>
            </w:pPr>
            <w:r w:rsidRPr="005E17DC">
              <w:rPr>
                <w:rFonts w:ascii="David" w:eastAsia="Times New Roman" w:hAnsi="David" w:hint="cs"/>
                <w:color w:val="000000"/>
                <w:szCs w:val="20"/>
              </w:rPr>
              <w:t>6,640</w:t>
            </w:r>
          </w:p>
        </w:tc>
        <w:tc>
          <w:tcPr>
            <w:tcW w:w="1276" w:type="dxa"/>
            <w:shd w:val="clear" w:color="D9D9D9" w:fill="FCEB84"/>
            <w:noWrap/>
            <w:vAlign w:val="center"/>
            <w:hideMark/>
          </w:tcPr>
          <w:p w:rsidR="005E17DC" w:rsidRPr="005E17DC" w:rsidP="00385106">
            <w:pPr>
              <w:bidi w:val="0"/>
              <w:spacing w:line="269" w:lineRule="auto"/>
              <w:jc w:val="center"/>
              <w:rPr>
                <w:rFonts w:eastAsia="Times New Roman" w:asciiTheme="minorHAnsi" w:hAnsiTheme="minorHAnsi"/>
                <w:color w:val="000000"/>
                <w:szCs w:val="20"/>
              </w:rPr>
            </w:pPr>
            <w:r w:rsidRPr="005E17DC">
              <w:rPr>
                <w:rFonts w:ascii="David" w:eastAsia="Times New Roman" w:hAnsi="David" w:hint="cs"/>
                <w:color w:val="000000"/>
                <w:szCs w:val="20"/>
              </w:rPr>
              <w:t>3,528</w:t>
            </w:r>
          </w:p>
        </w:tc>
        <w:tc>
          <w:tcPr>
            <w:tcW w:w="798" w:type="dxa"/>
            <w:shd w:val="clear" w:color="D9D9D9" w:fill="ACD380"/>
            <w:noWrap/>
            <w:vAlign w:val="center"/>
            <w:hideMark/>
          </w:tcPr>
          <w:p w:rsidR="005E17DC" w:rsidRPr="005E17DC" w:rsidP="00385106">
            <w:pPr>
              <w:bidi w:val="0"/>
              <w:spacing w:line="269" w:lineRule="auto"/>
              <w:jc w:val="center"/>
              <w:rPr>
                <w:rFonts w:ascii="David" w:eastAsia="Times New Roman" w:hAnsi="David"/>
                <w:color w:val="000000"/>
                <w:szCs w:val="20"/>
              </w:rPr>
            </w:pPr>
            <w:r w:rsidRPr="005E17DC">
              <w:rPr>
                <w:rFonts w:ascii="David" w:eastAsia="Times New Roman" w:hAnsi="David" w:hint="cs"/>
                <w:color w:val="000000"/>
                <w:szCs w:val="20"/>
              </w:rPr>
              <w:t>12,103</w:t>
            </w:r>
          </w:p>
        </w:tc>
        <w:tc>
          <w:tcPr>
            <w:tcW w:w="864" w:type="dxa"/>
            <w:shd w:val="clear" w:color="D9D9D9" w:fill="63BE7B"/>
            <w:noWrap/>
            <w:vAlign w:val="center"/>
            <w:hideMark/>
          </w:tcPr>
          <w:p w:rsidR="005E17DC" w:rsidRPr="005E17DC" w:rsidP="00385106">
            <w:pPr>
              <w:bidi w:val="0"/>
              <w:spacing w:line="269" w:lineRule="auto"/>
              <w:jc w:val="center"/>
              <w:rPr>
                <w:rFonts w:ascii="David" w:eastAsia="Times New Roman" w:hAnsi="David"/>
                <w:color w:val="000000"/>
                <w:szCs w:val="20"/>
              </w:rPr>
            </w:pPr>
            <w:r w:rsidRPr="005E17DC">
              <w:rPr>
                <w:rFonts w:ascii="David" w:eastAsia="Times New Roman" w:hAnsi="David"/>
                <w:color w:val="000000"/>
                <w:szCs w:val="20"/>
              </w:rPr>
              <w:t>13,817</w:t>
            </w:r>
          </w:p>
        </w:tc>
        <w:tc>
          <w:tcPr>
            <w:tcW w:w="1139" w:type="dxa"/>
            <w:shd w:val="clear" w:color="D9D9D9" w:fill="D5DE81"/>
            <w:noWrap/>
            <w:vAlign w:val="center"/>
            <w:hideMark/>
          </w:tcPr>
          <w:p w:rsidR="005E17DC" w:rsidRPr="005E17DC" w:rsidP="00385106">
            <w:pPr>
              <w:bidi w:val="0"/>
              <w:spacing w:line="269" w:lineRule="auto"/>
              <w:jc w:val="center"/>
              <w:rPr>
                <w:rFonts w:ascii="David" w:eastAsia="Times New Roman" w:hAnsi="David"/>
                <w:szCs w:val="20"/>
              </w:rPr>
            </w:pPr>
            <w:r w:rsidRPr="005E17DC">
              <w:rPr>
                <w:rFonts w:ascii="David" w:eastAsia="Times New Roman" w:hAnsi="David"/>
                <w:szCs w:val="20"/>
              </w:rPr>
              <w:t>30.3</w:t>
            </w:r>
          </w:p>
        </w:tc>
        <w:tc>
          <w:tcPr>
            <w:tcW w:w="1104" w:type="dxa"/>
            <w:shd w:val="clear" w:color="D9D9D9" w:fill="6CC07B"/>
            <w:noWrap/>
            <w:vAlign w:val="center"/>
            <w:hideMark/>
          </w:tcPr>
          <w:p w:rsidR="005E17DC" w:rsidRPr="005E17DC" w:rsidP="00385106">
            <w:pPr>
              <w:bidi w:val="0"/>
              <w:spacing w:line="269" w:lineRule="auto"/>
              <w:jc w:val="center"/>
              <w:rPr>
                <w:rFonts w:ascii="David" w:eastAsia="Times New Roman" w:hAnsi="David"/>
                <w:color w:val="000000"/>
                <w:szCs w:val="20"/>
              </w:rPr>
            </w:pPr>
            <w:r w:rsidRPr="005E17DC">
              <w:rPr>
                <w:rFonts w:ascii="David" w:eastAsia="Times New Roman" w:hAnsi="David"/>
                <w:color w:val="000000"/>
                <w:szCs w:val="20"/>
              </w:rPr>
              <w:t>1.5</w:t>
            </w:r>
          </w:p>
        </w:tc>
        <w:tc>
          <w:tcPr>
            <w:tcW w:w="1013" w:type="dxa"/>
            <w:shd w:val="clear" w:color="D9D9D9" w:fill="D9D9D9"/>
            <w:noWrap/>
            <w:vAlign w:val="center"/>
            <w:hideMark/>
          </w:tcPr>
          <w:p w:rsidR="005E17DC" w:rsidRPr="005E17DC" w:rsidP="00385106">
            <w:pPr>
              <w:bidi w:val="0"/>
              <w:spacing w:line="269" w:lineRule="auto"/>
              <w:jc w:val="center"/>
              <w:rPr>
                <w:rFonts w:ascii="David" w:eastAsia="Times New Roman" w:hAnsi="David"/>
                <w:color w:val="000000"/>
                <w:szCs w:val="20"/>
              </w:rPr>
            </w:pPr>
          </w:p>
        </w:tc>
      </w:tr>
      <w:tr w:rsidTr="00A67A80">
        <w:tblPrEx>
          <w:tblW w:w="8786" w:type="dxa"/>
          <w:tblLook w:val="04A0"/>
        </w:tblPrEx>
        <w:trPr>
          <w:trHeight w:val="20"/>
        </w:trPr>
        <w:tc>
          <w:tcPr>
            <w:tcW w:w="992" w:type="dxa"/>
            <w:shd w:val="clear" w:color="auto" w:fill="auto"/>
            <w:noWrap/>
            <w:vAlign w:val="center"/>
            <w:hideMark/>
          </w:tcPr>
          <w:p w:rsidR="005E17DC" w:rsidRPr="005E17DC" w:rsidP="00385106">
            <w:pPr>
              <w:spacing w:line="269" w:lineRule="auto"/>
              <w:jc w:val="left"/>
              <w:rPr>
                <w:rFonts w:ascii="Arial" w:eastAsia="Times New Roman" w:hAnsi="Arial"/>
                <w:color w:val="000000"/>
                <w:szCs w:val="20"/>
                <w:rtl/>
              </w:rPr>
            </w:pPr>
            <w:r w:rsidRPr="005E17DC">
              <w:rPr>
                <w:rFonts w:ascii="Arial" w:eastAsia="Times New Roman" w:hAnsi="Arial"/>
                <w:color w:val="000000"/>
                <w:szCs w:val="20"/>
                <w:rtl/>
              </w:rPr>
              <w:t>יבנה</w:t>
            </w:r>
          </w:p>
        </w:tc>
        <w:tc>
          <w:tcPr>
            <w:tcW w:w="791" w:type="dxa"/>
            <w:shd w:val="clear" w:color="000000" w:fill="FFEB84"/>
            <w:noWrap/>
            <w:vAlign w:val="center"/>
            <w:hideMark/>
          </w:tcPr>
          <w:p w:rsidR="005E17DC" w:rsidRPr="005E17DC" w:rsidP="00385106">
            <w:pPr>
              <w:bidi w:val="0"/>
              <w:spacing w:line="269" w:lineRule="auto"/>
              <w:jc w:val="center"/>
              <w:rPr>
                <w:rFonts w:eastAsia="Times New Roman" w:asciiTheme="minorHAnsi" w:hAnsiTheme="minorHAnsi"/>
                <w:color w:val="000000"/>
                <w:szCs w:val="20"/>
                <w:rtl/>
              </w:rPr>
            </w:pPr>
            <w:r w:rsidRPr="005E17DC">
              <w:rPr>
                <w:rFonts w:ascii="David" w:eastAsia="Times New Roman" w:hAnsi="David" w:hint="cs"/>
                <w:color w:val="000000"/>
                <w:szCs w:val="20"/>
              </w:rPr>
              <w:t>7</w:t>
            </w:r>
          </w:p>
        </w:tc>
        <w:tc>
          <w:tcPr>
            <w:tcW w:w="809" w:type="dxa"/>
            <w:shd w:val="clear" w:color="000000" w:fill="FAEA84"/>
            <w:noWrap/>
            <w:vAlign w:val="center"/>
            <w:hideMark/>
          </w:tcPr>
          <w:p w:rsidR="005E17DC" w:rsidRPr="005E17DC" w:rsidP="00385106">
            <w:pPr>
              <w:bidi w:val="0"/>
              <w:spacing w:line="269" w:lineRule="auto"/>
              <w:jc w:val="center"/>
              <w:rPr>
                <w:rFonts w:ascii="David" w:eastAsia="Times New Roman" w:hAnsi="David"/>
                <w:color w:val="000000"/>
                <w:szCs w:val="20"/>
              </w:rPr>
            </w:pPr>
            <w:r w:rsidRPr="005E17DC">
              <w:rPr>
                <w:rFonts w:ascii="David" w:eastAsia="Times New Roman" w:hAnsi="David" w:hint="cs"/>
                <w:color w:val="000000"/>
                <w:szCs w:val="20"/>
              </w:rPr>
              <w:t>6,976</w:t>
            </w:r>
          </w:p>
        </w:tc>
        <w:tc>
          <w:tcPr>
            <w:tcW w:w="1276" w:type="dxa"/>
            <w:shd w:val="clear" w:color="000000" w:fill="F6E984"/>
            <w:noWrap/>
            <w:vAlign w:val="center"/>
            <w:hideMark/>
          </w:tcPr>
          <w:p w:rsidR="005E17DC" w:rsidRPr="005E17DC" w:rsidP="00385106">
            <w:pPr>
              <w:bidi w:val="0"/>
              <w:spacing w:line="269" w:lineRule="auto"/>
              <w:jc w:val="center"/>
              <w:rPr>
                <w:rFonts w:ascii="David" w:eastAsia="Times New Roman" w:hAnsi="David"/>
                <w:color w:val="000000"/>
                <w:szCs w:val="20"/>
              </w:rPr>
            </w:pPr>
            <w:r w:rsidRPr="005E17DC">
              <w:rPr>
                <w:rFonts w:ascii="David" w:eastAsia="Times New Roman" w:hAnsi="David" w:hint="cs"/>
                <w:color w:val="000000"/>
                <w:szCs w:val="20"/>
              </w:rPr>
              <w:t>3,770</w:t>
            </w:r>
          </w:p>
        </w:tc>
        <w:tc>
          <w:tcPr>
            <w:tcW w:w="798" w:type="dxa"/>
            <w:shd w:val="clear" w:color="000000" w:fill="FDCF7E"/>
            <w:noWrap/>
            <w:vAlign w:val="center"/>
            <w:hideMark/>
          </w:tcPr>
          <w:p w:rsidR="005E17DC" w:rsidRPr="005E17DC" w:rsidP="00385106">
            <w:pPr>
              <w:bidi w:val="0"/>
              <w:spacing w:line="269" w:lineRule="auto"/>
              <w:jc w:val="center"/>
              <w:rPr>
                <w:rFonts w:ascii="David" w:eastAsia="Times New Roman" w:hAnsi="David"/>
                <w:color w:val="000000"/>
                <w:szCs w:val="20"/>
              </w:rPr>
            </w:pPr>
            <w:r w:rsidRPr="005E17DC">
              <w:rPr>
                <w:rFonts w:ascii="David" w:eastAsia="Times New Roman" w:hAnsi="David" w:hint="cs"/>
                <w:color w:val="000000"/>
                <w:szCs w:val="20"/>
              </w:rPr>
              <w:t>9,523</w:t>
            </w:r>
          </w:p>
        </w:tc>
        <w:tc>
          <w:tcPr>
            <w:tcW w:w="864" w:type="dxa"/>
            <w:shd w:val="clear" w:color="000000" w:fill="FFEB84"/>
            <w:noWrap/>
            <w:vAlign w:val="center"/>
            <w:hideMark/>
          </w:tcPr>
          <w:p w:rsidR="005E17DC" w:rsidRPr="005E17DC" w:rsidP="00385106">
            <w:pPr>
              <w:bidi w:val="0"/>
              <w:spacing w:line="269" w:lineRule="auto"/>
              <w:jc w:val="center"/>
              <w:rPr>
                <w:rFonts w:ascii="David" w:eastAsia="Times New Roman" w:hAnsi="David"/>
                <w:color w:val="000000"/>
                <w:szCs w:val="20"/>
              </w:rPr>
            </w:pPr>
            <w:r w:rsidRPr="005E17DC">
              <w:rPr>
                <w:rFonts w:ascii="David" w:eastAsia="Times New Roman" w:hAnsi="David"/>
                <w:color w:val="000000"/>
                <w:szCs w:val="20"/>
              </w:rPr>
              <w:t>10,769</w:t>
            </w:r>
          </w:p>
        </w:tc>
        <w:tc>
          <w:tcPr>
            <w:tcW w:w="1139" w:type="dxa"/>
            <w:shd w:val="clear" w:color="000000" w:fill="FED480"/>
            <w:noWrap/>
            <w:vAlign w:val="center"/>
            <w:hideMark/>
          </w:tcPr>
          <w:p w:rsidR="005E17DC" w:rsidRPr="005E17DC" w:rsidP="00385106">
            <w:pPr>
              <w:bidi w:val="0"/>
              <w:spacing w:line="269" w:lineRule="auto"/>
              <w:jc w:val="center"/>
              <w:rPr>
                <w:rFonts w:ascii="David" w:eastAsia="Times New Roman" w:hAnsi="David"/>
                <w:szCs w:val="20"/>
              </w:rPr>
            </w:pPr>
            <w:r w:rsidRPr="005E17DC">
              <w:rPr>
                <w:rFonts w:ascii="David" w:eastAsia="Times New Roman" w:hAnsi="David"/>
                <w:szCs w:val="20"/>
              </w:rPr>
              <w:t>33.7</w:t>
            </w:r>
          </w:p>
        </w:tc>
        <w:tc>
          <w:tcPr>
            <w:tcW w:w="1104" w:type="dxa"/>
            <w:shd w:val="clear" w:color="000000" w:fill="FDC67D"/>
            <w:noWrap/>
            <w:vAlign w:val="center"/>
            <w:hideMark/>
          </w:tcPr>
          <w:p w:rsidR="005E17DC" w:rsidRPr="005E17DC" w:rsidP="00385106">
            <w:pPr>
              <w:bidi w:val="0"/>
              <w:spacing w:line="269" w:lineRule="auto"/>
              <w:jc w:val="center"/>
              <w:rPr>
                <w:rFonts w:ascii="David" w:eastAsia="Times New Roman" w:hAnsi="David"/>
                <w:color w:val="000000"/>
                <w:szCs w:val="20"/>
              </w:rPr>
            </w:pPr>
            <w:r w:rsidRPr="005E17DC">
              <w:rPr>
                <w:rFonts w:ascii="David" w:eastAsia="Times New Roman" w:hAnsi="David"/>
                <w:color w:val="000000"/>
                <w:szCs w:val="20"/>
              </w:rPr>
              <w:t>17.6</w:t>
            </w:r>
          </w:p>
        </w:tc>
        <w:tc>
          <w:tcPr>
            <w:tcW w:w="1013" w:type="dxa"/>
            <w:shd w:val="clear" w:color="auto" w:fill="D9D9D9" w:themeFill="background1" w:themeFillShade="D9"/>
            <w:noWrap/>
            <w:vAlign w:val="center"/>
            <w:hideMark/>
          </w:tcPr>
          <w:p w:rsidR="005E17DC" w:rsidRPr="005E17DC" w:rsidP="00385106">
            <w:pPr>
              <w:bidi w:val="0"/>
              <w:spacing w:line="269" w:lineRule="auto"/>
              <w:jc w:val="center"/>
              <w:rPr>
                <w:rFonts w:eastAsia="Times New Roman" w:asciiTheme="minorHAnsi" w:hAnsiTheme="minorHAnsi"/>
                <w:color w:val="000000"/>
                <w:szCs w:val="20"/>
              </w:rPr>
            </w:pPr>
          </w:p>
        </w:tc>
      </w:tr>
      <w:tr w:rsidTr="00A67A80">
        <w:tblPrEx>
          <w:tblW w:w="8786" w:type="dxa"/>
          <w:tblLook w:val="04A0"/>
        </w:tblPrEx>
        <w:trPr>
          <w:trHeight w:val="20"/>
        </w:trPr>
        <w:tc>
          <w:tcPr>
            <w:tcW w:w="992" w:type="dxa"/>
            <w:shd w:val="clear" w:color="auto" w:fill="auto"/>
            <w:noWrap/>
            <w:vAlign w:val="center"/>
            <w:hideMark/>
          </w:tcPr>
          <w:p w:rsidR="005E17DC" w:rsidRPr="005E17DC" w:rsidP="00385106">
            <w:pPr>
              <w:spacing w:line="269" w:lineRule="auto"/>
              <w:jc w:val="left"/>
              <w:rPr>
                <w:rFonts w:ascii="Arial" w:eastAsia="Times New Roman" w:hAnsi="Arial"/>
                <w:color w:val="000000"/>
                <w:szCs w:val="20"/>
              </w:rPr>
            </w:pPr>
            <w:r w:rsidRPr="005E17DC">
              <w:rPr>
                <w:rFonts w:ascii="Arial" w:eastAsia="Times New Roman" w:hAnsi="Arial"/>
                <w:color w:val="000000"/>
                <w:szCs w:val="20"/>
                <w:rtl/>
              </w:rPr>
              <w:t>לוד</w:t>
            </w:r>
          </w:p>
        </w:tc>
        <w:tc>
          <w:tcPr>
            <w:tcW w:w="791" w:type="dxa"/>
            <w:shd w:val="clear" w:color="D9D9D9" w:fill="F8696B"/>
            <w:noWrap/>
            <w:vAlign w:val="center"/>
            <w:hideMark/>
          </w:tcPr>
          <w:p w:rsidR="005E17DC" w:rsidRPr="005E17DC" w:rsidP="00385106">
            <w:pPr>
              <w:bidi w:val="0"/>
              <w:spacing w:line="269" w:lineRule="auto"/>
              <w:jc w:val="center"/>
              <w:rPr>
                <w:rFonts w:ascii="David" w:eastAsia="Times New Roman" w:hAnsi="David"/>
                <w:color w:val="000000"/>
                <w:szCs w:val="20"/>
                <w:rtl/>
              </w:rPr>
            </w:pPr>
            <w:r w:rsidRPr="005E17DC">
              <w:rPr>
                <w:rFonts w:ascii="David" w:eastAsia="Times New Roman" w:hAnsi="David" w:hint="cs"/>
                <w:color w:val="000000"/>
                <w:szCs w:val="20"/>
              </w:rPr>
              <w:t>3</w:t>
            </w:r>
          </w:p>
        </w:tc>
        <w:tc>
          <w:tcPr>
            <w:tcW w:w="809" w:type="dxa"/>
            <w:shd w:val="clear" w:color="D9D9D9" w:fill="F8696B"/>
            <w:noWrap/>
            <w:vAlign w:val="center"/>
            <w:hideMark/>
          </w:tcPr>
          <w:p w:rsidR="005E17DC" w:rsidRPr="005E17DC" w:rsidP="00385106">
            <w:pPr>
              <w:bidi w:val="0"/>
              <w:spacing w:line="269" w:lineRule="auto"/>
              <w:jc w:val="center"/>
              <w:rPr>
                <w:rFonts w:ascii="David" w:eastAsia="Times New Roman" w:hAnsi="David"/>
                <w:color w:val="000000"/>
                <w:szCs w:val="20"/>
              </w:rPr>
            </w:pPr>
            <w:r w:rsidRPr="005E17DC">
              <w:rPr>
                <w:rFonts w:ascii="David" w:eastAsia="Times New Roman" w:hAnsi="David" w:hint="cs"/>
                <w:color w:val="000000"/>
                <w:szCs w:val="20"/>
              </w:rPr>
              <w:t>5,381</w:t>
            </w:r>
          </w:p>
        </w:tc>
        <w:tc>
          <w:tcPr>
            <w:tcW w:w="1276" w:type="dxa"/>
            <w:shd w:val="clear" w:color="D9D9D9" w:fill="F98C71"/>
            <w:noWrap/>
            <w:vAlign w:val="center"/>
            <w:hideMark/>
          </w:tcPr>
          <w:p w:rsidR="005E17DC" w:rsidRPr="005E17DC" w:rsidP="00385106">
            <w:pPr>
              <w:bidi w:val="0"/>
              <w:spacing w:line="269" w:lineRule="auto"/>
              <w:jc w:val="center"/>
              <w:rPr>
                <w:rFonts w:ascii="David" w:eastAsia="Times New Roman" w:hAnsi="David"/>
                <w:color w:val="000000"/>
                <w:szCs w:val="20"/>
              </w:rPr>
            </w:pPr>
            <w:r w:rsidRPr="005E17DC">
              <w:rPr>
                <w:rFonts w:ascii="David" w:eastAsia="Times New Roman" w:hAnsi="David" w:hint="cs"/>
                <w:color w:val="000000"/>
                <w:szCs w:val="20"/>
              </w:rPr>
              <w:t>2,768</w:t>
            </w:r>
          </w:p>
        </w:tc>
        <w:tc>
          <w:tcPr>
            <w:tcW w:w="798" w:type="dxa"/>
            <w:shd w:val="clear" w:color="D9D9D9" w:fill="F8696B"/>
            <w:noWrap/>
            <w:vAlign w:val="center"/>
            <w:hideMark/>
          </w:tcPr>
          <w:p w:rsidR="005E17DC" w:rsidRPr="005E17DC" w:rsidP="00385106">
            <w:pPr>
              <w:bidi w:val="0"/>
              <w:spacing w:line="269" w:lineRule="auto"/>
              <w:jc w:val="center"/>
              <w:rPr>
                <w:rFonts w:ascii="David" w:eastAsia="Times New Roman" w:hAnsi="David"/>
                <w:color w:val="000000"/>
                <w:szCs w:val="20"/>
              </w:rPr>
            </w:pPr>
            <w:r w:rsidRPr="005E17DC">
              <w:rPr>
                <w:rFonts w:ascii="David" w:eastAsia="Times New Roman" w:hAnsi="David" w:hint="cs"/>
                <w:color w:val="000000"/>
                <w:szCs w:val="20"/>
              </w:rPr>
              <w:t>7,085</w:t>
            </w:r>
          </w:p>
        </w:tc>
        <w:tc>
          <w:tcPr>
            <w:tcW w:w="864" w:type="dxa"/>
            <w:shd w:val="clear" w:color="D9D9D9" w:fill="F8696B"/>
            <w:noWrap/>
            <w:vAlign w:val="center"/>
            <w:hideMark/>
          </w:tcPr>
          <w:p w:rsidR="005E17DC" w:rsidRPr="005E17DC" w:rsidP="00385106">
            <w:pPr>
              <w:bidi w:val="0"/>
              <w:spacing w:line="269" w:lineRule="auto"/>
              <w:jc w:val="center"/>
              <w:rPr>
                <w:rFonts w:ascii="David" w:eastAsia="Times New Roman" w:hAnsi="David"/>
                <w:color w:val="000000"/>
                <w:szCs w:val="20"/>
              </w:rPr>
            </w:pPr>
            <w:r w:rsidRPr="005E17DC">
              <w:rPr>
                <w:rFonts w:ascii="David" w:eastAsia="Times New Roman" w:hAnsi="David"/>
                <w:color w:val="000000"/>
                <w:szCs w:val="20"/>
              </w:rPr>
              <w:t>8,054</w:t>
            </w:r>
          </w:p>
        </w:tc>
        <w:tc>
          <w:tcPr>
            <w:tcW w:w="1139" w:type="dxa"/>
            <w:shd w:val="clear" w:color="000000" w:fill="F8696B"/>
            <w:noWrap/>
            <w:vAlign w:val="center"/>
            <w:hideMark/>
          </w:tcPr>
          <w:p w:rsidR="005E17DC" w:rsidRPr="005E17DC" w:rsidP="00385106">
            <w:pPr>
              <w:bidi w:val="0"/>
              <w:spacing w:line="269" w:lineRule="auto"/>
              <w:jc w:val="center"/>
              <w:rPr>
                <w:rFonts w:ascii="David" w:eastAsia="Times New Roman" w:hAnsi="David"/>
                <w:szCs w:val="20"/>
              </w:rPr>
            </w:pPr>
            <w:r w:rsidRPr="005E17DC">
              <w:rPr>
                <w:rFonts w:ascii="David" w:eastAsia="Times New Roman" w:hAnsi="David"/>
                <w:szCs w:val="20"/>
              </w:rPr>
              <w:t>41.1</w:t>
            </w:r>
          </w:p>
        </w:tc>
        <w:tc>
          <w:tcPr>
            <w:tcW w:w="1104" w:type="dxa"/>
            <w:shd w:val="clear" w:color="D9D9D9" w:fill="F8696B"/>
            <w:noWrap/>
            <w:vAlign w:val="center"/>
            <w:hideMark/>
          </w:tcPr>
          <w:p w:rsidR="005E17DC" w:rsidRPr="005E17DC" w:rsidP="00385106">
            <w:pPr>
              <w:bidi w:val="0"/>
              <w:spacing w:line="269" w:lineRule="auto"/>
              <w:jc w:val="center"/>
              <w:rPr>
                <w:rFonts w:ascii="David" w:eastAsia="Times New Roman" w:hAnsi="David"/>
                <w:color w:val="000000"/>
                <w:szCs w:val="20"/>
              </w:rPr>
            </w:pPr>
            <w:r w:rsidRPr="005E17DC">
              <w:rPr>
                <w:rFonts w:ascii="David" w:eastAsia="Times New Roman" w:hAnsi="David"/>
                <w:color w:val="000000"/>
                <w:szCs w:val="20"/>
              </w:rPr>
              <w:t>34.1</w:t>
            </w:r>
          </w:p>
        </w:tc>
        <w:tc>
          <w:tcPr>
            <w:tcW w:w="1013" w:type="dxa"/>
            <w:shd w:val="clear" w:color="000000" w:fill="F9746E"/>
            <w:noWrap/>
            <w:vAlign w:val="center"/>
            <w:hideMark/>
          </w:tcPr>
          <w:p w:rsidR="005E17DC" w:rsidRPr="005E17DC" w:rsidP="00385106">
            <w:pPr>
              <w:bidi w:val="0"/>
              <w:spacing w:line="269" w:lineRule="auto"/>
              <w:jc w:val="center"/>
              <w:rPr>
                <w:rFonts w:ascii="David" w:eastAsia="Times New Roman" w:hAnsi="David"/>
                <w:szCs w:val="20"/>
              </w:rPr>
            </w:pPr>
            <w:r w:rsidRPr="005E17DC">
              <w:rPr>
                <w:rFonts w:ascii="David" w:eastAsia="Times New Roman" w:hAnsi="David"/>
                <w:szCs w:val="20"/>
              </w:rPr>
              <w:t>6.4</w:t>
            </w:r>
          </w:p>
        </w:tc>
      </w:tr>
      <w:tr w:rsidTr="00A67A80">
        <w:tblPrEx>
          <w:tblW w:w="8786" w:type="dxa"/>
          <w:tblLook w:val="04A0"/>
        </w:tblPrEx>
        <w:trPr>
          <w:trHeight w:val="20"/>
        </w:trPr>
        <w:tc>
          <w:tcPr>
            <w:tcW w:w="992" w:type="dxa"/>
            <w:shd w:val="clear" w:color="auto" w:fill="auto"/>
            <w:noWrap/>
            <w:vAlign w:val="center"/>
            <w:hideMark/>
          </w:tcPr>
          <w:p w:rsidR="005E17DC" w:rsidRPr="005E17DC" w:rsidP="00385106">
            <w:pPr>
              <w:spacing w:line="269" w:lineRule="auto"/>
              <w:jc w:val="left"/>
              <w:rPr>
                <w:rFonts w:ascii="Arial" w:eastAsia="Times New Roman" w:hAnsi="Arial"/>
                <w:color w:val="000000"/>
                <w:szCs w:val="20"/>
              </w:rPr>
            </w:pPr>
            <w:r w:rsidRPr="005E17DC">
              <w:rPr>
                <w:rFonts w:ascii="Arial" w:eastAsia="Times New Roman" w:hAnsi="Arial"/>
                <w:color w:val="000000"/>
                <w:szCs w:val="20"/>
                <w:rtl/>
              </w:rPr>
              <w:t>מודיעין-מכבים-רעות</w:t>
            </w:r>
          </w:p>
        </w:tc>
        <w:tc>
          <w:tcPr>
            <w:tcW w:w="791" w:type="dxa"/>
            <w:shd w:val="clear" w:color="000000" w:fill="63BE7B"/>
            <w:noWrap/>
            <w:vAlign w:val="center"/>
            <w:hideMark/>
          </w:tcPr>
          <w:p w:rsidR="005E17DC" w:rsidRPr="005E17DC" w:rsidP="00385106">
            <w:pPr>
              <w:bidi w:val="0"/>
              <w:spacing w:line="269" w:lineRule="auto"/>
              <w:jc w:val="center"/>
              <w:rPr>
                <w:rFonts w:ascii="David" w:eastAsia="Times New Roman" w:hAnsi="David"/>
                <w:color w:val="000000"/>
                <w:szCs w:val="20"/>
                <w:rtl/>
              </w:rPr>
            </w:pPr>
            <w:r w:rsidRPr="005E17DC">
              <w:rPr>
                <w:rFonts w:ascii="David" w:eastAsia="Times New Roman" w:hAnsi="David" w:hint="cs"/>
                <w:color w:val="000000"/>
                <w:szCs w:val="20"/>
              </w:rPr>
              <w:t>8</w:t>
            </w:r>
          </w:p>
        </w:tc>
        <w:tc>
          <w:tcPr>
            <w:tcW w:w="809" w:type="dxa"/>
            <w:shd w:val="clear" w:color="000000" w:fill="FCBC7B"/>
            <w:noWrap/>
            <w:vAlign w:val="center"/>
            <w:hideMark/>
          </w:tcPr>
          <w:p w:rsidR="005E17DC" w:rsidRPr="005E17DC" w:rsidP="00385106">
            <w:pPr>
              <w:bidi w:val="0"/>
              <w:spacing w:line="269" w:lineRule="auto"/>
              <w:jc w:val="center"/>
              <w:rPr>
                <w:rFonts w:ascii="David" w:eastAsia="Times New Roman" w:hAnsi="David"/>
                <w:color w:val="000000"/>
                <w:szCs w:val="20"/>
              </w:rPr>
            </w:pPr>
            <w:r w:rsidRPr="005E17DC">
              <w:rPr>
                <w:rFonts w:ascii="David" w:eastAsia="Times New Roman" w:hAnsi="David" w:hint="cs"/>
                <w:color w:val="000000"/>
                <w:szCs w:val="20"/>
              </w:rPr>
              <w:t>6,191</w:t>
            </w:r>
          </w:p>
        </w:tc>
        <w:tc>
          <w:tcPr>
            <w:tcW w:w="1276" w:type="dxa"/>
            <w:shd w:val="clear" w:color="000000" w:fill="F8696B"/>
            <w:noWrap/>
            <w:vAlign w:val="center"/>
            <w:hideMark/>
          </w:tcPr>
          <w:p w:rsidR="005E17DC" w:rsidRPr="005E17DC" w:rsidP="00385106">
            <w:pPr>
              <w:bidi w:val="0"/>
              <w:spacing w:line="269" w:lineRule="auto"/>
              <w:jc w:val="center"/>
              <w:rPr>
                <w:rFonts w:ascii="David" w:eastAsia="Times New Roman" w:hAnsi="David"/>
                <w:color w:val="000000"/>
                <w:szCs w:val="20"/>
              </w:rPr>
            </w:pPr>
            <w:r w:rsidRPr="005E17DC">
              <w:rPr>
                <w:rFonts w:ascii="David" w:eastAsia="Times New Roman" w:hAnsi="David" w:hint="cs"/>
                <w:color w:val="000000"/>
                <w:szCs w:val="20"/>
              </w:rPr>
              <w:t>2,531</w:t>
            </w:r>
          </w:p>
        </w:tc>
        <w:tc>
          <w:tcPr>
            <w:tcW w:w="798" w:type="dxa"/>
            <w:shd w:val="clear" w:color="000000" w:fill="63BE7B"/>
            <w:noWrap/>
            <w:vAlign w:val="center"/>
            <w:hideMark/>
          </w:tcPr>
          <w:p w:rsidR="005E17DC" w:rsidRPr="005E17DC" w:rsidP="00385106">
            <w:pPr>
              <w:bidi w:val="0"/>
              <w:spacing w:line="269" w:lineRule="auto"/>
              <w:jc w:val="center"/>
              <w:rPr>
                <w:rFonts w:ascii="David" w:eastAsia="Times New Roman" w:hAnsi="David"/>
                <w:color w:val="000000"/>
                <w:szCs w:val="20"/>
              </w:rPr>
            </w:pPr>
            <w:r w:rsidRPr="005E17DC">
              <w:rPr>
                <w:rFonts w:ascii="David" w:eastAsia="Times New Roman" w:hAnsi="David" w:hint="cs"/>
                <w:color w:val="000000"/>
                <w:szCs w:val="20"/>
              </w:rPr>
              <w:t>13,746</w:t>
            </w:r>
          </w:p>
        </w:tc>
        <w:tc>
          <w:tcPr>
            <w:tcW w:w="864" w:type="dxa"/>
            <w:shd w:val="clear" w:color="000000" w:fill="9ACE7F"/>
            <w:noWrap/>
            <w:vAlign w:val="center"/>
            <w:hideMark/>
          </w:tcPr>
          <w:p w:rsidR="005E17DC" w:rsidRPr="005E17DC" w:rsidP="00385106">
            <w:pPr>
              <w:bidi w:val="0"/>
              <w:spacing w:line="269" w:lineRule="auto"/>
              <w:jc w:val="center"/>
              <w:rPr>
                <w:rFonts w:ascii="David" w:eastAsia="Times New Roman" w:hAnsi="David"/>
                <w:color w:val="000000"/>
                <w:szCs w:val="20"/>
              </w:rPr>
            </w:pPr>
            <w:r w:rsidRPr="005E17DC">
              <w:rPr>
                <w:rFonts w:ascii="David" w:eastAsia="Times New Roman" w:hAnsi="David"/>
                <w:color w:val="000000"/>
                <w:szCs w:val="20"/>
              </w:rPr>
              <w:t>12,748</w:t>
            </w:r>
          </w:p>
        </w:tc>
        <w:tc>
          <w:tcPr>
            <w:tcW w:w="1139" w:type="dxa"/>
            <w:shd w:val="clear" w:color="000000" w:fill="7EC67C"/>
            <w:noWrap/>
            <w:vAlign w:val="center"/>
            <w:hideMark/>
          </w:tcPr>
          <w:p w:rsidR="005E17DC" w:rsidRPr="005E17DC" w:rsidP="00385106">
            <w:pPr>
              <w:bidi w:val="0"/>
              <w:spacing w:line="269" w:lineRule="auto"/>
              <w:jc w:val="center"/>
              <w:rPr>
                <w:rFonts w:ascii="David" w:eastAsia="Times New Roman" w:hAnsi="David"/>
                <w:szCs w:val="20"/>
              </w:rPr>
            </w:pPr>
            <w:r w:rsidRPr="005E17DC">
              <w:rPr>
                <w:rFonts w:ascii="David" w:eastAsia="Times New Roman" w:hAnsi="David"/>
                <w:szCs w:val="20"/>
              </w:rPr>
              <w:t>26.6</w:t>
            </w:r>
          </w:p>
        </w:tc>
        <w:tc>
          <w:tcPr>
            <w:tcW w:w="1104" w:type="dxa"/>
            <w:shd w:val="clear" w:color="000000" w:fill="C7DA80"/>
            <w:noWrap/>
            <w:vAlign w:val="center"/>
            <w:hideMark/>
          </w:tcPr>
          <w:p w:rsidR="005E17DC" w:rsidRPr="005E17DC" w:rsidP="00385106">
            <w:pPr>
              <w:bidi w:val="0"/>
              <w:spacing w:line="269" w:lineRule="auto"/>
              <w:jc w:val="center"/>
              <w:rPr>
                <w:rFonts w:ascii="David" w:eastAsia="Times New Roman" w:hAnsi="David"/>
                <w:color w:val="000000"/>
                <w:szCs w:val="20"/>
              </w:rPr>
            </w:pPr>
            <w:r w:rsidRPr="005E17DC">
              <w:rPr>
                <w:rFonts w:ascii="David" w:eastAsia="Times New Roman" w:hAnsi="David"/>
                <w:color w:val="000000"/>
                <w:szCs w:val="20"/>
              </w:rPr>
              <w:t>7.4</w:t>
            </w:r>
          </w:p>
        </w:tc>
        <w:tc>
          <w:tcPr>
            <w:tcW w:w="1013" w:type="dxa"/>
            <w:shd w:val="clear" w:color="000000" w:fill="63BE7B"/>
            <w:noWrap/>
            <w:vAlign w:val="center"/>
            <w:hideMark/>
          </w:tcPr>
          <w:p w:rsidR="005E17DC" w:rsidRPr="005E17DC" w:rsidP="00385106">
            <w:pPr>
              <w:bidi w:val="0"/>
              <w:spacing w:line="269" w:lineRule="auto"/>
              <w:jc w:val="center"/>
              <w:rPr>
                <w:rFonts w:ascii="David" w:eastAsia="Times New Roman" w:hAnsi="David"/>
                <w:szCs w:val="20"/>
              </w:rPr>
            </w:pPr>
            <w:r w:rsidRPr="005E17DC">
              <w:rPr>
                <w:rFonts w:ascii="David" w:eastAsia="Times New Roman" w:hAnsi="David"/>
                <w:szCs w:val="20"/>
              </w:rPr>
              <w:t>1.3</w:t>
            </w:r>
          </w:p>
        </w:tc>
      </w:tr>
      <w:tr w:rsidTr="00A67A80">
        <w:tblPrEx>
          <w:tblW w:w="8786" w:type="dxa"/>
          <w:tblLook w:val="04A0"/>
        </w:tblPrEx>
        <w:trPr>
          <w:trHeight w:val="20"/>
        </w:trPr>
        <w:tc>
          <w:tcPr>
            <w:tcW w:w="992" w:type="dxa"/>
            <w:shd w:val="clear" w:color="auto" w:fill="auto"/>
            <w:noWrap/>
            <w:vAlign w:val="center"/>
            <w:hideMark/>
          </w:tcPr>
          <w:p w:rsidR="005E17DC" w:rsidRPr="005E17DC" w:rsidP="00385106">
            <w:pPr>
              <w:spacing w:line="269" w:lineRule="auto"/>
              <w:jc w:val="left"/>
              <w:rPr>
                <w:rFonts w:ascii="Arial" w:eastAsia="Times New Roman" w:hAnsi="Arial"/>
                <w:color w:val="000000"/>
                <w:szCs w:val="20"/>
              </w:rPr>
            </w:pPr>
            <w:r w:rsidRPr="005E17DC">
              <w:rPr>
                <w:rFonts w:ascii="Arial" w:eastAsia="Times New Roman" w:hAnsi="Arial"/>
                <w:color w:val="000000"/>
                <w:szCs w:val="20"/>
                <w:rtl/>
              </w:rPr>
              <w:t>נס ציונה</w:t>
            </w:r>
          </w:p>
        </w:tc>
        <w:tc>
          <w:tcPr>
            <w:tcW w:w="791" w:type="dxa"/>
            <w:shd w:val="clear" w:color="D9D9D9" w:fill="63BE7B"/>
            <w:noWrap/>
            <w:vAlign w:val="center"/>
            <w:hideMark/>
          </w:tcPr>
          <w:p w:rsidR="005E17DC" w:rsidRPr="005E17DC" w:rsidP="00385106">
            <w:pPr>
              <w:bidi w:val="0"/>
              <w:spacing w:line="269" w:lineRule="auto"/>
              <w:jc w:val="center"/>
              <w:rPr>
                <w:rFonts w:eastAsia="Times New Roman" w:asciiTheme="minorHAnsi" w:hAnsiTheme="minorHAnsi"/>
                <w:color w:val="000000"/>
                <w:szCs w:val="20"/>
                <w:rtl/>
              </w:rPr>
            </w:pPr>
            <w:r w:rsidRPr="005E17DC">
              <w:rPr>
                <w:rFonts w:ascii="David" w:eastAsia="Times New Roman" w:hAnsi="David" w:hint="cs"/>
                <w:color w:val="000000"/>
                <w:szCs w:val="20"/>
              </w:rPr>
              <w:t>8</w:t>
            </w:r>
          </w:p>
        </w:tc>
        <w:tc>
          <w:tcPr>
            <w:tcW w:w="809" w:type="dxa"/>
            <w:shd w:val="clear" w:color="D9D9D9" w:fill="EFE784"/>
            <w:noWrap/>
            <w:vAlign w:val="center"/>
            <w:hideMark/>
          </w:tcPr>
          <w:p w:rsidR="005E17DC" w:rsidRPr="005E17DC" w:rsidP="00385106">
            <w:pPr>
              <w:bidi w:val="0"/>
              <w:spacing w:line="269" w:lineRule="auto"/>
              <w:jc w:val="center"/>
              <w:rPr>
                <w:rFonts w:ascii="David" w:eastAsia="Times New Roman" w:hAnsi="David"/>
                <w:color w:val="000000"/>
                <w:szCs w:val="20"/>
              </w:rPr>
            </w:pPr>
            <w:r w:rsidRPr="005E17DC">
              <w:rPr>
                <w:rFonts w:ascii="David" w:eastAsia="Times New Roman" w:hAnsi="David" w:hint="cs"/>
                <w:color w:val="000000"/>
                <w:szCs w:val="20"/>
              </w:rPr>
              <w:t>7,618</w:t>
            </w:r>
          </w:p>
        </w:tc>
        <w:tc>
          <w:tcPr>
            <w:tcW w:w="1276" w:type="dxa"/>
            <w:shd w:val="clear" w:color="D9D9D9" w:fill="FFEB84"/>
            <w:noWrap/>
            <w:vAlign w:val="center"/>
            <w:hideMark/>
          </w:tcPr>
          <w:p w:rsidR="005E17DC" w:rsidRPr="005E17DC" w:rsidP="00385106">
            <w:pPr>
              <w:bidi w:val="0"/>
              <w:spacing w:line="269" w:lineRule="auto"/>
              <w:jc w:val="center"/>
              <w:rPr>
                <w:rFonts w:ascii="David" w:eastAsia="Times New Roman" w:hAnsi="David"/>
                <w:color w:val="000000"/>
                <w:szCs w:val="20"/>
              </w:rPr>
            </w:pPr>
            <w:r w:rsidRPr="005E17DC">
              <w:rPr>
                <w:rFonts w:ascii="David" w:eastAsia="Times New Roman" w:hAnsi="David" w:hint="cs"/>
                <w:color w:val="000000"/>
                <w:szCs w:val="20"/>
              </w:rPr>
              <w:t>3,396</w:t>
            </w:r>
          </w:p>
        </w:tc>
        <w:tc>
          <w:tcPr>
            <w:tcW w:w="798" w:type="dxa"/>
            <w:shd w:val="clear" w:color="D9D9D9" w:fill="86C97E"/>
            <w:noWrap/>
            <w:vAlign w:val="center"/>
            <w:hideMark/>
          </w:tcPr>
          <w:p w:rsidR="005E17DC" w:rsidRPr="005E17DC" w:rsidP="00385106">
            <w:pPr>
              <w:bidi w:val="0"/>
              <w:spacing w:line="269" w:lineRule="auto"/>
              <w:jc w:val="center"/>
              <w:rPr>
                <w:rFonts w:ascii="David" w:eastAsia="Times New Roman" w:hAnsi="David"/>
                <w:color w:val="000000"/>
                <w:szCs w:val="20"/>
              </w:rPr>
            </w:pPr>
            <w:r w:rsidRPr="005E17DC">
              <w:rPr>
                <w:rFonts w:ascii="David" w:eastAsia="Times New Roman" w:hAnsi="David" w:hint="cs"/>
                <w:color w:val="000000"/>
                <w:szCs w:val="20"/>
              </w:rPr>
              <w:t>12,955</w:t>
            </w:r>
          </w:p>
        </w:tc>
        <w:tc>
          <w:tcPr>
            <w:tcW w:w="864" w:type="dxa"/>
            <w:shd w:val="clear" w:color="D9D9D9" w:fill="A0D07F"/>
            <w:noWrap/>
            <w:vAlign w:val="center"/>
            <w:hideMark/>
          </w:tcPr>
          <w:p w:rsidR="005E17DC" w:rsidRPr="005E17DC" w:rsidP="00385106">
            <w:pPr>
              <w:bidi w:val="0"/>
              <w:spacing w:line="269" w:lineRule="auto"/>
              <w:jc w:val="center"/>
              <w:rPr>
                <w:rFonts w:ascii="David" w:eastAsia="Times New Roman" w:hAnsi="David"/>
                <w:color w:val="000000"/>
                <w:szCs w:val="20"/>
              </w:rPr>
            </w:pPr>
            <w:r w:rsidRPr="005E17DC">
              <w:rPr>
                <w:rFonts w:ascii="David" w:eastAsia="Times New Roman" w:hAnsi="David"/>
                <w:color w:val="000000"/>
                <w:szCs w:val="20"/>
              </w:rPr>
              <w:t>12,643</w:t>
            </w:r>
          </w:p>
        </w:tc>
        <w:tc>
          <w:tcPr>
            <w:tcW w:w="1139" w:type="dxa"/>
            <w:shd w:val="clear" w:color="D9D9D9" w:fill="8AC97D"/>
            <w:noWrap/>
            <w:vAlign w:val="center"/>
            <w:hideMark/>
          </w:tcPr>
          <w:p w:rsidR="005E17DC" w:rsidRPr="005E17DC" w:rsidP="00385106">
            <w:pPr>
              <w:bidi w:val="0"/>
              <w:spacing w:line="269" w:lineRule="auto"/>
              <w:jc w:val="center"/>
              <w:rPr>
                <w:rFonts w:ascii="David" w:eastAsia="Times New Roman" w:hAnsi="David"/>
                <w:szCs w:val="20"/>
              </w:rPr>
            </w:pPr>
            <w:r w:rsidRPr="005E17DC">
              <w:rPr>
                <w:rFonts w:ascii="David" w:eastAsia="Times New Roman" w:hAnsi="David"/>
                <w:szCs w:val="20"/>
              </w:rPr>
              <w:t>27.1</w:t>
            </w:r>
          </w:p>
        </w:tc>
        <w:tc>
          <w:tcPr>
            <w:tcW w:w="1104" w:type="dxa"/>
            <w:shd w:val="clear" w:color="D9D9D9" w:fill="E4E382"/>
            <w:noWrap/>
            <w:vAlign w:val="center"/>
            <w:hideMark/>
          </w:tcPr>
          <w:p w:rsidR="005E17DC" w:rsidRPr="005E17DC" w:rsidP="00385106">
            <w:pPr>
              <w:bidi w:val="0"/>
              <w:spacing w:line="269" w:lineRule="auto"/>
              <w:jc w:val="center"/>
              <w:rPr>
                <w:rFonts w:ascii="David" w:eastAsia="Times New Roman" w:hAnsi="David"/>
                <w:color w:val="000000"/>
                <w:szCs w:val="20"/>
              </w:rPr>
            </w:pPr>
            <w:r w:rsidRPr="005E17DC">
              <w:rPr>
                <w:rFonts w:ascii="David" w:eastAsia="Times New Roman" w:hAnsi="David"/>
                <w:color w:val="000000"/>
                <w:szCs w:val="20"/>
              </w:rPr>
              <w:t>9.3</w:t>
            </w:r>
          </w:p>
        </w:tc>
        <w:tc>
          <w:tcPr>
            <w:tcW w:w="1013" w:type="dxa"/>
            <w:shd w:val="clear" w:color="D9D9D9" w:fill="D9D9D9"/>
            <w:noWrap/>
            <w:vAlign w:val="center"/>
            <w:hideMark/>
          </w:tcPr>
          <w:p w:rsidR="005E17DC" w:rsidRPr="005E17DC" w:rsidP="00385106">
            <w:pPr>
              <w:bidi w:val="0"/>
              <w:spacing w:line="269" w:lineRule="auto"/>
              <w:jc w:val="center"/>
              <w:rPr>
                <w:rFonts w:asciiTheme="minorHAnsi" w:hAnsiTheme="minorHAnsi"/>
                <w:color w:val="000000"/>
                <w:szCs w:val="20"/>
              </w:rPr>
            </w:pPr>
          </w:p>
        </w:tc>
      </w:tr>
      <w:tr w:rsidTr="00A67A80">
        <w:tblPrEx>
          <w:tblW w:w="8786" w:type="dxa"/>
          <w:tblLook w:val="04A0"/>
        </w:tblPrEx>
        <w:trPr>
          <w:trHeight w:val="20"/>
        </w:trPr>
        <w:tc>
          <w:tcPr>
            <w:tcW w:w="992" w:type="dxa"/>
            <w:shd w:val="clear" w:color="auto" w:fill="auto"/>
            <w:noWrap/>
            <w:vAlign w:val="center"/>
            <w:hideMark/>
          </w:tcPr>
          <w:p w:rsidR="005E17DC" w:rsidRPr="005E17DC" w:rsidP="00385106">
            <w:pPr>
              <w:spacing w:line="269" w:lineRule="auto"/>
              <w:jc w:val="left"/>
              <w:rPr>
                <w:rFonts w:ascii="Arial" w:eastAsia="Times New Roman" w:hAnsi="Arial"/>
                <w:color w:val="000000"/>
                <w:szCs w:val="20"/>
              </w:rPr>
            </w:pPr>
            <w:r w:rsidRPr="005E17DC">
              <w:rPr>
                <w:rFonts w:ascii="Arial" w:eastAsia="Times New Roman" w:hAnsi="Arial"/>
                <w:color w:val="000000"/>
                <w:szCs w:val="20"/>
                <w:rtl/>
              </w:rPr>
              <w:t>ראשון לציון</w:t>
            </w:r>
          </w:p>
        </w:tc>
        <w:tc>
          <w:tcPr>
            <w:tcW w:w="791" w:type="dxa"/>
            <w:shd w:val="clear" w:color="000000" w:fill="FFEB84"/>
            <w:noWrap/>
            <w:vAlign w:val="center"/>
            <w:hideMark/>
          </w:tcPr>
          <w:p w:rsidR="005E17DC" w:rsidRPr="005E17DC" w:rsidP="00385106">
            <w:pPr>
              <w:bidi w:val="0"/>
              <w:spacing w:line="269" w:lineRule="auto"/>
              <w:jc w:val="center"/>
              <w:rPr>
                <w:rFonts w:ascii="David" w:eastAsia="Times New Roman" w:hAnsi="David"/>
                <w:color w:val="000000"/>
                <w:szCs w:val="20"/>
                <w:rtl/>
              </w:rPr>
            </w:pPr>
            <w:r w:rsidRPr="005E17DC">
              <w:rPr>
                <w:rFonts w:ascii="David" w:eastAsia="Times New Roman" w:hAnsi="David" w:hint="cs"/>
                <w:color w:val="000000"/>
                <w:szCs w:val="20"/>
              </w:rPr>
              <w:t>7</w:t>
            </w:r>
          </w:p>
        </w:tc>
        <w:tc>
          <w:tcPr>
            <w:tcW w:w="809" w:type="dxa"/>
            <w:shd w:val="clear" w:color="000000" w:fill="FDD780"/>
            <w:noWrap/>
            <w:vAlign w:val="center"/>
            <w:hideMark/>
          </w:tcPr>
          <w:p w:rsidR="005E17DC" w:rsidRPr="005E17DC" w:rsidP="00385106">
            <w:pPr>
              <w:bidi w:val="0"/>
              <w:spacing w:line="269" w:lineRule="auto"/>
              <w:jc w:val="center"/>
              <w:rPr>
                <w:rFonts w:ascii="David" w:eastAsia="Times New Roman" w:hAnsi="David"/>
                <w:color w:val="000000"/>
                <w:szCs w:val="20"/>
              </w:rPr>
            </w:pPr>
            <w:r w:rsidRPr="005E17DC">
              <w:rPr>
                <w:rFonts w:ascii="David" w:eastAsia="Times New Roman" w:hAnsi="David" w:hint="cs"/>
                <w:color w:val="000000"/>
                <w:szCs w:val="20"/>
              </w:rPr>
              <w:t>6,447</w:t>
            </w:r>
          </w:p>
        </w:tc>
        <w:tc>
          <w:tcPr>
            <w:tcW w:w="1276" w:type="dxa"/>
            <w:shd w:val="clear" w:color="000000" w:fill="FDEB84"/>
            <w:noWrap/>
            <w:vAlign w:val="center"/>
            <w:hideMark/>
          </w:tcPr>
          <w:p w:rsidR="005E17DC" w:rsidRPr="005E17DC" w:rsidP="00385106">
            <w:pPr>
              <w:bidi w:val="0"/>
              <w:spacing w:line="269" w:lineRule="auto"/>
              <w:jc w:val="center"/>
              <w:rPr>
                <w:rFonts w:ascii="David" w:eastAsia="Times New Roman" w:hAnsi="David"/>
                <w:color w:val="000000"/>
                <w:szCs w:val="20"/>
              </w:rPr>
            </w:pPr>
            <w:r w:rsidRPr="005E17DC">
              <w:rPr>
                <w:rFonts w:ascii="David" w:eastAsia="Times New Roman" w:hAnsi="David" w:hint="cs"/>
                <w:color w:val="000000"/>
                <w:szCs w:val="20"/>
              </w:rPr>
              <w:t>3,479</w:t>
            </w:r>
          </w:p>
        </w:tc>
        <w:tc>
          <w:tcPr>
            <w:tcW w:w="798" w:type="dxa"/>
            <w:shd w:val="clear" w:color="000000" w:fill="FEE482"/>
            <w:noWrap/>
            <w:vAlign w:val="center"/>
            <w:hideMark/>
          </w:tcPr>
          <w:p w:rsidR="005E17DC" w:rsidRPr="005E17DC" w:rsidP="00385106">
            <w:pPr>
              <w:bidi w:val="0"/>
              <w:spacing w:line="269" w:lineRule="auto"/>
              <w:jc w:val="center"/>
              <w:rPr>
                <w:rFonts w:ascii="David" w:eastAsia="Times New Roman" w:hAnsi="David"/>
                <w:color w:val="000000"/>
                <w:szCs w:val="20"/>
              </w:rPr>
            </w:pPr>
            <w:r w:rsidRPr="005E17DC">
              <w:rPr>
                <w:rFonts w:ascii="David" w:eastAsia="Times New Roman" w:hAnsi="David" w:hint="cs"/>
                <w:color w:val="000000"/>
                <w:szCs w:val="20"/>
              </w:rPr>
              <w:t>10,021</w:t>
            </w:r>
          </w:p>
        </w:tc>
        <w:tc>
          <w:tcPr>
            <w:tcW w:w="864" w:type="dxa"/>
            <w:shd w:val="clear" w:color="000000" w:fill="E1E383"/>
            <w:noWrap/>
            <w:vAlign w:val="center"/>
            <w:hideMark/>
          </w:tcPr>
          <w:p w:rsidR="005E17DC" w:rsidRPr="005E17DC" w:rsidP="00385106">
            <w:pPr>
              <w:bidi w:val="0"/>
              <w:spacing w:line="269" w:lineRule="auto"/>
              <w:jc w:val="center"/>
              <w:rPr>
                <w:rFonts w:ascii="David" w:eastAsia="Times New Roman" w:hAnsi="David"/>
                <w:color w:val="000000"/>
                <w:szCs w:val="20"/>
              </w:rPr>
            </w:pPr>
            <w:r w:rsidRPr="005E17DC">
              <w:rPr>
                <w:rFonts w:ascii="David" w:eastAsia="Times New Roman" w:hAnsi="David"/>
                <w:color w:val="000000"/>
                <w:szCs w:val="20"/>
              </w:rPr>
              <w:t>11,367</w:t>
            </w:r>
          </w:p>
        </w:tc>
        <w:tc>
          <w:tcPr>
            <w:tcW w:w="1139" w:type="dxa"/>
            <w:shd w:val="clear" w:color="000000" w:fill="FFEB84"/>
            <w:noWrap/>
            <w:vAlign w:val="center"/>
            <w:hideMark/>
          </w:tcPr>
          <w:p w:rsidR="005E17DC" w:rsidRPr="005E17DC" w:rsidP="00385106">
            <w:pPr>
              <w:bidi w:val="0"/>
              <w:spacing w:line="269" w:lineRule="auto"/>
              <w:jc w:val="center"/>
              <w:rPr>
                <w:rFonts w:ascii="David" w:eastAsia="Times New Roman" w:hAnsi="David"/>
                <w:szCs w:val="20"/>
              </w:rPr>
            </w:pPr>
            <w:r w:rsidRPr="005E17DC">
              <w:rPr>
                <w:rFonts w:ascii="David" w:eastAsia="Times New Roman" w:hAnsi="David"/>
                <w:szCs w:val="20"/>
              </w:rPr>
              <w:t>32.1</w:t>
            </w:r>
          </w:p>
        </w:tc>
        <w:tc>
          <w:tcPr>
            <w:tcW w:w="1104" w:type="dxa"/>
            <w:shd w:val="clear" w:color="000000" w:fill="FECB7E"/>
            <w:noWrap/>
            <w:vAlign w:val="center"/>
            <w:hideMark/>
          </w:tcPr>
          <w:p w:rsidR="005E17DC" w:rsidRPr="005E17DC" w:rsidP="00385106">
            <w:pPr>
              <w:bidi w:val="0"/>
              <w:spacing w:line="269" w:lineRule="auto"/>
              <w:jc w:val="center"/>
              <w:rPr>
                <w:rFonts w:ascii="David" w:eastAsia="Times New Roman" w:hAnsi="David"/>
                <w:color w:val="000000"/>
                <w:szCs w:val="20"/>
              </w:rPr>
            </w:pPr>
            <w:r w:rsidRPr="005E17DC">
              <w:rPr>
                <w:rFonts w:ascii="David" w:eastAsia="Times New Roman" w:hAnsi="David"/>
                <w:color w:val="000000"/>
                <w:szCs w:val="20"/>
              </w:rPr>
              <w:t>16.8</w:t>
            </w:r>
          </w:p>
        </w:tc>
        <w:tc>
          <w:tcPr>
            <w:tcW w:w="1013" w:type="dxa"/>
            <w:shd w:val="clear" w:color="000000" w:fill="FFEB84"/>
            <w:noWrap/>
            <w:vAlign w:val="center"/>
            <w:hideMark/>
          </w:tcPr>
          <w:p w:rsidR="005E17DC" w:rsidRPr="005E17DC" w:rsidP="00385106">
            <w:pPr>
              <w:bidi w:val="0"/>
              <w:spacing w:line="269" w:lineRule="auto"/>
              <w:jc w:val="center"/>
              <w:rPr>
                <w:rFonts w:ascii="David" w:eastAsia="Times New Roman" w:hAnsi="David"/>
                <w:szCs w:val="20"/>
              </w:rPr>
            </w:pPr>
            <w:r w:rsidRPr="005E17DC">
              <w:rPr>
                <w:rFonts w:ascii="David" w:eastAsia="Times New Roman" w:hAnsi="David"/>
                <w:szCs w:val="20"/>
              </w:rPr>
              <w:t>3.1</w:t>
            </w:r>
          </w:p>
        </w:tc>
      </w:tr>
      <w:tr w:rsidTr="00A67A80">
        <w:tblPrEx>
          <w:tblW w:w="8786" w:type="dxa"/>
          <w:tblLook w:val="04A0"/>
        </w:tblPrEx>
        <w:trPr>
          <w:trHeight w:val="20"/>
        </w:trPr>
        <w:tc>
          <w:tcPr>
            <w:tcW w:w="992" w:type="dxa"/>
            <w:shd w:val="clear" w:color="auto" w:fill="auto"/>
            <w:noWrap/>
            <w:vAlign w:val="center"/>
            <w:hideMark/>
          </w:tcPr>
          <w:p w:rsidR="005E17DC" w:rsidRPr="005E17DC" w:rsidP="00385106">
            <w:pPr>
              <w:spacing w:line="269" w:lineRule="auto"/>
              <w:jc w:val="left"/>
              <w:rPr>
                <w:rFonts w:ascii="Arial" w:eastAsia="Times New Roman" w:hAnsi="Arial"/>
                <w:color w:val="000000"/>
                <w:szCs w:val="20"/>
              </w:rPr>
            </w:pPr>
            <w:r w:rsidRPr="005E17DC">
              <w:rPr>
                <w:rFonts w:ascii="Arial" w:eastAsia="Times New Roman" w:hAnsi="Arial"/>
                <w:color w:val="000000"/>
                <w:szCs w:val="20"/>
                <w:rtl/>
              </w:rPr>
              <w:t>רחובות</w:t>
            </w:r>
          </w:p>
        </w:tc>
        <w:tc>
          <w:tcPr>
            <w:tcW w:w="791" w:type="dxa"/>
            <w:shd w:val="clear" w:color="D9D9D9" w:fill="FFEB84"/>
            <w:noWrap/>
            <w:vAlign w:val="center"/>
            <w:hideMark/>
          </w:tcPr>
          <w:p w:rsidR="005E17DC" w:rsidRPr="005E17DC" w:rsidP="00385106">
            <w:pPr>
              <w:bidi w:val="0"/>
              <w:spacing w:line="269" w:lineRule="auto"/>
              <w:jc w:val="center"/>
              <w:rPr>
                <w:rFonts w:ascii="David" w:eastAsia="Times New Roman" w:hAnsi="David"/>
                <w:color w:val="000000"/>
                <w:szCs w:val="20"/>
                <w:rtl/>
              </w:rPr>
            </w:pPr>
            <w:r w:rsidRPr="005E17DC">
              <w:rPr>
                <w:rFonts w:ascii="David" w:eastAsia="Times New Roman" w:hAnsi="David" w:hint="cs"/>
                <w:color w:val="000000"/>
                <w:szCs w:val="20"/>
              </w:rPr>
              <w:t>7</w:t>
            </w:r>
          </w:p>
        </w:tc>
        <w:tc>
          <w:tcPr>
            <w:tcW w:w="809" w:type="dxa"/>
            <w:shd w:val="clear" w:color="D9D9D9" w:fill="FDCE7E"/>
            <w:noWrap/>
            <w:vAlign w:val="center"/>
            <w:hideMark/>
          </w:tcPr>
          <w:p w:rsidR="005E17DC" w:rsidRPr="005E17DC" w:rsidP="00385106">
            <w:pPr>
              <w:bidi w:val="0"/>
              <w:spacing w:line="269" w:lineRule="auto"/>
              <w:jc w:val="center"/>
              <w:rPr>
                <w:rFonts w:ascii="David" w:eastAsia="Times New Roman" w:hAnsi="David"/>
                <w:color w:val="000000"/>
                <w:szCs w:val="20"/>
              </w:rPr>
            </w:pPr>
            <w:r w:rsidRPr="005E17DC">
              <w:rPr>
                <w:rFonts w:ascii="David" w:eastAsia="Times New Roman" w:hAnsi="David" w:hint="cs"/>
                <w:color w:val="000000"/>
                <w:szCs w:val="20"/>
              </w:rPr>
              <w:t>6,365</w:t>
            </w:r>
          </w:p>
        </w:tc>
        <w:tc>
          <w:tcPr>
            <w:tcW w:w="1276" w:type="dxa"/>
            <w:shd w:val="clear" w:color="D9D9D9" w:fill="FDCF7E"/>
            <w:noWrap/>
            <w:vAlign w:val="center"/>
            <w:hideMark/>
          </w:tcPr>
          <w:p w:rsidR="005E17DC" w:rsidRPr="005E17DC" w:rsidP="00385106">
            <w:pPr>
              <w:bidi w:val="0"/>
              <w:spacing w:line="269" w:lineRule="auto"/>
              <w:jc w:val="center"/>
              <w:rPr>
                <w:rFonts w:ascii="David" w:eastAsia="Times New Roman" w:hAnsi="David"/>
                <w:color w:val="000000"/>
                <w:szCs w:val="20"/>
              </w:rPr>
            </w:pPr>
            <w:r w:rsidRPr="005E17DC">
              <w:rPr>
                <w:rFonts w:ascii="David" w:eastAsia="Times New Roman" w:hAnsi="David" w:hint="cs"/>
                <w:color w:val="000000"/>
                <w:szCs w:val="20"/>
              </w:rPr>
              <w:t>3,210</w:t>
            </w:r>
          </w:p>
        </w:tc>
        <w:tc>
          <w:tcPr>
            <w:tcW w:w="798" w:type="dxa"/>
            <w:shd w:val="clear" w:color="D9D9D9" w:fill="FFEB84"/>
            <w:noWrap/>
            <w:vAlign w:val="center"/>
            <w:hideMark/>
          </w:tcPr>
          <w:p w:rsidR="005E17DC" w:rsidRPr="005E17DC" w:rsidP="00385106">
            <w:pPr>
              <w:bidi w:val="0"/>
              <w:spacing w:line="269" w:lineRule="auto"/>
              <w:jc w:val="center"/>
              <w:rPr>
                <w:rFonts w:ascii="David" w:eastAsia="Times New Roman" w:hAnsi="David"/>
                <w:color w:val="000000"/>
                <w:szCs w:val="20"/>
              </w:rPr>
            </w:pPr>
            <w:r w:rsidRPr="005E17DC">
              <w:rPr>
                <w:rFonts w:ascii="David" w:eastAsia="Times New Roman" w:hAnsi="David" w:hint="cs"/>
                <w:color w:val="000000"/>
                <w:szCs w:val="20"/>
              </w:rPr>
              <w:t>10,187</w:t>
            </w:r>
          </w:p>
        </w:tc>
        <w:tc>
          <w:tcPr>
            <w:tcW w:w="864" w:type="dxa"/>
            <w:shd w:val="clear" w:color="D9D9D9" w:fill="FEDC81"/>
            <w:noWrap/>
            <w:vAlign w:val="center"/>
            <w:hideMark/>
          </w:tcPr>
          <w:p w:rsidR="005E17DC" w:rsidRPr="005E17DC" w:rsidP="00385106">
            <w:pPr>
              <w:bidi w:val="0"/>
              <w:spacing w:line="269" w:lineRule="auto"/>
              <w:jc w:val="center"/>
              <w:rPr>
                <w:rFonts w:ascii="David" w:eastAsia="Times New Roman" w:hAnsi="David"/>
                <w:color w:val="000000"/>
                <w:szCs w:val="20"/>
              </w:rPr>
            </w:pPr>
            <w:r w:rsidRPr="005E17DC">
              <w:rPr>
                <w:rFonts w:ascii="David" w:eastAsia="Times New Roman" w:hAnsi="David"/>
                <w:color w:val="000000"/>
                <w:szCs w:val="20"/>
              </w:rPr>
              <w:t>10,459</w:t>
            </w:r>
          </w:p>
        </w:tc>
        <w:tc>
          <w:tcPr>
            <w:tcW w:w="1139" w:type="dxa"/>
            <w:shd w:val="clear" w:color="D9D9D9" w:fill="FECA7E"/>
            <w:noWrap/>
            <w:vAlign w:val="center"/>
            <w:hideMark/>
          </w:tcPr>
          <w:p w:rsidR="005E17DC" w:rsidRPr="005E17DC" w:rsidP="00385106">
            <w:pPr>
              <w:bidi w:val="0"/>
              <w:spacing w:line="269" w:lineRule="auto"/>
              <w:jc w:val="center"/>
              <w:rPr>
                <w:rFonts w:ascii="David" w:eastAsia="Times New Roman" w:hAnsi="David"/>
                <w:szCs w:val="20"/>
              </w:rPr>
            </w:pPr>
            <w:r w:rsidRPr="005E17DC">
              <w:rPr>
                <w:rFonts w:ascii="David" w:eastAsia="Times New Roman" w:hAnsi="David"/>
                <w:szCs w:val="20"/>
              </w:rPr>
              <w:t>34.4</w:t>
            </w:r>
          </w:p>
        </w:tc>
        <w:tc>
          <w:tcPr>
            <w:tcW w:w="1104" w:type="dxa"/>
            <w:shd w:val="clear" w:color="D9D9D9" w:fill="FED07F"/>
            <w:noWrap/>
            <w:vAlign w:val="center"/>
            <w:hideMark/>
          </w:tcPr>
          <w:p w:rsidR="005E17DC" w:rsidRPr="005E17DC" w:rsidP="00385106">
            <w:pPr>
              <w:bidi w:val="0"/>
              <w:spacing w:line="269" w:lineRule="auto"/>
              <w:jc w:val="center"/>
              <w:rPr>
                <w:rFonts w:ascii="David" w:eastAsia="Times New Roman" w:hAnsi="David"/>
                <w:color w:val="000000"/>
                <w:szCs w:val="20"/>
              </w:rPr>
            </w:pPr>
            <w:r w:rsidRPr="005E17DC">
              <w:rPr>
                <w:rFonts w:ascii="David" w:eastAsia="Times New Roman" w:hAnsi="David"/>
                <w:color w:val="000000"/>
                <w:szCs w:val="20"/>
              </w:rPr>
              <w:t>15.9</w:t>
            </w:r>
          </w:p>
        </w:tc>
        <w:tc>
          <w:tcPr>
            <w:tcW w:w="1013" w:type="dxa"/>
            <w:shd w:val="clear" w:color="D9D9D9" w:fill="F6E883"/>
            <w:noWrap/>
            <w:vAlign w:val="center"/>
            <w:hideMark/>
          </w:tcPr>
          <w:p w:rsidR="005E17DC" w:rsidRPr="005E17DC" w:rsidP="00385106">
            <w:pPr>
              <w:bidi w:val="0"/>
              <w:spacing w:line="269" w:lineRule="auto"/>
              <w:jc w:val="center"/>
              <w:rPr>
                <w:rFonts w:ascii="David" w:eastAsia="Times New Roman" w:hAnsi="David"/>
                <w:szCs w:val="20"/>
              </w:rPr>
            </w:pPr>
            <w:r w:rsidRPr="005E17DC">
              <w:rPr>
                <w:rFonts w:ascii="David" w:eastAsia="Times New Roman" w:hAnsi="David"/>
                <w:szCs w:val="20"/>
              </w:rPr>
              <w:t>3</w:t>
            </w:r>
          </w:p>
        </w:tc>
      </w:tr>
      <w:tr w:rsidTr="00A67A80">
        <w:tblPrEx>
          <w:tblW w:w="8786" w:type="dxa"/>
          <w:tblLook w:val="04A0"/>
        </w:tblPrEx>
        <w:trPr>
          <w:trHeight w:val="20"/>
        </w:trPr>
        <w:tc>
          <w:tcPr>
            <w:tcW w:w="992" w:type="dxa"/>
            <w:shd w:val="clear" w:color="auto" w:fill="auto"/>
            <w:noWrap/>
            <w:vAlign w:val="center"/>
            <w:hideMark/>
          </w:tcPr>
          <w:p w:rsidR="005E17DC" w:rsidRPr="005E17DC" w:rsidP="00385106">
            <w:pPr>
              <w:spacing w:line="269" w:lineRule="auto"/>
              <w:jc w:val="left"/>
              <w:rPr>
                <w:rFonts w:ascii="Arial" w:eastAsia="Times New Roman" w:hAnsi="Arial"/>
                <w:b/>
                <w:bCs/>
                <w:color w:val="000000"/>
                <w:szCs w:val="20"/>
              </w:rPr>
            </w:pPr>
            <w:r w:rsidRPr="005E17DC">
              <w:rPr>
                <w:rFonts w:ascii="Arial" w:eastAsia="Times New Roman" w:hAnsi="Arial"/>
                <w:b/>
                <w:bCs/>
                <w:color w:val="000000"/>
                <w:szCs w:val="20"/>
                <w:rtl/>
              </w:rPr>
              <w:t>רמלה</w:t>
            </w:r>
          </w:p>
        </w:tc>
        <w:tc>
          <w:tcPr>
            <w:tcW w:w="791" w:type="dxa"/>
            <w:shd w:val="clear" w:color="000000" w:fill="F98971"/>
            <w:noWrap/>
            <w:vAlign w:val="center"/>
            <w:hideMark/>
          </w:tcPr>
          <w:p w:rsidR="005E17DC" w:rsidRPr="005E17DC" w:rsidP="00385106">
            <w:pPr>
              <w:bidi w:val="0"/>
              <w:spacing w:line="269" w:lineRule="auto"/>
              <w:jc w:val="center"/>
              <w:rPr>
                <w:rFonts w:ascii="David" w:eastAsia="Times New Roman" w:hAnsi="David"/>
                <w:b/>
                <w:bCs/>
                <w:color w:val="000000"/>
                <w:szCs w:val="20"/>
                <w:rtl/>
              </w:rPr>
            </w:pPr>
            <w:r w:rsidRPr="005E17DC">
              <w:rPr>
                <w:rFonts w:ascii="David" w:eastAsia="Times New Roman" w:hAnsi="David"/>
                <w:b/>
                <w:bCs/>
                <w:color w:val="000000"/>
                <w:szCs w:val="20"/>
              </w:rPr>
              <w:t>4</w:t>
            </w:r>
          </w:p>
        </w:tc>
        <w:tc>
          <w:tcPr>
            <w:tcW w:w="809" w:type="dxa"/>
            <w:shd w:val="clear" w:color="000000" w:fill="FDD17F"/>
            <w:noWrap/>
            <w:vAlign w:val="center"/>
            <w:hideMark/>
          </w:tcPr>
          <w:p w:rsidR="005E17DC" w:rsidRPr="005E17DC" w:rsidP="00385106">
            <w:pPr>
              <w:bidi w:val="0"/>
              <w:spacing w:line="269" w:lineRule="auto"/>
              <w:jc w:val="center"/>
              <w:rPr>
                <w:rFonts w:ascii="David" w:eastAsia="Times New Roman" w:hAnsi="David"/>
                <w:b/>
                <w:bCs/>
                <w:color w:val="000000"/>
                <w:szCs w:val="20"/>
              </w:rPr>
            </w:pPr>
            <w:r w:rsidRPr="005E17DC">
              <w:rPr>
                <w:rFonts w:ascii="David" w:eastAsia="Times New Roman" w:hAnsi="David"/>
                <w:b/>
                <w:bCs/>
                <w:color w:val="000000"/>
                <w:szCs w:val="20"/>
              </w:rPr>
              <w:t>6,391</w:t>
            </w:r>
          </w:p>
        </w:tc>
        <w:tc>
          <w:tcPr>
            <w:tcW w:w="1276" w:type="dxa"/>
            <w:shd w:val="clear" w:color="000000" w:fill="FEE783"/>
            <w:noWrap/>
            <w:vAlign w:val="center"/>
            <w:hideMark/>
          </w:tcPr>
          <w:p w:rsidR="005E17DC" w:rsidRPr="005E17DC" w:rsidP="00385106">
            <w:pPr>
              <w:bidi w:val="0"/>
              <w:spacing w:line="269" w:lineRule="auto"/>
              <w:jc w:val="center"/>
              <w:rPr>
                <w:rFonts w:ascii="David" w:eastAsia="Times New Roman" w:hAnsi="David"/>
                <w:b/>
                <w:bCs/>
                <w:color w:val="000000"/>
                <w:szCs w:val="20"/>
              </w:rPr>
            </w:pPr>
            <w:r w:rsidRPr="005E17DC">
              <w:rPr>
                <w:rFonts w:ascii="David" w:eastAsia="Times New Roman" w:hAnsi="David"/>
                <w:b/>
                <w:bCs/>
                <w:color w:val="000000"/>
                <w:szCs w:val="20"/>
              </w:rPr>
              <w:t>3,373</w:t>
            </w:r>
          </w:p>
        </w:tc>
        <w:tc>
          <w:tcPr>
            <w:tcW w:w="798" w:type="dxa"/>
            <w:shd w:val="clear" w:color="000000" w:fill="F8696B"/>
            <w:noWrap/>
            <w:vAlign w:val="center"/>
            <w:hideMark/>
          </w:tcPr>
          <w:p w:rsidR="005E17DC" w:rsidRPr="005E17DC" w:rsidP="00385106">
            <w:pPr>
              <w:bidi w:val="0"/>
              <w:spacing w:line="269" w:lineRule="auto"/>
              <w:jc w:val="center"/>
              <w:rPr>
                <w:rFonts w:ascii="David" w:eastAsia="Times New Roman" w:hAnsi="David"/>
                <w:b/>
                <w:bCs/>
                <w:color w:val="000000"/>
                <w:szCs w:val="20"/>
              </w:rPr>
            </w:pPr>
            <w:r w:rsidRPr="005E17DC">
              <w:rPr>
                <w:rFonts w:ascii="David" w:eastAsia="Times New Roman" w:hAnsi="David"/>
                <w:b/>
                <w:bCs/>
                <w:color w:val="000000"/>
                <w:szCs w:val="20"/>
              </w:rPr>
              <w:t>7,102</w:t>
            </w:r>
          </w:p>
        </w:tc>
        <w:tc>
          <w:tcPr>
            <w:tcW w:w="864" w:type="dxa"/>
            <w:shd w:val="clear" w:color="000000" w:fill="FA9172"/>
            <w:noWrap/>
            <w:vAlign w:val="center"/>
            <w:hideMark/>
          </w:tcPr>
          <w:p w:rsidR="005E17DC" w:rsidRPr="005E17DC" w:rsidP="00385106">
            <w:pPr>
              <w:bidi w:val="0"/>
              <w:spacing w:line="269" w:lineRule="auto"/>
              <w:jc w:val="center"/>
              <w:rPr>
                <w:rFonts w:ascii="David" w:eastAsia="Times New Roman" w:hAnsi="David"/>
                <w:b/>
                <w:bCs/>
                <w:color w:val="000000"/>
                <w:szCs w:val="20"/>
              </w:rPr>
            </w:pPr>
            <w:r w:rsidRPr="005E17DC">
              <w:rPr>
                <w:rFonts w:ascii="David" w:eastAsia="Times New Roman" w:hAnsi="David"/>
                <w:b/>
                <w:bCs/>
                <w:color w:val="000000"/>
                <w:szCs w:val="20"/>
              </w:rPr>
              <w:t>8,892</w:t>
            </w:r>
          </w:p>
        </w:tc>
        <w:tc>
          <w:tcPr>
            <w:tcW w:w="1139" w:type="dxa"/>
            <w:shd w:val="clear" w:color="000000" w:fill="FA7F70"/>
            <w:noWrap/>
            <w:vAlign w:val="center"/>
            <w:hideMark/>
          </w:tcPr>
          <w:p w:rsidR="005E17DC" w:rsidRPr="005E17DC" w:rsidP="00385106">
            <w:pPr>
              <w:bidi w:val="0"/>
              <w:spacing w:line="269" w:lineRule="auto"/>
              <w:jc w:val="center"/>
              <w:rPr>
                <w:rFonts w:ascii="David" w:eastAsia="Times New Roman" w:hAnsi="David"/>
                <w:b/>
                <w:bCs/>
                <w:szCs w:val="20"/>
              </w:rPr>
            </w:pPr>
            <w:r w:rsidRPr="005E17DC">
              <w:rPr>
                <w:rFonts w:ascii="David" w:eastAsia="Times New Roman" w:hAnsi="David"/>
                <w:b/>
                <w:bCs/>
                <w:szCs w:val="20"/>
              </w:rPr>
              <w:t>39.6</w:t>
            </w:r>
          </w:p>
        </w:tc>
        <w:tc>
          <w:tcPr>
            <w:tcW w:w="1104" w:type="dxa"/>
            <w:shd w:val="clear" w:color="000000" w:fill="FA8671"/>
            <w:noWrap/>
            <w:vAlign w:val="center"/>
            <w:hideMark/>
          </w:tcPr>
          <w:p w:rsidR="005E17DC" w:rsidRPr="005E17DC" w:rsidP="00385106">
            <w:pPr>
              <w:bidi w:val="0"/>
              <w:spacing w:line="269" w:lineRule="auto"/>
              <w:jc w:val="center"/>
              <w:rPr>
                <w:rFonts w:ascii="David" w:eastAsia="Times New Roman" w:hAnsi="David"/>
                <w:b/>
                <w:bCs/>
                <w:color w:val="000000"/>
                <w:szCs w:val="20"/>
              </w:rPr>
            </w:pPr>
            <w:r w:rsidRPr="005E17DC">
              <w:rPr>
                <w:rFonts w:ascii="David" w:eastAsia="Times New Roman" w:hAnsi="David"/>
                <w:b/>
                <w:bCs/>
                <w:color w:val="000000"/>
                <w:szCs w:val="20"/>
              </w:rPr>
              <w:t>29.1</w:t>
            </w:r>
          </w:p>
        </w:tc>
        <w:tc>
          <w:tcPr>
            <w:tcW w:w="1013" w:type="dxa"/>
            <w:shd w:val="clear" w:color="000000" w:fill="F8696B"/>
            <w:noWrap/>
            <w:vAlign w:val="center"/>
            <w:hideMark/>
          </w:tcPr>
          <w:p w:rsidR="005E17DC" w:rsidRPr="005E17DC" w:rsidP="00385106">
            <w:pPr>
              <w:bidi w:val="0"/>
              <w:spacing w:line="269" w:lineRule="auto"/>
              <w:jc w:val="center"/>
              <w:rPr>
                <w:rFonts w:ascii="David" w:eastAsia="Times New Roman" w:hAnsi="David"/>
                <w:b/>
                <w:bCs/>
                <w:szCs w:val="20"/>
              </w:rPr>
            </w:pPr>
            <w:r w:rsidRPr="005E17DC">
              <w:rPr>
                <w:rFonts w:ascii="David" w:eastAsia="Times New Roman" w:hAnsi="David"/>
                <w:b/>
                <w:bCs/>
                <w:szCs w:val="20"/>
              </w:rPr>
              <w:t>6.7</w:t>
            </w:r>
          </w:p>
        </w:tc>
      </w:tr>
      <w:tr w:rsidTr="00A67A80">
        <w:tblPrEx>
          <w:tblW w:w="8786" w:type="dxa"/>
          <w:tblLook w:val="04A0"/>
        </w:tblPrEx>
        <w:trPr>
          <w:trHeight w:val="396"/>
        </w:trPr>
        <w:tc>
          <w:tcPr>
            <w:tcW w:w="992" w:type="dxa"/>
            <w:shd w:val="clear" w:color="auto" w:fill="auto"/>
            <w:noWrap/>
            <w:vAlign w:val="center"/>
            <w:hideMark/>
          </w:tcPr>
          <w:p w:rsidR="005E17DC" w:rsidRPr="005E17DC" w:rsidP="00385106">
            <w:pPr>
              <w:spacing w:line="269" w:lineRule="auto"/>
              <w:jc w:val="left"/>
              <w:rPr>
                <w:rFonts w:ascii="Arial" w:eastAsia="Times New Roman" w:hAnsi="Arial"/>
                <w:color w:val="000000"/>
                <w:szCs w:val="20"/>
              </w:rPr>
            </w:pPr>
            <w:r w:rsidRPr="005E17DC">
              <w:rPr>
                <w:rFonts w:ascii="Arial" w:eastAsia="Times New Roman" w:hAnsi="Arial"/>
                <w:color w:val="000000"/>
                <w:szCs w:val="20"/>
                <w:rtl/>
              </w:rPr>
              <w:t>מועצה אזורית שדות דן</w:t>
            </w:r>
            <w:r w:rsidRPr="005E17DC">
              <w:rPr>
                <w:rFonts w:ascii="Arial" w:eastAsia="Times New Roman" w:hAnsi="Arial" w:hint="cs"/>
                <w:color w:val="000000"/>
                <w:szCs w:val="20"/>
                <w:rtl/>
              </w:rPr>
              <w:t>*</w:t>
            </w:r>
          </w:p>
        </w:tc>
        <w:tc>
          <w:tcPr>
            <w:tcW w:w="791" w:type="dxa"/>
            <w:shd w:val="clear" w:color="D9D9D9" w:fill="FDCA7D"/>
            <w:noWrap/>
            <w:vAlign w:val="center"/>
            <w:hideMark/>
          </w:tcPr>
          <w:p w:rsidR="005E17DC" w:rsidRPr="005E17DC" w:rsidP="00385106">
            <w:pPr>
              <w:bidi w:val="0"/>
              <w:spacing w:line="269" w:lineRule="auto"/>
              <w:jc w:val="center"/>
              <w:rPr>
                <w:rFonts w:asciiTheme="minorHAnsi" w:hAnsiTheme="minorHAnsi"/>
                <w:color w:val="000000"/>
                <w:szCs w:val="20"/>
              </w:rPr>
            </w:pPr>
            <w:r w:rsidRPr="005E17DC">
              <w:rPr>
                <w:rFonts w:ascii="David" w:eastAsia="Times New Roman" w:hAnsi="David" w:hint="cs"/>
                <w:color w:val="000000"/>
                <w:szCs w:val="20"/>
              </w:rPr>
              <w:t>6</w:t>
            </w:r>
          </w:p>
        </w:tc>
        <w:tc>
          <w:tcPr>
            <w:tcW w:w="809" w:type="dxa"/>
            <w:shd w:val="clear" w:color="D9D9D9" w:fill="F8E984"/>
            <w:noWrap/>
            <w:vAlign w:val="center"/>
            <w:hideMark/>
          </w:tcPr>
          <w:p w:rsidR="005E17DC" w:rsidRPr="005E17DC" w:rsidP="00385106">
            <w:pPr>
              <w:bidi w:val="0"/>
              <w:spacing w:line="269" w:lineRule="auto"/>
              <w:jc w:val="center"/>
              <w:rPr>
                <w:rFonts w:asciiTheme="minorHAnsi" w:hAnsiTheme="minorHAnsi"/>
                <w:color w:val="000000"/>
                <w:szCs w:val="20"/>
              </w:rPr>
            </w:pPr>
            <w:r w:rsidRPr="005E17DC">
              <w:rPr>
                <w:rFonts w:ascii="David" w:eastAsia="Times New Roman" w:hAnsi="David" w:hint="cs"/>
                <w:color w:val="000000"/>
                <w:szCs w:val="20"/>
              </w:rPr>
              <w:t>7,048</w:t>
            </w:r>
          </w:p>
        </w:tc>
        <w:tc>
          <w:tcPr>
            <w:tcW w:w="1276" w:type="dxa"/>
            <w:shd w:val="clear" w:color="D9D9D9" w:fill="FCBB7A"/>
            <w:noWrap/>
            <w:vAlign w:val="center"/>
            <w:hideMark/>
          </w:tcPr>
          <w:p w:rsidR="005E17DC" w:rsidRPr="00D67219" w:rsidP="00385106">
            <w:pPr>
              <w:bidi w:val="0"/>
              <w:spacing w:line="269" w:lineRule="auto"/>
              <w:jc w:val="center"/>
              <w:rPr>
                <w:rFonts w:eastAsia="Times New Roman" w:asciiTheme="minorHAnsi" w:hAnsiTheme="minorHAnsi"/>
                <w:color w:val="000000"/>
                <w:szCs w:val="20"/>
              </w:rPr>
            </w:pPr>
            <w:r w:rsidRPr="005E17DC">
              <w:rPr>
                <w:rFonts w:ascii="David" w:eastAsia="Times New Roman" w:hAnsi="David" w:hint="cs"/>
                <w:color w:val="000000"/>
                <w:szCs w:val="20"/>
              </w:rPr>
              <w:t>3,083</w:t>
            </w:r>
          </w:p>
        </w:tc>
        <w:tc>
          <w:tcPr>
            <w:tcW w:w="798" w:type="dxa"/>
            <w:shd w:val="clear" w:color="D9D9D9" w:fill="FCC17C"/>
            <w:noWrap/>
            <w:vAlign w:val="center"/>
            <w:hideMark/>
          </w:tcPr>
          <w:p w:rsidR="005E17DC" w:rsidRPr="005E17DC" w:rsidP="00385106">
            <w:pPr>
              <w:bidi w:val="0"/>
              <w:spacing w:line="269" w:lineRule="auto"/>
              <w:jc w:val="center"/>
              <w:rPr>
                <w:rFonts w:ascii="David" w:eastAsia="Times New Roman" w:hAnsi="David"/>
                <w:color w:val="000000"/>
                <w:szCs w:val="20"/>
              </w:rPr>
            </w:pPr>
            <w:r w:rsidRPr="005E17DC">
              <w:rPr>
                <w:rFonts w:ascii="David" w:eastAsia="Times New Roman" w:hAnsi="David" w:hint="cs"/>
                <w:color w:val="000000"/>
                <w:szCs w:val="20"/>
              </w:rPr>
              <w:t>9,203</w:t>
            </w:r>
          </w:p>
        </w:tc>
        <w:tc>
          <w:tcPr>
            <w:tcW w:w="864" w:type="dxa"/>
            <w:shd w:val="clear" w:color="D9D9D9" w:fill="FDCA7D"/>
            <w:noWrap/>
            <w:vAlign w:val="center"/>
            <w:hideMark/>
          </w:tcPr>
          <w:p w:rsidR="005E17DC" w:rsidRPr="005E17DC" w:rsidP="00385106">
            <w:pPr>
              <w:bidi w:val="0"/>
              <w:spacing w:line="269" w:lineRule="auto"/>
              <w:jc w:val="center"/>
              <w:rPr>
                <w:rFonts w:ascii="David" w:eastAsia="Times New Roman" w:hAnsi="David"/>
                <w:color w:val="000000"/>
                <w:szCs w:val="20"/>
              </w:rPr>
            </w:pPr>
            <w:r w:rsidRPr="005E17DC">
              <w:rPr>
                <w:rFonts w:ascii="David" w:eastAsia="Times New Roman" w:hAnsi="David"/>
                <w:color w:val="000000"/>
                <w:szCs w:val="20"/>
              </w:rPr>
              <w:t>10,093</w:t>
            </w:r>
          </w:p>
        </w:tc>
        <w:tc>
          <w:tcPr>
            <w:tcW w:w="1139" w:type="dxa"/>
            <w:shd w:val="clear" w:color="D9D9D9" w:fill="FBA076"/>
            <w:noWrap/>
            <w:vAlign w:val="center"/>
            <w:hideMark/>
          </w:tcPr>
          <w:p w:rsidR="005E17DC" w:rsidRPr="00A67A80" w:rsidP="00385106">
            <w:pPr>
              <w:bidi w:val="0"/>
              <w:spacing w:line="269" w:lineRule="auto"/>
              <w:jc w:val="center"/>
              <w:rPr>
                <w:rFonts w:eastAsia="Times New Roman" w:asciiTheme="minorHAnsi" w:hAnsiTheme="minorHAnsi"/>
                <w:szCs w:val="20"/>
              </w:rPr>
            </w:pPr>
            <w:r w:rsidRPr="005E17DC">
              <w:rPr>
                <w:rFonts w:ascii="David" w:eastAsia="Times New Roman" w:hAnsi="David"/>
                <w:szCs w:val="20"/>
              </w:rPr>
              <w:t>37.3</w:t>
            </w:r>
          </w:p>
        </w:tc>
        <w:tc>
          <w:tcPr>
            <w:tcW w:w="1104" w:type="dxa"/>
            <w:shd w:val="clear" w:color="D9D9D9" w:fill="8FCA7D"/>
            <w:noWrap/>
            <w:vAlign w:val="center"/>
            <w:hideMark/>
          </w:tcPr>
          <w:p w:rsidR="005E17DC" w:rsidRPr="005E17DC" w:rsidP="00385106">
            <w:pPr>
              <w:bidi w:val="0"/>
              <w:spacing w:line="269" w:lineRule="auto"/>
              <w:jc w:val="center"/>
              <w:rPr>
                <w:rFonts w:ascii="David" w:eastAsia="Times New Roman" w:hAnsi="David"/>
                <w:color w:val="000000"/>
                <w:szCs w:val="20"/>
              </w:rPr>
            </w:pPr>
            <w:r w:rsidRPr="005E17DC">
              <w:rPr>
                <w:rFonts w:ascii="David" w:eastAsia="Times New Roman" w:hAnsi="David"/>
                <w:color w:val="000000"/>
                <w:szCs w:val="20"/>
              </w:rPr>
              <w:t>3.8</w:t>
            </w:r>
          </w:p>
        </w:tc>
        <w:tc>
          <w:tcPr>
            <w:tcW w:w="1013" w:type="dxa"/>
            <w:shd w:val="clear" w:color="D9D9D9" w:fill="D9D9D9"/>
            <w:noWrap/>
            <w:vAlign w:val="center"/>
            <w:hideMark/>
          </w:tcPr>
          <w:p w:rsidR="005E17DC" w:rsidRPr="005E17DC" w:rsidP="00385106">
            <w:pPr>
              <w:bidi w:val="0"/>
              <w:spacing w:line="269" w:lineRule="auto"/>
              <w:jc w:val="center"/>
              <w:rPr>
                <w:rFonts w:ascii="David" w:eastAsia="Times New Roman" w:hAnsi="David"/>
                <w:color w:val="000000"/>
                <w:szCs w:val="20"/>
              </w:rPr>
            </w:pPr>
          </w:p>
        </w:tc>
      </w:tr>
    </w:tbl>
    <w:tbl>
      <w:tblPr>
        <w:tblStyle w:val="TableGrid"/>
        <w:bidiVisual/>
        <w:tblW w:w="0" w:type="auto"/>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1"/>
        <w:gridCol w:w="6321"/>
      </w:tblGrid>
      <w:tr w:rsidTr="005200E8">
        <w:tblPrEx>
          <w:tblW w:w="0" w:type="auto"/>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41" w:type="dxa"/>
            <w:shd w:val="clear" w:color="000000" w:fill="63BE7B"/>
            <w:vAlign w:val="center"/>
          </w:tcPr>
          <w:p w:rsidR="005E17DC" w:rsidRPr="005E17DC" w:rsidP="00385106">
            <w:pPr>
              <w:spacing w:line="269" w:lineRule="auto"/>
              <w:jc w:val="left"/>
              <w:rPr>
                <w:szCs w:val="20"/>
                <w:rtl/>
              </w:rPr>
            </w:pPr>
          </w:p>
        </w:tc>
        <w:tc>
          <w:tcPr>
            <w:tcW w:w="6321" w:type="dxa"/>
            <w:shd w:val="clear" w:color="auto" w:fill="FFFFFF" w:themeFill="background1"/>
            <w:vAlign w:val="center"/>
          </w:tcPr>
          <w:p w:rsidR="005E17DC" w:rsidRPr="005E17DC" w:rsidP="00385106">
            <w:pPr>
              <w:spacing w:line="269" w:lineRule="auto"/>
              <w:jc w:val="left"/>
              <w:rPr>
                <w:szCs w:val="20"/>
                <w:rtl/>
              </w:rPr>
            </w:pPr>
            <w:r w:rsidRPr="005E17DC">
              <w:rPr>
                <w:rFonts w:hint="eastAsia"/>
                <w:szCs w:val="20"/>
                <w:rtl/>
              </w:rPr>
              <w:t>המצב</w:t>
            </w:r>
            <w:r w:rsidRPr="005E17DC">
              <w:rPr>
                <w:szCs w:val="20"/>
                <w:rtl/>
              </w:rPr>
              <w:t xml:space="preserve"> </w:t>
            </w:r>
            <w:r w:rsidRPr="005E17DC">
              <w:rPr>
                <w:rFonts w:hint="eastAsia"/>
                <w:szCs w:val="20"/>
                <w:rtl/>
              </w:rPr>
              <w:t>החיובי</w:t>
            </w:r>
            <w:r w:rsidRPr="005E17DC">
              <w:rPr>
                <w:szCs w:val="20"/>
                <w:rtl/>
              </w:rPr>
              <w:t xml:space="preserve"> </w:t>
            </w:r>
            <w:r w:rsidRPr="005E17DC">
              <w:rPr>
                <w:rFonts w:hint="eastAsia"/>
                <w:szCs w:val="20"/>
                <w:rtl/>
              </w:rPr>
              <w:t>ביותר</w:t>
            </w:r>
            <w:r w:rsidRPr="005E17DC">
              <w:rPr>
                <w:szCs w:val="20"/>
                <w:rtl/>
              </w:rPr>
              <w:t xml:space="preserve"> </w:t>
            </w:r>
            <w:r w:rsidRPr="005E17DC">
              <w:rPr>
                <w:rFonts w:hint="eastAsia"/>
                <w:szCs w:val="20"/>
                <w:rtl/>
              </w:rPr>
              <w:t>בנתון</w:t>
            </w:r>
            <w:r w:rsidRPr="005E17DC">
              <w:rPr>
                <w:szCs w:val="20"/>
                <w:rtl/>
              </w:rPr>
              <w:t xml:space="preserve"> </w:t>
            </w:r>
            <w:r w:rsidRPr="005E17DC">
              <w:rPr>
                <w:rFonts w:hint="eastAsia"/>
                <w:szCs w:val="20"/>
                <w:rtl/>
              </w:rPr>
              <w:t>הנבדק</w:t>
            </w:r>
            <w:r w:rsidRPr="005E17DC">
              <w:rPr>
                <w:szCs w:val="20"/>
                <w:rtl/>
              </w:rPr>
              <w:t>.</w:t>
            </w:r>
          </w:p>
        </w:tc>
      </w:tr>
      <w:tr w:rsidTr="005200E8">
        <w:tblPrEx>
          <w:tblW w:w="0" w:type="auto"/>
          <w:tblInd w:w="-1" w:type="dxa"/>
          <w:tblLook w:val="04A0"/>
        </w:tblPrEx>
        <w:tc>
          <w:tcPr>
            <w:tcW w:w="341" w:type="dxa"/>
            <w:shd w:val="clear" w:color="000000" w:fill="FFEB84"/>
            <w:vAlign w:val="center"/>
          </w:tcPr>
          <w:p w:rsidR="005E17DC" w:rsidRPr="005E17DC" w:rsidP="00385106">
            <w:pPr>
              <w:spacing w:line="269" w:lineRule="auto"/>
              <w:jc w:val="left"/>
              <w:rPr>
                <w:szCs w:val="20"/>
                <w:rtl/>
              </w:rPr>
            </w:pPr>
          </w:p>
        </w:tc>
        <w:tc>
          <w:tcPr>
            <w:tcW w:w="6321" w:type="dxa"/>
            <w:shd w:val="clear" w:color="auto" w:fill="FFFFFF" w:themeFill="background1"/>
            <w:vAlign w:val="center"/>
          </w:tcPr>
          <w:p w:rsidR="005E17DC" w:rsidRPr="005E17DC" w:rsidP="00385106">
            <w:pPr>
              <w:spacing w:line="269" w:lineRule="auto"/>
              <w:jc w:val="left"/>
              <w:rPr>
                <w:szCs w:val="20"/>
                <w:rtl/>
              </w:rPr>
            </w:pPr>
            <w:r w:rsidRPr="005E17DC">
              <w:rPr>
                <w:rFonts w:hint="eastAsia"/>
                <w:szCs w:val="20"/>
                <w:rtl/>
              </w:rPr>
              <w:t>מצב</w:t>
            </w:r>
            <w:r w:rsidRPr="005E17DC">
              <w:rPr>
                <w:szCs w:val="20"/>
                <w:rtl/>
              </w:rPr>
              <w:t xml:space="preserve"> </w:t>
            </w:r>
            <w:r w:rsidRPr="005E17DC">
              <w:rPr>
                <w:rFonts w:hint="eastAsia"/>
                <w:szCs w:val="20"/>
                <w:rtl/>
              </w:rPr>
              <w:t>ביניים</w:t>
            </w:r>
            <w:r w:rsidRPr="005E17DC">
              <w:rPr>
                <w:szCs w:val="20"/>
                <w:rtl/>
              </w:rPr>
              <w:t xml:space="preserve"> </w:t>
            </w:r>
            <w:r w:rsidRPr="005E17DC">
              <w:rPr>
                <w:rFonts w:hint="eastAsia"/>
                <w:szCs w:val="20"/>
                <w:rtl/>
              </w:rPr>
              <w:t>בנתון</w:t>
            </w:r>
            <w:r w:rsidRPr="005E17DC">
              <w:rPr>
                <w:szCs w:val="20"/>
                <w:rtl/>
              </w:rPr>
              <w:t xml:space="preserve"> </w:t>
            </w:r>
            <w:r w:rsidRPr="005E17DC">
              <w:rPr>
                <w:rFonts w:hint="eastAsia"/>
                <w:szCs w:val="20"/>
                <w:rtl/>
              </w:rPr>
              <w:t>הנבדק</w:t>
            </w:r>
            <w:r w:rsidRPr="005E17DC">
              <w:rPr>
                <w:szCs w:val="20"/>
                <w:rtl/>
              </w:rPr>
              <w:t>.</w:t>
            </w:r>
          </w:p>
        </w:tc>
      </w:tr>
      <w:tr w:rsidTr="005200E8">
        <w:tblPrEx>
          <w:tblW w:w="0" w:type="auto"/>
          <w:tblInd w:w="-1" w:type="dxa"/>
          <w:tblLook w:val="04A0"/>
        </w:tblPrEx>
        <w:tc>
          <w:tcPr>
            <w:tcW w:w="341" w:type="dxa"/>
            <w:shd w:val="clear" w:color="D9D9D9" w:fill="F8696B"/>
            <w:vAlign w:val="center"/>
          </w:tcPr>
          <w:p w:rsidR="005E17DC" w:rsidRPr="005E17DC" w:rsidP="00385106">
            <w:pPr>
              <w:spacing w:line="269" w:lineRule="auto"/>
              <w:jc w:val="left"/>
              <w:rPr>
                <w:szCs w:val="20"/>
                <w:rtl/>
              </w:rPr>
            </w:pPr>
          </w:p>
        </w:tc>
        <w:tc>
          <w:tcPr>
            <w:tcW w:w="6321" w:type="dxa"/>
            <w:shd w:val="clear" w:color="auto" w:fill="FFFFFF" w:themeFill="background1"/>
            <w:vAlign w:val="center"/>
          </w:tcPr>
          <w:p w:rsidR="005E17DC" w:rsidRPr="005E17DC" w:rsidP="00385106">
            <w:pPr>
              <w:spacing w:line="269" w:lineRule="auto"/>
              <w:jc w:val="left"/>
              <w:rPr>
                <w:szCs w:val="20"/>
                <w:rtl/>
              </w:rPr>
            </w:pPr>
            <w:r w:rsidRPr="005E17DC">
              <w:rPr>
                <w:rFonts w:hint="eastAsia"/>
                <w:szCs w:val="20"/>
                <w:rtl/>
              </w:rPr>
              <w:t>המצב</w:t>
            </w:r>
            <w:r w:rsidRPr="005E17DC">
              <w:rPr>
                <w:szCs w:val="20"/>
                <w:rtl/>
              </w:rPr>
              <w:t xml:space="preserve"> </w:t>
            </w:r>
            <w:r w:rsidRPr="005E17DC">
              <w:rPr>
                <w:rFonts w:hint="eastAsia"/>
                <w:szCs w:val="20"/>
                <w:rtl/>
              </w:rPr>
              <w:t>השלילי</w:t>
            </w:r>
            <w:r w:rsidRPr="005E17DC">
              <w:rPr>
                <w:szCs w:val="20"/>
                <w:rtl/>
              </w:rPr>
              <w:t xml:space="preserve"> </w:t>
            </w:r>
            <w:r w:rsidRPr="005E17DC">
              <w:rPr>
                <w:rFonts w:hint="eastAsia"/>
                <w:szCs w:val="20"/>
                <w:rtl/>
              </w:rPr>
              <w:t>ביותר</w:t>
            </w:r>
            <w:r w:rsidRPr="005E17DC">
              <w:rPr>
                <w:szCs w:val="20"/>
                <w:rtl/>
              </w:rPr>
              <w:t xml:space="preserve"> </w:t>
            </w:r>
            <w:r w:rsidRPr="005E17DC">
              <w:rPr>
                <w:rFonts w:hint="eastAsia"/>
                <w:szCs w:val="20"/>
                <w:rtl/>
              </w:rPr>
              <w:t>בנתון</w:t>
            </w:r>
            <w:r w:rsidRPr="005E17DC">
              <w:rPr>
                <w:szCs w:val="20"/>
                <w:rtl/>
              </w:rPr>
              <w:t xml:space="preserve"> </w:t>
            </w:r>
            <w:r w:rsidRPr="005E17DC">
              <w:rPr>
                <w:rFonts w:hint="eastAsia"/>
                <w:szCs w:val="20"/>
                <w:rtl/>
              </w:rPr>
              <w:t>הנבדק</w:t>
            </w:r>
            <w:r w:rsidRPr="005E17DC">
              <w:rPr>
                <w:szCs w:val="20"/>
                <w:rtl/>
              </w:rPr>
              <w:t>.</w:t>
            </w:r>
          </w:p>
        </w:tc>
      </w:tr>
    </w:tbl>
    <w:p w:rsidR="005E17DC" w:rsidRPr="005E17DC" w:rsidP="00A67A80">
      <w:pPr>
        <w:spacing w:before="120" w:line="269" w:lineRule="auto"/>
        <w:jc w:val="left"/>
        <w:rPr>
          <w:sz w:val="22"/>
          <w:szCs w:val="22"/>
          <w:rtl/>
        </w:rPr>
      </w:pPr>
      <w:r w:rsidRPr="005E17DC">
        <w:rPr>
          <w:rFonts w:hint="cs"/>
          <w:sz w:val="22"/>
          <w:szCs w:val="22"/>
          <w:rtl/>
        </w:rPr>
        <w:t xml:space="preserve">על פי נתוני </w:t>
      </w:r>
      <w:r w:rsidRPr="005E17DC">
        <w:rPr>
          <w:rFonts w:hint="cs"/>
          <w:sz w:val="22"/>
          <w:szCs w:val="22"/>
          <w:rtl/>
        </w:rPr>
        <w:t>הלמ"ס</w:t>
      </w:r>
      <w:r w:rsidRPr="005E17DC">
        <w:rPr>
          <w:rFonts w:hint="cs"/>
          <w:sz w:val="22"/>
          <w:szCs w:val="22"/>
          <w:rtl/>
        </w:rPr>
        <w:t xml:space="preserve"> (קובץ רשויות 2017 ודוחות לתושב של הרשויות המקומיות), בעיבוד משרד מבקר המדינה.</w:t>
      </w:r>
    </w:p>
    <w:p w:rsidR="005E17DC" w:rsidRPr="005E17DC" w:rsidP="00385106">
      <w:pPr>
        <w:spacing w:line="269" w:lineRule="auto"/>
        <w:jc w:val="left"/>
        <w:rPr>
          <w:sz w:val="22"/>
          <w:szCs w:val="22"/>
          <w:rtl/>
        </w:rPr>
      </w:pPr>
      <w:r w:rsidRPr="005E17DC">
        <w:rPr>
          <w:rFonts w:hint="cs"/>
          <w:sz w:val="22"/>
          <w:szCs w:val="22"/>
          <w:rtl/>
        </w:rPr>
        <w:t>*</w:t>
      </w:r>
      <w:r w:rsidR="005200E8">
        <w:rPr>
          <w:sz w:val="22"/>
          <w:szCs w:val="22"/>
          <w:rtl/>
        </w:rPr>
        <w:tab/>
      </w:r>
      <w:r w:rsidRPr="005E17DC">
        <w:rPr>
          <w:rFonts w:hint="cs"/>
          <w:sz w:val="22"/>
          <w:szCs w:val="22"/>
          <w:rtl/>
        </w:rPr>
        <w:t>עד 2018 נקראה עמק לוד.</w:t>
      </w:r>
    </w:p>
    <w:p w:rsidR="005E17DC" w:rsidRPr="005E17DC" w:rsidP="00385106">
      <w:pPr>
        <w:spacing w:line="269" w:lineRule="auto"/>
        <w:jc w:val="left"/>
        <w:rPr>
          <w:sz w:val="22"/>
          <w:szCs w:val="22"/>
          <w:rtl/>
        </w:rPr>
      </w:pPr>
      <w:r w:rsidRPr="005E17DC">
        <w:rPr>
          <w:rFonts w:hint="cs"/>
          <w:sz w:val="22"/>
          <w:szCs w:val="22"/>
          <w:rtl/>
        </w:rPr>
        <w:t>**</w:t>
      </w:r>
      <w:r w:rsidR="005200E8">
        <w:rPr>
          <w:sz w:val="22"/>
          <w:szCs w:val="22"/>
          <w:rtl/>
        </w:rPr>
        <w:tab/>
      </w:r>
      <w:r w:rsidRPr="005E17DC">
        <w:rPr>
          <w:rFonts w:hint="cs"/>
          <w:sz w:val="22"/>
          <w:szCs w:val="22"/>
          <w:rtl/>
        </w:rPr>
        <w:t>הוצאות בניכוי חינוך ורווחה משקפות את ההוצאה בשירותים מוניציפליים.</w:t>
      </w:r>
    </w:p>
    <w:p w:rsidR="005E17DC" w:rsidRPr="005E17DC" w:rsidP="00385106">
      <w:pPr>
        <w:spacing w:line="269" w:lineRule="auto"/>
        <w:rPr>
          <w:sz w:val="22"/>
          <w:szCs w:val="22"/>
          <w:rtl/>
        </w:rPr>
      </w:pPr>
      <w:r w:rsidRPr="005E17DC">
        <w:rPr>
          <w:rFonts w:hint="cs"/>
          <w:sz w:val="22"/>
          <w:szCs w:val="22"/>
          <w:rtl/>
        </w:rPr>
        <w:t>***</w:t>
      </w:r>
      <w:r w:rsidR="005200E8">
        <w:rPr>
          <w:sz w:val="22"/>
          <w:szCs w:val="22"/>
          <w:rtl/>
        </w:rPr>
        <w:tab/>
      </w:r>
      <w:r w:rsidRPr="005E17DC">
        <w:rPr>
          <w:rFonts w:hint="cs"/>
          <w:sz w:val="22"/>
          <w:szCs w:val="22"/>
          <w:rtl/>
        </w:rPr>
        <w:t>נתון זה קיים רק עבור עיריות שמספר תושביהן יותר מ-50,000.</w:t>
      </w:r>
    </w:p>
    <w:p w:rsidR="005E17DC" w:rsidRPr="005E17DC" w:rsidP="00385106">
      <w:pPr>
        <w:spacing w:line="269" w:lineRule="auto"/>
        <w:ind w:left="-567"/>
        <w:rPr>
          <w:szCs w:val="20"/>
          <w:rtl/>
        </w:rPr>
      </w:pPr>
    </w:p>
    <w:p w:rsidR="005E17DC" w:rsidRPr="005E17DC" w:rsidP="00385106">
      <w:pPr>
        <w:spacing w:line="269" w:lineRule="auto"/>
        <w:rPr>
          <w:b/>
          <w:bCs/>
          <w:rtl/>
        </w:rPr>
      </w:pPr>
      <w:r w:rsidRPr="005E17DC">
        <w:rPr>
          <w:rFonts w:hint="eastAsia"/>
          <w:b/>
          <w:bCs/>
          <w:rtl/>
        </w:rPr>
        <w:t>מהנתונים</w:t>
      </w:r>
      <w:r w:rsidRPr="005E17DC">
        <w:rPr>
          <w:b/>
          <w:bCs/>
          <w:rtl/>
        </w:rPr>
        <w:t xml:space="preserve"> בלוח</w:t>
      </w:r>
      <w:r w:rsidRPr="005E17DC">
        <w:rPr>
          <w:rFonts w:hint="cs"/>
          <w:b/>
          <w:bCs/>
          <w:rtl/>
        </w:rPr>
        <w:t xml:space="preserve"> 2</w:t>
      </w:r>
      <w:r w:rsidRPr="005E17DC">
        <w:rPr>
          <w:b/>
          <w:bCs/>
          <w:rtl/>
        </w:rPr>
        <w:t xml:space="preserve"> עולה כי </w:t>
      </w:r>
      <w:r w:rsidRPr="005E17DC">
        <w:rPr>
          <w:rFonts w:hint="eastAsia"/>
          <w:b/>
          <w:bCs/>
          <w:rtl/>
        </w:rPr>
        <w:t>בהוצאותיה</w:t>
      </w:r>
      <w:r w:rsidRPr="005E17DC">
        <w:rPr>
          <w:b/>
          <w:bCs/>
          <w:rtl/>
        </w:rPr>
        <w:t xml:space="preserve"> לתושב עיריית רמלה </w:t>
      </w:r>
      <w:r w:rsidRPr="005E17DC">
        <w:rPr>
          <w:rFonts w:hint="eastAsia"/>
          <w:b/>
          <w:bCs/>
          <w:rtl/>
        </w:rPr>
        <w:t>דומה</w:t>
      </w:r>
      <w:r w:rsidRPr="005E17DC">
        <w:rPr>
          <w:b/>
          <w:bCs/>
          <w:rtl/>
        </w:rPr>
        <w:t xml:space="preserve"> </w:t>
      </w:r>
      <w:r w:rsidRPr="005E17DC">
        <w:rPr>
          <w:rFonts w:hint="eastAsia"/>
          <w:b/>
          <w:bCs/>
          <w:rtl/>
        </w:rPr>
        <w:t>לרוב</w:t>
      </w:r>
      <w:r w:rsidRPr="005E17DC">
        <w:rPr>
          <w:b/>
          <w:bCs/>
          <w:rtl/>
        </w:rPr>
        <w:t xml:space="preserve"> </w:t>
      </w:r>
      <w:r w:rsidRPr="005E17DC">
        <w:rPr>
          <w:rFonts w:hint="eastAsia"/>
          <w:b/>
          <w:bCs/>
          <w:rtl/>
        </w:rPr>
        <w:t>היישובים</w:t>
      </w:r>
      <w:r w:rsidRPr="005E17DC">
        <w:rPr>
          <w:b/>
          <w:bCs/>
          <w:rtl/>
        </w:rPr>
        <w:t xml:space="preserve"> </w:t>
      </w:r>
      <w:r w:rsidRPr="005E17DC">
        <w:rPr>
          <w:rFonts w:hint="eastAsia"/>
          <w:b/>
          <w:bCs/>
          <w:rtl/>
        </w:rPr>
        <w:t>בסביבתה</w:t>
      </w:r>
      <w:r w:rsidRPr="005E17DC">
        <w:rPr>
          <w:b/>
          <w:bCs/>
          <w:rtl/>
        </w:rPr>
        <w:t xml:space="preserve">, </w:t>
      </w:r>
      <w:r w:rsidRPr="005E17DC">
        <w:rPr>
          <w:rFonts w:hint="eastAsia"/>
          <w:b/>
          <w:bCs/>
          <w:rtl/>
        </w:rPr>
        <w:t>אך</w:t>
      </w:r>
      <w:r w:rsidRPr="005E17DC">
        <w:rPr>
          <w:b/>
          <w:bCs/>
          <w:rtl/>
        </w:rPr>
        <w:t xml:space="preserve"> </w:t>
      </w:r>
      <w:r w:rsidRPr="005E17DC">
        <w:rPr>
          <w:rFonts w:hint="eastAsia"/>
          <w:b/>
          <w:bCs/>
          <w:rtl/>
        </w:rPr>
        <w:t>הפרמטרים</w:t>
      </w:r>
      <w:r w:rsidRPr="005E17DC">
        <w:rPr>
          <w:b/>
          <w:bCs/>
          <w:rtl/>
        </w:rPr>
        <w:t xml:space="preserve"> </w:t>
      </w:r>
      <w:r w:rsidRPr="005E17DC">
        <w:rPr>
          <w:rFonts w:hint="eastAsia"/>
          <w:b/>
          <w:bCs/>
          <w:rtl/>
        </w:rPr>
        <w:t>המלמדים</w:t>
      </w:r>
      <w:r w:rsidRPr="005E17DC">
        <w:rPr>
          <w:b/>
          <w:bCs/>
          <w:rtl/>
        </w:rPr>
        <w:t xml:space="preserve"> </w:t>
      </w:r>
      <w:r w:rsidRPr="005E17DC">
        <w:rPr>
          <w:rFonts w:hint="eastAsia"/>
          <w:b/>
          <w:bCs/>
          <w:rtl/>
        </w:rPr>
        <w:t>על</w:t>
      </w:r>
      <w:r w:rsidRPr="005E17DC">
        <w:rPr>
          <w:b/>
          <w:bCs/>
          <w:rtl/>
        </w:rPr>
        <w:t xml:space="preserve"> </w:t>
      </w:r>
      <w:r w:rsidRPr="005E17DC">
        <w:rPr>
          <w:rFonts w:hint="eastAsia"/>
          <w:b/>
          <w:bCs/>
          <w:rtl/>
        </w:rPr>
        <w:t>מצבה</w:t>
      </w:r>
      <w:r w:rsidRPr="005E17DC">
        <w:rPr>
          <w:b/>
          <w:bCs/>
          <w:rtl/>
        </w:rPr>
        <w:t xml:space="preserve"> </w:t>
      </w:r>
      <w:r w:rsidRPr="005E17DC">
        <w:rPr>
          <w:rFonts w:hint="eastAsia"/>
          <w:b/>
          <w:bCs/>
          <w:rtl/>
        </w:rPr>
        <w:t>החברתי</w:t>
      </w:r>
      <w:r w:rsidRPr="005E17DC">
        <w:rPr>
          <w:b/>
          <w:bCs/>
          <w:rtl/>
        </w:rPr>
        <w:t>-</w:t>
      </w:r>
      <w:r w:rsidRPr="005E17DC">
        <w:rPr>
          <w:rFonts w:hint="eastAsia"/>
          <w:b/>
          <w:bCs/>
          <w:rtl/>
        </w:rPr>
        <w:t>כלכלי</w:t>
      </w:r>
      <w:r w:rsidRPr="005E17DC">
        <w:rPr>
          <w:b/>
          <w:bCs/>
          <w:rtl/>
        </w:rPr>
        <w:t xml:space="preserve"> של </w:t>
      </w:r>
      <w:r w:rsidRPr="005E17DC">
        <w:rPr>
          <w:rFonts w:hint="eastAsia"/>
          <w:b/>
          <w:bCs/>
          <w:rtl/>
        </w:rPr>
        <w:t>אוכלוסייתה</w:t>
      </w:r>
      <w:r w:rsidRPr="005E17DC">
        <w:rPr>
          <w:b/>
          <w:bCs/>
          <w:rtl/>
        </w:rPr>
        <w:t xml:space="preserve"> נמוכים </w:t>
      </w:r>
      <w:r w:rsidRPr="005E17DC">
        <w:rPr>
          <w:rFonts w:hint="eastAsia"/>
          <w:b/>
          <w:bCs/>
          <w:rtl/>
        </w:rPr>
        <w:t>יחסית</w:t>
      </w:r>
      <w:r w:rsidRPr="005E17DC">
        <w:rPr>
          <w:b/>
          <w:bCs/>
          <w:rtl/>
        </w:rPr>
        <w:t xml:space="preserve"> </w:t>
      </w:r>
      <w:r w:rsidRPr="005E17DC">
        <w:rPr>
          <w:rFonts w:hint="eastAsia"/>
          <w:b/>
          <w:bCs/>
          <w:rtl/>
        </w:rPr>
        <w:t>לאוכלוסיותיהן</w:t>
      </w:r>
      <w:r w:rsidRPr="005E17DC">
        <w:rPr>
          <w:b/>
          <w:bCs/>
          <w:rtl/>
        </w:rPr>
        <w:t xml:space="preserve"> של </w:t>
      </w:r>
      <w:r w:rsidRPr="005E17DC">
        <w:rPr>
          <w:rFonts w:hint="eastAsia"/>
          <w:b/>
          <w:bCs/>
          <w:rtl/>
        </w:rPr>
        <w:t>הרשויות</w:t>
      </w:r>
      <w:r w:rsidRPr="005E17DC">
        <w:rPr>
          <w:b/>
          <w:bCs/>
          <w:rtl/>
        </w:rPr>
        <w:t xml:space="preserve"> הסמוכות לה (וכך גם בלוד). </w:t>
      </w:r>
      <w:r w:rsidRPr="005E17DC">
        <w:rPr>
          <w:rFonts w:hint="eastAsia"/>
          <w:b/>
          <w:bCs/>
          <w:rtl/>
        </w:rPr>
        <w:t>מצבה</w:t>
      </w:r>
      <w:r w:rsidRPr="005E17DC">
        <w:rPr>
          <w:b/>
          <w:bCs/>
          <w:rtl/>
        </w:rPr>
        <w:t xml:space="preserve"> </w:t>
      </w:r>
      <w:r w:rsidRPr="005E17DC">
        <w:rPr>
          <w:rFonts w:hint="eastAsia"/>
          <w:b/>
          <w:bCs/>
          <w:rtl/>
        </w:rPr>
        <w:t>הכלכלי</w:t>
      </w:r>
      <w:r w:rsidRPr="005E17DC">
        <w:rPr>
          <w:b/>
          <w:bCs/>
          <w:rtl/>
        </w:rPr>
        <w:t xml:space="preserve"> </w:t>
      </w:r>
      <w:r w:rsidRPr="005E17DC">
        <w:rPr>
          <w:rFonts w:hint="eastAsia"/>
          <w:b/>
          <w:bCs/>
          <w:rtl/>
        </w:rPr>
        <w:t>הנמוך</w:t>
      </w:r>
      <w:r w:rsidRPr="005E17DC">
        <w:rPr>
          <w:b/>
          <w:bCs/>
          <w:rtl/>
        </w:rPr>
        <w:t xml:space="preserve"> של האוכלוסייה עלול להשפיע על חוסנה הכספי של העירייה, בשל הוצאות </w:t>
      </w:r>
      <w:r w:rsidRPr="005E17DC">
        <w:rPr>
          <w:rFonts w:hint="eastAsia"/>
          <w:b/>
          <w:bCs/>
          <w:rtl/>
        </w:rPr>
        <w:t>על</w:t>
      </w:r>
      <w:r w:rsidRPr="005E17DC">
        <w:rPr>
          <w:b/>
          <w:bCs/>
          <w:rtl/>
        </w:rPr>
        <w:t xml:space="preserve"> </w:t>
      </w:r>
      <w:r w:rsidRPr="005E17DC">
        <w:rPr>
          <w:rFonts w:hint="eastAsia"/>
          <w:b/>
          <w:bCs/>
          <w:rtl/>
        </w:rPr>
        <w:t>שירותי</w:t>
      </w:r>
      <w:r w:rsidRPr="005E17DC">
        <w:rPr>
          <w:b/>
          <w:bCs/>
          <w:rtl/>
        </w:rPr>
        <w:t xml:space="preserve"> רווחה </w:t>
      </w:r>
      <w:r w:rsidRPr="005E17DC">
        <w:rPr>
          <w:rFonts w:hint="eastAsia"/>
          <w:b/>
          <w:bCs/>
          <w:rtl/>
        </w:rPr>
        <w:t>מזה</w:t>
      </w:r>
      <w:r w:rsidRPr="005E17DC">
        <w:rPr>
          <w:b/>
          <w:bCs/>
          <w:rtl/>
        </w:rPr>
        <w:t xml:space="preserve"> </w:t>
      </w:r>
      <w:r w:rsidRPr="005E17DC">
        <w:rPr>
          <w:rFonts w:hint="eastAsia"/>
          <w:b/>
          <w:bCs/>
          <w:rtl/>
        </w:rPr>
        <w:t>וצמצום</w:t>
      </w:r>
      <w:r w:rsidRPr="005E17DC">
        <w:rPr>
          <w:b/>
          <w:bCs/>
          <w:rtl/>
        </w:rPr>
        <w:t xml:space="preserve"> </w:t>
      </w:r>
      <w:r w:rsidRPr="005E17DC">
        <w:rPr>
          <w:rFonts w:hint="eastAsia"/>
          <w:b/>
          <w:bCs/>
          <w:rtl/>
        </w:rPr>
        <w:t>ההכנסות</w:t>
      </w:r>
      <w:r w:rsidRPr="005E17DC">
        <w:rPr>
          <w:b/>
          <w:bCs/>
          <w:rtl/>
        </w:rPr>
        <w:t xml:space="preserve"> </w:t>
      </w:r>
      <w:r w:rsidRPr="005E17DC">
        <w:rPr>
          <w:rFonts w:hint="eastAsia"/>
          <w:b/>
          <w:bCs/>
          <w:rtl/>
        </w:rPr>
        <w:t>מארנונה</w:t>
      </w:r>
      <w:r w:rsidRPr="005E17DC">
        <w:rPr>
          <w:b/>
          <w:bCs/>
          <w:rtl/>
        </w:rPr>
        <w:t xml:space="preserve"> מזה, </w:t>
      </w:r>
      <w:r w:rsidRPr="005E17DC">
        <w:rPr>
          <w:rFonts w:hint="eastAsia"/>
          <w:b/>
          <w:bCs/>
          <w:rtl/>
        </w:rPr>
        <w:t>שכן</w:t>
      </w:r>
      <w:r w:rsidRPr="005E17DC">
        <w:rPr>
          <w:b/>
          <w:bCs/>
          <w:rtl/>
        </w:rPr>
        <w:t xml:space="preserve"> העירייה </w:t>
      </w:r>
      <w:r w:rsidRPr="005E17DC">
        <w:rPr>
          <w:rFonts w:hint="eastAsia"/>
          <w:b/>
          <w:bCs/>
          <w:rtl/>
        </w:rPr>
        <w:t>מעניקה</w:t>
      </w:r>
      <w:r w:rsidRPr="005E17DC">
        <w:rPr>
          <w:b/>
          <w:bCs/>
          <w:rtl/>
        </w:rPr>
        <w:t xml:space="preserve"> </w:t>
      </w:r>
      <w:r w:rsidRPr="005E17DC">
        <w:rPr>
          <w:rFonts w:hint="eastAsia"/>
          <w:b/>
          <w:bCs/>
          <w:rtl/>
        </w:rPr>
        <w:t>הנחות</w:t>
      </w:r>
      <w:r w:rsidRPr="005E17DC">
        <w:rPr>
          <w:b/>
          <w:bCs/>
          <w:rtl/>
        </w:rPr>
        <w:t xml:space="preserve"> </w:t>
      </w:r>
      <w:r w:rsidRPr="005E17DC">
        <w:rPr>
          <w:rFonts w:hint="eastAsia"/>
          <w:b/>
          <w:bCs/>
          <w:rtl/>
        </w:rPr>
        <w:t>בארנונה</w:t>
      </w:r>
      <w:r w:rsidRPr="005E17DC">
        <w:rPr>
          <w:b/>
          <w:bCs/>
          <w:rtl/>
        </w:rPr>
        <w:t xml:space="preserve"> על פי </w:t>
      </w:r>
      <w:r w:rsidRPr="005E17DC">
        <w:rPr>
          <w:rFonts w:hint="eastAsia"/>
          <w:b/>
          <w:bCs/>
          <w:rtl/>
        </w:rPr>
        <w:t>מבחני</w:t>
      </w:r>
      <w:r w:rsidRPr="005E17DC">
        <w:rPr>
          <w:b/>
          <w:bCs/>
          <w:rtl/>
        </w:rPr>
        <w:t xml:space="preserve"> הכנסה. </w:t>
      </w:r>
    </w:p>
    <w:p w:rsidR="005E17DC" w:rsidRPr="005E17DC" w:rsidP="00385106">
      <w:pPr>
        <w:spacing w:line="269" w:lineRule="auto"/>
        <w:ind w:left="-567"/>
        <w:rPr>
          <w:szCs w:val="20"/>
          <w:rtl/>
        </w:rPr>
      </w:pPr>
    </w:p>
    <w:p w:rsidR="005E17DC" w:rsidRPr="005E17DC" w:rsidP="00385106">
      <w:pPr>
        <w:spacing w:line="269" w:lineRule="auto"/>
        <w:rPr>
          <w:b/>
          <w:bCs/>
          <w:rtl/>
        </w:rPr>
      </w:pPr>
      <w:r w:rsidRPr="005E17DC">
        <w:rPr>
          <w:rFonts w:hint="cs"/>
          <w:b/>
          <w:bCs/>
          <w:rtl/>
        </w:rPr>
        <w:t>מצבה החברתי והכלכלי של רמלה יחסית ליישובים בסביבתה מחייב את העירייה לשמור על חוסנה הכספי, על מנת לשמר ואף להגדיל את ההוצאה הממוצעת לתושב, אשר עשויה להוות מנוף לשיפור המצב החברתי-</w:t>
      </w:r>
      <w:r w:rsidRPr="005E17DC">
        <w:rPr>
          <w:rFonts w:hint="eastAsia"/>
          <w:b/>
          <w:bCs/>
          <w:rtl/>
        </w:rPr>
        <w:t>כלכלי</w:t>
      </w:r>
      <w:r w:rsidRPr="005E17DC">
        <w:rPr>
          <w:b/>
          <w:bCs/>
          <w:rtl/>
        </w:rPr>
        <w:t xml:space="preserve"> </w:t>
      </w:r>
      <w:r w:rsidRPr="005E17DC">
        <w:rPr>
          <w:rFonts w:hint="eastAsia"/>
          <w:b/>
          <w:bCs/>
          <w:rtl/>
        </w:rPr>
        <w:t>בעיר</w:t>
      </w:r>
      <w:r w:rsidRPr="005E17DC">
        <w:rPr>
          <w:b/>
          <w:bCs/>
          <w:rtl/>
        </w:rPr>
        <w:t>, ו</w:t>
      </w:r>
      <w:r w:rsidRPr="005E17DC">
        <w:rPr>
          <w:rFonts w:hint="eastAsia"/>
          <w:b/>
          <w:bCs/>
          <w:rtl/>
        </w:rPr>
        <w:t>על</w:t>
      </w:r>
      <w:r w:rsidRPr="005E17DC">
        <w:rPr>
          <w:b/>
          <w:bCs/>
          <w:rtl/>
        </w:rPr>
        <w:t xml:space="preserve"> מנת לשפר את </w:t>
      </w:r>
      <w:r w:rsidRPr="005E17DC">
        <w:rPr>
          <w:rFonts w:hint="eastAsia"/>
          <w:b/>
          <w:bCs/>
          <w:rtl/>
        </w:rPr>
        <w:t>האטרקטיביות</w:t>
      </w:r>
      <w:r w:rsidRPr="005E17DC">
        <w:rPr>
          <w:b/>
          <w:bCs/>
          <w:rtl/>
        </w:rPr>
        <w:t xml:space="preserve"> </w:t>
      </w:r>
      <w:r w:rsidRPr="005E17DC">
        <w:rPr>
          <w:rFonts w:hint="eastAsia"/>
          <w:b/>
          <w:bCs/>
          <w:rtl/>
        </w:rPr>
        <w:t>שלה</w:t>
      </w:r>
      <w:r w:rsidRPr="005E17DC">
        <w:rPr>
          <w:b/>
          <w:bCs/>
          <w:rtl/>
        </w:rPr>
        <w:t>.</w:t>
      </w:r>
    </w:p>
    <w:p w:rsidR="005E17DC" w:rsidRPr="005E17DC" w:rsidP="00385106">
      <w:pPr>
        <w:spacing w:line="269" w:lineRule="auto"/>
        <w:jc w:val="center"/>
        <w:rPr>
          <w:b/>
          <w:bCs/>
          <w:rtl/>
        </w:rPr>
      </w:pPr>
    </w:p>
    <w:p w:rsidR="005E17DC" w:rsidRPr="005E17DC" w:rsidP="00385106">
      <w:pPr>
        <w:keepNext/>
        <w:keepLines/>
        <w:spacing w:line="269" w:lineRule="auto"/>
        <w:outlineLvl w:val="2"/>
        <w:rPr>
          <w:rFonts w:eastAsiaTheme="majorEastAsia"/>
          <w:bCs/>
          <w:szCs w:val="28"/>
          <w:u w:val="single"/>
          <w:rtl/>
        </w:rPr>
      </w:pPr>
      <w:r w:rsidRPr="005E17DC">
        <w:rPr>
          <w:rFonts w:eastAsiaTheme="majorEastAsia" w:hint="eastAsia"/>
          <w:bCs/>
          <w:szCs w:val="28"/>
          <w:u w:val="single"/>
          <w:rtl/>
        </w:rPr>
        <w:t>תהליכי</w:t>
      </w:r>
      <w:r w:rsidRPr="005E17DC">
        <w:rPr>
          <w:rFonts w:eastAsiaTheme="majorEastAsia"/>
          <w:bCs/>
          <w:szCs w:val="28"/>
          <w:u w:val="single"/>
          <w:rtl/>
        </w:rPr>
        <w:t xml:space="preserve"> </w:t>
      </w:r>
      <w:r w:rsidRPr="005E17DC">
        <w:rPr>
          <w:rFonts w:eastAsiaTheme="majorEastAsia" w:hint="eastAsia"/>
          <w:bCs/>
          <w:szCs w:val="28"/>
          <w:u w:val="single"/>
          <w:rtl/>
        </w:rPr>
        <w:t>פיתוח</w:t>
      </w:r>
      <w:r w:rsidRPr="005E17DC">
        <w:rPr>
          <w:rFonts w:eastAsiaTheme="majorEastAsia"/>
          <w:bCs/>
          <w:szCs w:val="28"/>
          <w:u w:val="single"/>
          <w:rtl/>
        </w:rPr>
        <w:t xml:space="preserve"> </w:t>
      </w:r>
      <w:r w:rsidRPr="005E17DC">
        <w:rPr>
          <w:rFonts w:eastAsiaTheme="majorEastAsia" w:hint="eastAsia"/>
          <w:bCs/>
          <w:szCs w:val="28"/>
          <w:u w:val="single"/>
          <w:rtl/>
        </w:rPr>
        <w:t>ברמלה</w:t>
      </w:r>
      <w:r w:rsidRPr="005E17DC">
        <w:rPr>
          <w:rFonts w:eastAsiaTheme="majorEastAsia"/>
          <w:bCs/>
          <w:szCs w:val="28"/>
          <w:u w:val="single"/>
          <w:rtl/>
        </w:rPr>
        <w:t xml:space="preserve"> </w:t>
      </w:r>
      <w:r w:rsidRPr="005E17DC">
        <w:rPr>
          <w:rFonts w:eastAsiaTheme="majorEastAsia" w:hint="eastAsia"/>
          <w:bCs/>
          <w:szCs w:val="28"/>
          <w:u w:val="single"/>
          <w:rtl/>
        </w:rPr>
        <w:t>והשפעתם</w:t>
      </w:r>
      <w:r w:rsidRPr="005E17DC">
        <w:rPr>
          <w:rFonts w:eastAsiaTheme="majorEastAsia"/>
          <w:bCs/>
          <w:szCs w:val="28"/>
          <w:u w:val="single"/>
          <w:rtl/>
        </w:rPr>
        <w:t xml:space="preserve"> </w:t>
      </w:r>
      <w:r w:rsidRPr="005E17DC">
        <w:rPr>
          <w:rFonts w:eastAsiaTheme="majorEastAsia" w:hint="eastAsia"/>
          <w:bCs/>
          <w:szCs w:val="28"/>
          <w:u w:val="single"/>
          <w:rtl/>
        </w:rPr>
        <w:t>על</w:t>
      </w:r>
      <w:r w:rsidRPr="005E17DC">
        <w:rPr>
          <w:rFonts w:eastAsiaTheme="majorEastAsia"/>
          <w:bCs/>
          <w:szCs w:val="28"/>
          <w:u w:val="single"/>
          <w:rtl/>
        </w:rPr>
        <w:t xml:space="preserve"> </w:t>
      </w:r>
      <w:r w:rsidRPr="005E17DC">
        <w:rPr>
          <w:rFonts w:eastAsiaTheme="majorEastAsia" w:hint="eastAsia"/>
          <w:bCs/>
          <w:szCs w:val="28"/>
          <w:u w:val="single"/>
          <w:rtl/>
        </w:rPr>
        <w:t>תמהיל</w:t>
      </w:r>
      <w:r w:rsidRPr="005E17DC">
        <w:rPr>
          <w:rFonts w:eastAsiaTheme="majorEastAsia"/>
          <w:bCs/>
          <w:szCs w:val="28"/>
          <w:u w:val="single"/>
          <w:rtl/>
        </w:rPr>
        <w:t xml:space="preserve"> </w:t>
      </w:r>
      <w:r w:rsidRPr="005E17DC">
        <w:rPr>
          <w:rFonts w:eastAsiaTheme="majorEastAsia" w:hint="eastAsia"/>
          <w:bCs/>
          <w:szCs w:val="28"/>
          <w:u w:val="single"/>
          <w:rtl/>
        </w:rPr>
        <w:t>ההכנסות</w:t>
      </w:r>
      <w:r w:rsidRPr="005E17DC">
        <w:rPr>
          <w:rFonts w:eastAsiaTheme="majorEastAsia"/>
          <w:bCs/>
          <w:szCs w:val="28"/>
          <w:u w:val="single"/>
          <w:rtl/>
        </w:rPr>
        <w:t xml:space="preserve"> </w:t>
      </w:r>
      <w:r w:rsidRPr="005E17DC">
        <w:rPr>
          <w:rFonts w:eastAsiaTheme="majorEastAsia" w:hint="eastAsia"/>
          <w:bCs/>
          <w:szCs w:val="28"/>
          <w:u w:val="single"/>
          <w:rtl/>
        </w:rPr>
        <w:t>מארנונה</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Fonts w:hint="cs"/>
          <w:rtl/>
        </w:rPr>
        <w:t>רמלה מצויה בתהליכי פיתוח מואצים בעקבות הקמת שכונות חדשות. בשנים 2008 - 2018 גדלה אוכלוסיי</w:t>
      </w:r>
      <w:r w:rsidRPr="005E17DC">
        <w:rPr>
          <w:rFonts w:hint="eastAsia"/>
          <w:rtl/>
        </w:rPr>
        <w:t>ת</w:t>
      </w:r>
      <w:r w:rsidRPr="005E17DC">
        <w:rPr>
          <w:rFonts w:hint="cs"/>
          <w:rtl/>
        </w:rPr>
        <w:t xml:space="preserve"> העיר ב-15% בערך; אוכלוסיית ישראל כולה גדלה באותן שנים ב-21.5%. ואולם </w:t>
      </w:r>
      <w:r w:rsidRPr="005E17DC">
        <w:rPr>
          <w:rFonts w:hint="cs"/>
          <w:rtl/>
        </w:rPr>
        <w:t>בארבע-חמש השנים הקרובות, בעקבות תהליכי הפיתוח האמורים, צפויה אוכלוסיי</w:t>
      </w:r>
      <w:r w:rsidRPr="005E17DC">
        <w:rPr>
          <w:rFonts w:hint="eastAsia"/>
          <w:rtl/>
        </w:rPr>
        <w:t>ת</w:t>
      </w:r>
      <w:r w:rsidRPr="005E17DC">
        <w:rPr>
          <w:rFonts w:hint="cs"/>
          <w:rtl/>
        </w:rPr>
        <w:t xml:space="preserve"> רמלה לגדול ב-32% (ראו להלן).</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Fonts w:hint="cs"/>
          <w:rtl/>
        </w:rPr>
        <w:t>כפי שצוין לעיל, תמהיל ההכנסות מארנונה מצביע על האיתנות הפיננסית של רשות מקומית ועל יכולתה לממן שירותים לתושבים. משרד מבקר המדינה בדק תמהיל זה בשטחים המחויבים בארנונה בשתי נקודות זמן שונות בעבר, ואת השינויים הצפויים בו בעקבות פיתוח העיר, על פי נתונים בתוכניות מתאר המצויות בשלבים שונים של אישור ומימוש. להלן פירוט.</w:t>
      </w:r>
    </w:p>
    <w:p w:rsidR="005E17DC" w:rsidRPr="005E17DC" w:rsidP="00385106">
      <w:pPr>
        <w:spacing w:line="269" w:lineRule="auto"/>
        <w:rPr>
          <w:rtl/>
        </w:rPr>
      </w:pPr>
    </w:p>
    <w:p w:rsidR="005E17DC" w:rsidRPr="005E17DC" w:rsidP="00385106">
      <w:pPr>
        <w:keepNext/>
        <w:keepLines/>
        <w:spacing w:line="269" w:lineRule="auto"/>
        <w:outlineLvl w:val="3"/>
        <w:rPr>
          <w:rFonts w:eastAsiaTheme="majorEastAsia"/>
          <w:bCs/>
          <w:szCs w:val="26"/>
          <w:rtl/>
        </w:rPr>
      </w:pPr>
      <w:r w:rsidRPr="005E17DC">
        <w:rPr>
          <w:rFonts w:eastAsiaTheme="majorEastAsia" w:hint="cs"/>
          <w:bCs/>
          <w:szCs w:val="26"/>
          <w:rtl/>
        </w:rPr>
        <w:t>שטחים המחויבים בארנונה ופיתוחם</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Fonts w:hint="cs"/>
          <w:rtl/>
        </w:rPr>
        <w:t xml:space="preserve">רשויות מקומיות מסווגות את הנכסים בשטחי שיפוטן על פי שימושיהם: מגורים, משרדים, שירותים ומסחר, תעשייה ומלאכה, ובתי מלון. כאמור, יש משמעות כלכלית להיקף הנכסים שאינם משמשים למגורים, בשל ההכנסות מארנונה הנגזרות מכל אחד מסוגי הנכסים והשוני בהוצאות העירייה על מתן שירותים בהתאם לאופיים של השימושים השונים. </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Fonts w:hint="eastAsia"/>
          <w:rtl/>
        </w:rPr>
        <w:t>משרד</w:t>
      </w:r>
      <w:r w:rsidRPr="005E17DC">
        <w:rPr>
          <w:rtl/>
        </w:rPr>
        <w:t xml:space="preserve"> מבקר המדינה בחן את </w:t>
      </w:r>
      <w:r w:rsidRPr="005E17DC">
        <w:rPr>
          <w:rFonts w:hint="cs"/>
          <w:rtl/>
        </w:rPr>
        <w:t xml:space="preserve">הרכב </w:t>
      </w:r>
      <w:r w:rsidRPr="005E17DC">
        <w:rPr>
          <w:rtl/>
        </w:rPr>
        <w:t xml:space="preserve">השטחים </w:t>
      </w:r>
      <w:r w:rsidRPr="005E17DC">
        <w:rPr>
          <w:rFonts w:hint="eastAsia"/>
          <w:rtl/>
        </w:rPr>
        <w:t>המחויבים</w:t>
      </w:r>
      <w:r w:rsidRPr="005E17DC">
        <w:rPr>
          <w:rtl/>
        </w:rPr>
        <w:t xml:space="preserve"> בארנונה ברמלה </w:t>
      </w:r>
      <w:r w:rsidRPr="005E17DC">
        <w:rPr>
          <w:rFonts w:hint="eastAsia"/>
          <w:rtl/>
        </w:rPr>
        <w:t>בהשוואה</w:t>
      </w:r>
      <w:r w:rsidRPr="005E17DC">
        <w:rPr>
          <w:rtl/>
        </w:rPr>
        <w:t xml:space="preserve"> </w:t>
      </w:r>
      <w:r w:rsidRPr="005E17DC">
        <w:rPr>
          <w:rFonts w:hint="eastAsia"/>
          <w:rtl/>
        </w:rPr>
        <w:t>לרשויות</w:t>
      </w:r>
      <w:r w:rsidRPr="005E17DC">
        <w:rPr>
          <w:rtl/>
        </w:rPr>
        <w:t xml:space="preserve"> </w:t>
      </w:r>
      <w:r w:rsidRPr="005E17DC">
        <w:rPr>
          <w:rFonts w:hint="eastAsia"/>
          <w:rtl/>
        </w:rPr>
        <w:t>אחרות</w:t>
      </w:r>
      <w:r w:rsidRPr="005E17DC">
        <w:rPr>
          <w:rtl/>
        </w:rPr>
        <w:t xml:space="preserve"> </w:t>
      </w:r>
      <w:r w:rsidRPr="005E17DC">
        <w:rPr>
          <w:rFonts w:hint="eastAsia"/>
          <w:rtl/>
        </w:rPr>
        <w:t>ובהשוואה</w:t>
      </w:r>
      <w:r w:rsidRPr="005E17DC">
        <w:rPr>
          <w:rtl/>
        </w:rPr>
        <w:t xml:space="preserve"> לעבר, </w:t>
      </w:r>
      <w:r w:rsidRPr="005E17DC">
        <w:rPr>
          <w:rFonts w:hint="cs"/>
          <w:rtl/>
        </w:rPr>
        <w:t>ואת</w:t>
      </w:r>
      <w:r w:rsidRPr="005E17DC">
        <w:rPr>
          <w:rtl/>
        </w:rPr>
        <w:t xml:space="preserve"> התחזיות להתפתחות </w:t>
      </w:r>
      <w:r w:rsidRPr="005E17DC">
        <w:rPr>
          <w:rFonts w:hint="eastAsia"/>
          <w:rtl/>
        </w:rPr>
        <w:t>העתידית</w:t>
      </w:r>
      <w:r w:rsidRPr="005E17DC">
        <w:rPr>
          <w:rtl/>
        </w:rPr>
        <w:t xml:space="preserve"> של </w:t>
      </w:r>
      <w:r w:rsidRPr="005E17DC">
        <w:rPr>
          <w:rFonts w:hint="cs"/>
          <w:rtl/>
        </w:rPr>
        <w:t>שטחי העיר</w:t>
      </w:r>
      <w:r w:rsidRPr="005E17DC">
        <w:rPr>
          <w:rtl/>
        </w:rPr>
        <w:t xml:space="preserve"> </w:t>
      </w:r>
      <w:r w:rsidRPr="005E17DC">
        <w:rPr>
          <w:rFonts w:hint="eastAsia"/>
          <w:rtl/>
        </w:rPr>
        <w:t>שיחויבו</w:t>
      </w:r>
      <w:r w:rsidRPr="005E17DC">
        <w:rPr>
          <w:rtl/>
        </w:rPr>
        <w:t xml:space="preserve"> בארנונה</w:t>
      </w:r>
      <w:r>
        <w:rPr>
          <w:vertAlign w:val="superscript"/>
          <w:rtl/>
        </w:rPr>
        <w:footnoteReference w:id="27"/>
      </w:r>
      <w:r w:rsidRPr="005E17DC">
        <w:rPr>
          <w:rtl/>
        </w:rPr>
        <w:t>.</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Fonts w:hint="cs"/>
          <w:rtl/>
        </w:rPr>
        <w:t xml:space="preserve">התרשים שלהלן מציג את הרכב השטחים שחויבו בארנונה ב-2007 וב-2017, ברמלה וברשויות אחרות: </w:t>
      </w:r>
    </w:p>
    <w:p w:rsidR="005E17DC" w:rsidRPr="005E17DC" w:rsidP="00385106">
      <w:pPr>
        <w:spacing w:line="269" w:lineRule="auto"/>
        <w:ind w:left="-567"/>
        <w:rPr>
          <w:szCs w:val="20"/>
          <w:rtl/>
        </w:rPr>
      </w:pPr>
    </w:p>
    <w:p w:rsidR="005E17DC" w:rsidRPr="005E17DC" w:rsidP="00A67A80">
      <w:pPr>
        <w:spacing w:after="120" w:line="269" w:lineRule="auto"/>
        <w:jc w:val="center"/>
        <w:rPr>
          <w:b/>
          <w:bCs/>
          <w:rtl/>
        </w:rPr>
      </w:pPr>
      <w:r w:rsidRPr="005E17DC">
        <w:rPr>
          <w:rFonts w:hint="cs"/>
          <w:b/>
          <w:bCs/>
          <w:rtl/>
        </w:rPr>
        <w:t>תרשים 10:</w:t>
      </w:r>
      <w:r w:rsidRPr="005E17DC">
        <w:rPr>
          <w:b/>
          <w:bCs/>
          <w:rtl/>
        </w:rPr>
        <w:t xml:space="preserve"> </w:t>
      </w:r>
      <w:r w:rsidRPr="005E17DC">
        <w:rPr>
          <w:rFonts w:hint="cs"/>
          <w:b/>
          <w:bCs/>
          <w:rtl/>
        </w:rPr>
        <w:t>תמהיל השטחים שחויבו ב</w:t>
      </w:r>
      <w:r w:rsidRPr="005E17DC">
        <w:rPr>
          <w:rFonts w:hint="eastAsia"/>
          <w:b/>
          <w:bCs/>
          <w:rtl/>
        </w:rPr>
        <w:t>ארנונה</w:t>
      </w:r>
      <w:r w:rsidRPr="005E17DC">
        <w:rPr>
          <w:b/>
          <w:bCs/>
          <w:rtl/>
        </w:rPr>
        <w:t xml:space="preserve"> </w:t>
      </w:r>
      <w:r w:rsidRPr="005E17DC">
        <w:rPr>
          <w:rFonts w:hint="eastAsia"/>
          <w:b/>
          <w:bCs/>
          <w:rtl/>
        </w:rPr>
        <w:t>ברמלה</w:t>
      </w:r>
      <w:r w:rsidRPr="005E17DC">
        <w:rPr>
          <w:b/>
          <w:bCs/>
          <w:rtl/>
        </w:rPr>
        <w:t xml:space="preserve">, </w:t>
      </w:r>
      <w:r w:rsidRPr="005E17DC">
        <w:rPr>
          <w:rFonts w:hint="eastAsia"/>
          <w:b/>
          <w:bCs/>
          <w:rtl/>
        </w:rPr>
        <w:t>בכלל</w:t>
      </w:r>
      <w:r w:rsidRPr="005E17DC">
        <w:rPr>
          <w:b/>
          <w:bCs/>
          <w:rtl/>
        </w:rPr>
        <w:t xml:space="preserve"> </w:t>
      </w:r>
      <w:r w:rsidRPr="005E17DC">
        <w:rPr>
          <w:rFonts w:hint="eastAsia"/>
          <w:b/>
          <w:bCs/>
          <w:rtl/>
        </w:rPr>
        <w:t>העיריות</w:t>
      </w:r>
      <w:r w:rsidRPr="005E17DC">
        <w:rPr>
          <w:b/>
          <w:bCs/>
          <w:rtl/>
        </w:rPr>
        <w:t xml:space="preserve"> </w:t>
      </w:r>
      <w:r w:rsidRPr="005E17DC">
        <w:rPr>
          <w:rFonts w:hint="eastAsia"/>
          <w:b/>
          <w:bCs/>
          <w:rtl/>
        </w:rPr>
        <w:t>ובעיריות</w:t>
      </w:r>
      <w:r w:rsidRPr="005E17DC">
        <w:rPr>
          <w:b/>
          <w:bCs/>
          <w:rtl/>
        </w:rPr>
        <w:t xml:space="preserve"> </w:t>
      </w:r>
      <w:r w:rsidRPr="005E17DC">
        <w:rPr>
          <w:rFonts w:hint="cs"/>
          <w:b/>
          <w:bCs/>
          <w:rtl/>
        </w:rPr>
        <w:t>בינוניות, 2007 ו-2017</w:t>
      </w:r>
    </w:p>
    <w:p w:rsidR="005E17DC" w:rsidRPr="005E17DC" w:rsidP="00385106">
      <w:pPr>
        <w:spacing w:line="269" w:lineRule="auto"/>
        <w:jc w:val="center"/>
        <w:rPr>
          <w:rtl/>
        </w:rPr>
      </w:pPr>
      <w:r w:rsidRPr="005E17DC">
        <w:rPr>
          <w:noProof/>
        </w:rPr>
        <w:t xml:space="preserve"> </w:t>
      </w:r>
      <w:r w:rsidRPr="005E17DC">
        <w:rPr>
          <w:noProof/>
        </w:rPr>
        <w:drawing>
          <wp:inline distT="0" distB="0" distL="0" distR="0">
            <wp:extent cx="5153025" cy="2743200"/>
            <wp:effectExtent l="0" t="0" r="9525" b="0"/>
            <wp:docPr id="30" name="תרשים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E17DC" w:rsidRPr="005E17DC" w:rsidP="00A67A80">
      <w:pPr>
        <w:spacing w:before="120" w:line="269" w:lineRule="auto"/>
        <w:rPr>
          <w:sz w:val="22"/>
          <w:szCs w:val="22"/>
          <w:rtl/>
        </w:rPr>
      </w:pPr>
      <w:r w:rsidRPr="005E17DC">
        <w:rPr>
          <w:rFonts w:hint="cs"/>
          <w:sz w:val="22"/>
          <w:szCs w:val="22"/>
          <w:rtl/>
        </w:rPr>
        <w:t xml:space="preserve">המקור: </w:t>
      </w:r>
      <w:r w:rsidRPr="005E17DC">
        <w:rPr>
          <w:rFonts w:hint="cs"/>
          <w:sz w:val="22"/>
          <w:szCs w:val="22"/>
          <w:rtl/>
        </w:rPr>
        <w:t>הלמ"ס</w:t>
      </w:r>
      <w:r w:rsidRPr="005E17DC">
        <w:rPr>
          <w:rFonts w:hint="cs"/>
          <w:sz w:val="22"/>
          <w:szCs w:val="22"/>
          <w:rtl/>
        </w:rPr>
        <w:t>, קובץ רשויות 2007 ו-2017.</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Fonts w:hint="cs"/>
          <w:rtl/>
        </w:rPr>
        <w:t xml:space="preserve">התרשים מלמד כי בשנים 2007 - 2017 ירד ב-4% שיעור השטחים המחויבים בארנונה שלא למגורים ברמלה. נתון זה </w:t>
      </w:r>
      <w:r w:rsidRPr="005E17DC">
        <w:rPr>
          <w:rFonts w:hint="eastAsia"/>
          <w:rtl/>
        </w:rPr>
        <w:t>מחדד</w:t>
      </w:r>
      <w:r w:rsidRPr="005E17DC">
        <w:rPr>
          <w:rtl/>
        </w:rPr>
        <w:t xml:space="preserve"> </w:t>
      </w:r>
      <w:r w:rsidRPr="005E17DC">
        <w:rPr>
          <w:rFonts w:hint="eastAsia"/>
          <w:rtl/>
        </w:rPr>
        <w:t>את</w:t>
      </w:r>
      <w:r w:rsidRPr="005E17DC">
        <w:rPr>
          <w:rtl/>
        </w:rPr>
        <w:t xml:space="preserve"> </w:t>
      </w:r>
      <w:r w:rsidRPr="005E17DC">
        <w:rPr>
          <w:rFonts w:hint="eastAsia"/>
          <w:rtl/>
        </w:rPr>
        <w:t>הצורך</w:t>
      </w:r>
      <w:r w:rsidRPr="005E17DC">
        <w:rPr>
          <w:rtl/>
        </w:rPr>
        <w:t xml:space="preserve"> </w:t>
      </w:r>
      <w:r w:rsidRPr="005E17DC">
        <w:rPr>
          <w:rFonts w:hint="eastAsia"/>
          <w:rtl/>
        </w:rPr>
        <w:t>של</w:t>
      </w:r>
      <w:r w:rsidRPr="005E17DC">
        <w:rPr>
          <w:rtl/>
        </w:rPr>
        <w:t xml:space="preserve"> </w:t>
      </w:r>
      <w:r w:rsidRPr="005E17DC">
        <w:rPr>
          <w:rFonts w:hint="eastAsia"/>
          <w:rtl/>
        </w:rPr>
        <w:t>העירי</w:t>
      </w:r>
      <w:r w:rsidRPr="005E17DC">
        <w:rPr>
          <w:rFonts w:hint="cs"/>
          <w:rtl/>
        </w:rPr>
        <w:t>י</w:t>
      </w:r>
      <w:r w:rsidRPr="005E17DC">
        <w:rPr>
          <w:rFonts w:hint="eastAsia"/>
          <w:rtl/>
        </w:rPr>
        <w:t>ה</w:t>
      </w:r>
      <w:r w:rsidRPr="005E17DC">
        <w:rPr>
          <w:rtl/>
        </w:rPr>
        <w:t xml:space="preserve"> </w:t>
      </w:r>
      <w:r w:rsidRPr="005E17DC">
        <w:rPr>
          <w:rFonts w:hint="eastAsia"/>
          <w:rtl/>
        </w:rPr>
        <w:t>להיערך</w:t>
      </w:r>
      <w:r w:rsidRPr="005E17DC">
        <w:rPr>
          <w:rtl/>
        </w:rPr>
        <w:t xml:space="preserve"> </w:t>
      </w:r>
      <w:r w:rsidRPr="005E17DC">
        <w:rPr>
          <w:rFonts w:hint="eastAsia"/>
          <w:rtl/>
        </w:rPr>
        <w:t>לשמיר</w:t>
      </w:r>
      <w:r w:rsidRPr="005E17DC">
        <w:rPr>
          <w:rFonts w:hint="cs"/>
          <w:rtl/>
        </w:rPr>
        <w:t>ת</w:t>
      </w:r>
      <w:r w:rsidRPr="005E17DC">
        <w:rPr>
          <w:rtl/>
        </w:rPr>
        <w:t xml:space="preserve"> </w:t>
      </w:r>
      <w:r w:rsidRPr="005E17DC">
        <w:rPr>
          <w:rFonts w:hint="eastAsia"/>
          <w:rtl/>
        </w:rPr>
        <w:t>חוסנה</w:t>
      </w:r>
      <w:r w:rsidRPr="005E17DC">
        <w:rPr>
          <w:rtl/>
        </w:rPr>
        <w:t xml:space="preserve"> הכספי</w:t>
      </w:r>
      <w:r w:rsidRPr="005E17DC">
        <w:rPr>
          <w:rFonts w:hint="cs"/>
          <w:rtl/>
        </w:rPr>
        <w:t xml:space="preserve">. </w:t>
      </w:r>
    </w:p>
    <w:p w:rsidR="00385106">
      <w:pPr>
        <w:bidi w:val="0"/>
        <w:spacing w:after="200" w:line="276" w:lineRule="auto"/>
        <w:rPr>
          <w:rFonts w:eastAsiaTheme="majorEastAsia"/>
          <w:bCs/>
          <w:szCs w:val="26"/>
          <w:rtl/>
        </w:rPr>
      </w:pPr>
      <w:r>
        <w:rPr>
          <w:rFonts w:eastAsiaTheme="majorEastAsia"/>
          <w:bCs/>
          <w:szCs w:val="26"/>
          <w:rtl/>
        </w:rPr>
        <w:br w:type="page"/>
      </w:r>
    </w:p>
    <w:p w:rsidR="005E17DC" w:rsidRPr="005E17DC" w:rsidP="00385106">
      <w:pPr>
        <w:keepNext/>
        <w:keepLines/>
        <w:spacing w:line="269" w:lineRule="auto"/>
        <w:outlineLvl w:val="3"/>
        <w:rPr>
          <w:rFonts w:eastAsiaTheme="majorEastAsia"/>
          <w:bCs/>
          <w:szCs w:val="26"/>
          <w:rtl/>
        </w:rPr>
      </w:pPr>
      <w:r w:rsidRPr="005E17DC">
        <w:rPr>
          <w:rFonts w:eastAsiaTheme="majorEastAsia" w:hint="cs"/>
          <w:bCs/>
          <w:szCs w:val="26"/>
          <w:rtl/>
        </w:rPr>
        <w:t>השטחים בתוכניות המתאר</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tl/>
        </w:rPr>
        <w:t xml:space="preserve">משרד מבקר המדינה בחן גם את </w:t>
      </w:r>
      <w:r w:rsidRPr="005E17DC">
        <w:rPr>
          <w:rtl/>
        </w:rPr>
        <w:t>תוכניות</w:t>
      </w:r>
      <w:r w:rsidRPr="005E17DC">
        <w:rPr>
          <w:rtl/>
        </w:rPr>
        <w:t xml:space="preserve"> הפיתוח העתידי </w:t>
      </w:r>
      <w:r w:rsidRPr="005E17DC">
        <w:rPr>
          <w:rFonts w:hint="cs"/>
          <w:rtl/>
        </w:rPr>
        <w:t>של</w:t>
      </w:r>
      <w:r w:rsidRPr="005E17DC">
        <w:rPr>
          <w:rtl/>
        </w:rPr>
        <w:t xml:space="preserve"> רמלה. </w:t>
      </w:r>
      <w:r w:rsidRPr="005E17DC">
        <w:rPr>
          <w:rtl/>
        </w:rPr>
        <w:t>תוכניות</w:t>
      </w:r>
      <w:r w:rsidRPr="005E17DC">
        <w:rPr>
          <w:rtl/>
        </w:rPr>
        <w:t xml:space="preserve"> אלה </w:t>
      </w:r>
      <w:r w:rsidRPr="005E17DC">
        <w:rPr>
          <w:rFonts w:hint="cs"/>
          <w:rtl/>
        </w:rPr>
        <w:t>נחלקות</w:t>
      </w:r>
      <w:r w:rsidRPr="005E17DC">
        <w:rPr>
          <w:rtl/>
        </w:rPr>
        <w:t xml:space="preserve"> לשני סוגים, לפי צפי מימושן: </w:t>
      </w:r>
      <w:r w:rsidRPr="005E17DC">
        <w:rPr>
          <w:rtl/>
        </w:rPr>
        <w:t>תוכניות</w:t>
      </w:r>
      <w:r w:rsidRPr="005E17DC">
        <w:rPr>
          <w:rtl/>
        </w:rPr>
        <w:t xml:space="preserve"> בתהליך מימוש שנתוניהן משתקפים במספר התחלות בנייה ובמספר היתרי הבנייה שניתנו מכוחן; ותוכניות שעשויות להתממש אך אין ודאות לגבי היקף מימושן ומועדן - למשל </w:t>
      </w:r>
      <w:r w:rsidRPr="005E17DC">
        <w:rPr>
          <w:rtl/>
        </w:rPr>
        <w:t>תוכניות</w:t>
      </w:r>
      <w:r w:rsidRPr="005E17DC">
        <w:rPr>
          <w:rtl/>
        </w:rPr>
        <w:t xml:space="preserve"> מאושרות שטרם בוצעו ותוכניות בהליך תכנון סטטוטורי במוסד תכנון. בתרשים שלהלן מוצגות התוספת למ"ר של מגורים ושל תעשייה ומסחר ברמלה, לפי שני סוגי התוכניות</w:t>
      </w:r>
      <w:r w:rsidRPr="005E17DC">
        <w:rPr>
          <w:rFonts w:hint="cs"/>
          <w:rtl/>
        </w:rPr>
        <w:t>.</w:t>
      </w:r>
    </w:p>
    <w:p w:rsidR="005E17DC" w:rsidRPr="005E17DC" w:rsidP="00385106">
      <w:pPr>
        <w:spacing w:line="269" w:lineRule="auto"/>
        <w:ind w:left="-567"/>
        <w:rPr>
          <w:szCs w:val="20"/>
          <w:rtl/>
        </w:rPr>
      </w:pPr>
    </w:p>
    <w:p w:rsidR="005E17DC" w:rsidRPr="005E17DC" w:rsidP="00A67A80">
      <w:pPr>
        <w:spacing w:after="120" w:line="269" w:lineRule="auto"/>
        <w:jc w:val="center"/>
        <w:rPr>
          <w:b/>
          <w:bCs/>
          <w:rtl/>
        </w:rPr>
      </w:pPr>
      <w:r w:rsidRPr="005E17DC">
        <w:rPr>
          <w:rFonts w:hint="eastAsia"/>
          <w:b/>
          <w:bCs/>
          <w:rtl/>
        </w:rPr>
        <w:t>תרשים</w:t>
      </w:r>
      <w:r w:rsidRPr="005E17DC">
        <w:rPr>
          <w:b/>
          <w:bCs/>
          <w:rtl/>
        </w:rPr>
        <w:t xml:space="preserve"> </w:t>
      </w:r>
      <w:r w:rsidRPr="005E17DC">
        <w:rPr>
          <w:rFonts w:hint="cs"/>
          <w:b/>
          <w:bCs/>
          <w:rtl/>
        </w:rPr>
        <w:t>11: שטחי</w:t>
      </w:r>
      <w:r w:rsidRPr="005E17DC">
        <w:rPr>
          <w:b/>
          <w:bCs/>
          <w:rtl/>
        </w:rPr>
        <w:t xml:space="preserve"> מגור</w:t>
      </w:r>
      <w:r w:rsidRPr="005E17DC">
        <w:rPr>
          <w:rFonts w:hint="eastAsia"/>
          <w:b/>
          <w:bCs/>
          <w:rtl/>
        </w:rPr>
        <w:t>ים</w:t>
      </w:r>
      <w:r w:rsidRPr="005E17DC">
        <w:rPr>
          <w:b/>
          <w:bCs/>
          <w:rtl/>
        </w:rPr>
        <w:t xml:space="preserve"> ו</w:t>
      </w:r>
      <w:r w:rsidRPr="005E17DC">
        <w:rPr>
          <w:rFonts w:hint="cs"/>
          <w:b/>
          <w:bCs/>
          <w:rtl/>
        </w:rPr>
        <w:t xml:space="preserve">שטחי </w:t>
      </w:r>
      <w:r w:rsidRPr="005E17DC">
        <w:rPr>
          <w:b/>
          <w:bCs/>
          <w:rtl/>
        </w:rPr>
        <w:t>תעשייה ומסחר בת</w:t>
      </w:r>
      <w:r w:rsidRPr="005E17DC">
        <w:rPr>
          <w:rFonts w:hint="cs"/>
          <w:b/>
          <w:bCs/>
          <w:rtl/>
        </w:rPr>
        <w:t>ו</w:t>
      </w:r>
      <w:r w:rsidRPr="005E17DC">
        <w:rPr>
          <w:b/>
          <w:bCs/>
          <w:rtl/>
        </w:rPr>
        <w:t>כניות שונות, ספטמבר 2019</w:t>
      </w:r>
      <w:r w:rsidRPr="005E17DC">
        <w:rPr>
          <w:rFonts w:hint="cs"/>
          <w:b/>
          <w:bCs/>
          <w:rtl/>
        </w:rPr>
        <w:t xml:space="preserve"> </w:t>
      </w:r>
      <w:r w:rsidRPr="005E17DC">
        <w:rPr>
          <w:b/>
          <w:bCs/>
          <w:rtl/>
        </w:rPr>
        <w:br/>
      </w:r>
      <w:r w:rsidRPr="005E17DC">
        <w:rPr>
          <w:rFonts w:hint="cs"/>
          <w:b/>
          <w:bCs/>
          <w:rtl/>
        </w:rPr>
        <w:t>(באלפי מ"ר)</w:t>
      </w:r>
      <w:r w:rsidRPr="005E17DC">
        <w:rPr>
          <w:noProof/>
        </w:rPr>
        <w:drawing>
          <wp:inline distT="0" distB="0" distL="0" distR="0">
            <wp:extent cx="5219700" cy="2476500"/>
            <wp:effectExtent l="0" t="0" r="0" b="0"/>
            <wp:docPr id="12" name="תרשים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E17DC" w:rsidRPr="005E17DC" w:rsidP="00A67A80">
      <w:pPr>
        <w:spacing w:before="120" w:line="269" w:lineRule="auto"/>
        <w:rPr>
          <w:rtl/>
        </w:rPr>
      </w:pPr>
      <w:r w:rsidRPr="005E17DC">
        <w:rPr>
          <w:rFonts w:hint="cs"/>
          <w:sz w:val="22"/>
          <w:szCs w:val="22"/>
          <w:rtl/>
        </w:rPr>
        <w:t>ה</w:t>
      </w:r>
      <w:r w:rsidRPr="005E17DC">
        <w:rPr>
          <w:rFonts w:hint="eastAsia"/>
          <w:sz w:val="22"/>
          <w:szCs w:val="22"/>
          <w:rtl/>
        </w:rPr>
        <w:t>מקור</w:t>
      </w:r>
      <w:r w:rsidRPr="005E17DC">
        <w:rPr>
          <w:sz w:val="22"/>
          <w:szCs w:val="22"/>
          <w:rtl/>
        </w:rPr>
        <w:t xml:space="preserve">: </w:t>
      </w:r>
      <w:r w:rsidRPr="005E17DC">
        <w:rPr>
          <w:rFonts w:hint="cs"/>
          <w:sz w:val="22"/>
          <w:szCs w:val="22"/>
          <w:rtl/>
        </w:rPr>
        <w:t xml:space="preserve">עיריית רמלה, </w:t>
      </w:r>
      <w:r w:rsidRPr="005E17DC">
        <w:rPr>
          <w:rFonts w:hint="eastAsia"/>
          <w:sz w:val="22"/>
          <w:szCs w:val="22"/>
          <w:rtl/>
        </w:rPr>
        <w:t>מ</w:t>
      </w:r>
      <w:r w:rsidRPr="005E17DC">
        <w:rPr>
          <w:rFonts w:hint="cs"/>
          <w:sz w:val="22"/>
          <w:szCs w:val="22"/>
          <w:rtl/>
        </w:rPr>
        <w:t>י</w:t>
      </w:r>
      <w:r w:rsidRPr="005E17DC">
        <w:rPr>
          <w:rFonts w:hint="eastAsia"/>
          <w:sz w:val="22"/>
          <w:szCs w:val="22"/>
          <w:rtl/>
        </w:rPr>
        <w:t>נהל</w:t>
      </w:r>
      <w:r w:rsidRPr="005E17DC">
        <w:rPr>
          <w:sz w:val="22"/>
          <w:szCs w:val="22"/>
          <w:rtl/>
        </w:rPr>
        <w:t xml:space="preserve"> </w:t>
      </w:r>
      <w:r w:rsidRPr="005E17DC">
        <w:rPr>
          <w:rFonts w:hint="eastAsia"/>
          <w:sz w:val="22"/>
          <w:szCs w:val="22"/>
          <w:rtl/>
        </w:rPr>
        <w:t>ההנדסה</w:t>
      </w:r>
      <w:r w:rsidRPr="005E17DC">
        <w:rPr>
          <w:sz w:val="22"/>
          <w:szCs w:val="22"/>
          <w:rtl/>
        </w:rPr>
        <w:t>.</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Fonts w:hint="cs"/>
          <w:rtl/>
        </w:rPr>
        <w:t>התרשים מלמד כי הפיתוח העתידי מכוון רובו ככולו למגורים ועל כל מטר רבוע המתוכנן לתעשייה ומסחר מתוכננים 4 מ"ר ויותר למגורים. יש לציין כי רוב התוספת של שטחי המגורים בעיר בתוכניות בתהליך מימוש הוא חלק מהסכם גג שחתמו המדינה ועיריית רמלה</w:t>
      </w:r>
      <w:r w:rsidR="009309E8">
        <w:rPr>
          <w:rFonts w:hint="cs"/>
          <w:rtl/>
        </w:rPr>
        <w:t xml:space="preserve"> </w:t>
      </w:r>
      <w:r w:rsidRPr="005E17DC">
        <w:rPr>
          <w:rFonts w:hint="cs"/>
          <w:rtl/>
        </w:rPr>
        <w:t xml:space="preserve">בשנת 2015, לבנייה של עד 7,500 יחידות דיור. מדובר בתוספת של </w:t>
      </w:r>
      <w:r w:rsidRPr="005E17DC">
        <w:rPr>
          <w:rFonts w:ascii="David" w:hAnsi="David"/>
          <w:sz w:val="24"/>
          <w:rtl/>
        </w:rPr>
        <w:t>%</w:t>
      </w:r>
      <w:r w:rsidRPr="005E17DC">
        <w:rPr>
          <w:rFonts w:ascii="David" w:hAnsi="David"/>
          <w:sz w:val="24"/>
        </w:rPr>
        <w:t>34</w:t>
      </w:r>
      <w:r w:rsidRPr="005E17DC">
        <w:rPr>
          <w:rFonts w:ascii="David" w:hAnsi="David"/>
          <w:sz w:val="24"/>
          <w:rtl/>
        </w:rPr>
        <w:t xml:space="preserve"> </w:t>
      </w:r>
      <w:r w:rsidRPr="005E17DC">
        <w:rPr>
          <w:rFonts w:hint="cs"/>
          <w:rtl/>
        </w:rPr>
        <w:t>ביחידות הד</w:t>
      </w:r>
      <w:r w:rsidR="00167014">
        <w:rPr>
          <w:rFonts w:hint="cs"/>
          <w:rtl/>
        </w:rPr>
        <w:t xml:space="preserve">יור בעיר יחסית לחודש יוני 2018. </w:t>
      </w:r>
      <w:r w:rsidRPr="005E17DC">
        <w:rPr>
          <w:rFonts w:hint="cs"/>
          <w:rtl/>
        </w:rPr>
        <w:t>פיתוח זה צפוי להגדיל את מספר תושבי העיר ב-26,000 בקירוב</w:t>
      </w:r>
      <w:r>
        <w:rPr>
          <w:vertAlign w:val="superscript"/>
          <w:rtl/>
        </w:rPr>
        <w:footnoteReference w:id="28"/>
      </w:r>
      <w:r w:rsidRPr="005E17DC">
        <w:rPr>
          <w:rFonts w:hint="cs"/>
          <w:rtl/>
        </w:rPr>
        <w:t>, כלומר ב-32%.</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Fonts w:hint="cs"/>
          <w:rtl/>
        </w:rPr>
        <w:t>על פי בנק ישראל</w:t>
      </w:r>
      <w:r>
        <w:rPr>
          <w:vertAlign w:val="superscript"/>
          <w:rtl/>
        </w:rPr>
        <w:footnoteReference w:id="29"/>
      </w:r>
      <w:r w:rsidRPr="005E17DC">
        <w:rPr>
          <w:rFonts w:hint="cs"/>
          <w:rtl/>
        </w:rPr>
        <w:t xml:space="preserve">, תוספת של שטחי בנייה למגורים בעקבות הסכמי גג עלולה להחמיר את מצבן הפיננסי של הרשויות המקומיות, בשל הצורך לספק שירותים שוטפים לתושבים החדשים, ועל כן ממליץ בנק ישראל שלצד פיתוח שטחי מגורים יפותחו גם שטחי מסחר ותעשייה. למסקנה דומה הגיע </w:t>
      </w:r>
      <w:r w:rsidRPr="005E17DC">
        <w:rPr>
          <w:rtl/>
        </w:rPr>
        <w:t xml:space="preserve">אגף בכיר תכנון ופיתוח ההון האנושי ברשויות המקומיות, במשרד הפנים, </w:t>
      </w:r>
      <w:r w:rsidRPr="005E17DC">
        <w:rPr>
          <w:rFonts w:hint="cs"/>
          <w:rtl/>
        </w:rPr>
        <w:t>ש</w:t>
      </w:r>
      <w:r w:rsidRPr="005E17DC">
        <w:rPr>
          <w:rtl/>
        </w:rPr>
        <w:t xml:space="preserve">בחן את </w:t>
      </w:r>
      <w:r w:rsidRPr="005E17DC">
        <w:rPr>
          <w:rFonts w:hint="cs"/>
          <w:rtl/>
        </w:rPr>
        <w:t>השפעותיהם הצפויות של הסכמי גג על רשויות מקומיות</w:t>
      </w:r>
      <w:r>
        <w:rPr>
          <w:vertAlign w:val="superscript"/>
          <w:rtl/>
        </w:rPr>
        <w:footnoteReference w:id="30"/>
      </w:r>
      <w:r w:rsidRPr="005E17DC">
        <w:rPr>
          <w:rFonts w:hint="cs"/>
          <w:rtl/>
        </w:rPr>
        <w:t>.</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Fonts w:hint="cs"/>
          <w:rtl/>
        </w:rPr>
        <w:t>את ההשפעה על תמהיל השטח המחויב בארנונה למגורים ובארנונה שאינה למגורים אפשר לראות בתרשים שלהלן:</w:t>
      </w:r>
    </w:p>
    <w:p w:rsidR="00A67A80" w:rsidP="00A67A80">
      <w:pPr>
        <w:spacing w:after="120" w:line="269" w:lineRule="auto"/>
        <w:jc w:val="center"/>
        <w:rPr>
          <w:b/>
          <w:bCs/>
          <w:rtl/>
        </w:rPr>
      </w:pPr>
    </w:p>
    <w:p w:rsidR="005E17DC" w:rsidRPr="005E17DC" w:rsidP="00A67A80">
      <w:pPr>
        <w:spacing w:after="120" w:line="269" w:lineRule="auto"/>
        <w:jc w:val="center"/>
        <w:rPr>
          <w:rtl/>
        </w:rPr>
      </w:pPr>
      <w:r w:rsidRPr="005E17DC">
        <w:rPr>
          <w:rFonts w:hint="cs"/>
          <w:b/>
          <w:bCs/>
          <w:rtl/>
        </w:rPr>
        <w:t xml:space="preserve">תרשים 12: תמהיל השטחים המחויבים בארנונה בעקבות מימוש </w:t>
      </w:r>
      <w:r w:rsidRPr="005E17DC">
        <w:rPr>
          <w:rFonts w:hint="cs"/>
          <w:b/>
          <w:bCs/>
          <w:rtl/>
        </w:rPr>
        <w:t>תוכניות</w:t>
      </w:r>
      <w:r w:rsidRPr="005E17DC">
        <w:rPr>
          <w:noProof/>
        </w:rPr>
        <w:t xml:space="preserve"> </w:t>
      </w:r>
      <w:r w:rsidRPr="005E17DC">
        <w:rPr>
          <w:rFonts w:hint="cs"/>
          <w:b/>
          <w:bCs/>
          <w:rtl/>
        </w:rPr>
        <w:t>ברמלה</w:t>
      </w:r>
      <w:r w:rsidRPr="005E17DC">
        <w:rPr>
          <w:rFonts w:eastAsia="Times New Roman"/>
          <w:sz w:val="16"/>
          <w:szCs w:val="16"/>
          <w:rtl/>
          <w:lang w:eastAsia="he-IL"/>
        </w:rPr>
        <w:t xml:space="preserve"> </w:t>
      </w:r>
      <w:r w:rsidRPr="005E17DC">
        <w:rPr>
          <w:noProof/>
        </w:rPr>
        <w:drawing>
          <wp:inline distT="0" distB="0" distL="0" distR="0">
            <wp:extent cx="4572000" cy="2743200"/>
            <wp:effectExtent l="0" t="0" r="0" b="0"/>
            <wp:docPr id="6" name="תרשים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E17DC" w:rsidRPr="005E17DC" w:rsidP="00A67A80">
      <w:pPr>
        <w:spacing w:before="120" w:line="269" w:lineRule="auto"/>
        <w:ind w:firstLine="720"/>
        <w:jc w:val="left"/>
        <w:rPr>
          <w:sz w:val="22"/>
          <w:szCs w:val="22"/>
          <w:rtl/>
        </w:rPr>
      </w:pPr>
      <w:r w:rsidRPr="005E17DC">
        <w:rPr>
          <w:rFonts w:hint="cs"/>
          <w:sz w:val="22"/>
          <w:szCs w:val="22"/>
          <w:rtl/>
        </w:rPr>
        <w:t>על פי</w:t>
      </w:r>
      <w:r w:rsidRPr="005E17DC">
        <w:rPr>
          <w:sz w:val="22"/>
          <w:szCs w:val="22"/>
          <w:rtl/>
        </w:rPr>
        <w:t xml:space="preserve"> </w:t>
      </w:r>
      <w:r w:rsidRPr="005E17DC">
        <w:rPr>
          <w:rFonts w:hint="eastAsia"/>
          <w:sz w:val="22"/>
          <w:szCs w:val="22"/>
          <w:rtl/>
        </w:rPr>
        <w:t>נתוני</w:t>
      </w:r>
      <w:r w:rsidRPr="005E17DC">
        <w:rPr>
          <w:rFonts w:hint="cs"/>
          <w:sz w:val="22"/>
          <w:szCs w:val="22"/>
          <w:rtl/>
        </w:rPr>
        <w:t xml:space="preserve"> </w:t>
      </w:r>
      <w:r w:rsidRPr="005E17DC">
        <w:rPr>
          <w:rFonts w:hint="eastAsia"/>
          <w:sz w:val="22"/>
          <w:szCs w:val="22"/>
          <w:rtl/>
        </w:rPr>
        <w:t>עיריית</w:t>
      </w:r>
      <w:r w:rsidRPr="005E17DC">
        <w:rPr>
          <w:sz w:val="22"/>
          <w:szCs w:val="22"/>
          <w:rtl/>
        </w:rPr>
        <w:t xml:space="preserve"> </w:t>
      </w:r>
      <w:r w:rsidRPr="005E17DC">
        <w:rPr>
          <w:rFonts w:hint="eastAsia"/>
          <w:sz w:val="22"/>
          <w:szCs w:val="22"/>
          <w:rtl/>
        </w:rPr>
        <w:t>רמלה</w:t>
      </w:r>
      <w:r w:rsidRPr="005E17DC">
        <w:rPr>
          <w:rFonts w:hint="cs"/>
          <w:sz w:val="22"/>
          <w:szCs w:val="22"/>
          <w:rtl/>
        </w:rPr>
        <w:t xml:space="preserve"> (</w:t>
      </w:r>
      <w:r w:rsidRPr="005E17DC">
        <w:rPr>
          <w:rFonts w:hint="cs"/>
          <w:sz w:val="22"/>
          <w:szCs w:val="22"/>
          <w:rtl/>
        </w:rPr>
        <w:t>מינהל</w:t>
      </w:r>
      <w:r w:rsidRPr="005E17DC">
        <w:rPr>
          <w:rFonts w:hint="cs"/>
          <w:sz w:val="22"/>
          <w:szCs w:val="22"/>
          <w:rtl/>
        </w:rPr>
        <w:t xml:space="preserve"> ההנדסה),</w:t>
      </w:r>
      <w:r w:rsidRPr="005E17DC">
        <w:rPr>
          <w:sz w:val="22"/>
          <w:szCs w:val="22"/>
          <w:rtl/>
        </w:rPr>
        <w:t xml:space="preserve"> </w:t>
      </w:r>
      <w:r w:rsidRPr="005E17DC">
        <w:rPr>
          <w:rFonts w:hint="eastAsia"/>
          <w:sz w:val="22"/>
          <w:szCs w:val="22"/>
          <w:rtl/>
        </w:rPr>
        <w:t>בעיבוד</w:t>
      </w:r>
      <w:r w:rsidRPr="005E17DC">
        <w:rPr>
          <w:sz w:val="22"/>
          <w:szCs w:val="22"/>
          <w:rtl/>
        </w:rPr>
        <w:t xml:space="preserve"> </w:t>
      </w:r>
      <w:r w:rsidRPr="005E17DC">
        <w:rPr>
          <w:rFonts w:hint="eastAsia"/>
          <w:sz w:val="22"/>
          <w:szCs w:val="22"/>
          <w:rtl/>
        </w:rPr>
        <w:t>משרד</w:t>
      </w:r>
      <w:r w:rsidRPr="005E17DC">
        <w:rPr>
          <w:sz w:val="22"/>
          <w:szCs w:val="22"/>
          <w:rtl/>
        </w:rPr>
        <w:t xml:space="preserve"> </w:t>
      </w:r>
      <w:r w:rsidRPr="005E17DC">
        <w:rPr>
          <w:rFonts w:hint="eastAsia"/>
          <w:sz w:val="22"/>
          <w:szCs w:val="22"/>
          <w:rtl/>
        </w:rPr>
        <w:t>מבקר</w:t>
      </w:r>
      <w:r w:rsidRPr="005E17DC">
        <w:rPr>
          <w:sz w:val="22"/>
          <w:szCs w:val="22"/>
          <w:rtl/>
        </w:rPr>
        <w:t xml:space="preserve"> </w:t>
      </w:r>
      <w:r w:rsidRPr="005E17DC">
        <w:rPr>
          <w:rFonts w:hint="eastAsia"/>
          <w:sz w:val="22"/>
          <w:szCs w:val="22"/>
          <w:rtl/>
        </w:rPr>
        <w:t>המדינה</w:t>
      </w:r>
      <w:r w:rsidRPr="005E17DC">
        <w:rPr>
          <w:sz w:val="22"/>
          <w:szCs w:val="22"/>
          <w:rtl/>
        </w:rPr>
        <w:t>.</w:t>
      </w:r>
    </w:p>
    <w:p w:rsidR="005E17DC" w:rsidRPr="005E17DC" w:rsidP="00385106">
      <w:pPr>
        <w:spacing w:line="269" w:lineRule="auto"/>
        <w:ind w:left="-567"/>
        <w:rPr>
          <w:szCs w:val="20"/>
          <w:rtl/>
        </w:rPr>
      </w:pPr>
    </w:p>
    <w:p w:rsidR="005E17DC" w:rsidRPr="005E17DC" w:rsidP="00385106">
      <w:pPr>
        <w:spacing w:line="269" w:lineRule="auto"/>
        <w:rPr>
          <w:b/>
          <w:bCs/>
          <w:rtl/>
        </w:rPr>
      </w:pPr>
      <w:r w:rsidRPr="005E17DC">
        <w:rPr>
          <w:rFonts w:hint="eastAsia"/>
          <w:b/>
          <w:bCs/>
          <w:rtl/>
        </w:rPr>
        <w:t>מסתבר</w:t>
      </w:r>
      <w:r w:rsidRPr="005E17DC">
        <w:rPr>
          <w:b/>
          <w:bCs/>
          <w:rtl/>
        </w:rPr>
        <w:t xml:space="preserve"> </w:t>
      </w:r>
      <w:r w:rsidRPr="005E17DC">
        <w:rPr>
          <w:rFonts w:hint="eastAsia"/>
          <w:b/>
          <w:bCs/>
          <w:rtl/>
        </w:rPr>
        <w:t>אפוא</w:t>
      </w:r>
      <w:r w:rsidRPr="005E17DC">
        <w:rPr>
          <w:b/>
          <w:bCs/>
          <w:rtl/>
        </w:rPr>
        <w:t xml:space="preserve"> </w:t>
      </w:r>
      <w:r w:rsidRPr="005E17DC">
        <w:rPr>
          <w:rFonts w:hint="eastAsia"/>
          <w:b/>
          <w:bCs/>
          <w:rtl/>
        </w:rPr>
        <w:t>כי</w:t>
      </w:r>
      <w:r w:rsidRPr="005E17DC">
        <w:rPr>
          <w:b/>
          <w:bCs/>
          <w:rtl/>
        </w:rPr>
        <w:t xml:space="preserve"> </w:t>
      </w:r>
      <w:r w:rsidRPr="005E17DC">
        <w:rPr>
          <w:rFonts w:hint="eastAsia"/>
          <w:b/>
          <w:bCs/>
          <w:rtl/>
        </w:rPr>
        <w:t>התוכניות</w:t>
      </w:r>
      <w:r w:rsidRPr="005E17DC">
        <w:rPr>
          <w:b/>
          <w:bCs/>
          <w:rtl/>
        </w:rPr>
        <w:t xml:space="preserve"> שבתהליך מימוש יקטינו </w:t>
      </w:r>
      <w:r w:rsidRPr="005E17DC">
        <w:rPr>
          <w:rFonts w:hint="eastAsia"/>
          <w:b/>
          <w:bCs/>
          <w:rtl/>
        </w:rPr>
        <w:t>ב</w:t>
      </w:r>
      <w:r w:rsidRPr="005E17DC">
        <w:rPr>
          <w:b/>
          <w:bCs/>
          <w:rtl/>
        </w:rPr>
        <w:t xml:space="preserve">-6% </w:t>
      </w:r>
      <w:r w:rsidRPr="005E17DC">
        <w:rPr>
          <w:rFonts w:hint="eastAsia"/>
          <w:b/>
          <w:bCs/>
          <w:rtl/>
        </w:rPr>
        <w:t>את</w:t>
      </w:r>
      <w:r w:rsidRPr="005E17DC">
        <w:rPr>
          <w:b/>
          <w:bCs/>
          <w:rtl/>
        </w:rPr>
        <w:t xml:space="preserve"> </w:t>
      </w:r>
      <w:r w:rsidRPr="005E17DC">
        <w:rPr>
          <w:rFonts w:hint="eastAsia"/>
          <w:b/>
          <w:bCs/>
          <w:rtl/>
        </w:rPr>
        <w:t>שטחי</w:t>
      </w:r>
      <w:r w:rsidRPr="005E17DC">
        <w:rPr>
          <w:b/>
          <w:bCs/>
          <w:rtl/>
        </w:rPr>
        <w:t xml:space="preserve"> </w:t>
      </w:r>
      <w:r w:rsidRPr="005E17DC">
        <w:rPr>
          <w:rFonts w:hint="eastAsia"/>
          <w:b/>
          <w:bCs/>
          <w:rtl/>
        </w:rPr>
        <w:t>הארנונה</w:t>
      </w:r>
      <w:r w:rsidRPr="005E17DC">
        <w:rPr>
          <w:b/>
          <w:bCs/>
          <w:rtl/>
        </w:rPr>
        <w:t xml:space="preserve"> </w:t>
      </w:r>
      <w:r w:rsidRPr="005E17DC">
        <w:rPr>
          <w:rFonts w:hint="eastAsia"/>
          <w:b/>
          <w:bCs/>
          <w:rtl/>
        </w:rPr>
        <w:t>שאינם</w:t>
      </w:r>
      <w:r w:rsidRPr="005E17DC">
        <w:rPr>
          <w:b/>
          <w:bCs/>
          <w:rtl/>
        </w:rPr>
        <w:t xml:space="preserve"> </w:t>
      </w:r>
      <w:r w:rsidRPr="005E17DC">
        <w:rPr>
          <w:rFonts w:hint="eastAsia"/>
          <w:b/>
          <w:bCs/>
          <w:rtl/>
        </w:rPr>
        <w:t>למגורים</w:t>
      </w:r>
      <w:r w:rsidRPr="005E17DC">
        <w:rPr>
          <w:b/>
          <w:bCs/>
          <w:rtl/>
        </w:rPr>
        <w:t xml:space="preserve">, מ-55% ל-49%. </w:t>
      </w:r>
      <w:r w:rsidRPr="005E17DC">
        <w:rPr>
          <w:rFonts w:hint="eastAsia"/>
          <w:b/>
          <w:bCs/>
          <w:rtl/>
        </w:rPr>
        <w:t>ירידה</w:t>
      </w:r>
      <w:r w:rsidRPr="005E17DC">
        <w:rPr>
          <w:b/>
          <w:bCs/>
          <w:rtl/>
        </w:rPr>
        <w:t xml:space="preserve"> </w:t>
      </w:r>
      <w:r w:rsidRPr="005E17DC">
        <w:rPr>
          <w:rFonts w:hint="eastAsia"/>
          <w:b/>
          <w:bCs/>
          <w:rtl/>
        </w:rPr>
        <w:t>בחיוב</w:t>
      </w:r>
      <w:r w:rsidRPr="005E17DC">
        <w:rPr>
          <w:b/>
          <w:bCs/>
          <w:rtl/>
        </w:rPr>
        <w:t xml:space="preserve"> </w:t>
      </w:r>
      <w:r w:rsidRPr="005E17DC">
        <w:rPr>
          <w:rFonts w:hint="eastAsia"/>
          <w:b/>
          <w:bCs/>
          <w:rtl/>
        </w:rPr>
        <w:t>הארנונה</w:t>
      </w:r>
      <w:r w:rsidRPr="005E17DC">
        <w:rPr>
          <w:b/>
          <w:bCs/>
          <w:rtl/>
        </w:rPr>
        <w:t xml:space="preserve"> </w:t>
      </w:r>
      <w:r w:rsidRPr="005E17DC">
        <w:rPr>
          <w:rFonts w:hint="eastAsia"/>
          <w:b/>
          <w:bCs/>
          <w:rtl/>
        </w:rPr>
        <w:t>שלא</w:t>
      </w:r>
      <w:r w:rsidRPr="005E17DC">
        <w:rPr>
          <w:b/>
          <w:bCs/>
          <w:rtl/>
        </w:rPr>
        <w:t xml:space="preserve"> </w:t>
      </w:r>
      <w:r w:rsidRPr="005E17DC">
        <w:rPr>
          <w:rFonts w:hint="eastAsia"/>
          <w:b/>
          <w:bCs/>
          <w:rtl/>
        </w:rPr>
        <w:t>למגורים</w:t>
      </w:r>
      <w:r w:rsidRPr="005E17DC">
        <w:rPr>
          <w:b/>
          <w:bCs/>
          <w:rtl/>
        </w:rPr>
        <w:t xml:space="preserve"> </w:t>
      </w:r>
      <w:r w:rsidRPr="005E17DC">
        <w:rPr>
          <w:rFonts w:hint="eastAsia"/>
          <w:b/>
          <w:bCs/>
          <w:rtl/>
        </w:rPr>
        <w:t>והצורך</w:t>
      </w:r>
      <w:r w:rsidRPr="005E17DC">
        <w:rPr>
          <w:b/>
          <w:bCs/>
          <w:rtl/>
        </w:rPr>
        <w:t xml:space="preserve"> </w:t>
      </w:r>
      <w:r w:rsidRPr="005E17DC">
        <w:rPr>
          <w:rFonts w:hint="eastAsia"/>
          <w:b/>
          <w:bCs/>
          <w:rtl/>
        </w:rPr>
        <w:t>לספק</w:t>
      </w:r>
      <w:r w:rsidRPr="005E17DC">
        <w:rPr>
          <w:b/>
          <w:bCs/>
          <w:rtl/>
        </w:rPr>
        <w:t xml:space="preserve"> </w:t>
      </w:r>
      <w:r w:rsidRPr="005E17DC">
        <w:rPr>
          <w:rFonts w:hint="eastAsia"/>
          <w:b/>
          <w:bCs/>
          <w:rtl/>
        </w:rPr>
        <w:t>לתושבים</w:t>
      </w:r>
      <w:r w:rsidRPr="005E17DC">
        <w:rPr>
          <w:b/>
          <w:bCs/>
          <w:rtl/>
        </w:rPr>
        <w:t xml:space="preserve"> </w:t>
      </w:r>
      <w:r w:rsidRPr="005E17DC">
        <w:rPr>
          <w:rFonts w:hint="eastAsia"/>
          <w:b/>
          <w:bCs/>
          <w:rtl/>
        </w:rPr>
        <w:t>החדשים</w:t>
      </w:r>
      <w:r w:rsidRPr="005E17DC">
        <w:rPr>
          <w:b/>
          <w:bCs/>
          <w:rtl/>
        </w:rPr>
        <w:t xml:space="preserve"> </w:t>
      </w:r>
      <w:r w:rsidRPr="005E17DC">
        <w:rPr>
          <w:rFonts w:hint="eastAsia"/>
          <w:b/>
          <w:bCs/>
          <w:rtl/>
        </w:rPr>
        <w:t>שירותים</w:t>
      </w:r>
      <w:r w:rsidRPr="005E17DC">
        <w:rPr>
          <w:b/>
          <w:bCs/>
          <w:rtl/>
        </w:rPr>
        <w:t xml:space="preserve"> </w:t>
      </w:r>
      <w:r w:rsidRPr="005E17DC">
        <w:rPr>
          <w:rFonts w:hint="eastAsia"/>
          <w:b/>
          <w:bCs/>
          <w:rtl/>
        </w:rPr>
        <w:t>מוניציפליים</w:t>
      </w:r>
      <w:r w:rsidRPr="005E17DC">
        <w:rPr>
          <w:b/>
          <w:bCs/>
          <w:rtl/>
        </w:rPr>
        <w:t xml:space="preserve"> </w:t>
      </w:r>
      <w:r w:rsidRPr="005E17DC">
        <w:rPr>
          <w:rFonts w:hint="eastAsia"/>
          <w:b/>
          <w:bCs/>
          <w:rtl/>
        </w:rPr>
        <w:t>עלולים</w:t>
      </w:r>
      <w:r w:rsidRPr="005E17DC">
        <w:rPr>
          <w:b/>
          <w:bCs/>
          <w:rtl/>
        </w:rPr>
        <w:t xml:space="preserve"> </w:t>
      </w:r>
      <w:r w:rsidRPr="005E17DC">
        <w:rPr>
          <w:rFonts w:hint="eastAsia"/>
          <w:b/>
          <w:bCs/>
          <w:rtl/>
        </w:rPr>
        <w:t>להביא</w:t>
      </w:r>
      <w:r w:rsidRPr="005E17DC">
        <w:rPr>
          <w:b/>
          <w:bCs/>
          <w:rtl/>
        </w:rPr>
        <w:t xml:space="preserve"> </w:t>
      </w:r>
      <w:r w:rsidRPr="005E17DC">
        <w:rPr>
          <w:rFonts w:hint="eastAsia"/>
          <w:b/>
          <w:bCs/>
          <w:rtl/>
        </w:rPr>
        <w:t>לידי</w:t>
      </w:r>
      <w:r w:rsidRPr="005E17DC">
        <w:rPr>
          <w:b/>
          <w:bCs/>
          <w:rtl/>
        </w:rPr>
        <w:t xml:space="preserve"> </w:t>
      </w:r>
      <w:r w:rsidRPr="005E17DC">
        <w:rPr>
          <w:rFonts w:hint="eastAsia"/>
          <w:b/>
          <w:bCs/>
          <w:rtl/>
        </w:rPr>
        <w:t>גירעון</w:t>
      </w:r>
      <w:r w:rsidRPr="005E17DC">
        <w:rPr>
          <w:b/>
          <w:bCs/>
          <w:rtl/>
        </w:rPr>
        <w:t xml:space="preserve"> </w:t>
      </w:r>
      <w:r w:rsidRPr="005E17DC">
        <w:rPr>
          <w:rFonts w:hint="eastAsia"/>
          <w:b/>
          <w:bCs/>
          <w:rtl/>
        </w:rPr>
        <w:t>בתקציבה</w:t>
      </w:r>
      <w:r w:rsidRPr="005E17DC">
        <w:rPr>
          <w:b/>
          <w:bCs/>
          <w:rtl/>
        </w:rPr>
        <w:t xml:space="preserve"> </w:t>
      </w:r>
      <w:r w:rsidRPr="005E17DC">
        <w:rPr>
          <w:rFonts w:hint="eastAsia"/>
          <w:b/>
          <w:bCs/>
          <w:rtl/>
        </w:rPr>
        <w:t>השוטף</w:t>
      </w:r>
      <w:r w:rsidRPr="005E17DC">
        <w:rPr>
          <w:b/>
          <w:bCs/>
          <w:rtl/>
        </w:rPr>
        <w:t xml:space="preserve"> </w:t>
      </w:r>
      <w:r w:rsidRPr="005E17DC">
        <w:rPr>
          <w:rFonts w:hint="eastAsia"/>
          <w:b/>
          <w:bCs/>
          <w:rtl/>
        </w:rPr>
        <w:t>של</w:t>
      </w:r>
      <w:r w:rsidRPr="005E17DC">
        <w:rPr>
          <w:b/>
          <w:bCs/>
          <w:rtl/>
        </w:rPr>
        <w:t xml:space="preserve"> </w:t>
      </w:r>
      <w:r w:rsidRPr="005E17DC">
        <w:rPr>
          <w:rFonts w:hint="eastAsia"/>
          <w:b/>
          <w:bCs/>
          <w:rtl/>
        </w:rPr>
        <w:t>העירייה</w:t>
      </w:r>
      <w:r w:rsidRPr="005E17DC">
        <w:rPr>
          <w:b/>
          <w:bCs/>
          <w:rtl/>
        </w:rPr>
        <w:t xml:space="preserve">. </w:t>
      </w:r>
      <w:r w:rsidRPr="005E17DC">
        <w:rPr>
          <w:rFonts w:hint="eastAsia"/>
          <w:b/>
          <w:bCs/>
          <w:rtl/>
        </w:rPr>
        <w:t>יישומן</w:t>
      </w:r>
      <w:r w:rsidRPr="005E17DC">
        <w:rPr>
          <w:b/>
          <w:bCs/>
          <w:rtl/>
        </w:rPr>
        <w:t xml:space="preserve"> </w:t>
      </w:r>
      <w:r w:rsidRPr="005E17DC">
        <w:rPr>
          <w:rFonts w:hint="eastAsia"/>
          <w:b/>
          <w:bCs/>
          <w:rtl/>
        </w:rPr>
        <w:t>של</w:t>
      </w:r>
      <w:r w:rsidRPr="005E17DC">
        <w:rPr>
          <w:b/>
          <w:bCs/>
          <w:rtl/>
        </w:rPr>
        <w:t xml:space="preserve"> </w:t>
      </w:r>
      <w:r w:rsidRPr="005E17DC">
        <w:rPr>
          <w:rFonts w:hint="eastAsia"/>
          <w:b/>
          <w:bCs/>
          <w:rtl/>
        </w:rPr>
        <w:t>תוכניות</w:t>
      </w:r>
      <w:r w:rsidRPr="005E17DC">
        <w:rPr>
          <w:b/>
          <w:bCs/>
          <w:rtl/>
        </w:rPr>
        <w:t xml:space="preserve"> הפיתוח </w:t>
      </w:r>
      <w:r w:rsidRPr="005E17DC">
        <w:rPr>
          <w:rFonts w:hint="eastAsia"/>
          <w:b/>
          <w:bCs/>
          <w:rtl/>
        </w:rPr>
        <w:t>כולן</w:t>
      </w:r>
      <w:r w:rsidRPr="005E17DC">
        <w:rPr>
          <w:b/>
          <w:bCs/>
          <w:rtl/>
        </w:rPr>
        <w:t xml:space="preserve"> </w:t>
      </w:r>
      <w:r w:rsidRPr="005E17DC">
        <w:rPr>
          <w:rFonts w:hint="eastAsia"/>
          <w:b/>
          <w:bCs/>
          <w:rtl/>
        </w:rPr>
        <w:t>עלול</w:t>
      </w:r>
      <w:r w:rsidRPr="005E17DC">
        <w:rPr>
          <w:b/>
          <w:bCs/>
          <w:rtl/>
        </w:rPr>
        <w:t xml:space="preserve"> </w:t>
      </w:r>
      <w:r w:rsidRPr="005E17DC">
        <w:rPr>
          <w:rFonts w:hint="eastAsia"/>
          <w:b/>
          <w:bCs/>
          <w:rtl/>
        </w:rPr>
        <w:t>להקטין</w:t>
      </w:r>
      <w:r w:rsidRPr="005E17DC">
        <w:rPr>
          <w:b/>
          <w:bCs/>
          <w:rtl/>
        </w:rPr>
        <w:t xml:space="preserve"> </w:t>
      </w:r>
      <w:r w:rsidRPr="005E17DC">
        <w:rPr>
          <w:rFonts w:hint="eastAsia"/>
          <w:b/>
          <w:bCs/>
          <w:rtl/>
        </w:rPr>
        <w:t>שיעור</w:t>
      </w:r>
      <w:r w:rsidRPr="005E17DC">
        <w:rPr>
          <w:b/>
          <w:bCs/>
          <w:rtl/>
        </w:rPr>
        <w:t xml:space="preserve"> </w:t>
      </w:r>
      <w:r w:rsidRPr="005E17DC">
        <w:rPr>
          <w:rFonts w:hint="eastAsia"/>
          <w:b/>
          <w:bCs/>
          <w:rtl/>
        </w:rPr>
        <w:t>זה</w:t>
      </w:r>
      <w:r w:rsidRPr="005E17DC">
        <w:rPr>
          <w:b/>
          <w:bCs/>
          <w:rtl/>
        </w:rPr>
        <w:t xml:space="preserve"> </w:t>
      </w:r>
      <w:r w:rsidRPr="005E17DC">
        <w:rPr>
          <w:rFonts w:hint="eastAsia"/>
          <w:b/>
          <w:bCs/>
          <w:rtl/>
        </w:rPr>
        <w:t>ל</w:t>
      </w:r>
      <w:r w:rsidRPr="005E17DC">
        <w:rPr>
          <w:b/>
          <w:bCs/>
          <w:rtl/>
        </w:rPr>
        <w:t xml:space="preserve">-37%. </w:t>
      </w:r>
      <w:r w:rsidRPr="005E17DC">
        <w:rPr>
          <w:rFonts w:hint="eastAsia"/>
          <w:b/>
          <w:bCs/>
          <w:rtl/>
        </w:rPr>
        <w:t>ואולם</w:t>
      </w:r>
      <w:r w:rsidRPr="005E17DC">
        <w:rPr>
          <w:b/>
          <w:bCs/>
          <w:rtl/>
        </w:rPr>
        <w:t xml:space="preserve"> יש לציין כי </w:t>
      </w:r>
      <w:r w:rsidRPr="005E17DC">
        <w:rPr>
          <w:rFonts w:hint="eastAsia"/>
          <w:b/>
          <w:bCs/>
          <w:rtl/>
        </w:rPr>
        <w:t>מדובר</w:t>
      </w:r>
      <w:r w:rsidRPr="005E17DC">
        <w:rPr>
          <w:b/>
          <w:bCs/>
          <w:rtl/>
        </w:rPr>
        <w:t xml:space="preserve"> </w:t>
      </w:r>
      <w:r w:rsidRPr="005E17DC">
        <w:rPr>
          <w:rFonts w:hint="eastAsia"/>
          <w:b/>
          <w:bCs/>
          <w:rtl/>
        </w:rPr>
        <w:t>בתוכניות</w:t>
      </w:r>
      <w:r w:rsidRPr="005E17DC">
        <w:rPr>
          <w:b/>
          <w:bCs/>
          <w:rtl/>
        </w:rPr>
        <w:t xml:space="preserve"> </w:t>
      </w:r>
      <w:r w:rsidRPr="005E17DC">
        <w:rPr>
          <w:rFonts w:hint="eastAsia"/>
          <w:b/>
          <w:bCs/>
          <w:rtl/>
        </w:rPr>
        <w:t>לטווח</w:t>
      </w:r>
      <w:r w:rsidRPr="005E17DC">
        <w:rPr>
          <w:b/>
          <w:bCs/>
          <w:rtl/>
        </w:rPr>
        <w:t xml:space="preserve"> </w:t>
      </w:r>
      <w:r w:rsidRPr="005E17DC">
        <w:rPr>
          <w:rFonts w:hint="eastAsia"/>
          <w:b/>
          <w:bCs/>
          <w:rtl/>
        </w:rPr>
        <w:t>ארוך</w:t>
      </w:r>
      <w:r w:rsidRPr="005E17DC">
        <w:rPr>
          <w:b/>
          <w:bCs/>
          <w:rtl/>
        </w:rPr>
        <w:t xml:space="preserve"> </w:t>
      </w:r>
      <w:r w:rsidRPr="005E17DC">
        <w:rPr>
          <w:rFonts w:hint="eastAsia"/>
          <w:b/>
          <w:bCs/>
          <w:rtl/>
        </w:rPr>
        <w:t>שאין</w:t>
      </w:r>
      <w:r w:rsidRPr="005E17DC">
        <w:rPr>
          <w:b/>
          <w:bCs/>
          <w:rtl/>
        </w:rPr>
        <w:t xml:space="preserve"> </w:t>
      </w:r>
      <w:r w:rsidRPr="005E17DC">
        <w:rPr>
          <w:rFonts w:hint="eastAsia"/>
          <w:b/>
          <w:bCs/>
          <w:rtl/>
        </w:rPr>
        <w:t>ידוע</w:t>
      </w:r>
      <w:r w:rsidRPr="005E17DC">
        <w:rPr>
          <w:b/>
          <w:bCs/>
          <w:rtl/>
        </w:rPr>
        <w:t xml:space="preserve"> </w:t>
      </w:r>
      <w:r w:rsidRPr="005E17DC">
        <w:rPr>
          <w:rFonts w:hint="eastAsia"/>
          <w:b/>
          <w:bCs/>
          <w:rtl/>
        </w:rPr>
        <w:t>אם</w:t>
      </w:r>
      <w:r w:rsidRPr="005E17DC">
        <w:rPr>
          <w:b/>
          <w:bCs/>
          <w:rtl/>
        </w:rPr>
        <w:t xml:space="preserve"> </w:t>
      </w:r>
      <w:r w:rsidRPr="005E17DC">
        <w:rPr>
          <w:rFonts w:hint="eastAsia"/>
          <w:b/>
          <w:bCs/>
          <w:rtl/>
        </w:rPr>
        <w:t>יתממשו</w:t>
      </w:r>
      <w:r w:rsidRPr="005E17DC">
        <w:rPr>
          <w:b/>
          <w:bCs/>
          <w:rtl/>
        </w:rPr>
        <w:t xml:space="preserve"> </w:t>
      </w:r>
      <w:r w:rsidRPr="005E17DC">
        <w:rPr>
          <w:rFonts w:hint="eastAsia"/>
          <w:b/>
          <w:bCs/>
          <w:rtl/>
        </w:rPr>
        <w:t>במלואן</w:t>
      </w:r>
      <w:r w:rsidRPr="005E17DC">
        <w:rPr>
          <w:b/>
          <w:bCs/>
          <w:rtl/>
        </w:rPr>
        <w:t xml:space="preserve"> </w:t>
      </w:r>
      <w:r w:rsidRPr="005E17DC">
        <w:rPr>
          <w:rFonts w:hint="eastAsia"/>
          <w:b/>
          <w:bCs/>
          <w:rtl/>
        </w:rPr>
        <w:t>ואין</w:t>
      </w:r>
      <w:r w:rsidRPr="005E17DC">
        <w:rPr>
          <w:b/>
          <w:bCs/>
          <w:rtl/>
        </w:rPr>
        <w:t xml:space="preserve"> </w:t>
      </w:r>
      <w:r w:rsidRPr="005E17DC">
        <w:rPr>
          <w:rFonts w:hint="eastAsia"/>
          <w:b/>
          <w:bCs/>
          <w:rtl/>
        </w:rPr>
        <w:t>יודעים</w:t>
      </w:r>
      <w:r w:rsidRPr="005E17DC">
        <w:rPr>
          <w:b/>
          <w:bCs/>
          <w:rtl/>
        </w:rPr>
        <w:t xml:space="preserve"> </w:t>
      </w:r>
      <w:r w:rsidRPr="005E17DC">
        <w:rPr>
          <w:rFonts w:hint="eastAsia"/>
          <w:b/>
          <w:bCs/>
          <w:rtl/>
        </w:rPr>
        <w:t>את</w:t>
      </w:r>
      <w:r w:rsidRPr="005E17DC">
        <w:rPr>
          <w:b/>
          <w:bCs/>
          <w:rtl/>
        </w:rPr>
        <w:t xml:space="preserve"> </w:t>
      </w:r>
      <w:r w:rsidRPr="005E17DC">
        <w:rPr>
          <w:rFonts w:hint="eastAsia"/>
          <w:b/>
          <w:bCs/>
          <w:rtl/>
        </w:rPr>
        <w:t>קצב</w:t>
      </w:r>
      <w:r w:rsidRPr="005E17DC">
        <w:rPr>
          <w:b/>
          <w:bCs/>
          <w:rtl/>
        </w:rPr>
        <w:t xml:space="preserve"> </w:t>
      </w:r>
      <w:r w:rsidRPr="005E17DC">
        <w:rPr>
          <w:rFonts w:hint="eastAsia"/>
          <w:b/>
          <w:bCs/>
          <w:rtl/>
        </w:rPr>
        <w:t>מימושן</w:t>
      </w:r>
      <w:r w:rsidRPr="005E17DC">
        <w:rPr>
          <w:b/>
          <w:bCs/>
          <w:rtl/>
        </w:rPr>
        <w:t>.</w:t>
      </w:r>
    </w:p>
    <w:p w:rsidR="005E17DC" w:rsidRPr="005E17DC" w:rsidP="00385106">
      <w:pPr>
        <w:spacing w:line="269" w:lineRule="auto"/>
        <w:rPr>
          <w:b/>
          <w:bCs/>
          <w:rtl/>
        </w:rPr>
      </w:pPr>
    </w:p>
    <w:p w:rsidR="005E17DC" w:rsidRPr="005E17DC" w:rsidP="00385106">
      <w:pPr>
        <w:keepNext/>
        <w:keepLines/>
        <w:spacing w:line="269" w:lineRule="auto"/>
        <w:outlineLvl w:val="4"/>
        <w:rPr>
          <w:rFonts w:eastAsiaTheme="majorEastAsia"/>
          <w:bCs/>
          <w:spacing w:val="40"/>
          <w:rtl/>
        </w:rPr>
      </w:pPr>
      <w:r w:rsidRPr="005E17DC">
        <w:rPr>
          <w:rFonts w:eastAsiaTheme="majorEastAsia" w:hint="cs"/>
          <w:bCs/>
          <w:spacing w:val="40"/>
          <w:rtl/>
        </w:rPr>
        <w:t>השפעת הפיתוח לפי הסכמי הגג</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Fonts w:hint="cs"/>
          <w:rtl/>
        </w:rPr>
        <w:t>משרד הפנים גיבש מודל כלכלי לבחינת השפעתו של הפיתוח המואץ של רשויות מקומיות במסגרת הסכמי הגג. המודל מתבסס על שלושה מדדים לחוסן כלכלי: שטחי התעסוקה לנפש, שיעור חיוב הארנונה שלא למגורים מכלל חיוב הארנונה, וחיוב הארנונה שלא למגורים לנפש. אמות המידה למדדים אלה הם מאפיינים של רשויות מאוזנות ואיתנות כלכלית. לפי חישובי משרד הפנים, על סמך הנחות לגבי קצב המימוש של התוכניות, בעוד חמש שנים צפויה ירידה בחוסן הכלכלי של עיריית רמלה ובהיקף המשאבים שיהיו לה לספק שירותים לתושב.</w:t>
      </w:r>
    </w:p>
    <w:p w:rsidR="005E17DC" w:rsidRPr="005E17DC" w:rsidP="00385106">
      <w:pPr>
        <w:spacing w:line="269" w:lineRule="auto"/>
        <w:ind w:left="-567"/>
        <w:rPr>
          <w:szCs w:val="20"/>
          <w:rtl/>
        </w:rPr>
      </w:pPr>
    </w:p>
    <w:p w:rsidR="005E17DC" w:rsidRPr="005E17DC" w:rsidP="00385106">
      <w:pPr>
        <w:spacing w:line="269" w:lineRule="auto"/>
        <w:rPr>
          <w:b/>
          <w:bCs/>
          <w:rtl/>
        </w:rPr>
      </w:pPr>
      <w:r w:rsidRPr="005E17DC">
        <w:rPr>
          <w:rFonts w:hint="cs"/>
          <w:b/>
          <w:bCs/>
          <w:rtl/>
        </w:rPr>
        <w:t>משרד מבקר המדינה ממליץ ל</w:t>
      </w:r>
      <w:r w:rsidRPr="005E17DC">
        <w:rPr>
          <w:rFonts w:hint="eastAsia"/>
          <w:b/>
          <w:bCs/>
          <w:rtl/>
        </w:rPr>
        <w:t>עיריית</w:t>
      </w:r>
      <w:r w:rsidRPr="005E17DC">
        <w:rPr>
          <w:b/>
          <w:bCs/>
          <w:rtl/>
        </w:rPr>
        <w:t xml:space="preserve"> רמלה לבחון את </w:t>
      </w:r>
      <w:r w:rsidRPr="005E17DC">
        <w:rPr>
          <w:rFonts w:hint="cs"/>
          <w:b/>
          <w:bCs/>
          <w:rtl/>
        </w:rPr>
        <w:t xml:space="preserve">ההשפעות הצפויות של </w:t>
      </w:r>
      <w:r w:rsidRPr="005E17DC">
        <w:rPr>
          <w:b/>
          <w:bCs/>
          <w:rtl/>
        </w:rPr>
        <w:t>ת</w:t>
      </w:r>
      <w:r w:rsidRPr="005E17DC">
        <w:rPr>
          <w:rFonts w:hint="cs"/>
          <w:b/>
          <w:bCs/>
          <w:rtl/>
        </w:rPr>
        <w:t>ו</w:t>
      </w:r>
      <w:r w:rsidRPr="005E17DC">
        <w:rPr>
          <w:b/>
          <w:bCs/>
          <w:rtl/>
        </w:rPr>
        <w:t>כניות</w:t>
      </w:r>
      <w:r w:rsidRPr="005E17DC">
        <w:rPr>
          <w:b/>
          <w:bCs/>
          <w:rtl/>
        </w:rPr>
        <w:t xml:space="preserve"> הפיתוח שלה</w:t>
      </w:r>
      <w:r w:rsidRPr="005E17DC">
        <w:rPr>
          <w:rFonts w:hint="cs"/>
          <w:b/>
          <w:bCs/>
          <w:rtl/>
        </w:rPr>
        <w:t xml:space="preserve"> על חוסנה הפיננסי ועל הכלכלה העירונית. מומלצים גם היערכות ארגונית לשינויים הצפויים בהיקף השירותים שיהיה עליה לתת ולפריסתם המרחבית, ועיצוב המנגנון העירוני בהתאם לצרכים החדשים.</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tl/>
        </w:rPr>
        <w:t>בתשובת</w:t>
      </w:r>
      <w:r w:rsidRPr="005E17DC">
        <w:rPr>
          <w:rFonts w:hint="cs"/>
          <w:rtl/>
        </w:rPr>
        <w:t>ה כתבה</w:t>
      </w:r>
      <w:r w:rsidRPr="005E17DC">
        <w:rPr>
          <w:rtl/>
        </w:rPr>
        <w:t xml:space="preserve"> העירייה כי </w:t>
      </w:r>
      <w:r w:rsidRPr="005E17DC">
        <w:rPr>
          <w:rFonts w:hint="cs"/>
          <w:rtl/>
        </w:rPr>
        <w:t>ביקשה מ</w:t>
      </w:r>
      <w:r w:rsidRPr="005E17DC">
        <w:rPr>
          <w:rtl/>
        </w:rPr>
        <w:t xml:space="preserve">משרד הפנים </w:t>
      </w:r>
      <w:r w:rsidRPr="005E17DC">
        <w:rPr>
          <w:rFonts w:hint="cs"/>
          <w:rtl/>
        </w:rPr>
        <w:t>שיוסיף לשטח שיפוטה, מן</w:t>
      </w:r>
      <w:r w:rsidRPr="005E17DC">
        <w:rPr>
          <w:rtl/>
        </w:rPr>
        <w:t xml:space="preserve"> המועצה האזורית גזר</w:t>
      </w:r>
      <w:r w:rsidRPr="005E17DC">
        <w:rPr>
          <w:rFonts w:hint="cs"/>
          <w:rtl/>
        </w:rPr>
        <w:t>,</w:t>
      </w:r>
      <w:r w:rsidRPr="005E17DC">
        <w:rPr>
          <w:rtl/>
        </w:rPr>
        <w:t xml:space="preserve"> שטחים נרחבים למסחר ולמגורים </w:t>
      </w:r>
      <w:r w:rsidRPr="005E17DC">
        <w:rPr>
          <w:rFonts w:hint="cs"/>
          <w:rtl/>
        </w:rPr>
        <w:t>אך</w:t>
      </w:r>
      <w:r w:rsidRPr="005E17DC">
        <w:rPr>
          <w:rtl/>
        </w:rPr>
        <w:t xml:space="preserve"> הנושא מוקפא בשל תקופת הבחירות. </w:t>
      </w:r>
      <w:r w:rsidRPr="005E17DC">
        <w:rPr>
          <w:rFonts w:hint="cs"/>
          <w:rtl/>
        </w:rPr>
        <w:t>עוד ציינה</w:t>
      </w:r>
      <w:r w:rsidRPr="005E17DC">
        <w:rPr>
          <w:rtl/>
        </w:rPr>
        <w:t xml:space="preserve"> העירייה כמה מהת</w:t>
      </w:r>
      <w:r w:rsidRPr="005E17DC">
        <w:rPr>
          <w:rFonts w:hint="cs"/>
          <w:rtl/>
        </w:rPr>
        <w:t>ו</w:t>
      </w:r>
      <w:r w:rsidRPr="005E17DC">
        <w:rPr>
          <w:rtl/>
        </w:rPr>
        <w:t>כניות שנכללו בסקירה לעיל</w:t>
      </w:r>
      <w:r w:rsidRPr="005E17DC">
        <w:rPr>
          <w:rFonts w:hint="cs"/>
          <w:rtl/>
        </w:rPr>
        <w:t xml:space="preserve">, </w:t>
      </w:r>
      <w:r w:rsidRPr="005E17DC">
        <w:rPr>
          <w:rFonts w:hint="cs"/>
          <w:rtl/>
        </w:rPr>
        <w:t>תוכניות</w:t>
      </w:r>
      <w:r w:rsidRPr="005E17DC">
        <w:rPr>
          <w:rFonts w:hint="cs"/>
          <w:rtl/>
        </w:rPr>
        <w:t xml:space="preserve"> שהיא פועלת לקידומן: תכנון של אזור תעשייה משותף לה ולרשויות סמוכות ששטחו כ-3,000 דונם ושטחי תעסוקה בקריית בריאות בעיר. </w:t>
      </w:r>
    </w:p>
    <w:p w:rsidR="005E17DC" w:rsidRPr="005E17DC" w:rsidP="00385106">
      <w:pPr>
        <w:spacing w:line="269" w:lineRule="auto"/>
        <w:ind w:left="-567"/>
        <w:rPr>
          <w:szCs w:val="20"/>
          <w:rtl/>
        </w:rPr>
      </w:pPr>
    </w:p>
    <w:p w:rsidR="005E17DC" w:rsidP="00385106">
      <w:pPr>
        <w:spacing w:line="269" w:lineRule="auto"/>
        <w:rPr>
          <w:rtl/>
        </w:rPr>
      </w:pPr>
      <w:r w:rsidRPr="005E17DC">
        <w:rPr>
          <w:rFonts w:hint="cs"/>
          <w:rtl/>
        </w:rPr>
        <w:t xml:space="preserve">משרד הפנים השיב כי הגם שהמשרד אינו שותף להסכמי הגג, הוא יזם מחקר בנושא, הכולל גם הצעה להפעלת כלים יישומיים להתמודדות עם הפיתוח המואץ. זאת ועוד, </w:t>
      </w:r>
      <w:r w:rsidRPr="005E17DC">
        <w:rPr>
          <w:rFonts w:hint="cs"/>
          <w:rtl/>
        </w:rPr>
        <w:t>מינהל</w:t>
      </w:r>
      <w:r w:rsidRPr="005E17DC">
        <w:rPr>
          <w:rFonts w:hint="cs"/>
          <w:rtl/>
        </w:rPr>
        <w:t xml:space="preserve"> הפיתוח במשרד הפנים הציע לרשויות המקומיות את עזרתו המקצועית ויש רשויות שכבר קיבלו ניתוח מעמיק של מצבן והצעות לכיווני פעולה - ורמלה תוזמן בקרוב לקבלת סיוע דומה. יתר על כן, כרשות המתמודדת עם בעיות מורכבות, רמלה מקבלת סיוע בתחום </w:t>
      </w:r>
      <w:r w:rsidR="009309E8">
        <w:rPr>
          <w:rFonts w:hint="cs"/>
          <w:rtl/>
        </w:rPr>
        <w:t>ההון האנושי</w:t>
      </w:r>
      <w:r w:rsidRPr="005E17DC">
        <w:rPr>
          <w:rFonts w:hint="cs"/>
          <w:rtl/>
        </w:rPr>
        <w:t xml:space="preserve"> וההיערכות הארגונית: </w:t>
      </w:r>
      <w:r w:rsidRPr="005E17DC">
        <w:rPr>
          <w:rFonts w:hint="cs"/>
          <w:rtl/>
        </w:rPr>
        <w:t>משרד הפנים מרכז מאמץ לחיזוקה והקצה כ-600 אלף ש"ח לפעולות של היערכות הקשורות בדיור המואץ.</w:t>
      </w:r>
    </w:p>
    <w:p w:rsidR="00385106" w:rsidRPr="005E17DC" w:rsidP="00385106">
      <w:pPr>
        <w:spacing w:line="269" w:lineRule="auto"/>
        <w:rPr>
          <w:rtl/>
        </w:rPr>
      </w:pPr>
    </w:p>
    <w:p w:rsidR="005E17DC" w:rsidRPr="005E17DC" w:rsidP="00385106">
      <w:pPr>
        <w:keepNext/>
        <w:keepLines/>
        <w:spacing w:line="269" w:lineRule="auto"/>
        <w:outlineLvl w:val="3"/>
        <w:rPr>
          <w:rFonts w:eastAsiaTheme="majorEastAsia"/>
          <w:bCs/>
          <w:szCs w:val="26"/>
          <w:rtl/>
        </w:rPr>
      </w:pPr>
      <w:r w:rsidRPr="005E17DC">
        <w:rPr>
          <w:rFonts w:eastAsiaTheme="majorEastAsia" w:hint="eastAsia"/>
          <w:bCs/>
          <w:szCs w:val="26"/>
          <w:rtl/>
        </w:rPr>
        <w:t>תמהיל</w:t>
      </w:r>
      <w:r w:rsidRPr="005E17DC">
        <w:rPr>
          <w:rFonts w:eastAsiaTheme="majorEastAsia"/>
          <w:bCs/>
          <w:szCs w:val="26"/>
          <w:rtl/>
        </w:rPr>
        <w:t xml:space="preserve"> </w:t>
      </w:r>
      <w:r w:rsidRPr="005E17DC">
        <w:rPr>
          <w:rFonts w:eastAsiaTheme="majorEastAsia" w:hint="eastAsia"/>
          <w:bCs/>
          <w:szCs w:val="26"/>
          <w:rtl/>
        </w:rPr>
        <w:t>שימושי</w:t>
      </w:r>
      <w:r w:rsidRPr="005E17DC">
        <w:rPr>
          <w:rFonts w:eastAsiaTheme="majorEastAsia"/>
          <w:bCs/>
          <w:szCs w:val="26"/>
          <w:rtl/>
        </w:rPr>
        <w:t xml:space="preserve"> </w:t>
      </w:r>
      <w:r w:rsidRPr="005E17DC">
        <w:rPr>
          <w:rFonts w:eastAsiaTheme="majorEastAsia" w:hint="eastAsia"/>
          <w:bCs/>
          <w:szCs w:val="26"/>
          <w:rtl/>
        </w:rPr>
        <w:t>קרקע</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Fonts w:hint="cs"/>
          <w:rtl/>
        </w:rPr>
        <w:t xml:space="preserve">את שטח העיר אפשר לסווג לפי השימוש בו. נוסף על הנתונים שהוצגו לעיל יובאו להלן נתונים משלימים של </w:t>
      </w:r>
      <w:r w:rsidRPr="005E17DC">
        <w:rPr>
          <w:rFonts w:hint="cs"/>
          <w:rtl/>
        </w:rPr>
        <w:t>הלמ"ס</w:t>
      </w:r>
      <w:r>
        <w:rPr>
          <w:vertAlign w:val="superscript"/>
          <w:rtl/>
        </w:rPr>
        <w:footnoteReference w:id="31"/>
      </w:r>
      <w:r w:rsidRPr="005E17DC">
        <w:rPr>
          <w:rFonts w:hint="cs"/>
          <w:rtl/>
        </w:rPr>
        <w:t xml:space="preserve"> על תמהיל שימושי הקרקעות המיועדות למגורים, למסחר ומשרדים ולתעשייה, מבני ציבור, שטח פתוח</w:t>
      </w:r>
      <w:r>
        <w:rPr>
          <w:vertAlign w:val="superscript"/>
          <w:rtl/>
        </w:rPr>
        <w:footnoteReference w:id="32"/>
      </w:r>
      <w:r w:rsidRPr="005E17DC">
        <w:rPr>
          <w:rFonts w:hint="cs"/>
          <w:rtl/>
        </w:rPr>
        <w:t xml:space="preserve"> ואחר</w:t>
      </w:r>
      <w:r>
        <w:rPr>
          <w:vertAlign w:val="superscript"/>
          <w:rtl/>
        </w:rPr>
        <w:footnoteReference w:id="33"/>
      </w:r>
      <w:r w:rsidRPr="005E17DC">
        <w:rPr>
          <w:rFonts w:hint="cs"/>
          <w:rtl/>
        </w:rPr>
        <w:t xml:space="preserve"> ברמלה, בכל הערים ובערים בינוניות. תמהיל זה משקף את אופי הפעילות הכלכלית בעיר ומצביע על פוטנציאל ההכנסות מארנונה.</w:t>
      </w:r>
    </w:p>
    <w:p w:rsidR="005E17DC" w:rsidRPr="005E17DC" w:rsidP="00385106">
      <w:pPr>
        <w:spacing w:line="269" w:lineRule="auto"/>
        <w:ind w:left="-567"/>
        <w:rPr>
          <w:szCs w:val="20"/>
          <w:rtl/>
        </w:rPr>
      </w:pPr>
    </w:p>
    <w:p w:rsidR="005E17DC" w:rsidRPr="005E17DC" w:rsidP="00A67A80">
      <w:pPr>
        <w:spacing w:after="120" w:line="269" w:lineRule="auto"/>
        <w:jc w:val="center"/>
        <w:rPr>
          <w:b/>
          <w:bCs/>
          <w:rtl/>
        </w:rPr>
      </w:pPr>
      <w:r w:rsidRPr="005E17DC">
        <w:rPr>
          <w:rFonts w:hint="cs"/>
          <w:b/>
          <w:bCs/>
          <w:rtl/>
        </w:rPr>
        <w:t xml:space="preserve">תרשים 13: </w:t>
      </w:r>
      <w:r w:rsidRPr="005E17DC">
        <w:rPr>
          <w:b/>
          <w:bCs/>
          <w:rtl/>
        </w:rPr>
        <w:t xml:space="preserve">תמהיל </w:t>
      </w:r>
      <w:r w:rsidRPr="005E17DC">
        <w:rPr>
          <w:rFonts w:hint="eastAsia"/>
          <w:b/>
          <w:bCs/>
          <w:rtl/>
        </w:rPr>
        <w:t>שימושי</w:t>
      </w:r>
      <w:r w:rsidRPr="005E17DC">
        <w:rPr>
          <w:b/>
          <w:bCs/>
          <w:rtl/>
        </w:rPr>
        <w:t xml:space="preserve"> </w:t>
      </w:r>
      <w:r w:rsidRPr="005E17DC">
        <w:rPr>
          <w:rFonts w:hint="eastAsia"/>
          <w:b/>
          <w:bCs/>
          <w:rtl/>
        </w:rPr>
        <w:t>קרקע</w:t>
      </w:r>
      <w:r w:rsidRPr="005E17DC">
        <w:rPr>
          <w:b/>
          <w:bCs/>
          <w:rtl/>
        </w:rPr>
        <w:t xml:space="preserve"> </w:t>
      </w:r>
      <w:r w:rsidRPr="005E17DC">
        <w:rPr>
          <w:rFonts w:hint="eastAsia"/>
          <w:b/>
          <w:bCs/>
          <w:rtl/>
        </w:rPr>
        <w:t>ברמלה</w:t>
      </w:r>
      <w:r w:rsidRPr="005E17DC">
        <w:rPr>
          <w:b/>
          <w:bCs/>
          <w:rtl/>
        </w:rPr>
        <w:t xml:space="preserve">, </w:t>
      </w:r>
      <w:r w:rsidRPr="005E17DC">
        <w:rPr>
          <w:rFonts w:hint="cs"/>
          <w:b/>
          <w:bCs/>
          <w:rtl/>
        </w:rPr>
        <w:t>ב</w:t>
      </w:r>
      <w:r w:rsidRPr="005E17DC">
        <w:rPr>
          <w:rFonts w:hint="eastAsia"/>
          <w:b/>
          <w:bCs/>
          <w:rtl/>
        </w:rPr>
        <w:t>כלל</w:t>
      </w:r>
      <w:r w:rsidRPr="005E17DC">
        <w:rPr>
          <w:b/>
          <w:bCs/>
          <w:rtl/>
        </w:rPr>
        <w:t xml:space="preserve"> </w:t>
      </w:r>
      <w:r w:rsidRPr="005E17DC">
        <w:rPr>
          <w:rFonts w:hint="eastAsia"/>
          <w:b/>
          <w:bCs/>
          <w:rtl/>
        </w:rPr>
        <w:t>הערים</w:t>
      </w:r>
      <w:r w:rsidRPr="005E17DC">
        <w:rPr>
          <w:b/>
          <w:bCs/>
          <w:rtl/>
        </w:rPr>
        <w:t xml:space="preserve"> </w:t>
      </w:r>
      <w:r w:rsidRPr="005E17DC">
        <w:rPr>
          <w:rFonts w:hint="eastAsia"/>
          <w:b/>
          <w:bCs/>
          <w:rtl/>
        </w:rPr>
        <w:t>ו</w:t>
      </w:r>
      <w:r w:rsidRPr="005E17DC">
        <w:rPr>
          <w:rFonts w:hint="cs"/>
          <w:b/>
          <w:bCs/>
          <w:rtl/>
        </w:rPr>
        <w:t>ב</w:t>
      </w:r>
      <w:r w:rsidRPr="005E17DC">
        <w:rPr>
          <w:rFonts w:hint="eastAsia"/>
          <w:b/>
          <w:bCs/>
          <w:rtl/>
        </w:rPr>
        <w:t>ערים</w:t>
      </w:r>
      <w:r w:rsidRPr="005E17DC">
        <w:rPr>
          <w:rFonts w:hint="cs"/>
          <w:b/>
          <w:bCs/>
          <w:rtl/>
        </w:rPr>
        <w:t xml:space="preserve"> בינוניות, 2013</w:t>
      </w:r>
    </w:p>
    <w:p w:rsidR="005E17DC" w:rsidRPr="005E17DC" w:rsidP="00385106">
      <w:pPr>
        <w:spacing w:line="269" w:lineRule="auto"/>
        <w:jc w:val="center"/>
        <w:rPr>
          <w:b/>
          <w:bCs/>
          <w:rtl/>
        </w:rPr>
      </w:pPr>
      <w:r w:rsidRPr="005E17DC">
        <w:rPr>
          <w:noProof/>
        </w:rPr>
        <w:drawing>
          <wp:inline distT="0" distB="0" distL="0" distR="0">
            <wp:extent cx="5220335" cy="2621280"/>
            <wp:effectExtent l="0" t="0" r="0" b="762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034202" name=""/>
                    <pic:cNvPicPr/>
                  </pic:nvPicPr>
                  <pic:blipFill>
                    <a:blip xmlns:r="http://schemas.openxmlformats.org/officeDocument/2006/relationships" r:embed="rId19"/>
                    <a:stretch>
                      <a:fillRect/>
                    </a:stretch>
                  </pic:blipFill>
                  <pic:spPr>
                    <a:xfrm>
                      <a:off x="0" y="0"/>
                      <a:ext cx="5220335" cy="2621280"/>
                    </a:xfrm>
                    <a:prstGeom prst="rect">
                      <a:avLst/>
                    </a:prstGeom>
                  </pic:spPr>
                </pic:pic>
              </a:graphicData>
            </a:graphic>
          </wp:inline>
        </w:drawing>
      </w:r>
    </w:p>
    <w:p w:rsidR="005E17DC" w:rsidRPr="005E17DC" w:rsidP="00A67A80">
      <w:pPr>
        <w:spacing w:before="120" w:line="269" w:lineRule="auto"/>
        <w:rPr>
          <w:rtl/>
        </w:rPr>
      </w:pPr>
      <w:r w:rsidRPr="005E17DC">
        <w:rPr>
          <w:rFonts w:hint="cs"/>
          <w:sz w:val="22"/>
          <w:szCs w:val="22"/>
          <w:rtl/>
        </w:rPr>
        <w:t xml:space="preserve">המקור: </w:t>
      </w:r>
      <w:r w:rsidRPr="005E17DC">
        <w:rPr>
          <w:rFonts w:hint="cs"/>
          <w:sz w:val="22"/>
          <w:szCs w:val="22"/>
          <w:rtl/>
        </w:rPr>
        <w:t>הלמ"ס</w:t>
      </w:r>
      <w:r w:rsidRPr="005E17DC">
        <w:rPr>
          <w:rFonts w:hint="cs"/>
          <w:sz w:val="22"/>
          <w:szCs w:val="22"/>
          <w:rtl/>
        </w:rPr>
        <w:t xml:space="preserve">, קובץ רשויות </w:t>
      </w:r>
      <w:r w:rsidRPr="005E17DC">
        <w:rPr>
          <w:sz w:val="22"/>
          <w:szCs w:val="22"/>
          <w:rtl/>
        </w:rPr>
        <w:t>2017.</w:t>
      </w:r>
    </w:p>
    <w:p w:rsidR="005E17DC" w:rsidRPr="005E17DC" w:rsidP="00385106">
      <w:pPr>
        <w:spacing w:line="269" w:lineRule="auto"/>
        <w:ind w:left="-567"/>
        <w:rPr>
          <w:szCs w:val="20"/>
          <w:rtl/>
        </w:rPr>
      </w:pPr>
    </w:p>
    <w:p w:rsidR="005E17DC" w:rsidRPr="005E17DC" w:rsidP="00385106">
      <w:pPr>
        <w:spacing w:line="269" w:lineRule="auto"/>
        <w:rPr>
          <w:b/>
          <w:bCs/>
          <w:rtl/>
        </w:rPr>
      </w:pPr>
      <w:r w:rsidRPr="005E17DC">
        <w:rPr>
          <w:rFonts w:hint="cs"/>
          <w:b/>
          <w:bCs/>
          <w:rtl/>
        </w:rPr>
        <w:t xml:space="preserve">מהתרשים עולה </w:t>
      </w:r>
      <w:r w:rsidRPr="005E17DC">
        <w:rPr>
          <w:rFonts w:hint="eastAsia"/>
          <w:b/>
          <w:bCs/>
          <w:rtl/>
        </w:rPr>
        <w:t>כי</w:t>
      </w:r>
      <w:r w:rsidRPr="005E17DC">
        <w:rPr>
          <w:b/>
          <w:bCs/>
          <w:rtl/>
        </w:rPr>
        <w:t xml:space="preserve"> </w:t>
      </w:r>
      <w:r w:rsidRPr="005E17DC">
        <w:rPr>
          <w:rFonts w:hint="cs"/>
          <w:b/>
          <w:bCs/>
          <w:rtl/>
        </w:rPr>
        <w:t xml:space="preserve">נכון ל-2017 היקף שטחי הקרקע ברמלה המיועד למגורים כמו גם </w:t>
      </w:r>
      <w:r w:rsidRPr="005E17DC">
        <w:rPr>
          <w:rFonts w:hint="eastAsia"/>
          <w:b/>
          <w:bCs/>
          <w:rtl/>
        </w:rPr>
        <w:t>היקפם</w:t>
      </w:r>
      <w:r w:rsidRPr="005E17DC">
        <w:rPr>
          <w:b/>
          <w:bCs/>
          <w:rtl/>
        </w:rPr>
        <w:t xml:space="preserve"> </w:t>
      </w:r>
      <w:r w:rsidRPr="005E17DC">
        <w:rPr>
          <w:rFonts w:hint="eastAsia"/>
          <w:b/>
          <w:bCs/>
          <w:rtl/>
        </w:rPr>
        <w:t>של</w:t>
      </w:r>
      <w:r w:rsidRPr="005E17DC">
        <w:rPr>
          <w:b/>
          <w:bCs/>
          <w:rtl/>
        </w:rPr>
        <w:t xml:space="preserve"> שטחי ה</w:t>
      </w:r>
      <w:r w:rsidRPr="005E17DC">
        <w:rPr>
          <w:rFonts w:hint="eastAsia"/>
          <w:b/>
          <w:bCs/>
          <w:rtl/>
        </w:rPr>
        <w:t>קרקע</w:t>
      </w:r>
      <w:r w:rsidRPr="005E17DC">
        <w:rPr>
          <w:b/>
          <w:bCs/>
          <w:rtl/>
        </w:rPr>
        <w:t xml:space="preserve"> המיועדים לתעשייה, מסחר ומשרדים </w:t>
      </w:r>
      <w:r w:rsidRPr="005E17DC">
        <w:rPr>
          <w:rFonts w:hint="eastAsia"/>
          <w:b/>
          <w:bCs/>
          <w:rtl/>
        </w:rPr>
        <w:t>גבוה</w:t>
      </w:r>
      <w:r w:rsidRPr="005E17DC">
        <w:rPr>
          <w:b/>
          <w:bCs/>
          <w:rtl/>
        </w:rPr>
        <w:t xml:space="preserve"> </w:t>
      </w:r>
      <w:r w:rsidRPr="005E17DC">
        <w:rPr>
          <w:rFonts w:hint="eastAsia"/>
          <w:b/>
          <w:bCs/>
          <w:rtl/>
        </w:rPr>
        <w:t>מהממוצע</w:t>
      </w:r>
      <w:r w:rsidRPr="005E17DC">
        <w:rPr>
          <w:b/>
          <w:bCs/>
          <w:rtl/>
        </w:rPr>
        <w:t xml:space="preserve"> </w:t>
      </w:r>
      <w:r w:rsidRPr="005E17DC">
        <w:rPr>
          <w:rFonts w:hint="eastAsia"/>
          <w:b/>
          <w:bCs/>
          <w:rtl/>
        </w:rPr>
        <w:t>בכלל</w:t>
      </w:r>
      <w:r w:rsidRPr="005E17DC">
        <w:rPr>
          <w:b/>
          <w:bCs/>
          <w:rtl/>
        </w:rPr>
        <w:t xml:space="preserve"> הערים ובערים בינוניות</w:t>
      </w:r>
      <w:r w:rsidRPr="005E17DC">
        <w:rPr>
          <w:rFonts w:hint="cs"/>
          <w:b/>
          <w:bCs/>
          <w:rtl/>
        </w:rPr>
        <w:t>. עם זאת,</w:t>
      </w:r>
      <w:r w:rsidRPr="005E17DC">
        <w:rPr>
          <w:b/>
          <w:bCs/>
          <w:rtl/>
        </w:rPr>
        <w:t xml:space="preserve"> </w:t>
      </w:r>
      <w:r w:rsidRPr="005E17DC">
        <w:rPr>
          <w:rFonts w:hint="eastAsia"/>
          <w:b/>
          <w:bCs/>
          <w:rtl/>
        </w:rPr>
        <w:t>תוכניות</w:t>
      </w:r>
      <w:r w:rsidRPr="005E17DC">
        <w:rPr>
          <w:b/>
          <w:bCs/>
          <w:rtl/>
        </w:rPr>
        <w:t xml:space="preserve"> הפיתוח </w:t>
      </w:r>
      <w:r w:rsidRPr="005E17DC">
        <w:rPr>
          <w:rFonts w:hint="eastAsia"/>
          <w:b/>
          <w:bCs/>
          <w:rtl/>
        </w:rPr>
        <w:t>בה</w:t>
      </w:r>
      <w:r w:rsidRPr="005E17DC">
        <w:rPr>
          <w:b/>
          <w:bCs/>
          <w:rtl/>
        </w:rPr>
        <w:t xml:space="preserve"> </w:t>
      </w:r>
      <w:r w:rsidRPr="005E17DC">
        <w:rPr>
          <w:rFonts w:hint="eastAsia"/>
          <w:b/>
          <w:bCs/>
          <w:rtl/>
        </w:rPr>
        <w:t>מוטות</w:t>
      </w:r>
      <w:r w:rsidRPr="005E17DC">
        <w:rPr>
          <w:b/>
          <w:bCs/>
          <w:rtl/>
        </w:rPr>
        <w:t xml:space="preserve"> </w:t>
      </w:r>
      <w:r w:rsidRPr="005E17DC">
        <w:rPr>
          <w:rFonts w:hint="eastAsia"/>
          <w:b/>
          <w:bCs/>
          <w:rtl/>
        </w:rPr>
        <w:t>מאוד</w:t>
      </w:r>
      <w:r w:rsidRPr="005E17DC">
        <w:rPr>
          <w:b/>
          <w:bCs/>
          <w:rtl/>
        </w:rPr>
        <w:t xml:space="preserve"> לטובת </w:t>
      </w:r>
      <w:r w:rsidRPr="005E17DC">
        <w:rPr>
          <w:rFonts w:hint="eastAsia"/>
          <w:b/>
          <w:bCs/>
          <w:rtl/>
        </w:rPr>
        <w:t>מגורים</w:t>
      </w:r>
      <w:r w:rsidRPr="005E17DC">
        <w:rPr>
          <w:rFonts w:hint="cs"/>
          <w:b/>
          <w:bCs/>
          <w:rtl/>
        </w:rPr>
        <w:t>. ראוי כי עיריית רמלה תבחן דרכים לפיתוחן של הקרקעות המיועדות לתעשייה, למסחר ולמשרדים בשטח שיפוטה, באופן שיאפשר לה להתמודד עם האתגרים הפיננסים הצפויים לה בשל צמצום השטחים המחויבים בארנונה שאינה למגורים.</w:t>
      </w:r>
    </w:p>
    <w:p w:rsidR="005E17DC" w:rsidRPr="005E17DC" w:rsidP="00385106">
      <w:pPr>
        <w:bidi w:val="0"/>
        <w:spacing w:line="269" w:lineRule="auto"/>
        <w:rPr>
          <w:szCs w:val="20"/>
        </w:rPr>
      </w:pPr>
      <w:r w:rsidRPr="005E17DC">
        <w:rPr>
          <w:rtl/>
        </w:rPr>
        <w:br w:type="page"/>
      </w:r>
    </w:p>
    <w:p w:rsidR="005E17DC" w:rsidP="00385106">
      <w:pPr>
        <w:keepNext/>
        <w:keepLines/>
        <w:spacing w:line="269" w:lineRule="auto"/>
        <w:jc w:val="center"/>
        <w:outlineLvl w:val="1"/>
        <w:rPr>
          <w:rFonts w:eastAsiaTheme="majorEastAsia"/>
          <w:bCs/>
          <w:szCs w:val="32"/>
          <w:rtl/>
        </w:rPr>
      </w:pPr>
      <w:r w:rsidRPr="005E17DC">
        <w:rPr>
          <w:rFonts w:eastAsiaTheme="majorEastAsia" w:hint="cs"/>
          <w:bCs/>
          <w:szCs w:val="32"/>
          <w:rtl/>
        </w:rPr>
        <w:t>ניהול ההון האנושי בעירייה</w:t>
      </w:r>
    </w:p>
    <w:p w:rsidR="00A67A80" w:rsidRPr="005E17DC" w:rsidP="00A67A80">
      <w:pPr>
        <w:pStyle w:val="a"/>
        <w:rPr>
          <w:rtl/>
        </w:rPr>
      </w:pPr>
    </w:p>
    <w:p w:rsidR="005E17DC" w:rsidRPr="005E17DC" w:rsidP="00385106">
      <w:pPr>
        <w:keepNext/>
        <w:keepLines/>
        <w:spacing w:line="269" w:lineRule="auto"/>
        <w:outlineLvl w:val="2"/>
        <w:rPr>
          <w:rFonts w:eastAsiaTheme="majorEastAsia"/>
          <w:bCs/>
          <w:szCs w:val="28"/>
          <w:u w:val="single"/>
          <w:rtl/>
        </w:rPr>
      </w:pPr>
      <w:r w:rsidRPr="005E17DC">
        <w:rPr>
          <w:rFonts w:eastAsiaTheme="majorEastAsia" w:hint="cs"/>
          <w:bCs/>
          <w:szCs w:val="28"/>
          <w:u w:val="single"/>
          <w:rtl/>
        </w:rPr>
        <w:t>התשתית</w:t>
      </w:r>
    </w:p>
    <w:p w:rsidR="00A67A80" w:rsidP="00A67A80">
      <w:pPr>
        <w:pStyle w:val="a"/>
        <w:rPr>
          <w:rtl/>
        </w:rPr>
      </w:pPr>
    </w:p>
    <w:p w:rsidR="005E17DC" w:rsidRPr="005E17DC" w:rsidP="00385106">
      <w:pPr>
        <w:keepNext/>
        <w:keepLines/>
        <w:spacing w:line="269" w:lineRule="auto"/>
        <w:outlineLvl w:val="3"/>
        <w:rPr>
          <w:rFonts w:eastAsiaTheme="majorEastAsia"/>
          <w:bCs/>
          <w:szCs w:val="26"/>
          <w:rtl/>
        </w:rPr>
      </w:pPr>
      <w:r w:rsidRPr="005E17DC">
        <w:rPr>
          <w:rFonts w:eastAsiaTheme="majorEastAsia" w:hint="cs"/>
          <w:bCs/>
          <w:szCs w:val="26"/>
          <w:rtl/>
        </w:rPr>
        <w:t>רקע</w:t>
      </w:r>
    </w:p>
    <w:p w:rsidR="005E17DC" w:rsidRPr="005E17DC" w:rsidP="00385106">
      <w:pPr>
        <w:spacing w:line="269" w:lineRule="auto"/>
        <w:ind w:left="-567"/>
        <w:rPr>
          <w:szCs w:val="20"/>
          <w:rtl/>
        </w:rPr>
      </w:pPr>
    </w:p>
    <w:p w:rsidR="005E17DC" w:rsidRPr="005E17DC" w:rsidP="00385106">
      <w:pPr>
        <w:spacing w:line="269" w:lineRule="auto"/>
        <w:rPr>
          <w:rtl/>
        </w:rPr>
      </w:pPr>
      <w:r>
        <w:rPr>
          <w:rFonts w:hint="cs"/>
          <w:rtl/>
        </w:rPr>
        <w:t>ביו</w:t>
      </w:r>
      <w:bookmarkStart w:id="1" w:name="_GoBack"/>
      <w:bookmarkEnd w:id="1"/>
      <w:r w:rsidRPr="005E17DC">
        <w:rPr>
          <w:rFonts w:hint="cs"/>
          <w:rtl/>
        </w:rPr>
        <w:t xml:space="preserve">ני 2019 הועסקו בעיריית רמלה 1,460 עובדים - כמחציתם בתחום החינוך. בעשור האחרון חל </w:t>
      </w:r>
      <w:r>
        <w:rPr>
          <w:rFonts w:hint="cs"/>
          <w:rtl/>
        </w:rPr>
        <w:t>ש</w:t>
      </w:r>
      <w:r w:rsidRPr="005E17DC">
        <w:rPr>
          <w:rFonts w:hint="cs"/>
          <w:rtl/>
        </w:rPr>
        <w:t xml:space="preserve">נוי גדול במספר העובדים בעיריית רמלה, כמפורט להלן: </w:t>
      </w:r>
    </w:p>
    <w:p w:rsidR="005E17DC" w:rsidRPr="005E17DC" w:rsidP="00385106">
      <w:pPr>
        <w:spacing w:line="269" w:lineRule="auto"/>
        <w:ind w:left="-567"/>
        <w:rPr>
          <w:szCs w:val="20"/>
          <w:rtl/>
        </w:rPr>
      </w:pPr>
    </w:p>
    <w:p w:rsidR="005E17DC" w:rsidRPr="005E17DC" w:rsidP="00A67A80">
      <w:pPr>
        <w:spacing w:after="120" w:line="269" w:lineRule="auto"/>
        <w:jc w:val="center"/>
        <w:rPr>
          <w:b/>
          <w:bCs/>
          <w:rtl/>
        </w:rPr>
      </w:pPr>
      <w:r>
        <w:rPr>
          <w:rFonts w:hint="cs"/>
          <w:b/>
          <w:bCs/>
          <w:rtl/>
        </w:rPr>
        <w:t>לו</w:t>
      </w:r>
      <w:r w:rsidRPr="005E17DC">
        <w:rPr>
          <w:rFonts w:hint="cs"/>
          <w:b/>
          <w:bCs/>
          <w:rtl/>
        </w:rPr>
        <w:t xml:space="preserve">ח 3: </w:t>
      </w:r>
      <w:r w:rsidRPr="005E17DC">
        <w:rPr>
          <w:rFonts w:hint="eastAsia"/>
          <w:b/>
          <w:bCs/>
          <w:rtl/>
        </w:rPr>
        <w:t>נתונים</w:t>
      </w:r>
      <w:r w:rsidRPr="005E17DC">
        <w:rPr>
          <w:b/>
          <w:bCs/>
          <w:rtl/>
        </w:rPr>
        <w:t xml:space="preserve"> </w:t>
      </w:r>
      <w:r w:rsidRPr="005E17DC">
        <w:rPr>
          <w:rFonts w:hint="eastAsia"/>
          <w:b/>
          <w:bCs/>
          <w:rtl/>
        </w:rPr>
        <w:t>נבחרים</w:t>
      </w:r>
      <w:r w:rsidRPr="005E17DC">
        <w:rPr>
          <w:b/>
          <w:bCs/>
          <w:rtl/>
        </w:rPr>
        <w:t xml:space="preserve"> </w:t>
      </w:r>
      <w:r w:rsidRPr="005E17DC">
        <w:rPr>
          <w:rFonts w:hint="eastAsia"/>
          <w:b/>
          <w:bCs/>
          <w:rtl/>
        </w:rPr>
        <w:t>על</w:t>
      </w:r>
      <w:r w:rsidRPr="005E17DC">
        <w:rPr>
          <w:b/>
          <w:bCs/>
          <w:rtl/>
        </w:rPr>
        <w:t xml:space="preserve"> </w:t>
      </w:r>
      <w:r w:rsidR="009309E8">
        <w:rPr>
          <w:rFonts w:hint="eastAsia"/>
          <w:b/>
          <w:bCs/>
          <w:rtl/>
        </w:rPr>
        <w:t>ההון האנושי</w:t>
      </w:r>
      <w:r w:rsidRPr="005E17DC">
        <w:rPr>
          <w:b/>
          <w:bCs/>
          <w:rtl/>
        </w:rPr>
        <w:t xml:space="preserve"> </w:t>
      </w:r>
      <w:r w:rsidRPr="005E17DC">
        <w:rPr>
          <w:rFonts w:hint="cs"/>
          <w:b/>
          <w:bCs/>
          <w:rtl/>
        </w:rPr>
        <w:t xml:space="preserve">והוצאות שכר </w:t>
      </w:r>
      <w:r w:rsidRPr="005E17DC">
        <w:rPr>
          <w:rFonts w:hint="eastAsia"/>
          <w:b/>
          <w:bCs/>
          <w:rtl/>
        </w:rPr>
        <w:t>בעיריית</w:t>
      </w:r>
      <w:r w:rsidRPr="005E17DC">
        <w:rPr>
          <w:b/>
          <w:bCs/>
          <w:rtl/>
        </w:rPr>
        <w:t xml:space="preserve"> </w:t>
      </w:r>
      <w:r w:rsidRPr="005E17DC">
        <w:rPr>
          <w:rFonts w:hint="eastAsia"/>
          <w:b/>
          <w:bCs/>
          <w:rtl/>
        </w:rPr>
        <w:t>רמלה</w:t>
      </w:r>
      <w:r w:rsidRPr="005E17DC">
        <w:rPr>
          <w:rFonts w:hint="cs"/>
          <w:b/>
          <w:bCs/>
          <w:rtl/>
        </w:rPr>
        <w:t>,</w:t>
      </w:r>
      <w:r w:rsidRPr="005E17DC">
        <w:rPr>
          <w:b/>
          <w:bCs/>
          <w:rtl/>
        </w:rPr>
        <w:t xml:space="preserve"> </w:t>
      </w:r>
      <w:r w:rsidRPr="005E17DC">
        <w:rPr>
          <w:rFonts w:hint="eastAsia"/>
          <w:b/>
          <w:bCs/>
          <w:rtl/>
        </w:rPr>
        <w:t>בשנים</w:t>
      </w:r>
      <w:r w:rsidRPr="005E17DC">
        <w:rPr>
          <w:b/>
          <w:bCs/>
          <w:rtl/>
        </w:rPr>
        <w:t xml:space="preserve"> 2008,</w:t>
      </w:r>
      <w:r w:rsidRPr="005E17DC">
        <w:rPr>
          <w:rFonts w:hint="cs"/>
          <w:b/>
          <w:bCs/>
          <w:rtl/>
        </w:rPr>
        <w:t xml:space="preserve"> 2013, 2018 </w:t>
      </w:r>
    </w:p>
    <w:tbl>
      <w:tblPr>
        <w:tblStyle w:val="TableGrid"/>
        <w:bidiVisual/>
        <w:tblW w:w="8202" w:type="dxa"/>
        <w:tblInd w:w="438" w:type="dxa"/>
        <w:tblLook w:val="04A0"/>
      </w:tblPr>
      <w:tblGrid>
        <w:gridCol w:w="3285"/>
        <w:gridCol w:w="921"/>
        <w:gridCol w:w="921"/>
        <w:gridCol w:w="921"/>
        <w:gridCol w:w="1077"/>
        <w:gridCol w:w="1077"/>
      </w:tblGrid>
      <w:tr w:rsidTr="00385106">
        <w:tblPrEx>
          <w:tblW w:w="8202" w:type="dxa"/>
          <w:tblInd w:w="438" w:type="dxa"/>
          <w:tblLook w:val="04A0"/>
        </w:tblPrEx>
        <w:trPr>
          <w:trHeight w:val="375"/>
        </w:trPr>
        <w:tc>
          <w:tcPr>
            <w:tcW w:w="3285" w:type="dxa"/>
            <w:noWrap/>
            <w:vAlign w:val="bottom"/>
          </w:tcPr>
          <w:p w:rsidR="005E17DC" w:rsidRPr="00385106" w:rsidP="00385106">
            <w:pPr>
              <w:spacing w:line="269" w:lineRule="auto"/>
              <w:rPr>
                <w:b/>
                <w:bCs/>
                <w:szCs w:val="20"/>
                <w:rtl/>
              </w:rPr>
            </w:pPr>
          </w:p>
        </w:tc>
        <w:tc>
          <w:tcPr>
            <w:tcW w:w="921" w:type="dxa"/>
            <w:noWrap/>
            <w:vAlign w:val="bottom"/>
          </w:tcPr>
          <w:p w:rsidR="005E17DC" w:rsidRPr="00385106" w:rsidP="00385106">
            <w:pPr>
              <w:spacing w:line="269" w:lineRule="auto"/>
              <w:jc w:val="center"/>
              <w:rPr>
                <w:b/>
                <w:bCs/>
                <w:szCs w:val="20"/>
                <w:rtl/>
              </w:rPr>
            </w:pPr>
            <w:r w:rsidRPr="00385106">
              <w:rPr>
                <w:rFonts w:hint="cs"/>
                <w:b/>
                <w:bCs/>
                <w:szCs w:val="20"/>
                <w:rtl/>
              </w:rPr>
              <w:t>2008</w:t>
            </w:r>
          </w:p>
        </w:tc>
        <w:tc>
          <w:tcPr>
            <w:tcW w:w="921" w:type="dxa"/>
            <w:noWrap/>
            <w:vAlign w:val="bottom"/>
          </w:tcPr>
          <w:p w:rsidR="005E17DC" w:rsidRPr="00385106" w:rsidP="00385106">
            <w:pPr>
              <w:spacing w:line="269" w:lineRule="auto"/>
              <w:jc w:val="center"/>
              <w:rPr>
                <w:b/>
                <w:bCs/>
                <w:szCs w:val="20"/>
                <w:rtl/>
              </w:rPr>
            </w:pPr>
            <w:r w:rsidRPr="00385106">
              <w:rPr>
                <w:rFonts w:hint="cs"/>
                <w:b/>
                <w:bCs/>
                <w:szCs w:val="20"/>
                <w:rtl/>
              </w:rPr>
              <w:t>2013</w:t>
            </w:r>
          </w:p>
        </w:tc>
        <w:tc>
          <w:tcPr>
            <w:tcW w:w="921" w:type="dxa"/>
            <w:noWrap/>
            <w:vAlign w:val="bottom"/>
          </w:tcPr>
          <w:p w:rsidR="005E17DC" w:rsidRPr="00385106" w:rsidP="00385106">
            <w:pPr>
              <w:spacing w:line="269" w:lineRule="auto"/>
              <w:jc w:val="center"/>
              <w:rPr>
                <w:b/>
                <w:bCs/>
                <w:szCs w:val="20"/>
                <w:rtl/>
              </w:rPr>
            </w:pPr>
            <w:r w:rsidRPr="00385106">
              <w:rPr>
                <w:rFonts w:hint="cs"/>
                <w:b/>
                <w:bCs/>
                <w:szCs w:val="20"/>
                <w:rtl/>
              </w:rPr>
              <w:t>2018</w:t>
            </w:r>
          </w:p>
        </w:tc>
        <w:tc>
          <w:tcPr>
            <w:tcW w:w="1077" w:type="dxa"/>
            <w:vAlign w:val="bottom"/>
          </w:tcPr>
          <w:p w:rsidR="005E17DC" w:rsidRPr="00385106" w:rsidP="00385106">
            <w:pPr>
              <w:spacing w:line="269" w:lineRule="auto"/>
              <w:jc w:val="center"/>
              <w:rPr>
                <w:b/>
                <w:bCs/>
                <w:szCs w:val="20"/>
                <w:rtl/>
              </w:rPr>
            </w:pPr>
            <w:r w:rsidRPr="00385106">
              <w:rPr>
                <w:rFonts w:hint="cs"/>
                <w:b/>
                <w:bCs/>
                <w:szCs w:val="20"/>
                <w:rtl/>
              </w:rPr>
              <w:t>השינוי מ-2013 ל-2018</w:t>
            </w:r>
          </w:p>
        </w:tc>
        <w:tc>
          <w:tcPr>
            <w:tcW w:w="1077" w:type="dxa"/>
            <w:tcBorders>
              <w:bottom w:val="single" w:sz="4" w:space="0" w:color="auto"/>
            </w:tcBorders>
            <w:vAlign w:val="bottom"/>
          </w:tcPr>
          <w:p w:rsidR="005E17DC" w:rsidRPr="00385106" w:rsidP="00385106">
            <w:pPr>
              <w:spacing w:line="269" w:lineRule="auto"/>
              <w:jc w:val="center"/>
              <w:rPr>
                <w:b/>
                <w:bCs/>
                <w:szCs w:val="20"/>
                <w:rtl/>
              </w:rPr>
            </w:pPr>
            <w:r w:rsidRPr="00385106">
              <w:rPr>
                <w:rFonts w:hint="cs"/>
                <w:b/>
                <w:bCs/>
                <w:szCs w:val="20"/>
                <w:rtl/>
              </w:rPr>
              <w:t>השינוי מ-2008 ל-2018</w:t>
            </w:r>
          </w:p>
        </w:tc>
      </w:tr>
      <w:tr w:rsidTr="00385106">
        <w:tblPrEx>
          <w:tblW w:w="8202" w:type="dxa"/>
          <w:tblInd w:w="438" w:type="dxa"/>
          <w:tblLook w:val="04A0"/>
        </w:tblPrEx>
        <w:trPr>
          <w:trHeight w:val="375"/>
        </w:trPr>
        <w:tc>
          <w:tcPr>
            <w:tcW w:w="3285" w:type="dxa"/>
            <w:noWrap/>
            <w:vAlign w:val="bottom"/>
            <w:hideMark/>
          </w:tcPr>
          <w:p w:rsidR="005E17DC" w:rsidRPr="00385106" w:rsidP="00385106">
            <w:pPr>
              <w:spacing w:line="269" w:lineRule="auto"/>
              <w:rPr>
                <w:b/>
                <w:bCs/>
                <w:szCs w:val="20"/>
              </w:rPr>
            </w:pPr>
            <w:r w:rsidRPr="00385106">
              <w:rPr>
                <w:rFonts w:hint="cs"/>
                <w:b/>
                <w:bCs/>
                <w:szCs w:val="20"/>
                <w:rtl/>
              </w:rPr>
              <w:t>מספר התושבים</w:t>
            </w:r>
          </w:p>
        </w:tc>
        <w:tc>
          <w:tcPr>
            <w:tcW w:w="921" w:type="dxa"/>
            <w:noWrap/>
            <w:vAlign w:val="bottom"/>
            <w:hideMark/>
          </w:tcPr>
          <w:p w:rsidR="005E17DC" w:rsidRPr="00385106" w:rsidP="00385106">
            <w:pPr>
              <w:spacing w:line="269" w:lineRule="auto"/>
              <w:jc w:val="center"/>
              <w:rPr>
                <w:b/>
                <w:bCs/>
                <w:szCs w:val="20"/>
                <w:rtl/>
              </w:rPr>
            </w:pPr>
            <w:r w:rsidRPr="00385106">
              <w:rPr>
                <w:rFonts w:hint="cs"/>
                <w:b/>
                <w:bCs/>
                <w:szCs w:val="20"/>
                <w:rtl/>
              </w:rPr>
              <w:t>70,550</w:t>
            </w:r>
          </w:p>
        </w:tc>
        <w:tc>
          <w:tcPr>
            <w:tcW w:w="921" w:type="dxa"/>
            <w:noWrap/>
            <w:vAlign w:val="bottom"/>
            <w:hideMark/>
          </w:tcPr>
          <w:p w:rsidR="005E17DC" w:rsidRPr="00385106" w:rsidP="00385106">
            <w:pPr>
              <w:spacing w:line="269" w:lineRule="auto"/>
              <w:jc w:val="center"/>
              <w:rPr>
                <w:b/>
                <w:bCs/>
                <w:szCs w:val="20"/>
                <w:rtl/>
              </w:rPr>
            </w:pPr>
            <w:r w:rsidRPr="00385106">
              <w:rPr>
                <w:rFonts w:hint="cs"/>
                <w:b/>
                <w:bCs/>
                <w:szCs w:val="20"/>
                <w:rtl/>
              </w:rPr>
              <w:t>74,846</w:t>
            </w:r>
          </w:p>
        </w:tc>
        <w:tc>
          <w:tcPr>
            <w:tcW w:w="921" w:type="dxa"/>
            <w:noWrap/>
            <w:vAlign w:val="bottom"/>
            <w:hideMark/>
          </w:tcPr>
          <w:p w:rsidR="005E17DC" w:rsidRPr="00385106" w:rsidP="00385106">
            <w:pPr>
              <w:spacing w:line="269" w:lineRule="auto"/>
              <w:jc w:val="center"/>
              <w:rPr>
                <w:b/>
                <w:bCs/>
                <w:szCs w:val="20"/>
                <w:rtl/>
              </w:rPr>
            </w:pPr>
            <w:r w:rsidRPr="00385106">
              <w:rPr>
                <w:rFonts w:hint="cs"/>
                <w:b/>
                <w:bCs/>
                <w:szCs w:val="20"/>
                <w:rtl/>
              </w:rPr>
              <w:t>80,996</w:t>
            </w:r>
          </w:p>
        </w:tc>
        <w:tc>
          <w:tcPr>
            <w:tcW w:w="1077" w:type="dxa"/>
            <w:tcBorders>
              <w:top w:val="single" w:sz="4" w:space="0" w:color="auto"/>
              <w:left w:val="nil"/>
              <w:bottom w:val="single" w:sz="4" w:space="0" w:color="auto"/>
              <w:right w:val="single" w:sz="4" w:space="0" w:color="auto"/>
            </w:tcBorders>
            <w:shd w:val="clear" w:color="auto" w:fill="auto"/>
            <w:vAlign w:val="bottom"/>
          </w:tcPr>
          <w:p w:rsidR="005E17DC" w:rsidRPr="00385106" w:rsidP="00385106">
            <w:pPr>
              <w:spacing w:line="269" w:lineRule="auto"/>
              <w:jc w:val="center"/>
              <w:rPr>
                <w:rFonts w:ascii="David" w:hAnsi="David"/>
                <w:b/>
                <w:bCs/>
                <w:color w:val="000000"/>
                <w:szCs w:val="20"/>
              </w:rPr>
            </w:pPr>
            <w:r w:rsidRPr="00385106">
              <w:rPr>
                <w:rFonts w:ascii="David" w:hAnsi="David"/>
                <w:b/>
                <w:bCs/>
                <w:color w:val="000000"/>
                <w:szCs w:val="20"/>
              </w:rPr>
              <w:t>8%</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bottom"/>
          </w:tcPr>
          <w:p w:rsidR="005E17DC" w:rsidRPr="00385106" w:rsidP="00385106">
            <w:pPr>
              <w:spacing w:line="269" w:lineRule="auto"/>
              <w:jc w:val="center"/>
              <w:rPr>
                <w:rFonts w:asciiTheme="minorHAnsi" w:hAnsiTheme="minorHAnsi"/>
                <w:b/>
                <w:bCs/>
                <w:szCs w:val="20"/>
                <w:rtl/>
              </w:rPr>
            </w:pPr>
            <w:r w:rsidRPr="00385106">
              <w:rPr>
                <w:rFonts w:ascii="David" w:hAnsi="David"/>
                <w:b/>
                <w:bCs/>
                <w:color w:val="000000"/>
                <w:szCs w:val="20"/>
              </w:rPr>
              <w:t>15%</w:t>
            </w:r>
          </w:p>
        </w:tc>
      </w:tr>
      <w:tr w:rsidTr="00385106">
        <w:tblPrEx>
          <w:tblW w:w="8202" w:type="dxa"/>
          <w:tblInd w:w="438" w:type="dxa"/>
          <w:tblLook w:val="04A0"/>
        </w:tblPrEx>
        <w:trPr>
          <w:trHeight w:val="315"/>
        </w:trPr>
        <w:tc>
          <w:tcPr>
            <w:tcW w:w="3285" w:type="dxa"/>
            <w:noWrap/>
            <w:vAlign w:val="bottom"/>
          </w:tcPr>
          <w:p w:rsidR="005E17DC" w:rsidRPr="00385106" w:rsidP="00385106">
            <w:pPr>
              <w:spacing w:line="269" w:lineRule="auto"/>
              <w:rPr>
                <w:b/>
                <w:bCs/>
                <w:szCs w:val="20"/>
                <w:rtl/>
              </w:rPr>
            </w:pPr>
            <w:r w:rsidRPr="00385106">
              <w:rPr>
                <w:rFonts w:hint="eastAsia"/>
                <w:b/>
                <w:bCs/>
                <w:szCs w:val="20"/>
                <w:rtl/>
              </w:rPr>
              <w:t>מצבת</w:t>
            </w:r>
            <w:r w:rsidRPr="00385106">
              <w:rPr>
                <w:b/>
                <w:bCs/>
                <w:szCs w:val="20"/>
                <w:rtl/>
              </w:rPr>
              <w:t xml:space="preserve"> </w:t>
            </w:r>
            <w:r w:rsidR="009309E8">
              <w:rPr>
                <w:rFonts w:hint="eastAsia"/>
                <w:b/>
                <w:bCs/>
                <w:szCs w:val="20"/>
                <w:rtl/>
              </w:rPr>
              <w:t>ההון האנושי</w:t>
            </w:r>
            <w:r w:rsidRPr="00385106">
              <w:rPr>
                <w:b/>
                <w:bCs/>
                <w:szCs w:val="20"/>
                <w:rtl/>
              </w:rPr>
              <w:t xml:space="preserve"> </w:t>
            </w:r>
            <w:r w:rsidRPr="00385106">
              <w:rPr>
                <w:rFonts w:hint="eastAsia"/>
                <w:b/>
                <w:bCs/>
                <w:szCs w:val="20"/>
                <w:rtl/>
              </w:rPr>
              <w:t>ממוצעת</w:t>
            </w:r>
            <w:r w:rsidRPr="00385106">
              <w:rPr>
                <w:b/>
                <w:bCs/>
                <w:szCs w:val="20"/>
                <w:rtl/>
              </w:rPr>
              <w:t xml:space="preserve"> </w:t>
            </w:r>
            <w:r w:rsidRPr="00385106">
              <w:rPr>
                <w:rFonts w:hint="eastAsia"/>
                <w:b/>
                <w:bCs/>
                <w:szCs w:val="20"/>
                <w:rtl/>
              </w:rPr>
              <w:t>לפי</w:t>
            </w:r>
            <w:r w:rsidRPr="00385106">
              <w:rPr>
                <w:b/>
                <w:bCs/>
                <w:szCs w:val="20"/>
                <w:rtl/>
              </w:rPr>
              <w:t xml:space="preserve"> </w:t>
            </w:r>
            <w:r w:rsidRPr="00385106">
              <w:rPr>
                <w:rFonts w:hint="eastAsia"/>
                <w:b/>
                <w:bCs/>
                <w:szCs w:val="20"/>
                <w:rtl/>
              </w:rPr>
              <w:t>שירותים</w:t>
            </w:r>
            <w:r w:rsidRPr="00385106">
              <w:rPr>
                <w:b/>
                <w:bCs/>
                <w:szCs w:val="20"/>
                <w:rtl/>
              </w:rPr>
              <w:t>:</w:t>
            </w:r>
          </w:p>
        </w:tc>
        <w:tc>
          <w:tcPr>
            <w:tcW w:w="921" w:type="dxa"/>
            <w:noWrap/>
            <w:vAlign w:val="bottom"/>
          </w:tcPr>
          <w:p w:rsidR="005E17DC" w:rsidRPr="00385106" w:rsidP="00385106">
            <w:pPr>
              <w:spacing w:line="269" w:lineRule="auto"/>
              <w:jc w:val="center"/>
              <w:rPr>
                <w:szCs w:val="20"/>
                <w:rtl/>
              </w:rPr>
            </w:pPr>
          </w:p>
        </w:tc>
        <w:tc>
          <w:tcPr>
            <w:tcW w:w="921" w:type="dxa"/>
            <w:noWrap/>
            <w:vAlign w:val="bottom"/>
          </w:tcPr>
          <w:p w:rsidR="005E17DC" w:rsidRPr="00385106" w:rsidP="00385106">
            <w:pPr>
              <w:spacing w:line="269" w:lineRule="auto"/>
              <w:jc w:val="center"/>
              <w:rPr>
                <w:szCs w:val="20"/>
                <w:rtl/>
              </w:rPr>
            </w:pPr>
          </w:p>
        </w:tc>
        <w:tc>
          <w:tcPr>
            <w:tcW w:w="921" w:type="dxa"/>
            <w:noWrap/>
            <w:vAlign w:val="bottom"/>
          </w:tcPr>
          <w:p w:rsidR="005E17DC" w:rsidRPr="00385106" w:rsidP="00385106">
            <w:pPr>
              <w:spacing w:line="269" w:lineRule="auto"/>
              <w:jc w:val="center"/>
              <w:rPr>
                <w:szCs w:val="20"/>
                <w:rtl/>
              </w:rPr>
            </w:pPr>
          </w:p>
        </w:tc>
        <w:tc>
          <w:tcPr>
            <w:tcW w:w="1077" w:type="dxa"/>
            <w:tcBorders>
              <w:top w:val="single" w:sz="4" w:space="0" w:color="auto"/>
              <w:left w:val="nil"/>
              <w:bottom w:val="single" w:sz="4" w:space="0" w:color="auto"/>
              <w:right w:val="single" w:sz="4" w:space="0" w:color="auto"/>
            </w:tcBorders>
            <w:shd w:val="clear" w:color="auto" w:fill="auto"/>
            <w:vAlign w:val="bottom"/>
          </w:tcPr>
          <w:p w:rsidR="005E17DC" w:rsidRPr="00385106" w:rsidP="00385106">
            <w:pPr>
              <w:spacing w:line="269" w:lineRule="auto"/>
              <w:jc w:val="center"/>
              <w:rPr>
                <w:rFonts w:ascii="David" w:hAnsi="David"/>
                <w:szCs w:val="20"/>
                <w:rtl/>
              </w:rPr>
            </w:pPr>
          </w:p>
        </w:tc>
        <w:tc>
          <w:tcPr>
            <w:tcW w:w="1077" w:type="dxa"/>
            <w:tcBorders>
              <w:top w:val="single" w:sz="4" w:space="0" w:color="auto"/>
              <w:left w:val="single" w:sz="4" w:space="0" w:color="auto"/>
              <w:bottom w:val="single" w:sz="4" w:space="0" w:color="auto"/>
              <w:right w:val="single" w:sz="4" w:space="0" w:color="auto"/>
            </w:tcBorders>
            <w:shd w:val="clear" w:color="auto" w:fill="auto"/>
            <w:vAlign w:val="bottom"/>
          </w:tcPr>
          <w:p w:rsidR="005E17DC" w:rsidRPr="00385106" w:rsidP="00385106">
            <w:pPr>
              <w:spacing w:line="269" w:lineRule="auto"/>
              <w:jc w:val="center"/>
              <w:rPr>
                <w:rFonts w:ascii="David" w:hAnsi="David"/>
                <w:szCs w:val="20"/>
                <w:rtl/>
              </w:rPr>
            </w:pPr>
          </w:p>
        </w:tc>
      </w:tr>
      <w:tr w:rsidTr="00385106">
        <w:tblPrEx>
          <w:tblW w:w="8202" w:type="dxa"/>
          <w:tblInd w:w="438" w:type="dxa"/>
          <w:tblLook w:val="04A0"/>
        </w:tblPrEx>
        <w:trPr>
          <w:trHeight w:val="315"/>
        </w:trPr>
        <w:tc>
          <w:tcPr>
            <w:tcW w:w="3285" w:type="dxa"/>
            <w:noWrap/>
            <w:vAlign w:val="bottom"/>
            <w:hideMark/>
          </w:tcPr>
          <w:p w:rsidR="005E17DC" w:rsidRPr="00385106" w:rsidP="00385106">
            <w:pPr>
              <w:spacing w:line="269" w:lineRule="auto"/>
              <w:rPr>
                <w:szCs w:val="20"/>
              </w:rPr>
            </w:pPr>
            <w:r w:rsidRPr="00385106">
              <w:rPr>
                <w:rFonts w:hint="cs"/>
                <w:szCs w:val="20"/>
                <w:rtl/>
              </w:rPr>
              <w:t>חינוך</w:t>
            </w:r>
          </w:p>
        </w:tc>
        <w:tc>
          <w:tcPr>
            <w:tcW w:w="921" w:type="dxa"/>
            <w:noWrap/>
            <w:vAlign w:val="bottom"/>
            <w:hideMark/>
          </w:tcPr>
          <w:p w:rsidR="005E17DC" w:rsidRPr="00385106" w:rsidP="00385106">
            <w:pPr>
              <w:spacing w:line="269" w:lineRule="auto"/>
              <w:jc w:val="center"/>
              <w:rPr>
                <w:szCs w:val="20"/>
                <w:rtl/>
              </w:rPr>
            </w:pPr>
            <w:r w:rsidRPr="00385106">
              <w:rPr>
                <w:rFonts w:hint="cs"/>
                <w:szCs w:val="20"/>
                <w:rtl/>
              </w:rPr>
              <w:t>348</w:t>
            </w:r>
          </w:p>
        </w:tc>
        <w:tc>
          <w:tcPr>
            <w:tcW w:w="921" w:type="dxa"/>
            <w:noWrap/>
            <w:vAlign w:val="bottom"/>
            <w:hideMark/>
          </w:tcPr>
          <w:p w:rsidR="005E17DC" w:rsidRPr="00385106" w:rsidP="00385106">
            <w:pPr>
              <w:spacing w:line="269" w:lineRule="auto"/>
              <w:jc w:val="center"/>
              <w:rPr>
                <w:szCs w:val="20"/>
                <w:rtl/>
              </w:rPr>
            </w:pPr>
            <w:r w:rsidRPr="00385106">
              <w:rPr>
                <w:rFonts w:hint="cs"/>
                <w:szCs w:val="20"/>
                <w:rtl/>
              </w:rPr>
              <w:t>455</w:t>
            </w:r>
          </w:p>
        </w:tc>
        <w:tc>
          <w:tcPr>
            <w:tcW w:w="921" w:type="dxa"/>
            <w:noWrap/>
            <w:vAlign w:val="bottom"/>
            <w:hideMark/>
          </w:tcPr>
          <w:p w:rsidR="005E17DC" w:rsidRPr="00385106" w:rsidP="00385106">
            <w:pPr>
              <w:spacing w:line="269" w:lineRule="auto"/>
              <w:jc w:val="center"/>
              <w:rPr>
                <w:szCs w:val="20"/>
                <w:rtl/>
              </w:rPr>
            </w:pPr>
            <w:r w:rsidRPr="00385106">
              <w:rPr>
                <w:rFonts w:hint="cs"/>
                <w:szCs w:val="20"/>
                <w:rtl/>
              </w:rPr>
              <w:t>730</w:t>
            </w:r>
          </w:p>
        </w:tc>
        <w:tc>
          <w:tcPr>
            <w:tcW w:w="1077" w:type="dxa"/>
            <w:tcBorders>
              <w:top w:val="single" w:sz="4" w:space="0" w:color="auto"/>
              <w:left w:val="nil"/>
              <w:bottom w:val="single" w:sz="4" w:space="0" w:color="auto"/>
              <w:right w:val="single" w:sz="4" w:space="0" w:color="auto"/>
            </w:tcBorders>
            <w:shd w:val="clear" w:color="auto" w:fill="auto"/>
            <w:vAlign w:val="bottom"/>
          </w:tcPr>
          <w:p w:rsidR="005E17DC" w:rsidRPr="00385106" w:rsidP="00385106">
            <w:pPr>
              <w:spacing w:line="269" w:lineRule="auto"/>
              <w:jc w:val="center"/>
              <w:rPr>
                <w:rFonts w:ascii="David" w:hAnsi="David"/>
                <w:color w:val="000000"/>
                <w:szCs w:val="20"/>
              </w:rPr>
            </w:pPr>
            <w:r w:rsidRPr="00385106">
              <w:rPr>
                <w:rFonts w:ascii="David" w:hAnsi="David"/>
                <w:color w:val="000000"/>
                <w:szCs w:val="20"/>
              </w:rPr>
              <w:t>60%</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bottom"/>
          </w:tcPr>
          <w:p w:rsidR="005E17DC" w:rsidRPr="00385106" w:rsidP="00385106">
            <w:pPr>
              <w:spacing w:line="269" w:lineRule="auto"/>
              <w:jc w:val="center"/>
              <w:rPr>
                <w:rFonts w:ascii="David" w:hAnsi="David"/>
                <w:szCs w:val="20"/>
                <w:rtl/>
              </w:rPr>
            </w:pPr>
            <w:r w:rsidRPr="00385106">
              <w:rPr>
                <w:rFonts w:ascii="David" w:hAnsi="David"/>
                <w:color w:val="000000"/>
                <w:szCs w:val="20"/>
              </w:rPr>
              <w:t>110%</w:t>
            </w:r>
          </w:p>
        </w:tc>
      </w:tr>
      <w:tr w:rsidTr="00385106">
        <w:tblPrEx>
          <w:tblW w:w="8202" w:type="dxa"/>
          <w:tblInd w:w="438" w:type="dxa"/>
          <w:tblLook w:val="04A0"/>
        </w:tblPrEx>
        <w:trPr>
          <w:trHeight w:val="165"/>
        </w:trPr>
        <w:tc>
          <w:tcPr>
            <w:tcW w:w="3285" w:type="dxa"/>
            <w:noWrap/>
            <w:vAlign w:val="bottom"/>
            <w:hideMark/>
          </w:tcPr>
          <w:p w:rsidR="005E17DC" w:rsidRPr="00385106" w:rsidP="00385106">
            <w:pPr>
              <w:spacing w:line="269" w:lineRule="auto"/>
              <w:rPr>
                <w:szCs w:val="20"/>
                <w:rtl/>
              </w:rPr>
            </w:pPr>
            <w:r w:rsidRPr="00385106">
              <w:rPr>
                <w:rFonts w:hint="cs"/>
                <w:szCs w:val="20"/>
                <w:rtl/>
              </w:rPr>
              <w:t>שירותי רווחה</w:t>
            </w:r>
          </w:p>
        </w:tc>
        <w:tc>
          <w:tcPr>
            <w:tcW w:w="921" w:type="dxa"/>
            <w:noWrap/>
            <w:vAlign w:val="bottom"/>
            <w:hideMark/>
          </w:tcPr>
          <w:p w:rsidR="005E17DC" w:rsidRPr="00385106" w:rsidP="00385106">
            <w:pPr>
              <w:spacing w:line="269" w:lineRule="auto"/>
              <w:jc w:val="center"/>
              <w:rPr>
                <w:szCs w:val="20"/>
                <w:rtl/>
              </w:rPr>
            </w:pPr>
            <w:r w:rsidRPr="00385106">
              <w:rPr>
                <w:rFonts w:hint="cs"/>
                <w:szCs w:val="20"/>
                <w:rtl/>
              </w:rPr>
              <w:t>66</w:t>
            </w:r>
          </w:p>
        </w:tc>
        <w:tc>
          <w:tcPr>
            <w:tcW w:w="921" w:type="dxa"/>
            <w:noWrap/>
            <w:vAlign w:val="bottom"/>
            <w:hideMark/>
          </w:tcPr>
          <w:p w:rsidR="005E17DC" w:rsidRPr="00385106" w:rsidP="00385106">
            <w:pPr>
              <w:spacing w:line="269" w:lineRule="auto"/>
              <w:jc w:val="center"/>
              <w:rPr>
                <w:szCs w:val="20"/>
                <w:rtl/>
              </w:rPr>
            </w:pPr>
            <w:r w:rsidRPr="00385106">
              <w:rPr>
                <w:rFonts w:hint="cs"/>
                <w:szCs w:val="20"/>
                <w:rtl/>
              </w:rPr>
              <w:t>82</w:t>
            </w:r>
          </w:p>
        </w:tc>
        <w:tc>
          <w:tcPr>
            <w:tcW w:w="921" w:type="dxa"/>
            <w:noWrap/>
            <w:vAlign w:val="bottom"/>
            <w:hideMark/>
          </w:tcPr>
          <w:p w:rsidR="005E17DC" w:rsidRPr="00385106" w:rsidP="00385106">
            <w:pPr>
              <w:spacing w:line="269" w:lineRule="auto"/>
              <w:jc w:val="center"/>
              <w:rPr>
                <w:szCs w:val="20"/>
                <w:rtl/>
              </w:rPr>
            </w:pPr>
            <w:r w:rsidRPr="00385106">
              <w:rPr>
                <w:rFonts w:hint="cs"/>
                <w:szCs w:val="20"/>
                <w:rtl/>
              </w:rPr>
              <w:t>91</w:t>
            </w:r>
          </w:p>
        </w:tc>
        <w:tc>
          <w:tcPr>
            <w:tcW w:w="1077" w:type="dxa"/>
            <w:tcBorders>
              <w:top w:val="single" w:sz="4" w:space="0" w:color="auto"/>
              <w:left w:val="nil"/>
              <w:bottom w:val="single" w:sz="4" w:space="0" w:color="auto"/>
              <w:right w:val="single" w:sz="4" w:space="0" w:color="auto"/>
            </w:tcBorders>
            <w:shd w:val="clear" w:color="auto" w:fill="auto"/>
            <w:vAlign w:val="bottom"/>
          </w:tcPr>
          <w:p w:rsidR="005E17DC" w:rsidRPr="00385106" w:rsidP="00385106">
            <w:pPr>
              <w:spacing w:line="269" w:lineRule="auto"/>
              <w:jc w:val="center"/>
              <w:rPr>
                <w:rFonts w:ascii="David" w:hAnsi="David"/>
                <w:color w:val="000000"/>
                <w:szCs w:val="20"/>
              </w:rPr>
            </w:pPr>
            <w:r w:rsidRPr="00385106">
              <w:rPr>
                <w:rFonts w:ascii="David" w:hAnsi="David"/>
                <w:color w:val="000000"/>
                <w:szCs w:val="20"/>
              </w:rPr>
              <w:t>11%</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bottom"/>
          </w:tcPr>
          <w:p w:rsidR="005E17DC" w:rsidRPr="00385106" w:rsidP="00385106">
            <w:pPr>
              <w:spacing w:line="269" w:lineRule="auto"/>
              <w:jc w:val="center"/>
              <w:rPr>
                <w:rFonts w:ascii="David" w:hAnsi="David"/>
                <w:szCs w:val="20"/>
                <w:rtl/>
              </w:rPr>
            </w:pPr>
            <w:r w:rsidRPr="00385106">
              <w:rPr>
                <w:rFonts w:ascii="David" w:hAnsi="David"/>
                <w:color w:val="000000"/>
                <w:szCs w:val="20"/>
              </w:rPr>
              <w:t>38%</w:t>
            </w:r>
          </w:p>
        </w:tc>
      </w:tr>
      <w:tr w:rsidTr="00385106">
        <w:tblPrEx>
          <w:tblW w:w="8202" w:type="dxa"/>
          <w:tblInd w:w="438" w:type="dxa"/>
          <w:tblLook w:val="04A0"/>
        </w:tblPrEx>
        <w:trPr>
          <w:trHeight w:val="120"/>
        </w:trPr>
        <w:tc>
          <w:tcPr>
            <w:tcW w:w="3285" w:type="dxa"/>
            <w:noWrap/>
            <w:vAlign w:val="bottom"/>
            <w:hideMark/>
          </w:tcPr>
          <w:p w:rsidR="005E17DC" w:rsidRPr="00385106" w:rsidP="00385106">
            <w:pPr>
              <w:spacing w:line="269" w:lineRule="auto"/>
              <w:rPr>
                <w:szCs w:val="20"/>
                <w:rtl/>
              </w:rPr>
            </w:pPr>
            <w:r w:rsidRPr="00385106">
              <w:rPr>
                <w:rFonts w:hint="cs"/>
                <w:szCs w:val="20"/>
                <w:rtl/>
              </w:rPr>
              <w:t>מוניציפליים בחוזה בכירים</w:t>
            </w:r>
          </w:p>
        </w:tc>
        <w:tc>
          <w:tcPr>
            <w:tcW w:w="921" w:type="dxa"/>
            <w:noWrap/>
            <w:vAlign w:val="bottom"/>
            <w:hideMark/>
          </w:tcPr>
          <w:p w:rsidR="005E17DC" w:rsidRPr="00385106" w:rsidP="00385106">
            <w:pPr>
              <w:spacing w:line="269" w:lineRule="auto"/>
              <w:jc w:val="center"/>
              <w:rPr>
                <w:szCs w:val="20"/>
                <w:rtl/>
              </w:rPr>
            </w:pPr>
            <w:r w:rsidRPr="00385106">
              <w:rPr>
                <w:rFonts w:hint="cs"/>
                <w:szCs w:val="20"/>
                <w:rtl/>
              </w:rPr>
              <w:t>6</w:t>
            </w:r>
          </w:p>
        </w:tc>
        <w:tc>
          <w:tcPr>
            <w:tcW w:w="921" w:type="dxa"/>
            <w:noWrap/>
            <w:vAlign w:val="bottom"/>
            <w:hideMark/>
          </w:tcPr>
          <w:p w:rsidR="005E17DC" w:rsidRPr="00385106" w:rsidP="00385106">
            <w:pPr>
              <w:spacing w:line="269" w:lineRule="auto"/>
              <w:jc w:val="center"/>
              <w:rPr>
                <w:szCs w:val="20"/>
                <w:rtl/>
              </w:rPr>
            </w:pPr>
            <w:r w:rsidRPr="00385106">
              <w:rPr>
                <w:rFonts w:hint="cs"/>
                <w:szCs w:val="20"/>
                <w:rtl/>
              </w:rPr>
              <w:t>23</w:t>
            </w:r>
          </w:p>
        </w:tc>
        <w:tc>
          <w:tcPr>
            <w:tcW w:w="921" w:type="dxa"/>
            <w:noWrap/>
            <w:vAlign w:val="bottom"/>
            <w:hideMark/>
          </w:tcPr>
          <w:p w:rsidR="005E17DC" w:rsidRPr="00385106" w:rsidP="00385106">
            <w:pPr>
              <w:spacing w:line="269" w:lineRule="auto"/>
              <w:jc w:val="center"/>
              <w:rPr>
                <w:szCs w:val="20"/>
                <w:rtl/>
              </w:rPr>
            </w:pPr>
            <w:r w:rsidRPr="00385106">
              <w:rPr>
                <w:rFonts w:hint="cs"/>
                <w:szCs w:val="20"/>
                <w:rtl/>
              </w:rPr>
              <w:t>26</w:t>
            </w:r>
          </w:p>
        </w:tc>
        <w:tc>
          <w:tcPr>
            <w:tcW w:w="1077" w:type="dxa"/>
            <w:tcBorders>
              <w:top w:val="single" w:sz="4" w:space="0" w:color="auto"/>
              <w:left w:val="nil"/>
              <w:bottom w:val="single" w:sz="4" w:space="0" w:color="auto"/>
              <w:right w:val="single" w:sz="4" w:space="0" w:color="auto"/>
            </w:tcBorders>
            <w:shd w:val="clear" w:color="auto" w:fill="auto"/>
            <w:vAlign w:val="bottom"/>
          </w:tcPr>
          <w:p w:rsidR="005E17DC" w:rsidRPr="00385106" w:rsidP="00385106">
            <w:pPr>
              <w:spacing w:line="269" w:lineRule="auto"/>
              <w:jc w:val="center"/>
              <w:rPr>
                <w:rFonts w:ascii="David" w:hAnsi="David"/>
                <w:color w:val="000000"/>
                <w:szCs w:val="20"/>
              </w:rPr>
            </w:pPr>
            <w:r w:rsidRPr="00385106">
              <w:rPr>
                <w:rFonts w:ascii="David" w:hAnsi="David"/>
                <w:color w:val="000000"/>
                <w:szCs w:val="20"/>
              </w:rPr>
              <w:t>13%</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bottom"/>
          </w:tcPr>
          <w:p w:rsidR="005E17DC" w:rsidRPr="00385106" w:rsidP="00385106">
            <w:pPr>
              <w:spacing w:line="269" w:lineRule="auto"/>
              <w:jc w:val="center"/>
              <w:rPr>
                <w:rFonts w:ascii="David" w:hAnsi="David"/>
                <w:szCs w:val="20"/>
                <w:rtl/>
              </w:rPr>
            </w:pPr>
            <w:r w:rsidRPr="00385106">
              <w:rPr>
                <w:rFonts w:ascii="David" w:hAnsi="David"/>
                <w:color w:val="000000"/>
                <w:szCs w:val="20"/>
              </w:rPr>
              <w:t>333%</w:t>
            </w:r>
          </w:p>
        </w:tc>
      </w:tr>
      <w:tr w:rsidTr="00385106">
        <w:tblPrEx>
          <w:tblW w:w="8202" w:type="dxa"/>
          <w:tblInd w:w="438" w:type="dxa"/>
          <w:tblLook w:val="04A0"/>
        </w:tblPrEx>
        <w:trPr>
          <w:trHeight w:val="315"/>
        </w:trPr>
        <w:tc>
          <w:tcPr>
            <w:tcW w:w="3285" w:type="dxa"/>
            <w:noWrap/>
            <w:vAlign w:val="bottom"/>
            <w:hideMark/>
          </w:tcPr>
          <w:p w:rsidR="005E17DC" w:rsidRPr="00385106" w:rsidP="00385106">
            <w:pPr>
              <w:spacing w:line="269" w:lineRule="auto"/>
              <w:rPr>
                <w:szCs w:val="20"/>
                <w:rtl/>
              </w:rPr>
            </w:pPr>
            <w:r w:rsidRPr="00385106">
              <w:rPr>
                <w:rFonts w:hint="cs"/>
                <w:szCs w:val="20"/>
                <w:rtl/>
              </w:rPr>
              <w:t>מוניציפליים</w:t>
            </w:r>
          </w:p>
        </w:tc>
        <w:tc>
          <w:tcPr>
            <w:tcW w:w="921" w:type="dxa"/>
            <w:noWrap/>
            <w:vAlign w:val="bottom"/>
            <w:hideMark/>
          </w:tcPr>
          <w:p w:rsidR="005E17DC" w:rsidRPr="00385106" w:rsidP="00385106">
            <w:pPr>
              <w:spacing w:line="269" w:lineRule="auto"/>
              <w:jc w:val="center"/>
              <w:rPr>
                <w:szCs w:val="20"/>
                <w:rtl/>
              </w:rPr>
            </w:pPr>
            <w:r w:rsidRPr="00385106">
              <w:rPr>
                <w:rFonts w:hint="cs"/>
                <w:szCs w:val="20"/>
                <w:rtl/>
              </w:rPr>
              <w:t>216</w:t>
            </w:r>
          </w:p>
        </w:tc>
        <w:tc>
          <w:tcPr>
            <w:tcW w:w="921" w:type="dxa"/>
            <w:noWrap/>
            <w:vAlign w:val="bottom"/>
            <w:hideMark/>
          </w:tcPr>
          <w:p w:rsidR="005E17DC" w:rsidRPr="00385106" w:rsidP="00385106">
            <w:pPr>
              <w:spacing w:line="269" w:lineRule="auto"/>
              <w:jc w:val="center"/>
              <w:rPr>
                <w:szCs w:val="20"/>
                <w:rtl/>
              </w:rPr>
            </w:pPr>
            <w:r w:rsidRPr="00385106">
              <w:rPr>
                <w:rFonts w:hint="cs"/>
                <w:szCs w:val="20"/>
                <w:rtl/>
              </w:rPr>
              <w:t>229</w:t>
            </w:r>
          </w:p>
        </w:tc>
        <w:tc>
          <w:tcPr>
            <w:tcW w:w="921" w:type="dxa"/>
            <w:noWrap/>
            <w:vAlign w:val="bottom"/>
            <w:hideMark/>
          </w:tcPr>
          <w:p w:rsidR="005E17DC" w:rsidRPr="00385106" w:rsidP="00385106">
            <w:pPr>
              <w:spacing w:line="269" w:lineRule="auto"/>
              <w:jc w:val="center"/>
              <w:rPr>
                <w:szCs w:val="20"/>
                <w:rtl/>
              </w:rPr>
            </w:pPr>
            <w:r w:rsidRPr="00385106">
              <w:rPr>
                <w:rFonts w:hint="cs"/>
                <w:szCs w:val="20"/>
                <w:rtl/>
              </w:rPr>
              <w:t>274</w:t>
            </w:r>
          </w:p>
        </w:tc>
        <w:tc>
          <w:tcPr>
            <w:tcW w:w="1077" w:type="dxa"/>
            <w:tcBorders>
              <w:top w:val="single" w:sz="4" w:space="0" w:color="auto"/>
              <w:left w:val="nil"/>
              <w:bottom w:val="single" w:sz="4" w:space="0" w:color="auto"/>
              <w:right w:val="single" w:sz="4" w:space="0" w:color="auto"/>
            </w:tcBorders>
            <w:shd w:val="clear" w:color="auto" w:fill="auto"/>
            <w:vAlign w:val="bottom"/>
          </w:tcPr>
          <w:p w:rsidR="005E17DC" w:rsidRPr="00385106" w:rsidP="00385106">
            <w:pPr>
              <w:spacing w:line="269" w:lineRule="auto"/>
              <w:jc w:val="center"/>
              <w:rPr>
                <w:rFonts w:ascii="David" w:hAnsi="David"/>
                <w:color w:val="000000"/>
                <w:szCs w:val="20"/>
              </w:rPr>
            </w:pPr>
            <w:r w:rsidRPr="00385106">
              <w:rPr>
                <w:rFonts w:ascii="David" w:hAnsi="David"/>
                <w:color w:val="000000"/>
                <w:szCs w:val="20"/>
              </w:rPr>
              <w:t>20%</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bottom"/>
          </w:tcPr>
          <w:p w:rsidR="005E17DC" w:rsidRPr="00385106" w:rsidP="00385106">
            <w:pPr>
              <w:spacing w:line="269" w:lineRule="auto"/>
              <w:jc w:val="center"/>
              <w:rPr>
                <w:rFonts w:ascii="David" w:hAnsi="David"/>
                <w:szCs w:val="20"/>
                <w:rtl/>
              </w:rPr>
            </w:pPr>
            <w:r w:rsidRPr="00385106">
              <w:rPr>
                <w:rFonts w:ascii="David" w:hAnsi="David"/>
                <w:color w:val="000000"/>
                <w:szCs w:val="20"/>
              </w:rPr>
              <w:t>27%</w:t>
            </w:r>
          </w:p>
        </w:tc>
      </w:tr>
      <w:tr w:rsidTr="00385106">
        <w:tblPrEx>
          <w:tblW w:w="8202" w:type="dxa"/>
          <w:tblInd w:w="438" w:type="dxa"/>
          <w:tblLook w:val="04A0"/>
        </w:tblPrEx>
        <w:trPr>
          <w:trHeight w:val="315"/>
        </w:trPr>
        <w:tc>
          <w:tcPr>
            <w:tcW w:w="3285" w:type="dxa"/>
            <w:noWrap/>
            <w:vAlign w:val="bottom"/>
            <w:hideMark/>
          </w:tcPr>
          <w:p w:rsidR="005E17DC" w:rsidRPr="00385106" w:rsidP="00385106">
            <w:pPr>
              <w:spacing w:line="269" w:lineRule="auto"/>
              <w:rPr>
                <w:szCs w:val="20"/>
                <w:rtl/>
              </w:rPr>
            </w:pPr>
            <w:r w:rsidRPr="00385106">
              <w:rPr>
                <w:rFonts w:hint="cs"/>
                <w:szCs w:val="20"/>
                <w:rtl/>
              </w:rPr>
              <w:t>נבחרי ציבור המכהנים בשכר</w:t>
            </w:r>
          </w:p>
        </w:tc>
        <w:tc>
          <w:tcPr>
            <w:tcW w:w="921" w:type="dxa"/>
            <w:noWrap/>
            <w:vAlign w:val="bottom"/>
            <w:hideMark/>
          </w:tcPr>
          <w:p w:rsidR="005E17DC" w:rsidRPr="00385106" w:rsidP="00385106">
            <w:pPr>
              <w:spacing w:line="269" w:lineRule="auto"/>
              <w:jc w:val="center"/>
              <w:rPr>
                <w:szCs w:val="20"/>
                <w:rtl/>
              </w:rPr>
            </w:pPr>
            <w:r w:rsidRPr="00385106">
              <w:rPr>
                <w:rFonts w:hint="cs"/>
                <w:szCs w:val="20"/>
                <w:rtl/>
              </w:rPr>
              <w:t>3</w:t>
            </w:r>
          </w:p>
        </w:tc>
        <w:tc>
          <w:tcPr>
            <w:tcW w:w="921" w:type="dxa"/>
            <w:noWrap/>
            <w:vAlign w:val="bottom"/>
            <w:hideMark/>
          </w:tcPr>
          <w:p w:rsidR="005E17DC" w:rsidRPr="00385106" w:rsidP="00385106">
            <w:pPr>
              <w:spacing w:line="269" w:lineRule="auto"/>
              <w:jc w:val="center"/>
              <w:rPr>
                <w:szCs w:val="20"/>
                <w:rtl/>
              </w:rPr>
            </w:pPr>
            <w:r w:rsidRPr="00385106">
              <w:rPr>
                <w:rFonts w:hint="cs"/>
                <w:szCs w:val="20"/>
                <w:rtl/>
              </w:rPr>
              <w:t>3</w:t>
            </w:r>
          </w:p>
        </w:tc>
        <w:tc>
          <w:tcPr>
            <w:tcW w:w="921" w:type="dxa"/>
            <w:noWrap/>
            <w:vAlign w:val="bottom"/>
            <w:hideMark/>
          </w:tcPr>
          <w:p w:rsidR="005E17DC" w:rsidRPr="00385106" w:rsidP="00385106">
            <w:pPr>
              <w:spacing w:line="269" w:lineRule="auto"/>
              <w:jc w:val="center"/>
              <w:rPr>
                <w:szCs w:val="20"/>
                <w:rtl/>
              </w:rPr>
            </w:pPr>
            <w:r w:rsidRPr="00385106">
              <w:rPr>
                <w:rFonts w:hint="cs"/>
                <w:szCs w:val="20"/>
                <w:rtl/>
              </w:rPr>
              <w:t>3</w:t>
            </w:r>
          </w:p>
        </w:tc>
        <w:tc>
          <w:tcPr>
            <w:tcW w:w="1077" w:type="dxa"/>
            <w:tcBorders>
              <w:top w:val="single" w:sz="4" w:space="0" w:color="auto"/>
              <w:left w:val="nil"/>
              <w:bottom w:val="single" w:sz="4" w:space="0" w:color="auto"/>
              <w:right w:val="single" w:sz="4" w:space="0" w:color="auto"/>
            </w:tcBorders>
            <w:shd w:val="clear" w:color="auto" w:fill="auto"/>
            <w:vAlign w:val="bottom"/>
          </w:tcPr>
          <w:p w:rsidR="005E17DC" w:rsidRPr="00385106" w:rsidP="00385106">
            <w:pPr>
              <w:spacing w:line="269" w:lineRule="auto"/>
              <w:jc w:val="center"/>
              <w:rPr>
                <w:rFonts w:ascii="David" w:hAnsi="David"/>
                <w:color w:val="000000"/>
                <w:szCs w:val="20"/>
              </w:rPr>
            </w:pPr>
            <w:r w:rsidRPr="00385106">
              <w:rPr>
                <w:rFonts w:ascii="David" w:hAnsi="David"/>
                <w:color w:val="000000"/>
                <w:szCs w:val="20"/>
              </w:rPr>
              <w:t>0%</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bottom"/>
          </w:tcPr>
          <w:p w:rsidR="005E17DC" w:rsidRPr="00385106" w:rsidP="00385106">
            <w:pPr>
              <w:spacing w:line="269" w:lineRule="auto"/>
              <w:jc w:val="center"/>
              <w:rPr>
                <w:rFonts w:ascii="David" w:hAnsi="David"/>
                <w:szCs w:val="20"/>
                <w:rtl/>
              </w:rPr>
            </w:pPr>
            <w:r w:rsidRPr="00385106">
              <w:rPr>
                <w:rFonts w:ascii="David" w:hAnsi="David"/>
                <w:color w:val="000000"/>
                <w:szCs w:val="20"/>
              </w:rPr>
              <w:t>0%</w:t>
            </w:r>
          </w:p>
        </w:tc>
      </w:tr>
      <w:tr w:rsidTr="00385106">
        <w:tblPrEx>
          <w:tblW w:w="8202" w:type="dxa"/>
          <w:tblInd w:w="438" w:type="dxa"/>
          <w:tblLook w:val="04A0"/>
        </w:tblPrEx>
        <w:trPr>
          <w:trHeight w:val="315"/>
        </w:trPr>
        <w:tc>
          <w:tcPr>
            <w:tcW w:w="3285" w:type="dxa"/>
            <w:noWrap/>
            <w:vAlign w:val="bottom"/>
            <w:hideMark/>
          </w:tcPr>
          <w:p w:rsidR="005E17DC" w:rsidRPr="00385106" w:rsidP="00385106">
            <w:pPr>
              <w:spacing w:line="269" w:lineRule="auto"/>
              <w:rPr>
                <w:szCs w:val="20"/>
                <w:rtl/>
              </w:rPr>
            </w:pPr>
            <w:r w:rsidRPr="00385106">
              <w:rPr>
                <w:rFonts w:hint="cs"/>
                <w:szCs w:val="20"/>
                <w:rtl/>
              </w:rPr>
              <w:t>פנסיונרים</w:t>
            </w:r>
          </w:p>
        </w:tc>
        <w:tc>
          <w:tcPr>
            <w:tcW w:w="921" w:type="dxa"/>
            <w:noWrap/>
            <w:vAlign w:val="bottom"/>
            <w:hideMark/>
          </w:tcPr>
          <w:p w:rsidR="005E17DC" w:rsidRPr="00385106" w:rsidP="00385106">
            <w:pPr>
              <w:spacing w:line="269" w:lineRule="auto"/>
              <w:jc w:val="center"/>
              <w:rPr>
                <w:szCs w:val="20"/>
                <w:rtl/>
              </w:rPr>
            </w:pPr>
            <w:r w:rsidRPr="00385106">
              <w:rPr>
                <w:rFonts w:hint="cs"/>
                <w:szCs w:val="20"/>
                <w:rtl/>
              </w:rPr>
              <w:t>248</w:t>
            </w:r>
          </w:p>
        </w:tc>
        <w:tc>
          <w:tcPr>
            <w:tcW w:w="921" w:type="dxa"/>
            <w:noWrap/>
            <w:vAlign w:val="bottom"/>
            <w:hideMark/>
          </w:tcPr>
          <w:p w:rsidR="005E17DC" w:rsidRPr="00385106" w:rsidP="00385106">
            <w:pPr>
              <w:spacing w:line="269" w:lineRule="auto"/>
              <w:jc w:val="center"/>
              <w:rPr>
                <w:szCs w:val="20"/>
                <w:rtl/>
              </w:rPr>
            </w:pPr>
            <w:r w:rsidRPr="00385106">
              <w:rPr>
                <w:rFonts w:hint="cs"/>
                <w:szCs w:val="20"/>
                <w:rtl/>
              </w:rPr>
              <w:t>252</w:t>
            </w:r>
          </w:p>
        </w:tc>
        <w:tc>
          <w:tcPr>
            <w:tcW w:w="921" w:type="dxa"/>
            <w:noWrap/>
            <w:vAlign w:val="bottom"/>
            <w:hideMark/>
          </w:tcPr>
          <w:p w:rsidR="005E17DC" w:rsidRPr="00385106" w:rsidP="00385106">
            <w:pPr>
              <w:spacing w:line="269" w:lineRule="auto"/>
              <w:jc w:val="center"/>
              <w:rPr>
                <w:szCs w:val="20"/>
                <w:rtl/>
              </w:rPr>
            </w:pPr>
            <w:r w:rsidRPr="00385106">
              <w:rPr>
                <w:rFonts w:hint="cs"/>
                <w:szCs w:val="20"/>
                <w:rtl/>
              </w:rPr>
              <w:t>279</w:t>
            </w:r>
          </w:p>
        </w:tc>
        <w:tc>
          <w:tcPr>
            <w:tcW w:w="1077" w:type="dxa"/>
            <w:tcBorders>
              <w:top w:val="single" w:sz="4" w:space="0" w:color="auto"/>
              <w:left w:val="nil"/>
              <w:bottom w:val="single" w:sz="4" w:space="0" w:color="auto"/>
              <w:right w:val="single" w:sz="4" w:space="0" w:color="auto"/>
            </w:tcBorders>
            <w:shd w:val="clear" w:color="auto" w:fill="auto"/>
            <w:vAlign w:val="bottom"/>
          </w:tcPr>
          <w:p w:rsidR="005E17DC" w:rsidRPr="00385106" w:rsidP="00385106">
            <w:pPr>
              <w:spacing w:line="269" w:lineRule="auto"/>
              <w:jc w:val="center"/>
              <w:rPr>
                <w:rFonts w:ascii="David" w:hAnsi="David"/>
                <w:color w:val="000000"/>
                <w:szCs w:val="20"/>
              </w:rPr>
            </w:pPr>
            <w:r w:rsidRPr="00385106">
              <w:rPr>
                <w:rFonts w:ascii="David" w:hAnsi="David"/>
                <w:color w:val="000000"/>
                <w:szCs w:val="20"/>
              </w:rPr>
              <w:t>11%</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bottom"/>
          </w:tcPr>
          <w:p w:rsidR="005E17DC" w:rsidRPr="00385106" w:rsidP="00385106">
            <w:pPr>
              <w:spacing w:line="269" w:lineRule="auto"/>
              <w:jc w:val="center"/>
              <w:rPr>
                <w:rFonts w:ascii="David" w:hAnsi="David"/>
                <w:szCs w:val="20"/>
                <w:rtl/>
              </w:rPr>
            </w:pPr>
            <w:r w:rsidRPr="00385106">
              <w:rPr>
                <w:rFonts w:ascii="David" w:hAnsi="David"/>
                <w:color w:val="000000"/>
                <w:szCs w:val="20"/>
              </w:rPr>
              <w:t>13%</w:t>
            </w:r>
          </w:p>
        </w:tc>
      </w:tr>
      <w:tr w:rsidTr="00385106">
        <w:tblPrEx>
          <w:tblW w:w="8202" w:type="dxa"/>
          <w:tblInd w:w="438" w:type="dxa"/>
          <w:tblLook w:val="04A0"/>
        </w:tblPrEx>
        <w:trPr>
          <w:trHeight w:val="315"/>
        </w:trPr>
        <w:tc>
          <w:tcPr>
            <w:tcW w:w="3285" w:type="dxa"/>
            <w:noWrap/>
            <w:vAlign w:val="bottom"/>
            <w:hideMark/>
          </w:tcPr>
          <w:p w:rsidR="005E17DC" w:rsidRPr="00385106" w:rsidP="00385106">
            <w:pPr>
              <w:spacing w:line="269" w:lineRule="auto"/>
              <w:rPr>
                <w:b/>
                <w:bCs/>
                <w:szCs w:val="20"/>
                <w:rtl/>
              </w:rPr>
            </w:pPr>
            <w:r w:rsidRPr="00385106">
              <w:rPr>
                <w:rFonts w:hint="eastAsia"/>
                <w:b/>
                <w:bCs/>
                <w:szCs w:val="20"/>
                <w:rtl/>
              </w:rPr>
              <w:t>סה</w:t>
            </w:r>
            <w:r w:rsidRPr="00385106">
              <w:rPr>
                <w:b/>
                <w:bCs/>
                <w:szCs w:val="20"/>
                <w:rtl/>
              </w:rPr>
              <w:t xml:space="preserve">"כ </w:t>
            </w:r>
            <w:r w:rsidRPr="00385106">
              <w:rPr>
                <w:rFonts w:hint="eastAsia"/>
                <w:b/>
                <w:bCs/>
                <w:szCs w:val="20"/>
                <w:rtl/>
              </w:rPr>
              <w:t>משרות</w:t>
            </w:r>
          </w:p>
        </w:tc>
        <w:tc>
          <w:tcPr>
            <w:tcW w:w="921" w:type="dxa"/>
            <w:noWrap/>
            <w:vAlign w:val="bottom"/>
            <w:hideMark/>
          </w:tcPr>
          <w:p w:rsidR="005E17DC" w:rsidRPr="00385106" w:rsidP="00385106">
            <w:pPr>
              <w:spacing w:line="269" w:lineRule="auto"/>
              <w:jc w:val="center"/>
              <w:rPr>
                <w:b/>
                <w:bCs/>
                <w:szCs w:val="20"/>
                <w:rtl/>
              </w:rPr>
            </w:pPr>
            <w:r w:rsidRPr="00385106">
              <w:rPr>
                <w:b/>
                <w:bCs/>
                <w:szCs w:val="20"/>
                <w:rtl/>
              </w:rPr>
              <w:t>887</w:t>
            </w:r>
          </w:p>
        </w:tc>
        <w:tc>
          <w:tcPr>
            <w:tcW w:w="921" w:type="dxa"/>
            <w:noWrap/>
            <w:vAlign w:val="bottom"/>
            <w:hideMark/>
          </w:tcPr>
          <w:p w:rsidR="005E17DC" w:rsidRPr="00385106" w:rsidP="00385106">
            <w:pPr>
              <w:spacing w:line="269" w:lineRule="auto"/>
              <w:jc w:val="center"/>
              <w:rPr>
                <w:b/>
                <w:bCs/>
                <w:szCs w:val="20"/>
                <w:rtl/>
              </w:rPr>
            </w:pPr>
            <w:r w:rsidRPr="00385106">
              <w:rPr>
                <w:b/>
                <w:bCs/>
                <w:szCs w:val="20"/>
                <w:rtl/>
              </w:rPr>
              <w:t>1,044</w:t>
            </w:r>
          </w:p>
        </w:tc>
        <w:tc>
          <w:tcPr>
            <w:tcW w:w="921" w:type="dxa"/>
            <w:noWrap/>
            <w:vAlign w:val="bottom"/>
            <w:hideMark/>
          </w:tcPr>
          <w:p w:rsidR="005E17DC" w:rsidRPr="00385106" w:rsidP="00385106">
            <w:pPr>
              <w:spacing w:line="269" w:lineRule="auto"/>
              <w:jc w:val="center"/>
              <w:rPr>
                <w:b/>
                <w:bCs/>
                <w:szCs w:val="20"/>
                <w:rtl/>
              </w:rPr>
            </w:pPr>
            <w:r w:rsidRPr="00385106">
              <w:rPr>
                <w:b/>
                <w:bCs/>
                <w:szCs w:val="20"/>
                <w:rtl/>
              </w:rPr>
              <w:t>1,403</w:t>
            </w:r>
          </w:p>
        </w:tc>
        <w:tc>
          <w:tcPr>
            <w:tcW w:w="1077" w:type="dxa"/>
            <w:tcBorders>
              <w:top w:val="single" w:sz="4" w:space="0" w:color="auto"/>
              <w:left w:val="nil"/>
              <w:bottom w:val="single" w:sz="4" w:space="0" w:color="auto"/>
              <w:right w:val="single" w:sz="4" w:space="0" w:color="auto"/>
            </w:tcBorders>
            <w:shd w:val="clear" w:color="auto" w:fill="auto"/>
            <w:vAlign w:val="bottom"/>
          </w:tcPr>
          <w:p w:rsidR="005E17DC" w:rsidRPr="00385106" w:rsidP="00385106">
            <w:pPr>
              <w:spacing w:line="269" w:lineRule="auto"/>
              <w:jc w:val="center"/>
              <w:rPr>
                <w:rFonts w:ascii="David" w:hAnsi="David"/>
                <w:b/>
                <w:bCs/>
                <w:color w:val="000000"/>
                <w:szCs w:val="20"/>
              </w:rPr>
            </w:pPr>
            <w:r w:rsidRPr="00385106">
              <w:rPr>
                <w:rFonts w:ascii="David" w:hAnsi="David"/>
                <w:b/>
                <w:bCs/>
                <w:color w:val="000000"/>
                <w:szCs w:val="20"/>
              </w:rPr>
              <w:t>34%</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bottom"/>
          </w:tcPr>
          <w:p w:rsidR="005E17DC" w:rsidRPr="00385106" w:rsidP="00385106">
            <w:pPr>
              <w:spacing w:line="269" w:lineRule="auto"/>
              <w:jc w:val="center"/>
              <w:rPr>
                <w:rFonts w:ascii="David" w:hAnsi="David"/>
                <w:b/>
                <w:bCs/>
                <w:szCs w:val="20"/>
                <w:rtl/>
              </w:rPr>
            </w:pPr>
            <w:r w:rsidRPr="00385106">
              <w:rPr>
                <w:rFonts w:ascii="David" w:hAnsi="David"/>
                <w:b/>
                <w:bCs/>
                <w:color w:val="000000"/>
                <w:szCs w:val="20"/>
              </w:rPr>
              <w:t>58%</w:t>
            </w:r>
          </w:p>
        </w:tc>
      </w:tr>
      <w:tr w:rsidTr="00385106">
        <w:tblPrEx>
          <w:tblW w:w="8202" w:type="dxa"/>
          <w:tblInd w:w="438" w:type="dxa"/>
          <w:tblLook w:val="04A0"/>
        </w:tblPrEx>
        <w:trPr>
          <w:trHeight w:val="375"/>
        </w:trPr>
        <w:tc>
          <w:tcPr>
            <w:tcW w:w="3285" w:type="dxa"/>
            <w:noWrap/>
            <w:vAlign w:val="bottom"/>
          </w:tcPr>
          <w:p w:rsidR="005E17DC" w:rsidRPr="00385106" w:rsidP="00385106">
            <w:pPr>
              <w:spacing w:line="269" w:lineRule="auto"/>
              <w:rPr>
                <w:b/>
                <w:bCs/>
                <w:szCs w:val="20"/>
                <w:rtl/>
              </w:rPr>
            </w:pPr>
            <w:r w:rsidRPr="00385106">
              <w:rPr>
                <w:rFonts w:hint="cs"/>
                <w:b/>
                <w:bCs/>
                <w:szCs w:val="20"/>
                <w:rtl/>
              </w:rPr>
              <w:t>הוצאות שכר לפי שירותים (אלפי ש"ח):</w:t>
            </w:r>
          </w:p>
        </w:tc>
        <w:tc>
          <w:tcPr>
            <w:tcW w:w="921" w:type="dxa"/>
            <w:noWrap/>
            <w:vAlign w:val="bottom"/>
          </w:tcPr>
          <w:p w:rsidR="005E17DC" w:rsidRPr="00385106" w:rsidP="00385106">
            <w:pPr>
              <w:spacing w:line="269" w:lineRule="auto"/>
              <w:jc w:val="center"/>
              <w:rPr>
                <w:b/>
                <w:bCs/>
                <w:szCs w:val="20"/>
                <w:rtl/>
              </w:rPr>
            </w:pPr>
          </w:p>
        </w:tc>
        <w:tc>
          <w:tcPr>
            <w:tcW w:w="921" w:type="dxa"/>
            <w:noWrap/>
            <w:vAlign w:val="bottom"/>
          </w:tcPr>
          <w:p w:rsidR="005E17DC" w:rsidRPr="00385106" w:rsidP="00385106">
            <w:pPr>
              <w:spacing w:line="269" w:lineRule="auto"/>
              <w:jc w:val="center"/>
              <w:rPr>
                <w:b/>
                <w:bCs/>
                <w:szCs w:val="20"/>
                <w:rtl/>
              </w:rPr>
            </w:pPr>
          </w:p>
        </w:tc>
        <w:tc>
          <w:tcPr>
            <w:tcW w:w="921" w:type="dxa"/>
            <w:noWrap/>
            <w:vAlign w:val="bottom"/>
          </w:tcPr>
          <w:p w:rsidR="005E17DC" w:rsidRPr="00385106" w:rsidP="00385106">
            <w:pPr>
              <w:spacing w:line="269" w:lineRule="auto"/>
              <w:jc w:val="center"/>
              <w:rPr>
                <w:b/>
                <w:bCs/>
                <w:szCs w:val="20"/>
                <w:rtl/>
              </w:rPr>
            </w:pPr>
          </w:p>
        </w:tc>
        <w:tc>
          <w:tcPr>
            <w:tcW w:w="1077" w:type="dxa"/>
            <w:tcBorders>
              <w:top w:val="single" w:sz="4" w:space="0" w:color="auto"/>
              <w:left w:val="nil"/>
              <w:bottom w:val="single" w:sz="4" w:space="0" w:color="auto"/>
              <w:right w:val="single" w:sz="4" w:space="0" w:color="auto"/>
            </w:tcBorders>
            <w:shd w:val="clear" w:color="auto" w:fill="auto"/>
            <w:vAlign w:val="bottom"/>
          </w:tcPr>
          <w:p w:rsidR="005E17DC" w:rsidRPr="00385106" w:rsidP="00385106">
            <w:pPr>
              <w:spacing w:line="269" w:lineRule="auto"/>
              <w:jc w:val="center"/>
              <w:rPr>
                <w:rFonts w:ascii="David" w:hAnsi="David"/>
                <w:b/>
                <w:bCs/>
                <w:szCs w:val="20"/>
                <w:rtl/>
              </w:rPr>
            </w:pPr>
          </w:p>
        </w:tc>
        <w:tc>
          <w:tcPr>
            <w:tcW w:w="1077" w:type="dxa"/>
            <w:tcBorders>
              <w:top w:val="single" w:sz="4" w:space="0" w:color="auto"/>
              <w:left w:val="single" w:sz="4" w:space="0" w:color="auto"/>
              <w:bottom w:val="single" w:sz="4" w:space="0" w:color="auto"/>
              <w:right w:val="single" w:sz="4" w:space="0" w:color="auto"/>
            </w:tcBorders>
            <w:shd w:val="clear" w:color="auto" w:fill="auto"/>
            <w:vAlign w:val="bottom"/>
          </w:tcPr>
          <w:p w:rsidR="005E17DC" w:rsidRPr="00385106" w:rsidP="00385106">
            <w:pPr>
              <w:spacing w:line="269" w:lineRule="auto"/>
              <w:jc w:val="center"/>
              <w:rPr>
                <w:rFonts w:ascii="David" w:hAnsi="David"/>
                <w:b/>
                <w:bCs/>
                <w:szCs w:val="20"/>
                <w:rtl/>
              </w:rPr>
            </w:pPr>
          </w:p>
        </w:tc>
      </w:tr>
      <w:tr w:rsidTr="00385106">
        <w:tblPrEx>
          <w:tblW w:w="8202" w:type="dxa"/>
          <w:tblInd w:w="438" w:type="dxa"/>
          <w:tblLook w:val="04A0"/>
        </w:tblPrEx>
        <w:trPr>
          <w:trHeight w:val="315"/>
        </w:trPr>
        <w:tc>
          <w:tcPr>
            <w:tcW w:w="3285" w:type="dxa"/>
            <w:noWrap/>
            <w:vAlign w:val="bottom"/>
            <w:hideMark/>
          </w:tcPr>
          <w:p w:rsidR="005E17DC" w:rsidRPr="00385106" w:rsidP="00385106">
            <w:pPr>
              <w:spacing w:line="269" w:lineRule="auto"/>
              <w:rPr>
                <w:szCs w:val="20"/>
              </w:rPr>
            </w:pPr>
            <w:r w:rsidRPr="00385106">
              <w:rPr>
                <w:rFonts w:hint="cs"/>
                <w:szCs w:val="20"/>
                <w:rtl/>
              </w:rPr>
              <w:t>חינוך</w:t>
            </w:r>
          </w:p>
        </w:tc>
        <w:tc>
          <w:tcPr>
            <w:tcW w:w="921" w:type="dxa"/>
            <w:noWrap/>
            <w:vAlign w:val="bottom"/>
            <w:hideMark/>
          </w:tcPr>
          <w:p w:rsidR="005E17DC" w:rsidRPr="00385106" w:rsidP="00385106">
            <w:pPr>
              <w:spacing w:line="269" w:lineRule="auto"/>
              <w:jc w:val="center"/>
              <w:rPr>
                <w:szCs w:val="20"/>
                <w:rtl/>
              </w:rPr>
            </w:pPr>
            <w:r w:rsidRPr="00385106">
              <w:rPr>
                <w:rFonts w:hint="cs"/>
                <w:szCs w:val="20"/>
                <w:rtl/>
              </w:rPr>
              <w:t>35,442</w:t>
            </w:r>
          </w:p>
        </w:tc>
        <w:tc>
          <w:tcPr>
            <w:tcW w:w="921" w:type="dxa"/>
            <w:noWrap/>
            <w:vAlign w:val="bottom"/>
            <w:hideMark/>
          </w:tcPr>
          <w:p w:rsidR="005E17DC" w:rsidRPr="00385106" w:rsidP="00385106">
            <w:pPr>
              <w:spacing w:line="269" w:lineRule="auto"/>
              <w:jc w:val="center"/>
              <w:rPr>
                <w:szCs w:val="20"/>
                <w:rtl/>
              </w:rPr>
            </w:pPr>
            <w:r w:rsidRPr="00385106">
              <w:rPr>
                <w:rFonts w:hint="cs"/>
                <w:szCs w:val="20"/>
                <w:rtl/>
              </w:rPr>
              <w:t>52,782</w:t>
            </w:r>
          </w:p>
        </w:tc>
        <w:tc>
          <w:tcPr>
            <w:tcW w:w="921" w:type="dxa"/>
            <w:noWrap/>
            <w:vAlign w:val="bottom"/>
            <w:hideMark/>
          </w:tcPr>
          <w:p w:rsidR="005E17DC" w:rsidRPr="00385106" w:rsidP="00385106">
            <w:pPr>
              <w:spacing w:line="269" w:lineRule="auto"/>
              <w:jc w:val="center"/>
              <w:rPr>
                <w:szCs w:val="20"/>
                <w:rtl/>
              </w:rPr>
            </w:pPr>
            <w:r w:rsidRPr="00385106">
              <w:rPr>
                <w:rFonts w:hint="cs"/>
                <w:szCs w:val="20"/>
                <w:rtl/>
              </w:rPr>
              <w:t>96,559</w:t>
            </w:r>
          </w:p>
        </w:tc>
        <w:tc>
          <w:tcPr>
            <w:tcW w:w="1077" w:type="dxa"/>
            <w:tcBorders>
              <w:top w:val="single" w:sz="4" w:space="0" w:color="auto"/>
              <w:left w:val="nil"/>
              <w:bottom w:val="single" w:sz="4" w:space="0" w:color="auto"/>
              <w:right w:val="single" w:sz="4" w:space="0" w:color="auto"/>
            </w:tcBorders>
            <w:shd w:val="clear" w:color="auto" w:fill="auto"/>
            <w:vAlign w:val="bottom"/>
          </w:tcPr>
          <w:p w:rsidR="005E17DC" w:rsidRPr="00385106" w:rsidP="00385106">
            <w:pPr>
              <w:spacing w:line="269" w:lineRule="auto"/>
              <w:jc w:val="center"/>
              <w:rPr>
                <w:rFonts w:ascii="David" w:hAnsi="David"/>
                <w:color w:val="000000"/>
                <w:szCs w:val="20"/>
              </w:rPr>
            </w:pPr>
            <w:r w:rsidRPr="00385106">
              <w:rPr>
                <w:rFonts w:ascii="David" w:hAnsi="David"/>
                <w:color w:val="000000"/>
                <w:szCs w:val="20"/>
              </w:rPr>
              <w:t>83%</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bottom"/>
          </w:tcPr>
          <w:p w:rsidR="005E17DC" w:rsidRPr="00385106" w:rsidP="00385106">
            <w:pPr>
              <w:spacing w:line="269" w:lineRule="auto"/>
              <w:jc w:val="center"/>
              <w:rPr>
                <w:rFonts w:ascii="David" w:hAnsi="David"/>
                <w:szCs w:val="20"/>
                <w:rtl/>
              </w:rPr>
            </w:pPr>
            <w:r w:rsidRPr="00385106">
              <w:rPr>
                <w:rFonts w:ascii="David" w:hAnsi="David"/>
                <w:color w:val="000000"/>
                <w:szCs w:val="20"/>
              </w:rPr>
              <w:t>172%</w:t>
            </w:r>
          </w:p>
        </w:tc>
      </w:tr>
      <w:tr w:rsidTr="00385106">
        <w:tblPrEx>
          <w:tblW w:w="8202" w:type="dxa"/>
          <w:tblInd w:w="438" w:type="dxa"/>
          <w:tblLook w:val="04A0"/>
        </w:tblPrEx>
        <w:trPr>
          <w:trHeight w:val="315"/>
        </w:trPr>
        <w:tc>
          <w:tcPr>
            <w:tcW w:w="3285" w:type="dxa"/>
            <w:noWrap/>
            <w:vAlign w:val="bottom"/>
            <w:hideMark/>
          </w:tcPr>
          <w:p w:rsidR="005E17DC" w:rsidRPr="00385106" w:rsidP="00385106">
            <w:pPr>
              <w:spacing w:line="269" w:lineRule="auto"/>
              <w:rPr>
                <w:szCs w:val="20"/>
                <w:rtl/>
              </w:rPr>
            </w:pPr>
            <w:r w:rsidRPr="00385106">
              <w:rPr>
                <w:rFonts w:hint="cs"/>
                <w:szCs w:val="20"/>
                <w:rtl/>
              </w:rPr>
              <w:t>רווחה</w:t>
            </w:r>
          </w:p>
        </w:tc>
        <w:tc>
          <w:tcPr>
            <w:tcW w:w="921" w:type="dxa"/>
            <w:noWrap/>
            <w:vAlign w:val="bottom"/>
            <w:hideMark/>
          </w:tcPr>
          <w:p w:rsidR="005E17DC" w:rsidRPr="00385106" w:rsidP="00385106">
            <w:pPr>
              <w:spacing w:line="269" w:lineRule="auto"/>
              <w:jc w:val="center"/>
              <w:rPr>
                <w:szCs w:val="20"/>
                <w:rtl/>
              </w:rPr>
            </w:pPr>
            <w:r w:rsidRPr="00385106">
              <w:rPr>
                <w:rFonts w:hint="cs"/>
                <w:szCs w:val="20"/>
                <w:rtl/>
              </w:rPr>
              <w:t>9,298</w:t>
            </w:r>
          </w:p>
        </w:tc>
        <w:tc>
          <w:tcPr>
            <w:tcW w:w="921" w:type="dxa"/>
            <w:noWrap/>
            <w:vAlign w:val="bottom"/>
            <w:hideMark/>
          </w:tcPr>
          <w:p w:rsidR="005E17DC" w:rsidRPr="00385106" w:rsidP="00385106">
            <w:pPr>
              <w:spacing w:line="269" w:lineRule="auto"/>
              <w:jc w:val="center"/>
              <w:rPr>
                <w:szCs w:val="20"/>
                <w:rtl/>
              </w:rPr>
            </w:pPr>
            <w:r w:rsidRPr="00385106">
              <w:rPr>
                <w:rFonts w:hint="cs"/>
                <w:szCs w:val="20"/>
                <w:rtl/>
              </w:rPr>
              <w:t>13,396</w:t>
            </w:r>
          </w:p>
        </w:tc>
        <w:tc>
          <w:tcPr>
            <w:tcW w:w="921" w:type="dxa"/>
            <w:noWrap/>
            <w:vAlign w:val="bottom"/>
            <w:hideMark/>
          </w:tcPr>
          <w:p w:rsidR="005E17DC" w:rsidRPr="00385106" w:rsidP="00385106">
            <w:pPr>
              <w:spacing w:line="269" w:lineRule="auto"/>
              <w:jc w:val="center"/>
              <w:rPr>
                <w:szCs w:val="20"/>
                <w:rtl/>
              </w:rPr>
            </w:pPr>
            <w:r w:rsidRPr="00385106">
              <w:rPr>
                <w:rFonts w:hint="cs"/>
                <w:szCs w:val="20"/>
                <w:rtl/>
              </w:rPr>
              <w:t>16,222</w:t>
            </w:r>
          </w:p>
        </w:tc>
        <w:tc>
          <w:tcPr>
            <w:tcW w:w="1077" w:type="dxa"/>
            <w:tcBorders>
              <w:top w:val="single" w:sz="4" w:space="0" w:color="auto"/>
              <w:left w:val="nil"/>
              <w:bottom w:val="single" w:sz="4" w:space="0" w:color="auto"/>
              <w:right w:val="single" w:sz="4" w:space="0" w:color="auto"/>
            </w:tcBorders>
            <w:shd w:val="clear" w:color="auto" w:fill="auto"/>
            <w:vAlign w:val="bottom"/>
          </w:tcPr>
          <w:p w:rsidR="005E17DC" w:rsidRPr="00385106" w:rsidP="00385106">
            <w:pPr>
              <w:spacing w:line="269" w:lineRule="auto"/>
              <w:jc w:val="center"/>
              <w:rPr>
                <w:rFonts w:ascii="David" w:hAnsi="David"/>
                <w:color w:val="000000"/>
                <w:szCs w:val="20"/>
              </w:rPr>
            </w:pPr>
            <w:r w:rsidRPr="00385106">
              <w:rPr>
                <w:rFonts w:ascii="David" w:hAnsi="David"/>
                <w:color w:val="000000"/>
                <w:szCs w:val="20"/>
              </w:rPr>
              <w:t>21%</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bottom"/>
          </w:tcPr>
          <w:p w:rsidR="005E17DC" w:rsidRPr="00385106" w:rsidP="00385106">
            <w:pPr>
              <w:spacing w:line="269" w:lineRule="auto"/>
              <w:jc w:val="center"/>
              <w:rPr>
                <w:rFonts w:ascii="David" w:hAnsi="David"/>
                <w:szCs w:val="20"/>
                <w:rtl/>
              </w:rPr>
            </w:pPr>
            <w:r w:rsidRPr="00385106">
              <w:rPr>
                <w:rFonts w:ascii="David" w:hAnsi="David"/>
                <w:color w:val="000000"/>
                <w:szCs w:val="20"/>
              </w:rPr>
              <w:t>74%</w:t>
            </w:r>
          </w:p>
        </w:tc>
      </w:tr>
      <w:tr w:rsidTr="00385106">
        <w:tblPrEx>
          <w:tblW w:w="8202" w:type="dxa"/>
          <w:tblInd w:w="438" w:type="dxa"/>
          <w:tblLook w:val="04A0"/>
        </w:tblPrEx>
        <w:trPr>
          <w:trHeight w:val="315"/>
        </w:trPr>
        <w:tc>
          <w:tcPr>
            <w:tcW w:w="3285" w:type="dxa"/>
            <w:noWrap/>
            <w:vAlign w:val="bottom"/>
            <w:hideMark/>
          </w:tcPr>
          <w:p w:rsidR="005E17DC" w:rsidRPr="00385106" w:rsidP="00385106">
            <w:pPr>
              <w:spacing w:line="269" w:lineRule="auto"/>
              <w:rPr>
                <w:szCs w:val="20"/>
                <w:rtl/>
              </w:rPr>
            </w:pPr>
            <w:r w:rsidRPr="00385106">
              <w:rPr>
                <w:rFonts w:hint="cs"/>
                <w:szCs w:val="20"/>
                <w:rtl/>
              </w:rPr>
              <w:t>מוניציפליי</w:t>
            </w:r>
            <w:r w:rsidRPr="00385106">
              <w:rPr>
                <w:rFonts w:hint="eastAsia"/>
                <w:szCs w:val="20"/>
                <w:rtl/>
              </w:rPr>
              <w:t>ם</w:t>
            </w:r>
            <w:r w:rsidRPr="00385106">
              <w:rPr>
                <w:rFonts w:hint="cs"/>
                <w:szCs w:val="20"/>
                <w:rtl/>
              </w:rPr>
              <w:t xml:space="preserve"> בחוזה בכירים</w:t>
            </w:r>
          </w:p>
        </w:tc>
        <w:tc>
          <w:tcPr>
            <w:tcW w:w="921" w:type="dxa"/>
            <w:noWrap/>
            <w:vAlign w:val="bottom"/>
            <w:hideMark/>
          </w:tcPr>
          <w:p w:rsidR="005E17DC" w:rsidRPr="00385106" w:rsidP="00385106">
            <w:pPr>
              <w:spacing w:line="269" w:lineRule="auto"/>
              <w:jc w:val="center"/>
              <w:rPr>
                <w:szCs w:val="20"/>
                <w:rtl/>
              </w:rPr>
            </w:pPr>
            <w:r w:rsidRPr="00385106">
              <w:rPr>
                <w:rFonts w:hint="cs"/>
                <w:szCs w:val="20"/>
                <w:rtl/>
              </w:rPr>
              <w:t>3,216</w:t>
            </w:r>
          </w:p>
        </w:tc>
        <w:tc>
          <w:tcPr>
            <w:tcW w:w="921" w:type="dxa"/>
            <w:noWrap/>
            <w:vAlign w:val="bottom"/>
            <w:hideMark/>
          </w:tcPr>
          <w:p w:rsidR="005E17DC" w:rsidRPr="00385106" w:rsidP="00385106">
            <w:pPr>
              <w:spacing w:line="269" w:lineRule="auto"/>
              <w:jc w:val="center"/>
              <w:rPr>
                <w:szCs w:val="20"/>
                <w:rtl/>
              </w:rPr>
            </w:pPr>
            <w:r w:rsidRPr="00385106">
              <w:rPr>
                <w:rFonts w:hint="cs"/>
                <w:szCs w:val="20"/>
                <w:rtl/>
              </w:rPr>
              <w:t>8,076</w:t>
            </w:r>
          </w:p>
        </w:tc>
        <w:tc>
          <w:tcPr>
            <w:tcW w:w="921" w:type="dxa"/>
            <w:noWrap/>
            <w:vAlign w:val="bottom"/>
            <w:hideMark/>
          </w:tcPr>
          <w:p w:rsidR="005E17DC" w:rsidRPr="00385106" w:rsidP="00385106">
            <w:pPr>
              <w:spacing w:line="269" w:lineRule="auto"/>
              <w:jc w:val="center"/>
              <w:rPr>
                <w:szCs w:val="20"/>
                <w:rtl/>
              </w:rPr>
            </w:pPr>
            <w:r w:rsidRPr="00385106">
              <w:rPr>
                <w:rFonts w:hint="cs"/>
                <w:szCs w:val="20"/>
                <w:rtl/>
              </w:rPr>
              <w:t>9,640</w:t>
            </w:r>
          </w:p>
        </w:tc>
        <w:tc>
          <w:tcPr>
            <w:tcW w:w="1077" w:type="dxa"/>
            <w:tcBorders>
              <w:top w:val="single" w:sz="4" w:space="0" w:color="auto"/>
              <w:left w:val="nil"/>
              <w:bottom w:val="single" w:sz="4" w:space="0" w:color="auto"/>
              <w:right w:val="single" w:sz="4" w:space="0" w:color="auto"/>
            </w:tcBorders>
            <w:shd w:val="clear" w:color="auto" w:fill="auto"/>
            <w:vAlign w:val="bottom"/>
          </w:tcPr>
          <w:p w:rsidR="005E17DC" w:rsidRPr="00385106" w:rsidP="00385106">
            <w:pPr>
              <w:spacing w:line="269" w:lineRule="auto"/>
              <w:jc w:val="center"/>
              <w:rPr>
                <w:rFonts w:ascii="David" w:hAnsi="David"/>
                <w:color w:val="000000"/>
                <w:szCs w:val="20"/>
              </w:rPr>
            </w:pPr>
            <w:r w:rsidRPr="00385106">
              <w:rPr>
                <w:rFonts w:ascii="David" w:hAnsi="David"/>
                <w:color w:val="000000"/>
                <w:szCs w:val="20"/>
              </w:rPr>
              <w:t>19%</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bottom"/>
          </w:tcPr>
          <w:p w:rsidR="005E17DC" w:rsidRPr="00385106" w:rsidP="00385106">
            <w:pPr>
              <w:spacing w:line="269" w:lineRule="auto"/>
              <w:jc w:val="center"/>
              <w:rPr>
                <w:rFonts w:ascii="David" w:hAnsi="David"/>
                <w:szCs w:val="20"/>
                <w:rtl/>
              </w:rPr>
            </w:pPr>
            <w:r w:rsidRPr="00385106">
              <w:rPr>
                <w:rFonts w:ascii="David" w:hAnsi="David"/>
                <w:color w:val="000000"/>
                <w:szCs w:val="20"/>
              </w:rPr>
              <w:t>200%</w:t>
            </w:r>
          </w:p>
        </w:tc>
      </w:tr>
      <w:tr w:rsidTr="00385106">
        <w:tblPrEx>
          <w:tblW w:w="8202" w:type="dxa"/>
          <w:tblInd w:w="438" w:type="dxa"/>
          <w:tblLook w:val="04A0"/>
        </w:tblPrEx>
        <w:trPr>
          <w:trHeight w:val="315"/>
        </w:trPr>
        <w:tc>
          <w:tcPr>
            <w:tcW w:w="3285" w:type="dxa"/>
            <w:noWrap/>
            <w:vAlign w:val="bottom"/>
            <w:hideMark/>
          </w:tcPr>
          <w:p w:rsidR="005E17DC" w:rsidRPr="00385106" w:rsidP="00385106">
            <w:pPr>
              <w:spacing w:line="269" w:lineRule="auto"/>
              <w:rPr>
                <w:szCs w:val="20"/>
                <w:rtl/>
              </w:rPr>
            </w:pPr>
            <w:r w:rsidRPr="00385106">
              <w:rPr>
                <w:rFonts w:hint="cs"/>
                <w:szCs w:val="20"/>
                <w:rtl/>
              </w:rPr>
              <w:t>מוניציפליי</w:t>
            </w:r>
            <w:r w:rsidRPr="00385106">
              <w:rPr>
                <w:rFonts w:hint="eastAsia"/>
                <w:szCs w:val="20"/>
                <w:rtl/>
              </w:rPr>
              <w:t>ם</w:t>
            </w:r>
          </w:p>
        </w:tc>
        <w:tc>
          <w:tcPr>
            <w:tcW w:w="921" w:type="dxa"/>
            <w:noWrap/>
            <w:vAlign w:val="bottom"/>
            <w:hideMark/>
          </w:tcPr>
          <w:p w:rsidR="005E17DC" w:rsidRPr="00385106" w:rsidP="00385106">
            <w:pPr>
              <w:spacing w:line="269" w:lineRule="auto"/>
              <w:jc w:val="center"/>
              <w:rPr>
                <w:szCs w:val="20"/>
                <w:rtl/>
              </w:rPr>
            </w:pPr>
            <w:r w:rsidRPr="00385106">
              <w:rPr>
                <w:rFonts w:hint="cs"/>
                <w:szCs w:val="20"/>
                <w:rtl/>
              </w:rPr>
              <w:t>30,552</w:t>
            </w:r>
          </w:p>
        </w:tc>
        <w:tc>
          <w:tcPr>
            <w:tcW w:w="921" w:type="dxa"/>
            <w:noWrap/>
            <w:vAlign w:val="bottom"/>
            <w:hideMark/>
          </w:tcPr>
          <w:p w:rsidR="005E17DC" w:rsidRPr="00385106" w:rsidP="00385106">
            <w:pPr>
              <w:spacing w:line="269" w:lineRule="auto"/>
              <w:jc w:val="center"/>
              <w:rPr>
                <w:szCs w:val="20"/>
                <w:rtl/>
              </w:rPr>
            </w:pPr>
            <w:r w:rsidRPr="00385106">
              <w:rPr>
                <w:rFonts w:hint="cs"/>
                <w:szCs w:val="20"/>
                <w:rtl/>
              </w:rPr>
              <w:t>40,008</w:t>
            </w:r>
          </w:p>
        </w:tc>
        <w:tc>
          <w:tcPr>
            <w:tcW w:w="921" w:type="dxa"/>
            <w:noWrap/>
            <w:vAlign w:val="bottom"/>
            <w:hideMark/>
          </w:tcPr>
          <w:p w:rsidR="005E17DC" w:rsidRPr="00385106" w:rsidP="00385106">
            <w:pPr>
              <w:spacing w:line="269" w:lineRule="auto"/>
              <w:jc w:val="center"/>
              <w:rPr>
                <w:szCs w:val="20"/>
                <w:rtl/>
              </w:rPr>
            </w:pPr>
            <w:r w:rsidRPr="00385106">
              <w:rPr>
                <w:rFonts w:hint="cs"/>
                <w:szCs w:val="20"/>
                <w:rtl/>
              </w:rPr>
              <w:t>52,808</w:t>
            </w:r>
          </w:p>
        </w:tc>
        <w:tc>
          <w:tcPr>
            <w:tcW w:w="1077" w:type="dxa"/>
            <w:tcBorders>
              <w:top w:val="single" w:sz="4" w:space="0" w:color="auto"/>
              <w:left w:val="nil"/>
              <w:bottom w:val="single" w:sz="4" w:space="0" w:color="auto"/>
              <w:right w:val="single" w:sz="4" w:space="0" w:color="auto"/>
            </w:tcBorders>
            <w:shd w:val="clear" w:color="auto" w:fill="auto"/>
            <w:vAlign w:val="bottom"/>
          </w:tcPr>
          <w:p w:rsidR="005E17DC" w:rsidRPr="00385106" w:rsidP="00385106">
            <w:pPr>
              <w:spacing w:line="269" w:lineRule="auto"/>
              <w:jc w:val="center"/>
              <w:rPr>
                <w:rFonts w:ascii="David" w:hAnsi="David"/>
                <w:color w:val="000000"/>
                <w:szCs w:val="20"/>
              </w:rPr>
            </w:pPr>
            <w:r w:rsidRPr="00385106">
              <w:rPr>
                <w:rFonts w:ascii="David" w:hAnsi="David"/>
                <w:color w:val="000000"/>
                <w:szCs w:val="20"/>
              </w:rPr>
              <w:t>32%</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bottom"/>
          </w:tcPr>
          <w:p w:rsidR="005E17DC" w:rsidRPr="00385106" w:rsidP="00385106">
            <w:pPr>
              <w:spacing w:line="269" w:lineRule="auto"/>
              <w:jc w:val="center"/>
              <w:rPr>
                <w:rFonts w:ascii="David" w:hAnsi="David"/>
                <w:szCs w:val="20"/>
                <w:rtl/>
              </w:rPr>
            </w:pPr>
            <w:r w:rsidRPr="00385106">
              <w:rPr>
                <w:rFonts w:ascii="David" w:hAnsi="David"/>
                <w:color w:val="000000"/>
                <w:szCs w:val="20"/>
              </w:rPr>
              <w:t>73%</w:t>
            </w:r>
          </w:p>
        </w:tc>
      </w:tr>
      <w:tr w:rsidTr="00385106">
        <w:tblPrEx>
          <w:tblW w:w="8202" w:type="dxa"/>
          <w:tblInd w:w="438" w:type="dxa"/>
          <w:tblLook w:val="04A0"/>
        </w:tblPrEx>
        <w:trPr>
          <w:trHeight w:val="315"/>
        </w:trPr>
        <w:tc>
          <w:tcPr>
            <w:tcW w:w="3285" w:type="dxa"/>
            <w:noWrap/>
            <w:vAlign w:val="bottom"/>
            <w:hideMark/>
          </w:tcPr>
          <w:p w:rsidR="005E17DC" w:rsidRPr="00385106" w:rsidP="00385106">
            <w:pPr>
              <w:spacing w:line="269" w:lineRule="auto"/>
              <w:rPr>
                <w:szCs w:val="20"/>
                <w:rtl/>
              </w:rPr>
            </w:pPr>
            <w:r w:rsidRPr="00385106">
              <w:rPr>
                <w:rFonts w:hint="cs"/>
                <w:szCs w:val="20"/>
                <w:rtl/>
              </w:rPr>
              <w:t>נבחרים</w:t>
            </w:r>
          </w:p>
        </w:tc>
        <w:tc>
          <w:tcPr>
            <w:tcW w:w="921" w:type="dxa"/>
            <w:noWrap/>
            <w:vAlign w:val="bottom"/>
            <w:hideMark/>
          </w:tcPr>
          <w:p w:rsidR="005E17DC" w:rsidRPr="00385106" w:rsidP="00385106">
            <w:pPr>
              <w:spacing w:line="269" w:lineRule="auto"/>
              <w:jc w:val="center"/>
              <w:rPr>
                <w:szCs w:val="20"/>
                <w:rtl/>
              </w:rPr>
            </w:pPr>
            <w:r w:rsidRPr="00385106">
              <w:rPr>
                <w:rFonts w:hint="cs"/>
                <w:szCs w:val="20"/>
                <w:rtl/>
              </w:rPr>
              <w:t>1,744</w:t>
            </w:r>
          </w:p>
        </w:tc>
        <w:tc>
          <w:tcPr>
            <w:tcW w:w="921" w:type="dxa"/>
            <w:noWrap/>
            <w:vAlign w:val="bottom"/>
            <w:hideMark/>
          </w:tcPr>
          <w:p w:rsidR="005E17DC" w:rsidRPr="00385106" w:rsidP="00385106">
            <w:pPr>
              <w:spacing w:line="269" w:lineRule="auto"/>
              <w:jc w:val="center"/>
              <w:rPr>
                <w:szCs w:val="20"/>
                <w:rtl/>
              </w:rPr>
            </w:pPr>
            <w:r w:rsidRPr="00385106">
              <w:rPr>
                <w:rFonts w:hint="cs"/>
                <w:szCs w:val="20"/>
                <w:rtl/>
              </w:rPr>
              <w:t>2,000</w:t>
            </w:r>
          </w:p>
        </w:tc>
        <w:tc>
          <w:tcPr>
            <w:tcW w:w="921" w:type="dxa"/>
            <w:noWrap/>
            <w:vAlign w:val="bottom"/>
            <w:hideMark/>
          </w:tcPr>
          <w:p w:rsidR="005E17DC" w:rsidRPr="00385106" w:rsidP="00385106">
            <w:pPr>
              <w:spacing w:line="269" w:lineRule="auto"/>
              <w:jc w:val="center"/>
              <w:rPr>
                <w:szCs w:val="20"/>
                <w:rtl/>
              </w:rPr>
            </w:pPr>
            <w:r w:rsidRPr="00385106">
              <w:rPr>
                <w:rFonts w:hint="cs"/>
                <w:szCs w:val="20"/>
                <w:rtl/>
              </w:rPr>
              <w:t>2,084</w:t>
            </w:r>
          </w:p>
        </w:tc>
        <w:tc>
          <w:tcPr>
            <w:tcW w:w="1077" w:type="dxa"/>
            <w:tcBorders>
              <w:top w:val="single" w:sz="4" w:space="0" w:color="auto"/>
              <w:left w:val="nil"/>
              <w:bottom w:val="single" w:sz="4" w:space="0" w:color="auto"/>
              <w:right w:val="single" w:sz="4" w:space="0" w:color="auto"/>
            </w:tcBorders>
            <w:shd w:val="clear" w:color="auto" w:fill="auto"/>
            <w:vAlign w:val="bottom"/>
          </w:tcPr>
          <w:p w:rsidR="005E17DC" w:rsidRPr="00385106" w:rsidP="00385106">
            <w:pPr>
              <w:spacing w:line="269" w:lineRule="auto"/>
              <w:jc w:val="center"/>
              <w:rPr>
                <w:rFonts w:ascii="David" w:hAnsi="David"/>
                <w:color w:val="000000"/>
                <w:szCs w:val="20"/>
              </w:rPr>
            </w:pPr>
            <w:r w:rsidRPr="00385106">
              <w:rPr>
                <w:rFonts w:ascii="David" w:hAnsi="David"/>
                <w:color w:val="000000"/>
                <w:szCs w:val="20"/>
              </w:rPr>
              <w:t>4%</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bottom"/>
          </w:tcPr>
          <w:p w:rsidR="005E17DC" w:rsidRPr="00385106" w:rsidP="00385106">
            <w:pPr>
              <w:spacing w:line="269" w:lineRule="auto"/>
              <w:jc w:val="center"/>
              <w:rPr>
                <w:rFonts w:ascii="David" w:hAnsi="David"/>
                <w:szCs w:val="20"/>
                <w:rtl/>
              </w:rPr>
            </w:pPr>
            <w:r w:rsidRPr="00385106">
              <w:rPr>
                <w:rFonts w:ascii="David" w:hAnsi="David"/>
                <w:color w:val="000000"/>
                <w:szCs w:val="20"/>
              </w:rPr>
              <w:t>19%</w:t>
            </w:r>
          </w:p>
        </w:tc>
      </w:tr>
      <w:tr w:rsidTr="00385106">
        <w:tblPrEx>
          <w:tblW w:w="8202" w:type="dxa"/>
          <w:tblInd w:w="438" w:type="dxa"/>
          <w:tblLook w:val="04A0"/>
        </w:tblPrEx>
        <w:trPr>
          <w:trHeight w:val="315"/>
        </w:trPr>
        <w:tc>
          <w:tcPr>
            <w:tcW w:w="3285" w:type="dxa"/>
            <w:noWrap/>
            <w:vAlign w:val="bottom"/>
            <w:hideMark/>
          </w:tcPr>
          <w:p w:rsidR="005E17DC" w:rsidRPr="00385106" w:rsidP="00385106">
            <w:pPr>
              <w:spacing w:line="269" w:lineRule="auto"/>
              <w:rPr>
                <w:szCs w:val="20"/>
                <w:rtl/>
              </w:rPr>
            </w:pPr>
            <w:r w:rsidRPr="00385106">
              <w:rPr>
                <w:rFonts w:hint="cs"/>
                <w:szCs w:val="20"/>
                <w:rtl/>
              </w:rPr>
              <w:t>פנסיונרים</w:t>
            </w:r>
          </w:p>
        </w:tc>
        <w:tc>
          <w:tcPr>
            <w:tcW w:w="921" w:type="dxa"/>
            <w:noWrap/>
            <w:vAlign w:val="bottom"/>
            <w:hideMark/>
          </w:tcPr>
          <w:p w:rsidR="005E17DC" w:rsidRPr="00385106" w:rsidP="00385106">
            <w:pPr>
              <w:spacing w:line="269" w:lineRule="auto"/>
              <w:jc w:val="center"/>
              <w:rPr>
                <w:szCs w:val="20"/>
                <w:rtl/>
              </w:rPr>
            </w:pPr>
            <w:r w:rsidRPr="00385106">
              <w:rPr>
                <w:rFonts w:hint="cs"/>
                <w:szCs w:val="20"/>
                <w:rtl/>
              </w:rPr>
              <w:t>25,093</w:t>
            </w:r>
          </w:p>
        </w:tc>
        <w:tc>
          <w:tcPr>
            <w:tcW w:w="921" w:type="dxa"/>
            <w:noWrap/>
            <w:vAlign w:val="bottom"/>
            <w:hideMark/>
          </w:tcPr>
          <w:p w:rsidR="005E17DC" w:rsidRPr="00385106" w:rsidP="00385106">
            <w:pPr>
              <w:spacing w:line="269" w:lineRule="auto"/>
              <w:jc w:val="center"/>
              <w:rPr>
                <w:szCs w:val="20"/>
                <w:rtl/>
              </w:rPr>
            </w:pPr>
            <w:r w:rsidRPr="00385106">
              <w:rPr>
                <w:rFonts w:hint="cs"/>
                <w:szCs w:val="20"/>
                <w:rtl/>
              </w:rPr>
              <w:t>31,813</w:t>
            </w:r>
          </w:p>
        </w:tc>
        <w:tc>
          <w:tcPr>
            <w:tcW w:w="921" w:type="dxa"/>
            <w:noWrap/>
            <w:vAlign w:val="bottom"/>
            <w:hideMark/>
          </w:tcPr>
          <w:p w:rsidR="005E17DC" w:rsidRPr="00385106" w:rsidP="00385106">
            <w:pPr>
              <w:spacing w:line="269" w:lineRule="auto"/>
              <w:jc w:val="center"/>
              <w:rPr>
                <w:szCs w:val="20"/>
                <w:rtl/>
              </w:rPr>
            </w:pPr>
            <w:r w:rsidRPr="00385106">
              <w:rPr>
                <w:rFonts w:hint="cs"/>
                <w:szCs w:val="20"/>
                <w:rtl/>
              </w:rPr>
              <w:t>36,091</w:t>
            </w:r>
          </w:p>
        </w:tc>
        <w:tc>
          <w:tcPr>
            <w:tcW w:w="1077" w:type="dxa"/>
            <w:tcBorders>
              <w:top w:val="single" w:sz="4" w:space="0" w:color="auto"/>
              <w:left w:val="nil"/>
              <w:bottom w:val="single" w:sz="4" w:space="0" w:color="auto"/>
              <w:right w:val="single" w:sz="4" w:space="0" w:color="auto"/>
            </w:tcBorders>
            <w:shd w:val="clear" w:color="auto" w:fill="auto"/>
            <w:vAlign w:val="bottom"/>
          </w:tcPr>
          <w:p w:rsidR="005E17DC" w:rsidRPr="00385106" w:rsidP="00385106">
            <w:pPr>
              <w:spacing w:line="269" w:lineRule="auto"/>
              <w:jc w:val="center"/>
              <w:rPr>
                <w:rFonts w:ascii="David" w:hAnsi="David"/>
                <w:color w:val="000000"/>
                <w:szCs w:val="20"/>
              </w:rPr>
            </w:pPr>
            <w:r w:rsidRPr="00385106">
              <w:rPr>
                <w:rFonts w:ascii="David" w:hAnsi="David"/>
                <w:color w:val="000000"/>
                <w:szCs w:val="20"/>
              </w:rPr>
              <w:t>13%</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bottom"/>
          </w:tcPr>
          <w:p w:rsidR="005E17DC" w:rsidRPr="00385106" w:rsidP="00385106">
            <w:pPr>
              <w:spacing w:line="269" w:lineRule="auto"/>
              <w:jc w:val="center"/>
              <w:rPr>
                <w:rFonts w:asciiTheme="minorHAnsi" w:hAnsiTheme="minorHAnsi"/>
                <w:szCs w:val="20"/>
                <w:rtl/>
              </w:rPr>
            </w:pPr>
            <w:r w:rsidRPr="00385106">
              <w:rPr>
                <w:rFonts w:ascii="David" w:hAnsi="David"/>
                <w:color w:val="000000"/>
                <w:szCs w:val="20"/>
              </w:rPr>
              <w:t>44%</w:t>
            </w:r>
          </w:p>
        </w:tc>
      </w:tr>
      <w:tr w:rsidTr="00385106">
        <w:tblPrEx>
          <w:tblW w:w="8202" w:type="dxa"/>
          <w:tblInd w:w="438" w:type="dxa"/>
          <w:tblLook w:val="04A0"/>
        </w:tblPrEx>
        <w:trPr>
          <w:trHeight w:val="270"/>
        </w:trPr>
        <w:tc>
          <w:tcPr>
            <w:tcW w:w="3285" w:type="dxa"/>
            <w:noWrap/>
            <w:vAlign w:val="bottom"/>
            <w:hideMark/>
          </w:tcPr>
          <w:p w:rsidR="005E17DC" w:rsidRPr="00385106" w:rsidP="00385106">
            <w:pPr>
              <w:spacing w:line="269" w:lineRule="auto"/>
              <w:rPr>
                <w:b/>
                <w:bCs/>
                <w:szCs w:val="20"/>
                <w:rtl/>
              </w:rPr>
            </w:pPr>
            <w:r w:rsidRPr="00385106">
              <w:rPr>
                <w:rFonts w:hint="eastAsia"/>
                <w:b/>
                <w:bCs/>
                <w:szCs w:val="20"/>
                <w:rtl/>
              </w:rPr>
              <w:t>סה</w:t>
            </w:r>
            <w:r w:rsidRPr="00385106">
              <w:rPr>
                <w:b/>
                <w:bCs/>
                <w:szCs w:val="20"/>
                <w:rtl/>
              </w:rPr>
              <w:t xml:space="preserve">"כ </w:t>
            </w:r>
            <w:r w:rsidRPr="00385106">
              <w:rPr>
                <w:rFonts w:hint="eastAsia"/>
                <w:b/>
                <w:bCs/>
                <w:szCs w:val="20"/>
                <w:rtl/>
              </w:rPr>
              <w:t>הוצאות</w:t>
            </w:r>
            <w:r w:rsidRPr="00385106">
              <w:rPr>
                <w:b/>
                <w:bCs/>
                <w:szCs w:val="20"/>
                <w:rtl/>
              </w:rPr>
              <w:t xml:space="preserve"> שכר</w:t>
            </w:r>
            <w:r w:rsidRPr="00385106">
              <w:rPr>
                <w:rFonts w:hint="cs"/>
                <w:b/>
                <w:bCs/>
                <w:szCs w:val="20"/>
                <w:rtl/>
              </w:rPr>
              <w:t xml:space="preserve"> (אלפי ש"ח)</w:t>
            </w:r>
          </w:p>
        </w:tc>
        <w:tc>
          <w:tcPr>
            <w:tcW w:w="921" w:type="dxa"/>
            <w:noWrap/>
            <w:vAlign w:val="bottom"/>
            <w:hideMark/>
          </w:tcPr>
          <w:p w:rsidR="005E17DC" w:rsidRPr="00385106" w:rsidP="00385106">
            <w:pPr>
              <w:spacing w:line="269" w:lineRule="auto"/>
              <w:jc w:val="center"/>
              <w:rPr>
                <w:b/>
                <w:bCs/>
                <w:szCs w:val="20"/>
                <w:rtl/>
              </w:rPr>
            </w:pPr>
            <w:r w:rsidRPr="00385106">
              <w:rPr>
                <w:b/>
                <w:bCs/>
                <w:szCs w:val="20"/>
                <w:rtl/>
              </w:rPr>
              <w:t>105,345</w:t>
            </w:r>
          </w:p>
        </w:tc>
        <w:tc>
          <w:tcPr>
            <w:tcW w:w="921" w:type="dxa"/>
            <w:noWrap/>
            <w:vAlign w:val="bottom"/>
            <w:hideMark/>
          </w:tcPr>
          <w:p w:rsidR="005E17DC" w:rsidRPr="00385106" w:rsidP="00385106">
            <w:pPr>
              <w:spacing w:line="269" w:lineRule="auto"/>
              <w:jc w:val="center"/>
              <w:rPr>
                <w:b/>
                <w:bCs/>
                <w:szCs w:val="20"/>
                <w:rtl/>
              </w:rPr>
            </w:pPr>
            <w:r w:rsidRPr="00385106">
              <w:rPr>
                <w:b/>
                <w:bCs/>
                <w:szCs w:val="20"/>
                <w:rtl/>
              </w:rPr>
              <w:t>148,075</w:t>
            </w:r>
          </w:p>
        </w:tc>
        <w:tc>
          <w:tcPr>
            <w:tcW w:w="921" w:type="dxa"/>
            <w:noWrap/>
            <w:vAlign w:val="bottom"/>
            <w:hideMark/>
          </w:tcPr>
          <w:p w:rsidR="005E17DC" w:rsidRPr="00385106" w:rsidP="00385106">
            <w:pPr>
              <w:spacing w:line="269" w:lineRule="auto"/>
              <w:jc w:val="center"/>
              <w:rPr>
                <w:b/>
                <w:bCs/>
                <w:szCs w:val="20"/>
                <w:rtl/>
              </w:rPr>
            </w:pPr>
            <w:r w:rsidRPr="00385106">
              <w:rPr>
                <w:b/>
                <w:bCs/>
                <w:szCs w:val="20"/>
                <w:rtl/>
              </w:rPr>
              <w:t>213,404</w:t>
            </w:r>
          </w:p>
        </w:tc>
        <w:tc>
          <w:tcPr>
            <w:tcW w:w="1077" w:type="dxa"/>
            <w:tcBorders>
              <w:top w:val="single" w:sz="4" w:space="0" w:color="auto"/>
              <w:left w:val="nil"/>
              <w:bottom w:val="single" w:sz="4" w:space="0" w:color="auto"/>
              <w:right w:val="single" w:sz="4" w:space="0" w:color="auto"/>
            </w:tcBorders>
            <w:shd w:val="clear" w:color="auto" w:fill="auto"/>
            <w:vAlign w:val="bottom"/>
          </w:tcPr>
          <w:p w:rsidR="005E17DC" w:rsidRPr="00385106" w:rsidP="00385106">
            <w:pPr>
              <w:spacing w:line="269" w:lineRule="auto"/>
              <w:jc w:val="center"/>
              <w:rPr>
                <w:rFonts w:ascii="David" w:hAnsi="David"/>
                <w:b/>
                <w:bCs/>
                <w:color w:val="000000"/>
                <w:szCs w:val="20"/>
              </w:rPr>
            </w:pPr>
            <w:r w:rsidRPr="00385106">
              <w:rPr>
                <w:rFonts w:ascii="David" w:hAnsi="David"/>
                <w:b/>
                <w:bCs/>
                <w:color w:val="000000"/>
                <w:szCs w:val="20"/>
              </w:rPr>
              <w:t>44%</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bottom"/>
          </w:tcPr>
          <w:p w:rsidR="005E17DC" w:rsidRPr="00385106" w:rsidP="00385106">
            <w:pPr>
              <w:spacing w:line="269" w:lineRule="auto"/>
              <w:jc w:val="center"/>
              <w:rPr>
                <w:rFonts w:ascii="David" w:hAnsi="David"/>
                <w:b/>
                <w:bCs/>
                <w:szCs w:val="20"/>
                <w:rtl/>
              </w:rPr>
            </w:pPr>
            <w:r w:rsidRPr="00385106">
              <w:rPr>
                <w:rFonts w:ascii="David" w:hAnsi="David"/>
                <w:b/>
                <w:bCs/>
                <w:color w:val="000000"/>
                <w:szCs w:val="20"/>
              </w:rPr>
              <w:t>103%</w:t>
            </w:r>
          </w:p>
        </w:tc>
      </w:tr>
      <w:tr w:rsidTr="00385106">
        <w:tblPrEx>
          <w:tblW w:w="8202" w:type="dxa"/>
          <w:tblInd w:w="438" w:type="dxa"/>
          <w:tblLook w:val="04A0"/>
        </w:tblPrEx>
        <w:trPr>
          <w:trHeight w:val="255"/>
        </w:trPr>
        <w:tc>
          <w:tcPr>
            <w:tcW w:w="3285" w:type="dxa"/>
            <w:noWrap/>
            <w:vAlign w:val="bottom"/>
            <w:hideMark/>
          </w:tcPr>
          <w:p w:rsidR="005E17DC" w:rsidRPr="00385106" w:rsidP="00385106">
            <w:pPr>
              <w:spacing w:line="269" w:lineRule="auto"/>
              <w:rPr>
                <w:b/>
                <w:bCs/>
                <w:szCs w:val="20"/>
                <w:rtl/>
              </w:rPr>
            </w:pPr>
            <w:r w:rsidRPr="00385106">
              <w:rPr>
                <w:rFonts w:hint="eastAsia"/>
                <w:b/>
                <w:bCs/>
                <w:szCs w:val="20"/>
                <w:rtl/>
              </w:rPr>
              <w:t>שיעור</w:t>
            </w:r>
            <w:r w:rsidRPr="00385106">
              <w:rPr>
                <w:b/>
                <w:bCs/>
                <w:szCs w:val="20"/>
                <w:rtl/>
              </w:rPr>
              <w:t xml:space="preserve"> </w:t>
            </w:r>
            <w:r w:rsidRPr="00385106">
              <w:rPr>
                <w:rFonts w:hint="eastAsia"/>
                <w:b/>
                <w:bCs/>
                <w:szCs w:val="20"/>
                <w:rtl/>
              </w:rPr>
              <w:t>הוצאות</w:t>
            </w:r>
            <w:r w:rsidRPr="00385106">
              <w:rPr>
                <w:b/>
                <w:bCs/>
                <w:szCs w:val="20"/>
                <w:rtl/>
              </w:rPr>
              <w:t xml:space="preserve"> </w:t>
            </w:r>
            <w:r w:rsidRPr="00385106">
              <w:rPr>
                <w:rFonts w:hint="eastAsia"/>
                <w:b/>
                <w:bCs/>
                <w:szCs w:val="20"/>
                <w:rtl/>
              </w:rPr>
              <w:t>שכר</w:t>
            </w:r>
            <w:r w:rsidRPr="00385106">
              <w:rPr>
                <w:b/>
                <w:bCs/>
                <w:szCs w:val="20"/>
                <w:rtl/>
              </w:rPr>
              <w:t xml:space="preserve"> </w:t>
            </w:r>
            <w:r w:rsidRPr="00385106">
              <w:rPr>
                <w:rFonts w:hint="eastAsia"/>
                <w:b/>
                <w:bCs/>
                <w:szCs w:val="20"/>
                <w:rtl/>
              </w:rPr>
              <w:t>מהתקציב</w:t>
            </w:r>
          </w:p>
        </w:tc>
        <w:tc>
          <w:tcPr>
            <w:tcW w:w="921" w:type="dxa"/>
            <w:noWrap/>
            <w:vAlign w:val="bottom"/>
            <w:hideMark/>
          </w:tcPr>
          <w:p w:rsidR="005E17DC" w:rsidRPr="00385106" w:rsidP="00385106">
            <w:pPr>
              <w:spacing w:line="269" w:lineRule="auto"/>
              <w:jc w:val="center"/>
              <w:rPr>
                <w:b/>
                <w:bCs/>
                <w:szCs w:val="20"/>
                <w:rtl/>
              </w:rPr>
            </w:pPr>
            <w:r w:rsidRPr="00385106">
              <w:rPr>
                <w:b/>
                <w:bCs/>
                <w:szCs w:val="20"/>
                <w:rtl/>
              </w:rPr>
              <w:t>33%</w:t>
            </w:r>
          </w:p>
        </w:tc>
        <w:tc>
          <w:tcPr>
            <w:tcW w:w="921" w:type="dxa"/>
            <w:noWrap/>
            <w:vAlign w:val="bottom"/>
            <w:hideMark/>
          </w:tcPr>
          <w:p w:rsidR="005E17DC" w:rsidRPr="00385106" w:rsidP="00385106">
            <w:pPr>
              <w:spacing w:line="269" w:lineRule="auto"/>
              <w:jc w:val="center"/>
              <w:rPr>
                <w:b/>
                <w:bCs/>
                <w:szCs w:val="20"/>
                <w:rtl/>
              </w:rPr>
            </w:pPr>
            <w:r w:rsidRPr="00385106">
              <w:rPr>
                <w:b/>
                <w:bCs/>
                <w:szCs w:val="20"/>
                <w:rtl/>
              </w:rPr>
              <w:t>36%</w:t>
            </w:r>
          </w:p>
        </w:tc>
        <w:tc>
          <w:tcPr>
            <w:tcW w:w="921" w:type="dxa"/>
            <w:noWrap/>
            <w:vAlign w:val="bottom"/>
            <w:hideMark/>
          </w:tcPr>
          <w:p w:rsidR="005E17DC" w:rsidRPr="00385106" w:rsidP="00385106">
            <w:pPr>
              <w:spacing w:line="269" w:lineRule="auto"/>
              <w:jc w:val="center"/>
              <w:rPr>
                <w:b/>
                <w:bCs/>
                <w:szCs w:val="20"/>
                <w:rtl/>
              </w:rPr>
            </w:pPr>
            <w:r w:rsidRPr="00385106">
              <w:rPr>
                <w:b/>
                <w:bCs/>
                <w:szCs w:val="20"/>
                <w:rtl/>
              </w:rPr>
              <w:t>39%</w:t>
            </w:r>
          </w:p>
        </w:tc>
        <w:tc>
          <w:tcPr>
            <w:tcW w:w="1077" w:type="dxa"/>
            <w:tcBorders>
              <w:top w:val="single" w:sz="4" w:space="0" w:color="auto"/>
              <w:left w:val="nil"/>
              <w:bottom w:val="single" w:sz="4" w:space="0" w:color="auto"/>
              <w:right w:val="single" w:sz="4" w:space="0" w:color="auto"/>
            </w:tcBorders>
            <w:shd w:val="clear" w:color="auto" w:fill="auto"/>
            <w:vAlign w:val="bottom"/>
          </w:tcPr>
          <w:p w:rsidR="005E17DC" w:rsidRPr="00385106" w:rsidP="00385106">
            <w:pPr>
              <w:spacing w:line="269" w:lineRule="auto"/>
              <w:jc w:val="center"/>
              <w:rPr>
                <w:rFonts w:ascii="David" w:hAnsi="David"/>
                <w:b/>
                <w:bCs/>
                <w:color w:val="000000"/>
                <w:szCs w:val="20"/>
              </w:rPr>
            </w:pPr>
            <w:r w:rsidRPr="00385106">
              <w:rPr>
                <w:rFonts w:ascii="David" w:hAnsi="David"/>
                <w:b/>
                <w:bCs/>
                <w:color w:val="000000"/>
                <w:szCs w:val="20"/>
              </w:rPr>
              <w:t>8%</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bottom"/>
          </w:tcPr>
          <w:p w:rsidR="005E17DC" w:rsidRPr="00385106" w:rsidP="00385106">
            <w:pPr>
              <w:spacing w:line="269" w:lineRule="auto"/>
              <w:jc w:val="center"/>
              <w:rPr>
                <w:rFonts w:ascii="David" w:hAnsi="David"/>
                <w:b/>
                <w:bCs/>
                <w:szCs w:val="20"/>
                <w:rtl/>
              </w:rPr>
            </w:pPr>
            <w:r w:rsidRPr="00385106">
              <w:rPr>
                <w:rFonts w:ascii="David" w:hAnsi="David"/>
                <w:b/>
                <w:bCs/>
                <w:color w:val="000000"/>
                <w:szCs w:val="20"/>
              </w:rPr>
              <w:t>18%</w:t>
            </w:r>
          </w:p>
        </w:tc>
      </w:tr>
    </w:tbl>
    <w:p w:rsidR="005E17DC" w:rsidRPr="005E17DC" w:rsidP="00A67A80">
      <w:pPr>
        <w:spacing w:before="120" w:line="269" w:lineRule="auto"/>
        <w:rPr>
          <w:sz w:val="22"/>
          <w:szCs w:val="22"/>
          <w:rtl/>
        </w:rPr>
      </w:pPr>
      <w:r w:rsidRPr="005E17DC">
        <w:rPr>
          <w:rFonts w:hint="cs"/>
          <w:sz w:val="22"/>
          <w:szCs w:val="22"/>
          <w:rtl/>
        </w:rPr>
        <w:t>המקור: דוחות כספיים מבוקרים של עיריית רמלה לשנים 2008, 2013, 2018.</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Fonts w:hint="eastAsia"/>
          <w:rtl/>
        </w:rPr>
        <w:t>מהלוח</w:t>
      </w:r>
      <w:r w:rsidRPr="005E17DC">
        <w:rPr>
          <w:rtl/>
        </w:rPr>
        <w:t xml:space="preserve"> </w:t>
      </w:r>
      <w:r w:rsidRPr="005E17DC">
        <w:rPr>
          <w:rFonts w:hint="eastAsia"/>
          <w:rtl/>
        </w:rPr>
        <w:t>עולה</w:t>
      </w:r>
      <w:r w:rsidRPr="005E17DC">
        <w:rPr>
          <w:rtl/>
        </w:rPr>
        <w:t xml:space="preserve"> </w:t>
      </w:r>
      <w:r w:rsidRPr="005E17DC">
        <w:rPr>
          <w:rFonts w:hint="eastAsia"/>
          <w:rtl/>
        </w:rPr>
        <w:t>כי</w:t>
      </w:r>
      <w:r w:rsidRPr="005E17DC">
        <w:rPr>
          <w:rFonts w:hint="cs"/>
          <w:rtl/>
        </w:rPr>
        <w:t xml:space="preserve"> בשנים 2008 - 2018 </w:t>
      </w:r>
      <w:r w:rsidRPr="005E17DC">
        <w:rPr>
          <w:rFonts w:hint="eastAsia"/>
          <w:rtl/>
        </w:rPr>
        <w:t>גדל</w:t>
      </w:r>
      <w:r w:rsidRPr="005E17DC">
        <w:rPr>
          <w:rtl/>
        </w:rPr>
        <w:t xml:space="preserve"> </w:t>
      </w:r>
      <w:r w:rsidRPr="005E17DC">
        <w:rPr>
          <w:rFonts w:hint="eastAsia"/>
          <w:rtl/>
        </w:rPr>
        <w:t>מספרם</w:t>
      </w:r>
      <w:r w:rsidRPr="005E17DC">
        <w:rPr>
          <w:rtl/>
        </w:rPr>
        <w:t xml:space="preserve"> </w:t>
      </w:r>
      <w:r w:rsidRPr="005E17DC">
        <w:rPr>
          <w:rFonts w:hint="eastAsia"/>
          <w:rtl/>
        </w:rPr>
        <w:t>של</w:t>
      </w:r>
      <w:r w:rsidRPr="005E17DC">
        <w:rPr>
          <w:rtl/>
        </w:rPr>
        <w:t xml:space="preserve"> </w:t>
      </w:r>
      <w:r w:rsidRPr="005E17DC">
        <w:rPr>
          <w:rFonts w:hint="eastAsia"/>
          <w:rtl/>
        </w:rPr>
        <w:t>תושבי</w:t>
      </w:r>
      <w:r w:rsidRPr="005E17DC">
        <w:rPr>
          <w:rtl/>
        </w:rPr>
        <w:t xml:space="preserve"> רמלה ב-15%, לעומת גידול של 103% בהוצאות העירייה על </w:t>
      </w:r>
      <w:r w:rsidRPr="005E17DC">
        <w:rPr>
          <w:rFonts w:hint="eastAsia"/>
          <w:rtl/>
        </w:rPr>
        <w:t>שכר</w:t>
      </w:r>
      <w:r w:rsidRPr="005E17DC">
        <w:rPr>
          <w:rtl/>
        </w:rPr>
        <w:t>.</w:t>
      </w:r>
      <w:r w:rsidRPr="005E17DC">
        <w:rPr>
          <w:rFonts w:hint="cs"/>
          <w:rtl/>
        </w:rPr>
        <w:t xml:space="preserve"> וכי </w:t>
      </w:r>
      <w:r w:rsidRPr="005E17DC">
        <w:rPr>
          <w:rFonts w:hint="eastAsia"/>
          <w:rtl/>
        </w:rPr>
        <w:t>מספר</w:t>
      </w:r>
      <w:r w:rsidRPr="005E17DC">
        <w:rPr>
          <w:rtl/>
        </w:rPr>
        <w:t xml:space="preserve"> </w:t>
      </w:r>
      <w:r w:rsidRPr="005E17DC">
        <w:rPr>
          <w:rFonts w:hint="eastAsia"/>
          <w:rtl/>
        </w:rPr>
        <w:t>המשרות</w:t>
      </w:r>
      <w:r w:rsidRPr="005E17DC">
        <w:rPr>
          <w:rtl/>
        </w:rPr>
        <w:t xml:space="preserve"> </w:t>
      </w:r>
      <w:r w:rsidRPr="005E17DC">
        <w:rPr>
          <w:rFonts w:hint="eastAsia"/>
          <w:rtl/>
        </w:rPr>
        <w:t>לאלף</w:t>
      </w:r>
      <w:r w:rsidRPr="005E17DC">
        <w:rPr>
          <w:rtl/>
        </w:rPr>
        <w:t xml:space="preserve"> </w:t>
      </w:r>
      <w:r w:rsidRPr="005E17DC">
        <w:rPr>
          <w:rFonts w:hint="eastAsia"/>
          <w:rtl/>
        </w:rPr>
        <w:t>תושבים</w:t>
      </w:r>
      <w:r>
        <w:rPr>
          <w:vertAlign w:val="superscript"/>
          <w:rtl/>
        </w:rPr>
        <w:footnoteReference w:id="34"/>
      </w:r>
      <w:r w:rsidRPr="005E17DC">
        <w:rPr>
          <w:rtl/>
        </w:rPr>
        <w:t xml:space="preserve"> </w:t>
      </w:r>
      <w:r w:rsidRPr="005E17DC">
        <w:rPr>
          <w:rFonts w:hint="eastAsia"/>
          <w:rtl/>
        </w:rPr>
        <w:t>עלה</w:t>
      </w:r>
      <w:r w:rsidRPr="005E17DC">
        <w:rPr>
          <w:rtl/>
        </w:rPr>
        <w:t xml:space="preserve"> מ-9 בשנת 2008 ל-14 בשנת 2018, </w:t>
      </w:r>
      <w:r w:rsidRPr="005E17DC">
        <w:rPr>
          <w:rFonts w:hint="eastAsia"/>
          <w:rtl/>
        </w:rPr>
        <w:t>עלייה</w:t>
      </w:r>
      <w:r w:rsidRPr="005E17DC">
        <w:rPr>
          <w:rtl/>
        </w:rPr>
        <w:t xml:space="preserve"> של 55%</w:t>
      </w:r>
      <w:r w:rsidRPr="005E17DC">
        <w:rPr>
          <w:rFonts w:hint="cs"/>
          <w:rtl/>
        </w:rPr>
        <w:t>;</w:t>
      </w:r>
      <w:r w:rsidRPr="005E17DC">
        <w:rPr>
          <w:rtl/>
        </w:rPr>
        <w:t xml:space="preserve"> </w:t>
      </w:r>
      <w:r w:rsidRPr="005E17DC">
        <w:rPr>
          <w:rFonts w:hint="eastAsia"/>
          <w:rtl/>
        </w:rPr>
        <w:t>עיקר</w:t>
      </w:r>
      <w:r w:rsidRPr="005E17DC">
        <w:rPr>
          <w:rtl/>
        </w:rPr>
        <w:t xml:space="preserve"> </w:t>
      </w:r>
      <w:r w:rsidRPr="005E17DC">
        <w:rPr>
          <w:rFonts w:hint="eastAsia"/>
          <w:rtl/>
        </w:rPr>
        <w:t>הגידול</w:t>
      </w:r>
      <w:r w:rsidRPr="005E17DC">
        <w:rPr>
          <w:rtl/>
        </w:rPr>
        <w:t xml:space="preserve"> היה במספר עובדי העירייה בתחום החי</w:t>
      </w:r>
      <w:r w:rsidRPr="005E17DC">
        <w:rPr>
          <w:rFonts w:hint="eastAsia"/>
          <w:rtl/>
        </w:rPr>
        <w:t>נוך</w:t>
      </w:r>
      <w:r w:rsidRPr="005E17DC">
        <w:rPr>
          <w:rtl/>
        </w:rPr>
        <w:t xml:space="preserve"> </w:t>
      </w:r>
      <w:r w:rsidRPr="005E17DC">
        <w:rPr>
          <w:rFonts w:hint="cs"/>
          <w:rtl/>
        </w:rPr>
        <w:t xml:space="preserve">- </w:t>
      </w:r>
      <w:r w:rsidRPr="005E17DC">
        <w:rPr>
          <w:rtl/>
        </w:rPr>
        <w:t xml:space="preserve">מ-5 </w:t>
      </w:r>
      <w:r w:rsidRPr="005E17DC">
        <w:rPr>
          <w:rFonts w:hint="cs"/>
          <w:rtl/>
        </w:rPr>
        <w:t xml:space="preserve">לאלף תושבים </w:t>
      </w:r>
      <w:r w:rsidRPr="005E17DC">
        <w:rPr>
          <w:rFonts w:hint="eastAsia"/>
          <w:rtl/>
        </w:rPr>
        <w:t>בשנת</w:t>
      </w:r>
      <w:r w:rsidRPr="005E17DC">
        <w:rPr>
          <w:rtl/>
        </w:rPr>
        <w:t xml:space="preserve"> 2008 </w:t>
      </w:r>
      <w:r w:rsidRPr="005E17DC">
        <w:rPr>
          <w:rFonts w:hint="eastAsia"/>
          <w:rtl/>
        </w:rPr>
        <w:t>ל</w:t>
      </w:r>
      <w:r w:rsidRPr="005E17DC">
        <w:rPr>
          <w:rtl/>
        </w:rPr>
        <w:t xml:space="preserve">-9 </w:t>
      </w:r>
      <w:r w:rsidRPr="005E17DC">
        <w:rPr>
          <w:rFonts w:hint="cs"/>
          <w:rtl/>
        </w:rPr>
        <w:t>לאלף תושבים</w:t>
      </w:r>
      <w:r w:rsidRPr="005E17DC">
        <w:rPr>
          <w:rtl/>
        </w:rPr>
        <w:t xml:space="preserve"> </w:t>
      </w:r>
      <w:r w:rsidRPr="005E17DC">
        <w:rPr>
          <w:rFonts w:hint="eastAsia"/>
          <w:rtl/>
        </w:rPr>
        <w:t>בשנת</w:t>
      </w:r>
      <w:r w:rsidRPr="005E17DC">
        <w:rPr>
          <w:rtl/>
        </w:rPr>
        <w:t xml:space="preserve"> 2018. </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Fonts w:hint="cs"/>
          <w:rtl/>
        </w:rPr>
        <w:t xml:space="preserve">בתשובת העירייה נכתב כי הגידול במספר עובדי העירייה ובהוצאות שכר נבע מהחובה שהטילה הממשלה להוסיף סייעות בגני הילדים, בלי קשר לגידול באוכלוסייה; מהעברת </w:t>
      </w:r>
      <w:r w:rsidRPr="005E17DC">
        <w:rPr>
          <w:rFonts w:hint="cs"/>
          <w:rtl/>
        </w:rPr>
        <w:t>תוכניות</w:t>
      </w:r>
      <w:r w:rsidRPr="005E17DC">
        <w:rPr>
          <w:rFonts w:hint="cs"/>
          <w:rtl/>
        </w:rPr>
        <w:t xml:space="preserve"> לביצוע ממשרדי הממשלה לשלטון המקומי, בעיקר בתחומי החינוך והרווחה; ומגידול נכבד במספר מוסדות החינוך בעיר. עוד ציינה העירייה כי הגידול בהוצאות השכר שלה בשנים האמורות דומה לגידול בהוצאות השכר בעיריות הסמוכות לה שמאפייניהן הדמוגרפיים דומים </w:t>
      </w:r>
      <w:r w:rsidRPr="005E17DC">
        <w:rPr>
          <w:rFonts w:hint="cs"/>
          <w:rtl/>
        </w:rPr>
        <w:t>לשלה</w:t>
      </w:r>
      <w:r w:rsidRPr="005E17DC">
        <w:rPr>
          <w:rFonts w:hint="cs"/>
          <w:rtl/>
        </w:rPr>
        <w:t>.</w:t>
      </w:r>
    </w:p>
    <w:p w:rsidR="005E17DC" w:rsidRPr="005E17DC" w:rsidP="00385106">
      <w:pPr>
        <w:spacing w:line="269" w:lineRule="auto"/>
        <w:rPr>
          <w:rtl/>
        </w:rPr>
      </w:pPr>
    </w:p>
    <w:p w:rsidR="005E17DC" w:rsidRPr="005E17DC" w:rsidP="00385106">
      <w:pPr>
        <w:bidi w:val="0"/>
        <w:spacing w:line="269" w:lineRule="auto"/>
        <w:rPr>
          <w:rFonts w:eastAsiaTheme="majorEastAsia"/>
          <w:bCs/>
          <w:szCs w:val="26"/>
        </w:rPr>
      </w:pPr>
      <w:r w:rsidRPr="005E17DC">
        <w:rPr>
          <w:rFonts w:eastAsiaTheme="majorEastAsia"/>
          <w:bCs/>
          <w:szCs w:val="26"/>
          <w:rtl/>
        </w:rPr>
        <w:br w:type="page"/>
      </w:r>
    </w:p>
    <w:p w:rsidR="005E17DC" w:rsidRPr="005E17DC" w:rsidP="00385106">
      <w:pPr>
        <w:keepNext/>
        <w:keepLines/>
        <w:spacing w:line="269" w:lineRule="auto"/>
        <w:outlineLvl w:val="3"/>
        <w:rPr>
          <w:rFonts w:eastAsiaTheme="majorEastAsia"/>
          <w:bCs/>
          <w:szCs w:val="26"/>
          <w:rtl/>
        </w:rPr>
      </w:pPr>
      <w:r w:rsidRPr="005E17DC">
        <w:rPr>
          <w:rFonts w:eastAsiaTheme="majorEastAsia" w:hint="cs"/>
          <w:bCs/>
          <w:szCs w:val="26"/>
          <w:rtl/>
        </w:rPr>
        <w:t>המבנה הארגוני של העירייה</w:t>
      </w:r>
    </w:p>
    <w:p w:rsidR="005E17DC" w:rsidRPr="005E17DC" w:rsidP="00385106">
      <w:pPr>
        <w:spacing w:line="269" w:lineRule="auto"/>
        <w:ind w:left="-567"/>
        <w:rPr>
          <w:szCs w:val="20"/>
          <w:rtl/>
        </w:rPr>
      </w:pPr>
    </w:p>
    <w:p w:rsidR="005E17DC" w:rsidRPr="005E17DC" w:rsidP="00C53793">
      <w:pPr>
        <w:spacing w:line="269" w:lineRule="auto"/>
        <w:rPr>
          <w:rtl/>
        </w:rPr>
      </w:pPr>
      <w:r w:rsidRPr="005E17DC">
        <w:rPr>
          <w:rtl/>
        </w:rPr>
        <w:t xml:space="preserve">המבנה הארגוני ברשות מקומית </w:t>
      </w:r>
      <w:r w:rsidRPr="005E17DC">
        <w:rPr>
          <w:rFonts w:hint="cs"/>
          <w:rtl/>
        </w:rPr>
        <w:t>הוא ה</w:t>
      </w:r>
      <w:r w:rsidRPr="005E17DC">
        <w:rPr>
          <w:rtl/>
        </w:rPr>
        <w:t>בסיס לקביעת</w:t>
      </w:r>
      <w:r w:rsidRPr="005E17DC">
        <w:rPr>
          <w:rFonts w:hint="cs"/>
          <w:rtl/>
        </w:rPr>
        <w:t>ו של</w:t>
      </w:r>
      <w:r w:rsidRPr="005E17DC">
        <w:rPr>
          <w:rtl/>
        </w:rPr>
        <w:t xml:space="preserve"> תקן </w:t>
      </w:r>
      <w:r w:rsidR="00C53793">
        <w:rPr>
          <w:rFonts w:hint="cs"/>
          <w:rtl/>
        </w:rPr>
        <w:t>כוח אדם</w:t>
      </w:r>
      <w:r w:rsidRPr="005E17DC">
        <w:rPr>
          <w:rtl/>
        </w:rPr>
        <w:t xml:space="preserve"> ברשות, להגדרת תפקידים, להגדרת קשרי הגומלין בין בעלי התפקידים </w:t>
      </w:r>
      <w:r w:rsidRPr="005E17DC">
        <w:rPr>
          <w:rFonts w:hint="cs"/>
          <w:rtl/>
        </w:rPr>
        <w:t>ו</w:t>
      </w:r>
      <w:r w:rsidRPr="005E17DC">
        <w:rPr>
          <w:rtl/>
        </w:rPr>
        <w:t>בין תחומי האחריות המוטלים עליהם</w:t>
      </w:r>
      <w:r w:rsidRPr="005E17DC">
        <w:rPr>
          <w:rFonts w:hint="cs"/>
          <w:rtl/>
        </w:rPr>
        <w:t>,</w:t>
      </w:r>
      <w:r w:rsidRPr="005E17DC">
        <w:rPr>
          <w:rtl/>
        </w:rPr>
        <w:t xml:space="preserve"> וליצירת המדרג הניהולי ברשות. </w:t>
      </w:r>
      <w:r w:rsidRPr="005E17DC">
        <w:rPr>
          <w:rFonts w:hint="cs"/>
          <w:rtl/>
        </w:rPr>
        <w:t>הוא</w:t>
      </w:r>
      <w:r w:rsidRPr="005E17DC">
        <w:rPr>
          <w:rtl/>
        </w:rPr>
        <w:t xml:space="preserve"> אמור לתת ביטוי ל</w:t>
      </w:r>
      <w:r w:rsidRPr="005E17DC">
        <w:rPr>
          <w:rFonts w:hint="cs"/>
          <w:rtl/>
        </w:rPr>
        <w:t>יעדיה</w:t>
      </w:r>
      <w:r w:rsidRPr="005E17DC">
        <w:rPr>
          <w:rtl/>
        </w:rPr>
        <w:t xml:space="preserve"> של הרשות וליצור סביבת עבודה </w:t>
      </w:r>
      <w:r w:rsidRPr="005E17DC">
        <w:rPr>
          <w:rFonts w:hint="cs"/>
          <w:rtl/>
        </w:rPr>
        <w:t>ההולמת את מטרותיה,</w:t>
      </w:r>
      <w:r w:rsidRPr="005E17DC">
        <w:rPr>
          <w:rtl/>
        </w:rPr>
        <w:t xml:space="preserve"> שכל עובד בה יודע את תפקידו ואת האחריות הנלווית לתפקידו. לפיכך ראוי לבחון </w:t>
      </w:r>
      <w:r w:rsidRPr="005E17DC">
        <w:rPr>
          <w:rFonts w:hint="cs"/>
          <w:rtl/>
        </w:rPr>
        <w:t xml:space="preserve">מדי פעם </w:t>
      </w:r>
      <w:r w:rsidRPr="005E17DC">
        <w:rPr>
          <w:rtl/>
        </w:rPr>
        <w:t>את המבנה הארגוני של העירייה ולעדכנו, לייעלו ולשפרו על פי השינויים בצורכי הרשות</w:t>
      </w:r>
      <w:r w:rsidRPr="005E17DC">
        <w:rPr>
          <w:rFonts w:hint="cs"/>
          <w:rtl/>
        </w:rPr>
        <w:t>, בגודלה ובהיקף פעולתה</w:t>
      </w:r>
      <w:r w:rsidRPr="005E17DC">
        <w:rPr>
          <w:rtl/>
        </w:rPr>
        <w:t>.</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Fonts w:hint="cs"/>
          <w:rtl/>
        </w:rPr>
        <w:t>כאמור, עיריית רמלה חתמה על הסכם גג אשר צפוי להגדיל את מספר משקי הבית בה ב-34% בקירוב. על פי בחינה</w:t>
      </w:r>
      <w:r>
        <w:rPr>
          <w:vertAlign w:val="superscript"/>
          <w:rtl/>
        </w:rPr>
        <w:footnoteReference w:id="35"/>
      </w:r>
      <w:r w:rsidRPr="005E17DC">
        <w:rPr>
          <w:rFonts w:hint="cs"/>
          <w:rtl/>
        </w:rPr>
        <w:t xml:space="preserve"> של </w:t>
      </w:r>
      <w:r w:rsidRPr="005E17DC">
        <w:rPr>
          <w:rtl/>
        </w:rPr>
        <w:t>אגף בכיר תכנון ופיתוח ההון האנושי ברשויות המקומיות במשרד הפנים,</w:t>
      </w:r>
      <w:r w:rsidRPr="005E17DC">
        <w:rPr>
          <w:rFonts w:hint="cs"/>
          <w:rtl/>
        </w:rPr>
        <w:t xml:space="preserve"> הסכם הגג</w:t>
      </w:r>
      <w:r w:rsidRPr="005E17DC">
        <w:rPr>
          <w:rtl/>
        </w:rPr>
        <w:t xml:space="preserve"> </w:t>
      </w:r>
      <w:r w:rsidRPr="005E17DC">
        <w:rPr>
          <w:rFonts w:hint="cs"/>
          <w:rtl/>
        </w:rPr>
        <w:t xml:space="preserve">מציב לעירייה </w:t>
      </w:r>
      <w:r w:rsidRPr="005E17DC">
        <w:rPr>
          <w:rtl/>
        </w:rPr>
        <w:t xml:space="preserve">אתגר בניהול </w:t>
      </w:r>
      <w:r w:rsidR="009309E8">
        <w:rPr>
          <w:rtl/>
        </w:rPr>
        <w:t>ההון האנושי</w:t>
      </w:r>
      <w:r w:rsidRPr="005E17DC">
        <w:rPr>
          <w:rtl/>
        </w:rPr>
        <w:t xml:space="preserve"> של</w:t>
      </w:r>
      <w:r w:rsidRPr="005E17DC">
        <w:rPr>
          <w:rFonts w:hint="cs"/>
          <w:rtl/>
        </w:rPr>
        <w:t>ה</w:t>
      </w:r>
      <w:r w:rsidRPr="005E17DC">
        <w:rPr>
          <w:rtl/>
        </w:rPr>
        <w:t>, בשל כמות התושבים החדשים שיי</w:t>
      </w:r>
      <w:r w:rsidRPr="005E17DC">
        <w:rPr>
          <w:rFonts w:hint="cs"/>
          <w:rtl/>
        </w:rPr>
        <w:t>תוספ</w:t>
      </w:r>
      <w:r w:rsidRPr="005E17DC">
        <w:rPr>
          <w:rtl/>
        </w:rPr>
        <w:t xml:space="preserve">ו לרשות </w:t>
      </w:r>
      <w:r w:rsidRPr="005E17DC">
        <w:rPr>
          <w:rFonts w:hint="cs"/>
          <w:rtl/>
        </w:rPr>
        <w:t>ו</w:t>
      </w:r>
      <w:r w:rsidRPr="005E17DC">
        <w:rPr>
          <w:rtl/>
        </w:rPr>
        <w:t>ה</w:t>
      </w:r>
      <w:r w:rsidRPr="005E17DC">
        <w:rPr>
          <w:rFonts w:hint="cs"/>
          <w:rtl/>
        </w:rPr>
        <w:t xml:space="preserve">צורך להגדיל את תפוקות העירייה למענם. </w:t>
      </w:r>
    </w:p>
    <w:p w:rsidR="005E17DC" w:rsidRPr="005E17DC" w:rsidP="00385106">
      <w:pPr>
        <w:spacing w:line="269" w:lineRule="auto"/>
        <w:ind w:left="-567"/>
        <w:rPr>
          <w:szCs w:val="20"/>
          <w:rtl/>
        </w:rPr>
      </w:pPr>
    </w:p>
    <w:p w:rsidR="005E17DC" w:rsidRPr="005E17DC" w:rsidP="00385106">
      <w:pPr>
        <w:spacing w:line="269" w:lineRule="auto"/>
        <w:rPr>
          <w:b/>
          <w:bCs/>
          <w:rtl/>
        </w:rPr>
      </w:pPr>
      <w:r w:rsidRPr="005E17DC">
        <w:rPr>
          <w:rFonts w:hint="eastAsia"/>
          <w:b/>
          <w:bCs/>
          <w:rtl/>
        </w:rPr>
        <w:t>עיריית</w:t>
      </w:r>
      <w:r w:rsidRPr="005E17DC">
        <w:rPr>
          <w:b/>
          <w:bCs/>
          <w:rtl/>
        </w:rPr>
        <w:t xml:space="preserve"> </w:t>
      </w:r>
      <w:r w:rsidRPr="005E17DC">
        <w:rPr>
          <w:rFonts w:hint="eastAsia"/>
          <w:b/>
          <w:bCs/>
          <w:rtl/>
        </w:rPr>
        <w:t>רמלה</w:t>
      </w:r>
      <w:r w:rsidRPr="005E17DC">
        <w:rPr>
          <w:b/>
          <w:bCs/>
          <w:rtl/>
        </w:rPr>
        <w:t xml:space="preserve"> </w:t>
      </w:r>
      <w:r w:rsidRPr="005E17DC">
        <w:rPr>
          <w:rFonts w:hint="eastAsia"/>
          <w:b/>
          <w:bCs/>
          <w:rtl/>
        </w:rPr>
        <w:t>לא</w:t>
      </w:r>
      <w:r w:rsidRPr="005E17DC">
        <w:rPr>
          <w:b/>
          <w:bCs/>
          <w:rtl/>
        </w:rPr>
        <w:t xml:space="preserve"> </w:t>
      </w:r>
      <w:r w:rsidRPr="005E17DC">
        <w:rPr>
          <w:rFonts w:hint="eastAsia"/>
          <w:b/>
          <w:bCs/>
          <w:rtl/>
        </w:rPr>
        <w:t>ביצעה</w:t>
      </w:r>
      <w:r w:rsidRPr="005E17DC">
        <w:rPr>
          <w:b/>
          <w:bCs/>
          <w:rtl/>
        </w:rPr>
        <w:t xml:space="preserve"> </w:t>
      </w:r>
      <w:r w:rsidRPr="005E17DC">
        <w:rPr>
          <w:rFonts w:hint="eastAsia"/>
          <w:b/>
          <w:bCs/>
          <w:rtl/>
        </w:rPr>
        <w:t>בחינה</w:t>
      </w:r>
      <w:r w:rsidRPr="005E17DC">
        <w:rPr>
          <w:b/>
          <w:bCs/>
          <w:rtl/>
        </w:rPr>
        <w:t xml:space="preserve"> </w:t>
      </w:r>
      <w:r w:rsidRPr="005E17DC">
        <w:rPr>
          <w:rFonts w:hint="eastAsia"/>
          <w:b/>
          <w:bCs/>
          <w:rtl/>
        </w:rPr>
        <w:t>מקיפה</w:t>
      </w:r>
      <w:r w:rsidRPr="005E17DC">
        <w:rPr>
          <w:b/>
          <w:bCs/>
          <w:rtl/>
        </w:rPr>
        <w:t xml:space="preserve"> </w:t>
      </w:r>
      <w:r w:rsidRPr="005E17DC">
        <w:rPr>
          <w:rFonts w:hint="eastAsia"/>
          <w:b/>
          <w:bCs/>
          <w:rtl/>
        </w:rPr>
        <w:t>של</w:t>
      </w:r>
      <w:r w:rsidRPr="005E17DC">
        <w:rPr>
          <w:b/>
          <w:bCs/>
          <w:rtl/>
        </w:rPr>
        <w:t xml:space="preserve"> </w:t>
      </w:r>
      <w:r w:rsidRPr="005E17DC">
        <w:rPr>
          <w:rFonts w:hint="eastAsia"/>
          <w:b/>
          <w:bCs/>
          <w:rtl/>
        </w:rPr>
        <w:t>המבנה</w:t>
      </w:r>
      <w:r w:rsidRPr="005E17DC">
        <w:rPr>
          <w:b/>
          <w:bCs/>
          <w:rtl/>
        </w:rPr>
        <w:t xml:space="preserve"> </w:t>
      </w:r>
      <w:r w:rsidRPr="005E17DC">
        <w:rPr>
          <w:rFonts w:hint="eastAsia"/>
          <w:b/>
          <w:bCs/>
          <w:rtl/>
        </w:rPr>
        <w:t>הארגוני</w:t>
      </w:r>
      <w:r w:rsidRPr="005E17DC">
        <w:rPr>
          <w:b/>
          <w:bCs/>
          <w:rtl/>
        </w:rPr>
        <w:t xml:space="preserve"> </w:t>
      </w:r>
      <w:r w:rsidRPr="005E17DC">
        <w:rPr>
          <w:rFonts w:hint="eastAsia"/>
          <w:b/>
          <w:bCs/>
          <w:rtl/>
        </w:rPr>
        <w:t>שלה</w:t>
      </w:r>
      <w:r w:rsidRPr="005E17DC">
        <w:rPr>
          <w:b/>
          <w:bCs/>
          <w:rtl/>
        </w:rPr>
        <w:t xml:space="preserve"> </w:t>
      </w:r>
      <w:r w:rsidRPr="005E17DC">
        <w:rPr>
          <w:rFonts w:hint="eastAsia"/>
          <w:b/>
          <w:bCs/>
          <w:rtl/>
        </w:rPr>
        <w:t>כבר</w:t>
      </w:r>
      <w:r w:rsidRPr="005E17DC">
        <w:rPr>
          <w:b/>
          <w:bCs/>
          <w:rtl/>
        </w:rPr>
        <w:t xml:space="preserve"> </w:t>
      </w:r>
      <w:r w:rsidRPr="005E17DC">
        <w:rPr>
          <w:rFonts w:hint="eastAsia"/>
          <w:b/>
          <w:bCs/>
          <w:rtl/>
        </w:rPr>
        <w:t>יותר</w:t>
      </w:r>
      <w:r w:rsidRPr="005E17DC">
        <w:rPr>
          <w:b/>
          <w:bCs/>
          <w:rtl/>
        </w:rPr>
        <w:t xml:space="preserve"> </w:t>
      </w:r>
      <w:r w:rsidRPr="005E17DC">
        <w:rPr>
          <w:rFonts w:hint="eastAsia"/>
          <w:b/>
          <w:bCs/>
          <w:rtl/>
        </w:rPr>
        <w:t>מעשור</w:t>
      </w:r>
      <w:r w:rsidRPr="005E17DC">
        <w:rPr>
          <w:b/>
          <w:bCs/>
          <w:rtl/>
        </w:rPr>
        <w:t xml:space="preserve">, </w:t>
      </w:r>
      <w:r w:rsidRPr="005E17DC">
        <w:rPr>
          <w:rFonts w:hint="eastAsia"/>
          <w:b/>
          <w:bCs/>
          <w:rtl/>
        </w:rPr>
        <w:t>הגם</w:t>
      </w:r>
      <w:r w:rsidRPr="005E17DC">
        <w:rPr>
          <w:b/>
          <w:bCs/>
          <w:rtl/>
        </w:rPr>
        <w:t xml:space="preserve"> </w:t>
      </w:r>
      <w:r w:rsidRPr="005E17DC">
        <w:rPr>
          <w:rFonts w:hint="eastAsia"/>
          <w:b/>
          <w:bCs/>
          <w:rtl/>
        </w:rPr>
        <w:t>שמספר</w:t>
      </w:r>
      <w:r w:rsidRPr="005E17DC">
        <w:rPr>
          <w:b/>
          <w:bCs/>
          <w:rtl/>
        </w:rPr>
        <w:t xml:space="preserve"> </w:t>
      </w:r>
      <w:r w:rsidRPr="005E17DC">
        <w:rPr>
          <w:rFonts w:hint="eastAsia"/>
          <w:b/>
          <w:bCs/>
          <w:rtl/>
        </w:rPr>
        <w:t>המשרות</w:t>
      </w:r>
      <w:r w:rsidRPr="005E17DC">
        <w:rPr>
          <w:b/>
          <w:bCs/>
          <w:rtl/>
        </w:rPr>
        <w:t xml:space="preserve"> </w:t>
      </w:r>
      <w:r w:rsidRPr="005E17DC">
        <w:rPr>
          <w:rFonts w:hint="eastAsia"/>
          <w:b/>
          <w:bCs/>
          <w:rtl/>
        </w:rPr>
        <w:t>בה</w:t>
      </w:r>
      <w:r w:rsidRPr="005E17DC">
        <w:rPr>
          <w:b/>
          <w:bCs/>
          <w:rtl/>
        </w:rPr>
        <w:t xml:space="preserve"> </w:t>
      </w:r>
      <w:r w:rsidRPr="005E17DC">
        <w:rPr>
          <w:rFonts w:hint="eastAsia"/>
          <w:b/>
          <w:bCs/>
          <w:rtl/>
        </w:rPr>
        <w:t>כמעט</w:t>
      </w:r>
      <w:r w:rsidRPr="005E17DC">
        <w:rPr>
          <w:b/>
          <w:bCs/>
          <w:rtl/>
        </w:rPr>
        <w:t xml:space="preserve"> </w:t>
      </w:r>
      <w:r w:rsidRPr="005E17DC">
        <w:rPr>
          <w:rFonts w:hint="eastAsia"/>
          <w:b/>
          <w:bCs/>
          <w:rtl/>
        </w:rPr>
        <w:t>הוכפל</w:t>
      </w:r>
      <w:r w:rsidRPr="005E17DC">
        <w:rPr>
          <w:b/>
          <w:bCs/>
          <w:rtl/>
        </w:rPr>
        <w:t xml:space="preserve"> </w:t>
      </w:r>
      <w:r w:rsidRPr="005E17DC">
        <w:rPr>
          <w:rFonts w:hint="eastAsia"/>
          <w:b/>
          <w:bCs/>
          <w:rtl/>
        </w:rPr>
        <w:t>בעשור</w:t>
      </w:r>
      <w:r w:rsidRPr="005E17DC">
        <w:rPr>
          <w:b/>
          <w:bCs/>
          <w:rtl/>
        </w:rPr>
        <w:t xml:space="preserve"> </w:t>
      </w:r>
      <w:r w:rsidRPr="005E17DC">
        <w:rPr>
          <w:rFonts w:hint="eastAsia"/>
          <w:b/>
          <w:bCs/>
          <w:rtl/>
        </w:rPr>
        <w:t>האחרון</w:t>
      </w:r>
      <w:r w:rsidRPr="005E17DC">
        <w:rPr>
          <w:b/>
          <w:bCs/>
          <w:rtl/>
        </w:rPr>
        <w:t xml:space="preserve">. במועד הביקורת בחנה העירייה שינויים ארגוניים נקודתיים </w:t>
      </w:r>
      <w:r w:rsidRPr="005E17DC">
        <w:rPr>
          <w:rFonts w:hint="eastAsia"/>
          <w:b/>
          <w:bCs/>
          <w:rtl/>
        </w:rPr>
        <w:t>בכמה</w:t>
      </w:r>
      <w:r w:rsidRPr="005E17DC">
        <w:rPr>
          <w:b/>
          <w:bCs/>
          <w:rtl/>
        </w:rPr>
        <w:t xml:space="preserve"> </w:t>
      </w:r>
      <w:r w:rsidRPr="005E17DC">
        <w:rPr>
          <w:rFonts w:hint="eastAsia"/>
          <w:b/>
          <w:bCs/>
          <w:rtl/>
        </w:rPr>
        <w:t>מיחידותיה</w:t>
      </w:r>
      <w:r w:rsidRPr="005E17DC">
        <w:rPr>
          <w:b/>
          <w:bCs/>
          <w:rtl/>
        </w:rPr>
        <w:t xml:space="preserve">, </w:t>
      </w:r>
      <w:r w:rsidRPr="005E17DC">
        <w:rPr>
          <w:rFonts w:hint="eastAsia"/>
          <w:b/>
          <w:bCs/>
          <w:rtl/>
        </w:rPr>
        <w:t>שהחלו</w:t>
      </w:r>
      <w:r w:rsidRPr="005E17DC">
        <w:rPr>
          <w:b/>
          <w:bCs/>
          <w:rtl/>
        </w:rPr>
        <w:t xml:space="preserve"> </w:t>
      </w:r>
      <w:r w:rsidRPr="005E17DC">
        <w:rPr>
          <w:rFonts w:hint="eastAsia"/>
          <w:b/>
          <w:bCs/>
          <w:rtl/>
        </w:rPr>
        <w:t>בחלקם</w:t>
      </w:r>
      <w:r w:rsidRPr="005E17DC">
        <w:rPr>
          <w:b/>
          <w:bCs/>
          <w:rtl/>
        </w:rPr>
        <w:t xml:space="preserve"> </w:t>
      </w:r>
      <w:r w:rsidRPr="005E17DC">
        <w:rPr>
          <w:rFonts w:hint="eastAsia"/>
          <w:b/>
          <w:bCs/>
          <w:rtl/>
        </w:rPr>
        <w:t>עם</w:t>
      </w:r>
      <w:r w:rsidRPr="005E17DC">
        <w:rPr>
          <w:b/>
          <w:bCs/>
          <w:rtl/>
        </w:rPr>
        <w:t xml:space="preserve"> </w:t>
      </w:r>
      <w:r w:rsidRPr="005E17DC">
        <w:rPr>
          <w:rFonts w:hint="eastAsia"/>
          <w:b/>
          <w:bCs/>
          <w:rtl/>
        </w:rPr>
        <w:t>מינוי</w:t>
      </w:r>
      <w:r w:rsidRPr="005E17DC">
        <w:rPr>
          <w:b/>
          <w:bCs/>
          <w:rtl/>
        </w:rPr>
        <w:t xml:space="preserve"> </w:t>
      </w:r>
      <w:r w:rsidRPr="005E17DC">
        <w:rPr>
          <w:rFonts w:hint="eastAsia"/>
          <w:b/>
          <w:bCs/>
          <w:rtl/>
        </w:rPr>
        <w:t>מנהלים</w:t>
      </w:r>
      <w:r w:rsidRPr="005E17DC">
        <w:rPr>
          <w:b/>
          <w:bCs/>
          <w:rtl/>
        </w:rPr>
        <w:t xml:space="preserve"> </w:t>
      </w:r>
      <w:r w:rsidRPr="005E17DC">
        <w:rPr>
          <w:rFonts w:hint="eastAsia"/>
          <w:b/>
          <w:bCs/>
          <w:rtl/>
        </w:rPr>
        <w:t>חדשים</w:t>
      </w:r>
      <w:r w:rsidRPr="005E17DC">
        <w:rPr>
          <w:b/>
          <w:bCs/>
          <w:rtl/>
        </w:rPr>
        <w:t xml:space="preserve"> </w:t>
      </w:r>
      <w:r w:rsidRPr="005E17DC">
        <w:rPr>
          <w:rFonts w:hint="eastAsia"/>
          <w:b/>
          <w:bCs/>
          <w:rtl/>
        </w:rPr>
        <w:t>בהם</w:t>
      </w:r>
      <w:r w:rsidRPr="005E17DC">
        <w:rPr>
          <w:b/>
          <w:bCs/>
          <w:rtl/>
        </w:rPr>
        <w:t>.</w:t>
      </w:r>
    </w:p>
    <w:p w:rsidR="005E17DC" w:rsidRPr="005E17DC" w:rsidP="00385106">
      <w:pPr>
        <w:spacing w:line="269" w:lineRule="auto"/>
        <w:ind w:left="-567"/>
        <w:rPr>
          <w:szCs w:val="20"/>
          <w:rtl/>
        </w:rPr>
      </w:pPr>
    </w:p>
    <w:p w:rsidR="005E17DC" w:rsidRPr="005E17DC" w:rsidP="00385106">
      <w:pPr>
        <w:spacing w:line="269" w:lineRule="auto"/>
        <w:rPr>
          <w:b/>
          <w:bCs/>
          <w:rtl/>
        </w:rPr>
      </w:pPr>
      <w:r w:rsidRPr="005E17DC">
        <w:rPr>
          <w:rFonts w:hint="cs"/>
          <w:b/>
          <w:bCs/>
          <w:rtl/>
        </w:rPr>
        <w:t>לנוכח ממצאים אלו משרד מבקר המדינה ממליץ כי עיריית רמלה תבחן את המבנה הארגוני שלה ואת מידת התאמתו למילוי תפקידיה, בהווה ובעתיד - לאור הגידול המשמעותי הצפוי באוכלוסייתה.</w:t>
      </w:r>
    </w:p>
    <w:p w:rsidR="005E17DC" w:rsidRPr="005E17DC" w:rsidP="00385106">
      <w:pPr>
        <w:spacing w:line="269" w:lineRule="auto"/>
        <w:rPr>
          <w:b/>
          <w:bCs/>
          <w:rtl/>
        </w:rPr>
      </w:pPr>
    </w:p>
    <w:p w:rsidR="005E17DC" w:rsidRPr="005E17DC" w:rsidP="00385106">
      <w:pPr>
        <w:keepNext/>
        <w:keepLines/>
        <w:spacing w:line="269" w:lineRule="auto"/>
        <w:outlineLvl w:val="3"/>
        <w:rPr>
          <w:rFonts w:eastAsiaTheme="majorEastAsia"/>
          <w:bCs/>
          <w:szCs w:val="26"/>
          <w:rtl/>
        </w:rPr>
      </w:pPr>
      <w:r w:rsidRPr="005E17DC">
        <w:rPr>
          <w:rFonts w:eastAsiaTheme="majorEastAsia" w:hint="cs"/>
          <w:bCs/>
          <w:szCs w:val="26"/>
          <w:rtl/>
        </w:rPr>
        <w:t>נהלים באגף משאבי אנוש</w:t>
      </w:r>
    </w:p>
    <w:p w:rsidR="005E17DC" w:rsidRPr="005E17DC" w:rsidP="00385106">
      <w:pPr>
        <w:spacing w:line="269" w:lineRule="auto"/>
        <w:ind w:left="-567"/>
        <w:rPr>
          <w:szCs w:val="20"/>
          <w:rtl/>
        </w:rPr>
      </w:pPr>
    </w:p>
    <w:p w:rsidR="005E17DC" w:rsidRPr="005E17DC" w:rsidP="00385106">
      <w:pPr>
        <w:spacing w:line="269" w:lineRule="auto"/>
        <w:rPr>
          <w:b/>
          <w:bCs/>
          <w:rtl/>
        </w:rPr>
      </w:pPr>
      <w:r w:rsidRPr="005E17DC">
        <w:rPr>
          <w:rtl/>
        </w:rPr>
        <w:t xml:space="preserve">הנחיות </w:t>
      </w:r>
      <w:r w:rsidRPr="005E17DC">
        <w:rPr>
          <w:rtl/>
        </w:rPr>
        <w:t>מינהליות</w:t>
      </w:r>
      <w:r w:rsidRPr="005E17DC">
        <w:rPr>
          <w:rtl/>
        </w:rPr>
        <w:t xml:space="preserve"> של הרשות הציבורית</w:t>
      </w:r>
      <w:r w:rsidRPr="005E17DC">
        <w:rPr>
          <w:rFonts w:hint="cs"/>
          <w:rtl/>
        </w:rPr>
        <w:t xml:space="preserve"> הן</w:t>
      </w:r>
      <w:r w:rsidRPr="005E17DC">
        <w:rPr>
          <w:rtl/>
        </w:rPr>
        <w:t xml:space="preserve"> כללים גמישים שהרשות קובעת לעצמה ו</w:t>
      </w:r>
      <w:r w:rsidRPr="005E17DC">
        <w:rPr>
          <w:rFonts w:hint="cs"/>
          <w:rtl/>
        </w:rPr>
        <w:t xml:space="preserve">הם </w:t>
      </w:r>
      <w:r w:rsidRPr="005E17DC">
        <w:rPr>
          <w:rtl/>
        </w:rPr>
        <w:t>מדריכים אותה בהפעלת סמכותה. הנחיית היועץ המשפטי לממשלה</w:t>
      </w:r>
      <w:r>
        <w:rPr>
          <w:vertAlign w:val="superscript"/>
          <w:rtl/>
        </w:rPr>
        <w:footnoteReference w:id="36"/>
      </w:r>
      <w:r w:rsidRPr="005E17DC">
        <w:rPr>
          <w:rtl/>
        </w:rPr>
        <w:t xml:space="preserve"> </w:t>
      </w:r>
      <w:r w:rsidRPr="005E17DC">
        <w:rPr>
          <w:rFonts w:hint="cs"/>
          <w:rtl/>
        </w:rPr>
        <w:t>על</w:t>
      </w:r>
      <w:r w:rsidRPr="005E17DC">
        <w:rPr>
          <w:rtl/>
        </w:rPr>
        <w:t xml:space="preserve"> הנחיות </w:t>
      </w:r>
      <w:r w:rsidRPr="005E17DC">
        <w:rPr>
          <w:rtl/>
        </w:rPr>
        <w:t>מינהליות</w:t>
      </w:r>
      <w:r w:rsidRPr="005E17DC">
        <w:rPr>
          <w:rtl/>
        </w:rPr>
        <w:t xml:space="preserve"> קובעת כי ה</w:t>
      </w:r>
      <w:r w:rsidRPr="005E17DC">
        <w:rPr>
          <w:rFonts w:hint="cs"/>
          <w:rtl/>
        </w:rPr>
        <w:t>ן</w:t>
      </w:r>
      <w:r w:rsidRPr="005E17DC">
        <w:rPr>
          <w:rtl/>
        </w:rPr>
        <w:t xml:space="preserve"> נועדו ל</w:t>
      </w:r>
      <w:r w:rsidRPr="005E17DC">
        <w:rPr>
          <w:rFonts w:hint="cs"/>
          <w:rtl/>
        </w:rPr>
        <w:t>תועלת</w:t>
      </w:r>
      <w:r w:rsidRPr="005E17DC">
        <w:rPr>
          <w:rtl/>
        </w:rPr>
        <w:t xml:space="preserve"> </w:t>
      </w:r>
      <w:r w:rsidRPr="005E17DC">
        <w:rPr>
          <w:rtl/>
        </w:rPr>
        <w:t>המינהל</w:t>
      </w:r>
      <w:r w:rsidRPr="005E17DC">
        <w:rPr>
          <w:rtl/>
        </w:rPr>
        <w:t xml:space="preserve"> הציבורי ו</w:t>
      </w:r>
      <w:r w:rsidRPr="005E17DC">
        <w:rPr>
          <w:rFonts w:hint="cs"/>
          <w:rtl/>
        </w:rPr>
        <w:t>לתועלת</w:t>
      </w:r>
      <w:r w:rsidRPr="005E17DC">
        <w:rPr>
          <w:rtl/>
        </w:rPr>
        <w:t xml:space="preserve"> האזרח </w:t>
      </w:r>
      <w:r w:rsidRPr="005E17DC">
        <w:rPr>
          <w:rFonts w:hint="cs"/>
          <w:rtl/>
        </w:rPr>
        <w:t xml:space="preserve">משום שהן מסייעות לרשות להחליט ביעילות ובמהירות, לפעול בעקיבות ובהתאם למטרותיה. מנקודת מבטו של האזרח, תרומתן בווידוא הבקרה הציבורית על פעולות הרשות. </w:t>
      </w:r>
      <w:r w:rsidRPr="005E17DC">
        <w:rPr>
          <w:rtl/>
        </w:rPr>
        <w:t xml:space="preserve">נהלים הכתובים כהלכה </w:t>
      </w:r>
      <w:r w:rsidRPr="005E17DC">
        <w:rPr>
          <w:rFonts w:hint="cs"/>
          <w:rtl/>
        </w:rPr>
        <w:t xml:space="preserve">מקיפים את </w:t>
      </w:r>
      <w:r w:rsidRPr="005E17DC">
        <w:rPr>
          <w:rtl/>
        </w:rPr>
        <w:t xml:space="preserve">השיטה לביצוע התהליכים </w:t>
      </w:r>
      <w:r w:rsidRPr="005E17DC">
        <w:rPr>
          <w:rFonts w:hint="cs"/>
          <w:rtl/>
        </w:rPr>
        <w:t>ברשות</w:t>
      </w:r>
      <w:r w:rsidRPr="005E17DC">
        <w:rPr>
          <w:rtl/>
        </w:rPr>
        <w:t xml:space="preserve">, </w:t>
      </w:r>
      <w:r w:rsidRPr="005E17DC">
        <w:rPr>
          <w:rFonts w:hint="cs"/>
          <w:rtl/>
        </w:rPr>
        <w:t xml:space="preserve">את </w:t>
      </w:r>
      <w:r w:rsidRPr="005E17DC">
        <w:rPr>
          <w:rtl/>
        </w:rPr>
        <w:t xml:space="preserve">הגדרת בעלי התפקידים </w:t>
      </w:r>
      <w:r w:rsidRPr="005E17DC">
        <w:rPr>
          <w:rFonts w:hint="cs"/>
          <w:rtl/>
        </w:rPr>
        <w:t>המשתתפים</w:t>
      </w:r>
      <w:r w:rsidRPr="005E17DC">
        <w:rPr>
          <w:rtl/>
        </w:rPr>
        <w:t xml:space="preserve"> בכל תהליך ו</w:t>
      </w:r>
      <w:r w:rsidRPr="005E17DC">
        <w:rPr>
          <w:rFonts w:hint="cs"/>
          <w:rtl/>
        </w:rPr>
        <w:t xml:space="preserve">את </w:t>
      </w:r>
      <w:r w:rsidRPr="005E17DC">
        <w:rPr>
          <w:rtl/>
        </w:rPr>
        <w:t>הגדרת תחומי האחריות של כל אחד מבעלי התפקידים</w:t>
      </w:r>
      <w:r w:rsidRPr="005E17DC">
        <w:rPr>
          <w:rFonts w:hint="cs"/>
          <w:rtl/>
        </w:rPr>
        <w:t xml:space="preserve"> ברשות</w:t>
      </w:r>
      <w:r w:rsidRPr="005E17DC">
        <w:rPr>
          <w:rtl/>
        </w:rPr>
        <w:t>. </w:t>
      </w:r>
      <w:r w:rsidRPr="005E17DC">
        <w:rPr>
          <w:rFonts w:hint="cs"/>
          <w:rtl/>
        </w:rPr>
        <w:t>בכוחם של נהלים הכתובים כהלכה למנוע נזקים וטעויות בארגון.</w:t>
      </w:r>
      <w:r w:rsidRPr="005E17DC">
        <w:rPr>
          <w:rFonts w:ascii="Open Sans Hebrew" w:hAnsi="Open Sans Hebrew"/>
          <w:color w:val="222222"/>
          <w:shd w:val="clear" w:color="auto" w:fill="F5F5F5"/>
          <w:rtl/>
        </w:rPr>
        <w:t xml:space="preserve"> </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Fonts w:hint="cs"/>
          <w:rtl/>
        </w:rPr>
        <w:t xml:space="preserve">ניהול </w:t>
      </w:r>
      <w:r w:rsidR="009309E8">
        <w:rPr>
          <w:rFonts w:hint="cs"/>
          <w:rtl/>
        </w:rPr>
        <w:t>ההון האנושי</w:t>
      </w:r>
      <w:r w:rsidRPr="005E17DC">
        <w:rPr>
          <w:rFonts w:hint="cs"/>
          <w:rtl/>
        </w:rPr>
        <w:t xml:space="preserve"> ברשות המקומית הוא נושא מורכב, הכרוך לא פעם בעניינים רגישים כמו צנעת הפרט, ענייני משמעת ועניינים כספיים, ומכאן חשיבות הגדרתם של תהליכי העבודה באמצעות נהלים ברורים, שיבטיחו עקיבות ושמירת האינטרסים הציבוריים. יתר על כן, ניהול </w:t>
      </w:r>
      <w:r w:rsidR="009309E8">
        <w:rPr>
          <w:rFonts w:hint="cs"/>
          <w:rtl/>
        </w:rPr>
        <w:t>ההון האנושי</w:t>
      </w:r>
      <w:r w:rsidRPr="005E17DC">
        <w:rPr>
          <w:rFonts w:hint="cs"/>
          <w:rtl/>
        </w:rPr>
        <w:t xml:space="preserve"> מושתת על מסד נורמטיבי מגוון ורחב המקיף חקיקה ראשית, חקיקת משנה, תקנות, חוזרי מנכ"ל משרד הפנים, פסיקה ומדיניות הארגון - ריבוי יסודות המחזק אף הוא את הצורך בנהלים. </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Fonts w:hint="cs"/>
          <w:b/>
          <w:bCs/>
          <w:rtl/>
        </w:rPr>
        <w:t>ב</w:t>
      </w:r>
      <w:r w:rsidRPr="005E17DC">
        <w:rPr>
          <w:rFonts w:hint="eastAsia"/>
          <w:b/>
          <w:bCs/>
          <w:rtl/>
        </w:rPr>
        <w:t>עיריית</w:t>
      </w:r>
      <w:r w:rsidRPr="005E17DC">
        <w:rPr>
          <w:b/>
          <w:bCs/>
          <w:rtl/>
        </w:rPr>
        <w:t xml:space="preserve"> </w:t>
      </w:r>
      <w:r w:rsidRPr="005E17DC">
        <w:rPr>
          <w:rFonts w:hint="eastAsia"/>
          <w:b/>
          <w:bCs/>
          <w:rtl/>
        </w:rPr>
        <w:t>רמלה</w:t>
      </w:r>
      <w:r w:rsidRPr="005E17DC">
        <w:rPr>
          <w:b/>
          <w:bCs/>
          <w:rtl/>
        </w:rPr>
        <w:t xml:space="preserve"> </w:t>
      </w:r>
      <w:r w:rsidRPr="005E17DC">
        <w:rPr>
          <w:rFonts w:hint="eastAsia"/>
          <w:b/>
          <w:bCs/>
          <w:rtl/>
        </w:rPr>
        <w:t>אין</w:t>
      </w:r>
      <w:r w:rsidRPr="005E17DC">
        <w:rPr>
          <w:b/>
          <w:bCs/>
          <w:rtl/>
        </w:rPr>
        <w:t xml:space="preserve"> </w:t>
      </w:r>
      <w:r w:rsidRPr="005E17DC">
        <w:rPr>
          <w:rFonts w:hint="eastAsia"/>
          <w:b/>
          <w:bCs/>
          <w:rtl/>
        </w:rPr>
        <w:t>נ</w:t>
      </w:r>
      <w:r w:rsidRPr="005E17DC">
        <w:rPr>
          <w:rFonts w:hint="cs"/>
          <w:b/>
          <w:bCs/>
          <w:rtl/>
        </w:rPr>
        <w:t>ו</w:t>
      </w:r>
      <w:r w:rsidRPr="005E17DC">
        <w:rPr>
          <w:rFonts w:hint="eastAsia"/>
          <w:b/>
          <w:bCs/>
          <w:rtl/>
        </w:rPr>
        <w:t>הלי</w:t>
      </w:r>
      <w:r w:rsidRPr="005E17DC">
        <w:rPr>
          <w:b/>
          <w:bCs/>
          <w:rtl/>
        </w:rPr>
        <w:t xml:space="preserve"> </w:t>
      </w:r>
      <w:r w:rsidRPr="005E17DC">
        <w:rPr>
          <w:rFonts w:hint="eastAsia"/>
          <w:b/>
          <w:bCs/>
          <w:rtl/>
        </w:rPr>
        <w:t>עבודה</w:t>
      </w:r>
      <w:r w:rsidRPr="005E17DC">
        <w:rPr>
          <w:rFonts w:hint="cs"/>
          <w:b/>
          <w:bCs/>
          <w:rtl/>
        </w:rPr>
        <w:t xml:space="preserve"> לניהול </w:t>
      </w:r>
      <w:r w:rsidR="009309E8">
        <w:rPr>
          <w:rFonts w:hint="cs"/>
          <w:b/>
          <w:bCs/>
          <w:rtl/>
        </w:rPr>
        <w:t>ההון האנושי</w:t>
      </w:r>
      <w:r w:rsidRPr="005E17DC">
        <w:rPr>
          <w:rFonts w:hint="cs"/>
          <w:b/>
          <w:bCs/>
          <w:rtl/>
        </w:rPr>
        <w:t xml:space="preserve"> - </w:t>
      </w:r>
      <w:r w:rsidRPr="005E17DC">
        <w:rPr>
          <w:rFonts w:hint="eastAsia"/>
          <w:b/>
          <w:bCs/>
          <w:rtl/>
        </w:rPr>
        <w:t>המסמך</w:t>
      </w:r>
      <w:r w:rsidRPr="005E17DC">
        <w:rPr>
          <w:b/>
          <w:bCs/>
          <w:rtl/>
        </w:rPr>
        <w:t xml:space="preserve"> </w:t>
      </w:r>
      <w:r w:rsidRPr="005E17DC">
        <w:rPr>
          <w:rFonts w:hint="eastAsia"/>
          <w:b/>
          <w:bCs/>
          <w:rtl/>
        </w:rPr>
        <w:t>המשמש</w:t>
      </w:r>
      <w:r w:rsidRPr="005E17DC">
        <w:rPr>
          <w:b/>
          <w:bCs/>
          <w:rtl/>
        </w:rPr>
        <w:t xml:space="preserve"> </w:t>
      </w:r>
      <w:r w:rsidRPr="005E17DC">
        <w:rPr>
          <w:rFonts w:hint="eastAsia"/>
          <w:b/>
          <w:bCs/>
          <w:rtl/>
        </w:rPr>
        <w:t>את</w:t>
      </w:r>
      <w:r w:rsidRPr="005E17DC">
        <w:rPr>
          <w:b/>
          <w:bCs/>
          <w:rtl/>
        </w:rPr>
        <w:t xml:space="preserve"> </w:t>
      </w:r>
      <w:r w:rsidRPr="005E17DC">
        <w:rPr>
          <w:rFonts w:hint="eastAsia"/>
          <w:b/>
          <w:bCs/>
          <w:rtl/>
        </w:rPr>
        <w:t>העירייה</w:t>
      </w:r>
      <w:r w:rsidRPr="005E17DC">
        <w:rPr>
          <w:b/>
          <w:bCs/>
          <w:rtl/>
        </w:rPr>
        <w:t xml:space="preserve"> </w:t>
      </w:r>
      <w:r w:rsidRPr="005E17DC">
        <w:rPr>
          <w:rFonts w:hint="eastAsia"/>
          <w:b/>
          <w:bCs/>
          <w:rtl/>
        </w:rPr>
        <w:t>כנוהל</w:t>
      </w:r>
      <w:r w:rsidRPr="005E17DC">
        <w:rPr>
          <w:b/>
          <w:bCs/>
          <w:rtl/>
        </w:rPr>
        <w:t xml:space="preserve"> </w:t>
      </w:r>
      <w:r w:rsidRPr="005E17DC">
        <w:rPr>
          <w:rFonts w:hint="eastAsia"/>
          <w:b/>
          <w:bCs/>
          <w:rtl/>
        </w:rPr>
        <w:t>עבודה</w:t>
      </w:r>
      <w:r w:rsidRPr="005E17DC">
        <w:rPr>
          <w:b/>
          <w:bCs/>
          <w:rtl/>
        </w:rPr>
        <w:t xml:space="preserve"> </w:t>
      </w:r>
      <w:r w:rsidRPr="005E17DC">
        <w:rPr>
          <w:rFonts w:hint="eastAsia"/>
          <w:b/>
          <w:bCs/>
          <w:rtl/>
        </w:rPr>
        <w:t>ה</w:t>
      </w:r>
      <w:r w:rsidRPr="005E17DC">
        <w:rPr>
          <w:rFonts w:hint="cs"/>
          <w:b/>
          <w:bCs/>
          <w:rtl/>
        </w:rPr>
        <w:t>וא</w:t>
      </w:r>
      <w:r w:rsidRPr="005E17DC">
        <w:rPr>
          <w:b/>
          <w:bCs/>
          <w:rtl/>
        </w:rPr>
        <w:t xml:space="preserve"> "אוגדן </w:t>
      </w:r>
      <w:r w:rsidRPr="005E17DC">
        <w:rPr>
          <w:rFonts w:hint="eastAsia"/>
          <w:b/>
          <w:bCs/>
          <w:rtl/>
        </w:rPr>
        <w:t>השירות</w:t>
      </w:r>
      <w:r w:rsidRPr="005E17DC">
        <w:rPr>
          <w:b/>
          <w:bCs/>
          <w:rtl/>
        </w:rPr>
        <w:t xml:space="preserve">" (להלן - </w:t>
      </w:r>
      <w:r w:rsidRPr="005E17DC">
        <w:rPr>
          <w:rFonts w:hint="cs"/>
          <w:b/>
          <w:bCs/>
          <w:rtl/>
        </w:rPr>
        <w:t xml:space="preserve">אוגדן השירות או </w:t>
      </w:r>
      <w:r w:rsidRPr="005E17DC">
        <w:rPr>
          <w:rFonts w:hint="eastAsia"/>
          <w:b/>
          <w:bCs/>
          <w:rtl/>
        </w:rPr>
        <w:t>האוגדן</w:t>
      </w:r>
      <w:r w:rsidRPr="005E17DC">
        <w:rPr>
          <w:b/>
          <w:bCs/>
          <w:rtl/>
        </w:rPr>
        <w:t xml:space="preserve">) </w:t>
      </w:r>
      <w:r w:rsidRPr="005E17DC">
        <w:rPr>
          <w:rFonts w:hint="eastAsia"/>
          <w:b/>
          <w:bCs/>
          <w:rtl/>
        </w:rPr>
        <w:t>של</w:t>
      </w:r>
      <w:r w:rsidRPr="005E17DC">
        <w:rPr>
          <w:b/>
          <w:bCs/>
          <w:rtl/>
        </w:rPr>
        <w:t xml:space="preserve"> </w:t>
      </w:r>
      <w:r w:rsidRPr="005E17DC">
        <w:rPr>
          <w:rFonts w:hint="eastAsia"/>
          <w:b/>
          <w:bCs/>
          <w:rtl/>
        </w:rPr>
        <w:t>מרכז</w:t>
      </w:r>
      <w:r w:rsidRPr="005E17DC">
        <w:rPr>
          <w:b/>
          <w:bCs/>
          <w:rtl/>
        </w:rPr>
        <w:t xml:space="preserve"> </w:t>
      </w:r>
      <w:r w:rsidRPr="005E17DC">
        <w:rPr>
          <w:rFonts w:hint="cs"/>
          <w:b/>
          <w:bCs/>
          <w:rtl/>
        </w:rPr>
        <w:t>ה</w:t>
      </w:r>
      <w:r w:rsidRPr="005E17DC">
        <w:rPr>
          <w:rFonts w:hint="eastAsia"/>
          <w:b/>
          <w:bCs/>
          <w:rtl/>
        </w:rPr>
        <w:t>שלטון</w:t>
      </w:r>
      <w:r w:rsidRPr="005E17DC">
        <w:rPr>
          <w:b/>
          <w:bCs/>
          <w:rtl/>
        </w:rPr>
        <w:t xml:space="preserve"> </w:t>
      </w:r>
      <w:r w:rsidRPr="005E17DC">
        <w:rPr>
          <w:rFonts w:hint="eastAsia"/>
          <w:b/>
          <w:bCs/>
          <w:rtl/>
        </w:rPr>
        <w:t>המקומי</w:t>
      </w:r>
      <w:r w:rsidRPr="005E17DC">
        <w:rPr>
          <w:b/>
          <w:bCs/>
          <w:rtl/>
        </w:rPr>
        <w:t xml:space="preserve">. </w:t>
      </w:r>
      <w:r w:rsidRPr="005E17DC">
        <w:rPr>
          <w:rFonts w:hint="eastAsia"/>
          <w:b/>
          <w:bCs/>
          <w:rtl/>
        </w:rPr>
        <w:t>האוגדן</w:t>
      </w:r>
      <w:r w:rsidRPr="005E17DC">
        <w:rPr>
          <w:b/>
          <w:bCs/>
          <w:rtl/>
        </w:rPr>
        <w:t xml:space="preserve"> </w:t>
      </w:r>
      <w:r w:rsidRPr="005E17DC">
        <w:rPr>
          <w:rFonts w:hint="eastAsia"/>
          <w:b/>
          <w:bCs/>
          <w:rtl/>
        </w:rPr>
        <w:t>אינו</w:t>
      </w:r>
      <w:r w:rsidRPr="005E17DC">
        <w:rPr>
          <w:b/>
          <w:bCs/>
          <w:rtl/>
        </w:rPr>
        <w:t xml:space="preserve"> </w:t>
      </w:r>
      <w:r w:rsidRPr="005E17DC">
        <w:rPr>
          <w:rFonts w:hint="cs"/>
          <w:b/>
          <w:bCs/>
          <w:rtl/>
        </w:rPr>
        <w:t>מקיף</w:t>
      </w:r>
      <w:r w:rsidRPr="005E17DC">
        <w:rPr>
          <w:b/>
          <w:bCs/>
          <w:rtl/>
        </w:rPr>
        <w:t xml:space="preserve"> </w:t>
      </w:r>
      <w:r w:rsidRPr="005E17DC">
        <w:rPr>
          <w:rFonts w:hint="eastAsia"/>
          <w:b/>
          <w:bCs/>
          <w:rtl/>
        </w:rPr>
        <w:t>את</w:t>
      </w:r>
      <w:r w:rsidRPr="005E17DC">
        <w:rPr>
          <w:b/>
          <w:bCs/>
          <w:rtl/>
        </w:rPr>
        <w:t xml:space="preserve"> </w:t>
      </w:r>
      <w:r w:rsidRPr="005E17DC">
        <w:rPr>
          <w:rFonts w:hint="eastAsia"/>
          <w:b/>
          <w:bCs/>
          <w:rtl/>
        </w:rPr>
        <w:t>כל</w:t>
      </w:r>
      <w:r w:rsidRPr="005E17DC">
        <w:rPr>
          <w:b/>
          <w:bCs/>
          <w:rtl/>
        </w:rPr>
        <w:t xml:space="preserve"> </w:t>
      </w:r>
      <w:r w:rsidRPr="005E17DC">
        <w:rPr>
          <w:rFonts w:hint="cs"/>
          <w:b/>
          <w:bCs/>
          <w:rtl/>
        </w:rPr>
        <w:t>הנושאים</w:t>
      </w:r>
      <w:r w:rsidRPr="005E17DC">
        <w:rPr>
          <w:b/>
          <w:bCs/>
          <w:rtl/>
        </w:rPr>
        <w:t xml:space="preserve"> </w:t>
      </w:r>
      <w:r w:rsidRPr="005E17DC">
        <w:rPr>
          <w:rFonts w:hint="eastAsia"/>
          <w:b/>
          <w:bCs/>
          <w:rtl/>
        </w:rPr>
        <w:t>הרל</w:t>
      </w:r>
      <w:r w:rsidRPr="005E17DC">
        <w:rPr>
          <w:rFonts w:hint="cs"/>
          <w:b/>
          <w:bCs/>
          <w:rtl/>
        </w:rPr>
        <w:t>וו</w:t>
      </w:r>
      <w:r w:rsidRPr="005E17DC">
        <w:rPr>
          <w:rFonts w:hint="eastAsia"/>
          <w:b/>
          <w:bCs/>
          <w:rtl/>
        </w:rPr>
        <w:t>נטיים</w:t>
      </w:r>
      <w:r w:rsidRPr="005E17DC">
        <w:rPr>
          <w:b/>
          <w:bCs/>
          <w:rtl/>
        </w:rPr>
        <w:t xml:space="preserve"> </w:t>
      </w:r>
      <w:r w:rsidRPr="005E17DC">
        <w:rPr>
          <w:rFonts w:hint="eastAsia"/>
          <w:b/>
          <w:bCs/>
          <w:rtl/>
        </w:rPr>
        <w:t>לניהול</w:t>
      </w:r>
      <w:r w:rsidRPr="005E17DC">
        <w:rPr>
          <w:b/>
          <w:bCs/>
          <w:rtl/>
        </w:rPr>
        <w:t xml:space="preserve"> </w:t>
      </w:r>
      <w:r w:rsidR="009309E8">
        <w:rPr>
          <w:rFonts w:hint="eastAsia"/>
          <w:b/>
          <w:bCs/>
          <w:rtl/>
        </w:rPr>
        <w:t>ההון האנושי</w:t>
      </w:r>
      <w:r w:rsidRPr="005E17DC">
        <w:rPr>
          <w:b/>
          <w:bCs/>
          <w:rtl/>
        </w:rPr>
        <w:t xml:space="preserve"> </w:t>
      </w:r>
      <w:r w:rsidRPr="005E17DC">
        <w:rPr>
          <w:rFonts w:hint="eastAsia"/>
          <w:b/>
          <w:bCs/>
          <w:rtl/>
        </w:rPr>
        <w:t>ברשות</w:t>
      </w:r>
      <w:r w:rsidRPr="005E17DC">
        <w:rPr>
          <w:b/>
          <w:bCs/>
          <w:rtl/>
        </w:rPr>
        <w:t xml:space="preserve">, </w:t>
      </w:r>
      <w:r w:rsidRPr="005E17DC">
        <w:rPr>
          <w:rFonts w:hint="eastAsia"/>
          <w:b/>
          <w:bCs/>
          <w:rtl/>
        </w:rPr>
        <w:t>לרבות</w:t>
      </w:r>
      <w:r w:rsidRPr="005E17DC">
        <w:rPr>
          <w:b/>
          <w:bCs/>
          <w:rtl/>
        </w:rPr>
        <w:t xml:space="preserve"> </w:t>
      </w:r>
      <w:r w:rsidRPr="005E17DC">
        <w:rPr>
          <w:rFonts w:hint="eastAsia"/>
          <w:b/>
          <w:bCs/>
          <w:rtl/>
        </w:rPr>
        <w:t>נושאים</w:t>
      </w:r>
      <w:r w:rsidRPr="005E17DC">
        <w:rPr>
          <w:b/>
          <w:bCs/>
          <w:rtl/>
        </w:rPr>
        <w:t xml:space="preserve"> </w:t>
      </w:r>
      <w:r w:rsidRPr="005E17DC">
        <w:rPr>
          <w:rFonts w:hint="eastAsia"/>
          <w:b/>
          <w:bCs/>
          <w:rtl/>
        </w:rPr>
        <w:t>שנקבעו</w:t>
      </w:r>
      <w:r w:rsidRPr="005E17DC">
        <w:rPr>
          <w:b/>
          <w:bCs/>
          <w:rtl/>
        </w:rPr>
        <w:t xml:space="preserve"> </w:t>
      </w:r>
      <w:r w:rsidRPr="005E17DC">
        <w:rPr>
          <w:rFonts w:hint="cs"/>
          <w:b/>
          <w:bCs/>
          <w:rtl/>
        </w:rPr>
        <w:t>ב</w:t>
      </w:r>
      <w:r w:rsidRPr="005E17DC">
        <w:rPr>
          <w:rFonts w:hint="eastAsia"/>
          <w:b/>
          <w:bCs/>
          <w:rtl/>
        </w:rPr>
        <w:t>הם</w:t>
      </w:r>
      <w:r w:rsidRPr="005E17DC">
        <w:rPr>
          <w:b/>
          <w:bCs/>
          <w:rtl/>
        </w:rPr>
        <w:t xml:space="preserve"> </w:t>
      </w:r>
      <w:r w:rsidRPr="005E17DC">
        <w:rPr>
          <w:rFonts w:hint="eastAsia"/>
          <w:b/>
          <w:bCs/>
          <w:rtl/>
        </w:rPr>
        <w:t>סמכויות</w:t>
      </w:r>
      <w:r w:rsidRPr="005E17DC">
        <w:rPr>
          <w:b/>
          <w:bCs/>
          <w:rtl/>
        </w:rPr>
        <w:t xml:space="preserve"> </w:t>
      </w:r>
      <w:r w:rsidRPr="005E17DC">
        <w:rPr>
          <w:rFonts w:hint="eastAsia"/>
          <w:b/>
          <w:bCs/>
          <w:rtl/>
        </w:rPr>
        <w:t>וחובות</w:t>
      </w:r>
      <w:r w:rsidRPr="005E17DC">
        <w:rPr>
          <w:b/>
          <w:bCs/>
          <w:rtl/>
        </w:rPr>
        <w:t xml:space="preserve"> </w:t>
      </w:r>
      <w:r w:rsidRPr="005E17DC">
        <w:rPr>
          <w:rFonts w:hint="eastAsia"/>
          <w:b/>
          <w:bCs/>
          <w:rtl/>
        </w:rPr>
        <w:t>בחקיקה</w:t>
      </w:r>
      <w:r w:rsidRPr="005E17DC">
        <w:rPr>
          <w:rFonts w:hint="cs"/>
          <w:b/>
          <w:bCs/>
          <w:rtl/>
        </w:rPr>
        <w:t>,</w:t>
      </w:r>
      <w:r w:rsidRPr="005E17DC">
        <w:rPr>
          <w:b/>
          <w:bCs/>
          <w:rtl/>
        </w:rPr>
        <w:t xml:space="preserve"> </w:t>
      </w:r>
      <w:r w:rsidRPr="005E17DC">
        <w:rPr>
          <w:rFonts w:hint="eastAsia"/>
          <w:b/>
          <w:bCs/>
          <w:rtl/>
        </w:rPr>
        <w:t>כמו</w:t>
      </w:r>
      <w:r w:rsidRPr="005E17DC">
        <w:rPr>
          <w:b/>
          <w:bCs/>
          <w:rtl/>
        </w:rPr>
        <w:t xml:space="preserve"> </w:t>
      </w:r>
      <w:r w:rsidRPr="005E17DC">
        <w:rPr>
          <w:rFonts w:hint="eastAsia"/>
          <w:b/>
          <w:bCs/>
          <w:rtl/>
        </w:rPr>
        <w:t>העסקת</w:t>
      </w:r>
      <w:r w:rsidRPr="005E17DC">
        <w:rPr>
          <w:b/>
          <w:bCs/>
          <w:rtl/>
        </w:rPr>
        <w:t xml:space="preserve"> </w:t>
      </w:r>
      <w:r w:rsidRPr="005E17DC">
        <w:rPr>
          <w:rFonts w:hint="eastAsia"/>
          <w:b/>
          <w:bCs/>
          <w:rtl/>
        </w:rPr>
        <w:t>קרובי</w:t>
      </w:r>
      <w:r w:rsidRPr="005E17DC">
        <w:rPr>
          <w:b/>
          <w:bCs/>
          <w:rtl/>
        </w:rPr>
        <w:t xml:space="preserve"> </w:t>
      </w:r>
      <w:r w:rsidRPr="005E17DC">
        <w:rPr>
          <w:rFonts w:hint="eastAsia"/>
          <w:b/>
          <w:bCs/>
          <w:rtl/>
        </w:rPr>
        <w:t>משפחה</w:t>
      </w:r>
      <w:r w:rsidRPr="005E17DC">
        <w:rPr>
          <w:b/>
          <w:bCs/>
          <w:rtl/>
        </w:rPr>
        <w:t xml:space="preserve">, </w:t>
      </w:r>
      <w:r w:rsidRPr="005E17DC">
        <w:rPr>
          <w:rFonts w:hint="eastAsia"/>
          <w:b/>
          <w:bCs/>
          <w:rtl/>
        </w:rPr>
        <w:t>ואין</w:t>
      </w:r>
      <w:r w:rsidRPr="005E17DC">
        <w:rPr>
          <w:b/>
          <w:bCs/>
          <w:rtl/>
        </w:rPr>
        <w:t xml:space="preserve"> </w:t>
      </w:r>
      <w:r w:rsidRPr="005E17DC">
        <w:rPr>
          <w:rFonts w:hint="eastAsia"/>
          <w:b/>
          <w:bCs/>
          <w:rtl/>
        </w:rPr>
        <w:t>בו</w:t>
      </w:r>
      <w:r w:rsidRPr="005E17DC">
        <w:rPr>
          <w:b/>
          <w:bCs/>
          <w:rtl/>
        </w:rPr>
        <w:t xml:space="preserve"> </w:t>
      </w:r>
      <w:r w:rsidRPr="005E17DC">
        <w:rPr>
          <w:rFonts w:hint="cs"/>
          <w:b/>
          <w:bCs/>
          <w:rtl/>
        </w:rPr>
        <w:t>הנחיות לתהליכי עבודה. זאת ועוד, במקרים רבים יש באוגדן גמישות בקביעת גורמי הרשות המקומית המוסמכים לאשר עניינים מסוימים ולקבל החלטות, ולכן נדרש להגדיר זאת בנהלים.</w:t>
      </w:r>
      <w:r w:rsidRPr="005E17DC">
        <w:rPr>
          <w:rFonts w:hint="cs"/>
          <w:rtl/>
        </w:rPr>
        <w:t xml:space="preserve"> </w:t>
      </w:r>
    </w:p>
    <w:p w:rsidR="005E17DC" w:rsidRPr="005E17DC" w:rsidP="00385106">
      <w:pPr>
        <w:spacing w:line="269" w:lineRule="auto"/>
        <w:rPr>
          <w:rtl/>
        </w:rPr>
      </w:pPr>
      <w:r w:rsidRPr="005E17DC">
        <w:rPr>
          <w:rFonts w:hint="cs"/>
          <w:rtl/>
        </w:rPr>
        <w:t xml:space="preserve">בתשובתה מסרה העירייה כי בשנת 2013 הכינה נהלים באמצעות יועץ חיצוני. בפועל לא נעשה בהם כל שימוש. כמדיניות, וכלקח שהופק מניסיון, הוחלט כי אוגדן השירות הוא הקודקס החוקי המנחה את עבודת העירייה. העירייה הוסיפה כי כאשר עולה הצורך להסדרת סוגיות שאינן כלולות באוגדן, היא מפרסמת נהלים. כך למשל נכתבו ופורסמו נהלים בנושאי השתלמויות, מסירת רכבי ליסינג ומסירת מכשירים סלולריים. </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Fonts w:hint="cs"/>
          <w:rtl/>
        </w:rPr>
        <w:t xml:space="preserve">משרד מבקר המדינה מציין כי קביעת נהלים פנימיים משלימים עשויה לסייע </w:t>
      </w:r>
      <w:r w:rsidRPr="005E17DC">
        <w:rPr>
          <w:rFonts w:hint="cs"/>
          <w:rtl/>
        </w:rPr>
        <w:t>בהנגשת</w:t>
      </w:r>
      <w:r w:rsidRPr="005E17DC">
        <w:rPr>
          <w:rFonts w:hint="cs"/>
          <w:rtl/>
        </w:rPr>
        <w:t xml:space="preserve"> ההוראות המחייבות לכלל העובדים בעירייה, ולתרום </w:t>
      </w:r>
      <w:r w:rsidRPr="005E17DC">
        <w:rPr>
          <w:rFonts w:hint="cs"/>
          <w:rtl/>
        </w:rPr>
        <w:t>למינהל</w:t>
      </w:r>
      <w:r w:rsidRPr="005E17DC">
        <w:rPr>
          <w:rFonts w:hint="cs"/>
          <w:rtl/>
        </w:rPr>
        <w:t xml:space="preserve"> התקין, ויש היבטים שונים של ניהול </w:t>
      </w:r>
      <w:r w:rsidR="009309E8">
        <w:rPr>
          <w:rFonts w:hint="cs"/>
          <w:rtl/>
        </w:rPr>
        <w:t>ההון האנושי</w:t>
      </w:r>
      <w:r w:rsidRPr="005E17DC">
        <w:rPr>
          <w:rFonts w:hint="cs"/>
          <w:rtl/>
        </w:rPr>
        <w:t xml:space="preserve">, כגון בקרה על העסקת קרובי משפחה ועל עבודה בשעות נוספות ובכוננות שהסדרתם בנהלים הייתה עשויה לצמצם ליקויים בתחומים אלה, כפי שיוצג בהמשך. </w:t>
      </w:r>
    </w:p>
    <w:p w:rsidR="005E17DC" w:rsidRPr="005E17DC" w:rsidP="00385106">
      <w:pPr>
        <w:spacing w:line="269" w:lineRule="auto"/>
        <w:ind w:left="-567"/>
        <w:rPr>
          <w:szCs w:val="20"/>
          <w:rtl/>
        </w:rPr>
      </w:pPr>
    </w:p>
    <w:p w:rsidR="005E17DC" w:rsidRPr="005E17DC" w:rsidP="00385106">
      <w:pPr>
        <w:spacing w:line="269" w:lineRule="auto"/>
        <w:rPr>
          <w:b/>
          <w:bCs/>
          <w:rtl/>
        </w:rPr>
      </w:pPr>
      <w:r w:rsidRPr="005E17DC">
        <w:rPr>
          <w:rFonts w:hint="eastAsia"/>
          <w:b/>
          <w:bCs/>
          <w:rtl/>
        </w:rPr>
        <w:t>משרד</w:t>
      </w:r>
      <w:r w:rsidRPr="005E17DC">
        <w:rPr>
          <w:b/>
          <w:bCs/>
          <w:rtl/>
        </w:rPr>
        <w:t xml:space="preserve"> </w:t>
      </w:r>
      <w:r w:rsidRPr="005E17DC">
        <w:rPr>
          <w:rFonts w:hint="eastAsia"/>
          <w:b/>
          <w:bCs/>
          <w:rtl/>
        </w:rPr>
        <w:t>מבקר</w:t>
      </w:r>
      <w:r w:rsidRPr="005E17DC">
        <w:rPr>
          <w:b/>
          <w:bCs/>
          <w:rtl/>
        </w:rPr>
        <w:t xml:space="preserve"> </w:t>
      </w:r>
      <w:r w:rsidRPr="005E17DC">
        <w:rPr>
          <w:rFonts w:hint="eastAsia"/>
          <w:b/>
          <w:bCs/>
          <w:rtl/>
        </w:rPr>
        <w:t>המדינה</w:t>
      </w:r>
      <w:r w:rsidRPr="005E17DC">
        <w:rPr>
          <w:b/>
          <w:bCs/>
          <w:rtl/>
        </w:rPr>
        <w:t xml:space="preserve"> </w:t>
      </w:r>
      <w:r w:rsidRPr="005E17DC">
        <w:rPr>
          <w:rFonts w:hint="eastAsia"/>
          <w:b/>
          <w:bCs/>
          <w:rtl/>
        </w:rPr>
        <w:t>ממליץ</w:t>
      </w:r>
      <w:r w:rsidRPr="005E17DC">
        <w:rPr>
          <w:b/>
          <w:bCs/>
          <w:rtl/>
        </w:rPr>
        <w:t xml:space="preserve"> </w:t>
      </w:r>
      <w:r w:rsidRPr="005E17DC">
        <w:rPr>
          <w:rFonts w:hint="eastAsia"/>
          <w:b/>
          <w:bCs/>
          <w:rtl/>
        </w:rPr>
        <w:t>לעיריית</w:t>
      </w:r>
      <w:r w:rsidRPr="005E17DC">
        <w:rPr>
          <w:b/>
          <w:bCs/>
          <w:rtl/>
        </w:rPr>
        <w:t xml:space="preserve"> </w:t>
      </w:r>
      <w:r w:rsidRPr="005E17DC">
        <w:rPr>
          <w:rFonts w:hint="eastAsia"/>
          <w:b/>
          <w:bCs/>
          <w:rtl/>
        </w:rPr>
        <w:t>רמלה</w:t>
      </w:r>
      <w:r w:rsidRPr="005E17DC">
        <w:rPr>
          <w:b/>
          <w:bCs/>
          <w:rtl/>
        </w:rPr>
        <w:t xml:space="preserve"> להכין</w:t>
      </w:r>
      <w:r w:rsidRPr="005E17DC">
        <w:rPr>
          <w:rFonts w:hint="cs"/>
          <w:b/>
          <w:bCs/>
          <w:rtl/>
        </w:rPr>
        <w:t xml:space="preserve">, נוסף על הנהלים שכבר הכינה, </w:t>
      </w:r>
      <w:r w:rsidRPr="005E17DC">
        <w:rPr>
          <w:b/>
          <w:bCs/>
          <w:rtl/>
        </w:rPr>
        <w:t>נ</w:t>
      </w:r>
      <w:r w:rsidRPr="005E17DC">
        <w:rPr>
          <w:rFonts w:hint="eastAsia"/>
          <w:b/>
          <w:bCs/>
          <w:rtl/>
        </w:rPr>
        <w:t>הלים</w:t>
      </w:r>
      <w:r w:rsidRPr="005E17DC">
        <w:rPr>
          <w:b/>
          <w:bCs/>
          <w:rtl/>
        </w:rPr>
        <w:t xml:space="preserve"> משלי</w:t>
      </w:r>
      <w:r w:rsidRPr="005E17DC">
        <w:rPr>
          <w:rFonts w:hint="eastAsia"/>
          <w:b/>
          <w:bCs/>
          <w:rtl/>
        </w:rPr>
        <w:t>מים</w:t>
      </w:r>
      <w:r w:rsidRPr="005E17DC">
        <w:rPr>
          <w:b/>
          <w:bCs/>
          <w:rtl/>
        </w:rPr>
        <w:t xml:space="preserve"> לאוגדן השירות ב</w:t>
      </w:r>
      <w:r w:rsidRPr="005E17DC">
        <w:rPr>
          <w:rFonts w:hint="cs"/>
          <w:b/>
          <w:bCs/>
          <w:rtl/>
        </w:rPr>
        <w:t>נושא</w:t>
      </w:r>
      <w:r w:rsidRPr="005E17DC">
        <w:rPr>
          <w:b/>
          <w:bCs/>
          <w:rtl/>
        </w:rPr>
        <w:t xml:space="preserve">ים של ניהול </w:t>
      </w:r>
      <w:r w:rsidR="009309E8">
        <w:rPr>
          <w:b/>
          <w:bCs/>
          <w:rtl/>
        </w:rPr>
        <w:t>ההון האנושי</w:t>
      </w:r>
      <w:r w:rsidRPr="005E17DC">
        <w:rPr>
          <w:b/>
          <w:bCs/>
          <w:rtl/>
        </w:rPr>
        <w:t xml:space="preserve">, </w:t>
      </w:r>
      <w:r w:rsidRPr="005E17DC">
        <w:rPr>
          <w:rFonts w:hint="eastAsia"/>
          <w:b/>
          <w:bCs/>
          <w:rtl/>
        </w:rPr>
        <w:t>כדי</w:t>
      </w:r>
      <w:r w:rsidRPr="005E17DC">
        <w:rPr>
          <w:b/>
          <w:bCs/>
          <w:rtl/>
        </w:rPr>
        <w:t xml:space="preserve"> </w:t>
      </w:r>
      <w:r w:rsidRPr="005E17DC">
        <w:rPr>
          <w:rFonts w:hint="eastAsia"/>
          <w:b/>
          <w:bCs/>
          <w:rtl/>
        </w:rPr>
        <w:t>ליישם</w:t>
      </w:r>
      <w:r w:rsidRPr="005E17DC">
        <w:rPr>
          <w:b/>
          <w:bCs/>
          <w:rtl/>
        </w:rPr>
        <w:t xml:space="preserve"> </w:t>
      </w:r>
      <w:r w:rsidRPr="005E17DC">
        <w:rPr>
          <w:rFonts w:hint="eastAsia"/>
          <w:b/>
          <w:bCs/>
          <w:rtl/>
        </w:rPr>
        <w:t>את</w:t>
      </w:r>
      <w:r w:rsidRPr="005E17DC">
        <w:rPr>
          <w:b/>
          <w:bCs/>
          <w:rtl/>
        </w:rPr>
        <w:t xml:space="preserve"> </w:t>
      </w:r>
      <w:r w:rsidRPr="005E17DC">
        <w:rPr>
          <w:rFonts w:hint="eastAsia"/>
          <w:b/>
          <w:bCs/>
          <w:rtl/>
        </w:rPr>
        <w:t>הוראות</w:t>
      </w:r>
      <w:r w:rsidRPr="005E17DC">
        <w:rPr>
          <w:b/>
          <w:bCs/>
          <w:rtl/>
        </w:rPr>
        <w:t xml:space="preserve"> </w:t>
      </w:r>
      <w:r w:rsidRPr="005E17DC">
        <w:rPr>
          <w:rFonts w:hint="eastAsia"/>
          <w:b/>
          <w:bCs/>
          <w:rtl/>
        </w:rPr>
        <w:t>האוגדן</w:t>
      </w:r>
      <w:r w:rsidRPr="005E17DC">
        <w:rPr>
          <w:b/>
          <w:bCs/>
          <w:rtl/>
        </w:rPr>
        <w:t xml:space="preserve"> </w:t>
      </w:r>
      <w:r w:rsidRPr="005E17DC">
        <w:rPr>
          <w:rFonts w:hint="eastAsia"/>
          <w:b/>
          <w:bCs/>
          <w:rtl/>
        </w:rPr>
        <w:t>בעירייה</w:t>
      </w:r>
      <w:r w:rsidRPr="005E17DC">
        <w:rPr>
          <w:b/>
          <w:bCs/>
          <w:rtl/>
        </w:rPr>
        <w:t xml:space="preserve"> ו</w:t>
      </w:r>
      <w:r w:rsidRPr="005E17DC">
        <w:rPr>
          <w:rFonts w:hint="cs"/>
          <w:b/>
          <w:bCs/>
          <w:rtl/>
        </w:rPr>
        <w:t>להתייחס</w:t>
      </w:r>
      <w:r w:rsidRPr="005E17DC">
        <w:rPr>
          <w:b/>
          <w:bCs/>
          <w:rtl/>
        </w:rPr>
        <w:t xml:space="preserve"> לנושאים</w:t>
      </w:r>
      <w:r w:rsidRPr="005E17DC">
        <w:rPr>
          <w:rFonts w:hint="cs"/>
          <w:b/>
          <w:bCs/>
          <w:rtl/>
        </w:rPr>
        <w:t xml:space="preserve"> </w:t>
      </w:r>
      <w:r w:rsidRPr="005E17DC">
        <w:rPr>
          <w:b/>
          <w:bCs/>
          <w:rtl/>
        </w:rPr>
        <w:t>שאינם מפורטים בו</w:t>
      </w:r>
      <w:r w:rsidRPr="005E17DC">
        <w:rPr>
          <w:rFonts w:hint="cs"/>
          <w:b/>
          <w:bCs/>
          <w:rtl/>
        </w:rPr>
        <w:t>, כגון</w:t>
      </w:r>
      <w:r w:rsidRPr="005E17DC">
        <w:rPr>
          <w:b/>
          <w:bCs/>
          <w:rtl/>
        </w:rPr>
        <w:t xml:space="preserve"> נהלים </w:t>
      </w:r>
      <w:r w:rsidRPr="005E17DC">
        <w:rPr>
          <w:rFonts w:hint="cs"/>
          <w:b/>
          <w:bCs/>
          <w:rtl/>
        </w:rPr>
        <w:t>לקביעת</w:t>
      </w:r>
      <w:r w:rsidRPr="005E17DC">
        <w:rPr>
          <w:b/>
          <w:bCs/>
          <w:rtl/>
        </w:rPr>
        <w:t xml:space="preserve"> התהליכים הפנימיים בעירי</w:t>
      </w:r>
      <w:r w:rsidRPr="005E17DC">
        <w:rPr>
          <w:rFonts w:hint="cs"/>
          <w:b/>
          <w:bCs/>
          <w:rtl/>
        </w:rPr>
        <w:t>י</w:t>
      </w:r>
      <w:r w:rsidRPr="005E17DC">
        <w:rPr>
          <w:b/>
          <w:bCs/>
          <w:rtl/>
        </w:rPr>
        <w:t>ה</w:t>
      </w:r>
      <w:r w:rsidRPr="005E17DC">
        <w:rPr>
          <w:rFonts w:hint="cs"/>
          <w:b/>
          <w:bCs/>
          <w:rtl/>
        </w:rPr>
        <w:t xml:space="preserve"> ונהלים ל</w:t>
      </w:r>
      <w:r w:rsidRPr="005E17DC">
        <w:rPr>
          <w:b/>
          <w:bCs/>
          <w:rtl/>
        </w:rPr>
        <w:t>קביעת הגור</w:t>
      </w:r>
      <w:r w:rsidRPr="005E17DC">
        <w:rPr>
          <w:rFonts w:hint="eastAsia"/>
          <w:b/>
          <w:bCs/>
          <w:rtl/>
        </w:rPr>
        <w:t>מים</w:t>
      </w:r>
      <w:r w:rsidRPr="005E17DC">
        <w:rPr>
          <w:b/>
          <w:bCs/>
          <w:rtl/>
        </w:rPr>
        <w:t xml:space="preserve"> </w:t>
      </w:r>
      <w:r w:rsidRPr="005E17DC">
        <w:rPr>
          <w:rFonts w:hint="cs"/>
          <w:b/>
          <w:bCs/>
          <w:rtl/>
        </w:rPr>
        <w:t xml:space="preserve">בעירייה </w:t>
      </w:r>
      <w:r w:rsidRPr="005E17DC">
        <w:rPr>
          <w:b/>
          <w:bCs/>
          <w:rtl/>
        </w:rPr>
        <w:t>האחראי</w:t>
      </w:r>
      <w:r w:rsidRPr="005E17DC">
        <w:rPr>
          <w:rFonts w:hint="eastAsia"/>
          <w:b/>
          <w:bCs/>
          <w:rtl/>
        </w:rPr>
        <w:t>ם</w:t>
      </w:r>
      <w:r w:rsidRPr="005E17DC">
        <w:rPr>
          <w:b/>
          <w:bCs/>
          <w:rtl/>
        </w:rPr>
        <w:t xml:space="preserve"> לביצוע</w:t>
      </w:r>
      <w:r w:rsidRPr="005E17DC">
        <w:rPr>
          <w:rFonts w:hint="cs"/>
          <w:b/>
          <w:bCs/>
          <w:rtl/>
        </w:rPr>
        <w:t>ן של</w:t>
      </w:r>
      <w:r w:rsidRPr="005E17DC">
        <w:rPr>
          <w:b/>
          <w:bCs/>
          <w:rtl/>
        </w:rPr>
        <w:t xml:space="preserve"> הוראות האוגדן</w:t>
      </w:r>
      <w:r w:rsidRPr="005E17DC">
        <w:rPr>
          <w:rFonts w:hint="cs"/>
          <w:b/>
          <w:bCs/>
          <w:rtl/>
        </w:rPr>
        <w:t>.</w:t>
      </w:r>
      <w:r w:rsidRPr="005E17DC">
        <w:rPr>
          <w:rFonts w:hint="eastAsia"/>
          <w:b/>
          <w:bCs/>
          <w:rtl/>
        </w:rPr>
        <w:t xml:space="preserve"> </w:t>
      </w:r>
    </w:p>
    <w:p w:rsidR="005E17DC" w:rsidRPr="005E17DC" w:rsidP="00385106">
      <w:pPr>
        <w:spacing w:line="269" w:lineRule="auto"/>
        <w:ind w:left="-567"/>
        <w:rPr>
          <w:szCs w:val="20"/>
          <w:rtl/>
        </w:rPr>
      </w:pPr>
    </w:p>
    <w:p w:rsidR="005E17DC" w:rsidRPr="005E17DC" w:rsidP="00385106">
      <w:pPr>
        <w:keepNext/>
        <w:keepLines/>
        <w:spacing w:line="269" w:lineRule="auto"/>
        <w:outlineLvl w:val="3"/>
        <w:rPr>
          <w:rFonts w:eastAsiaTheme="majorEastAsia"/>
          <w:bCs/>
          <w:szCs w:val="26"/>
          <w:rtl/>
        </w:rPr>
      </w:pPr>
      <w:r w:rsidRPr="005E17DC">
        <w:rPr>
          <w:rFonts w:eastAsiaTheme="majorEastAsia" w:hint="cs"/>
          <w:bCs/>
          <w:szCs w:val="26"/>
          <w:rtl/>
        </w:rPr>
        <w:t>מערכת הערכה ומשוב לעובדי העירייה</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Fonts w:hint="cs"/>
          <w:rtl/>
        </w:rPr>
        <w:t xml:space="preserve">מטרותיה של </w:t>
      </w:r>
      <w:r w:rsidRPr="005E17DC">
        <w:rPr>
          <w:rtl/>
        </w:rPr>
        <w:t>מערכת הערכה ומשוב</w:t>
      </w:r>
      <w:r w:rsidRPr="005E17DC">
        <w:rPr>
          <w:rFonts w:hint="cs"/>
          <w:rtl/>
        </w:rPr>
        <w:t xml:space="preserve"> בארגון</w:t>
      </w:r>
      <w:r w:rsidRPr="005E17DC">
        <w:rPr>
          <w:rtl/>
        </w:rPr>
        <w:t xml:space="preserve"> ה</w:t>
      </w:r>
      <w:r w:rsidRPr="005E17DC">
        <w:rPr>
          <w:rFonts w:hint="cs"/>
          <w:rtl/>
        </w:rPr>
        <w:t>ן:</w:t>
      </w:r>
      <w:r w:rsidRPr="005E17DC">
        <w:rPr>
          <w:rtl/>
        </w:rPr>
        <w:t xml:space="preserve"> להעריך את רמת התפקוד והביצוע של העובד</w:t>
      </w:r>
      <w:r w:rsidRPr="005E17DC">
        <w:rPr>
          <w:rFonts w:hint="cs"/>
          <w:rtl/>
        </w:rPr>
        <w:t>;</w:t>
      </w:r>
      <w:r w:rsidRPr="005E17DC">
        <w:rPr>
          <w:rtl/>
        </w:rPr>
        <w:t xml:space="preserve"> לאפשר דיאלוג מובנה עם העובד </w:t>
      </w:r>
      <w:r w:rsidRPr="005E17DC">
        <w:rPr>
          <w:rFonts w:hint="cs"/>
          <w:rtl/>
        </w:rPr>
        <w:t>שאפשר</w:t>
      </w:r>
      <w:r w:rsidRPr="005E17DC">
        <w:rPr>
          <w:rtl/>
        </w:rPr>
        <w:t xml:space="preserve"> לסכם </w:t>
      </w:r>
      <w:r w:rsidRPr="005E17DC">
        <w:rPr>
          <w:rFonts w:hint="cs"/>
          <w:rtl/>
        </w:rPr>
        <w:t xml:space="preserve">בו </w:t>
      </w:r>
      <w:r w:rsidRPr="005E17DC">
        <w:rPr>
          <w:rtl/>
        </w:rPr>
        <w:t>הישגים, קשיים, ציפיות וכ</w:t>
      </w:r>
      <w:r w:rsidRPr="005E17DC">
        <w:rPr>
          <w:rFonts w:hint="cs"/>
          <w:rtl/>
        </w:rPr>
        <w:t>ד';</w:t>
      </w:r>
      <w:r w:rsidRPr="005E17DC">
        <w:rPr>
          <w:rtl/>
        </w:rPr>
        <w:t xml:space="preserve"> להעניק </w:t>
      </w:r>
      <w:r w:rsidRPr="005E17DC">
        <w:rPr>
          <w:rFonts w:hint="cs"/>
          <w:rtl/>
        </w:rPr>
        <w:t xml:space="preserve">לעובד </w:t>
      </w:r>
      <w:r w:rsidRPr="005E17DC">
        <w:rPr>
          <w:rtl/>
        </w:rPr>
        <w:t xml:space="preserve">משוב תכליתי </w:t>
      </w:r>
      <w:r w:rsidRPr="005E17DC">
        <w:rPr>
          <w:rFonts w:hint="cs"/>
          <w:rtl/>
        </w:rPr>
        <w:t>ש</w:t>
      </w:r>
      <w:r w:rsidRPr="005E17DC">
        <w:rPr>
          <w:rtl/>
        </w:rPr>
        <w:t>יאפשר לו לשפר את התפקוד והביצוע</w:t>
      </w:r>
      <w:r w:rsidRPr="005E17DC">
        <w:rPr>
          <w:rFonts w:hint="cs"/>
          <w:rtl/>
        </w:rPr>
        <w:t>;</w:t>
      </w:r>
      <w:r w:rsidRPr="005E17DC">
        <w:rPr>
          <w:rtl/>
        </w:rPr>
        <w:t xml:space="preserve"> לאפשר מתן פתרונות תומכים לעובד למען הצלחתו במילוי המשימות</w:t>
      </w:r>
      <w:r w:rsidRPr="005E17DC">
        <w:rPr>
          <w:rFonts w:hint="cs"/>
          <w:rtl/>
        </w:rPr>
        <w:t>;</w:t>
      </w:r>
      <w:r w:rsidRPr="005E17DC">
        <w:rPr>
          <w:rtl/>
        </w:rPr>
        <w:t xml:space="preserve"> לחזק את תודעת ההישגיות בקרב העובדים והמנהלים</w:t>
      </w:r>
      <w:r w:rsidRPr="005E17DC">
        <w:rPr>
          <w:rFonts w:ascii="David" w:hAnsi="David"/>
          <w:sz w:val="24"/>
          <w:szCs w:val="32"/>
        </w:rPr>
        <w:t>;</w:t>
      </w:r>
      <w:r w:rsidRPr="005E17DC">
        <w:rPr>
          <w:rtl/>
        </w:rPr>
        <w:t xml:space="preserve"> להוות אמצעי מרכזי בתכנון, בניהול ובפיתוח משאבי האנוש</w:t>
      </w:r>
      <w:r w:rsidRPr="005E17DC">
        <w:rPr>
          <w:rFonts w:hint="cs"/>
          <w:rtl/>
        </w:rPr>
        <w:t>;</w:t>
      </w:r>
      <w:r w:rsidRPr="005E17DC">
        <w:rPr>
          <w:rtl/>
        </w:rPr>
        <w:t xml:space="preserve"> להוות מרכיב חשוב בקידום האיכות והמצוינות הארגוני</w:t>
      </w:r>
      <w:r w:rsidRPr="005E17DC">
        <w:rPr>
          <w:rFonts w:hint="cs"/>
          <w:rtl/>
        </w:rPr>
        <w:t>ו</w:t>
      </w:r>
      <w:r w:rsidRPr="005E17DC">
        <w:rPr>
          <w:rtl/>
        </w:rPr>
        <w:t>ת</w:t>
      </w:r>
      <w:r>
        <w:rPr>
          <w:vertAlign w:val="superscript"/>
          <w:rtl/>
        </w:rPr>
        <w:footnoteReference w:id="37"/>
      </w:r>
      <w:r w:rsidRPr="005E17DC">
        <w:rPr>
          <w:rtl/>
        </w:rPr>
        <w:t>.</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tl/>
        </w:rPr>
        <w:t>לפי ההנחיות באוגדן</w:t>
      </w:r>
      <w:r w:rsidRPr="005E17DC">
        <w:rPr>
          <w:rFonts w:hint="cs"/>
          <w:rtl/>
        </w:rPr>
        <w:t xml:space="preserve"> השירות, המשמש כנוהל העירייה לניהול </w:t>
      </w:r>
      <w:r w:rsidR="009309E8">
        <w:rPr>
          <w:rFonts w:hint="cs"/>
          <w:rtl/>
        </w:rPr>
        <w:t>ההון האנושי</w:t>
      </w:r>
      <w:r w:rsidRPr="005E17DC">
        <w:rPr>
          <w:rFonts w:hint="cs"/>
          <w:rtl/>
        </w:rPr>
        <w:t xml:space="preserve">, </w:t>
      </w:r>
      <w:r w:rsidRPr="005E17DC">
        <w:rPr>
          <w:rtl/>
        </w:rPr>
        <w:t xml:space="preserve">חוות דעת על עובד תוגש </w:t>
      </w:r>
      <w:r w:rsidRPr="005E17DC">
        <w:rPr>
          <w:rFonts w:hint="cs"/>
          <w:rtl/>
        </w:rPr>
        <w:t>בידי</w:t>
      </w:r>
      <w:r w:rsidRPr="005E17DC">
        <w:rPr>
          <w:rtl/>
        </w:rPr>
        <w:t xml:space="preserve"> מי ש</w:t>
      </w:r>
      <w:r w:rsidRPr="005E17DC">
        <w:rPr>
          <w:rFonts w:hint="cs"/>
          <w:rtl/>
        </w:rPr>
        <w:t xml:space="preserve">נקבע בידי </w:t>
      </w:r>
      <w:r w:rsidRPr="005E17DC">
        <w:rPr>
          <w:rtl/>
        </w:rPr>
        <w:t>הממונה על עניין העובדים, ולמטרות הבאות</w:t>
      </w:r>
      <w:r w:rsidRPr="005E17DC">
        <w:rPr>
          <w:rFonts w:hint="cs"/>
          <w:rtl/>
        </w:rPr>
        <w:t xml:space="preserve">: </w:t>
      </w:r>
      <w:r w:rsidRPr="005E17DC">
        <w:rPr>
          <w:rtl/>
        </w:rPr>
        <w:t>הארכת שירותו מעל לתקופה הקבועה בחוזה המיוחד</w:t>
      </w:r>
      <w:r w:rsidRPr="005E17DC">
        <w:rPr>
          <w:rFonts w:hint="cs"/>
          <w:rtl/>
        </w:rPr>
        <w:t>,</w:t>
      </w:r>
      <w:r w:rsidRPr="005E17DC">
        <w:rPr>
          <w:rtl/>
        </w:rPr>
        <w:t xml:space="preserve"> אם הוא מועסק ע</w:t>
      </w:r>
      <w:r w:rsidRPr="005E17DC">
        <w:rPr>
          <w:rFonts w:hint="cs"/>
          <w:rtl/>
        </w:rPr>
        <w:t>ל פי</w:t>
      </w:r>
      <w:r w:rsidRPr="005E17DC">
        <w:rPr>
          <w:rtl/>
        </w:rPr>
        <w:t xml:space="preserve"> חוזה מיוחד</w:t>
      </w:r>
      <w:r w:rsidRPr="005E17DC">
        <w:rPr>
          <w:rFonts w:hint="cs"/>
          <w:rtl/>
        </w:rPr>
        <w:t xml:space="preserve">; </w:t>
      </w:r>
      <w:r w:rsidRPr="005E17DC">
        <w:rPr>
          <w:rtl/>
        </w:rPr>
        <w:t>קבלת מינוי קבע בתפקידו אחרי גמר תקופת הניסיון</w:t>
      </w:r>
      <w:r w:rsidRPr="005E17DC">
        <w:rPr>
          <w:rFonts w:hint="cs"/>
          <w:rtl/>
        </w:rPr>
        <w:t>;</w:t>
      </w:r>
      <w:r w:rsidRPr="005E17DC">
        <w:rPr>
          <w:rtl/>
        </w:rPr>
        <w:t xml:space="preserve"> קידומו בדרגה ובתפקיד</w:t>
      </w:r>
      <w:r w:rsidRPr="005E17DC">
        <w:rPr>
          <w:rFonts w:hint="cs"/>
          <w:rtl/>
        </w:rPr>
        <w:t xml:space="preserve">; </w:t>
      </w:r>
      <w:r w:rsidRPr="005E17DC">
        <w:rPr>
          <w:rtl/>
        </w:rPr>
        <w:t>הכוונתו לתפקידים ולמקצועות אחרים</w:t>
      </w:r>
      <w:r w:rsidRPr="005E17DC">
        <w:rPr>
          <w:rFonts w:hint="cs"/>
          <w:rtl/>
        </w:rPr>
        <w:t xml:space="preserve">; </w:t>
      </w:r>
      <w:r w:rsidRPr="005E17DC">
        <w:rPr>
          <w:rtl/>
        </w:rPr>
        <w:t>קביעת הכשרתו</w:t>
      </w:r>
      <w:r w:rsidRPr="005E17DC">
        <w:rPr>
          <w:rFonts w:hint="cs"/>
          <w:rtl/>
        </w:rPr>
        <w:t xml:space="preserve">, </w:t>
      </w:r>
      <w:r w:rsidRPr="005E17DC">
        <w:rPr>
          <w:rtl/>
        </w:rPr>
        <w:t>הכוונתו והשתלמויות</w:t>
      </w:r>
      <w:r w:rsidRPr="005E17DC">
        <w:rPr>
          <w:rFonts w:hint="cs"/>
          <w:rtl/>
        </w:rPr>
        <w:t>; ו</w:t>
      </w:r>
      <w:r w:rsidRPr="005E17DC">
        <w:rPr>
          <w:rtl/>
        </w:rPr>
        <w:t>סיום שירותו של עובד.</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tl/>
        </w:rPr>
        <w:t>בית הדין לעבודה קבע</w:t>
      </w:r>
      <w:r>
        <w:rPr>
          <w:vertAlign w:val="superscript"/>
          <w:rtl/>
        </w:rPr>
        <w:footnoteReference w:id="38"/>
      </w:r>
      <w:r w:rsidRPr="005E17DC">
        <w:rPr>
          <w:rtl/>
        </w:rPr>
        <w:t xml:space="preserve"> כי "למותר להכביר מילים על חובתו של מעסיק לנהל עם עובד שיחות משוב והערכות תפקוד וביצוע תקופתיות. הערכות אלו באות לחזק את הקשר שבין העובד למעסיק, שכן הן מאפשרות למעסיק לומר לעובד במה הוא טוב, ובמה הוא צריך להשתפר, וגם לעובד יש הזדמנות לשטוח את טענותיו, אם ישנן כאלה, לפני המעסיק. חובה זו של המעסיק מקורה בעיקרון תום הלב החולש על יחסי הצדדים, שאם לא כן, היה נשמט הבסיס לתקשורת שבין עובד למעסיק</w:t>
      </w:r>
      <w:r w:rsidRPr="005E17DC">
        <w:rPr>
          <w:rFonts w:hint="cs"/>
          <w:rtl/>
        </w:rPr>
        <w:t>".</w:t>
      </w:r>
      <w:r w:rsidRPr="005E17DC">
        <w:rPr>
          <w:rtl/>
        </w:rPr>
        <w:t xml:space="preserve"> </w:t>
      </w:r>
    </w:p>
    <w:p w:rsidR="005E17DC" w:rsidRPr="005E17DC" w:rsidP="00385106">
      <w:pPr>
        <w:spacing w:line="269" w:lineRule="auto"/>
        <w:ind w:left="-567"/>
        <w:rPr>
          <w:szCs w:val="20"/>
          <w:rtl/>
        </w:rPr>
      </w:pPr>
    </w:p>
    <w:p w:rsidR="005E17DC" w:rsidRPr="005E17DC" w:rsidP="00385106">
      <w:pPr>
        <w:spacing w:line="269" w:lineRule="auto"/>
        <w:rPr>
          <w:b/>
          <w:bCs/>
          <w:rtl/>
        </w:rPr>
      </w:pPr>
      <w:r w:rsidRPr="005E17DC">
        <w:rPr>
          <w:rFonts w:hint="eastAsia"/>
          <w:b/>
          <w:bCs/>
          <w:rtl/>
        </w:rPr>
        <w:t>בביקורת</w:t>
      </w:r>
      <w:r w:rsidRPr="005E17DC">
        <w:rPr>
          <w:b/>
          <w:bCs/>
          <w:rtl/>
        </w:rPr>
        <w:t xml:space="preserve"> נמצא כי בעיריית רמלה אין הליכים סדורים של הערכה ומשוב, והערכ</w:t>
      </w:r>
      <w:r w:rsidRPr="005E17DC">
        <w:rPr>
          <w:rFonts w:hint="cs"/>
          <w:b/>
          <w:bCs/>
          <w:rtl/>
        </w:rPr>
        <w:t>ת</w:t>
      </w:r>
      <w:r w:rsidRPr="005E17DC">
        <w:rPr>
          <w:b/>
          <w:bCs/>
          <w:rtl/>
        </w:rPr>
        <w:t xml:space="preserve"> עובדים </w:t>
      </w:r>
      <w:r w:rsidRPr="005E17DC">
        <w:rPr>
          <w:rFonts w:hint="cs"/>
          <w:b/>
          <w:bCs/>
          <w:rtl/>
        </w:rPr>
        <w:t>אינה נעשית אלא כש</w:t>
      </w:r>
      <w:r w:rsidRPr="005E17DC">
        <w:rPr>
          <w:b/>
          <w:bCs/>
          <w:rtl/>
        </w:rPr>
        <w:t>מתקבלת הכרעה אם עובד בתקופת ניסיון ראוי לקבל קביעות.</w:t>
      </w:r>
      <w:r w:rsidRPr="005E17DC">
        <w:rPr>
          <w:rFonts w:hint="cs"/>
          <w:b/>
          <w:bCs/>
          <w:rtl/>
        </w:rPr>
        <w:t xml:space="preserve"> ואולם </w:t>
      </w:r>
      <w:r w:rsidRPr="005E17DC">
        <w:rPr>
          <w:b/>
          <w:bCs/>
          <w:rtl/>
        </w:rPr>
        <w:t xml:space="preserve">גם הערכה זו אינה סדורה ואחידה וכל מנהל נותן הערכה </w:t>
      </w:r>
      <w:r w:rsidRPr="005E17DC">
        <w:rPr>
          <w:rFonts w:hint="eastAsia"/>
          <w:b/>
          <w:bCs/>
          <w:rtl/>
        </w:rPr>
        <w:t>לפי</w:t>
      </w:r>
      <w:r w:rsidRPr="005E17DC">
        <w:rPr>
          <w:b/>
          <w:bCs/>
          <w:rtl/>
        </w:rPr>
        <w:t xml:space="preserve"> </w:t>
      </w:r>
      <w:r w:rsidRPr="005E17DC">
        <w:rPr>
          <w:rFonts w:hint="eastAsia"/>
          <w:b/>
          <w:bCs/>
          <w:rtl/>
        </w:rPr>
        <w:t>ראות</w:t>
      </w:r>
      <w:r w:rsidRPr="005E17DC">
        <w:rPr>
          <w:b/>
          <w:bCs/>
          <w:rtl/>
        </w:rPr>
        <w:t xml:space="preserve"> </w:t>
      </w:r>
      <w:r w:rsidRPr="005E17DC">
        <w:rPr>
          <w:rFonts w:hint="eastAsia"/>
          <w:b/>
          <w:bCs/>
          <w:rtl/>
        </w:rPr>
        <w:t>עיניו</w:t>
      </w:r>
      <w:r w:rsidRPr="005E17DC">
        <w:rPr>
          <w:b/>
          <w:bCs/>
          <w:rtl/>
        </w:rPr>
        <w:t xml:space="preserve"> </w:t>
      </w:r>
      <w:r w:rsidRPr="005E17DC">
        <w:rPr>
          <w:rFonts w:hint="eastAsia"/>
          <w:b/>
          <w:bCs/>
          <w:rtl/>
        </w:rPr>
        <w:t>ולא</w:t>
      </w:r>
      <w:r w:rsidRPr="005E17DC">
        <w:rPr>
          <w:b/>
          <w:bCs/>
          <w:rtl/>
        </w:rPr>
        <w:t xml:space="preserve"> </w:t>
      </w:r>
      <w:r w:rsidRPr="005E17DC">
        <w:rPr>
          <w:rFonts w:hint="eastAsia"/>
          <w:b/>
          <w:bCs/>
          <w:rtl/>
        </w:rPr>
        <w:t>על</w:t>
      </w:r>
      <w:r w:rsidRPr="005E17DC">
        <w:rPr>
          <w:b/>
          <w:bCs/>
          <w:rtl/>
        </w:rPr>
        <w:t xml:space="preserve"> </w:t>
      </w:r>
      <w:r w:rsidRPr="005E17DC">
        <w:rPr>
          <w:rFonts w:hint="eastAsia"/>
          <w:b/>
          <w:bCs/>
          <w:rtl/>
        </w:rPr>
        <w:t>פי</w:t>
      </w:r>
      <w:r w:rsidRPr="005E17DC">
        <w:rPr>
          <w:b/>
          <w:bCs/>
          <w:rtl/>
        </w:rPr>
        <w:t xml:space="preserve"> </w:t>
      </w:r>
      <w:r w:rsidRPr="005E17DC">
        <w:rPr>
          <w:rFonts w:hint="eastAsia"/>
          <w:b/>
          <w:bCs/>
          <w:rtl/>
        </w:rPr>
        <w:t>שאלון</w:t>
      </w:r>
      <w:r w:rsidRPr="005E17DC">
        <w:rPr>
          <w:b/>
          <w:bCs/>
          <w:rtl/>
        </w:rPr>
        <w:t xml:space="preserve"> </w:t>
      </w:r>
      <w:r w:rsidRPr="005E17DC">
        <w:rPr>
          <w:rFonts w:hint="eastAsia"/>
          <w:b/>
          <w:bCs/>
          <w:rtl/>
        </w:rPr>
        <w:t>מובנה</w:t>
      </w:r>
      <w:r w:rsidRPr="005E17DC">
        <w:rPr>
          <w:b/>
          <w:bCs/>
          <w:rtl/>
        </w:rPr>
        <w:t xml:space="preserve"> </w:t>
      </w:r>
      <w:r w:rsidRPr="005E17DC">
        <w:rPr>
          <w:rFonts w:hint="eastAsia"/>
          <w:b/>
          <w:bCs/>
          <w:rtl/>
        </w:rPr>
        <w:t>ותבחינים</w:t>
      </w:r>
      <w:r w:rsidRPr="005E17DC">
        <w:rPr>
          <w:b/>
          <w:bCs/>
          <w:rtl/>
        </w:rPr>
        <w:t xml:space="preserve"> </w:t>
      </w:r>
      <w:r w:rsidRPr="005E17DC">
        <w:rPr>
          <w:rFonts w:hint="eastAsia"/>
          <w:b/>
          <w:bCs/>
          <w:rtl/>
        </w:rPr>
        <w:t>אחידים</w:t>
      </w:r>
      <w:r w:rsidRPr="005E17DC">
        <w:rPr>
          <w:b/>
          <w:bCs/>
          <w:rtl/>
        </w:rPr>
        <w:t>.</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Fonts w:hint="cs"/>
          <w:rtl/>
        </w:rPr>
        <w:t xml:space="preserve">בתשובתה מסרה העירייה כי אינה מקיימת הליך הערכה ומשוב מתוך תפיסה ניהולית הנסמכת על מחקרים ולפיהם ברשויות המקומיות אין בהליך זה ערך של ממש והמציאות מלמדת שלא פעם נעשה שימוש בכלי זה של הערכת עובד לצורך "סגירת חשבונות" או פגיעה בעובד. </w:t>
      </w:r>
    </w:p>
    <w:p w:rsidR="005E17DC" w:rsidRPr="005E17DC" w:rsidP="00385106">
      <w:pPr>
        <w:spacing w:line="269" w:lineRule="auto"/>
        <w:rPr>
          <w:b/>
          <w:bCs/>
          <w:rtl/>
        </w:rPr>
      </w:pPr>
      <w:r w:rsidRPr="005E17DC">
        <w:rPr>
          <w:rFonts w:hint="cs"/>
          <w:b/>
          <w:bCs/>
          <w:rtl/>
        </w:rPr>
        <w:t xml:space="preserve">משרד מבקר המדינה ממליץ לעיריית רמלה לבחון דרכים להעברת שיחות משוב באופן שיאפשר ויעודד את העובדים להשתפר וגם לציין חסמים או רעיונות התייעלות ובכך לשפר גם את ביצועי העירייה. </w:t>
      </w:r>
    </w:p>
    <w:p w:rsidR="005E17DC" w:rsidRPr="005E17DC" w:rsidP="000E5918">
      <w:pPr>
        <w:pStyle w:val="a"/>
        <w:rPr>
          <w:rtl/>
        </w:rPr>
      </w:pPr>
    </w:p>
    <w:p w:rsidR="005E17DC" w:rsidRPr="005E17DC" w:rsidP="00385106">
      <w:pPr>
        <w:keepNext/>
        <w:keepLines/>
        <w:spacing w:line="269" w:lineRule="auto"/>
        <w:outlineLvl w:val="3"/>
        <w:rPr>
          <w:rFonts w:eastAsiaTheme="majorEastAsia"/>
          <w:bCs/>
          <w:szCs w:val="26"/>
          <w:rtl/>
        </w:rPr>
      </w:pPr>
      <w:r w:rsidRPr="005E17DC">
        <w:rPr>
          <w:rFonts w:eastAsiaTheme="majorEastAsia" w:hint="cs"/>
          <w:bCs/>
          <w:szCs w:val="26"/>
          <w:rtl/>
        </w:rPr>
        <w:t>מערך הדרכה</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tl/>
        </w:rPr>
        <w:t xml:space="preserve">ארגונים </w:t>
      </w:r>
      <w:r w:rsidRPr="005E17DC">
        <w:rPr>
          <w:rFonts w:hint="cs"/>
          <w:rtl/>
        </w:rPr>
        <w:t>נדרשים לקיים תהליכי</w:t>
      </w:r>
      <w:r w:rsidRPr="005E17DC">
        <w:rPr>
          <w:rtl/>
        </w:rPr>
        <w:t xml:space="preserve"> </w:t>
      </w:r>
      <w:r w:rsidRPr="005E17DC">
        <w:rPr>
          <w:rFonts w:hint="cs"/>
          <w:rtl/>
        </w:rPr>
        <w:t>פיתוח ושיפור מקצועיים</w:t>
      </w:r>
      <w:r w:rsidRPr="005E17DC">
        <w:rPr>
          <w:rtl/>
        </w:rPr>
        <w:t xml:space="preserve"> </w:t>
      </w:r>
      <w:r w:rsidRPr="005E17DC">
        <w:rPr>
          <w:rFonts w:hint="cs"/>
          <w:rtl/>
        </w:rPr>
        <w:t>כדי</w:t>
      </w:r>
      <w:r w:rsidRPr="005E17DC">
        <w:rPr>
          <w:rtl/>
        </w:rPr>
        <w:t xml:space="preserve"> להתאים את עצמם לסביבה המשתנה</w:t>
      </w:r>
      <w:r w:rsidRPr="005E17DC">
        <w:rPr>
          <w:rFonts w:hint="cs"/>
          <w:rtl/>
        </w:rPr>
        <w:t>.</w:t>
      </w:r>
      <w:r w:rsidRPr="005E17DC">
        <w:rPr>
          <w:rtl/>
        </w:rPr>
        <w:t xml:space="preserve"> </w:t>
      </w:r>
      <w:r w:rsidRPr="005E17DC">
        <w:rPr>
          <w:rFonts w:hint="cs"/>
          <w:rtl/>
        </w:rPr>
        <w:t xml:space="preserve">מכאן חשיבותן של פעילויות </w:t>
      </w:r>
      <w:r w:rsidRPr="005E17DC">
        <w:rPr>
          <w:rtl/>
        </w:rPr>
        <w:t>הדרכ</w:t>
      </w:r>
      <w:r w:rsidRPr="005E17DC">
        <w:rPr>
          <w:rFonts w:hint="cs"/>
          <w:rtl/>
        </w:rPr>
        <w:t>ה</w:t>
      </w:r>
      <w:r>
        <w:rPr>
          <w:vertAlign w:val="superscript"/>
          <w:rtl/>
        </w:rPr>
        <w:footnoteReference w:id="39"/>
      </w:r>
      <w:r w:rsidRPr="005E17DC">
        <w:rPr>
          <w:rtl/>
        </w:rPr>
        <w:t xml:space="preserve"> </w:t>
      </w:r>
      <w:r w:rsidRPr="005E17DC">
        <w:rPr>
          <w:rFonts w:hint="cs"/>
          <w:rtl/>
        </w:rPr>
        <w:t>לעובדים,</w:t>
      </w:r>
      <w:r w:rsidRPr="005E17DC">
        <w:rPr>
          <w:rtl/>
        </w:rPr>
        <w:t xml:space="preserve"> </w:t>
      </w:r>
      <w:r w:rsidRPr="005E17DC">
        <w:rPr>
          <w:rFonts w:hint="cs"/>
          <w:rtl/>
        </w:rPr>
        <w:t>כ</w:t>
      </w:r>
      <w:r w:rsidRPr="005E17DC">
        <w:rPr>
          <w:rtl/>
        </w:rPr>
        <w:t xml:space="preserve">השקעה חשובה שתשתלם </w:t>
      </w:r>
      <w:r w:rsidRPr="005E17DC">
        <w:rPr>
          <w:rFonts w:hint="cs"/>
          <w:rtl/>
        </w:rPr>
        <w:t>לאורך זמן</w:t>
      </w:r>
      <w:r w:rsidRPr="005E17DC">
        <w:rPr>
          <w:rtl/>
        </w:rPr>
        <w:t>. להדרכה מטרות ארגוניות ועסקיות</w:t>
      </w:r>
      <w:r w:rsidRPr="005E17DC">
        <w:rPr>
          <w:rFonts w:hint="cs"/>
          <w:rtl/>
        </w:rPr>
        <w:t>: העשרת</w:t>
      </w:r>
      <w:r w:rsidRPr="005E17DC">
        <w:rPr>
          <w:rtl/>
        </w:rPr>
        <w:t xml:space="preserve"> הידע המקצועי של העובדים ו</w:t>
      </w:r>
      <w:r w:rsidRPr="005E17DC">
        <w:rPr>
          <w:rFonts w:hint="cs"/>
          <w:rtl/>
        </w:rPr>
        <w:t>הגבר</w:t>
      </w:r>
      <w:r w:rsidRPr="005E17DC">
        <w:rPr>
          <w:rtl/>
        </w:rPr>
        <w:t xml:space="preserve">ת המוטיבציה שלהם, ובכך </w:t>
      </w:r>
      <w:r w:rsidRPr="005E17DC">
        <w:rPr>
          <w:rFonts w:hint="cs"/>
          <w:rtl/>
        </w:rPr>
        <w:t>שיפורה של</w:t>
      </w:r>
      <w:r w:rsidRPr="005E17DC">
        <w:rPr>
          <w:rtl/>
        </w:rPr>
        <w:t xml:space="preserve"> איכות עבודתם ו</w:t>
      </w:r>
      <w:r w:rsidRPr="005E17DC">
        <w:rPr>
          <w:rFonts w:hint="cs"/>
          <w:rtl/>
        </w:rPr>
        <w:t>הגדלת</w:t>
      </w:r>
      <w:r w:rsidRPr="005E17DC">
        <w:rPr>
          <w:rtl/>
        </w:rPr>
        <w:t xml:space="preserve"> פריון </w:t>
      </w:r>
      <w:r w:rsidRPr="005E17DC">
        <w:rPr>
          <w:rFonts w:hint="cs"/>
          <w:rtl/>
        </w:rPr>
        <w:t>עבודתם</w:t>
      </w:r>
      <w:r>
        <w:rPr>
          <w:vertAlign w:val="superscript"/>
          <w:rtl/>
        </w:rPr>
        <w:footnoteReference w:id="40"/>
      </w:r>
      <w:r w:rsidRPr="005E17DC">
        <w:rPr>
          <w:rtl/>
        </w:rPr>
        <w:t>.</w:t>
      </w:r>
    </w:p>
    <w:p w:rsidR="005E17DC" w:rsidRPr="005E17DC" w:rsidP="00385106">
      <w:pPr>
        <w:spacing w:line="269" w:lineRule="auto"/>
        <w:ind w:left="-567"/>
        <w:rPr>
          <w:szCs w:val="20"/>
          <w:rtl/>
        </w:rPr>
      </w:pPr>
    </w:p>
    <w:p w:rsidR="005E17DC" w:rsidRPr="005E17DC" w:rsidP="00385106">
      <w:pPr>
        <w:spacing w:line="269" w:lineRule="auto"/>
        <w:rPr>
          <w:b/>
          <w:bCs/>
          <w:rtl/>
        </w:rPr>
      </w:pPr>
      <w:r w:rsidRPr="005E17DC">
        <w:rPr>
          <w:rFonts w:hint="eastAsia"/>
          <w:b/>
          <w:bCs/>
          <w:rtl/>
        </w:rPr>
        <w:t>בביקורת</w:t>
      </w:r>
      <w:r w:rsidRPr="005E17DC">
        <w:rPr>
          <w:b/>
          <w:bCs/>
          <w:rtl/>
        </w:rPr>
        <w:t xml:space="preserve"> נמצא כי בעיריית רמלה אין מדיניות כוללת בתחום ההדרכה והערכת </w:t>
      </w:r>
      <w:r w:rsidRPr="005E17DC">
        <w:rPr>
          <w:rFonts w:hint="eastAsia"/>
          <w:b/>
          <w:bCs/>
          <w:rtl/>
        </w:rPr>
        <w:t>מועילותה</w:t>
      </w:r>
      <w:r w:rsidRPr="005E17DC">
        <w:rPr>
          <w:b/>
          <w:bCs/>
          <w:rtl/>
        </w:rPr>
        <w:t xml:space="preserve"> </w:t>
      </w:r>
      <w:r w:rsidRPr="005E17DC">
        <w:rPr>
          <w:rFonts w:hint="eastAsia"/>
          <w:b/>
          <w:bCs/>
          <w:rtl/>
        </w:rPr>
        <w:t>של</w:t>
      </w:r>
      <w:r w:rsidRPr="005E17DC">
        <w:rPr>
          <w:b/>
          <w:bCs/>
          <w:rtl/>
        </w:rPr>
        <w:t xml:space="preserve"> </w:t>
      </w:r>
      <w:r w:rsidRPr="005E17DC">
        <w:rPr>
          <w:rFonts w:hint="eastAsia"/>
          <w:b/>
          <w:bCs/>
          <w:rtl/>
        </w:rPr>
        <w:t>ההדרכה</w:t>
      </w:r>
      <w:r w:rsidRPr="005E17DC">
        <w:rPr>
          <w:b/>
          <w:bCs/>
          <w:rtl/>
        </w:rPr>
        <w:t xml:space="preserve">. </w:t>
      </w:r>
      <w:r w:rsidRPr="005E17DC">
        <w:rPr>
          <w:rFonts w:hint="eastAsia"/>
          <w:b/>
          <w:bCs/>
          <w:rtl/>
        </w:rPr>
        <w:t>ממצאים</w:t>
      </w:r>
      <w:r w:rsidRPr="005E17DC">
        <w:rPr>
          <w:b/>
          <w:bCs/>
          <w:rtl/>
        </w:rPr>
        <w:t xml:space="preserve"> אלו נמצאו גם </w:t>
      </w:r>
      <w:r w:rsidRPr="005E17DC">
        <w:rPr>
          <w:rFonts w:hint="eastAsia"/>
          <w:b/>
          <w:bCs/>
          <w:rtl/>
        </w:rPr>
        <w:t>בידי</w:t>
      </w:r>
      <w:r w:rsidRPr="005E17DC">
        <w:rPr>
          <w:b/>
          <w:bCs/>
          <w:rtl/>
        </w:rPr>
        <w:t xml:space="preserve"> מבקר עיריית רמלה </w:t>
      </w:r>
      <w:r w:rsidRPr="005E17DC">
        <w:rPr>
          <w:rFonts w:hint="eastAsia"/>
          <w:b/>
          <w:bCs/>
          <w:rtl/>
        </w:rPr>
        <w:t>שכתב</w:t>
      </w:r>
      <w:r w:rsidRPr="005E17DC">
        <w:rPr>
          <w:b/>
          <w:bCs/>
          <w:rtl/>
        </w:rPr>
        <w:t xml:space="preserve"> </w:t>
      </w:r>
      <w:r w:rsidRPr="005E17DC">
        <w:rPr>
          <w:rFonts w:hint="eastAsia"/>
          <w:b/>
          <w:bCs/>
          <w:rtl/>
        </w:rPr>
        <w:t>בשנת</w:t>
      </w:r>
      <w:r w:rsidRPr="005E17DC">
        <w:rPr>
          <w:b/>
          <w:bCs/>
          <w:rtl/>
        </w:rPr>
        <w:t xml:space="preserve"> 2018 דוח על "הדרכות והשתלמויות עובדים" </w:t>
      </w:r>
      <w:r w:rsidRPr="005E17DC">
        <w:rPr>
          <w:rFonts w:hint="eastAsia"/>
          <w:b/>
          <w:bCs/>
          <w:rtl/>
        </w:rPr>
        <w:t>ופירט</w:t>
      </w:r>
      <w:r w:rsidRPr="005E17DC">
        <w:rPr>
          <w:b/>
          <w:bCs/>
          <w:rtl/>
        </w:rPr>
        <w:t xml:space="preserve"> </w:t>
      </w:r>
      <w:r w:rsidRPr="005E17DC">
        <w:rPr>
          <w:rFonts w:hint="eastAsia"/>
          <w:b/>
          <w:bCs/>
          <w:rtl/>
        </w:rPr>
        <w:t>בו</w:t>
      </w:r>
      <w:r w:rsidRPr="005E17DC">
        <w:rPr>
          <w:b/>
          <w:bCs/>
          <w:rtl/>
        </w:rPr>
        <w:t xml:space="preserve"> </w:t>
      </w:r>
      <w:r w:rsidRPr="005E17DC">
        <w:rPr>
          <w:rFonts w:hint="eastAsia"/>
          <w:b/>
          <w:bCs/>
          <w:rtl/>
        </w:rPr>
        <w:t>ליקויים</w:t>
      </w:r>
      <w:r w:rsidRPr="005E17DC">
        <w:rPr>
          <w:b/>
          <w:bCs/>
          <w:rtl/>
        </w:rPr>
        <w:t xml:space="preserve"> </w:t>
      </w:r>
      <w:r w:rsidRPr="005E17DC">
        <w:rPr>
          <w:rFonts w:hint="eastAsia"/>
          <w:b/>
          <w:bCs/>
          <w:rtl/>
        </w:rPr>
        <w:t>נוספים</w:t>
      </w:r>
      <w:r w:rsidRPr="005E17DC">
        <w:rPr>
          <w:b/>
          <w:bCs/>
          <w:rtl/>
        </w:rPr>
        <w:t xml:space="preserve"> </w:t>
      </w:r>
      <w:r w:rsidRPr="005E17DC">
        <w:rPr>
          <w:rFonts w:hint="eastAsia"/>
          <w:b/>
          <w:bCs/>
          <w:rtl/>
        </w:rPr>
        <w:t>בנושא</w:t>
      </w:r>
      <w:r w:rsidRPr="005E17DC">
        <w:rPr>
          <w:b/>
          <w:bCs/>
          <w:rtl/>
        </w:rPr>
        <w:t xml:space="preserve"> </w:t>
      </w:r>
      <w:r w:rsidRPr="005E17DC">
        <w:rPr>
          <w:rFonts w:hint="eastAsia"/>
          <w:b/>
          <w:bCs/>
          <w:rtl/>
        </w:rPr>
        <w:t>זה</w:t>
      </w:r>
      <w:r w:rsidRPr="005E17DC">
        <w:rPr>
          <w:b/>
          <w:bCs/>
          <w:rtl/>
        </w:rPr>
        <w:t xml:space="preserve">, </w:t>
      </w:r>
      <w:r w:rsidRPr="005E17DC">
        <w:rPr>
          <w:rFonts w:hint="eastAsia"/>
          <w:b/>
          <w:bCs/>
          <w:rtl/>
        </w:rPr>
        <w:t>כגון</w:t>
      </w:r>
      <w:r w:rsidRPr="005E17DC">
        <w:rPr>
          <w:b/>
          <w:bCs/>
          <w:rtl/>
        </w:rPr>
        <w:t xml:space="preserve"> ה</w:t>
      </w:r>
      <w:r w:rsidRPr="005E17DC">
        <w:rPr>
          <w:rFonts w:hint="eastAsia"/>
          <w:b/>
          <w:bCs/>
          <w:rtl/>
        </w:rPr>
        <w:t>יעדר</w:t>
      </w:r>
      <w:r w:rsidRPr="005E17DC">
        <w:rPr>
          <w:b/>
          <w:bCs/>
          <w:rtl/>
        </w:rPr>
        <w:t xml:space="preserve"> מיפוי </w:t>
      </w:r>
      <w:r w:rsidRPr="005E17DC">
        <w:rPr>
          <w:rFonts w:hint="eastAsia"/>
          <w:b/>
          <w:bCs/>
          <w:rtl/>
        </w:rPr>
        <w:t>של</w:t>
      </w:r>
      <w:r w:rsidRPr="005E17DC">
        <w:rPr>
          <w:b/>
          <w:bCs/>
          <w:rtl/>
        </w:rPr>
        <w:t xml:space="preserve"> </w:t>
      </w:r>
      <w:r w:rsidRPr="005E17DC">
        <w:rPr>
          <w:rFonts w:hint="eastAsia"/>
          <w:b/>
          <w:bCs/>
          <w:rtl/>
        </w:rPr>
        <w:t>צורכי</w:t>
      </w:r>
      <w:r w:rsidRPr="005E17DC">
        <w:rPr>
          <w:b/>
          <w:bCs/>
          <w:rtl/>
        </w:rPr>
        <w:t xml:space="preserve"> ההדרכה בעירייה </w:t>
      </w:r>
      <w:r w:rsidRPr="005E17DC">
        <w:rPr>
          <w:rFonts w:hint="eastAsia"/>
          <w:b/>
          <w:bCs/>
          <w:rtl/>
        </w:rPr>
        <w:t>ואי</w:t>
      </w:r>
      <w:r w:rsidRPr="005E17DC">
        <w:rPr>
          <w:b/>
          <w:bCs/>
          <w:rtl/>
        </w:rPr>
        <w:t>-</w:t>
      </w:r>
      <w:r w:rsidRPr="005E17DC">
        <w:rPr>
          <w:rFonts w:hint="eastAsia"/>
          <w:b/>
          <w:bCs/>
          <w:rtl/>
        </w:rPr>
        <w:t>איוש</w:t>
      </w:r>
      <w:r w:rsidRPr="005E17DC">
        <w:rPr>
          <w:b/>
          <w:bCs/>
          <w:rtl/>
        </w:rPr>
        <w:t xml:space="preserve"> תפקיד הממונה על ההדרכות בעירייה. </w:t>
      </w:r>
    </w:p>
    <w:p w:rsidR="005E17DC" w:rsidRPr="005E17DC" w:rsidP="00385106">
      <w:pPr>
        <w:spacing w:line="269" w:lineRule="auto"/>
        <w:ind w:left="-567"/>
        <w:rPr>
          <w:szCs w:val="20"/>
          <w:rtl/>
        </w:rPr>
      </w:pPr>
    </w:p>
    <w:p w:rsidR="005E17DC" w:rsidRPr="005E17DC" w:rsidP="00385106">
      <w:pPr>
        <w:spacing w:line="269" w:lineRule="auto"/>
        <w:rPr>
          <w:b/>
          <w:bCs/>
          <w:rtl/>
        </w:rPr>
      </w:pPr>
      <w:r w:rsidRPr="005E17DC">
        <w:rPr>
          <w:rFonts w:hint="eastAsia"/>
          <w:b/>
          <w:bCs/>
          <w:rtl/>
        </w:rPr>
        <w:t>משרד</w:t>
      </w:r>
      <w:r w:rsidRPr="005E17DC">
        <w:rPr>
          <w:b/>
          <w:bCs/>
          <w:rtl/>
        </w:rPr>
        <w:t xml:space="preserve"> </w:t>
      </w:r>
      <w:r w:rsidRPr="005E17DC">
        <w:rPr>
          <w:rFonts w:hint="eastAsia"/>
          <w:b/>
          <w:bCs/>
          <w:rtl/>
        </w:rPr>
        <w:t>מבקר</w:t>
      </w:r>
      <w:r w:rsidRPr="005E17DC">
        <w:rPr>
          <w:b/>
          <w:bCs/>
          <w:rtl/>
        </w:rPr>
        <w:t xml:space="preserve"> </w:t>
      </w:r>
      <w:r w:rsidRPr="005E17DC">
        <w:rPr>
          <w:rFonts w:hint="eastAsia"/>
          <w:b/>
          <w:bCs/>
          <w:rtl/>
        </w:rPr>
        <w:t>המדינה</w:t>
      </w:r>
      <w:r w:rsidRPr="005E17DC">
        <w:rPr>
          <w:b/>
          <w:bCs/>
          <w:rtl/>
        </w:rPr>
        <w:t xml:space="preserve"> </w:t>
      </w:r>
      <w:r w:rsidRPr="005E17DC">
        <w:rPr>
          <w:rFonts w:hint="eastAsia"/>
          <w:b/>
          <w:bCs/>
          <w:rtl/>
        </w:rPr>
        <w:t>ממליץ</w:t>
      </w:r>
      <w:r w:rsidRPr="005E17DC">
        <w:rPr>
          <w:b/>
          <w:bCs/>
          <w:rtl/>
        </w:rPr>
        <w:t xml:space="preserve"> </w:t>
      </w:r>
      <w:r w:rsidRPr="005E17DC">
        <w:rPr>
          <w:rFonts w:hint="eastAsia"/>
          <w:b/>
          <w:bCs/>
          <w:rtl/>
        </w:rPr>
        <w:t>לעיריית</w:t>
      </w:r>
      <w:r w:rsidRPr="005E17DC">
        <w:rPr>
          <w:b/>
          <w:bCs/>
          <w:rtl/>
        </w:rPr>
        <w:t xml:space="preserve"> </w:t>
      </w:r>
      <w:r w:rsidRPr="005E17DC">
        <w:rPr>
          <w:rFonts w:hint="eastAsia"/>
          <w:b/>
          <w:bCs/>
          <w:rtl/>
        </w:rPr>
        <w:t>רמלה</w:t>
      </w:r>
      <w:r w:rsidRPr="005E17DC">
        <w:rPr>
          <w:b/>
          <w:bCs/>
          <w:rtl/>
        </w:rPr>
        <w:t xml:space="preserve"> לב</w:t>
      </w:r>
      <w:r w:rsidRPr="005E17DC">
        <w:rPr>
          <w:rFonts w:hint="cs"/>
          <w:b/>
          <w:bCs/>
          <w:rtl/>
        </w:rPr>
        <w:t>נות מערך הדרכה ולאייש את תפקיד הממונה על ההדרכה.</w:t>
      </w:r>
      <w:r w:rsidRPr="005E17DC">
        <w:rPr>
          <w:b/>
          <w:bCs/>
          <w:rtl/>
        </w:rPr>
        <w:t xml:space="preserve"> מומלץ כי במערך שייבנה </w:t>
      </w:r>
      <w:r w:rsidRPr="005E17DC">
        <w:rPr>
          <w:rFonts w:hint="cs"/>
          <w:b/>
          <w:bCs/>
          <w:rtl/>
        </w:rPr>
        <w:t>ייכללו טכנולוגיות חדשות בנושא</w:t>
      </w:r>
      <w:r w:rsidRPr="005E17DC">
        <w:rPr>
          <w:b/>
          <w:bCs/>
          <w:rtl/>
        </w:rPr>
        <w:t xml:space="preserve"> </w:t>
      </w:r>
      <w:r w:rsidRPr="005E17DC">
        <w:rPr>
          <w:rFonts w:hint="cs"/>
          <w:b/>
          <w:bCs/>
          <w:rtl/>
        </w:rPr>
        <w:t>ה</w:t>
      </w:r>
      <w:r w:rsidRPr="005E17DC">
        <w:rPr>
          <w:b/>
          <w:bCs/>
          <w:rtl/>
        </w:rPr>
        <w:t>הדרכה</w:t>
      </w:r>
      <w:r w:rsidRPr="005E17DC">
        <w:rPr>
          <w:rFonts w:hint="cs"/>
          <w:b/>
          <w:bCs/>
          <w:rtl/>
        </w:rPr>
        <w:t xml:space="preserve"> ב</w:t>
      </w:r>
      <w:r w:rsidRPr="005E17DC">
        <w:rPr>
          <w:b/>
          <w:bCs/>
          <w:rtl/>
        </w:rPr>
        <w:t>כלל ואפשרות להדרכות מקוונות בפרט.</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tl/>
        </w:rPr>
        <w:t>בתשובת</w:t>
      </w:r>
      <w:r w:rsidRPr="005E17DC">
        <w:rPr>
          <w:rFonts w:hint="cs"/>
          <w:rtl/>
        </w:rPr>
        <w:t>ה מסרה</w:t>
      </w:r>
      <w:r w:rsidRPr="005E17DC">
        <w:rPr>
          <w:rtl/>
        </w:rPr>
        <w:t xml:space="preserve"> העירייה כי ניהול תחום ההדרכה בעירייה "נפל בין הכיסאות"</w:t>
      </w:r>
      <w:r w:rsidRPr="005E17DC">
        <w:rPr>
          <w:rFonts w:hint="cs"/>
          <w:rtl/>
        </w:rPr>
        <w:t xml:space="preserve"> שנים רבות,</w:t>
      </w:r>
      <w:r w:rsidRPr="005E17DC">
        <w:rPr>
          <w:rtl/>
        </w:rPr>
        <w:t xml:space="preserve"> </w:t>
      </w:r>
      <w:r w:rsidRPr="005E17DC">
        <w:rPr>
          <w:rFonts w:hint="cs"/>
          <w:rtl/>
        </w:rPr>
        <w:t>אך ב</w:t>
      </w:r>
      <w:r w:rsidRPr="005E17DC">
        <w:rPr>
          <w:rtl/>
        </w:rPr>
        <w:t>-2019 הועבר לאחריות</w:t>
      </w:r>
      <w:r w:rsidRPr="005E17DC">
        <w:rPr>
          <w:rFonts w:hint="cs"/>
          <w:rtl/>
        </w:rPr>
        <w:t>ו של</w:t>
      </w:r>
      <w:r w:rsidRPr="005E17DC">
        <w:rPr>
          <w:rtl/>
        </w:rPr>
        <w:t xml:space="preserve"> אגף משאבי אנוש </w:t>
      </w:r>
      <w:r w:rsidRPr="005E17DC">
        <w:rPr>
          <w:rFonts w:hint="cs"/>
          <w:rtl/>
        </w:rPr>
        <w:t>ונושא ההשתלמויות עוגן בנוהל בשנת 2020</w:t>
      </w:r>
      <w:r w:rsidRPr="005E17DC">
        <w:rPr>
          <w:rtl/>
        </w:rPr>
        <w:t>. העירייה ציינה כי בת</w:t>
      </w:r>
      <w:r w:rsidRPr="005E17DC">
        <w:rPr>
          <w:rFonts w:hint="cs"/>
          <w:rtl/>
        </w:rPr>
        <w:t>ו</w:t>
      </w:r>
      <w:r w:rsidRPr="005E17DC">
        <w:rPr>
          <w:rtl/>
        </w:rPr>
        <w:t>כנית העבודה לשנת 2020 יפנה אגף משאבי אנוש למנהלי המחלקות בעירייה לברר את צ</w:t>
      </w:r>
      <w:r w:rsidRPr="005E17DC">
        <w:rPr>
          <w:rFonts w:hint="cs"/>
          <w:rtl/>
        </w:rPr>
        <w:t>ו</w:t>
      </w:r>
      <w:r w:rsidRPr="005E17DC">
        <w:rPr>
          <w:rtl/>
        </w:rPr>
        <w:t>רכי ההדרכה שלהם.</w:t>
      </w:r>
    </w:p>
    <w:p w:rsidR="005E17DC" w:rsidRPr="005E17DC" w:rsidP="00385106">
      <w:pPr>
        <w:spacing w:line="269" w:lineRule="auto"/>
        <w:ind w:left="-567"/>
        <w:rPr>
          <w:szCs w:val="20"/>
          <w:rtl/>
        </w:rPr>
      </w:pPr>
    </w:p>
    <w:p w:rsidR="005E17DC" w:rsidRPr="005E17DC" w:rsidP="00385106">
      <w:pPr>
        <w:spacing w:line="269" w:lineRule="auto"/>
        <w:rPr>
          <w:b/>
          <w:bCs/>
          <w:rtl/>
        </w:rPr>
      </w:pPr>
      <w:r w:rsidRPr="005E17DC">
        <w:rPr>
          <w:rFonts w:hint="eastAsia"/>
          <w:b/>
          <w:bCs/>
          <w:rtl/>
        </w:rPr>
        <w:t>מבנה</w:t>
      </w:r>
      <w:r w:rsidRPr="005E17DC">
        <w:rPr>
          <w:b/>
          <w:bCs/>
          <w:rtl/>
        </w:rPr>
        <w:t xml:space="preserve"> </w:t>
      </w:r>
      <w:r w:rsidRPr="005E17DC">
        <w:rPr>
          <w:rFonts w:hint="eastAsia"/>
          <w:b/>
          <w:bCs/>
          <w:rtl/>
        </w:rPr>
        <w:t>ארגוני</w:t>
      </w:r>
      <w:r w:rsidRPr="005E17DC">
        <w:rPr>
          <w:b/>
          <w:bCs/>
          <w:rtl/>
        </w:rPr>
        <w:t xml:space="preserve"> </w:t>
      </w:r>
      <w:r w:rsidRPr="005E17DC">
        <w:rPr>
          <w:rFonts w:hint="eastAsia"/>
          <w:b/>
          <w:bCs/>
          <w:rtl/>
        </w:rPr>
        <w:t>מותאם</w:t>
      </w:r>
      <w:r w:rsidRPr="005E17DC">
        <w:rPr>
          <w:b/>
          <w:bCs/>
          <w:rtl/>
        </w:rPr>
        <w:t xml:space="preserve"> </w:t>
      </w:r>
      <w:r w:rsidRPr="005E17DC">
        <w:rPr>
          <w:rFonts w:hint="eastAsia"/>
          <w:b/>
          <w:bCs/>
          <w:rtl/>
        </w:rPr>
        <w:t>לצ</w:t>
      </w:r>
      <w:r w:rsidRPr="005E17DC">
        <w:rPr>
          <w:rFonts w:hint="cs"/>
          <w:b/>
          <w:bCs/>
          <w:rtl/>
        </w:rPr>
        <w:t>ו</w:t>
      </w:r>
      <w:r w:rsidRPr="005E17DC">
        <w:rPr>
          <w:rFonts w:hint="eastAsia"/>
          <w:b/>
          <w:bCs/>
          <w:rtl/>
        </w:rPr>
        <w:t>רכי</w:t>
      </w:r>
      <w:r w:rsidRPr="005E17DC">
        <w:rPr>
          <w:b/>
          <w:bCs/>
          <w:rtl/>
        </w:rPr>
        <w:t xml:space="preserve"> </w:t>
      </w:r>
      <w:r w:rsidRPr="005E17DC">
        <w:rPr>
          <w:rFonts w:hint="eastAsia"/>
          <w:b/>
          <w:bCs/>
          <w:rtl/>
        </w:rPr>
        <w:t>העירייה</w:t>
      </w:r>
      <w:r w:rsidRPr="005E17DC">
        <w:rPr>
          <w:b/>
          <w:bCs/>
          <w:rtl/>
        </w:rPr>
        <w:t xml:space="preserve">, </w:t>
      </w:r>
      <w:r w:rsidRPr="005E17DC">
        <w:rPr>
          <w:rFonts w:hint="eastAsia"/>
          <w:b/>
          <w:bCs/>
          <w:rtl/>
        </w:rPr>
        <w:t>נהלים</w:t>
      </w:r>
      <w:r w:rsidRPr="005E17DC">
        <w:rPr>
          <w:b/>
          <w:bCs/>
          <w:rtl/>
        </w:rPr>
        <w:t xml:space="preserve"> </w:t>
      </w:r>
      <w:r w:rsidRPr="005E17DC">
        <w:rPr>
          <w:rFonts w:hint="eastAsia"/>
          <w:b/>
          <w:bCs/>
          <w:rtl/>
        </w:rPr>
        <w:t>מפורטים</w:t>
      </w:r>
      <w:r w:rsidRPr="005E17DC">
        <w:rPr>
          <w:b/>
          <w:bCs/>
          <w:rtl/>
        </w:rPr>
        <w:t xml:space="preserve"> </w:t>
      </w:r>
      <w:r w:rsidRPr="005E17DC">
        <w:rPr>
          <w:rFonts w:hint="eastAsia"/>
          <w:b/>
          <w:bCs/>
          <w:rtl/>
        </w:rPr>
        <w:t>ומלאים</w:t>
      </w:r>
      <w:r w:rsidRPr="005E17DC">
        <w:rPr>
          <w:b/>
          <w:bCs/>
          <w:rtl/>
        </w:rPr>
        <w:t xml:space="preserve">, </w:t>
      </w:r>
      <w:r w:rsidRPr="005E17DC">
        <w:rPr>
          <w:rFonts w:hint="eastAsia"/>
          <w:b/>
          <w:bCs/>
          <w:rtl/>
        </w:rPr>
        <w:t>מערכת</w:t>
      </w:r>
      <w:r w:rsidRPr="005E17DC">
        <w:rPr>
          <w:b/>
          <w:bCs/>
          <w:rtl/>
        </w:rPr>
        <w:t xml:space="preserve"> </w:t>
      </w:r>
      <w:r w:rsidRPr="005E17DC">
        <w:rPr>
          <w:rFonts w:hint="eastAsia"/>
          <w:b/>
          <w:bCs/>
          <w:rtl/>
        </w:rPr>
        <w:t>הערכה</w:t>
      </w:r>
      <w:r w:rsidRPr="005E17DC">
        <w:rPr>
          <w:b/>
          <w:bCs/>
          <w:rtl/>
        </w:rPr>
        <w:t xml:space="preserve"> </w:t>
      </w:r>
      <w:r w:rsidRPr="005E17DC">
        <w:rPr>
          <w:rFonts w:hint="eastAsia"/>
          <w:b/>
          <w:bCs/>
          <w:rtl/>
        </w:rPr>
        <w:t>ומשוב</w:t>
      </w:r>
      <w:r w:rsidRPr="005E17DC">
        <w:rPr>
          <w:b/>
          <w:bCs/>
          <w:rtl/>
        </w:rPr>
        <w:t xml:space="preserve"> </w:t>
      </w:r>
      <w:r w:rsidRPr="005E17DC">
        <w:rPr>
          <w:rFonts w:hint="eastAsia"/>
          <w:b/>
          <w:bCs/>
          <w:rtl/>
        </w:rPr>
        <w:t>לעובדים</w:t>
      </w:r>
      <w:r w:rsidRPr="005E17DC">
        <w:rPr>
          <w:b/>
          <w:bCs/>
          <w:rtl/>
        </w:rPr>
        <w:t xml:space="preserve"> </w:t>
      </w:r>
      <w:r w:rsidRPr="005E17DC">
        <w:rPr>
          <w:rFonts w:hint="eastAsia"/>
          <w:b/>
          <w:bCs/>
          <w:rtl/>
        </w:rPr>
        <w:t>ומערך</w:t>
      </w:r>
      <w:r w:rsidRPr="005E17DC">
        <w:rPr>
          <w:b/>
          <w:bCs/>
          <w:rtl/>
        </w:rPr>
        <w:t xml:space="preserve"> </w:t>
      </w:r>
      <w:r w:rsidRPr="005E17DC">
        <w:rPr>
          <w:rFonts w:hint="eastAsia"/>
          <w:b/>
          <w:bCs/>
          <w:rtl/>
        </w:rPr>
        <w:t>הדרכה</w:t>
      </w:r>
      <w:r w:rsidRPr="005E17DC">
        <w:rPr>
          <w:b/>
          <w:bCs/>
          <w:rtl/>
        </w:rPr>
        <w:t xml:space="preserve"> </w:t>
      </w:r>
      <w:r w:rsidRPr="005E17DC">
        <w:rPr>
          <w:rFonts w:hint="eastAsia"/>
          <w:b/>
          <w:bCs/>
          <w:rtl/>
        </w:rPr>
        <w:t>המתפקד</w:t>
      </w:r>
      <w:r w:rsidRPr="005E17DC">
        <w:rPr>
          <w:b/>
          <w:bCs/>
          <w:rtl/>
        </w:rPr>
        <w:t xml:space="preserve"> </w:t>
      </w:r>
      <w:r w:rsidRPr="005E17DC">
        <w:rPr>
          <w:rFonts w:hint="eastAsia"/>
          <w:b/>
          <w:bCs/>
          <w:rtl/>
        </w:rPr>
        <w:t>כראוי</w:t>
      </w:r>
      <w:r w:rsidRPr="005E17DC">
        <w:rPr>
          <w:b/>
          <w:bCs/>
          <w:rtl/>
        </w:rPr>
        <w:t xml:space="preserve"> –</w:t>
      </w:r>
      <w:r w:rsidRPr="005E17DC">
        <w:rPr>
          <w:rFonts w:hint="cs"/>
          <w:b/>
          <w:bCs/>
          <w:rtl/>
        </w:rPr>
        <w:t xml:space="preserve"> כל אלה </w:t>
      </w:r>
      <w:r w:rsidRPr="005E17DC">
        <w:rPr>
          <w:rFonts w:hint="eastAsia"/>
          <w:b/>
          <w:bCs/>
          <w:rtl/>
        </w:rPr>
        <w:t>גורמים</w:t>
      </w:r>
      <w:r w:rsidRPr="005E17DC">
        <w:rPr>
          <w:b/>
          <w:bCs/>
          <w:rtl/>
        </w:rPr>
        <w:t xml:space="preserve"> </w:t>
      </w:r>
      <w:r w:rsidRPr="005E17DC">
        <w:rPr>
          <w:rFonts w:hint="cs"/>
          <w:b/>
          <w:bCs/>
          <w:rtl/>
        </w:rPr>
        <w:t>שבכוחם</w:t>
      </w:r>
      <w:r w:rsidRPr="005E17DC">
        <w:rPr>
          <w:b/>
          <w:bCs/>
          <w:rtl/>
        </w:rPr>
        <w:t xml:space="preserve"> </w:t>
      </w:r>
      <w:r w:rsidRPr="005E17DC">
        <w:rPr>
          <w:rFonts w:hint="eastAsia"/>
          <w:b/>
          <w:bCs/>
          <w:rtl/>
        </w:rPr>
        <w:t>להג</w:t>
      </w:r>
      <w:r w:rsidRPr="005E17DC">
        <w:rPr>
          <w:rFonts w:hint="cs"/>
          <w:b/>
          <w:bCs/>
          <w:rtl/>
        </w:rPr>
        <w:t>דיל</w:t>
      </w:r>
      <w:r w:rsidRPr="005E17DC">
        <w:rPr>
          <w:b/>
          <w:bCs/>
          <w:rtl/>
        </w:rPr>
        <w:t xml:space="preserve"> </w:t>
      </w:r>
      <w:r w:rsidRPr="005E17DC">
        <w:rPr>
          <w:rFonts w:hint="eastAsia"/>
          <w:b/>
          <w:bCs/>
          <w:rtl/>
        </w:rPr>
        <w:t>את</w:t>
      </w:r>
      <w:r w:rsidRPr="005E17DC">
        <w:rPr>
          <w:b/>
          <w:bCs/>
          <w:rtl/>
        </w:rPr>
        <w:t xml:space="preserve"> </w:t>
      </w:r>
      <w:r w:rsidRPr="005E17DC">
        <w:rPr>
          <w:rFonts w:hint="cs"/>
          <w:b/>
          <w:bCs/>
          <w:rtl/>
        </w:rPr>
        <w:t>פריון</w:t>
      </w:r>
      <w:r w:rsidRPr="005E17DC">
        <w:rPr>
          <w:b/>
          <w:bCs/>
          <w:rtl/>
        </w:rPr>
        <w:t xml:space="preserve"> </w:t>
      </w:r>
      <w:r w:rsidRPr="005E17DC">
        <w:rPr>
          <w:rFonts w:hint="cs"/>
          <w:b/>
          <w:bCs/>
          <w:rtl/>
        </w:rPr>
        <w:t xml:space="preserve">העבודה </w:t>
      </w:r>
      <w:r w:rsidRPr="005E17DC">
        <w:rPr>
          <w:rFonts w:hint="eastAsia"/>
          <w:b/>
          <w:bCs/>
          <w:rtl/>
        </w:rPr>
        <w:t>של</w:t>
      </w:r>
      <w:r w:rsidRPr="005E17DC">
        <w:rPr>
          <w:b/>
          <w:bCs/>
          <w:rtl/>
        </w:rPr>
        <w:t xml:space="preserve"> </w:t>
      </w:r>
      <w:r w:rsidR="009309E8">
        <w:rPr>
          <w:rFonts w:hint="eastAsia"/>
          <w:b/>
          <w:bCs/>
          <w:rtl/>
        </w:rPr>
        <w:t>ההון האנושי</w:t>
      </w:r>
      <w:r w:rsidRPr="005E17DC">
        <w:rPr>
          <w:b/>
          <w:bCs/>
          <w:rtl/>
        </w:rPr>
        <w:t xml:space="preserve"> </w:t>
      </w:r>
      <w:r w:rsidRPr="005E17DC">
        <w:rPr>
          <w:rFonts w:hint="eastAsia"/>
          <w:b/>
          <w:bCs/>
          <w:rtl/>
        </w:rPr>
        <w:t>בעירייה</w:t>
      </w:r>
      <w:r w:rsidRPr="005E17DC">
        <w:rPr>
          <w:rFonts w:hint="cs"/>
          <w:b/>
          <w:bCs/>
          <w:rtl/>
        </w:rPr>
        <w:t xml:space="preserve"> ואת יעילותו,</w:t>
      </w:r>
      <w:r w:rsidRPr="005E17DC">
        <w:rPr>
          <w:b/>
          <w:bCs/>
          <w:rtl/>
        </w:rPr>
        <w:t xml:space="preserve"> </w:t>
      </w:r>
      <w:r w:rsidRPr="005E17DC">
        <w:rPr>
          <w:rFonts w:hint="cs"/>
          <w:b/>
          <w:bCs/>
          <w:rtl/>
        </w:rPr>
        <w:t xml:space="preserve">ואף </w:t>
      </w:r>
      <w:r w:rsidRPr="005E17DC">
        <w:rPr>
          <w:rFonts w:hint="eastAsia"/>
          <w:b/>
          <w:bCs/>
          <w:rtl/>
        </w:rPr>
        <w:t>למנוע</w:t>
      </w:r>
      <w:r w:rsidRPr="005E17DC">
        <w:rPr>
          <w:b/>
          <w:bCs/>
          <w:rtl/>
        </w:rPr>
        <w:t xml:space="preserve"> </w:t>
      </w:r>
      <w:r w:rsidRPr="005E17DC">
        <w:rPr>
          <w:rFonts w:hint="eastAsia"/>
          <w:b/>
          <w:bCs/>
          <w:rtl/>
        </w:rPr>
        <w:t>פעולות</w:t>
      </w:r>
      <w:r w:rsidRPr="005E17DC">
        <w:rPr>
          <w:b/>
          <w:bCs/>
          <w:rtl/>
        </w:rPr>
        <w:t xml:space="preserve"> </w:t>
      </w:r>
      <w:r w:rsidRPr="005E17DC">
        <w:rPr>
          <w:rFonts w:hint="eastAsia"/>
          <w:b/>
          <w:bCs/>
          <w:rtl/>
        </w:rPr>
        <w:t>שאינן</w:t>
      </w:r>
      <w:r w:rsidRPr="005E17DC">
        <w:rPr>
          <w:b/>
          <w:bCs/>
          <w:rtl/>
        </w:rPr>
        <w:t xml:space="preserve"> </w:t>
      </w:r>
      <w:r w:rsidRPr="005E17DC">
        <w:rPr>
          <w:rFonts w:hint="eastAsia"/>
          <w:b/>
          <w:bCs/>
          <w:rtl/>
        </w:rPr>
        <w:t>עולות</w:t>
      </w:r>
      <w:r w:rsidRPr="005E17DC">
        <w:rPr>
          <w:b/>
          <w:bCs/>
          <w:rtl/>
        </w:rPr>
        <w:t xml:space="preserve"> </w:t>
      </w:r>
      <w:r w:rsidRPr="005E17DC">
        <w:rPr>
          <w:rFonts w:hint="eastAsia"/>
          <w:b/>
          <w:bCs/>
          <w:rtl/>
        </w:rPr>
        <w:t>בקנה</w:t>
      </w:r>
      <w:r w:rsidRPr="005E17DC">
        <w:rPr>
          <w:b/>
          <w:bCs/>
          <w:rtl/>
        </w:rPr>
        <w:t xml:space="preserve"> </w:t>
      </w:r>
      <w:r w:rsidRPr="005E17DC">
        <w:rPr>
          <w:rFonts w:hint="eastAsia"/>
          <w:b/>
          <w:bCs/>
          <w:rtl/>
        </w:rPr>
        <w:t>אחד</w:t>
      </w:r>
      <w:r w:rsidRPr="005E17DC">
        <w:rPr>
          <w:b/>
          <w:bCs/>
          <w:rtl/>
        </w:rPr>
        <w:t xml:space="preserve"> </w:t>
      </w:r>
      <w:r w:rsidRPr="005E17DC">
        <w:rPr>
          <w:rFonts w:hint="eastAsia"/>
          <w:b/>
          <w:bCs/>
          <w:rtl/>
        </w:rPr>
        <w:t>עם</w:t>
      </w:r>
      <w:r w:rsidRPr="005E17DC">
        <w:rPr>
          <w:b/>
          <w:bCs/>
          <w:rtl/>
        </w:rPr>
        <w:t xml:space="preserve"> </w:t>
      </w:r>
      <w:r w:rsidRPr="005E17DC">
        <w:rPr>
          <w:rFonts w:hint="eastAsia"/>
          <w:b/>
          <w:bCs/>
          <w:rtl/>
        </w:rPr>
        <w:t>מ</w:t>
      </w:r>
      <w:r w:rsidRPr="005E17DC">
        <w:rPr>
          <w:rFonts w:hint="cs"/>
          <w:b/>
          <w:bCs/>
          <w:rtl/>
        </w:rPr>
        <w:t>י</w:t>
      </w:r>
      <w:r w:rsidRPr="005E17DC">
        <w:rPr>
          <w:rFonts w:hint="eastAsia"/>
          <w:b/>
          <w:bCs/>
          <w:rtl/>
        </w:rPr>
        <w:t>נהל</w:t>
      </w:r>
      <w:r w:rsidRPr="005E17DC">
        <w:rPr>
          <w:b/>
          <w:bCs/>
          <w:rtl/>
        </w:rPr>
        <w:t xml:space="preserve"> </w:t>
      </w:r>
      <w:r w:rsidRPr="005E17DC">
        <w:rPr>
          <w:rFonts w:hint="eastAsia"/>
          <w:b/>
          <w:bCs/>
          <w:rtl/>
        </w:rPr>
        <w:t>תקין</w:t>
      </w:r>
      <w:r w:rsidRPr="005E17DC">
        <w:rPr>
          <w:rFonts w:hint="cs"/>
          <w:b/>
          <w:bCs/>
          <w:rtl/>
        </w:rPr>
        <w:t>.</w:t>
      </w:r>
      <w:r w:rsidRPr="005E17DC">
        <w:rPr>
          <w:b/>
          <w:bCs/>
          <w:rtl/>
        </w:rPr>
        <w:t xml:space="preserve"> על עיריית רמלה </w:t>
      </w:r>
      <w:r w:rsidRPr="005E17DC">
        <w:rPr>
          <w:rFonts w:hint="eastAsia"/>
          <w:b/>
          <w:bCs/>
          <w:rtl/>
        </w:rPr>
        <w:t>ל</w:t>
      </w:r>
      <w:r w:rsidRPr="005E17DC">
        <w:rPr>
          <w:rFonts w:hint="cs"/>
          <w:b/>
          <w:bCs/>
          <w:rtl/>
        </w:rPr>
        <w:t>שפר את</w:t>
      </w:r>
      <w:r w:rsidRPr="005E17DC">
        <w:rPr>
          <w:b/>
          <w:bCs/>
          <w:rtl/>
        </w:rPr>
        <w:t xml:space="preserve"> </w:t>
      </w:r>
      <w:r w:rsidRPr="005E17DC">
        <w:rPr>
          <w:rFonts w:hint="cs"/>
          <w:b/>
          <w:bCs/>
          <w:rtl/>
        </w:rPr>
        <w:t xml:space="preserve">תפקודה בנושאים אלה כדי שתוכל להיטיב </w:t>
      </w:r>
      <w:r w:rsidRPr="005E17DC">
        <w:rPr>
          <w:b/>
          <w:bCs/>
          <w:rtl/>
        </w:rPr>
        <w:t xml:space="preserve">עמוד באתגרים הצפויים לה </w:t>
      </w:r>
      <w:r w:rsidRPr="005E17DC">
        <w:rPr>
          <w:rFonts w:hint="cs"/>
          <w:b/>
          <w:bCs/>
          <w:rtl/>
        </w:rPr>
        <w:t>ולתת לתושביה שירותים הולמים</w:t>
      </w:r>
      <w:r w:rsidRPr="005E17DC">
        <w:rPr>
          <w:b/>
          <w:bCs/>
          <w:rtl/>
        </w:rPr>
        <w:t>.</w:t>
      </w:r>
    </w:p>
    <w:p w:rsidR="005E17DC" w:rsidRPr="005E17DC" w:rsidP="00385106">
      <w:pPr>
        <w:spacing w:line="269" w:lineRule="auto"/>
        <w:ind w:left="-567"/>
        <w:rPr>
          <w:szCs w:val="20"/>
          <w:rtl/>
        </w:rPr>
      </w:pPr>
    </w:p>
    <w:p w:rsidR="000E5918" w:rsidP="000E5918">
      <w:pPr>
        <w:pStyle w:val="a"/>
        <w:rPr>
          <w:rtl/>
        </w:rPr>
      </w:pPr>
    </w:p>
    <w:p w:rsidR="005E17DC" w:rsidRPr="005E17DC" w:rsidP="00385106">
      <w:pPr>
        <w:keepNext/>
        <w:keepLines/>
        <w:spacing w:line="269" w:lineRule="auto"/>
        <w:outlineLvl w:val="2"/>
        <w:rPr>
          <w:rFonts w:eastAsiaTheme="majorEastAsia"/>
          <w:bCs/>
          <w:szCs w:val="28"/>
          <w:u w:val="single"/>
          <w:rtl/>
        </w:rPr>
      </w:pPr>
      <w:r w:rsidRPr="005E17DC">
        <w:rPr>
          <w:rFonts w:eastAsiaTheme="majorEastAsia" w:hint="cs"/>
          <w:bCs/>
          <w:szCs w:val="28"/>
          <w:u w:val="single"/>
          <w:rtl/>
        </w:rPr>
        <w:t>הניהול השוטף של ההון האנושי בעירייה</w:t>
      </w:r>
    </w:p>
    <w:p w:rsidR="000E5918" w:rsidP="000E5918">
      <w:pPr>
        <w:pStyle w:val="a"/>
        <w:rPr>
          <w:rtl/>
        </w:rPr>
      </w:pPr>
    </w:p>
    <w:p w:rsidR="005E17DC" w:rsidRPr="005E17DC" w:rsidP="00385106">
      <w:pPr>
        <w:keepNext/>
        <w:keepLines/>
        <w:spacing w:line="269" w:lineRule="auto"/>
        <w:outlineLvl w:val="3"/>
        <w:rPr>
          <w:rFonts w:eastAsiaTheme="majorEastAsia"/>
          <w:bCs/>
          <w:szCs w:val="26"/>
          <w:rtl/>
        </w:rPr>
      </w:pPr>
      <w:r w:rsidRPr="005E17DC">
        <w:rPr>
          <w:rFonts w:eastAsiaTheme="majorEastAsia" w:hint="cs"/>
          <w:bCs/>
          <w:szCs w:val="26"/>
          <w:rtl/>
        </w:rPr>
        <w:t>רקע</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Fonts w:hint="cs"/>
          <w:rtl/>
        </w:rPr>
        <w:t xml:space="preserve">כאמור, בעיריית רמלה הועסקו ביוני 2019 1,460 עובדים. אגף משאבי אנוש בעירייה אחראי לניהול </w:t>
      </w:r>
      <w:r w:rsidR="009309E8">
        <w:rPr>
          <w:rFonts w:hint="cs"/>
          <w:rtl/>
        </w:rPr>
        <w:t>ההון האנושי</w:t>
      </w:r>
      <w:r w:rsidRPr="005E17DC">
        <w:rPr>
          <w:rFonts w:hint="cs"/>
          <w:rtl/>
        </w:rPr>
        <w:t xml:space="preserve"> על מכלול הנושאים הקשורים בו - נוכחות עובדים, היתרים לעבודות חוץ וכדומה.</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Fonts w:hint="cs"/>
          <w:rtl/>
        </w:rPr>
        <w:t xml:space="preserve">משרד מבקר המדינה בדק את הניהול השוטף של </w:t>
      </w:r>
      <w:r w:rsidR="009309E8">
        <w:rPr>
          <w:rFonts w:hint="cs"/>
          <w:rtl/>
        </w:rPr>
        <w:t>ההון האנושי</w:t>
      </w:r>
      <w:r w:rsidRPr="005E17DC">
        <w:rPr>
          <w:rFonts w:hint="cs"/>
          <w:rtl/>
        </w:rPr>
        <w:t xml:space="preserve"> בעיריית רמלה, בעיקר על ידי ניתוח נתונים ממערכות המידע של העירייה, במיוחד מערכת דיווחי הנוכחות של העובדים ומערכת השכר.</w:t>
      </w:r>
    </w:p>
    <w:p w:rsidR="00385106">
      <w:pPr>
        <w:bidi w:val="0"/>
        <w:spacing w:after="200" w:line="276" w:lineRule="auto"/>
        <w:rPr>
          <w:rFonts w:eastAsiaTheme="majorEastAsia"/>
          <w:bCs/>
          <w:szCs w:val="26"/>
          <w:rtl/>
        </w:rPr>
      </w:pPr>
      <w:r>
        <w:rPr>
          <w:rFonts w:eastAsiaTheme="majorEastAsia"/>
          <w:bCs/>
          <w:szCs w:val="26"/>
          <w:rtl/>
        </w:rPr>
        <w:br w:type="page"/>
      </w:r>
    </w:p>
    <w:p w:rsidR="005E17DC" w:rsidRPr="005E17DC" w:rsidP="00385106">
      <w:pPr>
        <w:keepNext/>
        <w:keepLines/>
        <w:spacing w:line="269" w:lineRule="auto"/>
        <w:outlineLvl w:val="3"/>
        <w:rPr>
          <w:rFonts w:eastAsiaTheme="majorEastAsia"/>
          <w:bCs/>
          <w:szCs w:val="26"/>
          <w:rtl/>
        </w:rPr>
      </w:pPr>
      <w:r w:rsidRPr="005E17DC">
        <w:rPr>
          <w:rFonts w:eastAsiaTheme="majorEastAsia" w:hint="cs"/>
          <w:bCs/>
          <w:szCs w:val="26"/>
          <w:rtl/>
        </w:rPr>
        <w:t>הבקרה על העסקתם של קרובי משפחה</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tl/>
        </w:rPr>
        <w:t>בסעיף 174א לפקודת העיריות נקבעו סייגים להעסקת</w:t>
      </w:r>
      <w:r w:rsidRPr="005E17DC">
        <w:rPr>
          <w:rFonts w:hint="cs"/>
          <w:rtl/>
        </w:rPr>
        <w:t>ם של</w:t>
      </w:r>
      <w:r w:rsidRPr="005E17DC">
        <w:rPr>
          <w:rtl/>
        </w:rPr>
        <w:t xml:space="preserve"> קרובי משפחה</w:t>
      </w:r>
      <w:r w:rsidRPr="005E17DC">
        <w:rPr>
          <w:rFonts w:hint="cs"/>
          <w:rtl/>
        </w:rPr>
        <w:t xml:space="preserve"> בעירייה</w:t>
      </w:r>
      <w:r w:rsidRPr="005E17DC">
        <w:rPr>
          <w:rtl/>
        </w:rPr>
        <w:t xml:space="preserve">: "(א) אדם שהוא קרוב משפחה של ראש העיריה או של אחד </w:t>
      </w:r>
      <w:r w:rsidRPr="005E17DC">
        <w:rPr>
          <w:rtl/>
        </w:rPr>
        <w:t>מסגניו</w:t>
      </w:r>
      <w:r w:rsidRPr="005E17DC">
        <w:rPr>
          <w:rtl/>
        </w:rPr>
        <w:t xml:space="preserve"> לא יתקבל לעבודה </w:t>
      </w:r>
      <w:r w:rsidRPr="005E17DC">
        <w:rPr>
          <w:rFonts w:hint="cs"/>
          <w:rtl/>
        </w:rPr>
        <w:t>בעירי</w:t>
      </w:r>
      <w:r w:rsidRPr="005E17DC">
        <w:rPr>
          <w:rFonts w:hint="eastAsia"/>
          <w:rtl/>
        </w:rPr>
        <w:t>ה</w:t>
      </w:r>
      <w:r w:rsidRPr="005E17DC">
        <w:rPr>
          <w:rtl/>
        </w:rPr>
        <w:t xml:space="preserve"> ולא יתמנה למשרה בה. (ב) אדם, שקרוב משפחתו ממונה על יחידה מיחידות העיריה, לא יתקבל לעבודה באותה יחידה ולא יתמנה למשרה בה. (ג) אדם, שקרוב משפחתו עובד ביחידה מיחידות העיריה, לא יתמנה לתפקיד הממונה על אותה יחידה, אלא אם כן המינוי אינו יוצר ביניהם יחסי כפיפות. (ד) הוראות סעיפים קטנים (א) עד (ג) יחולו גם על קבלה לעבודה או על מינוי של עובד ארעי, של עובד המועסק </w:t>
      </w:r>
      <w:r w:rsidRPr="005E17DC">
        <w:rPr>
          <w:rFonts w:hint="cs"/>
          <w:rtl/>
        </w:rPr>
        <w:t>בעיריי</w:t>
      </w:r>
      <w:r w:rsidRPr="005E17DC">
        <w:rPr>
          <w:rFonts w:hint="eastAsia"/>
          <w:rtl/>
        </w:rPr>
        <w:t>ה</w:t>
      </w:r>
      <w:r w:rsidRPr="005E17DC">
        <w:rPr>
          <w:rtl/>
        </w:rPr>
        <w:t xml:space="preserve"> על פי חוזה מיוחד ושל אדם המועסק על ידי קבלן </w:t>
      </w:r>
      <w:r w:rsidR="009309E8">
        <w:rPr>
          <w:rtl/>
        </w:rPr>
        <w:t>ההון האנושי</w:t>
      </w:r>
      <w:r w:rsidRPr="005E17DC">
        <w:rPr>
          <w:rtl/>
        </w:rPr>
        <w:t xml:space="preserve"> כהגדרתו בחוק העסקת עובדים על ידי קבלני </w:t>
      </w:r>
      <w:r w:rsidR="009309E8">
        <w:rPr>
          <w:rtl/>
        </w:rPr>
        <w:t>ההון האנושי</w:t>
      </w:r>
      <w:r w:rsidRPr="005E17DC">
        <w:rPr>
          <w:rtl/>
        </w:rPr>
        <w:t>, התשנ"ו-1996. (ה) על אף הוראות סעיפים קטנים (א) עד (ד), רשאים שר הפנים וועדת השירות</w:t>
      </w:r>
      <w:r>
        <w:rPr>
          <w:vertAlign w:val="superscript"/>
          <w:rtl/>
        </w:rPr>
        <w:footnoteReference w:id="41"/>
      </w:r>
      <w:r w:rsidRPr="005E17DC">
        <w:rPr>
          <w:rtl/>
        </w:rPr>
        <w:t xml:space="preserve"> להתיר העסקת אדם כעובד העיריה בנסיבות מיוחדות שיפורטו בכתב". על פי הגדרת הפקודה, קרוב משפחה הוא בן זוג, הורה, בן, בת ובני זוגם, אח או אחות וילדיהם, גיס, גיסה, דוד, דודה, חותן, חותנת, חם, חמות, חתן, כלה, נכד או נכדה - לרבות חורגים </w:t>
      </w:r>
      <w:r w:rsidRPr="005E17DC">
        <w:rPr>
          <w:rFonts w:hint="cs"/>
          <w:rtl/>
        </w:rPr>
        <w:t>ו</w:t>
      </w:r>
      <w:r w:rsidRPr="005E17DC">
        <w:rPr>
          <w:rtl/>
        </w:rPr>
        <w:t>מאומצים.</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Fonts w:hint="cs"/>
          <w:rtl/>
        </w:rPr>
        <w:t xml:space="preserve">סעיף זה הוכנס לפקודת העיריות בעקבות תיקון לפקודה (תיקון מס' 76) משנת 2001. בדברי ההסבר להצעת התיקון צוין כי לעיריות לא נקבעו סייגים להעסקת קרובי משפחה, אף שסייגים כאלו קיימים בשירות המדינה ובמועצות המקומיות, והיעדרן של הוראות הוליד תופעות שליליות של קבלת עובדים גם אם הם קרובים מדרגה ראשונה של ראש העירייה או של </w:t>
      </w:r>
      <w:r w:rsidRPr="005E17DC">
        <w:rPr>
          <w:rFonts w:hint="cs"/>
          <w:rtl/>
        </w:rPr>
        <w:t>סגניו</w:t>
      </w:r>
      <w:r w:rsidRPr="005E17DC">
        <w:rPr>
          <w:rFonts w:hint="cs"/>
          <w:rtl/>
        </w:rPr>
        <w:t xml:space="preserve"> או של הממונים על היחידה שהתקבלו אליה</w:t>
      </w:r>
      <w:r>
        <w:rPr>
          <w:vertAlign w:val="superscript"/>
          <w:rtl/>
        </w:rPr>
        <w:footnoteReference w:id="42"/>
      </w:r>
      <w:r w:rsidRPr="005E17DC">
        <w:rPr>
          <w:rFonts w:hint="cs"/>
          <w:rtl/>
        </w:rPr>
        <w:t>.</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tl/>
        </w:rPr>
        <w:t xml:space="preserve">במאי 2011 פרסם משרד הפנים חוזר מנכ"ל 3/2011 </w:t>
      </w:r>
      <w:r w:rsidRPr="005E17DC">
        <w:rPr>
          <w:rFonts w:hint="cs"/>
          <w:rtl/>
        </w:rPr>
        <w:t>שנועד לסייע בהבהרת החוק ולהוסיף על חוזרי מנכ"ל קודמים בנושא (להלן - חוזר 3/2011). החוזר קבע</w:t>
      </w:r>
      <w:r w:rsidRPr="005E17DC">
        <w:rPr>
          <w:rtl/>
        </w:rPr>
        <w:t xml:space="preserve"> ש</w:t>
      </w:r>
      <w:r w:rsidRPr="005E17DC">
        <w:rPr>
          <w:rFonts w:hint="cs"/>
          <w:rtl/>
        </w:rPr>
        <w:t xml:space="preserve">ללא </w:t>
      </w:r>
      <w:r w:rsidRPr="005E17DC">
        <w:rPr>
          <w:rtl/>
        </w:rPr>
        <w:t>אישור מיוחד מוועדת השירות לעיריות</w:t>
      </w:r>
      <w:r w:rsidRPr="005E17DC">
        <w:rPr>
          <w:rFonts w:hint="cs"/>
          <w:rtl/>
        </w:rPr>
        <w:t>,</w:t>
      </w:r>
      <w:r w:rsidRPr="005E17DC">
        <w:rPr>
          <w:rtl/>
        </w:rPr>
        <w:t xml:space="preserve"> אין להעסיק קרוב משפחה ברשות המקומית</w:t>
      </w:r>
      <w:r w:rsidRPr="005E17DC">
        <w:rPr>
          <w:rFonts w:hint="cs"/>
          <w:rtl/>
        </w:rPr>
        <w:t xml:space="preserve"> בנסיבות כגון</w:t>
      </w:r>
      <w:r w:rsidRPr="005E17DC">
        <w:rPr>
          <w:rtl/>
        </w:rPr>
        <w:t>: כאשר קרוב</w:t>
      </w:r>
      <w:r w:rsidRPr="005E17DC">
        <w:rPr>
          <w:rFonts w:hint="cs"/>
          <w:rtl/>
        </w:rPr>
        <w:t>ו של המועמד</w:t>
      </w:r>
      <w:r w:rsidRPr="005E17DC">
        <w:rPr>
          <w:rtl/>
        </w:rPr>
        <w:t xml:space="preserve"> ממלא תפקיד סטטוטורי ברשות המקומית; כאשר </w:t>
      </w:r>
      <w:r w:rsidRPr="005E17DC">
        <w:rPr>
          <w:rFonts w:hint="cs"/>
          <w:rtl/>
        </w:rPr>
        <w:t>הוא</w:t>
      </w:r>
      <w:r w:rsidRPr="005E17DC">
        <w:rPr>
          <w:rtl/>
        </w:rPr>
        <w:t xml:space="preserve"> ממלא תפקיד בלשכה המשפטית, או ביחידת </w:t>
      </w:r>
      <w:r w:rsidR="009309E8">
        <w:rPr>
          <w:rtl/>
        </w:rPr>
        <w:t>ההון האנושי</w:t>
      </w:r>
      <w:r w:rsidRPr="005E17DC">
        <w:rPr>
          <w:rtl/>
        </w:rPr>
        <w:t xml:space="preserve"> ומשאבי אנוש, או ביחידת הכספים, או ביחידת הביקורת הפנימית או בכל יחידה אחרת </w:t>
      </w:r>
      <w:r w:rsidRPr="005E17DC">
        <w:rPr>
          <w:rFonts w:hint="cs"/>
          <w:rtl/>
        </w:rPr>
        <w:t>ש</w:t>
      </w:r>
      <w:r w:rsidRPr="005E17DC">
        <w:rPr>
          <w:rtl/>
        </w:rPr>
        <w:t>יש לה קשר עם מרבית היחידות ברשות המקומית והשפעה עליה</w:t>
      </w:r>
      <w:r w:rsidRPr="005E17DC">
        <w:rPr>
          <w:rFonts w:hint="cs"/>
          <w:rtl/>
        </w:rPr>
        <w:t xml:space="preserve">ן; </w:t>
      </w:r>
      <w:r w:rsidRPr="005E17DC">
        <w:rPr>
          <w:rtl/>
        </w:rPr>
        <w:t>כאשר</w:t>
      </w:r>
      <w:r w:rsidRPr="005E17DC">
        <w:rPr>
          <w:rFonts w:hint="cs"/>
          <w:rtl/>
        </w:rPr>
        <w:t xml:space="preserve"> הוא</w:t>
      </w:r>
      <w:r w:rsidRPr="005E17DC">
        <w:rPr>
          <w:rtl/>
        </w:rPr>
        <w:t xml:space="preserve"> חבר בוועד העובדים של הרשות המקומית</w:t>
      </w:r>
      <w:r w:rsidRPr="005E17DC">
        <w:rPr>
          <w:rFonts w:hint="cs"/>
          <w:rtl/>
        </w:rPr>
        <w:t>; וכאשר הוא נבחר ציבור.</w:t>
      </w:r>
      <w:r w:rsidRPr="005E17DC">
        <w:rPr>
          <w:rtl/>
        </w:rPr>
        <w:t xml:space="preserve"> בחוזר</w:t>
      </w:r>
      <w:r w:rsidRPr="005E17DC">
        <w:rPr>
          <w:rFonts w:hint="cs"/>
          <w:rtl/>
        </w:rPr>
        <w:t xml:space="preserve"> </w:t>
      </w:r>
      <w:r w:rsidRPr="005E17DC">
        <w:rPr>
          <w:rtl/>
        </w:rPr>
        <w:t xml:space="preserve">הובהר כי הוראות החוק בנושא "נועדו למנוע פגיעה בסדרי </w:t>
      </w:r>
      <w:r w:rsidRPr="005E17DC">
        <w:rPr>
          <w:rtl/>
        </w:rPr>
        <w:t>מינהל</w:t>
      </w:r>
      <w:r w:rsidRPr="005E17DC">
        <w:rPr>
          <w:rtl/>
        </w:rPr>
        <w:t xml:space="preserve"> תקינים ובעקרונות השוויון בשל העדפתם של קרובי משפחה של בכירי הרשות המקומית (נבחרים או עובדים)", והודגש כי</w:t>
      </w:r>
      <w:r w:rsidRPr="005E17DC">
        <w:rPr>
          <w:rFonts w:hint="cs"/>
          <w:rtl/>
        </w:rPr>
        <w:t xml:space="preserve"> נוסף על הנסיבות המחייבות אישור מיוחד,</w:t>
      </w:r>
      <w:r w:rsidRPr="005E17DC">
        <w:rPr>
          <w:rtl/>
        </w:rPr>
        <w:t xml:space="preserve"> "בכל מקרה של ספק [יש] לפנות לשם קבלת הבהרות והנחיות".</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Fonts w:hint="cs"/>
          <w:rtl/>
        </w:rPr>
        <w:t xml:space="preserve">החוזר </w:t>
      </w:r>
      <w:r w:rsidRPr="005E17DC">
        <w:rPr>
          <w:rtl/>
        </w:rPr>
        <w:t>ה</w:t>
      </w:r>
      <w:r w:rsidRPr="005E17DC">
        <w:rPr>
          <w:rFonts w:hint="cs"/>
          <w:rtl/>
        </w:rPr>
        <w:t>ֶ</w:t>
      </w:r>
      <w:r w:rsidRPr="005E17DC">
        <w:rPr>
          <w:rtl/>
        </w:rPr>
        <w:t>ח</w:t>
      </w:r>
      <w:r w:rsidRPr="005E17DC">
        <w:rPr>
          <w:rFonts w:hint="cs"/>
          <w:rtl/>
        </w:rPr>
        <w:t>ְ</w:t>
      </w:r>
      <w:r w:rsidRPr="005E17DC">
        <w:rPr>
          <w:rtl/>
        </w:rPr>
        <w:t xml:space="preserve">ריג </w:t>
      </w:r>
      <w:r w:rsidRPr="005E17DC">
        <w:rPr>
          <w:rFonts w:hint="cs"/>
          <w:rtl/>
        </w:rPr>
        <w:t>מן הצורך ב</w:t>
      </w:r>
      <w:r w:rsidRPr="005E17DC">
        <w:rPr>
          <w:rtl/>
        </w:rPr>
        <w:t xml:space="preserve">אישור מיוחד מוועדת השירות לעיריות את </w:t>
      </w:r>
      <w:r w:rsidRPr="005E17DC">
        <w:rPr>
          <w:rFonts w:hint="cs"/>
          <w:rtl/>
        </w:rPr>
        <w:t>העסקתם</w:t>
      </w:r>
      <w:r w:rsidRPr="005E17DC">
        <w:rPr>
          <w:rtl/>
        </w:rPr>
        <w:t xml:space="preserve"> של סייעת צמודה או מלווה צמודה לתלמיד, וקבע שאין מניעה להעסיק קרוב משפחה בתפקידים אלו</w:t>
      </w:r>
      <w:r w:rsidRPr="005E17DC">
        <w:rPr>
          <w:rFonts w:hint="cs"/>
          <w:rtl/>
        </w:rPr>
        <w:t>, משום שהליך בחירתם אינו כרוך במכרז ויש למשרד החינוך ולהורים מעורבות בבחירתם.</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Fonts w:hint="cs"/>
          <w:rtl/>
        </w:rPr>
        <w:t xml:space="preserve">באוגוסט 2011 </w:t>
      </w:r>
      <w:r w:rsidRPr="005E17DC">
        <w:rPr>
          <w:rtl/>
        </w:rPr>
        <w:t xml:space="preserve">פרסם משרד הפנים חוזר מנכ"ל </w:t>
      </w:r>
      <w:r w:rsidRPr="005E17DC">
        <w:rPr>
          <w:rFonts w:hint="cs"/>
          <w:rtl/>
        </w:rPr>
        <w:t>4</w:t>
      </w:r>
      <w:r w:rsidRPr="005E17DC">
        <w:rPr>
          <w:rtl/>
        </w:rPr>
        <w:t>/201</w:t>
      </w:r>
      <w:r w:rsidRPr="005E17DC">
        <w:rPr>
          <w:rFonts w:hint="cs"/>
          <w:rtl/>
        </w:rPr>
        <w:t>1 (להלן - חוזר 4/2011) שנועד להבהיר את חוזר 3/2011 והוא קבע כי "</w:t>
      </w:r>
      <w:r w:rsidRPr="005E17DC">
        <w:rPr>
          <w:rtl/>
        </w:rPr>
        <w:t>חוזר המנכ"ל 3/2011, העוסק במינוי קרובי משפחה ברשויות המקומיות, חל</w:t>
      </w:r>
      <w:r w:rsidRPr="005E17DC">
        <w:rPr>
          <w:rFonts w:hint="cs"/>
          <w:rtl/>
        </w:rPr>
        <w:t xml:space="preserve"> </w:t>
      </w:r>
      <w:r w:rsidRPr="005E17DC">
        <w:rPr>
          <w:rtl/>
        </w:rPr>
        <w:t>אף על עובדים שהחלו לכהן ברשות המקומית עוד לפני פרסומו של חוזר זה</w:t>
      </w:r>
      <w:r w:rsidRPr="005E17DC">
        <w:rPr>
          <w:rFonts w:hint="cs"/>
          <w:rtl/>
        </w:rPr>
        <w:t xml:space="preserve"> (3/2011)</w:t>
      </w:r>
      <w:r w:rsidRPr="005E17DC">
        <w:rPr>
          <w:rtl/>
        </w:rPr>
        <w:t>.</w:t>
      </w:r>
      <w:r w:rsidRPr="005E17DC">
        <w:rPr>
          <w:rFonts w:hint="cs"/>
          <w:rtl/>
        </w:rPr>
        <w:t xml:space="preserve"> </w:t>
      </w:r>
      <w:r w:rsidRPr="005E17DC">
        <w:rPr>
          <w:rtl/>
        </w:rPr>
        <w:t>יש להסדיר העסקת עובדים כאלה בהתאם לאמור בחוזר</w:t>
      </w:r>
      <w:r w:rsidRPr="005E17DC">
        <w:rPr>
          <w:rFonts w:hint="cs"/>
          <w:rtl/>
        </w:rPr>
        <w:t xml:space="preserve">" וכי הגבלת העסקתם של קרובי משפחה ביחידות שפורטו בחוזר 3/2011 אינה מתייחסת אלא לתפקידים שיש להם </w:t>
      </w:r>
      <w:r w:rsidRPr="005E17DC">
        <w:rPr>
          <w:rtl/>
        </w:rPr>
        <w:t>השפעה על כלל עובדי הרשות המקומית</w:t>
      </w:r>
      <w:r w:rsidRPr="005E17DC">
        <w:rPr>
          <w:rFonts w:hint="cs"/>
          <w:rtl/>
        </w:rPr>
        <w:t>, ו</w:t>
      </w:r>
      <w:r w:rsidRPr="005E17DC">
        <w:rPr>
          <w:rtl/>
        </w:rPr>
        <w:t>בכל מקרה</w:t>
      </w:r>
      <w:r w:rsidRPr="005E17DC">
        <w:rPr>
          <w:rFonts w:hint="cs"/>
          <w:rtl/>
        </w:rPr>
        <w:t xml:space="preserve"> </w:t>
      </w:r>
      <w:r w:rsidRPr="005E17DC">
        <w:rPr>
          <w:rtl/>
        </w:rPr>
        <w:t>אחר נדרש אישור</w:t>
      </w:r>
      <w:r w:rsidRPr="005E17DC">
        <w:rPr>
          <w:rFonts w:hint="cs"/>
          <w:rtl/>
        </w:rPr>
        <w:t xml:space="preserve"> </w:t>
      </w:r>
      <w:r w:rsidRPr="005E17DC">
        <w:rPr>
          <w:rtl/>
        </w:rPr>
        <w:t>היועץ המשפטי של הרשות</w:t>
      </w:r>
      <w:r w:rsidRPr="005E17DC">
        <w:rPr>
          <w:rFonts w:hint="cs"/>
          <w:rtl/>
        </w:rPr>
        <w:t xml:space="preserve"> בלבד</w:t>
      </w:r>
      <w:r w:rsidRPr="005E17DC">
        <w:rPr>
          <w:rtl/>
        </w:rPr>
        <w:t>, בהתאם לאמור בחוזר</w:t>
      </w:r>
      <w:r w:rsidRPr="005E17DC">
        <w:rPr>
          <w:rFonts w:hint="cs"/>
          <w:rtl/>
        </w:rPr>
        <w:t xml:space="preserve"> 3/2011</w:t>
      </w:r>
    </w:p>
    <w:p w:rsidR="005E17DC" w:rsidRPr="005E17DC" w:rsidP="000E5918">
      <w:pPr>
        <w:spacing w:line="269" w:lineRule="auto"/>
        <w:rPr>
          <w:szCs w:val="20"/>
          <w:rtl/>
        </w:rPr>
      </w:pPr>
    </w:p>
    <w:p w:rsidR="005E17DC" w:rsidRPr="005E17DC" w:rsidP="00385106">
      <w:pPr>
        <w:spacing w:line="269" w:lineRule="auto"/>
        <w:rPr>
          <w:rtl/>
        </w:rPr>
      </w:pPr>
      <w:r w:rsidRPr="005E17DC">
        <w:rPr>
          <w:rtl/>
        </w:rPr>
        <w:t>מבקר המדינה נדרש לסוג</w:t>
      </w:r>
      <w:r w:rsidRPr="005E17DC">
        <w:rPr>
          <w:rFonts w:hint="cs"/>
          <w:rtl/>
        </w:rPr>
        <w:t>י</w:t>
      </w:r>
      <w:r w:rsidRPr="005E17DC">
        <w:rPr>
          <w:rtl/>
        </w:rPr>
        <w:t>י</w:t>
      </w:r>
      <w:r w:rsidRPr="005E17DC">
        <w:rPr>
          <w:rFonts w:hint="cs"/>
          <w:rtl/>
        </w:rPr>
        <w:t xml:space="preserve">ת העסקתם של קרובי משפחה </w:t>
      </w:r>
      <w:r w:rsidRPr="005E17DC">
        <w:rPr>
          <w:rtl/>
        </w:rPr>
        <w:t>בעבר</w:t>
      </w:r>
      <w:r>
        <w:rPr>
          <w:vertAlign w:val="superscript"/>
          <w:rtl/>
        </w:rPr>
        <w:footnoteReference w:id="43"/>
      </w:r>
      <w:r w:rsidRPr="005E17DC">
        <w:rPr>
          <w:rtl/>
        </w:rPr>
        <w:t xml:space="preserve"> </w:t>
      </w:r>
      <w:r w:rsidRPr="005E17DC">
        <w:rPr>
          <w:rFonts w:hint="cs"/>
          <w:rtl/>
        </w:rPr>
        <w:t>ו</w:t>
      </w:r>
      <w:r w:rsidRPr="005E17DC">
        <w:rPr>
          <w:rtl/>
        </w:rPr>
        <w:t>קבע כי העסקת</w:t>
      </w:r>
      <w:r w:rsidRPr="005E17DC">
        <w:rPr>
          <w:rFonts w:hint="cs"/>
          <w:rtl/>
        </w:rPr>
        <w:t>ם של</w:t>
      </w:r>
      <w:r w:rsidRPr="005E17DC">
        <w:rPr>
          <w:rtl/>
        </w:rPr>
        <w:t xml:space="preserve"> קרובי משפחה בגוף ציבורי עלולה ליצור תלות וניגוד עניינים</w:t>
      </w:r>
      <w:r w:rsidRPr="005E17DC">
        <w:rPr>
          <w:rFonts w:hint="cs"/>
          <w:rtl/>
        </w:rPr>
        <w:t>;</w:t>
      </w:r>
      <w:r w:rsidRPr="005E17DC">
        <w:rPr>
          <w:rtl/>
        </w:rPr>
        <w:t xml:space="preserve"> </w:t>
      </w:r>
      <w:r w:rsidRPr="005E17DC">
        <w:rPr>
          <w:rFonts w:hint="cs"/>
          <w:rtl/>
        </w:rPr>
        <w:t xml:space="preserve">עלולה </w:t>
      </w:r>
      <w:r w:rsidRPr="005E17DC">
        <w:rPr>
          <w:rtl/>
        </w:rPr>
        <w:t>להעמיד קבוצות גדולות של עובדים קרובי משפחה בעמדות כוח, והדבר עלול לפגוע בתפקוד הארגון, בניהולו ובקופה הציבורית</w:t>
      </w:r>
      <w:r w:rsidRPr="005E17DC">
        <w:rPr>
          <w:rFonts w:hint="cs"/>
          <w:rtl/>
        </w:rPr>
        <w:t>,</w:t>
      </w:r>
      <w:r w:rsidRPr="005E17DC">
        <w:rPr>
          <w:rtl/>
        </w:rPr>
        <w:t xml:space="preserve"> עד כדי חשש לפגיעה בטוהר המידות בנסיבות מסוימות</w:t>
      </w:r>
      <w:r w:rsidRPr="005E17DC">
        <w:rPr>
          <w:rFonts w:hint="cs"/>
          <w:rtl/>
        </w:rPr>
        <w:t>;</w:t>
      </w:r>
      <w:r w:rsidRPr="005E17DC">
        <w:rPr>
          <w:rtl/>
        </w:rPr>
        <w:t xml:space="preserve"> </w:t>
      </w:r>
      <w:r w:rsidRPr="005E17DC">
        <w:rPr>
          <w:rFonts w:hint="cs"/>
          <w:rtl/>
        </w:rPr>
        <w:t>ו</w:t>
      </w:r>
      <w:r w:rsidRPr="005E17DC">
        <w:rPr>
          <w:rtl/>
        </w:rPr>
        <w:t xml:space="preserve">עלולה לפגוע בחובת הייצוג ההולם של קבוצות אוכלוסייה שאינן מיוצגות וליצור מראית עין של העדפת מקורבים. </w:t>
      </w:r>
    </w:p>
    <w:p w:rsidR="005E17DC" w:rsidRPr="005E17DC" w:rsidP="00385106">
      <w:pPr>
        <w:spacing w:line="269" w:lineRule="auto"/>
        <w:ind w:left="-567"/>
        <w:rPr>
          <w:szCs w:val="20"/>
          <w:rtl/>
        </w:rPr>
      </w:pPr>
    </w:p>
    <w:p w:rsidR="005E17DC" w:rsidRPr="005E17DC" w:rsidP="00385106">
      <w:pPr>
        <w:keepNext/>
        <w:keepLines/>
        <w:spacing w:line="269" w:lineRule="auto"/>
        <w:outlineLvl w:val="4"/>
        <w:rPr>
          <w:rFonts w:eastAsiaTheme="majorEastAsia"/>
          <w:bCs/>
          <w:spacing w:val="40"/>
          <w:rtl/>
        </w:rPr>
      </w:pPr>
      <w:r w:rsidRPr="005E17DC">
        <w:rPr>
          <w:rFonts w:eastAsiaTheme="majorEastAsia" w:hint="cs"/>
          <w:bCs/>
          <w:spacing w:val="40"/>
          <w:rtl/>
        </w:rPr>
        <w:t>מיפוי של עובדים בעלי קרבה משפחתית</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Fonts w:hint="cs"/>
          <w:rtl/>
        </w:rPr>
        <w:t xml:space="preserve">כדי לעמוד בהוראות הדין ולמנוע העסקה אסורה של קרובי משפחה, מצופה מהעירייה למפות את עובדיה ולבחון את הזיקות המשפחתיות הטעונות פנייה לוועדת השירות במשרד הפנים. </w:t>
      </w:r>
      <w:r w:rsidRPr="005E17DC">
        <w:rPr>
          <w:rtl/>
        </w:rPr>
        <w:t>עובדים המתקבלים לעירייה נדרשים להצהיר בטופס אם יש להם קרובי משפחה בעירייה ו</w:t>
      </w:r>
      <w:r w:rsidRPr="005E17DC">
        <w:rPr>
          <w:rFonts w:hint="eastAsia"/>
          <w:rtl/>
        </w:rPr>
        <w:t>לזהותם</w:t>
      </w:r>
      <w:r w:rsidRPr="005E17DC">
        <w:rPr>
          <w:rtl/>
        </w:rPr>
        <w:t xml:space="preserve"> </w:t>
      </w:r>
      <w:r w:rsidRPr="005E17DC">
        <w:rPr>
          <w:rFonts w:hint="eastAsia"/>
          <w:rtl/>
        </w:rPr>
        <w:t>בש</w:t>
      </w:r>
      <w:r w:rsidRPr="005E17DC">
        <w:rPr>
          <w:rtl/>
        </w:rPr>
        <w:t>ם.</w:t>
      </w:r>
    </w:p>
    <w:p w:rsidR="005E17DC" w:rsidRPr="005E17DC" w:rsidP="00385106">
      <w:pPr>
        <w:spacing w:line="269" w:lineRule="auto"/>
        <w:ind w:left="-567"/>
        <w:rPr>
          <w:szCs w:val="20"/>
          <w:rtl/>
        </w:rPr>
      </w:pPr>
    </w:p>
    <w:p w:rsidR="005E17DC" w:rsidRPr="005E17DC" w:rsidP="00385106">
      <w:pPr>
        <w:spacing w:line="269" w:lineRule="auto"/>
        <w:rPr>
          <w:b/>
          <w:bCs/>
          <w:rtl/>
        </w:rPr>
      </w:pPr>
      <w:r w:rsidRPr="005E17DC">
        <w:rPr>
          <w:b/>
          <w:bCs/>
          <w:rtl/>
        </w:rPr>
        <w:t xml:space="preserve">נמצא כי עיריית רמלה </w:t>
      </w:r>
      <w:r w:rsidRPr="005E17DC">
        <w:rPr>
          <w:rFonts w:hint="cs"/>
          <w:b/>
          <w:bCs/>
          <w:rtl/>
        </w:rPr>
        <w:t>לא מיפתה את כל</w:t>
      </w:r>
      <w:r w:rsidRPr="005E17DC">
        <w:rPr>
          <w:b/>
          <w:bCs/>
          <w:rtl/>
        </w:rPr>
        <w:t xml:space="preserve"> קרובי המשפחה המועסקים בה, אף שהיה בידיה חלק מהמידע</w:t>
      </w:r>
      <w:r w:rsidRPr="005E17DC">
        <w:rPr>
          <w:rFonts w:hint="cs"/>
          <w:b/>
          <w:bCs/>
          <w:rtl/>
        </w:rPr>
        <w:t xml:space="preserve"> לפי הצהרות העובדים</w:t>
      </w:r>
      <w:r w:rsidRPr="005E17DC">
        <w:rPr>
          <w:b/>
          <w:bCs/>
          <w:rtl/>
        </w:rPr>
        <w:t xml:space="preserve">. </w:t>
      </w:r>
      <w:r w:rsidRPr="005E17DC">
        <w:rPr>
          <w:rFonts w:hint="eastAsia"/>
          <w:b/>
          <w:bCs/>
          <w:rtl/>
        </w:rPr>
        <w:t>בהיעדר</w:t>
      </w:r>
      <w:r w:rsidRPr="005E17DC">
        <w:rPr>
          <w:b/>
          <w:bCs/>
          <w:rtl/>
        </w:rPr>
        <w:t xml:space="preserve"> מיפוי </w:t>
      </w:r>
      <w:r w:rsidRPr="005E17DC">
        <w:rPr>
          <w:rFonts w:hint="eastAsia"/>
          <w:b/>
          <w:bCs/>
          <w:rtl/>
        </w:rPr>
        <w:t>לא</w:t>
      </w:r>
      <w:r w:rsidRPr="005E17DC">
        <w:rPr>
          <w:b/>
          <w:bCs/>
          <w:rtl/>
        </w:rPr>
        <w:t xml:space="preserve"> היה בידיה מידע על כל הזיקות המשפחתיות </w:t>
      </w:r>
      <w:r w:rsidRPr="005E17DC">
        <w:rPr>
          <w:rFonts w:hint="eastAsia"/>
          <w:b/>
          <w:bCs/>
          <w:rtl/>
        </w:rPr>
        <w:t>בעירייה</w:t>
      </w:r>
      <w:r w:rsidRPr="005E17DC">
        <w:rPr>
          <w:b/>
          <w:bCs/>
          <w:rtl/>
        </w:rPr>
        <w:t>, היקפן וטיבן</w:t>
      </w:r>
      <w:r w:rsidRPr="005E17DC">
        <w:rPr>
          <w:rFonts w:hint="cs"/>
          <w:b/>
          <w:bCs/>
          <w:rtl/>
        </w:rPr>
        <w:t>,</w:t>
      </w:r>
      <w:r w:rsidRPr="005E17DC">
        <w:rPr>
          <w:b/>
          <w:bCs/>
          <w:rtl/>
        </w:rPr>
        <w:t xml:space="preserve"> וממילא לא היה מידע על הפעולות שנעשו להסדרתם של מקרים שנקבעו </w:t>
      </w:r>
      <w:r w:rsidRPr="005E17DC">
        <w:rPr>
          <w:rFonts w:hint="cs"/>
          <w:b/>
          <w:bCs/>
          <w:rtl/>
        </w:rPr>
        <w:t>ל</w:t>
      </w:r>
      <w:r w:rsidRPr="005E17DC">
        <w:rPr>
          <w:b/>
          <w:bCs/>
          <w:rtl/>
        </w:rPr>
        <w:t>הם סייגים בדין.</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Fonts w:hint="eastAsia"/>
          <w:rtl/>
        </w:rPr>
        <w:t>במועד</w:t>
      </w:r>
      <w:r w:rsidRPr="005E17DC">
        <w:rPr>
          <w:rtl/>
        </w:rPr>
        <w:t xml:space="preserve"> </w:t>
      </w:r>
      <w:r w:rsidRPr="005E17DC">
        <w:rPr>
          <w:rFonts w:hint="eastAsia"/>
          <w:rtl/>
        </w:rPr>
        <w:t>הביקורת</w:t>
      </w:r>
      <w:r w:rsidRPr="005E17DC">
        <w:rPr>
          <w:rtl/>
        </w:rPr>
        <w:t xml:space="preserve"> </w:t>
      </w:r>
      <w:r w:rsidRPr="005E17DC">
        <w:rPr>
          <w:rFonts w:hint="eastAsia"/>
          <w:rtl/>
        </w:rPr>
        <w:t>היה</w:t>
      </w:r>
      <w:r w:rsidRPr="005E17DC">
        <w:rPr>
          <w:rtl/>
        </w:rPr>
        <w:t xml:space="preserve"> </w:t>
      </w:r>
      <w:r w:rsidRPr="005E17DC">
        <w:rPr>
          <w:rFonts w:hint="eastAsia"/>
          <w:rtl/>
        </w:rPr>
        <w:t>בידי</w:t>
      </w:r>
      <w:r w:rsidRPr="005E17DC">
        <w:rPr>
          <w:rtl/>
        </w:rPr>
        <w:t xml:space="preserve"> </w:t>
      </w:r>
      <w:r w:rsidRPr="005E17DC">
        <w:rPr>
          <w:rFonts w:hint="eastAsia"/>
          <w:rtl/>
        </w:rPr>
        <w:t>מחלקת</w:t>
      </w:r>
      <w:r w:rsidRPr="005E17DC">
        <w:rPr>
          <w:rtl/>
        </w:rPr>
        <w:t xml:space="preserve"> </w:t>
      </w:r>
      <w:r w:rsidRPr="005E17DC">
        <w:rPr>
          <w:rFonts w:hint="eastAsia"/>
          <w:rtl/>
        </w:rPr>
        <w:t>משאבי</w:t>
      </w:r>
      <w:r w:rsidRPr="005E17DC">
        <w:rPr>
          <w:rtl/>
        </w:rPr>
        <w:t xml:space="preserve"> </w:t>
      </w:r>
      <w:r w:rsidRPr="005E17DC">
        <w:rPr>
          <w:rFonts w:hint="eastAsia"/>
          <w:rtl/>
        </w:rPr>
        <w:t>אנוש</w:t>
      </w:r>
      <w:r w:rsidRPr="005E17DC">
        <w:rPr>
          <w:rtl/>
        </w:rPr>
        <w:t xml:space="preserve"> </w:t>
      </w:r>
      <w:r w:rsidRPr="005E17DC">
        <w:rPr>
          <w:rFonts w:hint="eastAsia"/>
          <w:rtl/>
        </w:rPr>
        <w:t>בעירייה</w:t>
      </w:r>
      <w:r w:rsidRPr="005E17DC">
        <w:rPr>
          <w:rtl/>
        </w:rPr>
        <w:t xml:space="preserve"> </w:t>
      </w:r>
      <w:r w:rsidRPr="005E17DC">
        <w:rPr>
          <w:rFonts w:hint="eastAsia"/>
          <w:rtl/>
        </w:rPr>
        <w:t>מידע</w:t>
      </w:r>
      <w:r w:rsidRPr="005E17DC">
        <w:rPr>
          <w:rtl/>
        </w:rPr>
        <w:t xml:space="preserve"> </w:t>
      </w:r>
      <w:r w:rsidRPr="005E17DC">
        <w:rPr>
          <w:rFonts w:hint="eastAsia"/>
          <w:rtl/>
        </w:rPr>
        <w:t>על</w:t>
      </w:r>
      <w:r w:rsidRPr="005E17DC">
        <w:rPr>
          <w:rtl/>
        </w:rPr>
        <w:t xml:space="preserve"> 13 </w:t>
      </w:r>
      <w:r w:rsidRPr="005E17DC">
        <w:rPr>
          <w:rFonts w:hint="eastAsia"/>
          <w:rtl/>
        </w:rPr>
        <w:t>עובדים</w:t>
      </w:r>
      <w:r w:rsidRPr="005E17DC">
        <w:rPr>
          <w:rtl/>
        </w:rPr>
        <w:t xml:space="preserve"> </w:t>
      </w:r>
      <w:r w:rsidRPr="005E17DC">
        <w:rPr>
          <w:rFonts w:hint="eastAsia"/>
          <w:rtl/>
        </w:rPr>
        <w:t>בלבד</w:t>
      </w:r>
      <w:r w:rsidRPr="005E17DC">
        <w:rPr>
          <w:rtl/>
        </w:rPr>
        <w:t xml:space="preserve"> </w:t>
      </w:r>
      <w:r w:rsidRPr="005E17DC">
        <w:rPr>
          <w:rFonts w:hint="eastAsia"/>
          <w:rtl/>
        </w:rPr>
        <w:t>שיש</w:t>
      </w:r>
      <w:r w:rsidRPr="005E17DC">
        <w:rPr>
          <w:rtl/>
        </w:rPr>
        <w:t xml:space="preserve"> </w:t>
      </w:r>
      <w:r w:rsidRPr="005E17DC">
        <w:rPr>
          <w:rFonts w:hint="eastAsia"/>
          <w:rtl/>
        </w:rPr>
        <w:t>ביניהם</w:t>
      </w:r>
      <w:r w:rsidRPr="005E17DC">
        <w:rPr>
          <w:rtl/>
        </w:rPr>
        <w:t xml:space="preserve"> </w:t>
      </w:r>
      <w:r w:rsidRPr="005E17DC">
        <w:rPr>
          <w:rFonts w:hint="eastAsia"/>
          <w:rtl/>
        </w:rPr>
        <w:t>קרבה</w:t>
      </w:r>
      <w:r w:rsidRPr="005E17DC">
        <w:rPr>
          <w:rtl/>
        </w:rPr>
        <w:t xml:space="preserve"> </w:t>
      </w:r>
      <w:r w:rsidRPr="005E17DC">
        <w:rPr>
          <w:rFonts w:hint="eastAsia"/>
          <w:rtl/>
        </w:rPr>
        <w:t>משפחתית</w:t>
      </w:r>
      <w:r w:rsidRPr="005E17DC">
        <w:rPr>
          <w:rtl/>
        </w:rPr>
        <w:t xml:space="preserve">, </w:t>
      </w:r>
      <w:r w:rsidRPr="005E17DC">
        <w:rPr>
          <w:rFonts w:hint="eastAsia"/>
          <w:rtl/>
        </w:rPr>
        <w:t>ובארבעה</w:t>
      </w:r>
      <w:r w:rsidRPr="005E17DC">
        <w:rPr>
          <w:rtl/>
        </w:rPr>
        <w:t xml:space="preserve"> </w:t>
      </w:r>
      <w:r w:rsidRPr="005E17DC">
        <w:rPr>
          <w:rFonts w:hint="eastAsia"/>
          <w:rtl/>
        </w:rPr>
        <w:t>מקרים</w:t>
      </w:r>
      <w:r w:rsidRPr="005E17DC">
        <w:rPr>
          <w:rtl/>
        </w:rPr>
        <w:t xml:space="preserve"> </w:t>
      </w:r>
      <w:r w:rsidRPr="005E17DC">
        <w:rPr>
          <w:rFonts w:hint="cs"/>
          <w:rtl/>
        </w:rPr>
        <w:t xml:space="preserve">מתוכם </w:t>
      </w:r>
      <w:r w:rsidRPr="005E17DC">
        <w:rPr>
          <w:rFonts w:hint="eastAsia"/>
          <w:rtl/>
        </w:rPr>
        <w:t>פנתה</w:t>
      </w:r>
      <w:r w:rsidRPr="005E17DC">
        <w:rPr>
          <w:rtl/>
        </w:rPr>
        <w:t xml:space="preserve"> העירייה </w:t>
      </w:r>
      <w:r w:rsidRPr="005E17DC">
        <w:rPr>
          <w:rFonts w:hint="eastAsia"/>
          <w:rtl/>
        </w:rPr>
        <w:t>לוועדת</w:t>
      </w:r>
      <w:r w:rsidRPr="005E17DC">
        <w:rPr>
          <w:rtl/>
        </w:rPr>
        <w:t xml:space="preserve"> </w:t>
      </w:r>
      <w:r w:rsidRPr="005E17DC">
        <w:rPr>
          <w:rFonts w:hint="eastAsia"/>
          <w:rtl/>
        </w:rPr>
        <w:t>השירות</w:t>
      </w:r>
      <w:r w:rsidRPr="005E17DC">
        <w:rPr>
          <w:rtl/>
        </w:rPr>
        <w:t xml:space="preserve"> </w:t>
      </w:r>
      <w:r w:rsidRPr="005E17DC">
        <w:rPr>
          <w:rFonts w:hint="eastAsia"/>
          <w:rtl/>
        </w:rPr>
        <w:t>שבמשרד</w:t>
      </w:r>
      <w:r w:rsidRPr="005E17DC">
        <w:rPr>
          <w:rtl/>
        </w:rPr>
        <w:t xml:space="preserve"> </w:t>
      </w:r>
      <w:r w:rsidRPr="005E17DC">
        <w:rPr>
          <w:rFonts w:hint="eastAsia"/>
          <w:rtl/>
        </w:rPr>
        <w:t>הפנים</w:t>
      </w:r>
      <w:r w:rsidRPr="005E17DC">
        <w:rPr>
          <w:rtl/>
        </w:rPr>
        <w:t xml:space="preserve"> להסדרת העסקת</w:t>
      </w:r>
      <w:r w:rsidRPr="005E17DC">
        <w:rPr>
          <w:rFonts w:hint="cs"/>
          <w:rtl/>
        </w:rPr>
        <w:t>ם</w:t>
      </w:r>
      <w:r w:rsidRPr="005E17DC">
        <w:rPr>
          <w:rtl/>
        </w:rPr>
        <w:t>.</w:t>
      </w:r>
    </w:p>
    <w:p w:rsidR="005E17DC" w:rsidRPr="005E17DC" w:rsidP="00385106">
      <w:pPr>
        <w:spacing w:line="269" w:lineRule="auto"/>
        <w:ind w:left="-567"/>
        <w:rPr>
          <w:szCs w:val="20"/>
          <w:rtl/>
        </w:rPr>
      </w:pPr>
    </w:p>
    <w:p w:rsidR="005E17DC" w:rsidRPr="005E17DC" w:rsidP="00385106">
      <w:pPr>
        <w:spacing w:line="269" w:lineRule="auto"/>
        <w:rPr>
          <w:b/>
          <w:bCs/>
          <w:rtl/>
        </w:rPr>
      </w:pPr>
      <w:r w:rsidRPr="005E17DC">
        <w:rPr>
          <w:rFonts w:hint="eastAsia"/>
          <w:b/>
          <w:bCs/>
          <w:rtl/>
        </w:rPr>
        <w:t>ואולם</w:t>
      </w:r>
      <w:r w:rsidRPr="005E17DC">
        <w:rPr>
          <w:b/>
          <w:bCs/>
          <w:rtl/>
        </w:rPr>
        <w:t xml:space="preserve"> בבדיקה </w:t>
      </w:r>
      <w:r w:rsidRPr="005E17DC">
        <w:rPr>
          <w:rFonts w:hint="eastAsia"/>
          <w:b/>
          <w:bCs/>
          <w:rtl/>
        </w:rPr>
        <w:t>של</w:t>
      </w:r>
      <w:r w:rsidRPr="005E17DC">
        <w:rPr>
          <w:b/>
          <w:bCs/>
          <w:rtl/>
        </w:rPr>
        <w:t xml:space="preserve"> </w:t>
      </w:r>
      <w:r w:rsidRPr="005E17DC">
        <w:rPr>
          <w:rFonts w:hint="eastAsia"/>
          <w:b/>
          <w:bCs/>
          <w:rtl/>
        </w:rPr>
        <w:t>משרד</w:t>
      </w:r>
      <w:r w:rsidRPr="005E17DC">
        <w:rPr>
          <w:b/>
          <w:bCs/>
          <w:rtl/>
        </w:rPr>
        <w:t xml:space="preserve"> מבקר המדינה </w:t>
      </w:r>
      <w:r w:rsidRPr="005E17DC">
        <w:rPr>
          <w:rFonts w:hint="eastAsia"/>
          <w:b/>
          <w:bCs/>
          <w:rtl/>
        </w:rPr>
        <w:t>ביוני</w:t>
      </w:r>
      <w:r w:rsidRPr="005E17DC">
        <w:rPr>
          <w:b/>
          <w:bCs/>
          <w:rtl/>
        </w:rPr>
        <w:t xml:space="preserve"> 2019, </w:t>
      </w:r>
      <w:r w:rsidRPr="005E17DC">
        <w:rPr>
          <w:rFonts w:hint="eastAsia"/>
          <w:b/>
          <w:bCs/>
          <w:rtl/>
        </w:rPr>
        <w:t>של</w:t>
      </w:r>
      <w:r w:rsidRPr="005E17DC">
        <w:rPr>
          <w:b/>
          <w:bCs/>
          <w:rtl/>
        </w:rPr>
        <w:t xml:space="preserve"> </w:t>
      </w:r>
      <w:r w:rsidRPr="005E17DC">
        <w:rPr>
          <w:rFonts w:hint="eastAsia"/>
          <w:b/>
          <w:bCs/>
          <w:rtl/>
        </w:rPr>
        <w:t>כל</w:t>
      </w:r>
      <w:r w:rsidRPr="005E17DC">
        <w:rPr>
          <w:b/>
          <w:bCs/>
          <w:rtl/>
        </w:rPr>
        <w:t xml:space="preserve"> עובדי עיריית רמלה </w:t>
      </w:r>
      <w:r w:rsidRPr="005E17DC">
        <w:rPr>
          <w:rFonts w:hint="eastAsia"/>
          <w:b/>
          <w:bCs/>
          <w:rtl/>
        </w:rPr>
        <w:t>שהחוזר</w:t>
      </w:r>
      <w:r w:rsidRPr="005E17DC">
        <w:rPr>
          <w:b/>
          <w:bCs/>
          <w:rtl/>
        </w:rPr>
        <w:t xml:space="preserve"> </w:t>
      </w:r>
      <w:r w:rsidRPr="005E17DC">
        <w:rPr>
          <w:rFonts w:hint="eastAsia"/>
          <w:b/>
          <w:bCs/>
          <w:rtl/>
        </w:rPr>
        <w:t>חל</w:t>
      </w:r>
      <w:r w:rsidRPr="005E17DC">
        <w:rPr>
          <w:b/>
          <w:bCs/>
          <w:rtl/>
        </w:rPr>
        <w:t xml:space="preserve"> </w:t>
      </w:r>
      <w:r w:rsidRPr="005E17DC">
        <w:rPr>
          <w:rFonts w:hint="eastAsia"/>
          <w:b/>
          <w:bCs/>
          <w:rtl/>
        </w:rPr>
        <w:t>עליהם</w:t>
      </w:r>
      <w:r w:rsidRPr="005E17DC">
        <w:rPr>
          <w:b/>
          <w:bCs/>
          <w:rtl/>
        </w:rPr>
        <w:t>, ומספרם 1,127</w:t>
      </w:r>
      <w:r>
        <w:rPr>
          <w:b/>
          <w:bCs/>
          <w:vertAlign w:val="superscript"/>
          <w:rtl/>
        </w:rPr>
        <w:footnoteReference w:id="44"/>
      </w:r>
      <w:r w:rsidRPr="005E17DC">
        <w:rPr>
          <w:b/>
          <w:bCs/>
          <w:rtl/>
        </w:rPr>
        <w:t xml:space="preserve">, נמצא כי </w:t>
      </w:r>
      <w:r w:rsidRPr="005E17DC">
        <w:rPr>
          <w:rFonts w:hint="eastAsia"/>
          <w:b/>
          <w:bCs/>
          <w:rtl/>
        </w:rPr>
        <w:t>ל</w:t>
      </w:r>
      <w:r w:rsidRPr="005E17DC">
        <w:rPr>
          <w:b/>
          <w:bCs/>
          <w:rtl/>
        </w:rPr>
        <w:t xml:space="preserve">-336 עובדים בעיריית </w:t>
      </w:r>
      <w:r w:rsidRPr="005E17DC">
        <w:rPr>
          <w:rFonts w:hint="eastAsia"/>
          <w:b/>
          <w:bCs/>
          <w:rtl/>
        </w:rPr>
        <w:t>רמלה</w:t>
      </w:r>
      <w:r w:rsidRPr="005E17DC">
        <w:rPr>
          <w:b/>
          <w:bCs/>
          <w:rtl/>
        </w:rPr>
        <w:t xml:space="preserve"> </w:t>
      </w:r>
      <w:r w:rsidRPr="005E17DC">
        <w:rPr>
          <w:rFonts w:hint="eastAsia"/>
          <w:b/>
          <w:bCs/>
          <w:rtl/>
        </w:rPr>
        <w:t>יש</w:t>
      </w:r>
      <w:r w:rsidRPr="005E17DC">
        <w:rPr>
          <w:b/>
          <w:bCs/>
          <w:rtl/>
        </w:rPr>
        <w:t xml:space="preserve"> </w:t>
      </w:r>
      <w:r w:rsidRPr="005E17DC">
        <w:rPr>
          <w:rFonts w:hint="eastAsia"/>
          <w:b/>
          <w:bCs/>
          <w:rtl/>
        </w:rPr>
        <w:t>בעירייה</w:t>
      </w:r>
      <w:r w:rsidRPr="005E17DC">
        <w:rPr>
          <w:b/>
          <w:bCs/>
          <w:rtl/>
        </w:rPr>
        <w:t xml:space="preserve"> </w:t>
      </w:r>
      <w:r w:rsidRPr="005E17DC">
        <w:rPr>
          <w:rFonts w:hint="eastAsia"/>
          <w:b/>
          <w:bCs/>
          <w:rtl/>
        </w:rPr>
        <w:t>קרוב</w:t>
      </w:r>
      <w:r w:rsidRPr="005E17DC">
        <w:rPr>
          <w:b/>
          <w:bCs/>
          <w:rtl/>
        </w:rPr>
        <w:t xml:space="preserve"> משפחה אחד או יותר, כהגדרתו בפקודת העיריות, </w:t>
      </w:r>
      <w:r w:rsidRPr="005E17DC">
        <w:rPr>
          <w:rFonts w:hint="eastAsia"/>
          <w:b/>
          <w:bCs/>
          <w:rtl/>
        </w:rPr>
        <w:t>ובסך</w:t>
      </w:r>
      <w:r w:rsidRPr="005E17DC">
        <w:rPr>
          <w:b/>
          <w:bCs/>
          <w:rtl/>
        </w:rPr>
        <w:t xml:space="preserve"> הכ</w:t>
      </w:r>
      <w:r w:rsidRPr="005E17DC">
        <w:rPr>
          <w:rFonts w:hint="cs"/>
          <w:b/>
          <w:bCs/>
          <w:rtl/>
        </w:rPr>
        <w:t>ו</w:t>
      </w:r>
      <w:r w:rsidRPr="005E17DC">
        <w:rPr>
          <w:b/>
          <w:bCs/>
          <w:rtl/>
        </w:rPr>
        <w:t xml:space="preserve">ל 297 </w:t>
      </w:r>
      <w:r w:rsidRPr="005E17DC">
        <w:rPr>
          <w:rFonts w:hint="eastAsia"/>
          <w:b/>
          <w:bCs/>
          <w:rtl/>
        </w:rPr>
        <w:t>זיקות</w:t>
      </w:r>
      <w:r w:rsidRPr="005E17DC">
        <w:rPr>
          <w:b/>
          <w:bCs/>
          <w:rtl/>
        </w:rPr>
        <w:t xml:space="preserve"> </w:t>
      </w:r>
      <w:r w:rsidRPr="005E17DC">
        <w:rPr>
          <w:rFonts w:hint="eastAsia"/>
          <w:b/>
          <w:bCs/>
          <w:rtl/>
        </w:rPr>
        <w:t>משפחתיות</w:t>
      </w:r>
      <w:r>
        <w:rPr>
          <w:b/>
          <w:bCs/>
          <w:vertAlign w:val="superscript"/>
          <w:rtl/>
        </w:rPr>
        <w:footnoteReference w:id="45"/>
      </w:r>
      <w:r w:rsidRPr="005E17DC">
        <w:rPr>
          <w:b/>
          <w:bCs/>
          <w:rtl/>
        </w:rPr>
        <w:t xml:space="preserve">. </w:t>
      </w:r>
      <w:r w:rsidRPr="005E17DC">
        <w:rPr>
          <w:rFonts w:hint="eastAsia"/>
          <w:b/>
          <w:bCs/>
          <w:rtl/>
        </w:rPr>
        <w:t>כלומר</w:t>
      </w:r>
      <w:r w:rsidRPr="005E17DC">
        <w:rPr>
          <w:b/>
          <w:bCs/>
          <w:rtl/>
        </w:rPr>
        <w:t xml:space="preserve"> </w:t>
      </w:r>
      <w:r w:rsidRPr="005E17DC">
        <w:rPr>
          <w:rFonts w:hint="eastAsia"/>
          <w:b/>
          <w:bCs/>
          <w:rtl/>
        </w:rPr>
        <w:t>על</w:t>
      </w:r>
      <w:r w:rsidRPr="005E17DC">
        <w:rPr>
          <w:b/>
          <w:bCs/>
          <w:rtl/>
        </w:rPr>
        <w:t xml:space="preserve"> </w:t>
      </w:r>
      <w:r w:rsidRPr="005E17DC">
        <w:rPr>
          <w:rFonts w:hint="eastAsia"/>
          <w:b/>
          <w:bCs/>
          <w:rtl/>
        </w:rPr>
        <w:t>מקרים</w:t>
      </w:r>
      <w:r w:rsidRPr="005E17DC">
        <w:rPr>
          <w:b/>
          <w:bCs/>
          <w:rtl/>
        </w:rPr>
        <w:t xml:space="preserve"> </w:t>
      </w:r>
      <w:r w:rsidRPr="005E17DC">
        <w:rPr>
          <w:rFonts w:hint="eastAsia"/>
          <w:b/>
          <w:bCs/>
          <w:rtl/>
        </w:rPr>
        <w:t>רבים</w:t>
      </w:r>
      <w:r w:rsidRPr="005E17DC">
        <w:rPr>
          <w:b/>
          <w:bCs/>
          <w:rtl/>
        </w:rPr>
        <w:t xml:space="preserve"> </w:t>
      </w:r>
      <w:r w:rsidRPr="005E17DC">
        <w:rPr>
          <w:rFonts w:hint="eastAsia"/>
          <w:b/>
          <w:bCs/>
          <w:rtl/>
        </w:rPr>
        <w:t>של</w:t>
      </w:r>
      <w:r w:rsidRPr="005E17DC">
        <w:rPr>
          <w:b/>
          <w:bCs/>
          <w:rtl/>
        </w:rPr>
        <w:t xml:space="preserve"> </w:t>
      </w:r>
      <w:r w:rsidRPr="005E17DC">
        <w:rPr>
          <w:rFonts w:hint="eastAsia"/>
          <w:b/>
          <w:bCs/>
          <w:rtl/>
        </w:rPr>
        <w:t>קרבה</w:t>
      </w:r>
      <w:r w:rsidRPr="005E17DC">
        <w:rPr>
          <w:b/>
          <w:bCs/>
          <w:rtl/>
        </w:rPr>
        <w:t xml:space="preserve"> </w:t>
      </w:r>
      <w:r w:rsidRPr="005E17DC">
        <w:rPr>
          <w:rFonts w:hint="eastAsia"/>
          <w:b/>
          <w:bCs/>
          <w:rtl/>
        </w:rPr>
        <w:t>משפחתית</w:t>
      </w:r>
      <w:r w:rsidRPr="005E17DC">
        <w:rPr>
          <w:b/>
          <w:bCs/>
          <w:rtl/>
        </w:rPr>
        <w:t xml:space="preserve"> </w:t>
      </w:r>
      <w:r w:rsidRPr="005E17DC">
        <w:rPr>
          <w:rFonts w:hint="eastAsia"/>
          <w:b/>
          <w:bCs/>
          <w:rtl/>
        </w:rPr>
        <w:t>לא</w:t>
      </w:r>
      <w:r w:rsidRPr="005E17DC">
        <w:rPr>
          <w:b/>
          <w:bCs/>
          <w:rtl/>
        </w:rPr>
        <w:t xml:space="preserve"> היה לעירייה מידע </w:t>
      </w:r>
      <w:r w:rsidRPr="005E17DC">
        <w:rPr>
          <w:rFonts w:hint="eastAsia"/>
          <w:b/>
          <w:bCs/>
          <w:rtl/>
        </w:rPr>
        <w:t>וממילא</w:t>
      </w:r>
      <w:r w:rsidRPr="005E17DC">
        <w:rPr>
          <w:b/>
          <w:bCs/>
          <w:rtl/>
        </w:rPr>
        <w:t xml:space="preserve"> </w:t>
      </w:r>
      <w:r w:rsidRPr="005E17DC">
        <w:rPr>
          <w:rFonts w:hint="eastAsia"/>
          <w:b/>
          <w:bCs/>
          <w:rtl/>
        </w:rPr>
        <w:t>היא</w:t>
      </w:r>
      <w:r w:rsidRPr="005E17DC">
        <w:rPr>
          <w:b/>
          <w:bCs/>
          <w:rtl/>
        </w:rPr>
        <w:t xml:space="preserve"> לא בחנה אם יש צורך </w:t>
      </w:r>
      <w:r w:rsidRPr="005E17DC">
        <w:rPr>
          <w:rFonts w:hint="eastAsia"/>
          <w:b/>
          <w:bCs/>
          <w:rtl/>
        </w:rPr>
        <w:t>להסדירם</w:t>
      </w:r>
      <w:r w:rsidRPr="005E17DC">
        <w:rPr>
          <w:b/>
          <w:bCs/>
          <w:rtl/>
        </w:rPr>
        <w:t xml:space="preserve"> על ידי </w:t>
      </w:r>
      <w:r w:rsidRPr="005E17DC">
        <w:rPr>
          <w:rFonts w:hint="eastAsia"/>
          <w:b/>
          <w:bCs/>
          <w:rtl/>
        </w:rPr>
        <w:t>גיבוש</w:t>
      </w:r>
      <w:r w:rsidRPr="005E17DC">
        <w:rPr>
          <w:b/>
          <w:bCs/>
          <w:rtl/>
        </w:rPr>
        <w:t xml:space="preserve"> </w:t>
      </w:r>
      <w:r w:rsidRPr="005E17DC">
        <w:rPr>
          <w:rFonts w:hint="eastAsia"/>
          <w:b/>
          <w:bCs/>
          <w:rtl/>
        </w:rPr>
        <w:t>חוות</w:t>
      </w:r>
      <w:r w:rsidRPr="005E17DC">
        <w:rPr>
          <w:b/>
          <w:bCs/>
          <w:rtl/>
        </w:rPr>
        <w:t xml:space="preserve"> </w:t>
      </w:r>
      <w:r w:rsidRPr="005E17DC">
        <w:rPr>
          <w:rFonts w:hint="eastAsia"/>
          <w:b/>
          <w:bCs/>
          <w:rtl/>
        </w:rPr>
        <w:t>דעת</w:t>
      </w:r>
      <w:r w:rsidRPr="005E17DC">
        <w:rPr>
          <w:b/>
          <w:bCs/>
          <w:rtl/>
        </w:rPr>
        <w:t xml:space="preserve"> </w:t>
      </w:r>
      <w:r w:rsidRPr="005E17DC">
        <w:rPr>
          <w:rFonts w:hint="eastAsia"/>
          <w:b/>
          <w:bCs/>
          <w:rtl/>
        </w:rPr>
        <w:t>משפטית</w:t>
      </w:r>
      <w:r w:rsidRPr="005E17DC">
        <w:rPr>
          <w:b/>
          <w:bCs/>
          <w:rtl/>
        </w:rPr>
        <w:t xml:space="preserve"> </w:t>
      </w:r>
      <w:r w:rsidRPr="005E17DC">
        <w:rPr>
          <w:rFonts w:hint="eastAsia"/>
          <w:b/>
          <w:bCs/>
          <w:rtl/>
        </w:rPr>
        <w:t>ו</w:t>
      </w:r>
      <w:r w:rsidRPr="005E17DC">
        <w:rPr>
          <w:b/>
          <w:bCs/>
          <w:rtl/>
        </w:rPr>
        <w:t xml:space="preserve">פנייה לוועדת השירות במשרד הפנים. </w:t>
      </w:r>
      <w:r w:rsidRPr="005E17DC">
        <w:rPr>
          <w:rFonts w:hint="eastAsia"/>
          <w:b/>
          <w:bCs/>
          <w:rtl/>
        </w:rPr>
        <w:t>יתר</w:t>
      </w:r>
      <w:r w:rsidRPr="005E17DC">
        <w:rPr>
          <w:b/>
          <w:bCs/>
          <w:rtl/>
        </w:rPr>
        <w:t xml:space="preserve"> </w:t>
      </w:r>
      <w:r w:rsidRPr="005E17DC">
        <w:rPr>
          <w:rFonts w:hint="eastAsia"/>
          <w:b/>
          <w:bCs/>
          <w:rtl/>
        </w:rPr>
        <w:t>על</w:t>
      </w:r>
      <w:r w:rsidRPr="005E17DC">
        <w:rPr>
          <w:b/>
          <w:bCs/>
          <w:rtl/>
        </w:rPr>
        <w:t xml:space="preserve"> </w:t>
      </w:r>
      <w:r w:rsidRPr="005E17DC">
        <w:rPr>
          <w:rFonts w:hint="eastAsia"/>
          <w:b/>
          <w:bCs/>
          <w:rtl/>
        </w:rPr>
        <w:t>כן</w:t>
      </w:r>
      <w:r w:rsidRPr="005E17DC">
        <w:rPr>
          <w:b/>
          <w:bCs/>
          <w:rtl/>
        </w:rPr>
        <w:t xml:space="preserve">, נמצא כי העסקת קרובי משפחה בעיריית רמלה </w:t>
      </w:r>
      <w:r w:rsidRPr="005E17DC">
        <w:rPr>
          <w:rFonts w:hint="eastAsia"/>
          <w:b/>
          <w:bCs/>
          <w:rtl/>
        </w:rPr>
        <w:t>היא</w:t>
      </w:r>
      <w:r w:rsidRPr="005E17DC">
        <w:rPr>
          <w:b/>
          <w:bCs/>
          <w:rtl/>
        </w:rPr>
        <w:t xml:space="preserve"> תופעה מתמשכת, כפי ש</w:t>
      </w:r>
      <w:r w:rsidRPr="005E17DC">
        <w:rPr>
          <w:rFonts w:hint="eastAsia"/>
          <w:b/>
          <w:bCs/>
          <w:rtl/>
        </w:rPr>
        <w:t>אפשר</w:t>
      </w:r>
      <w:r w:rsidRPr="005E17DC">
        <w:rPr>
          <w:b/>
          <w:bCs/>
          <w:rtl/>
        </w:rPr>
        <w:t xml:space="preserve"> לראות בתרשים שלהלן.</w:t>
      </w:r>
    </w:p>
    <w:p w:rsidR="005E17DC" w:rsidRPr="005E17DC" w:rsidP="00385106">
      <w:pPr>
        <w:bidi w:val="0"/>
        <w:spacing w:line="269" w:lineRule="auto"/>
        <w:rPr>
          <w:szCs w:val="20"/>
          <w:rtl/>
        </w:rPr>
      </w:pPr>
      <w:r w:rsidRPr="005E17DC">
        <w:rPr>
          <w:rtl/>
        </w:rPr>
        <w:br w:type="page"/>
      </w:r>
    </w:p>
    <w:p w:rsidR="005E17DC" w:rsidRPr="005E17DC" w:rsidP="00385106">
      <w:pPr>
        <w:spacing w:line="269" w:lineRule="auto"/>
        <w:ind w:left="-567"/>
        <w:rPr>
          <w:szCs w:val="20"/>
          <w:rtl/>
        </w:rPr>
      </w:pPr>
    </w:p>
    <w:p w:rsidR="005E17DC" w:rsidRPr="005E17DC" w:rsidP="000E5918">
      <w:pPr>
        <w:spacing w:after="120" w:line="269" w:lineRule="auto"/>
        <w:jc w:val="center"/>
        <w:rPr>
          <w:b/>
          <w:bCs/>
          <w:rtl/>
        </w:rPr>
      </w:pPr>
      <w:r w:rsidRPr="005E17DC">
        <w:rPr>
          <w:rFonts w:hint="eastAsia"/>
          <w:b/>
          <w:bCs/>
          <w:rtl/>
        </w:rPr>
        <w:t>תרשים</w:t>
      </w:r>
      <w:r w:rsidRPr="005E17DC">
        <w:rPr>
          <w:b/>
          <w:bCs/>
          <w:rtl/>
        </w:rPr>
        <w:t xml:space="preserve"> </w:t>
      </w:r>
      <w:r w:rsidRPr="005E17DC">
        <w:rPr>
          <w:rFonts w:hint="cs"/>
          <w:b/>
          <w:bCs/>
          <w:rtl/>
        </w:rPr>
        <w:t>14:</w:t>
      </w:r>
      <w:r w:rsidRPr="005E17DC">
        <w:rPr>
          <w:b/>
          <w:bCs/>
          <w:rtl/>
        </w:rPr>
        <w:t xml:space="preserve"> </w:t>
      </w:r>
      <w:r w:rsidRPr="005E17DC">
        <w:rPr>
          <w:rFonts w:hint="eastAsia"/>
          <w:b/>
          <w:bCs/>
          <w:rtl/>
        </w:rPr>
        <w:t>התפלגות</w:t>
      </w:r>
      <w:r w:rsidRPr="005E17DC">
        <w:rPr>
          <w:b/>
          <w:bCs/>
          <w:rtl/>
        </w:rPr>
        <w:t xml:space="preserve"> </w:t>
      </w:r>
      <w:r w:rsidRPr="005E17DC">
        <w:rPr>
          <w:rFonts w:hint="eastAsia"/>
          <w:b/>
          <w:bCs/>
          <w:rtl/>
        </w:rPr>
        <w:t>עובדי</w:t>
      </w:r>
      <w:r w:rsidRPr="005E17DC">
        <w:rPr>
          <w:b/>
          <w:bCs/>
          <w:rtl/>
        </w:rPr>
        <w:t xml:space="preserve"> </w:t>
      </w:r>
      <w:r w:rsidRPr="005E17DC">
        <w:rPr>
          <w:rFonts w:hint="eastAsia"/>
          <w:b/>
          <w:bCs/>
          <w:rtl/>
        </w:rPr>
        <w:t>עיריית</w:t>
      </w:r>
      <w:r w:rsidRPr="005E17DC">
        <w:rPr>
          <w:b/>
          <w:bCs/>
          <w:rtl/>
        </w:rPr>
        <w:t xml:space="preserve"> </w:t>
      </w:r>
      <w:r w:rsidRPr="005E17DC">
        <w:rPr>
          <w:rFonts w:hint="eastAsia"/>
          <w:b/>
          <w:bCs/>
          <w:rtl/>
        </w:rPr>
        <w:t>רמלה</w:t>
      </w:r>
      <w:r w:rsidRPr="005E17DC">
        <w:rPr>
          <w:b/>
          <w:bCs/>
          <w:rtl/>
        </w:rPr>
        <w:t xml:space="preserve"> </w:t>
      </w:r>
      <w:r w:rsidRPr="005E17DC">
        <w:rPr>
          <w:rFonts w:hint="cs"/>
          <w:b/>
          <w:bCs/>
          <w:rtl/>
        </w:rPr>
        <w:t>שיש להם קרוב משפחה בעירייה,</w:t>
      </w:r>
      <w:r w:rsidRPr="005E17DC">
        <w:rPr>
          <w:b/>
          <w:bCs/>
          <w:rtl/>
        </w:rPr>
        <w:t xml:space="preserve"> </w:t>
      </w:r>
      <w:r w:rsidRPr="005E17DC">
        <w:rPr>
          <w:rFonts w:hint="eastAsia"/>
          <w:b/>
          <w:bCs/>
          <w:rtl/>
        </w:rPr>
        <w:t>לפי</w:t>
      </w:r>
      <w:r w:rsidRPr="005E17DC">
        <w:rPr>
          <w:b/>
          <w:bCs/>
          <w:rtl/>
        </w:rPr>
        <w:t xml:space="preserve"> </w:t>
      </w:r>
      <w:r w:rsidRPr="005E17DC">
        <w:rPr>
          <w:rFonts w:hint="eastAsia"/>
          <w:b/>
          <w:bCs/>
          <w:rtl/>
        </w:rPr>
        <w:t>מועד</w:t>
      </w:r>
      <w:r w:rsidRPr="005E17DC">
        <w:rPr>
          <w:b/>
          <w:bCs/>
          <w:rtl/>
        </w:rPr>
        <w:t xml:space="preserve"> </w:t>
      </w:r>
      <w:r w:rsidRPr="005E17DC">
        <w:rPr>
          <w:rFonts w:hint="eastAsia"/>
          <w:b/>
          <w:bCs/>
          <w:rtl/>
        </w:rPr>
        <w:t>תחילת</w:t>
      </w:r>
      <w:r w:rsidRPr="005E17DC">
        <w:rPr>
          <w:b/>
          <w:bCs/>
          <w:rtl/>
        </w:rPr>
        <w:t xml:space="preserve"> </w:t>
      </w:r>
      <w:r w:rsidRPr="005E17DC">
        <w:rPr>
          <w:rFonts w:hint="eastAsia"/>
          <w:b/>
          <w:bCs/>
          <w:rtl/>
        </w:rPr>
        <w:t>העסקתם</w:t>
      </w:r>
      <w:r w:rsidRPr="005E17DC">
        <w:rPr>
          <w:b/>
          <w:bCs/>
          <w:rtl/>
        </w:rPr>
        <w:t xml:space="preserve"> </w:t>
      </w:r>
      <w:r w:rsidRPr="005E17DC">
        <w:rPr>
          <w:rFonts w:hint="eastAsia"/>
          <w:b/>
          <w:bCs/>
          <w:rtl/>
        </w:rPr>
        <w:t>בעירייה</w:t>
      </w:r>
      <w:r w:rsidRPr="005E17DC">
        <w:rPr>
          <w:rFonts w:hint="cs"/>
          <w:b/>
          <w:bCs/>
          <w:rtl/>
        </w:rPr>
        <w:t>*</w:t>
      </w:r>
      <w:r w:rsidRPr="005E17DC">
        <w:rPr>
          <w:b/>
          <w:bCs/>
          <w:rtl/>
        </w:rPr>
        <w:t xml:space="preserve">, </w:t>
      </w:r>
      <w:r w:rsidRPr="005E17DC">
        <w:rPr>
          <w:rFonts w:hint="eastAsia"/>
          <w:b/>
          <w:bCs/>
          <w:rtl/>
        </w:rPr>
        <w:t>יוני</w:t>
      </w:r>
      <w:r w:rsidRPr="005E17DC">
        <w:rPr>
          <w:b/>
          <w:bCs/>
          <w:rtl/>
        </w:rPr>
        <w:t xml:space="preserve"> 2019</w:t>
      </w:r>
      <w:r w:rsidRPr="005E17DC">
        <w:rPr>
          <w:rFonts w:hint="cs"/>
          <w:b/>
          <w:bCs/>
          <w:rtl/>
        </w:rPr>
        <w:t xml:space="preserve"> (במספרים מוחלטים ובאחוז מכלל העובדים שיש להם קרבה)</w:t>
      </w:r>
    </w:p>
    <w:p w:rsidR="005E17DC" w:rsidRPr="005E17DC" w:rsidP="00385106">
      <w:pPr>
        <w:spacing w:line="269" w:lineRule="auto"/>
        <w:jc w:val="center"/>
        <w:rPr>
          <w:b/>
          <w:bCs/>
          <w:rtl/>
        </w:rPr>
      </w:pPr>
      <w:r w:rsidRPr="005E17DC">
        <w:rPr>
          <w:noProof/>
        </w:rPr>
        <w:drawing>
          <wp:inline distT="0" distB="0" distL="0" distR="0">
            <wp:extent cx="5267325" cy="2743200"/>
            <wp:effectExtent l="0" t="0" r="9525" b="0"/>
            <wp:docPr id="1886759633" name="תרשים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4574B" w:rsidP="000E5918">
      <w:pPr>
        <w:spacing w:before="120" w:line="269" w:lineRule="auto"/>
        <w:rPr>
          <w:sz w:val="22"/>
          <w:szCs w:val="22"/>
          <w:rtl/>
        </w:rPr>
      </w:pPr>
      <w:r w:rsidRPr="005E17DC">
        <w:rPr>
          <w:rFonts w:hint="cs"/>
          <w:sz w:val="22"/>
          <w:szCs w:val="22"/>
          <w:rtl/>
        </w:rPr>
        <w:t>על פי</w:t>
      </w:r>
      <w:r w:rsidRPr="005E17DC">
        <w:rPr>
          <w:sz w:val="22"/>
          <w:szCs w:val="22"/>
          <w:rtl/>
        </w:rPr>
        <w:t xml:space="preserve"> </w:t>
      </w:r>
      <w:r w:rsidRPr="005E17DC">
        <w:rPr>
          <w:rFonts w:hint="eastAsia"/>
          <w:sz w:val="22"/>
          <w:szCs w:val="22"/>
          <w:rtl/>
        </w:rPr>
        <w:t>נתוני</w:t>
      </w:r>
      <w:r w:rsidRPr="005E17DC">
        <w:rPr>
          <w:sz w:val="22"/>
          <w:szCs w:val="22"/>
          <w:rtl/>
        </w:rPr>
        <w:t xml:space="preserve"> </w:t>
      </w:r>
      <w:r w:rsidRPr="005E17DC">
        <w:rPr>
          <w:rFonts w:hint="eastAsia"/>
          <w:sz w:val="22"/>
          <w:szCs w:val="22"/>
          <w:rtl/>
        </w:rPr>
        <w:t>עיריית</w:t>
      </w:r>
      <w:r w:rsidRPr="005E17DC">
        <w:rPr>
          <w:sz w:val="22"/>
          <w:szCs w:val="22"/>
          <w:rtl/>
        </w:rPr>
        <w:t xml:space="preserve"> </w:t>
      </w:r>
      <w:r w:rsidRPr="005E17DC">
        <w:rPr>
          <w:rFonts w:hint="eastAsia"/>
          <w:sz w:val="22"/>
          <w:szCs w:val="22"/>
          <w:rtl/>
        </w:rPr>
        <w:t>רמלה</w:t>
      </w:r>
      <w:r w:rsidRPr="005E17DC">
        <w:rPr>
          <w:rFonts w:hint="cs"/>
          <w:sz w:val="22"/>
          <w:szCs w:val="22"/>
          <w:rtl/>
        </w:rPr>
        <w:t>,</w:t>
      </w:r>
      <w:r w:rsidRPr="005E17DC">
        <w:rPr>
          <w:sz w:val="22"/>
          <w:szCs w:val="22"/>
          <w:rtl/>
        </w:rPr>
        <w:t xml:space="preserve"> </w:t>
      </w:r>
      <w:r w:rsidRPr="005E17DC">
        <w:rPr>
          <w:rFonts w:hint="eastAsia"/>
          <w:sz w:val="22"/>
          <w:szCs w:val="22"/>
          <w:rtl/>
        </w:rPr>
        <w:t>בעיבוד</w:t>
      </w:r>
      <w:r w:rsidRPr="005E17DC">
        <w:rPr>
          <w:sz w:val="22"/>
          <w:szCs w:val="22"/>
          <w:rtl/>
        </w:rPr>
        <w:t xml:space="preserve"> </w:t>
      </w:r>
      <w:r w:rsidRPr="005E17DC">
        <w:rPr>
          <w:rFonts w:hint="eastAsia"/>
          <w:sz w:val="22"/>
          <w:szCs w:val="22"/>
          <w:rtl/>
        </w:rPr>
        <w:t>משרד</w:t>
      </w:r>
      <w:r w:rsidRPr="005E17DC">
        <w:rPr>
          <w:sz w:val="22"/>
          <w:szCs w:val="22"/>
          <w:rtl/>
        </w:rPr>
        <w:t xml:space="preserve"> </w:t>
      </w:r>
      <w:r w:rsidRPr="005E17DC">
        <w:rPr>
          <w:rFonts w:hint="eastAsia"/>
          <w:sz w:val="22"/>
          <w:szCs w:val="22"/>
          <w:rtl/>
        </w:rPr>
        <w:t>מבקר</w:t>
      </w:r>
      <w:r w:rsidRPr="005E17DC">
        <w:rPr>
          <w:sz w:val="22"/>
          <w:szCs w:val="22"/>
          <w:rtl/>
        </w:rPr>
        <w:t xml:space="preserve"> </w:t>
      </w:r>
      <w:r w:rsidRPr="005E17DC">
        <w:rPr>
          <w:rFonts w:hint="eastAsia"/>
          <w:sz w:val="22"/>
          <w:szCs w:val="22"/>
          <w:rtl/>
        </w:rPr>
        <w:t>המדינה</w:t>
      </w:r>
      <w:r w:rsidRPr="005E17DC">
        <w:rPr>
          <w:sz w:val="22"/>
          <w:szCs w:val="22"/>
          <w:rtl/>
        </w:rPr>
        <w:t>.</w:t>
      </w:r>
    </w:p>
    <w:p w:rsidR="005E17DC" w:rsidRPr="005E17DC" w:rsidP="000E5918">
      <w:pPr>
        <w:spacing w:before="120" w:line="269" w:lineRule="auto"/>
        <w:contextualSpacing/>
        <w:rPr>
          <w:sz w:val="22"/>
          <w:szCs w:val="22"/>
          <w:rtl/>
        </w:rPr>
      </w:pPr>
      <w:r w:rsidRPr="005E17DC">
        <w:rPr>
          <w:rFonts w:hint="cs"/>
          <w:sz w:val="22"/>
          <w:szCs w:val="22"/>
          <w:rtl/>
        </w:rPr>
        <w:t>*ב-2001 אושר תיקון 76 לפקודת העיריות שקבע סייגים להעסקת קרובי משפחה בעיריות. ב-2011 פורסמו חוזרי מנכ"ל משרד הפנים שכללו הנחיות מפורטות בנושא.</w:t>
      </w:r>
    </w:p>
    <w:p w:rsidR="005E17DC" w:rsidRPr="005E17DC" w:rsidP="000E5918">
      <w:pPr>
        <w:spacing w:before="120" w:line="269" w:lineRule="auto"/>
        <w:ind w:left="-567"/>
        <w:rPr>
          <w:szCs w:val="20"/>
          <w:rtl/>
        </w:rPr>
      </w:pPr>
    </w:p>
    <w:p w:rsidR="005E17DC" w:rsidRPr="005E17DC" w:rsidP="00385106">
      <w:pPr>
        <w:spacing w:line="269" w:lineRule="auto"/>
        <w:rPr>
          <w:b/>
          <w:bCs/>
          <w:rtl/>
        </w:rPr>
      </w:pPr>
      <w:r w:rsidRPr="005E17DC">
        <w:rPr>
          <w:rFonts w:hint="cs"/>
          <w:b/>
          <w:bCs/>
          <w:rtl/>
        </w:rPr>
        <w:t>מתברר כי בשמונה השנים שחלפו מפרסום חוזרי מנכ"ל משרד הפנים התקבלו לעבודה בעירייה עשרות עובדים שקרוביהם מועסקים בה, בלי שהעירייה בחנה את קרבתם המשפחתית ואת הצורך לפנות בגינם לוועדת השירות.</w:t>
      </w:r>
    </w:p>
    <w:p w:rsidR="005E17DC" w:rsidRPr="005E17DC" w:rsidP="00385106">
      <w:pPr>
        <w:spacing w:line="269" w:lineRule="auto"/>
        <w:ind w:left="-567"/>
        <w:rPr>
          <w:szCs w:val="20"/>
          <w:rtl/>
        </w:rPr>
      </w:pPr>
    </w:p>
    <w:p w:rsidR="005E17DC" w:rsidRPr="005E17DC" w:rsidP="00385106">
      <w:pPr>
        <w:spacing w:line="269" w:lineRule="auto"/>
        <w:rPr>
          <w:b/>
          <w:bCs/>
          <w:rtl/>
        </w:rPr>
      </w:pPr>
      <w:r w:rsidRPr="005E17DC">
        <w:rPr>
          <w:rFonts w:hint="cs"/>
          <w:b/>
          <w:bCs/>
          <w:rtl/>
        </w:rPr>
        <w:t xml:space="preserve">משרד מבקר המדינה בדק את כלל הזיקות המשפחתיות בעירייה ומצא כי ביוני 2019 היו תשעה מקרים מובהקים של זיקה משפחתית לנבחרי ציבור או לבעלי תפקידים בכירים ביחידות העירייה הטעונים הסדרה על ידי </w:t>
      </w:r>
      <w:r w:rsidRPr="005E17DC">
        <w:rPr>
          <w:b/>
          <w:bCs/>
          <w:rtl/>
        </w:rPr>
        <w:t>פנייה לוועדת השירות, לפי החוזר</w:t>
      </w:r>
      <w:r w:rsidRPr="005E17DC">
        <w:rPr>
          <w:rFonts w:hint="cs"/>
          <w:b/>
          <w:bCs/>
          <w:rtl/>
        </w:rPr>
        <w:t xml:space="preserve"> 3/2011; </w:t>
      </w:r>
      <w:r w:rsidRPr="005E17DC">
        <w:rPr>
          <w:b/>
          <w:bCs/>
          <w:rtl/>
        </w:rPr>
        <w:t>בארבעה מהם בלבד פנתה העירייה לוועדת השירות</w:t>
      </w:r>
      <w:r w:rsidRPr="005E17DC">
        <w:rPr>
          <w:rFonts w:hint="cs"/>
          <w:b/>
          <w:bCs/>
          <w:rtl/>
        </w:rPr>
        <w:t xml:space="preserve"> וקיבלה את אישורה</w:t>
      </w:r>
      <w:r w:rsidRPr="005E17DC">
        <w:rPr>
          <w:b/>
          <w:bCs/>
          <w:rtl/>
        </w:rPr>
        <w:t>.</w:t>
      </w:r>
      <w:r w:rsidRPr="005E17DC">
        <w:rPr>
          <w:rFonts w:hint="cs"/>
          <w:b/>
          <w:bCs/>
          <w:rtl/>
        </w:rPr>
        <w:t xml:space="preserve"> </w:t>
      </w:r>
    </w:p>
    <w:p w:rsidR="005E17DC" w:rsidRPr="005E17DC" w:rsidP="00385106">
      <w:pPr>
        <w:spacing w:line="269" w:lineRule="auto"/>
        <w:ind w:left="-567"/>
        <w:rPr>
          <w:szCs w:val="20"/>
          <w:rtl/>
        </w:rPr>
      </w:pPr>
    </w:p>
    <w:p w:rsidR="005E17DC" w:rsidRPr="005E17DC" w:rsidP="00385106">
      <w:pPr>
        <w:spacing w:line="269" w:lineRule="auto"/>
        <w:rPr>
          <w:b/>
          <w:bCs/>
          <w:rtl/>
        </w:rPr>
      </w:pPr>
      <w:r w:rsidRPr="005E17DC">
        <w:rPr>
          <w:rFonts w:hint="cs"/>
          <w:b/>
          <w:bCs/>
          <w:rtl/>
        </w:rPr>
        <w:t xml:space="preserve">עוד נמצאו שבעה מקרים של זיקה משפחתית </w:t>
      </w:r>
      <w:r w:rsidRPr="005E17DC">
        <w:rPr>
          <w:b/>
          <w:bCs/>
          <w:rtl/>
        </w:rPr>
        <w:t xml:space="preserve">לבעלי תפקידים ביחידות </w:t>
      </w:r>
      <w:r w:rsidRPr="005E17DC">
        <w:rPr>
          <w:rFonts w:hint="cs"/>
          <w:b/>
          <w:bCs/>
          <w:rtl/>
        </w:rPr>
        <w:t>שפורטו בחוזר 3/2011 שנדרשה בהם חוות דעת של היועץ המשפטי לעירייה לפי חוזר 4/2011 והדבר לא נעשה.</w:t>
      </w:r>
    </w:p>
    <w:p w:rsidR="005E17DC" w:rsidRPr="005E17DC" w:rsidP="00385106">
      <w:pPr>
        <w:spacing w:line="269" w:lineRule="auto"/>
        <w:ind w:left="-567"/>
        <w:rPr>
          <w:szCs w:val="20"/>
          <w:rtl/>
        </w:rPr>
      </w:pPr>
    </w:p>
    <w:p w:rsidR="005E17DC" w:rsidRPr="005E17DC" w:rsidP="00385106">
      <w:pPr>
        <w:spacing w:line="269" w:lineRule="auto"/>
        <w:rPr>
          <w:b/>
          <w:bCs/>
          <w:rtl/>
        </w:rPr>
      </w:pPr>
      <w:r w:rsidRPr="005E17DC">
        <w:rPr>
          <w:rFonts w:hint="cs"/>
          <w:b/>
          <w:bCs/>
          <w:rtl/>
        </w:rPr>
        <w:t xml:space="preserve">על </w:t>
      </w:r>
      <w:r w:rsidRPr="005E17DC">
        <w:rPr>
          <w:rFonts w:hint="eastAsia"/>
          <w:b/>
          <w:bCs/>
          <w:rtl/>
        </w:rPr>
        <w:t>עיריית</w:t>
      </w:r>
      <w:r w:rsidRPr="005E17DC">
        <w:rPr>
          <w:b/>
          <w:bCs/>
          <w:rtl/>
        </w:rPr>
        <w:t xml:space="preserve"> </w:t>
      </w:r>
      <w:r w:rsidRPr="005E17DC">
        <w:rPr>
          <w:rFonts w:hint="eastAsia"/>
          <w:b/>
          <w:bCs/>
          <w:rtl/>
        </w:rPr>
        <w:t>רמלה</w:t>
      </w:r>
      <w:r w:rsidRPr="005E17DC">
        <w:rPr>
          <w:b/>
          <w:bCs/>
          <w:rtl/>
        </w:rPr>
        <w:t xml:space="preserve"> ל</w:t>
      </w:r>
      <w:r w:rsidRPr="005E17DC">
        <w:rPr>
          <w:rFonts w:hint="cs"/>
          <w:b/>
          <w:bCs/>
          <w:rtl/>
        </w:rPr>
        <w:t>מפות את</w:t>
      </w:r>
      <w:r w:rsidRPr="005E17DC">
        <w:rPr>
          <w:b/>
          <w:bCs/>
          <w:rtl/>
        </w:rPr>
        <w:t xml:space="preserve"> </w:t>
      </w:r>
      <w:r w:rsidRPr="005E17DC">
        <w:rPr>
          <w:rFonts w:hint="eastAsia"/>
          <w:b/>
          <w:bCs/>
          <w:rtl/>
        </w:rPr>
        <w:t>הקרבה</w:t>
      </w:r>
      <w:r w:rsidRPr="005E17DC">
        <w:rPr>
          <w:b/>
          <w:bCs/>
          <w:rtl/>
        </w:rPr>
        <w:t xml:space="preserve"> המשפחתי</w:t>
      </w:r>
      <w:r w:rsidRPr="005E17DC">
        <w:rPr>
          <w:rFonts w:hint="eastAsia"/>
          <w:b/>
          <w:bCs/>
          <w:rtl/>
        </w:rPr>
        <w:t>ת</w:t>
      </w:r>
      <w:r w:rsidRPr="005E17DC">
        <w:rPr>
          <w:b/>
          <w:bCs/>
          <w:rtl/>
        </w:rPr>
        <w:t xml:space="preserve"> של</w:t>
      </w:r>
      <w:r w:rsidRPr="005E17DC">
        <w:rPr>
          <w:rFonts w:hint="cs"/>
          <w:b/>
          <w:bCs/>
          <w:rtl/>
        </w:rPr>
        <w:t xml:space="preserve"> כלל עובדיה, </w:t>
      </w:r>
      <w:r w:rsidRPr="005E17DC">
        <w:rPr>
          <w:rFonts w:hint="eastAsia"/>
          <w:b/>
          <w:bCs/>
          <w:rtl/>
        </w:rPr>
        <w:t>לבחון</w:t>
      </w:r>
      <w:r w:rsidRPr="005E17DC">
        <w:rPr>
          <w:b/>
          <w:bCs/>
          <w:rtl/>
        </w:rPr>
        <w:t xml:space="preserve"> </w:t>
      </w:r>
      <w:r w:rsidRPr="005E17DC">
        <w:rPr>
          <w:rFonts w:hint="cs"/>
          <w:b/>
          <w:bCs/>
          <w:rtl/>
        </w:rPr>
        <w:t xml:space="preserve">את </w:t>
      </w:r>
      <w:r w:rsidRPr="005E17DC">
        <w:rPr>
          <w:rFonts w:hint="eastAsia"/>
          <w:b/>
          <w:bCs/>
          <w:rtl/>
        </w:rPr>
        <w:t>הצורך</w:t>
      </w:r>
      <w:r w:rsidRPr="005E17DC">
        <w:rPr>
          <w:b/>
          <w:bCs/>
          <w:rtl/>
        </w:rPr>
        <w:t xml:space="preserve"> </w:t>
      </w:r>
      <w:r w:rsidRPr="005E17DC">
        <w:rPr>
          <w:rFonts w:hint="cs"/>
          <w:b/>
          <w:bCs/>
          <w:rtl/>
        </w:rPr>
        <w:t>בגיבושה של חוות דעת משפטית ו</w:t>
      </w:r>
      <w:r w:rsidRPr="005E17DC">
        <w:rPr>
          <w:rFonts w:hint="eastAsia"/>
          <w:b/>
          <w:bCs/>
          <w:rtl/>
        </w:rPr>
        <w:t>לפנות</w:t>
      </w:r>
      <w:r w:rsidRPr="005E17DC">
        <w:rPr>
          <w:b/>
          <w:bCs/>
          <w:rtl/>
        </w:rPr>
        <w:t xml:space="preserve"> </w:t>
      </w:r>
      <w:r w:rsidRPr="005E17DC">
        <w:rPr>
          <w:rFonts w:hint="eastAsia"/>
          <w:b/>
          <w:bCs/>
          <w:rtl/>
        </w:rPr>
        <w:t>לוועדת</w:t>
      </w:r>
      <w:r w:rsidRPr="005E17DC">
        <w:rPr>
          <w:b/>
          <w:bCs/>
          <w:rtl/>
        </w:rPr>
        <w:t xml:space="preserve"> </w:t>
      </w:r>
      <w:r w:rsidRPr="005E17DC">
        <w:rPr>
          <w:rFonts w:hint="eastAsia"/>
          <w:b/>
          <w:bCs/>
          <w:rtl/>
        </w:rPr>
        <w:t>השירות</w:t>
      </w:r>
      <w:r w:rsidRPr="005E17DC">
        <w:rPr>
          <w:b/>
          <w:bCs/>
          <w:rtl/>
        </w:rPr>
        <w:t xml:space="preserve"> </w:t>
      </w:r>
      <w:r w:rsidRPr="005E17DC">
        <w:rPr>
          <w:rFonts w:hint="eastAsia"/>
          <w:b/>
          <w:bCs/>
          <w:rtl/>
        </w:rPr>
        <w:t>להסדרת</w:t>
      </w:r>
      <w:r w:rsidRPr="005E17DC">
        <w:rPr>
          <w:b/>
          <w:bCs/>
          <w:rtl/>
        </w:rPr>
        <w:t xml:space="preserve"> </w:t>
      </w:r>
      <w:r w:rsidRPr="005E17DC">
        <w:rPr>
          <w:rFonts w:hint="eastAsia"/>
          <w:b/>
          <w:bCs/>
          <w:rtl/>
        </w:rPr>
        <w:t>המקרים</w:t>
      </w:r>
      <w:r w:rsidRPr="005E17DC">
        <w:rPr>
          <w:b/>
          <w:bCs/>
          <w:rtl/>
        </w:rPr>
        <w:t xml:space="preserve"> </w:t>
      </w:r>
      <w:r w:rsidRPr="005E17DC">
        <w:rPr>
          <w:rFonts w:hint="eastAsia"/>
          <w:b/>
          <w:bCs/>
          <w:rtl/>
        </w:rPr>
        <w:t>ה</w:t>
      </w:r>
      <w:r w:rsidRPr="005E17DC">
        <w:rPr>
          <w:rFonts w:hint="cs"/>
          <w:b/>
          <w:bCs/>
          <w:rtl/>
        </w:rPr>
        <w:t>טעונים הסדרה</w:t>
      </w:r>
      <w:r w:rsidRPr="005E17DC">
        <w:rPr>
          <w:b/>
          <w:bCs/>
          <w:rtl/>
        </w:rPr>
        <w:t xml:space="preserve">. </w:t>
      </w:r>
    </w:p>
    <w:p w:rsidR="005E17DC" w:rsidRPr="005E17DC" w:rsidP="00385106">
      <w:pPr>
        <w:spacing w:line="269" w:lineRule="auto"/>
        <w:ind w:left="-567"/>
        <w:rPr>
          <w:szCs w:val="20"/>
          <w:rtl/>
        </w:rPr>
      </w:pPr>
    </w:p>
    <w:p w:rsidR="005E17DC" w:rsidRPr="005E17DC" w:rsidP="00385106">
      <w:pPr>
        <w:keepNext/>
        <w:keepLines/>
        <w:spacing w:line="269" w:lineRule="auto"/>
        <w:outlineLvl w:val="4"/>
        <w:rPr>
          <w:rFonts w:eastAsiaTheme="majorEastAsia"/>
          <w:bCs/>
          <w:spacing w:val="40"/>
          <w:rtl/>
        </w:rPr>
      </w:pPr>
      <w:r w:rsidRPr="005E17DC">
        <w:rPr>
          <w:rFonts w:eastAsiaTheme="majorEastAsia" w:hint="cs"/>
          <w:bCs/>
          <w:spacing w:val="40"/>
          <w:rtl/>
        </w:rPr>
        <w:t>דוגמאות להיעדר הסדרה של העסקת קרובי משפחה</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Fonts w:hint="cs"/>
          <w:rtl/>
        </w:rPr>
        <w:t>להלן דוגמאות של העסקת קרובי משפחה שחייבו את עיריית רמלה לפנות לוועדת השירות בהתאם לחוזר 3/2011 אך היא לא עשתה כן.</w:t>
      </w:r>
    </w:p>
    <w:p w:rsidR="005E17DC" w:rsidRPr="005E17DC" w:rsidP="00385106">
      <w:pPr>
        <w:spacing w:line="269" w:lineRule="auto"/>
        <w:ind w:left="-567"/>
        <w:rPr>
          <w:szCs w:val="20"/>
          <w:rtl/>
        </w:rPr>
      </w:pPr>
    </w:p>
    <w:p w:rsidR="005E17DC" w:rsidRPr="005E17DC" w:rsidP="00385106">
      <w:pPr>
        <w:numPr>
          <w:ilvl w:val="0"/>
          <w:numId w:val="46"/>
        </w:numPr>
        <w:spacing w:line="269" w:lineRule="auto"/>
        <w:ind w:left="312"/>
        <w:contextualSpacing/>
        <w:rPr>
          <w:rtl/>
        </w:rPr>
      </w:pPr>
      <w:r w:rsidRPr="005E17DC">
        <w:rPr>
          <w:rFonts w:hint="cs"/>
          <w:rtl/>
        </w:rPr>
        <w:t>בפקודה נקבע כי</w:t>
      </w:r>
      <w:r w:rsidRPr="005E17DC">
        <w:rPr>
          <w:rtl/>
        </w:rPr>
        <w:t xml:space="preserve"> אדם שקרוב משפחתו עובד ביחידה מיחידות העיר</w:t>
      </w:r>
      <w:r w:rsidRPr="005E17DC">
        <w:rPr>
          <w:rFonts w:hint="cs"/>
          <w:rtl/>
        </w:rPr>
        <w:t>י</w:t>
      </w:r>
      <w:r w:rsidRPr="005E17DC">
        <w:rPr>
          <w:rtl/>
        </w:rPr>
        <w:t>יה לא יתמנה לממונה על אותה יחידה, אלא אם כן המינוי אינו יוצר יחסי כפיפות ביניהם</w:t>
      </w:r>
      <w:r w:rsidRPr="005E17DC">
        <w:rPr>
          <w:rFonts w:hint="cs"/>
          <w:rtl/>
        </w:rPr>
        <w:t>. חוזר 3/2011 קובע כי אין להעסיק קרוב משפחה של עובד ביחידת הכספים ללא אישור ועדת השירות.</w:t>
      </w:r>
    </w:p>
    <w:p w:rsidR="005E17DC" w:rsidRPr="005E17DC" w:rsidP="00385106">
      <w:pPr>
        <w:spacing w:line="269" w:lineRule="auto"/>
        <w:ind w:left="-567"/>
        <w:rPr>
          <w:szCs w:val="20"/>
          <w:rtl/>
        </w:rPr>
      </w:pPr>
    </w:p>
    <w:p w:rsidR="005E17DC" w:rsidRPr="005E17DC" w:rsidP="00385106">
      <w:pPr>
        <w:spacing w:line="269" w:lineRule="auto"/>
        <w:ind w:left="312"/>
        <w:contextualSpacing/>
        <w:rPr>
          <w:rtl/>
        </w:rPr>
      </w:pPr>
      <w:r w:rsidRPr="005E17DC">
        <w:rPr>
          <w:rFonts w:hint="cs"/>
          <w:rtl/>
        </w:rPr>
        <w:t xml:space="preserve">גזברית העירייה, שהחלה לעבוד בעירייה בשנת 1979 ומונתה לגזברית העירייה בשנת 2012, ממונה על מחלקת הגזברות והנהלת חשבונות שמועסקת בה גם אחותה, אשר החלה לעבוד במחלקת הגזברות בשנת 1980, ועד מועד הביקורת מילאה תפקיד של עוזרת גזברית. במסגרת </w:t>
      </w:r>
      <w:r w:rsidRPr="005E17DC">
        <w:rPr>
          <w:rFonts w:hint="cs"/>
          <w:rtl/>
        </w:rPr>
        <w:t xml:space="preserve">תפקידה היא אחראית על רישום ובקרה של התקציבים הבלתי רגילים בעירייה. כאמור, בעניין זה לא נקטה העירייה פעולות להסדרה כנדרש בחוזר 3/2011. </w:t>
      </w:r>
    </w:p>
    <w:p w:rsidR="005E17DC" w:rsidRPr="005E17DC" w:rsidP="00385106">
      <w:pPr>
        <w:spacing w:line="269" w:lineRule="auto"/>
        <w:ind w:left="-567"/>
        <w:rPr>
          <w:szCs w:val="20"/>
          <w:rtl/>
        </w:rPr>
      </w:pPr>
    </w:p>
    <w:p w:rsidR="005E17DC" w:rsidRPr="005E17DC" w:rsidP="00385106">
      <w:pPr>
        <w:spacing w:line="269" w:lineRule="auto"/>
        <w:ind w:left="312"/>
        <w:rPr>
          <w:rtl/>
        </w:rPr>
      </w:pPr>
      <w:r w:rsidRPr="005E17DC">
        <w:rPr>
          <w:rFonts w:hint="cs"/>
          <w:rtl/>
        </w:rPr>
        <w:t xml:space="preserve">בדוח הביקורת המפורט של העירייה לשנת 2014 (להלן - דוח הביקורת), שכתב אגף לביקורת ברשויות מקומיות שבמשרד הפנים, הוער לעירייה כי עבודתן של הגזברית ואחותה יחד ביחידת הכספים אינה עולה בקנה אחד עם כללי </w:t>
      </w:r>
      <w:r w:rsidRPr="005E17DC">
        <w:rPr>
          <w:rFonts w:hint="cs"/>
          <w:rtl/>
        </w:rPr>
        <w:t>מינהל</w:t>
      </w:r>
      <w:r w:rsidRPr="005E17DC">
        <w:rPr>
          <w:rFonts w:hint="cs"/>
          <w:rtl/>
        </w:rPr>
        <w:t xml:space="preserve"> תקין המתייחסים להפרדת תפקידים של קרובי משפחה ברשויות מקומיות. תגובת העירייה להערה בדוח הביקורת הייתה כי מועצת העיר החליטה להכפיף את אחותה של הגזברית במישרין למנכ"ל. בביקורת נמצא כי העירייה לא פנתה לוועדת השירות בעניין זה, כנדרש בחוזר, ובפועל מועסקות שתי קרובות המשפחה באותה יחידה.</w:t>
      </w:r>
    </w:p>
    <w:p w:rsidR="005E17DC" w:rsidRPr="005E17DC" w:rsidP="00385106">
      <w:pPr>
        <w:spacing w:line="269" w:lineRule="auto"/>
        <w:ind w:left="-567"/>
        <w:rPr>
          <w:szCs w:val="20"/>
          <w:rtl/>
        </w:rPr>
      </w:pPr>
    </w:p>
    <w:p w:rsidR="005E17DC" w:rsidRPr="005E17DC" w:rsidP="00385106">
      <w:pPr>
        <w:numPr>
          <w:ilvl w:val="0"/>
          <w:numId w:val="46"/>
        </w:numPr>
        <w:spacing w:line="269" w:lineRule="auto"/>
        <w:ind w:left="312"/>
        <w:contextualSpacing/>
      </w:pPr>
      <w:r w:rsidRPr="005E17DC">
        <w:rPr>
          <w:rFonts w:hint="eastAsia"/>
          <w:rtl/>
        </w:rPr>
        <w:t>חוזר</w:t>
      </w:r>
      <w:r w:rsidRPr="005E17DC">
        <w:rPr>
          <w:rFonts w:hint="cs"/>
          <w:rtl/>
        </w:rPr>
        <w:t xml:space="preserve"> 3/2011</w:t>
      </w:r>
      <w:r w:rsidRPr="005E17DC">
        <w:rPr>
          <w:rtl/>
        </w:rPr>
        <w:t xml:space="preserve"> קובע כי העסקת קרוב משפחה של נבחר ציבור מחייבת פנייה לוועדת השירות; </w:t>
      </w:r>
      <w:r w:rsidRPr="005E17DC">
        <w:rPr>
          <w:rFonts w:hint="cs"/>
          <w:rtl/>
        </w:rPr>
        <w:t xml:space="preserve">אם </w:t>
      </w:r>
      <w:r w:rsidRPr="005E17DC">
        <w:rPr>
          <w:rtl/>
        </w:rPr>
        <w:t>מדובר בנבחר ציבור ש</w:t>
      </w:r>
      <w:r w:rsidRPr="005E17DC">
        <w:rPr>
          <w:rFonts w:hint="cs"/>
          <w:rtl/>
        </w:rPr>
        <w:t>נבחר</w:t>
      </w:r>
      <w:r w:rsidRPr="005E17DC">
        <w:rPr>
          <w:rtl/>
        </w:rPr>
        <w:t xml:space="preserve"> לתפקידו </w:t>
      </w:r>
      <w:r w:rsidRPr="005E17DC">
        <w:rPr>
          <w:rFonts w:hint="cs"/>
          <w:rtl/>
        </w:rPr>
        <w:t>ב</w:t>
      </w:r>
      <w:r w:rsidRPr="005E17DC">
        <w:rPr>
          <w:rtl/>
        </w:rPr>
        <w:t>בחירות לרשויות המקומיות</w:t>
      </w:r>
      <w:r w:rsidRPr="005E17DC">
        <w:rPr>
          <w:rFonts w:hint="cs"/>
          <w:rtl/>
        </w:rPr>
        <w:t>,</w:t>
      </w:r>
      <w:r w:rsidRPr="005E17DC">
        <w:rPr>
          <w:rtl/>
        </w:rPr>
        <w:t xml:space="preserve"> יש לפנות לוועדת השירות תוך 30 יום. </w:t>
      </w:r>
    </w:p>
    <w:p w:rsidR="005E17DC" w:rsidRPr="005E17DC" w:rsidP="00385106">
      <w:pPr>
        <w:spacing w:line="269" w:lineRule="auto"/>
        <w:ind w:left="-567"/>
        <w:rPr>
          <w:szCs w:val="20"/>
          <w:rtl/>
        </w:rPr>
      </w:pPr>
    </w:p>
    <w:p w:rsidR="005E17DC" w:rsidRPr="005E17DC" w:rsidP="00A17D4B">
      <w:pPr>
        <w:spacing w:line="269" w:lineRule="auto"/>
        <w:ind w:left="312"/>
        <w:contextualSpacing/>
        <w:rPr>
          <w:rtl/>
        </w:rPr>
      </w:pPr>
      <w:r w:rsidRPr="005E17DC">
        <w:rPr>
          <w:rFonts w:hint="cs"/>
          <w:rtl/>
        </w:rPr>
        <w:t>לראש עיריית רמלה, ה</w:t>
      </w:r>
      <w:r w:rsidRPr="005E17DC">
        <w:rPr>
          <w:rtl/>
        </w:rPr>
        <w:t xml:space="preserve">מכהן בתפקיד מיוני 2017, </w:t>
      </w:r>
      <w:r w:rsidRPr="005E17DC">
        <w:rPr>
          <w:rFonts w:hint="eastAsia"/>
          <w:rtl/>
        </w:rPr>
        <w:t>יש</w:t>
      </w:r>
      <w:r w:rsidRPr="005E17DC">
        <w:rPr>
          <w:rtl/>
        </w:rPr>
        <w:t xml:space="preserve"> </w:t>
      </w:r>
      <w:r w:rsidRPr="005E17DC">
        <w:rPr>
          <w:rFonts w:hint="eastAsia"/>
          <w:rtl/>
        </w:rPr>
        <w:t>קרבה</w:t>
      </w:r>
      <w:r w:rsidRPr="005E17DC">
        <w:rPr>
          <w:rtl/>
        </w:rPr>
        <w:t xml:space="preserve"> </w:t>
      </w:r>
      <w:r w:rsidRPr="005E17DC">
        <w:rPr>
          <w:rFonts w:hint="eastAsia"/>
          <w:rtl/>
        </w:rPr>
        <w:t>משפחתית</w:t>
      </w:r>
      <w:r w:rsidRPr="005E17DC">
        <w:rPr>
          <w:rFonts w:hint="cs"/>
          <w:rtl/>
        </w:rPr>
        <w:t>,</w:t>
      </w:r>
      <w:r w:rsidRPr="005E17DC">
        <w:rPr>
          <w:rtl/>
        </w:rPr>
        <w:t xml:space="preserve"> </w:t>
      </w:r>
      <w:r w:rsidRPr="005E17DC">
        <w:rPr>
          <w:rFonts w:hint="eastAsia"/>
          <w:rtl/>
        </w:rPr>
        <w:t>כהגדרתה</w:t>
      </w:r>
      <w:r w:rsidRPr="005E17DC">
        <w:rPr>
          <w:rtl/>
        </w:rPr>
        <w:t xml:space="preserve"> </w:t>
      </w:r>
      <w:r w:rsidRPr="005E17DC">
        <w:rPr>
          <w:rFonts w:hint="eastAsia"/>
          <w:rtl/>
        </w:rPr>
        <w:t>בדין</w:t>
      </w:r>
      <w:r w:rsidRPr="005E17DC">
        <w:rPr>
          <w:rFonts w:hint="cs"/>
          <w:rtl/>
        </w:rPr>
        <w:t>,</w:t>
      </w:r>
      <w:r w:rsidRPr="005E17DC">
        <w:rPr>
          <w:rtl/>
        </w:rPr>
        <w:t xml:space="preserve"> </w:t>
      </w:r>
      <w:r w:rsidRPr="005E17DC">
        <w:rPr>
          <w:rFonts w:hint="eastAsia"/>
          <w:rtl/>
        </w:rPr>
        <w:t>לשתי</w:t>
      </w:r>
      <w:r w:rsidRPr="005E17DC">
        <w:rPr>
          <w:rtl/>
        </w:rPr>
        <w:t xml:space="preserve"> עובדות בעירייה, </w:t>
      </w:r>
      <w:r w:rsidRPr="005E17DC">
        <w:rPr>
          <w:rFonts w:hint="cs"/>
          <w:rtl/>
        </w:rPr>
        <w:t>ש</w:t>
      </w:r>
      <w:r w:rsidRPr="005E17DC">
        <w:rPr>
          <w:rtl/>
        </w:rPr>
        <w:t xml:space="preserve">החלו לעבוד בה טרם נבחר </w:t>
      </w:r>
      <w:r w:rsidRPr="005E17DC">
        <w:rPr>
          <w:rFonts w:hint="eastAsia"/>
          <w:rtl/>
        </w:rPr>
        <w:t>לראש</w:t>
      </w:r>
      <w:r w:rsidRPr="005E17DC">
        <w:rPr>
          <w:rtl/>
        </w:rPr>
        <w:t xml:space="preserve"> </w:t>
      </w:r>
      <w:r w:rsidRPr="005E17DC">
        <w:rPr>
          <w:rFonts w:hint="eastAsia"/>
          <w:rtl/>
        </w:rPr>
        <w:t>העירייה</w:t>
      </w:r>
      <w:r w:rsidRPr="005E17DC">
        <w:rPr>
          <w:rtl/>
        </w:rPr>
        <w:t xml:space="preserve">: </w:t>
      </w:r>
      <w:r w:rsidRPr="005E17DC">
        <w:rPr>
          <w:rFonts w:hint="eastAsia"/>
          <w:rtl/>
        </w:rPr>
        <w:t>גיס</w:t>
      </w:r>
      <w:r w:rsidRPr="005E17DC">
        <w:rPr>
          <w:rFonts w:hint="cs"/>
          <w:rtl/>
        </w:rPr>
        <w:t>ה</w:t>
      </w:r>
      <w:r w:rsidRPr="005E17DC">
        <w:rPr>
          <w:rtl/>
        </w:rPr>
        <w:t xml:space="preserve"> </w:t>
      </w:r>
      <w:r w:rsidRPr="005E17DC">
        <w:rPr>
          <w:rFonts w:hint="cs"/>
          <w:rtl/>
        </w:rPr>
        <w:t>ה</w:t>
      </w:r>
      <w:r w:rsidRPr="005E17DC">
        <w:rPr>
          <w:rFonts w:hint="eastAsia"/>
          <w:rtl/>
        </w:rPr>
        <w:t>מועסקת</w:t>
      </w:r>
      <w:r w:rsidRPr="005E17DC">
        <w:rPr>
          <w:rtl/>
        </w:rPr>
        <w:t xml:space="preserve"> </w:t>
      </w:r>
      <w:r w:rsidRPr="005E17DC">
        <w:rPr>
          <w:rFonts w:hint="eastAsia"/>
          <w:rtl/>
        </w:rPr>
        <w:t>בעירייה</w:t>
      </w:r>
      <w:r w:rsidRPr="005E17DC">
        <w:rPr>
          <w:rFonts w:hint="cs"/>
          <w:rtl/>
        </w:rPr>
        <w:t xml:space="preserve"> מינואר 2017 בתפקיד </w:t>
      </w:r>
      <w:r w:rsidRPr="005E17DC">
        <w:rPr>
          <w:rFonts w:hint="eastAsia"/>
          <w:rtl/>
        </w:rPr>
        <w:t>רכזת</w:t>
      </w:r>
      <w:r w:rsidRPr="005E17DC">
        <w:rPr>
          <w:rtl/>
        </w:rPr>
        <w:t xml:space="preserve"> </w:t>
      </w:r>
      <w:r w:rsidRPr="005E17DC">
        <w:rPr>
          <w:rFonts w:hint="eastAsia"/>
          <w:rtl/>
        </w:rPr>
        <w:t>מועדון</w:t>
      </w:r>
      <w:r w:rsidRPr="005E17DC">
        <w:rPr>
          <w:rFonts w:hint="cs"/>
          <w:rtl/>
        </w:rPr>
        <w:t>,</w:t>
      </w:r>
      <w:r w:rsidRPr="005E17DC">
        <w:rPr>
          <w:rtl/>
        </w:rPr>
        <w:t xml:space="preserve"> וגיסה </w:t>
      </w:r>
      <w:r w:rsidRPr="005E17DC">
        <w:rPr>
          <w:rFonts w:hint="cs"/>
          <w:rtl/>
        </w:rPr>
        <w:t>ה</w:t>
      </w:r>
      <w:r w:rsidRPr="005E17DC">
        <w:rPr>
          <w:rtl/>
        </w:rPr>
        <w:t>מועסקת</w:t>
      </w:r>
      <w:r w:rsidRPr="005E17DC">
        <w:rPr>
          <w:rFonts w:hint="cs"/>
          <w:rtl/>
        </w:rPr>
        <w:t xml:space="preserve"> בעירייה מדצמבר 1994 בתפקיד </w:t>
      </w:r>
      <w:r w:rsidRPr="005E17DC">
        <w:rPr>
          <w:rtl/>
        </w:rPr>
        <w:t xml:space="preserve">מנהלת מדור </w:t>
      </w:r>
      <w:r w:rsidRPr="005E17DC">
        <w:rPr>
          <w:rtl/>
        </w:rPr>
        <w:t>במ</w:t>
      </w:r>
      <w:r w:rsidRPr="005E17DC">
        <w:rPr>
          <w:rFonts w:hint="cs"/>
          <w:rtl/>
        </w:rPr>
        <w:t>י</w:t>
      </w:r>
      <w:r w:rsidRPr="005E17DC">
        <w:rPr>
          <w:rtl/>
        </w:rPr>
        <w:t>נהל</w:t>
      </w:r>
      <w:r w:rsidRPr="005E17DC">
        <w:rPr>
          <w:rtl/>
        </w:rPr>
        <w:t xml:space="preserve"> החינוך בעירייה. </w:t>
      </w:r>
      <w:r w:rsidRPr="005E17DC">
        <w:rPr>
          <w:rFonts w:hint="cs"/>
          <w:rtl/>
        </w:rPr>
        <w:t xml:space="preserve">במקרה זה השיבה העירייה כי פנתה לוועדת השירות באוקטובר 2019. </w:t>
      </w:r>
    </w:p>
    <w:p w:rsidR="005E17DC" w:rsidRPr="005E17DC" w:rsidP="00385106">
      <w:pPr>
        <w:spacing w:line="269" w:lineRule="auto"/>
        <w:ind w:left="-567"/>
        <w:rPr>
          <w:szCs w:val="20"/>
          <w:rtl/>
        </w:rPr>
      </w:pPr>
    </w:p>
    <w:p w:rsidR="005E17DC" w:rsidRPr="005E17DC" w:rsidP="00385106">
      <w:pPr>
        <w:numPr>
          <w:ilvl w:val="0"/>
          <w:numId w:val="46"/>
        </w:numPr>
        <w:spacing w:line="269" w:lineRule="auto"/>
        <w:ind w:left="312"/>
        <w:contextualSpacing/>
        <w:rPr>
          <w:rtl/>
        </w:rPr>
      </w:pPr>
      <w:r w:rsidRPr="005E17DC">
        <w:rPr>
          <w:rFonts w:hint="cs"/>
          <w:rtl/>
        </w:rPr>
        <w:t>חוזר 3/2011 קובע כי העסקת קרוב משפחה של עובד ביחידת משאבי האנוש מחייבת פנייה לוועדת השירות.</w:t>
      </w:r>
    </w:p>
    <w:p w:rsidR="005E17DC" w:rsidRPr="005E17DC" w:rsidP="00385106">
      <w:pPr>
        <w:spacing w:line="269" w:lineRule="auto"/>
        <w:ind w:left="-567"/>
        <w:rPr>
          <w:szCs w:val="20"/>
          <w:rtl/>
        </w:rPr>
      </w:pPr>
    </w:p>
    <w:p w:rsidR="005E17DC" w:rsidRPr="005E17DC" w:rsidP="00385106">
      <w:pPr>
        <w:spacing w:line="269" w:lineRule="auto"/>
        <w:ind w:left="312"/>
      </w:pPr>
      <w:r w:rsidRPr="005E17DC">
        <w:rPr>
          <w:rFonts w:hint="cs"/>
          <w:rtl/>
        </w:rPr>
        <w:t xml:space="preserve">בביקורת נמצא כי </w:t>
      </w:r>
      <w:r w:rsidRPr="005E17DC">
        <w:rPr>
          <w:rFonts w:hint="eastAsia"/>
          <w:rtl/>
        </w:rPr>
        <w:t>למנהלת</w:t>
      </w:r>
      <w:r w:rsidRPr="005E17DC">
        <w:rPr>
          <w:rtl/>
        </w:rPr>
        <w:t xml:space="preserve"> </w:t>
      </w:r>
      <w:r w:rsidRPr="005E17DC">
        <w:rPr>
          <w:rFonts w:hint="eastAsia"/>
          <w:rtl/>
        </w:rPr>
        <w:t>מחלקת</w:t>
      </w:r>
      <w:r w:rsidRPr="005E17DC">
        <w:rPr>
          <w:rtl/>
        </w:rPr>
        <w:t xml:space="preserve"> </w:t>
      </w:r>
      <w:r w:rsidRPr="005E17DC">
        <w:rPr>
          <w:rFonts w:hint="eastAsia"/>
          <w:rtl/>
        </w:rPr>
        <w:t>משאבי</w:t>
      </w:r>
      <w:r w:rsidRPr="005E17DC">
        <w:rPr>
          <w:rtl/>
        </w:rPr>
        <w:t xml:space="preserve"> </w:t>
      </w:r>
      <w:r w:rsidRPr="005E17DC">
        <w:rPr>
          <w:rFonts w:hint="eastAsia"/>
          <w:rtl/>
        </w:rPr>
        <w:t>אנוש</w:t>
      </w:r>
      <w:r w:rsidRPr="005E17DC">
        <w:rPr>
          <w:rFonts w:hint="cs"/>
          <w:rtl/>
        </w:rPr>
        <w:t>, שהחלה לעבוד בעירייה ב-2013, יש קרבה משפחתית לשני עובדים המועסקים בעירייה. מקרה אחד הוסדר בפנייה לוועדת השירות אך במקרה השני - קרבה משפחתית לפקח ביחידת הפיקוח העירוני, שהחל לעבוד בעירייה בנובמבר 2017 - לא פנתה העירייה לוועדת השירות.</w:t>
      </w:r>
    </w:p>
    <w:p w:rsidR="005E17DC" w:rsidRPr="005E17DC" w:rsidP="00385106">
      <w:pPr>
        <w:spacing w:line="269" w:lineRule="auto"/>
        <w:ind w:left="-567"/>
        <w:rPr>
          <w:szCs w:val="20"/>
          <w:rtl/>
        </w:rPr>
      </w:pPr>
    </w:p>
    <w:p w:rsidR="005E17DC" w:rsidRPr="005E17DC" w:rsidP="00385106">
      <w:pPr>
        <w:spacing w:line="269" w:lineRule="auto"/>
        <w:rPr>
          <w:b/>
          <w:bCs/>
          <w:rtl/>
        </w:rPr>
      </w:pPr>
      <w:r w:rsidRPr="005E17DC">
        <w:rPr>
          <w:rFonts w:hint="cs"/>
          <w:b/>
          <w:bCs/>
          <w:rtl/>
        </w:rPr>
        <w:t xml:space="preserve">ההוראות בנוגע להעסקת קרובי משפחה נועדו להבטיח סדרי </w:t>
      </w:r>
      <w:r w:rsidRPr="005E17DC">
        <w:rPr>
          <w:rFonts w:hint="cs"/>
          <w:b/>
          <w:bCs/>
          <w:rtl/>
        </w:rPr>
        <w:t>מינהל</w:t>
      </w:r>
      <w:r w:rsidRPr="005E17DC">
        <w:rPr>
          <w:rFonts w:hint="cs"/>
          <w:b/>
          <w:bCs/>
          <w:rtl/>
        </w:rPr>
        <w:t xml:space="preserve"> תקינים ולהגביר את אמון הציבור. על עיריית רמלה למפות את כל העובדים שיש ביניהם קרבה משפחתית, בייחוד לנוכח מספרם הגדול של עובדים אלו. לפי המידע שתקבל מן המיפוי עליה לפעול להסדרת כל המקרים שחלים עליהם סייגים בהעסקת קרובי משפחה, ולפנות לוועדת השירות כמתחייב על פי הדין. </w:t>
      </w:r>
    </w:p>
    <w:p w:rsidR="005E17DC" w:rsidRPr="005E17DC" w:rsidP="00385106">
      <w:pPr>
        <w:spacing w:line="269" w:lineRule="auto"/>
        <w:ind w:left="-567"/>
        <w:rPr>
          <w:szCs w:val="20"/>
          <w:rtl/>
        </w:rPr>
      </w:pPr>
    </w:p>
    <w:p w:rsidR="005E17DC" w:rsidRPr="005E17DC" w:rsidP="0094574B">
      <w:pPr>
        <w:spacing w:line="269" w:lineRule="auto"/>
        <w:rPr>
          <w:rtl/>
        </w:rPr>
      </w:pPr>
      <w:r w:rsidRPr="005E17DC">
        <w:rPr>
          <w:rFonts w:hint="cs"/>
          <w:rtl/>
        </w:rPr>
        <w:t xml:space="preserve">לעניין דוגמה א' מסרה העירייה כי תביא שוב לאישור המועצה הצעה לביטול הכפיפות </w:t>
      </w:r>
      <w:r w:rsidRPr="005E17DC">
        <w:rPr>
          <w:rFonts w:hint="cs"/>
          <w:rtl/>
        </w:rPr>
        <w:t>המינהלית</w:t>
      </w:r>
      <w:r w:rsidRPr="005E17DC">
        <w:rPr>
          <w:rFonts w:hint="cs"/>
          <w:rtl/>
        </w:rPr>
        <w:t xml:space="preserve"> בין הגזברית לאחותה. אשר לדוגמה ב', כאמור, השיבה העירייה כי במהלך</w:t>
      </w:r>
      <w:r w:rsidRPr="005E17DC">
        <w:rPr>
          <w:rtl/>
        </w:rPr>
        <w:t xml:space="preserve"> הביקורת </w:t>
      </w:r>
      <w:r w:rsidRPr="005E17DC">
        <w:rPr>
          <w:rFonts w:hint="cs"/>
          <w:rtl/>
        </w:rPr>
        <w:t>(</w:t>
      </w:r>
      <w:r w:rsidRPr="005E17DC">
        <w:rPr>
          <w:rtl/>
        </w:rPr>
        <w:t>אוקטובר 2019</w:t>
      </w:r>
      <w:r w:rsidRPr="005E17DC">
        <w:rPr>
          <w:rFonts w:hint="cs"/>
          <w:rtl/>
        </w:rPr>
        <w:t xml:space="preserve">) פנתה </w:t>
      </w:r>
      <w:r w:rsidRPr="005E17DC">
        <w:rPr>
          <w:rtl/>
        </w:rPr>
        <w:t>לוועדת השירות להסדרת העסקת קרוביו של ראש העיר</w:t>
      </w:r>
      <w:r w:rsidRPr="005E17DC">
        <w:rPr>
          <w:rFonts w:hint="cs"/>
          <w:rtl/>
        </w:rPr>
        <w:t xml:space="preserve"> וטרם קיבלה את תשובת הוועדה. אשר לדוגמה ג' מסרה העירייה כי המועמד הצהיר על זיקותיו המשפחתיות, אך הטיפול בנושא "נפל בין הכיסאות". העירייה צירפה לתשובתה חוות דעת משפטית שגיבשה בפברואר 2020 ולפיה נקבע כי על העובדים האמורים לחתום על הסדר למניעת ניגוד עניינים ולפנות לוועדת השירות להסדרת העסקתם. </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Fonts w:hint="eastAsia"/>
          <w:b/>
          <w:bCs/>
          <w:rtl/>
        </w:rPr>
        <w:t>על</w:t>
      </w:r>
      <w:r w:rsidRPr="005E17DC">
        <w:rPr>
          <w:b/>
          <w:bCs/>
          <w:rtl/>
        </w:rPr>
        <w:t xml:space="preserve"> </w:t>
      </w:r>
      <w:r w:rsidRPr="005E17DC">
        <w:rPr>
          <w:rFonts w:hint="eastAsia"/>
          <w:b/>
          <w:bCs/>
          <w:rtl/>
        </w:rPr>
        <w:t>העירייה</w:t>
      </w:r>
      <w:r w:rsidRPr="005E17DC">
        <w:rPr>
          <w:b/>
          <w:bCs/>
          <w:rtl/>
        </w:rPr>
        <w:t xml:space="preserve"> ל</w:t>
      </w:r>
      <w:r w:rsidRPr="005E17DC">
        <w:rPr>
          <w:rFonts w:hint="eastAsia"/>
          <w:b/>
          <w:bCs/>
          <w:rtl/>
        </w:rPr>
        <w:t>השלים</w:t>
      </w:r>
      <w:r w:rsidRPr="005E17DC">
        <w:rPr>
          <w:b/>
          <w:bCs/>
          <w:rtl/>
        </w:rPr>
        <w:t xml:space="preserve"> הטיפול בכלל המקרים </w:t>
      </w:r>
      <w:r w:rsidRPr="005E17DC">
        <w:rPr>
          <w:rFonts w:hint="eastAsia"/>
          <w:b/>
          <w:bCs/>
          <w:rtl/>
        </w:rPr>
        <w:t>ולפעול</w:t>
      </w:r>
      <w:r w:rsidRPr="005E17DC">
        <w:rPr>
          <w:b/>
          <w:bCs/>
          <w:rtl/>
        </w:rPr>
        <w:t xml:space="preserve"> בהתאם ל</w:t>
      </w:r>
      <w:r w:rsidRPr="005E17DC">
        <w:rPr>
          <w:rFonts w:hint="eastAsia"/>
          <w:b/>
          <w:bCs/>
          <w:rtl/>
        </w:rPr>
        <w:t>חוות</w:t>
      </w:r>
      <w:r w:rsidRPr="005E17DC">
        <w:rPr>
          <w:b/>
          <w:bCs/>
          <w:rtl/>
        </w:rPr>
        <w:t xml:space="preserve"> </w:t>
      </w:r>
      <w:r w:rsidRPr="005E17DC">
        <w:rPr>
          <w:rFonts w:hint="eastAsia"/>
          <w:b/>
          <w:bCs/>
          <w:rtl/>
        </w:rPr>
        <w:t>הדעת</w:t>
      </w:r>
      <w:r w:rsidRPr="005E17DC">
        <w:rPr>
          <w:b/>
          <w:bCs/>
          <w:rtl/>
        </w:rPr>
        <w:t xml:space="preserve"> </w:t>
      </w:r>
      <w:r w:rsidRPr="005E17DC">
        <w:rPr>
          <w:rFonts w:hint="eastAsia"/>
          <w:b/>
          <w:bCs/>
          <w:rtl/>
        </w:rPr>
        <w:t>המשפטית</w:t>
      </w:r>
      <w:r w:rsidRPr="005E17DC">
        <w:rPr>
          <w:b/>
          <w:bCs/>
          <w:rtl/>
        </w:rPr>
        <w:t xml:space="preserve"> </w:t>
      </w:r>
      <w:r w:rsidRPr="005E17DC">
        <w:rPr>
          <w:rFonts w:hint="eastAsia"/>
          <w:b/>
          <w:bCs/>
          <w:rtl/>
        </w:rPr>
        <w:t>ולהחלטות</w:t>
      </w:r>
      <w:r w:rsidRPr="005E17DC">
        <w:rPr>
          <w:b/>
          <w:bCs/>
          <w:rtl/>
        </w:rPr>
        <w:t xml:space="preserve"> </w:t>
      </w:r>
      <w:r w:rsidRPr="005E17DC">
        <w:rPr>
          <w:rFonts w:hint="eastAsia"/>
          <w:b/>
          <w:bCs/>
          <w:rtl/>
        </w:rPr>
        <w:t>ועדת</w:t>
      </w:r>
      <w:r w:rsidRPr="005E17DC">
        <w:rPr>
          <w:b/>
          <w:bCs/>
          <w:rtl/>
        </w:rPr>
        <w:t xml:space="preserve"> </w:t>
      </w:r>
      <w:r w:rsidRPr="005E17DC">
        <w:rPr>
          <w:rFonts w:hint="eastAsia"/>
          <w:b/>
          <w:bCs/>
          <w:rtl/>
        </w:rPr>
        <w:t>השירות</w:t>
      </w:r>
      <w:r w:rsidRPr="005E17DC">
        <w:rPr>
          <w:b/>
          <w:bCs/>
          <w:rtl/>
        </w:rPr>
        <w:t>.</w:t>
      </w:r>
      <w:r w:rsidRPr="005E17DC">
        <w:rPr>
          <w:rFonts w:hint="cs"/>
          <w:rtl/>
        </w:rPr>
        <w:t xml:space="preserve"> </w:t>
      </w:r>
    </w:p>
    <w:p w:rsidR="005E17DC" w:rsidRPr="005E17DC" w:rsidP="00385106">
      <w:pPr>
        <w:spacing w:line="269" w:lineRule="auto"/>
      </w:pPr>
    </w:p>
    <w:p w:rsidR="00385106">
      <w:pPr>
        <w:bidi w:val="0"/>
        <w:spacing w:after="200" w:line="276" w:lineRule="auto"/>
        <w:rPr>
          <w:rFonts w:eastAsiaTheme="majorEastAsia"/>
          <w:bCs/>
          <w:szCs w:val="26"/>
          <w:rtl/>
        </w:rPr>
      </w:pPr>
      <w:r>
        <w:rPr>
          <w:rFonts w:eastAsiaTheme="majorEastAsia"/>
          <w:bCs/>
          <w:szCs w:val="26"/>
          <w:rtl/>
        </w:rPr>
        <w:br w:type="page"/>
      </w:r>
    </w:p>
    <w:p w:rsidR="005E17DC" w:rsidRPr="005E17DC" w:rsidP="00385106">
      <w:pPr>
        <w:keepNext/>
        <w:keepLines/>
        <w:spacing w:line="269" w:lineRule="auto"/>
        <w:outlineLvl w:val="3"/>
        <w:rPr>
          <w:rFonts w:eastAsiaTheme="majorEastAsia"/>
          <w:bCs/>
          <w:szCs w:val="26"/>
          <w:rtl/>
        </w:rPr>
      </w:pPr>
      <w:r w:rsidRPr="005E17DC">
        <w:rPr>
          <w:rFonts w:eastAsiaTheme="majorEastAsia" w:hint="cs"/>
          <w:bCs/>
          <w:szCs w:val="26"/>
          <w:rtl/>
        </w:rPr>
        <w:t>בקרת עבודה בשעות נוספות</w:t>
      </w:r>
    </w:p>
    <w:p w:rsidR="005E17DC" w:rsidRPr="005E17DC" w:rsidP="00385106">
      <w:pPr>
        <w:keepNext/>
        <w:keepLines/>
        <w:spacing w:line="269" w:lineRule="auto"/>
        <w:outlineLvl w:val="4"/>
        <w:rPr>
          <w:rFonts w:eastAsiaTheme="majorEastAsia"/>
          <w:bCs/>
          <w:spacing w:val="40"/>
          <w:rtl/>
        </w:rPr>
      </w:pPr>
      <w:r w:rsidRPr="005E17DC">
        <w:rPr>
          <w:rFonts w:eastAsiaTheme="majorEastAsia" w:hint="cs"/>
          <w:bCs/>
          <w:spacing w:val="40"/>
          <w:rtl/>
        </w:rPr>
        <w:t>חריגה ממספר שעות העבודה הקבוע בדין</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tl/>
        </w:rPr>
        <w:t xml:space="preserve">שעות נוספות הן שעות עבודה </w:t>
      </w:r>
      <w:r w:rsidRPr="005E17DC">
        <w:rPr>
          <w:rFonts w:hint="cs"/>
          <w:rtl/>
        </w:rPr>
        <w:t>שמעבר ל</w:t>
      </w:r>
      <w:r w:rsidRPr="005E17DC">
        <w:rPr>
          <w:rtl/>
        </w:rPr>
        <w:t>מכסת שעות העבודה הרגילות.</w:t>
      </w:r>
      <w:r w:rsidRPr="005E17DC">
        <w:rPr>
          <w:rFonts w:hint="cs"/>
          <w:rtl/>
        </w:rPr>
        <w:t xml:space="preserve"> </w:t>
      </w:r>
      <w:r w:rsidRPr="005E17DC">
        <w:rPr>
          <w:rtl/>
        </w:rPr>
        <w:t>העסקת עובדים בשעות נוספות נועדה להתגבר על עומס עבודה זמני או לב</w:t>
      </w:r>
      <w:r w:rsidRPr="005E17DC">
        <w:rPr>
          <w:rFonts w:hint="cs"/>
          <w:rtl/>
        </w:rPr>
        <w:t>י</w:t>
      </w:r>
      <w:r w:rsidRPr="005E17DC">
        <w:rPr>
          <w:rtl/>
        </w:rPr>
        <w:t>צ</w:t>
      </w:r>
      <w:r w:rsidRPr="005E17DC">
        <w:rPr>
          <w:rFonts w:hint="cs"/>
          <w:rtl/>
        </w:rPr>
        <w:t>ו</w:t>
      </w:r>
      <w:r w:rsidRPr="005E17DC">
        <w:rPr>
          <w:rtl/>
        </w:rPr>
        <w:t>ע משימות מיוחדות.</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Fonts w:hint="cs"/>
          <w:rtl/>
        </w:rPr>
        <w:t>סעיף 6 ל</w:t>
      </w:r>
      <w:r w:rsidRPr="005E17DC">
        <w:rPr>
          <w:rtl/>
        </w:rPr>
        <w:t xml:space="preserve">חוק שעות עבודה ומנוחה, </w:t>
      </w:r>
      <w:r w:rsidRPr="005E17DC">
        <w:rPr>
          <w:rFonts w:hint="cs"/>
          <w:rtl/>
        </w:rPr>
        <w:t>ה</w:t>
      </w:r>
      <w:r w:rsidRPr="005E17DC">
        <w:rPr>
          <w:rtl/>
        </w:rPr>
        <w:t>תשי"א-1951</w:t>
      </w:r>
      <w:r w:rsidRPr="005E17DC">
        <w:rPr>
          <w:rFonts w:hint="cs"/>
          <w:rtl/>
        </w:rPr>
        <w:t xml:space="preserve"> (להלן - חוק שעות עבודה), קובע כי "ה</w:t>
      </w:r>
      <w:r w:rsidRPr="005E17DC">
        <w:rPr>
          <w:rtl/>
        </w:rPr>
        <w:t>עסקת עובד בשעות נוספות אסורה, אם אינה מותרת לפי סעיף 10, או אם לא הותרה לפי סעיף 11</w:t>
      </w:r>
      <w:r w:rsidRPr="005E17DC">
        <w:rPr>
          <w:rFonts w:hint="cs"/>
          <w:rtl/>
        </w:rPr>
        <w:t xml:space="preserve">". סעיף 11 לחוק שעות עבודה </w:t>
      </w:r>
      <w:r w:rsidRPr="005E17DC">
        <w:rPr>
          <w:rFonts w:hint="eastAsia"/>
          <w:rtl/>
        </w:rPr>
        <w:t>קובע</w:t>
      </w:r>
      <w:r w:rsidRPr="005E17DC">
        <w:rPr>
          <w:rtl/>
        </w:rPr>
        <w:t xml:space="preserve"> </w:t>
      </w:r>
      <w:r w:rsidRPr="005E17DC">
        <w:rPr>
          <w:rFonts w:hint="eastAsia"/>
          <w:rtl/>
        </w:rPr>
        <w:t>בין</w:t>
      </w:r>
      <w:r w:rsidRPr="005E17DC">
        <w:rPr>
          <w:rtl/>
        </w:rPr>
        <w:t xml:space="preserve"> </w:t>
      </w:r>
      <w:r w:rsidRPr="005E17DC">
        <w:rPr>
          <w:rFonts w:hint="eastAsia"/>
          <w:rtl/>
        </w:rPr>
        <w:t>ה</w:t>
      </w:r>
      <w:r w:rsidRPr="005E17DC">
        <w:rPr>
          <w:rFonts w:hint="cs"/>
          <w:rtl/>
        </w:rPr>
        <w:t>שא</w:t>
      </w:r>
      <w:r w:rsidRPr="005E17DC">
        <w:rPr>
          <w:rFonts w:hint="eastAsia"/>
          <w:rtl/>
        </w:rPr>
        <w:t>ר</w:t>
      </w:r>
      <w:r w:rsidRPr="005E17DC">
        <w:rPr>
          <w:rtl/>
        </w:rPr>
        <w:t xml:space="preserve"> </w:t>
      </w:r>
      <w:r w:rsidRPr="005E17DC">
        <w:rPr>
          <w:rFonts w:hint="eastAsia"/>
          <w:rtl/>
        </w:rPr>
        <w:t>כי</w:t>
      </w:r>
      <w:r w:rsidRPr="005E17DC">
        <w:rPr>
          <w:rFonts w:hint="cs"/>
          <w:rtl/>
        </w:rPr>
        <w:t xml:space="preserve"> "</w:t>
      </w:r>
      <w:r w:rsidRPr="005E17DC">
        <w:rPr>
          <w:rtl/>
        </w:rPr>
        <w:t>שר העבודה רשאי להתיר העסקת עובד בשעות נוספות</w:t>
      </w:r>
      <w:r w:rsidRPr="005E17DC">
        <w:rPr>
          <w:rFonts w:hint="cs"/>
          <w:rtl/>
        </w:rPr>
        <w:t>...</w:t>
      </w:r>
      <w:r w:rsidRPr="005E17DC">
        <w:rPr>
          <w:rtl/>
        </w:rPr>
        <w:t xml:space="preserve"> מטעמים הקשורים בצורכי הכלכלה והמשק או מטעמים ייחודיים הקשורים בצורכי סוג עבודה מסוים, מקום עבודה מסוים או ענף עבודה מסוים, ובהתחשב בטובת העובדים</w:t>
      </w:r>
      <w:r w:rsidRPr="005E17DC">
        <w:rPr>
          <w:rFonts w:hint="cs"/>
          <w:rtl/>
        </w:rPr>
        <w:t>".</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Fonts w:hint="eastAsia"/>
          <w:rtl/>
        </w:rPr>
        <w:t>במרץ</w:t>
      </w:r>
      <w:r w:rsidRPr="005E17DC">
        <w:rPr>
          <w:rtl/>
        </w:rPr>
        <w:t xml:space="preserve"> 2018 </w:t>
      </w:r>
      <w:r w:rsidRPr="005E17DC">
        <w:rPr>
          <w:rFonts w:hint="eastAsia"/>
          <w:rtl/>
        </w:rPr>
        <w:t>מסר</w:t>
      </w:r>
      <w:r w:rsidRPr="005E17DC">
        <w:rPr>
          <w:rtl/>
        </w:rPr>
        <w:t xml:space="preserve"> </w:t>
      </w:r>
      <w:r w:rsidRPr="005E17DC">
        <w:rPr>
          <w:rFonts w:hint="eastAsia"/>
          <w:rtl/>
        </w:rPr>
        <w:t>שר</w:t>
      </w:r>
      <w:r w:rsidRPr="005E17DC">
        <w:rPr>
          <w:rtl/>
        </w:rPr>
        <w:t xml:space="preserve"> </w:t>
      </w:r>
      <w:r w:rsidRPr="005E17DC">
        <w:rPr>
          <w:rFonts w:hint="eastAsia"/>
          <w:rtl/>
        </w:rPr>
        <w:t>העבודה</w:t>
      </w:r>
      <w:r w:rsidRPr="005E17DC">
        <w:rPr>
          <w:rtl/>
        </w:rPr>
        <w:t xml:space="preserve">, </w:t>
      </w:r>
      <w:r w:rsidRPr="005E17DC">
        <w:rPr>
          <w:rFonts w:hint="eastAsia"/>
          <w:rtl/>
        </w:rPr>
        <w:t>הרווחה</w:t>
      </w:r>
      <w:r w:rsidRPr="005E17DC">
        <w:rPr>
          <w:rtl/>
        </w:rPr>
        <w:t xml:space="preserve"> </w:t>
      </w:r>
      <w:r w:rsidRPr="005E17DC">
        <w:rPr>
          <w:rFonts w:hint="eastAsia"/>
          <w:rtl/>
        </w:rPr>
        <w:t>והשירותים</w:t>
      </w:r>
      <w:r w:rsidRPr="005E17DC">
        <w:rPr>
          <w:rtl/>
        </w:rPr>
        <w:t xml:space="preserve"> </w:t>
      </w:r>
      <w:r w:rsidRPr="005E17DC">
        <w:rPr>
          <w:rFonts w:hint="eastAsia"/>
          <w:rtl/>
        </w:rPr>
        <w:t>החברתיים</w:t>
      </w:r>
      <w:r w:rsidRPr="005E17DC">
        <w:rPr>
          <w:rtl/>
        </w:rPr>
        <w:t xml:space="preserve"> </w:t>
      </w:r>
      <w:r w:rsidRPr="005E17DC">
        <w:rPr>
          <w:rFonts w:hint="eastAsia"/>
          <w:rtl/>
        </w:rPr>
        <w:t>הודעה</w:t>
      </w:r>
      <w:r>
        <w:rPr>
          <w:vertAlign w:val="superscript"/>
          <w:rtl/>
        </w:rPr>
        <w:footnoteReference w:id="46"/>
      </w:r>
      <w:r w:rsidRPr="005E17DC">
        <w:rPr>
          <w:rtl/>
        </w:rPr>
        <w:t xml:space="preserve"> על היתר כללי להעסקת עובדים בשעות נוספות, </w:t>
      </w:r>
      <w:r w:rsidRPr="005E17DC">
        <w:rPr>
          <w:rFonts w:hint="eastAsia"/>
          <w:rtl/>
        </w:rPr>
        <w:t>ונקבע</w:t>
      </w:r>
      <w:r w:rsidRPr="005E17DC">
        <w:rPr>
          <w:rtl/>
        </w:rPr>
        <w:t xml:space="preserve"> בו כי אור</w:t>
      </w:r>
      <w:r w:rsidRPr="005E17DC">
        <w:rPr>
          <w:rFonts w:hint="eastAsia"/>
          <w:rtl/>
        </w:rPr>
        <w:t>כו</w:t>
      </w:r>
      <w:r w:rsidRPr="005E17DC">
        <w:rPr>
          <w:rtl/>
        </w:rPr>
        <w:t xml:space="preserve"> </w:t>
      </w:r>
      <w:r w:rsidRPr="005E17DC">
        <w:rPr>
          <w:rFonts w:hint="eastAsia"/>
          <w:rtl/>
        </w:rPr>
        <w:t>של</w:t>
      </w:r>
      <w:r w:rsidRPr="005E17DC">
        <w:rPr>
          <w:rtl/>
        </w:rPr>
        <w:t xml:space="preserve"> יום עבודה </w:t>
      </w:r>
      <w:r w:rsidRPr="005E17DC">
        <w:rPr>
          <w:rFonts w:hint="eastAsia"/>
          <w:rtl/>
        </w:rPr>
        <w:t>לרבות</w:t>
      </w:r>
      <w:r w:rsidRPr="005E17DC">
        <w:rPr>
          <w:rtl/>
        </w:rPr>
        <w:t xml:space="preserve"> </w:t>
      </w:r>
      <w:r w:rsidRPr="005E17DC">
        <w:rPr>
          <w:rFonts w:hint="eastAsia"/>
          <w:rtl/>
        </w:rPr>
        <w:t>שעות</w:t>
      </w:r>
      <w:r w:rsidRPr="005E17DC">
        <w:rPr>
          <w:rtl/>
        </w:rPr>
        <w:t xml:space="preserve"> נוספות לא יעלה על 12 שעות ועובד לא </w:t>
      </w:r>
      <w:r w:rsidRPr="005E17DC">
        <w:rPr>
          <w:rFonts w:hint="eastAsia"/>
          <w:rtl/>
        </w:rPr>
        <w:t>יעבוד</w:t>
      </w:r>
      <w:r w:rsidRPr="005E17DC">
        <w:rPr>
          <w:rtl/>
        </w:rPr>
        <w:t xml:space="preserve"> </w:t>
      </w:r>
      <w:r w:rsidRPr="005E17DC">
        <w:rPr>
          <w:rFonts w:hint="eastAsia"/>
          <w:rtl/>
        </w:rPr>
        <w:t>יותר</w:t>
      </w:r>
      <w:r w:rsidRPr="005E17DC">
        <w:rPr>
          <w:rtl/>
        </w:rPr>
        <w:t xml:space="preserve"> </w:t>
      </w:r>
      <w:r w:rsidRPr="005E17DC">
        <w:rPr>
          <w:rFonts w:hint="eastAsia"/>
          <w:rtl/>
        </w:rPr>
        <w:t>מ</w:t>
      </w:r>
      <w:r w:rsidRPr="005E17DC">
        <w:rPr>
          <w:rtl/>
        </w:rPr>
        <w:t xml:space="preserve">-16 </w:t>
      </w:r>
      <w:r w:rsidRPr="005E17DC">
        <w:rPr>
          <w:rFonts w:hint="eastAsia"/>
          <w:rtl/>
        </w:rPr>
        <w:t>שעות</w:t>
      </w:r>
      <w:r w:rsidRPr="005E17DC">
        <w:rPr>
          <w:rtl/>
        </w:rPr>
        <w:t xml:space="preserve"> </w:t>
      </w:r>
      <w:r w:rsidRPr="005E17DC">
        <w:rPr>
          <w:rFonts w:hint="eastAsia"/>
          <w:rtl/>
        </w:rPr>
        <w:t>נוספות</w:t>
      </w:r>
      <w:r w:rsidRPr="005E17DC">
        <w:rPr>
          <w:rtl/>
        </w:rPr>
        <w:t xml:space="preserve"> </w:t>
      </w:r>
      <w:r w:rsidRPr="005E17DC">
        <w:rPr>
          <w:rFonts w:hint="eastAsia"/>
          <w:rtl/>
        </w:rPr>
        <w:t>בשבוע</w:t>
      </w:r>
      <w:r w:rsidRPr="005E17DC">
        <w:rPr>
          <w:rtl/>
        </w:rPr>
        <w:t xml:space="preserve"> </w:t>
      </w:r>
      <w:r w:rsidRPr="005E17DC">
        <w:rPr>
          <w:rFonts w:hint="eastAsia"/>
          <w:rtl/>
        </w:rPr>
        <w:t>עבודה</w:t>
      </w:r>
      <w:r w:rsidRPr="005E17DC">
        <w:rPr>
          <w:rtl/>
        </w:rPr>
        <w:t>.</w:t>
      </w:r>
    </w:p>
    <w:p w:rsidR="005E17DC" w:rsidRPr="005E17DC" w:rsidP="00385106">
      <w:pPr>
        <w:spacing w:line="269" w:lineRule="auto"/>
        <w:ind w:left="-567"/>
        <w:rPr>
          <w:szCs w:val="20"/>
          <w:rtl/>
        </w:rPr>
      </w:pPr>
    </w:p>
    <w:p w:rsidR="005E17DC" w:rsidRPr="005E17DC" w:rsidP="00385106">
      <w:pPr>
        <w:spacing w:line="269" w:lineRule="auto"/>
        <w:rPr>
          <w:szCs w:val="20"/>
          <w:rtl/>
        </w:rPr>
      </w:pPr>
      <w:r w:rsidRPr="005E17DC">
        <w:rPr>
          <w:rFonts w:hint="cs"/>
          <w:rtl/>
        </w:rPr>
        <w:t xml:space="preserve">בשנת 2015 כתב מבקר עיריית רמלה את דוח הביקורת הפנימי "ביקורת שכר בעירייה" וציין בו ליקויים בתשלומי שעות נוספות, בהם עבודה בשעות נוספות מעבר למותר בהוראות הדין. תגובת העירייה לממצא זה הייתה כי תבצע בקרה אחת לרבעון וכי בספטמבר 2014 רועננו לכל מחלקותיה הנהלים לעניין שעות נוספות. </w:t>
      </w:r>
    </w:p>
    <w:p w:rsidR="005E17DC" w:rsidRPr="005E17DC" w:rsidP="00385106">
      <w:pPr>
        <w:spacing w:line="269" w:lineRule="auto"/>
        <w:ind w:left="-567"/>
        <w:rPr>
          <w:szCs w:val="20"/>
          <w:rtl/>
        </w:rPr>
      </w:pPr>
    </w:p>
    <w:p w:rsidR="005E17DC" w:rsidRPr="005E17DC" w:rsidP="00385106">
      <w:pPr>
        <w:spacing w:line="269" w:lineRule="auto"/>
        <w:rPr>
          <w:b/>
          <w:bCs/>
          <w:rtl/>
        </w:rPr>
      </w:pPr>
      <w:r w:rsidRPr="005E17DC">
        <w:rPr>
          <w:rFonts w:hint="eastAsia"/>
          <w:b/>
          <w:bCs/>
          <w:rtl/>
        </w:rPr>
        <w:t>משרד</w:t>
      </w:r>
      <w:r w:rsidRPr="005E17DC">
        <w:rPr>
          <w:b/>
          <w:bCs/>
          <w:rtl/>
        </w:rPr>
        <w:t xml:space="preserve"> מבקר המדינה מצא כי מערכת דיווחי הנוכחות של עיריית רמלה מגבילה את הדיווח האפשרי ל-60 שעות נוספות </w:t>
      </w:r>
      <w:r w:rsidRPr="005E17DC">
        <w:rPr>
          <w:rFonts w:hint="eastAsia"/>
          <w:b/>
          <w:bCs/>
          <w:rtl/>
        </w:rPr>
        <w:t>בלבד</w:t>
      </w:r>
      <w:r w:rsidRPr="005E17DC">
        <w:rPr>
          <w:b/>
          <w:bCs/>
          <w:rtl/>
        </w:rPr>
        <w:t xml:space="preserve"> </w:t>
      </w:r>
      <w:r w:rsidRPr="005E17DC">
        <w:rPr>
          <w:rFonts w:hint="eastAsia"/>
          <w:b/>
          <w:bCs/>
          <w:rtl/>
        </w:rPr>
        <w:t>בחודש</w:t>
      </w:r>
      <w:r w:rsidRPr="005E17DC">
        <w:rPr>
          <w:b/>
          <w:bCs/>
          <w:rtl/>
        </w:rPr>
        <w:t xml:space="preserve"> </w:t>
      </w:r>
      <w:r w:rsidRPr="005E17DC">
        <w:rPr>
          <w:rFonts w:hint="eastAsia"/>
          <w:b/>
          <w:bCs/>
          <w:rtl/>
        </w:rPr>
        <w:t>עבודה</w:t>
      </w:r>
      <w:r w:rsidRPr="005E17DC">
        <w:rPr>
          <w:b/>
          <w:bCs/>
          <w:rtl/>
        </w:rPr>
        <w:t xml:space="preserve">, אך </w:t>
      </w:r>
      <w:r w:rsidRPr="005E17DC">
        <w:rPr>
          <w:rFonts w:hint="eastAsia"/>
          <w:b/>
          <w:bCs/>
          <w:rtl/>
        </w:rPr>
        <w:t>אינה</w:t>
      </w:r>
      <w:r w:rsidRPr="005E17DC">
        <w:rPr>
          <w:b/>
          <w:bCs/>
          <w:rtl/>
        </w:rPr>
        <w:t xml:space="preserve"> </w:t>
      </w:r>
      <w:r w:rsidRPr="005E17DC">
        <w:rPr>
          <w:rFonts w:hint="eastAsia"/>
          <w:b/>
          <w:bCs/>
          <w:rtl/>
        </w:rPr>
        <w:t>מגבילה</w:t>
      </w:r>
      <w:r w:rsidRPr="005E17DC">
        <w:rPr>
          <w:b/>
          <w:bCs/>
          <w:rtl/>
        </w:rPr>
        <w:t xml:space="preserve"> </w:t>
      </w:r>
      <w:r w:rsidRPr="005E17DC">
        <w:rPr>
          <w:rFonts w:hint="eastAsia"/>
          <w:b/>
          <w:bCs/>
          <w:rtl/>
        </w:rPr>
        <w:t>ואינה</w:t>
      </w:r>
      <w:r w:rsidRPr="005E17DC">
        <w:rPr>
          <w:b/>
          <w:bCs/>
          <w:rtl/>
        </w:rPr>
        <w:t xml:space="preserve"> </w:t>
      </w:r>
      <w:r w:rsidRPr="005E17DC">
        <w:rPr>
          <w:rFonts w:hint="eastAsia"/>
          <w:b/>
          <w:bCs/>
          <w:rtl/>
        </w:rPr>
        <w:t>מתריעה</w:t>
      </w:r>
      <w:r w:rsidRPr="005E17DC">
        <w:rPr>
          <w:b/>
          <w:bCs/>
          <w:rtl/>
        </w:rPr>
        <w:t xml:space="preserve"> על </w:t>
      </w:r>
      <w:r w:rsidRPr="005E17DC">
        <w:rPr>
          <w:rFonts w:hint="eastAsia"/>
          <w:b/>
          <w:bCs/>
          <w:rtl/>
        </w:rPr>
        <w:t>עבודה</w:t>
      </w:r>
      <w:r w:rsidRPr="005E17DC">
        <w:rPr>
          <w:b/>
          <w:bCs/>
          <w:rtl/>
        </w:rPr>
        <w:t xml:space="preserve"> מעל 12 שעות ביום או מעל 60 שעות בשבוע, ו</w:t>
      </w:r>
      <w:r w:rsidRPr="005E17DC">
        <w:rPr>
          <w:rFonts w:hint="eastAsia"/>
          <w:b/>
          <w:bCs/>
          <w:rtl/>
        </w:rPr>
        <w:t>אין</w:t>
      </w:r>
      <w:r w:rsidRPr="005E17DC">
        <w:rPr>
          <w:b/>
          <w:bCs/>
          <w:rtl/>
        </w:rPr>
        <w:t xml:space="preserve"> נהלים </w:t>
      </w:r>
      <w:r w:rsidRPr="005E17DC">
        <w:rPr>
          <w:rFonts w:hint="eastAsia"/>
          <w:b/>
          <w:bCs/>
          <w:rtl/>
        </w:rPr>
        <w:t>לטיפול</w:t>
      </w:r>
      <w:r w:rsidRPr="005E17DC">
        <w:rPr>
          <w:b/>
          <w:bCs/>
          <w:rtl/>
        </w:rPr>
        <w:t xml:space="preserve"> </w:t>
      </w:r>
      <w:r w:rsidRPr="005E17DC">
        <w:rPr>
          <w:rFonts w:hint="eastAsia"/>
          <w:b/>
          <w:bCs/>
          <w:rtl/>
        </w:rPr>
        <w:t>בחריגות</w:t>
      </w:r>
      <w:r w:rsidRPr="005E17DC">
        <w:rPr>
          <w:b/>
          <w:bCs/>
          <w:rtl/>
        </w:rPr>
        <w:t xml:space="preserve"> </w:t>
      </w:r>
      <w:r w:rsidRPr="005E17DC">
        <w:rPr>
          <w:rFonts w:hint="eastAsia"/>
          <w:b/>
          <w:bCs/>
          <w:rtl/>
        </w:rPr>
        <w:t>אלו</w:t>
      </w:r>
      <w:r w:rsidRPr="005E17DC">
        <w:rPr>
          <w:b/>
          <w:bCs/>
          <w:rtl/>
        </w:rPr>
        <w:t>.</w:t>
      </w:r>
    </w:p>
    <w:p w:rsidR="005E17DC" w:rsidRPr="005E17DC" w:rsidP="00385106">
      <w:pPr>
        <w:spacing w:line="269" w:lineRule="auto"/>
        <w:ind w:left="-567"/>
        <w:rPr>
          <w:szCs w:val="20"/>
          <w:rtl/>
        </w:rPr>
      </w:pPr>
    </w:p>
    <w:p w:rsidR="005E17DC" w:rsidRPr="005E17DC" w:rsidP="00385106">
      <w:pPr>
        <w:spacing w:line="269" w:lineRule="auto"/>
        <w:rPr>
          <w:b/>
          <w:bCs/>
          <w:rtl/>
        </w:rPr>
      </w:pPr>
      <w:r w:rsidRPr="005E17DC">
        <w:rPr>
          <w:rFonts w:hint="eastAsia"/>
          <w:b/>
          <w:bCs/>
          <w:rtl/>
        </w:rPr>
        <w:t>בסקירה</w:t>
      </w:r>
      <w:r w:rsidRPr="005E17DC">
        <w:rPr>
          <w:b/>
          <w:bCs/>
          <w:rtl/>
        </w:rPr>
        <w:t xml:space="preserve"> של 64 דוחות נוכחות </w:t>
      </w:r>
      <w:r w:rsidRPr="005E17DC">
        <w:rPr>
          <w:rFonts w:hint="eastAsia"/>
          <w:b/>
          <w:bCs/>
          <w:rtl/>
        </w:rPr>
        <w:t>מאפריל</w:t>
      </w:r>
      <w:r w:rsidRPr="005E17DC">
        <w:rPr>
          <w:b/>
          <w:bCs/>
          <w:rtl/>
        </w:rPr>
        <w:t xml:space="preserve"> </w:t>
      </w:r>
      <w:r w:rsidRPr="005E17DC">
        <w:rPr>
          <w:rFonts w:hint="cs"/>
          <w:b/>
          <w:bCs/>
          <w:rtl/>
        </w:rPr>
        <w:t xml:space="preserve">2018 </w:t>
      </w:r>
      <w:r w:rsidRPr="005E17DC">
        <w:rPr>
          <w:b/>
          <w:bCs/>
          <w:rtl/>
        </w:rPr>
        <w:t>עד יוני 201</w:t>
      </w:r>
      <w:r w:rsidRPr="005E17DC">
        <w:rPr>
          <w:rFonts w:hint="cs"/>
          <w:b/>
          <w:bCs/>
          <w:rtl/>
        </w:rPr>
        <w:t>9</w:t>
      </w:r>
      <w:r w:rsidRPr="005E17DC">
        <w:rPr>
          <w:b/>
          <w:bCs/>
          <w:rtl/>
        </w:rPr>
        <w:t xml:space="preserve">, </w:t>
      </w:r>
      <w:r w:rsidRPr="005E17DC">
        <w:rPr>
          <w:rFonts w:hint="eastAsia"/>
          <w:b/>
          <w:bCs/>
          <w:rtl/>
        </w:rPr>
        <w:t>של</w:t>
      </w:r>
      <w:r w:rsidRPr="005E17DC">
        <w:rPr>
          <w:b/>
          <w:bCs/>
          <w:rtl/>
        </w:rPr>
        <w:t xml:space="preserve"> עובדי העירייה אשר במסגרת תפקידם </w:t>
      </w:r>
      <w:r w:rsidRPr="005E17DC">
        <w:rPr>
          <w:rFonts w:hint="eastAsia"/>
          <w:b/>
          <w:bCs/>
          <w:rtl/>
        </w:rPr>
        <w:t>מרבים</w:t>
      </w:r>
      <w:r w:rsidRPr="005E17DC">
        <w:rPr>
          <w:b/>
          <w:bCs/>
          <w:rtl/>
        </w:rPr>
        <w:t xml:space="preserve"> לעבוד </w:t>
      </w:r>
      <w:r w:rsidRPr="005E17DC">
        <w:rPr>
          <w:rFonts w:hint="eastAsia"/>
          <w:b/>
          <w:bCs/>
          <w:rtl/>
        </w:rPr>
        <w:t>שעות</w:t>
      </w:r>
      <w:r w:rsidRPr="005E17DC">
        <w:rPr>
          <w:b/>
          <w:bCs/>
          <w:rtl/>
        </w:rPr>
        <w:t xml:space="preserve"> </w:t>
      </w:r>
      <w:r w:rsidRPr="005E17DC">
        <w:rPr>
          <w:rFonts w:hint="eastAsia"/>
          <w:b/>
          <w:bCs/>
          <w:rtl/>
        </w:rPr>
        <w:t>נוספות</w:t>
      </w:r>
      <w:r w:rsidRPr="005E17DC">
        <w:rPr>
          <w:b/>
          <w:bCs/>
          <w:rtl/>
        </w:rPr>
        <w:t>, נמצאו 11 עובדים שעבד</w:t>
      </w:r>
      <w:r w:rsidRPr="005E17DC">
        <w:rPr>
          <w:rFonts w:hint="eastAsia"/>
          <w:b/>
          <w:bCs/>
          <w:rtl/>
        </w:rPr>
        <w:t>ו</w:t>
      </w:r>
      <w:r w:rsidRPr="005E17DC">
        <w:rPr>
          <w:b/>
          <w:bCs/>
          <w:rtl/>
        </w:rPr>
        <w:t xml:space="preserve"> </w:t>
      </w:r>
      <w:r w:rsidRPr="005E17DC">
        <w:rPr>
          <w:rFonts w:hint="eastAsia"/>
          <w:b/>
          <w:bCs/>
          <w:rtl/>
        </w:rPr>
        <w:t>כל</w:t>
      </w:r>
      <w:r w:rsidRPr="005E17DC">
        <w:rPr>
          <w:b/>
          <w:bCs/>
          <w:rtl/>
        </w:rPr>
        <w:t xml:space="preserve"> </w:t>
      </w:r>
      <w:r w:rsidRPr="005E17DC">
        <w:rPr>
          <w:rFonts w:hint="eastAsia"/>
          <w:b/>
          <w:bCs/>
          <w:rtl/>
        </w:rPr>
        <w:t>אחד</w:t>
      </w:r>
      <w:r w:rsidRPr="005E17DC">
        <w:rPr>
          <w:b/>
          <w:bCs/>
          <w:rtl/>
        </w:rPr>
        <w:t xml:space="preserve"> </w:t>
      </w:r>
      <w:r w:rsidRPr="005E17DC">
        <w:rPr>
          <w:rFonts w:hint="eastAsia"/>
          <w:b/>
          <w:bCs/>
          <w:rtl/>
        </w:rPr>
        <w:t>יותר</w:t>
      </w:r>
      <w:r w:rsidRPr="005E17DC">
        <w:rPr>
          <w:b/>
          <w:bCs/>
          <w:rtl/>
        </w:rPr>
        <w:t xml:space="preserve"> </w:t>
      </w:r>
      <w:r w:rsidRPr="005E17DC">
        <w:rPr>
          <w:rFonts w:hint="eastAsia"/>
          <w:b/>
          <w:bCs/>
          <w:rtl/>
        </w:rPr>
        <w:t>מ</w:t>
      </w:r>
      <w:r w:rsidRPr="005E17DC">
        <w:rPr>
          <w:b/>
          <w:bCs/>
          <w:rtl/>
        </w:rPr>
        <w:t xml:space="preserve">-12 </w:t>
      </w:r>
      <w:r w:rsidRPr="005E17DC">
        <w:rPr>
          <w:rFonts w:hint="eastAsia"/>
          <w:b/>
          <w:bCs/>
          <w:rtl/>
        </w:rPr>
        <w:t>שעות</w:t>
      </w:r>
      <w:r w:rsidRPr="005E17DC">
        <w:rPr>
          <w:b/>
          <w:bCs/>
          <w:rtl/>
        </w:rPr>
        <w:t xml:space="preserve"> </w:t>
      </w:r>
      <w:r w:rsidRPr="005E17DC">
        <w:rPr>
          <w:rFonts w:hint="eastAsia"/>
          <w:b/>
          <w:bCs/>
          <w:rtl/>
        </w:rPr>
        <w:t>נוספות</w:t>
      </w:r>
      <w:r w:rsidRPr="005E17DC">
        <w:rPr>
          <w:b/>
          <w:bCs/>
          <w:rtl/>
        </w:rPr>
        <w:t xml:space="preserve"> </w:t>
      </w:r>
      <w:r w:rsidRPr="005E17DC">
        <w:rPr>
          <w:rFonts w:hint="eastAsia"/>
          <w:b/>
          <w:bCs/>
          <w:rtl/>
        </w:rPr>
        <w:t>ביום</w:t>
      </w:r>
      <w:r w:rsidRPr="005E17DC">
        <w:rPr>
          <w:b/>
          <w:bCs/>
          <w:rtl/>
        </w:rPr>
        <w:t xml:space="preserve"> לפחות פעם אחת, </w:t>
      </w:r>
      <w:r w:rsidRPr="005E17DC">
        <w:rPr>
          <w:rFonts w:hint="eastAsia"/>
          <w:b/>
          <w:bCs/>
          <w:rtl/>
        </w:rPr>
        <w:t>ושמונה</w:t>
      </w:r>
      <w:r w:rsidRPr="005E17DC">
        <w:rPr>
          <w:b/>
          <w:bCs/>
          <w:rtl/>
        </w:rPr>
        <w:t xml:space="preserve"> עובדים שעבדו לפחות פעם אחת </w:t>
      </w:r>
      <w:r w:rsidRPr="005E17DC">
        <w:rPr>
          <w:rFonts w:hint="eastAsia"/>
          <w:b/>
          <w:bCs/>
          <w:rtl/>
        </w:rPr>
        <w:t>יותר</w:t>
      </w:r>
      <w:r w:rsidRPr="005E17DC">
        <w:rPr>
          <w:b/>
          <w:bCs/>
          <w:rtl/>
        </w:rPr>
        <w:t xml:space="preserve"> </w:t>
      </w:r>
      <w:r w:rsidRPr="005E17DC">
        <w:rPr>
          <w:rFonts w:hint="eastAsia"/>
          <w:b/>
          <w:bCs/>
          <w:rtl/>
        </w:rPr>
        <w:t>מ</w:t>
      </w:r>
      <w:r w:rsidRPr="005E17DC">
        <w:rPr>
          <w:b/>
          <w:bCs/>
          <w:rtl/>
        </w:rPr>
        <w:t xml:space="preserve">-60 </w:t>
      </w:r>
      <w:r w:rsidRPr="005E17DC">
        <w:rPr>
          <w:rFonts w:hint="eastAsia"/>
          <w:b/>
          <w:bCs/>
          <w:rtl/>
        </w:rPr>
        <w:t>שעות</w:t>
      </w:r>
      <w:r w:rsidRPr="005E17DC">
        <w:rPr>
          <w:b/>
          <w:bCs/>
          <w:rtl/>
        </w:rPr>
        <w:t xml:space="preserve"> </w:t>
      </w:r>
      <w:r w:rsidRPr="005E17DC">
        <w:rPr>
          <w:rFonts w:hint="eastAsia"/>
          <w:b/>
          <w:bCs/>
          <w:rtl/>
        </w:rPr>
        <w:t>בשבוע</w:t>
      </w:r>
      <w:r w:rsidRPr="005E17DC">
        <w:rPr>
          <w:b/>
          <w:bCs/>
          <w:rtl/>
        </w:rPr>
        <w:t xml:space="preserve"> - בניגוד לחוק שעות עבודה ובלי </w:t>
      </w:r>
      <w:r w:rsidRPr="005E17DC">
        <w:rPr>
          <w:rFonts w:hint="eastAsia"/>
          <w:b/>
          <w:bCs/>
          <w:rtl/>
        </w:rPr>
        <w:t>כל</w:t>
      </w:r>
      <w:r w:rsidRPr="005E17DC">
        <w:rPr>
          <w:b/>
          <w:bCs/>
          <w:rtl/>
        </w:rPr>
        <w:t xml:space="preserve"> אפשרות של מערכת הנוכחות </w:t>
      </w:r>
      <w:r w:rsidRPr="005E17DC">
        <w:rPr>
          <w:rFonts w:hint="eastAsia"/>
          <w:b/>
          <w:bCs/>
          <w:rtl/>
        </w:rPr>
        <w:t>להתריע</w:t>
      </w:r>
      <w:r w:rsidRPr="005E17DC">
        <w:rPr>
          <w:b/>
          <w:bCs/>
          <w:rtl/>
        </w:rPr>
        <w:t xml:space="preserve"> על כך </w:t>
      </w:r>
      <w:r w:rsidRPr="005E17DC">
        <w:rPr>
          <w:rFonts w:hint="eastAsia"/>
          <w:b/>
          <w:bCs/>
          <w:rtl/>
        </w:rPr>
        <w:t>לגורמי</w:t>
      </w:r>
      <w:r w:rsidRPr="005E17DC">
        <w:rPr>
          <w:b/>
          <w:bCs/>
          <w:rtl/>
        </w:rPr>
        <w:t xml:space="preserve"> </w:t>
      </w:r>
      <w:r w:rsidRPr="005E17DC">
        <w:rPr>
          <w:rFonts w:hint="eastAsia"/>
          <w:b/>
          <w:bCs/>
          <w:rtl/>
        </w:rPr>
        <w:t>הניהול</w:t>
      </w:r>
      <w:r w:rsidRPr="005E17DC">
        <w:rPr>
          <w:b/>
          <w:bCs/>
          <w:rtl/>
        </w:rPr>
        <w:t>.</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Fonts w:hint="cs"/>
          <w:rtl/>
        </w:rPr>
        <w:t xml:space="preserve">בתשובתה מסרה העירייה כי היא </w:t>
      </w:r>
      <w:r w:rsidRPr="005E17DC">
        <w:rPr>
          <w:rtl/>
        </w:rPr>
        <w:t>משקיע</w:t>
      </w:r>
      <w:r w:rsidRPr="005E17DC">
        <w:rPr>
          <w:rFonts w:hint="cs"/>
          <w:rtl/>
        </w:rPr>
        <w:t>ה</w:t>
      </w:r>
      <w:r w:rsidRPr="005E17DC">
        <w:rPr>
          <w:rtl/>
        </w:rPr>
        <w:t xml:space="preserve"> מאמצים ותשומות רבות במיגור התופעה</w:t>
      </w:r>
      <w:r w:rsidRPr="005E17DC">
        <w:rPr>
          <w:rFonts w:hint="cs"/>
          <w:rtl/>
        </w:rPr>
        <w:t>,</w:t>
      </w:r>
      <w:r w:rsidRPr="005E17DC">
        <w:rPr>
          <w:rtl/>
        </w:rPr>
        <w:t xml:space="preserve"> שהי</w:t>
      </w:r>
      <w:r w:rsidRPr="005E17DC">
        <w:rPr>
          <w:rFonts w:hint="cs"/>
          <w:rtl/>
        </w:rPr>
        <w:t>י</w:t>
      </w:r>
      <w:r w:rsidRPr="005E17DC">
        <w:rPr>
          <w:rtl/>
        </w:rPr>
        <w:t>תה נהוגה בעבר</w:t>
      </w:r>
      <w:r w:rsidRPr="005E17DC">
        <w:rPr>
          <w:rFonts w:hint="cs"/>
          <w:rtl/>
        </w:rPr>
        <w:t>,</w:t>
      </w:r>
      <w:r w:rsidRPr="005E17DC">
        <w:rPr>
          <w:rtl/>
        </w:rPr>
        <w:t xml:space="preserve"> ופועל</w:t>
      </w:r>
      <w:r w:rsidRPr="005E17DC">
        <w:rPr>
          <w:rFonts w:hint="cs"/>
          <w:rtl/>
        </w:rPr>
        <w:t>ת</w:t>
      </w:r>
      <w:r w:rsidRPr="005E17DC">
        <w:rPr>
          <w:rtl/>
        </w:rPr>
        <w:t xml:space="preserve"> להקפדה רבה על הוראות החוק הנוגעות להיקף השעות הנוספות.</w:t>
      </w:r>
      <w:r w:rsidRPr="005E17DC">
        <w:rPr>
          <w:rFonts w:hint="cs"/>
          <w:rtl/>
        </w:rPr>
        <w:t xml:space="preserve"> בספטמבר 2019 פרסם מנכ"ל העירייה הנחיה למנהלי האגפי והמחלקות לגבי השעות הנוספות המותרות על פי חוק. </w:t>
      </w:r>
    </w:p>
    <w:p w:rsidR="005E17DC" w:rsidRPr="005E17DC" w:rsidP="00385106">
      <w:pPr>
        <w:spacing w:line="269" w:lineRule="auto"/>
        <w:ind w:left="-567"/>
        <w:rPr>
          <w:szCs w:val="20"/>
          <w:rtl/>
        </w:rPr>
      </w:pPr>
    </w:p>
    <w:p w:rsidR="005E17DC" w:rsidRPr="005E17DC" w:rsidP="00385106">
      <w:pPr>
        <w:spacing w:line="269" w:lineRule="auto"/>
        <w:rPr>
          <w:b/>
          <w:bCs/>
          <w:rtl/>
        </w:rPr>
      </w:pPr>
      <w:r w:rsidRPr="005E17DC">
        <w:rPr>
          <w:rFonts w:hint="eastAsia"/>
          <w:b/>
          <w:bCs/>
          <w:rtl/>
        </w:rPr>
        <w:t>על</w:t>
      </w:r>
      <w:r w:rsidRPr="005E17DC">
        <w:rPr>
          <w:b/>
          <w:bCs/>
          <w:rtl/>
        </w:rPr>
        <w:t xml:space="preserve"> </w:t>
      </w:r>
      <w:r w:rsidRPr="005E17DC">
        <w:rPr>
          <w:rFonts w:hint="eastAsia"/>
          <w:b/>
          <w:bCs/>
          <w:rtl/>
        </w:rPr>
        <w:t>עיריית</w:t>
      </w:r>
      <w:r w:rsidRPr="005E17DC">
        <w:rPr>
          <w:b/>
          <w:bCs/>
          <w:rtl/>
        </w:rPr>
        <w:t xml:space="preserve"> </w:t>
      </w:r>
      <w:r w:rsidRPr="005E17DC">
        <w:rPr>
          <w:rFonts w:hint="eastAsia"/>
          <w:b/>
          <w:bCs/>
          <w:rtl/>
        </w:rPr>
        <w:t>רמלה</w:t>
      </w:r>
      <w:r w:rsidRPr="005E17DC">
        <w:rPr>
          <w:b/>
          <w:bCs/>
          <w:rtl/>
        </w:rPr>
        <w:t xml:space="preserve"> </w:t>
      </w:r>
      <w:r w:rsidRPr="005E17DC">
        <w:rPr>
          <w:rFonts w:hint="eastAsia"/>
          <w:b/>
          <w:bCs/>
          <w:rtl/>
        </w:rPr>
        <w:t>להמשיך</w:t>
      </w:r>
      <w:r w:rsidRPr="005E17DC">
        <w:rPr>
          <w:b/>
          <w:bCs/>
          <w:rtl/>
        </w:rPr>
        <w:t xml:space="preserve"> ולפעול </w:t>
      </w:r>
      <w:r w:rsidRPr="005E17DC">
        <w:rPr>
          <w:rFonts w:hint="eastAsia"/>
          <w:b/>
          <w:bCs/>
          <w:rtl/>
        </w:rPr>
        <w:t>בנושא</w:t>
      </w:r>
      <w:r w:rsidRPr="005E17DC">
        <w:rPr>
          <w:b/>
          <w:bCs/>
          <w:rtl/>
        </w:rPr>
        <w:t xml:space="preserve"> </w:t>
      </w:r>
      <w:r w:rsidRPr="005E17DC">
        <w:rPr>
          <w:rFonts w:hint="eastAsia"/>
          <w:b/>
          <w:bCs/>
          <w:rtl/>
        </w:rPr>
        <w:t>וליישם</w:t>
      </w:r>
      <w:r w:rsidRPr="005E17DC">
        <w:rPr>
          <w:b/>
          <w:bCs/>
          <w:rtl/>
        </w:rPr>
        <w:t xml:space="preserve"> </w:t>
      </w:r>
      <w:r w:rsidRPr="005E17DC">
        <w:rPr>
          <w:rFonts w:hint="eastAsia"/>
          <w:b/>
          <w:bCs/>
          <w:rtl/>
        </w:rPr>
        <w:t>בקרב</w:t>
      </w:r>
      <w:r w:rsidRPr="005E17DC">
        <w:rPr>
          <w:b/>
          <w:bCs/>
          <w:rtl/>
        </w:rPr>
        <w:t xml:space="preserve"> </w:t>
      </w:r>
      <w:r w:rsidRPr="005E17DC">
        <w:rPr>
          <w:rFonts w:hint="eastAsia"/>
          <w:b/>
          <w:bCs/>
          <w:rtl/>
        </w:rPr>
        <w:t>כלל</w:t>
      </w:r>
      <w:r w:rsidRPr="005E17DC">
        <w:rPr>
          <w:b/>
          <w:bCs/>
          <w:rtl/>
        </w:rPr>
        <w:t xml:space="preserve"> עובדיה </w:t>
      </w:r>
      <w:r w:rsidRPr="005E17DC">
        <w:rPr>
          <w:rFonts w:hint="eastAsia"/>
          <w:b/>
          <w:bCs/>
          <w:rtl/>
        </w:rPr>
        <w:t>את</w:t>
      </w:r>
      <w:r w:rsidRPr="005E17DC">
        <w:rPr>
          <w:b/>
          <w:bCs/>
          <w:rtl/>
        </w:rPr>
        <w:t xml:space="preserve"> המגבלות החלות על </w:t>
      </w:r>
      <w:r w:rsidRPr="005E17DC">
        <w:rPr>
          <w:rFonts w:hint="eastAsia"/>
          <w:b/>
          <w:bCs/>
          <w:rtl/>
        </w:rPr>
        <w:t>עבודה</w:t>
      </w:r>
      <w:r w:rsidRPr="005E17DC">
        <w:rPr>
          <w:b/>
          <w:bCs/>
          <w:rtl/>
        </w:rPr>
        <w:t xml:space="preserve"> </w:t>
      </w:r>
      <w:r w:rsidRPr="005E17DC">
        <w:rPr>
          <w:rFonts w:hint="eastAsia"/>
          <w:b/>
          <w:bCs/>
          <w:rtl/>
        </w:rPr>
        <w:t>בשעות</w:t>
      </w:r>
      <w:r w:rsidRPr="005E17DC">
        <w:rPr>
          <w:b/>
          <w:bCs/>
          <w:rtl/>
        </w:rPr>
        <w:t xml:space="preserve"> </w:t>
      </w:r>
      <w:r w:rsidRPr="005E17DC">
        <w:rPr>
          <w:rFonts w:hint="eastAsia"/>
          <w:b/>
          <w:bCs/>
          <w:rtl/>
        </w:rPr>
        <w:t>נוספות</w:t>
      </w:r>
      <w:r w:rsidRPr="005E17DC">
        <w:rPr>
          <w:b/>
          <w:bCs/>
          <w:rtl/>
        </w:rPr>
        <w:t xml:space="preserve">, </w:t>
      </w:r>
      <w:r w:rsidRPr="005E17DC">
        <w:rPr>
          <w:rFonts w:hint="eastAsia"/>
          <w:b/>
          <w:bCs/>
          <w:rtl/>
        </w:rPr>
        <w:t>ומומלץ</w:t>
      </w:r>
      <w:r w:rsidRPr="005E17DC">
        <w:rPr>
          <w:b/>
          <w:bCs/>
          <w:rtl/>
        </w:rPr>
        <w:t xml:space="preserve"> כי </w:t>
      </w:r>
      <w:r w:rsidRPr="005E17DC">
        <w:rPr>
          <w:rFonts w:hint="eastAsia"/>
          <w:b/>
          <w:bCs/>
          <w:rtl/>
        </w:rPr>
        <w:t>תשלב</w:t>
      </w:r>
      <w:r w:rsidRPr="005E17DC">
        <w:rPr>
          <w:b/>
          <w:bCs/>
          <w:rtl/>
        </w:rPr>
        <w:t xml:space="preserve"> במערכת </w:t>
      </w:r>
      <w:r w:rsidRPr="005E17DC">
        <w:rPr>
          <w:rFonts w:hint="eastAsia"/>
          <w:b/>
          <w:bCs/>
          <w:rtl/>
        </w:rPr>
        <w:t>דיווחי</w:t>
      </w:r>
      <w:r w:rsidRPr="005E17DC">
        <w:rPr>
          <w:b/>
          <w:bCs/>
          <w:rtl/>
        </w:rPr>
        <w:t xml:space="preserve"> הנוכחות </w:t>
      </w:r>
      <w:r w:rsidRPr="005E17DC">
        <w:rPr>
          <w:rFonts w:hint="eastAsia"/>
          <w:b/>
          <w:bCs/>
          <w:rtl/>
        </w:rPr>
        <w:t>אפשרות</w:t>
      </w:r>
      <w:r w:rsidRPr="005E17DC">
        <w:rPr>
          <w:b/>
          <w:bCs/>
          <w:rtl/>
        </w:rPr>
        <w:t xml:space="preserve"> לקבלת התר</w:t>
      </w:r>
      <w:r w:rsidRPr="005E17DC">
        <w:rPr>
          <w:rFonts w:hint="eastAsia"/>
          <w:b/>
          <w:bCs/>
          <w:rtl/>
        </w:rPr>
        <w:t>ע</w:t>
      </w:r>
      <w:r w:rsidRPr="005E17DC">
        <w:rPr>
          <w:b/>
          <w:bCs/>
          <w:rtl/>
        </w:rPr>
        <w:t xml:space="preserve">ות </w:t>
      </w:r>
      <w:r w:rsidRPr="005E17DC">
        <w:rPr>
          <w:rFonts w:hint="eastAsia"/>
          <w:b/>
          <w:bCs/>
          <w:rtl/>
        </w:rPr>
        <w:t>ע</w:t>
      </w:r>
      <w:r w:rsidRPr="005E17DC">
        <w:rPr>
          <w:b/>
          <w:bCs/>
          <w:rtl/>
        </w:rPr>
        <w:t xml:space="preserve">ל חריגה של יום עבודה מ-12 שעות או </w:t>
      </w:r>
      <w:r w:rsidRPr="005E17DC">
        <w:rPr>
          <w:rFonts w:hint="eastAsia"/>
          <w:b/>
          <w:bCs/>
          <w:rtl/>
        </w:rPr>
        <w:t>חריגה</w:t>
      </w:r>
      <w:r w:rsidRPr="005E17DC">
        <w:rPr>
          <w:b/>
          <w:bCs/>
          <w:rtl/>
        </w:rPr>
        <w:t xml:space="preserve"> </w:t>
      </w:r>
      <w:r w:rsidRPr="005E17DC">
        <w:rPr>
          <w:rFonts w:hint="eastAsia"/>
          <w:b/>
          <w:bCs/>
          <w:rtl/>
        </w:rPr>
        <w:t>מ</w:t>
      </w:r>
      <w:r w:rsidRPr="005E17DC">
        <w:rPr>
          <w:b/>
          <w:bCs/>
          <w:rtl/>
        </w:rPr>
        <w:t xml:space="preserve">-60 </w:t>
      </w:r>
      <w:r w:rsidRPr="005E17DC">
        <w:rPr>
          <w:rFonts w:hint="eastAsia"/>
          <w:b/>
          <w:bCs/>
          <w:rtl/>
        </w:rPr>
        <w:t>שעות</w:t>
      </w:r>
      <w:r w:rsidRPr="005E17DC">
        <w:rPr>
          <w:b/>
          <w:bCs/>
          <w:rtl/>
        </w:rPr>
        <w:t xml:space="preserve"> </w:t>
      </w:r>
      <w:r w:rsidRPr="005E17DC">
        <w:rPr>
          <w:rFonts w:hint="eastAsia"/>
          <w:b/>
          <w:bCs/>
          <w:rtl/>
        </w:rPr>
        <w:t>בשבוע</w:t>
      </w:r>
      <w:r w:rsidRPr="005E17DC">
        <w:rPr>
          <w:b/>
          <w:bCs/>
          <w:rtl/>
        </w:rPr>
        <w:t>.</w:t>
      </w:r>
    </w:p>
    <w:p w:rsidR="005E17DC" w:rsidRPr="005E17DC" w:rsidP="000E5918">
      <w:pPr>
        <w:pStyle w:val="a"/>
        <w:rPr>
          <w:rtl/>
        </w:rPr>
      </w:pPr>
    </w:p>
    <w:p w:rsidR="005E17DC" w:rsidRPr="005E17DC" w:rsidP="00385106">
      <w:pPr>
        <w:keepNext/>
        <w:keepLines/>
        <w:spacing w:line="269" w:lineRule="auto"/>
        <w:outlineLvl w:val="4"/>
        <w:rPr>
          <w:rFonts w:eastAsiaTheme="majorEastAsia"/>
          <w:bCs/>
          <w:spacing w:val="40"/>
          <w:rtl/>
        </w:rPr>
      </w:pPr>
      <w:r w:rsidRPr="005E17DC">
        <w:rPr>
          <w:rFonts w:eastAsiaTheme="majorEastAsia" w:hint="cs"/>
          <w:bCs/>
          <w:spacing w:val="40"/>
          <w:rtl/>
        </w:rPr>
        <w:t>שעות נוספות - נשים הרות</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tl/>
        </w:rPr>
        <w:t>סעיף 10</w:t>
      </w:r>
      <w:r w:rsidRPr="005E17DC">
        <w:rPr>
          <w:rFonts w:hint="cs"/>
          <w:rtl/>
        </w:rPr>
        <w:t>(</w:t>
      </w:r>
      <w:r w:rsidRPr="005E17DC">
        <w:rPr>
          <w:rtl/>
        </w:rPr>
        <w:t>א</w:t>
      </w:r>
      <w:r w:rsidRPr="005E17DC">
        <w:rPr>
          <w:rFonts w:hint="cs"/>
          <w:rtl/>
        </w:rPr>
        <w:t>)</w:t>
      </w:r>
      <w:r w:rsidRPr="005E17DC">
        <w:rPr>
          <w:rtl/>
        </w:rPr>
        <w:t xml:space="preserve"> לחוק עבודת נשים, </w:t>
      </w:r>
      <w:r w:rsidRPr="005E17DC">
        <w:rPr>
          <w:rFonts w:hint="cs"/>
          <w:rtl/>
        </w:rPr>
        <w:t>ה</w:t>
      </w:r>
      <w:r w:rsidRPr="005E17DC">
        <w:rPr>
          <w:rtl/>
        </w:rPr>
        <w:t xml:space="preserve">תשי"ד-1954 (להלן </w:t>
      </w:r>
      <w:r w:rsidRPr="005E17DC">
        <w:rPr>
          <w:rFonts w:hint="cs"/>
          <w:rtl/>
        </w:rPr>
        <w:t xml:space="preserve">- </w:t>
      </w:r>
      <w:r w:rsidRPr="005E17DC">
        <w:rPr>
          <w:rtl/>
        </w:rPr>
        <w:t>חוק עבודת נשים)</w:t>
      </w:r>
      <w:r w:rsidRPr="005E17DC">
        <w:rPr>
          <w:rFonts w:hint="cs"/>
          <w:rtl/>
        </w:rPr>
        <w:t>,</w:t>
      </w:r>
      <w:r w:rsidRPr="005E17DC">
        <w:rPr>
          <w:rtl/>
        </w:rPr>
        <w:t xml:space="preserve"> קובע כי "עובדת שהיא בחודש החמישי להריונה תודיע על כך למעסיקה, ומשעשתה כן, או משנודע על כך למעסיק בדרך אחרת, לא יעסיקה בשעות נוספות ובמנוחה השבועית מהחודש החמישי להריון ואילך"</w:t>
      </w:r>
      <w:r w:rsidRPr="005E17DC">
        <w:rPr>
          <w:rFonts w:hint="cs"/>
          <w:rtl/>
        </w:rPr>
        <w:t>.</w:t>
      </w:r>
      <w:r w:rsidRPr="005E17DC">
        <w:rPr>
          <w:rtl/>
        </w:rPr>
        <w:t xml:space="preserve"> </w:t>
      </w:r>
      <w:r w:rsidRPr="005E17DC">
        <w:rPr>
          <w:rFonts w:hint="cs"/>
          <w:rtl/>
        </w:rPr>
        <w:t>עם זה</w:t>
      </w:r>
      <w:r w:rsidRPr="005E17DC">
        <w:rPr>
          <w:rtl/>
        </w:rPr>
        <w:t xml:space="preserve"> סעיף 10</w:t>
      </w:r>
      <w:r w:rsidRPr="005E17DC">
        <w:rPr>
          <w:rFonts w:hint="cs"/>
          <w:rtl/>
        </w:rPr>
        <w:t>(</w:t>
      </w:r>
      <w:r w:rsidRPr="005E17DC">
        <w:rPr>
          <w:rtl/>
        </w:rPr>
        <w:t>ב</w:t>
      </w:r>
      <w:r w:rsidRPr="005E17DC">
        <w:rPr>
          <w:rFonts w:hint="cs"/>
          <w:rtl/>
        </w:rPr>
        <w:t>)</w:t>
      </w:r>
      <w:r w:rsidRPr="005E17DC">
        <w:rPr>
          <w:rtl/>
        </w:rPr>
        <w:t xml:space="preserve"> לחוק עבודת נשים קובע כי "על אף הוראות סעיף קטן (א), רשאי מעסיק להעסיק עובדת בהריון, בשעות נוספות או במנוחה השבועית, אם העובדת הסכימה לכך בכתב ומסרה למעסיקה אישור רפואי של רופא מומחה ביילוד ובגינקולוגיה, כי אין מניעה להעסיקה בשעות נוספות או במנוחה השבועית, ובכפוף לתנאי האישור</w:t>
      </w:r>
      <w:r w:rsidRPr="005E17DC">
        <w:rPr>
          <w:rFonts w:hint="cs"/>
          <w:rtl/>
        </w:rPr>
        <w:t>".</w:t>
      </w:r>
    </w:p>
    <w:p w:rsidR="005E17DC" w:rsidRPr="005E17DC" w:rsidP="00385106">
      <w:pPr>
        <w:spacing w:line="269" w:lineRule="auto"/>
        <w:rPr>
          <w:rtl/>
        </w:rPr>
      </w:pPr>
      <w:r w:rsidRPr="005E17DC">
        <w:rPr>
          <w:rtl/>
        </w:rPr>
        <w:t>מטרתו של חוק עבודת נשים להבטיח כי נשים ה</w:t>
      </w:r>
      <w:r w:rsidRPr="005E17DC">
        <w:rPr>
          <w:rFonts w:hint="cs"/>
          <w:rtl/>
        </w:rPr>
        <w:t>ר</w:t>
      </w:r>
      <w:r w:rsidRPr="005E17DC">
        <w:rPr>
          <w:rtl/>
        </w:rPr>
        <w:t>ות</w:t>
      </w:r>
      <w:r w:rsidRPr="005E17DC">
        <w:rPr>
          <w:rFonts w:hint="cs"/>
          <w:rtl/>
        </w:rPr>
        <w:t xml:space="preserve"> המועסקות</w:t>
      </w:r>
      <w:r w:rsidRPr="005E17DC">
        <w:rPr>
          <w:rtl/>
        </w:rPr>
        <w:t xml:space="preserve"> בחודשים המתקדמים </w:t>
      </w:r>
      <w:r w:rsidRPr="005E17DC">
        <w:rPr>
          <w:rFonts w:hint="cs"/>
          <w:rtl/>
        </w:rPr>
        <w:t>ש</w:t>
      </w:r>
      <w:r w:rsidRPr="005E17DC">
        <w:rPr>
          <w:rtl/>
        </w:rPr>
        <w:t>ל הריונ</w:t>
      </w:r>
      <w:r w:rsidRPr="005E17DC">
        <w:rPr>
          <w:rFonts w:hint="cs"/>
          <w:rtl/>
        </w:rPr>
        <w:t>ן</w:t>
      </w:r>
      <w:r w:rsidRPr="005E17DC">
        <w:rPr>
          <w:rtl/>
        </w:rPr>
        <w:t xml:space="preserve"> לא </w:t>
      </w:r>
      <w:r w:rsidRPr="005E17DC">
        <w:rPr>
          <w:rFonts w:hint="cs"/>
          <w:rtl/>
        </w:rPr>
        <w:t>ייפגעו, הן ועוברן, עקב</w:t>
      </w:r>
      <w:r w:rsidRPr="005E17DC">
        <w:rPr>
          <w:rtl/>
        </w:rPr>
        <w:t xml:space="preserve"> עבודה מאומצת. אי</w:t>
      </w:r>
      <w:r w:rsidRPr="005E17DC">
        <w:rPr>
          <w:rFonts w:hint="cs"/>
          <w:rtl/>
        </w:rPr>
        <w:t>-</w:t>
      </w:r>
      <w:r w:rsidRPr="005E17DC">
        <w:rPr>
          <w:rtl/>
        </w:rPr>
        <w:t>ציות להוראות</w:t>
      </w:r>
      <w:r w:rsidRPr="005E17DC">
        <w:rPr>
          <w:rFonts w:hint="cs"/>
          <w:rtl/>
        </w:rPr>
        <w:t>יו של</w:t>
      </w:r>
      <w:r w:rsidRPr="005E17DC">
        <w:rPr>
          <w:rtl/>
        </w:rPr>
        <w:t xml:space="preserve"> חוק עבודת נשים עלול לחשוף את המעסיק לתביעות משפטיות במקרה של נזק שייגרם לאשה </w:t>
      </w:r>
      <w:r w:rsidRPr="005E17DC">
        <w:rPr>
          <w:rFonts w:hint="cs"/>
          <w:rtl/>
        </w:rPr>
        <w:t>מן ה</w:t>
      </w:r>
      <w:r w:rsidRPr="005E17DC">
        <w:rPr>
          <w:rtl/>
        </w:rPr>
        <w:t xml:space="preserve">חודש החמישי להריונה או לעוברה </w:t>
      </w:r>
      <w:r w:rsidRPr="005E17DC">
        <w:rPr>
          <w:rFonts w:hint="cs"/>
          <w:rtl/>
        </w:rPr>
        <w:t xml:space="preserve">עקב </w:t>
      </w:r>
      <w:r w:rsidRPr="005E17DC">
        <w:rPr>
          <w:rtl/>
        </w:rPr>
        <w:t>עבודה בשעות נוספות.</w:t>
      </w:r>
    </w:p>
    <w:p w:rsidR="005E17DC" w:rsidRPr="005E17DC" w:rsidP="00385106">
      <w:pPr>
        <w:spacing w:line="269" w:lineRule="auto"/>
        <w:ind w:left="-567"/>
        <w:rPr>
          <w:szCs w:val="20"/>
          <w:rtl/>
        </w:rPr>
      </w:pPr>
    </w:p>
    <w:p w:rsidR="005E17DC" w:rsidRPr="005E17DC" w:rsidP="00385106">
      <w:pPr>
        <w:spacing w:line="269" w:lineRule="auto"/>
        <w:rPr>
          <w:b/>
          <w:bCs/>
          <w:rtl/>
        </w:rPr>
      </w:pPr>
      <w:r w:rsidRPr="005E17DC">
        <w:rPr>
          <w:rFonts w:hint="eastAsia"/>
          <w:b/>
          <w:bCs/>
          <w:rtl/>
        </w:rPr>
        <w:t>בביקורת</w:t>
      </w:r>
      <w:r w:rsidRPr="005E17DC">
        <w:rPr>
          <w:b/>
          <w:bCs/>
          <w:rtl/>
        </w:rPr>
        <w:t xml:space="preserve"> נמצאו 12 עובדות </w:t>
      </w:r>
      <w:r w:rsidRPr="005E17DC">
        <w:rPr>
          <w:rFonts w:hint="eastAsia"/>
          <w:b/>
          <w:bCs/>
          <w:rtl/>
        </w:rPr>
        <w:t>שהועסקו</w:t>
      </w:r>
      <w:r w:rsidRPr="005E17DC">
        <w:rPr>
          <w:b/>
          <w:bCs/>
          <w:rtl/>
        </w:rPr>
        <w:t xml:space="preserve"> </w:t>
      </w:r>
      <w:r w:rsidRPr="005E17DC">
        <w:rPr>
          <w:rFonts w:hint="eastAsia"/>
          <w:b/>
          <w:bCs/>
          <w:rtl/>
        </w:rPr>
        <w:t>בשעות</w:t>
      </w:r>
      <w:r w:rsidRPr="005E17DC">
        <w:rPr>
          <w:b/>
          <w:bCs/>
          <w:rtl/>
        </w:rPr>
        <w:t xml:space="preserve"> נוספות בהיותן בחודש החמישי </w:t>
      </w:r>
      <w:r w:rsidRPr="005E17DC">
        <w:rPr>
          <w:rFonts w:hint="eastAsia"/>
          <w:b/>
          <w:bCs/>
          <w:rtl/>
        </w:rPr>
        <w:t>או</w:t>
      </w:r>
      <w:r w:rsidRPr="005E17DC">
        <w:rPr>
          <w:b/>
          <w:bCs/>
          <w:rtl/>
        </w:rPr>
        <w:t xml:space="preserve"> יותר </w:t>
      </w:r>
      <w:r w:rsidRPr="005E17DC">
        <w:rPr>
          <w:rFonts w:hint="eastAsia"/>
          <w:b/>
          <w:bCs/>
          <w:rtl/>
        </w:rPr>
        <w:t>להריונן</w:t>
      </w:r>
      <w:r w:rsidRPr="005E17DC">
        <w:rPr>
          <w:b/>
          <w:bCs/>
          <w:rtl/>
        </w:rPr>
        <w:t xml:space="preserve">, </w:t>
      </w:r>
      <w:r w:rsidRPr="005E17DC">
        <w:rPr>
          <w:rFonts w:hint="eastAsia"/>
          <w:b/>
          <w:bCs/>
          <w:rtl/>
        </w:rPr>
        <w:t>מ</w:t>
      </w:r>
      <w:r w:rsidRPr="005E17DC">
        <w:rPr>
          <w:b/>
          <w:bCs/>
          <w:rtl/>
        </w:rPr>
        <w:t xml:space="preserve">יוני 2017 </w:t>
      </w:r>
      <w:r w:rsidRPr="005E17DC">
        <w:rPr>
          <w:rFonts w:hint="eastAsia"/>
          <w:b/>
          <w:bCs/>
          <w:rtl/>
        </w:rPr>
        <w:t>עד</w:t>
      </w:r>
      <w:r w:rsidRPr="005E17DC">
        <w:rPr>
          <w:b/>
          <w:bCs/>
          <w:rtl/>
        </w:rPr>
        <w:t xml:space="preserve"> יוני 2019. אף </w:t>
      </w:r>
      <w:r w:rsidRPr="005E17DC">
        <w:rPr>
          <w:rFonts w:hint="eastAsia"/>
          <w:b/>
          <w:bCs/>
          <w:rtl/>
        </w:rPr>
        <w:t>לא</w:t>
      </w:r>
      <w:r w:rsidRPr="005E17DC">
        <w:rPr>
          <w:b/>
          <w:bCs/>
          <w:rtl/>
        </w:rPr>
        <w:t xml:space="preserve"> אחת מ</w:t>
      </w:r>
      <w:r w:rsidRPr="005E17DC">
        <w:rPr>
          <w:rFonts w:hint="eastAsia"/>
          <w:b/>
          <w:bCs/>
          <w:rtl/>
        </w:rPr>
        <w:t>הן</w:t>
      </w:r>
      <w:r w:rsidRPr="005E17DC">
        <w:rPr>
          <w:b/>
          <w:bCs/>
          <w:rtl/>
        </w:rPr>
        <w:t xml:space="preserve"> נתנה לעירייה הסכמה בכתב ל</w:t>
      </w:r>
      <w:r w:rsidRPr="005E17DC">
        <w:rPr>
          <w:rFonts w:hint="eastAsia"/>
          <w:b/>
          <w:bCs/>
          <w:rtl/>
        </w:rPr>
        <w:t>עבוד</w:t>
      </w:r>
      <w:r w:rsidRPr="005E17DC">
        <w:rPr>
          <w:b/>
          <w:bCs/>
          <w:rtl/>
        </w:rPr>
        <w:t xml:space="preserve"> שעות נוספות אלו ולא הגישה אישור מרופא מומחה כי אין מניעה להעסיקה בשעות נוספות, </w:t>
      </w:r>
      <w:r w:rsidRPr="005E17DC">
        <w:rPr>
          <w:rFonts w:hint="eastAsia"/>
          <w:b/>
          <w:bCs/>
          <w:rtl/>
        </w:rPr>
        <w:t>כפי</w:t>
      </w:r>
      <w:r w:rsidRPr="005E17DC">
        <w:rPr>
          <w:b/>
          <w:bCs/>
          <w:rtl/>
        </w:rPr>
        <w:t xml:space="preserve"> שמחייב חוק עבודת נשים.</w:t>
      </w:r>
    </w:p>
    <w:p w:rsidR="005E17DC" w:rsidRPr="005E17DC" w:rsidP="00385106">
      <w:pPr>
        <w:spacing w:line="269" w:lineRule="auto"/>
        <w:ind w:left="-567"/>
        <w:rPr>
          <w:szCs w:val="20"/>
          <w:rtl/>
        </w:rPr>
      </w:pPr>
    </w:p>
    <w:p w:rsidR="005E17DC" w:rsidRPr="005E17DC" w:rsidP="00385106">
      <w:pPr>
        <w:spacing w:line="269" w:lineRule="auto"/>
        <w:rPr>
          <w:b/>
          <w:bCs/>
          <w:rtl/>
        </w:rPr>
      </w:pPr>
      <w:r w:rsidRPr="005E17DC">
        <w:rPr>
          <w:b/>
          <w:bCs/>
          <w:rtl/>
        </w:rPr>
        <w:t>משרד מבקר המדינה מעיר לעיריית רמלה כי עליה לפעול בהתאם לחוק עבודת נשים ולא לאפשר לעובדות ל</w:t>
      </w:r>
      <w:r w:rsidRPr="005E17DC">
        <w:rPr>
          <w:rFonts w:hint="cs"/>
          <w:b/>
          <w:bCs/>
          <w:rtl/>
        </w:rPr>
        <w:t>עבוד</w:t>
      </w:r>
      <w:r w:rsidRPr="005E17DC">
        <w:rPr>
          <w:b/>
          <w:bCs/>
          <w:rtl/>
        </w:rPr>
        <w:t xml:space="preserve"> שעות נוספות מ</w:t>
      </w:r>
      <w:r w:rsidRPr="005E17DC">
        <w:rPr>
          <w:rFonts w:hint="cs"/>
          <w:b/>
          <w:bCs/>
          <w:rtl/>
        </w:rPr>
        <w:t xml:space="preserve">ן </w:t>
      </w:r>
      <w:r w:rsidRPr="005E17DC">
        <w:rPr>
          <w:b/>
          <w:bCs/>
          <w:rtl/>
        </w:rPr>
        <w:t>החודש החמישי להריונ</w:t>
      </w:r>
      <w:r w:rsidRPr="005E17DC">
        <w:rPr>
          <w:rFonts w:hint="cs"/>
          <w:b/>
          <w:bCs/>
          <w:rtl/>
        </w:rPr>
        <w:t>ן</w:t>
      </w:r>
      <w:r w:rsidRPr="005E17DC">
        <w:rPr>
          <w:b/>
          <w:bCs/>
          <w:rtl/>
        </w:rPr>
        <w:t>, אלא אם</w:t>
      </w:r>
      <w:r w:rsidRPr="005E17DC">
        <w:rPr>
          <w:rFonts w:hint="cs"/>
          <w:b/>
          <w:bCs/>
          <w:rtl/>
        </w:rPr>
        <w:t xml:space="preserve"> כן</w:t>
      </w:r>
      <w:r w:rsidRPr="005E17DC">
        <w:rPr>
          <w:b/>
          <w:bCs/>
          <w:rtl/>
        </w:rPr>
        <w:t xml:space="preserve"> קיבלה העירייה אישורו של רופא מומחה לכך והסכמת העובדת בכתב.</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Fonts w:hint="cs"/>
          <w:rtl/>
        </w:rPr>
        <w:t>בתשובת העירייה נמסר כי אגף משאבי אנוש בעירייה יפעל לקיום הוראות סעיף 10 לחוק עבודת נשים.</w:t>
      </w:r>
    </w:p>
    <w:p w:rsidR="005E17DC" w:rsidRPr="005E17DC" w:rsidP="000E5918">
      <w:pPr>
        <w:pStyle w:val="a"/>
        <w:rPr>
          <w:rtl/>
        </w:rPr>
      </w:pPr>
    </w:p>
    <w:p w:rsidR="005E17DC" w:rsidRPr="005E17DC" w:rsidP="00385106">
      <w:pPr>
        <w:keepNext/>
        <w:keepLines/>
        <w:spacing w:line="269" w:lineRule="auto"/>
        <w:outlineLvl w:val="4"/>
        <w:rPr>
          <w:rFonts w:eastAsiaTheme="majorEastAsia"/>
          <w:bCs/>
          <w:spacing w:val="40"/>
          <w:rtl/>
        </w:rPr>
      </w:pPr>
      <w:r w:rsidRPr="005E17DC">
        <w:rPr>
          <w:rFonts w:eastAsiaTheme="majorEastAsia" w:hint="cs"/>
          <w:bCs/>
          <w:spacing w:val="40"/>
          <w:rtl/>
        </w:rPr>
        <w:t xml:space="preserve">שעות נוספות </w:t>
      </w:r>
      <w:r w:rsidRPr="005E17DC">
        <w:rPr>
          <w:rFonts w:eastAsiaTheme="majorEastAsia"/>
          <w:bCs/>
          <w:spacing w:val="40"/>
          <w:rtl/>
        </w:rPr>
        <w:t>–</w:t>
      </w:r>
      <w:r w:rsidRPr="005E17DC">
        <w:rPr>
          <w:rFonts w:eastAsiaTheme="majorEastAsia" w:hint="cs"/>
          <w:bCs/>
          <w:spacing w:val="40"/>
          <w:rtl/>
        </w:rPr>
        <w:t xml:space="preserve"> הוצאות שכר</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Fonts w:hint="eastAsia"/>
          <w:rtl/>
        </w:rPr>
        <w:t>הוצאותיה</w:t>
      </w:r>
      <w:r w:rsidRPr="005E17DC">
        <w:rPr>
          <w:rtl/>
        </w:rPr>
        <w:t xml:space="preserve"> </w:t>
      </w:r>
      <w:r w:rsidRPr="005E17DC">
        <w:rPr>
          <w:rFonts w:hint="eastAsia"/>
          <w:rtl/>
        </w:rPr>
        <w:t>של</w:t>
      </w:r>
      <w:r w:rsidRPr="005E17DC">
        <w:rPr>
          <w:rtl/>
        </w:rPr>
        <w:t xml:space="preserve"> </w:t>
      </w:r>
      <w:r w:rsidRPr="005E17DC">
        <w:rPr>
          <w:rFonts w:hint="eastAsia"/>
          <w:rtl/>
        </w:rPr>
        <w:t>עיריית</w:t>
      </w:r>
      <w:r w:rsidRPr="005E17DC">
        <w:rPr>
          <w:rtl/>
        </w:rPr>
        <w:t xml:space="preserve"> </w:t>
      </w:r>
      <w:r w:rsidRPr="005E17DC">
        <w:rPr>
          <w:rFonts w:hint="eastAsia"/>
          <w:rtl/>
        </w:rPr>
        <w:t>רמלה</w:t>
      </w:r>
      <w:r w:rsidRPr="005E17DC">
        <w:rPr>
          <w:rtl/>
        </w:rPr>
        <w:t xml:space="preserve"> </w:t>
      </w:r>
      <w:r w:rsidRPr="005E17DC">
        <w:rPr>
          <w:rFonts w:hint="eastAsia"/>
          <w:rtl/>
        </w:rPr>
        <w:t>על</w:t>
      </w:r>
      <w:r w:rsidRPr="005E17DC">
        <w:rPr>
          <w:rtl/>
        </w:rPr>
        <w:t xml:space="preserve"> </w:t>
      </w:r>
      <w:r w:rsidRPr="005E17DC">
        <w:rPr>
          <w:rFonts w:hint="eastAsia"/>
          <w:rtl/>
        </w:rPr>
        <w:t>שעות</w:t>
      </w:r>
      <w:r w:rsidRPr="005E17DC">
        <w:rPr>
          <w:rtl/>
        </w:rPr>
        <w:t xml:space="preserve"> </w:t>
      </w:r>
      <w:r w:rsidRPr="005E17DC">
        <w:rPr>
          <w:rFonts w:hint="eastAsia"/>
          <w:rtl/>
        </w:rPr>
        <w:t>עבודה</w:t>
      </w:r>
      <w:r w:rsidRPr="005E17DC">
        <w:rPr>
          <w:rtl/>
        </w:rPr>
        <w:t xml:space="preserve"> </w:t>
      </w:r>
      <w:r w:rsidRPr="005E17DC">
        <w:rPr>
          <w:rFonts w:hint="eastAsia"/>
          <w:rtl/>
        </w:rPr>
        <w:t>נוספות</w:t>
      </w:r>
      <w:r w:rsidRPr="005E17DC">
        <w:rPr>
          <w:rtl/>
        </w:rPr>
        <w:t xml:space="preserve"> </w:t>
      </w:r>
      <w:r w:rsidRPr="005E17DC">
        <w:rPr>
          <w:rFonts w:hint="eastAsia"/>
          <w:rtl/>
        </w:rPr>
        <w:t>של</w:t>
      </w:r>
      <w:r w:rsidRPr="005E17DC">
        <w:rPr>
          <w:rtl/>
        </w:rPr>
        <w:t xml:space="preserve"> </w:t>
      </w:r>
      <w:r w:rsidRPr="005E17DC">
        <w:rPr>
          <w:rFonts w:hint="eastAsia"/>
          <w:rtl/>
        </w:rPr>
        <w:t>עובדיה</w:t>
      </w:r>
      <w:r w:rsidRPr="005E17DC">
        <w:rPr>
          <w:rtl/>
        </w:rPr>
        <w:t xml:space="preserve"> </w:t>
      </w:r>
      <w:r w:rsidRPr="005E17DC">
        <w:rPr>
          <w:rFonts w:hint="cs"/>
          <w:rtl/>
        </w:rPr>
        <w:t>הי</w:t>
      </w:r>
      <w:r w:rsidRPr="005E17DC">
        <w:rPr>
          <w:rFonts w:hint="eastAsia"/>
          <w:rtl/>
        </w:rPr>
        <w:t>ו</w:t>
      </w:r>
      <w:r w:rsidRPr="005E17DC">
        <w:rPr>
          <w:rtl/>
        </w:rPr>
        <w:t xml:space="preserve"> </w:t>
      </w:r>
      <w:r w:rsidRPr="005E17DC">
        <w:rPr>
          <w:rFonts w:hint="eastAsia"/>
          <w:rtl/>
        </w:rPr>
        <w:t>בשנת</w:t>
      </w:r>
      <w:r w:rsidRPr="005E17DC">
        <w:rPr>
          <w:rtl/>
        </w:rPr>
        <w:t xml:space="preserve"> 2018 </w:t>
      </w:r>
      <w:r w:rsidRPr="005E17DC">
        <w:rPr>
          <w:rFonts w:hint="eastAsia"/>
          <w:rtl/>
        </w:rPr>
        <w:t>כ</w:t>
      </w:r>
      <w:r w:rsidRPr="005E17DC">
        <w:rPr>
          <w:rtl/>
        </w:rPr>
        <w:t xml:space="preserve">-13 </w:t>
      </w:r>
      <w:r w:rsidRPr="005E17DC">
        <w:rPr>
          <w:rFonts w:hint="eastAsia"/>
          <w:rtl/>
        </w:rPr>
        <w:t>מיליו</w:t>
      </w:r>
      <w:r w:rsidRPr="005E17DC">
        <w:rPr>
          <w:rFonts w:hint="cs"/>
          <w:rtl/>
        </w:rPr>
        <w:t>ן</w:t>
      </w:r>
      <w:r w:rsidRPr="005E17DC">
        <w:rPr>
          <w:rtl/>
        </w:rPr>
        <w:t xml:space="preserve"> </w:t>
      </w:r>
      <w:r w:rsidRPr="005E17DC">
        <w:rPr>
          <w:rFonts w:hint="eastAsia"/>
          <w:rtl/>
        </w:rPr>
        <w:t>ש</w:t>
      </w:r>
      <w:r w:rsidRPr="005E17DC">
        <w:rPr>
          <w:rtl/>
        </w:rPr>
        <w:t>"ח</w:t>
      </w:r>
      <w:r w:rsidRPr="005E17DC">
        <w:rPr>
          <w:rFonts w:hint="cs"/>
          <w:rtl/>
        </w:rPr>
        <w:t>,</w:t>
      </w:r>
      <w:r w:rsidRPr="005E17DC">
        <w:rPr>
          <w:rtl/>
        </w:rPr>
        <w:t xml:space="preserve"> </w:t>
      </w:r>
      <w:r w:rsidRPr="005E17DC">
        <w:rPr>
          <w:rFonts w:hint="eastAsia"/>
          <w:rtl/>
        </w:rPr>
        <w:t>לעומת</w:t>
      </w:r>
      <w:r w:rsidRPr="005E17DC">
        <w:rPr>
          <w:rtl/>
        </w:rPr>
        <w:t xml:space="preserve"> </w:t>
      </w:r>
      <w:r w:rsidRPr="005E17DC">
        <w:rPr>
          <w:rFonts w:hint="eastAsia"/>
          <w:rtl/>
        </w:rPr>
        <w:t>כ</w:t>
      </w:r>
      <w:r w:rsidRPr="005E17DC">
        <w:rPr>
          <w:rtl/>
        </w:rPr>
        <w:t xml:space="preserve">-7 </w:t>
      </w:r>
      <w:r w:rsidRPr="005E17DC">
        <w:rPr>
          <w:rFonts w:hint="eastAsia"/>
          <w:rtl/>
        </w:rPr>
        <w:t>מיליו</w:t>
      </w:r>
      <w:r w:rsidRPr="005E17DC">
        <w:rPr>
          <w:rFonts w:hint="cs"/>
          <w:rtl/>
        </w:rPr>
        <w:t>ן</w:t>
      </w:r>
      <w:r w:rsidRPr="005E17DC">
        <w:rPr>
          <w:rtl/>
        </w:rPr>
        <w:t xml:space="preserve"> </w:t>
      </w:r>
      <w:r w:rsidRPr="005E17DC">
        <w:rPr>
          <w:rFonts w:hint="eastAsia"/>
          <w:rtl/>
        </w:rPr>
        <w:t>ש</w:t>
      </w:r>
      <w:r w:rsidRPr="005E17DC">
        <w:rPr>
          <w:rtl/>
        </w:rPr>
        <w:t xml:space="preserve">"ח </w:t>
      </w:r>
      <w:r w:rsidRPr="005E17DC">
        <w:rPr>
          <w:rFonts w:hint="eastAsia"/>
          <w:rtl/>
        </w:rPr>
        <w:t>בשנת</w:t>
      </w:r>
      <w:r w:rsidRPr="005E17DC">
        <w:rPr>
          <w:rtl/>
        </w:rPr>
        <w:t xml:space="preserve"> 2014 - </w:t>
      </w:r>
      <w:r w:rsidRPr="005E17DC">
        <w:rPr>
          <w:rFonts w:hint="eastAsia"/>
          <w:rtl/>
        </w:rPr>
        <w:t>גידול</w:t>
      </w:r>
      <w:r w:rsidRPr="005E17DC">
        <w:rPr>
          <w:rtl/>
        </w:rPr>
        <w:t xml:space="preserve"> </w:t>
      </w:r>
      <w:r w:rsidRPr="005E17DC">
        <w:rPr>
          <w:rFonts w:hint="eastAsia"/>
          <w:rtl/>
        </w:rPr>
        <w:t>של</w:t>
      </w:r>
      <w:r w:rsidRPr="005E17DC">
        <w:rPr>
          <w:rtl/>
        </w:rPr>
        <w:t xml:space="preserve"> 86% </w:t>
      </w:r>
      <w:r w:rsidRPr="005E17DC">
        <w:rPr>
          <w:rFonts w:hint="eastAsia"/>
          <w:rtl/>
        </w:rPr>
        <w:t>בהוצאה</w:t>
      </w:r>
      <w:r w:rsidRPr="005E17DC">
        <w:rPr>
          <w:rtl/>
        </w:rPr>
        <w:t xml:space="preserve"> </w:t>
      </w:r>
      <w:r w:rsidRPr="005E17DC">
        <w:rPr>
          <w:rFonts w:hint="eastAsia"/>
          <w:rtl/>
        </w:rPr>
        <w:t>על</w:t>
      </w:r>
      <w:r w:rsidRPr="005E17DC">
        <w:rPr>
          <w:rtl/>
        </w:rPr>
        <w:t xml:space="preserve"> </w:t>
      </w:r>
      <w:r w:rsidRPr="005E17DC">
        <w:rPr>
          <w:rFonts w:hint="eastAsia"/>
          <w:rtl/>
        </w:rPr>
        <w:t>שעות</w:t>
      </w:r>
      <w:r w:rsidRPr="005E17DC">
        <w:rPr>
          <w:rtl/>
        </w:rPr>
        <w:t xml:space="preserve"> </w:t>
      </w:r>
      <w:r w:rsidRPr="005E17DC">
        <w:rPr>
          <w:rFonts w:hint="eastAsia"/>
          <w:rtl/>
        </w:rPr>
        <w:t>נוספות</w:t>
      </w:r>
      <w:r w:rsidRPr="005E17DC">
        <w:rPr>
          <w:rtl/>
        </w:rPr>
        <w:t xml:space="preserve"> </w:t>
      </w:r>
      <w:r w:rsidRPr="005E17DC">
        <w:rPr>
          <w:rFonts w:hint="eastAsia"/>
          <w:rtl/>
        </w:rPr>
        <w:t>ב</w:t>
      </w:r>
      <w:r w:rsidRPr="005E17DC">
        <w:rPr>
          <w:rFonts w:hint="cs"/>
          <w:rtl/>
        </w:rPr>
        <w:t>ארבע</w:t>
      </w:r>
      <w:r w:rsidRPr="005E17DC">
        <w:rPr>
          <w:rtl/>
        </w:rPr>
        <w:t xml:space="preserve"> </w:t>
      </w:r>
      <w:r w:rsidRPr="005E17DC">
        <w:rPr>
          <w:rFonts w:hint="eastAsia"/>
          <w:rtl/>
        </w:rPr>
        <w:t>שנים</w:t>
      </w:r>
      <w:r w:rsidRPr="005E17DC">
        <w:rPr>
          <w:rFonts w:hint="cs"/>
          <w:rtl/>
        </w:rPr>
        <w:t>. באותה תקופה גדלו ההוצאות על השכר ה</w:t>
      </w:r>
      <w:r w:rsidRPr="005E17DC">
        <w:rPr>
          <w:rFonts w:hint="eastAsia"/>
          <w:rtl/>
        </w:rPr>
        <w:t>משולב</w:t>
      </w:r>
      <w:r>
        <w:rPr>
          <w:vertAlign w:val="superscript"/>
          <w:rtl/>
        </w:rPr>
        <w:footnoteReference w:id="47"/>
      </w:r>
      <w:r w:rsidRPr="005E17DC">
        <w:rPr>
          <w:rFonts w:hint="cs"/>
          <w:rtl/>
        </w:rPr>
        <w:t xml:space="preserve"> ב</w:t>
      </w:r>
      <w:r w:rsidRPr="005E17DC">
        <w:rPr>
          <w:rtl/>
        </w:rPr>
        <w:t>-42%, מ-72 מיליו</w:t>
      </w:r>
      <w:r w:rsidRPr="005E17DC">
        <w:rPr>
          <w:rFonts w:hint="cs"/>
          <w:rtl/>
        </w:rPr>
        <w:t>ן</w:t>
      </w:r>
      <w:r w:rsidRPr="005E17DC">
        <w:rPr>
          <w:rtl/>
        </w:rPr>
        <w:t xml:space="preserve"> ש"ח</w:t>
      </w:r>
      <w:r w:rsidRPr="005E17DC">
        <w:rPr>
          <w:rFonts w:hint="cs"/>
          <w:rtl/>
        </w:rPr>
        <w:t xml:space="preserve"> בערך</w:t>
      </w:r>
      <w:r w:rsidRPr="005E17DC">
        <w:rPr>
          <w:rtl/>
        </w:rPr>
        <w:t xml:space="preserve"> בשנת 2014 ל-102 מיליו</w:t>
      </w:r>
      <w:r w:rsidRPr="005E17DC">
        <w:rPr>
          <w:rFonts w:hint="eastAsia"/>
          <w:rtl/>
        </w:rPr>
        <w:t>ן</w:t>
      </w:r>
      <w:r w:rsidRPr="005E17DC">
        <w:rPr>
          <w:rtl/>
        </w:rPr>
        <w:t xml:space="preserve"> </w:t>
      </w:r>
      <w:r w:rsidRPr="005E17DC">
        <w:rPr>
          <w:rFonts w:hint="eastAsia"/>
          <w:rtl/>
        </w:rPr>
        <w:t>ש</w:t>
      </w:r>
      <w:r w:rsidRPr="005E17DC">
        <w:rPr>
          <w:rtl/>
        </w:rPr>
        <w:t>"ח</w:t>
      </w:r>
      <w:r w:rsidRPr="005E17DC">
        <w:rPr>
          <w:rFonts w:hint="cs"/>
          <w:rtl/>
        </w:rPr>
        <w:t xml:space="preserve"> בקירוב</w:t>
      </w:r>
      <w:r w:rsidRPr="005E17DC">
        <w:rPr>
          <w:rtl/>
        </w:rPr>
        <w:t xml:space="preserve"> בשנת 2018</w:t>
      </w:r>
      <w:r w:rsidRPr="005E17DC">
        <w:rPr>
          <w:rFonts w:hint="cs"/>
          <w:rtl/>
        </w:rPr>
        <w:t>.</w:t>
      </w:r>
      <w:r w:rsidRPr="005E17DC">
        <w:rPr>
          <w:rtl/>
        </w:rPr>
        <w:t xml:space="preserve"> </w:t>
      </w:r>
      <w:r w:rsidRPr="005E17DC">
        <w:rPr>
          <w:rFonts w:hint="eastAsia"/>
          <w:rtl/>
        </w:rPr>
        <w:t>הפערים</w:t>
      </w:r>
      <w:r w:rsidRPr="005E17DC">
        <w:rPr>
          <w:rtl/>
        </w:rPr>
        <w:t xml:space="preserve"> השנתיים בשיעורי </w:t>
      </w:r>
      <w:r w:rsidRPr="005E17DC">
        <w:rPr>
          <w:rFonts w:hint="eastAsia"/>
          <w:rtl/>
        </w:rPr>
        <w:t>העלייה</w:t>
      </w:r>
      <w:r w:rsidRPr="005E17DC">
        <w:rPr>
          <w:rtl/>
        </w:rPr>
        <w:t xml:space="preserve"> מוצג</w:t>
      </w:r>
      <w:r w:rsidRPr="005E17DC">
        <w:rPr>
          <w:rFonts w:hint="eastAsia"/>
          <w:rtl/>
        </w:rPr>
        <w:t>ים</w:t>
      </w:r>
      <w:r w:rsidRPr="005E17DC">
        <w:rPr>
          <w:rtl/>
        </w:rPr>
        <w:t xml:space="preserve"> בתרשים שלהלן</w:t>
      </w:r>
      <w:r w:rsidRPr="005E17DC">
        <w:rPr>
          <w:rFonts w:hint="cs"/>
          <w:rtl/>
        </w:rPr>
        <w:t>.</w:t>
      </w:r>
    </w:p>
    <w:p w:rsidR="005E17DC" w:rsidRPr="005E17DC" w:rsidP="00385106">
      <w:pPr>
        <w:spacing w:line="269" w:lineRule="auto"/>
        <w:ind w:left="-567"/>
        <w:rPr>
          <w:szCs w:val="20"/>
          <w:rtl/>
        </w:rPr>
      </w:pPr>
    </w:p>
    <w:p w:rsidR="005E17DC" w:rsidRPr="005E17DC" w:rsidP="000E5918">
      <w:pPr>
        <w:spacing w:after="120" w:line="269" w:lineRule="auto"/>
        <w:jc w:val="center"/>
        <w:rPr>
          <w:b/>
          <w:bCs/>
          <w:rtl/>
        </w:rPr>
      </w:pPr>
      <w:r w:rsidRPr="005E17DC">
        <w:rPr>
          <w:rFonts w:hint="eastAsia"/>
          <w:b/>
          <w:bCs/>
          <w:rtl/>
        </w:rPr>
        <w:t>תרשים</w:t>
      </w:r>
      <w:r w:rsidRPr="005E17DC">
        <w:rPr>
          <w:b/>
          <w:bCs/>
          <w:rtl/>
        </w:rPr>
        <w:t xml:space="preserve"> 1</w:t>
      </w:r>
      <w:r w:rsidRPr="005E17DC">
        <w:rPr>
          <w:rFonts w:hint="cs"/>
          <w:b/>
          <w:bCs/>
          <w:rtl/>
        </w:rPr>
        <w:t>5:</w:t>
      </w:r>
      <w:r w:rsidRPr="005E17DC">
        <w:rPr>
          <w:b/>
          <w:bCs/>
          <w:rtl/>
        </w:rPr>
        <w:t xml:space="preserve"> </w:t>
      </w:r>
      <w:r w:rsidRPr="005E17DC">
        <w:rPr>
          <w:rFonts w:hint="eastAsia"/>
          <w:b/>
          <w:bCs/>
          <w:rtl/>
        </w:rPr>
        <w:t>שיעור</w:t>
      </w:r>
      <w:r w:rsidRPr="005E17DC">
        <w:rPr>
          <w:b/>
          <w:bCs/>
          <w:rtl/>
        </w:rPr>
        <w:t xml:space="preserve"> </w:t>
      </w:r>
      <w:r w:rsidRPr="005E17DC">
        <w:rPr>
          <w:rFonts w:hint="eastAsia"/>
          <w:b/>
          <w:bCs/>
          <w:rtl/>
        </w:rPr>
        <w:t>העלייה</w:t>
      </w:r>
      <w:r w:rsidRPr="005E17DC">
        <w:rPr>
          <w:b/>
          <w:bCs/>
          <w:rtl/>
        </w:rPr>
        <w:t xml:space="preserve"> </w:t>
      </w:r>
      <w:r w:rsidRPr="005E17DC">
        <w:rPr>
          <w:rFonts w:hint="eastAsia"/>
          <w:b/>
          <w:bCs/>
          <w:rtl/>
        </w:rPr>
        <w:t>השנתית</w:t>
      </w:r>
      <w:r w:rsidRPr="005E17DC">
        <w:rPr>
          <w:b/>
          <w:bCs/>
          <w:rtl/>
        </w:rPr>
        <w:t xml:space="preserve"> </w:t>
      </w:r>
      <w:r w:rsidRPr="005E17DC">
        <w:rPr>
          <w:rFonts w:hint="eastAsia"/>
          <w:b/>
          <w:bCs/>
          <w:rtl/>
        </w:rPr>
        <w:t>של</w:t>
      </w:r>
      <w:r w:rsidRPr="005E17DC">
        <w:rPr>
          <w:b/>
          <w:bCs/>
          <w:rtl/>
        </w:rPr>
        <w:t xml:space="preserve"> </w:t>
      </w:r>
      <w:r w:rsidRPr="005E17DC">
        <w:rPr>
          <w:rFonts w:hint="eastAsia"/>
          <w:b/>
          <w:bCs/>
          <w:rtl/>
        </w:rPr>
        <w:t>הוצאות</w:t>
      </w:r>
      <w:r w:rsidRPr="005E17DC">
        <w:rPr>
          <w:b/>
          <w:bCs/>
          <w:rtl/>
        </w:rPr>
        <w:t xml:space="preserve"> </w:t>
      </w:r>
      <w:r w:rsidRPr="005E17DC">
        <w:rPr>
          <w:rFonts w:hint="eastAsia"/>
          <w:b/>
          <w:bCs/>
          <w:rtl/>
        </w:rPr>
        <w:t>העירייה</w:t>
      </w:r>
      <w:r w:rsidRPr="005E17DC">
        <w:rPr>
          <w:b/>
          <w:bCs/>
          <w:rtl/>
        </w:rPr>
        <w:t xml:space="preserve"> </w:t>
      </w:r>
      <w:r w:rsidRPr="005E17DC">
        <w:rPr>
          <w:rFonts w:hint="eastAsia"/>
          <w:b/>
          <w:bCs/>
          <w:rtl/>
        </w:rPr>
        <w:t>על</w:t>
      </w:r>
      <w:r w:rsidRPr="005E17DC">
        <w:rPr>
          <w:b/>
          <w:bCs/>
          <w:rtl/>
        </w:rPr>
        <w:t xml:space="preserve"> </w:t>
      </w:r>
      <w:r w:rsidRPr="005E17DC">
        <w:rPr>
          <w:rFonts w:hint="eastAsia"/>
          <w:b/>
          <w:bCs/>
          <w:rtl/>
        </w:rPr>
        <w:t>שעות</w:t>
      </w:r>
      <w:r w:rsidRPr="005E17DC">
        <w:rPr>
          <w:b/>
          <w:bCs/>
          <w:rtl/>
        </w:rPr>
        <w:t xml:space="preserve"> </w:t>
      </w:r>
      <w:r w:rsidRPr="005E17DC">
        <w:rPr>
          <w:rFonts w:hint="eastAsia"/>
          <w:b/>
          <w:bCs/>
          <w:rtl/>
        </w:rPr>
        <w:t>נוספות</w:t>
      </w:r>
      <w:r w:rsidRPr="005E17DC">
        <w:rPr>
          <w:b/>
          <w:bCs/>
          <w:rtl/>
        </w:rPr>
        <w:t xml:space="preserve"> </w:t>
      </w:r>
      <w:r w:rsidRPr="005E17DC">
        <w:rPr>
          <w:rFonts w:hint="eastAsia"/>
          <w:b/>
          <w:bCs/>
          <w:rtl/>
        </w:rPr>
        <w:t>ועל</w:t>
      </w:r>
      <w:r w:rsidRPr="005E17DC">
        <w:rPr>
          <w:b/>
          <w:bCs/>
          <w:rtl/>
        </w:rPr>
        <w:t xml:space="preserve"> </w:t>
      </w:r>
      <w:r w:rsidRPr="005E17DC">
        <w:rPr>
          <w:rFonts w:hint="eastAsia"/>
          <w:b/>
          <w:bCs/>
          <w:rtl/>
        </w:rPr>
        <w:t>שכר</w:t>
      </w:r>
      <w:r w:rsidRPr="005E17DC">
        <w:rPr>
          <w:b/>
          <w:bCs/>
          <w:rtl/>
        </w:rPr>
        <w:t xml:space="preserve"> </w:t>
      </w:r>
      <w:r w:rsidRPr="005E17DC">
        <w:rPr>
          <w:rFonts w:hint="eastAsia"/>
          <w:b/>
          <w:bCs/>
          <w:rtl/>
        </w:rPr>
        <w:t>משולב</w:t>
      </w:r>
      <w:r w:rsidRPr="005E17DC">
        <w:rPr>
          <w:b/>
          <w:bCs/>
          <w:rtl/>
        </w:rPr>
        <w:t>, 201</w:t>
      </w:r>
      <w:r w:rsidRPr="005E17DC">
        <w:rPr>
          <w:rFonts w:hint="cs"/>
          <w:b/>
          <w:bCs/>
          <w:rtl/>
        </w:rPr>
        <w:t xml:space="preserve">5 </w:t>
      </w:r>
      <w:r w:rsidRPr="005E17DC">
        <w:rPr>
          <w:b/>
          <w:bCs/>
          <w:rtl/>
        </w:rPr>
        <w:t>-</w:t>
      </w:r>
      <w:r w:rsidRPr="005E17DC">
        <w:rPr>
          <w:rFonts w:hint="cs"/>
          <w:b/>
          <w:bCs/>
          <w:rtl/>
        </w:rPr>
        <w:t xml:space="preserve"> </w:t>
      </w:r>
      <w:r w:rsidRPr="005E17DC">
        <w:rPr>
          <w:b/>
          <w:bCs/>
          <w:rtl/>
        </w:rPr>
        <w:t>201</w:t>
      </w:r>
      <w:r w:rsidRPr="005E17DC">
        <w:rPr>
          <w:rFonts w:hint="cs"/>
          <w:b/>
          <w:bCs/>
          <w:rtl/>
        </w:rPr>
        <w:t>8</w:t>
      </w:r>
    </w:p>
    <w:p w:rsidR="005E17DC" w:rsidRPr="005E17DC" w:rsidP="00385106">
      <w:pPr>
        <w:spacing w:line="269" w:lineRule="auto"/>
        <w:jc w:val="center"/>
        <w:rPr>
          <w:rtl/>
        </w:rPr>
      </w:pPr>
      <w:r w:rsidRPr="005E17DC">
        <w:rPr>
          <w:noProof/>
        </w:rPr>
        <w:drawing>
          <wp:inline distT="0" distB="0" distL="0" distR="0">
            <wp:extent cx="5158712" cy="2743200"/>
            <wp:effectExtent l="0" t="0" r="4445" b="0"/>
            <wp:docPr id="13" name="תרשים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E17DC" w:rsidRPr="005E17DC" w:rsidP="000E5918">
      <w:pPr>
        <w:spacing w:before="120" w:line="269" w:lineRule="auto"/>
        <w:rPr>
          <w:sz w:val="22"/>
          <w:szCs w:val="22"/>
          <w:rtl/>
        </w:rPr>
      </w:pPr>
      <w:r w:rsidRPr="005E17DC">
        <w:rPr>
          <w:rFonts w:hint="cs"/>
          <w:sz w:val="22"/>
          <w:szCs w:val="22"/>
          <w:rtl/>
        </w:rPr>
        <w:t>על פי נתוני</w:t>
      </w:r>
      <w:r w:rsidRPr="005E17DC">
        <w:rPr>
          <w:sz w:val="22"/>
          <w:szCs w:val="22"/>
          <w:rtl/>
        </w:rPr>
        <w:t xml:space="preserve"> </w:t>
      </w:r>
      <w:r w:rsidRPr="005E17DC">
        <w:rPr>
          <w:rFonts w:hint="cs"/>
          <w:sz w:val="22"/>
          <w:szCs w:val="22"/>
          <w:rtl/>
        </w:rPr>
        <w:t>ה</w:t>
      </w:r>
      <w:r w:rsidRPr="005E17DC">
        <w:rPr>
          <w:sz w:val="22"/>
          <w:szCs w:val="22"/>
          <w:rtl/>
        </w:rPr>
        <w:t xml:space="preserve">דוחות </w:t>
      </w:r>
      <w:r w:rsidRPr="005E17DC">
        <w:rPr>
          <w:rFonts w:hint="cs"/>
          <w:sz w:val="22"/>
          <w:szCs w:val="22"/>
          <w:rtl/>
        </w:rPr>
        <w:t>ה</w:t>
      </w:r>
      <w:r w:rsidRPr="005E17DC">
        <w:rPr>
          <w:sz w:val="22"/>
          <w:szCs w:val="22"/>
          <w:rtl/>
        </w:rPr>
        <w:t xml:space="preserve">כספיים </w:t>
      </w:r>
      <w:r w:rsidRPr="005E17DC">
        <w:rPr>
          <w:rFonts w:hint="cs"/>
          <w:sz w:val="22"/>
          <w:szCs w:val="22"/>
          <w:rtl/>
        </w:rPr>
        <w:t>ה</w:t>
      </w:r>
      <w:r w:rsidRPr="005E17DC">
        <w:rPr>
          <w:sz w:val="22"/>
          <w:szCs w:val="22"/>
          <w:rtl/>
        </w:rPr>
        <w:t>מבוקרים של עיריית רמלה</w:t>
      </w:r>
      <w:r w:rsidRPr="005E17DC">
        <w:rPr>
          <w:rFonts w:hint="cs"/>
          <w:sz w:val="22"/>
          <w:szCs w:val="22"/>
          <w:rtl/>
        </w:rPr>
        <w:t>,</w:t>
      </w:r>
      <w:r w:rsidRPr="005E17DC">
        <w:rPr>
          <w:sz w:val="22"/>
          <w:szCs w:val="22"/>
          <w:rtl/>
        </w:rPr>
        <w:t xml:space="preserve"> בעיבוד משרד מבקר המדינה. </w:t>
      </w:r>
    </w:p>
    <w:p w:rsidR="005E17DC" w:rsidRPr="005E17DC" w:rsidP="00385106">
      <w:pPr>
        <w:spacing w:line="269" w:lineRule="auto"/>
        <w:ind w:left="-567"/>
        <w:rPr>
          <w:szCs w:val="20"/>
          <w:rtl/>
        </w:rPr>
      </w:pPr>
    </w:p>
    <w:p w:rsidR="005E17DC" w:rsidRPr="005E17DC" w:rsidP="00385106">
      <w:pPr>
        <w:spacing w:line="269" w:lineRule="auto"/>
        <w:rPr>
          <w:b/>
          <w:bCs/>
          <w:rtl/>
        </w:rPr>
      </w:pPr>
      <w:r w:rsidRPr="005E17DC">
        <w:rPr>
          <w:rFonts w:hint="eastAsia"/>
          <w:b/>
          <w:bCs/>
          <w:rtl/>
        </w:rPr>
        <w:t>מהתרשים</w:t>
      </w:r>
      <w:r w:rsidRPr="005E17DC">
        <w:rPr>
          <w:b/>
          <w:bCs/>
          <w:rtl/>
        </w:rPr>
        <w:t xml:space="preserve"> ניתן לראות כי </w:t>
      </w:r>
      <w:r w:rsidRPr="005E17DC">
        <w:rPr>
          <w:rFonts w:hint="eastAsia"/>
          <w:b/>
          <w:bCs/>
          <w:rtl/>
        </w:rPr>
        <w:t>יש</w:t>
      </w:r>
      <w:r w:rsidRPr="005E17DC">
        <w:rPr>
          <w:rFonts w:hint="cs"/>
          <w:b/>
          <w:bCs/>
          <w:rtl/>
        </w:rPr>
        <w:t xml:space="preserve"> </w:t>
      </w:r>
      <w:r w:rsidRPr="005E17DC">
        <w:rPr>
          <w:b/>
          <w:bCs/>
          <w:rtl/>
        </w:rPr>
        <w:t xml:space="preserve">פערים גדולים </w:t>
      </w:r>
      <w:r w:rsidRPr="005E17DC">
        <w:rPr>
          <w:rFonts w:hint="eastAsia"/>
          <w:b/>
          <w:bCs/>
          <w:rtl/>
        </w:rPr>
        <w:t>בין</w:t>
      </w:r>
      <w:r w:rsidRPr="005E17DC">
        <w:rPr>
          <w:b/>
          <w:bCs/>
          <w:rtl/>
        </w:rPr>
        <w:t xml:space="preserve"> </w:t>
      </w:r>
      <w:r w:rsidRPr="005E17DC">
        <w:rPr>
          <w:rFonts w:hint="eastAsia"/>
          <w:b/>
          <w:bCs/>
          <w:rtl/>
        </w:rPr>
        <w:t>עליית</w:t>
      </w:r>
      <w:r w:rsidRPr="005E17DC">
        <w:rPr>
          <w:b/>
          <w:bCs/>
          <w:rtl/>
        </w:rPr>
        <w:t xml:space="preserve"> </w:t>
      </w:r>
      <w:r w:rsidRPr="005E17DC">
        <w:rPr>
          <w:rFonts w:hint="eastAsia"/>
          <w:b/>
          <w:bCs/>
          <w:rtl/>
        </w:rPr>
        <w:t>ה</w:t>
      </w:r>
      <w:r w:rsidRPr="005E17DC">
        <w:rPr>
          <w:b/>
          <w:bCs/>
          <w:rtl/>
        </w:rPr>
        <w:t xml:space="preserve">הוצאות על שעות נוספות </w:t>
      </w:r>
      <w:r w:rsidRPr="005E17DC">
        <w:rPr>
          <w:rFonts w:hint="eastAsia"/>
          <w:b/>
          <w:bCs/>
          <w:rtl/>
        </w:rPr>
        <w:t>ו</w:t>
      </w:r>
      <w:r w:rsidRPr="005E17DC">
        <w:rPr>
          <w:b/>
          <w:bCs/>
          <w:rtl/>
        </w:rPr>
        <w:t xml:space="preserve">בין </w:t>
      </w:r>
      <w:r w:rsidRPr="005E17DC">
        <w:rPr>
          <w:rFonts w:hint="eastAsia"/>
          <w:b/>
          <w:bCs/>
          <w:rtl/>
        </w:rPr>
        <w:t>עליית</w:t>
      </w:r>
      <w:r w:rsidRPr="005E17DC">
        <w:rPr>
          <w:b/>
          <w:bCs/>
          <w:rtl/>
        </w:rPr>
        <w:t xml:space="preserve"> </w:t>
      </w:r>
      <w:r w:rsidRPr="005E17DC">
        <w:rPr>
          <w:rFonts w:hint="eastAsia"/>
          <w:b/>
          <w:bCs/>
          <w:rtl/>
        </w:rPr>
        <w:t>ה</w:t>
      </w:r>
      <w:r w:rsidRPr="005E17DC">
        <w:rPr>
          <w:b/>
          <w:bCs/>
          <w:rtl/>
        </w:rPr>
        <w:t xml:space="preserve">הוצאות על השכר המשולב, בעיקר בשנים 2017 ו-2018: שיעור </w:t>
      </w:r>
      <w:r w:rsidRPr="005E17DC">
        <w:rPr>
          <w:rFonts w:hint="eastAsia"/>
          <w:b/>
          <w:bCs/>
          <w:rtl/>
        </w:rPr>
        <w:t>עליית</w:t>
      </w:r>
      <w:r w:rsidRPr="005E17DC">
        <w:rPr>
          <w:b/>
          <w:bCs/>
          <w:rtl/>
        </w:rPr>
        <w:t xml:space="preserve"> </w:t>
      </w:r>
      <w:r w:rsidRPr="005E17DC">
        <w:rPr>
          <w:rFonts w:hint="eastAsia"/>
          <w:b/>
          <w:bCs/>
          <w:rtl/>
        </w:rPr>
        <w:t>ההוצאה</w:t>
      </w:r>
      <w:r w:rsidRPr="005E17DC">
        <w:rPr>
          <w:b/>
          <w:bCs/>
          <w:rtl/>
        </w:rPr>
        <w:t xml:space="preserve"> על שעות </w:t>
      </w:r>
      <w:r w:rsidRPr="005E17DC">
        <w:rPr>
          <w:b/>
          <w:bCs/>
          <w:rtl/>
        </w:rPr>
        <w:t xml:space="preserve">נוספות בהן היה 29% </w:t>
      </w:r>
      <w:r w:rsidRPr="005E17DC">
        <w:rPr>
          <w:rFonts w:hint="eastAsia"/>
          <w:b/>
          <w:bCs/>
          <w:rtl/>
        </w:rPr>
        <w:t>בזו</w:t>
      </w:r>
      <w:r w:rsidRPr="005E17DC">
        <w:rPr>
          <w:b/>
          <w:bCs/>
          <w:rtl/>
        </w:rPr>
        <w:t xml:space="preserve"> ו-26% ב</w:t>
      </w:r>
      <w:r w:rsidRPr="005E17DC">
        <w:rPr>
          <w:rFonts w:hint="eastAsia"/>
          <w:b/>
          <w:bCs/>
          <w:rtl/>
        </w:rPr>
        <w:t>זו</w:t>
      </w:r>
      <w:r w:rsidRPr="005E17DC">
        <w:rPr>
          <w:b/>
          <w:bCs/>
          <w:rtl/>
        </w:rPr>
        <w:t xml:space="preserve">, לעומת 11% ו-9% </w:t>
      </w:r>
      <w:r w:rsidRPr="005E17DC">
        <w:rPr>
          <w:rFonts w:hint="eastAsia"/>
          <w:b/>
          <w:bCs/>
          <w:rtl/>
        </w:rPr>
        <w:t>עלייה</w:t>
      </w:r>
      <w:r w:rsidRPr="005E17DC">
        <w:rPr>
          <w:b/>
          <w:bCs/>
          <w:rtl/>
        </w:rPr>
        <w:t xml:space="preserve"> בהוצאות על השכר המשולב. השוואה זו </w:t>
      </w:r>
      <w:r w:rsidRPr="005E17DC">
        <w:rPr>
          <w:rFonts w:hint="eastAsia"/>
          <w:b/>
          <w:bCs/>
          <w:rtl/>
        </w:rPr>
        <w:t>ממחישה</w:t>
      </w:r>
      <w:r w:rsidRPr="005E17DC">
        <w:rPr>
          <w:b/>
          <w:bCs/>
          <w:rtl/>
        </w:rPr>
        <w:t xml:space="preserve"> את </w:t>
      </w:r>
      <w:r w:rsidRPr="005E17DC">
        <w:rPr>
          <w:rFonts w:hint="eastAsia"/>
          <w:b/>
          <w:bCs/>
          <w:rtl/>
        </w:rPr>
        <w:t>העלייה</w:t>
      </w:r>
      <w:r w:rsidRPr="005E17DC">
        <w:rPr>
          <w:b/>
          <w:bCs/>
          <w:rtl/>
        </w:rPr>
        <w:t xml:space="preserve"> </w:t>
      </w:r>
      <w:r w:rsidRPr="005E17DC">
        <w:rPr>
          <w:rFonts w:hint="eastAsia"/>
          <w:b/>
          <w:bCs/>
          <w:rtl/>
        </w:rPr>
        <w:t>הריאלית</w:t>
      </w:r>
      <w:r w:rsidRPr="005E17DC">
        <w:rPr>
          <w:b/>
          <w:bCs/>
          <w:rtl/>
        </w:rPr>
        <w:t xml:space="preserve"> </w:t>
      </w:r>
      <w:r w:rsidRPr="005E17DC">
        <w:rPr>
          <w:rFonts w:hint="eastAsia"/>
          <w:b/>
          <w:bCs/>
          <w:rtl/>
        </w:rPr>
        <w:t>בהוצאה</w:t>
      </w:r>
      <w:r w:rsidRPr="005E17DC">
        <w:rPr>
          <w:b/>
          <w:bCs/>
          <w:rtl/>
        </w:rPr>
        <w:t xml:space="preserve"> </w:t>
      </w:r>
      <w:r w:rsidRPr="005E17DC">
        <w:rPr>
          <w:rFonts w:hint="eastAsia"/>
          <w:b/>
          <w:bCs/>
          <w:rtl/>
        </w:rPr>
        <w:t>על</w:t>
      </w:r>
      <w:r w:rsidRPr="005E17DC">
        <w:rPr>
          <w:b/>
          <w:bCs/>
          <w:rtl/>
        </w:rPr>
        <w:t xml:space="preserve"> </w:t>
      </w:r>
      <w:r w:rsidRPr="005E17DC">
        <w:rPr>
          <w:rFonts w:hint="eastAsia"/>
          <w:b/>
          <w:bCs/>
          <w:rtl/>
        </w:rPr>
        <w:t>שעות</w:t>
      </w:r>
      <w:r w:rsidRPr="005E17DC">
        <w:rPr>
          <w:b/>
          <w:bCs/>
          <w:rtl/>
        </w:rPr>
        <w:t xml:space="preserve"> </w:t>
      </w:r>
      <w:r w:rsidRPr="005E17DC">
        <w:rPr>
          <w:rFonts w:hint="eastAsia"/>
          <w:b/>
          <w:bCs/>
          <w:rtl/>
        </w:rPr>
        <w:t>נוספות</w:t>
      </w:r>
      <w:r w:rsidRPr="005E17DC">
        <w:rPr>
          <w:b/>
          <w:bCs/>
          <w:rtl/>
        </w:rPr>
        <w:t xml:space="preserve"> </w:t>
      </w:r>
      <w:r w:rsidRPr="005E17DC">
        <w:rPr>
          <w:rFonts w:hint="eastAsia"/>
          <w:b/>
          <w:bCs/>
          <w:rtl/>
        </w:rPr>
        <w:t>בעיריית</w:t>
      </w:r>
      <w:r w:rsidRPr="005E17DC">
        <w:rPr>
          <w:b/>
          <w:bCs/>
          <w:rtl/>
        </w:rPr>
        <w:t xml:space="preserve"> </w:t>
      </w:r>
      <w:r w:rsidRPr="005E17DC">
        <w:rPr>
          <w:rFonts w:hint="eastAsia"/>
          <w:b/>
          <w:bCs/>
          <w:rtl/>
        </w:rPr>
        <w:t>רמלה</w:t>
      </w:r>
      <w:r w:rsidRPr="005E17DC">
        <w:rPr>
          <w:b/>
          <w:bCs/>
          <w:rtl/>
        </w:rPr>
        <w:t xml:space="preserve">, </w:t>
      </w:r>
      <w:r w:rsidRPr="005E17DC">
        <w:rPr>
          <w:rFonts w:hint="eastAsia"/>
          <w:b/>
          <w:bCs/>
          <w:rtl/>
        </w:rPr>
        <w:t>משום</w:t>
      </w:r>
      <w:r w:rsidRPr="005E17DC">
        <w:rPr>
          <w:b/>
          <w:bCs/>
          <w:rtl/>
        </w:rPr>
        <w:t xml:space="preserve"> </w:t>
      </w:r>
      <w:r w:rsidRPr="005E17DC">
        <w:rPr>
          <w:rFonts w:hint="eastAsia"/>
          <w:b/>
          <w:bCs/>
          <w:rtl/>
        </w:rPr>
        <w:t>שחלק</w:t>
      </w:r>
      <w:r w:rsidRPr="005E17DC">
        <w:rPr>
          <w:b/>
          <w:bCs/>
          <w:rtl/>
        </w:rPr>
        <w:t xml:space="preserve"> </w:t>
      </w:r>
      <w:r w:rsidRPr="005E17DC">
        <w:rPr>
          <w:rFonts w:hint="eastAsia"/>
          <w:b/>
          <w:bCs/>
          <w:rtl/>
        </w:rPr>
        <w:t>מהגידול</w:t>
      </w:r>
      <w:r w:rsidRPr="005E17DC">
        <w:rPr>
          <w:b/>
          <w:bCs/>
          <w:rtl/>
        </w:rPr>
        <w:t xml:space="preserve"> </w:t>
      </w:r>
      <w:r w:rsidRPr="005E17DC">
        <w:rPr>
          <w:rFonts w:hint="eastAsia"/>
          <w:b/>
          <w:bCs/>
          <w:rtl/>
        </w:rPr>
        <w:t>בהוצאה</w:t>
      </w:r>
      <w:r w:rsidRPr="005E17DC">
        <w:rPr>
          <w:b/>
          <w:bCs/>
          <w:rtl/>
        </w:rPr>
        <w:t xml:space="preserve"> </w:t>
      </w:r>
      <w:r w:rsidRPr="005E17DC">
        <w:rPr>
          <w:rFonts w:hint="eastAsia"/>
          <w:b/>
          <w:bCs/>
          <w:rtl/>
        </w:rPr>
        <w:t>על</w:t>
      </w:r>
      <w:r w:rsidRPr="005E17DC">
        <w:rPr>
          <w:b/>
          <w:bCs/>
          <w:rtl/>
        </w:rPr>
        <w:t xml:space="preserve"> </w:t>
      </w:r>
      <w:r w:rsidRPr="005E17DC">
        <w:rPr>
          <w:rFonts w:hint="eastAsia"/>
          <w:b/>
          <w:bCs/>
          <w:rtl/>
        </w:rPr>
        <w:t>שעות</w:t>
      </w:r>
      <w:r w:rsidRPr="005E17DC">
        <w:rPr>
          <w:b/>
          <w:bCs/>
          <w:rtl/>
        </w:rPr>
        <w:t xml:space="preserve"> </w:t>
      </w:r>
      <w:r w:rsidRPr="005E17DC">
        <w:rPr>
          <w:rFonts w:hint="eastAsia"/>
          <w:b/>
          <w:bCs/>
          <w:rtl/>
        </w:rPr>
        <w:t>נוספות</w:t>
      </w:r>
      <w:r w:rsidRPr="005E17DC">
        <w:rPr>
          <w:b/>
          <w:bCs/>
          <w:rtl/>
        </w:rPr>
        <w:t xml:space="preserve"> </w:t>
      </w:r>
      <w:r w:rsidRPr="005E17DC">
        <w:rPr>
          <w:rFonts w:hint="eastAsia"/>
          <w:b/>
          <w:bCs/>
          <w:rtl/>
        </w:rPr>
        <w:t>נובע</w:t>
      </w:r>
      <w:r w:rsidRPr="005E17DC">
        <w:rPr>
          <w:b/>
          <w:bCs/>
          <w:rtl/>
        </w:rPr>
        <w:t xml:space="preserve"> </w:t>
      </w:r>
      <w:r w:rsidRPr="005E17DC">
        <w:rPr>
          <w:rFonts w:hint="eastAsia"/>
          <w:b/>
          <w:bCs/>
          <w:rtl/>
        </w:rPr>
        <w:t>מהגידול</w:t>
      </w:r>
      <w:r w:rsidRPr="005E17DC">
        <w:rPr>
          <w:b/>
          <w:bCs/>
          <w:rtl/>
        </w:rPr>
        <w:t xml:space="preserve"> </w:t>
      </w:r>
      <w:r w:rsidRPr="005E17DC">
        <w:rPr>
          <w:rFonts w:hint="eastAsia"/>
          <w:b/>
          <w:bCs/>
          <w:rtl/>
        </w:rPr>
        <w:t>בשכר</w:t>
      </w:r>
      <w:r w:rsidRPr="005E17DC">
        <w:rPr>
          <w:b/>
          <w:bCs/>
          <w:rtl/>
        </w:rPr>
        <w:t xml:space="preserve"> </w:t>
      </w:r>
      <w:r w:rsidRPr="005E17DC">
        <w:rPr>
          <w:rFonts w:hint="eastAsia"/>
          <w:b/>
          <w:bCs/>
          <w:rtl/>
        </w:rPr>
        <w:t>המשולב</w:t>
      </w:r>
      <w:r w:rsidRPr="005E17DC">
        <w:rPr>
          <w:b/>
          <w:bCs/>
          <w:rtl/>
        </w:rPr>
        <w:t>.</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Fonts w:hint="cs"/>
          <w:rtl/>
        </w:rPr>
        <w:t>בתשובתה מסרה העירייה כי היא עושה מאמצים לצמצם את היקף השעות הנוספות והציגה נתונים ולפיהם בשנת 2019 הייתה עלות הוצאות השכר בגין שעות נוספות כ-4.5 מיליון ש"ח</w:t>
      </w:r>
      <w:r>
        <w:rPr>
          <w:vertAlign w:val="superscript"/>
          <w:rtl/>
        </w:rPr>
        <w:footnoteReference w:id="48"/>
      </w:r>
      <w:r w:rsidRPr="005E17DC">
        <w:rPr>
          <w:rFonts w:hint="cs"/>
          <w:rtl/>
        </w:rPr>
        <w:t xml:space="preserve">. </w:t>
      </w:r>
    </w:p>
    <w:p w:rsidR="005E17DC" w:rsidRPr="005E17DC" w:rsidP="00385106">
      <w:pPr>
        <w:spacing w:line="269" w:lineRule="auto"/>
        <w:ind w:left="-567"/>
        <w:rPr>
          <w:szCs w:val="20"/>
          <w:rtl/>
        </w:rPr>
      </w:pPr>
    </w:p>
    <w:p w:rsidR="005E17DC" w:rsidRPr="005E17DC" w:rsidP="00385106">
      <w:pPr>
        <w:spacing w:line="269" w:lineRule="auto"/>
        <w:rPr>
          <w:b/>
          <w:bCs/>
          <w:rtl/>
        </w:rPr>
      </w:pPr>
      <w:r w:rsidRPr="005E17DC">
        <w:rPr>
          <w:rFonts w:hint="cs"/>
          <w:b/>
          <w:bCs/>
          <w:rtl/>
        </w:rPr>
        <w:t>משרד מבקר המדינה ממליץ ל</w:t>
      </w:r>
      <w:r w:rsidRPr="005E17DC">
        <w:rPr>
          <w:rFonts w:hint="eastAsia"/>
          <w:b/>
          <w:bCs/>
          <w:rtl/>
        </w:rPr>
        <w:t>עיריית</w:t>
      </w:r>
      <w:r w:rsidRPr="005E17DC">
        <w:rPr>
          <w:b/>
          <w:bCs/>
          <w:rtl/>
        </w:rPr>
        <w:t xml:space="preserve"> </w:t>
      </w:r>
      <w:r w:rsidRPr="005E17DC">
        <w:rPr>
          <w:rFonts w:hint="eastAsia"/>
          <w:b/>
          <w:bCs/>
          <w:rtl/>
        </w:rPr>
        <w:t>רמלה</w:t>
      </w:r>
      <w:r w:rsidRPr="005E17DC">
        <w:rPr>
          <w:b/>
          <w:bCs/>
          <w:rtl/>
        </w:rPr>
        <w:t xml:space="preserve"> </w:t>
      </w:r>
      <w:r w:rsidRPr="005E17DC">
        <w:rPr>
          <w:rFonts w:hint="cs"/>
          <w:b/>
          <w:bCs/>
          <w:rtl/>
        </w:rPr>
        <w:t xml:space="preserve">לבחון </w:t>
      </w:r>
      <w:r w:rsidRPr="005E17DC">
        <w:rPr>
          <w:b/>
          <w:bCs/>
          <w:rtl/>
        </w:rPr>
        <w:t xml:space="preserve">את </w:t>
      </w:r>
      <w:r w:rsidRPr="005E17DC">
        <w:rPr>
          <w:rFonts w:hint="eastAsia"/>
          <w:b/>
          <w:bCs/>
          <w:rtl/>
        </w:rPr>
        <w:t>הסיבות</w:t>
      </w:r>
      <w:r w:rsidRPr="005E17DC">
        <w:rPr>
          <w:b/>
          <w:bCs/>
          <w:rtl/>
        </w:rPr>
        <w:t xml:space="preserve"> </w:t>
      </w:r>
      <w:r w:rsidRPr="005E17DC">
        <w:rPr>
          <w:rFonts w:hint="eastAsia"/>
          <w:b/>
          <w:bCs/>
          <w:rtl/>
        </w:rPr>
        <w:t>לעלייה</w:t>
      </w:r>
      <w:r w:rsidRPr="005E17DC">
        <w:rPr>
          <w:b/>
          <w:bCs/>
          <w:rtl/>
        </w:rPr>
        <w:t xml:space="preserve"> הגבוה</w:t>
      </w:r>
      <w:r w:rsidRPr="005E17DC">
        <w:rPr>
          <w:rFonts w:hint="cs"/>
          <w:b/>
          <w:bCs/>
          <w:rtl/>
        </w:rPr>
        <w:t>ה</w:t>
      </w:r>
      <w:r w:rsidRPr="005E17DC">
        <w:rPr>
          <w:b/>
          <w:bCs/>
          <w:rtl/>
        </w:rPr>
        <w:t xml:space="preserve"> </w:t>
      </w:r>
      <w:r w:rsidRPr="005E17DC">
        <w:rPr>
          <w:rFonts w:hint="eastAsia"/>
          <w:b/>
          <w:bCs/>
          <w:rtl/>
        </w:rPr>
        <w:t>בהוצאות</w:t>
      </w:r>
      <w:r w:rsidRPr="005E17DC">
        <w:rPr>
          <w:b/>
          <w:bCs/>
          <w:rtl/>
        </w:rPr>
        <w:t xml:space="preserve"> </w:t>
      </w:r>
      <w:r w:rsidRPr="005E17DC">
        <w:rPr>
          <w:rFonts w:hint="eastAsia"/>
          <w:b/>
          <w:bCs/>
          <w:rtl/>
        </w:rPr>
        <w:t>השכר</w:t>
      </w:r>
      <w:r w:rsidRPr="005E17DC">
        <w:rPr>
          <w:b/>
          <w:bCs/>
          <w:rtl/>
        </w:rPr>
        <w:t xml:space="preserve"> </w:t>
      </w:r>
      <w:r w:rsidRPr="005E17DC">
        <w:rPr>
          <w:rFonts w:hint="eastAsia"/>
          <w:b/>
          <w:bCs/>
          <w:rtl/>
        </w:rPr>
        <w:t>על</w:t>
      </w:r>
      <w:r w:rsidRPr="005E17DC">
        <w:rPr>
          <w:b/>
          <w:bCs/>
          <w:rtl/>
        </w:rPr>
        <w:t xml:space="preserve"> </w:t>
      </w:r>
      <w:r w:rsidRPr="005E17DC">
        <w:rPr>
          <w:rFonts w:hint="eastAsia"/>
          <w:b/>
          <w:bCs/>
          <w:rtl/>
        </w:rPr>
        <w:t>שעות</w:t>
      </w:r>
      <w:r w:rsidRPr="005E17DC">
        <w:rPr>
          <w:b/>
          <w:bCs/>
          <w:rtl/>
        </w:rPr>
        <w:t xml:space="preserve"> </w:t>
      </w:r>
      <w:r w:rsidRPr="005E17DC">
        <w:rPr>
          <w:rFonts w:hint="eastAsia"/>
          <w:b/>
          <w:bCs/>
          <w:rtl/>
        </w:rPr>
        <w:t>נוספות</w:t>
      </w:r>
      <w:r w:rsidRPr="005E17DC">
        <w:rPr>
          <w:rFonts w:hint="cs"/>
          <w:b/>
          <w:bCs/>
          <w:rtl/>
        </w:rPr>
        <w:t>, בעיקר לנוכח ההבדל המהותי בין 2015 - 2016 ובין 2017 - 2018</w:t>
      </w:r>
      <w:r w:rsidRPr="005E17DC">
        <w:rPr>
          <w:b/>
          <w:bCs/>
          <w:rtl/>
        </w:rPr>
        <w:t xml:space="preserve">. </w:t>
      </w:r>
      <w:r w:rsidRPr="005E17DC">
        <w:rPr>
          <w:rFonts w:hint="eastAsia"/>
          <w:b/>
          <w:bCs/>
          <w:rtl/>
        </w:rPr>
        <w:t>על</w:t>
      </w:r>
      <w:r w:rsidRPr="005E17DC">
        <w:rPr>
          <w:b/>
          <w:bCs/>
          <w:rtl/>
        </w:rPr>
        <w:t xml:space="preserve"> </w:t>
      </w:r>
      <w:r w:rsidRPr="005E17DC">
        <w:rPr>
          <w:rFonts w:hint="eastAsia"/>
          <w:b/>
          <w:bCs/>
          <w:rtl/>
        </w:rPr>
        <w:t>העירייה</w:t>
      </w:r>
      <w:r w:rsidRPr="005E17DC">
        <w:rPr>
          <w:b/>
          <w:bCs/>
          <w:rtl/>
        </w:rPr>
        <w:t xml:space="preserve"> </w:t>
      </w:r>
      <w:r w:rsidRPr="005E17DC">
        <w:rPr>
          <w:rFonts w:hint="eastAsia"/>
          <w:b/>
          <w:bCs/>
          <w:rtl/>
        </w:rPr>
        <w:t>ל</w:t>
      </w:r>
      <w:r w:rsidRPr="005E17DC">
        <w:rPr>
          <w:rFonts w:hint="cs"/>
          <w:b/>
          <w:bCs/>
          <w:rtl/>
        </w:rPr>
        <w:t>נטר</w:t>
      </w:r>
      <w:r w:rsidRPr="005E17DC">
        <w:rPr>
          <w:rFonts w:hint="cs"/>
          <w:b/>
          <w:bCs/>
          <w:rtl/>
        </w:rPr>
        <w:t xml:space="preserve"> את</w:t>
      </w:r>
      <w:r w:rsidRPr="005E17DC">
        <w:rPr>
          <w:b/>
          <w:bCs/>
          <w:rtl/>
        </w:rPr>
        <w:t xml:space="preserve"> </w:t>
      </w:r>
      <w:r w:rsidRPr="005E17DC">
        <w:rPr>
          <w:rFonts w:hint="eastAsia"/>
          <w:b/>
          <w:bCs/>
          <w:rtl/>
        </w:rPr>
        <w:t>השעות</w:t>
      </w:r>
      <w:r w:rsidRPr="005E17DC">
        <w:rPr>
          <w:b/>
          <w:bCs/>
          <w:rtl/>
        </w:rPr>
        <w:t xml:space="preserve"> </w:t>
      </w:r>
      <w:r w:rsidRPr="005E17DC">
        <w:rPr>
          <w:rFonts w:hint="eastAsia"/>
          <w:b/>
          <w:bCs/>
          <w:rtl/>
        </w:rPr>
        <w:t>הנוספות</w:t>
      </w:r>
      <w:r w:rsidRPr="005E17DC">
        <w:rPr>
          <w:b/>
          <w:bCs/>
          <w:rtl/>
        </w:rPr>
        <w:t xml:space="preserve"> </w:t>
      </w:r>
      <w:r w:rsidRPr="005E17DC">
        <w:rPr>
          <w:rFonts w:hint="eastAsia"/>
          <w:b/>
          <w:bCs/>
          <w:rtl/>
        </w:rPr>
        <w:t>של</w:t>
      </w:r>
      <w:r w:rsidRPr="005E17DC">
        <w:rPr>
          <w:b/>
          <w:bCs/>
          <w:rtl/>
        </w:rPr>
        <w:t xml:space="preserve"> </w:t>
      </w:r>
      <w:r w:rsidRPr="005E17DC">
        <w:rPr>
          <w:rFonts w:hint="eastAsia"/>
          <w:b/>
          <w:bCs/>
          <w:rtl/>
        </w:rPr>
        <w:t>עובדיה</w:t>
      </w:r>
      <w:r w:rsidRPr="005E17DC">
        <w:rPr>
          <w:b/>
          <w:bCs/>
          <w:rtl/>
        </w:rPr>
        <w:t xml:space="preserve"> </w:t>
      </w:r>
      <w:r w:rsidRPr="005E17DC">
        <w:rPr>
          <w:rFonts w:hint="eastAsia"/>
          <w:b/>
          <w:bCs/>
          <w:rtl/>
        </w:rPr>
        <w:t>ולבחון</w:t>
      </w:r>
      <w:r w:rsidRPr="005E17DC">
        <w:rPr>
          <w:b/>
          <w:bCs/>
          <w:rtl/>
        </w:rPr>
        <w:t xml:space="preserve"> את מידת </w:t>
      </w:r>
      <w:r w:rsidRPr="005E17DC">
        <w:rPr>
          <w:rFonts w:hint="eastAsia"/>
          <w:b/>
          <w:bCs/>
          <w:rtl/>
        </w:rPr>
        <w:t>נחיצותן</w:t>
      </w:r>
      <w:r w:rsidRPr="005E17DC">
        <w:rPr>
          <w:b/>
          <w:bCs/>
          <w:rtl/>
        </w:rPr>
        <w:t xml:space="preserve">, </w:t>
      </w:r>
      <w:r w:rsidRPr="005E17DC">
        <w:rPr>
          <w:rFonts w:hint="eastAsia"/>
          <w:b/>
          <w:bCs/>
          <w:rtl/>
        </w:rPr>
        <w:t>בהתאם</w:t>
      </w:r>
      <w:r w:rsidRPr="005E17DC">
        <w:rPr>
          <w:b/>
          <w:bCs/>
          <w:rtl/>
        </w:rPr>
        <w:t xml:space="preserve"> </w:t>
      </w:r>
      <w:r w:rsidRPr="005E17DC">
        <w:rPr>
          <w:rFonts w:hint="eastAsia"/>
          <w:b/>
          <w:bCs/>
          <w:rtl/>
        </w:rPr>
        <w:t>לצ</w:t>
      </w:r>
      <w:r w:rsidRPr="005E17DC">
        <w:rPr>
          <w:rFonts w:hint="cs"/>
          <w:b/>
          <w:bCs/>
          <w:rtl/>
        </w:rPr>
        <w:t>ו</w:t>
      </w:r>
      <w:r w:rsidRPr="005E17DC">
        <w:rPr>
          <w:rFonts w:hint="eastAsia"/>
          <w:b/>
          <w:bCs/>
          <w:rtl/>
        </w:rPr>
        <w:t>רכי</w:t>
      </w:r>
      <w:r w:rsidRPr="005E17DC">
        <w:rPr>
          <w:rFonts w:hint="cs"/>
          <w:b/>
          <w:bCs/>
          <w:rtl/>
        </w:rPr>
        <w:t xml:space="preserve"> העירייה ולאופי התפקידים, כדי שהוצאותיה בתחום זה יעלו בקנה אחד עם </w:t>
      </w:r>
      <w:r w:rsidRPr="005E17DC">
        <w:rPr>
          <w:b/>
          <w:bCs/>
          <w:rtl/>
        </w:rPr>
        <w:t>עקרו</w:t>
      </w:r>
      <w:r w:rsidRPr="005E17DC">
        <w:rPr>
          <w:rFonts w:hint="eastAsia"/>
          <w:b/>
          <w:bCs/>
          <w:rtl/>
        </w:rPr>
        <w:t>נות</w:t>
      </w:r>
      <w:r w:rsidRPr="005E17DC">
        <w:rPr>
          <w:b/>
          <w:bCs/>
          <w:rtl/>
        </w:rPr>
        <w:t xml:space="preserve"> </w:t>
      </w:r>
      <w:r w:rsidRPr="005E17DC">
        <w:rPr>
          <w:rFonts w:hint="cs"/>
          <w:b/>
          <w:bCs/>
          <w:rtl/>
        </w:rPr>
        <w:t>ה</w:t>
      </w:r>
      <w:r w:rsidRPr="005E17DC">
        <w:rPr>
          <w:rFonts w:hint="eastAsia"/>
          <w:b/>
          <w:bCs/>
          <w:rtl/>
        </w:rPr>
        <w:t>ח</w:t>
      </w:r>
      <w:r w:rsidRPr="005E17DC">
        <w:rPr>
          <w:rFonts w:hint="cs"/>
          <w:b/>
          <w:bCs/>
          <w:rtl/>
        </w:rPr>
        <w:t>י</w:t>
      </w:r>
      <w:r w:rsidRPr="005E17DC">
        <w:rPr>
          <w:rFonts w:hint="eastAsia"/>
          <w:b/>
          <w:bCs/>
          <w:rtl/>
        </w:rPr>
        <w:t>סכון</w:t>
      </w:r>
      <w:r w:rsidRPr="005E17DC">
        <w:rPr>
          <w:b/>
          <w:bCs/>
          <w:rtl/>
        </w:rPr>
        <w:t xml:space="preserve"> </w:t>
      </w:r>
      <w:r w:rsidRPr="005E17DC">
        <w:rPr>
          <w:rFonts w:hint="eastAsia"/>
          <w:b/>
          <w:bCs/>
          <w:rtl/>
        </w:rPr>
        <w:t>ו</w:t>
      </w:r>
      <w:r w:rsidRPr="005E17DC">
        <w:rPr>
          <w:rFonts w:hint="cs"/>
          <w:b/>
          <w:bCs/>
          <w:rtl/>
        </w:rPr>
        <w:t>ה</w:t>
      </w:r>
      <w:r w:rsidRPr="005E17DC">
        <w:rPr>
          <w:rFonts w:hint="eastAsia"/>
          <w:b/>
          <w:bCs/>
          <w:rtl/>
        </w:rPr>
        <w:t>יעילות</w:t>
      </w:r>
      <w:r w:rsidRPr="005E17DC">
        <w:rPr>
          <w:rFonts w:hint="cs"/>
          <w:b/>
          <w:bCs/>
          <w:rtl/>
        </w:rPr>
        <w:t>.</w:t>
      </w:r>
    </w:p>
    <w:p w:rsidR="005E17DC" w:rsidRPr="005E17DC" w:rsidP="000E5918">
      <w:pPr>
        <w:pStyle w:val="a"/>
        <w:rPr>
          <w:rtl/>
        </w:rPr>
      </w:pPr>
    </w:p>
    <w:p w:rsidR="005E17DC" w:rsidRPr="005E17DC" w:rsidP="00385106">
      <w:pPr>
        <w:keepNext/>
        <w:keepLines/>
        <w:spacing w:line="269" w:lineRule="auto"/>
        <w:outlineLvl w:val="3"/>
        <w:rPr>
          <w:rFonts w:eastAsiaTheme="majorEastAsia"/>
          <w:bCs/>
          <w:szCs w:val="26"/>
          <w:rtl/>
        </w:rPr>
      </w:pPr>
      <w:r w:rsidRPr="005E17DC">
        <w:rPr>
          <w:rFonts w:eastAsiaTheme="majorEastAsia" w:hint="cs"/>
          <w:bCs/>
          <w:szCs w:val="26"/>
          <w:rtl/>
        </w:rPr>
        <w:t>כוננות</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tl/>
        </w:rPr>
        <w:t xml:space="preserve">חוקת העבודה לעובדי הרשויות המקומיות קובעת כי במקומות שניתן בהם שירות לציבור אחרי שעות העבודה הקבועות, כאשר צורכי העבודה מחייבים זאת או כדי לאפשר שירותים חיוניים לתושבים, המעסיק רשאי לשלם </w:t>
      </w:r>
      <w:r w:rsidRPr="005E17DC">
        <w:rPr>
          <w:rFonts w:hint="cs"/>
          <w:rtl/>
        </w:rPr>
        <w:t xml:space="preserve">תוספת שכר </w:t>
      </w:r>
      <w:r w:rsidRPr="005E17DC">
        <w:rPr>
          <w:rtl/>
        </w:rPr>
        <w:t>לעובדים הנדרשים להימצא בכוננות בביתם לאחר שעות העבודה.</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Fonts w:hint="cs"/>
          <w:rtl/>
        </w:rPr>
        <w:t>ביוני 2019 קיבלו 511 מ-1,460 עובדיה של עיריית רמלה - כשליש - תוספת שכר עבור שעות כוננות, ו-324 מהם קיבלו תשלום על 20 שעות כוננות ויותר. נמצא כי מספר שעות הכוננות והוצאותיה של עיריית רמלה בגינן</w:t>
      </w:r>
      <w:r w:rsidRPr="005E17DC">
        <w:rPr>
          <w:rtl/>
        </w:rPr>
        <w:t xml:space="preserve"> </w:t>
      </w:r>
      <w:r w:rsidRPr="005E17DC">
        <w:rPr>
          <w:rFonts w:hint="eastAsia"/>
          <w:rtl/>
        </w:rPr>
        <w:t>עלו</w:t>
      </w:r>
      <w:r w:rsidRPr="005E17DC">
        <w:rPr>
          <w:rFonts w:hint="cs"/>
          <w:rtl/>
        </w:rPr>
        <w:t xml:space="preserve"> במידה רבה ובעקיבות בשנים 2017 ו-2018, כפי שנראה בתרשים להלן:</w:t>
      </w:r>
    </w:p>
    <w:p w:rsidR="005E17DC" w:rsidRPr="005E17DC" w:rsidP="00385106">
      <w:pPr>
        <w:spacing w:line="269" w:lineRule="auto"/>
        <w:ind w:left="-567"/>
        <w:rPr>
          <w:szCs w:val="20"/>
          <w:rtl/>
        </w:rPr>
      </w:pPr>
    </w:p>
    <w:p w:rsidR="005E17DC" w:rsidRPr="005E17DC" w:rsidP="000E5918">
      <w:pPr>
        <w:spacing w:after="120" w:line="269" w:lineRule="auto"/>
        <w:jc w:val="center"/>
        <w:rPr>
          <w:rtl/>
        </w:rPr>
      </w:pPr>
      <w:r w:rsidRPr="005E17DC">
        <w:rPr>
          <w:rFonts w:hint="eastAsia"/>
          <w:b/>
          <w:bCs/>
          <w:rtl/>
        </w:rPr>
        <w:t>תרשים</w:t>
      </w:r>
      <w:r w:rsidRPr="005E17DC">
        <w:rPr>
          <w:b/>
          <w:bCs/>
          <w:rtl/>
        </w:rPr>
        <w:t xml:space="preserve"> 1</w:t>
      </w:r>
      <w:r w:rsidRPr="005E17DC">
        <w:rPr>
          <w:rFonts w:hint="cs"/>
          <w:b/>
          <w:bCs/>
          <w:rtl/>
        </w:rPr>
        <w:t>6:</w:t>
      </w:r>
      <w:r w:rsidRPr="005E17DC">
        <w:rPr>
          <w:b/>
          <w:bCs/>
          <w:rtl/>
        </w:rPr>
        <w:t xml:space="preserve"> </w:t>
      </w:r>
      <w:r w:rsidRPr="005E17DC">
        <w:rPr>
          <w:rFonts w:hint="eastAsia"/>
          <w:b/>
          <w:bCs/>
          <w:rtl/>
        </w:rPr>
        <w:t>מספר</w:t>
      </w:r>
      <w:r w:rsidRPr="005E17DC">
        <w:rPr>
          <w:b/>
          <w:bCs/>
          <w:rtl/>
        </w:rPr>
        <w:t xml:space="preserve"> </w:t>
      </w:r>
      <w:r w:rsidRPr="005E17DC">
        <w:rPr>
          <w:rFonts w:hint="eastAsia"/>
          <w:b/>
          <w:bCs/>
          <w:rtl/>
        </w:rPr>
        <w:t>שעות</w:t>
      </w:r>
      <w:r w:rsidRPr="005E17DC">
        <w:rPr>
          <w:b/>
          <w:bCs/>
          <w:rtl/>
        </w:rPr>
        <w:t xml:space="preserve"> </w:t>
      </w:r>
      <w:r w:rsidRPr="005E17DC">
        <w:rPr>
          <w:rFonts w:hint="eastAsia"/>
          <w:b/>
          <w:bCs/>
          <w:rtl/>
        </w:rPr>
        <w:t>הכוננות</w:t>
      </w:r>
      <w:r w:rsidRPr="005E17DC">
        <w:rPr>
          <w:b/>
          <w:bCs/>
          <w:rtl/>
        </w:rPr>
        <w:t xml:space="preserve"> </w:t>
      </w:r>
      <w:r w:rsidRPr="005E17DC">
        <w:rPr>
          <w:rFonts w:hint="eastAsia"/>
          <w:b/>
          <w:bCs/>
          <w:rtl/>
        </w:rPr>
        <w:t>והוצאות</w:t>
      </w:r>
      <w:r w:rsidRPr="005E17DC">
        <w:rPr>
          <w:b/>
          <w:bCs/>
          <w:rtl/>
        </w:rPr>
        <w:t xml:space="preserve"> </w:t>
      </w:r>
      <w:r w:rsidRPr="005E17DC">
        <w:rPr>
          <w:rFonts w:hint="eastAsia"/>
          <w:b/>
          <w:bCs/>
          <w:rtl/>
        </w:rPr>
        <w:t>שכר</w:t>
      </w:r>
      <w:r w:rsidRPr="005E17DC">
        <w:rPr>
          <w:b/>
          <w:bCs/>
          <w:rtl/>
        </w:rPr>
        <w:t xml:space="preserve"> </w:t>
      </w:r>
      <w:r w:rsidRPr="005E17DC">
        <w:rPr>
          <w:rFonts w:hint="eastAsia"/>
          <w:b/>
          <w:bCs/>
          <w:rtl/>
        </w:rPr>
        <w:t>בגינן</w:t>
      </w:r>
      <w:r w:rsidRPr="005E17DC">
        <w:rPr>
          <w:b/>
          <w:bCs/>
          <w:rtl/>
        </w:rPr>
        <w:t xml:space="preserve"> </w:t>
      </w:r>
      <w:r w:rsidRPr="005E17DC">
        <w:rPr>
          <w:rFonts w:hint="eastAsia"/>
          <w:b/>
          <w:bCs/>
          <w:rtl/>
        </w:rPr>
        <w:t>בעיריית</w:t>
      </w:r>
      <w:r w:rsidRPr="005E17DC">
        <w:rPr>
          <w:b/>
          <w:bCs/>
          <w:rtl/>
        </w:rPr>
        <w:t xml:space="preserve"> </w:t>
      </w:r>
      <w:r w:rsidRPr="005E17DC">
        <w:rPr>
          <w:rFonts w:hint="eastAsia"/>
          <w:b/>
          <w:bCs/>
          <w:rtl/>
        </w:rPr>
        <w:t>רמלה</w:t>
      </w:r>
      <w:r w:rsidRPr="005E17DC">
        <w:rPr>
          <w:b/>
          <w:bCs/>
          <w:rtl/>
        </w:rPr>
        <w:t>, 201</w:t>
      </w:r>
      <w:r w:rsidRPr="005E17DC">
        <w:rPr>
          <w:rFonts w:hint="cs"/>
          <w:b/>
          <w:bCs/>
          <w:rtl/>
        </w:rPr>
        <w:t xml:space="preserve">5 </w:t>
      </w:r>
      <w:r w:rsidRPr="005E17DC">
        <w:rPr>
          <w:b/>
          <w:bCs/>
          <w:rtl/>
        </w:rPr>
        <w:t>-</w:t>
      </w:r>
      <w:r w:rsidRPr="005E17DC">
        <w:rPr>
          <w:rFonts w:hint="cs"/>
          <w:b/>
          <w:bCs/>
          <w:rtl/>
        </w:rPr>
        <w:t xml:space="preserve"> </w:t>
      </w:r>
      <w:r w:rsidRPr="005E17DC">
        <w:rPr>
          <w:b/>
          <w:bCs/>
          <w:rtl/>
        </w:rPr>
        <w:t>201</w:t>
      </w:r>
      <w:r w:rsidRPr="005E17DC">
        <w:rPr>
          <w:rFonts w:hint="cs"/>
          <w:b/>
          <w:bCs/>
          <w:rtl/>
        </w:rPr>
        <w:t>8</w:t>
      </w:r>
    </w:p>
    <w:p w:rsidR="005E17DC" w:rsidRPr="005E17DC" w:rsidP="00385106">
      <w:pPr>
        <w:spacing w:line="269" w:lineRule="auto"/>
        <w:jc w:val="center"/>
        <w:rPr>
          <w:highlight w:val="cyan"/>
          <w:rtl/>
        </w:rPr>
      </w:pPr>
      <w:r>
        <w:rPr>
          <w:noProof/>
          <w:rtl/>
        </w:rPr>
        <w:drawing>
          <wp:inline distT="0" distB="0" distL="0" distR="0">
            <wp:extent cx="4937760" cy="2676144"/>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147795" name="ramla-g-16.jpg"/>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937760" cy="2676144"/>
                    </a:xfrm>
                    <a:prstGeom prst="rect">
                      <a:avLst/>
                    </a:prstGeom>
                  </pic:spPr>
                </pic:pic>
              </a:graphicData>
            </a:graphic>
          </wp:inline>
        </w:drawing>
      </w:r>
    </w:p>
    <w:p w:rsidR="005E17DC" w:rsidRPr="005E17DC" w:rsidP="000E5918">
      <w:pPr>
        <w:spacing w:before="120" w:line="269" w:lineRule="auto"/>
        <w:rPr>
          <w:sz w:val="22"/>
          <w:szCs w:val="22"/>
          <w:rtl/>
        </w:rPr>
      </w:pPr>
      <w:r w:rsidRPr="005E17DC">
        <w:rPr>
          <w:rFonts w:hint="cs"/>
          <w:sz w:val="22"/>
          <w:szCs w:val="22"/>
          <w:rtl/>
        </w:rPr>
        <w:t>על פי נתוני עיריית רמלה, בעיבוד משרד מבקר המדינה.</w:t>
      </w:r>
    </w:p>
    <w:p w:rsidR="005E17DC" w:rsidRPr="005E17DC" w:rsidP="00385106">
      <w:pPr>
        <w:spacing w:line="269" w:lineRule="auto"/>
        <w:ind w:left="-567"/>
        <w:rPr>
          <w:szCs w:val="20"/>
          <w:rtl/>
        </w:rPr>
      </w:pPr>
    </w:p>
    <w:p w:rsidR="005E17DC" w:rsidRPr="005E17DC" w:rsidP="00385106">
      <w:pPr>
        <w:spacing w:line="269" w:lineRule="auto"/>
        <w:rPr>
          <w:b/>
          <w:bCs/>
          <w:rtl/>
        </w:rPr>
      </w:pPr>
      <w:r w:rsidRPr="005E17DC">
        <w:rPr>
          <w:rFonts w:hint="eastAsia"/>
          <w:b/>
          <w:bCs/>
          <w:rtl/>
        </w:rPr>
        <w:t>בבדיקת</w:t>
      </w:r>
      <w:r w:rsidRPr="005E17DC">
        <w:rPr>
          <w:b/>
          <w:bCs/>
          <w:rtl/>
        </w:rPr>
        <w:t xml:space="preserve"> </w:t>
      </w:r>
      <w:r w:rsidRPr="005E17DC">
        <w:rPr>
          <w:rFonts w:hint="eastAsia"/>
          <w:b/>
          <w:bCs/>
          <w:rtl/>
        </w:rPr>
        <w:t>משרד</w:t>
      </w:r>
      <w:r w:rsidRPr="005E17DC">
        <w:rPr>
          <w:b/>
          <w:bCs/>
          <w:rtl/>
        </w:rPr>
        <w:t xml:space="preserve"> </w:t>
      </w:r>
      <w:r w:rsidRPr="005E17DC">
        <w:rPr>
          <w:rFonts w:hint="eastAsia"/>
          <w:b/>
          <w:bCs/>
          <w:rtl/>
        </w:rPr>
        <w:t>מבקר</w:t>
      </w:r>
      <w:r w:rsidRPr="005E17DC">
        <w:rPr>
          <w:b/>
          <w:bCs/>
          <w:rtl/>
        </w:rPr>
        <w:t xml:space="preserve"> </w:t>
      </w:r>
      <w:r w:rsidRPr="005E17DC">
        <w:rPr>
          <w:rFonts w:hint="eastAsia"/>
          <w:b/>
          <w:bCs/>
          <w:rtl/>
        </w:rPr>
        <w:t>המדינה</w:t>
      </w:r>
      <w:r w:rsidRPr="005E17DC">
        <w:rPr>
          <w:b/>
          <w:bCs/>
          <w:rtl/>
        </w:rPr>
        <w:t xml:space="preserve"> נמצא שלעיריית רמלה אין מדיניות ונהלים לתשלום עבור שעות כוננות, </w:t>
      </w:r>
      <w:r w:rsidRPr="005E17DC">
        <w:rPr>
          <w:rFonts w:hint="eastAsia"/>
          <w:b/>
          <w:bCs/>
          <w:rtl/>
        </w:rPr>
        <w:t>והיא</w:t>
      </w:r>
      <w:r w:rsidRPr="005E17DC">
        <w:rPr>
          <w:b/>
          <w:bCs/>
          <w:rtl/>
        </w:rPr>
        <w:t xml:space="preserve"> </w:t>
      </w:r>
      <w:r w:rsidRPr="005E17DC">
        <w:rPr>
          <w:rFonts w:hint="eastAsia"/>
          <w:b/>
          <w:bCs/>
          <w:rtl/>
        </w:rPr>
        <w:t>אינה</w:t>
      </w:r>
      <w:r w:rsidRPr="005E17DC">
        <w:rPr>
          <w:b/>
          <w:bCs/>
          <w:rtl/>
        </w:rPr>
        <w:t xml:space="preserve"> מבצעת בקרה </w:t>
      </w:r>
      <w:r w:rsidRPr="005E17DC">
        <w:rPr>
          <w:rFonts w:hint="eastAsia"/>
          <w:b/>
          <w:bCs/>
          <w:rtl/>
        </w:rPr>
        <w:t>עיתית</w:t>
      </w:r>
      <w:r w:rsidRPr="005E17DC">
        <w:rPr>
          <w:b/>
          <w:bCs/>
          <w:rtl/>
        </w:rPr>
        <w:t xml:space="preserve"> על זמינות</w:t>
      </w:r>
      <w:r w:rsidRPr="005E17DC">
        <w:rPr>
          <w:rFonts w:hint="eastAsia"/>
          <w:b/>
          <w:bCs/>
          <w:rtl/>
        </w:rPr>
        <w:t>ם</w:t>
      </w:r>
      <w:r w:rsidRPr="005E17DC">
        <w:rPr>
          <w:b/>
          <w:bCs/>
          <w:rtl/>
        </w:rPr>
        <w:t xml:space="preserve"> </w:t>
      </w:r>
      <w:r w:rsidRPr="005E17DC">
        <w:rPr>
          <w:rFonts w:hint="eastAsia"/>
          <w:b/>
          <w:bCs/>
          <w:rtl/>
        </w:rPr>
        <w:t>של</w:t>
      </w:r>
      <w:r w:rsidRPr="005E17DC">
        <w:rPr>
          <w:b/>
          <w:bCs/>
          <w:rtl/>
        </w:rPr>
        <w:t xml:space="preserve"> עובדים בכוננות ואינה בוחנת את נחיצותן של שעות הכוננות ואת תועלתן. </w:t>
      </w:r>
    </w:p>
    <w:p w:rsidR="005E17DC" w:rsidRPr="005E17DC" w:rsidP="00385106">
      <w:pPr>
        <w:spacing w:line="269" w:lineRule="auto"/>
        <w:ind w:left="-567"/>
        <w:rPr>
          <w:szCs w:val="20"/>
          <w:rtl/>
        </w:rPr>
      </w:pPr>
    </w:p>
    <w:p w:rsidR="005E17DC" w:rsidRPr="005E17DC" w:rsidP="00385106">
      <w:pPr>
        <w:spacing w:line="269" w:lineRule="auto"/>
        <w:rPr>
          <w:b/>
          <w:bCs/>
          <w:rtl/>
        </w:rPr>
      </w:pPr>
      <w:r w:rsidRPr="005E17DC">
        <w:rPr>
          <w:rFonts w:hint="eastAsia"/>
          <w:b/>
          <w:bCs/>
          <w:rtl/>
        </w:rPr>
        <w:t>בביקורת</w:t>
      </w:r>
      <w:r w:rsidRPr="005E17DC">
        <w:rPr>
          <w:b/>
          <w:bCs/>
          <w:rtl/>
        </w:rPr>
        <w:t xml:space="preserve"> אף נמצאו מקרים אשר חייבו את מערכת הנוכחות של העירייה להתריע על דיווחי כוננות </w:t>
      </w:r>
      <w:r w:rsidRPr="005E17DC">
        <w:rPr>
          <w:rFonts w:hint="eastAsia"/>
          <w:b/>
          <w:bCs/>
          <w:rtl/>
        </w:rPr>
        <w:t>שהיה</w:t>
      </w:r>
      <w:r w:rsidRPr="005E17DC">
        <w:rPr>
          <w:b/>
          <w:bCs/>
          <w:rtl/>
        </w:rPr>
        <w:t xml:space="preserve"> על העירייה לשקול </w:t>
      </w:r>
      <w:r w:rsidRPr="005E17DC">
        <w:rPr>
          <w:rFonts w:hint="eastAsia"/>
          <w:b/>
          <w:bCs/>
          <w:rtl/>
        </w:rPr>
        <w:t>לשלול</w:t>
      </w:r>
      <w:r w:rsidRPr="005E17DC">
        <w:rPr>
          <w:b/>
          <w:bCs/>
          <w:rtl/>
        </w:rPr>
        <w:t xml:space="preserve"> </w:t>
      </w:r>
      <w:r w:rsidRPr="005E17DC">
        <w:rPr>
          <w:rFonts w:hint="eastAsia"/>
          <w:b/>
          <w:bCs/>
          <w:rtl/>
        </w:rPr>
        <w:t>אותם</w:t>
      </w:r>
      <w:r w:rsidRPr="005E17DC">
        <w:rPr>
          <w:b/>
          <w:bCs/>
          <w:rtl/>
        </w:rPr>
        <w:t xml:space="preserve"> </w:t>
      </w:r>
      <w:r w:rsidRPr="005E17DC">
        <w:rPr>
          <w:rFonts w:hint="eastAsia"/>
          <w:b/>
          <w:bCs/>
          <w:rtl/>
        </w:rPr>
        <w:t>מחשש</w:t>
      </w:r>
      <w:r w:rsidRPr="005E17DC">
        <w:rPr>
          <w:b/>
          <w:bCs/>
          <w:rtl/>
        </w:rPr>
        <w:t xml:space="preserve"> </w:t>
      </w:r>
      <w:r w:rsidRPr="005E17DC">
        <w:rPr>
          <w:rFonts w:hint="eastAsia"/>
          <w:b/>
          <w:bCs/>
          <w:rtl/>
        </w:rPr>
        <w:t>שאינם</w:t>
      </w:r>
      <w:r w:rsidRPr="005E17DC">
        <w:rPr>
          <w:b/>
          <w:bCs/>
          <w:rtl/>
        </w:rPr>
        <w:t xml:space="preserve"> </w:t>
      </w:r>
      <w:r w:rsidRPr="005E17DC">
        <w:rPr>
          <w:rFonts w:hint="eastAsia"/>
          <w:b/>
          <w:bCs/>
          <w:rtl/>
        </w:rPr>
        <w:t>משקפים</w:t>
      </w:r>
      <w:r w:rsidRPr="005E17DC">
        <w:rPr>
          <w:b/>
          <w:bCs/>
          <w:rtl/>
        </w:rPr>
        <w:t xml:space="preserve"> </w:t>
      </w:r>
      <w:r w:rsidRPr="005E17DC">
        <w:rPr>
          <w:rFonts w:hint="eastAsia"/>
          <w:b/>
          <w:bCs/>
          <w:rtl/>
        </w:rPr>
        <w:t>יכולת</w:t>
      </w:r>
      <w:r w:rsidRPr="005E17DC">
        <w:rPr>
          <w:b/>
          <w:bCs/>
          <w:rtl/>
        </w:rPr>
        <w:t xml:space="preserve"> </w:t>
      </w:r>
      <w:r w:rsidRPr="005E17DC">
        <w:rPr>
          <w:rFonts w:hint="eastAsia"/>
          <w:b/>
          <w:bCs/>
          <w:rtl/>
        </w:rPr>
        <w:t>של</w:t>
      </w:r>
      <w:r w:rsidRPr="005E17DC">
        <w:rPr>
          <w:b/>
          <w:bCs/>
          <w:rtl/>
        </w:rPr>
        <w:t xml:space="preserve"> </w:t>
      </w:r>
      <w:r w:rsidRPr="005E17DC">
        <w:rPr>
          <w:rFonts w:hint="eastAsia"/>
          <w:b/>
          <w:bCs/>
          <w:rtl/>
        </w:rPr>
        <w:t>העובד</w:t>
      </w:r>
      <w:r w:rsidRPr="005E17DC">
        <w:rPr>
          <w:b/>
          <w:bCs/>
          <w:rtl/>
        </w:rPr>
        <w:t xml:space="preserve"> </w:t>
      </w:r>
      <w:r w:rsidRPr="005E17DC">
        <w:rPr>
          <w:rFonts w:hint="eastAsia"/>
          <w:b/>
          <w:bCs/>
          <w:rtl/>
        </w:rPr>
        <w:t>להיות</w:t>
      </w:r>
      <w:r w:rsidRPr="005E17DC">
        <w:rPr>
          <w:b/>
          <w:bCs/>
          <w:rtl/>
        </w:rPr>
        <w:t xml:space="preserve"> </w:t>
      </w:r>
      <w:r w:rsidRPr="005E17DC">
        <w:rPr>
          <w:rFonts w:hint="eastAsia"/>
          <w:b/>
          <w:bCs/>
          <w:rtl/>
        </w:rPr>
        <w:t>בכוננות</w:t>
      </w:r>
      <w:r w:rsidRPr="005E17DC">
        <w:rPr>
          <w:b/>
          <w:bCs/>
          <w:rtl/>
        </w:rPr>
        <w:t xml:space="preserve">: </w:t>
      </w:r>
      <w:r w:rsidRPr="005E17DC">
        <w:rPr>
          <w:rFonts w:hint="eastAsia"/>
          <w:b/>
          <w:bCs/>
          <w:rtl/>
        </w:rPr>
        <w:t>למשל</w:t>
      </w:r>
      <w:r w:rsidRPr="005E17DC">
        <w:rPr>
          <w:b/>
          <w:bCs/>
          <w:rtl/>
        </w:rPr>
        <w:t xml:space="preserve"> </w:t>
      </w:r>
      <w:r w:rsidRPr="005E17DC">
        <w:rPr>
          <w:rFonts w:hint="eastAsia"/>
          <w:b/>
          <w:bCs/>
          <w:rtl/>
        </w:rPr>
        <w:t>שני</w:t>
      </w:r>
      <w:r w:rsidRPr="005E17DC">
        <w:rPr>
          <w:b/>
          <w:bCs/>
          <w:rtl/>
        </w:rPr>
        <w:t xml:space="preserve"> </w:t>
      </w:r>
      <w:r w:rsidRPr="005E17DC">
        <w:rPr>
          <w:rFonts w:hint="eastAsia"/>
          <w:b/>
          <w:bCs/>
          <w:rtl/>
        </w:rPr>
        <w:t>עובדים</w:t>
      </w:r>
      <w:r w:rsidRPr="005E17DC">
        <w:rPr>
          <w:b/>
          <w:bCs/>
          <w:rtl/>
        </w:rPr>
        <w:t xml:space="preserve"> </w:t>
      </w:r>
      <w:r w:rsidRPr="005E17DC">
        <w:rPr>
          <w:rFonts w:hint="eastAsia"/>
          <w:b/>
          <w:bCs/>
          <w:rtl/>
        </w:rPr>
        <w:t>שנעדרו</w:t>
      </w:r>
      <w:r w:rsidRPr="005E17DC">
        <w:rPr>
          <w:b/>
          <w:bCs/>
          <w:rtl/>
        </w:rPr>
        <w:t xml:space="preserve"> </w:t>
      </w:r>
      <w:r w:rsidRPr="005E17DC">
        <w:rPr>
          <w:rFonts w:hint="eastAsia"/>
          <w:b/>
          <w:bCs/>
          <w:rtl/>
        </w:rPr>
        <w:t>מעבודתם</w:t>
      </w:r>
      <w:r w:rsidRPr="005E17DC">
        <w:rPr>
          <w:b/>
          <w:bCs/>
          <w:rtl/>
        </w:rPr>
        <w:t xml:space="preserve"> בעירייה מחמת </w:t>
      </w:r>
      <w:r w:rsidRPr="005E17DC">
        <w:rPr>
          <w:rFonts w:hint="eastAsia"/>
          <w:b/>
          <w:bCs/>
          <w:rtl/>
        </w:rPr>
        <w:t>מחלה</w:t>
      </w:r>
      <w:r w:rsidRPr="005E17DC">
        <w:rPr>
          <w:b/>
          <w:bCs/>
          <w:rtl/>
        </w:rPr>
        <w:t xml:space="preserve"> </w:t>
      </w:r>
      <w:r w:rsidRPr="005E17DC">
        <w:rPr>
          <w:rFonts w:hint="eastAsia"/>
          <w:b/>
          <w:bCs/>
          <w:rtl/>
        </w:rPr>
        <w:t>ודיווחו</w:t>
      </w:r>
      <w:r w:rsidRPr="005E17DC">
        <w:rPr>
          <w:b/>
          <w:bCs/>
          <w:rtl/>
        </w:rPr>
        <w:t xml:space="preserve"> על כוננות בימי </w:t>
      </w:r>
      <w:r w:rsidRPr="005E17DC">
        <w:rPr>
          <w:b/>
          <w:bCs/>
          <w:rtl/>
        </w:rPr>
        <w:t>היעדרו</w:t>
      </w:r>
      <w:r w:rsidRPr="005E17DC">
        <w:rPr>
          <w:rFonts w:hint="eastAsia"/>
          <w:b/>
          <w:bCs/>
          <w:rtl/>
        </w:rPr>
        <w:t>תם</w:t>
      </w:r>
      <w:r w:rsidRPr="005E17DC">
        <w:rPr>
          <w:b/>
          <w:bCs/>
          <w:rtl/>
        </w:rPr>
        <w:t xml:space="preserve"> </w:t>
      </w:r>
      <w:r w:rsidRPr="005E17DC">
        <w:rPr>
          <w:rFonts w:hint="eastAsia"/>
          <w:b/>
          <w:bCs/>
          <w:rtl/>
        </w:rPr>
        <w:t>אלה</w:t>
      </w:r>
      <w:r w:rsidRPr="005E17DC">
        <w:rPr>
          <w:b/>
          <w:bCs/>
          <w:rtl/>
        </w:rPr>
        <w:t xml:space="preserve">, </w:t>
      </w:r>
      <w:r w:rsidRPr="005E17DC">
        <w:rPr>
          <w:rFonts w:hint="eastAsia"/>
          <w:b/>
          <w:bCs/>
          <w:rtl/>
        </w:rPr>
        <w:t>ושני</w:t>
      </w:r>
      <w:r w:rsidRPr="005E17DC">
        <w:rPr>
          <w:b/>
          <w:bCs/>
          <w:rtl/>
        </w:rPr>
        <w:t xml:space="preserve"> עובדים ששהו בחופשה יותר משבועיים ודיווחו על כוננות </w:t>
      </w:r>
      <w:r w:rsidRPr="005E17DC">
        <w:rPr>
          <w:rFonts w:hint="eastAsia"/>
          <w:b/>
          <w:bCs/>
          <w:rtl/>
        </w:rPr>
        <w:t>בתקופה</w:t>
      </w:r>
      <w:r w:rsidRPr="005E17DC">
        <w:rPr>
          <w:b/>
          <w:bCs/>
          <w:rtl/>
        </w:rPr>
        <w:t xml:space="preserve"> זו </w:t>
      </w:r>
      <w:r w:rsidRPr="005E17DC">
        <w:rPr>
          <w:rFonts w:hint="eastAsia"/>
          <w:b/>
          <w:bCs/>
          <w:rtl/>
        </w:rPr>
        <w:t>בלי</w:t>
      </w:r>
      <w:r w:rsidRPr="005E17DC">
        <w:rPr>
          <w:b/>
          <w:bCs/>
          <w:rtl/>
        </w:rPr>
        <w:t xml:space="preserve"> </w:t>
      </w:r>
      <w:r w:rsidRPr="005E17DC">
        <w:rPr>
          <w:rFonts w:hint="eastAsia"/>
          <w:b/>
          <w:bCs/>
          <w:rtl/>
        </w:rPr>
        <w:t>שאיש</w:t>
      </w:r>
      <w:r w:rsidRPr="005E17DC">
        <w:rPr>
          <w:b/>
          <w:bCs/>
          <w:rtl/>
        </w:rPr>
        <w:t xml:space="preserve"> בעירייה </w:t>
      </w:r>
      <w:r w:rsidRPr="005E17DC">
        <w:rPr>
          <w:rFonts w:hint="eastAsia"/>
          <w:b/>
          <w:bCs/>
          <w:rtl/>
        </w:rPr>
        <w:t>אפילו</w:t>
      </w:r>
      <w:r w:rsidRPr="005E17DC">
        <w:rPr>
          <w:b/>
          <w:bCs/>
          <w:rtl/>
        </w:rPr>
        <w:t xml:space="preserve"> </w:t>
      </w:r>
      <w:r w:rsidRPr="005E17DC">
        <w:rPr>
          <w:rFonts w:hint="eastAsia"/>
          <w:b/>
          <w:bCs/>
          <w:rtl/>
        </w:rPr>
        <w:t>בדק</w:t>
      </w:r>
      <w:r w:rsidRPr="005E17DC">
        <w:rPr>
          <w:b/>
          <w:bCs/>
          <w:rtl/>
        </w:rPr>
        <w:t xml:space="preserve"> </w:t>
      </w:r>
      <w:r w:rsidRPr="005E17DC">
        <w:rPr>
          <w:rFonts w:hint="eastAsia"/>
          <w:b/>
          <w:bCs/>
          <w:rtl/>
        </w:rPr>
        <w:t>שהם</w:t>
      </w:r>
      <w:r w:rsidRPr="005E17DC">
        <w:rPr>
          <w:b/>
          <w:bCs/>
          <w:rtl/>
        </w:rPr>
        <w:t xml:space="preserve"> </w:t>
      </w:r>
      <w:r w:rsidRPr="005E17DC">
        <w:rPr>
          <w:rFonts w:hint="eastAsia"/>
          <w:b/>
          <w:bCs/>
          <w:rtl/>
        </w:rPr>
        <w:t>נמצאים</w:t>
      </w:r>
      <w:r w:rsidRPr="005E17DC">
        <w:rPr>
          <w:b/>
          <w:bCs/>
          <w:rtl/>
        </w:rPr>
        <w:t xml:space="preserve"> במרחק סביר מהעירייה, </w:t>
      </w:r>
      <w:r w:rsidRPr="005E17DC">
        <w:rPr>
          <w:rFonts w:hint="eastAsia"/>
          <w:b/>
          <w:bCs/>
          <w:rtl/>
        </w:rPr>
        <w:t>למקרה</w:t>
      </w:r>
      <w:r w:rsidRPr="005E17DC">
        <w:rPr>
          <w:b/>
          <w:bCs/>
          <w:rtl/>
        </w:rPr>
        <w:t xml:space="preserve"> </w:t>
      </w:r>
      <w:r w:rsidRPr="005E17DC">
        <w:rPr>
          <w:rFonts w:hint="eastAsia"/>
          <w:b/>
          <w:bCs/>
          <w:rtl/>
        </w:rPr>
        <w:t>שיוזעקו</w:t>
      </w:r>
      <w:r w:rsidRPr="005E17DC">
        <w:rPr>
          <w:b/>
          <w:bCs/>
          <w:rtl/>
        </w:rPr>
        <w:t xml:space="preserve"> לעבודה.</w:t>
      </w:r>
    </w:p>
    <w:p w:rsidR="005E17DC" w:rsidRPr="005E17DC" w:rsidP="00385106">
      <w:pPr>
        <w:spacing w:line="269" w:lineRule="auto"/>
        <w:ind w:left="-567"/>
        <w:rPr>
          <w:szCs w:val="20"/>
          <w:rtl/>
        </w:rPr>
      </w:pPr>
    </w:p>
    <w:p w:rsidR="005E17DC" w:rsidRPr="005E17DC" w:rsidP="00385106">
      <w:pPr>
        <w:spacing w:line="269" w:lineRule="auto"/>
        <w:rPr>
          <w:b/>
          <w:bCs/>
          <w:rtl/>
        </w:rPr>
      </w:pPr>
      <w:r w:rsidRPr="005E17DC">
        <w:rPr>
          <w:rFonts w:hint="cs"/>
          <w:b/>
          <w:bCs/>
          <w:rtl/>
        </w:rPr>
        <w:t xml:space="preserve">על </w:t>
      </w:r>
      <w:r w:rsidRPr="005E17DC">
        <w:rPr>
          <w:rFonts w:hint="eastAsia"/>
          <w:b/>
          <w:bCs/>
          <w:rtl/>
        </w:rPr>
        <w:t>עיריית</w:t>
      </w:r>
      <w:r w:rsidRPr="005E17DC">
        <w:rPr>
          <w:b/>
          <w:bCs/>
          <w:rtl/>
        </w:rPr>
        <w:t xml:space="preserve"> </w:t>
      </w:r>
      <w:r w:rsidRPr="005E17DC">
        <w:rPr>
          <w:rFonts w:hint="eastAsia"/>
          <w:b/>
          <w:bCs/>
          <w:rtl/>
        </w:rPr>
        <w:t>רמלה</w:t>
      </w:r>
      <w:r w:rsidRPr="005E17DC">
        <w:rPr>
          <w:b/>
          <w:bCs/>
          <w:rtl/>
        </w:rPr>
        <w:t xml:space="preserve"> </w:t>
      </w:r>
      <w:r w:rsidRPr="005E17DC">
        <w:rPr>
          <w:rFonts w:hint="eastAsia"/>
          <w:b/>
          <w:bCs/>
          <w:rtl/>
        </w:rPr>
        <w:t>ל</w:t>
      </w:r>
      <w:r w:rsidRPr="005E17DC">
        <w:rPr>
          <w:rFonts w:hint="cs"/>
          <w:b/>
          <w:bCs/>
          <w:rtl/>
        </w:rPr>
        <w:t>נטר</w:t>
      </w:r>
      <w:r w:rsidRPr="005E17DC">
        <w:rPr>
          <w:rFonts w:hint="cs"/>
          <w:b/>
          <w:bCs/>
          <w:rtl/>
        </w:rPr>
        <w:t xml:space="preserve"> דיווחי כוננות של עובדיה.</w:t>
      </w:r>
      <w:r w:rsidRPr="005E17DC">
        <w:rPr>
          <w:b/>
          <w:bCs/>
          <w:rtl/>
        </w:rPr>
        <w:t xml:space="preserve"> </w:t>
      </w:r>
      <w:r w:rsidRPr="005E17DC">
        <w:rPr>
          <w:rFonts w:hint="cs"/>
          <w:b/>
          <w:bCs/>
          <w:rtl/>
        </w:rPr>
        <w:t>זאת ועוד</w:t>
      </w:r>
      <w:r w:rsidRPr="005E17DC">
        <w:rPr>
          <w:b/>
          <w:bCs/>
          <w:rtl/>
        </w:rPr>
        <w:t>, ל</w:t>
      </w:r>
      <w:r w:rsidRPr="005E17DC">
        <w:rPr>
          <w:rFonts w:hint="cs"/>
          <w:b/>
          <w:bCs/>
          <w:rtl/>
        </w:rPr>
        <w:t>נוכח</w:t>
      </w:r>
      <w:r w:rsidRPr="005E17DC">
        <w:rPr>
          <w:b/>
          <w:bCs/>
          <w:rtl/>
        </w:rPr>
        <w:t xml:space="preserve"> הגידול בשעות הכוננות ובהוצאות </w:t>
      </w:r>
      <w:r w:rsidRPr="005E17DC">
        <w:rPr>
          <w:rFonts w:hint="cs"/>
          <w:b/>
          <w:bCs/>
          <w:rtl/>
        </w:rPr>
        <w:t>שבגינן,</w:t>
      </w:r>
      <w:r w:rsidRPr="005E17DC">
        <w:rPr>
          <w:b/>
          <w:bCs/>
          <w:rtl/>
        </w:rPr>
        <w:t xml:space="preserve"> </w:t>
      </w:r>
      <w:r w:rsidRPr="005E17DC">
        <w:rPr>
          <w:rFonts w:hint="eastAsia"/>
          <w:b/>
          <w:bCs/>
          <w:rtl/>
        </w:rPr>
        <w:t>ראוי</w:t>
      </w:r>
      <w:r w:rsidRPr="005E17DC">
        <w:rPr>
          <w:b/>
          <w:bCs/>
          <w:rtl/>
        </w:rPr>
        <w:t xml:space="preserve"> </w:t>
      </w:r>
      <w:r w:rsidRPr="005E17DC">
        <w:rPr>
          <w:rFonts w:hint="cs"/>
          <w:b/>
          <w:bCs/>
          <w:rtl/>
        </w:rPr>
        <w:t>ש</w:t>
      </w:r>
      <w:r w:rsidRPr="005E17DC">
        <w:rPr>
          <w:rFonts w:hint="eastAsia"/>
          <w:b/>
          <w:bCs/>
          <w:rtl/>
        </w:rPr>
        <w:t>העירייה</w:t>
      </w:r>
      <w:r w:rsidRPr="005E17DC">
        <w:rPr>
          <w:b/>
          <w:bCs/>
          <w:rtl/>
        </w:rPr>
        <w:t xml:space="preserve"> </w:t>
      </w:r>
      <w:r w:rsidRPr="005E17DC">
        <w:rPr>
          <w:rFonts w:hint="eastAsia"/>
          <w:b/>
          <w:bCs/>
          <w:rtl/>
        </w:rPr>
        <w:t>תבחן</w:t>
      </w:r>
      <w:r w:rsidRPr="005E17DC">
        <w:rPr>
          <w:b/>
          <w:bCs/>
          <w:rtl/>
        </w:rPr>
        <w:t xml:space="preserve"> </w:t>
      </w:r>
      <w:r w:rsidRPr="005E17DC">
        <w:rPr>
          <w:rFonts w:hint="cs"/>
          <w:b/>
          <w:bCs/>
          <w:rtl/>
        </w:rPr>
        <w:t xml:space="preserve">מדי פעם </w:t>
      </w:r>
      <w:r w:rsidRPr="005E17DC">
        <w:rPr>
          <w:rFonts w:hint="eastAsia"/>
          <w:b/>
          <w:bCs/>
          <w:rtl/>
        </w:rPr>
        <w:t>את</w:t>
      </w:r>
      <w:r w:rsidRPr="005E17DC">
        <w:rPr>
          <w:b/>
          <w:bCs/>
          <w:rtl/>
        </w:rPr>
        <w:t xml:space="preserve"> </w:t>
      </w:r>
      <w:r w:rsidRPr="005E17DC">
        <w:rPr>
          <w:rFonts w:hint="cs"/>
          <w:b/>
          <w:bCs/>
          <w:rtl/>
        </w:rPr>
        <w:t>נחיצותן של שעות הכוננות</w:t>
      </w:r>
      <w:r w:rsidRPr="005E17DC">
        <w:rPr>
          <w:b/>
          <w:bCs/>
          <w:rtl/>
        </w:rPr>
        <w:t xml:space="preserve"> </w:t>
      </w:r>
      <w:r w:rsidRPr="005E17DC">
        <w:rPr>
          <w:rFonts w:hint="cs"/>
          <w:b/>
          <w:bCs/>
          <w:rtl/>
        </w:rPr>
        <w:t xml:space="preserve">ותגבש מדיניות סדורה בנושא, </w:t>
      </w:r>
      <w:r w:rsidRPr="005E17DC">
        <w:rPr>
          <w:rFonts w:hint="eastAsia"/>
          <w:b/>
          <w:bCs/>
          <w:rtl/>
        </w:rPr>
        <w:t>על</w:t>
      </w:r>
      <w:r w:rsidRPr="005E17DC">
        <w:rPr>
          <w:b/>
          <w:bCs/>
          <w:rtl/>
        </w:rPr>
        <w:t xml:space="preserve"> </w:t>
      </w:r>
      <w:r w:rsidRPr="005E17DC">
        <w:rPr>
          <w:rFonts w:hint="eastAsia"/>
          <w:b/>
          <w:bCs/>
          <w:rtl/>
        </w:rPr>
        <w:t>מנת</w:t>
      </w:r>
      <w:r w:rsidRPr="005E17DC">
        <w:rPr>
          <w:b/>
          <w:bCs/>
          <w:rtl/>
        </w:rPr>
        <w:t xml:space="preserve"> </w:t>
      </w:r>
      <w:r w:rsidRPr="005E17DC">
        <w:rPr>
          <w:rFonts w:hint="eastAsia"/>
          <w:b/>
          <w:bCs/>
          <w:rtl/>
        </w:rPr>
        <w:t>להבטיח</w:t>
      </w:r>
      <w:r w:rsidRPr="005E17DC">
        <w:rPr>
          <w:b/>
          <w:bCs/>
          <w:rtl/>
        </w:rPr>
        <w:t xml:space="preserve"> </w:t>
      </w:r>
      <w:r w:rsidRPr="005E17DC">
        <w:rPr>
          <w:rFonts w:hint="eastAsia"/>
          <w:b/>
          <w:bCs/>
          <w:rtl/>
        </w:rPr>
        <w:t>ששעות</w:t>
      </w:r>
      <w:r w:rsidRPr="005E17DC">
        <w:rPr>
          <w:b/>
          <w:bCs/>
          <w:rtl/>
        </w:rPr>
        <w:t xml:space="preserve"> </w:t>
      </w:r>
      <w:r w:rsidRPr="005E17DC">
        <w:rPr>
          <w:rFonts w:hint="eastAsia"/>
          <w:b/>
          <w:bCs/>
          <w:rtl/>
        </w:rPr>
        <w:t>הכוננות</w:t>
      </w:r>
      <w:r w:rsidRPr="005E17DC">
        <w:rPr>
          <w:b/>
          <w:bCs/>
          <w:rtl/>
        </w:rPr>
        <w:t xml:space="preserve"> </w:t>
      </w:r>
      <w:r w:rsidRPr="005E17DC">
        <w:rPr>
          <w:rFonts w:hint="eastAsia"/>
          <w:b/>
          <w:bCs/>
          <w:rtl/>
        </w:rPr>
        <w:t>ישולמו</w:t>
      </w:r>
      <w:r w:rsidRPr="005E17DC">
        <w:rPr>
          <w:b/>
          <w:bCs/>
          <w:rtl/>
        </w:rPr>
        <w:t xml:space="preserve"> </w:t>
      </w:r>
      <w:r w:rsidRPr="005E17DC">
        <w:rPr>
          <w:rFonts w:hint="cs"/>
          <w:b/>
          <w:bCs/>
          <w:rtl/>
        </w:rPr>
        <w:t>כראוי</w:t>
      </w:r>
      <w:r w:rsidRPr="005E17DC">
        <w:rPr>
          <w:b/>
          <w:bCs/>
          <w:rtl/>
        </w:rPr>
        <w:t>.</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Fonts w:hint="cs"/>
          <w:rtl/>
        </w:rPr>
        <w:t>בתשובתה מסרה העירייה כי החלה לחסום את מערכת הנוכחות באופן שימנע מעובדים לדווח על כוננות בזמן מחלה.</w:t>
      </w:r>
    </w:p>
    <w:p w:rsidR="005E17DC" w:rsidRPr="005E17DC" w:rsidP="00385106">
      <w:pPr>
        <w:spacing w:line="269" w:lineRule="auto"/>
        <w:ind w:left="-567"/>
        <w:rPr>
          <w:szCs w:val="20"/>
          <w:rtl/>
        </w:rPr>
      </w:pPr>
    </w:p>
    <w:p w:rsidR="005E17DC" w:rsidRPr="005E17DC" w:rsidP="00385106">
      <w:pPr>
        <w:keepNext/>
        <w:keepLines/>
        <w:spacing w:line="269" w:lineRule="auto"/>
        <w:outlineLvl w:val="3"/>
        <w:rPr>
          <w:rFonts w:eastAsiaTheme="majorEastAsia"/>
          <w:bCs/>
          <w:szCs w:val="26"/>
          <w:rtl/>
        </w:rPr>
      </w:pPr>
      <w:r w:rsidRPr="005E17DC">
        <w:rPr>
          <w:rFonts w:eastAsiaTheme="majorEastAsia" w:hint="cs"/>
          <w:bCs/>
          <w:szCs w:val="26"/>
          <w:rtl/>
        </w:rPr>
        <w:t>העסקה ממושכת של ממלאי מקום</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Fonts w:hint="cs"/>
          <w:rtl/>
        </w:rPr>
        <w:t>סעיף 170(ב) ל</w:t>
      </w:r>
      <w:r w:rsidRPr="005E17DC">
        <w:rPr>
          <w:rtl/>
        </w:rPr>
        <w:t xml:space="preserve">פקודת העיריות </w:t>
      </w:r>
      <w:r w:rsidRPr="005E17DC">
        <w:rPr>
          <w:rFonts w:hint="cs"/>
          <w:rtl/>
        </w:rPr>
        <w:t>קובע</w:t>
      </w:r>
      <w:r w:rsidRPr="005E17DC">
        <w:rPr>
          <w:rtl/>
        </w:rPr>
        <w:t xml:space="preserve"> כי</w:t>
      </w:r>
      <w:r w:rsidRPr="005E17DC">
        <w:rPr>
          <w:rFonts w:hint="cs"/>
          <w:rtl/>
        </w:rPr>
        <w:t xml:space="preserve"> </w:t>
      </w:r>
      <w:r w:rsidRPr="005E17DC">
        <w:rPr>
          <w:rtl/>
        </w:rPr>
        <w:t xml:space="preserve">"לא יתמנה אדם לעובד </w:t>
      </w:r>
      <w:r w:rsidRPr="005E17DC">
        <w:rPr>
          <w:rFonts w:hint="cs"/>
          <w:rtl/>
        </w:rPr>
        <w:t>עיריי</w:t>
      </w:r>
      <w:r w:rsidRPr="005E17DC">
        <w:rPr>
          <w:rFonts w:hint="eastAsia"/>
          <w:rtl/>
        </w:rPr>
        <w:t>ה</w:t>
      </w:r>
      <w:r w:rsidRPr="005E17DC">
        <w:rPr>
          <w:rtl/>
        </w:rPr>
        <w:t>... למעט המנהל הכללי, אלא לאחר שראש העיריה או מי שהוא הסמיך לכך הכריז על המשרה בפומבי...".</w:t>
      </w:r>
      <w:r w:rsidRPr="005E17DC">
        <w:rPr>
          <w:rFonts w:hint="cs"/>
          <w:rtl/>
        </w:rPr>
        <w:t xml:space="preserve"> </w:t>
      </w:r>
      <w:r w:rsidRPr="005E17DC">
        <w:rPr>
          <w:rtl/>
        </w:rPr>
        <w:t>ב</w:t>
      </w:r>
      <w:r w:rsidRPr="005E17DC">
        <w:rPr>
          <w:rFonts w:hint="cs"/>
          <w:rtl/>
        </w:rPr>
        <w:t>תקנה 2 ל</w:t>
      </w:r>
      <w:r w:rsidRPr="005E17DC">
        <w:rPr>
          <w:rtl/>
        </w:rPr>
        <w:t>תקנות העיריות (מכרזים לקבלת עובדים), התש"ם-1979 (להלן - תקנות המכרזים)</w:t>
      </w:r>
      <w:r w:rsidRPr="005E17DC">
        <w:rPr>
          <w:rFonts w:hint="cs"/>
          <w:rtl/>
        </w:rPr>
        <w:t>,</w:t>
      </w:r>
      <w:r w:rsidRPr="005E17DC">
        <w:rPr>
          <w:rtl/>
        </w:rPr>
        <w:t xml:space="preserve"> נקבע כי חובה</w:t>
      </w:r>
      <w:r w:rsidRPr="005E17DC">
        <w:rPr>
          <w:rFonts w:hint="cs"/>
          <w:rtl/>
        </w:rPr>
        <w:t xml:space="preserve"> על העיריות</w:t>
      </w:r>
      <w:r w:rsidRPr="005E17DC">
        <w:rPr>
          <w:rtl/>
        </w:rPr>
        <w:t xml:space="preserve"> לקיים מכרז פומבי </w:t>
      </w:r>
      <w:r w:rsidRPr="005E17DC">
        <w:rPr>
          <w:rFonts w:hint="cs"/>
          <w:rtl/>
        </w:rPr>
        <w:t>לאיוש משרה פנויה</w:t>
      </w:r>
      <w:r>
        <w:rPr>
          <w:vertAlign w:val="superscript"/>
          <w:rtl/>
        </w:rPr>
        <w:footnoteReference w:id="49"/>
      </w:r>
      <w:r w:rsidRPr="005E17DC">
        <w:rPr>
          <w:rFonts w:hint="cs"/>
          <w:rtl/>
        </w:rPr>
        <w:t xml:space="preserve">. </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Fonts w:hint="cs"/>
          <w:rtl/>
        </w:rPr>
        <w:t>רשויות מקומיות מעסיקות לעיתים ממלאי מקום של עובדים שפרשו או יצאו לחופשה ממושכת, עד לאיוש המשרות הפנויות בהליך של מכרז, כנדרש בחוק. על מנת שהעסקת ממלא מקום לא תשמש כתחליף להליך גיוס שקוף ושוויוני באמצעות מכרזים, כנדרש על פי הדין, בתקנה 2(ב)(8) לתקנות המכרזים נקבע סייג לחובה לאייש משרה במכרז לזמן קצוב: "</w:t>
      </w:r>
      <w:r w:rsidRPr="005E17DC">
        <w:rPr>
          <w:rtl/>
        </w:rPr>
        <w:t>משרה שהתפנתה באורח קבע, לשם איושה במילוי מקום לתקופה זמנית שלא תעלה על שלושה חודשים; המנהל הכללי רשאי להאריך לתקופה נוספת של שלושה חודשים ובלבד שנוכח לדעת כי ננקטו כל הפעולות הדרושות לאיוש המשרה כדין, וכי ההארכה דרושה לשם השלמת הליך המכרז</w:t>
      </w:r>
      <w:r w:rsidRPr="005E17DC">
        <w:rPr>
          <w:rFonts w:hint="cs"/>
          <w:rtl/>
        </w:rPr>
        <w:t xml:space="preserve">". </w:t>
      </w:r>
    </w:p>
    <w:p w:rsidR="005E17DC" w:rsidRPr="005E17DC" w:rsidP="00385106">
      <w:pPr>
        <w:spacing w:line="269" w:lineRule="auto"/>
        <w:ind w:left="-567"/>
        <w:rPr>
          <w:szCs w:val="20"/>
          <w:rtl/>
        </w:rPr>
      </w:pPr>
    </w:p>
    <w:p w:rsidR="005E17DC" w:rsidRPr="005E17DC" w:rsidP="00385106">
      <w:pPr>
        <w:spacing w:line="269" w:lineRule="auto"/>
        <w:rPr>
          <w:b/>
          <w:bCs/>
          <w:rtl/>
        </w:rPr>
      </w:pPr>
      <w:r w:rsidRPr="005E17DC">
        <w:rPr>
          <w:rFonts w:hint="cs"/>
          <w:b/>
          <w:bCs/>
          <w:rtl/>
        </w:rPr>
        <w:t xml:space="preserve">משרד מבקר המדינה בדק את מצבת העובדים הרשומים </w:t>
      </w:r>
      <w:r w:rsidRPr="005E17DC">
        <w:rPr>
          <w:rFonts w:hint="cs"/>
          <w:b/>
          <w:bCs/>
          <w:rtl/>
        </w:rPr>
        <w:t>כממלאי</w:t>
      </w:r>
      <w:r w:rsidRPr="005E17DC">
        <w:rPr>
          <w:rFonts w:hint="cs"/>
          <w:b/>
          <w:bCs/>
          <w:rtl/>
        </w:rPr>
        <w:t xml:space="preserve"> מקום בספטמבר 2019 ומצא כי היא מונה כ-189 איש, רובם בתפקידים זוטרים אשר פטורים ממכרז, כגון סייעת גננת, סייעת פדגוגית, מלווה בהסעות, מנקה בבית ספר, אך 15 מהם מילאו מקום בתפקידים הטעונים מכרז, ו</w:t>
      </w:r>
      <w:r w:rsidRPr="005E17DC">
        <w:rPr>
          <w:rFonts w:hint="eastAsia"/>
          <w:b/>
          <w:bCs/>
          <w:rtl/>
        </w:rPr>
        <w:t>ש</w:t>
      </w:r>
      <w:r w:rsidRPr="005E17DC">
        <w:rPr>
          <w:rFonts w:hint="cs"/>
          <w:b/>
          <w:bCs/>
          <w:rtl/>
        </w:rPr>
        <w:t>יש</w:t>
      </w:r>
      <w:r w:rsidRPr="005E17DC">
        <w:rPr>
          <w:rFonts w:hint="eastAsia"/>
          <w:b/>
          <w:bCs/>
          <w:rtl/>
        </w:rPr>
        <w:t>ה</w:t>
      </w:r>
      <w:r w:rsidRPr="005E17DC">
        <w:rPr>
          <w:b/>
          <w:bCs/>
          <w:rtl/>
        </w:rPr>
        <w:t xml:space="preserve"> </w:t>
      </w:r>
      <w:r w:rsidRPr="005E17DC">
        <w:rPr>
          <w:rFonts w:hint="eastAsia"/>
          <w:b/>
          <w:bCs/>
          <w:rtl/>
        </w:rPr>
        <w:t>מ</w:t>
      </w:r>
      <w:r w:rsidRPr="005E17DC">
        <w:rPr>
          <w:rFonts w:hint="cs"/>
          <w:b/>
          <w:bCs/>
          <w:rtl/>
        </w:rPr>
        <w:t>הם הועסקו</w:t>
      </w:r>
      <w:r w:rsidRPr="005E17DC">
        <w:rPr>
          <w:b/>
          <w:bCs/>
          <w:rtl/>
        </w:rPr>
        <w:t xml:space="preserve"> </w:t>
      </w:r>
      <w:r w:rsidRPr="005E17DC">
        <w:rPr>
          <w:rFonts w:hint="cs"/>
          <w:b/>
          <w:bCs/>
          <w:rtl/>
        </w:rPr>
        <w:t>כממלאי</w:t>
      </w:r>
      <w:r w:rsidRPr="005E17DC">
        <w:rPr>
          <w:b/>
          <w:bCs/>
          <w:rtl/>
        </w:rPr>
        <w:t xml:space="preserve"> מקום תקופות </w:t>
      </w:r>
      <w:r w:rsidRPr="005E17DC">
        <w:rPr>
          <w:rFonts w:hint="cs"/>
          <w:b/>
          <w:bCs/>
          <w:rtl/>
        </w:rPr>
        <w:t>ארוכות</w:t>
      </w:r>
      <w:r w:rsidRPr="005E17DC">
        <w:rPr>
          <w:b/>
          <w:bCs/>
          <w:rtl/>
        </w:rPr>
        <w:t xml:space="preserve"> </w:t>
      </w:r>
      <w:r w:rsidRPr="005E17DC">
        <w:rPr>
          <w:rFonts w:hint="cs"/>
          <w:b/>
          <w:bCs/>
          <w:rtl/>
        </w:rPr>
        <w:t>ב</w:t>
      </w:r>
      <w:r w:rsidRPr="005E17DC">
        <w:rPr>
          <w:b/>
          <w:bCs/>
          <w:rtl/>
        </w:rPr>
        <w:t xml:space="preserve">הרבה </w:t>
      </w:r>
      <w:r w:rsidRPr="005E17DC">
        <w:rPr>
          <w:rFonts w:hint="cs"/>
          <w:b/>
          <w:bCs/>
          <w:rtl/>
        </w:rPr>
        <w:t>מן ה</w:t>
      </w:r>
      <w:r w:rsidRPr="005E17DC">
        <w:rPr>
          <w:b/>
          <w:bCs/>
          <w:rtl/>
        </w:rPr>
        <w:t xml:space="preserve">תקופה המותרת </w:t>
      </w:r>
      <w:r w:rsidRPr="005E17DC">
        <w:rPr>
          <w:rFonts w:hint="eastAsia"/>
          <w:b/>
          <w:bCs/>
          <w:rtl/>
        </w:rPr>
        <w:t>בתקנות</w:t>
      </w:r>
      <w:r w:rsidRPr="005E17DC">
        <w:rPr>
          <w:b/>
          <w:bCs/>
          <w:rtl/>
        </w:rPr>
        <w:t xml:space="preserve"> </w:t>
      </w:r>
      <w:r w:rsidRPr="005E17DC">
        <w:rPr>
          <w:rFonts w:hint="eastAsia"/>
          <w:b/>
          <w:bCs/>
          <w:rtl/>
        </w:rPr>
        <w:t>המכרזים</w:t>
      </w:r>
      <w:r w:rsidRPr="005E17DC">
        <w:rPr>
          <w:b/>
          <w:bCs/>
          <w:rtl/>
        </w:rPr>
        <w:t xml:space="preserve">. העלות השנתית של העסקת עובדים אלה </w:t>
      </w:r>
      <w:r w:rsidRPr="005E17DC">
        <w:rPr>
          <w:rFonts w:hint="cs"/>
          <w:b/>
          <w:bCs/>
          <w:rtl/>
        </w:rPr>
        <w:t>היא</w:t>
      </w:r>
      <w:r w:rsidRPr="005E17DC">
        <w:rPr>
          <w:b/>
          <w:bCs/>
          <w:rtl/>
        </w:rPr>
        <w:t xml:space="preserve"> כחצי מיליון ש"ח. פירוט העובדים בלוח להלן</w:t>
      </w:r>
      <w:r w:rsidRPr="005E17DC">
        <w:rPr>
          <w:rFonts w:hint="cs"/>
          <w:b/>
          <w:bCs/>
          <w:rtl/>
        </w:rPr>
        <w:t>.</w:t>
      </w:r>
      <w:r w:rsidRPr="005E17DC">
        <w:rPr>
          <w:b/>
          <w:bCs/>
          <w:rtl/>
        </w:rPr>
        <w:t xml:space="preserve"> </w:t>
      </w:r>
    </w:p>
    <w:p w:rsidR="005E17DC" w:rsidRPr="005E17DC" w:rsidP="00385106">
      <w:pPr>
        <w:spacing w:line="269" w:lineRule="auto"/>
        <w:ind w:left="-567"/>
        <w:rPr>
          <w:szCs w:val="20"/>
          <w:rtl/>
        </w:rPr>
      </w:pPr>
    </w:p>
    <w:p w:rsidR="005E17DC" w:rsidRPr="005E17DC" w:rsidP="000E5918">
      <w:pPr>
        <w:spacing w:after="120" w:line="269" w:lineRule="auto"/>
        <w:jc w:val="center"/>
        <w:rPr>
          <w:b/>
          <w:bCs/>
          <w:rtl/>
        </w:rPr>
      </w:pPr>
      <w:r w:rsidRPr="005E17DC">
        <w:rPr>
          <w:rFonts w:hint="eastAsia"/>
          <w:b/>
          <w:bCs/>
          <w:rtl/>
        </w:rPr>
        <w:t>לוח</w:t>
      </w:r>
      <w:r w:rsidRPr="005E17DC">
        <w:rPr>
          <w:b/>
          <w:bCs/>
          <w:rtl/>
        </w:rPr>
        <w:t xml:space="preserve"> </w:t>
      </w:r>
      <w:r w:rsidRPr="005E17DC">
        <w:rPr>
          <w:rFonts w:hint="cs"/>
          <w:b/>
          <w:bCs/>
          <w:rtl/>
        </w:rPr>
        <w:t>4:</w:t>
      </w:r>
      <w:r w:rsidRPr="005E17DC">
        <w:rPr>
          <w:b/>
          <w:bCs/>
          <w:rtl/>
        </w:rPr>
        <w:t xml:space="preserve"> </w:t>
      </w:r>
      <w:r w:rsidRPr="005E17DC">
        <w:rPr>
          <w:rFonts w:hint="cs"/>
          <w:b/>
          <w:bCs/>
          <w:rtl/>
        </w:rPr>
        <w:t>ממלאי</w:t>
      </w:r>
      <w:r w:rsidRPr="005E17DC">
        <w:rPr>
          <w:b/>
          <w:bCs/>
          <w:rtl/>
        </w:rPr>
        <w:t xml:space="preserve"> מקום תקופה ממושכת בעיריית רמלה</w:t>
      </w:r>
      <w:r w:rsidRPr="005E17DC">
        <w:rPr>
          <w:rFonts w:hint="cs"/>
          <w:b/>
          <w:bCs/>
          <w:rtl/>
        </w:rPr>
        <w:t>, ספטמבר 2019</w:t>
      </w:r>
    </w:p>
    <w:tbl>
      <w:tblPr>
        <w:tblStyle w:val="TableGrid"/>
        <w:bidiVisual/>
        <w:tblW w:w="0" w:type="auto"/>
        <w:tblLook w:val="0620"/>
      </w:tblPr>
      <w:tblGrid>
        <w:gridCol w:w="2034"/>
        <w:gridCol w:w="2150"/>
        <w:gridCol w:w="2123"/>
        <w:gridCol w:w="1903"/>
      </w:tblGrid>
      <w:tr w:rsidTr="00262AD9">
        <w:tblPrEx>
          <w:tblW w:w="0" w:type="auto"/>
          <w:tblLook w:val="0620"/>
        </w:tblPrEx>
        <w:tc>
          <w:tcPr>
            <w:tcW w:w="2034" w:type="dxa"/>
            <w:vAlign w:val="bottom"/>
          </w:tcPr>
          <w:p w:rsidR="005E17DC" w:rsidRPr="005E17DC" w:rsidP="00385106">
            <w:pPr>
              <w:spacing w:line="269" w:lineRule="auto"/>
              <w:jc w:val="center"/>
              <w:rPr>
                <w:b/>
                <w:bCs/>
                <w:szCs w:val="20"/>
                <w:rtl/>
              </w:rPr>
            </w:pPr>
            <w:r w:rsidRPr="005E17DC">
              <w:rPr>
                <w:rFonts w:hint="cs"/>
                <w:b/>
                <w:bCs/>
                <w:szCs w:val="20"/>
                <w:rtl/>
              </w:rPr>
              <w:t>עובד</w:t>
            </w:r>
          </w:p>
        </w:tc>
        <w:tc>
          <w:tcPr>
            <w:tcW w:w="2150" w:type="dxa"/>
            <w:vAlign w:val="bottom"/>
          </w:tcPr>
          <w:p w:rsidR="005E17DC" w:rsidRPr="005E17DC" w:rsidP="00385106">
            <w:pPr>
              <w:spacing w:line="269" w:lineRule="auto"/>
              <w:jc w:val="center"/>
              <w:rPr>
                <w:b/>
                <w:bCs/>
                <w:szCs w:val="20"/>
                <w:rtl/>
              </w:rPr>
            </w:pPr>
            <w:r w:rsidRPr="005E17DC">
              <w:rPr>
                <w:rFonts w:hint="cs"/>
                <w:b/>
                <w:bCs/>
                <w:szCs w:val="20"/>
                <w:rtl/>
              </w:rPr>
              <w:t>תחילת מילוי מקום</w:t>
            </w:r>
          </w:p>
        </w:tc>
        <w:tc>
          <w:tcPr>
            <w:tcW w:w="2123" w:type="dxa"/>
            <w:vAlign w:val="bottom"/>
          </w:tcPr>
          <w:p w:rsidR="005E17DC" w:rsidRPr="005E17DC" w:rsidP="00385106">
            <w:pPr>
              <w:spacing w:line="269" w:lineRule="auto"/>
              <w:jc w:val="center"/>
              <w:rPr>
                <w:b/>
                <w:bCs/>
                <w:szCs w:val="20"/>
                <w:rtl/>
              </w:rPr>
            </w:pPr>
            <w:r w:rsidRPr="005E17DC">
              <w:rPr>
                <w:rFonts w:hint="cs"/>
                <w:b/>
                <w:bCs/>
                <w:szCs w:val="20"/>
                <w:rtl/>
              </w:rPr>
              <w:t>מחלקה</w:t>
            </w:r>
          </w:p>
        </w:tc>
        <w:tc>
          <w:tcPr>
            <w:tcW w:w="1903" w:type="dxa"/>
            <w:vAlign w:val="bottom"/>
          </w:tcPr>
          <w:p w:rsidR="005E17DC" w:rsidRPr="005E17DC" w:rsidP="00385106">
            <w:pPr>
              <w:spacing w:line="269" w:lineRule="auto"/>
              <w:jc w:val="center"/>
              <w:rPr>
                <w:b/>
                <w:bCs/>
                <w:szCs w:val="20"/>
                <w:rtl/>
              </w:rPr>
            </w:pPr>
            <w:r w:rsidRPr="005E17DC">
              <w:rPr>
                <w:rFonts w:hint="cs"/>
                <w:b/>
                <w:bCs/>
                <w:szCs w:val="20"/>
                <w:rtl/>
              </w:rPr>
              <w:t>שנות העסקה במילוי מקום</w:t>
            </w:r>
          </w:p>
        </w:tc>
      </w:tr>
      <w:tr w:rsidTr="00262AD9">
        <w:tblPrEx>
          <w:tblW w:w="0" w:type="auto"/>
          <w:tblLook w:val="0620"/>
        </w:tblPrEx>
        <w:tc>
          <w:tcPr>
            <w:tcW w:w="2034" w:type="dxa"/>
            <w:vAlign w:val="bottom"/>
          </w:tcPr>
          <w:p w:rsidR="005E17DC" w:rsidRPr="005E17DC" w:rsidP="00385106">
            <w:pPr>
              <w:spacing w:line="269" w:lineRule="auto"/>
              <w:jc w:val="center"/>
              <w:rPr>
                <w:szCs w:val="20"/>
                <w:rtl/>
              </w:rPr>
            </w:pPr>
            <w:r w:rsidRPr="005E17DC">
              <w:rPr>
                <w:rFonts w:hint="eastAsia"/>
                <w:szCs w:val="20"/>
                <w:rtl/>
              </w:rPr>
              <w:t>עובד</w:t>
            </w:r>
            <w:r w:rsidRPr="005E17DC">
              <w:rPr>
                <w:szCs w:val="20"/>
                <w:rtl/>
              </w:rPr>
              <w:t xml:space="preserve"> </w:t>
            </w:r>
            <w:r w:rsidRPr="005E17DC">
              <w:rPr>
                <w:rFonts w:hint="eastAsia"/>
                <w:szCs w:val="20"/>
                <w:rtl/>
              </w:rPr>
              <w:t>א</w:t>
            </w:r>
            <w:r w:rsidRPr="005E17DC">
              <w:rPr>
                <w:szCs w:val="20"/>
                <w:rtl/>
              </w:rPr>
              <w:t>'</w:t>
            </w:r>
          </w:p>
        </w:tc>
        <w:tc>
          <w:tcPr>
            <w:tcW w:w="2150" w:type="dxa"/>
            <w:vAlign w:val="bottom"/>
          </w:tcPr>
          <w:p w:rsidR="005E17DC" w:rsidRPr="005E17DC" w:rsidP="00385106">
            <w:pPr>
              <w:spacing w:line="269" w:lineRule="auto"/>
              <w:jc w:val="center"/>
              <w:rPr>
                <w:szCs w:val="20"/>
                <w:rtl/>
              </w:rPr>
            </w:pPr>
            <w:r w:rsidRPr="005E17DC">
              <w:rPr>
                <w:rFonts w:hint="eastAsia"/>
                <w:szCs w:val="20"/>
                <w:rtl/>
              </w:rPr>
              <w:t>ספטמבר</w:t>
            </w:r>
            <w:r w:rsidRPr="005E17DC">
              <w:rPr>
                <w:szCs w:val="20"/>
                <w:rtl/>
              </w:rPr>
              <w:t xml:space="preserve"> 2014</w:t>
            </w:r>
          </w:p>
        </w:tc>
        <w:tc>
          <w:tcPr>
            <w:tcW w:w="2123" w:type="dxa"/>
            <w:vAlign w:val="bottom"/>
          </w:tcPr>
          <w:p w:rsidR="005E17DC" w:rsidRPr="005E17DC" w:rsidP="00385106">
            <w:pPr>
              <w:spacing w:line="269" w:lineRule="auto"/>
              <w:jc w:val="center"/>
              <w:rPr>
                <w:szCs w:val="20"/>
                <w:rtl/>
              </w:rPr>
            </w:pPr>
            <w:r w:rsidRPr="005E17DC">
              <w:rPr>
                <w:rFonts w:hint="eastAsia"/>
                <w:szCs w:val="20"/>
                <w:rtl/>
              </w:rPr>
              <w:t>הכנסות</w:t>
            </w:r>
          </w:p>
        </w:tc>
        <w:tc>
          <w:tcPr>
            <w:tcW w:w="1903" w:type="dxa"/>
            <w:vAlign w:val="bottom"/>
          </w:tcPr>
          <w:p w:rsidR="005E17DC" w:rsidRPr="005E17DC" w:rsidP="00385106">
            <w:pPr>
              <w:spacing w:line="269" w:lineRule="auto"/>
              <w:jc w:val="center"/>
              <w:rPr>
                <w:szCs w:val="20"/>
                <w:rtl/>
              </w:rPr>
            </w:pPr>
            <w:r w:rsidRPr="005E17DC">
              <w:rPr>
                <w:rFonts w:hint="cs"/>
                <w:szCs w:val="20"/>
                <w:rtl/>
              </w:rPr>
              <w:t>5</w:t>
            </w:r>
          </w:p>
        </w:tc>
      </w:tr>
      <w:tr w:rsidTr="00262AD9">
        <w:tblPrEx>
          <w:tblW w:w="0" w:type="auto"/>
          <w:tblLook w:val="0620"/>
        </w:tblPrEx>
        <w:tc>
          <w:tcPr>
            <w:tcW w:w="2034" w:type="dxa"/>
            <w:vAlign w:val="bottom"/>
          </w:tcPr>
          <w:p w:rsidR="005E17DC" w:rsidRPr="005E17DC" w:rsidP="00385106">
            <w:pPr>
              <w:spacing w:line="269" w:lineRule="auto"/>
              <w:jc w:val="center"/>
              <w:rPr>
                <w:szCs w:val="20"/>
                <w:rtl/>
              </w:rPr>
            </w:pPr>
            <w:r w:rsidRPr="005E17DC">
              <w:rPr>
                <w:rFonts w:hint="eastAsia"/>
                <w:szCs w:val="20"/>
                <w:rtl/>
              </w:rPr>
              <w:t>עובד</w:t>
            </w:r>
            <w:r w:rsidRPr="005E17DC">
              <w:rPr>
                <w:szCs w:val="20"/>
                <w:rtl/>
              </w:rPr>
              <w:t xml:space="preserve"> </w:t>
            </w:r>
            <w:r w:rsidRPr="005E17DC">
              <w:rPr>
                <w:rFonts w:hint="eastAsia"/>
                <w:szCs w:val="20"/>
                <w:rtl/>
              </w:rPr>
              <w:t>ב</w:t>
            </w:r>
            <w:r w:rsidRPr="005E17DC">
              <w:rPr>
                <w:szCs w:val="20"/>
                <w:rtl/>
              </w:rPr>
              <w:t>'</w:t>
            </w:r>
          </w:p>
        </w:tc>
        <w:tc>
          <w:tcPr>
            <w:tcW w:w="2150" w:type="dxa"/>
            <w:vAlign w:val="bottom"/>
          </w:tcPr>
          <w:p w:rsidR="005E17DC" w:rsidRPr="005E17DC" w:rsidP="00385106">
            <w:pPr>
              <w:spacing w:line="269" w:lineRule="auto"/>
              <w:jc w:val="center"/>
              <w:rPr>
                <w:szCs w:val="20"/>
                <w:rtl/>
              </w:rPr>
            </w:pPr>
            <w:r w:rsidRPr="005E17DC">
              <w:rPr>
                <w:rFonts w:hint="eastAsia"/>
                <w:szCs w:val="20"/>
                <w:rtl/>
              </w:rPr>
              <w:t>ספטמבר</w:t>
            </w:r>
            <w:r w:rsidRPr="005E17DC">
              <w:rPr>
                <w:szCs w:val="20"/>
                <w:rtl/>
              </w:rPr>
              <w:t xml:space="preserve"> 2014</w:t>
            </w:r>
          </w:p>
        </w:tc>
        <w:tc>
          <w:tcPr>
            <w:tcW w:w="2123" w:type="dxa"/>
            <w:vAlign w:val="bottom"/>
          </w:tcPr>
          <w:p w:rsidR="005E17DC" w:rsidRPr="005E17DC" w:rsidP="00385106">
            <w:pPr>
              <w:spacing w:line="269" w:lineRule="auto"/>
              <w:jc w:val="center"/>
              <w:rPr>
                <w:szCs w:val="20"/>
                <w:rtl/>
              </w:rPr>
            </w:pPr>
            <w:r w:rsidRPr="005E17DC">
              <w:rPr>
                <w:rFonts w:hint="eastAsia"/>
                <w:szCs w:val="20"/>
                <w:rtl/>
              </w:rPr>
              <w:t>הכנסות</w:t>
            </w:r>
          </w:p>
        </w:tc>
        <w:tc>
          <w:tcPr>
            <w:tcW w:w="1903" w:type="dxa"/>
            <w:vAlign w:val="bottom"/>
          </w:tcPr>
          <w:p w:rsidR="005E17DC" w:rsidRPr="005E17DC" w:rsidP="00385106">
            <w:pPr>
              <w:spacing w:line="269" w:lineRule="auto"/>
              <w:jc w:val="center"/>
              <w:rPr>
                <w:szCs w:val="20"/>
                <w:rtl/>
              </w:rPr>
            </w:pPr>
            <w:r w:rsidRPr="005E17DC">
              <w:rPr>
                <w:rFonts w:hint="cs"/>
                <w:szCs w:val="20"/>
                <w:rtl/>
              </w:rPr>
              <w:t>5</w:t>
            </w:r>
          </w:p>
        </w:tc>
      </w:tr>
      <w:tr w:rsidTr="00262AD9">
        <w:tblPrEx>
          <w:tblW w:w="0" w:type="auto"/>
          <w:tblLook w:val="0620"/>
        </w:tblPrEx>
        <w:tc>
          <w:tcPr>
            <w:tcW w:w="2034" w:type="dxa"/>
            <w:vAlign w:val="bottom"/>
          </w:tcPr>
          <w:p w:rsidR="005E17DC" w:rsidRPr="005E17DC" w:rsidP="00385106">
            <w:pPr>
              <w:spacing w:line="269" w:lineRule="auto"/>
              <w:jc w:val="center"/>
              <w:rPr>
                <w:szCs w:val="20"/>
                <w:rtl/>
              </w:rPr>
            </w:pPr>
            <w:r w:rsidRPr="005E17DC">
              <w:rPr>
                <w:rFonts w:hint="eastAsia"/>
                <w:szCs w:val="20"/>
                <w:rtl/>
              </w:rPr>
              <w:t>עובד</w:t>
            </w:r>
            <w:r w:rsidRPr="005E17DC">
              <w:rPr>
                <w:szCs w:val="20"/>
                <w:rtl/>
              </w:rPr>
              <w:t xml:space="preserve"> </w:t>
            </w:r>
            <w:r w:rsidRPr="005E17DC">
              <w:rPr>
                <w:rFonts w:hint="eastAsia"/>
                <w:szCs w:val="20"/>
                <w:rtl/>
              </w:rPr>
              <w:t>ג</w:t>
            </w:r>
            <w:r w:rsidRPr="005E17DC">
              <w:rPr>
                <w:szCs w:val="20"/>
                <w:rtl/>
              </w:rPr>
              <w:t>'</w:t>
            </w:r>
          </w:p>
        </w:tc>
        <w:tc>
          <w:tcPr>
            <w:tcW w:w="2150" w:type="dxa"/>
            <w:vAlign w:val="bottom"/>
          </w:tcPr>
          <w:p w:rsidR="005E17DC" w:rsidRPr="005E17DC" w:rsidP="00385106">
            <w:pPr>
              <w:spacing w:line="269" w:lineRule="auto"/>
              <w:jc w:val="center"/>
              <w:rPr>
                <w:szCs w:val="20"/>
                <w:rtl/>
              </w:rPr>
            </w:pPr>
            <w:r w:rsidRPr="005E17DC">
              <w:rPr>
                <w:rFonts w:hint="eastAsia"/>
                <w:szCs w:val="20"/>
                <w:rtl/>
              </w:rPr>
              <w:t>יוני</w:t>
            </w:r>
            <w:r w:rsidRPr="005E17DC">
              <w:rPr>
                <w:szCs w:val="20"/>
                <w:rtl/>
              </w:rPr>
              <w:t xml:space="preserve"> 2015</w:t>
            </w:r>
          </w:p>
        </w:tc>
        <w:tc>
          <w:tcPr>
            <w:tcW w:w="2123" w:type="dxa"/>
            <w:vAlign w:val="bottom"/>
          </w:tcPr>
          <w:p w:rsidR="005E17DC" w:rsidRPr="005E17DC" w:rsidP="00385106">
            <w:pPr>
              <w:spacing w:line="269" w:lineRule="auto"/>
              <w:jc w:val="center"/>
              <w:rPr>
                <w:szCs w:val="20"/>
                <w:rtl/>
              </w:rPr>
            </w:pPr>
            <w:r w:rsidRPr="005E17DC">
              <w:rPr>
                <w:rFonts w:hint="eastAsia"/>
                <w:szCs w:val="20"/>
                <w:rtl/>
              </w:rPr>
              <w:t>דוברות</w:t>
            </w:r>
          </w:p>
        </w:tc>
        <w:tc>
          <w:tcPr>
            <w:tcW w:w="1903" w:type="dxa"/>
            <w:vAlign w:val="bottom"/>
          </w:tcPr>
          <w:p w:rsidR="005E17DC" w:rsidRPr="005E17DC" w:rsidP="00385106">
            <w:pPr>
              <w:spacing w:line="269" w:lineRule="auto"/>
              <w:jc w:val="center"/>
              <w:rPr>
                <w:szCs w:val="20"/>
                <w:rtl/>
              </w:rPr>
            </w:pPr>
            <w:r w:rsidRPr="005E17DC">
              <w:rPr>
                <w:rFonts w:hint="cs"/>
                <w:szCs w:val="20"/>
                <w:rtl/>
              </w:rPr>
              <w:t>4.25</w:t>
            </w:r>
          </w:p>
        </w:tc>
      </w:tr>
      <w:tr w:rsidTr="00262AD9">
        <w:tblPrEx>
          <w:tblW w:w="0" w:type="auto"/>
          <w:tblLook w:val="0620"/>
        </w:tblPrEx>
        <w:tc>
          <w:tcPr>
            <w:tcW w:w="2034" w:type="dxa"/>
            <w:vAlign w:val="bottom"/>
          </w:tcPr>
          <w:p w:rsidR="005E17DC" w:rsidRPr="005E17DC" w:rsidP="00385106">
            <w:pPr>
              <w:spacing w:line="269" w:lineRule="auto"/>
              <w:jc w:val="center"/>
              <w:rPr>
                <w:szCs w:val="20"/>
                <w:rtl/>
              </w:rPr>
            </w:pPr>
            <w:r w:rsidRPr="005E17DC">
              <w:rPr>
                <w:rFonts w:hint="eastAsia"/>
                <w:szCs w:val="20"/>
                <w:rtl/>
              </w:rPr>
              <w:t>עובד</w:t>
            </w:r>
            <w:r w:rsidRPr="005E17DC">
              <w:rPr>
                <w:szCs w:val="20"/>
                <w:rtl/>
              </w:rPr>
              <w:t xml:space="preserve"> </w:t>
            </w:r>
            <w:r w:rsidRPr="005E17DC">
              <w:rPr>
                <w:rFonts w:hint="eastAsia"/>
                <w:szCs w:val="20"/>
                <w:rtl/>
              </w:rPr>
              <w:t>ד</w:t>
            </w:r>
            <w:r w:rsidRPr="005E17DC">
              <w:rPr>
                <w:szCs w:val="20"/>
                <w:rtl/>
              </w:rPr>
              <w:t>'</w:t>
            </w:r>
          </w:p>
        </w:tc>
        <w:tc>
          <w:tcPr>
            <w:tcW w:w="2150" w:type="dxa"/>
            <w:vAlign w:val="bottom"/>
          </w:tcPr>
          <w:p w:rsidR="005E17DC" w:rsidRPr="005E17DC" w:rsidP="00385106">
            <w:pPr>
              <w:spacing w:line="269" w:lineRule="auto"/>
              <w:jc w:val="center"/>
              <w:rPr>
                <w:szCs w:val="20"/>
                <w:rtl/>
              </w:rPr>
            </w:pPr>
            <w:r w:rsidRPr="005E17DC">
              <w:rPr>
                <w:rFonts w:hint="eastAsia"/>
                <w:szCs w:val="20"/>
                <w:rtl/>
              </w:rPr>
              <w:t>יוני</w:t>
            </w:r>
            <w:r w:rsidRPr="005E17DC">
              <w:rPr>
                <w:szCs w:val="20"/>
                <w:rtl/>
              </w:rPr>
              <w:t xml:space="preserve"> 2016</w:t>
            </w:r>
          </w:p>
        </w:tc>
        <w:tc>
          <w:tcPr>
            <w:tcW w:w="2123" w:type="dxa"/>
            <w:vAlign w:val="bottom"/>
          </w:tcPr>
          <w:p w:rsidR="005E17DC" w:rsidRPr="005E17DC" w:rsidP="00385106">
            <w:pPr>
              <w:spacing w:line="269" w:lineRule="auto"/>
              <w:jc w:val="center"/>
              <w:rPr>
                <w:szCs w:val="20"/>
                <w:rtl/>
              </w:rPr>
            </w:pPr>
            <w:r w:rsidRPr="005E17DC">
              <w:rPr>
                <w:rFonts w:hint="eastAsia"/>
                <w:szCs w:val="20"/>
                <w:rtl/>
              </w:rPr>
              <w:t>מ</w:t>
            </w:r>
            <w:r w:rsidRPr="005E17DC">
              <w:rPr>
                <w:rFonts w:hint="cs"/>
                <w:szCs w:val="20"/>
                <w:rtl/>
              </w:rPr>
              <w:t>י</w:t>
            </w:r>
            <w:r w:rsidRPr="005E17DC">
              <w:rPr>
                <w:rFonts w:hint="eastAsia"/>
                <w:szCs w:val="20"/>
                <w:rtl/>
              </w:rPr>
              <w:t>נהל</w:t>
            </w:r>
            <w:r w:rsidRPr="005E17DC">
              <w:rPr>
                <w:szCs w:val="20"/>
                <w:rtl/>
              </w:rPr>
              <w:t xml:space="preserve"> </w:t>
            </w:r>
            <w:r w:rsidRPr="005E17DC">
              <w:rPr>
                <w:rFonts w:hint="eastAsia"/>
                <w:szCs w:val="20"/>
                <w:rtl/>
              </w:rPr>
              <w:t>ספורט</w:t>
            </w:r>
          </w:p>
        </w:tc>
        <w:tc>
          <w:tcPr>
            <w:tcW w:w="1903" w:type="dxa"/>
            <w:vAlign w:val="bottom"/>
          </w:tcPr>
          <w:p w:rsidR="005E17DC" w:rsidRPr="005E17DC" w:rsidP="00385106">
            <w:pPr>
              <w:spacing w:line="269" w:lineRule="auto"/>
              <w:jc w:val="center"/>
              <w:rPr>
                <w:szCs w:val="20"/>
                <w:rtl/>
              </w:rPr>
            </w:pPr>
            <w:r w:rsidRPr="005E17DC">
              <w:rPr>
                <w:rFonts w:hint="cs"/>
                <w:szCs w:val="20"/>
                <w:rtl/>
              </w:rPr>
              <w:t>3.25</w:t>
            </w:r>
          </w:p>
        </w:tc>
      </w:tr>
      <w:tr w:rsidTr="00262AD9">
        <w:tblPrEx>
          <w:tblW w:w="0" w:type="auto"/>
          <w:tblLook w:val="0620"/>
        </w:tblPrEx>
        <w:tc>
          <w:tcPr>
            <w:tcW w:w="2034" w:type="dxa"/>
            <w:vAlign w:val="bottom"/>
          </w:tcPr>
          <w:p w:rsidR="005E17DC" w:rsidRPr="005E17DC" w:rsidP="00385106">
            <w:pPr>
              <w:spacing w:line="269" w:lineRule="auto"/>
              <w:jc w:val="center"/>
              <w:rPr>
                <w:szCs w:val="20"/>
                <w:rtl/>
              </w:rPr>
            </w:pPr>
            <w:r w:rsidRPr="005E17DC">
              <w:rPr>
                <w:rFonts w:hint="eastAsia"/>
                <w:szCs w:val="20"/>
                <w:rtl/>
              </w:rPr>
              <w:t>עובד</w:t>
            </w:r>
            <w:r w:rsidRPr="005E17DC">
              <w:rPr>
                <w:szCs w:val="20"/>
                <w:rtl/>
              </w:rPr>
              <w:t xml:space="preserve"> </w:t>
            </w:r>
            <w:r w:rsidRPr="005E17DC">
              <w:rPr>
                <w:rFonts w:hint="cs"/>
                <w:szCs w:val="20"/>
                <w:rtl/>
              </w:rPr>
              <w:t>ה</w:t>
            </w:r>
            <w:r w:rsidRPr="005E17DC">
              <w:rPr>
                <w:szCs w:val="20"/>
                <w:rtl/>
              </w:rPr>
              <w:t>'</w:t>
            </w:r>
          </w:p>
        </w:tc>
        <w:tc>
          <w:tcPr>
            <w:tcW w:w="2150" w:type="dxa"/>
            <w:vAlign w:val="bottom"/>
          </w:tcPr>
          <w:p w:rsidR="005E17DC" w:rsidRPr="005E17DC" w:rsidP="00385106">
            <w:pPr>
              <w:spacing w:line="269" w:lineRule="auto"/>
              <w:jc w:val="center"/>
              <w:rPr>
                <w:szCs w:val="20"/>
                <w:rtl/>
              </w:rPr>
            </w:pPr>
            <w:r w:rsidRPr="005E17DC">
              <w:rPr>
                <w:rFonts w:hint="eastAsia"/>
                <w:szCs w:val="20"/>
                <w:rtl/>
              </w:rPr>
              <w:t>ספטמבר</w:t>
            </w:r>
            <w:r w:rsidRPr="005E17DC">
              <w:rPr>
                <w:szCs w:val="20"/>
                <w:rtl/>
              </w:rPr>
              <w:t xml:space="preserve"> 2017</w:t>
            </w:r>
          </w:p>
        </w:tc>
        <w:tc>
          <w:tcPr>
            <w:tcW w:w="2123" w:type="dxa"/>
            <w:vAlign w:val="bottom"/>
          </w:tcPr>
          <w:p w:rsidR="005E17DC" w:rsidRPr="005E17DC" w:rsidP="00385106">
            <w:pPr>
              <w:spacing w:line="269" w:lineRule="auto"/>
              <w:jc w:val="center"/>
              <w:rPr>
                <w:szCs w:val="20"/>
                <w:rtl/>
              </w:rPr>
            </w:pPr>
            <w:r w:rsidRPr="005E17DC">
              <w:rPr>
                <w:rFonts w:hint="eastAsia"/>
                <w:szCs w:val="20"/>
                <w:rtl/>
              </w:rPr>
              <w:t>משאבי</w:t>
            </w:r>
            <w:r w:rsidRPr="005E17DC">
              <w:rPr>
                <w:szCs w:val="20"/>
                <w:rtl/>
              </w:rPr>
              <w:t xml:space="preserve"> </w:t>
            </w:r>
            <w:r w:rsidRPr="005E17DC">
              <w:rPr>
                <w:rFonts w:hint="eastAsia"/>
                <w:szCs w:val="20"/>
                <w:rtl/>
              </w:rPr>
              <w:t>אנוש</w:t>
            </w:r>
          </w:p>
        </w:tc>
        <w:tc>
          <w:tcPr>
            <w:tcW w:w="1903" w:type="dxa"/>
            <w:vAlign w:val="bottom"/>
          </w:tcPr>
          <w:p w:rsidR="005E17DC" w:rsidRPr="005E17DC" w:rsidP="00385106">
            <w:pPr>
              <w:spacing w:line="269" w:lineRule="auto"/>
              <w:jc w:val="center"/>
              <w:rPr>
                <w:szCs w:val="20"/>
                <w:rtl/>
              </w:rPr>
            </w:pPr>
            <w:r w:rsidRPr="005E17DC">
              <w:rPr>
                <w:rFonts w:hint="cs"/>
                <w:szCs w:val="20"/>
                <w:rtl/>
              </w:rPr>
              <w:t>2</w:t>
            </w:r>
          </w:p>
        </w:tc>
      </w:tr>
      <w:tr w:rsidTr="00262AD9">
        <w:tblPrEx>
          <w:tblW w:w="0" w:type="auto"/>
          <w:tblLook w:val="0620"/>
        </w:tblPrEx>
        <w:trPr>
          <w:trHeight w:val="70"/>
        </w:trPr>
        <w:tc>
          <w:tcPr>
            <w:tcW w:w="2034" w:type="dxa"/>
            <w:vAlign w:val="bottom"/>
          </w:tcPr>
          <w:p w:rsidR="005E17DC" w:rsidRPr="005E17DC" w:rsidP="00385106">
            <w:pPr>
              <w:spacing w:line="269" w:lineRule="auto"/>
              <w:jc w:val="center"/>
              <w:rPr>
                <w:szCs w:val="20"/>
                <w:rtl/>
              </w:rPr>
            </w:pPr>
            <w:r w:rsidRPr="005E17DC">
              <w:rPr>
                <w:rFonts w:hint="eastAsia"/>
                <w:szCs w:val="20"/>
                <w:rtl/>
              </w:rPr>
              <w:t>עובד</w:t>
            </w:r>
            <w:r w:rsidRPr="005E17DC">
              <w:rPr>
                <w:szCs w:val="20"/>
                <w:rtl/>
              </w:rPr>
              <w:t xml:space="preserve"> </w:t>
            </w:r>
            <w:r w:rsidRPr="005E17DC">
              <w:rPr>
                <w:rFonts w:hint="cs"/>
                <w:szCs w:val="20"/>
                <w:rtl/>
              </w:rPr>
              <w:t>ו</w:t>
            </w:r>
            <w:r w:rsidRPr="005E17DC">
              <w:rPr>
                <w:szCs w:val="20"/>
                <w:rtl/>
              </w:rPr>
              <w:t>'</w:t>
            </w:r>
          </w:p>
        </w:tc>
        <w:tc>
          <w:tcPr>
            <w:tcW w:w="2150" w:type="dxa"/>
            <w:vAlign w:val="bottom"/>
          </w:tcPr>
          <w:p w:rsidR="005E17DC" w:rsidRPr="005E17DC" w:rsidP="00385106">
            <w:pPr>
              <w:spacing w:line="269" w:lineRule="auto"/>
              <w:jc w:val="center"/>
              <w:rPr>
                <w:szCs w:val="20"/>
                <w:rtl/>
              </w:rPr>
            </w:pPr>
            <w:r w:rsidRPr="005E17DC">
              <w:rPr>
                <w:rFonts w:hint="eastAsia"/>
                <w:szCs w:val="20"/>
                <w:rtl/>
              </w:rPr>
              <w:t>ספטמבר</w:t>
            </w:r>
            <w:r w:rsidRPr="005E17DC">
              <w:rPr>
                <w:szCs w:val="20"/>
                <w:rtl/>
              </w:rPr>
              <w:t xml:space="preserve"> 2017</w:t>
            </w:r>
          </w:p>
        </w:tc>
        <w:tc>
          <w:tcPr>
            <w:tcW w:w="2123" w:type="dxa"/>
            <w:vAlign w:val="bottom"/>
          </w:tcPr>
          <w:p w:rsidR="005E17DC" w:rsidRPr="005E17DC" w:rsidP="00385106">
            <w:pPr>
              <w:spacing w:line="269" w:lineRule="auto"/>
              <w:jc w:val="center"/>
              <w:rPr>
                <w:szCs w:val="20"/>
                <w:rtl/>
              </w:rPr>
            </w:pPr>
            <w:r w:rsidRPr="005E17DC">
              <w:rPr>
                <w:rFonts w:hint="eastAsia"/>
                <w:szCs w:val="20"/>
                <w:rtl/>
              </w:rPr>
              <w:t>ועד</w:t>
            </w:r>
            <w:r w:rsidRPr="005E17DC">
              <w:rPr>
                <w:szCs w:val="20"/>
                <w:rtl/>
              </w:rPr>
              <w:t xml:space="preserve"> </w:t>
            </w:r>
            <w:r w:rsidRPr="005E17DC">
              <w:rPr>
                <w:rFonts w:hint="eastAsia"/>
                <w:szCs w:val="20"/>
                <w:rtl/>
              </w:rPr>
              <w:t>עובדים</w:t>
            </w:r>
          </w:p>
        </w:tc>
        <w:tc>
          <w:tcPr>
            <w:tcW w:w="1903" w:type="dxa"/>
            <w:vAlign w:val="bottom"/>
          </w:tcPr>
          <w:p w:rsidR="005E17DC" w:rsidRPr="005E17DC" w:rsidP="00385106">
            <w:pPr>
              <w:spacing w:line="269" w:lineRule="auto"/>
              <w:jc w:val="center"/>
              <w:rPr>
                <w:szCs w:val="20"/>
                <w:rtl/>
              </w:rPr>
            </w:pPr>
            <w:r w:rsidRPr="005E17DC">
              <w:rPr>
                <w:rFonts w:hint="cs"/>
                <w:szCs w:val="20"/>
                <w:rtl/>
              </w:rPr>
              <w:t>2</w:t>
            </w:r>
          </w:p>
        </w:tc>
      </w:tr>
    </w:tbl>
    <w:p w:rsidR="005E17DC" w:rsidRPr="005E17DC" w:rsidP="000E5918">
      <w:pPr>
        <w:spacing w:before="120" w:line="269" w:lineRule="auto"/>
        <w:jc w:val="left"/>
        <w:rPr>
          <w:b/>
          <w:bCs/>
          <w:rtl/>
        </w:rPr>
      </w:pPr>
      <w:r w:rsidRPr="005E17DC">
        <w:rPr>
          <w:rFonts w:hint="cs"/>
          <w:sz w:val="22"/>
          <w:szCs w:val="22"/>
          <w:rtl/>
        </w:rPr>
        <w:t>על פי</w:t>
      </w:r>
      <w:r w:rsidRPr="005E17DC">
        <w:rPr>
          <w:sz w:val="22"/>
          <w:szCs w:val="22"/>
          <w:rtl/>
        </w:rPr>
        <w:t xml:space="preserve"> </w:t>
      </w:r>
      <w:r w:rsidRPr="005E17DC">
        <w:rPr>
          <w:rFonts w:hint="eastAsia"/>
          <w:sz w:val="22"/>
          <w:szCs w:val="22"/>
          <w:rtl/>
        </w:rPr>
        <w:t>נתוני</w:t>
      </w:r>
      <w:r w:rsidRPr="005E17DC">
        <w:rPr>
          <w:sz w:val="22"/>
          <w:szCs w:val="22"/>
          <w:rtl/>
        </w:rPr>
        <w:t xml:space="preserve"> </w:t>
      </w:r>
      <w:r w:rsidRPr="005E17DC">
        <w:rPr>
          <w:rFonts w:hint="eastAsia"/>
          <w:sz w:val="22"/>
          <w:szCs w:val="22"/>
          <w:rtl/>
        </w:rPr>
        <w:t>עיריית</w:t>
      </w:r>
      <w:r w:rsidRPr="005E17DC">
        <w:rPr>
          <w:sz w:val="22"/>
          <w:szCs w:val="22"/>
          <w:rtl/>
        </w:rPr>
        <w:t xml:space="preserve"> </w:t>
      </w:r>
      <w:r w:rsidRPr="005E17DC">
        <w:rPr>
          <w:rFonts w:hint="eastAsia"/>
          <w:sz w:val="22"/>
          <w:szCs w:val="22"/>
          <w:rtl/>
        </w:rPr>
        <w:t>רמלה</w:t>
      </w:r>
      <w:r w:rsidRPr="005E17DC">
        <w:rPr>
          <w:rFonts w:hint="cs"/>
          <w:sz w:val="22"/>
          <w:szCs w:val="22"/>
          <w:rtl/>
        </w:rPr>
        <w:t>,</w:t>
      </w:r>
      <w:r w:rsidRPr="005E17DC">
        <w:rPr>
          <w:sz w:val="22"/>
          <w:szCs w:val="22"/>
          <w:rtl/>
        </w:rPr>
        <w:t xml:space="preserve"> </w:t>
      </w:r>
      <w:r w:rsidRPr="005E17DC">
        <w:rPr>
          <w:rFonts w:hint="eastAsia"/>
          <w:sz w:val="22"/>
          <w:szCs w:val="22"/>
          <w:rtl/>
        </w:rPr>
        <w:t>בעיבוד</w:t>
      </w:r>
      <w:r w:rsidRPr="005E17DC">
        <w:rPr>
          <w:sz w:val="22"/>
          <w:szCs w:val="22"/>
          <w:rtl/>
        </w:rPr>
        <w:t xml:space="preserve"> </w:t>
      </w:r>
      <w:r w:rsidRPr="005E17DC">
        <w:rPr>
          <w:rFonts w:hint="eastAsia"/>
          <w:sz w:val="22"/>
          <w:szCs w:val="22"/>
          <w:rtl/>
        </w:rPr>
        <w:t>משרד</w:t>
      </w:r>
      <w:r w:rsidRPr="005E17DC">
        <w:rPr>
          <w:sz w:val="22"/>
          <w:szCs w:val="22"/>
          <w:rtl/>
        </w:rPr>
        <w:t xml:space="preserve"> </w:t>
      </w:r>
      <w:r w:rsidRPr="005E17DC">
        <w:rPr>
          <w:rFonts w:hint="eastAsia"/>
          <w:sz w:val="22"/>
          <w:szCs w:val="22"/>
          <w:rtl/>
        </w:rPr>
        <w:t>מבקר</w:t>
      </w:r>
      <w:r w:rsidRPr="005E17DC">
        <w:rPr>
          <w:sz w:val="22"/>
          <w:szCs w:val="22"/>
          <w:rtl/>
        </w:rPr>
        <w:t xml:space="preserve"> </w:t>
      </w:r>
      <w:r w:rsidRPr="005E17DC">
        <w:rPr>
          <w:rFonts w:hint="eastAsia"/>
          <w:sz w:val="22"/>
          <w:szCs w:val="22"/>
          <w:rtl/>
        </w:rPr>
        <w:t>המדינה</w:t>
      </w:r>
      <w:r w:rsidRPr="005E17DC">
        <w:rPr>
          <w:rFonts w:hint="cs"/>
          <w:sz w:val="22"/>
          <w:szCs w:val="22"/>
          <w:rtl/>
        </w:rPr>
        <w:t>.</w:t>
      </w:r>
    </w:p>
    <w:p w:rsidR="005E17DC" w:rsidRPr="005E17DC" w:rsidP="00385106">
      <w:pPr>
        <w:spacing w:line="269" w:lineRule="auto"/>
        <w:ind w:left="-567"/>
        <w:rPr>
          <w:szCs w:val="20"/>
          <w:rtl/>
        </w:rPr>
      </w:pPr>
    </w:p>
    <w:p w:rsidR="005E17DC" w:rsidRPr="005E17DC" w:rsidP="00385106">
      <w:pPr>
        <w:spacing w:line="269" w:lineRule="auto"/>
        <w:rPr>
          <w:b/>
          <w:bCs/>
          <w:rtl/>
        </w:rPr>
      </w:pPr>
      <w:r w:rsidRPr="005E17DC">
        <w:rPr>
          <w:rFonts w:hint="cs"/>
          <w:b/>
          <w:bCs/>
          <w:rtl/>
        </w:rPr>
        <w:t xml:space="preserve">איוש משרות ממושך במתכונת של ממלאי מקום שלא נבחרו במכרז עוקף את דיני המכרזים ומרוקן מתוכן את עקרונותיהם. על עיריית רמלה לפעול בהקדם לאייש כדין את משרותיהם של עובדים המועסקים תקופה ממושכת </w:t>
      </w:r>
      <w:r w:rsidRPr="005E17DC">
        <w:rPr>
          <w:rFonts w:hint="cs"/>
          <w:b/>
          <w:bCs/>
          <w:rtl/>
        </w:rPr>
        <w:t>כממלאי</w:t>
      </w:r>
      <w:r w:rsidRPr="005E17DC">
        <w:rPr>
          <w:rFonts w:hint="cs"/>
          <w:b/>
          <w:bCs/>
          <w:rtl/>
        </w:rPr>
        <w:t xml:space="preserve"> מקום. עליה לרענן את הוראות הדין בנושא ולהימנע להבא מהעסקה ממושכת של ממלאי מקום. </w:t>
      </w:r>
    </w:p>
    <w:p w:rsidR="000E5918" w:rsidP="000E5918">
      <w:pPr>
        <w:pStyle w:val="a"/>
        <w:rPr>
          <w:rtl/>
        </w:rPr>
      </w:pPr>
    </w:p>
    <w:p w:rsidR="005E17DC" w:rsidRPr="005E17DC" w:rsidP="00385106">
      <w:pPr>
        <w:spacing w:line="269" w:lineRule="auto"/>
        <w:rPr>
          <w:rtl/>
        </w:rPr>
      </w:pPr>
      <w:r w:rsidRPr="005E17DC">
        <w:rPr>
          <w:rFonts w:hint="cs"/>
          <w:rtl/>
        </w:rPr>
        <w:t>בתשובתה מסרה העירייה כי בעקבות הביקורת הוסדרה העסקת שלושה מששת העובדים המצוינים בדוח וכי תפעל להסדרת העסקתם של שלושת העובדים האחרים.</w:t>
      </w:r>
    </w:p>
    <w:p w:rsidR="005E17DC" w:rsidRPr="005E17DC" w:rsidP="00385106">
      <w:pPr>
        <w:spacing w:line="269" w:lineRule="auto"/>
        <w:rPr>
          <w:szCs w:val="20"/>
          <w:rtl/>
        </w:rPr>
      </w:pPr>
    </w:p>
    <w:p w:rsidR="005E17DC" w:rsidRPr="005E17DC" w:rsidP="00385106">
      <w:pPr>
        <w:keepNext/>
        <w:keepLines/>
        <w:spacing w:line="269" w:lineRule="auto"/>
        <w:outlineLvl w:val="3"/>
        <w:rPr>
          <w:rFonts w:eastAsiaTheme="majorEastAsia"/>
          <w:bCs/>
          <w:szCs w:val="26"/>
          <w:rtl/>
        </w:rPr>
      </w:pPr>
      <w:r w:rsidRPr="005E17DC">
        <w:rPr>
          <w:rFonts w:eastAsiaTheme="majorEastAsia" w:hint="cs"/>
          <w:bCs/>
          <w:szCs w:val="26"/>
          <w:rtl/>
        </w:rPr>
        <w:t>היתר לעבודות חוץ</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tl/>
        </w:rPr>
        <w:t xml:space="preserve">עובדי הרשויות המקומיות מחויבים </w:t>
      </w:r>
      <w:r w:rsidRPr="005E17DC">
        <w:rPr>
          <w:rFonts w:hint="cs"/>
          <w:rtl/>
        </w:rPr>
        <w:t>ל</w:t>
      </w:r>
      <w:r w:rsidRPr="005E17DC">
        <w:rPr>
          <w:rtl/>
        </w:rPr>
        <w:t xml:space="preserve">רשות המקומית </w:t>
      </w:r>
      <w:r w:rsidRPr="005E17DC">
        <w:rPr>
          <w:rFonts w:hint="cs"/>
          <w:rtl/>
        </w:rPr>
        <w:t>ש</w:t>
      </w:r>
      <w:r w:rsidRPr="005E17DC">
        <w:rPr>
          <w:rtl/>
        </w:rPr>
        <w:t>הם מועסקים</w:t>
      </w:r>
      <w:r w:rsidRPr="005E17DC">
        <w:rPr>
          <w:rFonts w:hint="cs"/>
          <w:rtl/>
        </w:rPr>
        <w:t xml:space="preserve"> בה </w:t>
      </w:r>
      <w:r w:rsidRPr="005E17DC">
        <w:rPr>
          <w:rtl/>
        </w:rPr>
        <w:t xml:space="preserve">לפעול </w:t>
      </w:r>
      <w:r w:rsidRPr="005E17DC">
        <w:rPr>
          <w:rFonts w:hint="cs"/>
          <w:rtl/>
        </w:rPr>
        <w:t>ביעילות ובמועילות,</w:t>
      </w:r>
      <w:r w:rsidRPr="005E17DC">
        <w:rPr>
          <w:rtl/>
        </w:rPr>
        <w:t xml:space="preserve"> ועל מנת שיעשו זאת נקבעו בדין מגבלות על עיסוק בעבוד</w:t>
      </w:r>
      <w:r w:rsidRPr="005E17DC">
        <w:rPr>
          <w:rFonts w:hint="cs"/>
          <w:rtl/>
        </w:rPr>
        <w:t>ות</w:t>
      </w:r>
      <w:r w:rsidRPr="005E17DC">
        <w:rPr>
          <w:rtl/>
        </w:rPr>
        <w:t xml:space="preserve"> נוספ</w:t>
      </w:r>
      <w:r w:rsidRPr="005E17DC">
        <w:rPr>
          <w:rFonts w:hint="cs"/>
          <w:rtl/>
        </w:rPr>
        <w:t>ו</w:t>
      </w:r>
      <w:r w:rsidRPr="005E17DC">
        <w:rPr>
          <w:rtl/>
        </w:rPr>
        <w:t>ת</w:t>
      </w:r>
      <w:r w:rsidRPr="005E17DC">
        <w:rPr>
          <w:rFonts w:hint="cs"/>
          <w:rtl/>
        </w:rPr>
        <w:t xml:space="preserve"> מחוץ לעירייה</w:t>
      </w:r>
      <w:r w:rsidRPr="005E17DC">
        <w:rPr>
          <w:rtl/>
        </w:rPr>
        <w:t>.</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tl/>
        </w:rPr>
        <w:t>סעיף 177 לפקודת העיריות קובע</w:t>
      </w:r>
      <w:r w:rsidRPr="005E17DC">
        <w:rPr>
          <w:rFonts w:hint="cs"/>
          <w:rtl/>
        </w:rPr>
        <w:t>:</w:t>
      </w:r>
      <w:r w:rsidRPr="005E17DC">
        <w:rPr>
          <w:rtl/>
        </w:rPr>
        <w:t xml:space="preserve"> "עובד עירייה לא יעסוק ולא ישתתף, במישרין או בעקיפין, בעבודת-חוץ"</w:t>
      </w:r>
      <w:r w:rsidRPr="005E17DC">
        <w:rPr>
          <w:rFonts w:hint="cs"/>
          <w:rtl/>
        </w:rPr>
        <w:t>.</w:t>
      </w:r>
      <w:r w:rsidRPr="005E17DC">
        <w:rPr>
          <w:rtl/>
        </w:rPr>
        <w:t xml:space="preserve"> סעיף </w:t>
      </w:r>
      <w:r w:rsidRPr="005E17DC">
        <w:rPr>
          <w:rFonts w:hint="cs"/>
          <w:rtl/>
        </w:rPr>
        <w:t xml:space="preserve">180 </w:t>
      </w:r>
      <w:r w:rsidRPr="005E17DC">
        <w:rPr>
          <w:rtl/>
        </w:rPr>
        <w:t>לפקודת העיריות ק</w:t>
      </w:r>
      <w:r w:rsidRPr="005E17DC">
        <w:rPr>
          <w:rFonts w:hint="cs"/>
          <w:rtl/>
        </w:rPr>
        <w:t>ו</w:t>
      </w:r>
      <w:r w:rsidRPr="005E17DC">
        <w:rPr>
          <w:rtl/>
        </w:rPr>
        <w:t>בע</w:t>
      </w:r>
      <w:r w:rsidRPr="005E17DC">
        <w:rPr>
          <w:rFonts w:hint="cs"/>
          <w:rtl/>
        </w:rPr>
        <w:t xml:space="preserve"> כי מועצת העירייה רשאית להתיר לעובדי עירייה לעבוד בעבודת חוץ בתנאי שעבודה זו </w:t>
      </w:r>
      <w:r w:rsidRPr="005E17DC">
        <w:rPr>
          <w:rtl/>
        </w:rPr>
        <w:t>אינה עשויה לפגו</w:t>
      </w:r>
      <w:r w:rsidRPr="005E17DC">
        <w:rPr>
          <w:rFonts w:hint="cs"/>
          <w:rtl/>
        </w:rPr>
        <w:t>ע</w:t>
      </w:r>
      <w:r w:rsidRPr="005E17DC">
        <w:rPr>
          <w:rtl/>
        </w:rPr>
        <w:t xml:space="preserve"> בתפקידו של עובד העיריה;</w:t>
      </w:r>
      <w:r w:rsidRPr="005E17DC">
        <w:rPr>
          <w:rFonts w:hint="cs"/>
          <w:rtl/>
        </w:rPr>
        <w:t xml:space="preserve"> בתנאי ש</w:t>
      </w:r>
      <w:r w:rsidRPr="005E17DC">
        <w:rPr>
          <w:rtl/>
        </w:rPr>
        <w:t xml:space="preserve">אין בה כדי ליצור התקשרות בין העובד </w:t>
      </w:r>
      <w:r w:rsidRPr="005E17DC">
        <w:rPr>
          <w:rFonts w:hint="cs"/>
          <w:rtl/>
        </w:rPr>
        <w:t>ו</w:t>
      </w:r>
      <w:r w:rsidRPr="005E17DC">
        <w:rPr>
          <w:rtl/>
        </w:rPr>
        <w:t>בין אדם, תאגיד או מוסד העומדים במגע כספי, מסחרי או עני</w:t>
      </w:r>
      <w:r w:rsidRPr="005E17DC">
        <w:rPr>
          <w:rFonts w:hint="cs"/>
          <w:rtl/>
        </w:rPr>
        <w:t>י</w:t>
      </w:r>
      <w:r w:rsidRPr="005E17DC">
        <w:rPr>
          <w:rtl/>
        </w:rPr>
        <w:t>ני עם העיריה;</w:t>
      </w:r>
      <w:r w:rsidRPr="005E17DC">
        <w:rPr>
          <w:rFonts w:hint="cs"/>
          <w:rtl/>
        </w:rPr>
        <w:t xml:space="preserve"> ובתנאי ש</w:t>
      </w:r>
      <w:r w:rsidRPr="005E17DC">
        <w:rPr>
          <w:rtl/>
        </w:rPr>
        <w:t>העובד הצהיר על ה</w:t>
      </w:r>
      <w:r w:rsidRPr="005E17DC">
        <w:rPr>
          <w:rFonts w:hint="cs"/>
          <w:rtl/>
        </w:rPr>
        <w:t>תמורה</w:t>
      </w:r>
      <w:r w:rsidRPr="005E17DC">
        <w:rPr>
          <w:rtl/>
        </w:rPr>
        <w:t xml:space="preserve"> שיקבל בעדה.</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Fonts w:hint="cs"/>
          <w:rtl/>
        </w:rPr>
        <w:t xml:space="preserve">בשנת 2019 היו </w:t>
      </w:r>
      <w:r w:rsidRPr="005E17DC">
        <w:rPr>
          <w:rtl/>
        </w:rPr>
        <w:t xml:space="preserve">בעיריית רמלה 14 עובדים </w:t>
      </w:r>
      <w:r w:rsidRPr="005E17DC">
        <w:rPr>
          <w:rFonts w:hint="cs"/>
          <w:rtl/>
        </w:rPr>
        <w:t>ש</w:t>
      </w:r>
      <w:r w:rsidRPr="005E17DC">
        <w:rPr>
          <w:rtl/>
        </w:rPr>
        <w:t>קיבלו מ</w:t>
      </w:r>
      <w:r w:rsidRPr="005E17DC">
        <w:rPr>
          <w:rFonts w:hint="cs"/>
          <w:rtl/>
        </w:rPr>
        <w:t>מנ</w:t>
      </w:r>
      <w:r w:rsidRPr="005E17DC">
        <w:rPr>
          <w:rtl/>
        </w:rPr>
        <w:t>ה היתר לעבודות חוץ</w:t>
      </w:r>
      <w:r w:rsidRPr="005E17DC">
        <w:rPr>
          <w:rFonts w:hint="cs"/>
          <w:rtl/>
        </w:rPr>
        <w:t>, שניתן להם לאחר מילוי טופס ייעודי לכך.</w:t>
      </w:r>
      <w:r w:rsidRPr="005E17DC">
        <w:rPr>
          <w:rtl/>
        </w:rPr>
        <w:t xml:space="preserve"> מקצתם </w:t>
      </w:r>
      <w:r w:rsidRPr="005E17DC">
        <w:rPr>
          <w:rFonts w:hint="cs"/>
          <w:rtl/>
        </w:rPr>
        <w:t>ממלאים</w:t>
      </w:r>
      <w:r w:rsidRPr="005E17DC">
        <w:rPr>
          <w:rtl/>
        </w:rPr>
        <w:t xml:space="preserve"> תפקיד בכיר בעירייה או עובדים </w:t>
      </w:r>
      <w:r w:rsidRPr="005E17DC">
        <w:rPr>
          <w:rFonts w:hint="cs"/>
          <w:rtl/>
        </w:rPr>
        <w:t xml:space="preserve">בה </w:t>
      </w:r>
      <w:r w:rsidRPr="005E17DC">
        <w:rPr>
          <w:rtl/>
        </w:rPr>
        <w:t>במשרה מלאה</w:t>
      </w:r>
      <w:r w:rsidRPr="005E17DC">
        <w:rPr>
          <w:rFonts w:hint="cs"/>
          <w:rtl/>
        </w:rPr>
        <w:t>,</w:t>
      </w:r>
      <w:r w:rsidRPr="005E17DC">
        <w:rPr>
          <w:rtl/>
        </w:rPr>
        <w:t xml:space="preserve"> </w:t>
      </w:r>
      <w:r w:rsidRPr="005E17DC">
        <w:rPr>
          <w:rFonts w:hint="cs"/>
          <w:rtl/>
        </w:rPr>
        <w:t>עובדים</w:t>
      </w:r>
      <w:r w:rsidRPr="005E17DC">
        <w:rPr>
          <w:rtl/>
        </w:rPr>
        <w:t xml:space="preserve"> שעות נוספות ו</w:t>
      </w:r>
      <w:r w:rsidRPr="005E17DC">
        <w:rPr>
          <w:rFonts w:hint="cs"/>
          <w:rtl/>
        </w:rPr>
        <w:t>משמשים ב</w:t>
      </w:r>
      <w:r w:rsidRPr="005E17DC">
        <w:rPr>
          <w:rtl/>
        </w:rPr>
        <w:t xml:space="preserve">כוננות. </w:t>
      </w:r>
    </w:p>
    <w:p w:rsidR="005E17DC" w:rsidRPr="005E17DC" w:rsidP="00385106">
      <w:pPr>
        <w:spacing w:line="269" w:lineRule="auto"/>
        <w:ind w:left="-567"/>
        <w:rPr>
          <w:szCs w:val="20"/>
          <w:rtl/>
        </w:rPr>
      </w:pPr>
    </w:p>
    <w:p w:rsidR="005E17DC" w:rsidRPr="005E17DC" w:rsidP="00385106">
      <w:pPr>
        <w:spacing w:line="269" w:lineRule="auto"/>
        <w:rPr>
          <w:b/>
          <w:bCs/>
          <w:rtl/>
        </w:rPr>
      </w:pPr>
      <w:r w:rsidRPr="005E17DC">
        <w:rPr>
          <w:b/>
          <w:bCs/>
          <w:rtl/>
        </w:rPr>
        <w:t xml:space="preserve">בביקורת נמצא כי הליכי </w:t>
      </w:r>
      <w:r w:rsidRPr="005E17DC">
        <w:rPr>
          <w:rFonts w:hint="eastAsia"/>
          <w:b/>
          <w:bCs/>
          <w:rtl/>
        </w:rPr>
        <w:t>ה</w:t>
      </w:r>
      <w:r w:rsidRPr="005E17DC">
        <w:rPr>
          <w:b/>
          <w:bCs/>
          <w:rtl/>
        </w:rPr>
        <w:t xml:space="preserve">היתר לעבודה נוספת אינם סדורים ואין בקרה על עובדים </w:t>
      </w:r>
      <w:r w:rsidRPr="005E17DC">
        <w:rPr>
          <w:rFonts w:hint="eastAsia"/>
          <w:b/>
          <w:bCs/>
          <w:rtl/>
        </w:rPr>
        <w:t>ש</w:t>
      </w:r>
      <w:r w:rsidRPr="005E17DC">
        <w:rPr>
          <w:b/>
          <w:bCs/>
          <w:rtl/>
        </w:rPr>
        <w:t xml:space="preserve">קיבלו היתר זה. </w:t>
      </w:r>
      <w:r w:rsidRPr="005E17DC">
        <w:rPr>
          <w:rFonts w:hint="eastAsia"/>
          <w:b/>
          <w:bCs/>
          <w:rtl/>
        </w:rPr>
        <w:t>להלן</w:t>
      </w:r>
      <w:r w:rsidRPr="005E17DC">
        <w:rPr>
          <w:b/>
          <w:bCs/>
          <w:rtl/>
        </w:rPr>
        <w:t xml:space="preserve"> </w:t>
      </w:r>
      <w:r w:rsidRPr="005E17DC">
        <w:rPr>
          <w:rFonts w:hint="eastAsia"/>
          <w:b/>
          <w:bCs/>
          <w:rtl/>
        </w:rPr>
        <w:t>דוגמאות</w:t>
      </w:r>
      <w:r w:rsidRPr="005E17DC">
        <w:rPr>
          <w:b/>
          <w:bCs/>
          <w:rtl/>
        </w:rPr>
        <w:t xml:space="preserve"> </w:t>
      </w:r>
      <w:r w:rsidRPr="005E17DC">
        <w:rPr>
          <w:rFonts w:hint="eastAsia"/>
          <w:b/>
          <w:bCs/>
          <w:rtl/>
        </w:rPr>
        <w:t>אחדות</w:t>
      </w:r>
      <w:r w:rsidRPr="005E17DC">
        <w:rPr>
          <w:b/>
          <w:bCs/>
          <w:rtl/>
        </w:rPr>
        <w:t>. בהיתר לעובד</w:t>
      </w:r>
      <w:r w:rsidRPr="005E17DC">
        <w:rPr>
          <w:rFonts w:hint="eastAsia"/>
          <w:b/>
          <w:bCs/>
          <w:rtl/>
        </w:rPr>
        <w:t>ת</w:t>
      </w:r>
      <w:r w:rsidRPr="005E17DC">
        <w:rPr>
          <w:b/>
          <w:bCs/>
          <w:rtl/>
        </w:rPr>
        <w:t xml:space="preserve"> א', המכהנת במשרה מלאה בתפקיד בכיר, לא נבחן פוטנציאל ניגוד העניינים ולא נבחנה מה</w:t>
      </w:r>
      <w:r w:rsidRPr="005E17DC">
        <w:rPr>
          <w:rFonts w:hint="eastAsia"/>
          <w:b/>
          <w:bCs/>
          <w:rtl/>
        </w:rPr>
        <w:t>ות</w:t>
      </w:r>
      <w:r w:rsidRPr="005E17DC">
        <w:rPr>
          <w:b/>
          <w:bCs/>
          <w:rtl/>
        </w:rPr>
        <w:t xml:space="preserve"> העבודה הנוספת. עובד ב' קיבל היתר לעבודה נוספת פעמיים בשבוע בשעות הערב, </w:t>
      </w:r>
      <w:r w:rsidRPr="005E17DC">
        <w:rPr>
          <w:rFonts w:hint="eastAsia"/>
          <w:b/>
          <w:bCs/>
          <w:rtl/>
        </w:rPr>
        <w:t>ו</w:t>
      </w:r>
      <w:r w:rsidRPr="005E17DC">
        <w:rPr>
          <w:b/>
          <w:bCs/>
          <w:rtl/>
        </w:rPr>
        <w:t xml:space="preserve">דיווח על כוננות בעירייה </w:t>
      </w:r>
      <w:r w:rsidRPr="005E17DC">
        <w:rPr>
          <w:rFonts w:hint="eastAsia"/>
          <w:b/>
          <w:bCs/>
          <w:rtl/>
        </w:rPr>
        <w:t>ב</w:t>
      </w:r>
      <w:r w:rsidRPr="005E17DC">
        <w:rPr>
          <w:b/>
          <w:bCs/>
          <w:rtl/>
        </w:rPr>
        <w:t>זמן ש</w:t>
      </w:r>
      <w:r w:rsidRPr="005E17DC">
        <w:rPr>
          <w:rFonts w:hint="eastAsia"/>
          <w:b/>
          <w:bCs/>
          <w:rtl/>
        </w:rPr>
        <w:t>עסק</w:t>
      </w:r>
      <w:r w:rsidRPr="005E17DC">
        <w:rPr>
          <w:b/>
          <w:bCs/>
          <w:rtl/>
        </w:rPr>
        <w:t xml:space="preserve"> לכאורה בעבודה </w:t>
      </w:r>
      <w:r w:rsidRPr="005E17DC">
        <w:rPr>
          <w:rFonts w:hint="eastAsia"/>
          <w:b/>
          <w:bCs/>
          <w:rtl/>
        </w:rPr>
        <w:t>ה</w:t>
      </w:r>
      <w:r w:rsidRPr="005E17DC">
        <w:rPr>
          <w:b/>
          <w:bCs/>
          <w:rtl/>
        </w:rPr>
        <w:t xml:space="preserve">נוספת. עובדים ג' </w:t>
      </w:r>
      <w:r w:rsidRPr="005E17DC">
        <w:rPr>
          <w:b/>
          <w:bCs/>
          <w:rtl/>
        </w:rPr>
        <w:t>וד</w:t>
      </w:r>
      <w:r w:rsidRPr="005E17DC">
        <w:rPr>
          <w:b/>
          <w:bCs/>
          <w:rtl/>
        </w:rPr>
        <w:t xml:space="preserve">', אשר קיבלו היתר לעבודה נוספת, </w:t>
      </w:r>
      <w:r w:rsidRPr="005E17DC">
        <w:rPr>
          <w:rFonts w:hint="eastAsia"/>
          <w:b/>
          <w:bCs/>
          <w:rtl/>
        </w:rPr>
        <w:t>עובדים</w:t>
      </w:r>
      <w:r w:rsidRPr="005E17DC">
        <w:rPr>
          <w:b/>
          <w:bCs/>
          <w:rtl/>
        </w:rPr>
        <w:t xml:space="preserve"> שעות נוספות רבות בעבודתם בעירייה ונמצאים גם שעות רבות בכוננות. לנוכח </w:t>
      </w:r>
      <w:r w:rsidRPr="005E17DC">
        <w:rPr>
          <w:rFonts w:hint="eastAsia"/>
          <w:b/>
          <w:bCs/>
          <w:rtl/>
        </w:rPr>
        <w:t>מקרים</w:t>
      </w:r>
      <w:r w:rsidRPr="005E17DC">
        <w:rPr>
          <w:b/>
          <w:bCs/>
          <w:rtl/>
        </w:rPr>
        <w:t xml:space="preserve"> </w:t>
      </w:r>
      <w:r w:rsidRPr="005E17DC">
        <w:rPr>
          <w:rFonts w:hint="eastAsia"/>
          <w:b/>
          <w:bCs/>
          <w:rtl/>
        </w:rPr>
        <w:t>אלה</w:t>
      </w:r>
      <w:r w:rsidRPr="005E17DC">
        <w:rPr>
          <w:b/>
          <w:bCs/>
          <w:rtl/>
        </w:rPr>
        <w:t xml:space="preserve"> מתעורר ספק </w:t>
      </w:r>
      <w:r w:rsidRPr="005E17DC">
        <w:rPr>
          <w:rFonts w:hint="eastAsia"/>
          <w:b/>
          <w:bCs/>
          <w:rtl/>
        </w:rPr>
        <w:t>ב</w:t>
      </w:r>
      <w:r w:rsidRPr="005E17DC">
        <w:rPr>
          <w:b/>
          <w:bCs/>
          <w:rtl/>
        </w:rPr>
        <w:t xml:space="preserve">יכולתם </w:t>
      </w:r>
      <w:r w:rsidRPr="005E17DC">
        <w:rPr>
          <w:rFonts w:hint="eastAsia"/>
          <w:b/>
          <w:bCs/>
          <w:rtl/>
        </w:rPr>
        <w:t>למלא</w:t>
      </w:r>
      <w:r w:rsidRPr="005E17DC">
        <w:rPr>
          <w:b/>
          <w:bCs/>
          <w:rtl/>
        </w:rPr>
        <w:t xml:space="preserve"> בצורה מיטבית </w:t>
      </w:r>
      <w:r w:rsidRPr="005E17DC">
        <w:rPr>
          <w:rFonts w:hint="eastAsia"/>
          <w:b/>
          <w:bCs/>
          <w:rtl/>
        </w:rPr>
        <w:t>את</w:t>
      </w:r>
      <w:r w:rsidRPr="005E17DC">
        <w:rPr>
          <w:b/>
          <w:bCs/>
          <w:rtl/>
        </w:rPr>
        <w:t xml:space="preserve"> </w:t>
      </w:r>
      <w:r w:rsidRPr="005E17DC">
        <w:rPr>
          <w:rFonts w:hint="eastAsia"/>
          <w:b/>
          <w:bCs/>
          <w:rtl/>
        </w:rPr>
        <w:t>תפקידם</w:t>
      </w:r>
      <w:r w:rsidRPr="005E17DC">
        <w:rPr>
          <w:b/>
          <w:bCs/>
          <w:rtl/>
        </w:rPr>
        <w:t xml:space="preserve"> בעירייה ו</w:t>
      </w:r>
      <w:r w:rsidRPr="005E17DC">
        <w:rPr>
          <w:rFonts w:hint="eastAsia"/>
          <w:b/>
          <w:bCs/>
          <w:rtl/>
        </w:rPr>
        <w:t>מתעורר</w:t>
      </w:r>
      <w:r w:rsidRPr="005E17DC">
        <w:rPr>
          <w:b/>
          <w:bCs/>
          <w:rtl/>
        </w:rPr>
        <w:t xml:space="preserve"> חשש כי </w:t>
      </w:r>
      <w:r w:rsidRPr="005E17DC">
        <w:rPr>
          <w:rFonts w:hint="eastAsia"/>
          <w:b/>
          <w:bCs/>
          <w:rtl/>
        </w:rPr>
        <w:t>אם</w:t>
      </w:r>
      <w:r w:rsidRPr="005E17DC">
        <w:rPr>
          <w:b/>
          <w:bCs/>
          <w:rtl/>
        </w:rPr>
        <w:t xml:space="preserve"> </w:t>
      </w:r>
      <w:r w:rsidRPr="005E17DC">
        <w:rPr>
          <w:rFonts w:hint="eastAsia"/>
          <w:b/>
          <w:bCs/>
          <w:rtl/>
        </w:rPr>
        <w:t>יהיה</w:t>
      </w:r>
      <w:r w:rsidRPr="005E17DC">
        <w:rPr>
          <w:b/>
          <w:bCs/>
          <w:rtl/>
        </w:rPr>
        <w:t xml:space="preserve"> </w:t>
      </w:r>
      <w:r w:rsidRPr="005E17DC">
        <w:rPr>
          <w:rFonts w:hint="eastAsia"/>
          <w:b/>
          <w:bCs/>
          <w:rtl/>
        </w:rPr>
        <w:t>צורך</w:t>
      </w:r>
      <w:r w:rsidRPr="005E17DC">
        <w:rPr>
          <w:b/>
          <w:bCs/>
          <w:rtl/>
        </w:rPr>
        <w:t xml:space="preserve"> </w:t>
      </w:r>
      <w:r w:rsidRPr="005E17DC">
        <w:rPr>
          <w:rFonts w:hint="eastAsia"/>
          <w:b/>
          <w:bCs/>
          <w:rtl/>
        </w:rPr>
        <w:t>בהם</w:t>
      </w:r>
      <w:r w:rsidRPr="005E17DC">
        <w:rPr>
          <w:b/>
          <w:bCs/>
          <w:rtl/>
        </w:rPr>
        <w:t xml:space="preserve"> </w:t>
      </w:r>
      <w:r w:rsidRPr="005E17DC">
        <w:rPr>
          <w:rFonts w:hint="eastAsia"/>
          <w:b/>
          <w:bCs/>
          <w:rtl/>
        </w:rPr>
        <w:t>בעת</w:t>
      </w:r>
      <w:r w:rsidRPr="005E17DC">
        <w:rPr>
          <w:b/>
          <w:bCs/>
          <w:rtl/>
        </w:rPr>
        <w:t xml:space="preserve"> </w:t>
      </w:r>
      <w:r w:rsidRPr="005E17DC">
        <w:rPr>
          <w:rFonts w:hint="eastAsia"/>
          <w:b/>
          <w:bCs/>
          <w:rtl/>
        </w:rPr>
        <w:t>שיהיו</w:t>
      </w:r>
      <w:r w:rsidRPr="005E17DC">
        <w:rPr>
          <w:b/>
          <w:bCs/>
          <w:rtl/>
        </w:rPr>
        <w:t xml:space="preserve"> </w:t>
      </w:r>
      <w:r w:rsidRPr="005E17DC">
        <w:rPr>
          <w:rFonts w:hint="eastAsia"/>
          <w:b/>
          <w:bCs/>
          <w:rtl/>
        </w:rPr>
        <w:t>בכוננות</w:t>
      </w:r>
      <w:r w:rsidRPr="005E17DC">
        <w:rPr>
          <w:b/>
          <w:bCs/>
          <w:rtl/>
        </w:rPr>
        <w:t xml:space="preserve">, </w:t>
      </w:r>
      <w:r w:rsidRPr="005E17DC">
        <w:rPr>
          <w:rFonts w:hint="eastAsia"/>
          <w:b/>
          <w:bCs/>
          <w:rtl/>
        </w:rPr>
        <w:t>לא</w:t>
      </w:r>
      <w:r w:rsidRPr="005E17DC">
        <w:rPr>
          <w:b/>
          <w:bCs/>
          <w:rtl/>
        </w:rPr>
        <w:t xml:space="preserve"> </w:t>
      </w:r>
      <w:r w:rsidRPr="005E17DC">
        <w:rPr>
          <w:rFonts w:hint="eastAsia"/>
          <w:b/>
          <w:bCs/>
          <w:rtl/>
        </w:rPr>
        <w:t>יהיו</w:t>
      </w:r>
      <w:r w:rsidRPr="005E17DC">
        <w:rPr>
          <w:b/>
          <w:bCs/>
          <w:rtl/>
        </w:rPr>
        <w:t xml:space="preserve"> </w:t>
      </w:r>
      <w:r w:rsidRPr="005E17DC">
        <w:rPr>
          <w:rFonts w:hint="eastAsia"/>
          <w:b/>
          <w:bCs/>
          <w:rtl/>
        </w:rPr>
        <w:t>זמינים</w:t>
      </w:r>
      <w:r w:rsidRPr="005E17DC">
        <w:rPr>
          <w:b/>
          <w:bCs/>
          <w:rtl/>
        </w:rPr>
        <w:t xml:space="preserve"> לעירייה. </w:t>
      </w:r>
      <w:r w:rsidRPr="005E17DC">
        <w:rPr>
          <w:rFonts w:hint="eastAsia"/>
          <w:b/>
          <w:bCs/>
          <w:rtl/>
        </w:rPr>
        <w:t>זאת</w:t>
      </w:r>
      <w:r w:rsidRPr="005E17DC">
        <w:rPr>
          <w:b/>
          <w:bCs/>
          <w:rtl/>
        </w:rPr>
        <w:t xml:space="preserve"> </w:t>
      </w:r>
      <w:r w:rsidRPr="005E17DC">
        <w:rPr>
          <w:rFonts w:hint="eastAsia"/>
          <w:b/>
          <w:bCs/>
          <w:rtl/>
        </w:rPr>
        <w:t>ועוד</w:t>
      </w:r>
      <w:r w:rsidRPr="005E17DC">
        <w:rPr>
          <w:b/>
          <w:bCs/>
          <w:rtl/>
        </w:rPr>
        <w:t xml:space="preserve">, בטפסי הבקשות להיתרים לעבודות חוץ לא מצוין גובה השכר שיתקבל </w:t>
      </w:r>
      <w:r w:rsidRPr="005E17DC">
        <w:rPr>
          <w:rFonts w:hint="eastAsia"/>
          <w:b/>
          <w:bCs/>
          <w:rtl/>
        </w:rPr>
        <w:t>בעבודת</w:t>
      </w:r>
      <w:r w:rsidRPr="005E17DC">
        <w:rPr>
          <w:b/>
          <w:bCs/>
          <w:rtl/>
        </w:rPr>
        <w:t xml:space="preserve"> </w:t>
      </w:r>
      <w:r w:rsidRPr="005E17DC">
        <w:rPr>
          <w:rFonts w:hint="eastAsia"/>
          <w:b/>
          <w:bCs/>
          <w:rtl/>
        </w:rPr>
        <w:t>החוץ</w:t>
      </w:r>
      <w:r w:rsidRPr="005E17DC">
        <w:rPr>
          <w:b/>
          <w:bCs/>
          <w:rtl/>
        </w:rPr>
        <w:t>.</w:t>
      </w:r>
    </w:p>
    <w:p w:rsidR="005E17DC" w:rsidRPr="005E17DC" w:rsidP="00385106">
      <w:pPr>
        <w:spacing w:line="269" w:lineRule="auto"/>
        <w:ind w:left="-567"/>
        <w:rPr>
          <w:szCs w:val="20"/>
          <w:rtl/>
        </w:rPr>
      </w:pPr>
    </w:p>
    <w:p w:rsidR="005E17DC" w:rsidRPr="005E17DC" w:rsidP="00385106">
      <w:pPr>
        <w:spacing w:line="269" w:lineRule="auto"/>
        <w:rPr>
          <w:rtl/>
        </w:rPr>
      </w:pPr>
      <w:r w:rsidRPr="005E17DC">
        <w:rPr>
          <w:b/>
          <w:bCs/>
          <w:rtl/>
        </w:rPr>
        <w:t xml:space="preserve">בעת </w:t>
      </w:r>
      <w:r w:rsidRPr="005E17DC">
        <w:rPr>
          <w:rFonts w:hint="cs"/>
          <w:b/>
          <w:bCs/>
          <w:rtl/>
        </w:rPr>
        <w:t>שהיא שוקלת לתת</w:t>
      </w:r>
      <w:r w:rsidRPr="005E17DC">
        <w:rPr>
          <w:b/>
          <w:bCs/>
          <w:rtl/>
        </w:rPr>
        <w:t xml:space="preserve"> לעובד</w:t>
      </w:r>
      <w:r w:rsidRPr="005E17DC">
        <w:rPr>
          <w:rFonts w:hint="cs"/>
          <w:b/>
          <w:bCs/>
          <w:rtl/>
        </w:rPr>
        <w:t>יה</w:t>
      </w:r>
      <w:r w:rsidRPr="005E17DC">
        <w:rPr>
          <w:b/>
          <w:bCs/>
          <w:rtl/>
        </w:rPr>
        <w:t xml:space="preserve"> </w:t>
      </w:r>
      <w:r w:rsidRPr="005E17DC">
        <w:rPr>
          <w:rFonts w:hint="cs"/>
          <w:b/>
          <w:bCs/>
          <w:rtl/>
        </w:rPr>
        <w:t>היתרים</w:t>
      </w:r>
      <w:r w:rsidRPr="005E17DC">
        <w:rPr>
          <w:b/>
          <w:bCs/>
          <w:rtl/>
        </w:rPr>
        <w:t xml:space="preserve"> ל</w:t>
      </w:r>
      <w:r w:rsidRPr="005E17DC">
        <w:rPr>
          <w:rFonts w:hint="cs"/>
          <w:b/>
          <w:bCs/>
          <w:rtl/>
        </w:rPr>
        <w:t xml:space="preserve">עבודות חוץ, על </w:t>
      </w:r>
      <w:r w:rsidRPr="005E17DC">
        <w:rPr>
          <w:b/>
          <w:bCs/>
          <w:rtl/>
        </w:rPr>
        <w:t>עיריית רמלה ל</w:t>
      </w:r>
      <w:r w:rsidRPr="005E17DC">
        <w:rPr>
          <w:rFonts w:hint="cs"/>
          <w:b/>
          <w:bCs/>
          <w:rtl/>
        </w:rPr>
        <w:t>נהל</w:t>
      </w:r>
      <w:r w:rsidRPr="005E17DC">
        <w:rPr>
          <w:b/>
          <w:bCs/>
          <w:rtl/>
        </w:rPr>
        <w:t xml:space="preserve"> הליך סדור הבוחן </w:t>
      </w:r>
      <w:r w:rsidRPr="005E17DC">
        <w:rPr>
          <w:rFonts w:hint="cs"/>
          <w:b/>
          <w:bCs/>
          <w:rtl/>
        </w:rPr>
        <w:t>א</w:t>
      </w:r>
      <w:r w:rsidRPr="005E17DC">
        <w:rPr>
          <w:b/>
          <w:bCs/>
          <w:rtl/>
        </w:rPr>
        <w:t xml:space="preserve">ת </w:t>
      </w:r>
      <w:r w:rsidRPr="005E17DC">
        <w:rPr>
          <w:rFonts w:hint="cs"/>
          <w:b/>
          <w:bCs/>
          <w:rtl/>
        </w:rPr>
        <w:t>מכלול</w:t>
      </w:r>
      <w:r w:rsidRPr="005E17DC">
        <w:rPr>
          <w:b/>
          <w:bCs/>
          <w:rtl/>
        </w:rPr>
        <w:t xml:space="preserve"> השיקולים</w:t>
      </w:r>
      <w:r w:rsidRPr="005E17DC">
        <w:rPr>
          <w:rFonts w:hint="cs"/>
          <w:b/>
          <w:bCs/>
          <w:rtl/>
        </w:rPr>
        <w:t xml:space="preserve"> שנקבעו בחוק,</w:t>
      </w:r>
      <w:r w:rsidRPr="005E17DC">
        <w:rPr>
          <w:b/>
          <w:bCs/>
          <w:rtl/>
        </w:rPr>
        <w:t xml:space="preserve"> </w:t>
      </w:r>
      <w:r w:rsidRPr="005E17DC">
        <w:rPr>
          <w:rFonts w:hint="cs"/>
          <w:b/>
          <w:bCs/>
          <w:rtl/>
        </w:rPr>
        <w:t xml:space="preserve">לרבות עריכת הסדר ניגוד עניינים עבור תפקידים מסוימים, ועליה </w:t>
      </w:r>
      <w:r w:rsidRPr="005E17DC">
        <w:rPr>
          <w:b/>
          <w:bCs/>
          <w:rtl/>
        </w:rPr>
        <w:t>ל</w:t>
      </w:r>
      <w:r w:rsidRPr="005E17DC">
        <w:rPr>
          <w:rFonts w:hint="cs"/>
          <w:b/>
          <w:bCs/>
          <w:rtl/>
        </w:rPr>
        <w:t>נטר</w:t>
      </w:r>
      <w:r w:rsidRPr="005E17DC">
        <w:rPr>
          <w:b/>
          <w:bCs/>
          <w:rtl/>
        </w:rPr>
        <w:t xml:space="preserve"> עובדים אשר קיבלו היתר זה, </w:t>
      </w:r>
      <w:r w:rsidRPr="005E17DC">
        <w:rPr>
          <w:rFonts w:hint="cs"/>
          <w:b/>
          <w:bCs/>
          <w:rtl/>
        </w:rPr>
        <w:t>ו</w:t>
      </w:r>
      <w:r w:rsidRPr="005E17DC">
        <w:rPr>
          <w:b/>
          <w:bCs/>
          <w:rtl/>
        </w:rPr>
        <w:t>לוודא כי הם עומדים בתנאיו.</w:t>
      </w:r>
    </w:p>
    <w:p w:rsidR="005E17DC" w:rsidRPr="005E17DC" w:rsidP="00385106">
      <w:pPr>
        <w:spacing w:line="269" w:lineRule="auto"/>
        <w:rPr>
          <w:rtl/>
        </w:rPr>
      </w:pPr>
    </w:p>
    <w:p w:rsidR="005E17DC" w:rsidRPr="005E17DC" w:rsidP="00385106">
      <w:pPr>
        <w:keepNext/>
        <w:keepLines/>
        <w:spacing w:line="269" w:lineRule="auto"/>
        <w:outlineLvl w:val="3"/>
        <w:rPr>
          <w:rFonts w:eastAsiaTheme="majorEastAsia"/>
          <w:bCs/>
          <w:szCs w:val="26"/>
          <w:rtl/>
        </w:rPr>
      </w:pPr>
      <w:r w:rsidRPr="005E17DC">
        <w:rPr>
          <w:rFonts w:eastAsiaTheme="majorEastAsia" w:hint="cs"/>
          <w:bCs/>
          <w:szCs w:val="26"/>
          <w:rtl/>
        </w:rPr>
        <w:t>בקרה על הפקדות לקופות גמל עבור עובדי העירייה</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Fonts w:hint="cs"/>
          <w:rtl/>
        </w:rPr>
        <w:t>סעיף 19א(א) ל</w:t>
      </w:r>
      <w:r w:rsidRPr="005E17DC">
        <w:rPr>
          <w:rtl/>
        </w:rPr>
        <w:t>חוק הגנת השכר, תשי"ח-1958</w:t>
      </w:r>
      <w:r w:rsidRPr="005E17DC">
        <w:rPr>
          <w:rFonts w:hint="cs"/>
          <w:rtl/>
        </w:rPr>
        <w:t xml:space="preserve"> (להלן - חוק הגנת השכר), קובע כי "י</w:t>
      </w:r>
      <w:r w:rsidRPr="005E17DC">
        <w:rPr>
          <w:rtl/>
        </w:rPr>
        <w:t>ראו כשכר מולן גם סכום שמעסיק חייב לקופת גמל, בין שהסכום מגיע ממנו במישרין ובין שהמעסיק חייב לנכותו משכר העובד</w:t>
      </w:r>
      <w:r w:rsidRPr="005E17DC">
        <w:rPr>
          <w:rFonts w:hint="cs"/>
          <w:rtl/>
        </w:rPr>
        <w:t>". סעיף 25ב(ב1)(1) לחוק הגנת השכר קובע כי "</w:t>
      </w:r>
      <w:r w:rsidRPr="005E17DC">
        <w:rPr>
          <w:rtl/>
        </w:rPr>
        <w:t xml:space="preserve">מעסיק שלא שילם לעובדו שכר וחלף היום הקובע שלאחריו הפך אותו שכר לשכר מולן, והמעסיק לא הוכיח שאי תשלום השכר נבע מנסיבה שאינה בשליטתו, דינו </w:t>
      </w:r>
      <w:r w:rsidRPr="005E17DC">
        <w:rPr>
          <w:rFonts w:hint="cs"/>
          <w:rtl/>
        </w:rPr>
        <w:t xml:space="preserve">- </w:t>
      </w:r>
      <w:r w:rsidRPr="005E17DC">
        <w:rPr>
          <w:rtl/>
        </w:rPr>
        <w:t>מאסר חצי שנה או קנס כאמור בסעיף 61(א)(3) לחוק העונשין</w:t>
      </w:r>
      <w:r>
        <w:rPr>
          <w:vertAlign w:val="superscript"/>
          <w:rtl/>
        </w:rPr>
        <w:footnoteReference w:id="50"/>
      </w:r>
      <w:r w:rsidRPr="005E17DC">
        <w:rPr>
          <w:rFonts w:hint="cs"/>
          <w:rtl/>
        </w:rPr>
        <w:t>".</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Fonts w:hint="cs"/>
          <w:rtl/>
        </w:rPr>
        <w:t>סעיף 3(א) לצ</w:t>
      </w:r>
      <w:r w:rsidRPr="005E17DC">
        <w:rPr>
          <w:rtl/>
        </w:rPr>
        <w:t xml:space="preserve">ו הרחבה [נוסח משולב] </w:t>
      </w:r>
      <w:r w:rsidRPr="005E17DC">
        <w:rPr>
          <w:rtl/>
        </w:rPr>
        <w:t>לפנסייה</w:t>
      </w:r>
      <w:r w:rsidRPr="005E17DC">
        <w:rPr>
          <w:rtl/>
        </w:rPr>
        <w:t xml:space="preserve"> חובה 2011</w:t>
      </w:r>
      <w:r w:rsidRPr="005E17DC">
        <w:rPr>
          <w:rFonts w:hint="cs"/>
          <w:rtl/>
        </w:rPr>
        <w:t xml:space="preserve"> (להלן - צו ההרחבה) קובע כי "</w:t>
      </w:r>
      <w:r w:rsidRPr="005E17DC">
        <w:rPr>
          <w:rtl/>
        </w:rPr>
        <w:t xml:space="preserve">כל עובד כהגדרתו להלן, שאין לו הסדר פנסיוני מיטיב כהגדרתו להלן, אשר מועסק או שיועסק בכל מקום עבודה, יהיה זכאי להיות מבוטח על פי צו זה, ולבחור, בהודעה בכתב למעסיקו בפרק הזמן הקצוב שלהלן </w:t>
      </w:r>
      <w:r w:rsidRPr="005E17DC">
        <w:rPr>
          <w:rtl/>
        </w:rPr>
        <w:t>בפנסייה</w:t>
      </w:r>
      <w:r w:rsidRPr="005E17DC">
        <w:rPr>
          <w:rtl/>
        </w:rPr>
        <w:t xml:space="preserve"> מקיפה לרבות קופת גמל לקצבה, שאושרה על ידי הממונה, שבה יהיה מבוטח החל מהמועד שבו קמה לו זכאותו כקבוע בסעיף 6ה' עד ז' לצו זה, ובלבד שתכלול גם כיסויים למקרה מוות ונכות באותה קופה או בקופה אחרת</w:t>
      </w:r>
      <w:r w:rsidRPr="005E17DC">
        <w:rPr>
          <w:rFonts w:hint="cs"/>
          <w:rtl/>
        </w:rPr>
        <w:t>...".</w:t>
      </w:r>
    </w:p>
    <w:p w:rsidR="000E5918" w:rsidP="000E5918">
      <w:pPr>
        <w:pStyle w:val="a"/>
        <w:rPr>
          <w:rtl/>
        </w:rPr>
      </w:pPr>
    </w:p>
    <w:p w:rsidR="005E17DC" w:rsidRPr="005E17DC" w:rsidP="00385106">
      <w:pPr>
        <w:spacing w:line="269" w:lineRule="auto"/>
        <w:rPr>
          <w:rtl/>
        </w:rPr>
      </w:pPr>
      <w:r w:rsidRPr="005E17DC">
        <w:rPr>
          <w:rFonts w:hint="cs"/>
          <w:rtl/>
        </w:rPr>
        <w:t>סעיף 22(ג) ל</w:t>
      </w:r>
      <w:r w:rsidRPr="005E17DC">
        <w:rPr>
          <w:rtl/>
        </w:rPr>
        <w:t xml:space="preserve">חוק הפיקוח על שירותים פיננסיים (קופות גמל), </w:t>
      </w:r>
      <w:r w:rsidRPr="005E17DC">
        <w:rPr>
          <w:rFonts w:hint="cs"/>
          <w:rtl/>
        </w:rPr>
        <w:t>ה</w:t>
      </w:r>
      <w:r w:rsidRPr="005E17DC">
        <w:rPr>
          <w:rtl/>
        </w:rPr>
        <w:t>תשס"ה-2005</w:t>
      </w:r>
      <w:r w:rsidRPr="005E17DC">
        <w:rPr>
          <w:rFonts w:hint="cs"/>
          <w:rtl/>
        </w:rPr>
        <w:t xml:space="preserve">, קובע כי </w:t>
      </w:r>
      <w:r w:rsidRPr="005E17DC">
        <w:rPr>
          <w:rtl/>
        </w:rPr>
        <w:t>הממונה</w:t>
      </w:r>
      <w:r w:rsidRPr="005E17DC">
        <w:rPr>
          <w:rFonts w:hint="cs"/>
          <w:rtl/>
        </w:rPr>
        <w:t xml:space="preserve"> על שוק ההון, ביטוח וחיסכון</w:t>
      </w:r>
      <w:r>
        <w:rPr>
          <w:vertAlign w:val="superscript"/>
          <w:rtl/>
        </w:rPr>
        <w:footnoteReference w:id="51"/>
      </w:r>
      <w:r w:rsidRPr="005E17DC">
        <w:rPr>
          <w:rtl/>
        </w:rPr>
        <w:t xml:space="preserve"> רשאי לתת הוראות </w:t>
      </w:r>
      <w:r w:rsidRPr="005E17DC">
        <w:rPr>
          <w:rFonts w:hint="cs"/>
          <w:rtl/>
        </w:rPr>
        <w:t xml:space="preserve">על </w:t>
      </w:r>
      <w:r w:rsidRPr="005E17DC">
        <w:rPr>
          <w:rtl/>
        </w:rPr>
        <w:t xml:space="preserve">הפרטים שעל מעביד, בין שהוא עמית ובין שאינו עמית, למסור בעת ההפקדה לחברה המנהלת </w:t>
      </w:r>
      <w:r w:rsidRPr="005E17DC">
        <w:rPr>
          <w:rFonts w:hint="cs"/>
          <w:rtl/>
        </w:rPr>
        <w:t xml:space="preserve">קופות גמל; על </w:t>
      </w:r>
      <w:r w:rsidRPr="005E17DC">
        <w:rPr>
          <w:rtl/>
        </w:rPr>
        <w:t>המועדים להפקדת התשלומים</w:t>
      </w:r>
      <w:r w:rsidRPr="005E17DC">
        <w:rPr>
          <w:rFonts w:hint="cs"/>
          <w:rtl/>
        </w:rPr>
        <w:t xml:space="preserve"> לקופת גמל; ועל </w:t>
      </w:r>
      <w:r w:rsidRPr="005E17DC">
        <w:rPr>
          <w:rtl/>
        </w:rPr>
        <w:t xml:space="preserve">אישורים שחברה מנהלת חייבת להמציא לעמיתים בקופת גמל שבניהולה, ולעניין עמיתים-שכירים גם למעבידיהם, </w:t>
      </w:r>
      <w:r w:rsidRPr="005E17DC">
        <w:rPr>
          <w:rFonts w:hint="cs"/>
          <w:rtl/>
        </w:rPr>
        <w:t>על</w:t>
      </w:r>
      <w:r w:rsidRPr="005E17DC">
        <w:rPr>
          <w:rtl/>
        </w:rPr>
        <w:t xml:space="preserve"> הפקדת התשלומים בקופת הגמל.</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Fonts w:hint="cs"/>
          <w:rtl/>
        </w:rPr>
        <w:t>ב</w:t>
      </w:r>
      <w:r w:rsidRPr="005E17DC">
        <w:rPr>
          <w:rtl/>
        </w:rPr>
        <w:t>תקנות הפיקוח על שירותים פיננסיים (קופות גמל) (תשלומים לקופת גמל), תשע"ד-2014</w:t>
      </w:r>
      <w:r w:rsidRPr="005E17DC">
        <w:rPr>
          <w:rFonts w:hint="cs"/>
          <w:rtl/>
        </w:rPr>
        <w:t>, נקבעו הפרטים שיעביר מעביד לחברה מנהלת בעת הפקדת כספים לקופת גמל בגין עובדיו, והדיווחים שעל חברה מנהלת של קופות גמל להעביר למעסיקים המפקידים לקופות המנוהלות בידיהן. אלה הדיווחים הנדרשים: היזון חוזר ראשוני</w:t>
      </w:r>
      <w:r>
        <w:rPr>
          <w:vertAlign w:val="superscript"/>
          <w:rtl/>
        </w:rPr>
        <w:footnoteReference w:id="52"/>
      </w:r>
      <w:r w:rsidRPr="005E17DC">
        <w:rPr>
          <w:rFonts w:hint="cs"/>
          <w:rtl/>
        </w:rPr>
        <w:t>, היזון חוזר מסכם</w:t>
      </w:r>
      <w:r>
        <w:rPr>
          <w:vertAlign w:val="superscript"/>
          <w:rtl/>
        </w:rPr>
        <w:footnoteReference w:id="53"/>
      </w:r>
      <w:r w:rsidRPr="005E17DC">
        <w:rPr>
          <w:rFonts w:hint="cs"/>
          <w:rtl/>
        </w:rPr>
        <w:t xml:space="preserve">, היזון חוזר </w:t>
      </w:r>
      <w:r w:rsidRPr="005E17DC">
        <w:rPr>
          <w:rFonts w:hint="eastAsia"/>
          <w:rtl/>
        </w:rPr>
        <w:t>מסכם</w:t>
      </w:r>
      <w:r w:rsidRPr="005E17DC">
        <w:rPr>
          <w:rFonts w:hint="cs"/>
          <w:rtl/>
        </w:rPr>
        <w:t xml:space="preserve"> חודשי</w:t>
      </w:r>
      <w:r>
        <w:rPr>
          <w:vertAlign w:val="superscript"/>
          <w:rtl/>
        </w:rPr>
        <w:footnoteReference w:id="54"/>
      </w:r>
      <w:r w:rsidRPr="005E17DC">
        <w:rPr>
          <w:rFonts w:hint="cs"/>
          <w:rtl/>
        </w:rPr>
        <w:t xml:space="preserve"> והיזון חוזר </w:t>
      </w:r>
      <w:r w:rsidRPr="005E17DC">
        <w:rPr>
          <w:rFonts w:hint="eastAsia"/>
          <w:rtl/>
        </w:rPr>
        <w:t>מסכם</w:t>
      </w:r>
      <w:r w:rsidRPr="005E17DC">
        <w:rPr>
          <w:rFonts w:hint="cs"/>
          <w:rtl/>
        </w:rPr>
        <w:t xml:space="preserve"> שנתי</w:t>
      </w:r>
      <w:r>
        <w:rPr>
          <w:vertAlign w:val="superscript"/>
          <w:rtl/>
        </w:rPr>
        <w:footnoteReference w:id="55"/>
      </w:r>
      <w:r w:rsidRPr="005E17DC">
        <w:rPr>
          <w:rFonts w:hint="cs"/>
          <w:rtl/>
        </w:rPr>
        <w:t>. שלושת הדיווחים האחרונים מכילים מידע על אופן ביצוען של ההפקדות בכל רכיב בחשבון קופות הגמל של העובד.</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Fonts w:hint="cs"/>
          <w:rtl/>
        </w:rPr>
        <w:t xml:space="preserve">הדיווחים שמעבירות החברות המנהלות למעסיקים הם </w:t>
      </w:r>
      <w:r w:rsidRPr="005E17DC">
        <w:rPr>
          <w:rFonts w:hint="cs"/>
          <w:rtl/>
        </w:rPr>
        <w:t>אסמכתות</w:t>
      </w:r>
      <w:r w:rsidRPr="005E17DC">
        <w:rPr>
          <w:rFonts w:hint="cs"/>
          <w:rtl/>
        </w:rPr>
        <w:t xml:space="preserve"> כי הכספים שהפקידו בקופות הגמל עבור עובדיהם אכן הופקדו בהתאם לדיווחי המעסיק והגיעו ליעדם. לפיכך, כללי </w:t>
      </w:r>
      <w:r w:rsidRPr="005E17DC">
        <w:rPr>
          <w:rFonts w:hint="cs"/>
          <w:rtl/>
        </w:rPr>
        <w:t>מינהל</w:t>
      </w:r>
      <w:r w:rsidRPr="005E17DC">
        <w:rPr>
          <w:rFonts w:hint="cs"/>
          <w:rtl/>
        </w:rPr>
        <w:t xml:space="preserve"> תקין והחובה להבטיח את זכויות העובדים מחייבים בקרה של מעסיקים על דיווחים אלה, כדי למנוע הפרה של צו ההרחבה על ידי מעסיק ובמקרים חמורים יותר אף הלנת שכרם של עובדיו. </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Fonts w:hint="cs"/>
          <w:rtl/>
        </w:rPr>
        <w:t>על פי הדוחות הכספיים המבוקרים של עיריית רמלה, ב-2018 היה סכום ההפקדות לקופות גמל עבור עובדיה יותר מ-21 מיליון ש"ח.</w:t>
      </w:r>
    </w:p>
    <w:p w:rsidR="005E17DC" w:rsidRPr="005E17DC" w:rsidP="00385106">
      <w:pPr>
        <w:spacing w:line="269" w:lineRule="auto"/>
        <w:ind w:left="-567"/>
        <w:rPr>
          <w:szCs w:val="20"/>
          <w:rtl/>
        </w:rPr>
      </w:pPr>
    </w:p>
    <w:p w:rsidR="005E17DC" w:rsidRPr="005E17DC" w:rsidP="00385106">
      <w:pPr>
        <w:spacing w:line="269" w:lineRule="auto"/>
        <w:rPr>
          <w:b/>
          <w:bCs/>
          <w:rtl/>
        </w:rPr>
      </w:pPr>
      <w:r w:rsidRPr="005E17DC">
        <w:rPr>
          <w:rFonts w:hint="eastAsia"/>
          <w:b/>
          <w:bCs/>
          <w:rtl/>
        </w:rPr>
        <w:t>בביקורת</w:t>
      </w:r>
      <w:r w:rsidRPr="005E17DC">
        <w:rPr>
          <w:b/>
          <w:bCs/>
          <w:rtl/>
        </w:rPr>
        <w:t xml:space="preserve"> נדגמו 108 דיווחים של </w:t>
      </w:r>
      <w:r w:rsidRPr="005E17DC">
        <w:rPr>
          <w:rFonts w:hint="eastAsia"/>
          <w:b/>
          <w:bCs/>
          <w:rtl/>
        </w:rPr>
        <w:t>שבע</w:t>
      </w:r>
      <w:r w:rsidRPr="005E17DC">
        <w:rPr>
          <w:b/>
          <w:bCs/>
          <w:rtl/>
        </w:rPr>
        <w:t xml:space="preserve"> </w:t>
      </w:r>
      <w:r w:rsidRPr="005E17DC">
        <w:rPr>
          <w:rFonts w:hint="eastAsia"/>
          <w:b/>
          <w:bCs/>
          <w:rtl/>
        </w:rPr>
        <w:t>חברות</w:t>
      </w:r>
      <w:r w:rsidRPr="005E17DC">
        <w:rPr>
          <w:b/>
          <w:bCs/>
          <w:rtl/>
        </w:rPr>
        <w:t xml:space="preserve"> מנהלות של קופות גמל </w:t>
      </w:r>
      <w:r w:rsidRPr="005E17DC">
        <w:rPr>
          <w:rFonts w:hint="eastAsia"/>
          <w:b/>
          <w:bCs/>
          <w:rtl/>
        </w:rPr>
        <w:t>בגין</w:t>
      </w:r>
      <w:r w:rsidRPr="005E17DC">
        <w:rPr>
          <w:b/>
          <w:bCs/>
          <w:rtl/>
        </w:rPr>
        <w:t xml:space="preserve"> </w:t>
      </w:r>
      <w:r w:rsidRPr="005E17DC">
        <w:rPr>
          <w:rFonts w:hint="eastAsia"/>
          <w:b/>
          <w:bCs/>
          <w:rtl/>
        </w:rPr>
        <w:t>כל</w:t>
      </w:r>
      <w:r w:rsidRPr="005E17DC">
        <w:rPr>
          <w:b/>
          <w:bCs/>
          <w:rtl/>
        </w:rPr>
        <w:t xml:space="preserve"> </w:t>
      </w:r>
      <w:r w:rsidRPr="005E17DC">
        <w:rPr>
          <w:rFonts w:hint="eastAsia"/>
          <w:b/>
          <w:bCs/>
          <w:rtl/>
        </w:rPr>
        <w:t>אחד</w:t>
      </w:r>
      <w:r w:rsidRPr="005E17DC">
        <w:rPr>
          <w:b/>
          <w:bCs/>
          <w:rtl/>
        </w:rPr>
        <w:t xml:space="preserve"> </w:t>
      </w:r>
      <w:r w:rsidRPr="005E17DC">
        <w:rPr>
          <w:rFonts w:hint="eastAsia"/>
          <w:b/>
          <w:bCs/>
          <w:rtl/>
        </w:rPr>
        <w:t>מהחודשים</w:t>
      </w:r>
      <w:r w:rsidRPr="005E17DC">
        <w:rPr>
          <w:b/>
          <w:bCs/>
          <w:rtl/>
        </w:rPr>
        <w:t xml:space="preserve"> בשנת 2018, על הפקדות </w:t>
      </w:r>
      <w:r w:rsidRPr="005E17DC">
        <w:rPr>
          <w:rFonts w:hint="eastAsia"/>
          <w:b/>
          <w:bCs/>
          <w:rtl/>
        </w:rPr>
        <w:t>בסך</w:t>
      </w:r>
      <w:r w:rsidRPr="005E17DC">
        <w:rPr>
          <w:b/>
          <w:bCs/>
          <w:rtl/>
        </w:rPr>
        <w:t xml:space="preserve"> 2.24 </w:t>
      </w:r>
      <w:r w:rsidRPr="005E17DC">
        <w:rPr>
          <w:rFonts w:hint="eastAsia"/>
          <w:b/>
          <w:bCs/>
          <w:rtl/>
        </w:rPr>
        <w:t>מיליון</w:t>
      </w:r>
      <w:r w:rsidRPr="005E17DC">
        <w:rPr>
          <w:b/>
          <w:bCs/>
          <w:rtl/>
        </w:rPr>
        <w:t xml:space="preserve"> </w:t>
      </w:r>
      <w:r w:rsidRPr="005E17DC">
        <w:rPr>
          <w:rFonts w:hint="eastAsia"/>
          <w:b/>
          <w:bCs/>
          <w:rtl/>
        </w:rPr>
        <w:t>ש</w:t>
      </w:r>
      <w:r w:rsidRPr="005E17DC">
        <w:rPr>
          <w:b/>
          <w:bCs/>
          <w:rtl/>
        </w:rPr>
        <w:t>"ח</w:t>
      </w:r>
      <w:r>
        <w:rPr>
          <w:b/>
          <w:bCs/>
          <w:vertAlign w:val="superscript"/>
          <w:rtl/>
        </w:rPr>
        <w:footnoteReference w:id="56"/>
      </w:r>
      <w:r w:rsidRPr="005E17DC">
        <w:rPr>
          <w:b/>
          <w:bCs/>
          <w:rtl/>
        </w:rPr>
        <w:t xml:space="preserve">. נמצא כי ב-47 </w:t>
      </w:r>
      <w:r w:rsidRPr="005E17DC">
        <w:rPr>
          <w:rFonts w:hint="eastAsia"/>
          <w:b/>
          <w:bCs/>
          <w:rtl/>
        </w:rPr>
        <w:t>מן</w:t>
      </w:r>
      <w:r w:rsidRPr="005E17DC">
        <w:rPr>
          <w:b/>
          <w:bCs/>
          <w:rtl/>
        </w:rPr>
        <w:t xml:space="preserve"> הדיווחים שנדגמו, על הפקדות </w:t>
      </w:r>
      <w:r w:rsidRPr="005E17DC">
        <w:rPr>
          <w:rFonts w:hint="eastAsia"/>
          <w:b/>
          <w:bCs/>
          <w:rtl/>
        </w:rPr>
        <w:t>בסך</w:t>
      </w:r>
      <w:r w:rsidRPr="005E17DC">
        <w:rPr>
          <w:b/>
          <w:bCs/>
          <w:rtl/>
        </w:rPr>
        <w:t xml:space="preserve"> 1.43 </w:t>
      </w:r>
      <w:r w:rsidRPr="005E17DC">
        <w:rPr>
          <w:rFonts w:hint="eastAsia"/>
          <w:b/>
          <w:bCs/>
          <w:rtl/>
        </w:rPr>
        <w:t>מיליון</w:t>
      </w:r>
      <w:r w:rsidRPr="005E17DC">
        <w:rPr>
          <w:b/>
          <w:bCs/>
          <w:rtl/>
        </w:rPr>
        <w:t xml:space="preserve"> </w:t>
      </w:r>
      <w:r w:rsidRPr="005E17DC">
        <w:rPr>
          <w:rFonts w:hint="eastAsia"/>
          <w:b/>
          <w:bCs/>
          <w:rtl/>
        </w:rPr>
        <w:t>ש</w:t>
      </w:r>
      <w:r w:rsidRPr="005E17DC">
        <w:rPr>
          <w:b/>
          <w:bCs/>
          <w:rtl/>
        </w:rPr>
        <w:t xml:space="preserve">"ח, העבירו החברות </w:t>
      </w:r>
      <w:r w:rsidRPr="005E17DC">
        <w:rPr>
          <w:b/>
          <w:bCs/>
          <w:rtl/>
        </w:rPr>
        <w:t>היזונים</w:t>
      </w:r>
      <w:r w:rsidRPr="005E17DC">
        <w:rPr>
          <w:b/>
          <w:bCs/>
          <w:rtl/>
        </w:rPr>
        <w:t xml:space="preserve"> חוזרים </w:t>
      </w:r>
      <w:r w:rsidRPr="005E17DC">
        <w:rPr>
          <w:rFonts w:hint="eastAsia"/>
          <w:b/>
          <w:bCs/>
          <w:rtl/>
        </w:rPr>
        <w:t>שדווח</w:t>
      </w:r>
      <w:r w:rsidRPr="005E17DC">
        <w:rPr>
          <w:b/>
          <w:bCs/>
          <w:rtl/>
        </w:rPr>
        <w:t xml:space="preserve"> </w:t>
      </w:r>
      <w:r w:rsidRPr="005E17DC">
        <w:rPr>
          <w:rFonts w:hint="eastAsia"/>
          <w:b/>
          <w:bCs/>
          <w:rtl/>
        </w:rPr>
        <w:t>בהם</w:t>
      </w:r>
      <w:r w:rsidRPr="005E17DC">
        <w:rPr>
          <w:b/>
          <w:bCs/>
          <w:rtl/>
        </w:rPr>
        <w:t xml:space="preserve"> </w:t>
      </w:r>
      <w:r w:rsidRPr="005E17DC">
        <w:rPr>
          <w:rFonts w:hint="eastAsia"/>
          <w:b/>
          <w:bCs/>
          <w:rtl/>
        </w:rPr>
        <w:t>כי</w:t>
      </w:r>
      <w:r w:rsidRPr="005E17DC">
        <w:rPr>
          <w:b/>
          <w:bCs/>
          <w:rtl/>
        </w:rPr>
        <w:t xml:space="preserve"> </w:t>
      </w:r>
      <w:r w:rsidRPr="005E17DC">
        <w:rPr>
          <w:rFonts w:hint="eastAsia"/>
          <w:b/>
          <w:bCs/>
          <w:rtl/>
        </w:rPr>
        <w:t>הסכומים</w:t>
      </w:r>
      <w:r w:rsidRPr="005E17DC">
        <w:rPr>
          <w:b/>
          <w:bCs/>
          <w:rtl/>
        </w:rPr>
        <w:t xml:space="preserve"> </w:t>
      </w:r>
      <w:r w:rsidRPr="005E17DC">
        <w:rPr>
          <w:rFonts w:hint="eastAsia"/>
          <w:b/>
          <w:bCs/>
          <w:rtl/>
        </w:rPr>
        <w:t>שהעבירה</w:t>
      </w:r>
      <w:r w:rsidRPr="005E17DC">
        <w:rPr>
          <w:b/>
          <w:bCs/>
          <w:rtl/>
        </w:rPr>
        <w:t xml:space="preserve"> </w:t>
      </w:r>
      <w:r w:rsidRPr="005E17DC">
        <w:rPr>
          <w:rFonts w:hint="eastAsia"/>
          <w:b/>
          <w:bCs/>
          <w:rtl/>
        </w:rPr>
        <w:t>עיריית</w:t>
      </w:r>
      <w:r w:rsidRPr="005E17DC">
        <w:rPr>
          <w:b/>
          <w:bCs/>
          <w:rtl/>
        </w:rPr>
        <w:t xml:space="preserve"> </w:t>
      </w:r>
      <w:r w:rsidRPr="005E17DC">
        <w:rPr>
          <w:rFonts w:hint="eastAsia"/>
          <w:b/>
          <w:bCs/>
          <w:rtl/>
        </w:rPr>
        <w:t>רמלה</w:t>
      </w:r>
      <w:r w:rsidRPr="005E17DC">
        <w:rPr>
          <w:b/>
          <w:bCs/>
          <w:rtl/>
        </w:rPr>
        <w:t xml:space="preserve"> </w:t>
      </w:r>
      <w:r w:rsidRPr="005E17DC">
        <w:rPr>
          <w:rFonts w:hint="eastAsia"/>
          <w:b/>
          <w:bCs/>
          <w:rtl/>
        </w:rPr>
        <w:t>עבור</w:t>
      </w:r>
      <w:r w:rsidRPr="005E17DC">
        <w:rPr>
          <w:b/>
          <w:bCs/>
          <w:rtl/>
        </w:rPr>
        <w:t xml:space="preserve"> </w:t>
      </w:r>
      <w:r w:rsidRPr="005E17DC">
        <w:rPr>
          <w:rFonts w:hint="eastAsia"/>
          <w:b/>
          <w:bCs/>
          <w:rtl/>
        </w:rPr>
        <w:t>עובדיה</w:t>
      </w:r>
      <w:r w:rsidRPr="005E17DC">
        <w:rPr>
          <w:b/>
          <w:bCs/>
          <w:rtl/>
        </w:rPr>
        <w:t xml:space="preserve"> </w:t>
      </w:r>
      <w:r w:rsidRPr="005E17DC">
        <w:rPr>
          <w:rFonts w:hint="eastAsia"/>
          <w:b/>
          <w:bCs/>
          <w:rtl/>
        </w:rPr>
        <w:t>נפרעו</w:t>
      </w:r>
      <w:r w:rsidRPr="005E17DC">
        <w:rPr>
          <w:b/>
          <w:bCs/>
          <w:rtl/>
        </w:rPr>
        <w:t xml:space="preserve"> </w:t>
      </w:r>
      <w:r w:rsidRPr="005E17DC">
        <w:rPr>
          <w:rFonts w:hint="eastAsia"/>
          <w:b/>
          <w:bCs/>
          <w:rtl/>
        </w:rPr>
        <w:t>חלקית</w:t>
      </w:r>
      <w:r w:rsidRPr="005E17DC">
        <w:rPr>
          <w:b/>
          <w:bCs/>
          <w:rtl/>
        </w:rPr>
        <w:t xml:space="preserve"> או לא נפרעו כלל. משמעות הדבר היא חשש </w:t>
      </w:r>
      <w:r w:rsidRPr="005E17DC">
        <w:rPr>
          <w:rFonts w:hint="eastAsia"/>
          <w:b/>
          <w:bCs/>
          <w:rtl/>
        </w:rPr>
        <w:t>שיש</w:t>
      </w:r>
      <w:r w:rsidRPr="005E17DC">
        <w:rPr>
          <w:b/>
          <w:bCs/>
          <w:rtl/>
        </w:rPr>
        <w:t xml:space="preserve"> עובדים </w:t>
      </w:r>
      <w:r w:rsidRPr="005E17DC">
        <w:rPr>
          <w:rFonts w:hint="eastAsia"/>
          <w:b/>
          <w:bCs/>
          <w:rtl/>
        </w:rPr>
        <w:t>שתשלומיה</w:t>
      </w:r>
      <w:r w:rsidRPr="005E17DC">
        <w:rPr>
          <w:b/>
          <w:bCs/>
          <w:rtl/>
        </w:rPr>
        <w:t xml:space="preserve"> </w:t>
      </w:r>
      <w:r w:rsidRPr="005E17DC">
        <w:rPr>
          <w:rFonts w:hint="eastAsia"/>
          <w:b/>
          <w:bCs/>
          <w:rtl/>
        </w:rPr>
        <w:t>של</w:t>
      </w:r>
      <w:r w:rsidRPr="005E17DC">
        <w:rPr>
          <w:b/>
          <w:bCs/>
          <w:rtl/>
        </w:rPr>
        <w:t xml:space="preserve"> </w:t>
      </w:r>
      <w:r w:rsidRPr="005E17DC">
        <w:rPr>
          <w:rFonts w:hint="eastAsia"/>
          <w:b/>
          <w:bCs/>
          <w:rtl/>
        </w:rPr>
        <w:t>העירייה</w:t>
      </w:r>
      <w:r w:rsidRPr="005E17DC">
        <w:rPr>
          <w:b/>
          <w:bCs/>
          <w:rtl/>
        </w:rPr>
        <w:t xml:space="preserve"> </w:t>
      </w:r>
      <w:r w:rsidRPr="005E17DC">
        <w:rPr>
          <w:rFonts w:hint="eastAsia"/>
          <w:b/>
          <w:bCs/>
          <w:rtl/>
        </w:rPr>
        <w:t>עבורם</w:t>
      </w:r>
      <w:r w:rsidRPr="005E17DC">
        <w:rPr>
          <w:b/>
          <w:bCs/>
          <w:rtl/>
        </w:rPr>
        <w:t xml:space="preserve"> </w:t>
      </w:r>
      <w:r w:rsidRPr="005E17DC">
        <w:rPr>
          <w:rFonts w:hint="eastAsia"/>
          <w:b/>
          <w:bCs/>
          <w:rtl/>
        </w:rPr>
        <w:t>לא</w:t>
      </w:r>
      <w:r w:rsidRPr="005E17DC">
        <w:rPr>
          <w:b/>
          <w:bCs/>
          <w:rtl/>
        </w:rPr>
        <w:t xml:space="preserve"> </w:t>
      </w:r>
      <w:r w:rsidRPr="005E17DC">
        <w:rPr>
          <w:rFonts w:hint="eastAsia"/>
          <w:b/>
          <w:bCs/>
          <w:rtl/>
        </w:rPr>
        <w:t>הופקדו</w:t>
      </w:r>
      <w:r w:rsidRPr="005E17DC">
        <w:rPr>
          <w:b/>
          <w:bCs/>
          <w:rtl/>
        </w:rPr>
        <w:t xml:space="preserve"> </w:t>
      </w:r>
      <w:r w:rsidRPr="005E17DC">
        <w:rPr>
          <w:rFonts w:hint="eastAsia"/>
          <w:b/>
          <w:bCs/>
          <w:rtl/>
        </w:rPr>
        <w:t>כראוי</w:t>
      </w:r>
      <w:r w:rsidRPr="005E17DC">
        <w:rPr>
          <w:b/>
          <w:bCs/>
          <w:rtl/>
        </w:rPr>
        <w:t xml:space="preserve"> </w:t>
      </w:r>
      <w:r w:rsidRPr="005E17DC">
        <w:rPr>
          <w:rFonts w:hint="eastAsia"/>
          <w:b/>
          <w:bCs/>
          <w:rtl/>
        </w:rPr>
        <w:t>ועל</w:t>
      </w:r>
      <w:r w:rsidRPr="005E17DC">
        <w:rPr>
          <w:b/>
          <w:bCs/>
          <w:rtl/>
        </w:rPr>
        <w:t xml:space="preserve"> </w:t>
      </w:r>
      <w:r w:rsidRPr="005E17DC">
        <w:rPr>
          <w:rFonts w:hint="eastAsia"/>
          <w:b/>
          <w:bCs/>
          <w:rtl/>
        </w:rPr>
        <w:t>כן</w:t>
      </w:r>
      <w:r w:rsidRPr="005E17DC">
        <w:rPr>
          <w:b/>
          <w:bCs/>
          <w:rtl/>
        </w:rPr>
        <w:t xml:space="preserve"> </w:t>
      </w:r>
      <w:r w:rsidRPr="005E17DC">
        <w:rPr>
          <w:rFonts w:hint="eastAsia"/>
          <w:b/>
          <w:bCs/>
          <w:rtl/>
        </w:rPr>
        <w:t>זכויותיהם</w:t>
      </w:r>
      <w:r w:rsidRPr="005E17DC">
        <w:rPr>
          <w:b/>
          <w:bCs/>
          <w:rtl/>
        </w:rPr>
        <w:t xml:space="preserve"> עלולות להיפגע והעירייה מסתכנת כי תואשם בהפרה של חוק הגנת השכר או </w:t>
      </w:r>
      <w:r w:rsidRPr="005E17DC">
        <w:rPr>
          <w:rFonts w:hint="eastAsia"/>
          <w:b/>
          <w:bCs/>
          <w:rtl/>
        </w:rPr>
        <w:t>של</w:t>
      </w:r>
      <w:r w:rsidRPr="005E17DC">
        <w:rPr>
          <w:b/>
          <w:bCs/>
          <w:rtl/>
        </w:rPr>
        <w:t xml:space="preserve"> </w:t>
      </w:r>
      <w:r w:rsidRPr="005E17DC">
        <w:rPr>
          <w:rFonts w:hint="eastAsia"/>
          <w:b/>
          <w:bCs/>
          <w:rtl/>
        </w:rPr>
        <w:t>צו</w:t>
      </w:r>
      <w:r w:rsidRPr="005E17DC">
        <w:rPr>
          <w:b/>
          <w:bCs/>
          <w:rtl/>
        </w:rPr>
        <w:t xml:space="preserve"> </w:t>
      </w:r>
      <w:r w:rsidRPr="005E17DC">
        <w:rPr>
          <w:rFonts w:hint="eastAsia"/>
          <w:b/>
          <w:bCs/>
          <w:rtl/>
        </w:rPr>
        <w:t>ההרחבה</w:t>
      </w:r>
      <w:r w:rsidRPr="005E17DC">
        <w:rPr>
          <w:b/>
          <w:bCs/>
          <w:rtl/>
        </w:rPr>
        <w:t xml:space="preserve">. </w:t>
      </w:r>
      <w:r w:rsidRPr="005E17DC">
        <w:rPr>
          <w:rFonts w:hint="eastAsia"/>
          <w:b/>
          <w:bCs/>
          <w:rtl/>
        </w:rPr>
        <w:t>בקרה</w:t>
      </w:r>
      <w:r w:rsidRPr="005E17DC">
        <w:rPr>
          <w:b/>
          <w:bCs/>
          <w:rtl/>
        </w:rPr>
        <w:t xml:space="preserve"> </w:t>
      </w:r>
      <w:r w:rsidRPr="005E17DC">
        <w:rPr>
          <w:rFonts w:hint="eastAsia"/>
          <w:b/>
          <w:bCs/>
          <w:rtl/>
        </w:rPr>
        <w:t>נאותה</w:t>
      </w:r>
      <w:r w:rsidRPr="005E17DC">
        <w:rPr>
          <w:b/>
          <w:bCs/>
          <w:rtl/>
        </w:rPr>
        <w:t xml:space="preserve"> </w:t>
      </w:r>
      <w:r w:rsidRPr="005E17DC">
        <w:rPr>
          <w:rFonts w:hint="eastAsia"/>
          <w:b/>
          <w:bCs/>
          <w:rtl/>
        </w:rPr>
        <w:t>על</w:t>
      </w:r>
      <w:r w:rsidRPr="005E17DC">
        <w:rPr>
          <w:b/>
          <w:bCs/>
          <w:rtl/>
        </w:rPr>
        <w:t xml:space="preserve"> </w:t>
      </w:r>
      <w:r w:rsidRPr="005E17DC">
        <w:rPr>
          <w:rFonts w:hint="eastAsia"/>
          <w:b/>
          <w:bCs/>
          <w:rtl/>
        </w:rPr>
        <w:t>ההיזונים</w:t>
      </w:r>
      <w:r w:rsidRPr="005E17DC">
        <w:rPr>
          <w:b/>
          <w:bCs/>
          <w:rtl/>
        </w:rPr>
        <w:t xml:space="preserve"> </w:t>
      </w:r>
      <w:r w:rsidRPr="005E17DC">
        <w:rPr>
          <w:rFonts w:hint="eastAsia"/>
          <w:b/>
          <w:bCs/>
          <w:rtl/>
        </w:rPr>
        <w:t>החוזרים</w:t>
      </w:r>
      <w:r w:rsidRPr="005E17DC">
        <w:rPr>
          <w:b/>
          <w:bCs/>
          <w:rtl/>
        </w:rPr>
        <w:t xml:space="preserve"> </w:t>
      </w:r>
      <w:r w:rsidRPr="005E17DC">
        <w:rPr>
          <w:rFonts w:hint="eastAsia"/>
          <w:b/>
          <w:bCs/>
          <w:rtl/>
        </w:rPr>
        <w:t>שמסרו</w:t>
      </w:r>
      <w:r w:rsidRPr="005E17DC">
        <w:rPr>
          <w:b/>
          <w:bCs/>
          <w:rtl/>
        </w:rPr>
        <w:t xml:space="preserve"> חברות מנהלות של קופות גמל הייתה </w:t>
      </w:r>
      <w:r w:rsidRPr="005E17DC">
        <w:rPr>
          <w:rFonts w:hint="eastAsia"/>
          <w:b/>
          <w:bCs/>
          <w:rtl/>
        </w:rPr>
        <w:t>עשויה</w:t>
      </w:r>
      <w:r w:rsidRPr="005E17DC">
        <w:rPr>
          <w:b/>
          <w:bCs/>
          <w:rtl/>
        </w:rPr>
        <w:t xml:space="preserve"> </w:t>
      </w:r>
      <w:r w:rsidRPr="005E17DC">
        <w:rPr>
          <w:rFonts w:hint="eastAsia"/>
          <w:b/>
          <w:bCs/>
          <w:rtl/>
        </w:rPr>
        <w:t>לצמצם</w:t>
      </w:r>
      <w:r w:rsidRPr="005E17DC">
        <w:rPr>
          <w:b/>
          <w:bCs/>
          <w:rtl/>
        </w:rPr>
        <w:t xml:space="preserve"> </w:t>
      </w:r>
      <w:r w:rsidRPr="005E17DC">
        <w:rPr>
          <w:rFonts w:hint="eastAsia"/>
          <w:b/>
          <w:bCs/>
          <w:rtl/>
        </w:rPr>
        <w:t>מאוד</w:t>
      </w:r>
      <w:r w:rsidRPr="005E17DC">
        <w:rPr>
          <w:b/>
          <w:bCs/>
          <w:rtl/>
        </w:rPr>
        <w:t xml:space="preserve"> </w:t>
      </w:r>
      <w:r w:rsidRPr="005E17DC">
        <w:rPr>
          <w:rFonts w:hint="eastAsia"/>
          <w:b/>
          <w:bCs/>
          <w:rtl/>
        </w:rPr>
        <w:t>סיכון</w:t>
      </w:r>
      <w:r w:rsidRPr="005E17DC">
        <w:rPr>
          <w:b/>
          <w:bCs/>
          <w:rtl/>
        </w:rPr>
        <w:t xml:space="preserve"> זה. </w:t>
      </w:r>
    </w:p>
    <w:p w:rsidR="005E17DC" w:rsidRPr="005E17DC" w:rsidP="00385106">
      <w:pPr>
        <w:spacing w:line="269" w:lineRule="auto"/>
        <w:ind w:left="-567"/>
        <w:rPr>
          <w:szCs w:val="20"/>
          <w:rtl/>
        </w:rPr>
      </w:pPr>
    </w:p>
    <w:p w:rsidR="005E17DC" w:rsidRPr="005E17DC" w:rsidP="00385106">
      <w:pPr>
        <w:spacing w:line="269" w:lineRule="auto"/>
        <w:rPr>
          <w:b/>
          <w:bCs/>
          <w:rtl/>
        </w:rPr>
      </w:pPr>
      <w:r w:rsidRPr="005E17DC">
        <w:rPr>
          <w:rFonts w:hint="cs"/>
          <w:b/>
          <w:bCs/>
          <w:rtl/>
        </w:rPr>
        <w:t>על עיריית רמלה להקפיד על</w:t>
      </w:r>
      <w:r w:rsidRPr="005E17DC">
        <w:rPr>
          <w:b/>
          <w:bCs/>
          <w:rtl/>
        </w:rPr>
        <w:t xml:space="preserve"> בקרה נאותה </w:t>
      </w:r>
      <w:r w:rsidRPr="005E17DC">
        <w:rPr>
          <w:rFonts w:hint="cs"/>
          <w:b/>
          <w:bCs/>
          <w:rtl/>
        </w:rPr>
        <w:t>ש</w:t>
      </w:r>
      <w:r w:rsidRPr="005E17DC">
        <w:rPr>
          <w:b/>
          <w:bCs/>
          <w:rtl/>
        </w:rPr>
        <w:t xml:space="preserve">ל </w:t>
      </w:r>
      <w:r w:rsidRPr="005E17DC">
        <w:rPr>
          <w:rFonts w:hint="eastAsia"/>
          <w:b/>
          <w:bCs/>
          <w:rtl/>
        </w:rPr>
        <w:t>ה</w:t>
      </w:r>
      <w:r w:rsidRPr="005E17DC">
        <w:rPr>
          <w:rFonts w:hint="cs"/>
          <w:b/>
          <w:bCs/>
          <w:rtl/>
        </w:rPr>
        <w:t>משוב</w:t>
      </w:r>
      <w:r w:rsidRPr="005E17DC">
        <w:rPr>
          <w:rFonts w:hint="eastAsia"/>
          <w:b/>
          <w:bCs/>
          <w:rtl/>
        </w:rPr>
        <w:t>ים</w:t>
      </w:r>
      <w:r w:rsidRPr="005E17DC">
        <w:rPr>
          <w:b/>
          <w:bCs/>
          <w:rtl/>
        </w:rPr>
        <w:t xml:space="preserve"> המתקבלים מ</w:t>
      </w:r>
      <w:r w:rsidRPr="005E17DC">
        <w:rPr>
          <w:rFonts w:hint="cs"/>
          <w:b/>
          <w:bCs/>
          <w:rtl/>
        </w:rPr>
        <w:t>ן ה</w:t>
      </w:r>
      <w:r w:rsidRPr="005E17DC">
        <w:rPr>
          <w:b/>
          <w:bCs/>
          <w:rtl/>
        </w:rPr>
        <w:t xml:space="preserve">חברות המנהלות </w:t>
      </w:r>
      <w:r w:rsidRPr="005E17DC">
        <w:rPr>
          <w:rFonts w:hint="cs"/>
          <w:b/>
          <w:bCs/>
          <w:rtl/>
        </w:rPr>
        <w:t xml:space="preserve">של </w:t>
      </w:r>
      <w:r w:rsidRPr="005E17DC">
        <w:rPr>
          <w:b/>
          <w:bCs/>
          <w:rtl/>
        </w:rPr>
        <w:t xml:space="preserve">קופות גמל </w:t>
      </w:r>
      <w:r w:rsidRPr="005E17DC">
        <w:rPr>
          <w:rFonts w:hint="eastAsia"/>
          <w:b/>
          <w:bCs/>
          <w:rtl/>
        </w:rPr>
        <w:t>בגין</w:t>
      </w:r>
      <w:r w:rsidRPr="005E17DC">
        <w:rPr>
          <w:b/>
          <w:bCs/>
          <w:rtl/>
        </w:rPr>
        <w:t xml:space="preserve"> </w:t>
      </w:r>
      <w:r w:rsidRPr="005E17DC">
        <w:rPr>
          <w:rFonts w:hint="cs"/>
          <w:b/>
          <w:bCs/>
          <w:rtl/>
        </w:rPr>
        <w:t>הפקדותיה</w:t>
      </w:r>
      <w:r w:rsidRPr="005E17DC">
        <w:rPr>
          <w:b/>
          <w:bCs/>
          <w:rtl/>
        </w:rPr>
        <w:t xml:space="preserve"> </w:t>
      </w:r>
      <w:r w:rsidRPr="005E17DC">
        <w:rPr>
          <w:rFonts w:hint="eastAsia"/>
          <w:b/>
          <w:bCs/>
          <w:rtl/>
        </w:rPr>
        <w:t>לקופות</w:t>
      </w:r>
      <w:r w:rsidRPr="005E17DC">
        <w:rPr>
          <w:b/>
          <w:bCs/>
          <w:rtl/>
        </w:rPr>
        <w:t xml:space="preserve"> </w:t>
      </w:r>
      <w:r w:rsidRPr="005E17DC">
        <w:rPr>
          <w:rFonts w:hint="eastAsia"/>
          <w:b/>
          <w:bCs/>
          <w:rtl/>
        </w:rPr>
        <w:t>גמל</w:t>
      </w:r>
      <w:r w:rsidRPr="005E17DC">
        <w:rPr>
          <w:rFonts w:hint="cs"/>
          <w:b/>
          <w:bCs/>
          <w:rtl/>
        </w:rPr>
        <w:t xml:space="preserve"> עבור עובדיה</w:t>
      </w:r>
      <w:r w:rsidRPr="005E17DC">
        <w:rPr>
          <w:b/>
          <w:bCs/>
          <w:rtl/>
        </w:rPr>
        <w:t xml:space="preserve">, </w:t>
      </w:r>
      <w:r w:rsidRPr="005E17DC">
        <w:rPr>
          <w:rFonts w:hint="cs"/>
          <w:b/>
          <w:bCs/>
          <w:rtl/>
        </w:rPr>
        <w:t>על מנת להבטיח את זכויות העובדים ולמנוע אפשרות ש</w:t>
      </w:r>
      <w:r w:rsidRPr="005E17DC">
        <w:rPr>
          <w:rFonts w:hint="eastAsia"/>
          <w:b/>
          <w:bCs/>
          <w:rtl/>
        </w:rPr>
        <w:t>תואשם</w:t>
      </w:r>
      <w:r w:rsidRPr="005E17DC">
        <w:rPr>
          <w:b/>
          <w:bCs/>
          <w:rtl/>
        </w:rPr>
        <w:t xml:space="preserve"> </w:t>
      </w:r>
      <w:r w:rsidRPr="005E17DC">
        <w:rPr>
          <w:rFonts w:hint="eastAsia"/>
          <w:b/>
          <w:bCs/>
          <w:rtl/>
        </w:rPr>
        <w:t>בהפרת</w:t>
      </w:r>
      <w:r w:rsidRPr="005E17DC">
        <w:rPr>
          <w:b/>
          <w:bCs/>
          <w:rtl/>
        </w:rPr>
        <w:t xml:space="preserve"> </w:t>
      </w:r>
      <w:r w:rsidRPr="005E17DC">
        <w:rPr>
          <w:rFonts w:hint="eastAsia"/>
          <w:b/>
          <w:bCs/>
          <w:rtl/>
        </w:rPr>
        <w:t>הדין</w:t>
      </w:r>
      <w:r w:rsidRPr="005E17DC">
        <w:rPr>
          <w:b/>
          <w:bCs/>
          <w:rtl/>
        </w:rPr>
        <w:t>.</w:t>
      </w:r>
    </w:p>
    <w:p w:rsidR="005E17DC" w:rsidRPr="005E17DC" w:rsidP="00385106">
      <w:pPr>
        <w:spacing w:line="269" w:lineRule="auto"/>
        <w:ind w:left="-567"/>
        <w:rPr>
          <w:szCs w:val="20"/>
          <w:rtl/>
        </w:rPr>
      </w:pPr>
    </w:p>
    <w:p w:rsidR="005E17DC" w:rsidRPr="005E17DC" w:rsidP="00385106">
      <w:pPr>
        <w:spacing w:line="269" w:lineRule="auto"/>
        <w:rPr>
          <w:b/>
          <w:bCs/>
          <w:rtl/>
        </w:rPr>
      </w:pPr>
      <w:r w:rsidRPr="005E17DC">
        <w:rPr>
          <w:rFonts w:hint="eastAsia"/>
          <w:b/>
          <w:bCs/>
          <w:rtl/>
        </w:rPr>
        <w:t>סכום</w:t>
      </w:r>
      <w:r w:rsidRPr="005E17DC">
        <w:rPr>
          <w:b/>
          <w:bCs/>
          <w:rtl/>
        </w:rPr>
        <w:t xml:space="preserve"> </w:t>
      </w:r>
      <w:r w:rsidRPr="005E17DC">
        <w:rPr>
          <w:rFonts w:hint="cs"/>
          <w:b/>
          <w:bCs/>
          <w:rtl/>
        </w:rPr>
        <w:t>ההפקדות</w:t>
      </w:r>
      <w:r w:rsidRPr="005E17DC">
        <w:rPr>
          <w:b/>
          <w:bCs/>
          <w:rtl/>
        </w:rPr>
        <w:t xml:space="preserve"> </w:t>
      </w:r>
      <w:r w:rsidRPr="005E17DC">
        <w:rPr>
          <w:rFonts w:hint="cs"/>
          <w:b/>
          <w:bCs/>
          <w:rtl/>
        </w:rPr>
        <w:t xml:space="preserve">לקופות גמל בכלל הרשויות המקומיות בשנת </w:t>
      </w:r>
      <w:r w:rsidRPr="005E17DC">
        <w:rPr>
          <w:b/>
          <w:bCs/>
          <w:rtl/>
        </w:rPr>
        <w:t xml:space="preserve">2017 </w:t>
      </w:r>
      <w:r w:rsidRPr="005E17DC">
        <w:rPr>
          <w:rFonts w:hint="cs"/>
          <w:b/>
          <w:bCs/>
          <w:rtl/>
        </w:rPr>
        <w:t xml:space="preserve">היה </w:t>
      </w:r>
      <w:r w:rsidRPr="005E17DC">
        <w:rPr>
          <w:rFonts w:hint="eastAsia"/>
          <w:b/>
          <w:bCs/>
          <w:rtl/>
        </w:rPr>
        <w:t>יותר</w:t>
      </w:r>
      <w:r w:rsidRPr="005E17DC">
        <w:rPr>
          <w:b/>
          <w:bCs/>
          <w:rtl/>
        </w:rPr>
        <w:t xml:space="preserve"> </w:t>
      </w:r>
      <w:r w:rsidRPr="005E17DC">
        <w:rPr>
          <w:rFonts w:hint="eastAsia"/>
          <w:b/>
          <w:bCs/>
          <w:rtl/>
        </w:rPr>
        <w:t>מ</w:t>
      </w:r>
      <w:r w:rsidRPr="005E17DC">
        <w:rPr>
          <w:b/>
          <w:bCs/>
          <w:rtl/>
        </w:rPr>
        <w:t>-</w:t>
      </w:r>
      <w:r w:rsidRPr="005E17DC">
        <w:rPr>
          <w:rFonts w:hint="cs"/>
          <w:b/>
          <w:bCs/>
          <w:rtl/>
        </w:rPr>
        <w:t>2.5</w:t>
      </w:r>
      <w:r w:rsidRPr="005E17DC">
        <w:rPr>
          <w:b/>
          <w:bCs/>
          <w:rtl/>
        </w:rPr>
        <w:t xml:space="preserve"> </w:t>
      </w:r>
      <w:r w:rsidRPr="005E17DC">
        <w:rPr>
          <w:rFonts w:hint="cs"/>
          <w:b/>
          <w:bCs/>
          <w:rtl/>
        </w:rPr>
        <w:t>מיליאר</w:t>
      </w:r>
      <w:r w:rsidRPr="005E17DC">
        <w:rPr>
          <w:rFonts w:hint="eastAsia"/>
          <w:b/>
          <w:bCs/>
          <w:rtl/>
        </w:rPr>
        <w:t>ד</w:t>
      </w:r>
      <w:r w:rsidRPr="005E17DC">
        <w:rPr>
          <w:b/>
          <w:bCs/>
          <w:rtl/>
        </w:rPr>
        <w:t xml:space="preserve"> ש"</w:t>
      </w:r>
      <w:r w:rsidRPr="005E17DC">
        <w:rPr>
          <w:rFonts w:hint="cs"/>
          <w:b/>
          <w:bCs/>
          <w:rtl/>
        </w:rPr>
        <w:t xml:space="preserve">ח. לנוכח סכומי ההפקדות הגדולים </w:t>
      </w:r>
      <w:r w:rsidRPr="005E17DC">
        <w:rPr>
          <w:b/>
          <w:bCs/>
          <w:rtl/>
        </w:rPr>
        <w:t>וחשיבות</w:t>
      </w:r>
      <w:r w:rsidRPr="005E17DC">
        <w:rPr>
          <w:rFonts w:hint="eastAsia"/>
          <w:b/>
          <w:bCs/>
          <w:rtl/>
        </w:rPr>
        <w:t>ם</w:t>
      </w:r>
      <w:r w:rsidRPr="005E17DC">
        <w:rPr>
          <w:b/>
          <w:bCs/>
          <w:rtl/>
        </w:rPr>
        <w:t xml:space="preserve"> הרבה לעתידם הכלכלי של עובדי הרשויות המקומיות, משרד מבקר המדינה ממליץ </w:t>
      </w:r>
      <w:r w:rsidRPr="005E17DC">
        <w:rPr>
          <w:rFonts w:hint="eastAsia"/>
          <w:b/>
          <w:bCs/>
          <w:rtl/>
        </w:rPr>
        <w:t>לאגף</w:t>
      </w:r>
      <w:r w:rsidRPr="005E17DC">
        <w:rPr>
          <w:b/>
          <w:bCs/>
          <w:rtl/>
        </w:rPr>
        <w:t xml:space="preserve"> </w:t>
      </w:r>
      <w:r w:rsidRPr="005E17DC">
        <w:rPr>
          <w:rFonts w:hint="eastAsia"/>
          <w:b/>
          <w:bCs/>
          <w:rtl/>
        </w:rPr>
        <w:t>בכיר</w:t>
      </w:r>
      <w:r w:rsidRPr="005E17DC">
        <w:rPr>
          <w:b/>
          <w:bCs/>
          <w:rtl/>
        </w:rPr>
        <w:t xml:space="preserve"> </w:t>
      </w:r>
      <w:r w:rsidRPr="005E17DC">
        <w:rPr>
          <w:rFonts w:hint="eastAsia"/>
          <w:b/>
          <w:bCs/>
          <w:rtl/>
        </w:rPr>
        <w:t>לביקורת</w:t>
      </w:r>
      <w:r w:rsidRPr="005E17DC">
        <w:rPr>
          <w:b/>
          <w:bCs/>
          <w:rtl/>
        </w:rPr>
        <w:t xml:space="preserve"> </w:t>
      </w:r>
      <w:r w:rsidRPr="005E17DC">
        <w:rPr>
          <w:rFonts w:hint="eastAsia"/>
          <w:b/>
          <w:bCs/>
          <w:rtl/>
        </w:rPr>
        <w:t>ברשויות</w:t>
      </w:r>
      <w:r w:rsidRPr="005E17DC">
        <w:rPr>
          <w:b/>
          <w:bCs/>
          <w:rtl/>
        </w:rPr>
        <w:t xml:space="preserve"> </w:t>
      </w:r>
      <w:r w:rsidRPr="005E17DC">
        <w:rPr>
          <w:rFonts w:hint="eastAsia"/>
          <w:b/>
          <w:bCs/>
          <w:rtl/>
        </w:rPr>
        <w:t>המקומיות</w:t>
      </w:r>
      <w:r w:rsidRPr="005E17DC">
        <w:rPr>
          <w:b/>
          <w:bCs/>
          <w:rtl/>
        </w:rPr>
        <w:t xml:space="preserve"> </w:t>
      </w:r>
      <w:r w:rsidRPr="005E17DC">
        <w:rPr>
          <w:rFonts w:hint="eastAsia"/>
          <w:b/>
          <w:bCs/>
          <w:rtl/>
        </w:rPr>
        <w:t>שבמשרד</w:t>
      </w:r>
      <w:r w:rsidRPr="005E17DC">
        <w:rPr>
          <w:b/>
          <w:bCs/>
          <w:rtl/>
        </w:rPr>
        <w:t xml:space="preserve"> </w:t>
      </w:r>
      <w:r w:rsidRPr="005E17DC">
        <w:rPr>
          <w:rFonts w:hint="eastAsia"/>
          <w:b/>
          <w:bCs/>
          <w:rtl/>
        </w:rPr>
        <w:t>הפנים</w:t>
      </w:r>
      <w:r w:rsidRPr="005E17DC">
        <w:rPr>
          <w:rFonts w:hint="cs"/>
          <w:b/>
          <w:bCs/>
          <w:rtl/>
        </w:rPr>
        <w:t xml:space="preserve"> לבחון את בקרתן של הפקדות אלו </w:t>
      </w:r>
      <w:r w:rsidRPr="005E17DC">
        <w:rPr>
          <w:rFonts w:hint="eastAsia"/>
          <w:b/>
          <w:bCs/>
          <w:rtl/>
        </w:rPr>
        <w:t>במסגרת</w:t>
      </w:r>
      <w:r w:rsidRPr="005E17DC">
        <w:rPr>
          <w:b/>
          <w:bCs/>
          <w:rtl/>
        </w:rPr>
        <w:t xml:space="preserve"> </w:t>
      </w:r>
      <w:r w:rsidRPr="005E17DC">
        <w:rPr>
          <w:rFonts w:hint="eastAsia"/>
          <w:b/>
          <w:bCs/>
          <w:rtl/>
        </w:rPr>
        <w:t>הביקור</w:t>
      </w:r>
      <w:r w:rsidRPr="005E17DC">
        <w:rPr>
          <w:rFonts w:hint="cs"/>
          <w:b/>
          <w:bCs/>
          <w:rtl/>
        </w:rPr>
        <w:t>ו</w:t>
      </w:r>
      <w:r w:rsidRPr="005E17DC">
        <w:rPr>
          <w:rFonts w:hint="eastAsia"/>
          <w:b/>
          <w:bCs/>
          <w:rtl/>
        </w:rPr>
        <w:t>ת</w:t>
      </w:r>
      <w:r w:rsidRPr="005E17DC">
        <w:rPr>
          <w:b/>
          <w:bCs/>
          <w:rtl/>
        </w:rPr>
        <w:t xml:space="preserve"> </w:t>
      </w:r>
      <w:r w:rsidRPr="005E17DC">
        <w:rPr>
          <w:rFonts w:hint="eastAsia"/>
          <w:b/>
          <w:bCs/>
          <w:rtl/>
        </w:rPr>
        <w:t>שהוא</w:t>
      </w:r>
      <w:r w:rsidRPr="005E17DC">
        <w:rPr>
          <w:b/>
          <w:bCs/>
          <w:rtl/>
        </w:rPr>
        <w:t xml:space="preserve"> </w:t>
      </w:r>
      <w:r w:rsidRPr="005E17DC">
        <w:rPr>
          <w:rFonts w:hint="cs"/>
          <w:b/>
          <w:bCs/>
          <w:rtl/>
        </w:rPr>
        <w:t>עושה</w:t>
      </w:r>
      <w:r w:rsidRPr="005E17DC">
        <w:rPr>
          <w:b/>
          <w:bCs/>
          <w:rtl/>
        </w:rPr>
        <w:t>.</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Fonts w:hint="cs"/>
          <w:rtl/>
        </w:rPr>
        <w:t xml:space="preserve">משרד הפנים השיב כי </w:t>
      </w:r>
      <w:r w:rsidRPr="005E17DC">
        <w:rPr>
          <w:rtl/>
        </w:rPr>
        <w:t xml:space="preserve">אגף בכיר לביקורת ברשויות המקומיות </w:t>
      </w:r>
      <w:r w:rsidRPr="005E17DC">
        <w:rPr>
          <w:rFonts w:hint="cs"/>
          <w:rtl/>
        </w:rPr>
        <w:t xml:space="preserve">במשרד יבחן את נושא הבקרות על ההפקדות לקופות גמל ולפי הצורך יפעיל ביקורת בנושא. </w:t>
      </w:r>
    </w:p>
    <w:p w:rsidR="005E17DC" w:rsidRPr="005E17DC" w:rsidP="00385106">
      <w:pPr>
        <w:keepNext/>
        <w:keepLines/>
        <w:spacing w:line="269" w:lineRule="auto"/>
        <w:outlineLvl w:val="3"/>
        <w:rPr>
          <w:rFonts w:eastAsiaTheme="majorEastAsia"/>
          <w:bCs/>
          <w:szCs w:val="26"/>
          <w:rtl/>
        </w:rPr>
      </w:pPr>
      <w:r w:rsidRPr="005E17DC">
        <w:rPr>
          <w:rFonts w:eastAsiaTheme="majorEastAsia" w:hint="cs"/>
          <w:bCs/>
          <w:szCs w:val="26"/>
          <w:rtl/>
        </w:rPr>
        <w:t xml:space="preserve">קופת גמל מרכזית להשתתפות </w:t>
      </w:r>
      <w:r w:rsidRPr="005E17DC">
        <w:rPr>
          <w:rFonts w:eastAsiaTheme="majorEastAsia" w:hint="cs"/>
          <w:bCs/>
          <w:szCs w:val="26"/>
          <w:rtl/>
        </w:rPr>
        <w:t>בפנסייה</w:t>
      </w:r>
      <w:r w:rsidRPr="005E17DC">
        <w:rPr>
          <w:rFonts w:eastAsiaTheme="majorEastAsia" w:hint="cs"/>
          <w:bCs/>
          <w:szCs w:val="26"/>
          <w:rtl/>
        </w:rPr>
        <w:t xml:space="preserve"> תקציבית</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Fonts w:hint="cs"/>
          <w:rtl/>
        </w:rPr>
        <w:t>ב</w:t>
      </w:r>
      <w:r w:rsidRPr="005E17DC">
        <w:rPr>
          <w:rtl/>
        </w:rPr>
        <w:t>חוק הת</w:t>
      </w:r>
      <w:r w:rsidRPr="005E17DC">
        <w:rPr>
          <w:rFonts w:hint="cs"/>
          <w:rtl/>
        </w:rPr>
        <w:t>ו</w:t>
      </w:r>
      <w:r w:rsidRPr="005E17DC">
        <w:rPr>
          <w:rtl/>
        </w:rPr>
        <w:t xml:space="preserve">כנית להבראת כלכלת ישראל (תיקוני חקיקה להשגת יעדי התקציב והמדיניות הכלכלית לשנות הכספים 2003 ו-2004), </w:t>
      </w:r>
      <w:r w:rsidRPr="005E17DC">
        <w:rPr>
          <w:rFonts w:hint="cs"/>
          <w:rtl/>
        </w:rPr>
        <w:t>ה</w:t>
      </w:r>
      <w:r w:rsidRPr="005E17DC">
        <w:rPr>
          <w:rtl/>
        </w:rPr>
        <w:t>תשס"ג-2003</w:t>
      </w:r>
      <w:r w:rsidRPr="005E17DC">
        <w:rPr>
          <w:rFonts w:hint="cs"/>
          <w:rtl/>
        </w:rPr>
        <w:t xml:space="preserve"> (להלן - חוק הבראת המשק), נקבע כי ברשויות מקומיות הנמצאות בהסדר של </w:t>
      </w:r>
      <w:r w:rsidRPr="005E17DC">
        <w:rPr>
          <w:rFonts w:hint="cs"/>
          <w:rtl/>
        </w:rPr>
        <w:t>פנסייה</w:t>
      </w:r>
      <w:r w:rsidRPr="005E17DC">
        <w:rPr>
          <w:rFonts w:hint="cs"/>
          <w:rtl/>
        </w:rPr>
        <w:t xml:space="preserve"> תקציבית, ינוכו משכר העובדים 1% בשנת 2004 ו-2% משנת 2005 ואילך. הכספים המנוכים נועדו לשמש את הרשויות המקומיות כדי לשלם להם בבוא היום את הגמלה החודשית. עוד נקבע בחוק הבראת המשק כי הכספים שינוכו משכר העובדים יופקדו בחשבון בנק נפרד המיועד לכך בלבד.</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Fonts w:hint="cs"/>
          <w:rtl/>
        </w:rPr>
        <w:t>בשנת</w:t>
      </w:r>
      <w:r w:rsidRPr="005E17DC">
        <w:rPr>
          <w:rtl/>
        </w:rPr>
        <w:t xml:space="preserve"> 2007 </w:t>
      </w:r>
      <w:r w:rsidRPr="005E17DC">
        <w:rPr>
          <w:rFonts w:hint="cs"/>
          <w:rtl/>
        </w:rPr>
        <w:t>נחקק</w:t>
      </w:r>
      <w:r w:rsidRPr="005E17DC">
        <w:rPr>
          <w:rtl/>
        </w:rPr>
        <w:t xml:space="preserve"> </w:t>
      </w:r>
      <w:r w:rsidRPr="005E17DC">
        <w:rPr>
          <w:rFonts w:hint="cs"/>
          <w:rtl/>
        </w:rPr>
        <w:t>תיקון</w:t>
      </w:r>
      <w:r w:rsidRPr="005E17DC">
        <w:rPr>
          <w:rtl/>
        </w:rPr>
        <w:t xml:space="preserve"> </w:t>
      </w:r>
      <w:r w:rsidRPr="005E17DC">
        <w:rPr>
          <w:rFonts w:hint="cs"/>
          <w:rtl/>
        </w:rPr>
        <w:t>מס</w:t>
      </w:r>
      <w:r w:rsidRPr="005E17DC">
        <w:rPr>
          <w:rtl/>
        </w:rPr>
        <w:t xml:space="preserve">' 11 </w:t>
      </w:r>
      <w:r w:rsidRPr="005E17DC">
        <w:rPr>
          <w:rFonts w:hint="cs"/>
          <w:rtl/>
        </w:rPr>
        <w:t>לחוק</w:t>
      </w:r>
      <w:r w:rsidRPr="005E17DC">
        <w:rPr>
          <w:rtl/>
        </w:rPr>
        <w:t xml:space="preserve"> </w:t>
      </w:r>
      <w:r w:rsidRPr="005E17DC">
        <w:rPr>
          <w:rFonts w:hint="cs"/>
          <w:rtl/>
        </w:rPr>
        <w:t>הבראת</w:t>
      </w:r>
      <w:r w:rsidRPr="005E17DC">
        <w:rPr>
          <w:rtl/>
        </w:rPr>
        <w:t xml:space="preserve"> </w:t>
      </w:r>
      <w:r w:rsidRPr="005E17DC">
        <w:rPr>
          <w:rFonts w:hint="cs"/>
          <w:rtl/>
        </w:rPr>
        <w:t>המשק ו</w:t>
      </w:r>
      <w:r w:rsidRPr="005E17DC">
        <w:rPr>
          <w:rtl/>
        </w:rPr>
        <w:t xml:space="preserve">נקבע </w:t>
      </w:r>
      <w:r w:rsidRPr="005E17DC">
        <w:rPr>
          <w:rFonts w:hint="cs"/>
          <w:rtl/>
        </w:rPr>
        <w:t xml:space="preserve">בו </w:t>
      </w:r>
      <w:r w:rsidRPr="005E17DC">
        <w:rPr>
          <w:rtl/>
        </w:rPr>
        <w:t xml:space="preserve">כי </w:t>
      </w:r>
      <w:r w:rsidRPr="005E17DC">
        <w:rPr>
          <w:rFonts w:hint="cs"/>
          <w:rtl/>
        </w:rPr>
        <w:t xml:space="preserve">את הכספים שנוכו משכר העובדים בהסדר </w:t>
      </w:r>
      <w:r w:rsidRPr="005E17DC">
        <w:rPr>
          <w:rFonts w:hint="cs"/>
          <w:rtl/>
        </w:rPr>
        <w:t>פנסייה</w:t>
      </w:r>
      <w:r w:rsidRPr="005E17DC">
        <w:rPr>
          <w:rFonts w:hint="cs"/>
          <w:rtl/>
        </w:rPr>
        <w:t xml:space="preserve"> תקציבית</w:t>
      </w:r>
      <w:r w:rsidRPr="005E17DC">
        <w:rPr>
          <w:rtl/>
        </w:rPr>
        <w:t xml:space="preserve"> </w:t>
      </w:r>
      <w:r w:rsidRPr="005E17DC">
        <w:rPr>
          <w:rFonts w:hint="cs"/>
          <w:rtl/>
        </w:rPr>
        <w:t xml:space="preserve">יחויבו </w:t>
      </w:r>
      <w:r w:rsidRPr="005E17DC">
        <w:rPr>
          <w:rtl/>
        </w:rPr>
        <w:t xml:space="preserve">הרשויות המקומיות </w:t>
      </w:r>
      <w:r w:rsidRPr="005E17DC">
        <w:rPr>
          <w:rFonts w:hint="cs"/>
          <w:rtl/>
        </w:rPr>
        <w:t xml:space="preserve">להפקיד בקופת גמל מרכזית להשתתפות </w:t>
      </w:r>
      <w:r w:rsidRPr="005E17DC">
        <w:rPr>
          <w:rFonts w:hint="cs"/>
          <w:rtl/>
        </w:rPr>
        <w:t>בפנסייה</w:t>
      </w:r>
      <w:r w:rsidRPr="005E17DC">
        <w:rPr>
          <w:rFonts w:hint="cs"/>
          <w:rtl/>
        </w:rPr>
        <w:t xml:space="preserve"> תקציבית. כמו כן נקבע כי הכספים שנוכו עד כניסת התיקון לתוקף יועברו עם תחולתו לקופות גמל מרכזיות להשתתפות </w:t>
      </w:r>
      <w:r w:rsidRPr="005E17DC">
        <w:rPr>
          <w:rFonts w:hint="cs"/>
          <w:rtl/>
        </w:rPr>
        <w:t>בפנסייה</w:t>
      </w:r>
      <w:r w:rsidRPr="005E17DC">
        <w:rPr>
          <w:rFonts w:hint="cs"/>
          <w:rtl/>
        </w:rPr>
        <w:t xml:space="preserve"> תקציבית.</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Fonts w:hint="cs"/>
          <w:rtl/>
        </w:rPr>
        <w:t xml:space="preserve">קופת גמל מרכזית להשתתפות </w:t>
      </w:r>
      <w:r w:rsidRPr="005E17DC">
        <w:rPr>
          <w:rFonts w:hint="cs"/>
          <w:rtl/>
        </w:rPr>
        <w:t>בפנסייה</w:t>
      </w:r>
      <w:r w:rsidRPr="005E17DC">
        <w:rPr>
          <w:rFonts w:hint="cs"/>
          <w:rtl/>
        </w:rPr>
        <w:t xml:space="preserve"> תקציבית (להלן - קופת גמל) היא מוצר פיננסי שהוקם בשנת 2007 במסגרת תיקון מס' 2 ל</w:t>
      </w:r>
      <w:r w:rsidRPr="005E17DC">
        <w:rPr>
          <w:rtl/>
        </w:rPr>
        <w:t xml:space="preserve">חוק הפיקוח על שירותים פיננסיים (קופות גמל), </w:t>
      </w:r>
      <w:r w:rsidRPr="005E17DC">
        <w:rPr>
          <w:rFonts w:hint="cs"/>
          <w:rtl/>
        </w:rPr>
        <w:t>ה</w:t>
      </w:r>
      <w:r w:rsidRPr="005E17DC">
        <w:rPr>
          <w:rtl/>
        </w:rPr>
        <w:t>תשס"ה-2005</w:t>
      </w:r>
      <w:r w:rsidRPr="005E17DC">
        <w:rPr>
          <w:rFonts w:hint="cs"/>
          <w:rtl/>
        </w:rPr>
        <w:t xml:space="preserve">. קופת הגמל רשאית לקלוט מרשויות מקומיות כספים שניכו משכר עובדיהן שבהסדרי </w:t>
      </w:r>
      <w:r w:rsidRPr="005E17DC">
        <w:rPr>
          <w:rFonts w:hint="cs"/>
          <w:rtl/>
        </w:rPr>
        <w:t>פנסייה</w:t>
      </w:r>
      <w:r w:rsidRPr="005E17DC">
        <w:rPr>
          <w:rFonts w:hint="cs"/>
          <w:rtl/>
        </w:rPr>
        <w:t xml:space="preserve"> תקציבית. הרשות המקומית אינה רשאית למשוך את כספיה שהופקדו בקופות גמל אלא עם פרישתו לגמלאות של עובד הנמצא בהסדר </w:t>
      </w:r>
      <w:r w:rsidRPr="005E17DC">
        <w:rPr>
          <w:rFonts w:hint="cs"/>
          <w:rtl/>
        </w:rPr>
        <w:t>פנסייה</w:t>
      </w:r>
      <w:r w:rsidRPr="005E17DC">
        <w:rPr>
          <w:rFonts w:hint="cs"/>
          <w:rtl/>
        </w:rPr>
        <w:t xml:space="preserve"> תקציבית, ורק כספים שהופקדו בגין אותו עובד.</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Fonts w:hint="eastAsia"/>
          <w:rtl/>
        </w:rPr>
        <w:t>בפעילותה</w:t>
      </w:r>
      <w:r w:rsidRPr="005E17DC">
        <w:rPr>
          <w:rtl/>
        </w:rPr>
        <w:t xml:space="preserve"> השוטפת קופת גמל משקיעה את הכספים </w:t>
      </w:r>
      <w:r w:rsidRPr="005E17DC">
        <w:rPr>
          <w:rFonts w:hint="cs"/>
          <w:rtl/>
        </w:rPr>
        <w:t>שהפקידה</w:t>
      </w:r>
      <w:r w:rsidRPr="005E17DC">
        <w:rPr>
          <w:rtl/>
        </w:rPr>
        <w:t xml:space="preserve"> הרשות המקומית </w:t>
      </w:r>
      <w:r w:rsidRPr="005E17DC">
        <w:rPr>
          <w:rFonts w:hint="eastAsia"/>
          <w:rtl/>
        </w:rPr>
        <w:t>כדי</w:t>
      </w:r>
      <w:r w:rsidRPr="005E17DC">
        <w:rPr>
          <w:rtl/>
        </w:rPr>
        <w:t xml:space="preserve"> </w:t>
      </w:r>
      <w:r w:rsidRPr="005E17DC">
        <w:rPr>
          <w:rFonts w:hint="cs"/>
          <w:rtl/>
        </w:rPr>
        <w:t xml:space="preserve">שישיאו לה תשואה. ככל שהתשואה גבוהה יותר, כן הרשות מוציאה פחות ממקורותיה היא לתשלומי </w:t>
      </w:r>
      <w:r w:rsidRPr="005E17DC">
        <w:rPr>
          <w:rFonts w:hint="cs"/>
          <w:rtl/>
        </w:rPr>
        <w:t>הפנסייה</w:t>
      </w:r>
      <w:r w:rsidRPr="005E17DC">
        <w:rPr>
          <w:rFonts w:hint="cs"/>
          <w:rtl/>
        </w:rPr>
        <w:t xml:space="preserve"> התקציבית של עובדיה הפורשים לגמלאות. מנכסיה של הרשות בקופת הגמל נגבים דמי ניהול. שיעורם נקבע בהסכמה בין הרשות המקומית לחברה המנהלת את הקופה, והם מנוכים מיתרת נכסיה של הקופה.</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tl/>
        </w:rPr>
        <w:t xml:space="preserve">רישום הכספים המופקדים בקופות גמל </w:t>
      </w:r>
      <w:r w:rsidRPr="005E17DC">
        <w:rPr>
          <w:rFonts w:hint="cs"/>
          <w:rtl/>
        </w:rPr>
        <w:t>נעשה</w:t>
      </w:r>
      <w:r w:rsidRPr="005E17DC">
        <w:rPr>
          <w:rtl/>
        </w:rPr>
        <w:t xml:space="preserve"> בדוחות הכספיים של הרשות המקומית</w:t>
      </w:r>
      <w:r w:rsidRPr="005E17DC">
        <w:rPr>
          <w:rFonts w:hint="cs"/>
          <w:rtl/>
        </w:rPr>
        <w:t>,</w:t>
      </w:r>
      <w:r w:rsidRPr="005E17DC">
        <w:rPr>
          <w:rtl/>
        </w:rPr>
        <w:t xml:space="preserve"> בסעיף קרנות בלתי מתוקצבות אחרות</w:t>
      </w:r>
      <w:r w:rsidRPr="005E17DC">
        <w:rPr>
          <w:rFonts w:hint="cs"/>
          <w:rtl/>
        </w:rPr>
        <w:t>,</w:t>
      </w:r>
      <w:r w:rsidRPr="005E17DC">
        <w:rPr>
          <w:rtl/>
        </w:rPr>
        <w:t xml:space="preserve"> בקרן הקרויה "קרן דמי ניהול פנסיה תקציבית".</w:t>
      </w:r>
      <w:r w:rsidRPr="005E17DC">
        <w:rPr>
          <w:rFonts w:hint="cs"/>
          <w:rtl/>
        </w:rPr>
        <w:t xml:space="preserve"> ב</w:t>
      </w:r>
      <w:r w:rsidRPr="005E17DC">
        <w:rPr>
          <w:rtl/>
        </w:rPr>
        <w:t>סוף שנת 2</w:t>
      </w:r>
      <w:r w:rsidRPr="005E17DC">
        <w:rPr>
          <w:rFonts w:hint="cs"/>
          <w:rtl/>
        </w:rPr>
        <w:t>0</w:t>
      </w:r>
      <w:r w:rsidRPr="005E17DC">
        <w:rPr>
          <w:rtl/>
        </w:rPr>
        <w:t>1</w:t>
      </w:r>
      <w:r w:rsidRPr="005E17DC">
        <w:rPr>
          <w:rFonts w:hint="cs"/>
          <w:rtl/>
        </w:rPr>
        <w:t>8</w:t>
      </w:r>
      <w:r w:rsidRPr="005E17DC">
        <w:rPr>
          <w:rtl/>
        </w:rPr>
        <w:t xml:space="preserve"> היו בקרן דמי ניהול </w:t>
      </w:r>
      <w:r w:rsidRPr="005E17DC">
        <w:rPr>
          <w:rtl/>
        </w:rPr>
        <w:t>פנסייה</w:t>
      </w:r>
      <w:r w:rsidRPr="005E17DC">
        <w:rPr>
          <w:rtl/>
        </w:rPr>
        <w:t xml:space="preserve"> תקציבית</w:t>
      </w:r>
      <w:r w:rsidRPr="005E17DC">
        <w:rPr>
          <w:rFonts w:hint="cs"/>
          <w:rtl/>
        </w:rPr>
        <w:t xml:space="preserve"> של עיריית רמלה</w:t>
      </w:r>
      <w:r w:rsidRPr="005E17DC">
        <w:rPr>
          <w:rtl/>
        </w:rPr>
        <w:t>, שהוקמה ב-2009</w:t>
      </w:r>
      <w:r w:rsidRPr="005E17DC">
        <w:rPr>
          <w:rFonts w:hint="cs"/>
          <w:rtl/>
        </w:rPr>
        <w:t xml:space="preserve">, </w:t>
      </w:r>
      <w:r w:rsidRPr="005E17DC">
        <w:rPr>
          <w:rtl/>
        </w:rPr>
        <w:t>כ-</w:t>
      </w:r>
      <w:r w:rsidRPr="005E17DC">
        <w:rPr>
          <w:rFonts w:hint="cs"/>
          <w:rtl/>
        </w:rPr>
        <w:t>6.36</w:t>
      </w:r>
      <w:r w:rsidRPr="005E17DC">
        <w:rPr>
          <w:rtl/>
        </w:rPr>
        <w:t xml:space="preserve"> מיליון ש"ח</w:t>
      </w:r>
      <w:r w:rsidRPr="005E17DC">
        <w:t>.</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Fonts w:hint="cs"/>
          <w:rtl/>
        </w:rPr>
        <w:t>עיריית רמלה בחרה לנהל את הכספים שניכתה משכר עובדיה בקופת הגמל א'. משנת 2009 היו קיימות בארץ שש קופות גמל מסוג זה.</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Fonts w:hint="cs"/>
          <w:rtl/>
        </w:rPr>
        <w:t>משרד מבקר המדינה בדק את התשואה המצטברת של קופה א' בהשוואה לשאר קופות הגמל במשך חמש שנים (מספטמבר 2014 עד אוגוסט 2019) ובמשך שלוש שנים (מספטמבר 2016 עד אוגוסט 2019) ואת תשואתם של 12 החודשים מספטמבר 2018 עד אוגוסט 2019. להלן השוואת התשואות.</w:t>
      </w:r>
    </w:p>
    <w:p w:rsidR="00385106">
      <w:pPr>
        <w:bidi w:val="0"/>
        <w:spacing w:after="200" w:line="276" w:lineRule="auto"/>
        <w:rPr>
          <w:szCs w:val="20"/>
          <w:rtl/>
        </w:rPr>
      </w:pPr>
      <w:r>
        <w:rPr>
          <w:szCs w:val="20"/>
          <w:rtl/>
        </w:rPr>
        <w:br w:type="page"/>
      </w:r>
    </w:p>
    <w:p w:rsidR="005E17DC" w:rsidRPr="005E17DC" w:rsidP="00385106">
      <w:pPr>
        <w:spacing w:line="269" w:lineRule="auto"/>
        <w:ind w:left="-567"/>
        <w:rPr>
          <w:szCs w:val="20"/>
          <w:rtl/>
        </w:rPr>
      </w:pPr>
    </w:p>
    <w:p w:rsidR="005E17DC" w:rsidRPr="005E17DC" w:rsidP="000E5918">
      <w:pPr>
        <w:spacing w:after="120" w:line="269" w:lineRule="auto"/>
        <w:jc w:val="center"/>
        <w:rPr>
          <w:b/>
          <w:bCs/>
          <w:rtl/>
        </w:rPr>
      </w:pPr>
      <w:r w:rsidRPr="005E17DC">
        <w:rPr>
          <w:rFonts w:hint="eastAsia"/>
          <w:b/>
          <w:bCs/>
          <w:rtl/>
        </w:rPr>
        <w:t>תרשים</w:t>
      </w:r>
      <w:r w:rsidRPr="005E17DC">
        <w:rPr>
          <w:b/>
          <w:bCs/>
          <w:rtl/>
        </w:rPr>
        <w:t xml:space="preserve"> 1</w:t>
      </w:r>
      <w:r w:rsidRPr="005E17DC">
        <w:rPr>
          <w:rFonts w:hint="cs"/>
          <w:b/>
          <w:bCs/>
          <w:rtl/>
        </w:rPr>
        <w:t>7:</w:t>
      </w:r>
      <w:r w:rsidRPr="005E17DC">
        <w:rPr>
          <w:b/>
          <w:bCs/>
          <w:rtl/>
        </w:rPr>
        <w:t xml:space="preserve"> </w:t>
      </w:r>
      <w:r w:rsidRPr="005E17DC">
        <w:rPr>
          <w:rFonts w:hint="eastAsia"/>
          <w:b/>
          <w:bCs/>
          <w:rtl/>
        </w:rPr>
        <w:t>תשואות</w:t>
      </w:r>
      <w:r w:rsidRPr="005E17DC">
        <w:rPr>
          <w:b/>
          <w:bCs/>
          <w:rtl/>
        </w:rPr>
        <w:t xml:space="preserve"> </w:t>
      </w:r>
      <w:r w:rsidRPr="005E17DC">
        <w:rPr>
          <w:rFonts w:hint="eastAsia"/>
          <w:b/>
          <w:bCs/>
          <w:rtl/>
        </w:rPr>
        <w:t>מצטברות</w:t>
      </w:r>
      <w:r w:rsidRPr="005E17DC">
        <w:rPr>
          <w:rFonts w:hint="cs"/>
          <w:b/>
          <w:bCs/>
          <w:rtl/>
        </w:rPr>
        <w:t>* ש</w:t>
      </w:r>
      <w:r w:rsidRPr="005E17DC">
        <w:rPr>
          <w:b/>
          <w:bCs/>
          <w:rtl/>
        </w:rPr>
        <w:t xml:space="preserve">ל קופות גמל לשנה, </w:t>
      </w:r>
      <w:r w:rsidRPr="005E17DC">
        <w:rPr>
          <w:rFonts w:hint="cs"/>
          <w:b/>
          <w:bCs/>
          <w:rtl/>
        </w:rPr>
        <w:t>ל</w:t>
      </w:r>
      <w:r w:rsidRPr="005E17DC">
        <w:rPr>
          <w:b/>
          <w:bCs/>
          <w:rtl/>
        </w:rPr>
        <w:t>שלוש</w:t>
      </w:r>
      <w:r w:rsidRPr="005E17DC">
        <w:rPr>
          <w:rFonts w:hint="cs"/>
          <w:b/>
          <w:bCs/>
          <w:rtl/>
        </w:rPr>
        <w:t xml:space="preserve"> שנים</w:t>
      </w:r>
      <w:r w:rsidRPr="005E17DC">
        <w:rPr>
          <w:b/>
          <w:bCs/>
          <w:rtl/>
        </w:rPr>
        <w:t xml:space="preserve"> ו</w:t>
      </w:r>
      <w:r w:rsidRPr="005E17DC">
        <w:rPr>
          <w:rFonts w:hint="cs"/>
          <w:b/>
          <w:bCs/>
          <w:rtl/>
        </w:rPr>
        <w:t>ל</w:t>
      </w:r>
      <w:r w:rsidRPr="005E17DC">
        <w:rPr>
          <w:b/>
          <w:bCs/>
          <w:rtl/>
        </w:rPr>
        <w:t>חמש שנים</w:t>
      </w:r>
    </w:p>
    <w:p w:rsidR="005E17DC" w:rsidRPr="005E17DC" w:rsidP="00385106">
      <w:pPr>
        <w:spacing w:line="269" w:lineRule="auto"/>
        <w:rPr>
          <w:rtl/>
        </w:rPr>
      </w:pPr>
      <w:r w:rsidRPr="005E17DC">
        <w:rPr>
          <w:noProof/>
        </w:rPr>
        <w:drawing>
          <wp:inline distT="0" distB="0" distL="0" distR="0">
            <wp:extent cx="5220335" cy="2594610"/>
            <wp:effectExtent l="0" t="0" r="18415" b="15240"/>
            <wp:docPr id="31" name="תרשים 31">
              <a:extLst xmlns:a="http://schemas.openxmlformats.org/drawingml/2006/main">
                <a:ext xmlns:a="http://schemas.openxmlformats.org/drawingml/2006/main" uri="{FF2B5EF4-FFF2-40B4-BE49-F238E27FC236}">
                  <a16:creationId xmlns:a16="http://schemas.microsoft.com/office/drawing/2014/main" id="{C4A9D7C9-2659-4A3F-98E0-FDABFFF721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E17DC" w:rsidRPr="005E17DC" w:rsidP="000E5918">
      <w:pPr>
        <w:spacing w:before="120" w:line="269" w:lineRule="auto"/>
        <w:rPr>
          <w:sz w:val="22"/>
          <w:szCs w:val="22"/>
          <w:rtl/>
        </w:rPr>
      </w:pPr>
      <w:r w:rsidRPr="005E17DC">
        <w:rPr>
          <w:rFonts w:hint="cs"/>
          <w:sz w:val="22"/>
          <w:szCs w:val="22"/>
          <w:rtl/>
        </w:rPr>
        <w:t>ה</w:t>
      </w:r>
      <w:r w:rsidRPr="005E17DC">
        <w:rPr>
          <w:rFonts w:hint="eastAsia"/>
          <w:sz w:val="22"/>
          <w:szCs w:val="22"/>
          <w:rtl/>
        </w:rPr>
        <w:t>מקור</w:t>
      </w:r>
      <w:r w:rsidRPr="005E17DC">
        <w:rPr>
          <w:sz w:val="22"/>
          <w:szCs w:val="22"/>
          <w:rtl/>
        </w:rPr>
        <w:t xml:space="preserve">: </w:t>
      </w:r>
      <w:r w:rsidRPr="005E17DC">
        <w:rPr>
          <w:rFonts w:hint="eastAsia"/>
          <w:sz w:val="22"/>
          <w:szCs w:val="22"/>
          <w:rtl/>
        </w:rPr>
        <w:t>מערכת</w:t>
      </w:r>
      <w:r w:rsidRPr="005E17DC">
        <w:rPr>
          <w:sz w:val="22"/>
          <w:szCs w:val="22"/>
          <w:rtl/>
        </w:rPr>
        <w:t xml:space="preserve"> </w:t>
      </w:r>
      <w:r w:rsidRPr="005E17DC">
        <w:rPr>
          <w:rFonts w:hint="eastAsia"/>
          <w:sz w:val="22"/>
          <w:szCs w:val="22"/>
          <w:rtl/>
        </w:rPr>
        <w:t>ה</w:t>
      </w:r>
      <w:r w:rsidRPr="005E17DC">
        <w:rPr>
          <w:sz w:val="22"/>
          <w:szCs w:val="22"/>
          <w:rtl/>
        </w:rPr>
        <w:t xml:space="preserve">"גמל </w:t>
      </w:r>
      <w:r w:rsidRPr="005E17DC">
        <w:rPr>
          <w:rFonts w:hint="eastAsia"/>
          <w:sz w:val="22"/>
          <w:szCs w:val="22"/>
          <w:rtl/>
        </w:rPr>
        <w:t>נט</w:t>
      </w:r>
      <w:r w:rsidRPr="005E17DC">
        <w:rPr>
          <w:sz w:val="22"/>
          <w:szCs w:val="22"/>
          <w:rtl/>
        </w:rPr>
        <w:t xml:space="preserve">" </w:t>
      </w:r>
      <w:r w:rsidRPr="005E17DC">
        <w:rPr>
          <w:rFonts w:hint="eastAsia"/>
          <w:sz w:val="22"/>
          <w:szCs w:val="22"/>
          <w:rtl/>
        </w:rPr>
        <w:t>שבאתר</w:t>
      </w:r>
      <w:r w:rsidRPr="005E17DC">
        <w:rPr>
          <w:sz w:val="22"/>
          <w:szCs w:val="22"/>
          <w:rtl/>
        </w:rPr>
        <w:t xml:space="preserve"> </w:t>
      </w:r>
      <w:r w:rsidRPr="005E17DC">
        <w:rPr>
          <w:rFonts w:hint="eastAsia"/>
          <w:sz w:val="22"/>
          <w:szCs w:val="22"/>
          <w:rtl/>
        </w:rPr>
        <w:t>רשות</w:t>
      </w:r>
      <w:r w:rsidRPr="005E17DC">
        <w:rPr>
          <w:sz w:val="22"/>
          <w:szCs w:val="22"/>
          <w:rtl/>
        </w:rPr>
        <w:t xml:space="preserve"> </w:t>
      </w:r>
      <w:r w:rsidRPr="005E17DC">
        <w:rPr>
          <w:rFonts w:hint="eastAsia"/>
          <w:sz w:val="22"/>
          <w:szCs w:val="22"/>
          <w:rtl/>
        </w:rPr>
        <w:t>שוק</w:t>
      </w:r>
      <w:r w:rsidRPr="005E17DC">
        <w:rPr>
          <w:sz w:val="22"/>
          <w:szCs w:val="22"/>
          <w:rtl/>
        </w:rPr>
        <w:t xml:space="preserve"> </w:t>
      </w:r>
      <w:r w:rsidRPr="005E17DC">
        <w:rPr>
          <w:rFonts w:hint="eastAsia"/>
          <w:sz w:val="22"/>
          <w:szCs w:val="22"/>
          <w:rtl/>
        </w:rPr>
        <w:t>ההון</w:t>
      </w:r>
      <w:r w:rsidRPr="005E17DC">
        <w:rPr>
          <w:sz w:val="22"/>
          <w:szCs w:val="22"/>
          <w:rtl/>
        </w:rPr>
        <w:t xml:space="preserve">, </w:t>
      </w:r>
      <w:r w:rsidRPr="005E17DC">
        <w:rPr>
          <w:rFonts w:hint="eastAsia"/>
          <w:sz w:val="22"/>
          <w:szCs w:val="22"/>
          <w:rtl/>
        </w:rPr>
        <w:t>ביטוח</w:t>
      </w:r>
      <w:r w:rsidRPr="005E17DC">
        <w:rPr>
          <w:sz w:val="22"/>
          <w:szCs w:val="22"/>
          <w:rtl/>
        </w:rPr>
        <w:t xml:space="preserve"> </w:t>
      </w:r>
      <w:r w:rsidRPr="005E17DC">
        <w:rPr>
          <w:rFonts w:hint="eastAsia"/>
          <w:sz w:val="22"/>
          <w:szCs w:val="22"/>
          <w:rtl/>
        </w:rPr>
        <w:t>וחסכון</w:t>
      </w:r>
      <w:r w:rsidRPr="005E17DC">
        <w:rPr>
          <w:sz w:val="22"/>
          <w:szCs w:val="22"/>
          <w:rtl/>
        </w:rPr>
        <w:t>.</w:t>
      </w:r>
    </w:p>
    <w:p w:rsidR="005E17DC" w:rsidRPr="005E17DC" w:rsidP="00385106">
      <w:pPr>
        <w:spacing w:line="269" w:lineRule="auto"/>
        <w:rPr>
          <w:sz w:val="22"/>
          <w:szCs w:val="22"/>
          <w:rtl/>
        </w:rPr>
      </w:pPr>
      <w:r w:rsidRPr="005E17DC">
        <w:rPr>
          <w:rFonts w:hint="cs"/>
          <w:sz w:val="22"/>
          <w:szCs w:val="22"/>
          <w:rtl/>
        </w:rPr>
        <w:t>*</w:t>
      </w:r>
      <w:r w:rsidRPr="005E17DC">
        <w:rPr>
          <w:sz w:val="22"/>
          <w:szCs w:val="22"/>
          <w:rtl/>
        </w:rPr>
        <w:t xml:space="preserve"> קופות ז',</w:t>
      </w:r>
      <w:r w:rsidRPr="005E17DC">
        <w:rPr>
          <w:rFonts w:hint="cs"/>
          <w:sz w:val="22"/>
          <w:szCs w:val="22"/>
          <w:rtl/>
        </w:rPr>
        <w:t xml:space="preserve"> </w:t>
      </w:r>
      <w:r w:rsidRPr="005E17DC">
        <w:rPr>
          <w:sz w:val="22"/>
          <w:szCs w:val="22"/>
          <w:rtl/>
        </w:rPr>
        <w:t xml:space="preserve">ח' וט' הוקמו לפני פחות מחמש שנים </w:t>
      </w:r>
      <w:r w:rsidRPr="005E17DC">
        <w:rPr>
          <w:rFonts w:hint="cs"/>
          <w:sz w:val="22"/>
          <w:szCs w:val="22"/>
          <w:rtl/>
        </w:rPr>
        <w:t xml:space="preserve">ולכן </w:t>
      </w:r>
      <w:r w:rsidRPr="005E17DC">
        <w:rPr>
          <w:sz w:val="22"/>
          <w:szCs w:val="22"/>
          <w:rtl/>
        </w:rPr>
        <w:t>אין עבורן תשואה מצטברת לחמש השנים האחרונות.</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Fonts w:hint="cs"/>
          <w:rtl/>
        </w:rPr>
        <w:t xml:space="preserve">בתרשים נראים הבדלים גדולים בתשואות שהשיאו הקופות השונות. מקור ההבדלים הוא באפיקי ההשקעה והסיכונים הכרוכים בהם ובאיכות ניהולן של ההשקעות בכל קופה. </w:t>
      </w:r>
    </w:p>
    <w:p w:rsidR="005E17DC" w:rsidRPr="005E17DC" w:rsidP="00385106">
      <w:pPr>
        <w:spacing w:line="269" w:lineRule="auto"/>
        <w:ind w:left="-567"/>
        <w:rPr>
          <w:szCs w:val="20"/>
          <w:rtl/>
        </w:rPr>
      </w:pPr>
    </w:p>
    <w:p w:rsidR="005E17DC" w:rsidRPr="005E17DC" w:rsidP="00385106">
      <w:pPr>
        <w:spacing w:line="269" w:lineRule="auto"/>
        <w:rPr>
          <w:b/>
          <w:bCs/>
          <w:rtl/>
        </w:rPr>
      </w:pPr>
      <w:r w:rsidRPr="005E17DC">
        <w:rPr>
          <w:b/>
          <w:bCs/>
          <w:rtl/>
        </w:rPr>
        <w:t xml:space="preserve">בביקורת נמצא כי </w:t>
      </w:r>
      <w:r w:rsidRPr="005E17DC">
        <w:rPr>
          <w:rFonts w:hint="eastAsia"/>
          <w:b/>
          <w:bCs/>
          <w:rtl/>
        </w:rPr>
        <w:t>במרוצת</w:t>
      </w:r>
      <w:r w:rsidRPr="005E17DC">
        <w:rPr>
          <w:b/>
          <w:bCs/>
          <w:rtl/>
        </w:rPr>
        <w:t xml:space="preserve"> השנים </w:t>
      </w:r>
      <w:r w:rsidRPr="005E17DC">
        <w:rPr>
          <w:rFonts w:hint="eastAsia"/>
          <w:b/>
          <w:bCs/>
          <w:rtl/>
        </w:rPr>
        <w:t>לא</w:t>
      </w:r>
      <w:r w:rsidRPr="005E17DC">
        <w:rPr>
          <w:b/>
          <w:bCs/>
          <w:rtl/>
        </w:rPr>
        <w:t xml:space="preserve"> בחנה עיריית </w:t>
      </w:r>
      <w:r w:rsidRPr="005E17DC">
        <w:rPr>
          <w:rFonts w:hint="eastAsia"/>
          <w:b/>
          <w:bCs/>
          <w:rtl/>
        </w:rPr>
        <w:t>רמלה</w:t>
      </w:r>
      <w:r w:rsidRPr="005E17DC">
        <w:rPr>
          <w:b/>
          <w:bCs/>
          <w:rtl/>
        </w:rPr>
        <w:t xml:space="preserve"> </w:t>
      </w:r>
      <w:r w:rsidRPr="005E17DC">
        <w:rPr>
          <w:rFonts w:hint="eastAsia"/>
          <w:b/>
          <w:bCs/>
          <w:rtl/>
        </w:rPr>
        <w:t>בחינה</w:t>
      </w:r>
      <w:r w:rsidRPr="005E17DC">
        <w:rPr>
          <w:b/>
          <w:bCs/>
          <w:rtl/>
        </w:rPr>
        <w:t xml:space="preserve"> </w:t>
      </w:r>
      <w:r w:rsidRPr="005E17DC">
        <w:rPr>
          <w:rFonts w:hint="eastAsia"/>
          <w:b/>
          <w:bCs/>
          <w:rtl/>
        </w:rPr>
        <w:t>עיתית</w:t>
      </w:r>
      <w:r w:rsidRPr="005E17DC">
        <w:rPr>
          <w:b/>
          <w:bCs/>
          <w:rtl/>
        </w:rPr>
        <w:t xml:space="preserve"> </w:t>
      </w:r>
      <w:r w:rsidRPr="005E17DC">
        <w:rPr>
          <w:rFonts w:hint="eastAsia"/>
          <w:b/>
          <w:bCs/>
          <w:rtl/>
        </w:rPr>
        <w:t>את</w:t>
      </w:r>
      <w:r w:rsidRPr="005E17DC">
        <w:rPr>
          <w:b/>
          <w:bCs/>
          <w:rtl/>
        </w:rPr>
        <w:t xml:space="preserve"> קופתה </w:t>
      </w:r>
      <w:r w:rsidRPr="005E17DC">
        <w:rPr>
          <w:rFonts w:hint="eastAsia"/>
          <w:b/>
          <w:bCs/>
          <w:rtl/>
        </w:rPr>
        <w:t>בהשוואה</w:t>
      </w:r>
      <w:r w:rsidRPr="005E17DC">
        <w:rPr>
          <w:b/>
          <w:bCs/>
          <w:rtl/>
        </w:rPr>
        <w:t xml:space="preserve"> </w:t>
      </w:r>
      <w:r w:rsidRPr="005E17DC">
        <w:rPr>
          <w:rFonts w:hint="eastAsia"/>
          <w:b/>
          <w:bCs/>
          <w:rtl/>
        </w:rPr>
        <w:t>לאפשריות</w:t>
      </w:r>
      <w:r w:rsidRPr="005E17DC">
        <w:rPr>
          <w:b/>
          <w:bCs/>
          <w:rtl/>
        </w:rPr>
        <w:t xml:space="preserve"> </w:t>
      </w:r>
      <w:r w:rsidRPr="005E17DC">
        <w:rPr>
          <w:rFonts w:hint="eastAsia"/>
          <w:b/>
          <w:bCs/>
          <w:rtl/>
        </w:rPr>
        <w:t>האחרות</w:t>
      </w:r>
      <w:r w:rsidRPr="005E17DC">
        <w:rPr>
          <w:b/>
          <w:bCs/>
          <w:rtl/>
        </w:rPr>
        <w:t xml:space="preserve"> </w:t>
      </w:r>
      <w:r w:rsidRPr="005E17DC">
        <w:rPr>
          <w:rFonts w:hint="eastAsia"/>
          <w:b/>
          <w:bCs/>
          <w:rtl/>
        </w:rPr>
        <w:t>שעמדו</w:t>
      </w:r>
      <w:r w:rsidRPr="005E17DC">
        <w:rPr>
          <w:b/>
          <w:bCs/>
          <w:rtl/>
        </w:rPr>
        <w:t xml:space="preserve"> </w:t>
      </w:r>
      <w:r w:rsidRPr="005E17DC">
        <w:rPr>
          <w:rFonts w:hint="eastAsia"/>
          <w:b/>
          <w:bCs/>
          <w:rtl/>
        </w:rPr>
        <w:t>לפניה</w:t>
      </w:r>
      <w:r w:rsidRPr="005E17DC">
        <w:rPr>
          <w:b/>
          <w:bCs/>
          <w:rtl/>
        </w:rPr>
        <w:t>, על פי מכלול השיקולים כגון אפיקי ההשקעה של הקופה והסיכון הכרוך בהם.</w:t>
      </w:r>
    </w:p>
    <w:p w:rsidR="005E17DC" w:rsidRPr="005E17DC" w:rsidP="00385106">
      <w:pPr>
        <w:spacing w:line="269" w:lineRule="auto"/>
        <w:ind w:left="-567"/>
        <w:rPr>
          <w:szCs w:val="20"/>
          <w:rtl/>
        </w:rPr>
      </w:pPr>
    </w:p>
    <w:p w:rsidR="005E17DC" w:rsidRPr="005E17DC" w:rsidP="00385106">
      <w:pPr>
        <w:spacing w:line="269" w:lineRule="auto"/>
        <w:rPr>
          <w:b/>
          <w:bCs/>
          <w:rtl/>
        </w:rPr>
      </w:pPr>
      <w:r w:rsidRPr="005E17DC">
        <w:rPr>
          <w:rFonts w:hint="cs"/>
          <w:b/>
          <w:bCs/>
          <w:rtl/>
        </w:rPr>
        <w:t>משרד מבקר המדינה ממליץ ל</w:t>
      </w:r>
      <w:r w:rsidRPr="005E17DC">
        <w:rPr>
          <w:b/>
          <w:bCs/>
          <w:rtl/>
        </w:rPr>
        <w:t xml:space="preserve">עיריית </w:t>
      </w:r>
      <w:r w:rsidRPr="005E17DC">
        <w:rPr>
          <w:rFonts w:hint="cs"/>
          <w:b/>
          <w:bCs/>
          <w:rtl/>
        </w:rPr>
        <w:t>רמלה</w:t>
      </w:r>
      <w:r w:rsidRPr="005E17DC">
        <w:rPr>
          <w:b/>
          <w:bCs/>
          <w:rtl/>
        </w:rPr>
        <w:t xml:space="preserve"> לבחון </w:t>
      </w:r>
      <w:r w:rsidRPr="005E17DC">
        <w:rPr>
          <w:rFonts w:hint="cs"/>
          <w:b/>
          <w:bCs/>
          <w:rtl/>
        </w:rPr>
        <w:t>לפרקים</w:t>
      </w:r>
      <w:r w:rsidRPr="005E17DC">
        <w:rPr>
          <w:b/>
          <w:bCs/>
          <w:rtl/>
        </w:rPr>
        <w:t xml:space="preserve"> את קופת הגמל שבחרה, לנוכח חובת הזהירות בניהול כספי ציבור וכדי שתוכל ל</w:t>
      </w:r>
      <w:r w:rsidRPr="005E17DC">
        <w:rPr>
          <w:rFonts w:hint="cs"/>
          <w:b/>
          <w:bCs/>
          <w:rtl/>
        </w:rPr>
        <w:t>החליט</w:t>
      </w:r>
      <w:r w:rsidRPr="005E17DC">
        <w:rPr>
          <w:b/>
          <w:bCs/>
          <w:rtl/>
        </w:rPr>
        <w:t xml:space="preserve"> החלטות מושכלות בנושא</w:t>
      </w:r>
      <w:r w:rsidRPr="005E17DC">
        <w:rPr>
          <w:b/>
          <w:bCs/>
        </w:rPr>
        <w:t>.</w:t>
      </w:r>
    </w:p>
    <w:p w:rsidR="005E17DC" w:rsidRPr="005E17DC" w:rsidP="00385106">
      <w:pPr>
        <w:spacing w:line="269" w:lineRule="auto"/>
        <w:ind w:left="-567"/>
        <w:rPr>
          <w:szCs w:val="20"/>
          <w:rtl/>
        </w:rPr>
      </w:pPr>
    </w:p>
    <w:p w:rsidR="005E17DC" w:rsidRPr="005E17DC" w:rsidP="00385106">
      <w:pPr>
        <w:spacing w:line="269" w:lineRule="auto"/>
        <w:rPr>
          <w:b/>
          <w:bCs/>
          <w:rtl/>
        </w:rPr>
      </w:pPr>
      <w:r w:rsidRPr="005E17DC">
        <w:rPr>
          <w:rFonts w:hint="cs"/>
          <w:b/>
          <w:bCs/>
          <w:rtl/>
        </w:rPr>
        <w:t>ליקויים דומים נמצאו גם בדוח מבקר המדינה משנת 2019 על עיריית ירושלים</w:t>
      </w:r>
      <w:r>
        <w:rPr>
          <w:b/>
          <w:bCs/>
          <w:vertAlign w:val="superscript"/>
          <w:rtl/>
        </w:rPr>
        <w:footnoteReference w:id="57"/>
      </w:r>
      <w:r w:rsidRPr="005E17DC">
        <w:rPr>
          <w:rFonts w:hint="cs"/>
          <w:b/>
          <w:bCs/>
          <w:rtl/>
        </w:rPr>
        <w:t>.</w:t>
      </w:r>
      <w:r w:rsidRPr="005E17DC">
        <w:rPr>
          <w:b/>
          <w:bCs/>
          <w:rtl/>
        </w:rPr>
        <w:t xml:space="preserve"> </w:t>
      </w:r>
      <w:r w:rsidRPr="005E17DC">
        <w:rPr>
          <w:rFonts w:hint="eastAsia"/>
          <w:b/>
          <w:bCs/>
          <w:rtl/>
        </w:rPr>
        <w:t>על</w:t>
      </w:r>
      <w:r w:rsidRPr="005E17DC">
        <w:rPr>
          <w:b/>
          <w:bCs/>
          <w:rtl/>
        </w:rPr>
        <w:t xml:space="preserve"> כן משרד מבקר המדינה ממליץ למשרד הפנים לבחון את </w:t>
      </w:r>
      <w:r w:rsidRPr="005E17DC">
        <w:rPr>
          <w:rFonts w:hint="cs"/>
          <w:b/>
          <w:bCs/>
          <w:rtl/>
        </w:rPr>
        <w:t>הנושא בכלל</w:t>
      </w:r>
      <w:r w:rsidRPr="005E17DC">
        <w:rPr>
          <w:b/>
          <w:bCs/>
          <w:rtl/>
        </w:rPr>
        <w:t xml:space="preserve"> הרשויות המקומיות </w:t>
      </w:r>
      <w:r w:rsidRPr="005E17DC">
        <w:rPr>
          <w:rFonts w:hint="eastAsia"/>
          <w:b/>
          <w:bCs/>
          <w:rtl/>
        </w:rPr>
        <w:t>ול</w:t>
      </w:r>
      <w:r w:rsidRPr="005E17DC">
        <w:rPr>
          <w:rFonts w:hint="cs"/>
          <w:b/>
          <w:bCs/>
          <w:rtl/>
        </w:rPr>
        <w:t>פרסם</w:t>
      </w:r>
      <w:r w:rsidRPr="005E17DC">
        <w:rPr>
          <w:b/>
          <w:bCs/>
          <w:rtl/>
        </w:rPr>
        <w:t xml:space="preserve"> הנחיות</w:t>
      </w:r>
      <w:r w:rsidRPr="005E17DC">
        <w:rPr>
          <w:rFonts w:hint="cs"/>
          <w:b/>
          <w:bCs/>
          <w:rtl/>
        </w:rPr>
        <w:t xml:space="preserve"> </w:t>
      </w:r>
      <w:r w:rsidRPr="005E17DC">
        <w:rPr>
          <w:rFonts w:hint="eastAsia"/>
          <w:b/>
          <w:bCs/>
          <w:rtl/>
        </w:rPr>
        <w:t>בהתאם</w:t>
      </w:r>
      <w:r w:rsidRPr="005E17DC">
        <w:rPr>
          <w:b/>
          <w:bCs/>
          <w:rtl/>
        </w:rPr>
        <w:t xml:space="preserve"> לממצאי בדיקתו.</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Fonts w:hint="cs"/>
          <w:rtl/>
        </w:rPr>
        <w:t xml:space="preserve">משרד הפנים השיב כי יבחן את סוגיית בחירתה של קופת גמל מרכזית להשתתפות </w:t>
      </w:r>
      <w:r w:rsidRPr="005E17DC">
        <w:rPr>
          <w:rFonts w:hint="cs"/>
          <w:rtl/>
        </w:rPr>
        <w:t>בפנסייה</w:t>
      </w:r>
      <w:r w:rsidRPr="005E17DC">
        <w:rPr>
          <w:rFonts w:hint="cs"/>
          <w:rtl/>
        </w:rPr>
        <w:t xml:space="preserve"> תקציבית וידגיש לפני הרשויות המקומיות את חובת הזהירות בבחירת קופה.</w:t>
      </w:r>
    </w:p>
    <w:p w:rsidR="005E17DC" w:rsidRPr="005E17DC" w:rsidP="000E5918">
      <w:pPr>
        <w:pStyle w:val="a"/>
        <w:rPr>
          <w:rtl/>
        </w:rPr>
      </w:pPr>
    </w:p>
    <w:p w:rsidR="005E17DC" w:rsidRPr="005E17DC" w:rsidP="00385106">
      <w:pPr>
        <w:keepNext/>
        <w:keepLines/>
        <w:spacing w:line="269" w:lineRule="auto"/>
        <w:outlineLvl w:val="3"/>
        <w:rPr>
          <w:rFonts w:eastAsiaTheme="majorEastAsia"/>
          <w:bCs/>
          <w:szCs w:val="26"/>
          <w:rtl/>
        </w:rPr>
      </w:pPr>
      <w:r w:rsidRPr="005E17DC">
        <w:rPr>
          <w:rFonts w:eastAsiaTheme="majorEastAsia" w:hint="eastAsia"/>
          <w:bCs/>
          <w:szCs w:val="26"/>
          <w:rtl/>
        </w:rPr>
        <w:t>בקר</w:t>
      </w:r>
      <w:r w:rsidRPr="005E17DC">
        <w:rPr>
          <w:rFonts w:eastAsiaTheme="majorEastAsia" w:hint="cs"/>
          <w:bCs/>
          <w:szCs w:val="26"/>
          <w:rtl/>
        </w:rPr>
        <w:t>ת חופשות</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Fonts w:hint="cs"/>
          <w:rtl/>
        </w:rPr>
        <w:t>חופשה לעובד מעבודתו היא זכות סוציאלית חשובה. סעיף 7(א) ל</w:t>
      </w:r>
      <w:r w:rsidRPr="005E17DC">
        <w:rPr>
          <w:rtl/>
        </w:rPr>
        <w:t xml:space="preserve">חוק חופשה שנתית, </w:t>
      </w:r>
      <w:r w:rsidRPr="005E17DC">
        <w:rPr>
          <w:rFonts w:hint="cs"/>
          <w:rtl/>
        </w:rPr>
        <w:t>ה</w:t>
      </w:r>
      <w:r w:rsidRPr="005E17DC">
        <w:rPr>
          <w:rtl/>
        </w:rPr>
        <w:t>תשי"א-1951</w:t>
      </w:r>
      <w:r w:rsidRPr="005E17DC">
        <w:rPr>
          <w:rFonts w:hint="cs"/>
          <w:rtl/>
        </w:rPr>
        <w:t xml:space="preserve"> (להלן - חוק חופשה שנתית), קובע כי "א</w:t>
      </w:r>
      <w:r w:rsidRPr="005E17DC">
        <w:rPr>
          <w:rtl/>
        </w:rPr>
        <w:t>ין החופשה ניתנת לצבירה; ואולם רשאי העובד בהסכמת המעסיק, לקחת רק שבעה ימי חופשה לפחות ולצרף את היתרה לחופשה שתינתן בשתי שנות העבודה הבאות</w:t>
      </w:r>
      <w:r w:rsidRPr="005E17DC">
        <w:rPr>
          <w:rFonts w:hint="cs"/>
          <w:rtl/>
        </w:rPr>
        <w:t>", קרֵי עובד חייב לצאת לשבעה ימי חופשה בשנה.</w:t>
      </w:r>
    </w:p>
    <w:p w:rsidR="005E17DC" w:rsidRPr="005E17DC" w:rsidP="00385106">
      <w:pPr>
        <w:spacing w:line="269" w:lineRule="auto"/>
        <w:ind w:left="-567"/>
        <w:rPr>
          <w:szCs w:val="20"/>
          <w:rtl/>
        </w:rPr>
      </w:pPr>
    </w:p>
    <w:p w:rsidR="005E17DC" w:rsidRPr="005E17DC" w:rsidP="00385106">
      <w:pPr>
        <w:spacing w:line="269" w:lineRule="auto"/>
        <w:rPr>
          <w:b/>
          <w:bCs/>
          <w:rtl/>
        </w:rPr>
      </w:pPr>
      <w:r w:rsidRPr="005E17DC">
        <w:rPr>
          <w:rFonts w:hint="eastAsia"/>
          <w:b/>
          <w:bCs/>
          <w:rtl/>
        </w:rPr>
        <w:t>בביקורת</w:t>
      </w:r>
      <w:r w:rsidRPr="005E17DC">
        <w:rPr>
          <w:b/>
          <w:bCs/>
          <w:rtl/>
        </w:rPr>
        <w:t xml:space="preserve"> נבדקו יתרות החופשה של כלל העובדים ונמצאו עובדים </w:t>
      </w:r>
      <w:r w:rsidRPr="005E17DC">
        <w:rPr>
          <w:rFonts w:hint="eastAsia"/>
          <w:b/>
          <w:bCs/>
          <w:rtl/>
        </w:rPr>
        <w:t>שבשנת</w:t>
      </w:r>
      <w:r w:rsidRPr="005E17DC">
        <w:rPr>
          <w:b/>
          <w:bCs/>
          <w:rtl/>
        </w:rPr>
        <w:t xml:space="preserve"> 2018 </w:t>
      </w:r>
      <w:r w:rsidRPr="005E17DC">
        <w:rPr>
          <w:rFonts w:hint="eastAsia"/>
          <w:b/>
          <w:bCs/>
          <w:rtl/>
        </w:rPr>
        <w:t>לא</w:t>
      </w:r>
      <w:r w:rsidRPr="005E17DC">
        <w:rPr>
          <w:b/>
          <w:bCs/>
          <w:rtl/>
        </w:rPr>
        <w:t xml:space="preserve"> </w:t>
      </w:r>
      <w:r w:rsidRPr="005E17DC">
        <w:rPr>
          <w:rFonts w:hint="eastAsia"/>
          <w:b/>
          <w:bCs/>
          <w:rtl/>
        </w:rPr>
        <w:t>יצאו</w:t>
      </w:r>
      <w:r w:rsidRPr="005E17DC">
        <w:rPr>
          <w:b/>
          <w:bCs/>
          <w:rtl/>
        </w:rPr>
        <w:t xml:space="preserve"> </w:t>
      </w:r>
      <w:r w:rsidRPr="005E17DC">
        <w:rPr>
          <w:rFonts w:hint="eastAsia"/>
          <w:b/>
          <w:bCs/>
          <w:rtl/>
        </w:rPr>
        <w:t>לחופשה</w:t>
      </w:r>
      <w:r w:rsidRPr="005E17DC">
        <w:rPr>
          <w:b/>
          <w:bCs/>
          <w:rtl/>
        </w:rPr>
        <w:t xml:space="preserve"> </w:t>
      </w:r>
      <w:r w:rsidRPr="005E17DC">
        <w:rPr>
          <w:rFonts w:hint="eastAsia"/>
          <w:b/>
          <w:bCs/>
          <w:rtl/>
        </w:rPr>
        <w:t>של</w:t>
      </w:r>
      <w:r w:rsidRPr="005E17DC">
        <w:rPr>
          <w:b/>
          <w:bCs/>
          <w:rtl/>
        </w:rPr>
        <w:t xml:space="preserve"> </w:t>
      </w:r>
      <w:r w:rsidRPr="005E17DC">
        <w:rPr>
          <w:rFonts w:hint="eastAsia"/>
          <w:b/>
          <w:bCs/>
          <w:rtl/>
        </w:rPr>
        <w:t>שבעה</w:t>
      </w:r>
      <w:r w:rsidRPr="005E17DC">
        <w:rPr>
          <w:b/>
          <w:bCs/>
          <w:rtl/>
        </w:rPr>
        <w:t xml:space="preserve"> </w:t>
      </w:r>
      <w:r w:rsidRPr="005E17DC">
        <w:rPr>
          <w:rFonts w:hint="eastAsia"/>
          <w:b/>
          <w:bCs/>
          <w:rtl/>
        </w:rPr>
        <w:t>ימים</w:t>
      </w:r>
      <w:r w:rsidRPr="005E17DC">
        <w:rPr>
          <w:b/>
          <w:bCs/>
          <w:rtl/>
        </w:rPr>
        <w:t xml:space="preserve">, בניגוד להוראת חוק חופשה שנתית. העירייה לא טיפלה בנושא, </w:t>
      </w:r>
      <w:r w:rsidRPr="005E17DC">
        <w:rPr>
          <w:rFonts w:hint="eastAsia"/>
          <w:b/>
          <w:bCs/>
          <w:rtl/>
        </w:rPr>
        <w:t>הגם</w:t>
      </w:r>
      <w:r w:rsidRPr="005E17DC">
        <w:rPr>
          <w:b/>
          <w:bCs/>
          <w:rtl/>
        </w:rPr>
        <w:t xml:space="preserve"> </w:t>
      </w:r>
      <w:r w:rsidRPr="005E17DC">
        <w:rPr>
          <w:rFonts w:hint="eastAsia"/>
          <w:b/>
          <w:bCs/>
          <w:rtl/>
        </w:rPr>
        <w:t>שמערכות</w:t>
      </w:r>
      <w:r w:rsidRPr="005E17DC">
        <w:rPr>
          <w:b/>
          <w:bCs/>
          <w:rtl/>
        </w:rPr>
        <w:t xml:space="preserve"> המידע שלה מאפשרות </w:t>
      </w:r>
      <w:r w:rsidRPr="005E17DC">
        <w:rPr>
          <w:rFonts w:hint="eastAsia"/>
          <w:b/>
          <w:bCs/>
          <w:rtl/>
        </w:rPr>
        <w:t>לה</w:t>
      </w:r>
      <w:r w:rsidRPr="005E17DC">
        <w:rPr>
          <w:b/>
          <w:bCs/>
          <w:rtl/>
        </w:rPr>
        <w:t xml:space="preserve"> </w:t>
      </w:r>
      <w:r w:rsidRPr="005E17DC">
        <w:rPr>
          <w:rFonts w:hint="eastAsia"/>
          <w:b/>
          <w:bCs/>
          <w:rtl/>
        </w:rPr>
        <w:t>לדעת</w:t>
      </w:r>
      <w:r w:rsidRPr="005E17DC">
        <w:rPr>
          <w:b/>
          <w:bCs/>
          <w:rtl/>
        </w:rPr>
        <w:t xml:space="preserve"> </w:t>
      </w:r>
      <w:r w:rsidRPr="005E17DC">
        <w:rPr>
          <w:rFonts w:hint="eastAsia"/>
          <w:b/>
          <w:bCs/>
          <w:rtl/>
        </w:rPr>
        <w:t>את</w:t>
      </w:r>
      <w:r w:rsidRPr="005E17DC">
        <w:rPr>
          <w:b/>
          <w:bCs/>
          <w:rtl/>
        </w:rPr>
        <w:t xml:space="preserve"> מספר ימי החופש</w:t>
      </w:r>
      <w:r w:rsidRPr="005E17DC">
        <w:rPr>
          <w:rFonts w:hint="eastAsia"/>
          <w:b/>
          <w:bCs/>
          <w:rtl/>
        </w:rPr>
        <w:t>ה</w:t>
      </w:r>
      <w:r w:rsidRPr="005E17DC">
        <w:rPr>
          <w:b/>
          <w:bCs/>
          <w:rtl/>
        </w:rPr>
        <w:t xml:space="preserve"> של כל עובד בכל זמן.</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Fonts w:hint="cs"/>
          <w:b/>
          <w:bCs/>
          <w:rtl/>
        </w:rPr>
        <w:t xml:space="preserve">על עיריית רמלה לפעול בהתאם להוראות חוק חופשה שנתית ולוודא כי עובדיה אכן יוצאים לחופשה כנדרש. </w:t>
      </w:r>
    </w:p>
    <w:p w:rsidR="005E17DC" w:rsidRPr="005E17DC" w:rsidP="00385106">
      <w:pPr>
        <w:spacing w:line="269" w:lineRule="auto"/>
        <w:jc w:val="center"/>
        <w:rPr>
          <w:rFonts w:ascii="Arial" w:hAnsi="Arial" w:cs="Arial"/>
          <w:sz w:val="36"/>
          <w:rtl/>
        </w:rPr>
      </w:pPr>
      <w:r w:rsidRPr="005E17DC">
        <w:rPr>
          <w:rFonts w:ascii="Segoe UI Symbol" w:hAnsi="Segoe UI Symbol" w:cs="Segoe UI Symbol" w:hint="cs"/>
          <w:sz w:val="36"/>
          <w:rtl/>
        </w:rPr>
        <w:t>✰</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Fonts w:hint="eastAsia"/>
          <w:b/>
          <w:bCs/>
          <w:rtl/>
        </w:rPr>
        <w:t>הליקויים</w:t>
      </w:r>
      <w:r w:rsidRPr="005E17DC">
        <w:rPr>
          <w:b/>
          <w:bCs/>
          <w:rtl/>
        </w:rPr>
        <w:t xml:space="preserve"> </w:t>
      </w:r>
      <w:r w:rsidRPr="005E17DC">
        <w:rPr>
          <w:rFonts w:hint="cs"/>
          <w:b/>
          <w:bCs/>
          <w:rtl/>
        </w:rPr>
        <w:t xml:space="preserve">שהוצגו </w:t>
      </w:r>
      <w:r w:rsidRPr="005E17DC">
        <w:rPr>
          <w:rFonts w:hint="eastAsia"/>
          <w:b/>
          <w:bCs/>
          <w:rtl/>
        </w:rPr>
        <w:t>בניהול</w:t>
      </w:r>
      <w:r w:rsidRPr="005E17DC">
        <w:rPr>
          <w:b/>
          <w:bCs/>
          <w:rtl/>
        </w:rPr>
        <w:t xml:space="preserve"> </w:t>
      </w:r>
      <w:r w:rsidRPr="005E17DC">
        <w:rPr>
          <w:rFonts w:hint="eastAsia"/>
          <w:b/>
          <w:bCs/>
          <w:rtl/>
        </w:rPr>
        <w:t>השוטף</w:t>
      </w:r>
      <w:r w:rsidRPr="005E17DC">
        <w:rPr>
          <w:b/>
          <w:bCs/>
          <w:rtl/>
        </w:rPr>
        <w:t xml:space="preserve"> </w:t>
      </w:r>
      <w:r w:rsidRPr="005E17DC">
        <w:rPr>
          <w:rFonts w:hint="eastAsia"/>
          <w:b/>
          <w:bCs/>
          <w:rtl/>
        </w:rPr>
        <w:t>של</w:t>
      </w:r>
      <w:r w:rsidRPr="005E17DC">
        <w:rPr>
          <w:b/>
          <w:bCs/>
          <w:rtl/>
        </w:rPr>
        <w:t xml:space="preserve"> </w:t>
      </w:r>
      <w:r w:rsidR="009309E8">
        <w:rPr>
          <w:rFonts w:hint="eastAsia"/>
          <w:b/>
          <w:bCs/>
          <w:rtl/>
        </w:rPr>
        <w:t>ההון האנושי</w:t>
      </w:r>
      <w:r w:rsidRPr="005E17DC">
        <w:rPr>
          <w:b/>
          <w:bCs/>
          <w:rtl/>
        </w:rPr>
        <w:t xml:space="preserve"> </w:t>
      </w:r>
      <w:r w:rsidRPr="005E17DC">
        <w:rPr>
          <w:rFonts w:hint="eastAsia"/>
          <w:b/>
          <w:bCs/>
          <w:rtl/>
        </w:rPr>
        <w:t>בעיריית</w:t>
      </w:r>
      <w:r w:rsidRPr="005E17DC">
        <w:rPr>
          <w:b/>
          <w:bCs/>
          <w:rtl/>
        </w:rPr>
        <w:t xml:space="preserve"> </w:t>
      </w:r>
      <w:r w:rsidRPr="005E17DC">
        <w:rPr>
          <w:rFonts w:hint="eastAsia"/>
          <w:b/>
          <w:bCs/>
          <w:rtl/>
        </w:rPr>
        <w:t>רמלה</w:t>
      </w:r>
      <w:r w:rsidRPr="005E17DC">
        <w:rPr>
          <w:b/>
          <w:bCs/>
          <w:rtl/>
        </w:rPr>
        <w:t xml:space="preserve"> </w:t>
      </w:r>
      <w:r w:rsidRPr="005E17DC">
        <w:rPr>
          <w:rFonts w:hint="eastAsia"/>
          <w:b/>
          <w:bCs/>
          <w:rtl/>
        </w:rPr>
        <w:t>מצביעים</w:t>
      </w:r>
      <w:r w:rsidRPr="005E17DC">
        <w:rPr>
          <w:b/>
          <w:bCs/>
          <w:rtl/>
        </w:rPr>
        <w:t xml:space="preserve"> </w:t>
      </w:r>
      <w:r w:rsidRPr="005E17DC">
        <w:rPr>
          <w:rFonts w:hint="eastAsia"/>
          <w:b/>
          <w:bCs/>
          <w:rtl/>
        </w:rPr>
        <w:t>על</w:t>
      </w:r>
      <w:r w:rsidRPr="005E17DC">
        <w:rPr>
          <w:b/>
          <w:bCs/>
          <w:rtl/>
        </w:rPr>
        <w:t xml:space="preserve"> </w:t>
      </w:r>
      <w:r w:rsidRPr="005E17DC">
        <w:rPr>
          <w:rFonts w:hint="eastAsia"/>
          <w:b/>
          <w:bCs/>
          <w:rtl/>
        </w:rPr>
        <w:t>ה</w:t>
      </w:r>
      <w:r w:rsidRPr="005E17DC">
        <w:rPr>
          <w:rFonts w:hint="cs"/>
          <w:b/>
          <w:bCs/>
          <w:rtl/>
        </w:rPr>
        <w:t>י</w:t>
      </w:r>
      <w:r w:rsidRPr="005E17DC">
        <w:rPr>
          <w:rFonts w:hint="eastAsia"/>
          <w:b/>
          <w:bCs/>
          <w:rtl/>
        </w:rPr>
        <w:t>עדר</w:t>
      </w:r>
      <w:r w:rsidRPr="005E17DC">
        <w:rPr>
          <w:rFonts w:hint="cs"/>
          <w:b/>
          <w:bCs/>
          <w:rtl/>
        </w:rPr>
        <w:t>ן</w:t>
      </w:r>
      <w:r w:rsidRPr="005E17DC">
        <w:rPr>
          <w:b/>
          <w:bCs/>
          <w:rtl/>
        </w:rPr>
        <w:t xml:space="preserve"> </w:t>
      </w:r>
      <w:r w:rsidRPr="005E17DC">
        <w:rPr>
          <w:rFonts w:hint="eastAsia"/>
          <w:b/>
          <w:bCs/>
          <w:rtl/>
        </w:rPr>
        <w:t>של</w:t>
      </w:r>
      <w:r w:rsidRPr="005E17DC">
        <w:rPr>
          <w:b/>
          <w:bCs/>
          <w:rtl/>
        </w:rPr>
        <w:t xml:space="preserve"> </w:t>
      </w:r>
      <w:r w:rsidRPr="005E17DC">
        <w:rPr>
          <w:rFonts w:hint="eastAsia"/>
          <w:b/>
          <w:bCs/>
          <w:rtl/>
        </w:rPr>
        <w:t>בקרות</w:t>
      </w:r>
      <w:r w:rsidRPr="005E17DC">
        <w:rPr>
          <w:b/>
          <w:bCs/>
          <w:rtl/>
        </w:rPr>
        <w:t xml:space="preserve"> </w:t>
      </w:r>
      <w:r w:rsidRPr="005E17DC">
        <w:rPr>
          <w:rFonts w:hint="cs"/>
          <w:b/>
          <w:bCs/>
          <w:rtl/>
        </w:rPr>
        <w:t>ועל</w:t>
      </w:r>
      <w:r w:rsidRPr="005E17DC">
        <w:rPr>
          <w:b/>
          <w:bCs/>
          <w:rtl/>
        </w:rPr>
        <w:t xml:space="preserve"> </w:t>
      </w:r>
      <w:r w:rsidRPr="005E17DC">
        <w:rPr>
          <w:rFonts w:hint="eastAsia"/>
          <w:b/>
          <w:bCs/>
          <w:rtl/>
        </w:rPr>
        <w:t>בקרות</w:t>
      </w:r>
      <w:r w:rsidRPr="005E17DC">
        <w:rPr>
          <w:b/>
          <w:bCs/>
          <w:rtl/>
        </w:rPr>
        <w:t xml:space="preserve"> </w:t>
      </w:r>
      <w:r w:rsidRPr="005E17DC">
        <w:rPr>
          <w:rFonts w:hint="cs"/>
          <w:b/>
          <w:bCs/>
          <w:rtl/>
        </w:rPr>
        <w:t>הלוקות ב</w:t>
      </w:r>
      <w:r w:rsidRPr="005E17DC">
        <w:rPr>
          <w:rFonts w:hint="eastAsia"/>
          <w:b/>
          <w:bCs/>
          <w:rtl/>
        </w:rPr>
        <w:t>חס</w:t>
      </w:r>
      <w:r w:rsidRPr="005E17DC">
        <w:rPr>
          <w:rFonts w:hint="cs"/>
          <w:b/>
          <w:bCs/>
          <w:rtl/>
        </w:rPr>
        <w:t>ר</w:t>
      </w:r>
      <w:r w:rsidRPr="005E17DC">
        <w:rPr>
          <w:b/>
          <w:bCs/>
          <w:rtl/>
        </w:rPr>
        <w:t xml:space="preserve">. </w:t>
      </w:r>
      <w:r w:rsidRPr="005E17DC">
        <w:rPr>
          <w:rFonts w:hint="eastAsia"/>
          <w:b/>
          <w:bCs/>
          <w:rtl/>
        </w:rPr>
        <w:t>על</w:t>
      </w:r>
      <w:r w:rsidRPr="005E17DC">
        <w:rPr>
          <w:b/>
          <w:bCs/>
          <w:rtl/>
        </w:rPr>
        <w:t xml:space="preserve"> </w:t>
      </w:r>
      <w:r w:rsidRPr="005E17DC">
        <w:rPr>
          <w:rFonts w:hint="eastAsia"/>
          <w:b/>
          <w:bCs/>
          <w:rtl/>
        </w:rPr>
        <w:t>כן</w:t>
      </w:r>
      <w:r w:rsidRPr="005E17DC">
        <w:rPr>
          <w:b/>
          <w:bCs/>
          <w:rtl/>
        </w:rPr>
        <w:t xml:space="preserve"> </w:t>
      </w:r>
      <w:r w:rsidRPr="005E17DC">
        <w:rPr>
          <w:rFonts w:hint="eastAsia"/>
          <w:b/>
          <w:bCs/>
          <w:rtl/>
        </w:rPr>
        <w:t>על</w:t>
      </w:r>
      <w:r w:rsidRPr="005E17DC">
        <w:rPr>
          <w:b/>
          <w:bCs/>
          <w:rtl/>
        </w:rPr>
        <w:t xml:space="preserve"> </w:t>
      </w:r>
      <w:r w:rsidRPr="005E17DC">
        <w:rPr>
          <w:rFonts w:hint="eastAsia"/>
          <w:b/>
          <w:bCs/>
          <w:rtl/>
        </w:rPr>
        <w:t>העירייה</w:t>
      </w:r>
      <w:r w:rsidRPr="005E17DC">
        <w:rPr>
          <w:b/>
          <w:bCs/>
          <w:rtl/>
        </w:rPr>
        <w:t xml:space="preserve"> </w:t>
      </w:r>
      <w:r w:rsidRPr="005E17DC">
        <w:rPr>
          <w:rFonts w:hint="eastAsia"/>
          <w:b/>
          <w:bCs/>
          <w:rtl/>
        </w:rPr>
        <w:t>לפעול</w:t>
      </w:r>
      <w:r w:rsidRPr="005E17DC">
        <w:rPr>
          <w:b/>
          <w:bCs/>
          <w:rtl/>
        </w:rPr>
        <w:t xml:space="preserve"> </w:t>
      </w:r>
      <w:r w:rsidRPr="005E17DC">
        <w:rPr>
          <w:rFonts w:hint="eastAsia"/>
          <w:b/>
          <w:bCs/>
          <w:rtl/>
        </w:rPr>
        <w:t>בהקדם</w:t>
      </w:r>
      <w:r w:rsidRPr="005E17DC">
        <w:rPr>
          <w:b/>
          <w:bCs/>
          <w:rtl/>
        </w:rPr>
        <w:t xml:space="preserve"> </w:t>
      </w:r>
      <w:r w:rsidRPr="005E17DC">
        <w:rPr>
          <w:rFonts w:hint="eastAsia"/>
          <w:b/>
          <w:bCs/>
          <w:rtl/>
        </w:rPr>
        <w:t>להטמעת</w:t>
      </w:r>
      <w:r w:rsidRPr="005E17DC">
        <w:rPr>
          <w:b/>
          <w:bCs/>
          <w:rtl/>
        </w:rPr>
        <w:t xml:space="preserve"> </w:t>
      </w:r>
      <w:r w:rsidRPr="005E17DC">
        <w:rPr>
          <w:rFonts w:hint="cs"/>
          <w:b/>
          <w:bCs/>
          <w:rtl/>
        </w:rPr>
        <w:t>מנגנוני בקרה,</w:t>
      </w:r>
      <w:r w:rsidRPr="005E17DC">
        <w:rPr>
          <w:b/>
          <w:bCs/>
          <w:rtl/>
        </w:rPr>
        <w:t xml:space="preserve"> </w:t>
      </w:r>
      <w:r w:rsidRPr="005E17DC">
        <w:rPr>
          <w:rFonts w:hint="eastAsia"/>
          <w:b/>
          <w:bCs/>
          <w:rtl/>
        </w:rPr>
        <w:t>אשר</w:t>
      </w:r>
      <w:r w:rsidRPr="005E17DC">
        <w:rPr>
          <w:b/>
          <w:bCs/>
          <w:rtl/>
        </w:rPr>
        <w:t xml:space="preserve"> </w:t>
      </w:r>
      <w:r w:rsidRPr="005E17DC">
        <w:rPr>
          <w:rFonts w:hint="eastAsia"/>
          <w:b/>
          <w:bCs/>
          <w:rtl/>
        </w:rPr>
        <w:t>יבטיחו</w:t>
      </w:r>
      <w:r w:rsidRPr="005E17DC">
        <w:rPr>
          <w:b/>
          <w:bCs/>
          <w:rtl/>
        </w:rPr>
        <w:t xml:space="preserve"> א</w:t>
      </w:r>
      <w:r w:rsidRPr="005E17DC">
        <w:rPr>
          <w:rFonts w:hint="eastAsia"/>
          <w:b/>
          <w:bCs/>
          <w:rtl/>
        </w:rPr>
        <w:t>ת</w:t>
      </w:r>
      <w:r w:rsidRPr="005E17DC">
        <w:rPr>
          <w:b/>
          <w:bCs/>
          <w:rtl/>
        </w:rPr>
        <w:t xml:space="preserve"> קיום הוראות הדין </w:t>
      </w:r>
      <w:r w:rsidRPr="005E17DC">
        <w:rPr>
          <w:rFonts w:hint="eastAsia"/>
          <w:b/>
          <w:bCs/>
          <w:rtl/>
        </w:rPr>
        <w:t>ויקדמו</w:t>
      </w:r>
      <w:r w:rsidRPr="005E17DC">
        <w:rPr>
          <w:b/>
          <w:bCs/>
          <w:rtl/>
        </w:rPr>
        <w:t xml:space="preserve"> עקרונות </w:t>
      </w:r>
      <w:r w:rsidRPr="005E17DC">
        <w:rPr>
          <w:rFonts w:hint="eastAsia"/>
          <w:b/>
          <w:bCs/>
          <w:rtl/>
        </w:rPr>
        <w:t>של</w:t>
      </w:r>
      <w:r w:rsidRPr="005E17DC">
        <w:rPr>
          <w:b/>
          <w:bCs/>
          <w:rtl/>
        </w:rPr>
        <w:t xml:space="preserve"> </w:t>
      </w:r>
      <w:r w:rsidRPr="005E17DC">
        <w:rPr>
          <w:rFonts w:hint="eastAsia"/>
          <w:b/>
          <w:bCs/>
          <w:rtl/>
        </w:rPr>
        <w:t>מ</w:t>
      </w:r>
      <w:r w:rsidRPr="005E17DC">
        <w:rPr>
          <w:rFonts w:hint="cs"/>
          <w:b/>
          <w:bCs/>
          <w:rtl/>
        </w:rPr>
        <w:t>י</w:t>
      </w:r>
      <w:r w:rsidRPr="005E17DC">
        <w:rPr>
          <w:rFonts w:hint="eastAsia"/>
          <w:b/>
          <w:bCs/>
          <w:rtl/>
        </w:rPr>
        <w:t>נהל</w:t>
      </w:r>
      <w:r w:rsidRPr="005E17DC">
        <w:rPr>
          <w:b/>
          <w:bCs/>
          <w:rtl/>
        </w:rPr>
        <w:t xml:space="preserve"> </w:t>
      </w:r>
      <w:r w:rsidRPr="005E17DC">
        <w:rPr>
          <w:rFonts w:hint="eastAsia"/>
          <w:b/>
          <w:bCs/>
          <w:rtl/>
        </w:rPr>
        <w:t>תקין</w:t>
      </w:r>
      <w:r w:rsidRPr="005E17DC">
        <w:rPr>
          <w:b/>
          <w:bCs/>
          <w:rtl/>
        </w:rPr>
        <w:t xml:space="preserve"> </w:t>
      </w:r>
      <w:r w:rsidRPr="005E17DC">
        <w:rPr>
          <w:rFonts w:hint="eastAsia"/>
          <w:b/>
          <w:bCs/>
          <w:rtl/>
        </w:rPr>
        <w:t>וח</w:t>
      </w:r>
      <w:r w:rsidRPr="005E17DC">
        <w:rPr>
          <w:rFonts w:hint="cs"/>
          <w:b/>
          <w:bCs/>
          <w:rtl/>
        </w:rPr>
        <w:t>י</w:t>
      </w:r>
      <w:r w:rsidRPr="005E17DC">
        <w:rPr>
          <w:rFonts w:hint="eastAsia"/>
          <w:b/>
          <w:bCs/>
          <w:rtl/>
        </w:rPr>
        <w:t>סכון</w:t>
      </w:r>
      <w:r w:rsidRPr="005E17DC">
        <w:rPr>
          <w:rFonts w:hint="cs"/>
          <w:b/>
          <w:bCs/>
          <w:rtl/>
        </w:rPr>
        <w:t>.</w:t>
      </w:r>
      <w:r w:rsidRPr="005E17DC">
        <w:rPr>
          <w:b/>
          <w:bCs/>
          <w:rtl/>
        </w:rPr>
        <w:t xml:space="preserve"> </w:t>
      </w:r>
    </w:p>
    <w:p w:rsidR="005E17DC" w:rsidRPr="005E17DC" w:rsidP="00385106">
      <w:pPr>
        <w:keepNext/>
        <w:keepLines/>
        <w:spacing w:line="269" w:lineRule="auto"/>
        <w:jc w:val="center"/>
        <w:outlineLvl w:val="1"/>
        <w:rPr>
          <w:rFonts w:eastAsiaTheme="majorEastAsia"/>
          <w:bCs/>
          <w:szCs w:val="32"/>
          <w:rtl/>
        </w:rPr>
      </w:pPr>
    </w:p>
    <w:p w:rsidR="005E17DC" w:rsidRPr="005E17DC" w:rsidP="00385106">
      <w:pPr>
        <w:keepNext/>
        <w:keepLines/>
        <w:spacing w:line="269" w:lineRule="auto"/>
        <w:jc w:val="center"/>
        <w:outlineLvl w:val="1"/>
        <w:rPr>
          <w:rFonts w:eastAsiaTheme="majorEastAsia"/>
          <w:bCs/>
          <w:szCs w:val="32"/>
          <w:rtl/>
        </w:rPr>
      </w:pPr>
      <w:r w:rsidRPr="005E17DC">
        <w:rPr>
          <w:rFonts w:eastAsiaTheme="majorEastAsia" w:hint="cs"/>
          <w:bCs/>
          <w:szCs w:val="32"/>
          <w:rtl/>
        </w:rPr>
        <w:t>אתר המרשתת של העירייה</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Fonts w:hint="cs"/>
          <w:rtl/>
        </w:rPr>
        <w:t>על פי פקודת העיריות, על עירייה להקים ולהפעיל אתר מרשתת נגיש לציבור ולפרסם בו מידע שעליה לפרסם על פי דין</w:t>
      </w:r>
      <w:r>
        <w:rPr>
          <w:vertAlign w:val="superscript"/>
          <w:rtl/>
        </w:rPr>
        <w:footnoteReference w:id="58"/>
      </w:r>
      <w:r w:rsidRPr="005E17DC">
        <w:rPr>
          <w:rFonts w:hint="cs"/>
          <w:rtl/>
        </w:rPr>
        <w:t xml:space="preserve">. </w:t>
      </w:r>
      <w:r w:rsidRPr="005E17DC">
        <w:rPr>
          <w:rtl/>
        </w:rPr>
        <w:t xml:space="preserve">אתר </w:t>
      </w:r>
      <w:r w:rsidRPr="005E17DC">
        <w:rPr>
          <w:rFonts w:hint="cs"/>
          <w:rtl/>
        </w:rPr>
        <w:t>המרשתת</w:t>
      </w:r>
      <w:r w:rsidRPr="005E17DC">
        <w:rPr>
          <w:rtl/>
        </w:rPr>
        <w:t xml:space="preserve"> של הרשות המקומית </w:t>
      </w:r>
      <w:r w:rsidRPr="005E17DC">
        <w:rPr>
          <w:rFonts w:hint="cs"/>
          <w:rtl/>
        </w:rPr>
        <w:t>הוא אמצעי יעיל</w:t>
      </w:r>
      <w:r w:rsidRPr="005E17DC">
        <w:rPr>
          <w:rtl/>
        </w:rPr>
        <w:t xml:space="preserve"> להעברת מידע מהעירייה לתושבים, </w:t>
      </w:r>
      <w:r w:rsidRPr="005E17DC">
        <w:rPr>
          <w:rFonts w:hint="cs"/>
          <w:rtl/>
        </w:rPr>
        <w:t xml:space="preserve">המידע בו </w:t>
      </w:r>
      <w:r w:rsidRPr="005E17DC">
        <w:rPr>
          <w:rtl/>
        </w:rPr>
        <w:t>ניתן לעדכ</w:t>
      </w:r>
      <w:r w:rsidRPr="005E17DC">
        <w:rPr>
          <w:rFonts w:hint="cs"/>
          <w:rtl/>
        </w:rPr>
        <w:t>ו</w:t>
      </w:r>
      <w:r w:rsidRPr="005E17DC">
        <w:rPr>
          <w:rtl/>
        </w:rPr>
        <w:t xml:space="preserve">ן בכל עת ובאמצעותו </w:t>
      </w:r>
      <w:r w:rsidRPr="005E17DC">
        <w:rPr>
          <w:rFonts w:hint="cs"/>
          <w:rtl/>
        </w:rPr>
        <w:t>אפשר</w:t>
      </w:r>
      <w:r w:rsidRPr="005E17DC">
        <w:rPr>
          <w:rtl/>
        </w:rPr>
        <w:t xml:space="preserve"> לפנות ל</w:t>
      </w:r>
      <w:r w:rsidRPr="005E17DC">
        <w:rPr>
          <w:rFonts w:hint="cs"/>
          <w:rtl/>
        </w:rPr>
        <w:t>אגפי ה</w:t>
      </w:r>
      <w:r w:rsidRPr="005E17DC">
        <w:rPr>
          <w:rtl/>
        </w:rPr>
        <w:t>עירייה, ל</w:t>
      </w:r>
      <w:r w:rsidRPr="005E17DC">
        <w:rPr>
          <w:rFonts w:hint="cs"/>
          <w:rtl/>
        </w:rPr>
        <w:t>שלם</w:t>
      </w:r>
      <w:r w:rsidRPr="005E17DC">
        <w:rPr>
          <w:rtl/>
        </w:rPr>
        <w:t xml:space="preserve"> תשלומים, למלא טפסים </w:t>
      </w:r>
      <w:r w:rsidRPr="005E17DC">
        <w:rPr>
          <w:rFonts w:hint="cs"/>
          <w:rtl/>
        </w:rPr>
        <w:t>וכדומה</w:t>
      </w:r>
      <w:r w:rsidRPr="005E17DC">
        <w:rPr>
          <w:rtl/>
        </w:rPr>
        <w:t>. אמצעי</w:t>
      </w:r>
      <w:r w:rsidRPr="005E17DC">
        <w:rPr>
          <w:rFonts w:hint="cs"/>
          <w:rtl/>
        </w:rPr>
        <w:t xml:space="preserve"> זה</w:t>
      </w:r>
      <w:r w:rsidRPr="005E17DC">
        <w:rPr>
          <w:rtl/>
        </w:rPr>
        <w:t xml:space="preserve"> מאפשר ל</w:t>
      </w:r>
      <w:r w:rsidRPr="005E17DC">
        <w:rPr>
          <w:rFonts w:hint="cs"/>
          <w:rtl/>
        </w:rPr>
        <w:t>עירייה</w:t>
      </w:r>
      <w:r w:rsidRPr="005E17DC">
        <w:rPr>
          <w:rtl/>
        </w:rPr>
        <w:t xml:space="preserve"> </w:t>
      </w:r>
      <w:r w:rsidRPr="005E17DC">
        <w:rPr>
          <w:rFonts w:hint="cs"/>
          <w:rtl/>
        </w:rPr>
        <w:t>לייעל את השירות לתושבי העיר ולהקל עליהם בקבלת מידע ובפנייה לעירייה</w:t>
      </w:r>
      <w:r w:rsidRPr="005E17DC">
        <w:rPr>
          <w:rtl/>
        </w:rPr>
        <w:t xml:space="preserve">. </w:t>
      </w:r>
      <w:r w:rsidRPr="005E17DC">
        <w:rPr>
          <w:rFonts w:hint="cs"/>
          <w:rtl/>
        </w:rPr>
        <w:t xml:space="preserve">מסירת מידע על העירייה, פעולותיה ושירותיה לתושבים מגשימה את עקרונות השקיפות והנשיאה באחריות - </w:t>
      </w:r>
      <w:r w:rsidRPr="005E17DC">
        <w:rPr>
          <w:rtl/>
        </w:rPr>
        <w:t>מידע מלא ועדכני</w:t>
      </w:r>
      <w:r w:rsidRPr="005E17DC">
        <w:rPr>
          <w:rFonts w:hint="cs"/>
          <w:rtl/>
        </w:rPr>
        <w:t>, כגון מידע כספי</w:t>
      </w:r>
      <w:r w:rsidRPr="005E17DC">
        <w:rPr>
          <w:rtl/>
        </w:rPr>
        <w:t>, מאפשר לציבור לבחון את פעילות העירייה.</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tl/>
        </w:rPr>
        <w:t xml:space="preserve">בביקורת התגלו </w:t>
      </w:r>
      <w:r w:rsidRPr="005E17DC">
        <w:rPr>
          <w:rFonts w:hint="cs"/>
          <w:rtl/>
        </w:rPr>
        <w:t>כמה</w:t>
      </w:r>
      <w:r w:rsidRPr="005E17DC">
        <w:rPr>
          <w:rtl/>
        </w:rPr>
        <w:t xml:space="preserve"> ליקויים באתר </w:t>
      </w:r>
      <w:r w:rsidRPr="005E17DC">
        <w:rPr>
          <w:rFonts w:hint="cs"/>
          <w:rtl/>
        </w:rPr>
        <w:t>המרשתת</w:t>
      </w:r>
      <w:r w:rsidRPr="005E17DC">
        <w:rPr>
          <w:rtl/>
        </w:rPr>
        <w:t xml:space="preserve"> של עיריית רמלה</w:t>
      </w:r>
      <w:r w:rsidRPr="005E17DC">
        <w:rPr>
          <w:rFonts w:hint="cs"/>
          <w:rtl/>
        </w:rPr>
        <w:t>, העלולים לפגוע בעקרון השקיפות ובמתן השירות לתושבים, כמפורט להלן.</w:t>
      </w:r>
    </w:p>
    <w:p w:rsidR="005E17DC" w:rsidRPr="005E17DC" w:rsidP="00385106">
      <w:pPr>
        <w:spacing w:line="269" w:lineRule="auto"/>
        <w:ind w:left="-567"/>
        <w:rPr>
          <w:szCs w:val="20"/>
          <w:rtl/>
        </w:rPr>
      </w:pPr>
    </w:p>
    <w:p w:rsidR="005E17DC" w:rsidRPr="005E17DC" w:rsidP="00385106">
      <w:pPr>
        <w:keepNext/>
        <w:keepLines/>
        <w:spacing w:line="269" w:lineRule="auto"/>
        <w:outlineLvl w:val="2"/>
        <w:rPr>
          <w:rFonts w:eastAsiaTheme="majorEastAsia"/>
          <w:bCs/>
          <w:szCs w:val="28"/>
          <w:u w:val="single"/>
          <w:rtl/>
        </w:rPr>
      </w:pPr>
      <w:r w:rsidRPr="005E17DC">
        <w:rPr>
          <w:rFonts w:eastAsiaTheme="majorEastAsia" w:hint="cs"/>
          <w:bCs/>
          <w:szCs w:val="28"/>
          <w:u w:val="single"/>
          <w:rtl/>
        </w:rPr>
        <w:t>אי-הצגת תקציב העירייה</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Fonts w:hint="cs"/>
          <w:rtl/>
        </w:rPr>
        <w:t>תקציב עירייה הוא המסגרת הכלכלית שהעירייה פועלת על פיה. ב</w:t>
      </w:r>
      <w:r w:rsidRPr="005E17DC">
        <w:rPr>
          <w:rtl/>
        </w:rPr>
        <w:t>פקודת העיריות</w:t>
      </w:r>
      <w:r>
        <w:rPr>
          <w:vertAlign w:val="superscript"/>
          <w:rtl/>
        </w:rPr>
        <w:footnoteReference w:id="59"/>
      </w:r>
      <w:r w:rsidRPr="005E17DC">
        <w:rPr>
          <w:rtl/>
        </w:rPr>
        <w:t xml:space="preserve"> </w:t>
      </w:r>
      <w:r w:rsidRPr="005E17DC">
        <w:rPr>
          <w:rFonts w:hint="cs"/>
          <w:rtl/>
        </w:rPr>
        <w:t xml:space="preserve">נקבע כי על עירייה לפרסם את תמצית תקציבה השנתי באתר המרשתת שלה בד בבד עם פרסומו ברשומות. </w:t>
      </w:r>
    </w:p>
    <w:p w:rsidR="005E17DC" w:rsidRPr="005E17DC" w:rsidP="00385106">
      <w:pPr>
        <w:spacing w:line="269" w:lineRule="auto"/>
        <w:ind w:left="-567"/>
        <w:rPr>
          <w:szCs w:val="20"/>
          <w:rtl/>
        </w:rPr>
      </w:pPr>
    </w:p>
    <w:p w:rsidR="005E17DC" w:rsidRPr="005E17DC" w:rsidP="00385106">
      <w:pPr>
        <w:spacing w:line="269" w:lineRule="auto"/>
        <w:rPr>
          <w:b/>
          <w:bCs/>
          <w:rtl/>
        </w:rPr>
      </w:pPr>
      <w:r w:rsidRPr="005E17DC">
        <w:rPr>
          <w:rFonts w:hint="eastAsia"/>
          <w:b/>
          <w:bCs/>
          <w:rtl/>
        </w:rPr>
        <w:t>בביקורת</w:t>
      </w:r>
      <w:r w:rsidRPr="005E17DC">
        <w:rPr>
          <w:b/>
          <w:bCs/>
          <w:rtl/>
        </w:rPr>
        <w:t xml:space="preserve"> נמצא כי </w:t>
      </w:r>
      <w:r w:rsidRPr="005E17DC">
        <w:rPr>
          <w:rFonts w:hint="eastAsia"/>
          <w:b/>
          <w:bCs/>
          <w:rtl/>
        </w:rPr>
        <w:t>תקציב</w:t>
      </w:r>
      <w:r w:rsidRPr="005E17DC">
        <w:rPr>
          <w:b/>
          <w:bCs/>
          <w:rtl/>
        </w:rPr>
        <w:t xml:space="preserve"> עיריית רמלה לשנים 2018 ו-2019 </w:t>
      </w:r>
      <w:r w:rsidRPr="005E17DC">
        <w:rPr>
          <w:rFonts w:hint="eastAsia"/>
          <w:b/>
          <w:bCs/>
          <w:rtl/>
        </w:rPr>
        <w:t>פורסם</w:t>
      </w:r>
      <w:r w:rsidRPr="005E17DC">
        <w:rPr>
          <w:b/>
          <w:bCs/>
          <w:rtl/>
        </w:rPr>
        <w:t xml:space="preserve"> באתר המרשתת של העירייה בספטמבר 2019, חודשים </w:t>
      </w:r>
      <w:r w:rsidRPr="005E17DC">
        <w:rPr>
          <w:rFonts w:hint="eastAsia"/>
          <w:b/>
          <w:bCs/>
          <w:rtl/>
        </w:rPr>
        <w:t>רבים</w:t>
      </w:r>
      <w:r w:rsidRPr="005E17DC">
        <w:rPr>
          <w:b/>
          <w:bCs/>
          <w:rtl/>
        </w:rPr>
        <w:t xml:space="preserve"> </w:t>
      </w:r>
      <w:r w:rsidRPr="005E17DC">
        <w:rPr>
          <w:rFonts w:hint="eastAsia"/>
          <w:b/>
          <w:bCs/>
          <w:rtl/>
        </w:rPr>
        <w:t>לאחר</w:t>
      </w:r>
      <w:r w:rsidRPr="005E17DC">
        <w:rPr>
          <w:b/>
          <w:bCs/>
          <w:rtl/>
        </w:rPr>
        <w:t xml:space="preserve"> </w:t>
      </w:r>
      <w:r w:rsidRPr="005E17DC">
        <w:rPr>
          <w:rFonts w:hint="eastAsia"/>
          <w:b/>
          <w:bCs/>
          <w:rtl/>
        </w:rPr>
        <w:t>אישורו</w:t>
      </w:r>
      <w:r w:rsidRPr="005E17DC">
        <w:rPr>
          <w:b/>
          <w:bCs/>
          <w:rtl/>
        </w:rPr>
        <w:t>.</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Fonts w:hint="cs"/>
          <w:rtl/>
        </w:rPr>
        <w:t>בתשובתה מסרה העירייה כי פרסומו של תקציב 2019 במרשתת התעכב משום שרק ביולי 2019 פורסם התקציב בילקוט הפרסומים.</w:t>
      </w:r>
    </w:p>
    <w:p w:rsidR="005E17DC" w:rsidRPr="005E17DC" w:rsidP="00385106">
      <w:pPr>
        <w:spacing w:line="269" w:lineRule="auto"/>
        <w:ind w:left="-567"/>
        <w:rPr>
          <w:szCs w:val="20"/>
          <w:rtl/>
        </w:rPr>
      </w:pPr>
    </w:p>
    <w:p w:rsidR="005E17DC" w:rsidRPr="005E17DC" w:rsidP="00385106">
      <w:pPr>
        <w:spacing w:line="269" w:lineRule="auto"/>
        <w:rPr>
          <w:b/>
          <w:bCs/>
          <w:rtl/>
        </w:rPr>
      </w:pPr>
      <w:r w:rsidRPr="005E17DC">
        <w:rPr>
          <w:rFonts w:hint="cs"/>
          <w:b/>
          <w:bCs/>
          <w:rtl/>
        </w:rPr>
        <w:t xml:space="preserve">על עיריית רמלה לפרסם באתר המרשתת שלה את תקציבה במועד הנדרש בפקודת העיריות </w:t>
      </w:r>
      <w:r w:rsidRPr="005E17DC">
        <w:rPr>
          <w:rFonts w:hint="eastAsia"/>
          <w:b/>
          <w:bCs/>
          <w:rtl/>
        </w:rPr>
        <w:t>על</w:t>
      </w:r>
      <w:r w:rsidRPr="005E17DC">
        <w:rPr>
          <w:b/>
          <w:bCs/>
          <w:rtl/>
        </w:rPr>
        <w:t xml:space="preserve"> מנת </w:t>
      </w:r>
      <w:r w:rsidRPr="005E17DC">
        <w:rPr>
          <w:rFonts w:hint="eastAsia"/>
          <w:b/>
          <w:bCs/>
          <w:rtl/>
        </w:rPr>
        <w:t>להנג</w:t>
      </w:r>
      <w:r w:rsidRPr="005E17DC">
        <w:rPr>
          <w:rFonts w:hint="cs"/>
          <w:b/>
          <w:bCs/>
          <w:rtl/>
        </w:rPr>
        <w:t>י</w:t>
      </w:r>
      <w:r w:rsidRPr="005E17DC">
        <w:rPr>
          <w:rFonts w:hint="eastAsia"/>
          <w:b/>
          <w:bCs/>
          <w:rtl/>
        </w:rPr>
        <w:t>שו</w:t>
      </w:r>
      <w:r w:rsidRPr="005E17DC">
        <w:rPr>
          <w:b/>
          <w:bCs/>
          <w:rtl/>
        </w:rPr>
        <w:t xml:space="preserve"> לתושבי העיר.</w:t>
      </w:r>
    </w:p>
    <w:p w:rsidR="00821A55" w:rsidRPr="00821A55" w:rsidP="00385106">
      <w:pPr>
        <w:bidi w:val="0"/>
        <w:spacing w:line="269" w:lineRule="auto"/>
        <w:rPr>
          <w:rFonts w:eastAsiaTheme="majorEastAsia"/>
          <w:bCs/>
          <w:szCs w:val="28"/>
          <w:rtl/>
        </w:rPr>
      </w:pPr>
      <w:r w:rsidRPr="00821A55">
        <w:rPr>
          <w:rFonts w:eastAsiaTheme="majorEastAsia"/>
          <w:bCs/>
          <w:szCs w:val="28"/>
          <w:rtl/>
        </w:rPr>
        <w:br w:type="page"/>
      </w:r>
    </w:p>
    <w:p w:rsidR="005E17DC" w:rsidRPr="005E17DC" w:rsidP="00385106">
      <w:pPr>
        <w:keepNext/>
        <w:keepLines/>
        <w:spacing w:line="269" w:lineRule="auto"/>
        <w:outlineLvl w:val="2"/>
        <w:rPr>
          <w:rFonts w:eastAsiaTheme="majorEastAsia"/>
          <w:bCs/>
          <w:szCs w:val="28"/>
          <w:u w:val="single"/>
          <w:rtl/>
        </w:rPr>
      </w:pPr>
      <w:r w:rsidRPr="005E17DC">
        <w:rPr>
          <w:rFonts w:eastAsiaTheme="majorEastAsia" w:hint="cs"/>
          <w:bCs/>
          <w:szCs w:val="28"/>
          <w:u w:val="single"/>
          <w:rtl/>
        </w:rPr>
        <w:t>אי-הצגת תכנים חיוניים בשפות שונות</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Fonts w:hint="cs"/>
          <w:rtl/>
        </w:rPr>
        <w:t>במדינת ישראל חיה אוכלוסיי</w:t>
      </w:r>
      <w:r w:rsidRPr="005E17DC">
        <w:rPr>
          <w:rFonts w:hint="eastAsia"/>
          <w:rtl/>
        </w:rPr>
        <w:t>ה</w:t>
      </w:r>
      <w:r w:rsidRPr="005E17DC">
        <w:rPr>
          <w:rFonts w:hint="cs"/>
          <w:rtl/>
        </w:rPr>
        <w:t xml:space="preserve"> מגוונת, רב-תרבותית ורב-לשונית. על פי נתוני </w:t>
      </w:r>
      <w:r w:rsidRPr="005E17DC">
        <w:rPr>
          <w:rFonts w:hint="cs"/>
          <w:rtl/>
        </w:rPr>
        <w:t>הלמ"ס</w:t>
      </w:r>
      <w:r w:rsidRPr="005E17DC">
        <w:rPr>
          <w:rtl/>
        </w:rPr>
        <w:t xml:space="preserve"> לשנת 2017,</w:t>
      </w:r>
      <w:r w:rsidRPr="005E17DC">
        <w:rPr>
          <w:rFonts w:hint="cs"/>
          <w:rtl/>
        </w:rPr>
        <w:t xml:space="preserve"> כ-21% מאוכלוסיית ישראל הם ערבים וכ-12.7% הם עולים שעלו לישראל מ-1990 ואילך, רובם ממדינות ברית המועצות לשעבר. השפות השגורות בקרב אוכלוסיו</w:t>
      </w:r>
      <w:r w:rsidRPr="005E17DC">
        <w:rPr>
          <w:rFonts w:hint="eastAsia"/>
          <w:rtl/>
        </w:rPr>
        <w:t>ת</w:t>
      </w:r>
      <w:r w:rsidRPr="005E17DC">
        <w:rPr>
          <w:rFonts w:hint="cs"/>
          <w:rtl/>
        </w:rPr>
        <w:t xml:space="preserve"> אלו הן ערבית בזו ורוסית בזו.</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Fonts w:hint="cs"/>
          <w:rtl/>
        </w:rPr>
        <w:t>בדוח משנת 2015 העיר מבקר המדינה</w:t>
      </w:r>
      <w:r>
        <w:rPr>
          <w:vertAlign w:val="superscript"/>
          <w:rtl/>
        </w:rPr>
        <w:footnoteReference w:id="60"/>
      </w:r>
      <w:r w:rsidRPr="005E17DC">
        <w:rPr>
          <w:rFonts w:hint="cs"/>
          <w:rtl/>
        </w:rPr>
        <w:t xml:space="preserve"> לכמה רשויות מקומיות, ובהן רשויות מגוונות מבחינת הרכב אוכלוסייתן, כמו רמלה, כי עליהן לה</w:t>
      </w:r>
      <w:r w:rsidRPr="005E17DC">
        <w:rPr>
          <w:rtl/>
        </w:rPr>
        <w:t>תחשב במאפייניה</w:t>
      </w:r>
      <w:r w:rsidRPr="005E17DC">
        <w:rPr>
          <w:rFonts w:hint="cs"/>
          <w:rtl/>
        </w:rPr>
        <w:t>ן</w:t>
      </w:r>
      <w:r w:rsidRPr="005E17DC">
        <w:rPr>
          <w:rtl/>
        </w:rPr>
        <w:t xml:space="preserve"> הייחודיים </w:t>
      </w:r>
      <w:r w:rsidRPr="005E17DC">
        <w:rPr>
          <w:rFonts w:hint="cs"/>
          <w:rtl/>
        </w:rPr>
        <w:t>ובה</w:t>
      </w:r>
      <w:r w:rsidRPr="005E17DC">
        <w:rPr>
          <w:rtl/>
        </w:rPr>
        <w:t>רכב</w:t>
      </w:r>
      <w:r w:rsidRPr="005E17DC">
        <w:rPr>
          <w:rFonts w:hint="cs"/>
          <w:rtl/>
        </w:rPr>
        <w:t>ן</w:t>
      </w:r>
      <w:r w:rsidRPr="005E17DC">
        <w:rPr>
          <w:rtl/>
        </w:rPr>
        <w:t xml:space="preserve"> הדמוגרפי, ובהתאם לכך </w:t>
      </w:r>
      <w:r w:rsidRPr="005E17DC">
        <w:rPr>
          <w:rFonts w:hint="cs"/>
          <w:rtl/>
        </w:rPr>
        <w:t>לשקול</w:t>
      </w:r>
      <w:r w:rsidRPr="005E17DC">
        <w:rPr>
          <w:rtl/>
        </w:rPr>
        <w:t xml:space="preserve"> להציג מידע חיוני בשפות נוספות</w:t>
      </w:r>
      <w:r w:rsidRPr="005E17DC">
        <w:rPr>
          <w:rFonts w:hint="cs"/>
          <w:rtl/>
        </w:rPr>
        <w:t xml:space="preserve"> על עברית. </w:t>
      </w:r>
    </w:p>
    <w:p w:rsidR="005E17DC" w:rsidRPr="005E17DC" w:rsidP="00385106">
      <w:pPr>
        <w:spacing w:line="269" w:lineRule="auto"/>
        <w:ind w:left="-567"/>
        <w:rPr>
          <w:szCs w:val="20"/>
          <w:rtl/>
        </w:rPr>
      </w:pPr>
    </w:p>
    <w:p w:rsidR="005E17DC" w:rsidRPr="005E17DC" w:rsidP="00385106">
      <w:pPr>
        <w:spacing w:line="269" w:lineRule="auto"/>
        <w:rPr>
          <w:rtl/>
        </w:rPr>
      </w:pPr>
      <w:r w:rsidRPr="005E17DC">
        <w:rPr>
          <w:rtl/>
        </w:rPr>
        <w:t xml:space="preserve">על פי נתוני </w:t>
      </w:r>
      <w:r w:rsidRPr="005E17DC">
        <w:rPr>
          <w:rtl/>
        </w:rPr>
        <w:t>הל</w:t>
      </w:r>
      <w:r w:rsidRPr="005E17DC">
        <w:rPr>
          <w:rFonts w:hint="cs"/>
          <w:rtl/>
        </w:rPr>
        <w:t>מ"ס</w:t>
      </w:r>
      <w:r w:rsidRPr="005E17DC">
        <w:rPr>
          <w:rtl/>
        </w:rPr>
        <w:t xml:space="preserve"> לשנת 201</w:t>
      </w:r>
      <w:r w:rsidRPr="005E17DC">
        <w:rPr>
          <w:rFonts w:hint="cs"/>
          <w:rtl/>
        </w:rPr>
        <w:t>7</w:t>
      </w:r>
      <w:r w:rsidRPr="005E17DC">
        <w:rPr>
          <w:rtl/>
        </w:rPr>
        <w:t>, כ-</w:t>
      </w:r>
      <w:r w:rsidRPr="005E17DC">
        <w:rPr>
          <w:rFonts w:hint="cs"/>
          <w:rtl/>
        </w:rPr>
        <w:t>23.3</w:t>
      </w:r>
      <w:r w:rsidRPr="005E17DC">
        <w:rPr>
          <w:rtl/>
        </w:rPr>
        <w:t xml:space="preserve">% מתושבי </w:t>
      </w:r>
      <w:r w:rsidRPr="005E17DC">
        <w:rPr>
          <w:rFonts w:hint="cs"/>
          <w:rtl/>
        </w:rPr>
        <w:t>רמלה</w:t>
      </w:r>
      <w:r w:rsidRPr="005E17DC">
        <w:rPr>
          <w:rtl/>
        </w:rPr>
        <w:t xml:space="preserve"> </w:t>
      </w:r>
      <w:r w:rsidRPr="005E17DC">
        <w:rPr>
          <w:rFonts w:hint="cs"/>
          <w:rtl/>
        </w:rPr>
        <w:t xml:space="preserve">הם </w:t>
      </w:r>
      <w:r w:rsidRPr="005E17DC">
        <w:rPr>
          <w:rtl/>
        </w:rPr>
        <w:t>ערבי</w:t>
      </w:r>
      <w:r w:rsidRPr="005E17DC">
        <w:rPr>
          <w:rFonts w:hint="cs"/>
          <w:rtl/>
        </w:rPr>
        <w:t>ם וכ-19% הם עולים שעלו לישראל מ-1990 ואילך.</w:t>
      </w:r>
      <w:r w:rsidRPr="005E17DC">
        <w:rPr>
          <w:rtl/>
        </w:rPr>
        <w:t xml:space="preserve"> אף על פי כן נמצא כי אתר </w:t>
      </w:r>
      <w:r w:rsidRPr="005E17DC">
        <w:rPr>
          <w:rFonts w:hint="cs"/>
          <w:rtl/>
        </w:rPr>
        <w:t>המרשתת</w:t>
      </w:r>
      <w:r w:rsidRPr="005E17DC">
        <w:rPr>
          <w:rtl/>
        </w:rPr>
        <w:t xml:space="preserve"> של </w:t>
      </w:r>
      <w:r w:rsidRPr="005E17DC">
        <w:rPr>
          <w:rFonts w:hint="cs"/>
          <w:rtl/>
        </w:rPr>
        <w:t>העירייה</w:t>
      </w:r>
      <w:r w:rsidRPr="005E17DC">
        <w:rPr>
          <w:rtl/>
        </w:rPr>
        <w:t xml:space="preserve"> מציג מידע</w:t>
      </w:r>
      <w:r w:rsidRPr="005E17DC">
        <w:rPr>
          <w:rFonts w:hint="cs"/>
          <w:rtl/>
        </w:rPr>
        <w:t xml:space="preserve"> </w:t>
      </w:r>
      <w:r w:rsidRPr="005E17DC">
        <w:rPr>
          <w:rtl/>
        </w:rPr>
        <w:t>בעברית בלבד</w:t>
      </w:r>
      <w:r w:rsidRPr="005E17DC">
        <w:rPr>
          <w:rFonts w:hint="cs"/>
          <w:rtl/>
        </w:rPr>
        <w:t>.</w:t>
      </w:r>
      <w:r w:rsidRPr="005E17DC">
        <w:rPr>
          <w:rtl/>
        </w:rPr>
        <w:t xml:space="preserve"> </w:t>
      </w:r>
    </w:p>
    <w:p w:rsidR="005E17DC" w:rsidRPr="005E17DC" w:rsidP="00385106">
      <w:pPr>
        <w:spacing w:line="269" w:lineRule="auto"/>
        <w:ind w:left="-567"/>
        <w:rPr>
          <w:szCs w:val="20"/>
          <w:rtl/>
        </w:rPr>
      </w:pPr>
    </w:p>
    <w:p w:rsidR="005E17DC" w:rsidRPr="005E17DC" w:rsidP="00385106">
      <w:pPr>
        <w:spacing w:line="269" w:lineRule="auto"/>
        <w:rPr>
          <w:b/>
          <w:bCs/>
          <w:rtl/>
          <w:lang w:eastAsia="he-IL"/>
        </w:rPr>
      </w:pPr>
      <w:r w:rsidRPr="005E17DC">
        <w:rPr>
          <w:b/>
          <w:bCs/>
          <w:rtl/>
        </w:rPr>
        <w:t xml:space="preserve">האוכלוסייה הערבית ואוכלוסיית העולים החדשים נדרשות </w:t>
      </w:r>
      <w:r w:rsidRPr="005E17DC">
        <w:rPr>
          <w:rFonts w:hint="eastAsia"/>
          <w:b/>
          <w:bCs/>
          <w:rtl/>
        </w:rPr>
        <w:t>כ</w:t>
      </w:r>
      <w:r w:rsidRPr="005E17DC">
        <w:rPr>
          <w:b/>
          <w:bCs/>
          <w:rtl/>
        </w:rPr>
        <w:t xml:space="preserve">כל תושב אחר לשירותים שונים של העירייה, לרבות המוקד העירוני, שירותי חירום ושירותים חיוניים במחלקות החינוך והרווחה. לכן יש חשיבות רבה </w:t>
      </w:r>
      <w:r w:rsidRPr="005E17DC">
        <w:rPr>
          <w:rFonts w:hint="cs"/>
          <w:b/>
          <w:bCs/>
          <w:rtl/>
        </w:rPr>
        <w:t>ל</w:t>
      </w:r>
      <w:r w:rsidRPr="005E17DC">
        <w:rPr>
          <w:b/>
          <w:bCs/>
          <w:rtl/>
        </w:rPr>
        <w:t>הנגשת</w:t>
      </w:r>
      <w:r w:rsidRPr="005E17DC">
        <w:rPr>
          <w:b/>
          <w:bCs/>
          <w:rtl/>
        </w:rPr>
        <w:t xml:space="preserve"> מידע בשפתם באתר </w:t>
      </w:r>
      <w:r w:rsidRPr="005E17DC">
        <w:rPr>
          <w:rFonts w:hint="cs"/>
          <w:b/>
          <w:bCs/>
          <w:rtl/>
        </w:rPr>
        <w:t>המרשתת</w:t>
      </w:r>
      <w:r w:rsidRPr="005E17DC">
        <w:rPr>
          <w:b/>
          <w:bCs/>
          <w:rtl/>
        </w:rPr>
        <w:t xml:space="preserve"> של העירייה.</w:t>
      </w:r>
      <w:r w:rsidRPr="005E17DC">
        <w:rPr>
          <w:rFonts w:hint="cs"/>
          <w:b/>
          <w:bCs/>
          <w:rtl/>
        </w:rPr>
        <w:t xml:space="preserve"> ראוי לכן שעיריית רמלה תבחן הצגת מידע חיוני ונדרש באתר שלה גם בשפות אחרות. </w:t>
      </w:r>
    </w:p>
    <w:p w:rsidR="005E17DC" w:rsidRPr="005E17DC" w:rsidP="00385106">
      <w:pPr>
        <w:spacing w:line="269" w:lineRule="auto"/>
        <w:ind w:left="-567"/>
        <w:rPr>
          <w:szCs w:val="20"/>
          <w:rtl/>
          <w:lang w:eastAsia="he-IL"/>
        </w:rPr>
      </w:pPr>
    </w:p>
    <w:p w:rsidR="005E17DC" w:rsidRPr="005E17DC" w:rsidP="00385106">
      <w:pPr>
        <w:spacing w:line="269" w:lineRule="auto"/>
        <w:rPr>
          <w:rtl/>
        </w:rPr>
      </w:pPr>
      <w:r w:rsidRPr="005E17DC">
        <w:rPr>
          <w:rFonts w:hint="cs"/>
          <w:rtl/>
          <w:lang w:eastAsia="he-IL"/>
        </w:rPr>
        <w:t xml:space="preserve">בתשובתה מסרה העירייה כי </w:t>
      </w:r>
      <w:r w:rsidRPr="005E17DC">
        <w:rPr>
          <w:rFonts w:hint="cs"/>
          <w:rtl/>
        </w:rPr>
        <w:t>ל</w:t>
      </w:r>
      <w:r w:rsidRPr="005E17DC">
        <w:rPr>
          <w:rtl/>
        </w:rPr>
        <w:t>נוכח אופייה המגוון של האוכלוסייה בעיר,</w:t>
      </w:r>
      <w:r w:rsidRPr="005E17DC">
        <w:rPr>
          <w:rFonts w:hint="cs"/>
          <w:rtl/>
        </w:rPr>
        <w:t xml:space="preserve"> היא</w:t>
      </w:r>
      <w:r w:rsidRPr="005E17DC">
        <w:rPr>
          <w:rtl/>
        </w:rPr>
        <w:t xml:space="preserve"> תשקול </w:t>
      </w:r>
      <w:r w:rsidRPr="005E17DC">
        <w:rPr>
          <w:rFonts w:hint="cs"/>
          <w:rtl/>
        </w:rPr>
        <w:t>ליישם את</w:t>
      </w:r>
      <w:r w:rsidRPr="005E17DC">
        <w:rPr>
          <w:rtl/>
        </w:rPr>
        <w:t xml:space="preserve"> ה</w:t>
      </w:r>
      <w:r w:rsidRPr="005E17DC">
        <w:rPr>
          <w:rFonts w:hint="cs"/>
          <w:rtl/>
        </w:rPr>
        <w:t xml:space="preserve">מלצתו </w:t>
      </w:r>
      <w:r w:rsidRPr="005E17DC">
        <w:rPr>
          <w:rtl/>
        </w:rPr>
        <w:t xml:space="preserve">של משרד מבקר המדינה </w:t>
      </w:r>
      <w:r w:rsidRPr="005E17DC">
        <w:rPr>
          <w:rFonts w:hint="cs"/>
          <w:rtl/>
        </w:rPr>
        <w:t>ולהציג</w:t>
      </w:r>
      <w:r w:rsidRPr="005E17DC">
        <w:rPr>
          <w:rtl/>
        </w:rPr>
        <w:t xml:space="preserve"> תכנים חיוניים באתר האינטרנט בשפות שונות</w:t>
      </w:r>
      <w:r w:rsidRPr="005E17DC">
        <w:rPr>
          <w:rFonts w:hint="cs"/>
          <w:rtl/>
        </w:rPr>
        <w:t>, ככל שיאפשרו זאת שיקולי תקציבה</w:t>
      </w:r>
      <w:r w:rsidRPr="005E17DC">
        <w:rPr>
          <w:rtl/>
        </w:rPr>
        <w:t>.</w:t>
      </w:r>
    </w:p>
    <w:p w:rsidR="005E17DC" w:rsidP="000E5918">
      <w:pPr>
        <w:pStyle w:val="a"/>
        <w:rPr>
          <w:rtl/>
        </w:rPr>
      </w:pPr>
    </w:p>
    <w:p w:rsidR="000E5918" w:rsidRPr="005E17DC" w:rsidP="000E5918">
      <w:pPr>
        <w:pStyle w:val="a"/>
        <w:rPr>
          <w:rtl/>
        </w:rPr>
      </w:pPr>
    </w:p>
    <w:p w:rsidR="005E17DC" w:rsidRPr="005E17DC" w:rsidP="00385106">
      <w:pPr>
        <w:keepNext/>
        <w:keepLines/>
        <w:spacing w:line="269" w:lineRule="auto"/>
        <w:outlineLvl w:val="2"/>
        <w:rPr>
          <w:rFonts w:eastAsiaTheme="majorEastAsia"/>
          <w:bCs/>
          <w:szCs w:val="28"/>
          <w:u w:val="single"/>
          <w:rtl/>
          <w:lang w:eastAsia="he-IL"/>
        </w:rPr>
      </w:pPr>
      <w:r w:rsidRPr="005E17DC">
        <w:rPr>
          <w:rFonts w:eastAsiaTheme="majorEastAsia" w:hint="cs"/>
          <w:bCs/>
          <w:szCs w:val="28"/>
          <w:u w:val="single"/>
          <w:rtl/>
          <w:lang w:eastAsia="he-IL"/>
        </w:rPr>
        <w:t>סיכום</w:t>
      </w:r>
    </w:p>
    <w:p w:rsidR="005E17DC" w:rsidRPr="005E17DC" w:rsidP="00385106">
      <w:pPr>
        <w:spacing w:line="269" w:lineRule="auto"/>
        <w:ind w:left="-567"/>
        <w:rPr>
          <w:szCs w:val="20"/>
          <w:rtl/>
          <w:lang w:eastAsia="he-IL"/>
        </w:rPr>
      </w:pPr>
    </w:p>
    <w:p w:rsidR="005E17DC" w:rsidRPr="005E17DC" w:rsidP="00385106">
      <w:pPr>
        <w:spacing w:line="269" w:lineRule="auto"/>
        <w:rPr>
          <w:b/>
          <w:bCs/>
          <w:rtl/>
          <w:lang w:eastAsia="he-IL"/>
        </w:rPr>
      </w:pPr>
      <w:r w:rsidRPr="005E17DC">
        <w:rPr>
          <w:rFonts w:hint="cs"/>
          <w:b/>
          <w:bCs/>
          <w:rtl/>
          <w:lang w:eastAsia="he-IL"/>
        </w:rPr>
        <w:t xml:space="preserve">בביקורת בעיריית רמלה נמצא כי מצבה טוב בכמה מדדים של חוסנה הכספי, כגון שיעור גביית הארנונה ועומס המלוות, אך גירעונה המצטבר גבוה ויש חשש כי שינוי התמהיל הצפוי בחיובי הארנונה יפגע בחוסנה הכספי בעתיד. בתחום ניהול </w:t>
      </w:r>
      <w:r w:rsidR="009309E8">
        <w:rPr>
          <w:rFonts w:hint="cs"/>
          <w:b/>
          <w:bCs/>
          <w:rtl/>
          <w:lang w:eastAsia="he-IL"/>
        </w:rPr>
        <w:t>ההון האנושי</w:t>
      </w:r>
      <w:r w:rsidRPr="005E17DC">
        <w:rPr>
          <w:rFonts w:hint="cs"/>
          <w:b/>
          <w:bCs/>
          <w:rtl/>
          <w:lang w:eastAsia="he-IL"/>
        </w:rPr>
        <w:t xml:space="preserve"> נמצאו ליקויים הן בתשתית הקיימת לניהולו הן בניהול השוטף</w:t>
      </w:r>
      <w:r w:rsidRPr="005E17DC">
        <w:rPr>
          <w:b/>
          <w:bCs/>
          <w:rtl/>
          <w:lang w:eastAsia="he-IL"/>
        </w:rPr>
        <w:t xml:space="preserve">. </w:t>
      </w:r>
      <w:r w:rsidRPr="005E17DC">
        <w:rPr>
          <w:rFonts w:hint="cs"/>
          <w:b/>
          <w:bCs/>
          <w:rtl/>
          <w:lang w:eastAsia="he-IL"/>
        </w:rPr>
        <w:t xml:space="preserve">על העירייה </w:t>
      </w:r>
      <w:r w:rsidRPr="005E17DC">
        <w:rPr>
          <w:rFonts w:hint="eastAsia"/>
          <w:b/>
          <w:bCs/>
          <w:rtl/>
          <w:lang w:eastAsia="he-IL"/>
        </w:rPr>
        <w:t>לבחון</w:t>
      </w:r>
      <w:r w:rsidRPr="005E17DC">
        <w:rPr>
          <w:b/>
          <w:bCs/>
          <w:rtl/>
          <w:lang w:eastAsia="he-IL"/>
        </w:rPr>
        <w:t xml:space="preserve"> </w:t>
      </w:r>
      <w:r w:rsidRPr="005E17DC">
        <w:rPr>
          <w:rFonts w:hint="eastAsia"/>
          <w:b/>
          <w:bCs/>
          <w:rtl/>
          <w:lang w:eastAsia="he-IL"/>
        </w:rPr>
        <w:t>את</w:t>
      </w:r>
      <w:r w:rsidRPr="005E17DC">
        <w:rPr>
          <w:b/>
          <w:bCs/>
          <w:rtl/>
          <w:lang w:eastAsia="he-IL"/>
        </w:rPr>
        <w:t xml:space="preserve"> </w:t>
      </w:r>
      <w:r w:rsidRPr="005E17DC">
        <w:rPr>
          <w:rFonts w:hint="eastAsia"/>
          <w:b/>
          <w:bCs/>
          <w:rtl/>
          <w:lang w:eastAsia="he-IL"/>
        </w:rPr>
        <w:t>המבנה</w:t>
      </w:r>
      <w:r w:rsidRPr="005E17DC">
        <w:rPr>
          <w:b/>
          <w:bCs/>
          <w:rtl/>
          <w:lang w:eastAsia="he-IL"/>
        </w:rPr>
        <w:t xml:space="preserve"> </w:t>
      </w:r>
      <w:r w:rsidRPr="005E17DC">
        <w:rPr>
          <w:rFonts w:hint="eastAsia"/>
          <w:b/>
          <w:bCs/>
          <w:rtl/>
          <w:lang w:eastAsia="he-IL"/>
        </w:rPr>
        <w:t>הארגוני</w:t>
      </w:r>
      <w:r w:rsidRPr="005E17DC">
        <w:rPr>
          <w:b/>
          <w:bCs/>
          <w:rtl/>
          <w:lang w:eastAsia="he-IL"/>
        </w:rPr>
        <w:t xml:space="preserve"> </w:t>
      </w:r>
      <w:r w:rsidRPr="005E17DC">
        <w:rPr>
          <w:rFonts w:hint="eastAsia"/>
          <w:b/>
          <w:bCs/>
          <w:rtl/>
          <w:lang w:eastAsia="he-IL"/>
        </w:rPr>
        <w:t>שלה</w:t>
      </w:r>
      <w:r w:rsidRPr="005E17DC">
        <w:rPr>
          <w:rFonts w:hint="cs"/>
          <w:b/>
          <w:bCs/>
          <w:rtl/>
          <w:lang w:eastAsia="he-IL"/>
        </w:rPr>
        <w:t xml:space="preserve">, </w:t>
      </w:r>
      <w:r w:rsidRPr="005E17DC">
        <w:rPr>
          <w:rFonts w:hint="eastAsia"/>
          <w:b/>
          <w:bCs/>
          <w:rtl/>
          <w:lang w:eastAsia="he-IL"/>
        </w:rPr>
        <w:t>להטמיע</w:t>
      </w:r>
      <w:r w:rsidRPr="005E17DC">
        <w:rPr>
          <w:b/>
          <w:bCs/>
          <w:rtl/>
          <w:lang w:eastAsia="he-IL"/>
        </w:rPr>
        <w:t xml:space="preserve"> </w:t>
      </w:r>
      <w:r w:rsidRPr="005E17DC">
        <w:rPr>
          <w:rFonts w:hint="eastAsia"/>
          <w:b/>
          <w:bCs/>
          <w:rtl/>
          <w:lang w:eastAsia="he-IL"/>
        </w:rPr>
        <w:t>מערך</w:t>
      </w:r>
      <w:r w:rsidRPr="005E17DC">
        <w:rPr>
          <w:b/>
          <w:bCs/>
          <w:rtl/>
          <w:lang w:eastAsia="he-IL"/>
        </w:rPr>
        <w:t xml:space="preserve"> </w:t>
      </w:r>
      <w:r w:rsidRPr="005E17DC">
        <w:rPr>
          <w:rFonts w:hint="eastAsia"/>
          <w:b/>
          <w:bCs/>
          <w:rtl/>
          <w:lang w:eastAsia="he-IL"/>
        </w:rPr>
        <w:t>לפיתוח</w:t>
      </w:r>
      <w:r w:rsidRPr="005E17DC">
        <w:rPr>
          <w:b/>
          <w:bCs/>
          <w:rtl/>
          <w:lang w:eastAsia="he-IL"/>
        </w:rPr>
        <w:t xml:space="preserve"> </w:t>
      </w:r>
      <w:r w:rsidRPr="005E17DC">
        <w:rPr>
          <w:rFonts w:hint="eastAsia"/>
          <w:b/>
          <w:bCs/>
          <w:rtl/>
          <w:lang w:eastAsia="he-IL"/>
        </w:rPr>
        <w:t>ההון</w:t>
      </w:r>
      <w:r w:rsidRPr="005E17DC">
        <w:rPr>
          <w:b/>
          <w:bCs/>
          <w:rtl/>
          <w:lang w:eastAsia="he-IL"/>
        </w:rPr>
        <w:t xml:space="preserve"> </w:t>
      </w:r>
      <w:r w:rsidRPr="005E17DC">
        <w:rPr>
          <w:rFonts w:hint="eastAsia"/>
          <w:b/>
          <w:bCs/>
          <w:rtl/>
          <w:lang w:eastAsia="he-IL"/>
        </w:rPr>
        <w:t>האנושי</w:t>
      </w:r>
      <w:r w:rsidRPr="005E17DC">
        <w:rPr>
          <w:b/>
          <w:bCs/>
          <w:rtl/>
          <w:lang w:eastAsia="he-IL"/>
        </w:rPr>
        <w:t xml:space="preserve"> </w:t>
      </w:r>
      <w:r w:rsidRPr="005E17DC">
        <w:rPr>
          <w:rFonts w:hint="eastAsia"/>
          <w:b/>
          <w:bCs/>
          <w:rtl/>
          <w:lang w:eastAsia="he-IL"/>
        </w:rPr>
        <w:t>ו</w:t>
      </w:r>
      <w:r w:rsidRPr="005E17DC">
        <w:rPr>
          <w:rFonts w:hint="cs"/>
          <w:b/>
          <w:bCs/>
          <w:rtl/>
          <w:lang w:eastAsia="he-IL"/>
        </w:rPr>
        <w:t xml:space="preserve">ליישם </w:t>
      </w:r>
      <w:r w:rsidRPr="005E17DC">
        <w:rPr>
          <w:rFonts w:hint="eastAsia"/>
          <w:b/>
          <w:bCs/>
          <w:rtl/>
          <w:lang w:eastAsia="he-IL"/>
        </w:rPr>
        <w:t>מנגנוני</w:t>
      </w:r>
      <w:r w:rsidRPr="005E17DC">
        <w:rPr>
          <w:b/>
          <w:bCs/>
          <w:rtl/>
          <w:lang w:eastAsia="he-IL"/>
        </w:rPr>
        <w:t xml:space="preserve"> </w:t>
      </w:r>
      <w:r w:rsidRPr="005E17DC">
        <w:rPr>
          <w:rFonts w:hint="eastAsia"/>
          <w:b/>
          <w:bCs/>
          <w:rtl/>
          <w:lang w:eastAsia="he-IL"/>
        </w:rPr>
        <w:t>בקרה</w:t>
      </w:r>
      <w:r w:rsidRPr="005E17DC">
        <w:rPr>
          <w:b/>
          <w:bCs/>
          <w:rtl/>
          <w:lang w:eastAsia="he-IL"/>
        </w:rPr>
        <w:t xml:space="preserve"> </w:t>
      </w:r>
      <w:r w:rsidRPr="005E17DC">
        <w:rPr>
          <w:rFonts w:hint="eastAsia"/>
          <w:b/>
          <w:bCs/>
          <w:rtl/>
          <w:lang w:eastAsia="he-IL"/>
        </w:rPr>
        <w:t>על</w:t>
      </w:r>
      <w:r w:rsidRPr="005E17DC">
        <w:rPr>
          <w:b/>
          <w:bCs/>
          <w:rtl/>
          <w:lang w:eastAsia="he-IL"/>
        </w:rPr>
        <w:t xml:space="preserve"> </w:t>
      </w:r>
      <w:r w:rsidRPr="005E17DC">
        <w:rPr>
          <w:rFonts w:hint="eastAsia"/>
          <w:b/>
          <w:bCs/>
          <w:rtl/>
          <w:lang w:eastAsia="he-IL"/>
        </w:rPr>
        <w:t>ניהול</w:t>
      </w:r>
      <w:r w:rsidRPr="005E17DC">
        <w:rPr>
          <w:b/>
          <w:bCs/>
          <w:rtl/>
          <w:lang w:eastAsia="he-IL"/>
        </w:rPr>
        <w:t xml:space="preserve"> </w:t>
      </w:r>
      <w:r w:rsidR="009309E8">
        <w:rPr>
          <w:rFonts w:hint="eastAsia"/>
          <w:b/>
          <w:bCs/>
          <w:rtl/>
          <w:lang w:eastAsia="he-IL"/>
        </w:rPr>
        <w:t>ההון האנושי</w:t>
      </w:r>
      <w:r w:rsidRPr="005E17DC">
        <w:rPr>
          <w:b/>
          <w:bCs/>
          <w:rtl/>
          <w:lang w:eastAsia="he-IL"/>
        </w:rPr>
        <w:t xml:space="preserve"> </w:t>
      </w:r>
      <w:r w:rsidRPr="005E17DC">
        <w:rPr>
          <w:rFonts w:hint="eastAsia"/>
          <w:b/>
          <w:bCs/>
          <w:rtl/>
          <w:lang w:eastAsia="he-IL"/>
        </w:rPr>
        <w:t>שלה</w:t>
      </w:r>
      <w:r w:rsidRPr="005E17DC">
        <w:rPr>
          <w:b/>
          <w:bCs/>
          <w:rtl/>
          <w:lang w:eastAsia="he-IL"/>
        </w:rPr>
        <w:t xml:space="preserve">, </w:t>
      </w:r>
      <w:r w:rsidRPr="005E17DC">
        <w:rPr>
          <w:rFonts w:hint="eastAsia"/>
          <w:b/>
          <w:bCs/>
          <w:rtl/>
          <w:lang w:eastAsia="he-IL"/>
        </w:rPr>
        <w:t>כדי</w:t>
      </w:r>
      <w:r w:rsidRPr="005E17DC">
        <w:rPr>
          <w:b/>
          <w:bCs/>
          <w:rtl/>
          <w:lang w:eastAsia="he-IL"/>
        </w:rPr>
        <w:t xml:space="preserve"> </w:t>
      </w:r>
      <w:r w:rsidRPr="005E17DC">
        <w:rPr>
          <w:rFonts w:hint="eastAsia"/>
          <w:b/>
          <w:bCs/>
          <w:rtl/>
          <w:lang w:eastAsia="he-IL"/>
        </w:rPr>
        <w:t>להתייעל</w:t>
      </w:r>
      <w:r w:rsidRPr="005E17DC">
        <w:rPr>
          <w:b/>
          <w:bCs/>
          <w:rtl/>
          <w:lang w:eastAsia="he-IL"/>
        </w:rPr>
        <w:t xml:space="preserve"> </w:t>
      </w:r>
      <w:r w:rsidRPr="005E17DC">
        <w:rPr>
          <w:rFonts w:hint="eastAsia"/>
          <w:b/>
          <w:bCs/>
          <w:rtl/>
          <w:lang w:eastAsia="he-IL"/>
        </w:rPr>
        <w:t>ולספק</w:t>
      </w:r>
      <w:r w:rsidRPr="005E17DC">
        <w:rPr>
          <w:b/>
          <w:bCs/>
          <w:rtl/>
          <w:lang w:eastAsia="he-IL"/>
        </w:rPr>
        <w:t xml:space="preserve"> </w:t>
      </w:r>
      <w:r w:rsidRPr="005E17DC">
        <w:rPr>
          <w:rFonts w:hint="eastAsia"/>
          <w:b/>
          <w:bCs/>
          <w:rtl/>
          <w:lang w:eastAsia="he-IL"/>
        </w:rPr>
        <w:t>שירות</w:t>
      </w:r>
      <w:r w:rsidRPr="005E17DC">
        <w:rPr>
          <w:b/>
          <w:bCs/>
          <w:rtl/>
          <w:lang w:eastAsia="he-IL"/>
        </w:rPr>
        <w:t xml:space="preserve"> </w:t>
      </w:r>
      <w:r w:rsidRPr="005E17DC">
        <w:rPr>
          <w:rFonts w:hint="eastAsia"/>
          <w:b/>
          <w:bCs/>
          <w:rtl/>
          <w:lang w:eastAsia="he-IL"/>
        </w:rPr>
        <w:t>מיטבי</w:t>
      </w:r>
      <w:r w:rsidRPr="005E17DC">
        <w:rPr>
          <w:b/>
          <w:bCs/>
          <w:rtl/>
          <w:lang w:eastAsia="he-IL"/>
        </w:rPr>
        <w:t xml:space="preserve"> </w:t>
      </w:r>
      <w:r w:rsidRPr="005E17DC">
        <w:rPr>
          <w:rFonts w:hint="eastAsia"/>
          <w:b/>
          <w:bCs/>
          <w:rtl/>
          <w:lang w:eastAsia="he-IL"/>
        </w:rPr>
        <w:t>לתושביה</w:t>
      </w:r>
      <w:r w:rsidRPr="005E17DC">
        <w:rPr>
          <w:b/>
          <w:bCs/>
          <w:rtl/>
          <w:lang w:eastAsia="he-IL"/>
        </w:rPr>
        <w:t>.</w:t>
      </w:r>
    </w:p>
    <w:bookmarkEnd w:id="0"/>
    <w:sectPr w:rsidSect="006D3AD2">
      <w:headerReference w:type="default" r:id="rId24"/>
      <w:footerReference w:type="default" r:id="rId25"/>
      <w:headerReference w:type="first" r:id="rId26"/>
      <w:footerReference w:type="first" r:id="rId27"/>
      <w:pgSz w:w="11906" w:h="16838"/>
      <w:pgMar w:top="1701" w:right="1985" w:bottom="1588" w:left="1701" w:header="709" w:footer="709" w:gutter="0"/>
      <w:pgNumType w:start="1"/>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avid">
    <w:altName w:val="Malgun Gothic Semilight"/>
    <w:panose1 w:val="020E0502060401010101"/>
    <w:charset w:val="B1"/>
    <w:family w:val="swiss"/>
    <w:pitch w:val="variable"/>
    <w:sig w:usb0="00000801" w:usb1="00000000" w:usb2="00000000" w:usb3="00000000" w:csb0="0000002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43" w:usb2="00000009" w:usb3="00000000" w:csb0="000001FF" w:csb1="00000000"/>
  </w:font>
  <w:font w:name="Open Sans Hebrew">
    <w:panose1 w:val="00000000000000000000"/>
    <w:charset w:val="00"/>
    <w:family w:val="roman"/>
    <w:notTrueType/>
    <w:pitch w:val="default"/>
  </w:font>
  <w:font w:name="FrankRuehl">
    <w:altName w:val="Arial"/>
    <w:charset w:val="B1"/>
    <w:family w:val="swiss"/>
    <w:pitch w:val="variable"/>
    <w:sig w:usb0="00000801" w:usb1="00000000" w:usb2="00000000" w:usb3="00000000" w:csb0="00000020" w:csb1="00000000"/>
  </w:font>
  <w:font w:name="Narkisim">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05EB6" w:rsidRPr="005E17DC" w:rsidP="009D699F">
    <w:pPr>
      <w:jc w:val="right"/>
      <w:rPr>
        <w:rtl/>
      </w:rPr>
    </w:pPr>
    <w:r w:rsidRPr="005E17DC">
      <w:rPr>
        <w:rFonts w:hint="cs"/>
        <w:rtl/>
      </w:rPr>
      <w:t>עיריית רמלה - מצב פיננסי וניהול ההון האנושי</w:t>
    </w:r>
  </w:p>
  <w:p w:rsidR="00D05EB6" w:rsidRPr="005E17DC" w:rsidP="009D699F">
    <w:pPr>
      <w:rPr>
        <w:rt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05EB6" w:rsidRPr="005E17DC" w:rsidP="006D3AD2">
    <w:pPr>
      <w:jc w:val="right"/>
      <w:rPr>
        <w:rtl/>
      </w:rPr>
    </w:pPr>
    <w:r w:rsidRPr="005E17DC">
      <w:rPr>
        <w:rFonts w:hint="cs"/>
        <w:rtl/>
      </w:rPr>
      <w:t>עיריית רמלה - מצב פיננסי וניהול ההון האנושי</w:t>
    </w:r>
  </w:p>
  <w:p w:rsidR="00D05EB6">
    <w:pPr>
      <w:pStyle w:val="Footer"/>
    </w:pPr>
  </w:p>
  <w:p w:rsidR="00D05EB6">
    <w:pPr>
      <w:pStyle w:val="Footer"/>
    </w:pPr>
    <w:r>
      <w:rPr>
        <w:noProof/>
      </w:rPr>
      <mc:AlternateContent>
        <mc:Choice Requires="wps">
          <w:drawing>
            <wp:anchor distT="0" distB="0" distL="114300" distR="114300" simplePos="0" relativeHeight="251658240" behindDoc="0" locked="0" layoutInCell="1" allowOverlap="1">
              <wp:simplePos x="0" y="0"/>
              <wp:positionH relativeFrom="column">
                <wp:align>center</wp:align>
              </wp:positionH>
              <wp:positionV relativeFrom="paragraph">
                <wp:posOffset>-12700</wp:posOffset>
              </wp:positionV>
              <wp:extent cx="4445000" cy="457200"/>
              <wp:effectExtent l="0" t="0" r="12700" b="19050"/>
              <wp:wrapNone/>
              <wp:docPr id="14" name="textBoxWarningF"/>
              <wp:cNvGraphicFramePr/>
              <a:graphic xmlns:a="http://schemas.openxmlformats.org/drawingml/2006/main">
                <a:graphicData uri="http://schemas.microsoft.com/office/word/2010/wordprocessingShape">
                  <wps:wsp xmlns:wps="http://schemas.microsoft.com/office/word/2010/wordprocessingShape">
                    <wps:cNvSpPr txBox="1"/>
                    <wps:spPr>
                      <a:xfrm>
                        <a:off x="0" y="0"/>
                        <a:ext cx="4445000" cy="457200"/>
                      </a:xfrm>
                      <a:prstGeom prst="rect">
                        <a:avLst/>
                      </a:prstGeom>
                      <a:noFill/>
                      <a:ln w="6350">
                        <a:solidFill>
                          <a:srgbClr val="0000FF"/>
                        </a:solidFill>
                      </a:ln>
                    </wps:spPr>
                    <wps:txbx>
                      <w:txbxContent>
                        <w:p w:rsidR="00D05EB6" w:rsidP="00262AD9">
                          <w:pPr>
                            <w:spacing w:before="24"/>
                            <w:ind w:firstLine="79"/>
                            <w:jc w:val="center"/>
                            <w:rPr>
                              <w:rFonts w:ascii="Narkisim" w:hAnsi="Narkisim" w:cs="Narkisim"/>
                              <w:color w:val="0000FF"/>
                              <w:sz w:val="18"/>
                              <w:szCs w:val="18"/>
                            </w:rPr>
                          </w:pPr>
                          <w:r>
                            <w:rPr>
                              <w:rFonts w:ascii="Narkisim" w:hAnsi="Narkisim" w:cs="Times New Roman"/>
                              <w:color w:val="0000FF"/>
                              <w:sz w:val="18"/>
                              <w:szCs w:val="18"/>
                              <w:rtl/>
                            </w:rPr>
                            <w:t>מסמך זה מכיל ממצאי ביקורת של מבקר המדינה. פרסומם ללא נטילת רשות מטעם המבקר</w:t>
                          </w:r>
                        </w:p>
                        <w:p w:rsidR="00D05EB6" w:rsidRPr="00262AD9" w:rsidP="00262AD9">
                          <w:pPr>
                            <w:spacing w:before="24"/>
                            <w:ind w:firstLine="79"/>
                            <w:jc w:val="center"/>
                            <w:rPr>
                              <w:rFonts w:ascii="Narkisim" w:hAnsi="Narkisim" w:cs="Narkisim"/>
                              <w:color w:val="0000FF"/>
                              <w:sz w:val="18"/>
                              <w:szCs w:val="18"/>
                            </w:rPr>
                          </w:pPr>
                          <w:r>
                            <w:rPr>
                              <w:rFonts w:ascii="Narkisim" w:hAnsi="Narkisim" w:cs="Times New Roman"/>
                              <w:color w:val="0000FF"/>
                              <w:sz w:val="18"/>
                              <w:szCs w:val="18"/>
                              <w:rtl/>
                            </w:rPr>
                            <w:t>אסור על פי סעיף 28(א)(3) לחוק מבקר המדינה, התשי''ח-1958 [נוסח משולב].</w:t>
                          </w:r>
                        </w:p>
                      </w:txbxContent>
                    </wps:txbx>
                    <wps:bodyPr rot="0" spcFirstLastPara="0" vertOverflow="overflow" horzOverflow="overflow" vert="horz" wrap="square" numCol="1" spcCol="0" rtlCol="1"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textBoxWarningF" o:spid="_x0000_s2049" type="#_x0000_t202" style="width:350pt;height:36pt;margin-top:-1pt;margin-left:0;mso-position-horizontal:center;mso-wrap-distance-bottom:0;mso-wrap-distance-left:9pt;mso-wrap-distance-right:9pt;mso-wrap-distance-top:0;mso-wrap-style:square;position:absolute;visibility:visible;v-text-anchor:top;z-index:251659264" filled="f" strokecolor="blue" strokeweight="0.5pt">
              <v:textbox>
                <w:txbxContent>
                  <w:p w:rsidR="00D05EB6" w:rsidP="00262AD9">
                    <w:pPr>
                      <w:spacing w:before="24"/>
                      <w:ind w:firstLine="79"/>
                      <w:jc w:val="center"/>
                      <w:rPr>
                        <w:rFonts w:ascii="Narkisim" w:hAnsi="Narkisim" w:cs="Narkisim"/>
                        <w:color w:val="0000FF"/>
                        <w:sz w:val="18"/>
                        <w:szCs w:val="18"/>
                      </w:rPr>
                    </w:pPr>
                    <w:r>
                      <w:rPr>
                        <w:rFonts w:ascii="Narkisim" w:hAnsi="Narkisim" w:cs="Times New Roman"/>
                        <w:color w:val="0000FF"/>
                        <w:sz w:val="18"/>
                        <w:szCs w:val="18"/>
                        <w:rtl/>
                      </w:rPr>
                      <w:t>מסמך זה מכיל ממצאי ביקורת של מבקר המדינה. פרסומם ללא נטילת רשות מטעם המבקר</w:t>
                    </w:r>
                  </w:p>
                  <w:p w:rsidR="00D05EB6" w:rsidRPr="00262AD9" w:rsidP="00262AD9">
                    <w:pPr>
                      <w:spacing w:before="24"/>
                      <w:ind w:firstLine="79"/>
                      <w:jc w:val="center"/>
                      <w:rPr>
                        <w:rFonts w:ascii="Narkisim" w:hAnsi="Narkisim" w:cs="Narkisim"/>
                        <w:color w:val="0000FF"/>
                        <w:sz w:val="18"/>
                        <w:szCs w:val="18"/>
                      </w:rPr>
                    </w:pPr>
                    <w:r>
                      <w:rPr>
                        <w:rFonts w:ascii="Narkisim" w:hAnsi="Narkisim" w:cs="Times New Roman"/>
                        <w:color w:val="0000FF"/>
                        <w:sz w:val="18"/>
                        <w:szCs w:val="18"/>
                        <w:rtl/>
                      </w:rPr>
                      <w:t>אסור על פי סעיף 28(א)(3) לחוק מבקר המדינה, התשי''ח-1958 [נוסח משולב].</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D05EB6" w:rsidP="00C23CC9">
      <w:pPr>
        <w:spacing w:line="240" w:lineRule="auto"/>
      </w:pPr>
      <w:r>
        <w:separator/>
      </w:r>
    </w:p>
  </w:footnote>
  <w:footnote w:type="continuationSeparator" w:id="1">
    <w:p w:rsidR="00D05EB6" w:rsidP="00C23CC9">
      <w:pPr>
        <w:spacing w:line="240" w:lineRule="auto"/>
      </w:pPr>
      <w:r>
        <w:continuationSeparator/>
      </w:r>
    </w:p>
  </w:footnote>
  <w:footnote w:id="2">
    <w:p w:rsidR="00D05EB6" w:rsidP="005E17DC">
      <w:pPr>
        <w:pStyle w:val="FootnoteText"/>
        <w:spacing w:line="269" w:lineRule="auto"/>
        <w:rPr>
          <w:rtl/>
        </w:rPr>
      </w:pPr>
      <w:r>
        <w:rPr>
          <w:rStyle w:val="FootnoteReference"/>
        </w:rPr>
        <w:footnoteRef/>
      </w:r>
      <w:r>
        <w:rPr>
          <w:rtl/>
        </w:rPr>
        <w:t xml:space="preserve"> </w:t>
      </w:r>
      <w:r>
        <w:rPr>
          <w:rtl/>
        </w:rPr>
        <w:tab/>
      </w:r>
      <w:r>
        <w:rPr>
          <w:rFonts w:hint="cs"/>
          <w:rtl/>
        </w:rPr>
        <w:t>דוח לתושב של עיריית רמלה לשנת 2018.</w:t>
      </w:r>
    </w:p>
  </w:footnote>
  <w:footnote w:id="3">
    <w:p w:rsidR="00D05EB6" w:rsidP="005E17DC">
      <w:pPr>
        <w:pStyle w:val="FootnoteText"/>
        <w:spacing w:line="269" w:lineRule="auto"/>
        <w:rPr>
          <w:rtl/>
        </w:rPr>
      </w:pPr>
      <w:r>
        <w:rPr>
          <w:rStyle w:val="FootnoteReference"/>
        </w:rPr>
        <w:footnoteRef/>
      </w:r>
      <w:r>
        <w:rPr>
          <w:rtl/>
        </w:rPr>
        <w:t xml:space="preserve"> </w:t>
      </w:r>
      <w:r>
        <w:rPr>
          <w:rtl/>
        </w:rPr>
        <w:tab/>
      </w:r>
      <w:r>
        <w:rPr>
          <w:rFonts w:hint="cs"/>
          <w:rtl/>
        </w:rPr>
        <w:t>הלמ"ס</w:t>
      </w:r>
      <w:r>
        <w:rPr>
          <w:rFonts w:hint="cs"/>
          <w:rtl/>
        </w:rPr>
        <w:t xml:space="preserve"> מדרגת את הרשויות המקומיות לפי הרמה החברתית - כלכלית של האוכלוסייה, הנמדדת על פי כמה משתנים ובהם הרכב דמוגרפי, השכלה וחינוך, רמת חיים, תעסוקה, כאשר 1 מייצג את הרמה הנמוכה ביותר ו-10 מייצג את הרמה הגבוהה ביותר.</w:t>
      </w:r>
    </w:p>
  </w:footnote>
  <w:footnote w:id="4">
    <w:p w:rsidR="00D05EB6" w:rsidP="005E17DC">
      <w:pPr>
        <w:pStyle w:val="FootnoteText"/>
        <w:spacing w:line="269" w:lineRule="auto"/>
      </w:pPr>
      <w:r>
        <w:rPr>
          <w:rStyle w:val="FootnoteReference"/>
        </w:rPr>
        <w:footnoteRef/>
      </w:r>
      <w:r>
        <w:rPr>
          <w:rtl/>
        </w:rPr>
        <w:t xml:space="preserve"> </w:t>
      </w:r>
      <w:r>
        <w:rPr>
          <w:rtl/>
        </w:rPr>
        <w:tab/>
      </w:r>
      <w:r>
        <w:rPr>
          <w:rFonts w:hint="cs"/>
          <w:rtl/>
        </w:rPr>
        <w:t>הלמ"ס</w:t>
      </w:r>
      <w:r>
        <w:rPr>
          <w:rFonts w:hint="cs"/>
          <w:rtl/>
        </w:rPr>
        <w:t xml:space="preserve"> מדרגת את הרשויות המקומיות בסולם של עשר דרגות לפי נגישותן הפוטנציאלית ומידת קרבתן לגבול מחוז תל אביב. ככול שהדירוג גבוה יותר, כן העיר נחשבת מרכזית יותר.</w:t>
      </w:r>
    </w:p>
  </w:footnote>
  <w:footnote w:id="5">
    <w:p w:rsidR="00D05EB6" w:rsidP="005E17DC">
      <w:pPr>
        <w:pStyle w:val="FootnoteText"/>
        <w:spacing w:line="269" w:lineRule="auto"/>
        <w:rPr>
          <w:rtl/>
        </w:rPr>
      </w:pPr>
      <w:r>
        <w:rPr>
          <w:rStyle w:val="FootnoteReference"/>
        </w:rPr>
        <w:footnoteRef/>
      </w:r>
      <w:r>
        <w:rPr>
          <w:rtl/>
        </w:rPr>
        <w:t xml:space="preserve"> </w:t>
      </w:r>
      <w:r>
        <w:rPr>
          <w:rtl/>
        </w:rPr>
        <w:tab/>
      </w:r>
      <w:r>
        <w:rPr>
          <w:rFonts w:hint="cs"/>
          <w:rtl/>
        </w:rPr>
        <w:t>יחס בין אוכלוסיי</w:t>
      </w:r>
      <w:r>
        <w:rPr>
          <w:rFonts w:hint="eastAsia"/>
          <w:rtl/>
        </w:rPr>
        <w:t>ה</w:t>
      </w:r>
      <w:r>
        <w:rPr>
          <w:rFonts w:hint="cs"/>
          <w:rtl/>
        </w:rPr>
        <w:t xml:space="preserve"> נתמכת (בני 65 ומעלה או בני 19 ומטה) ובין אוכלוסייה תומכת (בני 20 - 64). ככל שהיחס נמוך, כן מצבה הכלכלי של הרשות טוב יותר. </w:t>
      </w:r>
    </w:p>
  </w:footnote>
  <w:footnote w:id="6">
    <w:p w:rsidR="00D05EB6" w:rsidP="005E17DC">
      <w:pPr>
        <w:pStyle w:val="FootnoteText"/>
        <w:spacing w:line="269" w:lineRule="auto"/>
        <w:rPr>
          <w:rtl/>
        </w:rPr>
      </w:pPr>
      <w:r>
        <w:rPr>
          <w:rStyle w:val="FootnoteReference"/>
        </w:rPr>
        <w:footnoteRef/>
      </w:r>
      <w:r>
        <w:rPr>
          <w:rtl/>
        </w:rPr>
        <w:t xml:space="preserve"> </w:t>
      </w:r>
      <w:r>
        <w:rPr>
          <w:rtl/>
        </w:rPr>
        <w:tab/>
      </w:r>
      <w:r>
        <w:rPr>
          <w:rFonts w:hint="cs"/>
          <w:rtl/>
        </w:rPr>
        <w:t>בני 19 ומעלה.</w:t>
      </w:r>
    </w:p>
  </w:footnote>
  <w:footnote w:id="7">
    <w:p w:rsidR="00D05EB6" w:rsidP="005E17DC">
      <w:pPr>
        <w:pStyle w:val="FootnoteText"/>
        <w:spacing w:line="269" w:lineRule="auto"/>
        <w:rPr>
          <w:rtl/>
        </w:rPr>
      </w:pPr>
      <w:r>
        <w:rPr>
          <w:rStyle w:val="FootnoteReference"/>
        </w:rPr>
        <w:footnoteRef/>
      </w:r>
      <w:r>
        <w:rPr>
          <w:rtl/>
        </w:rPr>
        <w:t xml:space="preserve"> </w:t>
      </w:r>
      <w:r>
        <w:rPr>
          <w:rtl/>
        </w:rPr>
        <w:tab/>
      </w:r>
      <w:r>
        <w:rPr>
          <w:rFonts w:hint="cs"/>
          <w:rtl/>
        </w:rPr>
        <w:t>כ-30 רשויות.</w:t>
      </w:r>
    </w:p>
  </w:footnote>
  <w:footnote w:id="8">
    <w:p w:rsidR="00D05EB6" w:rsidP="005E17DC">
      <w:pPr>
        <w:pStyle w:val="FootnoteText"/>
        <w:spacing w:line="269" w:lineRule="auto"/>
        <w:rPr>
          <w:rtl/>
        </w:rPr>
      </w:pPr>
      <w:r>
        <w:rPr>
          <w:rStyle w:val="FootnoteReference"/>
        </w:rPr>
        <w:footnoteRef/>
      </w:r>
      <w:r>
        <w:rPr>
          <w:rtl/>
        </w:rPr>
        <w:t xml:space="preserve"> </w:t>
      </w:r>
      <w:r>
        <w:rPr>
          <w:rtl/>
        </w:rPr>
        <w:tab/>
      </w:r>
      <w:r w:rsidRPr="00135CA4">
        <w:rPr>
          <w:rFonts w:hint="eastAsia"/>
          <w:rtl/>
        </w:rPr>
        <w:t>היבטים</w:t>
      </w:r>
      <w:r w:rsidRPr="00135CA4">
        <w:rPr>
          <w:rtl/>
        </w:rPr>
        <w:t xml:space="preserve"> </w:t>
      </w:r>
      <w:r w:rsidRPr="00135CA4">
        <w:rPr>
          <w:rFonts w:hint="eastAsia"/>
          <w:rtl/>
        </w:rPr>
        <w:t>דומים</w:t>
      </w:r>
      <w:r w:rsidRPr="00135CA4">
        <w:rPr>
          <w:rtl/>
        </w:rPr>
        <w:t xml:space="preserve"> </w:t>
      </w:r>
      <w:r w:rsidRPr="00135CA4">
        <w:rPr>
          <w:rFonts w:hint="eastAsia"/>
          <w:rtl/>
        </w:rPr>
        <w:t>נבדקו</w:t>
      </w:r>
      <w:r w:rsidRPr="00135CA4">
        <w:rPr>
          <w:rtl/>
        </w:rPr>
        <w:t xml:space="preserve"> </w:t>
      </w:r>
      <w:r w:rsidRPr="00135CA4">
        <w:rPr>
          <w:rFonts w:hint="eastAsia"/>
          <w:rtl/>
        </w:rPr>
        <w:t>בעבר</w:t>
      </w:r>
      <w:r>
        <w:rPr>
          <w:rFonts w:hint="cs"/>
          <w:rtl/>
        </w:rPr>
        <w:t xml:space="preserve"> בעיריית ירושלים</w:t>
      </w:r>
      <w:r w:rsidRPr="00135CA4">
        <w:rPr>
          <w:rFonts w:hint="cs"/>
          <w:rtl/>
        </w:rPr>
        <w:t>,</w:t>
      </w:r>
      <w:r>
        <w:rPr>
          <w:rFonts w:hint="cs"/>
          <w:rtl/>
        </w:rPr>
        <w:t xml:space="preserve"> ראו: מבקר המדינה, </w:t>
      </w:r>
      <w:r w:rsidRPr="00126E8E">
        <w:rPr>
          <w:rFonts w:hint="eastAsia"/>
          <w:b/>
          <w:bCs/>
          <w:rtl/>
        </w:rPr>
        <w:t>פיתוח</w:t>
      </w:r>
      <w:r w:rsidRPr="00126E8E">
        <w:rPr>
          <w:b/>
          <w:bCs/>
          <w:rtl/>
        </w:rPr>
        <w:t xml:space="preserve"> </w:t>
      </w:r>
      <w:r w:rsidRPr="00126E8E">
        <w:rPr>
          <w:rFonts w:hint="eastAsia"/>
          <w:b/>
          <w:bCs/>
          <w:rtl/>
        </w:rPr>
        <w:t>וחיזוק</w:t>
      </w:r>
      <w:r w:rsidRPr="00126E8E">
        <w:rPr>
          <w:b/>
          <w:bCs/>
          <w:rtl/>
        </w:rPr>
        <w:t xml:space="preserve"> </w:t>
      </w:r>
      <w:r w:rsidRPr="00126E8E">
        <w:rPr>
          <w:rFonts w:hint="eastAsia"/>
          <w:b/>
          <w:bCs/>
          <w:rtl/>
        </w:rPr>
        <w:t>מעמדה</w:t>
      </w:r>
      <w:r w:rsidRPr="00126E8E">
        <w:rPr>
          <w:b/>
          <w:bCs/>
          <w:rtl/>
        </w:rPr>
        <w:t xml:space="preserve"> </w:t>
      </w:r>
      <w:r w:rsidRPr="00126E8E">
        <w:rPr>
          <w:rFonts w:hint="eastAsia"/>
          <w:b/>
          <w:bCs/>
          <w:rtl/>
        </w:rPr>
        <w:t>של</w:t>
      </w:r>
      <w:r w:rsidRPr="00126E8E">
        <w:rPr>
          <w:b/>
          <w:bCs/>
          <w:rtl/>
        </w:rPr>
        <w:t xml:space="preserve"> </w:t>
      </w:r>
      <w:r w:rsidRPr="00126E8E">
        <w:rPr>
          <w:rFonts w:hint="eastAsia"/>
          <w:b/>
          <w:bCs/>
          <w:rtl/>
        </w:rPr>
        <w:t>ירושלים</w:t>
      </w:r>
      <w:r w:rsidRPr="00126E8E">
        <w:rPr>
          <w:b/>
          <w:bCs/>
          <w:rtl/>
        </w:rPr>
        <w:t xml:space="preserve"> - </w:t>
      </w:r>
      <w:r w:rsidRPr="00126E8E">
        <w:rPr>
          <w:rFonts w:hint="eastAsia"/>
          <w:b/>
          <w:bCs/>
          <w:rtl/>
        </w:rPr>
        <w:t>חלק</w:t>
      </w:r>
      <w:r w:rsidRPr="00126E8E">
        <w:rPr>
          <w:b/>
          <w:bCs/>
          <w:rtl/>
        </w:rPr>
        <w:t xml:space="preserve"> </w:t>
      </w:r>
      <w:r w:rsidRPr="00126E8E">
        <w:rPr>
          <w:rFonts w:hint="eastAsia"/>
          <w:b/>
          <w:bCs/>
          <w:rtl/>
        </w:rPr>
        <w:t>שני</w:t>
      </w:r>
      <w:r>
        <w:rPr>
          <w:rFonts w:hint="cs"/>
          <w:rtl/>
        </w:rPr>
        <w:t>, בפרק "החוסן הכספי של עיריית ירושלים וניהולה הפיננסי", עמ' 41 - 59.</w:t>
      </w:r>
    </w:p>
  </w:footnote>
  <w:footnote w:id="9">
    <w:p w:rsidR="00D05EB6" w:rsidP="005E17DC">
      <w:pPr>
        <w:pStyle w:val="FootnoteText"/>
        <w:spacing w:line="269" w:lineRule="auto"/>
      </w:pPr>
      <w:r>
        <w:rPr>
          <w:rStyle w:val="FootnoteReference"/>
        </w:rPr>
        <w:footnoteRef/>
      </w:r>
      <w:r>
        <w:rPr>
          <w:rtl/>
        </w:rPr>
        <w:t xml:space="preserve"> </w:t>
      </w:r>
      <w:r>
        <w:rPr>
          <w:rtl/>
        </w:rPr>
        <w:tab/>
      </w:r>
      <w:r>
        <w:rPr>
          <w:rFonts w:hint="cs"/>
          <w:rtl/>
        </w:rPr>
        <w:t>סעיף 44 לחוק יסודות התקציב, התשמ"ה-1985, וסעיף 140ג לפקודת העיריות (נוסח חדש).</w:t>
      </w:r>
    </w:p>
  </w:footnote>
  <w:footnote w:id="10">
    <w:p w:rsidR="00D05EB6" w:rsidP="005E17DC">
      <w:pPr>
        <w:pStyle w:val="FootnoteText"/>
        <w:spacing w:line="269" w:lineRule="auto"/>
      </w:pPr>
      <w:r>
        <w:rPr>
          <w:rStyle w:val="FootnoteReference"/>
        </w:rPr>
        <w:footnoteRef/>
      </w:r>
      <w:r>
        <w:rPr>
          <w:rtl/>
        </w:rPr>
        <w:t xml:space="preserve"> </w:t>
      </w:r>
      <w:r>
        <w:rPr>
          <w:rtl/>
        </w:rPr>
        <w:tab/>
      </w:r>
      <w:r w:rsidRPr="00B441C2">
        <w:rPr>
          <w:rFonts w:hint="cs"/>
          <w:rtl/>
        </w:rPr>
        <w:t xml:space="preserve">חלק מהמדדים מפורטים בפרסום מטעם משרד הפנים: סיוון להבי וד"ר גל-חגית רומנו, </w:t>
      </w:r>
      <w:r w:rsidRPr="00B441C2">
        <w:rPr>
          <w:rFonts w:hint="cs"/>
          <w:b/>
          <w:bCs/>
          <w:rtl/>
        </w:rPr>
        <w:t>כלכלת השלטון המקומי בישראל - ניתוח הפערים בין רשויות מקומיות בישראל</w:t>
      </w:r>
      <w:r w:rsidRPr="00B441C2">
        <w:rPr>
          <w:rtl/>
        </w:rPr>
        <w:t>,</w:t>
      </w:r>
      <w:r w:rsidRPr="00B441C2">
        <w:rPr>
          <w:rFonts w:hint="cs"/>
          <w:b/>
          <w:bCs/>
          <w:rtl/>
        </w:rPr>
        <w:t xml:space="preserve"> </w:t>
      </w:r>
      <w:r w:rsidRPr="00B441C2">
        <w:rPr>
          <w:rFonts w:hint="eastAsia"/>
          <w:rtl/>
        </w:rPr>
        <w:t>המינהל</w:t>
      </w:r>
      <w:r w:rsidRPr="00B441C2">
        <w:rPr>
          <w:rtl/>
        </w:rPr>
        <w:t xml:space="preserve"> </w:t>
      </w:r>
      <w:r w:rsidRPr="00B441C2">
        <w:rPr>
          <w:rFonts w:hint="eastAsia"/>
          <w:rtl/>
        </w:rPr>
        <w:t>לשלטון</w:t>
      </w:r>
      <w:r w:rsidRPr="00B441C2">
        <w:rPr>
          <w:rtl/>
        </w:rPr>
        <w:t xml:space="preserve"> </w:t>
      </w:r>
      <w:r w:rsidRPr="00B441C2">
        <w:rPr>
          <w:rFonts w:hint="eastAsia"/>
          <w:rtl/>
        </w:rPr>
        <w:t>מקומי</w:t>
      </w:r>
      <w:r w:rsidRPr="00B441C2">
        <w:rPr>
          <w:rFonts w:hint="cs"/>
          <w:rtl/>
        </w:rPr>
        <w:t>, משרד הפנים, אוגוסט 2016.</w:t>
      </w:r>
    </w:p>
  </w:footnote>
  <w:footnote w:id="11">
    <w:p w:rsidR="00D05EB6" w:rsidP="005E17DC">
      <w:pPr>
        <w:pStyle w:val="FootnoteText"/>
        <w:spacing w:line="269" w:lineRule="auto"/>
        <w:rPr>
          <w:rtl/>
        </w:rPr>
      </w:pPr>
      <w:r>
        <w:rPr>
          <w:rStyle w:val="FootnoteReference"/>
        </w:rPr>
        <w:footnoteRef/>
      </w:r>
      <w:r>
        <w:rPr>
          <w:rtl/>
        </w:rPr>
        <w:t xml:space="preserve"> </w:t>
      </w:r>
      <w:r>
        <w:rPr>
          <w:rtl/>
        </w:rPr>
        <w:tab/>
      </w:r>
      <w:r>
        <w:rPr>
          <w:rFonts w:hint="cs"/>
          <w:rtl/>
        </w:rPr>
        <w:t>במועד הביקורת, בנתוני כלל העיריות לא נכללו עדיין נתוני עיריות באר שבע ונתניה לשנת 2018.</w:t>
      </w:r>
    </w:p>
  </w:footnote>
  <w:footnote w:id="12">
    <w:p w:rsidR="00D05EB6" w:rsidP="005E17DC">
      <w:pPr>
        <w:pStyle w:val="FootnoteText"/>
        <w:spacing w:line="269" w:lineRule="auto"/>
        <w:rPr>
          <w:rtl/>
        </w:rPr>
      </w:pPr>
      <w:r>
        <w:rPr>
          <w:rStyle w:val="FootnoteReference"/>
        </w:rPr>
        <w:footnoteRef/>
      </w:r>
      <w:r>
        <w:rPr>
          <w:rtl/>
        </w:rPr>
        <w:t xml:space="preserve"> </w:t>
      </w:r>
      <w:r>
        <w:rPr>
          <w:rtl/>
        </w:rPr>
        <w:tab/>
      </w:r>
      <w:r>
        <w:rPr>
          <w:rFonts w:hint="cs"/>
          <w:rtl/>
        </w:rPr>
        <w:t xml:space="preserve">שיעור הגירעון השוטף לפי פקודת העיריות הוא </w:t>
      </w:r>
      <w:r w:rsidRPr="00BB592E">
        <w:rPr>
          <w:rtl/>
        </w:rPr>
        <w:t>היחס</w:t>
      </w:r>
      <w:r>
        <w:rPr>
          <w:rtl/>
        </w:rPr>
        <w:t xml:space="preserve"> </w:t>
      </w:r>
      <w:r w:rsidRPr="00BB592E">
        <w:rPr>
          <w:rtl/>
        </w:rPr>
        <w:t>שבין</w:t>
      </w:r>
      <w:r>
        <w:rPr>
          <w:rtl/>
        </w:rPr>
        <w:t xml:space="preserve"> </w:t>
      </w:r>
      <w:r w:rsidRPr="00BB592E">
        <w:rPr>
          <w:rtl/>
        </w:rPr>
        <w:t>הגירעון</w:t>
      </w:r>
      <w:r>
        <w:rPr>
          <w:rtl/>
        </w:rPr>
        <w:t xml:space="preserve"> </w:t>
      </w:r>
      <w:r w:rsidRPr="00BB592E">
        <w:rPr>
          <w:rtl/>
        </w:rPr>
        <w:t>השוטף</w:t>
      </w:r>
      <w:r>
        <w:rPr>
          <w:rtl/>
        </w:rPr>
        <w:t xml:space="preserve"> </w:t>
      </w:r>
      <w:r>
        <w:rPr>
          <w:rFonts w:hint="cs"/>
          <w:rtl/>
        </w:rPr>
        <w:t>ו</w:t>
      </w:r>
      <w:r w:rsidRPr="00BB592E">
        <w:rPr>
          <w:rtl/>
        </w:rPr>
        <w:t>בין</w:t>
      </w:r>
      <w:r>
        <w:rPr>
          <w:rtl/>
        </w:rPr>
        <w:t xml:space="preserve"> </w:t>
      </w:r>
      <w:r w:rsidRPr="00BB592E">
        <w:rPr>
          <w:rtl/>
        </w:rPr>
        <w:t>הכנסות</w:t>
      </w:r>
      <w:r>
        <w:rPr>
          <w:rtl/>
        </w:rPr>
        <w:t xml:space="preserve"> </w:t>
      </w:r>
      <w:r w:rsidRPr="00BB592E">
        <w:rPr>
          <w:rtl/>
        </w:rPr>
        <w:t>העירי</w:t>
      </w:r>
      <w:r>
        <w:rPr>
          <w:rFonts w:hint="cs"/>
          <w:rtl/>
        </w:rPr>
        <w:t>י</w:t>
      </w:r>
      <w:r w:rsidRPr="00BB592E">
        <w:rPr>
          <w:rtl/>
        </w:rPr>
        <w:t>ה</w:t>
      </w:r>
      <w:r>
        <w:rPr>
          <w:rtl/>
        </w:rPr>
        <w:t xml:space="preserve"> </w:t>
      </w:r>
      <w:r w:rsidRPr="00BB592E">
        <w:rPr>
          <w:rtl/>
        </w:rPr>
        <w:t>בתקציב</w:t>
      </w:r>
      <w:r>
        <w:rPr>
          <w:rtl/>
        </w:rPr>
        <w:t xml:space="preserve"> </w:t>
      </w:r>
      <w:r w:rsidRPr="00BB592E">
        <w:rPr>
          <w:rtl/>
        </w:rPr>
        <w:t>השוטף</w:t>
      </w:r>
      <w:r>
        <w:rPr>
          <w:rFonts w:hint="cs"/>
          <w:rtl/>
        </w:rPr>
        <w:t>,</w:t>
      </w:r>
      <w:r>
        <w:rPr>
          <w:rtl/>
        </w:rPr>
        <w:t xml:space="preserve"> </w:t>
      </w:r>
      <w:r w:rsidRPr="00BB592E">
        <w:rPr>
          <w:rtl/>
        </w:rPr>
        <w:t>המפורטות</w:t>
      </w:r>
      <w:r>
        <w:rPr>
          <w:rtl/>
        </w:rPr>
        <w:t xml:space="preserve"> </w:t>
      </w:r>
      <w:r w:rsidRPr="00BB592E">
        <w:rPr>
          <w:rtl/>
        </w:rPr>
        <w:t>בדוח</w:t>
      </w:r>
      <w:r>
        <w:rPr>
          <w:rtl/>
        </w:rPr>
        <w:t xml:space="preserve"> </w:t>
      </w:r>
      <w:r w:rsidRPr="00BB592E">
        <w:rPr>
          <w:rtl/>
        </w:rPr>
        <w:t>המבוקר</w:t>
      </w:r>
      <w:r>
        <w:rPr>
          <w:rtl/>
        </w:rPr>
        <w:t xml:space="preserve"> </w:t>
      </w:r>
      <w:r>
        <w:rPr>
          <w:rFonts w:hint="cs"/>
          <w:rtl/>
        </w:rPr>
        <w:t>ש</w:t>
      </w:r>
      <w:r w:rsidRPr="00BB592E">
        <w:rPr>
          <w:rtl/>
        </w:rPr>
        <w:t>הגירעון</w:t>
      </w:r>
      <w:r>
        <w:rPr>
          <w:rtl/>
        </w:rPr>
        <w:t xml:space="preserve"> </w:t>
      </w:r>
      <w:r w:rsidRPr="00BB592E">
        <w:rPr>
          <w:rtl/>
        </w:rPr>
        <w:t>השוטף</w:t>
      </w:r>
      <w:r>
        <w:rPr>
          <w:rFonts w:hint="cs"/>
          <w:rtl/>
        </w:rPr>
        <w:t xml:space="preserve"> הופיע בו</w:t>
      </w:r>
      <w:r w:rsidRPr="00BB592E">
        <w:rPr>
          <w:rtl/>
        </w:rPr>
        <w:t>,</w:t>
      </w:r>
      <w:r>
        <w:rPr>
          <w:rtl/>
        </w:rPr>
        <w:t xml:space="preserve"> </w:t>
      </w:r>
      <w:r w:rsidRPr="00BB592E">
        <w:rPr>
          <w:rtl/>
        </w:rPr>
        <w:t>למעט</w:t>
      </w:r>
      <w:r>
        <w:rPr>
          <w:rtl/>
        </w:rPr>
        <w:t xml:space="preserve"> </w:t>
      </w:r>
      <w:r w:rsidRPr="00BB592E">
        <w:rPr>
          <w:rtl/>
        </w:rPr>
        <w:t>הכנסות</w:t>
      </w:r>
      <w:r>
        <w:rPr>
          <w:rtl/>
        </w:rPr>
        <w:t xml:space="preserve"> </w:t>
      </w:r>
      <w:r w:rsidRPr="00BB592E">
        <w:rPr>
          <w:rtl/>
        </w:rPr>
        <w:t>כאמור</w:t>
      </w:r>
      <w:r>
        <w:rPr>
          <w:rtl/>
        </w:rPr>
        <w:t xml:space="preserve"> </w:t>
      </w:r>
      <w:r w:rsidRPr="00BB592E">
        <w:rPr>
          <w:rtl/>
        </w:rPr>
        <w:t>לכיסוי</w:t>
      </w:r>
      <w:r>
        <w:rPr>
          <w:rtl/>
        </w:rPr>
        <w:t xml:space="preserve"> </w:t>
      </w:r>
      <w:r w:rsidRPr="00BB592E">
        <w:rPr>
          <w:rtl/>
        </w:rPr>
        <w:t>הגירעון</w:t>
      </w:r>
      <w:r>
        <w:rPr>
          <w:rtl/>
        </w:rPr>
        <w:t xml:space="preserve"> </w:t>
      </w:r>
      <w:r w:rsidRPr="00BB592E">
        <w:rPr>
          <w:rtl/>
        </w:rPr>
        <w:t>המצטבר</w:t>
      </w:r>
      <w:r>
        <w:rPr>
          <w:rtl/>
        </w:rPr>
        <w:t xml:space="preserve"> </w:t>
      </w:r>
      <w:r w:rsidRPr="00BB592E">
        <w:rPr>
          <w:rtl/>
        </w:rPr>
        <w:t>והכנסות</w:t>
      </w:r>
      <w:r>
        <w:rPr>
          <w:rtl/>
        </w:rPr>
        <w:t xml:space="preserve"> </w:t>
      </w:r>
      <w:r w:rsidRPr="00BB592E">
        <w:rPr>
          <w:rtl/>
        </w:rPr>
        <w:t>שנרשמו</w:t>
      </w:r>
      <w:r>
        <w:rPr>
          <w:rtl/>
        </w:rPr>
        <w:t xml:space="preserve"> </w:t>
      </w:r>
      <w:r w:rsidRPr="00BB592E">
        <w:rPr>
          <w:rtl/>
        </w:rPr>
        <w:t>בשל</w:t>
      </w:r>
      <w:r>
        <w:rPr>
          <w:rtl/>
        </w:rPr>
        <w:t xml:space="preserve"> </w:t>
      </w:r>
      <w:r w:rsidRPr="00BB592E">
        <w:rPr>
          <w:rtl/>
        </w:rPr>
        <w:t>הנחות</w:t>
      </w:r>
      <w:r>
        <w:rPr>
          <w:rtl/>
        </w:rPr>
        <w:t xml:space="preserve"> </w:t>
      </w:r>
      <w:r>
        <w:rPr>
          <w:rFonts w:hint="cs"/>
          <w:rtl/>
        </w:rPr>
        <w:t>ב</w:t>
      </w:r>
      <w:r w:rsidRPr="00BB592E">
        <w:rPr>
          <w:rtl/>
        </w:rPr>
        <w:t>ארנונה</w:t>
      </w:r>
      <w:r>
        <w:rPr>
          <w:rFonts w:hint="cs"/>
          <w:rtl/>
        </w:rPr>
        <w:t>.</w:t>
      </w:r>
    </w:p>
  </w:footnote>
  <w:footnote w:id="13">
    <w:p w:rsidR="00D05EB6" w:rsidP="005E17DC">
      <w:pPr>
        <w:pStyle w:val="FootnoteText"/>
        <w:spacing w:line="269" w:lineRule="auto"/>
      </w:pPr>
      <w:r>
        <w:rPr>
          <w:rStyle w:val="FootnoteReference"/>
        </w:rPr>
        <w:footnoteRef/>
      </w:r>
      <w:r>
        <w:rPr>
          <w:rtl/>
        </w:rPr>
        <w:t xml:space="preserve"> </w:t>
      </w:r>
      <w:r>
        <w:rPr>
          <w:rtl/>
        </w:rPr>
        <w:tab/>
      </w:r>
      <w:r>
        <w:rPr>
          <w:rFonts w:hint="cs"/>
          <w:rtl/>
        </w:rPr>
        <w:t>סעיף 232א לפקודת העיריות.</w:t>
      </w:r>
    </w:p>
  </w:footnote>
  <w:footnote w:id="14">
    <w:p w:rsidR="00D05EB6" w:rsidP="005E17DC">
      <w:pPr>
        <w:pStyle w:val="FootnoteText"/>
        <w:spacing w:line="269" w:lineRule="auto"/>
      </w:pPr>
      <w:r>
        <w:rPr>
          <w:rStyle w:val="FootnoteReference"/>
        </w:rPr>
        <w:footnoteRef/>
      </w:r>
      <w:r>
        <w:rPr>
          <w:rtl/>
        </w:rPr>
        <w:t xml:space="preserve"> </w:t>
      </w:r>
      <w:r>
        <w:rPr>
          <w:rtl/>
        </w:rPr>
        <w:tab/>
      </w:r>
      <w:r w:rsidRPr="00A75EA2">
        <w:rPr>
          <w:rtl/>
        </w:rPr>
        <w:t xml:space="preserve">למעט הכנסות כאמור לכיסוי הגירעון המצטבר שלה והכנסות שנרשמו בשל הנחות </w:t>
      </w:r>
      <w:r>
        <w:rPr>
          <w:rFonts w:hint="cs"/>
          <w:rtl/>
        </w:rPr>
        <w:t>ב</w:t>
      </w:r>
      <w:r w:rsidRPr="00A75EA2">
        <w:rPr>
          <w:rtl/>
        </w:rPr>
        <w:t>ארנונה</w:t>
      </w:r>
      <w:r>
        <w:rPr>
          <w:rFonts w:hint="cs"/>
          <w:rtl/>
        </w:rPr>
        <w:t>.</w:t>
      </w:r>
    </w:p>
  </w:footnote>
  <w:footnote w:id="15">
    <w:p w:rsidR="00D05EB6" w:rsidP="005E17DC">
      <w:pPr>
        <w:pStyle w:val="FootnoteText"/>
        <w:spacing w:line="269" w:lineRule="auto"/>
        <w:rPr>
          <w:rtl/>
        </w:rPr>
      </w:pPr>
      <w:r>
        <w:rPr>
          <w:rStyle w:val="FootnoteReference"/>
        </w:rPr>
        <w:footnoteRef/>
      </w:r>
      <w:r>
        <w:rPr>
          <w:rtl/>
        </w:rPr>
        <w:t xml:space="preserve"> </w:t>
      </w:r>
      <w:r>
        <w:rPr>
          <w:rtl/>
        </w:rPr>
        <w:tab/>
      </w:r>
      <w:r w:rsidRPr="00A75EA2">
        <w:rPr>
          <w:rtl/>
        </w:rPr>
        <w:t xml:space="preserve">למעט הכנסות כאמור לכיסוי הגירעון המצטבר שלה והכנסות שנרשמו בשל הנחות </w:t>
      </w:r>
      <w:r>
        <w:rPr>
          <w:rFonts w:hint="cs"/>
          <w:rtl/>
        </w:rPr>
        <w:t>ב</w:t>
      </w:r>
      <w:r w:rsidRPr="00A75EA2">
        <w:rPr>
          <w:rtl/>
        </w:rPr>
        <w:t>ארנונה</w:t>
      </w:r>
      <w:r>
        <w:rPr>
          <w:rFonts w:hint="cs"/>
          <w:rtl/>
        </w:rPr>
        <w:t>.</w:t>
      </w:r>
    </w:p>
  </w:footnote>
  <w:footnote w:id="16">
    <w:p w:rsidR="00D05EB6" w:rsidRPr="00BB592E" w:rsidP="005E17DC">
      <w:pPr>
        <w:pStyle w:val="FootnoteText"/>
        <w:spacing w:line="269" w:lineRule="auto"/>
        <w:rPr>
          <w:rtl/>
        </w:rPr>
      </w:pPr>
      <w:r w:rsidRPr="00BB592E">
        <w:rPr>
          <w:rStyle w:val="FootnoteReference"/>
        </w:rPr>
        <w:footnoteRef/>
      </w:r>
      <w:r>
        <w:rPr>
          <w:rtl/>
        </w:rPr>
        <w:t xml:space="preserve"> </w:t>
      </w:r>
      <w:r w:rsidRPr="00BB592E">
        <w:rPr>
          <w:rFonts w:hint="cs"/>
          <w:rtl/>
        </w:rPr>
        <w:tab/>
        <w:t>סעיף</w:t>
      </w:r>
      <w:r>
        <w:rPr>
          <w:rFonts w:hint="cs"/>
          <w:rtl/>
        </w:rPr>
        <w:t xml:space="preserve"> </w:t>
      </w:r>
      <w:r w:rsidRPr="00BB592E">
        <w:rPr>
          <w:rFonts w:hint="cs"/>
          <w:rtl/>
        </w:rPr>
        <w:t>142ב</w:t>
      </w:r>
      <w:r>
        <w:rPr>
          <w:rFonts w:hint="cs"/>
          <w:rtl/>
        </w:rPr>
        <w:t xml:space="preserve"> </w:t>
      </w:r>
      <w:r w:rsidRPr="00BB592E">
        <w:rPr>
          <w:rFonts w:hint="cs"/>
          <w:rtl/>
        </w:rPr>
        <w:t>לפקודת</w:t>
      </w:r>
      <w:r>
        <w:rPr>
          <w:rFonts w:hint="cs"/>
          <w:rtl/>
        </w:rPr>
        <w:t xml:space="preserve"> </w:t>
      </w:r>
      <w:r w:rsidRPr="00BB592E">
        <w:rPr>
          <w:rFonts w:hint="cs"/>
          <w:rtl/>
        </w:rPr>
        <w:t>העיריות.</w:t>
      </w:r>
    </w:p>
  </w:footnote>
  <w:footnote w:id="17">
    <w:p w:rsidR="00D05EB6" w:rsidP="005E17DC">
      <w:pPr>
        <w:pStyle w:val="FootnoteText"/>
        <w:spacing w:line="269" w:lineRule="auto"/>
        <w:rPr>
          <w:rtl/>
        </w:rPr>
      </w:pPr>
      <w:r>
        <w:rPr>
          <w:rStyle w:val="FootnoteReference"/>
        </w:rPr>
        <w:footnoteRef/>
      </w:r>
      <w:r>
        <w:rPr>
          <w:rtl/>
        </w:rPr>
        <w:t xml:space="preserve"> </w:t>
      </w:r>
      <w:r>
        <w:rPr>
          <w:rtl/>
        </w:rPr>
        <w:tab/>
      </w:r>
      <w:r>
        <w:rPr>
          <w:rFonts w:hint="cs"/>
          <w:sz w:val="24"/>
          <w:rtl/>
        </w:rPr>
        <w:t>סעיף 2 ל</w:t>
      </w:r>
      <w:r w:rsidRPr="002B1B5A">
        <w:rPr>
          <w:rFonts w:hint="cs"/>
          <w:sz w:val="24"/>
          <w:rtl/>
        </w:rPr>
        <w:t>ת</w:t>
      </w:r>
      <w:r w:rsidRPr="002B1B5A">
        <w:rPr>
          <w:sz w:val="24"/>
          <w:rtl/>
        </w:rPr>
        <w:t>קנות העיריות (כללים למינוי ועדה למילוי תפקידי ראש הרשות המקומית והמועצה), התשס"ד-2004</w:t>
      </w:r>
      <w:r>
        <w:rPr>
          <w:rFonts w:hint="cs"/>
          <w:sz w:val="24"/>
          <w:rtl/>
        </w:rPr>
        <w:t>.</w:t>
      </w:r>
    </w:p>
  </w:footnote>
  <w:footnote w:id="18">
    <w:p w:rsidR="00D05EB6" w:rsidRPr="00806A18" w:rsidP="005E17DC">
      <w:pPr>
        <w:pStyle w:val="FootnoteText"/>
        <w:spacing w:line="269" w:lineRule="auto"/>
      </w:pPr>
      <w:r>
        <w:rPr>
          <w:rStyle w:val="FootnoteReference"/>
        </w:rPr>
        <w:footnoteRef/>
      </w:r>
      <w:r>
        <w:rPr>
          <w:rtl/>
        </w:rPr>
        <w:t xml:space="preserve"> </w:t>
      </w:r>
      <w:r>
        <w:rPr>
          <w:rtl/>
        </w:rPr>
        <w:tab/>
      </w:r>
      <w:r w:rsidRPr="002B1E62">
        <w:rPr>
          <w:rFonts w:hint="cs"/>
          <w:rtl/>
        </w:rPr>
        <w:t xml:space="preserve">מקובל לחשב את </w:t>
      </w:r>
      <w:r>
        <w:rPr>
          <w:rFonts w:hint="cs"/>
          <w:rtl/>
        </w:rPr>
        <w:t xml:space="preserve">שיעור </w:t>
      </w:r>
      <w:r w:rsidRPr="002B1E62">
        <w:rPr>
          <w:rFonts w:hint="cs"/>
          <w:rtl/>
        </w:rPr>
        <w:t xml:space="preserve">עומס המלוות כיחס בין עומס המלוות המחושב בדוח הכספי המבוקר </w:t>
      </w:r>
      <w:r>
        <w:rPr>
          <w:rFonts w:hint="cs"/>
          <w:rtl/>
        </w:rPr>
        <w:t xml:space="preserve">ובין </w:t>
      </w:r>
      <w:r w:rsidRPr="002B1E62">
        <w:rPr>
          <w:rFonts w:hint="cs"/>
          <w:rtl/>
        </w:rPr>
        <w:t xml:space="preserve">הכנסות הרשות, למעט </w:t>
      </w:r>
      <w:r w:rsidRPr="002B1E62">
        <w:rPr>
          <w:rtl/>
        </w:rPr>
        <w:t xml:space="preserve">הכנסות לכיסוי הגירעון המצטבר והכנסות שנרשמו בשל הנחות </w:t>
      </w:r>
      <w:r>
        <w:rPr>
          <w:rFonts w:hint="cs"/>
          <w:rtl/>
        </w:rPr>
        <w:t>ב</w:t>
      </w:r>
      <w:r w:rsidRPr="002B1E62">
        <w:rPr>
          <w:rtl/>
        </w:rPr>
        <w:t>ארנונה</w:t>
      </w:r>
      <w:r w:rsidRPr="002B1E62">
        <w:rPr>
          <w:rFonts w:hint="cs"/>
          <w:rtl/>
        </w:rPr>
        <w:t xml:space="preserve">. ראו משרד הפנים, </w:t>
      </w:r>
      <w:r w:rsidRPr="002B1E62">
        <w:rPr>
          <w:rFonts w:hint="eastAsia"/>
          <w:b/>
          <w:bCs/>
          <w:rtl/>
        </w:rPr>
        <w:t>המדריך</w:t>
      </w:r>
      <w:r w:rsidRPr="002B1E62">
        <w:rPr>
          <w:b/>
          <w:bCs/>
          <w:rtl/>
        </w:rPr>
        <w:t xml:space="preserve"> </w:t>
      </w:r>
      <w:r w:rsidRPr="002B1E62">
        <w:rPr>
          <w:rFonts w:hint="eastAsia"/>
          <w:b/>
          <w:bCs/>
          <w:rtl/>
        </w:rPr>
        <w:t>לחשב</w:t>
      </w:r>
      <w:r w:rsidRPr="002B1E62">
        <w:rPr>
          <w:b/>
          <w:bCs/>
          <w:rtl/>
        </w:rPr>
        <w:t xml:space="preserve"> </w:t>
      </w:r>
      <w:r w:rsidRPr="002B1E62">
        <w:rPr>
          <w:rFonts w:hint="eastAsia"/>
          <w:b/>
          <w:bCs/>
          <w:rtl/>
        </w:rPr>
        <w:t>המלווה</w:t>
      </w:r>
      <w:r w:rsidRPr="002B1E62">
        <w:rPr>
          <w:b/>
          <w:bCs/>
          <w:rtl/>
        </w:rPr>
        <w:t xml:space="preserve"> </w:t>
      </w:r>
      <w:r w:rsidRPr="002B1E62">
        <w:rPr>
          <w:rFonts w:hint="eastAsia"/>
          <w:b/>
          <w:bCs/>
          <w:rtl/>
        </w:rPr>
        <w:t>ברשות</w:t>
      </w:r>
      <w:r w:rsidRPr="002B1E62">
        <w:rPr>
          <w:b/>
          <w:bCs/>
          <w:rtl/>
        </w:rPr>
        <w:t xml:space="preserve"> </w:t>
      </w:r>
      <w:r w:rsidRPr="002B1E62">
        <w:rPr>
          <w:rFonts w:hint="eastAsia"/>
          <w:b/>
          <w:bCs/>
          <w:rtl/>
        </w:rPr>
        <w:t>המקומית</w:t>
      </w:r>
      <w:r w:rsidRPr="002B1E62">
        <w:rPr>
          <w:rFonts w:hint="cs"/>
          <w:rtl/>
        </w:rPr>
        <w:t>, דצמבר 2018</w:t>
      </w:r>
      <w:r w:rsidRPr="002B1E62">
        <w:rPr>
          <w:rtl/>
        </w:rPr>
        <w:t>.</w:t>
      </w:r>
      <w:r>
        <w:rPr>
          <w:rFonts w:hint="cs"/>
          <w:rtl/>
        </w:rPr>
        <w:t xml:space="preserve"> </w:t>
      </w:r>
    </w:p>
  </w:footnote>
  <w:footnote w:id="19">
    <w:p w:rsidR="00D05EB6" w:rsidP="005E17DC">
      <w:pPr>
        <w:pStyle w:val="FootnoteText"/>
        <w:spacing w:line="269" w:lineRule="auto"/>
        <w:rPr>
          <w:rtl/>
        </w:rPr>
      </w:pPr>
      <w:r>
        <w:rPr>
          <w:rStyle w:val="FootnoteReference"/>
        </w:rPr>
        <w:footnoteRef/>
      </w:r>
      <w:r>
        <w:rPr>
          <w:rtl/>
        </w:rPr>
        <w:t xml:space="preserve"> </w:t>
      </w:r>
      <w:r>
        <w:rPr>
          <w:rtl/>
        </w:rPr>
        <w:tab/>
      </w:r>
      <w:r>
        <w:rPr>
          <w:rFonts w:hint="cs"/>
          <w:rtl/>
        </w:rPr>
        <w:t xml:space="preserve">ראו מבקר המדינה, </w:t>
      </w:r>
      <w:r w:rsidRPr="00C30850">
        <w:rPr>
          <w:rFonts w:hint="cs"/>
          <w:b/>
          <w:bCs/>
          <w:rtl/>
        </w:rPr>
        <w:t>דוח</w:t>
      </w:r>
      <w:r>
        <w:rPr>
          <w:b/>
          <w:bCs/>
          <w:rtl/>
        </w:rPr>
        <w:t xml:space="preserve"> </w:t>
      </w:r>
      <w:r w:rsidRPr="00C30850">
        <w:rPr>
          <w:rFonts w:hint="cs"/>
          <w:b/>
          <w:bCs/>
          <w:rtl/>
        </w:rPr>
        <w:t>ביקורת</w:t>
      </w:r>
      <w:r>
        <w:rPr>
          <w:b/>
          <w:bCs/>
          <w:rtl/>
        </w:rPr>
        <w:t xml:space="preserve"> </w:t>
      </w:r>
      <w:r w:rsidRPr="00C30850">
        <w:rPr>
          <w:rFonts w:hint="cs"/>
          <w:b/>
          <w:bCs/>
          <w:rtl/>
        </w:rPr>
        <w:t>שנתי</w:t>
      </w:r>
      <w:r>
        <w:rPr>
          <w:b/>
          <w:bCs/>
          <w:rtl/>
        </w:rPr>
        <w:t xml:space="preserve"> </w:t>
      </w:r>
      <w:r w:rsidRPr="00C30850">
        <w:rPr>
          <w:b/>
          <w:bCs/>
          <w:rtl/>
        </w:rPr>
        <w:t>63ג</w:t>
      </w:r>
      <w:r>
        <w:rPr>
          <w:b/>
          <w:bCs/>
          <w:rtl/>
        </w:rPr>
        <w:t xml:space="preserve"> </w:t>
      </w:r>
      <w:r w:rsidRPr="00B441C2">
        <w:rPr>
          <w:rtl/>
        </w:rPr>
        <w:t>(2013)</w:t>
      </w:r>
      <w:r>
        <w:rPr>
          <w:rFonts w:hint="cs"/>
          <w:rtl/>
        </w:rPr>
        <w:t>, בפרק על היבטים בתפקוד משרד הפנים כמאסדר של השלטון המקומי, עמ' 1269.</w:t>
      </w:r>
    </w:p>
  </w:footnote>
  <w:footnote w:id="20">
    <w:p w:rsidR="00D05EB6" w:rsidP="005E17DC">
      <w:pPr>
        <w:pStyle w:val="FootnoteText"/>
        <w:spacing w:line="269" w:lineRule="auto"/>
      </w:pPr>
      <w:r>
        <w:rPr>
          <w:rStyle w:val="FootnoteReference"/>
        </w:rPr>
        <w:footnoteRef/>
      </w:r>
      <w:r>
        <w:rPr>
          <w:rtl/>
        </w:rPr>
        <w:t xml:space="preserve"> </w:t>
      </w:r>
      <w:r>
        <w:rPr>
          <w:rtl/>
        </w:rPr>
        <w:tab/>
      </w:r>
      <w:r>
        <w:rPr>
          <w:rFonts w:hint="cs"/>
          <w:rtl/>
        </w:rPr>
        <w:t>על פי מצגת של רשות ניירות ערך, "אג"ח מוניציפליות", 2013,</w:t>
      </w:r>
      <w:r>
        <w:t xml:space="preserve"> </w:t>
      </w:r>
      <w:r>
        <w:rPr>
          <w:rFonts w:hint="cs"/>
          <w:rtl/>
        </w:rPr>
        <w:t>ארבע העיריות שהנפיקו אג"ח הן</w:t>
      </w:r>
      <w:r>
        <w:rPr>
          <w:rFonts w:hint="cs"/>
        </w:rPr>
        <w:t xml:space="preserve"> </w:t>
      </w:r>
      <w:r>
        <w:rPr>
          <w:rFonts w:hint="cs"/>
          <w:rtl/>
        </w:rPr>
        <w:t>אילת, יהוד-מונסון, רמלה ורעננה.</w:t>
      </w:r>
      <w:r>
        <w:rPr>
          <w:rFonts w:hint="cs"/>
        </w:rPr>
        <w:t xml:space="preserve"> </w:t>
      </w:r>
    </w:p>
  </w:footnote>
  <w:footnote w:id="21">
    <w:p w:rsidR="00D05EB6" w:rsidP="005E17DC">
      <w:pPr>
        <w:pStyle w:val="FootnoteText"/>
        <w:spacing w:line="269" w:lineRule="auto"/>
        <w:rPr>
          <w:rtl/>
        </w:rPr>
      </w:pPr>
      <w:r>
        <w:rPr>
          <w:rStyle w:val="FootnoteReference"/>
        </w:rPr>
        <w:footnoteRef/>
      </w:r>
      <w:r>
        <w:rPr>
          <w:rtl/>
        </w:rPr>
        <w:t xml:space="preserve"> </w:t>
      </w:r>
      <w:r>
        <w:rPr>
          <w:rtl/>
        </w:rPr>
        <w:tab/>
      </w:r>
      <w:r>
        <w:rPr>
          <w:rFonts w:hint="cs"/>
          <w:rtl/>
        </w:rPr>
        <w:t>סעיף 232א(ב)(5).</w:t>
      </w:r>
    </w:p>
  </w:footnote>
  <w:footnote w:id="22">
    <w:p w:rsidR="00D05EB6" w:rsidP="005E17DC">
      <w:pPr>
        <w:pStyle w:val="FootnoteText"/>
        <w:spacing w:line="269" w:lineRule="auto"/>
      </w:pPr>
      <w:r>
        <w:rPr>
          <w:rStyle w:val="FootnoteReference"/>
        </w:rPr>
        <w:footnoteRef/>
      </w:r>
      <w:r>
        <w:rPr>
          <w:rtl/>
        </w:rPr>
        <w:t xml:space="preserve"> </w:t>
      </w:r>
      <w:r>
        <w:rPr>
          <w:rFonts w:hint="cs"/>
          <w:rtl/>
        </w:rPr>
        <w:tab/>
        <w:t xml:space="preserve">לפי פקודת העיריות, שיעור ההכנסות העצמיות הוא </w:t>
      </w:r>
      <w:r w:rsidRPr="0059396E">
        <w:rPr>
          <w:rtl/>
        </w:rPr>
        <w:t>היחס</w:t>
      </w:r>
      <w:r>
        <w:rPr>
          <w:rtl/>
        </w:rPr>
        <w:t xml:space="preserve"> </w:t>
      </w:r>
      <w:r w:rsidRPr="0059396E">
        <w:rPr>
          <w:rtl/>
        </w:rPr>
        <w:t>בין</w:t>
      </w:r>
      <w:r>
        <w:rPr>
          <w:rtl/>
        </w:rPr>
        <w:t xml:space="preserve"> </w:t>
      </w:r>
      <w:r w:rsidRPr="0059396E">
        <w:rPr>
          <w:rtl/>
        </w:rPr>
        <w:t>ההכנסות</w:t>
      </w:r>
      <w:r>
        <w:rPr>
          <w:rtl/>
        </w:rPr>
        <w:t xml:space="preserve"> </w:t>
      </w:r>
      <w:r w:rsidRPr="0059396E">
        <w:rPr>
          <w:rtl/>
        </w:rPr>
        <w:t>העצמיות</w:t>
      </w:r>
      <w:r>
        <w:rPr>
          <w:rtl/>
        </w:rPr>
        <w:t xml:space="preserve"> </w:t>
      </w:r>
      <w:r w:rsidRPr="0059396E">
        <w:rPr>
          <w:rtl/>
        </w:rPr>
        <w:t>של</w:t>
      </w:r>
      <w:r>
        <w:rPr>
          <w:rtl/>
        </w:rPr>
        <w:t xml:space="preserve"> </w:t>
      </w:r>
      <w:r w:rsidRPr="0059396E">
        <w:rPr>
          <w:rtl/>
        </w:rPr>
        <w:t>העירייה</w:t>
      </w:r>
      <w:r>
        <w:rPr>
          <w:rtl/>
        </w:rPr>
        <w:t xml:space="preserve"> </w:t>
      </w:r>
      <w:r w:rsidRPr="0059396E">
        <w:rPr>
          <w:rtl/>
        </w:rPr>
        <w:t>לכלל</w:t>
      </w:r>
      <w:r>
        <w:rPr>
          <w:rtl/>
        </w:rPr>
        <w:t xml:space="preserve"> </w:t>
      </w:r>
      <w:r w:rsidRPr="0059396E">
        <w:rPr>
          <w:rtl/>
        </w:rPr>
        <w:t>הכנסותיה</w:t>
      </w:r>
      <w:r>
        <w:rPr>
          <w:rFonts w:hint="cs"/>
          <w:rtl/>
        </w:rPr>
        <w:t xml:space="preserve"> </w:t>
      </w:r>
      <w:r w:rsidRPr="0059396E">
        <w:rPr>
          <w:rtl/>
        </w:rPr>
        <w:t>המפורטות</w:t>
      </w:r>
      <w:r>
        <w:rPr>
          <w:rtl/>
        </w:rPr>
        <w:t xml:space="preserve"> </w:t>
      </w:r>
      <w:r w:rsidRPr="0059396E">
        <w:rPr>
          <w:rtl/>
        </w:rPr>
        <w:t>בדוח</w:t>
      </w:r>
      <w:r>
        <w:rPr>
          <w:rtl/>
        </w:rPr>
        <w:t xml:space="preserve"> </w:t>
      </w:r>
      <w:r w:rsidRPr="0059396E">
        <w:rPr>
          <w:rtl/>
        </w:rPr>
        <w:t>השנתי</w:t>
      </w:r>
      <w:r>
        <w:rPr>
          <w:rtl/>
        </w:rPr>
        <w:t xml:space="preserve"> </w:t>
      </w:r>
      <w:r w:rsidRPr="0059396E">
        <w:rPr>
          <w:rtl/>
        </w:rPr>
        <w:t>המבוקר</w:t>
      </w:r>
      <w:r>
        <w:rPr>
          <w:rtl/>
        </w:rPr>
        <w:t xml:space="preserve"> </w:t>
      </w:r>
      <w:r w:rsidRPr="0059396E">
        <w:rPr>
          <w:rtl/>
        </w:rPr>
        <w:t>האחרון,</w:t>
      </w:r>
      <w:r>
        <w:rPr>
          <w:rtl/>
        </w:rPr>
        <w:t xml:space="preserve"> </w:t>
      </w:r>
      <w:r w:rsidRPr="0059396E">
        <w:rPr>
          <w:rtl/>
        </w:rPr>
        <w:t>למעט</w:t>
      </w:r>
      <w:r>
        <w:rPr>
          <w:rtl/>
        </w:rPr>
        <w:t xml:space="preserve"> </w:t>
      </w:r>
      <w:r w:rsidRPr="0059396E">
        <w:rPr>
          <w:rtl/>
        </w:rPr>
        <w:t>הכנסות</w:t>
      </w:r>
      <w:r>
        <w:rPr>
          <w:rtl/>
        </w:rPr>
        <w:t xml:space="preserve"> </w:t>
      </w:r>
      <w:r w:rsidRPr="0059396E">
        <w:rPr>
          <w:rtl/>
        </w:rPr>
        <w:t>כאמור</w:t>
      </w:r>
      <w:r>
        <w:rPr>
          <w:rtl/>
        </w:rPr>
        <w:t xml:space="preserve"> </w:t>
      </w:r>
      <w:r w:rsidRPr="0059396E">
        <w:rPr>
          <w:rtl/>
        </w:rPr>
        <w:t>לכיסוי</w:t>
      </w:r>
      <w:r>
        <w:rPr>
          <w:rtl/>
        </w:rPr>
        <w:t xml:space="preserve"> </w:t>
      </w:r>
      <w:r w:rsidRPr="0059396E">
        <w:rPr>
          <w:rtl/>
        </w:rPr>
        <w:t>הגירעון</w:t>
      </w:r>
      <w:r>
        <w:rPr>
          <w:rtl/>
        </w:rPr>
        <w:t xml:space="preserve"> </w:t>
      </w:r>
      <w:r w:rsidRPr="0059396E">
        <w:rPr>
          <w:rtl/>
        </w:rPr>
        <w:t>המצטבר</w:t>
      </w:r>
      <w:r>
        <w:rPr>
          <w:rtl/>
        </w:rPr>
        <w:t xml:space="preserve"> </w:t>
      </w:r>
      <w:r w:rsidRPr="0059396E">
        <w:rPr>
          <w:rtl/>
        </w:rPr>
        <w:t>והכנסות</w:t>
      </w:r>
      <w:r>
        <w:rPr>
          <w:rtl/>
        </w:rPr>
        <w:t xml:space="preserve"> </w:t>
      </w:r>
      <w:r w:rsidRPr="0059396E">
        <w:rPr>
          <w:rtl/>
        </w:rPr>
        <w:t>שנרשמו</w:t>
      </w:r>
      <w:r>
        <w:rPr>
          <w:rtl/>
        </w:rPr>
        <w:t xml:space="preserve"> </w:t>
      </w:r>
      <w:r w:rsidRPr="0059396E">
        <w:rPr>
          <w:rtl/>
        </w:rPr>
        <w:t>בשל</w:t>
      </w:r>
      <w:r>
        <w:rPr>
          <w:rtl/>
        </w:rPr>
        <w:t xml:space="preserve"> </w:t>
      </w:r>
      <w:r w:rsidRPr="0059396E">
        <w:rPr>
          <w:rtl/>
        </w:rPr>
        <w:t>הנחות</w:t>
      </w:r>
      <w:r>
        <w:rPr>
          <w:rtl/>
        </w:rPr>
        <w:t xml:space="preserve"> </w:t>
      </w:r>
      <w:r>
        <w:rPr>
          <w:rFonts w:hint="cs"/>
          <w:rtl/>
        </w:rPr>
        <w:t>ב</w:t>
      </w:r>
      <w:r w:rsidRPr="0059396E">
        <w:rPr>
          <w:rtl/>
        </w:rPr>
        <w:t>ארנונה</w:t>
      </w:r>
      <w:r>
        <w:rPr>
          <w:rFonts w:hint="cs"/>
          <w:rtl/>
        </w:rPr>
        <w:t>.</w:t>
      </w:r>
    </w:p>
  </w:footnote>
  <w:footnote w:id="23">
    <w:p w:rsidR="00D05EB6" w:rsidP="005E17DC">
      <w:pPr>
        <w:pStyle w:val="FootnoteText"/>
        <w:spacing w:line="269" w:lineRule="auto"/>
        <w:rPr>
          <w:rtl/>
        </w:rPr>
      </w:pPr>
      <w:r>
        <w:rPr>
          <w:rStyle w:val="FootnoteReference"/>
        </w:rPr>
        <w:footnoteRef/>
      </w:r>
      <w:r>
        <w:rPr>
          <w:rtl/>
        </w:rPr>
        <w:t xml:space="preserve"> </w:t>
      </w:r>
      <w:r>
        <w:rPr>
          <w:rtl/>
        </w:rPr>
        <w:tab/>
      </w:r>
      <w:r>
        <w:rPr>
          <w:rFonts w:hint="cs"/>
          <w:rtl/>
        </w:rPr>
        <w:t xml:space="preserve">סיון להבי, </w:t>
      </w:r>
      <w:r w:rsidRPr="00016655">
        <w:rPr>
          <w:rFonts w:hint="cs"/>
          <w:b/>
          <w:bCs/>
          <w:rtl/>
        </w:rPr>
        <w:t>מסמך</w:t>
      </w:r>
      <w:r>
        <w:rPr>
          <w:rFonts w:hint="cs"/>
          <w:b/>
          <w:bCs/>
          <w:rtl/>
        </w:rPr>
        <w:t xml:space="preserve"> </w:t>
      </w:r>
      <w:r w:rsidRPr="00016655">
        <w:rPr>
          <w:rFonts w:hint="cs"/>
          <w:b/>
          <w:bCs/>
          <w:rtl/>
        </w:rPr>
        <w:t>תשתית</w:t>
      </w:r>
      <w:r>
        <w:rPr>
          <w:rFonts w:hint="cs"/>
          <w:b/>
          <w:bCs/>
          <w:rtl/>
        </w:rPr>
        <w:t xml:space="preserve"> </w:t>
      </w:r>
      <w:r w:rsidRPr="00016655">
        <w:rPr>
          <w:rFonts w:hint="cs"/>
          <w:b/>
          <w:bCs/>
          <w:rtl/>
        </w:rPr>
        <w:t>לפיתוח</w:t>
      </w:r>
      <w:r>
        <w:rPr>
          <w:rFonts w:hint="cs"/>
          <w:b/>
          <w:bCs/>
          <w:rtl/>
        </w:rPr>
        <w:t xml:space="preserve"> </w:t>
      </w:r>
      <w:r w:rsidRPr="00016655">
        <w:rPr>
          <w:rFonts w:hint="cs"/>
          <w:b/>
          <w:bCs/>
          <w:rtl/>
        </w:rPr>
        <w:t>כלכלי</w:t>
      </w:r>
      <w:r>
        <w:rPr>
          <w:rFonts w:hint="cs"/>
          <w:b/>
          <w:bCs/>
          <w:rtl/>
        </w:rPr>
        <w:t xml:space="preserve"> </w:t>
      </w:r>
      <w:r w:rsidRPr="00016655">
        <w:rPr>
          <w:rFonts w:hint="cs"/>
          <w:b/>
          <w:bCs/>
          <w:rtl/>
        </w:rPr>
        <w:t>מוניציפלי,</w:t>
      </w:r>
      <w:r>
        <w:rPr>
          <w:rFonts w:hint="cs"/>
          <w:b/>
          <w:bCs/>
          <w:rtl/>
        </w:rPr>
        <w:t xml:space="preserve"> </w:t>
      </w:r>
      <w:r w:rsidRPr="00016655">
        <w:rPr>
          <w:rFonts w:hint="cs"/>
          <w:b/>
          <w:bCs/>
          <w:rtl/>
        </w:rPr>
        <w:t>ניתוח</w:t>
      </w:r>
      <w:r>
        <w:rPr>
          <w:rFonts w:hint="cs"/>
          <w:b/>
          <w:bCs/>
          <w:rtl/>
        </w:rPr>
        <w:t xml:space="preserve"> </w:t>
      </w:r>
      <w:r w:rsidRPr="00016655">
        <w:rPr>
          <w:rFonts w:hint="cs"/>
          <w:b/>
          <w:bCs/>
          <w:rtl/>
        </w:rPr>
        <w:t>הפערים</w:t>
      </w:r>
      <w:r>
        <w:rPr>
          <w:rFonts w:hint="cs"/>
          <w:b/>
          <w:bCs/>
          <w:rtl/>
        </w:rPr>
        <w:t xml:space="preserve"> </w:t>
      </w:r>
      <w:r w:rsidRPr="00016655">
        <w:rPr>
          <w:rFonts w:hint="cs"/>
          <w:b/>
          <w:bCs/>
          <w:rtl/>
        </w:rPr>
        <w:t>בין</w:t>
      </w:r>
      <w:r>
        <w:rPr>
          <w:rFonts w:hint="cs"/>
          <w:b/>
          <w:bCs/>
          <w:rtl/>
        </w:rPr>
        <w:t xml:space="preserve"> </w:t>
      </w:r>
      <w:r w:rsidRPr="00016655">
        <w:rPr>
          <w:rFonts w:hint="cs"/>
          <w:b/>
          <w:bCs/>
          <w:rtl/>
        </w:rPr>
        <w:t>רשויות</w:t>
      </w:r>
      <w:r>
        <w:rPr>
          <w:rFonts w:hint="cs"/>
          <w:b/>
          <w:bCs/>
          <w:rtl/>
        </w:rPr>
        <w:t xml:space="preserve"> </w:t>
      </w:r>
      <w:r w:rsidRPr="00016655">
        <w:rPr>
          <w:rFonts w:hint="cs"/>
          <w:b/>
          <w:bCs/>
          <w:rtl/>
        </w:rPr>
        <w:t>מקומיות</w:t>
      </w:r>
      <w:r>
        <w:rPr>
          <w:rFonts w:hint="cs"/>
          <w:b/>
          <w:bCs/>
          <w:rtl/>
        </w:rPr>
        <w:t xml:space="preserve"> </w:t>
      </w:r>
      <w:r w:rsidRPr="00016655">
        <w:rPr>
          <w:rFonts w:hint="cs"/>
          <w:b/>
          <w:bCs/>
          <w:rtl/>
        </w:rPr>
        <w:t>בישראל</w:t>
      </w:r>
      <w:r>
        <w:rPr>
          <w:rFonts w:hint="cs"/>
          <w:rtl/>
        </w:rPr>
        <w:t xml:space="preserve">, כלכלת השלטון המקומי, </w:t>
      </w:r>
      <w:r>
        <w:rPr>
          <w:rFonts w:hint="cs"/>
          <w:rtl/>
        </w:rPr>
        <w:t>מינהל</w:t>
      </w:r>
      <w:r>
        <w:rPr>
          <w:rFonts w:hint="cs"/>
          <w:rtl/>
        </w:rPr>
        <w:t xml:space="preserve"> השלטון המקומי, משרד הפנים, עמ' 13.</w:t>
      </w:r>
    </w:p>
  </w:footnote>
  <w:footnote w:id="24">
    <w:p w:rsidR="00D05EB6" w:rsidP="005E17DC">
      <w:pPr>
        <w:pStyle w:val="FootnoteText"/>
        <w:spacing w:line="269" w:lineRule="auto"/>
      </w:pPr>
      <w:r>
        <w:rPr>
          <w:rStyle w:val="FootnoteReference"/>
        </w:rPr>
        <w:footnoteRef/>
      </w:r>
      <w:r>
        <w:rPr>
          <w:rtl/>
        </w:rPr>
        <w:t xml:space="preserve"> </w:t>
      </w:r>
      <w:r>
        <w:rPr>
          <w:rtl/>
        </w:rPr>
        <w:tab/>
      </w:r>
      <w:r>
        <w:rPr>
          <w:rFonts w:hint="cs"/>
          <w:rtl/>
        </w:rPr>
        <w:t xml:space="preserve">לפי פקודת העיריות, </w:t>
      </w:r>
      <w:r>
        <w:rPr>
          <w:rtl/>
        </w:rPr>
        <w:t>"שיעור גבי</w:t>
      </w:r>
      <w:r>
        <w:rPr>
          <w:rFonts w:hint="cs"/>
          <w:rtl/>
        </w:rPr>
        <w:t>י</w:t>
      </w:r>
      <w:r>
        <w:rPr>
          <w:rtl/>
        </w:rPr>
        <w:t>ה</w:t>
      </w:r>
      <w:r>
        <w:rPr>
          <w:rFonts w:hint="cs"/>
          <w:rtl/>
        </w:rPr>
        <w:t xml:space="preserve">" </w:t>
      </w:r>
      <w:r w:rsidRPr="000C58B3">
        <w:rPr>
          <w:rtl/>
        </w:rPr>
        <w:t>לענ</w:t>
      </w:r>
      <w:r>
        <w:rPr>
          <w:rFonts w:hint="cs"/>
          <w:rtl/>
        </w:rPr>
        <w:t>י</w:t>
      </w:r>
      <w:r w:rsidRPr="000C58B3">
        <w:rPr>
          <w:rtl/>
        </w:rPr>
        <w:t>ין</w:t>
      </w:r>
      <w:r>
        <w:rPr>
          <w:rtl/>
        </w:rPr>
        <w:t xml:space="preserve"> </w:t>
      </w:r>
      <w:r w:rsidRPr="000C58B3">
        <w:rPr>
          <w:rtl/>
        </w:rPr>
        <w:t>ארנונה</w:t>
      </w:r>
      <w:r>
        <w:rPr>
          <w:rtl/>
        </w:rPr>
        <w:t xml:space="preserve"> </w:t>
      </w:r>
      <w:r w:rsidRPr="000C58B3">
        <w:rPr>
          <w:rtl/>
        </w:rPr>
        <w:t>או</w:t>
      </w:r>
      <w:r>
        <w:rPr>
          <w:rtl/>
        </w:rPr>
        <w:t xml:space="preserve"> </w:t>
      </w:r>
      <w:r w:rsidRPr="000C58B3">
        <w:rPr>
          <w:rtl/>
        </w:rPr>
        <w:t>אספקת</w:t>
      </w:r>
      <w:r>
        <w:rPr>
          <w:rtl/>
        </w:rPr>
        <w:t xml:space="preserve"> </w:t>
      </w:r>
      <w:r w:rsidRPr="000C58B3">
        <w:rPr>
          <w:rtl/>
        </w:rPr>
        <w:t>מים</w:t>
      </w:r>
      <w:r>
        <w:rPr>
          <w:rtl/>
        </w:rPr>
        <w:t xml:space="preserve"> </w:t>
      </w:r>
      <w:r>
        <w:rPr>
          <w:rFonts w:hint="cs"/>
          <w:rtl/>
        </w:rPr>
        <w:t xml:space="preserve">הוא </w:t>
      </w:r>
      <w:r w:rsidRPr="000C58B3">
        <w:rPr>
          <w:rtl/>
        </w:rPr>
        <w:t>היחס</w:t>
      </w:r>
      <w:r>
        <w:rPr>
          <w:rtl/>
        </w:rPr>
        <w:t xml:space="preserve"> </w:t>
      </w:r>
      <w:r w:rsidRPr="000C58B3">
        <w:rPr>
          <w:rtl/>
        </w:rPr>
        <w:t>שבין</w:t>
      </w:r>
      <w:r>
        <w:rPr>
          <w:rtl/>
        </w:rPr>
        <w:t xml:space="preserve"> </w:t>
      </w:r>
      <w:r w:rsidRPr="000C58B3">
        <w:rPr>
          <w:rtl/>
        </w:rPr>
        <w:t>סך</w:t>
      </w:r>
      <w:r>
        <w:rPr>
          <w:rtl/>
        </w:rPr>
        <w:t xml:space="preserve"> </w:t>
      </w:r>
      <w:r w:rsidRPr="000C58B3">
        <w:rPr>
          <w:rtl/>
        </w:rPr>
        <w:t>כל</w:t>
      </w:r>
      <w:r>
        <w:rPr>
          <w:rtl/>
        </w:rPr>
        <w:t xml:space="preserve"> </w:t>
      </w:r>
      <w:r w:rsidRPr="000C58B3">
        <w:rPr>
          <w:rtl/>
        </w:rPr>
        <w:t>התקבולים</w:t>
      </w:r>
      <w:r>
        <w:rPr>
          <w:rtl/>
        </w:rPr>
        <w:t xml:space="preserve"> </w:t>
      </w:r>
      <w:r w:rsidRPr="000C58B3">
        <w:rPr>
          <w:rtl/>
        </w:rPr>
        <w:t>מארנונה</w:t>
      </w:r>
      <w:r>
        <w:rPr>
          <w:rtl/>
        </w:rPr>
        <w:t xml:space="preserve"> </w:t>
      </w:r>
      <w:r w:rsidRPr="000C58B3">
        <w:rPr>
          <w:rtl/>
        </w:rPr>
        <w:t>או</w:t>
      </w:r>
      <w:r>
        <w:rPr>
          <w:rtl/>
        </w:rPr>
        <w:t xml:space="preserve"> </w:t>
      </w:r>
      <w:r w:rsidRPr="000C58B3">
        <w:rPr>
          <w:rtl/>
        </w:rPr>
        <w:t>מאספקת</w:t>
      </w:r>
      <w:r>
        <w:rPr>
          <w:rtl/>
        </w:rPr>
        <w:t xml:space="preserve"> </w:t>
      </w:r>
      <w:r w:rsidRPr="000C58B3">
        <w:rPr>
          <w:rtl/>
        </w:rPr>
        <w:t>מים</w:t>
      </w:r>
      <w:r>
        <w:rPr>
          <w:rtl/>
        </w:rPr>
        <w:t xml:space="preserve"> </w:t>
      </w:r>
      <w:r w:rsidRPr="000C58B3">
        <w:rPr>
          <w:rtl/>
        </w:rPr>
        <w:t>שגבתה</w:t>
      </w:r>
      <w:r>
        <w:rPr>
          <w:rtl/>
        </w:rPr>
        <w:t xml:space="preserve"> </w:t>
      </w:r>
      <w:r w:rsidRPr="000C58B3">
        <w:rPr>
          <w:rtl/>
        </w:rPr>
        <w:t>העיר</w:t>
      </w:r>
      <w:r>
        <w:rPr>
          <w:rFonts w:hint="cs"/>
          <w:rtl/>
        </w:rPr>
        <w:t>י</w:t>
      </w:r>
      <w:r w:rsidRPr="000C58B3">
        <w:rPr>
          <w:rtl/>
        </w:rPr>
        <w:t>יה</w:t>
      </w:r>
      <w:r>
        <w:rPr>
          <w:rtl/>
        </w:rPr>
        <w:t xml:space="preserve"> </w:t>
      </w:r>
      <w:r w:rsidRPr="000C58B3">
        <w:rPr>
          <w:rtl/>
        </w:rPr>
        <w:t>בשנת</w:t>
      </w:r>
      <w:r>
        <w:rPr>
          <w:rtl/>
        </w:rPr>
        <w:t xml:space="preserve"> </w:t>
      </w:r>
      <w:r w:rsidRPr="000C58B3">
        <w:rPr>
          <w:rtl/>
        </w:rPr>
        <w:t>כספים</w:t>
      </w:r>
      <w:r>
        <w:rPr>
          <w:rtl/>
        </w:rPr>
        <w:t xml:space="preserve"> </w:t>
      </w:r>
      <w:r>
        <w:rPr>
          <w:rFonts w:hint="cs"/>
          <w:rtl/>
        </w:rPr>
        <w:t>ו</w:t>
      </w:r>
      <w:r w:rsidRPr="000C58B3">
        <w:rPr>
          <w:rtl/>
        </w:rPr>
        <w:t>בין</w:t>
      </w:r>
      <w:r>
        <w:rPr>
          <w:rtl/>
        </w:rPr>
        <w:t xml:space="preserve"> </w:t>
      </w:r>
      <w:r w:rsidRPr="000C58B3">
        <w:rPr>
          <w:rtl/>
        </w:rPr>
        <w:t>הסכומים</w:t>
      </w:r>
      <w:r>
        <w:rPr>
          <w:rtl/>
        </w:rPr>
        <w:t xml:space="preserve"> </w:t>
      </w:r>
      <w:r w:rsidRPr="000C58B3">
        <w:rPr>
          <w:rtl/>
        </w:rPr>
        <w:t>המגיעים</w:t>
      </w:r>
      <w:r>
        <w:rPr>
          <w:rtl/>
        </w:rPr>
        <w:t xml:space="preserve"> </w:t>
      </w:r>
      <w:r w:rsidRPr="000C58B3">
        <w:rPr>
          <w:rtl/>
        </w:rPr>
        <w:t>לה</w:t>
      </w:r>
      <w:r>
        <w:rPr>
          <w:rtl/>
        </w:rPr>
        <w:t xml:space="preserve"> </w:t>
      </w:r>
      <w:r>
        <w:rPr>
          <w:rFonts w:hint="cs"/>
          <w:rtl/>
        </w:rPr>
        <w:t xml:space="preserve">באותה שנה </w:t>
      </w:r>
      <w:r w:rsidRPr="000C58B3">
        <w:rPr>
          <w:rtl/>
        </w:rPr>
        <w:t>בעד</w:t>
      </w:r>
      <w:r>
        <w:rPr>
          <w:rtl/>
        </w:rPr>
        <w:t xml:space="preserve"> </w:t>
      </w:r>
      <w:r w:rsidRPr="000C58B3">
        <w:rPr>
          <w:rtl/>
        </w:rPr>
        <w:t>ארנונה</w:t>
      </w:r>
      <w:r>
        <w:rPr>
          <w:rtl/>
        </w:rPr>
        <w:t xml:space="preserve"> </w:t>
      </w:r>
      <w:r w:rsidRPr="000C58B3">
        <w:rPr>
          <w:rtl/>
        </w:rPr>
        <w:t>או</w:t>
      </w:r>
      <w:r>
        <w:rPr>
          <w:rtl/>
        </w:rPr>
        <w:t xml:space="preserve"> </w:t>
      </w:r>
      <w:r w:rsidRPr="000C58B3">
        <w:rPr>
          <w:rtl/>
        </w:rPr>
        <w:t>בעד</w:t>
      </w:r>
      <w:r>
        <w:rPr>
          <w:rtl/>
        </w:rPr>
        <w:t xml:space="preserve"> </w:t>
      </w:r>
      <w:r w:rsidRPr="000C58B3">
        <w:rPr>
          <w:rtl/>
        </w:rPr>
        <w:t>אספקת</w:t>
      </w:r>
      <w:r>
        <w:rPr>
          <w:rtl/>
        </w:rPr>
        <w:t xml:space="preserve"> </w:t>
      </w:r>
      <w:r w:rsidRPr="000C58B3">
        <w:rPr>
          <w:rtl/>
        </w:rPr>
        <w:t>מים,</w:t>
      </w:r>
      <w:r>
        <w:rPr>
          <w:rtl/>
        </w:rPr>
        <w:t xml:space="preserve"> </w:t>
      </w:r>
      <w:r w:rsidRPr="000C58B3">
        <w:rPr>
          <w:rtl/>
        </w:rPr>
        <w:t>לפי</w:t>
      </w:r>
      <w:r>
        <w:rPr>
          <w:rtl/>
        </w:rPr>
        <w:t xml:space="preserve"> </w:t>
      </w:r>
      <w:r w:rsidRPr="000C58B3">
        <w:rPr>
          <w:rtl/>
        </w:rPr>
        <w:t>הענ</w:t>
      </w:r>
      <w:r>
        <w:rPr>
          <w:rFonts w:hint="cs"/>
          <w:rtl/>
        </w:rPr>
        <w:t>י</w:t>
      </w:r>
      <w:r w:rsidRPr="000C58B3">
        <w:rPr>
          <w:rtl/>
        </w:rPr>
        <w:t>ין,</w:t>
      </w:r>
      <w:r>
        <w:rPr>
          <w:rtl/>
        </w:rPr>
        <w:t xml:space="preserve"> </w:t>
      </w:r>
      <w:r w:rsidRPr="000C58B3">
        <w:rPr>
          <w:rtl/>
        </w:rPr>
        <w:t>על</w:t>
      </w:r>
      <w:r>
        <w:rPr>
          <w:rtl/>
        </w:rPr>
        <w:t xml:space="preserve"> </w:t>
      </w:r>
      <w:r w:rsidRPr="000C58B3">
        <w:rPr>
          <w:rtl/>
        </w:rPr>
        <w:t>סמך</w:t>
      </w:r>
      <w:r>
        <w:rPr>
          <w:rtl/>
        </w:rPr>
        <w:t xml:space="preserve"> </w:t>
      </w:r>
      <w:r w:rsidRPr="000C58B3">
        <w:rPr>
          <w:rtl/>
        </w:rPr>
        <w:t>הודעות</w:t>
      </w:r>
      <w:r>
        <w:rPr>
          <w:rtl/>
        </w:rPr>
        <w:t xml:space="preserve"> </w:t>
      </w:r>
      <w:r w:rsidRPr="000C58B3">
        <w:rPr>
          <w:rtl/>
        </w:rPr>
        <w:t>תשלום</w:t>
      </w:r>
      <w:r>
        <w:rPr>
          <w:rtl/>
        </w:rPr>
        <w:t xml:space="preserve"> </w:t>
      </w:r>
      <w:r w:rsidRPr="000C58B3">
        <w:rPr>
          <w:rtl/>
        </w:rPr>
        <w:t>שהמציאה</w:t>
      </w:r>
      <w:r>
        <w:rPr>
          <w:rtl/>
        </w:rPr>
        <w:t xml:space="preserve"> </w:t>
      </w:r>
      <w:r w:rsidRPr="000C58B3">
        <w:rPr>
          <w:rtl/>
        </w:rPr>
        <w:t>לחייבים</w:t>
      </w:r>
      <w:r>
        <w:rPr>
          <w:rFonts w:hint="cs"/>
          <w:rtl/>
        </w:rPr>
        <w:t xml:space="preserve">. החישוב להלן מתייחס לחיוב נטו, כלומר לאחר ניכוי הנחות בארנונה. </w:t>
      </w:r>
    </w:p>
  </w:footnote>
  <w:footnote w:id="25">
    <w:p w:rsidR="00D05EB6" w:rsidP="005E17DC">
      <w:pPr>
        <w:pStyle w:val="FootnoteText"/>
        <w:spacing w:line="269" w:lineRule="auto"/>
        <w:rPr>
          <w:rtl/>
        </w:rPr>
      </w:pPr>
      <w:r>
        <w:rPr>
          <w:rStyle w:val="FootnoteReference"/>
        </w:rPr>
        <w:footnoteRef/>
      </w:r>
      <w:r>
        <w:rPr>
          <w:rtl/>
        </w:rPr>
        <w:t xml:space="preserve"> </w:t>
      </w:r>
      <w:r>
        <w:rPr>
          <w:rtl/>
        </w:rPr>
        <w:tab/>
      </w:r>
      <w:r>
        <w:rPr>
          <w:rFonts w:hint="cs"/>
          <w:rtl/>
        </w:rPr>
        <w:t>סעיף 232א(ב)(6) לפקודת העיריות.</w:t>
      </w:r>
    </w:p>
  </w:footnote>
  <w:footnote w:id="26">
    <w:p w:rsidR="00D05EB6" w:rsidP="005E17DC">
      <w:pPr>
        <w:pStyle w:val="FootnoteText"/>
        <w:spacing w:line="269" w:lineRule="auto"/>
        <w:rPr>
          <w:rtl/>
        </w:rPr>
      </w:pPr>
      <w:r>
        <w:rPr>
          <w:rStyle w:val="FootnoteReference"/>
        </w:rPr>
        <w:footnoteRef/>
      </w:r>
      <w:r>
        <w:rPr>
          <w:rtl/>
        </w:rPr>
        <w:t xml:space="preserve"> </w:t>
      </w:r>
      <w:r>
        <w:rPr>
          <w:rtl/>
        </w:rPr>
        <w:tab/>
      </w:r>
      <w:r>
        <w:rPr>
          <w:rFonts w:hint="cs"/>
          <w:rtl/>
        </w:rPr>
        <w:t>יחס זה מאפשר להשוות את המשאבים שהיו בידי רשויות מקומיות שונות למתן שירותים לתושבים.</w:t>
      </w:r>
    </w:p>
  </w:footnote>
  <w:footnote w:id="27">
    <w:p w:rsidR="00D05EB6" w:rsidP="005E17DC">
      <w:pPr>
        <w:pStyle w:val="FootnoteText"/>
        <w:spacing w:line="269" w:lineRule="auto"/>
      </w:pPr>
      <w:r>
        <w:rPr>
          <w:rStyle w:val="FootnoteReference"/>
        </w:rPr>
        <w:footnoteRef/>
      </w:r>
      <w:r>
        <w:rPr>
          <w:rtl/>
        </w:rPr>
        <w:t xml:space="preserve"> </w:t>
      </w:r>
      <w:r>
        <w:rPr>
          <w:rtl/>
        </w:rPr>
        <w:tab/>
      </w:r>
      <w:r>
        <w:rPr>
          <w:rFonts w:hint="cs"/>
          <w:rtl/>
        </w:rPr>
        <w:t>רשויות שונות זו מזו בשיטות חישובם של השטחים לחיוב ארנונה, אך הדבר אינו מתבטא בנתונים הרשמיים ולכן אי אפשר להביאו בחשבון. התמהיל בחלק מהרשויות היה עשוי להיות שונה במקצת אילו הייתה שיטת החישוב אחידה.</w:t>
      </w:r>
    </w:p>
  </w:footnote>
  <w:footnote w:id="28">
    <w:p w:rsidR="00D05EB6" w:rsidP="005E17DC">
      <w:pPr>
        <w:pStyle w:val="FootnoteText"/>
        <w:spacing w:line="269" w:lineRule="auto"/>
      </w:pPr>
      <w:r>
        <w:rPr>
          <w:rStyle w:val="FootnoteReference"/>
        </w:rPr>
        <w:footnoteRef/>
      </w:r>
      <w:r>
        <w:rPr>
          <w:rtl/>
        </w:rPr>
        <w:t xml:space="preserve"> </w:t>
      </w:r>
      <w:r>
        <w:rPr>
          <w:rtl/>
        </w:rPr>
        <w:tab/>
      </w:r>
      <w:r>
        <w:rPr>
          <w:rFonts w:hint="cs"/>
          <w:rtl/>
        </w:rPr>
        <w:t>מבוסס על הנחה שגודלו הממוצע של משק בית הוא 3.5 נפשות (בדומה למצב הקיים ברמלה).</w:t>
      </w:r>
    </w:p>
  </w:footnote>
  <w:footnote w:id="29">
    <w:p w:rsidR="00D05EB6" w:rsidP="005E17DC">
      <w:pPr>
        <w:pStyle w:val="FootnoteText"/>
        <w:spacing w:line="269" w:lineRule="auto"/>
        <w:rPr>
          <w:rtl/>
        </w:rPr>
      </w:pPr>
      <w:r>
        <w:rPr>
          <w:rStyle w:val="FootnoteReference"/>
        </w:rPr>
        <w:footnoteRef/>
      </w:r>
      <w:r>
        <w:rPr>
          <w:rtl/>
        </w:rPr>
        <w:t xml:space="preserve"> </w:t>
      </w:r>
      <w:r>
        <w:rPr>
          <w:rtl/>
        </w:rPr>
        <w:tab/>
      </w:r>
      <w:r>
        <w:rPr>
          <w:rFonts w:hint="cs"/>
          <w:rtl/>
        </w:rPr>
        <w:t xml:space="preserve">בנק ישראל, </w:t>
      </w:r>
      <w:r w:rsidRPr="00562D70">
        <w:rPr>
          <w:rFonts w:hint="eastAsia"/>
          <w:b/>
          <w:bCs/>
          <w:rtl/>
        </w:rPr>
        <w:t>דין</w:t>
      </w:r>
      <w:r w:rsidRPr="00562D70">
        <w:rPr>
          <w:b/>
          <w:bCs/>
          <w:rtl/>
        </w:rPr>
        <w:t xml:space="preserve"> </w:t>
      </w:r>
      <w:r w:rsidRPr="00562D70">
        <w:rPr>
          <w:rFonts w:hint="eastAsia"/>
          <w:b/>
          <w:bCs/>
          <w:rtl/>
        </w:rPr>
        <w:t>וחשבון</w:t>
      </w:r>
      <w:r w:rsidRPr="00562D70">
        <w:rPr>
          <w:b/>
          <w:bCs/>
          <w:rtl/>
        </w:rPr>
        <w:t xml:space="preserve"> </w:t>
      </w:r>
      <w:r w:rsidRPr="00562D70">
        <w:rPr>
          <w:rFonts w:hint="eastAsia"/>
          <w:b/>
          <w:bCs/>
          <w:rtl/>
        </w:rPr>
        <w:t>שנתי</w:t>
      </w:r>
      <w:r w:rsidRPr="00562D70">
        <w:rPr>
          <w:b/>
          <w:bCs/>
          <w:rtl/>
        </w:rPr>
        <w:t xml:space="preserve"> 2017</w:t>
      </w:r>
      <w:r>
        <w:rPr>
          <w:rFonts w:hint="cs"/>
          <w:rtl/>
        </w:rPr>
        <w:t>, פרק ט' - שוק הדיור, עמ' 231 - 235.</w:t>
      </w:r>
    </w:p>
  </w:footnote>
  <w:footnote w:id="30">
    <w:p w:rsidR="00D05EB6" w:rsidRPr="007432F2" w:rsidP="005E17DC">
      <w:pPr>
        <w:pStyle w:val="FootnoteText"/>
        <w:spacing w:line="269" w:lineRule="auto"/>
      </w:pPr>
      <w:r>
        <w:rPr>
          <w:rStyle w:val="FootnoteReference"/>
        </w:rPr>
        <w:footnoteRef/>
      </w:r>
      <w:r>
        <w:rPr>
          <w:rtl/>
        </w:rPr>
        <w:t xml:space="preserve"> </w:t>
      </w:r>
      <w:r>
        <w:rPr>
          <w:rtl/>
        </w:rPr>
        <w:tab/>
      </w:r>
      <w:r>
        <w:rPr>
          <w:rFonts w:hint="cs"/>
          <w:rtl/>
        </w:rPr>
        <w:t xml:space="preserve">אגף בכיר תכנון ופיתוח ההון האנושי ברשויות המקומיות במשרד הפנים, </w:t>
      </w:r>
      <w:r>
        <w:rPr>
          <w:rFonts w:hint="cs"/>
          <w:b/>
          <w:bCs/>
          <w:rtl/>
        </w:rPr>
        <w:t xml:space="preserve">הסכמי גג ברשויות מקומיות כהזדמנות לצמיחה, </w:t>
      </w:r>
      <w:r>
        <w:rPr>
          <w:rFonts w:hint="cs"/>
          <w:rtl/>
        </w:rPr>
        <w:t>2019, עמ' 42.</w:t>
      </w:r>
    </w:p>
  </w:footnote>
  <w:footnote w:id="31">
    <w:p w:rsidR="00D05EB6" w:rsidP="005E17DC">
      <w:pPr>
        <w:pStyle w:val="FootnoteText"/>
        <w:spacing w:line="269" w:lineRule="auto"/>
        <w:rPr>
          <w:rtl/>
        </w:rPr>
      </w:pPr>
      <w:r>
        <w:rPr>
          <w:rStyle w:val="FootnoteReference"/>
        </w:rPr>
        <w:footnoteRef/>
      </w:r>
      <w:r>
        <w:rPr>
          <w:rtl/>
        </w:rPr>
        <w:t xml:space="preserve"> </w:t>
      </w:r>
      <w:r>
        <w:rPr>
          <w:rtl/>
        </w:rPr>
        <w:tab/>
      </w:r>
      <w:r>
        <w:rPr>
          <w:rFonts w:hint="cs"/>
          <w:rtl/>
        </w:rPr>
        <w:t xml:space="preserve">מסך הקטגוריות </w:t>
      </w:r>
      <w:r>
        <w:rPr>
          <w:rFonts w:hint="cs"/>
          <w:rtl/>
        </w:rPr>
        <w:t>שהלמ"ס</w:t>
      </w:r>
      <w:r>
        <w:rPr>
          <w:rFonts w:hint="cs"/>
          <w:rtl/>
        </w:rPr>
        <w:t xml:space="preserve"> סיווגה וקיבצה לפיהן את שימושי הקרקע נבחרו שימושי קרקע בשטחים עירוניים שיש להם זיקה לפיתוח כלכלי ולהגדלת הכנסות העירייה מארנונה. </w:t>
      </w:r>
    </w:p>
  </w:footnote>
  <w:footnote w:id="32">
    <w:p w:rsidR="00D05EB6" w:rsidP="005E17DC">
      <w:pPr>
        <w:pStyle w:val="FootnoteText"/>
        <w:spacing w:line="269" w:lineRule="auto"/>
      </w:pPr>
      <w:r>
        <w:rPr>
          <w:rStyle w:val="FootnoteReference"/>
        </w:rPr>
        <w:footnoteRef/>
      </w:r>
      <w:r>
        <w:rPr>
          <w:rtl/>
        </w:rPr>
        <w:t xml:space="preserve"> </w:t>
      </w:r>
      <w:r>
        <w:rPr>
          <w:rtl/>
        </w:rPr>
        <w:tab/>
      </w:r>
      <w:r>
        <w:rPr>
          <w:rFonts w:hint="cs"/>
          <w:rtl/>
        </w:rPr>
        <w:t>שטחים אלו כוללים שימושי כרייה וחציבה, חפירות ארכיאולוגיות, קרקע מכוסה שיחים, סלעים וכיו"ב; במקרים רבים שטחים אלו אינם מתאימים לפיתוח.</w:t>
      </w:r>
    </w:p>
  </w:footnote>
  <w:footnote w:id="33">
    <w:p w:rsidR="00D05EB6" w:rsidP="005E17DC">
      <w:pPr>
        <w:pStyle w:val="FootnoteText"/>
        <w:spacing w:line="269" w:lineRule="auto"/>
        <w:rPr>
          <w:rFonts w:hint="cs"/>
          <w:rtl/>
        </w:rPr>
      </w:pPr>
      <w:r>
        <w:rPr>
          <w:rStyle w:val="FootnoteReference"/>
        </w:rPr>
        <w:footnoteRef/>
      </w:r>
      <w:r>
        <w:rPr>
          <w:rtl/>
        </w:rPr>
        <w:t xml:space="preserve"> </w:t>
      </w:r>
      <w:r>
        <w:rPr>
          <w:rtl/>
        </w:rPr>
        <w:tab/>
      </w:r>
      <w:r>
        <w:rPr>
          <w:rFonts w:hint="cs"/>
          <w:rtl/>
        </w:rPr>
        <w:t>מתקנים חקלאיים ותשתיות תחבורה.</w:t>
      </w:r>
    </w:p>
  </w:footnote>
  <w:footnote w:id="34">
    <w:p w:rsidR="00D05EB6" w:rsidP="005E17DC">
      <w:pPr>
        <w:pStyle w:val="FootnoteText"/>
        <w:spacing w:line="269" w:lineRule="auto"/>
        <w:rPr>
          <w:rtl/>
        </w:rPr>
      </w:pPr>
      <w:r>
        <w:rPr>
          <w:rStyle w:val="FootnoteReference"/>
        </w:rPr>
        <w:footnoteRef/>
      </w:r>
      <w:r>
        <w:rPr>
          <w:rtl/>
        </w:rPr>
        <w:t xml:space="preserve"> </w:t>
      </w:r>
      <w:r>
        <w:rPr>
          <w:rtl/>
        </w:rPr>
        <w:tab/>
      </w:r>
      <w:r>
        <w:rPr>
          <w:rFonts w:hint="cs"/>
          <w:rtl/>
        </w:rPr>
        <w:t>מספר המשרות ללא פנסיונרים חלקי מספר התושבים, כפול אלף.</w:t>
      </w:r>
    </w:p>
  </w:footnote>
  <w:footnote w:id="35">
    <w:p w:rsidR="00D05EB6" w:rsidRPr="004A276E" w:rsidP="005E17DC">
      <w:pPr>
        <w:pStyle w:val="FootnoteText"/>
        <w:spacing w:line="269" w:lineRule="auto"/>
      </w:pPr>
      <w:r>
        <w:rPr>
          <w:rStyle w:val="FootnoteReference"/>
        </w:rPr>
        <w:footnoteRef/>
      </w:r>
      <w:r>
        <w:rPr>
          <w:rtl/>
        </w:rPr>
        <w:t xml:space="preserve"> </w:t>
      </w:r>
      <w:r>
        <w:rPr>
          <w:rtl/>
        </w:rPr>
        <w:tab/>
      </w:r>
      <w:r>
        <w:rPr>
          <w:rFonts w:hint="cs"/>
          <w:rtl/>
        </w:rPr>
        <w:t xml:space="preserve">אגף בכיר תכנון ופיתוח ההון האנושי ברשויות המקומיות במשרד הפנים, </w:t>
      </w:r>
      <w:r>
        <w:rPr>
          <w:rFonts w:hint="cs"/>
          <w:b/>
          <w:bCs/>
          <w:rtl/>
        </w:rPr>
        <w:t xml:space="preserve">הסכמי גג ברשויות מקומיות כהזדמנות לצמיחה, </w:t>
      </w:r>
      <w:r>
        <w:rPr>
          <w:rFonts w:hint="cs"/>
          <w:rtl/>
        </w:rPr>
        <w:t>2019, עמ' 42.</w:t>
      </w:r>
      <w:r w:rsidRPr="007432F2">
        <w:t xml:space="preserve"> </w:t>
      </w:r>
    </w:p>
  </w:footnote>
  <w:footnote w:id="36">
    <w:p w:rsidR="00D05EB6" w:rsidP="005E17DC">
      <w:pPr>
        <w:pStyle w:val="FootnoteText"/>
        <w:spacing w:line="269" w:lineRule="auto"/>
      </w:pPr>
      <w:r>
        <w:rPr>
          <w:rStyle w:val="FootnoteReference"/>
        </w:rPr>
        <w:footnoteRef/>
      </w:r>
      <w:r>
        <w:rPr>
          <w:rtl/>
        </w:rPr>
        <w:t xml:space="preserve"> </w:t>
      </w:r>
      <w:r>
        <w:rPr>
          <w:rtl/>
        </w:rPr>
        <w:tab/>
        <w:t xml:space="preserve">הנחיית היועץ המשפטי לממשלה מס' 1.002 מיום 1 </w:t>
      </w:r>
      <w:r>
        <w:rPr>
          <w:rFonts w:hint="cs"/>
          <w:rtl/>
        </w:rPr>
        <w:t>ב</w:t>
      </w:r>
      <w:r>
        <w:rPr>
          <w:rtl/>
        </w:rPr>
        <w:t xml:space="preserve">אפריל 1986, עדכון 3 </w:t>
      </w:r>
      <w:r>
        <w:rPr>
          <w:rFonts w:hint="cs"/>
          <w:rtl/>
        </w:rPr>
        <w:t>ב</w:t>
      </w:r>
      <w:r>
        <w:rPr>
          <w:rtl/>
        </w:rPr>
        <w:t>יולי 2002</w:t>
      </w:r>
      <w:r>
        <w:rPr>
          <w:rFonts w:hint="cs"/>
          <w:rtl/>
        </w:rPr>
        <w:t>. ההנחיה אינה חלה על הרשויות המקומיות אך העקרונות שביסודה נכונים גם להן.</w:t>
      </w:r>
    </w:p>
  </w:footnote>
  <w:footnote w:id="37">
    <w:p w:rsidR="00D05EB6" w:rsidP="005E17DC">
      <w:pPr>
        <w:pStyle w:val="FootnoteText"/>
        <w:spacing w:line="269" w:lineRule="auto"/>
        <w:rPr>
          <w:rtl/>
        </w:rPr>
      </w:pPr>
      <w:r>
        <w:rPr>
          <w:rStyle w:val="FootnoteReference"/>
        </w:rPr>
        <w:footnoteRef/>
      </w:r>
      <w:r>
        <w:rPr>
          <w:rtl/>
        </w:rPr>
        <w:t xml:space="preserve"> </w:t>
      </w:r>
      <w:r>
        <w:rPr>
          <w:rtl/>
        </w:rPr>
        <w:tab/>
      </w:r>
      <w:r>
        <w:rPr>
          <w:rFonts w:hint="cs"/>
          <w:rtl/>
        </w:rPr>
        <w:t>הוראה 93.32 לתקנון שירות המדינה, הוראות תקנון שירות המדינה אינן חלות על הרשויות המקומיות אך המטרות של מערכת הערכה ומשוב המצוינים בהוראה זו נותנים ביטוי לחשיבותה של מערכת זו.</w:t>
      </w:r>
    </w:p>
  </w:footnote>
  <w:footnote w:id="38">
    <w:p w:rsidR="00D05EB6" w:rsidP="005E17DC">
      <w:pPr>
        <w:pStyle w:val="FootnoteText"/>
        <w:spacing w:line="269" w:lineRule="auto"/>
      </w:pPr>
      <w:r>
        <w:rPr>
          <w:rStyle w:val="FootnoteReference"/>
        </w:rPr>
        <w:footnoteRef/>
      </w:r>
      <w:r>
        <w:rPr>
          <w:rtl/>
        </w:rPr>
        <w:t xml:space="preserve"> </w:t>
      </w:r>
      <w:r>
        <w:rPr>
          <w:rtl/>
        </w:rPr>
        <w:tab/>
      </w:r>
      <w:r w:rsidRPr="003C2CBD">
        <w:rPr>
          <w:rtl/>
        </w:rPr>
        <w:t>סע"ש</w:t>
      </w:r>
      <w:r w:rsidRPr="003C2CBD">
        <w:rPr>
          <w:rtl/>
        </w:rPr>
        <w:t xml:space="preserve"> (ב"ש) 28160-03-16 </w:t>
      </w:r>
      <w:r w:rsidRPr="00EF1950">
        <w:rPr>
          <w:b/>
          <w:bCs/>
          <w:rtl/>
        </w:rPr>
        <w:t>בגולה נ' אוניברסיטת בן גוריון</w:t>
      </w:r>
      <w:r w:rsidRPr="003C2CBD">
        <w:rPr>
          <w:rtl/>
        </w:rPr>
        <w:t xml:space="preserve"> (פורסם במאגר ממוחשב, 5.10.16).</w:t>
      </w:r>
    </w:p>
  </w:footnote>
  <w:footnote w:id="39">
    <w:p w:rsidR="00D05EB6" w:rsidP="005E17DC">
      <w:pPr>
        <w:pStyle w:val="FootnoteText"/>
        <w:keepLines/>
        <w:spacing w:line="269" w:lineRule="auto"/>
      </w:pPr>
      <w:r>
        <w:rPr>
          <w:rStyle w:val="FootnoteReference"/>
          <w:rFonts w:ascii="FrankRuehl" w:hAnsi="FrankRuehl" w:cs="FrankRuehl"/>
        </w:rPr>
        <w:footnoteRef/>
      </w:r>
      <w:r>
        <w:rPr>
          <w:rFonts w:cs="FrankRuehl"/>
          <w:rtl/>
        </w:rPr>
        <w:t xml:space="preserve"> </w:t>
      </w:r>
      <w:r>
        <w:rPr>
          <w:rFonts w:cs="FrankRuehl"/>
          <w:rtl/>
        </w:rPr>
        <w:tab/>
      </w:r>
      <w:r w:rsidRPr="00F56E28">
        <w:rPr>
          <w:rtl/>
        </w:rPr>
        <w:t>על פי החלק החמישי לתקנון שירות המדינה (</w:t>
      </w:r>
      <w:r w:rsidRPr="00F56E28">
        <w:rPr>
          <w:rtl/>
        </w:rPr>
        <w:t>התקשי"ר</w:t>
      </w:r>
      <w:r w:rsidRPr="00F56E28">
        <w:rPr>
          <w:rtl/>
        </w:rPr>
        <w:t>), הדרכה היא "כל פעולת למידה בכל תחום ולכל עובד, הנעשית בכל מקום, בכל זמן ובכל צורה". סעיף 3.2 לתקן ישראלי ת"י 10015 העוסק ב"ניהול איכות - קווים מנחים להדרכה" מגדיר הדרכה כ"תהליך למתן ולפיתוח ידע, מיומנויות והתנהגויות לשם עמידה בדרישות".</w:t>
      </w:r>
      <w:r>
        <w:rPr>
          <w:rFonts w:cs="FrankRuehl"/>
          <w:rtl/>
        </w:rPr>
        <w:t xml:space="preserve"> </w:t>
      </w:r>
    </w:p>
  </w:footnote>
  <w:footnote w:id="40">
    <w:p w:rsidR="00D05EB6" w:rsidP="005E17DC">
      <w:pPr>
        <w:pStyle w:val="FootnoteText"/>
        <w:spacing w:line="269" w:lineRule="auto"/>
        <w:rPr>
          <w:rtl/>
        </w:rPr>
      </w:pPr>
      <w:r>
        <w:rPr>
          <w:rStyle w:val="FootnoteReference"/>
        </w:rPr>
        <w:footnoteRef/>
      </w:r>
      <w:r>
        <w:rPr>
          <w:rtl/>
        </w:rPr>
        <w:t xml:space="preserve"> </w:t>
      </w:r>
      <w:r>
        <w:rPr>
          <w:rtl/>
        </w:rPr>
        <w:tab/>
      </w:r>
      <w:r>
        <w:rPr>
          <w:rFonts w:hint="cs"/>
          <w:rtl/>
        </w:rPr>
        <w:t xml:space="preserve">מבקר המדינה, </w:t>
      </w:r>
      <w:r w:rsidRPr="00F56E28">
        <w:rPr>
          <w:rFonts w:hint="eastAsia"/>
          <w:b/>
          <w:bCs/>
          <w:rtl/>
        </w:rPr>
        <w:t>דוחות</w:t>
      </w:r>
      <w:r w:rsidRPr="00F56E28">
        <w:rPr>
          <w:b/>
          <w:bCs/>
          <w:rtl/>
        </w:rPr>
        <w:t xml:space="preserve"> </w:t>
      </w:r>
      <w:r w:rsidRPr="00F56E28">
        <w:rPr>
          <w:rFonts w:hint="eastAsia"/>
          <w:b/>
          <w:bCs/>
          <w:rtl/>
        </w:rPr>
        <w:t>על</w:t>
      </w:r>
      <w:r w:rsidRPr="00F56E28">
        <w:rPr>
          <w:b/>
          <w:bCs/>
          <w:rtl/>
        </w:rPr>
        <w:t xml:space="preserve"> </w:t>
      </w:r>
      <w:r w:rsidRPr="00F56E28">
        <w:rPr>
          <w:rFonts w:hint="eastAsia"/>
          <w:b/>
          <w:bCs/>
          <w:rtl/>
        </w:rPr>
        <w:t>הביקורת</w:t>
      </w:r>
      <w:r w:rsidRPr="00F56E28">
        <w:rPr>
          <w:b/>
          <w:bCs/>
          <w:rtl/>
        </w:rPr>
        <w:t xml:space="preserve"> </w:t>
      </w:r>
      <w:r w:rsidRPr="00F56E28">
        <w:rPr>
          <w:rFonts w:hint="eastAsia"/>
          <w:b/>
          <w:bCs/>
          <w:rtl/>
        </w:rPr>
        <w:t>בשלטון</w:t>
      </w:r>
      <w:r w:rsidRPr="00F56E28">
        <w:rPr>
          <w:b/>
          <w:bCs/>
          <w:rtl/>
        </w:rPr>
        <w:t xml:space="preserve"> </w:t>
      </w:r>
      <w:r w:rsidRPr="00F56E28">
        <w:rPr>
          <w:rFonts w:hint="eastAsia"/>
          <w:b/>
          <w:bCs/>
          <w:rtl/>
        </w:rPr>
        <w:t>המקומי</w:t>
      </w:r>
      <w:r>
        <w:rPr>
          <w:rFonts w:hint="cs"/>
          <w:b/>
          <w:bCs/>
          <w:rtl/>
        </w:rPr>
        <w:t xml:space="preserve"> 2010, </w:t>
      </w:r>
      <w:r w:rsidRPr="00F56E28">
        <w:rPr>
          <w:rFonts w:hint="eastAsia"/>
          <w:rtl/>
        </w:rPr>
        <w:t>בפרק</w:t>
      </w:r>
      <w:r w:rsidRPr="00F56E28">
        <w:rPr>
          <w:rtl/>
        </w:rPr>
        <w:t xml:space="preserve"> </w:t>
      </w:r>
      <w:r>
        <w:rPr>
          <w:rFonts w:hint="cs"/>
          <w:b/>
          <w:bCs/>
          <w:rtl/>
        </w:rPr>
        <w:t>"</w:t>
      </w:r>
      <w:r>
        <w:rPr>
          <w:rFonts w:hint="cs"/>
          <w:rtl/>
        </w:rPr>
        <w:t>הדרכות עובדי הרשויות המקומיות", עמ' 227.</w:t>
      </w:r>
    </w:p>
  </w:footnote>
  <w:footnote w:id="41">
    <w:p w:rsidR="00D05EB6" w:rsidP="005E17DC">
      <w:pPr>
        <w:pStyle w:val="FootnoteText"/>
        <w:spacing w:line="269" w:lineRule="auto"/>
        <w:rPr>
          <w:rtl/>
        </w:rPr>
      </w:pPr>
      <w:r>
        <w:rPr>
          <w:rStyle w:val="FootnoteReference"/>
        </w:rPr>
        <w:footnoteRef/>
      </w:r>
      <w:r>
        <w:rPr>
          <w:rtl/>
        </w:rPr>
        <w:t xml:space="preserve"> </w:t>
      </w:r>
      <w:r>
        <w:rPr>
          <w:rtl/>
        </w:rPr>
        <w:tab/>
      </w:r>
      <w:r>
        <w:rPr>
          <w:rFonts w:hint="cs"/>
          <w:rtl/>
        </w:rPr>
        <w:t>ועדת שירות מוגדרת בפקודת העיריות כ</w:t>
      </w:r>
      <w:r w:rsidRPr="00EF6ACF">
        <w:rPr>
          <w:rFonts w:hint="cs"/>
          <w:rtl/>
        </w:rPr>
        <w:t>וועד</w:t>
      </w:r>
      <w:r w:rsidRPr="00EF6ACF">
        <w:rPr>
          <w:rFonts w:hint="eastAsia"/>
          <w:rtl/>
        </w:rPr>
        <w:t>ה</w:t>
      </w:r>
      <w:r w:rsidRPr="00EF6ACF">
        <w:rPr>
          <w:rtl/>
        </w:rPr>
        <w:t xml:space="preserve"> של תשעה חברים, שבין חבריה גם נציגי עיריות</w:t>
      </w:r>
      <w:r>
        <w:rPr>
          <w:rFonts w:hint="cs"/>
          <w:rtl/>
        </w:rPr>
        <w:t xml:space="preserve"> שמינה שר הפנים.</w:t>
      </w:r>
    </w:p>
  </w:footnote>
  <w:footnote w:id="42">
    <w:p w:rsidR="00D05EB6" w:rsidP="005E17DC">
      <w:pPr>
        <w:pStyle w:val="FootnoteText"/>
        <w:spacing w:line="269" w:lineRule="auto"/>
      </w:pPr>
      <w:r>
        <w:rPr>
          <w:rStyle w:val="FootnoteReference"/>
        </w:rPr>
        <w:footnoteRef/>
      </w:r>
      <w:r>
        <w:rPr>
          <w:rtl/>
        </w:rPr>
        <w:t xml:space="preserve"> </w:t>
      </w:r>
      <w:r>
        <w:rPr>
          <w:rtl/>
        </w:rPr>
        <w:tab/>
      </w:r>
      <w:r>
        <w:rPr>
          <w:rFonts w:hint="cs"/>
          <w:rtl/>
        </w:rPr>
        <w:t>דברי ההסבר להצעת חוק לתיקון פקודת העיריות (תיקון מס' 76) (סייגים להעסקה בשל קרבה משפחתית), התשס"א-2001, הצעות חוק 3010, 6.6.2001 עמ' 669.</w:t>
      </w:r>
    </w:p>
  </w:footnote>
  <w:footnote w:id="43">
    <w:p w:rsidR="00D05EB6" w:rsidP="005E17DC">
      <w:pPr>
        <w:pStyle w:val="FootnoteText"/>
        <w:spacing w:line="269" w:lineRule="auto"/>
        <w:rPr>
          <w:rtl/>
        </w:rPr>
      </w:pPr>
      <w:r>
        <w:rPr>
          <w:rStyle w:val="FootnoteReference"/>
        </w:rPr>
        <w:footnoteRef/>
      </w:r>
      <w:r>
        <w:rPr>
          <w:rtl/>
        </w:rPr>
        <w:t xml:space="preserve"> </w:t>
      </w:r>
      <w:r>
        <w:rPr>
          <w:rtl/>
        </w:rPr>
        <w:tab/>
      </w:r>
      <w:r w:rsidRPr="005B3930">
        <w:rPr>
          <w:rtl/>
        </w:rPr>
        <w:t xml:space="preserve">מבקר המדינה, </w:t>
      </w:r>
      <w:r w:rsidRPr="000721D0">
        <w:rPr>
          <w:b/>
          <w:bCs/>
          <w:rtl/>
        </w:rPr>
        <w:t>דוח שנתי 58א</w:t>
      </w:r>
      <w:r w:rsidRPr="005B3930">
        <w:rPr>
          <w:rtl/>
        </w:rPr>
        <w:t xml:space="preserve"> (2007), בפרק "העסקת עובדים בשמונה תאגידים ציבוריים", עמ'</w:t>
      </w:r>
      <w:r>
        <w:rPr>
          <w:rtl/>
        </w:rPr>
        <w:t xml:space="preserve"> 9</w:t>
      </w:r>
      <w:r>
        <w:rPr>
          <w:rFonts w:hint="cs"/>
          <w:rtl/>
        </w:rPr>
        <w:t xml:space="preserve"> ועמ' 105. ראו גם מבקר המדינה, </w:t>
      </w:r>
      <w:r w:rsidRPr="003843F3">
        <w:rPr>
          <w:rFonts w:hint="eastAsia"/>
          <w:b/>
          <w:bCs/>
          <w:rtl/>
        </w:rPr>
        <w:t>דוחות</w:t>
      </w:r>
      <w:r w:rsidRPr="003843F3">
        <w:rPr>
          <w:b/>
          <w:bCs/>
          <w:rtl/>
        </w:rPr>
        <w:t xml:space="preserve"> </w:t>
      </w:r>
      <w:r w:rsidRPr="003843F3">
        <w:rPr>
          <w:rFonts w:hint="eastAsia"/>
          <w:b/>
          <w:bCs/>
          <w:rtl/>
        </w:rPr>
        <w:t>על</w:t>
      </w:r>
      <w:r w:rsidRPr="003843F3">
        <w:rPr>
          <w:b/>
          <w:bCs/>
          <w:rtl/>
        </w:rPr>
        <w:t xml:space="preserve"> </w:t>
      </w:r>
      <w:r w:rsidRPr="003843F3">
        <w:rPr>
          <w:rFonts w:hint="eastAsia"/>
          <w:b/>
          <w:bCs/>
          <w:rtl/>
        </w:rPr>
        <w:t>הביקורת</w:t>
      </w:r>
      <w:r w:rsidRPr="003843F3">
        <w:rPr>
          <w:b/>
          <w:bCs/>
          <w:rtl/>
        </w:rPr>
        <w:t xml:space="preserve"> </w:t>
      </w:r>
      <w:r w:rsidRPr="003843F3">
        <w:rPr>
          <w:rFonts w:hint="eastAsia"/>
          <w:b/>
          <w:bCs/>
          <w:rtl/>
        </w:rPr>
        <w:t>בשלטון</w:t>
      </w:r>
      <w:r w:rsidRPr="003843F3">
        <w:rPr>
          <w:b/>
          <w:bCs/>
          <w:rtl/>
        </w:rPr>
        <w:t xml:space="preserve"> </w:t>
      </w:r>
      <w:r w:rsidRPr="003843F3">
        <w:rPr>
          <w:rFonts w:hint="eastAsia"/>
          <w:b/>
          <w:bCs/>
          <w:rtl/>
        </w:rPr>
        <w:t>המקומי</w:t>
      </w:r>
      <w:r w:rsidRPr="003843F3">
        <w:rPr>
          <w:b/>
          <w:bCs/>
          <w:rtl/>
        </w:rPr>
        <w:t xml:space="preserve"> 2017</w:t>
      </w:r>
      <w:r>
        <w:rPr>
          <w:rFonts w:hint="cs"/>
          <w:rtl/>
        </w:rPr>
        <w:t xml:space="preserve">, בפרק "עיריית בית שמש - ניהול ההון האנושי" עמ' 395 - 400 וגם מבקר המדינה, </w:t>
      </w:r>
      <w:r w:rsidRPr="003843F3">
        <w:rPr>
          <w:rFonts w:hint="eastAsia"/>
          <w:b/>
          <w:bCs/>
          <w:rtl/>
        </w:rPr>
        <w:t>דוחות</w:t>
      </w:r>
      <w:r w:rsidRPr="003843F3">
        <w:rPr>
          <w:b/>
          <w:bCs/>
          <w:rtl/>
        </w:rPr>
        <w:t xml:space="preserve"> </w:t>
      </w:r>
      <w:r w:rsidRPr="003843F3">
        <w:rPr>
          <w:rFonts w:hint="eastAsia"/>
          <w:b/>
          <w:bCs/>
          <w:rtl/>
        </w:rPr>
        <w:t>על</w:t>
      </w:r>
      <w:r w:rsidRPr="003843F3">
        <w:rPr>
          <w:b/>
          <w:bCs/>
          <w:rtl/>
        </w:rPr>
        <w:t xml:space="preserve"> </w:t>
      </w:r>
      <w:r w:rsidRPr="003843F3">
        <w:rPr>
          <w:rFonts w:hint="eastAsia"/>
          <w:b/>
          <w:bCs/>
          <w:rtl/>
        </w:rPr>
        <w:t>הביקורת</w:t>
      </w:r>
      <w:r w:rsidRPr="003843F3">
        <w:rPr>
          <w:b/>
          <w:bCs/>
          <w:rtl/>
        </w:rPr>
        <w:t xml:space="preserve"> </w:t>
      </w:r>
      <w:r w:rsidRPr="003843F3">
        <w:rPr>
          <w:rFonts w:hint="eastAsia"/>
          <w:b/>
          <w:bCs/>
          <w:rtl/>
        </w:rPr>
        <w:t>בשלטון</w:t>
      </w:r>
      <w:r w:rsidRPr="003843F3">
        <w:rPr>
          <w:b/>
          <w:bCs/>
          <w:rtl/>
        </w:rPr>
        <w:t xml:space="preserve"> </w:t>
      </w:r>
      <w:r w:rsidRPr="003843F3">
        <w:rPr>
          <w:rFonts w:hint="eastAsia"/>
          <w:b/>
          <w:bCs/>
          <w:rtl/>
        </w:rPr>
        <w:t>המקומי</w:t>
      </w:r>
      <w:r w:rsidRPr="003843F3">
        <w:rPr>
          <w:b/>
          <w:bCs/>
          <w:rtl/>
        </w:rPr>
        <w:t xml:space="preserve"> 2017</w:t>
      </w:r>
      <w:r>
        <w:rPr>
          <w:rFonts w:hint="cs"/>
          <w:rtl/>
        </w:rPr>
        <w:t>, בפרק "היבטים בהתנהלות המועצה המקומית באר יעקב", עמ' 1110 - 1115.</w:t>
      </w:r>
    </w:p>
  </w:footnote>
  <w:footnote w:id="44">
    <w:p w:rsidR="00D05EB6" w:rsidP="005E17DC">
      <w:pPr>
        <w:pStyle w:val="FootnoteText"/>
        <w:spacing w:line="269" w:lineRule="auto"/>
        <w:rPr>
          <w:rtl/>
        </w:rPr>
      </w:pPr>
      <w:r>
        <w:rPr>
          <w:rStyle w:val="FootnoteReference"/>
        </w:rPr>
        <w:footnoteRef/>
      </w:r>
      <w:r>
        <w:rPr>
          <w:rtl/>
        </w:rPr>
        <w:t xml:space="preserve"> </w:t>
      </w:r>
      <w:r>
        <w:rPr>
          <w:rtl/>
        </w:rPr>
        <w:tab/>
      </w:r>
      <w:r>
        <w:rPr>
          <w:rFonts w:hint="cs"/>
          <w:rtl/>
        </w:rPr>
        <w:t xml:space="preserve">במצבת העובדים שנבדקה לא נכללו עובדים בתפקידי סייע/ת או </w:t>
      </w:r>
      <w:r>
        <w:rPr>
          <w:rFonts w:hint="cs"/>
          <w:rtl/>
        </w:rPr>
        <w:t>חונכ</w:t>
      </w:r>
      <w:r>
        <w:rPr>
          <w:rFonts w:hint="cs"/>
          <w:rtl/>
        </w:rPr>
        <w:t>/ת צמוד לילד, שכאמור הוחרגו מהסייגים שנקבעו להעסקה, ולא מדריכי קייטנות לתקופת החופש הגדול. בסך הכול נגרעו מהבדיקה 333 עובדים מכלל 1,460.</w:t>
      </w:r>
    </w:p>
  </w:footnote>
  <w:footnote w:id="45">
    <w:p w:rsidR="00D05EB6" w:rsidP="005E17DC">
      <w:pPr>
        <w:pStyle w:val="FootnoteText"/>
        <w:spacing w:line="269" w:lineRule="auto"/>
      </w:pPr>
      <w:r>
        <w:rPr>
          <w:rStyle w:val="FootnoteReference"/>
        </w:rPr>
        <w:footnoteRef/>
      </w:r>
      <w:r>
        <w:rPr>
          <w:rtl/>
        </w:rPr>
        <w:t xml:space="preserve"> </w:t>
      </w:r>
      <w:r>
        <w:rPr>
          <w:rtl/>
        </w:rPr>
        <w:tab/>
      </w:r>
      <w:r>
        <w:rPr>
          <w:rFonts w:hint="cs"/>
          <w:rtl/>
        </w:rPr>
        <w:t>אילו היה לכל עובד קרוב אחד, מספר הזיקות היה שווה למחצית מספר העובדים שיש להם קרובי משפחה (ובמקרה של רמלה 168 זיקות). הואיל ולחלק מהעובדים בעיריית רמלה יש יותר מקרוב משפחה אחד, הרי מספר הזיקות גבוה יותר מ-168.</w:t>
      </w:r>
    </w:p>
  </w:footnote>
  <w:footnote w:id="46">
    <w:p w:rsidR="00D05EB6" w:rsidP="005E17DC">
      <w:pPr>
        <w:pStyle w:val="FootnoteText"/>
        <w:spacing w:line="269" w:lineRule="auto"/>
        <w:rPr>
          <w:rtl/>
        </w:rPr>
      </w:pPr>
      <w:r>
        <w:rPr>
          <w:rStyle w:val="FootnoteReference"/>
        </w:rPr>
        <w:footnoteRef/>
      </w:r>
      <w:r>
        <w:rPr>
          <w:rtl/>
        </w:rPr>
        <w:t xml:space="preserve"> </w:t>
      </w:r>
      <w:r>
        <w:rPr>
          <w:rtl/>
        </w:rPr>
        <w:tab/>
      </w:r>
      <w:r w:rsidRPr="009F179D">
        <w:rPr>
          <w:rtl/>
        </w:rPr>
        <w:t>ילקוט הפרסומים מס' 7732</w:t>
      </w:r>
      <w:r>
        <w:rPr>
          <w:rFonts w:hint="cs"/>
          <w:rtl/>
        </w:rPr>
        <w:t xml:space="preserve">. הודעה זו ביטלה היתר כללי קודם להעסקת עובדים בשעות נוספות. </w:t>
      </w:r>
    </w:p>
  </w:footnote>
  <w:footnote w:id="47">
    <w:p w:rsidR="00D05EB6" w:rsidP="005E17DC">
      <w:pPr>
        <w:pStyle w:val="FootnoteText"/>
        <w:spacing w:line="269" w:lineRule="auto"/>
      </w:pPr>
      <w:r>
        <w:rPr>
          <w:rStyle w:val="FootnoteReference"/>
        </w:rPr>
        <w:footnoteRef/>
      </w:r>
      <w:r>
        <w:rPr>
          <w:rtl/>
        </w:rPr>
        <w:t xml:space="preserve"> </w:t>
      </w:r>
      <w:r>
        <w:rPr>
          <w:rtl/>
        </w:rPr>
        <w:tab/>
      </w:r>
      <w:r>
        <w:rPr>
          <w:rFonts w:hint="cs"/>
          <w:rtl/>
        </w:rPr>
        <w:t xml:space="preserve">הוצאות שכר אשר אינן כוללות תשלום על שעות נוספות, פיצויי פיטורין, החזקת רכב, אש"ל, תשלומי </w:t>
      </w:r>
      <w:r>
        <w:rPr>
          <w:rFonts w:hint="cs"/>
          <w:rtl/>
        </w:rPr>
        <w:t>פנסייה</w:t>
      </w:r>
      <w:r>
        <w:rPr>
          <w:rFonts w:hint="cs"/>
          <w:rtl/>
        </w:rPr>
        <w:t xml:space="preserve">, מס שכר, מס מעסיקים, תשלומי מעביד לביטוח לאומי ולקופות גמל ותשלומים שונים כגון הבראה וביגוד. </w:t>
      </w:r>
    </w:p>
  </w:footnote>
  <w:footnote w:id="48">
    <w:p w:rsidR="00D05EB6" w:rsidP="005E17DC">
      <w:pPr>
        <w:pStyle w:val="FootnoteText"/>
        <w:spacing w:line="269" w:lineRule="auto"/>
      </w:pPr>
      <w:r>
        <w:rPr>
          <w:rStyle w:val="FootnoteReference"/>
        </w:rPr>
        <w:footnoteRef/>
      </w:r>
      <w:r>
        <w:rPr>
          <w:rtl/>
        </w:rPr>
        <w:t xml:space="preserve"> </w:t>
      </w:r>
      <w:r>
        <w:rPr>
          <w:rtl/>
        </w:rPr>
        <w:tab/>
      </w:r>
      <w:r>
        <w:rPr>
          <w:rFonts w:hint="cs"/>
          <w:rtl/>
        </w:rPr>
        <w:t>הנתונים אינם סופיים מאחר שטרם עברו ביקורת של רואה חשבון.</w:t>
      </w:r>
    </w:p>
  </w:footnote>
  <w:footnote w:id="49">
    <w:p w:rsidR="00D05EB6" w:rsidP="005E17DC">
      <w:pPr>
        <w:pStyle w:val="FootnoteText"/>
        <w:spacing w:line="269" w:lineRule="auto"/>
        <w:rPr>
          <w:rtl/>
        </w:rPr>
      </w:pPr>
      <w:r>
        <w:rPr>
          <w:rStyle w:val="FootnoteReference"/>
        </w:rPr>
        <w:footnoteRef/>
      </w:r>
      <w:r>
        <w:rPr>
          <w:rtl/>
        </w:rPr>
        <w:t xml:space="preserve"> </w:t>
      </w:r>
      <w:r>
        <w:rPr>
          <w:rtl/>
        </w:rPr>
        <w:tab/>
      </w:r>
      <w:r>
        <w:rPr>
          <w:rFonts w:hint="cs"/>
          <w:rtl/>
        </w:rPr>
        <w:t>לפי תקנה 2(ב)(9), יש פטור לקיום מכרז במ</w:t>
      </w:r>
      <w:r w:rsidRPr="00234D87">
        <w:rPr>
          <w:rtl/>
        </w:rPr>
        <w:t xml:space="preserve">שרה שדרגתה המרבית אינה עולה על דרגה 7 של הדירוג </w:t>
      </w:r>
      <w:r w:rsidRPr="00234D87">
        <w:rPr>
          <w:rtl/>
        </w:rPr>
        <w:t>המינהלי</w:t>
      </w:r>
      <w:r w:rsidRPr="00234D87">
        <w:rPr>
          <w:rtl/>
        </w:rPr>
        <w:t xml:space="preserve"> או שדרגתה המרבית אינה עולה על דרגה 37 של דירוג</w:t>
      </w:r>
      <w:r>
        <w:rPr>
          <w:rFonts w:hint="cs"/>
          <w:rtl/>
        </w:rPr>
        <w:t xml:space="preserve"> </w:t>
      </w:r>
      <w:r w:rsidRPr="00234D87">
        <w:rPr>
          <w:rtl/>
        </w:rPr>
        <w:t>מדעי החברה והרוח או דירוג ההנדסאים והטכנאים.</w:t>
      </w:r>
    </w:p>
  </w:footnote>
  <w:footnote w:id="50">
    <w:p w:rsidR="00D05EB6" w:rsidP="005E17DC">
      <w:pPr>
        <w:pStyle w:val="FootnoteText"/>
        <w:spacing w:line="269" w:lineRule="auto"/>
        <w:rPr>
          <w:rtl/>
        </w:rPr>
      </w:pPr>
      <w:r>
        <w:rPr>
          <w:rStyle w:val="FootnoteReference"/>
        </w:rPr>
        <w:footnoteRef/>
      </w:r>
      <w:r>
        <w:rPr>
          <w:rtl/>
        </w:rPr>
        <w:t xml:space="preserve"> </w:t>
      </w:r>
      <w:r>
        <w:rPr>
          <w:rtl/>
        </w:rPr>
        <w:tab/>
      </w:r>
      <w:r>
        <w:rPr>
          <w:rFonts w:hint="cs"/>
          <w:rtl/>
        </w:rPr>
        <w:t>קנס בסך 75,300 ש"ח על פי צו העונשין (שינוי שיעורי קנסות), התש"ע-2010.</w:t>
      </w:r>
    </w:p>
  </w:footnote>
  <w:footnote w:id="51">
    <w:p w:rsidR="00D05EB6" w:rsidP="005E17DC">
      <w:pPr>
        <w:pStyle w:val="FootnoteText"/>
        <w:spacing w:line="269" w:lineRule="auto"/>
      </w:pPr>
      <w:r>
        <w:rPr>
          <w:rStyle w:val="FootnoteReference"/>
        </w:rPr>
        <w:footnoteRef/>
      </w:r>
      <w:r>
        <w:rPr>
          <w:rtl/>
        </w:rPr>
        <w:t xml:space="preserve"> </w:t>
      </w:r>
      <w:r>
        <w:rPr>
          <w:rtl/>
        </w:rPr>
        <w:tab/>
      </w:r>
      <w:r>
        <w:rPr>
          <w:rFonts w:hint="cs"/>
          <w:rtl/>
        </w:rPr>
        <w:t>סעיף זה שונה בנובמבר 2016; עד אז הייתה קביעת ההוראות נתונה בידי שר האוצר.</w:t>
      </w:r>
    </w:p>
  </w:footnote>
  <w:footnote w:id="52">
    <w:p w:rsidR="00D05EB6" w:rsidP="005E17DC">
      <w:pPr>
        <w:pStyle w:val="FootnoteText"/>
        <w:spacing w:line="269" w:lineRule="auto"/>
        <w:rPr>
          <w:rtl/>
        </w:rPr>
      </w:pPr>
      <w:r>
        <w:rPr>
          <w:rStyle w:val="FootnoteReference"/>
        </w:rPr>
        <w:footnoteRef/>
      </w:r>
      <w:r>
        <w:rPr>
          <w:rtl/>
        </w:rPr>
        <w:t xml:space="preserve"> </w:t>
      </w:r>
      <w:r>
        <w:rPr>
          <w:rtl/>
        </w:rPr>
        <w:tab/>
      </w:r>
      <w:r>
        <w:rPr>
          <w:rFonts w:hint="cs"/>
          <w:rtl/>
        </w:rPr>
        <w:t>היזון חוזר ראשוני - משוב שהמעסיק מקבל תוך שלוש שעות מרגע ההפקדה וניתן בו איתות כי דיווחו אמנם הגיע לחברה המנהלת.</w:t>
      </w:r>
    </w:p>
  </w:footnote>
  <w:footnote w:id="53">
    <w:p w:rsidR="00D05EB6" w:rsidP="005E17DC">
      <w:pPr>
        <w:pStyle w:val="FootnoteText"/>
        <w:spacing w:line="269" w:lineRule="auto"/>
        <w:rPr>
          <w:rtl/>
        </w:rPr>
      </w:pPr>
      <w:r>
        <w:rPr>
          <w:rStyle w:val="FootnoteReference"/>
        </w:rPr>
        <w:footnoteRef/>
      </w:r>
      <w:r>
        <w:rPr>
          <w:rtl/>
        </w:rPr>
        <w:t xml:space="preserve"> </w:t>
      </w:r>
      <w:r>
        <w:rPr>
          <w:rtl/>
        </w:rPr>
        <w:tab/>
      </w:r>
      <w:r>
        <w:rPr>
          <w:rFonts w:hint="cs"/>
          <w:rtl/>
        </w:rPr>
        <w:t xml:space="preserve">היזון חוזר מסכם תקופתי - משוב שהמעסיק מקבל תוך חמישה ימי עסקים מיום ההפקדה ובו מידע על שיוך הכספים לקופות הגמל של עובדיו. </w:t>
      </w:r>
    </w:p>
  </w:footnote>
  <w:footnote w:id="54">
    <w:p w:rsidR="00D05EB6" w:rsidP="005E17DC">
      <w:pPr>
        <w:pStyle w:val="FootnoteText"/>
        <w:spacing w:line="269" w:lineRule="auto"/>
        <w:rPr>
          <w:rtl/>
        </w:rPr>
      </w:pPr>
      <w:r>
        <w:rPr>
          <w:rStyle w:val="FootnoteReference"/>
        </w:rPr>
        <w:footnoteRef/>
      </w:r>
      <w:r>
        <w:rPr>
          <w:rtl/>
        </w:rPr>
        <w:t xml:space="preserve"> </w:t>
      </w:r>
      <w:r>
        <w:rPr>
          <w:rtl/>
        </w:rPr>
        <w:tab/>
      </w:r>
      <w:r>
        <w:rPr>
          <w:rFonts w:hint="cs"/>
          <w:rtl/>
        </w:rPr>
        <w:t>היזון חוזר מסכם חודשי - משוב שהמעסיק מקבל אחת לחודש ובו מידע על שיוך הכספים לקופות הגמל של עובדיו ומידע על הכספים לקופות אשר טרם שויכו בהיזון חוזר מסכם תקופתי.</w:t>
      </w:r>
      <w:r>
        <w:rPr>
          <w:rtl/>
        </w:rPr>
        <w:t xml:space="preserve"> </w:t>
      </w:r>
    </w:p>
  </w:footnote>
  <w:footnote w:id="55">
    <w:p w:rsidR="00D05EB6" w:rsidP="005E17DC">
      <w:pPr>
        <w:pStyle w:val="FootnoteText"/>
        <w:spacing w:line="269" w:lineRule="auto"/>
      </w:pPr>
      <w:r>
        <w:rPr>
          <w:rStyle w:val="FootnoteReference"/>
        </w:rPr>
        <w:footnoteRef/>
      </w:r>
      <w:r>
        <w:rPr>
          <w:rtl/>
        </w:rPr>
        <w:t xml:space="preserve"> </w:t>
      </w:r>
      <w:r>
        <w:rPr>
          <w:rtl/>
        </w:rPr>
        <w:tab/>
      </w:r>
      <w:r>
        <w:rPr>
          <w:rFonts w:hint="cs"/>
          <w:rtl/>
        </w:rPr>
        <w:t xml:space="preserve">היזון חוזר מסכם שנתי - משוב שהמעסיק מקבל אחת לשנה ובו פירוט שנתי של כל ההפקדות שבוצעו עבור עובדיו. </w:t>
      </w:r>
    </w:p>
  </w:footnote>
  <w:footnote w:id="56">
    <w:p w:rsidR="00D05EB6" w:rsidP="005E17DC">
      <w:pPr>
        <w:pStyle w:val="FootnoteText"/>
        <w:spacing w:line="269" w:lineRule="auto"/>
      </w:pPr>
      <w:r>
        <w:rPr>
          <w:rStyle w:val="FootnoteReference"/>
        </w:rPr>
        <w:footnoteRef/>
      </w:r>
      <w:r>
        <w:rPr>
          <w:rtl/>
        </w:rPr>
        <w:t xml:space="preserve"> </w:t>
      </w:r>
      <w:r>
        <w:rPr>
          <w:rtl/>
        </w:rPr>
        <w:tab/>
      </w:r>
      <w:r>
        <w:rPr>
          <w:rFonts w:hint="cs"/>
          <w:rtl/>
        </w:rPr>
        <w:t>שש חברות העבירו דיווח אחד בגין כל חודש וחברה אחת העבירה שלושה דיווחים בגין כל חודש.</w:t>
      </w:r>
    </w:p>
  </w:footnote>
  <w:footnote w:id="57">
    <w:p w:rsidR="00D05EB6" w:rsidP="005E17DC">
      <w:pPr>
        <w:pStyle w:val="FootnoteText"/>
        <w:spacing w:line="269" w:lineRule="auto"/>
      </w:pPr>
      <w:r>
        <w:rPr>
          <w:rStyle w:val="FootnoteReference"/>
        </w:rPr>
        <w:footnoteRef/>
      </w:r>
      <w:r>
        <w:rPr>
          <w:rtl/>
        </w:rPr>
        <w:t xml:space="preserve"> </w:t>
      </w:r>
      <w:r>
        <w:rPr>
          <w:rtl/>
        </w:rPr>
        <w:tab/>
      </w:r>
      <w:r>
        <w:rPr>
          <w:rFonts w:hint="cs"/>
          <w:rtl/>
        </w:rPr>
        <w:t xml:space="preserve">מבקר המדינה, </w:t>
      </w:r>
      <w:r w:rsidRPr="00126E8E">
        <w:rPr>
          <w:rFonts w:hint="eastAsia"/>
          <w:b/>
          <w:bCs/>
          <w:rtl/>
        </w:rPr>
        <w:t>פיתוח</w:t>
      </w:r>
      <w:r w:rsidRPr="00126E8E">
        <w:rPr>
          <w:b/>
          <w:bCs/>
          <w:rtl/>
        </w:rPr>
        <w:t xml:space="preserve"> </w:t>
      </w:r>
      <w:r w:rsidRPr="00126E8E">
        <w:rPr>
          <w:rFonts w:hint="eastAsia"/>
          <w:b/>
          <w:bCs/>
          <w:rtl/>
        </w:rPr>
        <w:t>וחיזוק</w:t>
      </w:r>
      <w:r w:rsidRPr="00126E8E">
        <w:rPr>
          <w:b/>
          <w:bCs/>
          <w:rtl/>
        </w:rPr>
        <w:t xml:space="preserve"> </w:t>
      </w:r>
      <w:r w:rsidRPr="00126E8E">
        <w:rPr>
          <w:rFonts w:hint="eastAsia"/>
          <w:b/>
          <w:bCs/>
          <w:rtl/>
        </w:rPr>
        <w:t>מעמדה</w:t>
      </w:r>
      <w:r w:rsidRPr="00126E8E">
        <w:rPr>
          <w:b/>
          <w:bCs/>
          <w:rtl/>
        </w:rPr>
        <w:t xml:space="preserve"> </w:t>
      </w:r>
      <w:r w:rsidRPr="00126E8E">
        <w:rPr>
          <w:rFonts w:hint="eastAsia"/>
          <w:b/>
          <w:bCs/>
          <w:rtl/>
        </w:rPr>
        <w:t>של</w:t>
      </w:r>
      <w:r w:rsidRPr="00126E8E">
        <w:rPr>
          <w:b/>
          <w:bCs/>
          <w:rtl/>
        </w:rPr>
        <w:t xml:space="preserve"> </w:t>
      </w:r>
      <w:r w:rsidRPr="00126E8E">
        <w:rPr>
          <w:rFonts w:hint="eastAsia"/>
          <w:b/>
          <w:bCs/>
          <w:rtl/>
        </w:rPr>
        <w:t>ירושלים</w:t>
      </w:r>
      <w:r w:rsidRPr="00126E8E">
        <w:rPr>
          <w:b/>
          <w:bCs/>
          <w:rtl/>
        </w:rPr>
        <w:t xml:space="preserve"> - </w:t>
      </w:r>
      <w:r w:rsidRPr="00126E8E">
        <w:rPr>
          <w:rFonts w:hint="eastAsia"/>
          <w:b/>
          <w:bCs/>
          <w:rtl/>
        </w:rPr>
        <w:t>חלק</w:t>
      </w:r>
      <w:r w:rsidRPr="00126E8E">
        <w:rPr>
          <w:b/>
          <w:bCs/>
          <w:rtl/>
        </w:rPr>
        <w:t xml:space="preserve"> </w:t>
      </w:r>
      <w:r w:rsidRPr="00126E8E">
        <w:rPr>
          <w:rFonts w:hint="eastAsia"/>
          <w:b/>
          <w:bCs/>
          <w:rtl/>
        </w:rPr>
        <w:t>שני</w:t>
      </w:r>
      <w:r>
        <w:rPr>
          <w:rFonts w:hint="cs"/>
          <w:rtl/>
        </w:rPr>
        <w:t>, בפרק "החוסן הכספי של עיריית ירושלים וניהולה הפיננסי", עמ' 67 - 69.</w:t>
      </w:r>
    </w:p>
  </w:footnote>
  <w:footnote w:id="58">
    <w:p w:rsidR="00D05EB6" w:rsidP="005E17DC">
      <w:pPr>
        <w:pStyle w:val="FootnoteText"/>
        <w:spacing w:line="269" w:lineRule="auto"/>
        <w:rPr>
          <w:rtl/>
        </w:rPr>
      </w:pPr>
      <w:r>
        <w:rPr>
          <w:rStyle w:val="FootnoteReference"/>
        </w:rPr>
        <w:footnoteRef/>
      </w:r>
      <w:r>
        <w:rPr>
          <w:rtl/>
        </w:rPr>
        <w:t xml:space="preserve"> </w:t>
      </w:r>
      <w:r>
        <w:rPr>
          <w:rtl/>
        </w:rPr>
        <w:tab/>
      </w:r>
      <w:r>
        <w:rPr>
          <w:rFonts w:hint="cs"/>
          <w:rtl/>
        </w:rPr>
        <w:t>סעיף 248ב לפקודת העיריות.</w:t>
      </w:r>
    </w:p>
  </w:footnote>
  <w:footnote w:id="59">
    <w:p w:rsidR="00D05EB6" w:rsidP="005E17DC">
      <w:pPr>
        <w:pStyle w:val="FootnoteText"/>
        <w:spacing w:line="269" w:lineRule="auto"/>
        <w:rPr>
          <w:rtl/>
        </w:rPr>
      </w:pPr>
      <w:r>
        <w:rPr>
          <w:rStyle w:val="FootnoteReference"/>
        </w:rPr>
        <w:footnoteRef/>
      </w:r>
      <w:r>
        <w:rPr>
          <w:rtl/>
        </w:rPr>
        <w:t xml:space="preserve"> </w:t>
      </w:r>
      <w:r>
        <w:rPr>
          <w:rtl/>
        </w:rPr>
        <w:tab/>
      </w:r>
      <w:r>
        <w:rPr>
          <w:rFonts w:hint="cs"/>
          <w:rtl/>
        </w:rPr>
        <w:t>סעיפים 209 ו-248ב(1) לפקודת העיריות.</w:t>
      </w:r>
    </w:p>
  </w:footnote>
  <w:footnote w:id="60">
    <w:p w:rsidR="00D05EB6" w:rsidP="005E17DC">
      <w:pPr>
        <w:pStyle w:val="FootnoteText"/>
        <w:spacing w:line="269" w:lineRule="auto"/>
      </w:pPr>
      <w:r>
        <w:rPr>
          <w:rStyle w:val="FootnoteReference"/>
        </w:rPr>
        <w:footnoteRef/>
      </w:r>
      <w:r>
        <w:rPr>
          <w:rtl/>
        </w:rPr>
        <w:t xml:space="preserve"> </w:t>
      </w:r>
      <w:r>
        <w:rPr>
          <w:rtl/>
        </w:rPr>
        <w:tab/>
      </w:r>
      <w:r w:rsidRPr="001563B1">
        <w:rPr>
          <w:rtl/>
        </w:rPr>
        <w:t xml:space="preserve">מבקר המדינה, </w:t>
      </w:r>
      <w:r w:rsidRPr="00B82954">
        <w:rPr>
          <w:b/>
          <w:bCs/>
          <w:rtl/>
        </w:rPr>
        <w:t>דוחות על הביקורת על השלטון המקומי לשנת 2015</w:t>
      </w:r>
      <w:r w:rsidRPr="001563B1">
        <w:rPr>
          <w:rtl/>
        </w:rPr>
        <w:t>, "ניהול ותפעול של אתרי אינטרנט בשלטון המקומי", עמ' 266-265.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rPr>
        <w:rtl/>
      </w:rPr>
      <w:id w:val="-979070201"/>
      <w:docPartObj>
        <w:docPartGallery w:val="Page Numbers (Top of Page)"/>
        <w:docPartUnique/>
      </w:docPartObj>
    </w:sdtPr>
    <w:sdtEndPr>
      <w:rPr>
        <w:cs/>
      </w:rPr>
    </w:sdtEndPr>
    <w:sdtContent>
      <w:p w:rsidR="00D05EB6" w:rsidP="00262AD9">
        <w:pPr>
          <w:pStyle w:val="Header"/>
          <w:jc w:val="center"/>
          <w:rPr>
            <w:rtl/>
            <w:cs/>
          </w:rPr>
        </w:pPr>
        <w:r>
          <w:t>-</w:t>
        </w:r>
        <w:r>
          <w:fldChar w:fldCharType="begin"/>
        </w:r>
        <w:r>
          <w:rPr>
            <w:rtl/>
            <w:cs/>
          </w:rPr>
          <w:instrText>PAGE   \* MERGEFORMAT</w:instrText>
        </w:r>
        <w:r>
          <w:fldChar w:fldCharType="separate"/>
        </w:r>
        <w:r w:rsidRPr="00D67219" w:rsidR="00D67219">
          <w:rPr>
            <w:noProof/>
            <w:rtl/>
            <w:lang w:val="he-IL"/>
          </w:rPr>
          <w:t>26</w:t>
        </w:r>
        <w:r>
          <w:fldChar w:fldCharType="end"/>
        </w:r>
        <w:r>
          <w:rPr>
            <w:rFonts w:hint="cs"/>
            <w:rtl/>
          </w:rPr>
          <w:t>-</w:t>
        </w:r>
      </w:p>
    </w:sdtContent>
  </w:sdt>
  <w:p w:rsidR="00D05EB6" w:rsidP="00262AD9">
    <w:pPr>
      <w:pStyle w:val="Header"/>
      <w:jc w:val="right"/>
    </w:pPr>
    <w:r>
      <w:rPr>
        <w:rFonts w:hint="cs"/>
        <w:rtl/>
      </w:rPr>
      <w:t>דוח רשויות 2020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05EB6" w:rsidP="006D3AD2">
    <w:pPr>
      <w:pStyle w:val="Header"/>
      <w:jc w:val="right"/>
    </w:pPr>
    <w:r>
      <w:rPr>
        <w:rFonts w:hint="cs"/>
        <w:rtl/>
      </w:rPr>
      <w:t>דוח רשויות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2344659"/>
    <w:multiLevelType w:val="hybridMultilevel"/>
    <w:tmpl w:val="8B0CC6A0"/>
    <w:lvl w:ilvl="0">
      <w:start w:val="0"/>
      <w:numFmt w:val="bullet"/>
      <w:lvlText w:val=""/>
      <w:lvlJc w:val="left"/>
      <w:pPr>
        <w:ind w:left="927" w:hanging="360"/>
      </w:pPr>
      <w:rPr>
        <w:rFonts w:ascii="Symbol" w:hAnsi="Symbol" w:eastAsiaTheme="minorHAnsi" w:cs="David" w:hint="default"/>
      </w:rPr>
    </w:lvl>
    <w:lvl w:ilvl="1" w:tentative="1">
      <w:start w:val="1"/>
      <w:numFmt w:val="bullet"/>
      <w:lvlText w:val="o"/>
      <w:lvlJc w:val="left"/>
      <w:pPr>
        <w:ind w:left="1647" w:hanging="360"/>
      </w:pPr>
      <w:rPr>
        <w:rFonts w:ascii="Courier New" w:hAnsi="Courier New" w:cs="Courier New" w:hint="default"/>
      </w:rPr>
    </w:lvl>
    <w:lvl w:ilvl="2" w:tentative="1">
      <w:start w:val="1"/>
      <w:numFmt w:val="bullet"/>
      <w:lvlText w:val=""/>
      <w:lvlJc w:val="left"/>
      <w:pPr>
        <w:ind w:left="2367" w:hanging="360"/>
      </w:pPr>
      <w:rPr>
        <w:rFonts w:ascii="Wingdings" w:hAnsi="Wingdings" w:hint="default"/>
      </w:rPr>
    </w:lvl>
    <w:lvl w:ilvl="3" w:tentative="1">
      <w:start w:val="1"/>
      <w:numFmt w:val="bullet"/>
      <w:lvlText w:val=""/>
      <w:lvlJc w:val="left"/>
      <w:pPr>
        <w:ind w:left="3087" w:hanging="360"/>
      </w:pPr>
      <w:rPr>
        <w:rFonts w:ascii="Symbol" w:hAnsi="Symbol" w:hint="default"/>
      </w:rPr>
    </w:lvl>
    <w:lvl w:ilvl="4" w:tentative="1">
      <w:start w:val="1"/>
      <w:numFmt w:val="bullet"/>
      <w:lvlText w:val="o"/>
      <w:lvlJc w:val="left"/>
      <w:pPr>
        <w:ind w:left="3807" w:hanging="360"/>
      </w:pPr>
      <w:rPr>
        <w:rFonts w:ascii="Courier New" w:hAnsi="Courier New" w:cs="Courier New" w:hint="default"/>
      </w:rPr>
    </w:lvl>
    <w:lvl w:ilvl="5" w:tentative="1">
      <w:start w:val="1"/>
      <w:numFmt w:val="bullet"/>
      <w:lvlText w:val=""/>
      <w:lvlJc w:val="left"/>
      <w:pPr>
        <w:ind w:left="4527" w:hanging="360"/>
      </w:pPr>
      <w:rPr>
        <w:rFonts w:ascii="Wingdings" w:hAnsi="Wingdings" w:hint="default"/>
      </w:rPr>
    </w:lvl>
    <w:lvl w:ilvl="6" w:tentative="1">
      <w:start w:val="1"/>
      <w:numFmt w:val="bullet"/>
      <w:lvlText w:val=""/>
      <w:lvlJc w:val="left"/>
      <w:pPr>
        <w:ind w:left="5247" w:hanging="360"/>
      </w:pPr>
      <w:rPr>
        <w:rFonts w:ascii="Symbol" w:hAnsi="Symbol" w:hint="default"/>
      </w:rPr>
    </w:lvl>
    <w:lvl w:ilvl="7" w:tentative="1">
      <w:start w:val="1"/>
      <w:numFmt w:val="bullet"/>
      <w:lvlText w:val="o"/>
      <w:lvlJc w:val="left"/>
      <w:pPr>
        <w:ind w:left="5967" w:hanging="360"/>
      </w:pPr>
      <w:rPr>
        <w:rFonts w:ascii="Courier New" w:hAnsi="Courier New" w:cs="Courier New" w:hint="default"/>
      </w:rPr>
    </w:lvl>
    <w:lvl w:ilvl="8" w:tentative="1">
      <w:start w:val="1"/>
      <w:numFmt w:val="bullet"/>
      <w:lvlText w:val=""/>
      <w:lvlJc w:val="left"/>
      <w:pPr>
        <w:ind w:left="6687" w:hanging="360"/>
      </w:pPr>
      <w:rPr>
        <w:rFonts w:ascii="Wingdings" w:hAnsi="Wingdings" w:hint="default"/>
      </w:rPr>
    </w:lvl>
  </w:abstractNum>
  <w:abstractNum w:abstractNumId="1">
    <w:nsid w:val="024D6FF7"/>
    <w:multiLevelType w:val="hybridMultilevel"/>
    <w:tmpl w:val="4E848E24"/>
    <w:lvl w:ilvl="0">
      <w:start w:val="0"/>
      <w:numFmt w:val="bullet"/>
      <w:lvlText w:val=""/>
      <w:lvlJc w:val="left"/>
      <w:pPr>
        <w:ind w:left="720" w:hanging="360"/>
      </w:pPr>
      <w:rPr>
        <w:rFonts w:ascii="Symbol" w:hAnsi="Symbol" w:eastAsiaTheme="minorHAnsi"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2C56BA2"/>
    <w:multiLevelType w:val="hybridMultilevel"/>
    <w:tmpl w:val="A35C83C2"/>
    <w:lvl w:ilvl="0">
      <w:start w:val="1"/>
      <w:numFmt w:val="decimal"/>
      <w:lvlText w:val="%1."/>
      <w:lvlJc w:val="left"/>
      <w:pPr>
        <w:ind w:left="720" w:hanging="360"/>
      </w:pPr>
      <w:rPr>
        <w:rFonts w:ascii="Times New Roman" w:eastAsia="Times New Roman" w:hAnsi="Times New Roman" w:cs="David"/>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3061936"/>
    <w:multiLevelType w:val="hybridMultilevel"/>
    <w:tmpl w:val="9DF2BA32"/>
    <w:lvl w:ilvl="0">
      <w:start w:val="0"/>
      <w:numFmt w:val="bullet"/>
      <w:lvlText w:val=""/>
      <w:lvlJc w:val="left"/>
      <w:pPr>
        <w:ind w:left="720" w:hanging="360"/>
      </w:pPr>
      <w:rPr>
        <w:rFonts w:ascii="Symbol" w:hAnsi="Symbol" w:eastAsiaTheme="minorHAnsi"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040D1B8B"/>
    <w:multiLevelType w:val="hybridMultilevel"/>
    <w:tmpl w:val="3A74F47E"/>
    <w:lvl w:ilvl="0">
      <w:start w:val="0"/>
      <w:numFmt w:val="bullet"/>
      <w:lvlText w:val=""/>
      <w:lvlJc w:val="left"/>
      <w:pPr>
        <w:ind w:left="720" w:hanging="360"/>
      </w:pPr>
      <w:rPr>
        <w:rFonts w:ascii="Symbol" w:hAnsi="Symbol" w:eastAsiaTheme="minorHAnsi"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05E72B10"/>
    <w:multiLevelType w:val="hybridMultilevel"/>
    <w:tmpl w:val="C88C188E"/>
    <w:lvl w:ilvl="0">
      <w:start w:val="0"/>
      <w:numFmt w:val="bullet"/>
      <w:lvlText w:val=""/>
      <w:lvlJc w:val="left"/>
      <w:pPr>
        <w:ind w:left="720" w:hanging="360"/>
      </w:pPr>
      <w:rPr>
        <w:rFonts w:ascii="Symbol" w:hAnsi="Symbol" w:eastAsiaTheme="minorHAnsi"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08DC0A68"/>
    <w:multiLevelType w:val="multilevel"/>
    <w:tmpl w:val="9A2270FA"/>
    <w:lvl w:ilvl="0">
      <w:start w:val="1"/>
      <w:numFmt w:val="decimal"/>
      <w:lvlText w:val="%1."/>
      <w:lvlJc w:val="left"/>
      <w:pPr>
        <w:ind w:left="340" w:hanging="340"/>
      </w:pPr>
    </w:lvl>
    <w:lvl w:ilvl="1">
      <w:start w:val="1"/>
      <w:numFmt w:val="hebrew1"/>
      <w:lvlText w:val="%2."/>
      <w:lvlJc w:val="left"/>
      <w:pPr>
        <w:ind w:left="1049"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
    <w:nsid w:val="0A051C57"/>
    <w:multiLevelType w:val="multilevel"/>
    <w:tmpl w:val="E3DCEE3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8">
    <w:nsid w:val="0F880B06"/>
    <w:multiLevelType w:val="hybridMultilevel"/>
    <w:tmpl w:val="C15C5FF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0F8921A0"/>
    <w:multiLevelType w:val="hybridMultilevel"/>
    <w:tmpl w:val="B3D2ECE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116E6481"/>
    <w:multiLevelType w:val="hybridMultilevel"/>
    <w:tmpl w:val="DDDCE418"/>
    <w:lvl w:ilvl="0">
      <w:start w:val="1"/>
      <w:numFmt w:val="hebrew1"/>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1">
    <w:nsid w:val="1AA73FA8"/>
    <w:multiLevelType w:val="multilevel"/>
    <w:tmpl w:val="E3DCEE3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2">
    <w:nsid w:val="23C5010A"/>
    <w:multiLevelType w:val="hybridMultilevel"/>
    <w:tmpl w:val="F050CD9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28964BC4"/>
    <w:multiLevelType w:val="hybridMultilevel"/>
    <w:tmpl w:val="F1C6BEE4"/>
    <w:lvl w:ilvl="0">
      <w:start w:val="1"/>
      <w:numFmt w:val="decimal"/>
      <w:lvlText w:val="%1."/>
      <w:lvlJc w:val="left"/>
      <w:pPr>
        <w:ind w:left="1409" w:hanging="360"/>
      </w:pPr>
      <w:rPr>
        <w:rFonts w:hint="default"/>
      </w:rPr>
    </w:lvl>
    <w:lvl w:ilvl="1">
      <w:start w:val="1"/>
      <w:numFmt w:val="lowerLetter"/>
      <w:lvlText w:val="%2."/>
      <w:lvlJc w:val="left"/>
      <w:pPr>
        <w:ind w:left="2129" w:hanging="360"/>
      </w:pPr>
    </w:lvl>
    <w:lvl w:ilvl="2" w:tentative="1">
      <w:start w:val="1"/>
      <w:numFmt w:val="lowerRoman"/>
      <w:lvlText w:val="%3."/>
      <w:lvlJc w:val="right"/>
      <w:pPr>
        <w:ind w:left="2849" w:hanging="180"/>
      </w:pPr>
    </w:lvl>
    <w:lvl w:ilvl="3" w:tentative="1">
      <w:start w:val="1"/>
      <w:numFmt w:val="decimal"/>
      <w:lvlText w:val="%4."/>
      <w:lvlJc w:val="left"/>
      <w:pPr>
        <w:ind w:left="3569" w:hanging="360"/>
      </w:pPr>
    </w:lvl>
    <w:lvl w:ilvl="4" w:tentative="1">
      <w:start w:val="1"/>
      <w:numFmt w:val="lowerLetter"/>
      <w:lvlText w:val="%5."/>
      <w:lvlJc w:val="left"/>
      <w:pPr>
        <w:ind w:left="4289" w:hanging="360"/>
      </w:pPr>
    </w:lvl>
    <w:lvl w:ilvl="5" w:tentative="1">
      <w:start w:val="1"/>
      <w:numFmt w:val="lowerRoman"/>
      <w:lvlText w:val="%6."/>
      <w:lvlJc w:val="right"/>
      <w:pPr>
        <w:ind w:left="5009" w:hanging="180"/>
      </w:pPr>
    </w:lvl>
    <w:lvl w:ilvl="6" w:tentative="1">
      <w:start w:val="1"/>
      <w:numFmt w:val="decimal"/>
      <w:lvlText w:val="%7."/>
      <w:lvlJc w:val="left"/>
      <w:pPr>
        <w:ind w:left="5729" w:hanging="360"/>
      </w:pPr>
    </w:lvl>
    <w:lvl w:ilvl="7" w:tentative="1">
      <w:start w:val="1"/>
      <w:numFmt w:val="lowerLetter"/>
      <w:lvlText w:val="%8."/>
      <w:lvlJc w:val="left"/>
      <w:pPr>
        <w:ind w:left="6449" w:hanging="360"/>
      </w:pPr>
    </w:lvl>
    <w:lvl w:ilvl="8" w:tentative="1">
      <w:start w:val="1"/>
      <w:numFmt w:val="lowerRoman"/>
      <w:lvlText w:val="%9."/>
      <w:lvlJc w:val="right"/>
      <w:pPr>
        <w:ind w:left="7169" w:hanging="180"/>
      </w:pPr>
    </w:lvl>
  </w:abstractNum>
  <w:abstractNum w:abstractNumId="14">
    <w:nsid w:val="29090BBF"/>
    <w:multiLevelType w:val="hybridMultilevel"/>
    <w:tmpl w:val="11065F6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2F2F6037"/>
    <w:multiLevelType w:val="hybridMultilevel"/>
    <w:tmpl w:val="5F7CB0BC"/>
    <w:lvl w:ilvl="0">
      <w:start w:val="0"/>
      <w:numFmt w:val="bullet"/>
      <w:lvlText w:val=""/>
      <w:lvlJc w:val="left"/>
      <w:pPr>
        <w:ind w:left="1287" w:hanging="360"/>
      </w:pPr>
      <w:rPr>
        <w:rFonts w:ascii="Symbol" w:hAnsi="Symbol" w:eastAsiaTheme="minorHAnsi" w:cs="David" w:hint="default"/>
      </w:rPr>
    </w:lvl>
    <w:lvl w:ilvl="1" w:tentative="1">
      <w:start w:val="1"/>
      <w:numFmt w:val="bullet"/>
      <w:lvlText w:val="o"/>
      <w:lvlJc w:val="left"/>
      <w:pPr>
        <w:ind w:left="2007" w:hanging="360"/>
      </w:pPr>
      <w:rPr>
        <w:rFonts w:ascii="Courier New" w:hAnsi="Courier New" w:cs="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hAnsi="Courier New" w:cs="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hAnsi="Courier New" w:cs="Courier New" w:hint="default"/>
      </w:rPr>
    </w:lvl>
    <w:lvl w:ilvl="8" w:tentative="1">
      <w:start w:val="1"/>
      <w:numFmt w:val="bullet"/>
      <w:lvlText w:val=""/>
      <w:lvlJc w:val="left"/>
      <w:pPr>
        <w:ind w:left="7047" w:hanging="360"/>
      </w:pPr>
      <w:rPr>
        <w:rFonts w:ascii="Wingdings" w:hAnsi="Wingdings" w:hint="default"/>
      </w:rPr>
    </w:lvl>
  </w:abstractNum>
  <w:abstractNum w:abstractNumId="16">
    <w:nsid w:val="38C80A12"/>
    <w:multiLevelType w:val="hybridMultilevel"/>
    <w:tmpl w:val="D3088DDA"/>
    <w:lvl w:ilvl="0">
      <w:start w:val="1"/>
      <w:numFmt w:val="decimal"/>
      <w:lvlText w:val="%1."/>
      <w:lvlJc w:val="left"/>
      <w:pPr>
        <w:ind w:left="785" w:hanging="360"/>
      </w:pPr>
    </w:lvl>
    <w:lvl w:ilvl="1" w:tentative="1">
      <w:start w:val="1"/>
      <w:numFmt w:val="lowerLetter"/>
      <w:lvlText w:val="%2."/>
      <w:lvlJc w:val="left"/>
      <w:pPr>
        <w:ind w:left="1752" w:hanging="360"/>
      </w:pPr>
    </w:lvl>
    <w:lvl w:ilvl="2" w:tentative="1">
      <w:start w:val="1"/>
      <w:numFmt w:val="lowerRoman"/>
      <w:lvlText w:val="%3."/>
      <w:lvlJc w:val="right"/>
      <w:pPr>
        <w:ind w:left="2472" w:hanging="180"/>
      </w:pPr>
    </w:lvl>
    <w:lvl w:ilvl="3" w:tentative="1">
      <w:start w:val="1"/>
      <w:numFmt w:val="decimal"/>
      <w:lvlText w:val="%4."/>
      <w:lvlJc w:val="left"/>
      <w:pPr>
        <w:ind w:left="3192" w:hanging="360"/>
      </w:pPr>
    </w:lvl>
    <w:lvl w:ilvl="4" w:tentative="1">
      <w:start w:val="1"/>
      <w:numFmt w:val="lowerLetter"/>
      <w:lvlText w:val="%5."/>
      <w:lvlJc w:val="left"/>
      <w:pPr>
        <w:ind w:left="3912" w:hanging="360"/>
      </w:pPr>
    </w:lvl>
    <w:lvl w:ilvl="5" w:tentative="1">
      <w:start w:val="1"/>
      <w:numFmt w:val="lowerRoman"/>
      <w:lvlText w:val="%6."/>
      <w:lvlJc w:val="right"/>
      <w:pPr>
        <w:ind w:left="4632" w:hanging="180"/>
      </w:pPr>
    </w:lvl>
    <w:lvl w:ilvl="6" w:tentative="1">
      <w:start w:val="1"/>
      <w:numFmt w:val="decimal"/>
      <w:lvlText w:val="%7."/>
      <w:lvlJc w:val="left"/>
      <w:pPr>
        <w:ind w:left="5352" w:hanging="360"/>
      </w:pPr>
    </w:lvl>
    <w:lvl w:ilvl="7" w:tentative="1">
      <w:start w:val="1"/>
      <w:numFmt w:val="lowerLetter"/>
      <w:lvlText w:val="%8."/>
      <w:lvlJc w:val="left"/>
      <w:pPr>
        <w:ind w:left="6072" w:hanging="360"/>
      </w:pPr>
    </w:lvl>
    <w:lvl w:ilvl="8" w:tentative="1">
      <w:start w:val="1"/>
      <w:numFmt w:val="lowerRoman"/>
      <w:lvlText w:val="%9."/>
      <w:lvlJc w:val="right"/>
      <w:pPr>
        <w:ind w:left="6792" w:hanging="180"/>
      </w:pPr>
    </w:lvl>
  </w:abstractNum>
  <w:abstractNum w:abstractNumId="17">
    <w:nsid w:val="39BB6CA1"/>
    <w:multiLevelType w:val="multilevel"/>
    <w:tmpl w:val="518CB8E2"/>
    <w:lvl w:ilvl="0">
      <w:start w:val="1"/>
      <w:numFmt w:val="hebrew1"/>
      <w:lvlText w:val="%1."/>
      <w:lvlJc w:val="center"/>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8">
    <w:nsid w:val="3A2A2F27"/>
    <w:multiLevelType w:val="hybridMultilevel"/>
    <w:tmpl w:val="42564FD0"/>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3D034FF3"/>
    <w:multiLevelType w:val="multilevel"/>
    <w:tmpl w:val="E3DCEE3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0">
    <w:nsid w:val="3E352C21"/>
    <w:multiLevelType w:val="hybridMultilevel"/>
    <w:tmpl w:val="6E4CD87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3EEA4574"/>
    <w:multiLevelType w:val="hybridMultilevel"/>
    <w:tmpl w:val="71F64684"/>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2">
    <w:nsid w:val="407B7866"/>
    <w:multiLevelType w:val="multilevel"/>
    <w:tmpl w:val="E3DCEE3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3">
    <w:nsid w:val="46306101"/>
    <w:multiLevelType w:val="hybridMultilevel"/>
    <w:tmpl w:val="C9A8AD58"/>
    <w:lvl w:ilvl="0">
      <w:start w:val="0"/>
      <w:numFmt w:val="bullet"/>
      <w:lvlText w:val=""/>
      <w:lvlJc w:val="left"/>
      <w:pPr>
        <w:ind w:left="720" w:hanging="360"/>
      </w:pPr>
      <w:rPr>
        <w:rFonts w:ascii="Symbol" w:hAnsi="Symbol" w:eastAsiaTheme="minorHAnsi"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4FAE0C0D"/>
    <w:multiLevelType w:val="hybridMultilevel"/>
    <w:tmpl w:val="20105400"/>
    <w:lvl w:ilvl="0">
      <w:start w:val="0"/>
      <w:numFmt w:val="bullet"/>
      <w:lvlText w:val=""/>
      <w:lvlJc w:val="left"/>
      <w:pPr>
        <w:ind w:left="1080" w:hanging="360"/>
      </w:pPr>
      <w:rPr>
        <w:rFonts w:ascii="Symbol" w:hAnsi="Symbol" w:eastAsiaTheme="minorHAnsi" w:cs="David"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5">
    <w:nsid w:val="55736097"/>
    <w:multiLevelType w:val="multilevel"/>
    <w:tmpl w:val="9A2270F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6">
    <w:nsid w:val="575117F7"/>
    <w:multiLevelType w:val="multilevel"/>
    <w:tmpl w:val="518CB8E2"/>
    <w:lvl w:ilvl="0">
      <w:start w:val="1"/>
      <w:numFmt w:val="hebrew1"/>
      <w:lvlText w:val="%1."/>
      <w:lvlJc w:val="center"/>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7">
    <w:nsid w:val="585E54AE"/>
    <w:multiLevelType w:val="hybridMultilevel"/>
    <w:tmpl w:val="D8F0FDD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5D3509EA"/>
    <w:multiLevelType w:val="hybridMultilevel"/>
    <w:tmpl w:val="8F88B732"/>
    <w:lvl w:ilvl="0">
      <w:start w:val="1"/>
      <w:numFmt w:val="decimal"/>
      <w:lvlText w:val="%1."/>
      <w:lvlJc w:val="left"/>
      <w:pPr>
        <w:ind w:left="502" w:hanging="360"/>
      </w:pPr>
      <w:rPr>
        <w:b w:val="0"/>
        <w:bCs w:val="0"/>
      </w:rPr>
    </w:lvl>
    <w:lvl w:ilvl="1" w:tentative="1">
      <w:start w:val="1"/>
      <w:numFmt w:val="lowerLetter"/>
      <w:lvlText w:val="%2."/>
      <w:lvlJc w:val="left"/>
      <w:pPr>
        <w:ind w:left="1364" w:hanging="360"/>
      </w:pPr>
    </w:lvl>
    <w:lvl w:ilvl="2" w:tentative="1">
      <w:start w:val="1"/>
      <w:numFmt w:val="lowerRoman"/>
      <w:lvlText w:val="%3."/>
      <w:lvlJc w:val="right"/>
      <w:pPr>
        <w:ind w:left="2084" w:hanging="180"/>
      </w:pPr>
    </w:lvl>
    <w:lvl w:ilvl="3" w:tentative="1">
      <w:start w:val="1"/>
      <w:numFmt w:val="decimal"/>
      <w:lvlText w:val="%4."/>
      <w:lvlJc w:val="left"/>
      <w:pPr>
        <w:ind w:left="2804" w:hanging="360"/>
      </w:pPr>
    </w:lvl>
    <w:lvl w:ilvl="4" w:tentative="1">
      <w:start w:val="1"/>
      <w:numFmt w:val="lowerLetter"/>
      <w:lvlText w:val="%5."/>
      <w:lvlJc w:val="left"/>
      <w:pPr>
        <w:ind w:left="3524" w:hanging="360"/>
      </w:pPr>
    </w:lvl>
    <w:lvl w:ilvl="5" w:tentative="1">
      <w:start w:val="1"/>
      <w:numFmt w:val="lowerRoman"/>
      <w:lvlText w:val="%6."/>
      <w:lvlJc w:val="right"/>
      <w:pPr>
        <w:ind w:left="4244" w:hanging="180"/>
      </w:pPr>
    </w:lvl>
    <w:lvl w:ilvl="6" w:tentative="1">
      <w:start w:val="1"/>
      <w:numFmt w:val="decimal"/>
      <w:lvlText w:val="%7."/>
      <w:lvlJc w:val="left"/>
      <w:pPr>
        <w:ind w:left="4964" w:hanging="360"/>
      </w:pPr>
    </w:lvl>
    <w:lvl w:ilvl="7" w:tentative="1">
      <w:start w:val="1"/>
      <w:numFmt w:val="lowerLetter"/>
      <w:lvlText w:val="%8."/>
      <w:lvlJc w:val="left"/>
      <w:pPr>
        <w:ind w:left="5684" w:hanging="360"/>
      </w:pPr>
    </w:lvl>
    <w:lvl w:ilvl="8" w:tentative="1">
      <w:start w:val="1"/>
      <w:numFmt w:val="lowerRoman"/>
      <w:lvlText w:val="%9."/>
      <w:lvlJc w:val="right"/>
      <w:pPr>
        <w:ind w:left="6404" w:hanging="180"/>
      </w:pPr>
    </w:lvl>
  </w:abstractNum>
  <w:abstractNum w:abstractNumId="29">
    <w:nsid w:val="616B2030"/>
    <w:multiLevelType w:val="hybridMultilevel"/>
    <w:tmpl w:val="04767D9E"/>
    <w:lvl w:ilvl="0">
      <w:start w:val="4"/>
      <w:numFmt w:val="bullet"/>
      <w:lvlText w:val="-"/>
      <w:lvlJc w:val="left"/>
      <w:pPr>
        <w:ind w:left="405" w:hanging="360"/>
      </w:pPr>
      <w:rPr>
        <w:rFonts w:ascii="Times New Roman" w:hAnsi="Times New Roman" w:eastAsiaTheme="minorHAnsi" w:cs="David" w:hint="default"/>
      </w:rPr>
    </w:lvl>
    <w:lvl w:ilvl="1" w:tentative="1">
      <w:start w:val="1"/>
      <w:numFmt w:val="bullet"/>
      <w:lvlText w:val="o"/>
      <w:lvlJc w:val="left"/>
      <w:pPr>
        <w:ind w:left="1125" w:hanging="360"/>
      </w:pPr>
      <w:rPr>
        <w:rFonts w:ascii="Courier New" w:hAnsi="Courier New" w:cs="Courier New" w:hint="default"/>
      </w:rPr>
    </w:lvl>
    <w:lvl w:ilvl="2" w:tentative="1">
      <w:start w:val="1"/>
      <w:numFmt w:val="bullet"/>
      <w:lvlText w:val=""/>
      <w:lvlJc w:val="left"/>
      <w:pPr>
        <w:ind w:left="1845" w:hanging="360"/>
      </w:pPr>
      <w:rPr>
        <w:rFonts w:ascii="Wingdings" w:hAnsi="Wingdings" w:hint="default"/>
      </w:rPr>
    </w:lvl>
    <w:lvl w:ilvl="3" w:tentative="1">
      <w:start w:val="1"/>
      <w:numFmt w:val="bullet"/>
      <w:lvlText w:val=""/>
      <w:lvlJc w:val="left"/>
      <w:pPr>
        <w:ind w:left="2565" w:hanging="360"/>
      </w:pPr>
      <w:rPr>
        <w:rFonts w:ascii="Symbol" w:hAnsi="Symbol" w:hint="default"/>
      </w:rPr>
    </w:lvl>
    <w:lvl w:ilvl="4" w:tentative="1">
      <w:start w:val="1"/>
      <w:numFmt w:val="bullet"/>
      <w:lvlText w:val="o"/>
      <w:lvlJc w:val="left"/>
      <w:pPr>
        <w:ind w:left="3285" w:hanging="360"/>
      </w:pPr>
      <w:rPr>
        <w:rFonts w:ascii="Courier New" w:hAnsi="Courier New" w:cs="Courier New" w:hint="default"/>
      </w:rPr>
    </w:lvl>
    <w:lvl w:ilvl="5" w:tentative="1">
      <w:start w:val="1"/>
      <w:numFmt w:val="bullet"/>
      <w:lvlText w:val=""/>
      <w:lvlJc w:val="left"/>
      <w:pPr>
        <w:ind w:left="4005" w:hanging="360"/>
      </w:pPr>
      <w:rPr>
        <w:rFonts w:ascii="Wingdings" w:hAnsi="Wingdings" w:hint="default"/>
      </w:rPr>
    </w:lvl>
    <w:lvl w:ilvl="6" w:tentative="1">
      <w:start w:val="1"/>
      <w:numFmt w:val="bullet"/>
      <w:lvlText w:val=""/>
      <w:lvlJc w:val="left"/>
      <w:pPr>
        <w:ind w:left="4725" w:hanging="360"/>
      </w:pPr>
      <w:rPr>
        <w:rFonts w:ascii="Symbol" w:hAnsi="Symbol" w:hint="default"/>
      </w:rPr>
    </w:lvl>
    <w:lvl w:ilvl="7" w:tentative="1">
      <w:start w:val="1"/>
      <w:numFmt w:val="bullet"/>
      <w:lvlText w:val="o"/>
      <w:lvlJc w:val="left"/>
      <w:pPr>
        <w:ind w:left="5445" w:hanging="360"/>
      </w:pPr>
      <w:rPr>
        <w:rFonts w:ascii="Courier New" w:hAnsi="Courier New" w:cs="Courier New" w:hint="default"/>
      </w:rPr>
    </w:lvl>
    <w:lvl w:ilvl="8" w:tentative="1">
      <w:start w:val="1"/>
      <w:numFmt w:val="bullet"/>
      <w:lvlText w:val=""/>
      <w:lvlJc w:val="left"/>
      <w:pPr>
        <w:ind w:left="6165" w:hanging="360"/>
      </w:pPr>
      <w:rPr>
        <w:rFonts w:ascii="Wingdings" w:hAnsi="Wingdings" w:hint="default"/>
      </w:rPr>
    </w:lvl>
  </w:abstractNum>
  <w:abstractNum w:abstractNumId="30">
    <w:nsid w:val="657D3A92"/>
    <w:multiLevelType w:val="multilevel"/>
    <w:tmpl w:val="9A2270F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1">
    <w:nsid w:val="65A714CD"/>
    <w:multiLevelType w:val="multilevel"/>
    <w:tmpl w:val="9A2270FA"/>
    <w:lvl w:ilvl="0">
      <w:start w:val="1"/>
      <w:numFmt w:val="decimal"/>
      <w:lvlText w:val="%1."/>
      <w:lvlJc w:val="left"/>
      <w:pPr>
        <w:ind w:left="340" w:hanging="340"/>
      </w:pPr>
    </w:lvl>
    <w:lvl w:ilvl="1">
      <w:start w:val="1"/>
      <w:numFmt w:val="hebrew1"/>
      <w:lvlText w:val="%2."/>
      <w:lvlJc w:val="left"/>
      <w:pPr>
        <w:ind w:left="1049"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2">
    <w:nsid w:val="66B578D0"/>
    <w:multiLevelType w:val="hybridMultilevel"/>
    <w:tmpl w:val="5D82C474"/>
    <w:lvl w:ilvl="0">
      <w:start w:val="0"/>
      <w:numFmt w:val="bullet"/>
      <w:lvlText w:val=""/>
      <w:lvlJc w:val="left"/>
      <w:pPr>
        <w:ind w:left="1440" w:hanging="360"/>
      </w:pPr>
      <w:rPr>
        <w:rFonts w:ascii="Symbol" w:hAnsi="Symbol" w:eastAsiaTheme="minorHAnsi" w:cs="David"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33">
    <w:nsid w:val="672674B8"/>
    <w:multiLevelType w:val="hybridMultilevel"/>
    <w:tmpl w:val="F5EE5B9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nsid w:val="68BF259C"/>
    <w:multiLevelType w:val="multilevel"/>
    <w:tmpl w:val="E3DCEE32"/>
    <w:lvl w:ilvl="0">
      <w:start w:val="1"/>
      <w:numFmt w:val="decimal"/>
      <w:lvlText w:val="%1."/>
      <w:lvlJc w:val="left"/>
      <w:pPr>
        <w:ind w:left="282" w:hanging="340"/>
      </w:pPr>
    </w:lvl>
    <w:lvl w:ilvl="1">
      <w:start w:val="1"/>
      <w:numFmt w:val="hebrew1"/>
      <w:lvlText w:val="%2."/>
      <w:lvlJc w:val="left"/>
      <w:pPr>
        <w:ind w:left="622" w:hanging="340"/>
      </w:pPr>
    </w:lvl>
    <w:lvl w:ilvl="2">
      <w:start w:val="1"/>
      <w:numFmt w:val="decimal"/>
      <w:lvlText w:val="(%3)"/>
      <w:lvlJc w:val="left"/>
      <w:pPr>
        <w:ind w:left="1019" w:hanging="397"/>
      </w:pPr>
    </w:lvl>
    <w:lvl w:ilvl="3">
      <w:start w:val="1"/>
      <w:numFmt w:val="hebrew1"/>
      <w:lvlText w:val="(%4)"/>
      <w:lvlJc w:val="left"/>
      <w:pPr>
        <w:ind w:left="1416" w:hanging="397"/>
      </w:pPr>
    </w:lvl>
    <w:lvl w:ilvl="4">
      <w:start w:val="1"/>
      <w:numFmt w:val="lowerLetter"/>
      <w:lvlText w:val="(%5)"/>
      <w:lvlJc w:val="left"/>
      <w:pPr>
        <w:ind w:left="1739" w:hanging="357"/>
      </w:pPr>
    </w:lvl>
    <w:lvl w:ilvl="5">
      <w:start w:val="1"/>
      <w:numFmt w:val="lowerRoman"/>
      <w:lvlText w:val="(%6)"/>
      <w:lvlJc w:val="left"/>
      <w:pPr>
        <w:ind w:left="2102" w:hanging="363"/>
      </w:pPr>
    </w:lvl>
    <w:lvl w:ilvl="6">
      <w:start w:val="1"/>
      <w:numFmt w:val="decimal"/>
      <w:lvlText w:val="%7."/>
      <w:lvlJc w:val="left"/>
      <w:pPr>
        <w:ind w:left="2459" w:hanging="357"/>
      </w:pPr>
    </w:lvl>
    <w:lvl w:ilvl="7">
      <w:start w:val="1"/>
      <w:numFmt w:val="lowerLetter"/>
      <w:lvlText w:val="%8."/>
      <w:lvlJc w:val="left"/>
      <w:pPr>
        <w:ind w:left="2822" w:hanging="363"/>
      </w:pPr>
    </w:lvl>
    <w:lvl w:ilvl="8">
      <w:start w:val="1"/>
      <w:numFmt w:val="lowerRoman"/>
      <w:lvlText w:val="%9."/>
      <w:lvlJc w:val="left"/>
      <w:pPr>
        <w:ind w:left="3179" w:hanging="357"/>
      </w:pPr>
    </w:lvl>
  </w:abstractNum>
  <w:abstractNum w:abstractNumId="35">
    <w:nsid w:val="69401792"/>
    <w:multiLevelType w:val="hybridMultilevel"/>
    <w:tmpl w:val="5DE0C280"/>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6AF471B7"/>
    <w:multiLevelType w:val="hybridMultilevel"/>
    <w:tmpl w:val="94E8FFB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nsid w:val="6C4C6BCF"/>
    <w:multiLevelType w:val="hybridMultilevel"/>
    <w:tmpl w:val="7EFA9BE8"/>
    <w:lvl w:ilvl="0">
      <w:start w:val="0"/>
      <w:numFmt w:val="bullet"/>
      <w:lvlText w:val="-"/>
      <w:lvlJc w:val="left"/>
      <w:pPr>
        <w:ind w:left="720" w:hanging="360"/>
      </w:pPr>
      <w:rPr>
        <w:rFonts w:ascii="Times New Roman" w:eastAsia="Times New Roman" w:hAnsi="Times New Roman"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nsid w:val="6FD5188C"/>
    <w:multiLevelType w:val="hybridMultilevel"/>
    <w:tmpl w:val="3476F4A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9">
    <w:nsid w:val="73E84D07"/>
    <w:multiLevelType w:val="hybridMultilevel"/>
    <w:tmpl w:val="C4020140"/>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
    <w:nsid w:val="74F939E4"/>
    <w:multiLevelType w:val="multilevel"/>
    <w:tmpl w:val="9A2270FA"/>
    <w:lvl w:ilvl="0">
      <w:start w:val="1"/>
      <w:numFmt w:val="decimal"/>
      <w:lvlText w:val="%1."/>
      <w:lvlJc w:val="left"/>
      <w:pPr>
        <w:ind w:left="340" w:hanging="340"/>
      </w:pPr>
    </w:lvl>
    <w:lvl w:ilvl="1">
      <w:start w:val="1"/>
      <w:numFmt w:val="hebrew1"/>
      <w:lvlText w:val="%2."/>
      <w:lvlJc w:val="left"/>
      <w:pPr>
        <w:ind w:left="1049"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1">
    <w:nsid w:val="789D6FCD"/>
    <w:multiLevelType w:val="multilevel"/>
    <w:tmpl w:val="A7E2180C"/>
    <w:lvl w:ilvl="0">
      <w:start w:val="134"/>
      <w:numFmt w:val="decimal"/>
      <w:lvlText w:val="%1."/>
      <w:lvlJc w:val="left"/>
      <w:rPr>
        <w:rFonts w:ascii="David" w:eastAsia="David" w:hAnsi="David" w:cs="David"/>
        <w:b w:val="0"/>
        <w:bCs w:val="0"/>
        <w:i w:val="0"/>
        <w:iCs w:val="0"/>
        <w:smallCaps w:val="0"/>
        <w:strike w:val="0"/>
        <w:color w:val="000000"/>
        <w:spacing w:val="0"/>
        <w:w w:val="100"/>
        <w:position w:val="0"/>
        <w:sz w:val="22"/>
        <w:szCs w:val="22"/>
        <w:u w:val="none"/>
        <w:lang w:val="en-US" w:eastAsia="en-US" w:bidi="en-US"/>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42">
    <w:nsid w:val="7B0F4605"/>
    <w:multiLevelType w:val="hybridMultilevel"/>
    <w:tmpl w:val="70C25F9E"/>
    <w:lvl w:ilvl="0">
      <w:start w:val="0"/>
      <w:numFmt w:val="bullet"/>
      <w:lvlText w:val=""/>
      <w:lvlJc w:val="left"/>
      <w:pPr>
        <w:ind w:left="927" w:hanging="360"/>
      </w:pPr>
      <w:rPr>
        <w:rFonts w:ascii="Symbol" w:hAnsi="Symbol" w:eastAsiaTheme="minorHAnsi" w:cs="David" w:hint="default"/>
      </w:rPr>
    </w:lvl>
    <w:lvl w:ilvl="1" w:tentative="1">
      <w:start w:val="1"/>
      <w:numFmt w:val="bullet"/>
      <w:lvlText w:val="o"/>
      <w:lvlJc w:val="left"/>
      <w:pPr>
        <w:ind w:left="1647" w:hanging="360"/>
      </w:pPr>
      <w:rPr>
        <w:rFonts w:ascii="Courier New" w:hAnsi="Courier New" w:cs="Courier New" w:hint="default"/>
      </w:rPr>
    </w:lvl>
    <w:lvl w:ilvl="2" w:tentative="1">
      <w:start w:val="1"/>
      <w:numFmt w:val="bullet"/>
      <w:lvlText w:val=""/>
      <w:lvlJc w:val="left"/>
      <w:pPr>
        <w:ind w:left="2367" w:hanging="360"/>
      </w:pPr>
      <w:rPr>
        <w:rFonts w:ascii="Wingdings" w:hAnsi="Wingdings" w:hint="default"/>
      </w:rPr>
    </w:lvl>
    <w:lvl w:ilvl="3" w:tentative="1">
      <w:start w:val="1"/>
      <w:numFmt w:val="bullet"/>
      <w:lvlText w:val=""/>
      <w:lvlJc w:val="left"/>
      <w:pPr>
        <w:ind w:left="3087" w:hanging="360"/>
      </w:pPr>
      <w:rPr>
        <w:rFonts w:ascii="Symbol" w:hAnsi="Symbol" w:hint="default"/>
      </w:rPr>
    </w:lvl>
    <w:lvl w:ilvl="4" w:tentative="1">
      <w:start w:val="1"/>
      <w:numFmt w:val="bullet"/>
      <w:lvlText w:val="o"/>
      <w:lvlJc w:val="left"/>
      <w:pPr>
        <w:ind w:left="3807" w:hanging="360"/>
      </w:pPr>
      <w:rPr>
        <w:rFonts w:ascii="Courier New" w:hAnsi="Courier New" w:cs="Courier New" w:hint="default"/>
      </w:rPr>
    </w:lvl>
    <w:lvl w:ilvl="5" w:tentative="1">
      <w:start w:val="1"/>
      <w:numFmt w:val="bullet"/>
      <w:lvlText w:val=""/>
      <w:lvlJc w:val="left"/>
      <w:pPr>
        <w:ind w:left="4527" w:hanging="360"/>
      </w:pPr>
      <w:rPr>
        <w:rFonts w:ascii="Wingdings" w:hAnsi="Wingdings" w:hint="default"/>
      </w:rPr>
    </w:lvl>
    <w:lvl w:ilvl="6" w:tentative="1">
      <w:start w:val="1"/>
      <w:numFmt w:val="bullet"/>
      <w:lvlText w:val=""/>
      <w:lvlJc w:val="left"/>
      <w:pPr>
        <w:ind w:left="5247" w:hanging="360"/>
      </w:pPr>
      <w:rPr>
        <w:rFonts w:ascii="Symbol" w:hAnsi="Symbol" w:hint="default"/>
      </w:rPr>
    </w:lvl>
    <w:lvl w:ilvl="7" w:tentative="1">
      <w:start w:val="1"/>
      <w:numFmt w:val="bullet"/>
      <w:lvlText w:val="o"/>
      <w:lvlJc w:val="left"/>
      <w:pPr>
        <w:ind w:left="5967" w:hanging="360"/>
      </w:pPr>
      <w:rPr>
        <w:rFonts w:ascii="Courier New" w:hAnsi="Courier New" w:cs="Courier New" w:hint="default"/>
      </w:rPr>
    </w:lvl>
    <w:lvl w:ilvl="8" w:tentative="1">
      <w:start w:val="1"/>
      <w:numFmt w:val="bullet"/>
      <w:lvlText w:val=""/>
      <w:lvlJc w:val="left"/>
      <w:pPr>
        <w:ind w:left="6687" w:hanging="360"/>
      </w:pPr>
      <w:rPr>
        <w:rFonts w:ascii="Wingdings" w:hAnsi="Wingdings" w:hint="default"/>
      </w:rPr>
    </w:lvl>
  </w:abstractNum>
  <w:abstractNum w:abstractNumId="43">
    <w:nsid w:val="7CF34AE3"/>
    <w:multiLevelType w:val="hybridMultilevel"/>
    <w:tmpl w:val="8EBA1C8E"/>
    <w:lvl w:ilvl="0">
      <w:start w:val="22"/>
      <w:numFmt w:val="bullet"/>
      <w:lvlText w:val=""/>
      <w:lvlJc w:val="left"/>
      <w:pPr>
        <w:ind w:left="720" w:hanging="360"/>
      </w:pPr>
      <w:rPr>
        <w:rFonts w:ascii="Symbol" w:hAnsi="Symbol" w:eastAsiaTheme="minorHAnsi"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4">
    <w:nsid w:val="7F802998"/>
    <w:multiLevelType w:val="hybridMultilevel"/>
    <w:tmpl w:val="F2F43EB8"/>
    <w:lvl w:ilvl="0">
      <w:start w:val="1"/>
      <w:numFmt w:val="hebrew1"/>
      <w:lvlText w:val="%1."/>
      <w:lvlJc w:val="center"/>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num w:numId="1">
    <w:abstractNumId w:val="12"/>
  </w:num>
  <w:num w:numId="2">
    <w:abstractNumId w:val="20"/>
  </w:num>
  <w:num w:numId="3">
    <w:abstractNumId w:val="39"/>
  </w:num>
  <w:num w:numId="4">
    <w:abstractNumId w:val="21"/>
  </w:num>
  <w:num w:numId="5">
    <w:abstractNumId w:val="31"/>
  </w:num>
  <w:num w:numId="6">
    <w:abstractNumId w:val="30"/>
  </w:num>
  <w:num w:numId="7">
    <w:abstractNumId w:val="25"/>
  </w:num>
  <w:num w:numId="8">
    <w:abstractNumId w:val="18"/>
  </w:num>
  <w:num w:numId="9">
    <w:abstractNumId w:val="2"/>
  </w:num>
  <w:num w:numId="10">
    <w:abstractNumId w:val="35"/>
  </w:num>
  <w:num w:numId="11">
    <w:abstractNumId w:val="10"/>
  </w:num>
  <w:num w:numId="12">
    <w:abstractNumId w:val="14"/>
  </w:num>
  <w:num w:numId="13">
    <w:abstractNumId w:val="43"/>
  </w:num>
  <w:num w:numId="14">
    <w:abstractNumId w:val="19"/>
  </w:num>
  <w:num w:numId="15">
    <w:abstractNumId w:val="34"/>
  </w:num>
  <w:num w:numId="16">
    <w:abstractNumId w:val="22"/>
  </w:num>
  <w:num w:numId="17">
    <w:abstractNumId w:val="7"/>
  </w:num>
  <w:num w:numId="18">
    <w:abstractNumId w:val="11"/>
  </w:num>
  <w:num w:numId="19">
    <w:abstractNumId w:val="26"/>
  </w:num>
  <w:num w:numId="20">
    <w:abstractNumId w:val="44"/>
  </w:num>
  <w:num w:numId="21">
    <w:abstractNumId w:val="29"/>
  </w:num>
  <w:num w:numId="22">
    <w:abstractNumId w:val="16"/>
  </w:num>
  <w:num w:numId="23">
    <w:abstractNumId w:val="36"/>
  </w:num>
  <w:num w:numId="24">
    <w:abstractNumId w:val="17"/>
  </w:num>
  <w:num w:numId="25">
    <w:abstractNumId w:val="28"/>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7"/>
  </w:num>
  <w:num w:numId="28">
    <w:abstractNumId w:val="33"/>
  </w:num>
  <w:num w:numId="29">
    <w:abstractNumId w:val="38"/>
  </w:num>
  <w:num w:numId="30">
    <w:abstractNumId w:val="8"/>
  </w:num>
  <w:num w:numId="31">
    <w:abstractNumId w:val="23"/>
  </w:num>
  <w:num w:numId="32">
    <w:abstractNumId w:val="5"/>
  </w:num>
  <w:num w:numId="33">
    <w:abstractNumId w:val="1"/>
  </w:num>
  <w:num w:numId="34">
    <w:abstractNumId w:val="4"/>
  </w:num>
  <w:num w:numId="35">
    <w:abstractNumId w:val="24"/>
  </w:num>
  <w:num w:numId="36">
    <w:abstractNumId w:val="32"/>
  </w:num>
  <w:num w:numId="37">
    <w:abstractNumId w:val="3"/>
  </w:num>
  <w:num w:numId="38">
    <w:abstractNumId w:val="27"/>
  </w:num>
  <w:num w:numId="39">
    <w:abstractNumId w:val="6"/>
  </w:num>
  <w:num w:numId="40">
    <w:abstractNumId w:val="40"/>
  </w:num>
  <w:num w:numId="41">
    <w:abstractNumId w:val="41"/>
  </w:num>
  <w:num w:numId="42">
    <w:abstractNumId w:val="0"/>
  </w:num>
  <w:num w:numId="43">
    <w:abstractNumId w:val="42"/>
  </w:num>
  <w:num w:numId="44">
    <w:abstractNumId w:val="15"/>
  </w:num>
  <w:num w:numId="45">
    <w:abstractNumId w:val="9"/>
  </w:num>
  <w:num w:numId="4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SortMethod w:val="name"/>
  <w:defaultTabStop w:val="720"/>
  <w:drawingGridHorizontalSpacing w:val="100"/>
  <w:displayHorizontalDrawingGridEvery w:val="2"/>
  <w:displayVerticalDrawingGridEvery w:val="2"/>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17DC"/>
    <w:rsid w:val="00003B77"/>
    <w:rsid w:val="00016655"/>
    <w:rsid w:val="0001735B"/>
    <w:rsid w:val="00042837"/>
    <w:rsid w:val="000501A4"/>
    <w:rsid w:val="000532AA"/>
    <w:rsid w:val="000721D0"/>
    <w:rsid w:val="000A1070"/>
    <w:rsid w:val="000B1102"/>
    <w:rsid w:val="000C58B3"/>
    <w:rsid w:val="000C7459"/>
    <w:rsid w:val="000E013E"/>
    <w:rsid w:val="000E5918"/>
    <w:rsid w:val="000F7725"/>
    <w:rsid w:val="00101D0F"/>
    <w:rsid w:val="00113E28"/>
    <w:rsid w:val="00114325"/>
    <w:rsid w:val="00120BCA"/>
    <w:rsid w:val="00126E8E"/>
    <w:rsid w:val="00135CA4"/>
    <w:rsid w:val="001563B1"/>
    <w:rsid w:val="00166477"/>
    <w:rsid w:val="00167014"/>
    <w:rsid w:val="001730B0"/>
    <w:rsid w:val="001960B4"/>
    <w:rsid w:val="001A613C"/>
    <w:rsid w:val="001B2821"/>
    <w:rsid w:val="001C057E"/>
    <w:rsid w:val="00203604"/>
    <w:rsid w:val="002064F7"/>
    <w:rsid w:val="00234D87"/>
    <w:rsid w:val="00240887"/>
    <w:rsid w:val="00262AD9"/>
    <w:rsid w:val="00263521"/>
    <w:rsid w:val="002739B4"/>
    <w:rsid w:val="002A7D21"/>
    <w:rsid w:val="002B1B5A"/>
    <w:rsid w:val="002B1E62"/>
    <w:rsid w:val="002C1EE0"/>
    <w:rsid w:val="002C4139"/>
    <w:rsid w:val="00301153"/>
    <w:rsid w:val="00323027"/>
    <w:rsid w:val="0037370B"/>
    <w:rsid w:val="0037752E"/>
    <w:rsid w:val="00380052"/>
    <w:rsid w:val="003843F3"/>
    <w:rsid w:val="00385106"/>
    <w:rsid w:val="003C2CBD"/>
    <w:rsid w:val="003E58C2"/>
    <w:rsid w:val="003F02BF"/>
    <w:rsid w:val="004765AF"/>
    <w:rsid w:val="004779AA"/>
    <w:rsid w:val="004A0385"/>
    <w:rsid w:val="004A276E"/>
    <w:rsid w:val="004C7D9F"/>
    <w:rsid w:val="005006C5"/>
    <w:rsid w:val="005200E8"/>
    <w:rsid w:val="005328FA"/>
    <w:rsid w:val="00551B42"/>
    <w:rsid w:val="00562D70"/>
    <w:rsid w:val="00574579"/>
    <w:rsid w:val="00580C5C"/>
    <w:rsid w:val="0059396E"/>
    <w:rsid w:val="005A021D"/>
    <w:rsid w:val="005B3930"/>
    <w:rsid w:val="005E17DC"/>
    <w:rsid w:val="00634DAD"/>
    <w:rsid w:val="006457EB"/>
    <w:rsid w:val="006531CB"/>
    <w:rsid w:val="006D3AD2"/>
    <w:rsid w:val="006D4161"/>
    <w:rsid w:val="006D786C"/>
    <w:rsid w:val="006F285F"/>
    <w:rsid w:val="0072219B"/>
    <w:rsid w:val="007432F2"/>
    <w:rsid w:val="007474F0"/>
    <w:rsid w:val="00753ADE"/>
    <w:rsid w:val="00773F61"/>
    <w:rsid w:val="007A4EBD"/>
    <w:rsid w:val="007B112B"/>
    <w:rsid w:val="007B5B26"/>
    <w:rsid w:val="007B691A"/>
    <w:rsid w:val="007C1FF6"/>
    <w:rsid w:val="007D61B8"/>
    <w:rsid w:val="007F7FF2"/>
    <w:rsid w:val="00805B42"/>
    <w:rsid w:val="00806A18"/>
    <w:rsid w:val="008102AD"/>
    <w:rsid w:val="00821A55"/>
    <w:rsid w:val="00837997"/>
    <w:rsid w:val="00867FC5"/>
    <w:rsid w:val="00892F80"/>
    <w:rsid w:val="008B4F41"/>
    <w:rsid w:val="008C6F75"/>
    <w:rsid w:val="009015B2"/>
    <w:rsid w:val="009042D5"/>
    <w:rsid w:val="00906E90"/>
    <w:rsid w:val="0091051D"/>
    <w:rsid w:val="009309E8"/>
    <w:rsid w:val="00936F84"/>
    <w:rsid w:val="00940851"/>
    <w:rsid w:val="0094574B"/>
    <w:rsid w:val="009679D9"/>
    <w:rsid w:val="009D699F"/>
    <w:rsid w:val="009D73F5"/>
    <w:rsid w:val="009E1A3F"/>
    <w:rsid w:val="009F0BD3"/>
    <w:rsid w:val="009F179D"/>
    <w:rsid w:val="00A17D4B"/>
    <w:rsid w:val="00A61AD5"/>
    <w:rsid w:val="00A67A80"/>
    <w:rsid w:val="00A73038"/>
    <w:rsid w:val="00A75EA2"/>
    <w:rsid w:val="00A76C99"/>
    <w:rsid w:val="00A81EBE"/>
    <w:rsid w:val="00AC6B95"/>
    <w:rsid w:val="00B00E5C"/>
    <w:rsid w:val="00B441C2"/>
    <w:rsid w:val="00B666B9"/>
    <w:rsid w:val="00B76DC1"/>
    <w:rsid w:val="00B82954"/>
    <w:rsid w:val="00B829FB"/>
    <w:rsid w:val="00B862C0"/>
    <w:rsid w:val="00BA4DC3"/>
    <w:rsid w:val="00BB592E"/>
    <w:rsid w:val="00BE2DD8"/>
    <w:rsid w:val="00C2305A"/>
    <w:rsid w:val="00C23CC9"/>
    <w:rsid w:val="00C30850"/>
    <w:rsid w:val="00C30B3D"/>
    <w:rsid w:val="00C33AE2"/>
    <w:rsid w:val="00C53793"/>
    <w:rsid w:val="00C66A0B"/>
    <w:rsid w:val="00C8096C"/>
    <w:rsid w:val="00C8100B"/>
    <w:rsid w:val="00CA41D2"/>
    <w:rsid w:val="00CA4F20"/>
    <w:rsid w:val="00CF3747"/>
    <w:rsid w:val="00D05EB6"/>
    <w:rsid w:val="00D22748"/>
    <w:rsid w:val="00D26918"/>
    <w:rsid w:val="00D37121"/>
    <w:rsid w:val="00D67219"/>
    <w:rsid w:val="00D779F7"/>
    <w:rsid w:val="00D87542"/>
    <w:rsid w:val="00D95C20"/>
    <w:rsid w:val="00D97C16"/>
    <w:rsid w:val="00DE1DAB"/>
    <w:rsid w:val="00DE20A2"/>
    <w:rsid w:val="00DF0B89"/>
    <w:rsid w:val="00E20FAF"/>
    <w:rsid w:val="00E35682"/>
    <w:rsid w:val="00E46EA3"/>
    <w:rsid w:val="00E51C1B"/>
    <w:rsid w:val="00E53DA7"/>
    <w:rsid w:val="00E9274C"/>
    <w:rsid w:val="00EC6B44"/>
    <w:rsid w:val="00EE37A3"/>
    <w:rsid w:val="00EF1950"/>
    <w:rsid w:val="00EF6ACF"/>
    <w:rsid w:val="00F22594"/>
    <w:rsid w:val="00F4385E"/>
    <w:rsid w:val="00F56E28"/>
    <w:rsid w:val="00F627EB"/>
    <w:rsid w:val="00F75A10"/>
    <w:rsid w:val="00F77276"/>
    <w:rsid w:val="00FB3F26"/>
    <w:rsid w:val="00FC3213"/>
    <w:rsid w:val="00FC48C6"/>
    <w:rsid w:val="00FF5E54"/>
  </w:rsids>
  <w:docVars>
    <w:docVar w:name="btnwarning" w:val="1"/>
    <w:docVar w:name="sivug" w:val="0"/>
    <w:docVar w:name="space" w:val="True"/>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5:chartTrackingRefBased/>
  <w15:docId w15:val="{1EBC8EA0-B0EB-4D86-95C8-F83A2B3F8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01A4"/>
    <w:pPr>
      <w:bidi/>
      <w:spacing w:after="0" w:line="312" w:lineRule="auto"/>
    </w:pPr>
  </w:style>
  <w:style w:type="paragraph" w:styleId="Heading1">
    <w:name w:val="heading 1"/>
    <w:basedOn w:val="Normal"/>
    <w:next w:val="Normal"/>
    <w:link w:val="1"/>
    <w:uiPriority w:val="1"/>
    <w:qFormat/>
    <w:rsid w:val="000501A4"/>
    <w:pPr>
      <w:keepNext/>
      <w:keepLines/>
      <w:jc w:val="center"/>
      <w:outlineLvl w:val="0"/>
    </w:pPr>
    <w:rPr>
      <w:rFonts w:eastAsiaTheme="majorEastAsia"/>
      <w:bCs/>
      <w:szCs w:val="36"/>
      <w:u w:val="single"/>
    </w:rPr>
  </w:style>
  <w:style w:type="paragraph" w:styleId="Heading2">
    <w:name w:val="heading 2"/>
    <w:basedOn w:val="Normal"/>
    <w:next w:val="Normal"/>
    <w:link w:val="2"/>
    <w:uiPriority w:val="1"/>
    <w:qFormat/>
    <w:rsid w:val="000501A4"/>
    <w:pPr>
      <w:keepNext/>
      <w:keepLines/>
      <w:spacing w:before="480"/>
      <w:jc w:val="center"/>
      <w:outlineLvl w:val="1"/>
    </w:pPr>
    <w:rPr>
      <w:rFonts w:eastAsiaTheme="majorEastAsia"/>
      <w:bCs/>
      <w:szCs w:val="32"/>
    </w:rPr>
  </w:style>
  <w:style w:type="paragraph" w:styleId="Heading3">
    <w:name w:val="heading 3"/>
    <w:basedOn w:val="Normal"/>
    <w:next w:val="Normal"/>
    <w:link w:val="3"/>
    <w:uiPriority w:val="1"/>
    <w:qFormat/>
    <w:rsid w:val="006D786C"/>
    <w:pPr>
      <w:keepNext/>
      <w:keepLines/>
      <w:spacing w:before="120"/>
      <w:outlineLvl w:val="2"/>
    </w:pPr>
    <w:rPr>
      <w:rFonts w:eastAsiaTheme="majorEastAsia"/>
      <w:bCs/>
      <w:szCs w:val="28"/>
      <w:u w:val="single"/>
    </w:rPr>
  </w:style>
  <w:style w:type="paragraph" w:styleId="Heading4">
    <w:name w:val="heading 4"/>
    <w:basedOn w:val="Normal"/>
    <w:next w:val="Normal"/>
    <w:link w:val="4"/>
    <w:uiPriority w:val="1"/>
    <w:qFormat/>
    <w:rsid w:val="006D786C"/>
    <w:pPr>
      <w:keepNext/>
      <w:keepLines/>
      <w:spacing w:before="120"/>
      <w:outlineLvl w:val="3"/>
    </w:pPr>
    <w:rPr>
      <w:rFonts w:eastAsiaTheme="majorEastAsia"/>
      <w:bCs/>
      <w:szCs w:val="26"/>
    </w:rPr>
  </w:style>
  <w:style w:type="paragraph" w:styleId="Heading5">
    <w:name w:val="heading 5"/>
    <w:basedOn w:val="Normal"/>
    <w:next w:val="Normal"/>
    <w:link w:val="5"/>
    <w:uiPriority w:val="1"/>
    <w:qFormat/>
    <w:rsid w:val="000501A4"/>
    <w:pPr>
      <w:keepNext/>
      <w:keepLines/>
      <w:outlineLvl w:val="4"/>
    </w:pPr>
    <w:rPr>
      <w:rFonts w:eastAsiaTheme="majorEastAsia"/>
      <w:bCs/>
      <w:spacing w:val="40"/>
    </w:rPr>
  </w:style>
  <w:style w:type="paragraph" w:styleId="Heading6">
    <w:name w:val="heading 6"/>
    <w:basedOn w:val="Normal"/>
    <w:next w:val="Normal"/>
    <w:link w:val="6"/>
    <w:uiPriority w:val="1"/>
    <w:qFormat/>
    <w:rsid w:val="000501A4"/>
    <w:pPr>
      <w:keepNext/>
      <w:keepLines/>
      <w:outlineLvl w:val="5"/>
    </w:pPr>
    <w:rPr>
      <w:rFonts w:eastAsiaTheme="majorEastAsia"/>
      <w:spacing w:val="40"/>
    </w:rPr>
  </w:style>
  <w:style w:type="paragraph" w:styleId="Heading7">
    <w:name w:val="heading 7"/>
    <w:basedOn w:val="Normal"/>
    <w:next w:val="Normal"/>
    <w:link w:val="7"/>
    <w:uiPriority w:val="1"/>
    <w:qFormat/>
    <w:rsid w:val="000501A4"/>
    <w:pPr>
      <w:keepNext/>
      <w:keepLines/>
      <w:outlineLvl w:val="6"/>
    </w:pPr>
    <w:rPr>
      <w:rFonts w:eastAsiaTheme="majorEastAsia"/>
      <w:bCs/>
      <w:spacing w:val="40"/>
    </w:rPr>
  </w:style>
  <w:style w:type="paragraph" w:styleId="Heading8">
    <w:name w:val="heading 8"/>
    <w:basedOn w:val="Normal"/>
    <w:next w:val="Normal"/>
    <w:link w:val="8"/>
    <w:uiPriority w:val="1"/>
    <w:qFormat/>
    <w:rsid w:val="000501A4"/>
    <w:pPr>
      <w:keepNext/>
      <w:keepLines/>
      <w:outlineLvl w:val="7"/>
    </w:pPr>
    <w:rPr>
      <w:rFonts w:eastAsiaTheme="majorEastAsia"/>
      <w:spacing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כותרת 1 תו"/>
    <w:basedOn w:val="DefaultParagraphFont"/>
    <w:link w:val="Heading1"/>
    <w:uiPriority w:val="1"/>
    <w:rsid w:val="000501A4"/>
    <w:rPr>
      <w:rFonts w:eastAsiaTheme="majorEastAsia"/>
      <w:bCs/>
      <w:szCs w:val="36"/>
      <w:u w:val="single"/>
    </w:rPr>
  </w:style>
  <w:style w:type="character" w:customStyle="1" w:styleId="2">
    <w:name w:val="כותרת 2 תו"/>
    <w:basedOn w:val="DefaultParagraphFont"/>
    <w:link w:val="Heading2"/>
    <w:uiPriority w:val="1"/>
    <w:rsid w:val="000501A4"/>
    <w:rPr>
      <w:rFonts w:eastAsiaTheme="majorEastAsia"/>
      <w:bCs/>
      <w:szCs w:val="32"/>
    </w:rPr>
  </w:style>
  <w:style w:type="character" w:customStyle="1" w:styleId="3">
    <w:name w:val="כותרת 3 תו"/>
    <w:basedOn w:val="DefaultParagraphFont"/>
    <w:link w:val="Heading3"/>
    <w:uiPriority w:val="1"/>
    <w:rsid w:val="006D786C"/>
    <w:rPr>
      <w:rFonts w:eastAsiaTheme="majorEastAsia"/>
      <w:bCs/>
      <w:szCs w:val="28"/>
      <w:u w:val="single"/>
    </w:rPr>
  </w:style>
  <w:style w:type="character" w:customStyle="1" w:styleId="4">
    <w:name w:val="כותרת 4 תו"/>
    <w:basedOn w:val="DefaultParagraphFont"/>
    <w:link w:val="Heading4"/>
    <w:uiPriority w:val="1"/>
    <w:rsid w:val="006D786C"/>
    <w:rPr>
      <w:rFonts w:eastAsiaTheme="majorEastAsia"/>
      <w:bCs/>
      <w:szCs w:val="26"/>
    </w:rPr>
  </w:style>
  <w:style w:type="character" w:customStyle="1" w:styleId="5">
    <w:name w:val="כותרת 5 תו"/>
    <w:basedOn w:val="DefaultParagraphFont"/>
    <w:link w:val="Heading5"/>
    <w:uiPriority w:val="1"/>
    <w:rsid w:val="000501A4"/>
    <w:rPr>
      <w:rFonts w:eastAsiaTheme="majorEastAsia"/>
      <w:bCs/>
      <w:spacing w:val="40"/>
    </w:rPr>
  </w:style>
  <w:style w:type="character" w:customStyle="1" w:styleId="6">
    <w:name w:val="כותרת 6 תו"/>
    <w:basedOn w:val="DefaultParagraphFont"/>
    <w:link w:val="Heading6"/>
    <w:uiPriority w:val="1"/>
    <w:rsid w:val="000501A4"/>
    <w:rPr>
      <w:rFonts w:eastAsiaTheme="majorEastAsia"/>
      <w:spacing w:val="40"/>
    </w:rPr>
  </w:style>
  <w:style w:type="character" w:customStyle="1" w:styleId="7">
    <w:name w:val="כותרת 7 תו"/>
    <w:basedOn w:val="DefaultParagraphFont"/>
    <w:link w:val="Heading7"/>
    <w:uiPriority w:val="1"/>
    <w:rsid w:val="000501A4"/>
    <w:rPr>
      <w:rFonts w:eastAsiaTheme="majorEastAsia"/>
      <w:bCs/>
      <w:spacing w:val="40"/>
    </w:rPr>
  </w:style>
  <w:style w:type="character" w:customStyle="1" w:styleId="8">
    <w:name w:val="כותרת 8 תו"/>
    <w:basedOn w:val="DefaultParagraphFont"/>
    <w:link w:val="Heading8"/>
    <w:uiPriority w:val="1"/>
    <w:rsid w:val="000501A4"/>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rsid w:val="000501A4"/>
    <w:rPr>
      <w:szCs w:val="20"/>
    </w:rPr>
  </w:style>
  <w:style w:type="paragraph" w:styleId="Header">
    <w:name w:val="header"/>
    <w:basedOn w:val="Normal"/>
    <w:link w:val="a1"/>
    <w:uiPriority w:val="99"/>
    <w:unhideWhenUsed/>
    <w:rsid w:val="000501A4"/>
    <w:pPr>
      <w:tabs>
        <w:tab w:val="center" w:pos="4153"/>
        <w:tab w:val="right" w:pos="8306"/>
      </w:tabs>
      <w:spacing w:line="240" w:lineRule="auto"/>
    </w:pPr>
  </w:style>
  <w:style w:type="character" w:customStyle="1" w:styleId="a1">
    <w:name w:val="כותרת עליונה תו"/>
    <w:basedOn w:val="DefaultParagraphFont"/>
    <w:link w:val="Header"/>
    <w:uiPriority w:val="99"/>
    <w:rsid w:val="000501A4"/>
  </w:style>
  <w:style w:type="paragraph" w:styleId="Footer">
    <w:name w:val="footer"/>
    <w:basedOn w:val="Normal"/>
    <w:link w:val="a2"/>
    <w:uiPriority w:val="99"/>
    <w:unhideWhenUsed/>
    <w:rsid w:val="000501A4"/>
    <w:pPr>
      <w:tabs>
        <w:tab w:val="center" w:pos="4153"/>
        <w:tab w:val="right" w:pos="8306"/>
      </w:tabs>
      <w:spacing w:line="240" w:lineRule="auto"/>
    </w:pPr>
  </w:style>
  <w:style w:type="character" w:customStyle="1" w:styleId="a2">
    <w:name w:val="כותרת תחתונה תו"/>
    <w:basedOn w:val="DefaultParagraphFont"/>
    <w:link w:val="Footer"/>
    <w:uiPriority w:val="99"/>
    <w:rsid w:val="000501A4"/>
  </w:style>
  <w:style w:type="paragraph" w:styleId="Date">
    <w:name w:val="Date"/>
    <w:basedOn w:val="Normal"/>
    <w:next w:val="Normal"/>
    <w:link w:val="a3"/>
    <w:uiPriority w:val="99"/>
    <w:unhideWhenUsed/>
    <w:rsid w:val="000501A4"/>
    <w:pPr>
      <w:spacing w:before="120" w:line="240" w:lineRule="auto"/>
    </w:pPr>
  </w:style>
  <w:style w:type="character" w:customStyle="1" w:styleId="a3">
    <w:name w:val="תאריך תו"/>
    <w:basedOn w:val="DefaultParagraphFont"/>
    <w:link w:val="Date"/>
    <w:uiPriority w:val="99"/>
    <w:rsid w:val="000501A4"/>
  </w:style>
  <w:style w:type="paragraph" w:styleId="FootnoteText">
    <w:name w:val="footnote text"/>
    <w:basedOn w:val="Normal"/>
    <w:link w:val="a4"/>
    <w:uiPriority w:val="99"/>
    <w:rsid w:val="00574579"/>
    <w:pPr>
      <w:spacing w:line="240" w:lineRule="auto"/>
      <w:ind w:left="720" w:hanging="720"/>
    </w:pPr>
    <w:rPr>
      <w:szCs w:val="20"/>
    </w:rPr>
  </w:style>
  <w:style w:type="character" w:customStyle="1" w:styleId="a4">
    <w:name w:val="טקסט הערת שוליים תו"/>
    <w:basedOn w:val="DefaultParagraphFont"/>
    <w:link w:val="FootnoteText"/>
    <w:uiPriority w:val="99"/>
    <w:rsid w:val="00574579"/>
    <w:rPr>
      <w:szCs w:val="20"/>
    </w:rPr>
  </w:style>
  <w:style w:type="character" w:styleId="FootnoteReference">
    <w:name w:val="footnote reference"/>
    <w:basedOn w:val="DefaultParagraphFont"/>
    <w:uiPriority w:val="99"/>
    <w:unhideWhenUsed/>
    <w:rsid w:val="000501A4"/>
    <w:rPr>
      <w:vertAlign w:val="superscript"/>
    </w:rPr>
  </w:style>
  <w:style w:type="table" w:styleId="TableGrid">
    <w:name w:val="Table Grid"/>
    <w:basedOn w:val="TableNormal"/>
    <w:uiPriority w:val="59"/>
    <w:rsid w:val="005E1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5E17DC"/>
    <w:pPr>
      <w:ind w:left="720"/>
      <w:contextualSpacing/>
    </w:pPr>
  </w:style>
  <w:style w:type="paragraph" w:styleId="BalloonText">
    <w:name w:val="Balloon Text"/>
    <w:basedOn w:val="Normal"/>
    <w:link w:val="a5"/>
    <w:uiPriority w:val="99"/>
    <w:semiHidden/>
    <w:unhideWhenUsed/>
    <w:rsid w:val="005E17DC"/>
    <w:pPr>
      <w:spacing w:line="240" w:lineRule="auto"/>
    </w:pPr>
    <w:rPr>
      <w:rFonts w:ascii="Tahoma" w:hAnsi="Tahoma" w:cs="Tahoma"/>
      <w:sz w:val="18"/>
      <w:szCs w:val="18"/>
    </w:rPr>
  </w:style>
  <w:style w:type="character" w:customStyle="1" w:styleId="a5">
    <w:name w:val="טקסט בלונים תו"/>
    <w:basedOn w:val="DefaultParagraphFont"/>
    <w:link w:val="BalloonText"/>
    <w:uiPriority w:val="99"/>
    <w:semiHidden/>
    <w:rsid w:val="005E17DC"/>
    <w:rPr>
      <w:rFonts w:ascii="Tahoma" w:hAnsi="Tahoma" w:cs="Tahoma"/>
      <w:sz w:val="18"/>
      <w:szCs w:val="18"/>
    </w:rPr>
  </w:style>
  <w:style w:type="paragraph" w:styleId="CommentText">
    <w:name w:val="annotation text"/>
    <w:basedOn w:val="Normal"/>
    <w:link w:val="a6"/>
    <w:uiPriority w:val="99"/>
    <w:unhideWhenUsed/>
    <w:rsid w:val="005E17DC"/>
    <w:pPr>
      <w:widowControl w:val="0"/>
      <w:spacing w:line="240" w:lineRule="auto"/>
    </w:pPr>
    <w:rPr>
      <w:rFonts w:eastAsia="Times New Roman"/>
      <w:szCs w:val="20"/>
      <w:lang w:eastAsia="he-IL"/>
    </w:rPr>
  </w:style>
  <w:style w:type="character" w:customStyle="1" w:styleId="a6">
    <w:name w:val="טקסט הערה תו"/>
    <w:basedOn w:val="DefaultParagraphFont"/>
    <w:link w:val="CommentText"/>
    <w:uiPriority w:val="99"/>
    <w:rsid w:val="005E17DC"/>
    <w:rPr>
      <w:rFonts w:eastAsia="Times New Roman"/>
      <w:szCs w:val="20"/>
      <w:lang w:eastAsia="he-IL"/>
    </w:rPr>
  </w:style>
  <w:style w:type="character" w:styleId="CommentReference">
    <w:name w:val="annotation reference"/>
    <w:basedOn w:val="DefaultParagraphFont"/>
    <w:uiPriority w:val="99"/>
    <w:semiHidden/>
    <w:unhideWhenUsed/>
    <w:rsid w:val="005E17DC"/>
    <w:rPr>
      <w:sz w:val="16"/>
      <w:szCs w:val="16"/>
    </w:rPr>
  </w:style>
  <w:style w:type="paragraph" w:styleId="CommentSubject">
    <w:name w:val="annotation subject"/>
    <w:basedOn w:val="CommentText"/>
    <w:next w:val="CommentText"/>
    <w:link w:val="a7"/>
    <w:uiPriority w:val="99"/>
    <w:semiHidden/>
    <w:unhideWhenUsed/>
    <w:rsid w:val="005E17DC"/>
    <w:pPr>
      <w:widowControl/>
    </w:pPr>
    <w:rPr>
      <w:rFonts w:eastAsiaTheme="minorHAnsi"/>
      <w:b/>
      <w:bCs/>
      <w:lang w:eastAsia="en-US"/>
    </w:rPr>
  </w:style>
  <w:style w:type="character" w:customStyle="1" w:styleId="a7">
    <w:name w:val="נושא הערה תו"/>
    <w:basedOn w:val="a6"/>
    <w:link w:val="CommentSubject"/>
    <w:uiPriority w:val="99"/>
    <w:semiHidden/>
    <w:rsid w:val="005E17DC"/>
    <w:rPr>
      <w:rFonts w:eastAsia="Times New Roman"/>
      <w:b/>
      <w:bCs/>
      <w:szCs w:val="20"/>
      <w:lang w:eastAsia="he-IL"/>
    </w:rPr>
  </w:style>
  <w:style w:type="paragraph" w:styleId="NormalWeb">
    <w:name w:val="Normal (Web)"/>
    <w:basedOn w:val="Normal"/>
    <w:uiPriority w:val="99"/>
    <w:unhideWhenUsed/>
    <w:rsid w:val="005E17DC"/>
    <w:pPr>
      <w:bidi w:val="0"/>
      <w:spacing w:before="100" w:beforeAutospacing="1" w:after="100" w:afterAutospacing="1" w:line="240" w:lineRule="auto"/>
      <w:jc w:val="left"/>
    </w:pPr>
    <w:rPr>
      <w:rFonts w:eastAsia="Times New Roman" w:cs="Times New Roman"/>
      <w:sz w:val="24"/>
    </w:rPr>
  </w:style>
  <w:style w:type="paragraph" w:styleId="EndnoteText">
    <w:name w:val="endnote text"/>
    <w:basedOn w:val="Normal"/>
    <w:link w:val="a8"/>
    <w:uiPriority w:val="99"/>
    <w:semiHidden/>
    <w:unhideWhenUsed/>
    <w:rsid w:val="005E17DC"/>
    <w:pPr>
      <w:spacing w:line="240" w:lineRule="auto"/>
    </w:pPr>
    <w:rPr>
      <w:szCs w:val="20"/>
    </w:rPr>
  </w:style>
  <w:style w:type="character" w:customStyle="1" w:styleId="a8">
    <w:name w:val="טקסט הערת סיום תו"/>
    <w:basedOn w:val="DefaultParagraphFont"/>
    <w:link w:val="EndnoteText"/>
    <w:uiPriority w:val="99"/>
    <w:semiHidden/>
    <w:rsid w:val="005E17DC"/>
    <w:rPr>
      <w:szCs w:val="20"/>
    </w:rPr>
  </w:style>
  <w:style w:type="character" w:styleId="EndnoteReference">
    <w:name w:val="endnote reference"/>
    <w:basedOn w:val="DefaultParagraphFont"/>
    <w:uiPriority w:val="99"/>
    <w:semiHidden/>
    <w:unhideWhenUsed/>
    <w:rsid w:val="005E17DC"/>
    <w:rPr>
      <w:vertAlign w:val="superscript"/>
    </w:rPr>
  </w:style>
  <w:style w:type="paragraph" w:styleId="Revision">
    <w:name w:val="Revision"/>
    <w:hidden/>
    <w:uiPriority w:val="99"/>
    <w:semiHidden/>
    <w:rsid w:val="005E17DC"/>
    <w:pPr>
      <w:spacing w:after="0" w:line="240" w:lineRule="auto"/>
      <w:jc w:val="left"/>
    </w:pPr>
  </w:style>
  <w:style w:type="paragraph" w:styleId="TOCHeading">
    <w:name w:val="TOC Heading"/>
    <w:basedOn w:val="Heading1"/>
    <w:next w:val="Normal"/>
    <w:uiPriority w:val="39"/>
    <w:unhideWhenUsed/>
    <w:qFormat/>
    <w:rsid w:val="005E17DC"/>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2">
    <w:name w:val="toc 2"/>
    <w:basedOn w:val="Normal"/>
    <w:next w:val="Normal"/>
    <w:autoRedefine/>
    <w:uiPriority w:val="39"/>
    <w:unhideWhenUsed/>
    <w:rsid w:val="005E17DC"/>
    <w:pPr>
      <w:spacing w:after="100"/>
      <w:ind w:left="200"/>
    </w:pPr>
  </w:style>
  <w:style w:type="paragraph" w:styleId="TOC3">
    <w:name w:val="toc 3"/>
    <w:basedOn w:val="Normal"/>
    <w:next w:val="Normal"/>
    <w:autoRedefine/>
    <w:uiPriority w:val="39"/>
    <w:unhideWhenUsed/>
    <w:rsid w:val="005E17DC"/>
    <w:pPr>
      <w:spacing w:after="100"/>
      <w:ind w:left="400"/>
    </w:pPr>
  </w:style>
  <w:style w:type="character" w:styleId="Hyperlink">
    <w:name w:val="Hyperlink"/>
    <w:basedOn w:val="DefaultParagraphFont"/>
    <w:uiPriority w:val="99"/>
    <w:unhideWhenUsed/>
    <w:rsid w:val="005E17DC"/>
    <w:rPr>
      <w:color w:val="0000FF" w:themeColor="hyperlink"/>
      <w:u w:val="single"/>
    </w:rPr>
  </w:style>
  <w:style w:type="paragraph" w:styleId="TOC4">
    <w:name w:val="toc 4"/>
    <w:basedOn w:val="Normal"/>
    <w:next w:val="Normal"/>
    <w:autoRedefine/>
    <w:uiPriority w:val="39"/>
    <w:unhideWhenUsed/>
    <w:rsid w:val="005E17DC"/>
    <w:pPr>
      <w:spacing w:after="100"/>
      <w:ind w:left="600"/>
    </w:pPr>
  </w:style>
  <w:style w:type="paragraph" w:styleId="TOC5">
    <w:name w:val="toc 5"/>
    <w:basedOn w:val="Normal"/>
    <w:next w:val="Normal"/>
    <w:autoRedefine/>
    <w:uiPriority w:val="39"/>
    <w:unhideWhenUsed/>
    <w:rsid w:val="005E17DC"/>
    <w:pPr>
      <w:spacing w:after="100"/>
      <w:ind w:left="800"/>
    </w:pPr>
  </w:style>
  <w:style w:type="character" w:customStyle="1" w:styleId="Bodytext2">
    <w:name w:val="Body text (2)_"/>
    <w:basedOn w:val="DefaultParagraphFont"/>
    <w:link w:val="Bodytext20"/>
    <w:rsid w:val="005E17DC"/>
    <w:rPr>
      <w:rFonts w:ascii="David" w:eastAsia="David" w:hAnsi="David"/>
      <w:sz w:val="22"/>
      <w:szCs w:val="22"/>
      <w:shd w:val="clear" w:color="auto" w:fill="FFFFFF"/>
    </w:rPr>
  </w:style>
  <w:style w:type="paragraph" w:customStyle="1" w:styleId="Bodytext20">
    <w:name w:val="Body text (2)"/>
    <w:basedOn w:val="Normal"/>
    <w:link w:val="Bodytext2"/>
    <w:rsid w:val="005E17DC"/>
    <w:pPr>
      <w:widowControl w:val="0"/>
      <w:shd w:val="clear" w:color="auto" w:fill="FFFFFF"/>
      <w:spacing w:before="300" w:after="120" w:line="340" w:lineRule="exact"/>
      <w:ind w:hanging="420"/>
    </w:pPr>
    <w:rPr>
      <w:rFonts w:ascii="David" w:eastAsia="David" w:hAnsi="David"/>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7.xml"/><Relationship Id="rId18" Type="http://schemas.openxmlformats.org/officeDocument/2006/relationships/chart" Target="charts/chart12.xml"/><Relationship Id="rId26" Type="http://schemas.openxmlformats.org/officeDocument/2006/relationships/header" Target="header2.xml"/><Relationship Id="rId21" Type="http://schemas.openxmlformats.org/officeDocument/2006/relationships/chart" Target="charts/chart14.xml"/><Relationship Id="rId3" Type="http://schemas.openxmlformats.org/officeDocument/2006/relationships/webSettings" Target="webSettings.xml"/><Relationship Id="rId12" Type="http://schemas.openxmlformats.org/officeDocument/2006/relationships/chart" Target="charts/chart6.xml"/><Relationship Id="rId17" Type="http://schemas.openxmlformats.org/officeDocument/2006/relationships/chart" Target="charts/chart11.xml"/><Relationship Id="rId25" Type="http://schemas.openxmlformats.org/officeDocument/2006/relationships/footer" Target="footer1.xml"/><Relationship Id="rId7" Type="http://schemas.openxmlformats.org/officeDocument/2006/relationships/chart" Target="charts/chart1.xml"/><Relationship Id="rId33" Type="http://schemas.openxmlformats.org/officeDocument/2006/relationships/customXml" Target="../customXml/item4.xml"/><Relationship Id="rId16" Type="http://schemas.openxmlformats.org/officeDocument/2006/relationships/chart" Target="charts/chart10.xml"/><Relationship Id="rId2" Type="http://schemas.openxmlformats.org/officeDocument/2006/relationships/settings" Target="settings.xml"/><Relationship Id="rId20" Type="http://schemas.openxmlformats.org/officeDocument/2006/relationships/chart" Target="charts/chart13.xml"/><Relationship Id="rId29" Type="http://schemas.openxmlformats.org/officeDocument/2006/relationships/numbering" Target="numbering.xml"/><Relationship Id="rId1" Type="http://schemas.openxmlformats.org/officeDocument/2006/relationships/footnotes" Target="footnotes.xml"/><Relationship Id="rId11" Type="http://schemas.openxmlformats.org/officeDocument/2006/relationships/chart" Target="charts/chart5.xml"/><Relationship Id="rId24" Type="http://schemas.openxmlformats.org/officeDocument/2006/relationships/header" Target="header1.xml"/><Relationship Id="rId6" Type="http://schemas.openxmlformats.org/officeDocument/2006/relationships/image" Target="media/image1.jpeg"/><Relationship Id="rId32" Type="http://schemas.openxmlformats.org/officeDocument/2006/relationships/customXml" Target="../customXml/item3.xml"/><Relationship Id="rId15" Type="http://schemas.openxmlformats.org/officeDocument/2006/relationships/chart" Target="charts/chart9.xml"/><Relationship Id="rId23" Type="http://schemas.openxmlformats.org/officeDocument/2006/relationships/chart" Target="charts/chart15.xml"/><Relationship Id="rId28" Type="http://schemas.openxmlformats.org/officeDocument/2006/relationships/theme" Target="theme/theme1.xml"/><Relationship Id="rId5" Type="http://schemas.openxmlformats.org/officeDocument/2006/relationships/customXml" Target="../customXml/item1.xml"/><Relationship Id="rId10" Type="http://schemas.openxmlformats.org/officeDocument/2006/relationships/chart" Target="charts/chart4.xml"/><Relationship Id="rId19" Type="http://schemas.openxmlformats.org/officeDocument/2006/relationships/image" Target="media/image2.jpeg"/><Relationship Id="rId31" Type="http://schemas.openxmlformats.org/officeDocument/2006/relationships/customXml" Target="../customXml/item2.xml"/><Relationship Id="rId14" Type="http://schemas.openxmlformats.org/officeDocument/2006/relationships/chart" Target="charts/chart8.xml"/><Relationship Id="rId22" Type="http://schemas.openxmlformats.org/officeDocument/2006/relationships/image" Target="media/image3.jpeg"/><Relationship Id="rId27" Type="http://schemas.openxmlformats.org/officeDocument/2006/relationships/footer" Target="footer2.xml"/><Relationship Id="rId30" Type="http://schemas.openxmlformats.org/officeDocument/2006/relationships/styles" Target="styles.xml"/><Relationship Id="rId4" Type="http://schemas.openxmlformats.org/officeDocument/2006/relationships/fontTable" Target="fontTable.xml"/><Relationship Id="rId9" Type="http://schemas.openxmlformats.org/officeDocument/2006/relationships/chart" Target="charts/chart3.xml"/><Relationship Id="rId8" Type="http://schemas.openxmlformats.org/officeDocument/2006/relationships/chart" Target="charts/chart2.xml"/></Relationships>
</file>

<file path=word/charts/_rels/chart1.xml.rels>&#65279;<?xml version="1.0" encoding="utf-8" standalone="yes"?><Relationships xmlns="http://schemas.openxmlformats.org/package/2006/relationships"><Relationship Id="rId1" Type="http://schemas.openxmlformats.org/officeDocument/2006/relationships/package" Target="../embeddings/Microsoft_Excel_Worksheet1.xlsx" /><Relationship Id="rId2" Type="http://schemas.openxmlformats.org/officeDocument/2006/relationships/themeOverride" Target="../theme/themeOverride1.xml" /><Relationship Id="rId3" Type="http://schemas.microsoft.com/office/2011/relationships/chartColorStyle" Target="chart/colors1.xml" /><Relationship Id="rId4" Type="http://schemas.microsoft.com/office/2011/relationships/chartStyle" Target="chart/style1.xml" /></Relationships>
</file>

<file path=word/charts/_rels/chart10.xml.rels>&#65279;<?xml version="1.0" encoding="utf-8" standalone="yes"?><Relationships xmlns="http://schemas.openxmlformats.org/package/2006/relationships"><Relationship Id="rId1" Type="http://schemas.openxmlformats.org/officeDocument/2006/relationships/package" Target="../embeddings/Microsoft_Excel_Worksheet10.xlsx" /><Relationship Id="rId2" Type="http://schemas.openxmlformats.org/officeDocument/2006/relationships/themeOverride" Target="../theme/themeOverride10.xml" /><Relationship Id="rId3" Type="http://schemas.microsoft.com/office/2011/relationships/chartColorStyle" Target="chart/colors8.xml" /><Relationship Id="rId4" Type="http://schemas.microsoft.com/office/2011/relationships/chartStyle" Target="chart/style8.xml" /></Relationships>
</file>

<file path=word/charts/_rels/chart11.xml.rels>&#65279;<?xml version="1.0" encoding="utf-8" standalone="yes"?><Relationships xmlns="http://schemas.openxmlformats.org/package/2006/relationships"><Relationship Id="rId1" Type="http://schemas.openxmlformats.org/officeDocument/2006/relationships/package" Target="../embeddings/Microsoft_Excel_Worksheet11.xlsx" /><Relationship Id="rId2" Type="http://schemas.openxmlformats.org/officeDocument/2006/relationships/themeOverride" Target="../theme/themeOverride11.xml" /><Relationship Id="rId3" Type="http://schemas.microsoft.com/office/2011/relationships/chartColorStyle" Target="chart/colors9.xml" /><Relationship Id="rId4" Type="http://schemas.microsoft.com/office/2011/relationships/chartStyle" Target="chart/style9.xml" /></Relationships>
</file>

<file path=word/charts/_rels/chart12.xml.rels>&#65279;<?xml version="1.0" encoding="utf-8" standalone="yes"?><Relationships xmlns="http://schemas.openxmlformats.org/package/2006/relationships"><Relationship Id="rId1" Type="http://schemas.openxmlformats.org/officeDocument/2006/relationships/package" Target="../embeddings/Microsoft_Excel_Worksheet12.xlsx" /><Relationship Id="rId2" Type="http://schemas.openxmlformats.org/officeDocument/2006/relationships/themeOverride" Target="../theme/themeOverride12.xml" /></Relationships>
</file>

<file path=word/charts/_rels/chart13.xml.rels>&#65279;<?xml version="1.0" encoding="utf-8" standalone="yes"?><Relationships xmlns="http://schemas.openxmlformats.org/package/2006/relationships"><Relationship Id="rId1" Type="http://schemas.openxmlformats.org/officeDocument/2006/relationships/package" Target="../embeddings/Microsoft_Excel_Worksheet13.xlsx" /><Relationship Id="rId2" Type="http://schemas.openxmlformats.org/officeDocument/2006/relationships/themeOverride" Target="../theme/themeOverride13.xml" /><Relationship Id="rId3" Type="http://schemas.microsoft.com/office/2011/relationships/chartColorStyle" Target="chart/colors10.xml" /><Relationship Id="rId4" Type="http://schemas.microsoft.com/office/2011/relationships/chartStyle" Target="chart/style10.xml" /></Relationships>
</file>

<file path=word/charts/_rels/chart14.xml.rels>&#65279;<?xml version="1.0" encoding="utf-8" standalone="yes"?><Relationships xmlns="http://schemas.openxmlformats.org/package/2006/relationships"><Relationship Id="rId1" Type="http://schemas.openxmlformats.org/officeDocument/2006/relationships/package" Target="../embeddings/Microsoft_Excel_Worksheet14.xlsx" /><Relationship Id="rId2" Type="http://schemas.openxmlformats.org/officeDocument/2006/relationships/themeOverride" Target="../theme/themeOverride14.xml" /><Relationship Id="rId3" Type="http://schemas.microsoft.com/office/2011/relationships/chartColorStyle" Target="chart/colors11.xml" /><Relationship Id="rId4" Type="http://schemas.microsoft.com/office/2011/relationships/chartStyle" Target="chart/style11.xml" /></Relationships>
</file>

<file path=word/charts/_rels/chart15.xml.rels>&#65279;<?xml version="1.0" encoding="utf-8" standalone="yes"?><Relationships xmlns="http://schemas.openxmlformats.org/package/2006/relationships"><Relationship Id="rId1" Type="http://schemas.openxmlformats.org/officeDocument/2006/relationships/package" Target="../embeddings/Microsoft_Excel_Worksheet15.xlsx" /><Relationship Id="rId2" Type="http://schemas.openxmlformats.org/officeDocument/2006/relationships/themeOverride" Target="../theme/themeOverride15.xml" /><Relationship Id="rId3" Type="http://schemas.microsoft.com/office/2011/relationships/chartColorStyle" Target="chart/colors12.xml" /><Relationship Id="rId4" Type="http://schemas.microsoft.com/office/2011/relationships/chartStyle" Target="chart/style12.xml" /></Relationships>
</file>

<file path=word/charts/_rels/chart2.xml.rels>&#65279;<?xml version="1.0" encoding="utf-8" standalone="yes"?><Relationships xmlns="http://schemas.openxmlformats.org/package/2006/relationships"><Relationship Id="rId1" Type="http://schemas.openxmlformats.org/officeDocument/2006/relationships/package" Target="../embeddings/Microsoft_Excel_Worksheet2.xlsx" /><Relationship Id="rId2" Type="http://schemas.openxmlformats.org/officeDocument/2006/relationships/themeOverride" Target="../theme/themeOverride2.xml" /></Relationships>
</file>

<file path=word/charts/_rels/chart3.xml.rels>&#65279;<?xml version="1.0" encoding="utf-8" standalone="yes"?><Relationships xmlns="http://schemas.openxmlformats.org/package/2006/relationships"><Relationship Id="rId1" Type="http://schemas.openxmlformats.org/officeDocument/2006/relationships/package" Target="../embeddings/Microsoft_Excel_Worksheet3.xlsx" /><Relationship Id="rId2" Type="http://schemas.openxmlformats.org/officeDocument/2006/relationships/themeOverride" Target="../theme/themeOverride3.xml" /><Relationship Id="rId3" Type="http://schemas.microsoft.com/office/2011/relationships/chartColorStyle" Target="chart/colors2.xml" /><Relationship Id="rId4" Type="http://schemas.microsoft.com/office/2011/relationships/chartStyle" Target="chart/style2.xml" /></Relationships>
</file>

<file path=word/charts/_rels/chart4.xml.rels>&#65279;<?xml version="1.0" encoding="utf-8" standalone="yes"?><Relationships xmlns="http://schemas.openxmlformats.org/package/2006/relationships"><Relationship Id="rId1" Type="http://schemas.openxmlformats.org/officeDocument/2006/relationships/package" Target="../embeddings/Microsoft_Excel_Worksheet4.xlsx" /><Relationship Id="rId2" Type="http://schemas.openxmlformats.org/officeDocument/2006/relationships/themeOverride" Target="../theme/themeOverride4.xml" /><Relationship Id="rId3" Type="http://schemas.microsoft.com/office/2011/relationships/chartColorStyle" Target="chart/colors3.xml" /><Relationship Id="rId4" Type="http://schemas.microsoft.com/office/2011/relationships/chartStyle" Target="chart/style3.xml" /></Relationships>
</file>

<file path=word/charts/_rels/chart5.xml.rels>&#65279;<?xml version="1.0" encoding="utf-8" standalone="yes"?><Relationships xmlns="http://schemas.openxmlformats.org/package/2006/relationships"><Relationship Id="rId1" Type="http://schemas.openxmlformats.org/officeDocument/2006/relationships/package" Target="../embeddings/Microsoft_Excel_Worksheet5.xlsx" /><Relationship Id="rId2" Type="http://schemas.openxmlformats.org/officeDocument/2006/relationships/themeOverride" Target="../theme/themeOverride5.xml" /><Relationship Id="rId3" Type="http://schemas.microsoft.com/office/2011/relationships/chartColorStyle" Target="chart/colors4.xml" /><Relationship Id="rId4" Type="http://schemas.microsoft.com/office/2011/relationships/chartStyle" Target="chart/style4.xml" /></Relationships>
</file>

<file path=word/charts/_rels/chart6.xml.rels>&#65279;<?xml version="1.0" encoding="utf-8" standalone="yes"?><Relationships xmlns="http://schemas.openxmlformats.org/package/2006/relationships"><Relationship Id="rId1" Type="http://schemas.openxmlformats.org/officeDocument/2006/relationships/package" Target="../embeddings/Microsoft_Excel_Worksheet6.xlsx" /><Relationship Id="rId2" Type="http://schemas.openxmlformats.org/officeDocument/2006/relationships/themeOverride" Target="../theme/themeOverride6.xml" /><Relationship Id="rId3" Type="http://schemas.microsoft.com/office/2011/relationships/chartColorStyle" Target="chart/colors5.xml" /><Relationship Id="rId4" Type="http://schemas.microsoft.com/office/2011/relationships/chartStyle" Target="chart/style5.xml" /></Relationships>
</file>

<file path=word/charts/_rels/chart7.xml.rels>&#65279;<?xml version="1.0" encoding="utf-8" standalone="yes"?><Relationships xmlns="http://schemas.openxmlformats.org/package/2006/relationships"><Relationship Id="rId1" Type="http://schemas.openxmlformats.org/officeDocument/2006/relationships/package" Target="../embeddings/Microsoft_Excel_Worksheet7.xlsx" /><Relationship Id="rId2" Type="http://schemas.openxmlformats.org/officeDocument/2006/relationships/themeOverride" Target="../theme/themeOverride7.xml" /></Relationships>
</file>

<file path=word/charts/_rels/chart8.xml.rels>&#65279;<?xml version="1.0" encoding="utf-8" standalone="yes"?><Relationships xmlns="http://schemas.openxmlformats.org/package/2006/relationships"><Relationship Id="rId1" Type="http://schemas.openxmlformats.org/officeDocument/2006/relationships/package" Target="../embeddings/Microsoft_Excel_Worksheet8.xlsx" /><Relationship Id="rId2" Type="http://schemas.openxmlformats.org/officeDocument/2006/relationships/themeOverride" Target="../theme/themeOverride8.xml" /><Relationship Id="rId3" Type="http://schemas.microsoft.com/office/2011/relationships/chartColorStyle" Target="chart/colors6.xml" /><Relationship Id="rId4" Type="http://schemas.microsoft.com/office/2011/relationships/chartStyle" Target="chart/style6.xml" /></Relationships>
</file>

<file path=word/charts/_rels/chart9.xml.rels>&#65279;<?xml version="1.0" encoding="utf-8" standalone="yes"?><Relationships xmlns="http://schemas.openxmlformats.org/package/2006/relationships"><Relationship Id="rId1" Type="http://schemas.openxmlformats.org/officeDocument/2006/relationships/package" Target="../embeddings/Microsoft_Excel_Worksheet9.xlsx" /><Relationship Id="rId2" Type="http://schemas.openxmlformats.org/officeDocument/2006/relationships/themeOverride" Target="../theme/themeOverride9.xml" /><Relationship Id="rId3" Type="http://schemas.microsoft.com/office/2011/relationships/chartColorStyle" Target="chart/colors7.xml" /><Relationship Id="rId4" Type="http://schemas.microsoft.com/office/2011/relationships/chartStyle" Target="chart/style7.xml" /></Relationships>
</file>

<file path=word/charts/chart/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1.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http://schemas.openxmlformats.org/drawingml/2006/chart" xmlns:c16="http://schemas.microsoft.com/office/drawing/2014/chart" uri="{C3380CC4-5D6E-409C-BE32-E72D297353CC}">
                <c16:uniqueId val="{00000001-33AD-46A2-81B8-6F43648F6D6B}"/>
              </c:ext>
            </c:extLst>
          </c:dPt>
          <c:dPt>
            <c:idx val="1"/>
            <c:bubble3D val="0"/>
            <c:spPr>
              <a:solidFill>
                <a:schemeClr val="accent2"/>
              </a:solidFill>
              <a:ln w="19050">
                <a:solidFill>
                  <a:schemeClr val="lt1"/>
                </a:solidFill>
              </a:ln>
              <a:effectLst/>
            </c:spPr>
            <c:extLst>
              <c:ext xmlns:c="http://schemas.openxmlformats.org/drawingml/2006/chart" xmlns:c16="http://schemas.microsoft.com/office/drawing/2014/chart" uri="{C3380CC4-5D6E-409C-BE32-E72D297353CC}">
                <c16:uniqueId val="{00000003-33AD-46A2-81B8-6F43648F6D6B}"/>
              </c:ext>
            </c:extLst>
          </c:dPt>
          <c:dPt>
            <c:idx val="2"/>
            <c:bubble3D val="0"/>
            <c:spPr>
              <a:solidFill>
                <a:schemeClr val="accent3"/>
              </a:solidFill>
              <a:ln w="19050">
                <a:solidFill>
                  <a:schemeClr val="lt1"/>
                </a:solidFill>
              </a:ln>
              <a:effectLst/>
            </c:spPr>
            <c:extLst>
              <c:ext xmlns:c="http://schemas.openxmlformats.org/drawingml/2006/chart" xmlns:c16="http://schemas.microsoft.com/office/drawing/2014/chart" uri="{C3380CC4-5D6E-409C-BE32-E72D297353CC}">
                <c16:uniqueId val="{00000005-33AD-46A2-81B8-6F43648F6D6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bestFit"/>
            <c:showLegendKey val="0"/>
            <c:showVal val="1"/>
            <c:showCatName val="0"/>
            <c:showSerName val="0"/>
            <c:showPercent val="0"/>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'התפלגות גילאים'!$C$9:$C$11</c:f>
              <c:strCache>
                <c:ptCount val="3"/>
                <c:pt idx="0">
                  <c:v>19 ומטה</c:v>
                </c:pt>
                <c:pt idx="1">
                  <c:v>20 עד 64</c:v>
                </c:pt>
                <c:pt idx="2">
                  <c:v>65 ומעלה</c:v>
                </c:pt>
              </c:strCache>
            </c:strRef>
          </c:cat>
          <c:val>
            <c:numRef>
              <c:f>'התפלגות גילאים'!$D$9:$D$11</c:f>
              <c:numCache>
                <c:formatCode>0.0%</c:formatCode>
                <c:ptCount val="3"/>
                <c:pt idx="0">
                  <c:v>0.333</c:v>
                </c:pt>
                <c:pt idx="1">
                  <c:v>0.553</c:v>
                </c:pt>
                <c:pt idx="2">
                  <c:v>0.114</c:v>
                </c:pt>
              </c:numCache>
            </c:numRef>
          </c:val>
          <c:extLst>
            <c:ext xmlns:c="http://schemas.openxmlformats.org/drawingml/2006/chart" xmlns:c16="http://schemas.microsoft.com/office/drawing/2014/chart" uri="{C3380CC4-5D6E-409C-BE32-E72D297353CC}">
              <c16:uniqueId val="{00000006-33AD-46A2-81B8-6F43648F6D6B}"/>
            </c:ext>
          </c:extLst>
        </c:ser>
        <c:dLbls>
          <c:dLblPos val="bestFit"/>
          <c:showLegendKey val="0"/>
          <c:showVal val="1"/>
          <c:showCatName val="0"/>
          <c:showSerName val="0"/>
          <c:showPercent val="0"/>
          <c:showBubbleSize val="0"/>
          <c:showLeaderLines val="1"/>
        </c:dLbls>
        <c:firstSliceAng val="36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גיליון2!$V$91</c:f>
              <c:strCache>
                <c:ptCount val="1"/>
                <c:pt idx="0">
                  <c:v>שטח ארנונה למגורים</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גיליון2!$U$92:$U$97</c:f>
              <c:strCache>
                <c:ptCount val="6"/>
                <c:pt idx="0">
                  <c:v>רמלה 2007</c:v>
                </c:pt>
                <c:pt idx="1">
                  <c:v>רמלה 2017</c:v>
                </c:pt>
                <c:pt idx="2">
                  <c:v>כלל העיריות 2007</c:v>
                </c:pt>
                <c:pt idx="3">
                  <c:v>כלל העיריות 2017</c:v>
                </c:pt>
                <c:pt idx="4">
                  <c:v>עיריות בינוניות 2007</c:v>
                </c:pt>
                <c:pt idx="5">
                  <c:v>עיריות בינוניות 2017</c:v>
                </c:pt>
              </c:strCache>
            </c:strRef>
          </c:cat>
          <c:val>
            <c:numRef>
              <c:f>גיליון2!$V$92:$V$97</c:f>
              <c:numCache>
                <c:formatCode>0%</c:formatCode>
                <c:ptCount val="6"/>
                <c:pt idx="0">
                  <c:v>0.409178249694308</c:v>
                </c:pt>
                <c:pt idx="1">
                  <c:v>0.44515201314708297</c:v>
                </c:pt>
                <c:pt idx="2">
                  <c:v>0.37339475042507031</c:v>
                </c:pt>
                <c:pt idx="3">
                  <c:v>0.42054408161000584</c:v>
                </c:pt>
                <c:pt idx="4">
                  <c:v>0.36200156372165759</c:v>
                </c:pt>
                <c:pt idx="5">
                  <c:v>0.47968826798634934</c:v>
                </c:pt>
              </c:numCache>
            </c:numRef>
          </c:val>
          <c:extLst>
            <c:ext xmlns:c="http://schemas.openxmlformats.org/drawingml/2006/chart" xmlns:c16="http://schemas.microsoft.com/office/drawing/2014/chart" uri="{C3380CC4-5D6E-409C-BE32-E72D297353CC}">
              <c16:uniqueId val="{00000000-733A-41E1-BCC1-EA0A69158E7E}"/>
            </c:ext>
          </c:extLst>
        </c:ser>
        <c:ser>
          <c:idx val="1"/>
          <c:order val="1"/>
          <c:tx>
            <c:strRef>
              <c:f>גיליון2!$W$91</c:f>
              <c:strCache>
                <c:ptCount val="1"/>
                <c:pt idx="0">
                  <c:v>שטח ארנונה שאינו למגורים</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גיליון2!$U$92:$U$97</c:f>
              <c:strCache>
                <c:ptCount val="6"/>
                <c:pt idx="0">
                  <c:v>רמלה 2007</c:v>
                </c:pt>
                <c:pt idx="1">
                  <c:v>רמלה 2017</c:v>
                </c:pt>
                <c:pt idx="2">
                  <c:v>כלל העיריות 2007</c:v>
                </c:pt>
                <c:pt idx="3">
                  <c:v>כלל העיריות 2017</c:v>
                </c:pt>
                <c:pt idx="4">
                  <c:v>עיריות בינוניות 2007</c:v>
                </c:pt>
                <c:pt idx="5">
                  <c:v>עיריות בינוניות 2017</c:v>
                </c:pt>
              </c:strCache>
            </c:strRef>
          </c:cat>
          <c:val>
            <c:numRef>
              <c:f>גיליון2!$W$92:$W$97</c:f>
              <c:numCache>
                <c:formatCode>0%</c:formatCode>
                <c:ptCount val="6"/>
                <c:pt idx="0">
                  <c:v>0.59082175030569217</c:v>
                </c:pt>
                <c:pt idx="1">
                  <c:v>0.554847986852917</c:v>
                </c:pt>
                <c:pt idx="2">
                  <c:v>0.62660524957492969</c:v>
                </c:pt>
                <c:pt idx="3">
                  <c:v>0.57945591838999422</c:v>
                </c:pt>
                <c:pt idx="4">
                  <c:v>0.63799843627834252</c:v>
                </c:pt>
                <c:pt idx="5">
                  <c:v>0.52031173201365066</c:v>
                </c:pt>
              </c:numCache>
            </c:numRef>
          </c:val>
          <c:extLst>
            <c:ext xmlns:c="http://schemas.openxmlformats.org/drawingml/2006/chart" xmlns:c16="http://schemas.microsoft.com/office/drawing/2014/chart" uri="{C3380CC4-5D6E-409C-BE32-E72D297353CC}">
              <c16:uniqueId val="{00000001-733A-41E1-BCC1-EA0A69158E7E}"/>
            </c:ext>
          </c:extLst>
        </c:ser>
        <c:dLbls>
          <c:dLblPos val="ctr"/>
          <c:showLegendKey val="0"/>
          <c:showVal val="1"/>
          <c:showCatName val="0"/>
          <c:showSerName val="0"/>
          <c:showPercent val="0"/>
          <c:showBubbleSize val="0"/>
        </c:dLbls>
        <c:gapWidth val="150"/>
        <c:overlap val="100"/>
        <c:axId val="597219712"/>
        <c:axId val="597217088"/>
      </c:barChart>
      <c:catAx>
        <c:axId val="597219712"/>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597217088"/>
        <c:crosses val="autoZero"/>
        <c:auto val="1"/>
        <c:lblAlgn val="ctr"/>
        <c:lblOffset val="100"/>
        <c:noMultiLvlLbl val="0"/>
      </c:catAx>
      <c:valAx>
        <c:axId val="597217088"/>
        <c:scaling>
          <c:orientation val="minMax"/>
          <c:max val="1"/>
        </c:scaling>
        <c:delete val="0"/>
        <c:axPos val="l"/>
        <c:majorGridlines>
          <c:spPr>
            <a:ln w="9525">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5972197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9326372909343606"/>
          <c:y val="0.16712962962962963"/>
          <c:w val="0.72174265668931958"/>
          <c:h val="0.62253062117235347"/>
        </c:manualLayout>
      </c:layout>
      <c:barChart>
        <c:barDir val="bar"/>
        <c:grouping val="clustered"/>
        <c:varyColors val="0"/>
        <c:ser>
          <c:idx val="0"/>
          <c:order val="0"/>
          <c:tx>
            <c:strRef>
              <c:f>גיליון2!$I$3</c:f>
              <c:strCache>
                <c:ptCount val="1"/>
                <c:pt idx="0">
                  <c:v>מגורים</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גיליון2!$H$4:$H$5</c:f>
              <c:strCache>
                <c:ptCount val="2"/>
                <c:pt idx="0">
                  <c:v>תוכניות למימוש בטווח ארוך</c:v>
                </c:pt>
                <c:pt idx="1">
                  <c:v>תכניות בתהליך מימוש</c:v>
                </c:pt>
              </c:strCache>
            </c:strRef>
          </c:cat>
          <c:val>
            <c:numRef>
              <c:f>גיליון2!$I$4:$I$5</c:f>
              <c:numCache>
                <c:formatCode>General</c:formatCode>
                <c:ptCount val="2"/>
                <c:pt idx="0" formatCode="#,##0">
                  <c:v>2991</c:v>
                </c:pt>
                <c:pt idx="1">
                  <c:v>829</c:v>
                </c:pt>
              </c:numCache>
            </c:numRef>
          </c:val>
          <c:extLst>
            <c:ext xmlns:c="http://schemas.openxmlformats.org/drawingml/2006/chart" xmlns:c16="http://schemas.microsoft.com/office/drawing/2014/chart" uri="{C3380CC4-5D6E-409C-BE32-E72D297353CC}">
              <c16:uniqueId val="{00000000-92F6-400E-BB96-39F308B9579F}"/>
            </c:ext>
          </c:extLst>
        </c:ser>
        <c:ser>
          <c:idx val="1"/>
          <c:order val="1"/>
          <c:tx>
            <c:strRef>
              <c:f>גיליון2!$J$3</c:f>
              <c:strCache>
                <c:ptCount val="1"/>
                <c:pt idx="0">
                  <c:v>תעשייה ומסחר</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גיליון2!$H$4:$H$5</c:f>
              <c:strCache>
                <c:ptCount val="2"/>
                <c:pt idx="0">
                  <c:v>תוכניות למימוש בטווח ארוך</c:v>
                </c:pt>
                <c:pt idx="1">
                  <c:v>תכניות בתהליך מימוש</c:v>
                </c:pt>
              </c:strCache>
            </c:strRef>
          </c:cat>
          <c:val>
            <c:numRef>
              <c:f>גיליון2!$J$4:$J$5</c:f>
              <c:numCache>
                <c:formatCode>General</c:formatCode>
                <c:ptCount val="2"/>
                <c:pt idx="0" formatCode="#,##0">
                  <c:v>667</c:v>
                </c:pt>
                <c:pt idx="1">
                  <c:v>172</c:v>
                </c:pt>
              </c:numCache>
            </c:numRef>
          </c:val>
          <c:extLst>
            <c:ext xmlns:c="http://schemas.openxmlformats.org/drawingml/2006/chart" xmlns:c16="http://schemas.microsoft.com/office/drawing/2014/chart" uri="{C3380CC4-5D6E-409C-BE32-E72D297353CC}">
              <c16:uniqueId val="{00000001-92F6-400E-BB96-39F308B9579F}"/>
            </c:ext>
          </c:extLst>
        </c:ser>
        <c:dLbls>
          <c:dLblPos val="outEnd"/>
          <c:showLegendKey val="0"/>
          <c:showVal val="1"/>
          <c:showCatName val="0"/>
          <c:showSerName val="0"/>
          <c:showPercent val="0"/>
          <c:showBubbleSize val="0"/>
        </c:dLbls>
        <c:gapWidth val="182"/>
        <c:axId val="401014864"/>
        <c:axId val="403518496"/>
      </c:barChart>
      <c:catAx>
        <c:axId val="401014864"/>
        <c:scaling>
          <c:orientation val="minMax"/>
        </c:scaling>
        <c:delete val="0"/>
        <c:axPos val="r"/>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403518496"/>
        <c:crosses val="autoZero"/>
        <c:auto val="1"/>
        <c:lblAlgn val="ctr"/>
        <c:lblOffset val="100"/>
        <c:noMultiLvlLbl val="0"/>
      </c:catAx>
      <c:valAx>
        <c:axId val="403518496"/>
        <c:scaling>
          <c:orientation val="maxMin"/>
        </c:scaling>
        <c:delete val="0"/>
        <c:axPos val="b"/>
        <c:majorGridlines>
          <c:spPr>
            <a:ln w="9525">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401014864"/>
        <c:crosses val="autoZero"/>
        <c:crossBetween val="between"/>
        <c:majorUnit val="50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גיליון2!$B$87</c:f>
              <c:strCache>
                <c:ptCount val="1"/>
                <c:pt idx="0">
                  <c:v>ארנונה למגורים</c:v>
                </c:pt>
              </c:strCache>
            </c:strRef>
          </c:tx>
          <c:spPr>
            <a:solidFill>
              <a:schemeClr val="accent1"/>
            </a:solidFill>
            <a:ln w="6350">
              <a:noFill/>
            </a:ln>
          </c:spPr>
          <c:invertIfNegative val="0"/>
          <c:dLbls>
            <c:spPr>
              <a:noFill/>
              <a:ln w="6350">
                <a:noFill/>
              </a:ln>
            </c:spPr>
            <c:txPr>
              <a:bodyPr rot="0" vert="horz">
                <a:spAutoFit/>
              </a:bodyPr>
              <a:lstStyle/>
              <a:p>
                <a:pPr algn="ctr">
                  <a:defRPr lang="en-US" sz="900" b="0" i="0" u="none"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c:spPr>
                </c15:leaderLines>
              </c:ext>
            </c:extLst>
          </c:dLbls>
          <c:cat>
            <c:strRef>
              <c:f>גיליון2!$C$86:$D$86</c:f>
              <c:strCache>
                <c:ptCount val="2"/>
                <c:pt idx="0">
                  <c:v>תוספת תוכניות בתהליך מימוש</c:v>
                </c:pt>
                <c:pt idx="1">
                  <c:v>תוספת כלל התוכניות</c:v>
                </c:pt>
              </c:strCache>
            </c:strRef>
          </c:cat>
          <c:val>
            <c:numRef>
              <c:f>גיליון2!$C$87:$D$87</c:f>
              <c:numCache>
                <c:formatCode>0%</c:formatCode>
                <c:ptCount val="2"/>
                <c:pt idx="0">
                  <c:v>0.51039182282793871</c:v>
                </c:pt>
                <c:pt idx="1">
                  <c:v>0.62831951296315736</c:v>
                </c:pt>
              </c:numCache>
            </c:numRef>
          </c:val>
          <c:extLst>
            <c:ext xmlns:c="http://schemas.openxmlformats.org/drawingml/2006/chart" xmlns:c16="http://schemas.microsoft.com/office/drawing/2014/chart" uri="{C3380CC4-5D6E-409C-BE32-E72D297353CC}">
              <c16:uniqueId val="{00000000-0212-4C2A-BA96-D4A255A1EDB2}"/>
            </c:ext>
          </c:extLst>
        </c:ser>
        <c:ser>
          <c:idx val="1"/>
          <c:order val="1"/>
          <c:tx>
            <c:strRef>
              <c:f>גיליון2!$B$88</c:f>
              <c:strCache>
                <c:ptCount val="1"/>
                <c:pt idx="0">
                  <c:v>ארנונה שאינה למגורים</c:v>
                </c:pt>
              </c:strCache>
            </c:strRef>
          </c:tx>
          <c:spPr>
            <a:solidFill>
              <a:schemeClr val="accent2"/>
            </a:solidFill>
            <a:ln w="6350">
              <a:noFill/>
            </a:ln>
          </c:spPr>
          <c:invertIfNegative val="0"/>
          <c:dLbls>
            <c:spPr>
              <a:noFill/>
              <a:ln w="6350">
                <a:noFill/>
              </a:ln>
            </c:spPr>
            <c:txPr>
              <a:bodyPr rot="0" vert="horz">
                <a:spAutoFit/>
              </a:bodyPr>
              <a:lstStyle/>
              <a:p>
                <a:pPr algn="ctr">
                  <a:defRPr lang="en-US" sz="900" b="0" i="0" u="none"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c:spPr>
                </c15:leaderLines>
              </c:ext>
            </c:extLst>
          </c:dLbls>
          <c:cat>
            <c:strRef>
              <c:f>גיליון2!$C$86:$D$86</c:f>
              <c:strCache>
                <c:ptCount val="2"/>
                <c:pt idx="0">
                  <c:v>תוספת תוכניות בתהליך מימוש</c:v>
                </c:pt>
                <c:pt idx="1">
                  <c:v>תוספת כלל התוכניות</c:v>
                </c:pt>
              </c:strCache>
            </c:strRef>
          </c:cat>
          <c:val>
            <c:numRef>
              <c:f>גיליון2!$C$88:$D$88</c:f>
              <c:numCache>
                <c:formatCode>0%</c:formatCode>
                <c:ptCount val="2"/>
                <c:pt idx="0">
                  <c:v>0.48960817717206134</c:v>
                </c:pt>
                <c:pt idx="1">
                  <c:v>0.37168048703684264</c:v>
                </c:pt>
              </c:numCache>
            </c:numRef>
          </c:val>
          <c:extLst>
            <c:ext xmlns:c="http://schemas.openxmlformats.org/drawingml/2006/chart" xmlns:c16="http://schemas.microsoft.com/office/drawing/2014/chart" uri="{C3380CC4-5D6E-409C-BE32-E72D297353CC}">
              <c16:uniqueId val="{00000001-0212-4C2A-BA96-D4A255A1EDB2}"/>
            </c:ext>
          </c:extLst>
        </c:ser>
        <c:dLbls>
          <c:showLegendKey val="0"/>
          <c:showVal val="0"/>
          <c:showCatName val="0"/>
          <c:showSerName val="0"/>
          <c:showPercent val="0"/>
          <c:showBubbleSize val="0"/>
        </c:dLbls>
        <c:gapWidth val="150"/>
        <c:overlap val="100"/>
        <c:axId val="99641600"/>
        <c:axId val="99655680"/>
      </c:barChart>
      <c:catAx>
        <c:axId val="99641600"/>
        <c:scaling>
          <c:orientation val="minMax"/>
        </c:scaling>
        <c:delete val="0"/>
        <c:axPos val="b"/>
        <c:majorGridlines>
          <c:spPr>
            <a:ln>
              <a:noFill/>
            </a:ln>
          </c:spPr>
        </c:majorGridlines>
        <c:minorGridlines>
          <c:spPr>
            <a:ln>
              <a:noFill/>
            </a:ln>
          </c:spPr>
        </c:minorGridlines>
        <c:numFmt formatCode="General" sourceLinked="1"/>
        <c:majorTickMark val="none"/>
        <c:minorTickMark val="none"/>
        <c:tickLblPos val="nextTo"/>
        <c:spPr>
          <a:noFill/>
          <a:ln w="9525">
            <a:solidFill>
              <a:schemeClr val="tx1">
                <a:lumMod val="15000"/>
                <a:lumOff val="85000"/>
              </a:schemeClr>
            </a:solidFill>
            <a:round/>
          </a:ln>
        </c:spPr>
        <c:txPr>
          <a:bodyPr/>
          <a:lstStyle/>
          <a:p>
            <a:pPr>
              <a:defRPr lang="en-US" sz="900" b="0" i="0" u="none" baseline="0">
                <a:solidFill>
                  <a:schemeClr val="tx1">
                    <a:lumMod val="65000"/>
                    <a:lumOff val="35000"/>
                  </a:schemeClr>
                </a:solidFill>
                <a:latin typeface="+mn-lt"/>
                <a:ea typeface="+mn-ea"/>
                <a:cs typeface="+mn-cs"/>
              </a:defRPr>
            </a:pPr>
            <a:endParaRPr lang="he-IL"/>
          </a:p>
        </c:txPr>
        <c:crossAx val="99655680"/>
        <c:crosses val="autoZero"/>
        <c:auto val="1"/>
        <c:lblAlgn val="ctr"/>
        <c:lblOffset val="100"/>
        <c:noMultiLvlLbl val="0"/>
      </c:catAx>
      <c:valAx>
        <c:axId val="99655680"/>
        <c:scaling>
          <c:orientation val="minMax"/>
          <c:max val="1"/>
        </c:scaling>
        <c:delete val="0"/>
        <c:axPos val="l"/>
        <c:majorGridlines>
          <c:spPr>
            <a:ln w="9525">
              <a:solidFill>
                <a:schemeClr val="tx1">
                  <a:lumMod val="15000"/>
                  <a:lumOff val="85000"/>
                </a:schemeClr>
              </a:solidFill>
              <a:round/>
            </a:ln>
          </c:spPr>
        </c:majorGridlines>
        <c:minorGridlines>
          <c:spPr>
            <a:ln>
              <a:noFill/>
            </a:ln>
          </c:spPr>
        </c:minorGridlines>
        <c:numFmt formatCode="0%" sourceLinked="1"/>
        <c:majorTickMark val="none"/>
        <c:minorTickMark val="none"/>
        <c:tickLblPos val="nextTo"/>
        <c:spPr>
          <a:noFill/>
          <a:ln w="6350">
            <a:noFill/>
          </a:ln>
        </c:spPr>
        <c:txPr>
          <a:bodyPr/>
          <a:lstStyle/>
          <a:p>
            <a:pPr>
              <a:defRPr lang="en-US" sz="900" b="0" i="0" u="none" baseline="0">
                <a:solidFill>
                  <a:schemeClr val="tx1">
                    <a:lumMod val="65000"/>
                    <a:lumOff val="35000"/>
                  </a:schemeClr>
                </a:solidFill>
                <a:latin typeface="+mn-lt"/>
                <a:ea typeface="+mn-ea"/>
                <a:cs typeface="+mn-cs"/>
              </a:defRPr>
            </a:pPr>
            <a:endParaRPr lang="he-IL"/>
          </a:p>
        </c:txPr>
        <c:crossAx val="99641600"/>
        <c:crosses val="autoZero"/>
        <c:crossBetween val="between"/>
      </c:valAx>
      <c:spPr>
        <a:noFill/>
        <a:ln w="6350">
          <a:noFill/>
        </a:ln>
      </c:spPr>
    </c:plotArea>
    <c:legend>
      <c:legendPos val="b"/>
      <c:layout/>
      <c:overlay val="0"/>
      <c:spPr>
        <a:noFill/>
        <a:ln w="6350">
          <a:noFill/>
        </a:ln>
      </c:spPr>
      <c:txPr>
        <a:bodyPr rot="0" vert="horz"/>
        <a:lstStyle/>
        <a:p>
          <a:pPr>
            <a:defRPr lang="en-US" sz="900" b="0" i="0" u="none"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a:solidFill>
        <a:schemeClr val="tx1">
          <a:lumMod val="15000"/>
          <a:lumOff val="85000"/>
        </a:schemeClr>
      </a:solidFill>
      <a:round/>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http://schemas.openxmlformats.org/drawingml/2006/chart" xmlns:c16="http://schemas.microsoft.com/office/drawing/2014/chart" uri="{C3380CC4-5D6E-409C-BE32-E72D297353CC}">
                <c16:uniqueId val="{00000001-BB70-4DCA-A5D0-E63B87A6449D}"/>
              </c:ext>
            </c:extLst>
          </c:dPt>
          <c:dPt>
            <c:idx val="1"/>
            <c:bubble3D val="0"/>
            <c:spPr>
              <a:solidFill>
                <a:schemeClr val="accent2"/>
              </a:solidFill>
              <a:ln w="19050">
                <a:solidFill>
                  <a:schemeClr val="lt1"/>
                </a:solidFill>
              </a:ln>
              <a:effectLst/>
            </c:spPr>
            <c:extLst>
              <c:ext xmlns:c="http://schemas.openxmlformats.org/drawingml/2006/chart" xmlns:c16="http://schemas.microsoft.com/office/drawing/2014/chart" uri="{C3380CC4-5D6E-409C-BE32-E72D297353CC}">
                <c16:uniqueId val="{00000003-BB70-4DCA-A5D0-E63B87A6449D}"/>
              </c:ext>
            </c:extLst>
          </c:dPt>
          <c:dPt>
            <c:idx val="2"/>
            <c:bubble3D val="0"/>
            <c:spPr>
              <a:solidFill>
                <a:schemeClr val="accent3"/>
              </a:solidFill>
              <a:ln w="19050">
                <a:solidFill>
                  <a:schemeClr val="lt1"/>
                </a:solidFill>
              </a:ln>
              <a:effectLst/>
            </c:spPr>
            <c:extLst>
              <c:ext xmlns:c="http://schemas.openxmlformats.org/drawingml/2006/chart" xmlns:c16="http://schemas.microsoft.com/office/drawing/2014/chart" uri="{C3380CC4-5D6E-409C-BE32-E72D297353CC}">
                <c16:uniqueId val="{00000005-BB70-4DCA-A5D0-E63B87A6449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bestFit"/>
            <c:showLegendKey val="0"/>
            <c:showVal val="1"/>
            <c:showCatName val="0"/>
            <c:showSerName val="0"/>
            <c:showPercent val="1"/>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גיליון4!$E$6:$E$8</c:f>
              <c:strCache>
                <c:ptCount val="3"/>
                <c:pt idx="0">
                  <c:v>עד שנת 2001</c:v>
                </c:pt>
                <c:pt idx="1">
                  <c:v>משנת 2002 ועד שנת 2011</c:v>
                </c:pt>
                <c:pt idx="2">
                  <c:v>אחרי שנת 2011</c:v>
                </c:pt>
              </c:strCache>
            </c:strRef>
          </c:cat>
          <c:val>
            <c:numRef>
              <c:f>גיליון4!$F$6:$F$8</c:f>
              <c:numCache>
                <c:formatCode>General</c:formatCode>
                <c:ptCount val="3"/>
                <c:pt idx="0">
                  <c:v>130</c:v>
                </c:pt>
                <c:pt idx="1">
                  <c:v>61</c:v>
                </c:pt>
                <c:pt idx="2">
                  <c:v>145</c:v>
                </c:pt>
              </c:numCache>
            </c:numRef>
          </c:val>
          <c:extLst>
            <c:ext xmlns:c="http://schemas.openxmlformats.org/drawingml/2006/chart" xmlns:c16="http://schemas.microsoft.com/office/drawing/2014/chart" uri="{C3380CC4-5D6E-409C-BE32-E72D297353CC}">
              <c16:uniqueId val="{00000006-BB70-4DCA-A5D0-E63B87A6449D}"/>
            </c:ext>
          </c:extLst>
        </c:ser>
        <c:dLbls>
          <c:dLblPos val="bestFit"/>
          <c:showLegendKey val="0"/>
          <c:showVal val="1"/>
          <c:showCatName val="0"/>
          <c:showSerName val="0"/>
          <c:showPercent val="0"/>
          <c:showBubbleSize val="0"/>
          <c:showLeaderLines val="1"/>
        </c:dLbls>
        <c:firstSliceAng val="36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'שעות נוספות'!$L$3</c:f>
              <c:strCache>
                <c:ptCount val="1"/>
                <c:pt idx="0">
                  <c:v>שכר משולב</c:v>
                </c:pt>
              </c:strCache>
            </c:strRef>
          </c:tx>
          <c:spPr>
            <a:solidFill>
              <a:schemeClr val="accent1"/>
            </a:solidFill>
            <a:ln>
              <a:noFill/>
            </a:ln>
            <a:effectLst/>
          </c:spPr>
          <c:invertIfNegative val="0"/>
          <c:cat>
            <c:numRef>
              <c:f>'שעות נוספות'!$M$2:$P$2</c:f>
              <c:numCache>
                <c:formatCode>General</c:formatCode>
                <c:ptCount val="4"/>
                <c:pt idx="0">
                  <c:v>2015</c:v>
                </c:pt>
                <c:pt idx="1">
                  <c:v>2016</c:v>
                </c:pt>
                <c:pt idx="2">
                  <c:v>2017</c:v>
                </c:pt>
                <c:pt idx="3">
                  <c:v>2018</c:v>
                </c:pt>
              </c:numCache>
            </c:numRef>
          </c:cat>
          <c:val>
            <c:numRef>
              <c:f>'שעות נוספות'!$M$3:$P$3</c:f>
              <c:numCache>
                <c:formatCode>0%</c:formatCode>
                <c:ptCount val="4"/>
                <c:pt idx="0">
                  <c:v>0.062411935350186409</c:v>
                </c:pt>
                <c:pt idx="1">
                  <c:v>0.10324023508607683</c:v>
                </c:pt>
                <c:pt idx="2">
                  <c:v>0.10924240995662826</c:v>
                </c:pt>
                <c:pt idx="3">
                  <c:v>0.08789060424790418</c:v>
                </c:pt>
              </c:numCache>
            </c:numRef>
          </c:val>
          <c:extLst>
            <c:ext xmlns:c="http://schemas.openxmlformats.org/drawingml/2006/chart" xmlns:c16="http://schemas.microsoft.com/office/drawing/2014/chart" uri="{C3380CC4-5D6E-409C-BE32-E72D297353CC}">
              <c16:uniqueId val="{00000000-A1BC-4C4F-8CE1-6A0A792FCF91}"/>
            </c:ext>
          </c:extLst>
        </c:ser>
        <c:ser>
          <c:idx val="1"/>
          <c:order val="1"/>
          <c:tx>
            <c:strRef>
              <c:f>'שעות נוספות'!$L$4</c:f>
              <c:strCache>
                <c:ptCount val="1"/>
                <c:pt idx="0">
                  <c:v>שעות נוספות </c:v>
                </c:pt>
              </c:strCache>
            </c:strRef>
          </c:tx>
          <c:spPr>
            <a:solidFill>
              <a:schemeClr val="accent2"/>
            </a:solidFill>
            <a:ln>
              <a:noFill/>
            </a:ln>
            <a:effectLst/>
          </c:spPr>
          <c:invertIfNegative val="0"/>
          <c:cat>
            <c:numRef>
              <c:f>'שעות נוספות'!$M$2:$P$2</c:f>
              <c:numCache>
                <c:formatCode>General</c:formatCode>
                <c:ptCount val="4"/>
                <c:pt idx="0">
                  <c:v>2015</c:v>
                </c:pt>
                <c:pt idx="1">
                  <c:v>2016</c:v>
                </c:pt>
                <c:pt idx="2">
                  <c:v>2017</c:v>
                </c:pt>
                <c:pt idx="3">
                  <c:v>2018</c:v>
                </c:pt>
              </c:numCache>
            </c:numRef>
          </c:cat>
          <c:val>
            <c:numRef>
              <c:f>'שעות נוספות'!$M$4:$P$4</c:f>
              <c:numCache>
                <c:formatCode>0%</c:formatCode>
                <c:ptCount val="4"/>
                <c:pt idx="0">
                  <c:v>0.046101694915254177</c:v>
                </c:pt>
                <c:pt idx="1">
                  <c:v>0.046921581335061635</c:v>
                </c:pt>
                <c:pt idx="2">
                  <c:v>0.29082580165903171</c:v>
                </c:pt>
                <c:pt idx="3">
                  <c:v>0.25954344906963356</c:v>
                </c:pt>
              </c:numCache>
            </c:numRef>
          </c:val>
          <c:extLst>
            <c:ext xmlns:c="http://schemas.openxmlformats.org/drawingml/2006/chart" xmlns:c16="http://schemas.microsoft.com/office/drawing/2014/chart" uri="{C3380CC4-5D6E-409C-BE32-E72D297353CC}">
              <c16:uniqueId val="{00000001-A1BC-4C4F-8CE1-6A0A792FCF91}"/>
            </c:ext>
          </c:extLst>
        </c:ser>
        <c:dLbls>
          <c:showLegendKey val="0"/>
          <c:showVal val="0"/>
          <c:showCatName val="0"/>
          <c:showSerName val="0"/>
          <c:showPercent val="0"/>
          <c:showBubbleSize val="0"/>
        </c:dLbls>
        <c:gapWidth val="219"/>
        <c:overlap val="-27"/>
        <c:axId val="99972608"/>
        <c:axId val="99974144"/>
      </c:barChart>
      <c:catAx>
        <c:axId val="99972608"/>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99974144"/>
        <c:crosses val="autoZero"/>
        <c:auto val="1"/>
        <c:lblAlgn val="ctr"/>
        <c:lblOffset val="100"/>
        <c:noMultiLvlLbl val="0"/>
      </c:catAx>
      <c:valAx>
        <c:axId val="99974144"/>
        <c:scaling>
          <c:orientation val="minMax"/>
        </c:scaling>
        <c:delete val="0"/>
        <c:axPos val="l"/>
        <c:majorGridlines>
          <c:spPr>
            <a:ln w="9525">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999726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8209789218508009"/>
          <c:y val="0.078316201664219279"/>
          <c:w val="0.86286550575777221"/>
          <c:h val="0.72377197343724109"/>
        </c:manualLayout>
      </c:layout>
      <c:barChart>
        <c:barDir val="col"/>
        <c:grouping val="clustered"/>
        <c:varyColors val="0"/>
        <c:ser>
          <c:idx val="0"/>
          <c:order val="0"/>
          <c:tx>
            <c:strRef>
              <c:f>גיליון1!$D$2</c:f>
              <c:strCache>
                <c:ptCount val="1"/>
                <c:pt idx="0">
                  <c:v>תשואה מצטברת ל-5 שנים</c:v>
                </c:pt>
              </c:strCache>
            </c:strRef>
          </c:tx>
          <c:spPr>
            <a:solidFill>
              <a:schemeClr val="accent1"/>
            </a:solidFill>
            <a:ln>
              <a:noFill/>
            </a:ln>
            <a:effectLst/>
          </c:spPr>
          <c:invertIfNegative val="0"/>
          <c:cat>
            <c:strRef>
              <c:f>גיליון1!$C$3:$C$11</c:f>
              <c:strCache>
                <c:ptCount val="9"/>
                <c:pt idx="0">
                  <c:v>קופה א'</c:v>
                </c:pt>
                <c:pt idx="1">
                  <c:v>קופה ב'</c:v>
                </c:pt>
                <c:pt idx="2">
                  <c:v>קופה ג'</c:v>
                </c:pt>
                <c:pt idx="3">
                  <c:v>קופה ד'</c:v>
                </c:pt>
                <c:pt idx="4">
                  <c:v>קופה ה'</c:v>
                </c:pt>
                <c:pt idx="5">
                  <c:v>קופה ו'</c:v>
                </c:pt>
                <c:pt idx="6">
                  <c:v>קופה ז'</c:v>
                </c:pt>
                <c:pt idx="7">
                  <c:v>קופה ח'</c:v>
                </c:pt>
                <c:pt idx="8">
                  <c:v>קופה ט'</c:v>
                </c:pt>
              </c:strCache>
            </c:strRef>
          </c:cat>
          <c:val>
            <c:numRef>
              <c:f>גיליון1!$D$3:$D$11</c:f>
              <c:numCache>
                <c:formatCode>0.00%</c:formatCode>
                <c:ptCount val="9"/>
                <c:pt idx="0">
                  <c:v>0.0938</c:v>
                </c:pt>
                <c:pt idx="1">
                  <c:v>0.0979</c:v>
                </c:pt>
                <c:pt idx="2">
                  <c:v>0.1014</c:v>
                </c:pt>
                <c:pt idx="3">
                  <c:v>0.1396</c:v>
                </c:pt>
                <c:pt idx="4">
                  <c:v>0.1732</c:v>
                </c:pt>
                <c:pt idx="5">
                  <c:v>0.1793</c:v>
                </c:pt>
                <c:pt idx="6" formatCode="General">
                  <c:v>0</c:v>
                </c:pt>
                <c:pt idx="7" formatCode="General">
                  <c:v>0</c:v>
                </c:pt>
                <c:pt idx="8" formatCode="General">
                  <c:v>0</c:v>
                </c:pt>
              </c:numCache>
            </c:numRef>
          </c:val>
          <c:extLst>
            <c:ext xmlns:c="http://schemas.openxmlformats.org/drawingml/2006/chart" xmlns:c16="http://schemas.microsoft.com/office/drawing/2014/chart" uri="{C3380CC4-5D6E-409C-BE32-E72D297353CC}">
              <c16:uniqueId val="{00000000-15BB-4A37-B6FA-C4200C0D30D2}"/>
            </c:ext>
          </c:extLst>
        </c:ser>
        <c:ser>
          <c:idx val="1"/>
          <c:order val="1"/>
          <c:tx>
            <c:strRef>
              <c:f>גיליון1!$E$2</c:f>
              <c:strCache>
                <c:ptCount val="1"/>
                <c:pt idx="0">
                  <c:v>תשואה מצטברת ל-3 שנים</c:v>
                </c:pt>
              </c:strCache>
            </c:strRef>
          </c:tx>
          <c:spPr>
            <a:solidFill>
              <a:schemeClr val="accent2"/>
            </a:solidFill>
            <a:ln>
              <a:noFill/>
            </a:ln>
            <a:effectLst/>
          </c:spPr>
          <c:invertIfNegative val="0"/>
          <c:cat>
            <c:strRef>
              <c:f>גיליון1!$C$3:$C$11</c:f>
              <c:strCache>
                <c:ptCount val="9"/>
                <c:pt idx="0">
                  <c:v>קופה א'</c:v>
                </c:pt>
                <c:pt idx="1">
                  <c:v>קופה ב'</c:v>
                </c:pt>
                <c:pt idx="2">
                  <c:v>קופה ג'</c:v>
                </c:pt>
                <c:pt idx="3">
                  <c:v>קופה ד'</c:v>
                </c:pt>
                <c:pt idx="4">
                  <c:v>קופה ה'</c:v>
                </c:pt>
                <c:pt idx="5">
                  <c:v>קופה ו'</c:v>
                </c:pt>
                <c:pt idx="6">
                  <c:v>קופה ז'</c:v>
                </c:pt>
                <c:pt idx="7">
                  <c:v>קופה ח'</c:v>
                </c:pt>
                <c:pt idx="8">
                  <c:v>קופה ט'</c:v>
                </c:pt>
              </c:strCache>
            </c:strRef>
          </c:cat>
          <c:val>
            <c:numRef>
              <c:f>גיליון1!$E$3:$E$11</c:f>
              <c:numCache>
                <c:formatCode>0.00%</c:formatCode>
                <c:ptCount val="9"/>
                <c:pt idx="0">
                  <c:v>0.065</c:v>
                </c:pt>
                <c:pt idx="1">
                  <c:v>0.0714</c:v>
                </c:pt>
                <c:pt idx="2">
                  <c:v>0.0733</c:v>
                </c:pt>
                <c:pt idx="3">
                  <c:v>0.1057</c:v>
                </c:pt>
                <c:pt idx="4">
                  <c:v>0.1281</c:v>
                </c:pt>
                <c:pt idx="5">
                  <c:v>0.1271</c:v>
                </c:pt>
                <c:pt idx="6">
                  <c:v>0.1276</c:v>
                </c:pt>
                <c:pt idx="7">
                  <c:v>0.0986</c:v>
                </c:pt>
                <c:pt idx="8">
                  <c:v>0.0698</c:v>
                </c:pt>
              </c:numCache>
            </c:numRef>
          </c:val>
          <c:extLst>
            <c:ext xmlns:c="http://schemas.openxmlformats.org/drawingml/2006/chart" xmlns:c16="http://schemas.microsoft.com/office/drawing/2014/chart" uri="{C3380CC4-5D6E-409C-BE32-E72D297353CC}">
              <c16:uniqueId val="{00000001-15BB-4A37-B6FA-C4200C0D30D2}"/>
            </c:ext>
          </c:extLst>
        </c:ser>
        <c:ser>
          <c:idx val="2"/>
          <c:order val="2"/>
          <c:tx>
            <c:strRef>
              <c:f>גיליון1!$F$2</c:f>
              <c:strCache>
                <c:ptCount val="1"/>
                <c:pt idx="0">
                  <c:v>תשואה מצטברת ל- 12 חודשים אחרונים</c:v>
                </c:pt>
              </c:strCache>
            </c:strRef>
          </c:tx>
          <c:spPr>
            <a:solidFill>
              <a:schemeClr val="accent3"/>
            </a:solidFill>
            <a:ln>
              <a:noFill/>
            </a:ln>
            <a:effectLst/>
          </c:spPr>
          <c:invertIfNegative val="0"/>
          <c:cat>
            <c:strRef>
              <c:f>גיליון1!$C$3:$C$11</c:f>
              <c:strCache>
                <c:ptCount val="9"/>
                <c:pt idx="0">
                  <c:v>קופה א'</c:v>
                </c:pt>
                <c:pt idx="1">
                  <c:v>קופה ב'</c:v>
                </c:pt>
                <c:pt idx="2">
                  <c:v>קופה ג'</c:v>
                </c:pt>
                <c:pt idx="3">
                  <c:v>קופה ד'</c:v>
                </c:pt>
                <c:pt idx="4">
                  <c:v>קופה ה'</c:v>
                </c:pt>
                <c:pt idx="5">
                  <c:v>קופה ו'</c:v>
                </c:pt>
                <c:pt idx="6">
                  <c:v>קופה ז'</c:v>
                </c:pt>
                <c:pt idx="7">
                  <c:v>קופה ח'</c:v>
                </c:pt>
                <c:pt idx="8">
                  <c:v>קופה ט'</c:v>
                </c:pt>
              </c:strCache>
            </c:strRef>
          </c:cat>
          <c:val>
            <c:numRef>
              <c:f>גיליון1!$F$3:$F$11</c:f>
              <c:numCache>
                <c:formatCode>0.00%</c:formatCode>
                <c:ptCount val="9"/>
                <c:pt idx="0">
                  <c:v>0.044</c:v>
                </c:pt>
                <c:pt idx="1">
                  <c:v>0.0435</c:v>
                </c:pt>
                <c:pt idx="2">
                  <c:v>0.0425</c:v>
                </c:pt>
                <c:pt idx="3">
                  <c:v>0.0398</c:v>
                </c:pt>
                <c:pt idx="4">
                  <c:v>0.0276</c:v>
                </c:pt>
                <c:pt idx="5">
                  <c:v>0.0332</c:v>
                </c:pt>
                <c:pt idx="6">
                  <c:v>0.0255</c:v>
                </c:pt>
                <c:pt idx="7">
                  <c:v>0.0246</c:v>
                </c:pt>
                <c:pt idx="8">
                  <c:v>0.0326</c:v>
                </c:pt>
              </c:numCache>
            </c:numRef>
          </c:val>
          <c:extLst>
            <c:ext xmlns:c="http://schemas.openxmlformats.org/drawingml/2006/chart" xmlns:c16="http://schemas.microsoft.com/office/drawing/2014/chart" uri="{C3380CC4-5D6E-409C-BE32-E72D297353CC}">
              <c16:uniqueId val="{00000002-15BB-4A37-B6FA-C4200C0D30D2}"/>
            </c:ext>
          </c:extLst>
        </c:ser>
        <c:dLbls>
          <c:showLegendKey val="0"/>
          <c:showVal val="0"/>
          <c:showCatName val="0"/>
          <c:showSerName val="0"/>
          <c:showPercent val="0"/>
          <c:showBubbleSize val="0"/>
        </c:dLbls>
        <c:gapWidth val="219"/>
        <c:overlap val="-27"/>
        <c:axId val="100064256"/>
        <c:axId val="100066048"/>
      </c:barChart>
      <c:catAx>
        <c:axId val="100064256"/>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100066048"/>
        <c:crosses val="autoZero"/>
        <c:auto val="1"/>
        <c:lblAlgn val="ctr"/>
        <c:lblOffset val="100"/>
        <c:noMultiLvlLbl val="0"/>
      </c:catAx>
      <c:valAx>
        <c:axId val="100066048"/>
        <c:scaling>
          <c:orientation val="minMax"/>
        </c:scaling>
        <c:delete val="0"/>
        <c:axPos val="l"/>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1000642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solidFill>
      <a:schemeClr val="bg1"/>
    </a:solidFill>
    <a:ln w="9525">
      <a:solidFill>
        <a:schemeClr val="tx1">
          <a:lumMod val="15000"/>
          <a:lumOff val="85000"/>
        </a:schemeClr>
      </a:solidFill>
      <a:round/>
    </a:ln>
    <a:effectLst/>
  </c:spPr>
  <c:txPr>
    <a:bodyPr/>
    <a:lstStyle/>
    <a:p>
      <a:pPr>
        <a:defRPr/>
      </a:pPr>
      <a:endParaRPr lang="he-I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'רמלה 4 שנים'!$R$5507</c:f>
              <c:strCache>
                <c:ptCount val="1"/>
                <c:pt idx="0">
                  <c:v>שכר ופעולות כלליות</c:v>
                </c:pt>
              </c:strCache>
            </c:strRef>
          </c:tx>
          <c:spPr>
            <a:solidFill>
              <a:schemeClr val="accent1"/>
            </a:solidFill>
            <a:ln w="6350">
              <a:noFill/>
            </a:ln>
          </c:spPr>
          <c:dLbls>
            <c:spPr>
              <a:noFill/>
              <a:ln w="6350">
                <a:noFill/>
              </a:ln>
            </c:spPr>
            <c:txPr>
              <a:bodyPr rot="0" vert="horz">
                <a:spAutoFit/>
              </a:bodyPr>
              <a:lstStyle/>
              <a:p>
                <a:pPr algn="ctr">
                  <a:defRPr lang="en-US" sz="900" b="1" i="0" u="none"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'רמלה 4 שנים'!$S$5506:$W$5506</c:f>
              <c:numCache>
                <c:formatCode>General</c:formatCode>
                <c:ptCount val="5"/>
                <c:pt idx="0">
                  <c:v>2014</c:v>
                </c:pt>
                <c:pt idx="1">
                  <c:v>2015</c:v>
                </c:pt>
                <c:pt idx="2">
                  <c:v>2016</c:v>
                </c:pt>
                <c:pt idx="3">
                  <c:v>2017</c:v>
                </c:pt>
                <c:pt idx="4">
                  <c:v>2018</c:v>
                </c:pt>
              </c:numCache>
            </c:numRef>
          </c:cat>
          <c:val>
            <c:numRef>
              <c:f>'רמלה 4 שנים'!$S$5507:$W$5507</c:f>
              <c:numCache>
                <c:formatCode>0.0%</c:formatCode>
                <c:ptCount val="5"/>
                <c:pt idx="0">
                  <c:v>0.48862575019188204</c:v>
                </c:pt>
                <c:pt idx="1">
                  <c:v>0.48</c:v>
                </c:pt>
                <c:pt idx="2">
                  <c:v>0.434</c:v>
                </c:pt>
                <c:pt idx="3">
                  <c:v>0.474158640987085</c:v>
                </c:pt>
                <c:pt idx="4">
                  <c:v>0.471922641695995</c:v>
                </c:pt>
              </c:numCache>
            </c:numRef>
          </c:val>
          <c:extLst>
            <c:ext xmlns:c="http://schemas.openxmlformats.org/drawingml/2006/chart" xmlns:c16="http://schemas.microsoft.com/office/drawing/2014/chart" uri="{C3380CC4-5D6E-409C-BE32-E72D297353CC}">
              <c16:uniqueId val="{00000000-9E3F-4130-8D31-8546EF1A8A1B}"/>
            </c:ext>
          </c:extLst>
        </c:ser>
        <c:ser>
          <c:idx val="1"/>
          <c:order val="1"/>
          <c:tx>
            <c:strRef>
              <c:f>'רמלה 4 שנים'!$R$5508</c:f>
              <c:strCache>
                <c:ptCount val="1"/>
                <c:pt idx="0">
                  <c:v>חינוך</c:v>
                </c:pt>
              </c:strCache>
            </c:strRef>
          </c:tx>
          <c:spPr>
            <a:solidFill>
              <a:schemeClr val="accent2"/>
            </a:solidFill>
            <a:ln w="6350">
              <a:noFill/>
            </a:ln>
          </c:spPr>
          <c:dLbls>
            <c:spPr>
              <a:noFill/>
              <a:ln w="6350">
                <a:noFill/>
              </a:ln>
            </c:spPr>
            <c:txPr>
              <a:bodyPr rot="0" vert="horz">
                <a:spAutoFit/>
              </a:bodyPr>
              <a:lstStyle/>
              <a:p>
                <a:pPr algn="ctr">
                  <a:defRPr lang="en-US" sz="900" b="1" i="0" u="none"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c:spPr>
                </c15:leaderLines>
              </c:ext>
            </c:extLst>
          </c:dLbls>
          <c:cat>
            <c:numRef>
              <c:f>'רמלה 4 שנים'!$S$5506:$W$5506</c:f>
              <c:numCache>
                <c:formatCode>General</c:formatCode>
                <c:ptCount val="5"/>
                <c:pt idx="0">
                  <c:v>2014</c:v>
                </c:pt>
                <c:pt idx="1">
                  <c:v>2015</c:v>
                </c:pt>
                <c:pt idx="2">
                  <c:v>2016</c:v>
                </c:pt>
                <c:pt idx="3">
                  <c:v>2017</c:v>
                </c:pt>
                <c:pt idx="4">
                  <c:v>2018</c:v>
                </c:pt>
              </c:numCache>
            </c:numRef>
          </c:cat>
          <c:val>
            <c:numRef>
              <c:f>'רמלה 4 שנים'!$S$5508:$W$5508</c:f>
              <c:numCache>
                <c:formatCode>0.0%</c:formatCode>
                <c:ptCount val="5"/>
                <c:pt idx="0">
                  <c:v>0.294909792026928</c:v>
                </c:pt>
                <c:pt idx="1">
                  <c:v>0.3</c:v>
                </c:pt>
                <c:pt idx="2">
                  <c:v>0.291</c:v>
                </c:pt>
                <c:pt idx="3">
                  <c:v>0.32142725145357</c:v>
                </c:pt>
                <c:pt idx="4">
                  <c:v>0.325266326579192</c:v>
                </c:pt>
              </c:numCache>
            </c:numRef>
          </c:val>
          <c:extLst>
            <c:ext xmlns:c="http://schemas.openxmlformats.org/drawingml/2006/chart" xmlns:c16="http://schemas.microsoft.com/office/drawing/2014/chart" uri="{C3380CC4-5D6E-409C-BE32-E72D297353CC}">
              <c16:uniqueId val="{00000001-9E3F-4130-8D31-8546EF1A8A1B}"/>
            </c:ext>
          </c:extLst>
        </c:ser>
        <c:ser>
          <c:idx val="2"/>
          <c:order val="2"/>
          <c:tx>
            <c:strRef>
              <c:f>'רמלה 4 שנים'!$R$5509</c:f>
              <c:strCache>
                <c:ptCount val="1"/>
                <c:pt idx="0">
                  <c:v>רווחה</c:v>
                </c:pt>
              </c:strCache>
            </c:strRef>
          </c:tx>
          <c:spPr>
            <a:solidFill>
              <a:schemeClr val="accent3"/>
            </a:solidFill>
            <a:ln w="6350">
              <a:noFill/>
            </a:ln>
          </c:spPr>
          <c:dLbls>
            <c:spPr>
              <a:noFill/>
              <a:ln w="6350">
                <a:noFill/>
              </a:ln>
            </c:spPr>
            <c:txPr>
              <a:bodyPr rot="0" vert="horz">
                <a:spAutoFit/>
              </a:bodyPr>
              <a:lstStyle/>
              <a:p>
                <a:pPr algn="ctr">
                  <a:defRPr lang="en-US" sz="900" b="1" i="0" u="none"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c:spPr>
                </c15:leaderLines>
              </c:ext>
            </c:extLst>
          </c:dLbls>
          <c:cat>
            <c:numRef>
              <c:f>'רמלה 4 שנים'!$S$5506:$W$5506</c:f>
              <c:numCache>
                <c:formatCode>General</c:formatCode>
                <c:ptCount val="5"/>
                <c:pt idx="0">
                  <c:v>2014</c:v>
                </c:pt>
                <c:pt idx="1">
                  <c:v>2015</c:v>
                </c:pt>
                <c:pt idx="2">
                  <c:v>2016</c:v>
                </c:pt>
                <c:pt idx="3">
                  <c:v>2017</c:v>
                </c:pt>
                <c:pt idx="4">
                  <c:v>2018</c:v>
                </c:pt>
              </c:numCache>
            </c:numRef>
          </c:cat>
          <c:val>
            <c:numRef>
              <c:f>'רמלה 4 שנים'!$S$5509:$W$5509</c:f>
              <c:numCache>
                <c:formatCode>0.0%</c:formatCode>
                <c:ptCount val="5"/>
                <c:pt idx="0">
                  <c:v>0.15315704787357029</c:v>
                </c:pt>
                <c:pt idx="1">
                  <c:v>0.156</c:v>
                </c:pt>
                <c:pt idx="2">
                  <c:v>0.143</c:v>
                </c:pt>
                <c:pt idx="3">
                  <c:v>0.15076282050035128</c:v>
                </c:pt>
                <c:pt idx="4">
                  <c:v>0.1551395811284407</c:v>
                </c:pt>
              </c:numCache>
            </c:numRef>
          </c:val>
          <c:extLst>
            <c:ext xmlns:c="http://schemas.openxmlformats.org/drawingml/2006/chart" xmlns:c16="http://schemas.microsoft.com/office/drawing/2014/chart" uri="{C3380CC4-5D6E-409C-BE32-E72D297353CC}">
              <c16:uniqueId val="{00000002-9E3F-4130-8D31-8546EF1A8A1B}"/>
            </c:ext>
          </c:extLst>
        </c:ser>
        <c:ser>
          <c:idx val="3"/>
          <c:order val="3"/>
          <c:tx>
            <c:strRef>
              <c:f>'רמלה 4 שנים'!$R$5510</c:f>
              <c:strCache>
                <c:ptCount val="1"/>
                <c:pt idx="0">
                  <c:v>מימון ופירעון מלוות</c:v>
                </c:pt>
              </c:strCache>
            </c:strRef>
          </c:tx>
          <c:spPr>
            <a:solidFill>
              <a:schemeClr val="accent4"/>
            </a:solidFill>
            <a:ln w="6350">
              <a:noFill/>
            </a:ln>
          </c:spPr>
          <c:dLbls>
            <c:spPr>
              <a:noFill/>
              <a:ln w="6350">
                <a:noFill/>
              </a:ln>
            </c:spPr>
            <c:txPr>
              <a:bodyPr rot="0" vert="horz">
                <a:spAutoFit/>
              </a:bodyPr>
              <a:lstStyle/>
              <a:p>
                <a:pPr algn="ctr">
                  <a:defRPr lang="en-US" sz="900" b="1" i="0" u="none"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c:spPr>
                </c15:leaderLines>
              </c:ext>
            </c:extLst>
          </c:dLbls>
          <c:cat>
            <c:numRef>
              <c:f>'רמלה 4 שנים'!$S$5506:$W$5506</c:f>
              <c:numCache>
                <c:formatCode>General</c:formatCode>
                <c:ptCount val="5"/>
                <c:pt idx="0">
                  <c:v>2014</c:v>
                </c:pt>
                <c:pt idx="1">
                  <c:v>2015</c:v>
                </c:pt>
                <c:pt idx="2">
                  <c:v>2016</c:v>
                </c:pt>
                <c:pt idx="3">
                  <c:v>2017</c:v>
                </c:pt>
                <c:pt idx="4">
                  <c:v>2018</c:v>
                </c:pt>
              </c:numCache>
            </c:numRef>
          </c:cat>
          <c:val>
            <c:numRef>
              <c:f>'רמלה 4 שנים'!$S$5510:$W$5510</c:f>
              <c:numCache>
                <c:formatCode>0.0%</c:formatCode>
                <c:ptCount val="5"/>
                <c:pt idx="0">
                  <c:v>0.063307409907618878</c:v>
                </c:pt>
                <c:pt idx="1">
                  <c:v>0.064</c:v>
                </c:pt>
                <c:pt idx="2">
                  <c:v>0.132</c:v>
                </c:pt>
                <c:pt idx="3">
                  <c:v>0.053651287058992865</c:v>
                </c:pt>
                <c:pt idx="4">
                  <c:v>0.047671450596373774</c:v>
                </c:pt>
              </c:numCache>
            </c:numRef>
          </c:val>
          <c:extLst>
            <c:ext xmlns:c="http://schemas.openxmlformats.org/drawingml/2006/chart" xmlns:c16="http://schemas.microsoft.com/office/drawing/2014/chart" uri="{C3380CC4-5D6E-409C-BE32-E72D297353CC}">
              <c16:uniqueId val="{00000003-9E3F-4130-8D31-8546EF1A8A1B}"/>
            </c:ext>
          </c:extLst>
        </c:ser>
        <c:dLbls>
          <c:showLegendKey val="0"/>
          <c:showVal val="0"/>
          <c:showCatName val="0"/>
          <c:showSerName val="0"/>
          <c:showPercent val="0"/>
          <c:showBubbleSize val="0"/>
        </c:dLbls>
        <c:axId val="44705664"/>
        <c:axId val="44707200"/>
      </c:areaChart>
      <c:catAx>
        <c:axId val="44705664"/>
        <c:scaling>
          <c:orientation val="minMax"/>
        </c:scaling>
        <c:delete val="0"/>
        <c:axPos val="b"/>
        <c:majorGridlines>
          <c:spPr>
            <a:ln>
              <a:noFill/>
            </a:ln>
          </c:spPr>
        </c:majorGridlines>
        <c:minorGridlines>
          <c:spPr>
            <a:ln>
              <a:noFill/>
            </a:ln>
          </c:spPr>
        </c:minorGridlines>
        <c:numFmt formatCode="General" sourceLinked="1"/>
        <c:majorTickMark val="out"/>
        <c:minorTickMark val="none"/>
        <c:tickLblPos val="nextTo"/>
        <c:spPr>
          <a:noFill/>
          <a:ln w="9525">
            <a:solidFill>
              <a:schemeClr val="tx1">
                <a:lumMod val="15000"/>
                <a:lumOff val="85000"/>
              </a:schemeClr>
            </a:solidFill>
            <a:round/>
          </a:ln>
        </c:spPr>
        <c:txPr>
          <a:bodyPr/>
          <a:lstStyle/>
          <a:p>
            <a:pPr>
              <a:defRPr lang="en-US" sz="900" b="0" i="0" u="none" baseline="0">
                <a:solidFill>
                  <a:schemeClr val="tx1">
                    <a:lumMod val="65000"/>
                    <a:lumOff val="35000"/>
                  </a:schemeClr>
                </a:solidFill>
                <a:latin typeface="+mn-lt"/>
                <a:ea typeface="+mn-ea"/>
                <a:cs typeface="+mn-cs"/>
              </a:defRPr>
            </a:pPr>
            <a:endParaRPr lang="he-IL"/>
          </a:p>
        </c:txPr>
        <c:crossAx val="44707200"/>
        <c:crosses val="autoZero"/>
        <c:auto val="1"/>
        <c:lblAlgn val="ctr"/>
        <c:lblOffset val="100"/>
        <c:noMultiLvlLbl val="0"/>
      </c:catAx>
      <c:valAx>
        <c:axId val="44707200"/>
        <c:scaling>
          <c:orientation val="minMax"/>
          <c:max val="1"/>
        </c:scaling>
        <c:delete val="0"/>
        <c:axPos val="l"/>
        <c:majorGridlines>
          <c:spPr>
            <a:ln w="9525">
              <a:solidFill>
                <a:schemeClr val="tx1">
                  <a:lumMod val="15000"/>
                  <a:lumOff val="85000"/>
                </a:schemeClr>
              </a:solidFill>
              <a:round/>
            </a:ln>
          </c:spPr>
        </c:majorGridlines>
        <c:minorGridlines>
          <c:spPr>
            <a:ln>
              <a:noFill/>
            </a:ln>
          </c:spPr>
        </c:minorGridlines>
        <c:numFmt formatCode="0%" sourceLinked="0"/>
        <c:majorTickMark val="none"/>
        <c:minorTickMark val="none"/>
        <c:tickLblPos val="nextTo"/>
        <c:spPr>
          <a:noFill/>
          <a:ln w="6350">
            <a:noFill/>
          </a:ln>
        </c:spPr>
        <c:txPr>
          <a:bodyPr/>
          <a:lstStyle/>
          <a:p>
            <a:pPr>
              <a:defRPr lang="en-US" sz="900" b="0" i="0" u="none" baseline="0">
                <a:solidFill>
                  <a:schemeClr val="tx1">
                    <a:lumMod val="65000"/>
                    <a:lumOff val="35000"/>
                  </a:schemeClr>
                </a:solidFill>
                <a:latin typeface="+mn-lt"/>
                <a:ea typeface="+mn-ea"/>
                <a:cs typeface="+mn-cs"/>
              </a:defRPr>
            </a:pPr>
            <a:endParaRPr lang="he-IL"/>
          </a:p>
        </c:txPr>
        <c:crossAx val="44705664"/>
        <c:crosses val="autoZero"/>
        <c:crossBetween val="midCat"/>
        <c:majorUnit val="0.5"/>
      </c:valAx>
      <c:spPr>
        <a:noFill/>
        <a:ln w="6350">
          <a:noFill/>
        </a:ln>
      </c:spPr>
    </c:plotArea>
    <c:legend>
      <c:legendPos val="b"/>
      <c:layout/>
      <c:overlay val="0"/>
      <c:spPr>
        <a:noFill/>
        <a:ln w="6350">
          <a:noFill/>
        </a:ln>
      </c:spPr>
      <c:txPr>
        <a:bodyPr rot="0" vert="horz"/>
        <a:lstStyle/>
        <a:p>
          <a:pPr>
            <a:defRPr lang="en-US" sz="900" b="0" i="0" u="none" baseline="0">
              <a:solidFill>
                <a:schemeClr val="tx1">
                  <a:lumMod val="65000"/>
                  <a:lumOff val="35000"/>
                </a:schemeClr>
              </a:solidFill>
              <a:latin typeface="+mn-lt"/>
              <a:ea typeface="+mn-ea"/>
              <a:cs typeface="+mn-cs"/>
            </a:defRPr>
          </a:pPr>
          <a:endParaRPr lang="he-IL"/>
        </a:p>
      </c:txPr>
    </c:legend>
    <c:plotVisOnly val="1"/>
    <c:dispBlanksAs val="zero"/>
    <c:showDLblsOverMax val="0"/>
  </c:chart>
  <c:spPr>
    <a:solidFill>
      <a:schemeClr val="bg1"/>
    </a:solidFill>
    <a:ln w="9525">
      <a:solidFill>
        <a:schemeClr val="tx1">
          <a:lumMod val="15000"/>
          <a:lumOff val="85000"/>
        </a:schemeClr>
      </a:solidFill>
      <a:round/>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גיליון1!$J$83</c:f>
              <c:strCache>
                <c:ptCount val="1"/>
                <c:pt idx="0">
                  <c:v>רמלה</c:v>
                </c:pt>
              </c:strCache>
            </c:strRef>
          </c:tx>
          <c:spPr>
            <a:ln w="28575" cap="rnd">
              <a:solidFill>
                <a:schemeClr val="accent1"/>
              </a:solidFill>
              <a:round/>
            </a:ln>
            <a:effectLst/>
          </c:spPr>
          <c:marker>
            <c:symbol val="none"/>
          </c:marker>
          <c:cat>
            <c:numRef>
              <c:f>גיליון1!$K$82:$O$82</c:f>
              <c:numCache>
                <c:formatCode>General</c:formatCode>
                <c:ptCount val="5"/>
                <c:pt idx="0">
                  <c:v>2014</c:v>
                </c:pt>
                <c:pt idx="1">
                  <c:v>2015</c:v>
                </c:pt>
                <c:pt idx="2">
                  <c:v>2016</c:v>
                </c:pt>
                <c:pt idx="3">
                  <c:v>2017</c:v>
                </c:pt>
                <c:pt idx="4">
                  <c:v>2018</c:v>
                </c:pt>
              </c:numCache>
            </c:numRef>
          </c:cat>
          <c:val>
            <c:numRef>
              <c:f>גיליון1!$K$83:$O$83</c:f>
              <c:numCache>
                <c:formatCode>0.0%</c:formatCode>
                <c:ptCount val="5"/>
                <c:pt idx="0">
                  <c:v>0.1484080917751201</c:v>
                </c:pt>
                <c:pt idx="1">
                  <c:v>0.17471435279386446</c:v>
                </c:pt>
                <c:pt idx="2">
                  <c:v>0.14776837052715788</c:v>
                </c:pt>
                <c:pt idx="3">
                  <c:v>0.16556168880875025</c:v>
                </c:pt>
                <c:pt idx="4">
                  <c:v>0.15645397865871738</c:v>
                </c:pt>
              </c:numCache>
            </c:numRef>
          </c:val>
          <c:smooth val="0"/>
          <c:extLst>
            <c:ext xmlns:c="http://schemas.openxmlformats.org/drawingml/2006/chart" xmlns:c16="http://schemas.microsoft.com/office/drawing/2014/chart" uri="{C3380CC4-5D6E-409C-BE32-E72D297353CC}">
              <c16:uniqueId val="{00000000-8ECC-4D4C-B62F-A03C308D5832}"/>
            </c:ext>
          </c:extLst>
        </c:ser>
        <c:ser>
          <c:idx val="1"/>
          <c:order val="1"/>
          <c:tx>
            <c:strRef>
              <c:f>גיליון1!$J$84</c:f>
              <c:strCache>
                <c:ptCount val="1"/>
                <c:pt idx="0">
                  <c:v>כלל העיריות</c:v>
                </c:pt>
              </c:strCache>
            </c:strRef>
          </c:tx>
          <c:spPr>
            <a:ln w="28575" cap="rnd">
              <a:solidFill>
                <a:schemeClr val="accent2"/>
              </a:solidFill>
              <a:round/>
            </a:ln>
            <a:effectLst/>
          </c:spPr>
          <c:marker>
            <c:symbol val="none"/>
          </c:marker>
          <c:cat>
            <c:numRef>
              <c:f>גיליון1!$K$82:$O$82</c:f>
              <c:numCache>
                <c:formatCode>General</c:formatCode>
                <c:ptCount val="5"/>
                <c:pt idx="0">
                  <c:v>2014</c:v>
                </c:pt>
                <c:pt idx="1">
                  <c:v>2015</c:v>
                </c:pt>
                <c:pt idx="2">
                  <c:v>2016</c:v>
                </c:pt>
                <c:pt idx="3">
                  <c:v>2017</c:v>
                </c:pt>
                <c:pt idx="4">
                  <c:v>2018</c:v>
                </c:pt>
              </c:numCache>
            </c:numRef>
          </c:cat>
          <c:val>
            <c:numRef>
              <c:f>גיליון1!$K$84:$O$84</c:f>
              <c:numCache>
                <c:formatCode>0.0%</c:formatCode>
                <c:ptCount val="5"/>
                <c:pt idx="0">
                  <c:v>0.083009066694538641</c:v>
                </c:pt>
                <c:pt idx="1">
                  <c:v>0.076267886014200134</c:v>
                </c:pt>
                <c:pt idx="2">
                  <c:v>0.070697440806172088</c:v>
                </c:pt>
                <c:pt idx="3">
                  <c:v>0.066035315771116487</c:v>
                </c:pt>
                <c:pt idx="4">
                  <c:v>0.067283248105660887</c:v>
                </c:pt>
              </c:numCache>
            </c:numRef>
          </c:val>
          <c:smooth val="0"/>
          <c:extLst>
            <c:ext xmlns:c="http://schemas.openxmlformats.org/drawingml/2006/chart" xmlns:c16="http://schemas.microsoft.com/office/drawing/2014/chart" uri="{C3380CC4-5D6E-409C-BE32-E72D297353CC}">
              <c16:uniqueId val="{00000001-8ECC-4D4C-B62F-A03C308D5832}"/>
            </c:ext>
          </c:extLst>
        </c:ser>
        <c:ser>
          <c:idx val="2"/>
          <c:order val="2"/>
          <c:tx>
            <c:strRef>
              <c:f>גיליון1!$J$85</c:f>
              <c:strCache>
                <c:ptCount val="1"/>
                <c:pt idx="0">
                  <c:v>עיריות בינוניות</c:v>
                </c:pt>
              </c:strCache>
            </c:strRef>
          </c:tx>
          <c:spPr>
            <a:ln w="28575" cap="rnd">
              <a:solidFill>
                <a:schemeClr val="accent3"/>
              </a:solidFill>
              <a:round/>
            </a:ln>
            <a:effectLst/>
          </c:spPr>
          <c:marker>
            <c:symbol val="none"/>
          </c:marker>
          <c:cat>
            <c:numRef>
              <c:f>גיליון1!$K$82:$O$82</c:f>
              <c:numCache>
                <c:formatCode>General</c:formatCode>
                <c:ptCount val="5"/>
                <c:pt idx="0">
                  <c:v>2014</c:v>
                </c:pt>
                <c:pt idx="1">
                  <c:v>2015</c:v>
                </c:pt>
                <c:pt idx="2">
                  <c:v>2016</c:v>
                </c:pt>
                <c:pt idx="3">
                  <c:v>2017</c:v>
                </c:pt>
                <c:pt idx="4">
                  <c:v>2018</c:v>
                </c:pt>
              </c:numCache>
            </c:numRef>
          </c:cat>
          <c:val>
            <c:numRef>
              <c:f>גיליון1!$K$85:$O$85</c:f>
              <c:numCache>
                <c:formatCode>0.0%</c:formatCode>
                <c:ptCount val="5"/>
                <c:pt idx="0">
                  <c:v>0.089247878303863618</c:v>
                </c:pt>
                <c:pt idx="1">
                  <c:v>0.082971103974076546</c:v>
                </c:pt>
                <c:pt idx="2">
                  <c:v>0.079226293607492962</c:v>
                </c:pt>
                <c:pt idx="3">
                  <c:v>0.085477538284019813</c:v>
                </c:pt>
                <c:pt idx="4">
                  <c:v>0.095967145078815749</c:v>
                </c:pt>
              </c:numCache>
            </c:numRef>
          </c:val>
          <c:smooth val="0"/>
          <c:extLst>
            <c:ext xmlns:c="http://schemas.openxmlformats.org/drawingml/2006/chart" xmlns:c16="http://schemas.microsoft.com/office/drawing/2014/chart" uri="{C3380CC4-5D6E-409C-BE32-E72D297353CC}">
              <c16:uniqueId val="{00000002-8ECC-4D4C-B62F-A03C308D5832}"/>
            </c:ext>
          </c:extLst>
        </c:ser>
        <c:dLbls>
          <c:showLegendKey val="0"/>
          <c:showVal val="0"/>
          <c:showCatName val="0"/>
          <c:showSerName val="0"/>
          <c:showPercent val="0"/>
          <c:showBubbleSize val="0"/>
        </c:dLbls>
        <c:smooth val="0"/>
        <c:axId val="46059904"/>
        <c:axId val="46061440"/>
      </c:lineChart>
      <c:catAx>
        <c:axId val="46059904"/>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46061440"/>
        <c:crosses val="autoZero"/>
        <c:auto val="1"/>
        <c:lblAlgn val="ctr"/>
        <c:lblOffset val="100"/>
        <c:noMultiLvlLbl val="0"/>
      </c:catAx>
      <c:valAx>
        <c:axId val="46061440"/>
        <c:scaling>
          <c:orientation val="minMax"/>
          <c:min val="0.040000000000000008"/>
        </c:scaling>
        <c:delete val="0"/>
        <c:axPos val="l"/>
        <c:majorGridlines>
          <c:spPr>
            <a:ln w="9525">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46059904"/>
        <c:crosses val="autoZero"/>
        <c:crossBetween val="between"/>
      </c:valAx>
      <c:spPr>
        <a:noFill/>
        <a:ln>
          <a:noFill/>
        </a:ln>
        <a:effectLst/>
      </c:spPr>
    </c:plotArea>
    <c:legend>
      <c:legendPos val="r"/>
      <c:layout>
        <c:manualLayout>
          <c:xMode val="edge"/>
          <c:yMode val="edge"/>
          <c:x val="0.73836111111111113"/>
          <c:y val="0.058737605715952171"/>
          <c:w val="0.22275"/>
          <c:h val="0.16030256634587342"/>
        </c:manualLayout>
      </c:layout>
      <c:overlay val="1"/>
      <c:spPr>
        <a:noFill/>
        <a:ln>
          <a:solidFill>
            <a:schemeClr val="accent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גיליון1!$R$83</c:f>
              <c:strCache>
                <c:ptCount val="1"/>
                <c:pt idx="0">
                  <c:v>רמלה</c:v>
                </c:pt>
              </c:strCache>
            </c:strRef>
          </c:tx>
          <c:spPr>
            <a:ln w="28575" cap="rnd">
              <a:solidFill>
                <a:schemeClr val="accent1"/>
              </a:solidFill>
              <a:round/>
            </a:ln>
            <a:effectLst/>
          </c:spPr>
          <c:marker>
            <c:symbol val="none"/>
          </c:marker>
          <c:cat>
            <c:numRef>
              <c:f>גיליון1!$S$82:$W$82</c:f>
              <c:numCache>
                <c:formatCode>General</c:formatCode>
                <c:ptCount val="5"/>
                <c:pt idx="0">
                  <c:v>2014</c:v>
                </c:pt>
                <c:pt idx="1">
                  <c:v>2015</c:v>
                </c:pt>
                <c:pt idx="2">
                  <c:v>2016</c:v>
                </c:pt>
                <c:pt idx="3">
                  <c:v>2017</c:v>
                </c:pt>
                <c:pt idx="4">
                  <c:v>2018</c:v>
                </c:pt>
              </c:numCache>
            </c:numRef>
          </c:cat>
          <c:val>
            <c:numRef>
              <c:f>גיליון1!$S$83:$W$83</c:f>
              <c:numCache>
                <c:formatCode>0.0%</c:formatCode>
                <c:ptCount val="5"/>
                <c:pt idx="0">
                  <c:v>0.33646647874428709</c:v>
                </c:pt>
                <c:pt idx="1">
                  <c:v>0.33272763734543748</c:v>
                </c:pt>
                <c:pt idx="2">
                  <c:v>0.31655097415043082</c:v>
                </c:pt>
                <c:pt idx="3">
                  <c:v>0.2945889397315733</c:v>
                </c:pt>
                <c:pt idx="4">
                  <c:v>0.25200544008982473</c:v>
                </c:pt>
              </c:numCache>
            </c:numRef>
          </c:val>
          <c:smooth val="0"/>
          <c:extLst>
            <c:ext xmlns:c="http://schemas.openxmlformats.org/drawingml/2006/chart" xmlns:c16="http://schemas.microsoft.com/office/drawing/2014/chart" uri="{C3380CC4-5D6E-409C-BE32-E72D297353CC}">
              <c16:uniqueId val="{00000000-3A31-417B-96E3-036242703878}"/>
            </c:ext>
          </c:extLst>
        </c:ser>
        <c:ser>
          <c:idx val="1"/>
          <c:order val="1"/>
          <c:tx>
            <c:strRef>
              <c:f>גיליון1!$R$84</c:f>
              <c:strCache>
                <c:ptCount val="1"/>
                <c:pt idx="0">
                  <c:v>כלל העיריות</c:v>
                </c:pt>
              </c:strCache>
            </c:strRef>
          </c:tx>
          <c:spPr>
            <a:ln w="28575" cap="rnd">
              <a:solidFill>
                <a:schemeClr val="accent2"/>
              </a:solidFill>
              <a:round/>
            </a:ln>
            <a:effectLst/>
          </c:spPr>
          <c:marker>
            <c:symbol val="none"/>
          </c:marker>
          <c:cat>
            <c:numRef>
              <c:f>גיליון1!$S$82:$W$82</c:f>
              <c:numCache>
                <c:formatCode>General</c:formatCode>
                <c:ptCount val="5"/>
                <c:pt idx="0">
                  <c:v>2014</c:v>
                </c:pt>
                <c:pt idx="1">
                  <c:v>2015</c:v>
                </c:pt>
                <c:pt idx="2">
                  <c:v>2016</c:v>
                </c:pt>
                <c:pt idx="3">
                  <c:v>2017</c:v>
                </c:pt>
                <c:pt idx="4">
                  <c:v>2018</c:v>
                </c:pt>
              </c:numCache>
            </c:numRef>
          </c:cat>
          <c:val>
            <c:numRef>
              <c:f>גיליון1!$S$84:$W$84</c:f>
              <c:numCache>
                <c:formatCode>0.0%</c:formatCode>
                <c:ptCount val="5"/>
                <c:pt idx="0">
                  <c:v>0.30244117556802641</c:v>
                </c:pt>
                <c:pt idx="1">
                  <c:v>0.27989749347492926</c:v>
                </c:pt>
                <c:pt idx="2">
                  <c:v>0.28231839270896514</c:v>
                </c:pt>
                <c:pt idx="3">
                  <c:v>0.27931910639809915</c:v>
                </c:pt>
                <c:pt idx="4">
                  <c:v>0.25408249880417288</c:v>
                </c:pt>
              </c:numCache>
            </c:numRef>
          </c:val>
          <c:smooth val="0"/>
          <c:extLst>
            <c:ext xmlns:c="http://schemas.openxmlformats.org/drawingml/2006/chart" xmlns:c16="http://schemas.microsoft.com/office/drawing/2014/chart" uri="{C3380CC4-5D6E-409C-BE32-E72D297353CC}">
              <c16:uniqueId val="{00000001-3A31-417B-96E3-036242703878}"/>
            </c:ext>
          </c:extLst>
        </c:ser>
        <c:ser>
          <c:idx val="2"/>
          <c:order val="2"/>
          <c:tx>
            <c:strRef>
              <c:f>גיליון1!$R$85</c:f>
              <c:strCache>
                <c:ptCount val="1"/>
                <c:pt idx="0">
                  <c:v>עיריות בינוניות</c:v>
                </c:pt>
              </c:strCache>
            </c:strRef>
          </c:tx>
          <c:spPr>
            <a:ln w="28575" cap="rnd">
              <a:solidFill>
                <a:schemeClr val="accent3"/>
              </a:solidFill>
              <a:round/>
            </a:ln>
            <a:effectLst/>
          </c:spPr>
          <c:marker>
            <c:symbol val="none"/>
          </c:marker>
          <c:cat>
            <c:numRef>
              <c:f>גיליון1!$S$82:$W$82</c:f>
              <c:numCache>
                <c:formatCode>General</c:formatCode>
                <c:ptCount val="5"/>
                <c:pt idx="0">
                  <c:v>2014</c:v>
                </c:pt>
                <c:pt idx="1">
                  <c:v>2015</c:v>
                </c:pt>
                <c:pt idx="2">
                  <c:v>2016</c:v>
                </c:pt>
                <c:pt idx="3">
                  <c:v>2017</c:v>
                </c:pt>
                <c:pt idx="4">
                  <c:v>2018</c:v>
                </c:pt>
              </c:numCache>
            </c:numRef>
          </c:cat>
          <c:val>
            <c:numRef>
              <c:f>גיליון1!$S$85:$W$85</c:f>
              <c:numCache>
                <c:formatCode>0.0%</c:formatCode>
                <c:ptCount val="5"/>
                <c:pt idx="0">
                  <c:v>0.27829382946275011</c:v>
                </c:pt>
                <c:pt idx="1">
                  <c:v>0.25033701681240111</c:v>
                </c:pt>
                <c:pt idx="2">
                  <c:v>0.23401186802999183</c:v>
                </c:pt>
                <c:pt idx="3">
                  <c:v>0.22562202032922551</c:v>
                </c:pt>
                <c:pt idx="4">
                  <c:v>0.19559312721365132</c:v>
                </c:pt>
              </c:numCache>
            </c:numRef>
          </c:val>
          <c:smooth val="0"/>
          <c:extLst>
            <c:ext xmlns:c="http://schemas.openxmlformats.org/drawingml/2006/chart" xmlns:c16="http://schemas.microsoft.com/office/drawing/2014/chart" uri="{C3380CC4-5D6E-409C-BE32-E72D297353CC}">
              <c16:uniqueId val="{00000002-3A31-417B-96E3-036242703878}"/>
            </c:ext>
          </c:extLst>
        </c:ser>
        <c:dLbls>
          <c:showLegendKey val="0"/>
          <c:showVal val="0"/>
          <c:showCatName val="0"/>
          <c:showSerName val="0"/>
          <c:showPercent val="0"/>
          <c:showBubbleSize val="0"/>
        </c:dLbls>
        <c:smooth val="0"/>
        <c:axId val="97608064"/>
        <c:axId val="97609600"/>
      </c:lineChart>
      <c:catAx>
        <c:axId val="97608064"/>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97609600"/>
        <c:crosses val="autoZero"/>
        <c:auto val="1"/>
        <c:lblAlgn val="ctr"/>
        <c:lblOffset val="100"/>
        <c:noMultiLvlLbl val="0"/>
      </c:catAx>
      <c:valAx>
        <c:axId val="97609600"/>
        <c:scaling>
          <c:orientation val="minMax"/>
          <c:max val="0.4"/>
          <c:min val="0.1"/>
        </c:scaling>
        <c:delete val="0"/>
        <c:axPos val="l"/>
        <c:majorGridlines>
          <c:spPr>
            <a:ln w="9525">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97608064"/>
        <c:crosses val="autoZero"/>
        <c:crossBetween val="between"/>
      </c:valAx>
      <c:spPr>
        <a:noFill/>
        <a:ln>
          <a:noFill/>
        </a:ln>
        <a:effectLst/>
      </c:spPr>
    </c:plotArea>
    <c:legend>
      <c:legendPos val="tr"/>
      <c:layout>
        <c:manualLayout>
          <c:xMode val="edge"/>
          <c:yMode val="edge"/>
          <c:x val="0.75502777777777774"/>
          <c:y val="0.055555555555555552"/>
          <c:w val="0.22275"/>
          <c:h val="0.23437664041994752"/>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http://schemas.openxmlformats.org/drawingml/2006/chart" xmlns:c16="http://schemas.microsoft.com/office/drawing/2014/chart" uri="{C3380CC4-5D6E-409C-BE32-E72D297353CC}">
                <c16:uniqueId val="{00000001-C39B-4A33-A34A-2EE8B67540EE}"/>
              </c:ext>
            </c:extLst>
          </c:dPt>
          <c:dPt>
            <c:idx val="1"/>
            <c:bubble3D val="0"/>
            <c:spPr>
              <a:solidFill>
                <a:schemeClr val="accent2"/>
              </a:solidFill>
              <a:ln w="19050">
                <a:solidFill>
                  <a:schemeClr val="lt1"/>
                </a:solidFill>
              </a:ln>
              <a:effectLst/>
            </c:spPr>
            <c:extLst>
              <c:ext xmlns:c="http://schemas.openxmlformats.org/drawingml/2006/chart" xmlns:c16="http://schemas.microsoft.com/office/drawing/2014/chart" uri="{C3380CC4-5D6E-409C-BE32-E72D297353CC}">
                <c16:uniqueId val="{00000003-C39B-4A33-A34A-2EE8B67540EE}"/>
              </c:ext>
            </c:extLst>
          </c:dPt>
          <c:dPt>
            <c:idx val="2"/>
            <c:bubble3D val="0"/>
            <c:spPr>
              <a:solidFill>
                <a:schemeClr val="accent3"/>
              </a:solidFill>
              <a:ln w="19050">
                <a:solidFill>
                  <a:schemeClr val="lt1"/>
                </a:solidFill>
              </a:ln>
              <a:effectLst/>
            </c:spPr>
            <c:extLst>
              <c:ext xmlns:c="http://schemas.openxmlformats.org/drawingml/2006/chart" xmlns:c16="http://schemas.microsoft.com/office/drawing/2014/chart" uri="{C3380CC4-5D6E-409C-BE32-E72D297353CC}">
                <c16:uniqueId val="{00000005-C39B-4A33-A34A-2EE8B67540EE}"/>
              </c:ext>
            </c:extLst>
          </c:dPt>
          <c:dLbls>
            <c:dLbl>
              <c:idx val="1"/>
              <c:layout>
                <c:manualLayout>
                  <c:x val="0.059160238655144463"/>
                  <c:y val="-0.15097526120533011"/>
                </c:manualLayout>
              </c:layout>
              <c:dLblPos val="bestFit"/>
              <c:showLegendKey val="0"/>
              <c:showVal val="1"/>
              <c:showCatName val="0"/>
              <c:showSerName val="0"/>
              <c:showPercent val="1"/>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3-C39B-4A33-A34A-2EE8B67540E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1"/>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גיליון1!$C$4:$C$6</c:f>
              <c:strCache>
                <c:ptCount val="3"/>
                <c:pt idx="0">
                  <c:v>הלוואות מבנקים</c:v>
                </c:pt>
                <c:pt idx="1">
                  <c:v>אג"ח מוניציפלי</c:v>
                </c:pt>
                <c:pt idx="2">
                  <c:v>הלוואה מגוף מוסדי</c:v>
                </c:pt>
              </c:strCache>
            </c:strRef>
          </c:cat>
          <c:val>
            <c:numRef>
              <c:f>גיליון1!$D$4:$D$6</c:f>
              <c:numCache>
                <c:formatCode>General</c:formatCode>
                <c:ptCount val="3"/>
                <c:pt idx="0">
                  <c:v>62</c:v>
                </c:pt>
                <c:pt idx="1">
                  <c:v>16</c:v>
                </c:pt>
                <c:pt idx="2">
                  <c:v>49</c:v>
                </c:pt>
              </c:numCache>
            </c:numRef>
          </c:val>
          <c:extLst>
            <c:ext xmlns:c="http://schemas.openxmlformats.org/drawingml/2006/chart" xmlns:c16="http://schemas.microsoft.com/office/drawing/2014/chart" uri="{C3380CC4-5D6E-409C-BE32-E72D297353CC}">
              <c16:uniqueId val="{00000006-C39B-4A33-A34A-2EE8B67540EE}"/>
            </c:ext>
          </c:extLst>
        </c:ser>
        <c:dLbls>
          <c:dLblPos val="ctr"/>
          <c:showLegendKey val="0"/>
          <c:showVal val="1"/>
          <c:showCatName val="0"/>
          <c:showSerName val="0"/>
          <c:showPercent val="0"/>
          <c:showBubbleSize val="0"/>
          <c:showLeaderLines val="1"/>
        </c:dLbls>
        <c:firstSliceAng val="36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גיליון1!$Z$83</c:f>
              <c:strCache>
                <c:ptCount val="1"/>
                <c:pt idx="0">
                  <c:v>רמלה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גיליון1!$AA$82:$AE$82</c:f>
              <c:numCache>
                <c:formatCode>General</c:formatCode>
                <c:ptCount val="5"/>
                <c:pt idx="0">
                  <c:v>2014</c:v>
                </c:pt>
                <c:pt idx="1">
                  <c:v>2015</c:v>
                </c:pt>
                <c:pt idx="2">
                  <c:v>2016</c:v>
                </c:pt>
                <c:pt idx="3">
                  <c:v>2017</c:v>
                </c:pt>
                <c:pt idx="4">
                  <c:v>2018</c:v>
                </c:pt>
              </c:numCache>
            </c:numRef>
          </c:cat>
          <c:val>
            <c:numRef>
              <c:f>גיליון1!$AA$83:$AE$83</c:f>
              <c:numCache>
                <c:formatCode>0%</c:formatCode>
                <c:ptCount val="5"/>
                <c:pt idx="0">
                  <c:v>0.6530816865245721</c:v>
                </c:pt>
                <c:pt idx="1">
                  <c:v>0.64902811472843946</c:v>
                </c:pt>
                <c:pt idx="2">
                  <c:v>0.56222604623256278</c:v>
                </c:pt>
                <c:pt idx="3">
                  <c:v>0.60256094034395358</c:v>
                </c:pt>
                <c:pt idx="4">
                  <c:v>0.59683241281425814</c:v>
                </c:pt>
              </c:numCache>
            </c:numRef>
          </c:val>
          <c:extLst>
            <c:ext xmlns:c="http://schemas.openxmlformats.org/drawingml/2006/chart" xmlns:c16="http://schemas.microsoft.com/office/drawing/2014/chart" uri="{C3380CC4-5D6E-409C-BE32-E72D297353CC}">
              <c16:uniqueId val="{00000000-55B1-4352-AF96-DECD80583C52}"/>
            </c:ext>
          </c:extLst>
        </c:ser>
        <c:ser>
          <c:idx val="1"/>
          <c:order val="1"/>
          <c:tx>
            <c:strRef>
              <c:f>גיליון1!$Z$84</c:f>
              <c:strCache>
                <c:ptCount val="1"/>
                <c:pt idx="0">
                  <c:v>כלל העיריות</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גיליון1!$AA$82:$AE$82</c:f>
              <c:numCache>
                <c:formatCode>General</c:formatCode>
                <c:ptCount val="5"/>
                <c:pt idx="0">
                  <c:v>2014</c:v>
                </c:pt>
                <c:pt idx="1">
                  <c:v>2015</c:v>
                </c:pt>
                <c:pt idx="2">
                  <c:v>2016</c:v>
                </c:pt>
                <c:pt idx="3">
                  <c:v>2017</c:v>
                </c:pt>
                <c:pt idx="4">
                  <c:v>2018</c:v>
                </c:pt>
              </c:numCache>
            </c:numRef>
          </c:cat>
          <c:val>
            <c:numRef>
              <c:f>גיליון1!$AA$84:$AE$84</c:f>
              <c:numCache>
                <c:formatCode>0%</c:formatCode>
                <c:ptCount val="5"/>
                <c:pt idx="0">
                  <c:v>0.72487985006184252</c:v>
                </c:pt>
                <c:pt idx="1">
                  <c:v>0.71417079965263619</c:v>
                </c:pt>
                <c:pt idx="2">
                  <c:v>0.7158959948221586</c:v>
                </c:pt>
                <c:pt idx="3">
                  <c:v>0.70419696512868013</c:v>
                </c:pt>
                <c:pt idx="4">
                  <c:v>0.69367303096631017</c:v>
                </c:pt>
              </c:numCache>
            </c:numRef>
          </c:val>
          <c:extLst>
            <c:ext xmlns:c="http://schemas.openxmlformats.org/drawingml/2006/chart" xmlns:c16="http://schemas.microsoft.com/office/drawing/2014/chart" uri="{C3380CC4-5D6E-409C-BE32-E72D297353CC}">
              <c16:uniqueId val="{00000001-55B1-4352-AF96-DECD80583C52}"/>
            </c:ext>
          </c:extLst>
        </c:ser>
        <c:ser>
          <c:idx val="2"/>
          <c:order val="2"/>
          <c:tx>
            <c:strRef>
              <c:f>גיליון1!$Z$85</c:f>
              <c:strCache>
                <c:ptCount val="1"/>
                <c:pt idx="0">
                  <c:v>עיריות בינוניות</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גיליון1!$AA$82:$AE$82</c:f>
              <c:numCache>
                <c:formatCode>General</c:formatCode>
                <c:ptCount val="5"/>
                <c:pt idx="0">
                  <c:v>2014</c:v>
                </c:pt>
                <c:pt idx="1">
                  <c:v>2015</c:v>
                </c:pt>
                <c:pt idx="2">
                  <c:v>2016</c:v>
                </c:pt>
                <c:pt idx="3">
                  <c:v>2017</c:v>
                </c:pt>
                <c:pt idx="4">
                  <c:v>2018</c:v>
                </c:pt>
              </c:numCache>
            </c:numRef>
          </c:cat>
          <c:val>
            <c:numRef>
              <c:f>גיליון1!$AA$85:$AE$85</c:f>
              <c:numCache>
                <c:formatCode>0%</c:formatCode>
                <c:ptCount val="5"/>
                <c:pt idx="0">
                  <c:v>0.665050443644711</c:v>
                </c:pt>
                <c:pt idx="1">
                  <c:v>0.643578389478179</c:v>
                </c:pt>
                <c:pt idx="2">
                  <c:v>0.63140957193844727</c:v>
                </c:pt>
                <c:pt idx="3">
                  <c:v>0.63366921738375215</c:v>
                </c:pt>
                <c:pt idx="4">
                  <c:v>0.63039476882635881</c:v>
                </c:pt>
              </c:numCache>
            </c:numRef>
          </c:val>
          <c:extLst>
            <c:ext xmlns:c="http://schemas.openxmlformats.org/drawingml/2006/chart" xmlns:c16="http://schemas.microsoft.com/office/drawing/2014/chart" uri="{C3380CC4-5D6E-409C-BE32-E72D297353CC}">
              <c16:uniqueId val="{00000002-55B1-4352-AF96-DECD80583C52}"/>
            </c:ext>
          </c:extLst>
        </c:ser>
        <c:dLbls>
          <c:dLblPos val="outEnd"/>
          <c:showLegendKey val="0"/>
          <c:showVal val="1"/>
          <c:showCatName val="0"/>
          <c:showSerName val="0"/>
          <c:showPercent val="0"/>
          <c:showBubbleSize val="0"/>
        </c:dLbls>
        <c:gapWidth val="219"/>
        <c:overlap val="-27"/>
        <c:axId val="79308288"/>
        <c:axId val="79309824"/>
      </c:barChart>
      <c:catAx>
        <c:axId val="79308288"/>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79309824"/>
        <c:crosses val="autoZero"/>
        <c:auto val="1"/>
        <c:lblAlgn val="ctr"/>
        <c:lblOffset val="100"/>
        <c:noMultiLvlLbl val="0"/>
      </c:catAx>
      <c:valAx>
        <c:axId val="79309824"/>
        <c:scaling>
          <c:orientation val="minMax"/>
        </c:scaling>
        <c:delete val="0"/>
        <c:axPos val="l"/>
        <c:majorGridlines>
          <c:spPr>
            <a:ln w="9525">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793082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TEST!$E$85</c:f>
              <c:strCache>
                <c:ptCount val="1"/>
                <c:pt idx="0">
                  <c:v>רמלה</c:v>
                </c:pt>
              </c:strCache>
            </c:strRef>
          </c:tx>
          <c:spPr>
            <a:ln w="28575" cap="rnd">
              <a:solidFill>
                <a:schemeClr val="accent1"/>
              </a:solidFill>
              <a:round/>
            </a:ln>
          </c:spPr>
          <c:marker>
            <c:symbol val="none"/>
          </c:marker>
          <c:cat>
            <c:numRef>
              <c:f>TEST!$F$84:$J$84</c:f>
              <c:numCache>
                <c:formatCode>General</c:formatCode>
                <c:ptCount val="5"/>
                <c:pt idx="0">
                  <c:v>2014</c:v>
                </c:pt>
                <c:pt idx="1">
                  <c:v>2015</c:v>
                </c:pt>
                <c:pt idx="2">
                  <c:v>2016</c:v>
                </c:pt>
                <c:pt idx="3">
                  <c:v>2017</c:v>
                </c:pt>
                <c:pt idx="4">
                  <c:v>2018</c:v>
                </c:pt>
              </c:numCache>
            </c:numRef>
          </c:cat>
          <c:val>
            <c:numRef>
              <c:f>TEST!$F$85:$J$85</c:f>
              <c:numCache>
                <c:formatCode>0%</c:formatCode>
                <c:ptCount val="5"/>
                <c:pt idx="0">
                  <c:v>0.891198781760244</c:v>
                </c:pt>
                <c:pt idx="1">
                  <c:v>0.894564336943519</c:v>
                </c:pt>
                <c:pt idx="2">
                  <c:v>0.890227631511942</c:v>
                </c:pt>
                <c:pt idx="3">
                  <c:v>0.918251382840713</c:v>
                </c:pt>
                <c:pt idx="4">
                  <c:v>0.913245183226294</c:v>
                </c:pt>
              </c:numCache>
            </c:numRef>
          </c:val>
          <c:smooth val="0"/>
          <c:extLst>
            <c:ext xmlns:c="http://schemas.openxmlformats.org/drawingml/2006/chart" xmlns:c16="http://schemas.microsoft.com/office/drawing/2014/chart" uri="{C3380CC4-5D6E-409C-BE32-E72D297353CC}">
              <c16:uniqueId val="{00000000-1E33-47C2-8F5C-9555AF3743CC}"/>
            </c:ext>
          </c:extLst>
        </c:ser>
        <c:ser>
          <c:idx val="1"/>
          <c:order val="1"/>
          <c:tx>
            <c:strRef>
              <c:f>TEST!$E$86</c:f>
              <c:strCache>
                <c:ptCount val="1"/>
                <c:pt idx="0">
                  <c:v>כלל העיריות</c:v>
                </c:pt>
              </c:strCache>
            </c:strRef>
          </c:tx>
          <c:spPr>
            <a:ln w="28575" cap="rnd">
              <a:solidFill>
                <a:schemeClr val="accent2"/>
              </a:solidFill>
              <a:round/>
            </a:ln>
          </c:spPr>
          <c:marker>
            <c:symbol val="none"/>
          </c:marker>
          <c:cat>
            <c:numRef>
              <c:f>TEST!$F$84:$J$84</c:f>
              <c:numCache>
                <c:formatCode>General</c:formatCode>
                <c:ptCount val="5"/>
                <c:pt idx="0">
                  <c:v>2014</c:v>
                </c:pt>
                <c:pt idx="1">
                  <c:v>2015</c:v>
                </c:pt>
                <c:pt idx="2">
                  <c:v>2016</c:v>
                </c:pt>
                <c:pt idx="3">
                  <c:v>2017</c:v>
                </c:pt>
                <c:pt idx="4">
                  <c:v>2018</c:v>
                </c:pt>
              </c:numCache>
            </c:numRef>
          </c:cat>
          <c:val>
            <c:numRef>
              <c:f>TEST!$F$86:$J$86</c:f>
              <c:numCache>
                <c:formatCode>0%</c:formatCode>
                <c:ptCount val="5"/>
                <c:pt idx="0">
                  <c:v>0.85777707807095227</c:v>
                </c:pt>
                <c:pt idx="1">
                  <c:v>0.87531210278560356</c:v>
                </c:pt>
                <c:pt idx="2">
                  <c:v>0.88092768546267464</c:v>
                </c:pt>
                <c:pt idx="3">
                  <c:v>0.8885772854295555</c:v>
                </c:pt>
                <c:pt idx="4">
                  <c:v>0.8814476413405945</c:v>
                </c:pt>
              </c:numCache>
            </c:numRef>
          </c:val>
          <c:smooth val="0"/>
          <c:extLst>
            <c:ext xmlns:c="http://schemas.openxmlformats.org/drawingml/2006/chart" xmlns:c16="http://schemas.microsoft.com/office/drawing/2014/chart" uri="{C3380CC4-5D6E-409C-BE32-E72D297353CC}">
              <c16:uniqueId val="{00000001-1E33-47C2-8F5C-9555AF3743CC}"/>
            </c:ext>
          </c:extLst>
        </c:ser>
        <c:ser>
          <c:idx val="2"/>
          <c:order val="2"/>
          <c:tx>
            <c:strRef>
              <c:f>TEST!$E$87</c:f>
              <c:strCache>
                <c:ptCount val="1"/>
                <c:pt idx="0">
                  <c:v>עיריות בינוניות</c:v>
                </c:pt>
              </c:strCache>
            </c:strRef>
          </c:tx>
          <c:spPr>
            <a:ln w="28575" cap="rnd">
              <a:solidFill>
                <a:schemeClr val="accent3"/>
              </a:solidFill>
              <a:round/>
            </a:ln>
          </c:spPr>
          <c:marker>
            <c:symbol val="none"/>
          </c:marker>
          <c:cat>
            <c:numRef>
              <c:f>TEST!$F$84:$J$84</c:f>
              <c:numCache>
                <c:formatCode>General</c:formatCode>
                <c:ptCount val="5"/>
                <c:pt idx="0">
                  <c:v>2014</c:v>
                </c:pt>
                <c:pt idx="1">
                  <c:v>2015</c:v>
                </c:pt>
                <c:pt idx="2">
                  <c:v>2016</c:v>
                </c:pt>
                <c:pt idx="3">
                  <c:v>2017</c:v>
                </c:pt>
                <c:pt idx="4">
                  <c:v>2018</c:v>
                </c:pt>
              </c:numCache>
            </c:numRef>
          </c:cat>
          <c:val>
            <c:numRef>
              <c:f>TEST!$F$87:$J$87</c:f>
              <c:numCache>
                <c:formatCode>0%</c:formatCode>
                <c:ptCount val="5"/>
                <c:pt idx="0">
                  <c:v>0.855656637581726</c:v>
                </c:pt>
                <c:pt idx="1">
                  <c:v>0.89391099141871011</c:v>
                </c:pt>
                <c:pt idx="2">
                  <c:v>0.8927228971655129</c:v>
                </c:pt>
                <c:pt idx="3">
                  <c:v>0.90356958802774678</c:v>
                </c:pt>
                <c:pt idx="4">
                  <c:v>0.901463309259251</c:v>
                </c:pt>
              </c:numCache>
            </c:numRef>
          </c:val>
          <c:smooth val="0"/>
          <c:extLst>
            <c:ext xmlns:c="http://schemas.openxmlformats.org/drawingml/2006/chart" xmlns:c16="http://schemas.microsoft.com/office/drawing/2014/chart" uri="{C3380CC4-5D6E-409C-BE32-E72D297353CC}">
              <c16:uniqueId val="{00000002-1E33-47C2-8F5C-9555AF3743CC}"/>
            </c:ext>
          </c:extLst>
        </c:ser>
        <c:dLbls>
          <c:showLegendKey val="0"/>
          <c:showVal val="0"/>
          <c:showCatName val="0"/>
          <c:showSerName val="0"/>
          <c:showPercent val="0"/>
          <c:showBubbleSize val="0"/>
        </c:dLbls>
        <c:smooth val="0"/>
        <c:axId val="79432320"/>
        <c:axId val="98173312"/>
      </c:lineChart>
      <c:catAx>
        <c:axId val="79432320"/>
        <c:scaling>
          <c:orientation val="minMax"/>
        </c:scaling>
        <c:delete val="0"/>
        <c:axPos val="b"/>
        <c:majorGridlines>
          <c:spPr>
            <a:ln>
              <a:noFill/>
            </a:ln>
          </c:spPr>
        </c:majorGridlines>
        <c:minorGridlines>
          <c:spPr>
            <a:ln>
              <a:noFill/>
            </a:ln>
          </c:spPr>
        </c:minorGridlines>
        <c:numFmt formatCode="General" sourceLinked="1"/>
        <c:majorTickMark val="none"/>
        <c:minorTickMark val="none"/>
        <c:tickLblPos val="nextTo"/>
        <c:spPr>
          <a:noFill/>
          <a:ln w="9525">
            <a:solidFill>
              <a:schemeClr val="tx1">
                <a:lumMod val="15000"/>
                <a:lumOff val="85000"/>
              </a:schemeClr>
            </a:solidFill>
            <a:round/>
          </a:ln>
        </c:spPr>
        <c:txPr>
          <a:bodyPr/>
          <a:lstStyle/>
          <a:p>
            <a:pPr>
              <a:defRPr lang="en-US" sz="900" b="0" i="0" u="none" baseline="0">
                <a:solidFill>
                  <a:schemeClr val="tx1">
                    <a:lumMod val="65000"/>
                    <a:lumOff val="35000"/>
                  </a:schemeClr>
                </a:solidFill>
                <a:latin typeface="+mn-lt"/>
                <a:ea typeface="+mn-ea"/>
                <a:cs typeface="+mn-cs"/>
              </a:defRPr>
            </a:pPr>
            <a:endParaRPr lang="he-IL"/>
          </a:p>
        </c:txPr>
        <c:crossAx val="98173312"/>
        <c:crosses val="autoZero"/>
        <c:auto val="1"/>
        <c:lblAlgn val="ctr"/>
        <c:lblOffset val="100"/>
        <c:noMultiLvlLbl val="0"/>
      </c:catAx>
      <c:valAx>
        <c:axId val="98173312"/>
        <c:scaling>
          <c:orientation val="minMax"/>
        </c:scaling>
        <c:delete val="0"/>
        <c:axPos val="l"/>
        <c:majorGridlines>
          <c:spPr>
            <a:ln w="9525">
              <a:solidFill>
                <a:schemeClr val="tx1">
                  <a:lumMod val="15000"/>
                  <a:lumOff val="85000"/>
                </a:schemeClr>
              </a:solidFill>
              <a:round/>
            </a:ln>
          </c:spPr>
        </c:majorGridlines>
        <c:minorGridlines>
          <c:spPr>
            <a:ln>
              <a:noFill/>
            </a:ln>
          </c:spPr>
        </c:minorGridlines>
        <c:numFmt formatCode="0%" sourceLinked="1"/>
        <c:majorTickMark val="none"/>
        <c:minorTickMark val="none"/>
        <c:tickLblPos val="nextTo"/>
        <c:spPr>
          <a:noFill/>
          <a:ln w="6350">
            <a:noFill/>
          </a:ln>
        </c:spPr>
        <c:txPr>
          <a:bodyPr/>
          <a:lstStyle/>
          <a:p>
            <a:pPr>
              <a:defRPr lang="en-US" sz="900" b="0" i="0" u="none" baseline="0">
                <a:solidFill>
                  <a:schemeClr val="tx1">
                    <a:lumMod val="65000"/>
                    <a:lumOff val="35000"/>
                  </a:schemeClr>
                </a:solidFill>
                <a:latin typeface="+mn-lt"/>
                <a:ea typeface="+mn-ea"/>
                <a:cs typeface="+mn-cs"/>
              </a:defRPr>
            </a:pPr>
            <a:endParaRPr lang="he-IL"/>
          </a:p>
        </c:txPr>
        <c:crossAx val="79432320"/>
        <c:crosses val="autoZero"/>
        <c:crossBetween val="between"/>
      </c:valAx>
      <c:spPr>
        <a:noFill/>
        <a:ln w="6350">
          <a:noFill/>
        </a:ln>
      </c:spPr>
    </c:plotArea>
    <c:legend>
      <c:legendPos val="tr"/>
      <c:layout>
        <c:manualLayout>
          <c:xMode val="edge"/>
          <c:yMode val="edge"/>
          <c:x val="0.7411388888888889"/>
          <c:y val="0.64351851851851849"/>
          <c:w val="0.22275"/>
          <c:h val="0.23437664041994752"/>
        </c:manualLayout>
      </c:layout>
      <c:overlay val="1"/>
      <c:spPr>
        <a:noFill/>
        <a:ln w="6350">
          <a:noFill/>
        </a:ln>
      </c:spPr>
      <c:txPr>
        <a:bodyPr rot="0" vert="horz"/>
        <a:lstStyle/>
        <a:p>
          <a:pPr>
            <a:defRPr lang="en-US" sz="900" b="0" i="0" u="none"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a:solidFill>
        <a:schemeClr val="tx1">
          <a:lumMod val="15000"/>
          <a:lumOff val="85000"/>
        </a:schemeClr>
      </a:solidFill>
      <a:round/>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גיליון1!$D$81</c:f>
              <c:strCache>
                <c:ptCount val="1"/>
                <c:pt idx="0">
                  <c:v>רמלה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גיליון1!$E$80:$I$80</c:f>
              <c:numCache>
                <c:formatCode>General</c:formatCode>
                <c:ptCount val="5"/>
                <c:pt idx="0">
                  <c:v>2014</c:v>
                </c:pt>
                <c:pt idx="1">
                  <c:v>2015</c:v>
                </c:pt>
                <c:pt idx="2">
                  <c:v>2016</c:v>
                </c:pt>
                <c:pt idx="3">
                  <c:v>2017</c:v>
                </c:pt>
                <c:pt idx="4">
                  <c:v>2018</c:v>
                </c:pt>
              </c:numCache>
            </c:numRef>
          </c:cat>
          <c:val>
            <c:numRef>
              <c:f>גיליון1!$E$81:$I$81</c:f>
              <c:numCache>
                <c:formatCode>0%</c:formatCode>
                <c:ptCount val="5"/>
                <c:pt idx="0">
                  <c:v>0.62463637377228642</c:v>
                </c:pt>
                <c:pt idx="1">
                  <c:v>0.62430679438454972</c:v>
                </c:pt>
                <c:pt idx="2">
                  <c:v>0.63161871469601594</c:v>
                </c:pt>
                <c:pt idx="3">
                  <c:v>0.62905316065533579</c:v>
                </c:pt>
                <c:pt idx="4">
                  <c:v>0.62258119151458691</c:v>
                </c:pt>
              </c:numCache>
            </c:numRef>
          </c:val>
          <c:extLst>
            <c:ext xmlns:c="http://schemas.openxmlformats.org/drawingml/2006/chart" xmlns:c16="http://schemas.microsoft.com/office/drawing/2014/chart" uri="{C3380CC4-5D6E-409C-BE32-E72D297353CC}">
              <c16:uniqueId val="{00000000-F5E5-4BBA-BE59-F1712C765528}"/>
            </c:ext>
          </c:extLst>
        </c:ser>
        <c:ser>
          <c:idx val="1"/>
          <c:order val="1"/>
          <c:tx>
            <c:strRef>
              <c:f>גיליון1!$D$82</c:f>
              <c:strCache>
                <c:ptCount val="1"/>
                <c:pt idx="0">
                  <c:v>כלל העיריות</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גיליון1!$E$80:$I$80</c:f>
              <c:numCache>
                <c:formatCode>General</c:formatCode>
                <c:ptCount val="5"/>
                <c:pt idx="0">
                  <c:v>2014</c:v>
                </c:pt>
                <c:pt idx="1">
                  <c:v>2015</c:v>
                </c:pt>
                <c:pt idx="2">
                  <c:v>2016</c:v>
                </c:pt>
                <c:pt idx="3">
                  <c:v>2017</c:v>
                </c:pt>
                <c:pt idx="4">
                  <c:v>2018</c:v>
                </c:pt>
              </c:numCache>
            </c:numRef>
          </c:cat>
          <c:val>
            <c:numRef>
              <c:f>גיליון1!$E$82:$I$82</c:f>
              <c:numCache>
                <c:formatCode>0%</c:formatCode>
                <c:ptCount val="5"/>
                <c:pt idx="0">
                  <c:v>0.55031376326150083</c:v>
                </c:pt>
                <c:pt idx="1">
                  <c:v>0.5488393843317485</c:v>
                </c:pt>
                <c:pt idx="2">
                  <c:v>0.549223416014725</c:v>
                </c:pt>
                <c:pt idx="3">
                  <c:v>0.53184732058961492</c:v>
                </c:pt>
                <c:pt idx="4">
                  <c:v>0.54429896058079463</c:v>
                </c:pt>
              </c:numCache>
            </c:numRef>
          </c:val>
          <c:extLst>
            <c:ext xmlns:c="http://schemas.openxmlformats.org/drawingml/2006/chart" xmlns:c16="http://schemas.microsoft.com/office/drawing/2014/chart" uri="{C3380CC4-5D6E-409C-BE32-E72D297353CC}">
              <c16:uniqueId val="{00000001-F5E5-4BBA-BE59-F1712C765528}"/>
            </c:ext>
          </c:extLst>
        </c:ser>
        <c:ser>
          <c:idx val="2"/>
          <c:order val="2"/>
          <c:tx>
            <c:strRef>
              <c:f>גיליון1!$D$83</c:f>
              <c:strCache>
                <c:ptCount val="1"/>
                <c:pt idx="0">
                  <c:v>עיריות בינוניות</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גיליון1!$E$80:$I$80</c:f>
              <c:numCache>
                <c:formatCode>General</c:formatCode>
                <c:ptCount val="5"/>
                <c:pt idx="0">
                  <c:v>2014</c:v>
                </c:pt>
                <c:pt idx="1">
                  <c:v>2015</c:v>
                </c:pt>
                <c:pt idx="2">
                  <c:v>2016</c:v>
                </c:pt>
                <c:pt idx="3">
                  <c:v>2017</c:v>
                </c:pt>
                <c:pt idx="4">
                  <c:v>2018</c:v>
                </c:pt>
              </c:numCache>
            </c:numRef>
          </c:cat>
          <c:val>
            <c:numRef>
              <c:f>גיליון1!$E$83:$I$83</c:f>
              <c:numCache>
                <c:formatCode>0%</c:formatCode>
                <c:ptCount val="5"/>
                <c:pt idx="0">
                  <c:v>0.5013381310928775</c:v>
                </c:pt>
                <c:pt idx="1">
                  <c:v>0.49953900684434738</c:v>
                </c:pt>
                <c:pt idx="2">
                  <c:v>0.50015446539160768</c:v>
                </c:pt>
                <c:pt idx="3">
                  <c:v>0.49594565514275812</c:v>
                </c:pt>
                <c:pt idx="4">
                  <c:v>0.49096997028675859</c:v>
                </c:pt>
              </c:numCache>
            </c:numRef>
          </c:val>
          <c:extLst>
            <c:ext xmlns:c="http://schemas.openxmlformats.org/drawingml/2006/chart" xmlns:c16="http://schemas.microsoft.com/office/drawing/2014/chart" uri="{C3380CC4-5D6E-409C-BE32-E72D297353CC}">
              <c16:uniqueId val="{00000002-F5E5-4BBA-BE59-F1712C765528}"/>
            </c:ext>
          </c:extLst>
        </c:ser>
        <c:dLbls>
          <c:dLblPos val="outEnd"/>
          <c:showLegendKey val="0"/>
          <c:showVal val="1"/>
          <c:showCatName val="0"/>
          <c:showSerName val="0"/>
          <c:showPercent val="0"/>
          <c:showBubbleSize val="0"/>
        </c:dLbls>
        <c:gapWidth val="219"/>
        <c:overlap val="-27"/>
        <c:axId val="98566528"/>
        <c:axId val="98568064"/>
      </c:barChart>
      <c:catAx>
        <c:axId val="98566528"/>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98568064"/>
        <c:crosses val="autoZero"/>
        <c:auto val="1"/>
        <c:lblAlgn val="ctr"/>
        <c:lblOffset val="100"/>
        <c:noMultiLvlLbl val="0"/>
      </c:catAx>
      <c:valAx>
        <c:axId val="98568064"/>
        <c:scaling>
          <c:orientation val="minMax"/>
        </c:scaling>
        <c:delete val="0"/>
        <c:axPos val="l"/>
        <c:majorGridlines>
          <c:spPr>
            <a:ln w="9525">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985665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גיליון1!$M$83</c:f>
              <c:strCache>
                <c:ptCount val="1"/>
                <c:pt idx="0">
                  <c:v>רמלה</c:v>
                </c:pt>
              </c:strCache>
            </c:strRef>
          </c:tx>
          <c:spPr>
            <a:solidFill>
              <a:schemeClr val="accent1"/>
            </a:solidFill>
            <a:ln>
              <a:noFill/>
            </a:ln>
            <a:effectLst/>
          </c:spPr>
          <c:invertIfNegative val="0"/>
          <c:cat>
            <c:numRef>
              <c:f>גיליון1!$N$82:$R$82</c:f>
              <c:numCache>
                <c:formatCode>General</c:formatCode>
                <c:ptCount val="5"/>
                <c:pt idx="0">
                  <c:v>2014</c:v>
                </c:pt>
                <c:pt idx="1">
                  <c:v>2015</c:v>
                </c:pt>
                <c:pt idx="2">
                  <c:v>2016</c:v>
                </c:pt>
                <c:pt idx="3">
                  <c:v>2017</c:v>
                </c:pt>
                <c:pt idx="4">
                  <c:v>2018</c:v>
                </c:pt>
              </c:numCache>
            </c:numRef>
          </c:cat>
          <c:val>
            <c:numRef>
              <c:f>גיליון1!$N$83:$R$83</c:f>
              <c:numCache>
                <c:formatCode>General</c:formatCode>
                <c:ptCount val="5"/>
                <c:pt idx="0">
                  <c:v>5627.54995836803</c:v>
                </c:pt>
                <c:pt idx="1">
                  <c:v>5753.99691220191</c:v>
                </c:pt>
                <c:pt idx="2">
                  <c:v>6369.30506773708</c:v>
                </c:pt>
                <c:pt idx="3">
                  <c:v>6390.99679256073</c:v>
                </c:pt>
                <c:pt idx="4">
                  <c:v>6742.72803595239</c:v>
                </c:pt>
              </c:numCache>
            </c:numRef>
          </c:val>
          <c:extLst>
            <c:ext xmlns:c="http://schemas.openxmlformats.org/drawingml/2006/chart" xmlns:c16="http://schemas.microsoft.com/office/drawing/2014/chart" uri="{C3380CC4-5D6E-409C-BE32-E72D297353CC}">
              <c16:uniqueId val="{00000000-1433-4408-8D88-5DF67A314930}"/>
            </c:ext>
          </c:extLst>
        </c:ser>
        <c:ser>
          <c:idx val="1"/>
          <c:order val="1"/>
          <c:tx>
            <c:strRef>
              <c:f>גיליון1!$M$84</c:f>
              <c:strCache>
                <c:ptCount val="1"/>
                <c:pt idx="0">
                  <c:v>כלל העיריות</c:v>
                </c:pt>
              </c:strCache>
            </c:strRef>
          </c:tx>
          <c:spPr>
            <a:solidFill>
              <a:schemeClr val="accent2"/>
            </a:solidFill>
            <a:ln>
              <a:noFill/>
            </a:ln>
            <a:effectLst/>
          </c:spPr>
          <c:invertIfNegative val="0"/>
          <c:cat>
            <c:numRef>
              <c:f>גיליון1!$N$82:$R$82</c:f>
              <c:numCache>
                <c:formatCode>General</c:formatCode>
                <c:ptCount val="5"/>
                <c:pt idx="0">
                  <c:v>2014</c:v>
                </c:pt>
                <c:pt idx="1">
                  <c:v>2015</c:v>
                </c:pt>
                <c:pt idx="2">
                  <c:v>2016</c:v>
                </c:pt>
                <c:pt idx="3">
                  <c:v>2017</c:v>
                </c:pt>
                <c:pt idx="4">
                  <c:v>2018</c:v>
                </c:pt>
              </c:numCache>
            </c:numRef>
          </c:cat>
          <c:val>
            <c:numRef>
              <c:f>גיליון1!$N$84:$R$84</c:f>
              <c:numCache>
                <c:formatCode>General</c:formatCode>
                <c:ptCount val="5"/>
                <c:pt idx="0">
                  <c:v>5858.2666961483974</c:v>
                </c:pt>
                <c:pt idx="1">
                  <c:v>6030.8351075104893</c:v>
                </c:pt>
                <c:pt idx="2">
                  <c:v>6184.4130114997279</c:v>
                </c:pt>
                <c:pt idx="3">
                  <c:v>6533.4453457143727</c:v>
                </c:pt>
                <c:pt idx="4">
                  <c:v>6805.7139069503291</c:v>
                </c:pt>
              </c:numCache>
            </c:numRef>
          </c:val>
          <c:extLst>
            <c:ext xmlns:c="http://schemas.openxmlformats.org/drawingml/2006/chart" xmlns:c16="http://schemas.microsoft.com/office/drawing/2014/chart" uri="{C3380CC4-5D6E-409C-BE32-E72D297353CC}">
              <c16:uniqueId val="{00000001-1433-4408-8D88-5DF67A314930}"/>
            </c:ext>
          </c:extLst>
        </c:ser>
        <c:ser>
          <c:idx val="2"/>
          <c:order val="2"/>
          <c:tx>
            <c:strRef>
              <c:f>גיליון1!$M$85</c:f>
              <c:strCache>
                <c:ptCount val="1"/>
                <c:pt idx="0">
                  <c:v>עיריות בינוניות</c:v>
                </c:pt>
              </c:strCache>
            </c:strRef>
          </c:tx>
          <c:spPr>
            <a:solidFill>
              <a:schemeClr val="accent3"/>
            </a:solidFill>
            <a:ln>
              <a:noFill/>
            </a:ln>
            <a:effectLst/>
          </c:spPr>
          <c:invertIfNegative val="0"/>
          <c:cat>
            <c:numRef>
              <c:f>גיליון1!$N$82:$R$82</c:f>
              <c:numCache>
                <c:formatCode>General</c:formatCode>
                <c:ptCount val="5"/>
                <c:pt idx="0">
                  <c:v>2014</c:v>
                </c:pt>
                <c:pt idx="1">
                  <c:v>2015</c:v>
                </c:pt>
                <c:pt idx="2">
                  <c:v>2016</c:v>
                </c:pt>
                <c:pt idx="3">
                  <c:v>2017</c:v>
                </c:pt>
                <c:pt idx="4">
                  <c:v>2018</c:v>
                </c:pt>
              </c:numCache>
            </c:numRef>
          </c:cat>
          <c:val>
            <c:numRef>
              <c:f>גיליון1!$N$85:$R$85</c:f>
              <c:numCache>
                <c:formatCode>General</c:formatCode>
                <c:ptCount val="5"/>
                <c:pt idx="0">
                  <c:v>5630.525157613587</c:v>
                </c:pt>
                <c:pt idx="1">
                  <c:v>5816.0200058906412</c:v>
                </c:pt>
                <c:pt idx="2">
                  <c:v>6002.2181880125463</c:v>
                </c:pt>
                <c:pt idx="3">
                  <c:v>6292.3295076546883</c:v>
                </c:pt>
                <c:pt idx="4">
                  <c:v>6650.02183868262</c:v>
                </c:pt>
              </c:numCache>
            </c:numRef>
          </c:val>
          <c:extLst>
            <c:ext xmlns:c="http://schemas.openxmlformats.org/drawingml/2006/chart" xmlns:c16="http://schemas.microsoft.com/office/drawing/2014/chart" uri="{C3380CC4-5D6E-409C-BE32-E72D297353CC}">
              <c16:uniqueId val="{00000002-1433-4408-8D88-5DF67A314930}"/>
            </c:ext>
          </c:extLst>
        </c:ser>
        <c:dLbls>
          <c:showLegendKey val="0"/>
          <c:showVal val="0"/>
          <c:showCatName val="0"/>
          <c:showSerName val="0"/>
          <c:showPercent val="0"/>
          <c:showBubbleSize val="0"/>
        </c:dLbls>
        <c:gapWidth val="219"/>
        <c:overlap val="-27"/>
        <c:axId val="97936512"/>
        <c:axId val="97938048"/>
      </c:barChart>
      <c:catAx>
        <c:axId val="97936512"/>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97938048"/>
        <c:crosses val="autoZero"/>
        <c:auto val="1"/>
        <c:lblAlgn val="ctr"/>
        <c:lblOffset val="100"/>
        <c:noMultiLvlLbl val="0"/>
      </c:catAx>
      <c:valAx>
        <c:axId val="97938048"/>
        <c:scaling>
          <c:orientation val="minMax"/>
        </c:scaling>
        <c:delete val="0"/>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979365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1">
    <c:autoUpdate val="0"/>
  </c:externalData>
</c:chartSpace>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DDE08D5-E035-423A-9CEB-AED0805ECD61}">
  <ds:schemaRefs>
    <ds:schemaRef ds:uri="http://schemas.openxmlformats.org/officeDocument/2006/bibliography"/>
  </ds:schemaRefs>
</ds:datastoreItem>
</file>

<file path=customXml/itemProps2.xml><?xml version="1.0" encoding="utf-8"?>
<ds:datastoreItem xmlns:ds="http://schemas.openxmlformats.org/officeDocument/2006/customXml" ds:itemID="{974423CC-FA53-49AD-B21B-3241E51E6BDD}"/>
</file>

<file path=customXml/itemProps3.xml><?xml version="1.0" encoding="utf-8"?>
<ds:datastoreItem xmlns:ds="http://schemas.openxmlformats.org/officeDocument/2006/customXml" ds:itemID="{0A11816F-311B-4BAE-A3DF-5EDA84768952}"/>
</file>

<file path=customXml/itemProps4.xml><?xml version="1.0" encoding="utf-8"?>
<ds:datastoreItem xmlns:ds="http://schemas.openxmlformats.org/officeDocument/2006/customXml" ds:itemID="{4DE11E1B-EDC0-48E5-A6EB-51A84FA7950E}"/>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