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4C3C06" w:rsidRPr="004C3C06" w:rsidP="002E1005" w14:paraId="6645A8A2" w14:textId="45E9B8E7">
      <w:pPr>
        <w:pStyle w:val="KOT1N"/>
        <w:bidi/>
        <w:spacing w:after="360"/>
        <w:jc w:val="left"/>
        <w:rPr>
          <w:rtl/>
        </w:rPr>
      </w:pPr>
      <w:r w:rsidRPr="002E1005">
        <w:rPr>
          <w:rFonts w:hint="eastAsia"/>
          <w:rtl/>
          <w:lang w:bidi="ar-SA"/>
        </w:rPr>
        <w:t>المقدمة</w:t>
      </w:r>
    </w:p>
    <w:p w:rsidR="004C3C06" w:rsidRPr="004C3C06" w:rsidP="004C3C06" w14:paraId="196333EF"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 xml:space="preserve">تقرير الرقابة السنويّ </w:t>
      </w:r>
      <w:r w:rsidRPr="004C3C06">
        <w:rPr>
          <w:rFonts w:ascii="Tahoma" w:hAnsi="Tahoma" w:cs="Tahoma"/>
          <w:sz w:val="18"/>
          <w:szCs w:val="18"/>
          <w:rtl/>
          <w:lang w:val="ar"/>
        </w:rPr>
        <w:t xml:space="preserve">71 </w:t>
      </w:r>
      <w:r w:rsidRPr="004C3C06">
        <w:rPr>
          <w:rFonts w:ascii="Tahoma" w:hAnsi="Tahoma" w:cs="Tahoma"/>
          <w:sz w:val="18"/>
          <w:szCs w:val="18"/>
          <w:rtl/>
          <w:lang w:val="ar" w:bidi="ar-SA"/>
        </w:rPr>
        <w:t xml:space="preserve">ب هو القسم الثاني من التقرير السنويّ لمراقب الدولة بشأن نتائج الرقابة على الهيئات الخاضعة للرقابة في سنة </w:t>
      </w:r>
      <w:r w:rsidRPr="004C3C06">
        <w:rPr>
          <w:rFonts w:ascii="Tahoma" w:hAnsi="Tahoma" w:cs="Tahoma"/>
          <w:sz w:val="18"/>
          <w:szCs w:val="18"/>
          <w:rtl/>
          <w:lang w:val="ar"/>
        </w:rPr>
        <w:t xml:space="preserve">2020. </w:t>
      </w:r>
      <w:r w:rsidRPr="004C3C06">
        <w:rPr>
          <w:rFonts w:ascii="Tahoma" w:hAnsi="Tahoma" w:cs="Tahoma"/>
          <w:sz w:val="18"/>
          <w:szCs w:val="18"/>
          <w:rtl/>
          <w:lang w:val="ar" w:bidi="ar-SA"/>
        </w:rPr>
        <w:t>خُصّص هذا المجلد لمواضيع في مجال جهاز الأمن، الذي يعمل على تعزيز أمن دولة إسرائيل</w:t>
      </w:r>
      <w:r w:rsidRPr="004C3C06">
        <w:rPr>
          <w:rFonts w:ascii="Tahoma" w:hAnsi="Tahoma" w:cs="Tahoma"/>
          <w:sz w:val="18"/>
          <w:szCs w:val="18"/>
          <w:rtl/>
          <w:lang w:val="ar"/>
        </w:rPr>
        <w:t xml:space="preserve">. </w:t>
      </w:r>
      <w:r w:rsidRPr="004C3C06">
        <w:rPr>
          <w:rFonts w:ascii="Tahoma" w:hAnsi="Tahoma" w:cs="Tahoma"/>
          <w:sz w:val="18"/>
          <w:szCs w:val="18"/>
          <w:rtl/>
          <w:lang w:val="ar" w:bidi="ar-SA"/>
        </w:rPr>
        <w:t>وفي ما</w:t>
      </w:r>
      <w:r w:rsidRPr="004C3C06">
        <w:rPr>
          <w:rFonts w:ascii="Tahoma" w:hAnsi="Tahoma" w:cs="Tahoma"/>
          <w:sz w:val="18"/>
          <w:szCs w:val="18"/>
          <w:rtl/>
          <w:lang w:val="ar" w:bidi="ar-SA"/>
        </w:rPr>
        <w:t xml:space="preserve"> يلي استعراض للمواضيع المدرجة فيه</w:t>
      </w:r>
      <w:r w:rsidRPr="004C3C06">
        <w:rPr>
          <w:rFonts w:ascii="Tahoma" w:hAnsi="Tahoma" w:cs="Tahoma"/>
          <w:sz w:val="18"/>
          <w:szCs w:val="18"/>
          <w:rtl/>
          <w:lang w:val="ar"/>
        </w:rPr>
        <w:t xml:space="preserve">: </w:t>
      </w:r>
    </w:p>
    <w:p w:rsidR="004C3C06" w:rsidRPr="004C3C06" w:rsidP="004C3C06" w14:paraId="0DCC0C94"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بيّنت الرقابة على موضوع</w:t>
      </w:r>
      <w:r w:rsidRPr="004C3C06">
        <w:rPr>
          <w:rFonts w:ascii="Tahoma" w:hAnsi="Tahoma" w:cs="Tahoma"/>
          <w:b/>
          <w:bCs/>
          <w:sz w:val="18"/>
          <w:szCs w:val="18"/>
          <w:rtl/>
          <w:lang w:val="ar" w:bidi="ar-SA"/>
        </w:rPr>
        <w:t xml:space="preserve"> انتقال وحدات شعبة الاستخبارات والحوسبة إلى النقب</w:t>
      </w:r>
      <w:r w:rsidRPr="004C3C06">
        <w:rPr>
          <w:rFonts w:ascii="Tahoma" w:hAnsi="Tahoma" w:cs="Tahoma"/>
          <w:sz w:val="18"/>
          <w:szCs w:val="18"/>
          <w:rtl/>
          <w:lang w:val="ar" w:bidi="ar-SA"/>
        </w:rPr>
        <w:t xml:space="preserve"> أنّ الخلافات وانعدام الاتّفاق بين جهاز الأمنّ ووزارتيِ المالية والمواصلات تشكّل عائقًا أمام نقل وحدات شعبة الاستخبارات وشعبة الحوسبة إلى النقب</w:t>
      </w:r>
      <w:r w:rsidRPr="004C3C06">
        <w:rPr>
          <w:rFonts w:ascii="Tahoma" w:hAnsi="Tahoma" w:cs="Tahoma"/>
          <w:sz w:val="18"/>
          <w:szCs w:val="18"/>
          <w:rtl/>
          <w:lang w:val="ar"/>
        </w:rPr>
        <w:t xml:space="preserve">. </w:t>
      </w:r>
      <w:r w:rsidRPr="004C3C06">
        <w:rPr>
          <w:rFonts w:ascii="Tahoma" w:hAnsi="Tahoma" w:cs="Tahoma"/>
          <w:sz w:val="18"/>
          <w:szCs w:val="18"/>
          <w:rtl/>
          <w:lang w:val="ar" w:bidi="ar-SA"/>
        </w:rPr>
        <w:t>في ظلّ حقيقة أنّ انتقال هذه الوحدات إلى النقب هو جزء من خطوة وطنيّة واسعة النطاق، تجسّد فيها تطابق في المصالح السياسيّة والأمنيّة والاقتصاديّة، فمن المهمّ أن يكمل الطرفان صياغة الاتّفاقات، بمساعدة مجلس الأمن القوميّ، وأن يتّخذا قرارات بشأن تنفيذها أيضًا</w:t>
      </w:r>
      <w:r w:rsidRPr="004C3C06">
        <w:rPr>
          <w:rFonts w:ascii="Tahoma" w:hAnsi="Tahoma" w:cs="Tahoma"/>
          <w:sz w:val="18"/>
          <w:szCs w:val="18"/>
          <w:rtl/>
          <w:lang w:val="ar"/>
        </w:rPr>
        <w:t xml:space="preserve">. </w:t>
      </w:r>
      <w:r w:rsidRPr="004C3C06">
        <w:rPr>
          <w:rFonts w:ascii="Tahoma" w:hAnsi="Tahoma" w:cs="Tahoma"/>
          <w:sz w:val="18"/>
          <w:szCs w:val="18"/>
          <w:rtl/>
          <w:lang w:val="ar" w:bidi="ar-SA"/>
        </w:rPr>
        <w:t>ممّا سيمهّد الطريق للانتقال الناجح لهاتين الشعبتين إلى النقب</w:t>
      </w:r>
      <w:r w:rsidRPr="004C3C06">
        <w:rPr>
          <w:rFonts w:ascii="Tahoma" w:hAnsi="Tahoma" w:cs="Tahoma"/>
          <w:sz w:val="18"/>
          <w:szCs w:val="18"/>
          <w:rtl/>
          <w:lang w:val="ar"/>
        </w:rPr>
        <w:t>.</w:t>
      </w:r>
    </w:p>
    <w:p w:rsidR="004C3C06" w:rsidRPr="004C3C06" w:rsidP="004C3C06" w14:paraId="680B3872"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لغرض الحفاظ على الاستعداد والأهليّة للحرب أو الأنشطة التشغيلية، يغلق جيش الدفاع الإسرائيليّ مناطق معيّنة ويستخدمها لتدريب قوّاته</w:t>
      </w:r>
      <w:r w:rsidRPr="004C3C06">
        <w:rPr>
          <w:rFonts w:ascii="Tahoma" w:hAnsi="Tahoma" w:cs="Tahoma"/>
          <w:sz w:val="18"/>
          <w:szCs w:val="18"/>
          <w:rtl/>
          <w:lang w:val="ar"/>
        </w:rPr>
        <w:t xml:space="preserve">. </w:t>
      </w:r>
      <w:r w:rsidRPr="004C3C06">
        <w:rPr>
          <w:rFonts w:ascii="Tahoma" w:hAnsi="Tahoma" w:cs="Tahoma"/>
          <w:sz w:val="18"/>
          <w:szCs w:val="18"/>
          <w:rtl/>
          <w:lang w:val="ar" w:bidi="ar-SA"/>
        </w:rPr>
        <w:t xml:space="preserve">في الفصل الذي يتناول </w:t>
      </w:r>
      <w:r w:rsidRPr="004C3C06">
        <w:rPr>
          <w:rFonts w:ascii="Tahoma" w:hAnsi="Tahoma" w:cs="Tahoma"/>
          <w:b/>
          <w:bCs/>
          <w:sz w:val="18"/>
          <w:szCs w:val="18"/>
          <w:rtl/>
          <w:lang w:val="ar" w:bidi="ar-SA"/>
        </w:rPr>
        <w:t>مناطق تدريب جيش الدفاع الإسرائيليّ على اليابسة</w:t>
      </w:r>
      <w:r w:rsidRPr="004C3C06">
        <w:rPr>
          <w:rFonts w:ascii="Tahoma" w:hAnsi="Tahoma" w:cs="Tahoma"/>
          <w:sz w:val="18"/>
          <w:szCs w:val="18"/>
          <w:rtl/>
          <w:lang w:val="ar" w:bidi="ar-SA"/>
        </w:rPr>
        <w:t>، أشرنا إلى أنّ مناطق التدريب هي مناطق مغلقة تنتشر على حوالي ثلث أراضي الدولة، وبعضها يشمل محميّات طبيعيّة ومواقع أثريّة ومناطق زراعيّة</w:t>
      </w:r>
      <w:r w:rsidRPr="004C3C06">
        <w:rPr>
          <w:rFonts w:ascii="Tahoma" w:hAnsi="Tahoma" w:cs="Tahoma"/>
          <w:sz w:val="18"/>
          <w:szCs w:val="18"/>
          <w:rtl/>
          <w:lang w:val="ar"/>
        </w:rPr>
        <w:t xml:space="preserve">. </w:t>
      </w:r>
      <w:r w:rsidRPr="004C3C06">
        <w:rPr>
          <w:rFonts w:ascii="Tahoma" w:hAnsi="Tahoma" w:cs="Tahoma"/>
          <w:sz w:val="18"/>
          <w:szCs w:val="18"/>
          <w:rtl/>
          <w:lang w:val="ar" w:bidi="ar-SA"/>
        </w:rPr>
        <w:t>في ظلّ أزمة الأراضي في الدولة، هناك توتّر بنيويّ بين مختلف الاحتياجات الوطنيّة، بما في ذلك الاحتياجات الأمنيّة أيضًا</w:t>
      </w:r>
      <w:r w:rsidRPr="004C3C06">
        <w:rPr>
          <w:rFonts w:ascii="Tahoma" w:hAnsi="Tahoma" w:cs="Tahoma"/>
          <w:sz w:val="18"/>
          <w:szCs w:val="18"/>
          <w:rtl/>
          <w:lang w:val="ar"/>
        </w:rPr>
        <w:t xml:space="preserve">. </w:t>
      </w:r>
      <w:r w:rsidRPr="004C3C06">
        <w:rPr>
          <w:rFonts w:ascii="Tahoma" w:hAnsi="Tahoma" w:cs="Tahoma"/>
          <w:sz w:val="18"/>
          <w:szCs w:val="18"/>
          <w:rtl/>
          <w:lang w:val="ar" w:bidi="ar-SA"/>
        </w:rPr>
        <w:t xml:space="preserve">تبيّن أنّ حوالي </w:t>
      </w:r>
      <w:r w:rsidRPr="004C3C06">
        <w:rPr>
          <w:rFonts w:ascii="Tahoma" w:hAnsi="Tahoma" w:cs="Tahoma"/>
          <w:sz w:val="18"/>
          <w:szCs w:val="18"/>
          <w:rtl/>
          <w:lang w:val="ar"/>
        </w:rPr>
        <w:t>73</w:t>
      </w:r>
      <w:r w:rsidRPr="004C3C06">
        <w:rPr>
          <w:rFonts w:ascii="Tahoma" w:hAnsi="Tahoma" w:cs="Tahoma"/>
          <w:sz w:val="18"/>
          <w:szCs w:val="18"/>
          <w:rtl/>
          <w:lang w:val="ar" w:bidi="ar-SA"/>
        </w:rPr>
        <w:t xml:space="preserve">٪ من مناطق التدريب التي تقرّر تخصيصها للاحتياجات المدنيّة في عام </w:t>
      </w:r>
      <w:r w:rsidRPr="004C3C06">
        <w:rPr>
          <w:rFonts w:ascii="Tahoma" w:hAnsi="Tahoma" w:cs="Tahoma"/>
          <w:sz w:val="18"/>
          <w:szCs w:val="18"/>
          <w:rtl/>
          <w:lang w:val="ar"/>
        </w:rPr>
        <w:t xml:space="preserve">2015 </w:t>
      </w:r>
      <w:r w:rsidRPr="004C3C06">
        <w:rPr>
          <w:rFonts w:ascii="Tahoma" w:hAnsi="Tahoma" w:cs="Tahoma"/>
          <w:sz w:val="18"/>
          <w:szCs w:val="18"/>
          <w:rtl/>
          <w:lang w:val="ar" w:bidi="ar-SA"/>
        </w:rPr>
        <w:t>لم تُنقل بعدُ، حتّى الانتهاء من إجراءات الرقابة الحاليّة</w:t>
      </w:r>
      <w:r w:rsidRPr="004C3C06">
        <w:rPr>
          <w:rFonts w:ascii="Tahoma" w:hAnsi="Tahoma" w:cs="Tahoma"/>
          <w:sz w:val="18"/>
          <w:szCs w:val="18"/>
          <w:rtl/>
          <w:lang w:val="ar"/>
        </w:rPr>
        <w:t xml:space="preserve">. </w:t>
      </w:r>
      <w:r w:rsidRPr="004C3C06">
        <w:rPr>
          <w:rFonts w:ascii="Tahoma" w:hAnsi="Tahoma" w:cs="Tahoma"/>
          <w:sz w:val="18"/>
          <w:szCs w:val="18"/>
          <w:rtl/>
          <w:lang w:val="ar" w:bidi="ar-SA"/>
        </w:rPr>
        <w:t>ننصح بأن يقوم المجلس القطريّ للتخطيط والبناء وجيش الدفاع الإسرائيليّ معًا بفحص عمليّات إغلاق مناطق التدريب من قبل جيش الدفاع الإسرائيليّ في وجه عمليّات تخطيط الغايات من الأراضي من قبل إدارة التخطيط، والتنسيق بين هاتين العمليّتين اللتين تجريان اليوم في إطار أنظمة قانونيّة منفصلة، وإصدار توصيات للحكومة وفقًا للاستنتاجات من هذا الفحص</w:t>
      </w:r>
      <w:r w:rsidRPr="004C3C06">
        <w:rPr>
          <w:rFonts w:ascii="Tahoma" w:hAnsi="Tahoma" w:cs="Tahoma"/>
          <w:sz w:val="18"/>
          <w:szCs w:val="18"/>
          <w:rtl/>
          <w:lang w:val="ar"/>
        </w:rPr>
        <w:t xml:space="preserve">. </w:t>
      </w:r>
      <w:r w:rsidRPr="004C3C06">
        <w:rPr>
          <w:rFonts w:ascii="Tahoma" w:hAnsi="Tahoma" w:cs="Tahoma"/>
          <w:sz w:val="18"/>
          <w:szCs w:val="18"/>
          <w:rtl/>
          <w:lang w:val="ar" w:bidi="ar-SA"/>
        </w:rPr>
        <w:t>هذا من وجهة نظر شاملة تتطلّع نحو المستقبل وتفحص جميع احتياجات التنمية والتطوير الوطنيّة، بما في ذلك الاحتياجات الأمنيّة</w:t>
      </w:r>
      <w:r w:rsidRPr="004C3C06">
        <w:rPr>
          <w:rFonts w:ascii="Tahoma" w:hAnsi="Tahoma" w:cs="Tahoma"/>
          <w:sz w:val="18"/>
          <w:szCs w:val="18"/>
          <w:rtl/>
          <w:lang w:val="ar"/>
        </w:rPr>
        <w:t xml:space="preserve">. </w:t>
      </w:r>
    </w:p>
    <w:p w:rsidR="004C3C06" w:rsidRPr="004C3C06" w:rsidP="004C3C06" w14:paraId="11814D7A"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الصناعات الجوّيّة الإسرائيليّة م</w:t>
      </w:r>
      <w:r w:rsidRPr="004C3C06">
        <w:rPr>
          <w:rFonts w:ascii="Tahoma" w:hAnsi="Tahoma" w:cs="Tahoma"/>
          <w:sz w:val="18"/>
          <w:szCs w:val="18"/>
          <w:rtl/>
          <w:lang w:val="ar"/>
        </w:rPr>
        <w:t>.</w:t>
      </w:r>
      <w:r w:rsidRPr="004C3C06">
        <w:rPr>
          <w:rFonts w:ascii="Tahoma" w:hAnsi="Tahoma" w:cs="Tahoma"/>
          <w:sz w:val="18"/>
          <w:szCs w:val="18"/>
          <w:rtl/>
          <w:lang w:val="ar" w:bidi="ar-SA"/>
        </w:rPr>
        <w:t>ض هي شركة حكوميّة وهي إحدى أكبر الشركات في الاقتصاد الإسرائيليّ</w:t>
      </w:r>
      <w:r w:rsidRPr="004C3C06">
        <w:rPr>
          <w:rFonts w:ascii="Tahoma" w:hAnsi="Tahoma" w:cs="Tahoma"/>
          <w:sz w:val="18"/>
          <w:szCs w:val="18"/>
          <w:rtl/>
          <w:lang w:val="ar"/>
        </w:rPr>
        <w:t xml:space="preserve">. </w:t>
      </w:r>
      <w:r w:rsidRPr="004C3C06">
        <w:rPr>
          <w:rFonts w:ascii="Tahoma" w:hAnsi="Tahoma" w:cs="Tahoma"/>
          <w:sz w:val="18"/>
          <w:szCs w:val="18"/>
          <w:rtl/>
          <w:lang w:val="ar" w:bidi="ar-SA"/>
        </w:rPr>
        <w:t xml:space="preserve">في عام </w:t>
      </w:r>
      <w:r w:rsidRPr="004C3C06">
        <w:rPr>
          <w:rFonts w:ascii="Tahoma" w:hAnsi="Tahoma" w:cs="Tahoma"/>
          <w:sz w:val="18"/>
          <w:szCs w:val="18"/>
          <w:rtl/>
          <w:lang w:val="ar"/>
        </w:rPr>
        <w:t>2019</w:t>
      </w:r>
      <w:r w:rsidRPr="004C3C06">
        <w:rPr>
          <w:rFonts w:ascii="Tahoma" w:hAnsi="Tahoma" w:cs="Tahoma"/>
          <w:sz w:val="18"/>
          <w:szCs w:val="18"/>
          <w:rtl/>
          <w:lang w:val="ar" w:bidi="ar-SA"/>
        </w:rPr>
        <w:t xml:space="preserve">، بلغت مبيعاتها تقريبًا </w:t>
      </w:r>
      <w:r w:rsidRPr="004C3C06">
        <w:rPr>
          <w:rFonts w:ascii="Tahoma" w:hAnsi="Tahoma" w:cs="Tahoma"/>
          <w:sz w:val="18"/>
          <w:szCs w:val="18"/>
          <w:rtl/>
          <w:lang w:val="ar"/>
        </w:rPr>
        <w:t xml:space="preserve">1.4 </w:t>
      </w:r>
      <w:r w:rsidRPr="004C3C06">
        <w:rPr>
          <w:rFonts w:ascii="Tahoma" w:hAnsi="Tahoma" w:cs="Tahoma"/>
          <w:sz w:val="18"/>
          <w:szCs w:val="18"/>
          <w:rtl/>
          <w:lang w:val="ar" w:bidi="ar-SA"/>
        </w:rPr>
        <w:t>مليار دولار، وكان عدد موّظفيها تقريبًا 15،000 موظّف</w:t>
      </w:r>
      <w:r w:rsidRPr="004C3C06">
        <w:rPr>
          <w:rFonts w:ascii="Tahoma" w:hAnsi="Tahoma" w:cs="Tahoma"/>
          <w:sz w:val="18"/>
          <w:szCs w:val="18"/>
          <w:rtl/>
          <w:lang w:val="ar"/>
        </w:rPr>
        <w:t xml:space="preserve">. </w:t>
      </w:r>
      <w:r w:rsidRPr="004C3C06">
        <w:rPr>
          <w:rFonts w:ascii="Tahoma" w:hAnsi="Tahoma" w:cs="Tahoma"/>
          <w:sz w:val="18"/>
          <w:szCs w:val="18"/>
          <w:rtl/>
          <w:lang w:val="ar" w:bidi="ar-SA"/>
        </w:rPr>
        <w:t xml:space="preserve">منذ كانون الثاني </w:t>
      </w:r>
      <w:r w:rsidRPr="004C3C06">
        <w:rPr>
          <w:rFonts w:ascii="Tahoma" w:hAnsi="Tahoma" w:cs="Tahoma"/>
          <w:sz w:val="18"/>
          <w:szCs w:val="18"/>
          <w:rtl/>
          <w:lang w:val="ar"/>
        </w:rPr>
        <w:t xml:space="preserve">2017 </w:t>
      </w:r>
      <w:r w:rsidRPr="004C3C06">
        <w:rPr>
          <w:rFonts w:ascii="Tahoma" w:hAnsi="Tahoma" w:cs="Tahoma"/>
          <w:sz w:val="18"/>
          <w:szCs w:val="18"/>
          <w:rtl/>
          <w:lang w:val="ar" w:bidi="ar-SA"/>
        </w:rPr>
        <w:t xml:space="preserve">وحتّى كانون الثاني </w:t>
      </w:r>
      <w:r w:rsidRPr="004C3C06">
        <w:rPr>
          <w:rFonts w:ascii="Tahoma" w:hAnsi="Tahoma" w:cs="Tahoma"/>
          <w:sz w:val="18"/>
          <w:szCs w:val="18"/>
          <w:rtl/>
          <w:lang w:val="ar"/>
        </w:rPr>
        <w:t>2019</w:t>
      </w:r>
      <w:r w:rsidRPr="004C3C06">
        <w:rPr>
          <w:rFonts w:ascii="Tahoma" w:hAnsi="Tahoma" w:cs="Tahoma"/>
          <w:sz w:val="18"/>
          <w:szCs w:val="18"/>
          <w:rtl/>
          <w:lang w:val="ar" w:bidi="ar-SA"/>
        </w:rPr>
        <w:t xml:space="preserve">، تمّ تعيين </w:t>
      </w:r>
      <w:r w:rsidRPr="004C3C06">
        <w:rPr>
          <w:rFonts w:ascii="Tahoma" w:hAnsi="Tahoma" w:cs="Tahoma"/>
          <w:sz w:val="18"/>
          <w:szCs w:val="18"/>
          <w:rtl/>
          <w:lang w:val="ar"/>
        </w:rPr>
        <w:t xml:space="preserve">29 </w:t>
      </w:r>
      <w:r w:rsidRPr="004C3C06">
        <w:rPr>
          <w:rFonts w:ascii="Tahoma" w:hAnsi="Tahoma" w:cs="Tahoma"/>
          <w:sz w:val="18"/>
          <w:szCs w:val="18"/>
          <w:rtl/>
          <w:lang w:val="ar" w:bidi="ar-SA"/>
        </w:rPr>
        <w:t xml:space="preserve">من كبار المديرين في الصناعات الجوّيّة الإسرائيليّة، أي تقريبًا </w:t>
      </w:r>
      <w:r w:rsidRPr="004C3C06">
        <w:rPr>
          <w:rFonts w:ascii="Tahoma" w:hAnsi="Tahoma" w:cs="Tahoma"/>
          <w:sz w:val="18"/>
          <w:szCs w:val="18"/>
          <w:rtl/>
          <w:lang w:val="ar"/>
        </w:rPr>
        <w:t>46</w:t>
      </w:r>
      <w:r w:rsidRPr="004C3C06">
        <w:rPr>
          <w:rFonts w:ascii="Tahoma" w:hAnsi="Tahoma" w:cs="Tahoma"/>
          <w:sz w:val="18"/>
          <w:szCs w:val="18"/>
          <w:rtl/>
          <w:lang w:val="ar" w:bidi="ar-SA"/>
        </w:rPr>
        <w:t>٪ من كبار مديري الشركة</w:t>
      </w:r>
      <w:r w:rsidRPr="004C3C06">
        <w:rPr>
          <w:rFonts w:ascii="Tahoma" w:hAnsi="Tahoma" w:cs="Tahoma"/>
          <w:sz w:val="18"/>
          <w:szCs w:val="18"/>
          <w:rtl/>
          <w:lang w:val="ar"/>
        </w:rPr>
        <w:t>.</w:t>
      </w:r>
    </w:p>
    <w:p w:rsidR="004C3C06" w:rsidRPr="004C3C06" w:rsidP="004C3C06" w14:paraId="2885EF8E"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 xml:space="preserve">بيّنت الرقابة على موضوع </w:t>
      </w:r>
      <w:r w:rsidRPr="004C3C06">
        <w:rPr>
          <w:rFonts w:ascii="Tahoma" w:hAnsi="Tahoma" w:cs="Tahoma"/>
          <w:b/>
          <w:bCs/>
          <w:sz w:val="18"/>
          <w:szCs w:val="18"/>
          <w:rtl/>
          <w:lang w:val="ar" w:bidi="ar-SA"/>
        </w:rPr>
        <w:t>تعيين كبار المسؤولين في الصناعات الجوّيّة الإسرائيليّة م</w:t>
      </w:r>
      <w:r w:rsidRPr="004C3C06">
        <w:rPr>
          <w:rFonts w:ascii="Tahoma" w:hAnsi="Tahoma" w:cs="Tahoma"/>
          <w:b/>
          <w:bCs/>
          <w:sz w:val="18"/>
          <w:szCs w:val="18"/>
          <w:rtl/>
          <w:lang w:val="ar"/>
        </w:rPr>
        <w:t>.</w:t>
      </w:r>
      <w:r w:rsidRPr="004C3C06">
        <w:rPr>
          <w:rFonts w:ascii="Tahoma" w:hAnsi="Tahoma" w:cs="Tahoma"/>
          <w:b/>
          <w:bCs/>
          <w:sz w:val="18"/>
          <w:szCs w:val="18"/>
          <w:rtl/>
          <w:lang w:val="ar" w:bidi="ar-SA"/>
        </w:rPr>
        <w:t>ض،</w:t>
      </w:r>
      <w:r w:rsidRPr="004C3C06">
        <w:rPr>
          <w:rFonts w:ascii="Tahoma" w:hAnsi="Tahoma" w:cs="Tahoma"/>
          <w:sz w:val="18"/>
          <w:szCs w:val="18"/>
          <w:rtl/>
          <w:lang w:val="ar" w:bidi="ar-SA"/>
        </w:rPr>
        <w:t xml:space="preserve"> وجود نواقص في إجراءات العثور على </w:t>
      </w:r>
      <w:r w:rsidRPr="004C3C06">
        <w:rPr>
          <w:rFonts w:ascii="Tahoma" w:hAnsi="Tahoma" w:cs="Tahoma"/>
          <w:sz w:val="18"/>
          <w:szCs w:val="18"/>
          <w:rtl/>
          <w:lang w:val="ar" w:bidi="ar-SA"/>
        </w:rPr>
        <w:t>مديربن</w:t>
      </w:r>
      <w:r w:rsidRPr="004C3C06">
        <w:rPr>
          <w:rFonts w:ascii="Tahoma" w:hAnsi="Tahoma" w:cs="Tahoma"/>
          <w:sz w:val="18"/>
          <w:szCs w:val="18"/>
          <w:rtl/>
          <w:lang w:val="ar" w:bidi="ar-SA"/>
        </w:rPr>
        <w:t xml:space="preserve"> كبار وتعيينهم، وكذلك في تعيين قائمين بأعمال ومديرين فعليّين وتغيير مواقع المديرين، بحيث لم يتمّ الحفاظ على مبادئ المساواة والمنافسة في هذه المجالات بشكل كامل</w:t>
      </w:r>
      <w:r w:rsidRPr="004C3C06">
        <w:rPr>
          <w:rFonts w:ascii="Tahoma" w:hAnsi="Tahoma" w:cs="Tahoma"/>
          <w:sz w:val="18"/>
          <w:szCs w:val="18"/>
          <w:rtl/>
          <w:lang w:val="ar"/>
        </w:rPr>
        <w:t xml:space="preserve">. </w:t>
      </w:r>
      <w:r w:rsidRPr="004C3C06">
        <w:rPr>
          <w:rFonts w:ascii="Tahoma" w:hAnsi="Tahoma" w:cs="Tahoma"/>
          <w:sz w:val="18"/>
          <w:szCs w:val="18"/>
          <w:rtl/>
          <w:lang w:val="ar" w:bidi="ar-SA"/>
        </w:rPr>
        <w:t>الصناعات الجوّيّة الإسرائيليّة هي شركة حكوميّة ملزمة بالحفاظ على معايير الإدارة السليمة والمنصفة والتنافسيّة، بما في ذلك عندما يتعلّق الأمر بتعيين كبار مديريها، بموجب نصّ القانون</w:t>
      </w:r>
      <w:r w:rsidRPr="004C3C06">
        <w:rPr>
          <w:rFonts w:ascii="Tahoma" w:hAnsi="Tahoma" w:cs="Tahoma"/>
          <w:sz w:val="18"/>
          <w:szCs w:val="18"/>
          <w:rtl/>
          <w:lang w:val="ar"/>
        </w:rPr>
        <w:t xml:space="preserve">. </w:t>
      </w:r>
      <w:r w:rsidRPr="004C3C06">
        <w:rPr>
          <w:rFonts w:ascii="Tahoma" w:hAnsi="Tahoma" w:cs="Tahoma"/>
          <w:sz w:val="18"/>
          <w:szCs w:val="18"/>
          <w:rtl/>
          <w:lang w:val="ar" w:bidi="ar-SA"/>
        </w:rPr>
        <w:t>من اللائق أن تقوم الإدارة ومجلس الإدارة باستخلاص العبر اللازمة والعمل على تفادي وجود نواقص مماثلة في المستقبل</w:t>
      </w:r>
      <w:r w:rsidRPr="004C3C06">
        <w:rPr>
          <w:rFonts w:ascii="Tahoma" w:hAnsi="Tahoma" w:cs="Tahoma"/>
          <w:sz w:val="18"/>
          <w:szCs w:val="18"/>
          <w:rtl/>
          <w:lang w:val="ar"/>
        </w:rPr>
        <w:t>.</w:t>
      </w:r>
    </w:p>
    <w:p w:rsidR="004C3C06" w:rsidRPr="004C3C06" w:rsidP="004C3C06" w14:paraId="3543D0D6" w14:textId="77777777">
      <w:pPr>
        <w:spacing w:after="180" w:line="260" w:lineRule="exact"/>
        <w:jc w:val="both"/>
        <w:rPr>
          <w:rFonts w:ascii="Tahoma" w:hAnsi="Tahoma" w:cs="Tahoma"/>
          <w:sz w:val="18"/>
          <w:szCs w:val="18"/>
          <w:rtl/>
          <w:lang w:bidi="ar-SA"/>
        </w:rPr>
      </w:pPr>
      <w:r w:rsidRPr="004C3C06">
        <w:rPr>
          <w:rFonts w:ascii="Tahoma" w:hAnsi="Tahoma" w:cs="Tahoma"/>
          <w:sz w:val="18"/>
          <w:szCs w:val="18"/>
          <w:rtl/>
          <w:lang w:val="ar" w:bidi="ar-SA"/>
        </w:rPr>
        <w:t>وفقًا لسياسة ديوان مراقب الدولة، يتم التركيز بشكل خاصّ على متابعة إصلاح النواقص التي بيّنتها تقارير سابقة</w:t>
      </w:r>
      <w:r w:rsidRPr="004C3C06">
        <w:rPr>
          <w:rFonts w:ascii="Tahoma" w:hAnsi="Tahoma" w:cs="Tahoma"/>
          <w:sz w:val="18"/>
          <w:szCs w:val="18"/>
          <w:rtl/>
          <w:lang w:val="ar"/>
        </w:rPr>
        <w:t xml:space="preserve">. </w:t>
      </w:r>
      <w:r w:rsidRPr="004C3C06">
        <w:rPr>
          <w:rFonts w:ascii="Tahoma" w:hAnsi="Tahoma" w:cs="Tahoma"/>
          <w:sz w:val="18"/>
          <w:szCs w:val="18"/>
          <w:rtl/>
          <w:lang w:val="ar" w:bidi="ar-SA"/>
        </w:rPr>
        <w:t>يتضمّن هذا المجلد موضوعي رقابة للمتابعة وهما</w:t>
      </w:r>
      <w:r w:rsidRPr="004C3C06">
        <w:rPr>
          <w:rFonts w:ascii="Tahoma" w:hAnsi="Tahoma" w:cs="Tahoma"/>
          <w:sz w:val="18"/>
          <w:szCs w:val="18"/>
          <w:rtl/>
          <w:lang w:bidi="ar-SA"/>
        </w:rPr>
        <w:t>:</w:t>
      </w:r>
    </w:p>
    <w:p w:rsidR="004C3C06" w:rsidRPr="004C3C06" w:rsidP="004C3C06" w14:paraId="05AF68B4" w14:textId="770F8E19">
      <w:pPr>
        <w:spacing w:after="180" w:line="260" w:lineRule="exact"/>
        <w:jc w:val="both"/>
        <w:rPr>
          <w:rFonts w:ascii="Tahoma" w:hAnsi="Tahoma" w:cs="Tahoma"/>
          <w:sz w:val="18"/>
          <w:szCs w:val="18"/>
          <w:rtl/>
        </w:rPr>
      </w:pPr>
      <w:r w:rsidRPr="004C3C06">
        <w:rPr>
          <w:rFonts w:ascii="Tahoma" w:hAnsi="Tahoma" w:cs="Tahoma"/>
          <w:sz w:val="18"/>
          <w:szCs w:val="18"/>
          <w:rtl/>
          <w:lang w:val="ar" w:bidi="ar-SA"/>
        </w:rPr>
        <w:t xml:space="preserve">في تشرين الثاني </w:t>
      </w:r>
      <w:r w:rsidRPr="004C3C06">
        <w:rPr>
          <w:rFonts w:ascii="Tahoma" w:hAnsi="Tahoma" w:cs="Tahoma"/>
          <w:sz w:val="18"/>
          <w:szCs w:val="18"/>
          <w:rtl/>
          <w:lang w:val="ar"/>
        </w:rPr>
        <w:t>2017</w:t>
      </w:r>
      <w:r w:rsidRPr="004C3C06">
        <w:rPr>
          <w:rFonts w:ascii="Tahoma" w:hAnsi="Tahoma" w:cs="Tahoma"/>
          <w:sz w:val="18"/>
          <w:szCs w:val="18"/>
          <w:rtl/>
          <w:lang w:val="ar" w:bidi="ar-SA"/>
        </w:rPr>
        <w:t xml:space="preserve">، نشر ديوان مراقب الدولة تقريرًا خاصًّا عن </w:t>
      </w:r>
      <w:r w:rsidRPr="004C3C06">
        <w:rPr>
          <w:rFonts w:ascii="Tahoma" w:hAnsi="Tahoma" w:cs="Tahoma"/>
          <w:b/>
          <w:bCs/>
          <w:sz w:val="18"/>
          <w:szCs w:val="18"/>
          <w:rtl/>
          <w:lang w:val="ar" w:bidi="ar-SA"/>
        </w:rPr>
        <w:t>الاستعدادات الوطنيّة للحماية من تهديد الطائرات من دون طيّار</w:t>
      </w:r>
      <w:r w:rsidRPr="004C3C06">
        <w:rPr>
          <w:rFonts w:ascii="Tahoma" w:hAnsi="Tahoma" w:cs="Tahoma"/>
          <w:b/>
          <w:bCs/>
          <w:sz w:val="18"/>
          <w:szCs w:val="18"/>
          <w:rtl/>
          <w:lang w:val="ar"/>
        </w:rPr>
        <w:t xml:space="preserve"> </w:t>
      </w:r>
      <w:r w:rsidRPr="004C3C06">
        <w:rPr>
          <w:rFonts w:ascii="Tahoma" w:hAnsi="Tahoma" w:cs="Tahoma"/>
          <w:sz w:val="18"/>
          <w:szCs w:val="18"/>
          <w:rtl/>
          <w:lang w:val="ar" w:bidi="ar-SA"/>
        </w:rPr>
        <w:t xml:space="preserve">ومنذ تشرين الأوّل </w:t>
      </w:r>
      <w:r w:rsidRPr="004C3C06">
        <w:rPr>
          <w:rFonts w:ascii="Tahoma" w:hAnsi="Tahoma" w:cs="Tahoma"/>
          <w:sz w:val="18"/>
          <w:szCs w:val="18"/>
          <w:rtl/>
          <w:lang w:val="ar"/>
        </w:rPr>
        <w:t xml:space="preserve">2019 </w:t>
      </w:r>
      <w:r w:rsidRPr="004C3C06">
        <w:rPr>
          <w:rFonts w:ascii="Tahoma" w:hAnsi="Tahoma" w:cs="Tahoma"/>
          <w:sz w:val="18"/>
          <w:szCs w:val="18"/>
          <w:rtl/>
          <w:lang w:val="ar" w:bidi="ar-SA"/>
        </w:rPr>
        <w:t xml:space="preserve">إلى حزيران </w:t>
      </w:r>
      <w:r w:rsidRPr="004C3C06">
        <w:rPr>
          <w:rFonts w:ascii="Tahoma" w:hAnsi="Tahoma" w:cs="Tahoma"/>
          <w:sz w:val="18"/>
          <w:szCs w:val="18"/>
          <w:rtl/>
          <w:lang w:val="ar"/>
        </w:rPr>
        <w:t>2020</w:t>
      </w:r>
      <w:r w:rsidRPr="004C3C06">
        <w:rPr>
          <w:rFonts w:ascii="Tahoma" w:hAnsi="Tahoma" w:cs="Tahoma"/>
          <w:sz w:val="18"/>
          <w:szCs w:val="18"/>
          <w:rtl/>
          <w:lang w:val="ar" w:bidi="ar-SA"/>
        </w:rPr>
        <w:t>، أُجريت رقابة موسّعة على هذا الموضوع</w:t>
      </w:r>
      <w:r w:rsidRPr="004C3C06">
        <w:rPr>
          <w:rFonts w:ascii="Tahoma" w:hAnsi="Tahoma" w:cs="Tahoma"/>
          <w:sz w:val="18"/>
          <w:szCs w:val="18"/>
          <w:rtl/>
          <w:lang w:val="ar"/>
        </w:rPr>
        <w:t xml:space="preserve">. </w:t>
      </w:r>
      <w:r w:rsidRPr="004C3C06">
        <w:rPr>
          <w:rFonts w:ascii="Tahoma" w:hAnsi="Tahoma" w:cs="Tahoma"/>
          <w:sz w:val="18"/>
          <w:szCs w:val="18"/>
          <w:rtl/>
          <w:lang w:val="ar" w:bidi="ar-SA"/>
        </w:rPr>
        <w:t xml:space="preserve">تشير التقديرات إلى أنّه في تمّوز </w:t>
      </w:r>
      <w:r w:rsidRPr="004C3C06">
        <w:rPr>
          <w:rFonts w:ascii="Tahoma" w:hAnsi="Tahoma" w:cs="Tahoma"/>
          <w:sz w:val="18"/>
          <w:szCs w:val="18"/>
          <w:rtl/>
          <w:lang w:val="ar"/>
        </w:rPr>
        <w:t xml:space="preserve">2020 </w:t>
      </w:r>
      <w:r w:rsidRPr="004C3C06">
        <w:rPr>
          <w:rFonts w:ascii="Tahoma" w:hAnsi="Tahoma" w:cs="Tahoma"/>
          <w:sz w:val="18"/>
          <w:szCs w:val="18"/>
          <w:rtl/>
          <w:lang w:val="ar" w:bidi="ar-SA"/>
        </w:rPr>
        <w:t xml:space="preserve">كان هناك </w:t>
      </w:r>
      <w:r w:rsidRPr="004C3C06">
        <w:rPr>
          <w:rFonts w:ascii="Tahoma" w:hAnsi="Tahoma" w:cs="Tahoma"/>
          <w:sz w:val="18"/>
          <w:szCs w:val="18"/>
          <w:rtl/>
          <w:lang w:val="ar"/>
        </w:rPr>
        <w:t xml:space="preserve">30,000 </w:t>
      </w:r>
      <w:r w:rsidRPr="004C3C06">
        <w:rPr>
          <w:rFonts w:ascii="Tahoma" w:hAnsi="Tahoma" w:cs="Tahoma"/>
          <w:sz w:val="18"/>
          <w:szCs w:val="18"/>
          <w:rtl/>
          <w:lang w:val="ar" w:bidi="ar-SA"/>
        </w:rPr>
        <w:t xml:space="preserve">طائرة من دون طيّار في </w:t>
      </w:r>
      <w:r w:rsidRPr="004C3C06">
        <w:rPr>
          <w:rFonts w:ascii="Tahoma" w:hAnsi="Tahoma" w:cs="Tahoma"/>
          <w:sz w:val="18"/>
          <w:szCs w:val="18"/>
          <w:rtl/>
          <w:lang w:val="ar" w:bidi="ar-SA"/>
        </w:rPr>
        <w:t>إسرائيل</w:t>
      </w:r>
      <w:r w:rsidRPr="004C3C06">
        <w:rPr>
          <w:rFonts w:ascii="Tahoma" w:hAnsi="Tahoma" w:cs="Tahoma"/>
          <w:sz w:val="18"/>
          <w:szCs w:val="18"/>
          <w:rtl/>
          <w:lang w:val="ar"/>
        </w:rPr>
        <w:t xml:space="preserve">. </w:t>
      </w:r>
      <w:r w:rsidRPr="004C3C06">
        <w:rPr>
          <w:rFonts w:ascii="Tahoma" w:hAnsi="Tahoma" w:cs="Tahoma"/>
          <w:sz w:val="18"/>
          <w:szCs w:val="18"/>
          <w:rtl/>
          <w:lang w:val="ar" w:bidi="ar-SA"/>
        </w:rPr>
        <w:t>بيّنت الرقابة أنّ الهيئات التي تمّ فحصها لم تستكمل بعد تحضيراتها التشغيليّة للتصدّي لهذا التهديد وتنظيم حدود القطاع بينها</w:t>
      </w:r>
      <w:r w:rsidRPr="004C3C06">
        <w:rPr>
          <w:rFonts w:ascii="Tahoma" w:hAnsi="Tahoma" w:cs="Tahoma"/>
          <w:sz w:val="18"/>
          <w:szCs w:val="18"/>
          <w:rtl/>
          <w:lang w:val="ar"/>
        </w:rPr>
        <w:t xml:space="preserve">. </w:t>
      </w:r>
      <w:r w:rsidRPr="004C3C06">
        <w:rPr>
          <w:rFonts w:ascii="Tahoma" w:hAnsi="Tahoma" w:cs="Tahoma"/>
          <w:sz w:val="18"/>
          <w:szCs w:val="18"/>
          <w:rtl/>
          <w:lang w:val="ar" w:bidi="ar-SA"/>
        </w:rPr>
        <w:t>على الهيئات أن تعمل على استكمال استعداداتها للتعامل مع خطر الطائرات من دون طيّار من جميع الجوانب في غضون فترة زمنيّة قصيرة وبالشكل الأمثل</w:t>
      </w:r>
      <w:r w:rsidRPr="004C3C06">
        <w:rPr>
          <w:rFonts w:ascii="Tahoma" w:hAnsi="Tahoma" w:cs="Tahoma"/>
          <w:sz w:val="18"/>
          <w:szCs w:val="18"/>
          <w:rtl/>
          <w:lang w:val="ar"/>
        </w:rPr>
        <w:t xml:space="preserve">. </w:t>
      </w:r>
    </w:p>
    <w:p w:rsidR="004C3C06" w:rsidRPr="004C3C06" w:rsidP="004C3C06" w14:paraId="35507564"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تجدر الإشارة إلى أنّه إلى جانب التهديدات الناشئة عن استخدام الطائرات من دون طيار، إلّا أنّه ينبغي استخدامها للمساهمة في تطوير المواصلات والاقتصاد في البلاد في العديد من المجالات</w:t>
      </w:r>
      <w:r w:rsidRPr="004C3C06">
        <w:rPr>
          <w:rFonts w:ascii="Tahoma" w:hAnsi="Tahoma" w:cs="Tahoma"/>
          <w:sz w:val="18"/>
          <w:szCs w:val="18"/>
          <w:rtl/>
          <w:lang w:val="ar"/>
        </w:rPr>
        <w:t xml:space="preserve">. </w:t>
      </w:r>
      <w:r w:rsidRPr="004C3C06">
        <w:rPr>
          <w:rFonts w:ascii="Tahoma" w:hAnsi="Tahoma" w:cs="Tahoma"/>
          <w:sz w:val="18"/>
          <w:szCs w:val="18"/>
          <w:rtl/>
          <w:lang w:val="ar" w:bidi="ar-SA"/>
        </w:rPr>
        <w:t>إنّ تنظيم أنشطة الطائرات من دون طيّار في المجال الجوّيّ الإسرائيليّ ضروريّ لاستنفاد جميع الفوائد التي يمكن جنيها منها</w:t>
      </w:r>
      <w:r w:rsidRPr="004C3C06">
        <w:rPr>
          <w:rFonts w:ascii="Tahoma" w:hAnsi="Tahoma" w:cs="Tahoma"/>
          <w:sz w:val="18"/>
          <w:szCs w:val="18"/>
          <w:rtl/>
          <w:lang w:val="ar"/>
        </w:rPr>
        <w:t>.</w:t>
      </w:r>
    </w:p>
    <w:p w:rsidR="004C3C06" w:rsidRPr="004C3C06" w:rsidP="004C3C06" w14:paraId="6AB4596A" w14:textId="7E90401E">
      <w:pPr>
        <w:spacing w:after="180" w:line="260" w:lineRule="exact"/>
        <w:jc w:val="both"/>
        <w:rPr>
          <w:rFonts w:ascii="Tahoma" w:hAnsi="Tahoma" w:cs="Tahoma"/>
          <w:sz w:val="18"/>
          <w:szCs w:val="18"/>
          <w:rtl/>
        </w:rPr>
      </w:pPr>
      <w:r w:rsidRPr="004C3C06">
        <w:rPr>
          <w:rFonts w:ascii="Tahoma" w:hAnsi="Tahoma" w:cs="Tahoma"/>
          <w:sz w:val="18"/>
          <w:szCs w:val="18"/>
          <w:rtl/>
          <w:lang w:val="ar" w:bidi="ar-SA"/>
        </w:rPr>
        <w:t xml:space="preserve">في أيّار </w:t>
      </w:r>
      <w:r w:rsidRPr="004C3C06">
        <w:rPr>
          <w:rFonts w:ascii="Tahoma" w:hAnsi="Tahoma" w:cs="Tahoma"/>
          <w:sz w:val="18"/>
          <w:szCs w:val="18"/>
          <w:rtl/>
          <w:lang w:val="ar"/>
        </w:rPr>
        <w:t>2017</w:t>
      </w:r>
      <w:r w:rsidRPr="004C3C06">
        <w:rPr>
          <w:rFonts w:ascii="Tahoma" w:hAnsi="Tahoma" w:cs="Tahoma"/>
          <w:sz w:val="18"/>
          <w:szCs w:val="18"/>
          <w:rtl/>
          <w:lang w:val="ar" w:bidi="ar-SA"/>
        </w:rPr>
        <w:t xml:space="preserve">، نُشر تقرير حول موضوع </w:t>
      </w:r>
      <w:r w:rsidRPr="004C3C06">
        <w:rPr>
          <w:rFonts w:ascii="Tahoma" w:hAnsi="Tahoma" w:cs="Tahoma"/>
          <w:b/>
          <w:bCs/>
          <w:sz w:val="18"/>
          <w:szCs w:val="18"/>
          <w:rtl/>
          <w:lang w:val="ar" w:bidi="ar-SA"/>
        </w:rPr>
        <w:t>جهاز الصحّة النفسيّة في جيش الدفاع الإسرائيليّ</w:t>
      </w:r>
      <w:r w:rsidRPr="004C3C06">
        <w:rPr>
          <w:rFonts w:ascii="Tahoma" w:hAnsi="Tahoma" w:cs="Tahoma"/>
          <w:sz w:val="18"/>
          <w:szCs w:val="18"/>
          <w:rtl/>
          <w:lang w:val="ar"/>
        </w:rPr>
        <w:t xml:space="preserve">. </w:t>
      </w:r>
      <w:r w:rsidRPr="004C3C06">
        <w:rPr>
          <w:rFonts w:ascii="Tahoma" w:hAnsi="Tahoma" w:cs="Tahoma"/>
          <w:sz w:val="18"/>
          <w:szCs w:val="18"/>
          <w:rtl/>
          <w:lang w:val="ar" w:bidi="ar-SA"/>
        </w:rPr>
        <w:t xml:space="preserve">خلال </w:t>
      </w:r>
      <w:r w:rsidRPr="003F2D86" w:rsidR="003F2D86">
        <w:rPr>
          <w:rFonts w:ascii="Tahoma" w:hAnsi="Tahoma" w:cs="Tahoma" w:hint="eastAsia"/>
          <w:sz w:val="18"/>
          <w:szCs w:val="18"/>
          <w:rtl/>
          <w:lang w:val="ar" w:bidi="ar-SA"/>
        </w:rPr>
        <w:t>الفترة</w:t>
      </w:r>
      <w:r w:rsidRPr="003F2D86" w:rsidR="003F2D86">
        <w:rPr>
          <w:rFonts w:ascii="Tahoma" w:hAnsi="Tahoma" w:cs="Tahoma"/>
          <w:sz w:val="18"/>
          <w:szCs w:val="18"/>
          <w:rtl/>
          <w:lang w:val="ar" w:bidi="ar-SA"/>
        </w:rPr>
        <w:t xml:space="preserve"> </w:t>
      </w:r>
      <w:r w:rsidRPr="003F2D86" w:rsidR="003F2D86">
        <w:rPr>
          <w:rFonts w:ascii="Tahoma" w:hAnsi="Tahoma" w:cs="Tahoma" w:hint="eastAsia"/>
          <w:sz w:val="18"/>
          <w:szCs w:val="18"/>
          <w:rtl/>
          <w:lang w:val="ar" w:bidi="ar-SA"/>
        </w:rPr>
        <w:t>بين</w:t>
      </w:r>
      <w:r w:rsidRPr="003F2D86" w:rsidR="003F2D86">
        <w:rPr>
          <w:rFonts w:ascii="Tahoma" w:hAnsi="Tahoma" w:cs="Tahoma"/>
          <w:sz w:val="18"/>
          <w:szCs w:val="18"/>
          <w:rtl/>
          <w:lang w:val="ar" w:bidi="ar-SA"/>
        </w:rPr>
        <w:t xml:space="preserve"> </w:t>
      </w:r>
      <w:r w:rsidRPr="003F2D86" w:rsidR="003F2D86">
        <w:rPr>
          <w:rFonts w:ascii="Tahoma" w:hAnsi="Tahoma" w:cs="Tahoma" w:hint="eastAsia"/>
          <w:sz w:val="18"/>
          <w:szCs w:val="18"/>
          <w:rtl/>
          <w:lang w:val="ar" w:bidi="ar-SA"/>
        </w:rPr>
        <w:t>شهرَي</w:t>
      </w:r>
      <w:r w:rsidRPr="003F2D86" w:rsidR="003F2D86">
        <w:rPr>
          <w:rFonts w:ascii="Tahoma" w:hAnsi="Tahoma" w:cs="Tahoma"/>
          <w:sz w:val="18"/>
          <w:szCs w:val="18"/>
          <w:rtl/>
          <w:lang w:val="ar" w:bidi="ar-SA"/>
        </w:rPr>
        <w:t xml:space="preserve"> </w:t>
      </w:r>
      <w:r w:rsidRPr="003F2D86" w:rsidR="003F2D86">
        <w:rPr>
          <w:rFonts w:ascii="Tahoma" w:hAnsi="Tahoma" w:cs="Tahoma" w:hint="eastAsia"/>
          <w:sz w:val="18"/>
          <w:szCs w:val="18"/>
          <w:rtl/>
          <w:lang w:val="ar" w:bidi="ar-SA"/>
        </w:rPr>
        <w:t>تشرين</w:t>
      </w:r>
      <w:r w:rsidRPr="003F2D86" w:rsidR="003F2D86">
        <w:rPr>
          <w:rFonts w:ascii="Tahoma" w:hAnsi="Tahoma" w:cs="Tahoma"/>
          <w:sz w:val="18"/>
          <w:szCs w:val="18"/>
          <w:rtl/>
          <w:lang w:val="ar" w:bidi="ar-SA"/>
        </w:rPr>
        <w:t xml:space="preserve"> </w:t>
      </w:r>
      <w:r w:rsidRPr="003F2D86" w:rsidR="003F2D86">
        <w:rPr>
          <w:rFonts w:ascii="Tahoma" w:hAnsi="Tahoma" w:cs="Tahoma" w:hint="eastAsia"/>
          <w:sz w:val="18"/>
          <w:szCs w:val="18"/>
          <w:rtl/>
          <w:lang w:val="ar" w:bidi="ar-SA"/>
        </w:rPr>
        <w:t>الثاني</w:t>
      </w:r>
      <w:r w:rsidRPr="004C3C06">
        <w:rPr>
          <w:rFonts w:ascii="Tahoma" w:hAnsi="Tahoma" w:cs="Tahoma"/>
          <w:sz w:val="18"/>
          <w:szCs w:val="18"/>
          <w:rtl/>
          <w:lang w:val="ar"/>
        </w:rPr>
        <w:t xml:space="preserve">2019 </w:t>
      </w:r>
      <w:r w:rsidRPr="004C3C06">
        <w:rPr>
          <w:rFonts w:ascii="Tahoma" w:hAnsi="Tahoma" w:cs="Tahoma"/>
          <w:sz w:val="18"/>
          <w:szCs w:val="18"/>
          <w:rtl/>
          <w:lang w:val="ar" w:bidi="ar-SA"/>
        </w:rPr>
        <w:t xml:space="preserve">وأيّار </w:t>
      </w:r>
      <w:r w:rsidRPr="004C3C06">
        <w:rPr>
          <w:rFonts w:ascii="Tahoma" w:hAnsi="Tahoma" w:cs="Tahoma"/>
          <w:sz w:val="18"/>
          <w:szCs w:val="18"/>
          <w:rtl/>
          <w:lang w:val="ar"/>
        </w:rPr>
        <w:t>2020</w:t>
      </w:r>
      <w:r w:rsidRPr="004C3C06">
        <w:rPr>
          <w:rFonts w:ascii="Tahoma" w:hAnsi="Tahoma" w:cs="Tahoma"/>
          <w:sz w:val="18"/>
          <w:szCs w:val="18"/>
          <w:rtl/>
          <w:lang w:val="ar" w:bidi="ar-SA"/>
        </w:rPr>
        <w:t>، أُجريت رقابة متابعة على كيفيّة إصلاح النواقص التي بيّنتها الرقابة السابقة</w:t>
      </w:r>
      <w:r w:rsidRPr="004C3C06">
        <w:rPr>
          <w:rFonts w:ascii="Tahoma" w:hAnsi="Tahoma" w:cs="Tahoma"/>
          <w:sz w:val="18"/>
          <w:szCs w:val="18"/>
          <w:rtl/>
          <w:lang w:val="ar"/>
        </w:rPr>
        <w:t xml:space="preserve">. </w:t>
      </w:r>
    </w:p>
    <w:p w:rsidR="004C3C06" w:rsidRPr="004C3C06" w:rsidP="004C3C06" w14:paraId="23D71A6A"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تشكّل خدمات الصحّة النفسيّة ركيزة أساسيّة وهامّة في جميع الخدمات الطبّيّة في جيش الدفاع الإسرائيليّ</w:t>
      </w:r>
      <w:r w:rsidRPr="004C3C06">
        <w:rPr>
          <w:rFonts w:ascii="Tahoma" w:hAnsi="Tahoma" w:cs="Tahoma"/>
          <w:sz w:val="18"/>
          <w:szCs w:val="18"/>
          <w:rtl/>
          <w:lang w:val="ar"/>
        </w:rPr>
        <w:t xml:space="preserve">. </w:t>
      </w:r>
      <w:r w:rsidRPr="004C3C06">
        <w:rPr>
          <w:rFonts w:ascii="Tahoma" w:hAnsi="Tahoma" w:cs="Tahoma"/>
          <w:sz w:val="18"/>
          <w:szCs w:val="18"/>
          <w:rtl/>
          <w:lang w:val="ar" w:bidi="ar-SA"/>
        </w:rPr>
        <w:t>إنّ لجودتها وتوفّرها أهمّيّة قيميّة من الدرجة الأولى، حيث أنّها مخصّصة لضمان الصحّة النفسيّة والقوّة النفسيّة لجنود جيش الدفاع الإسرائيليّ</w:t>
      </w:r>
      <w:r w:rsidRPr="004C3C06">
        <w:rPr>
          <w:rFonts w:ascii="Tahoma" w:hAnsi="Tahoma" w:cs="Tahoma"/>
          <w:sz w:val="18"/>
          <w:szCs w:val="18"/>
          <w:rtl/>
          <w:lang w:val="ar"/>
        </w:rPr>
        <w:t xml:space="preserve">. </w:t>
      </w:r>
      <w:r w:rsidRPr="004C3C06">
        <w:rPr>
          <w:rFonts w:ascii="Tahoma" w:hAnsi="Tahoma" w:cs="Tahoma"/>
          <w:sz w:val="18"/>
          <w:szCs w:val="18"/>
          <w:rtl/>
          <w:lang w:val="ar" w:bidi="ar-SA"/>
        </w:rPr>
        <w:t>ولذلك، على جيش الدفاع الإسرائيليّ أن يركّز على المجالات التي تحتاج إلى تحسين كما تبيّن في هذا الفصل، وأن يولي اهتمامًا خاصًّا أيضًا لظاهرة زيادة معدّلات الإعفاء من الخدمة العسكريّة على خلفيّة نفسيّة لأولئك الذين يفترض الالتحاق بالهيئات الأمنيّة، وهي ظاهرة ذات آثار وطنيّة واستراتيجيّة بسبب تأثيرها على تركيبة قوّات جيش الدفاع الإسرائيليّ</w:t>
      </w:r>
      <w:r w:rsidRPr="004C3C06">
        <w:rPr>
          <w:rFonts w:ascii="Tahoma" w:hAnsi="Tahoma" w:cs="Tahoma"/>
          <w:sz w:val="18"/>
          <w:szCs w:val="18"/>
          <w:rtl/>
          <w:lang w:val="ar"/>
        </w:rPr>
        <w:t>.</w:t>
      </w:r>
    </w:p>
    <w:p w:rsidR="004C3C06" w:rsidRPr="004C3C06" w:rsidP="004C3C06" w14:paraId="0E1D255C" w14:textId="77777777">
      <w:pPr>
        <w:widowControl w:val="0"/>
        <w:spacing w:after="180" w:line="260" w:lineRule="exact"/>
        <w:jc w:val="both"/>
        <w:rPr>
          <w:rFonts w:ascii="Tahoma" w:eastAsia="Times New Roman" w:hAnsi="Tahoma" w:cs="Tahoma"/>
          <w:b/>
          <w:bCs/>
          <w:sz w:val="18"/>
          <w:szCs w:val="18"/>
          <w:rtl/>
          <w:lang w:eastAsia="he-IL"/>
        </w:rPr>
      </w:pPr>
      <w:r w:rsidRPr="004C3C06">
        <w:rPr>
          <w:rFonts w:ascii="Tahoma" w:eastAsia="Calibri" w:hAnsi="Tahoma" w:cs="Tahoma"/>
          <w:b/>
          <w:bCs/>
          <w:sz w:val="18"/>
          <w:szCs w:val="18"/>
          <w:rtl/>
          <w:lang w:val="ar" w:bidi="ar-SA"/>
        </w:rPr>
        <w:t>أعدّت هذا التقرير وحدة الرقابة على جهاز الأمن في ديوان مراقب الدولة، وعليه أرفع شكري لموظّفي الوحدة وكذلك لبقيّة العاملين في الديوان الذين شاركوا في إعداده</w:t>
      </w:r>
      <w:r w:rsidRPr="004C3C06">
        <w:rPr>
          <w:rFonts w:ascii="Tahoma" w:eastAsia="Calibri" w:hAnsi="Tahoma" w:cs="Tahoma"/>
          <w:b/>
          <w:bCs/>
          <w:sz w:val="18"/>
          <w:szCs w:val="18"/>
          <w:rtl/>
          <w:lang w:val="ar"/>
        </w:rPr>
        <w:t xml:space="preserve">. </w:t>
      </w:r>
      <w:r w:rsidRPr="004C3C06">
        <w:rPr>
          <w:rFonts w:ascii="Tahoma" w:eastAsia="Calibri" w:hAnsi="Tahoma" w:cs="Tahoma"/>
          <w:b/>
          <w:bCs/>
          <w:sz w:val="18"/>
          <w:szCs w:val="18"/>
          <w:rtl/>
          <w:lang w:val="ar" w:bidi="ar-SA"/>
        </w:rPr>
        <w:t xml:space="preserve">مهمّة الرقابة في هذه الأيّام، التي نواجه فيها أزمة </w:t>
      </w:r>
      <w:r w:rsidRPr="004C3C06">
        <w:rPr>
          <w:rFonts w:ascii="Tahoma" w:eastAsia="Calibri" w:hAnsi="Tahoma" w:cs="Tahoma"/>
          <w:b/>
          <w:bCs/>
          <w:sz w:val="18"/>
          <w:szCs w:val="18"/>
          <w:rtl/>
          <w:lang w:val="ar" w:bidi="ar-SA"/>
        </w:rPr>
        <w:t>الكورونا</w:t>
      </w:r>
      <w:r w:rsidRPr="004C3C06">
        <w:rPr>
          <w:rFonts w:ascii="Tahoma" w:eastAsia="Calibri" w:hAnsi="Tahoma" w:cs="Tahoma"/>
          <w:b/>
          <w:bCs/>
          <w:sz w:val="18"/>
          <w:szCs w:val="18"/>
          <w:rtl/>
          <w:lang w:val="ar" w:bidi="ar-SA"/>
        </w:rPr>
        <w:t>، معقّدة ومثيرة للتحدّي، ونُفّذت كالعادة، بمهنيّة وموضوعيّة وبشكل جوهريّ</w:t>
      </w:r>
      <w:r w:rsidRPr="004C3C06">
        <w:rPr>
          <w:rFonts w:ascii="Tahoma" w:eastAsia="Calibri" w:hAnsi="Tahoma" w:cs="Tahoma"/>
          <w:b/>
          <w:bCs/>
          <w:sz w:val="18"/>
          <w:szCs w:val="18"/>
          <w:rtl/>
          <w:lang w:val="ar"/>
        </w:rPr>
        <w:t xml:space="preserve">. </w:t>
      </w:r>
    </w:p>
    <w:p w:rsidR="004C3C06" w:rsidRPr="004C3C06" w:rsidP="004C3C06" w14:paraId="0F2EED87" w14:textId="77777777">
      <w:pPr>
        <w:spacing w:after="180" w:line="260" w:lineRule="exact"/>
        <w:jc w:val="both"/>
        <w:rPr>
          <w:rFonts w:ascii="Tahoma" w:hAnsi="Tahoma" w:cs="Tahoma"/>
          <w:sz w:val="18"/>
          <w:szCs w:val="18"/>
        </w:rPr>
      </w:pPr>
      <w:r w:rsidRPr="004C3C06">
        <w:rPr>
          <w:rFonts w:ascii="Tahoma" w:hAnsi="Tahoma" w:cs="Tahoma"/>
          <w:sz w:val="18"/>
          <w:szCs w:val="18"/>
          <w:rtl/>
          <w:lang w:val="ar" w:bidi="ar-SA"/>
        </w:rPr>
        <w:t>على الهيئات التي خضعت للرقابة العمل بسرعة ونجاعة لإصلاح النواقص التي لم يتمَ إصلاحها بعد، بناءً على واجبها المنصوص عليه في القانون</w:t>
      </w:r>
      <w:r w:rsidRPr="004C3C06">
        <w:rPr>
          <w:rFonts w:ascii="Tahoma" w:hAnsi="Tahoma" w:cs="Tahoma"/>
          <w:sz w:val="18"/>
          <w:szCs w:val="18"/>
          <w:rtl/>
          <w:lang w:val="ar"/>
        </w:rPr>
        <w:t xml:space="preserve">. </w:t>
      </w:r>
      <w:r w:rsidRPr="004C3C06">
        <w:rPr>
          <w:rFonts w:ascii="Tahoma" w:hAnsi="Tahoma" w:cs="Tahoma"/>
          <w:sz w:val="18"/>
          <w:szCs w:val="18"/>
          <w:rtl/>
          <w:lang w:val="ar" w:bidi="ar-SA"/>
        </w:rPr>
        <w:t>سيواصل ديوان مراقب الدولة متابعة إصلاح النواقص والتأكّد من إجراء الإصلاحات</w:t>
      </w:r>
      <w:r w:rsidRPr="004C3C06">
        <w:rPr>
          <w:rFonts w:ascii="Tahoma" w:hAnsi="Tahoma" w:cs="Tahoma"/>
          <w:sz w:val="18"/>
          <w:szCs w:val="18"/>
          <w:rtl/>
          <w:lang w:val="ar"/>
        </w:rPr>
        <w:t>.</w:t>
      </w:r>
    </w:p>
    <w:p w:rsidR="004C3C06" w:rsidRPr="004C3C06" w:rsidP="004C3C06" w14:paraId="165B02E0" w14:textId="77777777">
      <w:pPr>
        <w:spacing w:after="180" w:line="260" w:lineRule="exact"/>
        <w:jc w:val="both"/>
        <w:rPr>
          <w:rFonts w:ascii="Tahoma" w:hAnsi="Tahoma" w:cs="Tahoma"/>
          <w:sz w:val="18"/>
          <w:szCs w:val="18"/>
          <w:rtl/>
        </w:rPr>
      </w:pPr>
      <w:r w:rsidRPr="004C3C06">
        <w:rPr>
          <w:rFonts w:ascii="Tahoma" w:hAnsi="Tahoma" w:cs="Tahoma"/>
          <w:sz w:val="18"/>
          <w:szCs w:val="18"/>
          <w:rtl/>
          <w:lang w:val="ar" w:bidi="ar-SA"/>
        </w:rPr>
        <w:t>أتمنّى لنا جميعًا العودة قريبًا إلى روتين الحياة الطبيعيّ</w:t>
      </w:r>
      <w:r w:rsidRPr="004C3C06">
        <w:rPr>
          <w:rFonts w:ascii="Tahoma" w:hAnsi="Tahoma" w:cs="Tahoma"/>
          <w:sz w:val="18"/>
          <w:szCs w:val="18"/>
          <w:rtl/>
          <w:lang w:val="ar"/>
        </w:rPr>
        <w:t>.</w:t>
      </w:r>
    </w:p>
    <w:p w:rsidR="009C13C8" w:rsidP="004C3C06" w14:paraId="03583BC8" w14:textId="1EE9A3EA">
      <w:pPr>
        <w:tabs>
          <w:tab w:val="left" w:pos="424"/>
        </w:tabs>
        <w:spacing w:after="180" w:line="260" w:lineRule="exact"/>
        <w:jc w:val="both"/>
        <w:rPr>
          <w:rFonts w:ascii="Tahoma" w:hAnsi="Tahoma" w:cs="Tahoma"/>
          <w:color w:val="0D0D0D" w:themeColor="text1" w:themeTint="F2"/>
          <w:sz w:val="18"/>
          <w:szCs w:val="18"/>
          <w:rtl/>
        </w:rPr>
      </w:pPr>
    </w:p>
    <w:p w:rsidR="00F95D01" w:rsidRPr="00DC5389" w:rsidP="00F95D01" w14:paraId="53E6045B" w14:textId="77777777">
      <w:pPr>
        <w:spacing w:after="180"/>
        <w:rPr>
          <w:rFonts w:ascii="Tahoma" w:hAnsi="Tahoma" w:cs="Tahoma"/>
          <w:b/>
          <w:bCs/>
          <w:szCs w:val="20"/>
          <w:rtl/>
          <w:lang w:bidi="ar-SA"/>
        </w:rPr>
      </w:pPr>
    </w:p>
    <w:p w:rsidR="00F95D01" w:rsidRPr="00D70CA7" w:rsidP="00F95D01" w14:paraId="3A4203A1" w14:textId="77777777">
      <w:pPr>
        <w:widowControl w:val="0"/>
        <w:spacing w:line="240" w:lineRule="atLeast"/>
        <w:ind w:left="3402"/>
        <w:jc w:val="center"/>
        <w:rPr>
          <w:rFonts w:ascii="Tahoma" w:hAnsi="Tahoma" w:cs="Tahoma"/>
          <w:b/>
          <w:bCs/>
          <w:sz w:val="18"/>
          <w:szCs w:val="18"/>
          <w:rtl/>
          <w:lang w:eastAsia="he-IL"/>
        </w:rPr>
      </w:pPr>
      <w:r>
        <w:rPr>
          <w:rFonts w:ascii="Tahoma" w:hAnsi="Tahoma" w:cs="Tahoma"/>
          <w:noProof/>
          <w:rtl/>
        </w:rPr>
        <w:drawing>
          <wp:inline distT="0" distB="0" distL="0" distR="0">
            <wp:extent cx="969264" cy="316992"/>
            <wp:effectExtent l="0" t="0" r="2540" b="698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30357" name="חתימת מבקר עברית כחול.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969264" cy="316992"/>
                    </a:xfrm>
                    <a:prstGeom prst="rect">
                      <a:avLst/>
                    </a:prstGeom>
                  </pic:spPr>
                </pic:pic>
              </a:graphicData>
            </a:graphic>
          </wp:inline>
        </w:drawing>
      </w:r>
    </w:p>
    <w:p w:rsidR="00F95D01" w:rsidRPr="00D70CA7" w:rsidP="00F95D01" w14:paraId="119218E6" w14:textId="77777777">
      <w:pPr>
        <w:widowControl w:val="0"/>
        <w:spacing w:line="280" w:lineRule="exact"/>
        <w:ind w:left="3402"/>
        <w:jc w:val="center"/>
        <w:rPr>
          <w:rFonts w:ascii="Tahoma" w:hAnsi="Tahoma" w:cs="Tahoma"/>
          <w:b/>
          <w:bCs/>
          <w:sz w:val="18"/>
          <w:szCs w:val="18"/>
          <w:rtl/>
          <w:lang w:eastAsia="he-IL" w:bidi="ar-SA"/>
        </w:rPr>
      </w:pPr>
      <w:r>
        <w:rPr>
          <w:rFonts w:ascii="Tahoma" w:hAnsi="Tahoma" w:cs="Tahoma" w:hint="cs"/>
          <w:b/>
          <w:bCs/>
          <w:sz w:val="18"/>
          <w:szCs w:val="18"/>
          <w:rtl/>
          <w:lang w:eastAsia="he-IL" w:bidi="ar-SA"/>
        </w:rPr>
        <w:t>مَتنْياهو</w:t>
      </w:r>
      <w:r>
        <w:rPr>
          <w:rFonts w:ascii="Tahoma" w:hAnsi="Tahoma" w:cs="Tahoma" w:hint="cs"/>
          <w:b/>
          <w:bCs/>
          <w:sz w:val="18"/>
          <w:szCs w:val="18"/>
          <w:rtl/>
          <w:lang w:eastAsia="he-IL" w:bidi="ar-SA"/>
        </w:rPr>
        <w:t xml:space="preserve"> </w:t>
      </w:r>
      <w:r>
        <w:rPr>
          <w:rFonts w:ascii="Tahoma" w:hAnsi="Tahoma" w:cs="Tahoma" w:hint="cs"/>
          <w:b/>
          <w:bCs/>
          <w:sz w:val="18"/>
          <w:szCs w:val="18"/>
          <w:rtl/>
          <w:lang w:eastAsia="he-IL" w:bidi="ar-SA"/>
        </w:rPr>
        <w:t>أنجيلمان</w:t>
      </w:r>
    </w:p>
    <w:p w:rsidR="00F95D01" w:rsidRPr="00D70CA7" w:rsidP="00F95D01" w14:paraId="2CD1E821" w14:textId="77777777">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bidi="ar-SA"/>
        </w:rPr>
        <w:t>مراقب الدولة</w:t>
      </w:r>
    </w:p>
    <w:p w:rsidR="00F95D01" w:rsidRPr="00D70CA7" w:rsidP="00F95D01" w14:paraId="0BC2F2CA" w14:textId="77777777">
      <w:pPr>
        <w:widowControl w:val="0"/>
        <w:spacing w:line="280" w:lineRule="exact"/>
        <w:ind w:left="3402"/>
        <w:jc w:val="center"/>
        <w:rPr>
          <w:rFonts w:ascii="Tahoma" w:hAnsi="Tahoma" w:cs="Tahoma"/>
          <w:sz w:val="18"/>
          <w:szCs w:val="18"/>
          <w:rtl/>
          <w:lang w:eastAsia="he-IL"/>
        </w:rPr>
      </w:pPr>
      <w:r w:rsidRPr="004B2146">
        <w:rPr>
          <w:rFonts w:ascii="Tahoma" w:hAnsi="Tahoma" w:cs="Tahoma"/>
          <w:sz w:val="18"/>
          <w:szCs w:val="18"/>
          <w:rtl/>
          <w:lang w:eastAsia="he-IL" w:bidi="ar-SA"/>
        </w:rPr>
        <w:t>ومندوب شكاوى الجمهور</w:t>
      </w:r>
    </w:p>
    <w:p w:rsidR="00F95D01" w:rsidRPr="00F95D01" w:rsidP="00F95D01" w14:paraId="50E8D6B8" w14:textId="7EF8BD4D">
      <w:pPr>
        <w:tabs>
          <w:tab w:val="left" w:pos="898"/>
        </w:tabs>
        <w:spacing w:line="280" w:lineRule="exact"/>
        <w:rPr>
          <w:rFonts w:ascii="Tahoma" w:hAnsi="Tahoma" w:cs="Tahoma"/>
          <w:sz w:val="18"/>
          <w:szCs w:val="18"/>
          <w:rtl/>
        </w:rPr>
      </w:pPr>
      <w:r w:rsidRPr="00F95D01">
        <w:rPr>
          <w:rFonts w:ascii="Tahoma" w:hAnsi="Tahoma" w:cs="Tahoma" w:hint="cs"/>
          <w:sz w:val="18"/>
          <w:szCs w:val="18"/>
          <w:rtl/>
          <w:lang w:bidi="ar-SA"/>
        </w:rPr>
        <w:t xml:space="preserve">القدس، </w:t>
      </w:r>
      <w:r w:rsidRPr="003F2D86" w:rsidR="003F2D86">
        <w:rPr>
          <w:rFonts w:ascii="Tahoma" w:hAnsi="Tahoma" w:cs="Tahoma" w:hint="eastAsia"/>
          <w:sz w:val="18"/>
          <w:szCs w:val="18"/>
          <w:rtl/>
          <w:lang w:bidi="ar-SA"/>
        </w:rPr>
        <w:t>نيسان</w:t>
      </w:r>
      <w:r w:rsidR="00E01998">
        <w:rPr>
          <w:rFonts w:ascii="Tahoma" w:hAnsi="Tahoma" w:cs="Tahoma" w:hint="cs"/>
          <w:sz w:val="18"/>
          <w:szCs w:val="18"/>
          <w:rtl/>
        </w:rPr>
        <w:t xml:space="preserve"> </w:t>
      </w:r>
      <w:r w:rsidRPr="00F95D01">
        <w:rPr>
          <w:rFonts w:ascii="Tahoma" w:hAnsi="Tahoma" w:cs="Tahoma" w:hint="cs"/>
          <w:sz w:val="18"/>
          <w:szCs w:val="18"/>
          <w:rtl/>
          <w:lang w:bidi="ar-SA"/>
        </w:rPr>
        <w:t>202</w:t>
      </w:r>
      <w:r w:rsidRPr="00F95D01">
        <w:rPr>
          <w:rFonts w:ascii="Tahoma" w:hAnsi="Tahoma" w:cs="Tahoma" w:hint="cs"/>
          <w:sz w:val="18"/>
          <w:szCs w:val="18"/>
          <w:rtl/>
        </w:rPr>
        <w:t>1</w:t>
      </w:r>
    </w:p>
    <w:sectPr w:rsidSect="00BC30D9">
      <w:headerReference w:type="even" r:id="rId6"/>
      <w:headerReference w:type="default" r:id="rId7"/>
      <w:pgSz w:w="11906" w:h="16838" w:code="9"/>
      <w:pgMar w:top="2892" w:right="2268" w:bottom="2438" w:left="2268" w:header="1871" w:footer="1928" w:gutter="0"/>
      <w:pgNumType w:start="9"/>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David">
    <w:altName w:val="Malgun Gothic Semilight"/>
    <w:panose1 w:val="020E0502060401010101"/>
    <w:charset w:val="00"/>
    <w:family w:val="swiss"/>
    <w:pitch w:val="variable"/>
    <w:sig w:usb0="00000803" w:usb1="00000000" w:usb2="00000000" w:usb3="00000000" w:csb0="00000021" w:csb1="00000000"/>
  </w:font>
  <w:font w:name="FrankRuehl">
    <w:altName w:val="Times New Roman"/>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005" w:rsidP="002E1005" w14:paraId="747C1D21" w14:textId="77777777">
    <w:pPr>
      <w:pStyle w:val="Header"/>
      <w:spacing w:before="240" w:after="180"/>
      <w:ind w:left="510"/>
      <w:rPr>
        <w:rFonts w:ascii="Tahoma" w:hAnsi="Tahoma" w:eastAsiaTheme="majorEastAsia" w:cs="Tahoma"/>
        <w:noProof/>
        <w:color w:val="0D0D0D" w:themeColor="text1" w:themeTint="F2"/>
        <w:sz w:val="16"/>
        <w:szCs w:val="16"/>
        <w:rtl/>
      </w:rPr>
    </w:pPr>
    <w:r>
      <w:rPr>
        <w:rFonts w:ascii="Tahoma" w:hAnsi="Tahoma" w:eastAsiaTheme="majorEastAsia" w:cs="Tahoma" w:hint="eastAsia"/>
        <w:noProof/>
        <w:color w:val="0D0D0D" w:themeColor="text1" w:themeTint="F2"/>
        <w:sz w:val="16"/>
        <w:szCs w:val="16"/>
        <w:rtl/>
        <w:lang w:val="he-IL"/>
      </w:rPr>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7549200" cy="10670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eastAsiaTheme="majorEastAsia" w:cs="Tahoma" w:hint="cs"/>
        <w:noProof/>
        <w:color w:val="0D0D0D" w:themeColor="text1" w:themeTint="F2"/>
        <w:sz w:val="16"/>
        <w:szCs w:val="16"/>
        <w:rtl/>
        <w:lang w:val="he-IL"/>
      </w:rPr>
      <w:t>פתח דבר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005" w:rsidRPr="007C237A" w:rsidP="002E1005" w14:paraId="5896A682" w14:textId="77777777">
    <w:pPr>
      <w:pStyle w:val="Header"/>
      <w:spacing w:before="240" w:after="180"/>
      <w:ind w:right="624"/>
      <w:jc w:val="right"/>
      <w:rPr>
        <w:rFonts w:ascii="Tahoma" w:hAnsi="Tahoma" w:eastAsiaTheme="majorEastAsia" w:cs="Tahoma"/>
        <w:noProof/>
        <w:color w:val="231F20"/>
        <w:sz w:val="16"/>
        <w:szCs w:val="16"/>
      </w:rPr>
    </w:pPr>
    <w:r>
      <w:rPr>
        <w:rFonts w:ascii="Tahoma" w:hAnsi="Tahoma" w:eastAsiaTheme="majorEastAsia" w:cs="Tahoma" w:hint="cs"/>
        <w:noProof/>
        <w:color w:val="0D0D0D" w:themeColor="text1" w:themeTint="F2"/>
        <w:sz w:val="16"/>
        <w:szCs w:val="16"/>
        <w:rtl/>
        <w:lang w:val="he-IL"/>
      </w:rPr>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49200" cy="106704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38875" name="Picture 1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Pr="006061A9">
      <w:rPr>
        <w:rFonts w:ascii="Tahoma" w:hAnsi="Tahoma" w:eastAsiaTheme="majorEastAsia" w:cs="Tahoma" w:hint="cs"/>
        <w:noProof/>
        <w:color w:val="0D0D0D" w:themeColor="text1" w:themeTint="F2"/>
        <w:sz w:val="16"/>
        <w:szCs w:val="16"/>
        <w:rtl/>
      </w:rPr>
      <w:t xml:space="preserve">מבקר המדינה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דוח שנתי 7</w:t>
    </w:r>
    <w:r>
      <w:rPr>
        <w:rFonts w:ascii="Tahoma" w:hAnsi="Tahoma" w:eastAsiaTheme="majorEastAsia" w:cs="Tahoma" w:hint="cs"/>
        <w:noProof/>
        <w:color w:val="0D0D0D" w:themeColor="text1" w:themeTint="F2"/>
        <w:sz w:val="16"/>
        <w:szCs w:val="16"/>
        <w:rtl/>
      </w:rPr>
      <w:t>1</w:t>
    </w:r>
    <w:r w:rsidRPr="006061A9">
      <w:rPr>
        <w:rFonts w:ascii="Tahoma" w:hAnsi="Tahoma" w:eastAsiaTheme="majorEastAsia" w:cs="Tahoma" w:hint="cs"/>
        <w:noProof/>
        <w:color w:val="0D0D0D" w:themeColor="text1" w:themeTint="F2"/>
        <w:sz w:val="16"/>
        <w:szCs w:val="16"/>
        <w:rtl/>
      </w:rPr>
      <w:t xml:space="preserve">ב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התשפ"א-2021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384pt" o:bullet="t">
        <v:imagedata r:id="rId1" o:title="light-bulb"/>
      </v:shape>
    </w:pict>
  </w:numPicBullet>
  <w:numPicBullet w:numPicBulletId="1">
    <w:pict>
      <v:shape id="_x0000_i1026" type="#_x0000_t75" style="width:12pt;height:12pt" o:bullet="t">
        <v:imagedata r:id="rId2" o:title="lamp"/>
      </v:shape>
    </w:pict>
  </w:numPicBullet>
  <w:numPicBullet w:numPicBulletId="2">
    <w:pict>
      <v:shape id="_x0000_i1027" type="#_x0000_t75" style="width:12pt;height:12pt" o:bullet="t">
        <v:imagedata r:id="rId3" o:title="red-hand"/>
      </v:shape>
    </w:pict>
  </w:numPicBullet>
  <w:numPicBullet w:numPicBulletId="3">
    <w:pict>
      <v:shape id="_x0000_i1028" type="#_x0000_t75" style="width:6pt;height:6pt" o:bullet="t">
        <v:imagedata r:id="rId4" o:title="red-hand"/>
      </v:shape>
    </w:pict>
  </w:numPicBullet>
  <w:numPicBullet w:numPicBulletId="4">
    <w:pict>
      <v:shape id="_x0000_i1029" type="#_x0000_t75" style="width:6pt;height:6pt" o:bullet="t">
        <v:imagedata r:id="rId5" o:title="red-hand"/>
      </v:shape>
    </w:pict>
  </w:numPicBullet>
  <w:numPicBullet w:numPicBulletId="5">
    <w:pict>
      <v:shape id="_x0000_i1030" type="#_x0000_t75" style="width:6pt;height:6pt" o:bullet="t">
        <v:imagedata r:id="rId6" o:title="red-hand"/>
      </v:shape>
    </w:pict>
  </w:numPicBullet>
  <w:numPicBullet w:numPicBulletId="6">
    <w:pict>
      <v:shape id="_x0000_i1031" type="#_x0000_t75" style="width:6pt;height:6pt" o:bullet="t">
        <v:imagedata r:id="rId7" o:title="red-hand"/>
      </v:shape>
    </w:pict>
  </w:numPicBullet>
  <w:numPicBullet w:numPicBulletId="7">
    <w:pict>
      <v:shape id="_x0000_i1032" type="#_x0000_t75" style="width:6pt;height:6pt" o:bullet="t">
        <v:imagedata r:id="rId8" o:title="red-hand"/>
      </v:shape>
    </w:pict>
  </w:numPicBullet>
  <w:numPicBullet w:numPicBulletId="8">
    <w:pict>
      <v:shape id="_x0000_i1033" type="#_x0000_t75" style="width:6pt;height:6pt" o:bullet="t">
        <v:imagedata r:id="rId9" o:title="red-hand"/>
      </v:shape>
    </w:pict>
  </w:numPicBullet>
  <w:numPicBullet w:numPicBulletId="9">
    <w:pict>
      <v:shape id="_x0000_i1034" type="#_x0000_t75" style="width:6pt;height:6pt" o:bullet="t">
        <v:imagedata r:id="rId10" o:title="red-hand"/>
      </v:shape>
    </w:pict>
  </w:numPicBullet>
  <w:numPicBullet w:numPicBulletId="10">
    <w:pict>
      <v:shape id="_x0000_i1035" type="#_x0000_t75" style="width:12pt;height:12pt" o:bullet="t">
        <v:imagedata r:id="rId11" o:title="red-hand"/>
      </v:shape>
    </w:pict>
  </w:numPicBullet>
  <w:numPicBullet w:numPicBulletId="11">
    <w:pict>
      <v:shape id="_x0000_i1036" type="#_x0000_t75" style="width:6pt;height:12pt" o:bullet="t">
        <v:imagedata r:id="rId12" o:title="red-hand"/>
      </v:shape>
    </w:pict>
  </w:numPicBullet>
  <w:numPicBullet w:numPicBulletId="12">
    <w:pict>
      <v:shape id="_x0000_i1037" type="#_x0000_t75" style="width:6pt;height:12pt" o:bullet="t">
        <v:imagedata r:id="rId13" o:title="red-hand"/>
      </v:shape>
    </w:pict>
  </w:numPicBullet>
  <w:numPicBullet w:numPicBulletId="13">
    <w:pict>
      <v:shape id="_x0000_i1038" type="#_x0000_t75" style="width:12pt;height:12pt" o:bullet="t">
        <v:imagedata r:id="rId14" o:title="red-hand"/>
      </v:shape>
    </w:pict>
  </w:numPicBullet>
  <w:abstractNum w:abstractNumId="0">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CAD3FFE"/>
    <w:multiLevelType w:val="hybridMultilevel"/>
    <w:tmpl w:val="46189CA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3">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6DF79A4"/>
    <w:multiLevelType w:val="hybridMultilevel"/>
    <w:tmpl w:val="AE00A3D8"/>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7">
    <w:nsid w:val="36A05A39"/>
    <w:multiLevelType w:val="hybridMultilevel"/>
    <w:tmpl w:val="296690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6D95EC4"/>
    <w:multiLevelType w:val="hybridMultilevel"/>
    <w:tmpl w:val="CFF215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FD6457B"/>
    <w:multiLevelType w:val="hybridMultilevel"/>
    <w:tmpl w:val="6616B270"/>
    <w:lvl w:ilvl="0">
      <w:start w:val="1"/>
      <w:numFmt w:val="bullet"/>
      <w:lvlText w:val=""/>
      <w:lvlPicBulletId w:val="1"/>
      <w:lvlJc w:val="left"/>
      <w:pPr>
        <w:ind w:left="501" w:hanging="360"/>
      </w:pPr>
      <w:rPr>
        <w:rFonts w:ascii="Symbol" w:hAnsi="Symbol" w:hint="default"/>
        <w:b/>
        <w:bCs/>
        <w:i w:val="0"/>
        <w:iCs w:val="0"/>
        <w:color w:val="auto"/>
        <w:position w:val="-6"/>
        <w:sz w:val="40"/>
        <w:szCs w:val="32"/>
      </w:rPr>
    </w:lvl>
    <w:lvl w:ilvl="1" w:tentative="1">
      <w:start w:val="1"/>
      <w:numFmt w:val="bullet"/>
      <w:lvlText w:val="o"/>
      <w:lvlJc w:val="left"/>
      <w:pPr>
        <w:ind w:left="1221" w:hanging="360"/>
      </w:pPr>
      <w:rPr>
        <w:rFonts w:ascii="Courier New" w:hAnsi="Courier New" w:cs="Courier New" w:hint="default"/>
      </w:rPr>
    </w:lvl>
    <w:lvl w:ilvl="2" w:tentative="1">
      <w:start w:val="1"/>
      <w:numFmt w:val="bullet"/>
      <w:lvlText w:val=""/>
      <w:lvlJc w:val="left"/>
      <w:pPr>
        <w:ind w:left="1941" w:hanging="360"/>
      </w:pPr>
      <w:rPr>
        <w:rFonts w:ascii="Wingdings" w:hAnsi="Wingdings" w:hint="default"/>
      </w:rPr>
    </w:lvl>
    <w:lvl w:ilvl="3" w:tentative="1">
      <w:start w:val="1"/>
      <w:numFmt w:val="bullet"/>
      <w:lvlText w:val=""/>
      <w:lvlJc w:val="left"/>
      <w:pPr>
        <w:ind w:left="2661" w:hanging="360"/>
      </w:pPr>
      <w:rPr>
        <w:rFonts w:ascii="Symbol" w:hAnsi="Symbol" w:hint="default"/>
      </w:rPr>
    </w:lvl>
    <w:lvl w:ilvl="4" w:tentative="1">
      <w:start w:val="1"/>
      <w:numFmt w:val="bullet"/>
      <w:lvlText w:val="o"/>
      <w:lvlJc w:val="left"/>
      <w:pPr>
        <w:ind w:left="3381" w:hanging="360"/>
      </w:pPr>
      <w:rPr>
        <w:rFonts w:ascii="Courier New" w:hAnsi="Courier New" w:cs="Courier New" w:hint="default"/>
      </w:rPr>
    </w:lvl>
    <w:lvl w:ilvl="5" w:tentative="1">
      <w:start w:val="1"/>
      <w:numFmt w:val="bullet"/>
      <w:lvlText w:val=""/>
      <w:lvlJc w:val="left"/>
      <w:pPr>
        <w:ind w:left="4101" w:hanging="360"/>
      </w:pPr>
      <w:rPr>
        <w:rFonts w:ascii="Wingdings" w:hAnsi="Wingdings" w:hint="default"/>
      </w:rPr>
    </w:lvl>
    <w:lvl w:ilvl="6" w:tentative="1">
      <w:start w:val="1"/>
      <w:numFmt w:val="bullet"/>
      <w:lvlText w:val=""/>
      <w:lvlJc w:val="left"/>
      <w:pPr>
        <w:ind w:left="4821" w:hanging="360"/>
      </w:pPr>
      <w:rPr>
        <w:rFonts w:ascii="Symbol" w:hAnsi="Symbol" w:hint="default"/>
      </w:rPr>
    </w:lvl>
    <w:lvl w:ilvl="7" w:tentative="1">
      <w:start w:val="1"/>
      <w:numFmt w:val="bullet"/>
      <w:lvlText w:val="o"/>
      <w:lvlJc w:val="left"/>
      <w:pPr>
        <w:ind w:left="5541" w:hanging="360"/>
      </w:pPr>
      <w:rPr>
        <w:rFonts w:ascii="Courier New" w:hAnsi="Courier New" w:cs="Courier New" w:hint="default"/>
      </w:rPr>
    </w:lvl>
    <w:lvl w:ilvl="8" w:tentative="1">
      <w:start w:val="1"/>
      <w:numFmt w:val="bullet"/>
      <w:lvlText w:val=""/>
      <w:lvlJc w:val="left"/>
      <w:pPr>
        <w:ind w:left="6261" w:hanging="360"/>
      </w:pPr>
      <w:rPr>
        <w:rFonts w:ascii="Wingdings" w:hAnsi="Wingdings" w:hint="default"/>
      </w:rPr>
    </w:lvl>
  </w:abstractNum>
  <w:abstractNum w:abstractNumId="10">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1">
    <w:nsid w:val="5C9D4561"/>
    <w:multiLevelType w:val="multilevel"/>
    <w:tmpl w:val="440ACA9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5E50745E"/>
    <w:multiLevelType w:val="hybridMultilevel"/>
    <w:tmpl w:val="2B70F30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3113D87"/>
    <w:multiLevelType w:val="hybridMultilevel"/>
    <w:tmpl w:val="F620D9CA"/>
    <w:lvl w:ilvl="0">
      <w:start w:val="1"/>
      <w:numFmt w:val="hebrew1"/>
      <w:lvlText w:val="%1."/>
      <w:lvlJc w:val="left"/>
      <w:pPr>
        <w:ind w:left="672" w:hanging="360"/>
      </w:pPr>
      <w:rPr>
        <w:rFonts w:hint="default"/>
        <w:b/>
        <w:bCs w:val="0"/>
        <w:color w:val="073763" w:themeColor="accent1" w:themeShade="80"/>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4">
    <w:nsid w:val="64EA27DD"/>
    <w:multiLevelType w:val="hybridMultilevel"/>
    <w:tmpl w:val="49BC3EAC"/>
    <w:lvl w:ilvl="0">
      <w:start w:val="0"/>
      <w:numFmt w:val="bullet"/>
      <w:lvlText w:val=""/>
      <w:lvlJc w:val="left"/>
      <w:pPr>
        <w:ind w:left="720" w:hanging="360"/>
      </w:pPr>
      <w:rPr>
        <w:rFonts w:ascii="Symbol" w:hAnsi="Symbol" w:eastAsiaTheme="minorHAnsi" w:cs="David"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699458C"/>
    <w:multiLevelType w:val="hybridMultilevel"/>
    <w:tmpl w:val="FE801472"/>
    <w:lvl w:ilvl="0">
      <w:start w:val="1"/>
      <w:numFmt w:val="bullet"/>
      <w:lvlText w:val=""/>
      <w:lvlPicBulletId w:val="13"/>
      <w:lvlJc w:val="left"/>
      <w:pPr>
        <w:ind w:left="360" w:hanging="360"/>
      </w:pPr>
      <w:rPr>
        <w:rFonts w:ascii="Symbol" w:hAnsi="Symbol" w:cs="Wingdings" w:hint="default"/>
        <w:b/>
        <w:i w:val="0"/>
        <w:caps w:val="0"/>
        <w:strike w:val="0"/>
        <w:dstrike w:val="0"/>
        <w:vanish w:val="0"/>
        <w:color w:val="auto"/>
        <w:position w:val="-6"/>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7">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16"/>
  </w:num>
  <w:num w:numId="3">
    <w:abstractNumId w:val="3"/>
  </w:num>
  <w:num w:numId="4">
    <w:abstractNumId w:val="10"/>
  </w:num>
  <w:num w:numId="5">
    <w:abstractNumId w:val="6"/>
  </w:num>
  <w:num w:numId="6">
    <w:abstractNumId w:val="19"/>
  </w:num>
  <w:num w:numId="7">
    <w:abstractNumId w:val="18"/>
  </w:num>
  <w:num w:numId="8">
    <w:abstractNumId w:val="0"/>
  </w:num>
  <w:num w:numId="9">
    <w:abstractNumId w:val="17"/>
  </w:num>
  <w:num w:numId="10">
    <w:abstractNumId w:val="3"/>
  </w:num>
  <w:num w:numId="11">
    <w:abstractNumId w:val="3"/>
  </w:num>
  <w:num w:numId="12">
    <w:abstractNumId w:val="3"/>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
  </w:num>
  <w:num w:numId="22">
    <w:abstractNumId w:val="8"/>
  </w:num>
  <w:num w:numId="23">
    <w:abstractNumId w:val="12"/>
  </w:num>
  <w:num w:numId="24">
    <w:abstractNumId w:val="4"/>
  </w:num>
  <w:num w:numId="25">
    <w:abstractNumId w:val="3"/>
  </w:num>
  <w:num w:numId="26">
    <w:abstractNumId w:val="9"/>
  </w:num>
  <w:num w:numId="27">
    <w:abstractNumId w:val="15"/>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11"/>
  </w:num>
  <w:num w:numId="36">
    <w:abstractNumId w:val="5"/>
  </w:num>
  <w:num w:numId="37">
    <w:abstractNumId w:val="5"/>
  </w:num>
  <w:num w:numId="38">
    <w:abstractNumId w:val="5"/>
  </w:num>
  <w:num w:numId="39">
    <w:abstractNumId w:val="5"/>
  </w:num>
  <w:num w:numId="40">
    <w:abstractNumId w:val="14"/>
  </w:num>
  <w:num w:numId="41">
    <w:abstractNumId w:val="5"/>
  </w:num>
  <w:num w:numId="42">
    <w:abstractNumId w:val="5"/>
  </w:num>
  <w:num w:numId="43">
    <w:abstractNumId w:val="7"/>
  </w:num>
  <w:num w:numId="4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397"/>
  <w:evenAndOddHeader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A73"/>
    <w:rsid w:val="00015D42"/>
    <w:rsid w:val="00017099"/>
    <w:rsid w:val="000174BC"/>
    <w:rsid w:val="00021662"/>
    <w:rsid w:val="000217C4"/>
    <w:rsid w:val="00021A89"/>
    <w:rsid w:val="000225D3"/>
    <w:rsid w:val="000249E2"/>
    <w:rsid w:val="00025440"/>
    <w:rsid w:val="00025650"/>
    <w:rsid w:val="0002681A"/>
    <w:rsid w:val="0002689B"/>
    <w:rsid w:val="00027245"/>
    <w:rsid w:val="000315F5"/>
    <w:rsid w:val="00031938"/>
    <w:rsid w:val="00032126"/>
    <w:rsid w:val="000331D3"/>
    <w:rsid w:val="00033E04"/>
    <w:rsid w:val="0003470F"/>
    <w:rsid w:val="00034F3F"/>
    <w:rsid w:val="000350BF"/>
    <w:rsid w:val="000356A7"/>
    <w:rsid w:val="00035AA3"/>
    <w:rsid w:val="00035BD0"/>
    <w:rsid w:val="00036469"/>
    <w:rsid w:val="00036B1B"/>
    <w:rsid w:val="00037596"/>
    <w:rsid w:val="00040CFC"/>
    <w:rsid w:val="00044478"/>
    <w:rsid w:val="00044647"/>
    <w:rsid w:val="00044A44"/>
    <w:rsid w:val="00045345"/>
    <w:rsid w:val="000461F4"/>
    <w:rsid w:val="0004650A"/>
    <w:rsid w:val="00046B8C"/>
    <w:rsid w:val="00046DDB"/>
    <w:rsid w:val="00046F96"/>
    <w:rsid w:val="000473A2"/>
    <w:rsid w:val="0004763A"/>
    <w:rsid w:val="000504A0"/>
    <w:rsid w:val="00051008"/>
    <w:rsid w:val="000523CB"/>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2C54"/>
    <w:rsid w:val="0008321A"/>
    <w:rsid w:val="00083F4F"/>
    <w:rsid w:val="00084171"/>
    <w:rsid w:val="000841FE"/>
    <w:rsid w:val="000847F9"/>
    <w:rsid w:val="00084F1F"/>
    <w:rsid w:val="0008572D"/>
    <w:rsid w:val="000868BD"/>
    <w:rsid w:val="00090AB0"/>
    <w:rsid w:val="00092220"/>
    <w:rsid w:val="0009240F"/>
    <w:rsid w:val="00092F71"/>
    <w:rsid w:val="00093068"/>
    <w:rsid w:val="00095581"/>
    <w:rsid w:val="0009699F"/>
    <w:rsid w:val="000A0FC0"/>
    <w:rsid w:val="000A16EF"/>
    <w:rsid w:val="000A18FC"/>
    <w:rsid w:val="000A1D75"/>
    <w:rsid w:val="000A251B"/>
    <w:rsid w:val="000A2903"/>
    <w:rsid w:val="000A2BC9"/>
    <w:rsid w:val="000A34B5"/>
    <w:rsid w:val="000A3864"/>
    <w:rsid w:val="000A3DC6"/>
    <w:rsid w:val="000A4798"/>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518"/>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4F0D"/>
    <w:rsid w:val="000E5AF7"/>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4F2E"/>
    <w:rsid w:val="000F51B7"/>
    <w:rsid w:val="000F5901"/>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38E"/>
    <w:rsid w:val="00132921"/>
    <w:rsid w:val="00132FFC"/>
    <w:rsid w:val="00134716"/>
    <w:rsid w:val="00135EB9"/>
    <w:rsid w:val="00136B9E"/>
    <w:rsid w:val="00141E28"/>
    <w:rsid w:val="001435CD"/>
    <w:rsid w:val="00143613"/>
    <w:rsid w:val="00144786"/>
    <w:rsid w:val="00145DAD"/>
    <w:rsid w:val="00146345"/>
    <w:rsid w:val="00150E90"/>
    <w:rsid w:val="001510CF"/>
    <w:rsid w:val="0015132E"/>
    <w:rsid w:val="001519D2"/>
    <w:rsid w:val="00151BFA"/>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C02"/>
    <w:rsid w:val="00171743"/>
    <w:rsid w:val="00171E57"/>
    <w:rsid w:val="001740DF"/>
    <w:rsid w:val="00175C43"/>
    <w:rsid w:val="00175DFF"/>
    <w:rsid w:val="00176E39"/>
    <w:rsid w:val="00177295"/>
    <w:rsid w:val="001772DD"/>
    <w:rsid w:val="00177493"/>
    <w:rsid w:val="0018090E"/>
    <w:rsid w:val="00180C76"/>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400"/>
    <w:rsid w:val="001A06FA"/>
    <w:rsid w:val="001A14B8"/>
    <w:rsid w:val="001A1832"/>
    <w:rsid w:val="001A1A35"/>
    <w:rsid w:val="001A1D8E"/>
    <w:rsid w:val="001A214C"/>
    <w:rsid w:val="001A2E4B"/>
    <w:rsid w:val="001A2F80"/>
    <w:rsid w:val="001A39E5"/>
    <w:rsid w:val="001A3DA4"/>
    <w:rsid w:val="001A417A"/>
    <w:rsid w:val="001A4362"/>
    <w:rsid w:val="001A559D"/>
    <w:rsid w:val="001A56B7"/>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7FC5"/>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D2B"/>
    <w:rsid w:val="001F7132"/>
    <w:rsid w:val="00201773"/>
    <w:rsid w:val="00201C60"/>
    <w:rsid w:val="002020AF"/>
    <w:rsid w:val="00202CD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4285"/>
    <w:rsid w:val="00225614"/>
    <w:rsid w:val="00225E4F"/>
    <w:rsid w:val="002262C7"/>
    <w:rsid w:val="00226BE5"/>
    <w:rsid w:val="00226D6C"/>
    <w:rsid w:val="0023014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46DC7"/>
    <w:rsid w:val="002511A2"/>
    <w:rsid w:val="002518DB"/>
    <w:rsid w:val="002525CC"/>
    <w:rsid w:val="002529D6"/>
    <w:rsid w:val="002530C2"/>
    <w:rsid w:val="00253904"/>
    <w:rsid w:val="002557C3"/>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409"/>
    <w:rsid w:val="002735DC"/>
    <w:rsid w:val="00273C82"/>
    <w:rsid w:val="00273E3E"/>
    <w:rsid w:val="00274D7E"/>
    <w:rsid w:val="0027747C"/>
    <w:rsid w:val="00277717"/>
    <w:rsid w:val="00277BC2"/>
    <w:rsid w:val="00277E0B"/>
    <w:rsid w:val="002805E4"/>
    <w:rsid w:val="00280807"/>
    <w:rsid w:val="00280A33"/>
    <w:rsid w:val="00280F37"/>
    <w:rsid w:val="00281CA7"/>
    <w:rsid w:val="00281D26"/>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0A"/>
    <w:rsid w:val="002975FB"/>
    <w:rsid w:val="00297F9D"/>
    <w:rsid w:val="002A0F5E"/>
    <w:rsid w:val="002A11BD"/>
    <w:rsid w:val="002A122A"/>
    <w:rsid w:val="002A38DF"/>
    <w:rsid w:val="002A4062"/>
    <w:rsid w:val="002A4C50"/>
    <w:rsid w:val="002A51A3"/>
    <w:rsid w:val="002A7A49"/>
    <w:rsid w:val="002A7A4A"/>
    <w:rsid w:val="002A7C14"/>
    <w:rsid w:val="002A7CAF"/>
    <w:rsid w:val="002B0204"/>
    <w:rsid w:val="002B064A"/>
    <w:rsid w:val="002B0758"/>
    <w:rsid w:val="002B07BA"/>
    <w:rsid w:val="002B0A10"/>
    <w:rsid w:val="002B1D68"/>
    <w:rsid w:val="002B285B"/>
    <w:rsid w:val="002B3C5B"/>
    <w:rsid w:val="002B4623"/>
    <w:rsid w:val="002B5441"/>
    <w:rsid w:val="002B5517"/>
    <w:rsid w:val="002B5743"/>
    <w:rsid w:val="002B6920"/>
    <w:rsid w:val="002B6B84"/>
    <w:rsid w:val="002B701A"/>
    <w:rsid w:val="002C0374"/>
    <w:rsid w:val="002C0D01"/>
    <w:rsid w:val="002C167F"/>
    <w:rsid w:val="002C1805"/>
    <w:rsid w:val="002C3001"/>
    <w:rsid w:val="002C3A61"/>
    <w:rsid w:val="002C53F1"/>
    <w:rsid w:val="002C5D25"/>
    <w:rsid w:val="002C6165"/>
    <w:rsid w:val="002C6364"/>
    <w:rsid w:val="002C68CB"/>
    <w:rsid w:val="002C6F0A"/>
    <w:rsid w:val="002C796B"/>
    <w:rsid w:val="002D1462"/>
    <w:rsid w:val="002D1F63"/>
    <w:rsid w:val="002D2002"/>
    <w:rsid w:val="002D238D"/>
    <w:rsid w:val="002D239D"/>
    <w:rsid w:val="002D2A02"/>
    <w:rsid w:val="002D2A09"/>
    <w:rsid w:val="002D2B39"/>
    <w:rsid w:val="002D30FC"/>
    <w:rsid w:val="002D41DC"/>
    <w:rsid w:val="002D4324"/>
    <w:rsid w:val="002D54F5"/>
    <w:rsid w:val="002D62C9"/>
    <w:rsid w:val="002D644D"/>
    <w:rsid w:val="002E1005"/>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2F6D3A"/>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4CE5"/>
    <w:rsid w:val="00314DBF"/>
    <w:rsid w:val="003150B1"/>
    <w:rsid w:val="00316C90"/>
    <w:rsid w:val="003173E0"/>
    <w:rsid w:val="00320159"/>
    <w:rsid w:val="00321D1B"/>
    <w:rsid w:val="0032364A"/>
    <w:rsid w:val="003243AF"/>
    <w:rsid w:val="00325332"/>
    <w:rsid w:val="00325469"/>
    <w:rsid w:val="00327C2A"/>
    <w:rsid w:val="00327FBF"/>
    <w:rsid w:val="0033032D"/>
    <w:rsid w:val="00330465"/>
    <w:rsid w:val="00330697"/>
    <w:rsid w:val="0033100C"/>
    <w:rsid w:val="00331522"/>
    <w:rsid w:val="00331A56"/>
    <w:rsid w:val="00331DAB"/>
    <w:rsid w:val="003323CD"/>
    <w:rsid w:val="00333810"/>
    <w:rsid w:val="00333FB0"/>
    <w:rsid w:val="00334BBC"/>
    <w:rsid w:val="00334E99"/>
    <w:rsid w:val="00335960"/>
    <w:rsid w:val="00335F65"/>
    <w:rsid w:val="00336A22"/>
    <w:rsid w:val="00336A9C"/>
    <w:rsid w:val="003408F2"/>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2C8"/>
    <w:rsid w:val="00357D06"/>
    <w:rsid w:val="003609E2"/>
    <w:rsid w:val="00361B78"/>
    <w:rsid w:val="00361CD3"/>
    <w:rsid w:val="0036393B"/>
    <w:rsid w:val="00363C25"/>
    <w:rsid w:val="00363DBE"/>
    <w:rsid w:val="00364230"/>
    <w:rsid w:val="00364FDF"/>
    <w:rsid w:val="00366DF1"/>
    <w:rsid w:val="00367BD8"/>
    <w:rsid w:val="00370725"/>
    <w:rsid w:val="003707D3"/>
    <w:rsid w:val="00370A28"/>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5C2C"/>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348F"/>
    <w:rsid w:val="003B4927"/>
    <w:rsid w:val="003B4D44"/>
    <w:rsid w:val="003B5B95"/>
    <w:rsid w:val="003B69D2"/>
    <w:rsid w:val="003B6EA3"/>
    <w:rsid w:val="003B7DC9"/>
    <w:rsid w:val="003C0020"/>
    <w:rsid w:val="003C02EE"/>
    <w:rsid w:val="003C0AAE"/>
    <w:rsid w:val="003C1185"/>
    <w:rsid w:val="003C11B6"/>
    <w:rsid w:val="003C2223"/>
    <w:rsid w:val="003C317B"/>
    <w:rsid w:val="003C3AD5"/>
    <w:rsid w:val="003C4C2F"/>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DE9"/>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1906"/>
    <w:rsid w:val="003F2367"/>
    <w:rsid w:val="003F2902"/>
    <w:rsid w:val="003F2CA1"/>
    <w:rsid w:val="003F2D86"/>
    <w:rsid w:val="003F2E86"/>
    <w:rsid w:val="003F2FA6"/>
    <w:rsid w:val="003F35EC"/>
    <w:rsid w:val="003F3B10"/>
    <w:rsid w:val="003F4201"/>
    <w:rsid w:val="003F566D"/>
    <w:rsid w:val="003F5CC7"/>
    <w:rsid w:val="003F5E93"/>
    <w:rsid w:val="003F6C4B"/>
    <w:rsid w:val="003F6E1A"/>
    <w:rsid w:val="003F6FB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B3"/>
    <w:rsid w:val="004309C5"/>
    <w:rsid w:val="00431864"/>
    <w:rsid w:val="00431E6E"/>
    <w:rsid w:val="00432DBC"/>
    <w:rsid w:val="004334FD"/>
    <w:rsid w:val="004335F4"/>
    <w:rsid w:val="00434573"/>
    <w:rsid w:val="00434710"/>
    <w:rsid w:val="00434979"/>
    <w:rsid w:val="00436B3D"/>
    <w:rsid w:val="00436DAE"/>
    <w:rsid w:val="00437A8F"/>
    <w:rsid w:val="00437CA8"/>
    <w:rsid w:val="00440A9C"/>
    <w:rsid w:val="00441319"/>
    <w:rsid w:val="00441A9F"/>
    <w:rsid w:val="00442153"/>
    <w:rsid w:val="00442D2E"/>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732"/>
    <w:rsid w:val="00460993"/>
    <w:rsid w:val="004618B5"/>
    <w:rsid w:val="00461FDC"/>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4D2D"/>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6CBE"/>
    <w:rsid w:val="00497B53"/>
    <w:rsid w:val="004A0293"/>
    <w:rsid w:val="004A083D"/>
    <w:rsid w:val="004A1648"/>
    <w:rsid w:val="004A36ED"/>
    <w:rsid w:val="004A4AA6"/>
    <w:rsid w:val="004A4B65"/>
    <w:rsid w:val="004A5646"/>
    <w:rsid w:val="004A7324"/>
    <w:rsid w:val="004A7AFD"/>
    <w:rsid w:val="004B02B5"/>
    <w:rsid w:val="004B1AC6"/>
    <w:rsid w:val="004B2146"/>
    <w:rsid w:val="004B2AE7"/>
    <w:rsid w:val="004B2F00"/>
    <w:rsid w:val="004B4F74"/>
    <w:rsid w:val="004B5BE6"/>
    <w:rsid w:val="004B6CE7"/>
    <w:rsid w:val="004B781B"/>
    <w:rsid w:val="004B7EE2"/>
    <w:rsid w:val="004C0DF9"/>
    <w:rsid w:val="004C1982"/>
    <w:rsid w:val="004C24BD"/>
    <w:rsid w:val="004C2BED"/>
    <w:rsid w:val="004C3C06"/>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172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038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15F"/>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4A5D"/>
    <w:rsid w:val="005256F3"/>
    <w:rsid w:val="00525E93"/>
    <w:rsid w:val="0052621D"/>
    <w:rsid w:val="00527462"/>
    <w:rsid w:val="005276C3"/>
    <w:rsid w:val="00527873"/>
    <w:rsid w:val="00530040"/>
    <w:rsid w:val="005302AB"/>
    <w:rsid w:val="00530A7F"/>
    <w:rsid w:val="00530F88"/>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2B3"/>
    <w:rsid w:val="0055660D"/>
    <w:rsid w:val="00557333"/>
    <w:rsid w:val="00557DD2"/>
    <w:rsid w:val="0056030C"/>
    <w:rsid w:val="00561B31"/>
    <w:rsid w:val="00562A5B"/>
    <w:rsid w:val="00563438"/>
    <w:rsid w:val="005634A6"/>
    <w:rsid w:val="005638B0"/>
    <w:rsid w:val="00563A26"/>
    <w:rsid w:val="00563B11"/>
    <w:rsid w:val="005643A3"/>
    <w:rsid w:val="0056507A"/>
    <w:rsid w:val="005656C4"/>
    <w:rsid w:val="0056610F"/>
    <w:rsid w:val="0056734E"/>
    <w:rsid w:val="005679A6"/>
    <w:rsid w:val="005711E1"/>
    <w:rsid w:val="005721C0"/>
    <w:rsid w:val="005733A6"/>
    <w:rsid w:val="005733F3"/>
    <w:rsid w:val="00575075"/>
    <w:rsid w:val="00575AD1"/>
    <w:rsid w:val="00576490"/>
    <w:rsid w:val="005765C7"/>
    <w:rsid w:val="00576828"/>
    <w:rsid w:val="00577182"/>
    <w:rsid w:val="0057796D"/>
    <w:rsid w:val="005800C4"/>
    <w:rsid w:val="00580C39"/>
    <w:rsid w:val="005818ED"/>
    <w:rsid w:val="00582EEE"/>
    <w:rsid w:val="00584ECC"/>
    <w:rsid w:val="0058546D"/>
    <w:rsid w:val="0058562D"/>
    <w:rsid w:val="00586C76"/>
    <w:rsid w:val="00590929"/>
    <w:rsid w:val="0059097C"/>
    <w:rsid w:val="00590AF8"/>
    <w:rsid w:val="00591657"/>
    <w:rsid w:val="00592124"/>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B2"/>
    <w:rsid w:val="005A1CF1"/>
    <w:rsid w:val="005A1F68"/>
    <w:rsid w:val="005A2372"/>
    <w:rsid w:val="005A46B2"/>
    <w:rsid w:val="005A4DBF"/>
    <w:rsid w:val="005B0219"/>
    <w:rsid w:val="005B07DE"/>
    <w:rsid w:val="005B0DFE"/>
    <w:rsid w:val="005B12E9"/>
    <w:rsid w:val="005B1713"/>
    <w:rsid w:val="005B2281"/>
    <w:rsid w:val="005B2537"/>
    <w:rsid w:val="005B3350"/>
    <w:rsid w:val="005B3874"/>
    <w:rsid w:val="005B426A"/>
    <w:rsid w:val="005B463B"/>
    <w:rsid w:val="005B515A"/>
    <w:rsid w:val="005B59FC"/>
    <w:rsid w:val="005B5C8A"/>
    <w:rsid w:val="005B622B"/>
    <w:rsid w:val="005B7EBA"/>
    <w:rsid w:val="005C0F41"/>
    <w:rsid w:val="005C33A1"/>
    <w:rsid w:val="005C593E"/>
    <w:rsid w:val="005C7407"/>
    <w:rsid w:val="005D0510"/>
    <w:rsid w:val="005D142B"/>
    <w:rsid w:val="005D2DCD"/>
    <w:rsid w:val="005D2F13"/>
    <w:rsid w:val="005D4091"/>
    <w:rsid w:val="005D4105"/>
    <w:rsid w:val="005D42F8"/>
    <w:rsid w:val="005D4696"/>
    <w:rsid w:val="005D4C93"/>
    <w:rsid w:val="005D5D01"/>
    <w:rsid w:val="005D5EA2"/>
    <w:rsid w:val="005D6AA1"/>
    <w:rsid w:val="005D6EC7"/>
    <w:rsid w:val="005D713A"/>
    <w:rsid w:val="005D7B4E"/>
    <w:rsid w:val="005D7FE0"/>
    <w:rsid w:val="005E234F"/>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70A"/>
    <w:rsid w:val="00605EF8"/>
    <w:rsid w:val="006061A9"/>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39"/>
    <w:rsid w:val="00624B91"/>
    <w:rsid w:val="0062578F"/>
    <w:rsid w:val="00625EFD"/>
    <w:rsid w:val="00626741"/>
    <w:rsid w:val="006274AF"/>
    <w:rsid w:val="00627BBF"/>
    <w:rsid w:val="00630845"/>
    <w:rsid w:val="006339F3"/>
    <w:rsid w:val="00633BB2"/>
    <w:rsid w:val="00634119"/>
    <w:rsid w:val="0063470B"/>
    <w:rsid w:val="0063519E"/>
    <w:rsid w:val="0063632E"/>
    <w:rsid w:val="00640298"/>
    <w:rsid w:val="00641FC6"/>
    <w:rsid w:val="006423C5"/>
    <w:rsid w:val="00642E60"/>
    <w:rsid w:val="0064502B"/>
    <w:rsid w:val="00645307"/>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9E9"/>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3684"/>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3D4"/>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502"/>
    <w:rsid w:val="00716E79"/>
    <w:rsid w:val="00717591"/>
    <w:rsid w:val="007177E4"/>
    <w:rsid w:val="00720F2C"/>
    <w:rsid w:val="007215EA"/>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73F6"/>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6999"/>
    <w:rsid w:val="00757121"/>
    <w:rsid w:val="007579EE"/>
    <w:rsid w:val="0076145B"/>
    <w:rsid w:val="007621B6"/>
    <w:rsid w:val="00762B63"/>
    <w:rsid w:val="00763840"/>
    <w:rsid w:val="00763FE4"/>
    <w:rsid w:val="0076417E"/>
    <w:rsid w:val="00764C43"/>
    <w:rsid w:val="00766489"/>
    <w:rsid w:val="00766F23"/>
    <w:rsid w:val="00767790"/>
    <w:rsid w:val="00767C08"/>
    <w:rsid w:val="0077052B"/>
    <w:rsid w:val="00770607"/>
    <w:rsid w:val="00770C49"/>
    <w:rsid w:val="00770FE5"/>
    <w:rsid w:val="00772DF5"/>
    <w:rsid w:val="007763DB"/>
    <w:rsid w:val="007778F3"/>
    <w:rsid w:val="00777AED"/>
    <w:rsid w:val="00781580"/>
    <w:rsid w:val="00781B8F"/>
    <w:rsid w:val="007825F8"/>
    <w:rsid w:val="00783703"/>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422A"/>
    <w:rsid w:val="00796B9C"/>
    <w:rsid w:val="00796C2E"/>
    <w:rsid w:val="007A071F"/>
    <w:rsid w:val="007A1C50"/>
    <w:rsid w:val="007A2601"/>
    <w:rsid w:val="007A55DD"/>
    <w:rsid w:val="007A6F7E"/>
    <w:rsid w:val="007A73F1"/>
    <w:rsid w:val="007A76BA"/>
    <w:rsid w:val="007B1194"/>
    <w:rsid w:val="007B1532"/>
    <w:rsid w:val="007B24B1"/>
    <w:rsid w:val="007B2A3E"/>
    <w:rsid w:val="007B3E10"/>
    <w:rsid w:val="007B42B1"/>
    <w:rsid w:val="007B4ADC"/>
    <w:rsid w:val="007B55B2"/>
    <w:rsid w:val="007B654B"/>
    <w:rsid w:val="007B6EC7"/>
    <w:rsid w:val="007B7880"/>
    <w:rsid w:val="007C08FF"/>
    <w:rsid w:val="007C1B63"/>
    <w:rsid w:val="007C206C"/>
    <w:rsid w:val="007C237A"/>
    <w:rsid w:val="007C270F"/>
    <w:rsid w:val="007C2833"/>
    <w:rsid w:val="007C2B52"/>
    <w:rsid w:val="007C375F"/>
    <w:rsid w:val="007C4083"/>
    <w:rsid w:val="007C438D"/>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AD6"/>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DD9"/>
    <w:rsid w:val="007F3F5B"/>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1549"/>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45DE"/>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67"/>
    <w:rsid w:val="008577DA"/>
    <w:rsid w:val="00860D6C"/>
    <w:rsid w:val="00862168"/>
    <w:rsid w:val="0086284D"/>
    <w:rsid w:val="008635A7"/>
    <w:rsid w:val="00865CCF"/>
    <w:rsid w:val="00865D67"/>
    <w:rsid w:val="00865F8B"/>
    <w:rsid w:val="00866E36"/>
    <w:rsid w:val="008672D0"/>
    <w:rsid w:val="00870102"/>
    <w:rsid w:val="008723A0"/>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0ED9"/>
    <w:rsid w:val="008917FE"/>
    <w:rsid w:val="00891992"/>
    <w:rsid w:val="00891FD5"/>
    <w:rsid w:val="0089389E"/>
    <w:rsid w:val="00893B2F"/>
    <w:rsid w:val="008947B7"/>
    <w:rsid w:val="0089480A"/>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0F89"/>
    <w:rsid w:val="008C15A5"/>
    <w:rsid w:val="008C1E66"/>
    <w:rsid w:val="008C25DE"/>
    <w:rsid w:val="008C26B7"/>
    <w:rsid w:val="008C3428"/>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1EBA"/>
    <w:rsid w:val="008E20FC"/>
    <w:rsid w:val="008E3AF7"/>
    <w:rsid w:val="008E405A"/>
    <w:rsid w:val="008E4957"/>
    <w:rsid w:val="008E6454"/>
    <w:rsid w:val="008E71D2"/>
    <w:rsid w:val="008E76BF"/>
    <w:rsid w:val="008F0135"/>
    <w:rsid w:val="008F1460"/>
    <w:rsid w:val="008F2459"/>
    <w:rsid w:val="008F2C31"/>
    <w:rsid w:val="008F3566"/>
    <w:rsid w:val="008F459A"/>
    <w:rsid w:val="008F4DD2"/>
    <w:rsid w:val="008F4F78"/>
    <w:rsid w:val="008F5897"/>
    <w:rsid w:val="008F6EB4"/>
    <w:rsid w:val="008F6EFC"/>
    <w:rsid w:val="008F7A3A"/>
    <w:rsid w:val="00901329"/>
    <w:rsid w:val="009016E3"/>
    <w:rsid w:val="00902085"/>
    <w:rsid w:val="00902426"/>
    <w:rsid w:val="00902625"/>
    <w:rsid w:val="00903071"/>
    <w:rsid w:val="00903450"/>
    <w:rsid w:val="00903F84"/>
    <w:rsid w:val="009044F4"/>
    <w:rsid w:val="009053DA"/>
    <w:rsid w:val="009059FF"/>
    <w:rsid w:val="009060FE"/>
    <w:rsid w:val="00910747"/>
    <w:rsid w:val="00910E3B"/>
    <w:rsid w:val="009122D0"/>
    <w:rsid w:val="009125B7"/>
    <w:rsid w:val="00912B57"/>
    <w:rsid w:val="00912CFB"/>
    <w:rsid w:val="009139E6"/>
    <w:rsid w:val="009175E4"/>
    <w:rsid w:val="00917AF0"/>
    <w:rsid w:val="00917C5F"/>
    <w:rsid w:val="00920A37"/>
    <w:rsid w:val="00920ACC"/>
    <w:rsid w:val="00920F8A"/>
    <w:rsid w:val="00922D49"/>
    <w:rsid w:val="009243D2"/>
    <w:rsid w:val="0092481E"/>
    <w:rsid w:val="00926506"/>
    <w:rsid w:val="00927CFC"/>
    <w:rsid w:val="00927DF8"/>
    <w:rsid w:val="00930567"/>
    <w:rsid w:val="00930E5C"/>
    <w:rsid w:val="009313D4"/>
    <w:rsid w:val="0093159F"/>
    <w:rsid w:val="00931974"/>
    <w:rsid w:val="009319B4"/>
    <w:rsid w:val="00931A16"/>
    <w:rsid w:val="0093264A"/>
    <w:rsid w:val="00932776"/>
    <w:rsid w:val="00932A90"/>
    <w:rsid w:val="00933096"/>
    <w:rsid w:val="00934385"/>
    <w:rsid w:val="009350D0"/>
    <w:rsid w:val="00935FD5"/>
    <w:rsid w:val="00936019"/>
    <w:rsid w:val="0093607D"/>
    <w:rsid w:val="0093614F"/>
    <w:rsid w:val="009366F7"/>
    <w:rsid w:val="00936799"/>
    <w:rsid w:val="009370FC"/>
    <w:rsid w:val="009374D4"/>
    <w:rsid w:val="009403CE"/>
    <w:rsid w:val="0094087B"/>
    <w:rsid w:val="0094352E"/>
    <w:rsid w:val="00944100"/>
    <w:rsid w:val="00946475"/>
    <w:rsid w:val="00946587"/>
    <w:rsid w:val="0094720D"/>
    <w:rsid w:val="0094772D"/>
    <w:rsid w:val="009507DB"/>
    <w:rsid w:val="009511E5"/>
    <w:rsid w:val="0095149D"/>
    <w:rsid w:val="009517F6"/>
    <w:rsid w:val="009521C1"/>
    <w:rsid w:val="00952A15"/>
    <w:rsid w:val="009534C9"/>
    <w:rsid w:val="00953EF6"/>
    <w:rsid w:val="0095402B"/>
    <w:rsid w:val="00955290"/>
    <w:rsid w:val="00955EBD"/>
    <w:rsid w:val="009568B5"/>
    <w:rsid w:val="00961752"/>
    <w:rsid w:val="00962F77"/>
    <w:rsid w:val="00963193"/>
    <w:rsid w:val="00964AA4"/>
    <w:rsid w:val="00964DE9"/>
    <w:rsid w:val="00965598"/>
    <w:rsid w:val="009665B5"/>
    <w:rsid w:val="0096660F"/>
    <w:rsid w:val="009677C7"/>
    <w:rsid w:val="009712EA"/>
    <w:rsid w:val="009729A9"/>
    <w:rsid w:val="009752BE"/>
    <w:rsid w:val="009752D4"/>
    <w:rsid w:val="0097535C"/>
    <w:rsid w:val="00975710"/>
    <w:rsid w:val="00975A23"/>
    <w:rsid w:val="009761D3"/>
    <w:rsid w:val="009762F4"/>
    <w:rsid w:val="00976F28"/>
    <w:rsid w:val="0098132E"/>
    <w:rsid w:val="009822AB"/>
    <w:rsid w:val="00982A00"/>
    <w:rsid w:val="00983048"/>
    <w:rsid w:val="0098318A"/>
    <w:rsid w:val="0098335A"/>
    <w:rsid w:val="00983B82"/>
    <w:rsid w:val="00986127"/>
    <w:rsid w:val="009864F0"/>
    <w:rsid w:val="00986603"/>
    <w:rsid w:val="00986D7B"/>
    <w:rsid w:val="00987481"/>
    <w:rsid w:val="009877D6"/>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341D"/>
    <w:rsid w:val="009A4540"/>
    <w:rsid w:val="009A56C0"/>
    <w:rsid w:val="009A6C25"/>
    <w:rsid w:val="009A6D2A"/>
    <w:rsid w:val="009A797B"/>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13C8"/>
    <w:rsid w:val="009C29DF"/>
    <w:rsid w:val="009C3181"/>
    <w:rsid w:val="009C555E"/>
    <w:rsid w:val="009C6658"/>
    <w:rsid w:val="009C7936"/>
    <w:rsid w:val="009D0074"/>
    <w:rsid w:val="009D1A50"/>
    <w:rsid w:val="009D2E7D"/>
    <w:rsid w:val="009D491B"/>
    <w:rsid w:val="009D557A"/>
    <w:rsid w:val="009D65BC"/>
    <w:rsid w:val="009D7C5D"/>
    <w:rsid w:val="009D7F07"/>
    <w:rsid w:val="009D7F36"/>
    <w:rsid w:val="009E124C"/>
    <w:rsid w:val="009E2122"/>
    <w:rsid w:val="009E2628"/>
    <w:rsid w:val="009E2729"/>
    <w:rsid w:val="009E29EC"/>
    <w:rsid w:val="009E2E72"/>
    <w:rsid w:val="009E2FC5"/>
    <w:rsid w:val="009E343C"/>
    <w:rsid w:val="009E4190"/>
    <w:rsid w:val="009E4504"/>
    <w:rsid w:val="009E4F58"/>
    <w:rsid w:val="009E5242"/>
    <w:rsid w:val="009E71B8"/>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8D1"/>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423"/>
    <w:rsid w:val="00A178DD"/>
    <w:rsid w:val="00A20610"/>
    <w:rsid w:val="00A21BFE"/>
    <w:rsid w:val="00A21ED8"/>
    <w:rsid w:val="00A22EA6"/>
    <w:rsid w:val="00A239BC"/>
    <w:rsid w:val="00A25379"/>
    <w:rsid w:val="00A25895"/>
    <w:rsid w:val="00A26B14"/>
    <w:rsid w:val="00A27187"/>
    <w:rsid w:val="00A27B7B"/>
    <w:rsid w:val="00A27FC4"/>
    <w:rsid w:val="00A3003D"/>
    <w:rsid w:val="00A30122"/>
    <w:rsid w:val="00A30FE4"/>
    <w:rsid w:val="00A31BFA"/>
    <w:rsid w:val="00A36F15"/>
    <w:rsid w:val="00A371B5"/>
    <w:rsid w:val="00A40BC1"/>
    <w:rsid w:val="00A41377"/>
    <w:rsid w:val="00A413BE"/>
    <w:rsid w:val="00A428DD"/>
    <w:rsid w:val="00A43126"/>
    <w:rsid w:val="00A4464E"/>
    <w:rsid w:val="00A44AA1"/>
    <w:rsid w:val="00A44DE9"/>
    <w:rsid w:val="00A460E1"/>
    <w:rsid w:val="00A479C4"/>
    <w:rsid w:val="00A50246"/>
    <w:rsid w:val="00A51691"/>
    <w:rsid w:val="00A51EC8"/>
    <w:rsid w:val="00A52274"/>
    <w:rsid w:val="00A523F8"/>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23B"/>
    <w:rsid w:val="00A654A2"/>
    <w:rsid w:val="00A65B5B"/>
    <w:rsid w:val="00A65E42"/>
    <w:rsid w:val="00A67EE2"/>
    <w:rsid w:val="00A67F8F"/>
    <w:rsid w:val="00A71215"/>
    <w:rsid w:val="00A71736"/>
    <w:rsid w:val="00A71870"/>
    <w:rsid w:val="00A7298C"/>
    <w:rsid w:val="00A72A97"/>
    <w:rsid w:val="00A73EAD"/>
    <w:rsid w:val="00A740B1"/>
    <w:rsid w:val="00A74325"/>
    <w:rsid w:val="00A75949"/>
    <w:rsid w:val="00A76915"/>
    <w:rsid w:val="00A80991"/>
    <w:rsid w:val="00A8099A"/>
    <w:rsid w:val="00A8199B"/>
    <w:rsid w:val="00A827F3"/>
    <w:rsid w:val="00A82A69"/>
    <w:rsid w:val="00A8379B"/>
    <w:rsid w:val="00A84A7A"/>
    <w:rsid w:val="00A863C1"/>
    <w:rsid w:val="00A8660E"/>
    <w:rsid w:val="00A879CC"/>
    <w:rsid w:val="00A9017C"/>
    <w:rsid w:val="00A90478"/>
    <w:rsid w:val="00A90667"/>
    <w:rsid w:val="00A91319"/>
    <w:rsid w:val="00A913C6"/>
    <w:rsid w:val="00A914F9"/>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7EB3"/>
    <w:rsid w:val="00AC0359"/>
    <w:rsid w:val="00AC0DBD"/>
    <w:rsid w:val="00AC3E3F"/>
    <w:rsid w:val="00AC428D"/>
    <w:rsid w:val="00AC4547"/>
    <w:rsid w:val="00AC4609"/>
    <w:rsid w:val="00AC4636"/>
    <w:rsid w:val="00AC49A9"/>
    <w:rsid w:val="00AC4E14"/>
    <w:rsid w:val="00AC58AC"/>
    <w:rsid w:val="00AC58FF"/>
    <w:rsid w:val="00AC6194"/>
    <w:rsid w:val="00AC6547"/>
    <w:rsid w:val="00AC67E4"/>
    <w:rsid w:val="00AC68A0"/>
    <w:rsid w:val="00AC76EA"/>
    <w:rsid w:val="00AC7BC7"/>
    <w:rsid w:val="00AC7CAA"/>
    <w:rsid w:val="00AD028A"/>
    <w:rsid w:val="00AD1019"/>
    <w:rsid w:val="00AD13F3"/>
    <w:rsid w:val="00AD1C51"/>
    <w:rsid w:val="00AD1CB2"/>
    <w:rsid w:val="00AD262A"/>
    <w:rsid w:val="00AD380D"/>
    <w:rsid w:val="00AD38D9"/>
    <w:rsid w:val="00AD39BA"/>
    <w:rsid w:val="00AD4FCA"/>
    <w:rsid w:val="00AD57B5"/>
    <w:rsid w:val="00AD6429"/>
    <w:rsid w:val="00AD6A86"/>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4D00"/>
    <w:rsid w:val="00AF7C38"/>
    <w:rsid w:val="00B00474"/>
    <w:rsid w:val="00B00878"/>
    <w:rsid w:val="00B0276C"/>
    <w:rsid w:val="00B0286F"/>
    <w:rsid w:val="00B030C8"/>
    <w:rsid w:val="00B043D6"/>
    <w:rsid w:val="00B050C4"/>
    <w:rsid w:val="00B05327"/>
    <w:rsid w:val="00B05B8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3D36"/>
    <w:rsid w:val="00B1464A"/>
    <w:rsid w:val="00B14D75"/>
    <w:rsid w:val="00B15605"/>
    <w:rsid w:val="00B160CB"/>
    <w:rsid w:val="00B165D6"/>
    <w:rsid w:val="00B172F9"/>
    <w:rsid w:val="00B20507"/>
    <w:rsid w:val="00B2219E"/>
    <w:rsid w:val="00B2285D"/>
    <w:rsid w:val="00B22929"/>
    <w:rsid w:val="00B237F8"/>
    <w:rsid w:val="00B243C7"/>
    <w:rsid w:val="00B245CD"/>
    <w:rsid w:val="00B25E04"/>
    <w:rsid w:val="00B26A10"/>
    <w:rsid w:val="00B278EC"/>
    <w:rsid w:val="00B30AF1"/>
    <w:rsid w:val="00B30C3B"/>
    <w:rsid w:val="00B3356E"/>
    <w:rsid w:val="00B3392D"/>
    <w:rsid w:val="00B33F95"/>
    <w:rsid w:val="00B353A7"/>
    <w:rsid w:val="00B35CE3"/>
    <w:rsid w:val="00B367CB"/>
    <w:rsid w:val="00B3765C"/>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077E"/>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0E79"/>
    <w:rsid w:val="00B914C7"/>
    <w:rsid w:val="00B9160E"/>
    <w:rsid w:val="00B9248D"/>
    <w:rsid w:val="00B92AC7"/>
    <w:rsid w:val="00B95615"/>
    <w:rsid w:val="00B96064"/>
    <w:rsid w:val="00B96F64"/>
    <w:rsid w:val="00B972EE"/>
    <w:rsid w:val="00B97A74"/>
    <w:rsid w:val="00BA051B"/>
    <w:rsid w:val="00BA08DC"/>
    <w:rsid w:val="00BA18EC"/>
    <w:rsid w:val="00BA26BF"/>
    <w:rsid w:val="00BA2C23"/>
    <w:rsid w:val="00BA3299"/>
    <w:rsid w:val="00BA358D"/>
    <w:rsid w:val="00BA4104"/>
    <w:rsid w:val="00BA482A"/>
    <w:rsid w:val="00BA4CF3"/>
    <w:rsid w:val="00BA5F0A"/>
    <w:rsid w:val="00BA6595"/>
    <w:rsid w:val="00BA6B90"/>
    <w:rsid w:val="00BA6DE9"/>
    <w:rsid w:val="00BA74E6"/>
    <w:rsid w:val="00BA76BF"/>
    <w:rsid w:val="00BA797C"/>
    <w:rsid w:val="00BA7B11"/>
    <w:rsid w:val="00BA7C7A"/>
    <w:rsid w:val="00BB04B9"/>
    <w:rsid w:val="00BB0D0A"/>
    <w:rsid w:val="00BB0DD3"/>
    <w:rsid w:val="00BB143A"/>
    <w:rsid w:val="00BB162C"/>
    <w:rsid w:val="00BB3047"/>
    <w:rsid w:val="00BB4C95"/>
    <w:rsid w:val="00BB58FC"/>
    <w:rsid w:val="00BB6D1C"/>
    <w:rsid w:val="00BC0FC9"/>
    <w:rsid w:val="00BC30D9"/>
    <w:rsid w:val="00BC30DC"/>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237A"/>
    <w:rsid w:val="00BE37E0"/>
    <w:rsid w:val="00BE475F"/>
    <w:rsid w:val="00BE531E"/>
    <w:rsid w:val="00BE5EA7"/>
    <w:rsid w:val="00BE630D"/>
    <w:rsid w:val="00BE6D7B"/>
    <w:rsid w:val="00BF044F"/>
    <w:rsid w:val="00BF1F74"/>
    <w:rsid w:val="00BF3588"/>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09C7"/>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2E91"/>
    <w:rsid w:val="00C943C7"/>
    <w:rsid w:val="00C95789"/>
    <w:rsid w:val="00C95D08"/>
    <w:rsid w:val="00C96091"/>
    <w:rsid w:val="00C969A5"/>
    <w:rsid w:val="00C96B43"/>
    <w:rsid w:val="00C97EE5"/>
    <w:rsid w:val="00CA02EF"/>
    <w:rsid w:val="00CA07ED"/>
    <w:rsid w:val="00CA1595"/>
    <w:rsid w:val="00CA1A7A"/>
    <w:rsid w:val="00CA2809"/>
    <w:rsid w:val="00CA39BF"/>
    <w:rsid w:val="00CA3AD1"/>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3A3B"/>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951"/>
    <w:rsid w:val="00CF3EF0"/>
    <w:rsid w:val="00CF3FF4"/>
    <w:rsid w:val="00CF455A"/>
    <w:rsid w:val="00CF68E5"/>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08DB"/>
    <w:rsid w:val="00D114FE"/>
    <w:rsid w:val="00D11AF0"/>
    <w:rsid w:val="00D13727"/>
    <w:rsid w:val="00D147D7"/>
    <w:rsid w:val="00D15224"/>
    <w:rsid w:val="00D17D22"/>
    <w:rsid w:val="00D20DDF"/>
    <w:rsid w:val="00D21745"/>
    <w:rsid w:val="00D228C5"/>
    <w:rsid w:val="00D228EE"/>
    <w:rsid w:val="00D2438E"/>
    <w:rsid w:val="00D255A3"/>
    <w:rsid w:val="00D25F82"/>
    <w:rsid w:val="00D27368"/>
    <w:rsid w:val="00D3198F"/>
    <w:rsid w:val="00D31CB3"/>
    <w:rsid w:val="00D3355B"/>
    <w:rsid w:val="00D33781"/>
    <w:rsid w:val="00D33D8A"/>
    <w:rsid w:val="00D343EC"/>
    <w:rsid w:val="00D35654"/>
    <w:rsid w:val="00D3573F"/>
    <w:rsid w:val="00D36781"/>
    <w:rsid w:val="00D36866"/>
    <w:rsid w:val="00D373E5"/>
    <w:rsid w:val="00D37527"/>
    <w:rsid w:val="00D3772C"/>
    <w:rsid w:val="00D40268"/>
    <w:rsid w:val="00D40382"/>
    <w:rsid w:val="00D40B22"/>
    <w:rsid w:val="00D40DD4"/>
    <w:rsid w:val="00D4121F"/>
    <w:rsid w:val="00D452E5"/>
    <w:rsid w:val="00D45FC0"/>
    <w:rsid w:val="00D46617"/>
    <w:rsid w:val="00D4689F"/>
    <w:rsid w:val="00D46996"/>
    <w:rsid w:val="00D46ECB"/>
    <w:rsid w:val="00D47438"/>
    <w:rsid w:val="00D47B16"/>
    <w:rsid w:val="00D47D8C"/>
    <w:rsid w:val="00D50466"/>
    <w:rsid w:val="00D527BD"/>
    <w:rsid w:val="00D5367E"/>
    <w:rsid w:val="00D5428E"/>
    <w:rsid w:val="00D54395"/>
    <w:rsid w:val="00D54DF6"/>
    <w:rsid w:val="00D5644A"/>
    <w:rsid w:val="00D56955"/>
    <w:rsid w:val="00D56993"/>
    <w:rsid w:val="00D5710C"/>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85C"/>
    <w:rsid w:val="00D70430"/>
    <w:rsid w:val="00D707E1"/>
    <w:rsid w:val="00D70CA7"/>
    <w:rsid w:val="00D714D0"/>
    <w:rsid w:val="00D7180F"/>
    <w:rsid w:val="00D719EC"/>
    <w:rsid w:val="00D71DD0"/>
    <w:rsid w:val="00D7309D"/>
    <w:rsid w:val="00D7311C"/>
    <w:rsid w:val="00D73FED"/>
    <w:rsid w:val="00D74906"/>
    <w:rsid w:val="00D74C73"/>
    <w:rsid w:val="00D74F71"/>
    <w:rsid w:val="00D75313"/>
    <w:rsid w:val="00D762C2"/>
    <w:rsid w:val="00D770B2"/>
    <w:rsid w:val="00D77E06"/>
    <w:rsid w:val="00D80113"/>
    <w:rsid w:val="00D80DC8"/>
    <w:rsid w:val="00D814E6"/>
    <w:rsid w:val="00D81C35"/>
    <w:rsid w:val="00D81DDF"/>
    <w:rsid w:val="00D824AE"/>
    <w:rsid w:val="00D82742"/>
    <w:rsid w:val="00D82986"/>
    <w:rsid w:val="00D82A10"/>
    <w:rsid w:val="00D82BD3"/>
    <w:rsid w:val="00D8333F"/>
    <w:rsid w:val="00D83408"/>
    <w:rsid w:val="00D83AE7"/>
    <w:rsid w:val="00D84096"/>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3862"/>
    <w:rsid w:val="00DA4F09"/>
    <w:rsid w:val="00DA52E3"/>
    <w:rsid w:val="00DA5A48"/>
    <w:rsid w:val="00DA5AB2"/>
    <w:rsid w:val="00DA607F"/>
    <w:rsid w:val="00DA6850"/>
    <w:rsid w:val="00DA6C5B"/>
    <w:rsid w:val="00DB1106"/>
    <w:rsid w:val="00DB12CA"/>
    <w:rsid w:val="00DB19C5"/>
    <w:rsid w:val="00DB1D55"/>
    <w:rsid w:val="00DB212F"/>
    <w:rsid w:val="00DB348A"/>
    <w:rsid w:val="00DB4D24"/>
    <w:rsid w:val="00DB514B"/>
    <w:rsid w:val="00DB553B"/>
    <w:rsid w:val="00DB6C5A"/>
    <w:rsid w:val="00DC00AE"/>
    <w:rsid w:val="00DC01A4"/>
    <w:rsid w:val="00DC0951"/>
    <w:rsid w:val="00DC0DE9"/>
    <w:rsid w:val="00DC20F7"/>
    <w:rsid w:val="00DC2820"/>
    <w:rsid w:val="00DC3224"/>
    <w:rsid w:val="00DC445E"/>
    <w:rsid w:val="00DC4B1B"/>
    <w:rsid w:val="00DC5389"/>
    <w:rsid w:val="00DC5533"/>
    <w:rsid w:val="00DC59F9"/>
    <w:rsid w:val="00DC5DD9"/>
    <w:rsid w:val="00DC7FAB"/>
    <w:rsid w:val="00DD0BE7"/>
    <w:rsid w:val="00DD1477"/>
    <w:rsid w:val="00DD29E9"/>
    <w:rsid w:val="00DD31F3"/>
    <w:rsid w:val="00DD3938"/>
    <w:rsid w:val="00DD3AE5"/>
    <w:rsid w:val="00DD5506"/>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1DBA"/>
    <w:rsid w:val="00DF21D0"/>
    <w:rsid w:val="00DF34C1"/>
    <w:rsid w:val="00DF4141"/>
    <w:rsid w:val="00DF41D1"/>
    <w:rsid w:val="00DF6172"/>
    <w:rsid w:val="00DF77EF"/>
    <w:rsid w:val="00E00145"/>
    <w:rsid w:val="00E00223"/>
    <w:rsid w:val="00E00972"/>
    <w:rsid w:val="00E009C8"/>
    <w:rsid w:val="00E01998"/>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1774A"/>
    <w:rsid w:val="00E2018D"/>
    <w:rsid w:val="00E205EB"/>
    <w:rsid w:val="00E2089B"/>
    <w:rsid w:val="00E21918"/>
    <w:rsid w:val="00E21F2E"/>
    <w:rsid w:val="00E220A2"/>
    <w:rsid w:val="00E23066"/>
    <w:rsid w:val="00E250CE"/>
    <w:rsid w:val="00E26BCB"/>
    <w:rsid w:val="00E270D3"/>
    <w:rsid w:val="00E27274"/>
    <w:rsid w:val="00E2744B"/>
    <w:rsid w:val="00E27572"/>
    <w:rsid w:val="00E27A76"/>
    <w:rsid w:val="00E27F7E"/>
    <w:rsid w:val="00E3002F"/>
    <w:rsid w:val="00E306E0"/>
    <w:rsid w:val="00E309D7"/>
    <w:rsid w:val="00E30DEE"/>
    <w:rsid w:val="00E317B9"/>
    <w:rsid w:val="00E321AA"/>
    <w:rsid w:val="00E32B95"/>
    <w:rsid w:val="00E3316F"/>
    <w:rsid w:val="00E335E0"/>
    <w:rsid w:val="00E33AFB"/>
    <w:rsid w:val="00E343D4"/>
    <w:rsid w:val="00E358D2"/>
    <w:rsid w:val="00E36E76"/>
    <w:rsid w:val="00E3779D"/>
    <w:rsid w:val="00E40305"/>
    <w:rsid w:val="00E40ADE"/>
    <w:rsid w:val="00E40F44"/>
    <w:rsid w:val="00E41D67"/>
    <w:rsid w:val="00E43F01"/>
    <w:rsid w:val="00E46189"/>
    <w:rsid w:val="00E46878"/>
    <w:rsid w:val="00E46C28"/>
    <w:rsid w:val="00E50BA5"/>
    <w:rsid w:val="00E5284F"/>
    <w:rsid w:val="00E53108"/>
    <w:rsid w:val="00E53841"/>
    <w:rsid w:val="00E539EA"/>
    <w:rsid w:val="00E53BBE"/>
    <w:rsid w:val="00E549F2"/>
    <w:rsid w:val="00E54EB6"/>
    <w:rsid w:val="00E5529E"/>
    <w:rsid w:val="00E56791"/>
    <w:rsid w:val="00E56EA4"/>
    <w:rsid w:val="00E57291"/>
    <w:rsid w:val="00E61369"/>
    <w:rsid w:val="00E6240F"/>
    <w:rsid w:val="00E64F58"/>
    <w:rsid w:val="00E657A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126C"/>
    <w:rsid w:val="00EB216C"/>
    <w:rsid w:val="00EB2255"/>
    <w:rsid w:val="00EB2A81"/>
    <w:rsid w:val="00EB3BB1"/>
    <w:rsid w:val="00EB4C23"/>
    <w:rsid w:val="00EB50A0"/>
    <w:rsid w:val="00EB52FE"/>
    <w:rsid w:val="00EB568A"/>
    <w:rsid w:val="00EB57A3"/>
    <w:rsid w:val="00EB5C46"/>
    <w:rsid w:val="00EB5E88"/>
    <w:rsid w:val="00EB6CAF"/>
    <w:rsid w:val="00EB7BDE"/>
    <w:rsid w:val="00EB7D7A"/>
    <w:rsid w:val="00EC0238"/>
    <w:rsid w:val="00EC106E"/>
    <w:rsid w:val="00EC38E4"/>
    <w:rsid w:val="00EC411D"/>
    <w:rsid w:val="00EC42A5"/>
    <w:rsid w:val="00EC4B5F"/>
    <w:rsid w:val="00EC6320"/>
    <w:rsid w:val="00EC6340"/>
    <w:rsid w:val="00EC6FC1"/>
    <w:rsid w:val="00ED00B0"/>
    <w:rsid w:val="00ED01F1"/>
    <w:rsid w:val="00ED0E81"/>
    <w:rsid w:val="00ED1385"/>
    <w:rsid w:val="00ED15C2"/>
    <w:rsid w:val="00ED347F"/>
    <w:rsid w:val="00ED37A2"/>
    <w:rsid w:val="00ED4067"/>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211"/>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5CD2"/>
    <w:rsid w:val="00F16057"/>
    <w:rsid w:val="00F17B6C"/>
    <w:rsid w:val="00F20BD8"/>
    <w:rsid w:val="00F20EBB"/>
    <w:rsid w:val="00F2229D"/>
    <w:rsid w:val="00F22B38"/>
    <w:rsid w:val="00F22C95"/>
    <w:rsid w:val="00F23538"/>
    <w:rsid w:val="00F2356D"/>
    <w:rsid w:val="00F24631"/>
    <w:rsid w:val="00F2504F"/>
    <w:rsid w:val="00F2553B"/>
    <w:rsid w:val="00F25B9A"/>
    <w:rsid w:val="00F268B5"/>
    <w:rsid w:val="00F30688"/>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9E"/>
    <w:rsid w:val="00F44AFB"/>
    <w:rsid w:val="00F46152"/>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CE9"/>
    <w:rsid w:val="00F8015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D01"/>
    <w:rsid w:val="00F95FB8"/>
    <w:rsid w:val="00F96DDE"/>
    <w:rsid w:val="00F96EE0"/>
    <w:rsid w:val="00F9763C"/>
    <w:rsid w:val="00F978E1"/>
    <w:rsid w:val="00F97E99"/>
    <w:rsid w:val="00FA0323"/>
    <w:rsid w:val="00FA0B20"/>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154"/>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0C3"/>
    <w:rsid w:val="00FD15E8"/>
    <w:rsid w:val="00FD32D1"/>
    <w:rsid w:val="00FD3AAE"/>
    <w:rsid w:val="00FD3D4B"/>
    <w:rsid w:val="00FD3E67"/>
    <w:rsid w:val="00FD3F95"/>
    <w:rsid w:val="00FD4271"/>
    <w:rsid w:val="00FE0AD4"/>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15:docId w15:val="{479C3BBB-F8F5-4A83-8CC9-F12CB0F6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9"/>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aliases w:val="ללא"/>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aliases w:val="Footnote Reference_0,Footnote Reference_0_0,Footnote Reference_0_0_0,Footnote Reference_0_0_0_0,Footnote Reference_1,Footnote Reference_1_0,Footnote Reference_2,Footnote Reference_3,Footnote Reference_4,Footnote Reference_4_0,מ"/>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customStyle="1" w:styleId="13">
    <w:name w:val="רשת טבלה1"/>
    <w:basedOn w:val="TableNormal"/>
    <w:next w:val="TableGrid"/>
    <w:uiPriority w:val="59"/>
    <w:rsid w:val="005C33A1"/>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T1N">
    <w:name w:val="KOT1N"/>
    <w:qFormat/>
    <w:rsid w:val="008723A0"/>
    <w:pPr>
      <w:spacing w:line="440" w:lineRule="exact"/>
      <w:jc w:val="center"/>
    </w:pPr>
    <w:rPr>
      <w:rFonts w:ascii="Arial Bold" w:hAnsi="Arial Bold" w:eastAsiaTheme="majorEastAsia" w:cs="Tahoma"/>
      <w:b/>
      <w:bCs/>
      <w:color w:val="00305F"/>
      <w:sz w:val="34"/>
      <w:szCs w:val="34"/>
    </w:rPr>
  </w:style>
  <w:style w:type="paragraph" w:customStyle="1" w:styleId="KOT2N">
    <w:name w:val="KOT2N"/>
    <w:basedOn w:val="KOT2"/>
    <w:qFormat/>
    <w:rsid w:val="008723A0"/>
    <w:pPr>
      <w:pageBreakBefore w:val="0"/>
      <w:spacing w:line="440" w:lineRule="exact"/>
      <w:ind w:right="0"/>
      <w:outlineLvl w:val="1"/>
    </w:pPr>
    <w:rPr>
      <w:b/>
      <w:bCs/>
      <w:color w:val="00305F"/>
      <w:sz w:val="34"/>
      <w:szCs w:val="34"/>
    </w:rPr>
  </w:style>
  <w:style w:type="paragraph" w:customStyle="1" w:styleId="KOT3N">
    <w:name w:val="KOT3N"/>
    <w:basedOn w:val="Normal"/>
    <w:qFormat/>
    <w:rsid w:val="008723A0"/>
    <w:pPr>
      <w:spacing w:before="360" w:after="180" w:line="240" w:lineRule="atLeast"/>
      <w:outlineLvl w:val="2"/>
    </w:pPr>
    <w:rPr>
      <w:rFonts w:ascii="Tahoma" w:hAnsi="Tahoma" w:cs="Tahoma"/>
      <w:b/>
      <w:bCs/>
      <w:color w:val="00305F"/>
      <w:sz w:val="32"/>
      <w:szCs w:val="32"/>
    </w:rPr>
  </w:style>
  <w:style w:type="paragraph" w:customStyle="1" w:styleId="KOT4N">
    <w:name w:val="KOT4N"/>
    <w:basedOn w:val="Normal"/>
    <w:qFormat/>
    <w:rsid w:val="008723A0"/>
    <w:pPr>
      <w:spacing w:before="240" w:after="180" w:line="240" w:lineRule="atLeast"/>
      <w:outlineLvl w:val="2"/>
    </w:pPr>
    <w:rPr>
      <w:rFonts w:ascii="Tahoma" w:hAnsi="Tahoma" w:cs="Tahoma"/>
      <w:b/>
      <w:bCs/>
      <w:color w:val="00305F"/>
      <w:sz w:val="28"/>
      <w:szCs w:val="28"/>
    </w:rPr>
  </w:style>
  <w:style w:type="paragraph" w:customStyle="1" w:styleId="KOT5N">
    <w:name w:val="KOT5N"/>
    <w:basedOn w:val="Normal"/>
    <w:qFormat/>
    <w:rsid w:val="008723A0"/>
    <w:pPr>
      <w:spacing w:before="240" w:after="180" w:line="240" w:lineRule="atLeast"/>
      <w:outlineLvl w:val="4"/>
    </w:pPr>
    <w:rPr>
      <w:rFonts w:ascii="Tahoma" w:hAnsi="Tahoma" w:cs="Tahoma"/>
      <w:b/>
      <w:bCs/>
      <w:color w:val="00305F"/>
      <w:sz w:val="24"/>
      <w:szCs w:val="24"/>
    </w:rPr>
  </w:style>
  <w:style w:type="paragraph" w:customStyle="1" w:styleId="KOT6N">
    <w:name w:val="KOT6N"/>
    <w:basedOn w:val="Normal"/>
    <w:qFormat/>
    <w:rsid w:val="008723A0"/>
    <w:pPr>
      <w:spacing w:before="240" w:after="180" w:line="240" w:lineRule="atLeast"/>
      <w:outlineLvl w:val="4"/>
    </w:pPr>
    <w:rPr>
      <w:rFonts w:ascii="Tahoma" w:hAnsi="Tahoma" w:cs="Tahoma"/>
      <w:color w:val="00305F"/>
      <w:sz w:val="20"/>
      <w:szCs w:val="20"/>
    </w:rPr>
  </w:style>
  <w:style w:type="character" w:customStyle="1" w:styleId="KOT8N">
    <w:name w:val="KOT8N"/>
    <w:basedOn w:val="DefaultParagraphFont"/>
    <w:uiPriority w:val="1"/>
    <w:qFormat/>
    <w:rsid w:val="00AC58AC"/>
    <w:rPr>
      <w:rFonts w:ascii="Tahoma" w:hAnsi="Tahoma" w:cs="Tahoma"/>
      <w:color w:val="00305F"/>
      <w:spacing w:val="20"/>
      <w:sz w:val="19"/>
      <w:szCs w:val="19"/>
    </w:rPr>
  </w:style>
  <w:style w:type="character" w:customStyle="1" w:styleId="KOT7N">
    <w:name w:val="KOT7N"/>
    <w:basedOn w:val="KOT8N"/>
    <w:uiPriority w:val="1"/>
    <w:qFormat/>
    <w:rsid w:val="00AC58AC"/>
    <w:rPr>
      <w:rFonts w:ascii="Tahoma" w:hAnsi="Tahoma" w:cs="Tahoma"/>
      <w:b/>
      <w:bCs/>
      <w:color w:val="00305F"/>
      <w:spacing w:val="20"/>
      <w:sz w:val="18"/>
      <w:szCs w:val="18"/>
    </w:rPr>
  </w:style>
  <w:style w:type="paragraph" w:customStyle="1" w:styleId="KOT-TAB">
    <w:name w:val="KOT-TAB"/>
    <w:basedOn w:val="Normal"/>
    <w:qFormat/>
    <w:rsid w:val="00AC58AC"/>
    <w:pPr>
      <w:keepNext/>
      <w:tabs>
        <w:tab w:val="left" w:pos="424"/>
      </w:tabs>
      <w:spacing w:before="240" w:after="240" w:line="260" w:lineRule="exact"/>
      <w:jc w:val="center"/>
    </w:pPr>
    <w:rPr>
      <w:rFonts w:ascii="Tahoma" w:hAnsi="Tahoma" w:cs="Tahoma"/>
      <w:color w:val="0D0D0D" w:themeColor="text1" w:themeTint="F2"/>
      <w:sz w:val="20"/>
      <w:szCs w:val="20"/>
    </w:rPr>
  </w:style>
  <w:style w:type="paragraph" w:customStyle="1" w:styleId="KOT-source">
    <w:name w:val="KOT-source"/>
    <w:basedOn w:val="Normal"/>
    <w:qFormat/>
    <w:rsid w:val="00AC58AC"/>
    <w:pPr>
      <w:tabs>
        <w:tab w:val="left" w:pos="424"/>
      </w:tabs>
      <w:spacing w:after="240" w:line="260" w:lineRule="exact"/>
      <w:jc w:val="both"/>
    </w:pPr>
    <w:rPr>
      <w:rFonts w:ascii="Tahoma" w:hAnsi="Tahoma" w:cs="Tahoma"/>
      <w:color w:val="0D0D0D" w:themeColor="text1" w:themeTint="F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numbering" Target="numbering.xml"/></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3.jpeg" /></Relationships>
</file>

<file path=word/_rels/numbering.xml.rels>&#65279;<?xml version="1.0" encoding="utf-8" standalone="yes"?><Relationships xmlns="http://schemas.openxmlformats.org/package/2006/relationships"><Relationship Id="rId1" Type="http://schemas.openxmlformats.org/officeDocument/2006/relationships/image" Target="media/image4.png" /><Relationship Id="rId10" Type="http://schemas.openxmlformats.org/officeDocument/2006/relationships/image" Target="media/image13.png" /><Relationship Id="rId11" Type="http://schemas.openxmlformats.org/officeDocument/2006/relationships/image" Target="media/image14.png" /><Relationship Id="rId12" Type="http://schemas.openxmlformats.org/officeDocument/2006/relationships/image" Target="media/image15.png" /><Relationship Id="rId13" Type="http://schemas.openxmlformats.org/officeDocument/2006/relationships/image" Target="media/image16.png" /><Relationship Id="rId14" Type="http://schemas.openxmlformats.org/officeDocument/2006/relationships/image" Target="media/image17.png" /><Relationship Id="rId2" Type="http://schemas.openxmlformats.org/officeDocument/2006/relationships/image" Target="media/image5.png" /><Relationship Id="rId3" Type="http://schemas.openxmlformats.org/officeDocument/2006/relationships/image" Target="media/image6.png" /><Relationship Id="rId4" Type="http://schemas.openxmlformats.org/officeDocument/2006/relationships/image" Target="media/image7.png" /><Relationship Id="rId5" Type="http://schemas.openxmlformats.org/officeDocument/2006/relationships/image" Target="media/image8.png" /><Relationship Id="rId6" Type="http://schemas.openxmlformats.org/officeDocument/2006/relationships/image" Target="media/image9.png" /><Relationship Id="rId7" Type="http://schemas.openxmlformats.org/officeDocument/2006/relationships/image" Target="media/image10.png" /><Relationship Id="rId8" Type="http://schemas.openxmlformats.org/officeDocument/2006/relationships/image" Target="media/image11.png" /><Relationship Id="rId9" Type="http://schemas.openxmlformats.org/officeDocument/2006/relationships/image" Target="media/image12.png" /></Relationships>
</file>

<file path=word/theme/_rels/theme1.xml.rels>&#65279;<?xml version="1.0" encoding="utf-8" standalone="yes"?><Relationships xmlns="http://schemas.openxmlformats.org/package/2006/relationships"><Relationship Id="rId1" Type="http://schemas.openxmlformats.org/officeDocument/2006/relationships/image" Target="../media/image18.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E0D678A-03AC-4761-A076-6C9AB8A77301}">
  <ds:schemaRefs>
    <ds:schemaRef ds:uri="http://schemas.openxmlformats.org/officeDocument/2006/bibliography"/>
  </ds:schemaRefs>
</ds:datastoreItem>
</file>

<file path=customXml/itemProps2.xml><?xml version="1.0" encoding="utf-8"?>
<ds:datastoreItem xmlns:ds="http://schemas.openxmlformats.org/officeDocument/2006/customXml" ds:itemID="{6A6DA19B-3567-4039-8BDB-943472A04C3B}"/>
</file>

<file path=customXml/itemProps3.xml><?xml version="1.0" encoding="utf-8"?>
<ds:datastoreItem xmlns:ds="http://schemas.openxmlformats.org/officeDocument/2006/customXml" ds:itemID="{90BE928E-0E4D-4A66-9DBA-00673F43CA22}"/>
</file>

<file path=customXml/itemProps4.xml><?xml version="1.0" encoding="utf-8"?>
<ds:datastoreItem xmlns:ds="http://schemas.openxmlformats.org/officeDocument/2006/customXml" ds:itemID="{81B55D50-B8CE-435A-AA35-BAEC03180176}"/>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