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1933EC" w:rsidRPr="00170230" w:rsidP="001933EC" w14:paraId="3C4CDB13" w14:textId="77777777">
      <w:pPr>
        <w:spacing w:line="240" w:lineRule="atLeast"/>
        <w:jc w:val="center"/>
        <w:rPr>
          <w:rFonts w:ascii="Tahoma" w:hAnsi="Tahoma" w:cs="Tahoma"/>
          <w:szCs w:val="18"/>
        </w:rPr>
      </w:pPr>
      <w:r>
        <w:rPr>
          <w:rFonts w:ascii="Tahoma" w:hAnsi="Tahoma" w:cs="Tahoma"/>
          <w:noProof/>
          <w:szCs w:val="18"/>
        </w:rPr>
        <w:drawing>
          <wp:inline distT="0" distB="0" distL="0" distR="0">
            <wp:extent cx="658369" cy="810770"/>
            <wp:effectExtent l="0" t="0" r="8890" b="8890"/>
            <wp:docPr id="3" name="Picture 6" descr="סמל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33304" name="israel-blue.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1933EC" w:rsidRPr="00A10996" w:rsidP="001933EC" w14:paraId="6B7D33E1" w14:textId="77777777">
      <w:pPr>
        <w:spacing w:before="120"/>
        <w:jc w:val="center"/>
        <w:rPr>
          <w:rFonts w:ascii="Tahoma" w:hAnsi="Tahoma" w:cs="Tahoma"/>
          <w:sz w:val="28"/>
          <w:szCs w:val="28"/>
          <w:rtl/>
        </w:rPr>
      </w:pPr>
      <w:r w:rsidRPr="00A10996">
        <w:rPr>
          <w:rFonts w:ascii="Tahoma" w:hAnsi="Tahoma" w:cs="Tahoma"/>
          <w:sz w:val="28"/>
          <w:szCs w:val="28"/>
          <w:rtl/>
        </w:rPr>
        <w:t>מבקר המדינה</w:t>
      </w:r>
    </w:p>
    <w:p w:rsidR="001933EC" w:rsidP="001933EC" w14:paraId="3D3C1F9F" w14:textId="77777777">
      <w:pPr>
        <w:spacing w:before="1080" w:line="240" w:lineRule="auto"/>
        <w:jc w:val="center"/>
        <w:rPr>
          <w:rFonts w:ascii="Tahoma" w:hAnsi="Tahoma" w:cs="Tahoma"/>
          <w:color w:val="2A2AA6"/>
          <w:sz w:val="32"/>
          <w:szCs w:val="32"/>
        </w:rPr>
      </w:pPr>
    </w:p>
    <w:p w:rsidR="001933EC" w:rsidP="001933EC" w14:paraId="4695EB5B" w14:textId="77777777">
      <w:pPr>
        <w:spacing w:before="600" w:line="240" w:lineRule="auto"/>
        <w:jc w:val="center"/>
        <w:rPr>
          <w:rFonts w:ascii="Tahoma" w:hAnsi="Tahoma" w:cs="Tahoma"/>
          <w:color w:val="2A2AA6"/>
          <w:sz w:val="32"/>
          <w:szCs w:val="32"/>
          <w:rtl/>
        </w:rPr>
      </w:pPr>
      <w:r>
        <w:rPr>
          <w:rFonts w:ascii="Tahoma" w:hAnsi="Tahoma" w:cs="Tahoma"/>
          <w:color w:val="2A2AA6"/>
          <w:sz w:val="32"/>
          <w:szCs w:val="32"/>
          <w:rtl/>
        </w:rPr>
        <w:t>דוח שנתי 7</w:t>
      </w:r>
      <w:r>
        <w:rPr>
          <w:rFonts w:ascii="Tahoma" w:hAnsi="Tahoma" w:cs="Tahoma" w:hint="cs"/>
          <w:color w:val="2A2AA6"/>
          <w:sz w:val="32"/>
          <w:szCs w:val="32"/>
          <w:rtl/>
        </w:rPr>
        <w:t>1ב</w:t>
      </w:r>
    </w:p>
    <w:p w:rsidR="001933EC" w:rsidRPr="00815809" w:rsidP="001933EC" w14:paraId="0072DEAD" w14:textId="27DB4176">
      <w:pPr>
        <w:pStyle w:val="tab-name"/>
        <w:keepNext w:val="0"/>
        <w:spacing w:before="600" w:after="120" w:line="240" w:lineRule="exact"/>
        <w:jc w:val="center"/>
        <w:rPr>
          <w:rFonts w:eastAsiaTheme="minorHAnsi"/>
          <w:color w:val="2A2AA6"/>
          <w:sz w:val="44"/>
          <w:szCs w:val="44"/>
          <w:rtl/>
        </w:rPr>
      </w:pPr>
    </w:p>
    <w:p w:rsidR="001933EC" w:rsidP="001933EC" w14:paraId="51D53371" w14:textId="77777777">
      <w:pPr>
        <w:pStyle w:val="tab-name"/>
        <w:keepNext w:val="0"/>
        <w:spacing w:before="240" w:line="240" w:lineRule="atLeast"/>
        <w:jc w:val="center"/>
        <w:outlineLvl w:val="0"/>
        <w:rPr>
          <w:color w:val="2A2AA6"/>
          <w:sz w:val="52"/>
          <w:szCs w:val="52"/>
          <w:rtl/>
        </w:rPr>
      </w:pPr>
      <w:r w:rsidRPr="00780FCB">
        <w:rPr>
          <w:color w:val="2A2AA6"/>
          <w:sz w:val="52"/>
          <w:szCs w:val="52"/>
          <w:rtl/>
        </w:rPr>
        <w:t>המוכנות לשוק העבודה המשתנה</w:t>
      </w:r>
    </w:p>
    <w:p w:rsidR="001933EC" w:rsidP="001933EC" w14:paraId="7B23506A" w14:textId="77777777">
      <w:pPr>
        <w:spacing w:before="4320" w:line="720" w:lineRule="exact"/>
        <w:jc w:val="center"/>
        <w:rPr>
          <w:rFonts w:ascii="Tahoma" w:hAnsi="Tahoma" w:cs="Tahoma"/>
          <w:sz w:val="24"/>
          <w:rtl/>
        </w:rPr>
      </w:pPr>
    </w:p>
    <w:p w:rsidR="001933EC" w:rsidP="001933EC" w14:paraId="14D0DA10" w14:textId="77777777">
      <w:pPr>
        <w:spacing w:line="240" w:lineRule="atLeast"/>
        <w:jc w:val="center"/>
        <w:rPr>
          <w:rFonts w:ascii="Tahoma" w:hAnsi="Tahoma" w:cs="Tahoma"/>
          <w:sz w:val="22"/>
          <w:szCs w:val="22"/>
          <w:rtl/>
        </w:rPr>
      </w:pPr>
      <w:r>
        <w:rPr>
          <w:noProof/>
          <w:rtl/>
        </w:rPr>
        <w:drawing>
          <wp:inline distT="0" distB="0" distL="0" distR="0">
            <wp:extent cx="744855" cy="489585"/>
            <wp:effectExtent l="0" t="0" r="0" b="5715"/>
            <wp:docPr id="17" name="תמונה 15" descr="סמל משרד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69836" name="Picture 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44855" cy="489585"/>
                    </a:xfrm>
                    <a:prstGeom prst="rect">
                      <a:avLst/>
                    </a:prstGeom>
                    <a:noFill/>
                  </pic:spPr>
                </pic:pic>
              </a:graphicData>
            </a:graphic>
          </wp:inline>
        </w:drawing>
      </w:r>
    </w:p>
    <w:p w:rsidR="001933EC" w:rsidP="001933EC" w14:paraId="2B4A4C7D" w14:textId="66AE0456">
      <w:pPr>
        <w:spacing w:line="240" w:lineRule="auto"/>
        <w:jc w:val="center"/>
        <w:rPr>
          <w:rFonts w:ascii="Tahoma" w:hAnsi="Tahoma" w:cs="Tahoma"/>
          <w:sz w:val="22"/>
          <w:szCs w:val="22"/>
          <w:rtl/>
        </w:rPr>
      </w:pPr>
      <w:r>
        <w:rPr>
          <w:rFonts w:ascii="Tahoma" w:hAnsi="Tahoma" w:cs="Tahoma"/>
          <w:sz w:val="22"/>
          <w:szCs w:val="22"/>
          <w:rtl/>
        </w:rPr>
        <w:t xml:space="preserve">ירושלים, אדר </w:t>
      </w:r>
      <w:r>
        <w:rPr>
          <w:rFonts w:ascii="Tahoma" w:hAnsi="Tahoma" w:cs="Tahoma"/>
          <w:sz w:val="22"/>
          <w:szCs w:val="22"/>
          <w:rtl/>
        </w:rPr>
        <w:t>התש</w:t>
      </w:r>
      <w:r>
        <w:rPr>
          <w:rFonts w:ascii="Tahoma" w:hAnsi="Tahoma" w:cs="Tahoma" w:hint="cs"/>
          <w:sz w:val="22"/>
          <w:szCs w:val="22"/>
          <w:rtl/>
        </w:rPr>
        <w:t>פ"א</w:t>
      </w:r>
      <w:r>
        <w:rPr>
          <w:rFonts w:ascii="Tahoma" w:hAnsi="Tahoma" w:cs="Tahoma"/>
          <w:sz w:val="22"/>
          <w:szCs w:val="22"/>
          <w:rtl/>
        </w:rPr>
        <w:t>, מרץ 202</w:t>
      </w:r>
      <w:r>
        <w:rPr>
          <w:rFonts w:ascii="Tahoma" w:hAnsi="Tahoma" w:cs="Tahoma" w:hint="cs"/>
          <w:sz w:val="22"/>
          <w:szCs w:val="22"/>
          <w:rtl/>
        </w:rPr>
        <w:t>1</w:t>
      </w:r>
    </w:p>
    <w:p w:rsidR="001933EC" w:rsidP="001933EC" w14:paraId="3992A1BD" w14:textId="77777777">
      <w:pPr>
        <w:spacing w:line="240" w:lineRule="auto"/>
        <w:jc w:val="center"/>
        <w:rPr>
          <w:rFonts w:ascii="Tahoma" w:hAnsi="Tahoma" w:cs="Tahoma"/>
          <w:sz w:val="22"/>
          <w:szCs w:val="22"/>
          <w:rtl/>
        </w:rPr>
        <w:sectPr w:rsidSect="00A30705">
          <w:headerReference w:type="even" r:id="rId8"/>
          <w:headerReference w:type="default" r:id="rId9"/>
          <w:footerReference w:type="even" r:id="rId10"/>
          <w:footerReference w:type="default" r:id="rId11"/>
          <w:pgSz w:w="11906" w:h="16838" w:code="9"/>
          <w:pgMar w:top="2268" w:right="1985" w:bottom="2155" w:left="1701" w:header="1559" w:footer="709" w:gutter="0"/>
          <w:pgNumType w:start="1"/>
          <w:cols w:space="720"/>
          <w:titlePg/>
          <w:bidi/>
          <w:rtlGutter/>
          <w:docGrid w:linePitch="272"/>
        </w:sectPr>
      </w:pPr>
    </w:p>
    <w:p w:rsidR="001933EC" w:rsidP="001933EC" w14:paraId="3CE94EFA" w14:textId="5D87B0B3">
      <w:pPr>
        <w:spacing w:line="240" w:lineRule="auto"/>
        <w:jc w:val="center"/>
        <w:rPr>
          <w:rFonts w:ascii="Tahoma" w:hAnsi="Tahoma" w:cs="Tahoma"/>
          <w:sz w:val="22"/>
          <w:szCs w:val="22"/>
          <w:rtl/>
        </w:rPr>
      </w:pPr>
    </w:p>
    <w:p w:rsidR="001933EC" w:rsidP="001933EC" w14:paraId="5C65257C" w14:textId="77777777">
      <w:pPr>
        <w:bidi w:val="0"/>
        <w:spacing w:after="200" w:line="276" w:lineRule="auto"/>
        <w:rPr>
          <w:rFonts w:ascii="Tahoma" w:hAnsi="Tahoma" w:cs="Tahoma"/>
          <w:sz w:val="22"/>
          <w:szCs w:val="22"/>
          <w:rtl/>
        </w:rPr>
        <w:sectPr w:rsidSect="00A30705">
          <w:pgSz w:w="11906" w:h="16838" w:code="9"/>
          <w:pgMar w:top="2268" w:right="1985" w:bottom="2155" w:left="1701" w:header="1559" w:footer="709" w:gutter="0"/>
          <w:cols w:space="720"/>
          <w:titlePg/>
          <w:bidi/>
          <w:rtlGutter/>
          <w:docGrid w:linePitch="272"/>
        </w:sectPr>
      </w:pPr>
      <w:r>
        <w:rPr>
          <w:rFonts w:ascii="Tahoma" w:hAnsi="Tahoma" w:cs="Tahoma"/>
          <w:sz w:val="22"/>
          <w:szCs w:val="22"/>
          <w:rtl/>
        </w:rPr>
        <w:br w:type="page"/>
      </w:r>
    </w:p>
    <w:p w:rsidR="000F76A8" w:rsidRPr="00170230" w:rsidP="00482559" w14:paraId="32B3C35B" w14:textId="77777777">
      <w:pPr>
        <w:spacing w:line="240" w:lineRule="atLeast"/>
        <w:jc w:val="center"/>
        <w:rPr>
          <w:rFonts w:ascii="Tahoma" w:hAnsi="Tahoma" w:cs="Tahoma"/>
          <w:szCs w:val="18"/>
        </w:rPr>
      </w:pPr>
      <w:r>
        <w:rPr>
          <w:rFonts w:ascii="Tahoma" w:hAnsi="Tahoma" w:cs="Tahoma"/>
          <w:noProof/>
          <w:szCs w:val="18"/>
        </w:rPr>
        <w:drawing>
          <wp:inline distT="0" distB="0" distL="0" distR="0">
            <wp:extent cx="658369" cy="810770"/>
            <wp:effectExtent l="0" t="0" r="8890" b="889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5255" name="israel-blue.1.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0F76A8" w:rsidRPr="00A10996" w:rsidP="00482559" w14:paraId="355A3D32" w14:textId="77777777">
      <w:pPr>
        <w:spacing w:before="120"/>
        <w:jc w:val="center"/>
        <w:rPr>
          <w:rFonts w:ascii="Tahoma" w:hAnsi="Tahoma" w:cs="Tahoma"/>
          <w:sz w:val="28"/>
          <w:szCs w:val="28"/>
          <w:rtl/>
        </w:rPr>
      </w:pPr>
      <w:r w:rsidRPr="00A10996">
        <w:rPr>
          <w:rFonts w:ascii="Tahoma" w:hAnsi="Tahoma" w:cs="Tahoma"/>
          <w:sz w:val="28"/>
          <w:szCs w:val="28"/>
          <w:rtl/>
        </w:rPr>
        <w:t>מבקר המדינה</w:t>
      </w:r>
    </w:p>
    <w:p w:rsidR="00084E3A" w:rsidP="008D2388" w14:paraId="61EA7769" w14:textId="77777777">
      <w:pPr>
        <w:spacing w:before="1080" w:line="240" w:lineRule="auto"/>
        <w:jc w:val="center"/>
        <w:rPr>
          <w:rFonts w:ascii="Tahoma" w:hAnsi="Tahoma" w:cs="Tahoma"/>
          <w:color w:val="2A2AA6"/>
          <w:sz w:val="32"/>
          <w:szCs w:val="32"/>
        </w:rPr>
      </w:pPr>
    </w:p>
    <w:p w:rsidR="00084E3A" w:rsidP="00084E3A" w14:paraId="7AF3E596" w14:textId="6EC9E21B">
      <w:pPr>
        <w:spacing w:before="600" w:line="240" w:lineRule="auto"/>
        <w:jc w:val="center"/>
        <w:rPr>
          <w:rFonts w:ascii="Tahoma" w:hAnsi="Tahoma" w:cs="Tahoma"/>
          <w:color w:val="2A2AA6"/>
          <w:sz w:val="32"/>
          <w:szCs w:val="32"/>
          <w:rtl/>
        </w:rPr>
      </w:pPr>
      <w:r>
        <w:rPr>
          <w:rFonts w:ascii="Tahoma" w:hAnsi="Tahoma" w:cs="Tahoma"/>
          <w:color w:val="2A2AA6"/>
          <w:sz w:val="32"/>
          <w:szCs w:val="32"/>
          <w:rtl/>
        </w:rPr>
        <w:t>דוח שנתי 7</w:t>
      </w:r>
      <w:r w:rsidR="008603E7">
        <w:rPr>
          <w:rFonts w:ascii="Tahoma" w:hAnsi="Tahoma" w:cs="Tahoma" w:hint="cs"/>
          <w:color w:val="2A2AA6"/>
          <w:sz w:val="32"/>
          <w:szCs w:val="32"/>
          <w:rtl/>
        </w:rPr>
        <w:t>1ב</w:t>
      </w:r>
    </w:p>
    <w:p w:rsidR="00084E3A" w:rsidRPr="00154682" w:rsidP="00154682" w14:paraId="79BBA1A7" w14:textId="216B20B0">
      <w:pPr>
        <w:pStyle w:val="tab-name"/>
        <w:keepNext w:val="0"/>
        <w:spacing w:before="120" w:line="240" w:lineRule="exact"/>
        <w:jc w:val="center"/>
        <w:rPr>
          <w:rFonts w:eastAsiaTheme="minorHAnsi"/>
          <w:color w:val="2A2AA6"/>
          <w:sz w:val="24"/>
          <w:szCs w:val="24"/>
          <w:rtl/>
        </w:rPr>
      </w:pPr>
      <w:r w:rsidRPr="008603E7">
        <w:rPr>
          <w:rFonts w:eastAsiaTheme="minorHAnsi"/>
          <w:color w:val="2A2AA6"/>
          <w:sz w:val="24"/>
          <w:szCs w:val="24"/>
          <w:rtl/>
        </w:rPr>
        <w:t>המוכנות לשוק העבודה המשתנה</w:t>
      </w:r>
    </w:p>
    <w:p w:rsidR="00084E3A" w:rsidP="008D2388" w14:paraId="2E356EBE" w14:textId="3739F51C">
      <w:pPr>
        <w:pStyle w:val="tab-name"/>
        <w:keepNext w:val="0"/>
        <w:spacing w:before="360" w:line="240" w:lineRule="atLeast"/>
        <w:jc w:val="center"/>
        <w:outlineLvl w:val="0"/>
        <w:rPr>
          <w:color w:val="2A2AA6"/>
          <w:sz w:val="52"/>
          <w:szCs w:val="52"/>
          <w:rtl/>
        </w:rPr>
      </w:pPr>
      <w:r w:rsidRPr="00973C29">
        <w:rPr>
          <w:color w:val="2A2AA6"/>
          <w:sz w:val="52"/>
          <w:szCs w:val="52"/>
          <w:rtl/>
        </w:rPr>
        <w:t>מבוא כללי למקבץ הדוחות</w:t>
      </w:r>
    </w:p>
    <w:p w:rsidR="00084E3A" w:rsidP="00084E3A" w14:paraId="52E6383A" w14:textId="77777777">
      <w:pPr>
        <w:spacing w:before="4000" w:line="720" w:lineRule="exact"/>
        <w:jc w:val="center"/>
        <w:rPr>
          <w:rFonts w:ascii="Tahoma" w:hAnsi="Tahoma" w:cs="Tahoma"/>
          <w:sz w:val="24"/>
          <w:rtl/>
        </w:rPr>
      </w:pPr>
    </w:p>
    <w:p w:rsidR="00084E3A" w:rsidP="008D2388" w14:paraId="6507F4AA" w14:textId="77777777">
      <w:pPr>
        <w:spacing w:line="240" w:lineRule="atLeast"/>
        <w:jc w:val="center"/>
        <w:rPr>
          <w:rFonts w:ascii="Tahoma" w:hAnsi="Tahoma" w:cs="Tahoma"/>
          <w:sz w:val="22"/>
          <w:szCs w:val="22"/>
          <w:rtl/>
        </w:rPr>
      </w:pPr>
      <w:r>
        <w:rPr>
          <w:noProof/>
          <w:rtl/>
        </w:rPr>
        <w:drawing>
          <wp:inline distT="0" distB="0" distL="0" distR="0">
            <wp:extent cx="744855" cy="489585"/>
            <wp:effectExtent l="0" t="0" r="0" b="571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098854" name="Picture 1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744855" cy="489585"/>
                    </a:xfrm>
                    <a:prstGeom prst="rect">
                      <a:avLst/>
                    </a:prstGeom>
                    <a:noFill/>
                  </pic:spPr>
                </pic:pic>
              </a:graphicData>
            </a:graphic>
          </wp:inline>
        </w:drawing>
      </w:r>
    </w:p>
    <w:p w:rsidR="00084E3A" w:rsidP="00084E3A" w14:paraId="7D4217AA" w14:textId="77777777">
      <w:pPr>
        <w:spacing w:line="240" w:lineRule="auto"/>
        <w:jc w:val="center"/>
        <w:rPr>
          <w:rFonts w:ascii="Tahoma" w:hAnsi="Tahoma" w:cs="Tahoma"/>
          <w:sz w:val="22"/>
          <w:szCs w:val="22"/>
          <w:rtl/>
        </w:rPr>
      </w:pPr>
    </w:p>
    <w:p w:rsidR="00F62588" w:rsidP="00084E3A" w14:paraId="6B92C2E6" w14:textId="56B4649E">
      <w:pPr>
        <w:spacing w:line="240" w:lineRule="auto"/>
        <w:jc w:val="center"/>
        <w:rPr>
          <w:rFonts w:ascii="Tahoma" w:hAnsi="Tahoma" w:cs="Tahoma"/>
          <w:sz w:val="22"/>
          <w:szCs w:val="22"/>
          <w:rtl/>
        </w:rPr>
      </w:pPr>
      <w:r>
        <w:rPr>
          <w:rFonts w:ascii="Tahoma" w:hAnsi="Tahoma" w:cs="Tahoma"/>
          <w:sz w:val="22"/>
          <w:szCs w:val="22"/>
          <w:rtl/>
        </w:rPr>
        <w:t xml:space="preserve">ירושלים, אדר </w:t>
      </w:r>
      <w:r>
        <w:rPr>
          <w:rFonts w:ascii="Tahoma" w:hAnsi="Tahoma" w:cs="Tahoma"/>
          <w:sz w:val="22"/>
          <w:szCs w:val="22"/>
          <w:rtl/>
        </w:rPr>
        <w:t>התש</w:t>
      </w:r>
      <w:r w:rsidR="00140F99">
        <w:rPr>
          <w:rFonts w:ascii="Tahoma" w:hAnsi="Tahoma" w:cs="Tahoma" w:hint="cs"/>
          <w:sz w:val="22"/>
          <w:szCs w:val="22"/>
          <w:rtl/>
        </w:rPr>
        <w:t>פ"א</w:t>
      </w:r>
      <w:r>
        <w:rPr>
          <w:rFonts w:ascii="Tahoma" w:hAnsi="Tahoma" w:cs="Tahoma"/>
          <w:sz w:val="22"/>
          <w:szCs w:val="22"/>
          <w:rtl/>
        </w:rPr>
        <w:t>, מרץ 202</w:t>
      </w:r>
      <w:r w:rsidR="00140F99">
        <w:rPr>
          <w:rFonts w:ascii="Tahoma" w:hAnsi="Tahoma" w:cs="Tahoma" w:hint="cs"/>
          <w:sz w:val="22"/>
          <w:szCs w:val="22"/>
          <w:rtl/>
        </w:rPr>
        <w:t>1</w:t>
      </w:r>
    </w:p>
    <w:p w:rsidR="00DE6C5F" w14:paraId="784BF25A" w14:textId="77777777">
      <w:pPr>
        <w:bidi w:val="0"/>
        <w:spacing w:after="200" w:line="276" w:lineRule="auto"/>
        <w:rPr>
          <w:rFonts w:ascii="Tahoma" w:hAnsi="Tahoma" w:cs="Tahoma"/>
          <w:sz w:val="22"/>
          <w:szCs w:val="22"/>
          <w:rtl/>
        </w:rPr>
        <w:sectPr w:rsidSect="00F62588">
          <w:headerReference w:type="default" r:id="rId12"/>
          <w:pgSz w:w="11906" w:h="16838" w:code="9"/>
          <w:pgMar w:top="2268" w:right="1985" w:bottom="2155" w:left="1701" w:header="1559" w:footer="709" w:gutter="0"/>
          <w:cols w:space="720"/>
          <w:titlePg/>
          <w:bidi/>
          <w:rtlGutter/>
          <w:docGrid w:linePitch="272"/>
        </w:sectPr>
      </w:pPr>
      <w:r>
        <w:rPr>
          <w:rFonts w:ascii="Tahoma" w:hAnsi="Tahoma" w:cs="Tahoma"/>
          <w:sz w:val="22"/>
          <w:szCs w:val="22"/>
          <w:rtl/>
        </w:rPr>
        <w:br w:type="page"/>
      </w:r>
    </w:p>
    <w:p w:rsidR="00327593" w:rsidP="00327593" w14:paraId="3D56EB2C" w14:textId="77777777">
      <w:pPr>
        <w:spacing w:after="200" w:line="276" w:lineRule="auto"/>
        <w:rPr>
          <w:rFonts w:ascii="Tahoma" w:hAnsi="Tahoma" w:cs="Tahoma"/>
          <w:sz w:val="22"/>
          <w:szCs w:val="22"/>
        </w:rPr>
      </w:pPr>
    </w:p>
    <w:p w:rsidR="00084E3A" w:rsidP="00084E3A" w14:paraId="4A88C9A1" w14:textId="77777777">
      <w:pPr>
        <w:bidi w:val="0"/>
        <w:spacing w:line="240" w:lineRule="auto"/>
        <w:jc w:val="left"/>
        <w:rPr>
          <w:rFonts w:ascii="Tahoma" w:hAnsi="Tahoma" w:cs="Tahoma"/>
          <w:sz w:val="22"/>
          <w:szCs w:val="22"/>
          <w:rtl/>
        </w:rPr>
        <w:sectPr w:rsidSect="00140F99">
          <w:pgSz w:w="11906" w:h="16838" w:code="9"/>
          <w:pgMar w:top="2268" w:right="1985" w:bottom="2155" w:left="1701" w:header="709" w:footer="709" w:gutter="0"/>
          <w:cols w:space="720"/>
          <w:titlePg/>
          <w:bidi/>
          <w:rtlGutter/>
          <w:docGrid w:linePitch="272"/>
        </w:sectPr>
      </w:pPr>
    </w:p>
    <w:p w:rsidR="008603E7" w:rsidRPr="00092852" w:rsidP="00092852" w14:paraId="4127810A" w14:textId="77777777">
      <w:pPr>
        <w:pStyle w:val="10"/>
        <w:rPr>
          <w:rtl/>
        </w:rPr>
      </w:pPr>
      <w:r w:rsidRPr="00092852">
        <w:rPr>
          <w:rtl/>
        </w:rPr>
        <w:t>המוכנות לשוק העבודה המשתנה</w:t>
      </w:r>
    </w:p>
    <w:p w:rsidR="008603E7" w:rsidRPr="00092852" w:rsidP="00092852" w14:paraId="238E46BC" w14:textId="0C94AE15">
      <w:pPr>
        <w:pStyle w:val="2"/>
        <w:rPr>
          <w:rtl/>
        </w:rPr>
      </w:pPr>
      <w:r w:rsidRPr="00973C29">
        <w:rPr>
          <w:rtl/>
        </w:rPr>
        <w:t>מבוא כללי למקבץ הדוחות</w:t>
      </w:r>
    </w:p>
    <w:p w:rsidR="008603E7" w:rsidRPr="00140F99" w:rsidP="001D3A6C" w14:paraId="243C5591" w14:textId="77777777">
      <w:pPr>
        <w:pStyle w:val="a5"/>
        <w:spacing w:after="120" w:line="280" w:lineRule="atLeast"/>
        <w:rPr>
          <w:rFonts w:ascii="Tahoma" w:hAnsi="Tahoma" w:cs="Tahoma"/>
          <w:color w:val="000000" w:themeColor="text1"/>
          <w:sz w:val="20"/>
          <w:szCs w:val="20"/>
          <w:rtl/>
        </w:rPr>
      </w:pPr>
      <w:r w:rsidRPr="001D3A6C">
        <w:rPr>
          <w:rStyle w:val="a4"/>
          <w:rFonts w:ascii="Tahoma" w:hAnsi="Tahoma" w:cs="Tahoma"/>
          <w:b/>
          <w:bCs/>
          <w:color w:val="000000" w:themeColor="text1"/>
          <w:sz w:val="20"/>
          <w:szCs w:val="20"/>
          <w:rtl/>
        </w:rPr>
        <w:t>האתגר העולמי:</w:t>
      </w:r>
      <w:r w:rsidRPr="00140F99">
        <w:rPr>
          <w:rFonts w:ascii="Tahoma" w:hAnsi="Tahoma" w:cs="Tahoma"/>
          <w:color w:val="000000" w:themeColor="text1"/>
          <w:sz w:val="20"/>
          <w:szCs w:val="20"/>
          <w:rtl/>
        </w:rPr>
        <w:t xml:space="preserve"> ברחבי העולם מתרחשים בשוק העבודה שינויים גדולים ומהירים ביותר, בין היתר כחלק ממציאות חדשה שיש המכנים אותה "המהפכה התעשייתית הרביעית", שבה השינוי הוא דבר קבוע ושיבוש הוא נורמלי. המהפכה מתאפיינת בשילובים חדשים בין טכנולוגיות מהעולם הפיזיקלי, הביולוגי והדיגיטלי, וכן במהירות, היקף והשפעה ללא תקדים</w:t>
      </w:r>
      <w:r>
        <w:rPr>
          <w:rFonts w:ascii="Tahoma" w:hAnsi="Tahoma" w:cs="Tahoma"/>
          <w:color w:val="000000" w:themeColor="text1"/>
          <w:sz w:val="20"/>
          <w:szCs w:val="20"/>
          <w:vertAlign w:val="superscript"/>
          <w:rtl/>
        </w:rPr>
        <w:footnoteReference w:id="2"/>
      </w:r>
      <w:r w:rsidRPr="00140F99">
        <w:rPr>
          <w:rFonts w:ascii="Tahoma" w:hAnsi="Tahoma" w:cs="Tahoma"/>
          <w:color w:val="000000" w:themeColor="text1"/>
          <w:sz w:val="20"/>
          <w:szCs w:val="20"/>
          <w:rtl/>
        </w:rPr>
        <w:t>. מגמות אלה מצטרפות לתהליכים חברתיים וכלכליים אחרים המשפיעים על עולם העבודה:</w:t>
      </w:r>
    </w:p>
    <w:p w:rsidR="008603E7" w:rsidRPr="00140F99" w:rsidP="00973C29" w14:paraId="39AB6927" w14:textId="77777777">
      <w:pPr>
        <w:pStyle w:val="a1"/>
        <w:spacing w:before="240"/>
        <w:rPr>
          <w:rtl/>
        </w:rPr>
      </w:pPr>
      <w:r w:rsidRPr="00140F99">
        <w:rPr>
          <w:color w:val="365F91"/>
          <w:rtl/>
        </w:rPr>
        <w:t>תרשים 1: שינויים בשוק העבודה והדרישות המשתנות מעובדים</w:t>
      </w:r>
    </w:p>
    <w:p w:rsidR="008603E7" w:rsidRPr="00092852" w:rsidP="00092852" w14:paraId="7FEDCFF6" w14:textId="278EC4C4">
      <w:pPr>
        <w:spacing w:after="120"/>
        <w:jc w:val="center"/>
        <w:rPr>
          <w:rFonts w:ascii="Tahoma" w:hAnsi="Tahoma" w:cs="Tahoma"/>
          <w:b/>
          <w:bCs/>
          <w:sz w:val="16"/>
          <w:szCs w:val="20"/>
          <w:rtl/>
          <w:lang w:eastAsia="he-IL"/>
        </w:rPr>
      </w:pPr>
      <w:r>
        <w:rPr>
          <w:rFonts w:ascii="Tahoma" w:hAnsi="Tahoma" w:cs="Tahoma"/>
          <w:b/>
          <w:bCs/>
          <w:noProof/>
          <w:sz w:val="16"/>
          <w:szCs w:val="20"/>
          <w:rtl/>
          <w:lang w:val="he-IL" w:eastAsia="he-IL"/>
        </w:rPr>
        <w:drawing>
          <wp:inline distT="0" distB="0" distL="0" distR="0">
            <wp:extent cx="4320000" cy="196571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14097" name="Picture 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4320000" cy="1965714"/>
                    </a:xfrm>
                    <a:prstGeom prst="rect">
                      <a:avLst/>
                    </a:prstGeom>
                  </pic:spPr>
                </pic:pic>
              </a:graphicData>
            </a:graphic>
          </wp:inline>
        </w:drawing>
      </w:r>
    </w:p>
    <w:p w:rsidR="008603E7" w:rsidRPr="00140F99" w:rsidP="00140F99" w14:paraId="6150058E" w14:textId="77777777">
      <w:pPr>
        <w:pStyle w:val="text-source"/>
        <w:rPr>
          <w:rtl/>
        </w:rPr>
      </w:pPr>
      <w:r w:rsidRPr="00140F99">
        <w:rPr>
          <w:color w:val="000000" w:themeColor="text1"/>
          <w:rtl/>
        </w:rPr>
        <w:t>על פי מידע מה-</w:t>
      </w:r>
      <w:r w:rsidRPr="00140F99">
        <w:rPr>
          <w:color w:val="000000" w:themeColor="text1"/>
        </w:rPr>
        <w:t>OECD</w:t>
      </w:r>
      <w:r w:rsidRPr="00140F99">
        <w:rPr>
          <w:color w:val="000000" w:themeColor="text1"/>
          <w:spacing w:val="-51"/>
          <w:rtl/>
        </w:rPr>
        <w:t xml:space="preserve"> </w:t>
      </w:r>
      <w:r>
        <w:rPr>
          <w:color w:val="000000" w:themeColor="text1"/>
          <w:vertAlign w:val="superscript"/>
          <w:rtl/>
        </w:rPr>
        <w:footnoteReference w:id="3"/>
      </w:r>
      <w:r w:rsidRPr="00140F99">
        <w:rPr>
          <w:color w:val="000000" w:themeColor="text1"/>
          <w:rtl/>
        </w:rPr>
        <w:t>, בעיבוד משרד מבקר המדינה.</w:t>
      </w:r>
    </w:p>
    <w:p w:rsidR="008603E7" w:rsidRPr="00140F99" w:rsidP="001D3A6C" w14:paraId="55F1F5B9" w14:textId="77777777">
      <w:pPr>
        <w:pStyle w:val="a5"/>
        <w:spacing w:after="120" w:line="280" w:lineRule="atLeast"/>
        <w:rPr>
          <w:rFonts w:ascii="Tahoma" w:hAnsi="Tahoma" w:cs="Tahoma"/>
          <w:color w:val="000000" w:themeColor="text1"/>
          <w:sz w:val="20"/>
          <w:szCs w:val="20"/>
          <w:rtl/>
        </w:rPr>
      </w:pPr>
      <w:r w:rsidRPr="00140F99">
        <w:rPr>
          <w:rFonts w:ascii="Tahoma" w:hAnsi="Tahoma" w:cs="Tahoma"/>
          <w:color w:val="000000" w:themeColor="text1"/>
          <w:sz w:val="20"/>
          <w:szCs w:val="20"/>
          <w:rtl/>
        </w:rPr>
        <w:t>השינויים בשוק העבודה מתבטאים, בין היתר, בשינוי התפקידים הדרושים בו ולאור זאת בשינויים בידע, בכישורים ובמיומנויות הנדרשים מעובדים</w:t>
      </w:r>
      <w:r>
        <w:rPr>
          <w:rFonts w:ascii="Tahoma" w:hAnsi="Tahoma" w:cs="Tahoma"/>
          <w:color w:val="000000" w:themeColor="text1"/>
          <w:sz w:val="20"/>
          <w:szCs w:val="20"/>
          <w:vertAlign w:val="superscript"/>
          <w:rtl/>
        </w:rPr>
        <w:footnoteReference w:id="4"/>
      </w:r>
      <w:r w:rsidRPr="00140F99">
        <w:rPr>
          <w:rFonts w:ascii="Tahoma" w:hAnsi="Tahoma" w:cs="Tahoma"/>
          <w:color w:val="000000" w:themeColor="text1"/>
          <w:sz w:val="20"/>
          <w:szCs w:val="20"/>
          <w:rtl/>
        </w:rPr>
        <w:t xml:space="preserve">. על פי מחקרים, תפקידים ופעילויות </w:t>
      </w:r>
      <w:r w:rsidRPr="00140F99">
        <w:rPr>
          <w:rFonts w:ascii="Tahoma" w:hAnsi="Tahoma" w:cs="Tahoma"/>
          <w:color w:val="000000" w:themeColor="text1"/>
          <w:sz w:val="20"/>
          <w:szCs w:val="20"/>
          <w:rtl/>
        </w:rPr>
        <w:t>שניתן להחליפם בפעולה ממוכנת (של מכונה, מחשב, רובוט או בינה מלאכותית) צפויים להתמעט. לפיכך, פעולות רוטיניות שהיו חלק מתפקידי העובדים ייפסקו, ולעומתן יתווספו פעולות המחייבות עבודה עם טכנולוגיה או כאלה הכרוכות במובהק ב"תכונות אנושיות" (כגון יצירתיות ויכולות חברתיות). במסגרת זו עלולים להיעלם כליל מקצועות כגון נהגים, מנופאים, חשבים, עובדי מכירות טלפוניות, סוכני נסיעות, פקידי מזכירות והזנת נתונים; ומקצועות חדשים ייווצרו.</w:t>
      </w:r>
    </w:p>
    <w:p w:rsidR="008603E7" w:rsidRPr="00140F99" w:rsidP="00140F99" w14:paraId="3E6C8B94" w14:textId="1F422A31">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ארגון ה-</w:t>
      </w:r>
      <w:r w:rsidRPr="00140F99">
        <w:rPr>
          <w:rFonts w:ascii="Tahoma" w:hAnsi="Tahoma" w:cs="Tahoma"/>
          <w:color w:val="000000" w:themeColor="text1"/>
          <w:sz w:val="20"/>
          <w:szCs w:val="20"/>
        </w:rPr>
        <w:t>OECD</w:t>
      </w:r>
      <w:r w:rsidRPr="00140F99">
        <w:rPr>
          <w:rFonts w:ascii="Tahoma" w:hAnsi="Tahoma" w:cs="Tahoma"/>
          <w:color w:val="000000" w:themeColor="text1"/>
          <w:sz w:val="20"/>
          <w:szCs w:val="20"/>
          <w:rtl/>
        </w:rPr>
        <w:t xml:space="preserve"> העריך ב-2018 כי כמחצית מהמשרות ברחבי העולם יכולות להשתנות משמעותית (עם שונות גדולה בין מדינות). התפקידים בסיכון הגבוה ביותר לאוטומציה הם אלה הדורשים השכלה בסיסית בלבד, ואלה שמועסקים בהם עובדים בעלי כישורים מועטים</w:t>
      </w:r>
      <w:r>
        <w:rPr>
          <w:rFonts w:ascii="Tahoma" w:hAnsi="Tahoma" w:cs="Tahoma"/>
          <w:color w:val="000000" w:themeColor="text1"/>
          <w:sz w:val="20"/>
          <w:szCs w:val="20"/>
          <w:vertAlign w:val="superscript"/>
          <w:rtl/>
        </w:rPr>
        <w:footnoteReference w:id="5"/>
      </w:r>
      <w:r w:rsidRPr="00140F99">
        <w:rPr>
          <w:rFonts w:ascii="Tahoma" w:hAnsi="Tahoma" w:cs="Tahoma"/>
          <w:color w:val="000000" w:themeColor="text1"/>
          <w:sz w:val="20"/>
          <w:szCs w:val="20"/>
          <w:rtl/>
        </w:rPr>
        <w:t xml:space="preserve">. עם זאת, קיים קושי להעריך את המגמות החברתיות, הפוליטיות והכלכליות שישפיעו על קצב אימוץ הטכנולוגיה ושינויי התפקידים. לפי הערכה משנת 2017, שינויים בקצב בינוני יגרמו לכ-15% משעות העבודה להתייתר עד </w:t>
      </w:r>
      <w:r w:rsidR="00973C29">
        <w:rPr>
          <w:rFonts w:ascii="Tahoma" w:hAnsi="Tahoma" w:cs="Tahoma" w:hint="cs"/>
          <w:color w:val="000000" w:themeColor="text1"/>
          <w:sz w:val="20"/>
          <w:szCs w:val="20"/>
          <w:rtl/>
        </w:rPr>
        <w:t>2030</w:t>
      </w:r>
      <w:r>
        <w:rPr>
          <w:rFonts w:ascii="Tahoma" w:hAnsi="Tahoma" w:cs="Tahoma"/>
          <w:color w:val="000000" w:themeColor="text1"/>
          <w:sz w:val="20"/>
          <w:szCs w:val="20"/>
          <w:vertAlign w:val="superscript"/>
          <w:rtl/>
        </w:rPr>
        <w:footnoteReference w:id="6"/>
      </w:r>
      <w:r w:rsidRPr="00140F99">
        <w:rPr>
          <w:rFonts w:ascii="Tahoma" w:hAnsi="Tahoma" w:cs="Tahoma"/>
          <w:color w:val="000000" w:themeColor="text1"/>
          <w:sz w:val="20"/>
          <w:szCs w:val="20"/>
          <w:rtl/>
        </w:rPr>
        <w:t>. נראה כי התפקידים החדשים שעשויים להיווצר יהיו ברמת מיומנות או באזורים גאוגרפיים שיקשו על מעבר פשוט של עובדים אליהם מתפקידים שהתייתרו</w:t>
      </w:r>
      <w:r>
        <w:rPr>
          <w:rFonts w:ascii="Tahoma" w:hAnsi="Tahoma" w:cs="Tahoma"/>
          <w:color w:val="000000" w:themeColor="text1"/>
          <w:sz w:val="20"/>
          <w:szCs w:val="20"/>
          <w:vertAlign w:val="superscript"/>
          <w:rtl/>
        </w:rPr>
        <w:footnoteReference w:id="7"/>
      </w:r>
      <w:r w:rsidRPr="00140F99">
        <w:rPr>
          <w:rFonts w:ascii="Tahoma" w:hAnsi="Tahoma" w:cs="Tahoma"/>
          <w:color w:val="000000" w:themeColor="text1"/>
          <w:sz w:val="20"/>
          <w:szCs w:val="20"/>
          <w:rtl/>
        </w:rPr>
        <w:t>. ההערכה במחקרים שונים היא כי המגמה הקיימת (המוצגת בתרשים שלהלן) - של דרישה פוחתת לכישורים פיזיים ודרישה גוברת לכישורים קוגניטיביים ברמה גבוהה ולכישורים דיגיטליים וטכנולוגיים - תימשך גם בעתיד:</w:t>
      </w:r>
    </w:p>
    <w:p w:rsidR="008603E7" w:rsidRPr="00140F99" w:rsidP="00140F99" w14:paraId="0640E8A8" w14:textId="77777777">
      <w:pPr>
        <w:pStyle w:val="a1"/>
        <w:rPr>
          <w:rStyle w:val="a4"/>
          <w:color w:val="365F91"/>
          <w:rtl/>
        </w:rPr>
      </w:pPr>
      <w:r w:rsidRPr="00140F99">
        <w:rPr>
          <w:rtl/>
        </w:rPr>
        <w:t>תרשים 2:</w:t>
      </w:r>
      <w:r w:rsidRPr="00140F99">
        <w:rPr>
          <w:rStyle w:val="a4"/>
          <w:color w:val="365F91"/>
          <w:rtl/>
        </w:rPr>
        <w:t xml:space="preserve"> השינויים הצפויים בדרישה לכישורי העובדים עד 2030</w:t>
      </w:r>
    </w:p>
    <w:p w:rsidR="008603E7" w:rsidRPr="00140F99" w:rsidP="00140F99" w14:paraId="032A18ED" w14:textId="10B0DC24">
      <w:pPr>
        <w:pStyle w:val="a1"/>
        <w:rPr>
          <w:rtl/>
        </w:rPr>
      </w:pPr>
      <w:r>
        <w:rPr>
          <w:noProof/>
          <w:rtl/>
          <w:lang w:val="he-IL"/>
        </w:rPr>
        <w:drawing>
          <wp:inline distT="0" distB="0" distL="0" distR="0">
            <wp:extent cx="4310857" cy="306285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73816" name="Picture 5"/>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4310857" cy="3062857"/>
                    </a:xfrm>
                    <a:prstGeom prst="rect">
                      <a:avLst/>
                    </a:prstGeom>
                  </pic:spPr>
                </pic:pic>
              </a:graphicData>
            </a:graphic>
          </wp:inline>
        </w:drawing>
      </w:r>
    </w:p>
    <w:p w:rsidR="008603E7" w:rsidRPr="00140F99" w:rsidP="00140F99" w14:paraId="010AEFCD" w14:textId="77777777">
      <w:pPr>
        <w:pStyle w:val="text-source"/>
        <w:rPr>
          <w:rtl/>
        </w:rPr>
      </w:pPr>
      <w:r w:rsidRPr="00140F99">
        <w:rPr>
          <w:color w:val="000000" w:themeColor="text1"/>
          <w:rtl/>
        </w:rPr>
        <w:t>על פי מידע מ-</w:t>
      </w:r>
      <w:r w:rsidRPr="00140F99">
        <w:rPr>
          <w:color w:val="000000" w:themeColor="text1"/>
        </w:rPr>
        <w:t>McKinsey Global Institute</w:t>
      </w:r>
      <w:r w:rsidRPr="00140F99">
        <w:rPr>
          <w:color w:val="000000" w:themeColor="text1"/>
          <w:spacing w:val="-51"/>
          <w:rtl/>
        </w:rPr>
        <w:t xml:space="preserve"> </w:t>
      </w:r>
      <w:r>
        <w:rPr>
          <w:color w:val="000000" w:themeColor="text1"/>
          <w:vertAlign w:val="superscript"/>
          <w:rtl/>
        </w:rPr>
        <w:footnoteReference w:id="8"/>
      </w:r>
      <w:r w:rsidRPr="00140F99">
        <w:rPr>
          <w:color w:val="000000" w:themeColor="text1"/>
          <w:rtl/>
        </w:rPr>
        <w:t>, בתרגום משרד מבקר המדינה.</w:t>
      </w:r>
    </w:p>
    <w:p w:rsidR="008603E7" w:rsidRPr="00140F99" w:rsidP="00140F99" w14:paraId="1B9E4BB1" w14:textId="77777777">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השינויים בתפקידים ובכישורים יוצרים אתגר ברחבי העולם המפותח, שללא התמודדות עימו אנשים רבים מאוד (ילדים, נוער ומבוגרים) - בעיקר משכבות חלשות ובעלי כישורים מועטים - עלולים שלא להשתלב בשוק העבודה או להיפלט ממנו. הדבר עלול בתורו להוביל להרחבת הפערים החברתיים ולהגדלת שיעורי העוני. מבחינת המשק, ענפים רווחיים ומתקדמים כגון תחום ההיי-טק יתקשו לגדול ללא היצע רחב דיו של עובדים בעלי כישורים מתאימים, והצמיחה הכלכלית עלולה להיפגע.</w:t>
      </w:r>
    </w:p>
    <w:p w:rsidR="008603E7" w:rsidRPr="00140F99" w:rsidP="00140F99" w14:paraId="22CA82F7" w14:textId="77777777">
      <w:pPr>
        <w:pStyle w:val="a5"/>
        <w:spacing w:after="120"/>
        <w:rPr>
          <w:rFonts w:ascii="Tahoma" w:hAnsi="Tahoma" w:cs="Tahoma"/>
          <w:color w:val="000000" w:themeColor="text1"/>
          <w:sz w:val="20"/>
          <w:szCs w:val="20"/>
          <w:rtl/>
        </w:rPr>
      </w:pPr>
      <w:r w:rsidRPr="00E8021E">
        <w:rPr>
          <w:rStyle w:val="a4"/>
          <w:rFonts w:ascii="Tahoma" w:hAnsi="Tahoma" w:cs="Tahoma"/>
          <w:b/>
          <w:bCs/>
          <w:color w:val="000000" w:themeColor="text1"/>
          <w:sz w:val="20"/>
          <w:szCs w:val="20"/>
          <w:rtl/>
        </w:rPr>
        <w:t>האתגר הישראלי:</w:t>
      </w:r>
      <w:r w:rsidRPr="00140F99">
        <w:rPr>
          <w:rFonts w:ascii="Tahoma" w:hAnsi="Tahoma" w:cs="Tahoma"/>
          <w:color w:val="000000" w:themeColor="text1"/>
          <w:sz w:val="20"/>
          <w:szCs w:val="20"/>
          <w:rtl/>
        </w:rPr>
        <w:t xml:space="preserve"> שוק התעסוקה הישראלי משתנה גם הוא, ולישראל כמה מאפיינים ייחודיים המדגישים את הצורך בהשקעה בהתאמת מיומנויותיהם ומוכנותם של התלמידים במערכת החינוך - העובדים העתידיים - וכן של עובדים נוכחיים לשינויים בשוק העבודה: </w:t>
      </w:r>
    </w:p>
    <w:p w:rsidR="008603E7" w:rsidRPr="00140F99" w:rsidP="00140F99" w14:paraId="2E3B6082" w14:textId="77777777">
      <w:pPr>
        <w:pStyle w:val="a1"/>
        <w:rPr>
          <w:spacing w:val="-2"/>
          <w:w w:val="95"/>
          <w:rtl/>
        </w:rPr>
      </w:pPr>
      <w:r w:rsidRPr="00140F99">
        <w:rPr>
          <w:spacing w:val="-2"/>
          <w:w w:val="95"/>
          <w:rtl/>
        </w:rPr>
        <w:t>תרשים 3: מאפייני שוק העבודה הישראלי המשפיעים על המוכנות לשינויים</w:t>
      </w:r>
    </w:p>
    <w:p w:rsidR="008603E7" w:rsidRPr="00140F99" w:rsidP="00140F99" w14:paraId="36F233F1" w14:textId="5A0FC8C6">
      <w:pPr>
        <w:pStyle w:val="a1"/>
        <w:rPr>
          <w:rtl/>
        </w:rPr>
      </w:pPr>
      <w:r>
        <w:rPr>
          <w:noProof/>
          <w:rtl/>
          <w:lang w:val="he-IL"/>
        </w:rPr>
        <w:drawing>
          <wp:inline distT="0" distB="0" distL="0" distR="0">
            <wp:extent cx="4320000" cy="1577143"/>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068080" name="Picture 6"/>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4320000" cy="1577143"/>
                    </a:xfrm>
                    <a:prstGeom prst="rect">
                      <a:avLst/>
                    </a:prstGeom>
                  </pic:spPr>
                </pic:pic>
              </a:graphicData>
            </a:graphic>
          </wp:inline>
        </w:drawing>
      </w:r>
    </w:p>
    <w:p w:rsidR="008603E7" w:rsidRPr="00140F99" w:rsidP="00140F99" w14:paraId="04BF80CB" w14:textId="77777777">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כבשאר העולם גם בישראל שיעור לא-מבוטל של משרות המצויות בסיכון להשתנות או להיעלמות: לפי ניתוח מ-2019 בדבר הסיכון למחשוב משרות בישראל, ההערכה היא שכ-600,000 עובדים מועסקים במשרות שהן ברמת סיכון גבוהה, המעידה שהמשרה צפויה לעבור שינוי מהותי בשנים הקרובות (כ-15% מהמשרות). כמו כן, יותר מ-2.1 מיליון עובדים מועסקים במשרות שהן ברמת סיכון בינונית (כ-54% מהמשרות), בדומה לממוצע במדינות ה-</w:t>
      </w:r>
      <w:r w:rsidRPr="00140F99">
        <w:rPr>
          <w:rFonts w:ascii="Tahoma" w:hAnsi="Tahoma" w:cs="Tahoma"/>
          <w:color w:val="000000" w:themeColor="text1"/>
          <w:sz w:val="20"/>
          <w:szCs w:val="20"/>
        </w:rPr>
        <w:t>OECD</w:t>
      </w:r>
      <w:r w:rsidRPr="00140F99">
        <w:rPr>
          <w:rFonts w:ascii="Tahoma" w:hAnsi="Tahoma" w:cs="Tahoma"/>
          <w:color w:val="000000" w:themeColor="text1"/>
          <w:sz w:val="20"/>
          <w:szCs w:val="20"/>
          <w:rtl/>
        </w:rPr>
        <w:t>. במחקר נמצא כי מאפיין מרכזי של רבות מהמשרות המצויות בסיכון בישראל הוא שלא נדרשת בהן השכלה גבוהה, ובחלק גדול מהן אף לא נדרשת השכלה פורמלית כלל. משרות אלה, המאופיינות בשכר שעתי נמוך, הן בכמה ענפים עיקריים</w:t>
      </w:r>
      <w:r>
        <w:rPr>
          <w:rFonts w:ascii="Tahoma" w:hAnsi="Tahoma" w:cs="Tahoma"/>
          <w:color w:val="000000" w:themeColor="text1"/>
          <w:sz w:val="20"/>
          <w:szCs w:val="20"/>
          <w:vertAlign w:val="superscript"/>
          <w:rtl/>
        </w:rPr>
        <w:footnoteReference w:id="9"/>
      </w:r>
      <w:r w:rsidRPr="00140F99">
        <w:rPr>
          <w:rFonts w:ascii="Tahoma" w:hAnsi="Tahoma" w:cs="Tahoma"/>
          <w:color w:val="000000" w:themeColor="text1"/>
          <w:sz w:val="20"/>
          <w:szCs w:val="20"/>
          <w:rtl/>
        </w:rPr>
        <w:t xml:space="preserve">, כמתואר בתרשים שלהלן: </w:t>
      </w:r>
    </w:p>
    <w:p w:rsidR="008603E7" w:rsidRPr="00140F99" w:rsidP="00140F99" w14:paraId="79E7D9E3" w14:textId="77777777">
      <w:pPr>
        <w:pStyle w:val="a1"/>
        <w:rPr>
          <w:rtl/>
        </w:rPr>
      </w:pPr>
      <w:r w:rsidRPr="00140F99">
        <w:rPr>
          <w:rtl/>
        </w:rPr>
        <w:t xml:space="preserve">תרשים 4: התפלגות המשרות בישראל לפי רמת סיכון לאוטומציה </w:t>
      </w:r>
      <w:r w:rsidRPr="00140F99">
        <w:rPr>
          <w:rtl/>
        </w:rPr>
        <w:br/>
        <w:t>וענף כלכלי, 2015</w:t>
      </w:r>
    </w:p>
    <w:p w:rsidR="008603E7" w:rsidRPr="00140F99" w:rsidP="00140F99" w14:paraId="4E9EDA0B" w14:textId="4C5F7706">
      <w:pPr>
        <w:pStyle w:val="a1"/>
        <w:rPr>
          <w:rtl/>
        </w:rPr>
      </w:pPr>
      <w:r>
        <w:rPr>
          <w:noProof/>
          <w:rtl/>
          <w:lang w:val="he-IL"/>
        </w:rPr>
        <w:drawing>
          <wp:inline distT="0" distB="0" distL="0" distR="0">
            <wp:extent cx="4322073" cy="2471933"/>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65743"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471933"/>
                    </a:xfrm>
                    <a:prstGeom prst="rect">
                      <a:avLst/>
                    </a:prstGeom>
                  </pic:spPr>
                </pic:pic>
              </a:graphicData>
            </a:graphic>
          </wp:inline>
        </w:drawing>
      </w:r>
    </w:p>
    <w:p w:rsidR="008603E7" w:rsidRPr="00140F99" w:rsidP="00140F99" w14:paraId="3F1FA626" w14:textId="77777777">
      <w:pPr>
        <w:pStyle w:val="text-source"/>
        <w:rPr>
          <w:rtl/>
        </w:rPr>
      </w:pPr>
      <w:r w:rsidRPr="00140F99">
        <w:rPr>
          <w:color w:val="000000" w:themeColor="text1"/>
          <w:rtl/>
        </w:rPr>
        <w:t xml:space="preserve">המקור: מרכז </w:t>
      </w:r>
      <w:r w:rsidRPr="00140F99">
        <w:rPr>
          <w:color w:val="000000" w:themeColor="text1"/>
          <w:rtl/>
        </w:rPr>
        <w:t>טאוב</w:t>
      </w:r>
      <w:r>
        <w:rPr>
          <w:color w:val="000000" w:themeColor="text1"/>
          <w:vertAlign w:val="superscript"/>
          <w:rtl/>
        </w:rPr>
        <w:footnoteReference w:id="10"/>
      </w:r>
      <w:r w:rsidRPr="00140F99">
        <w:rPr>
          <w:color w:val="000000" w:themeColor="text1"/>
          <w:rtl/>
        </w:rPr>
        <w:t>, בעיבוד משרד מבקר המדינה.</w:t>
      </w:r>
    </w:p>
    <w:p w:rsidR="008603E7" w:rsidRPr="00140F99" w:rsidP="00092852" w14:paraId="3C35C497" w14:textId="77777777">
      <w:pPr>
        <w:pStyle w:val="a5"/>
        <w:spacing w:after="120" w:line="260" w:lineRule="atLeast"/>
        <w:rPr>
          <w:rFonts w:ascii="Tahoma" w:hAnsi="Tahoma" w:cs="Tahoma"/>
          <w:color w:val="000000" w:themeColor="text1"/>
          <w:sz w:val="20"/>
          <w:szCs w:val="20"/>
          <w:rtl/>
        </w:rPr>
      </w:pPr>
      <w:r w:rsidRPr="00140F99">
        <w:rPr>
          <w:rFonts w:ascii="Tahoma" w:hAnsi="Tahoma" w:cs="Tahoma"/>
          <w:color w:val="000000" w:themeColor="text1"/>
          <w:sz w:val="20"/>
          <w:szCs w:val="20"/>
          <w:rtl/>
        </w:rPr>
        <w:t>50% מבין המועסקים בישראל בשנת 2019 היו ללא תואר אקדמי או תעודת המשך אחרת, ורבים עבדו במשרות לא-מקצועיות</w:t>
      </w:r>
      <w:r>
        <w:rPr>
          <w:rFonts w:ascii="Tahoma" w:hAnsi="Tahoma" w:cs="Tahoma"/>
          <w:color w:val="000000" w:themeColor="text1"/>
          <w:sz w:val="20"/>
          <w:szCs w:val="20"/>
          <w:vertAlign w:val="superscript"/>
          <w:rtl/>
        </w:rPr>
        <w:footnoteReference w:id="11"/>
      </w:r>
      <w:r w:rsidRPr="00140F99">
        <w:rPr>
          <w:rFonts w:ascii="Tahoma" w:hAnsi="Tahoma" w:cs="Tahoma"/>
          <w:color w:val="000000" w:themeColor="text1"/>
          <w:sz w:val="20"/>
          <w:szCs w:val="20"/>
          <w:rtl/>
        </w:rPr>
        <w:t>. מכלול הנתונים מצביע על סיכון שאותם עובדים ייפלטו משוק העבודה.</w:t>
      </w:r>
    </w:p>
    <w:p w:rsidR="008603E7" w:rsidRPr="00140F99" w:rsidP="00092852" w14:paraId="75C3A4F3" w14:textId="77777777">
      <w:pPr>
        <w:pStyle w:val="a5"/>
        <w:spacing w:after="120" w:line="260" w:lineRule="atLeast"/>
        <w:rPr>
          <w:rFonts w:ascii="Tahoma" w:hAnsi="Tahoma" w:cs="Tahoma"/>
          <w:color w:val="000000" w:themeColor="text1"/>
          <w:sz w:val="20"/>
          <w:szCs w:val="20"/>
          <w:rtl/>
        </w:rPr>
      </w:pPr>
      <w:r w:rsidRPr="00E8021E">
        <w:rPr>
          <w:rStyle w:val="a4"/>
          <w:rFonts w:ascii="Tahoma" w:hAnsi="Tahoma" w:cs="Tahoma"/>
          <w:b/>
          <w:bCs/>
          <w:color w:val="000000" w:themeColor="text1"/>
          <w:sz w:val="20"/>
          <w:szCs w:val="20"/>
          <w:rtl/>
        </w:rPr>
        <w:t>שתי כלכלות:</w:t>
      </w:r>
      <w:r w:rsidRPr="00140F99">
        <w:rPr>
          <w:rFonts w:ascii="Tahoma" w:hAnsi="Tahoma" w:cs="Tahoma"/>
          <w:color w:val="000000" w:themeColor="text1"/>
          <w:sz w:val="20"/>
          <w:szCs w:val="20"/>
          <w:rtl/>
        </w:rPr>
        <w:t xml:space="preserve"> הכלכלה הישראלית מתאפיינת בכך שהיא מתחלקת לשניים - ענפי ההיי-טק ורוב שאר ענפי המשק - ובין החלקים קיימים הבדלים ניכרים: </w:t>
      </w:r>
    </w:p>
    <w:p w:rsidR="008603E7" w:rsidRPr="00140F99" w:rsidP="00973C29" w14:paraId="157E5AD9" w14:textId="3EAF7FB8">
      <w:pPr>
        <w:pStyle w:val="a5"/>
        <w:spacing w:after="120" w:line="260" w:lineRule="atLeast"/>
        <w:rPr>
          <w:rFonts w:ascii="Tahoma" w:hAnsi="Tahoma" w:cs="Tahoma"/>
          <w:color w:val="000000" w:themeColor="text1"/>
          <w:sz w:val="20"/>
          <w:szCs w:val="20"/>
          <w:rtl/>
        </w:rPr>
      </w:pPr>
      <w:r w:rsidRPr="00140F99">
        <w:rPr>
          <w:rFonts w:ascii="Tahoma" w:hAnsi="Tahoma" w:cs="Tahoma"/>
          <w:color w:val="000000" w:themeColor="text1"/>
          <w:sz w:val="20"/>
          <w:szCs w:val="20"/>
          <w:rtl/>
        </w:rPr>
        <w:t>מספר השכירים בענפי ההיי-טק היה בשנת 2019 כ-321 אלף, שיעור של כ-9.2% מכלל השכירים במשק</w:t>
      </w:r>
      <w:r>
        <w:rPr>
          <w:rFonts w:ascii="Tahoma" w:hAnsi="Tahoma" w:cs="Tahoma"/>
          <w:color w:val="000000" w:themeColor="text1"/>
          <w:sz w:val="20"/>
          <w:szCs w:val="20"/>
          <w:vertAlign w:val="superscript"/>
          <w:rtl/>
        </w:rPr>
        <w:footnoteReference w:id="12"/>
      </w:r>
      <w:r w:rsidRPr="00140F99">
        <w:rPr>
          <w:rFonts w:ascii="Tahoma" w:hAnsi="Tahoma" w:cs="Tahoma"/>
          <w:color w:val="000000" w:themeColor="text1"/>
          <w:sz w:val="20"/>
          <w:szCs w:val="20"/>
          <w:rtl/>
        </w:rPr>
        <w:t>; כ-75% מהעובדים בהיי-טק ב-2017 היו אקדמאים</w:t>
      </w:r>
      <w:r>
        <w:rPr>
          <w:rFonts w:ascii="Tahoma" w:hAnsi="Tahoma" w:cs="Tahoma"/>
          <w:color w:val="000000" w:themeColor="text1"/>
          <w:sz w:val="20"/>
          <w:szCs w:val="20"/>
          <w:vertAlign w:val="superscript"/>
          <w:rtl/>
        </w:rPr>
        <w:footnoteReference w:id="13"/>
      </w:r>
      <w:r w:rsidRPr="00140F99">
        <w:rPr>
          <w:rFonts w:ascii="Tahoma" w:hAnsi="Tahoma" w:cs="Tahoma"/>
          <w:color w:val="000000" w:themeColor="text1"/>
          <w:sz w:val="20"/>
          <w:szCs w:val="20"/>
          <w:rtl/>
        </w:rPr>
        <w:t>. ענפי ההיי-טק משמשים מנוע צמיחה מרכזי לכלכלה הישראלית, ורמת היצוא שלהם גבוהה. הם מתאפיינים בחדשנות, בקדמה טכנולוגית, בפריון עבודה גבוה מאוד</w:t>
      </w:r>
      <w:r>
        <w:rPr>
          <w:rFonts w:ascii="Tahoma" w:hAnsi="Tahoma" w:cs="Tahoma"/>
          <w:color w:val="000000" w:themeColor="text1"/>
          <w:sz w:val="20"/>
          <w:szCs w:val="20"/>
          <w:vertAlign w:val="superscript"/>
          <w:rtl/>
        </w:rPr>
        <w:footnoteReference w:id="14"/>
      </w:r>
      <w:r w:rsidRPr="00140F99">
        <w:rPr>
          <w:rFonts w:ascii="Tahoma" w:hAnsi="Tahoma" w:cs="Tahoma"/>
          <w:color w:val="000000" w:themeColor="text1"/>
          <w:sz w:val="20"/>
          <w:szCs w:val="20"/>
          <w:rtl/>
        </w:rPr>
        <w:t xml:space="preserve"> ובשכר גבוה. ואולם, מחסור כרוני </w:t>
      </w:r>
      <w:r w:rsidRPr="00140F99">
        <w:rPr>
          <w:rFonts w:ascii="Tahoma" w:hAnsi="Tahoma" w:cs="Tahoma"/>
          <w:color w:val="000000" w:themeColor="text1"/>
          <w:sz w:val="20"/>
          <w:szCs w:val="20"/>
          <w:rtl/>
        </w:rPr>
        <w:t>בעובדים מיומנים (בפרט בוגרי אוניברסיטאות מצטיינים בתחומי החומרה והתוכנה בעלי ניסיון תעסוקתי</w:t>
      </w:r>
      <w:r>
        <w:rPr>
          <w:rFonts w:ascii="Tahoma" w:hAnsi="Tahoma" w:cs="Tahoma"/>
          <w:color w:val="000000" w:themeColor="text1"/>
          <w:sz w:val="20"/>
          <w:szCs w:val="20"/>
          <w:vertAlign w:val="superscript"/>
          <w:rtl/>
        </w:rPr>
        <w:footnoteReference w:id="15"/>
      </w:r>
      <w:r w:rsidRPr="00140F99">
        <w:rPr>
          <w:rFonts w:ascii="Tahoma" w:hAnsi="Tahoma" w:cs="Tahoma"/>
          <w:color w:val="000000" w:themeColor="text1"/>
          <w:sz w:val="20"/>
          <w:szCs w:val="20"/>
          <w:rtl/>
        </w:rPr>
        <w:t>) יוצר איום אסטרטגי על מגזר הטכנולוגיה בפרט ועל המשק הישראלי בכלל.</w:t>
      </w:r>
    </w:p>
    <w:p w:rsidR="008603E7" w:rsidRPr="00140F99" w:rsidP="00973C29" w14:paraId="2B6FFACB" w14:textId="77777777">
      <w:pPr>
        <w:pStyle w:val="a1"/>
        <w:spacing w:before="240" w:after="120"/>
        <w:rPr>
          <w:rtl/>
        </w:rPr>
      </w:pPr>
      <w:r w:rsidRPr="00140F99">
        <w:rPr>
          <w:color w:val="365F91"/>
          <w:rtl/>
        </w:rPr>
        <w:t>תרשים 5: שיעור היצוא בתחום ההיי-טק מסך היצוא מישראל, 2019</w:t>
      </w:r>
    </w:p>
    <w:p w:rsidR="008603E7" w:rsidRPr="00140F99" w:rsidP="00092852" w14:paraId="01F50DEC" w14:textId="6D904A85">
      <w:pPr>
        <w:pStyle w:val="a5"/>
        <w:spacing w:after="120"/>
        <w:jc w:val="center"/>
        <w:rPr>
          <w:rFonts w:ascii="Tahoma" w:hAnsi="Tahoma" w:cs="Tahoma"/>
          <w:color w:val="000000" w:themeColor="text1"/>
          <w:sz w:val="20"/>
          <w:szCs w:val="20"/>
          <w:rtl/>
        </w:rPr>
      </w:pPr>
      <w:r>
        <w:rPr>
          <w:rFonts w:ascii="Tahoma" w:hAnsi="Tahoma" w:cs="Tahoma"/>
          <w:noProof/>
          <w:color w:val="000000" w:themeColor="text1"/>
          <w:sz w:val="20"/>
          <w:szCs w:val="20"/>
          <w:rtl/>
          <w:lang w:val="he-IL"/>
        </w:rPr>
        <w:drawing>
          <wp:inline distT="0" distB="0" distL="0" distR="0">
            <wp:extent cx="2400305" cy="2331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11815" name="Picture 9"/>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400305" cy="2331725"/>
                    </a:xfrm>
                    <a:prstGeom prst="rect">
                      <a:avLst/>
                    </a:prstGeom>
                  </pic:spPr>
                </pic:pic>
              </a:graphicData>
            </a:graphic>
          </wp:inline>
        </w:drawing>
      </w:r>
    </w:p>
    <w:p w:rsidR="008603E7" w:rsidRPr="00140F99" w:rsidP="00140F99" w14:paraId="3123D7D9" w14:textId="77777777">
      <w:pPr>
        <w:pStyle w:val="text-source"/>
        <w:rPr>
          <w:rtl/>
        </w:rPr>
      </w:pPr>
      <w:r w:rsidRPr="00140F99">
        <w:rPr>
          <w:color w:val="000000" w:themeColor="text1"/>
          <w:rtl/>
        </w:rPr>
        <w:t>על פי נתוני מכון היצוא הישראלי</w:t>
      </w:r>
      <w:r>
        <w:rPr>
          <w:color w:val="000000" w:themeColor="text1"/>
          <w:vertAlign w:val="superscript"/>
          <w:rtl/>
        </w:rPr>
        <w:footnoteReference w:id="16"/>
      </w:r>
      <w:r w:rsidRPr="00140F99">
        <w:rPr>
          <w:color w:val="000000" w:themeColor="text1"/>
          <w:rtl/>
        </w:rPr>
        <w:t>, בעיבוד משרד מבקר המדינה.</w:t>
      </w:r>
    </w:p>
    <w:p w:rsidR="008603E7" w:rsidRPr="00140F99" w:rsidP="00140F99" w14:paraId="471C73C1" w14:textId="77777777">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 xml:space="preserve">רוב שאר ענפי המשק מתאפיינים בפריון עבודה נמוך במידה ניכרת (הן לעומת ענפי ההיי-טק והן בהשוואה לענפים דומים בחו"ל), ורוב שווקיהם נמצאים בישראל. יש בהם ריבוי עובדים מעוטי כישורים ומשרות רבות הצפויות לעבור שינוי משמעותי. כבר ב-2019 היו קיימים ביקושים גבוהים לעובדים מיומנים ובעלי הכשרה - בתפקידים אקדמיים ובתפקידים לא-אקדמיים - ובפרט בענפי התעשייה, שבהם גם צפויה פרישה נרחבת של עובדים מקצועיים. </w:t>
      </w:r>
    </w:p>
    <w:p w:rsidR="008603E7" w:rsidRPr="00140F99" w:rsidP="00140F99" w14:paraId="29918E61" w14:textId="783CEDBF">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 xml:space="preserve">אשר על כן, פריון העבודה בישראל היה בשנת 2019 נמוך בכ-22% מהממוצע במדינות </w:t>
      </w:r>
      <w:r w:rsidR="00841FC5">
        <w:rPr>
          <w:rFonts w:ascii="Tahoma" w:hAnsi="Tahoma" w:cs="Tahoma"/>
          <w:color w:val="000000" w:themeColor="text1"/>
          <w:sz w:val="20"/>
          <w:szCs w:val="20"/>
        </w:rPr>
        <w:br/>
      </w:r>
      <w:r w:rsidRPr="00140F99">
        <w:rPr>
          <w:rFonts w:ascii="Tahoma" w:hAnsi="Tahoma" w:cs="Tahoma"/>
          <w:color w:val="000000" w:themeColor="text1"/>
          <w:sz w:val="20"/>
          <w:szCs w:val="20"/>
          <w:rtl/>
        </w:rPr>
        <w:t>ה-</w:t>
      </w:r>
      <w:r w:rsidRPr="00140F99">
        <w:rPr>
          <w:rFonts w:ascii="Tahoma" w:hAnsi="Tahoma" w:cs="Tahoma"/>
          <w:color w:val="000000" w:themeColor="text1"/>
          <w:sz w:val="20"/>
          <w:szCs w:val="20"/>
        </w:rPr>
        <w:t>OECD</w:t>
      </w:r>
      <w:r w:rsidRPr="00140F99">
        <w:rPr>
          <w:rFonts w:ascii="Tahoma" w:hAnsi="Tahoma" w:cs="Tahoma"/>
          <w:color w:val="000000" w:themeColor="text1"/>
          <w:sz w:val="20"/>
          <w:szCs w:val="20"/>
          <w:rtl/>
        </w:rPr>
        <w:t>, כמוצג בתרשים שלהלן, והפער לעומתן לא הצטמצם בעשורים האחרונים. לאור העלייה החיובית בשיעורי התעסוקה בשנים 2015 - 2019, מומחים סברו כי פריון העבודה הוא הבעיה המרכזית של המשק הישראלי</w:t>
      </w:r>
      <w:r>
        <w:rPr>
          <w:rFonts w:ascii="Tahoma" w:hAnsi="Tahoma" w:cs="Tahoma"/>
          <w:color w:val="000000" w:themeColor="text1"/>
          <w:sz w:val="20"/>
          <w:szCs w:val="20"/>
          <w:vertAlign w:val="superscript"/>
          <w:rtl/>
        </w:rPr>
        <w:footnoteReference w:id="17"/>
      </w:r>
      <w:r w:rsidRPr="00140F99">
        <w:rPr>
          <w:rFonts w:ascii="Tahoma" w:hAnsi="Tahoma" w:cs="Tahoma"/>
          <w:color w:val="000000" w:themeColor="text1"/>
          <w:sz w:val="20"/>
          <w:szCs w:val="20"/>
          <w:rtl/>
        </w:rPr>
        <w:t>.</w:t>
      </w:r>
    </w:p>
    <w:p w:rsidR="008603E7" w:rsidRPr="00140F99" w:rsidP="00140F99" w14:paraId="500FDBDB" w14:textId="617D7903">
      <w:pPr>
        <w:pStyle w:val="a1"/>
        <w:rPr>
          <w:rtl/>
        </w:rPr>
      </w:pPr>
      <w:r w:rsidRPr="00140F99">
        <w:rPr>
          <w:color w:val="365F91"/>
          <w:rtl/>
        </w:rPr>
        <w:t xml:space="preserve">תרשים 6 : פריון העבודה - </w:t>
      </w:r>
      <w:r w:rsidRPr="00140F99">
        <w:rPr>
          <w:color w:val="365F91"/>
          <w:rtl/>
        </w:rPr>
        <w:t>התמ"ג</w:t>
      </w:r>
      <w:r w:rsidRPr="00140F99">
        <w:rPr>
          <w:color w:val="365F91"/>
          <w:rtl/>
        </w:rPr>
        <w:t xml:space="preserve"> לשעת עבודה, מדינות ה-</w:t>
      </w:r>
      <w:r w:rsidRPr="00140F99">
        <w:rPr>
          <w:color w:val="365F91"/>
        </w:rPr>
        <w:t>OECD</w:t>
      </w:r>
      <w:r w:rsidRPr="00140F99">
        <w:rPr>
          <w:color w:val="365F91"/>
          <w:rtl/>
        </w:rPr>
        <w:t xml:space="preserve"> וממוצע ה-</w:t>
      </w:r>
      <w:r w:rsidRPr="00140F99">
        <w:rPr>
          <w:color w:val="365F91"/>
        </w:rPr>
        <w:t>OECD</w:t>
      </w:r>
      <w:r w:rsidR="00360D83">
        <w:rPr>
          <w:rFonts w:hint="cs"/>
          <w:color w:val="365F91"/>
          <w:rtl/>
        </w:rPr>
        <w:t xml:space="preserve">, </w:t>
      </w:r>
      <w:r w:rsidRPr="00140F99">
        <w:rPr>
          <w:color w:val="365F91"/>
        </w:rPr>
        <w:t>2019</w:t>
      </w:r>
      <w:r w:rsidRPr="00140F99">
        <w:rPr>
          <w:color w:val="365F91"/>
          <w:rtl/>
        </w:rPr>
        <w:t xml:space="preserve"> (בדולרים של ארה"ב)</w:t>
      </w:r>
    </w:p>
    <w:p w:rsidR="008603E7" w:rsidRPr="00140F99" w:rsidP="00140F99" w14:paraId="0B723861" w14:textId="14D20645">
      <w:pPr>
        <w:pStyle w:val="a1"/>
        <w:rPr>
          <w:rtl/>
        </w:rPr>
      </w:pPr>
      <w:r>
        <w:rPr>
          <w:noProof/>
          <w:rtl/>
          <w:lang w:val="he-IL"/>
        </w:rPr>
        <w:drawing>
          <wp:inline distT="0" distB="0" distL="0" distR="0">
            <wp:extent cx="4325121" cy="22738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4964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273813"/>
                    </a:xfrm>
                    <a:prstGeom prst="rect">
                      <a:avLst/>
                    </a:prstGeom>
                  </pic:spPr>
                </pic:pic>
              </a:graphicData>
            </a:graphic>
          </wp:inline>
        </w:drawing>
      </w:r>
    </w:p>
    <w:p w:rsidR="008603E7" w:rsidRPr="00140F99" w:rsidP="00140F99" w14:paraId="37E99038" w14:textId="77777777">
      <w:pPr>
        <w:pStyle w:val="text-source"/>
        <w:rPr>
          <w:rtl/>
        </w:rPr>
      </w:pPr>
      <w:r w:rsidRPr="00140F99">
        <w:rPr>
          <w:color w:val="000000" w:themeColor="text1"/>
          <w:rtl/>
        </w:rPr>
        <w:t>על פי נתוני ה-</w:t>
      </w:r>
      <w:r w:rsidRPr="00140F99">
        <w:rPr>
          <w:color w:val="000000" w:themeColor="text1"/>
        </w:rPr>
        <w:t>OECD</w:t>
      </w:r>
      <w:r w:rsidRPr="00140F99">
        <w:rPr>
          <w:color w:val="000000" w:themeColor="text1"/>
          <w:spacing w:val="-51"/>
          <w:rtl/>
        </w:rPr>
        <w:t xml:space="preserve"> </w:t>
      </w:r>
      <w:r>
        <w:rPr>
          <w:color w:val="000000" w:themeColor="text1"/>
          <w:vertAlign w:val="superscript"/>
          <w:rtl/>
        </w:rPr>
        <w:footnoteReference w:id="18"/>
      </w:r>
      <w:r w:rsidRPr="00140F99">
        <w:rPr>
          <w:color w:val="000000" w:themeColor="text1"/>
          <w:rtl/>
        </w:rPr>
        <w:t>, בעיבוד משרד מבקר המדינה.</w:t>
      </w:r>
    </w:p>
    <w:p w:rsidR="008603E7" w:rsidRPr="00140F99" w:rsidP="00140F99" w14:paraId="164E89EA" w14:textId="77777777">
      <w:pPr>
        <w:pStyle w:val="a5"/>
        <w:spacing w:after="120"/>
        <w:rPr>
          <w:rFonts w:ascii="Tahoma" w:hAnsi="Tahoma" w:cs="Tahoma"/>
          <w:color w:val="000000" w:themeColor="text1"/>
          <w:sz w:val="20"/>
          <w:szCs w:val="20"/>
          <w:rtl/>
        </w:rPr>
      </w:pPr>
      <w:r w:rsidRPr="00E8021E">
        <w:rPr>
          <w:rStyle w:val="a4"/>
          <w:rFonts w:ascii="Tahoma" w:hAnsi="Tahoma" w:cs="Tahoma"/>
          <w:b/>
          <w:bCs/>
          <w:color w:val="000000" w:themeColor="text1"/>
          <w:sz w:val="20"/>
          <w:szCs w:val="20"/>
          <w:rtl/>
        </w:rPr>
        <w:t>פריון והון אנושי:</w:t>
      </w:r>
      <w:r w:rsidRPr="00140F99">
        <w:rPr>
          <w:rFonts w:ascii="Tahoma" w:hAnsi="Tahoma" w:cs="Tahoma"/>
          <w:color w:val="000000" w:themeColor="text1"/>
          <w:sz w:val="20"/>
          <w:szCs w:val="20"/>
          <w:rtl/>
        </w:rPr>
        <w:t xml:space="preserve"> מחקרים מצאו שפריון העבודה מושפע במידה רבה מרמת ההון האנושי. רמה זו נמדדת בשני מדדים - כמות ההשכלה (המתבטאת במספר שנות הלימוד של האוכלוסייה ובשיעור בעלי תואר אקדמי) ורמת הכישורים. </w:t>
      </w:r>
    </w:p>
    <w:p w:rsidR="008603E7" w:rsidRPr="00140F99" w:rsidP="00140F99" w14:paraId="5E0D9A1E" w14:textId="5479B059">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בישראל רמת ההון האנושי מסבירה כ-20% מפערי הפריון בין ישראל למדינות ה-</w:t>
      </w:r>
      <w:r w:rsidRPr="00140F99">
        <w:rPr>
          <w:rFonts w:ascii="Tahoma" w:hAnsi="Tahoma" w:cs="Tahoma"/>
          <w:color w:val="000000" w:themeColor="text1"/>
          <w:sz w:val="20"/>
          <w:szCs w:val="20"/>
        </w:rPr>
        <w:t>OECD</w:t>
      </w:r>
      <w:r>
        <w:rPr>
          <w:rFonts w:ascii="Tahoma" w:hAnsi="Tahoma" w:cs="Tahoma"/>
          <w:color w:val="000000" w:themeColor="text1"/>
          <w:sz w:val="20"/>
          <w:szCs w:val="20"/>
          <w:vertAlign w:val="superscript"/>
          <w:rtl/>
        </w:rPr>
        <w:footnoteReference w:id="19"/>
      </w:r>
      <w:r w:rsidRPr="00140F99">
        <w:rPr>
          <w:rFonts w:ascii="Tahoma" w:hAnsi="Tahoma" w:cs="Tahoma"/>
          <w:color w:val="000000" w:themeColor="text1"/>
          <w:sz w:val="20"/>
          <w:szCs w:val="20"/>
          <w:rtl/>
        </w:rPr>
        <w:t>. אומנם, כפי שמוצג בתרשים 7, שיעור האוכלוסייה בעלת תואר אקדמי בישראל גבוה בהשוואה בין-לאומית, ואולם כמוצג בתרשים 8, רמת הכישורים של חלק ניכר מהאוכלוסייה נמוכה. תוצאות המבחנים הבין-לאומיים לתלמידים ולבוגרים שמבצע ארגון ה-</w:t>
      </w:r>
      <w:r w:rsidRPr="00140F99">
        <w:rPr>
          <w:rFonts w:ascii="Tahoma" w:hAnsi="Tahoma" w:cs="Tahoma"/>
          <w:color w:val="000000" w:themeColor="text1"/>
          <w:sz w:val="20"/>
          <w:szCs w:val="20"/>
        </w:rPr>
        <w:t>OECD</w:t>
      </w:r>
      <w:r w:rsidRPr="00140F99">
        <w:rPr>
          <w:rFonts w:ascii="Tahoma" w:hAnsi="Tahoma" w:cs="Tahoma"/>
          <w:color w:val="000000" w:themeColor="text1"/>
          <w:sz w:val="20"/>
          <w:szCs w:val="20"/>
          <w:rtl/>
        </w:rPr>
        <w:t xml:space="preserve"> (סקר </w:t>
      </w:r>
      <w:r w:rsidRPr="00140F99">
        <w:rPr>
          <w:rFonts w:ascii="Tahoma" w:hAnsi="Tahoma" w:cs="Tahoma"/>
          <w:color w:val="000000" w:themeColor="text1"/>
          <w:sz w:val="20"/>
          <w:szCs w:val="20"/>
        </w:rPr>
        <w:t>PIAAC</w:t>
      </w:r>
      <w:r w:rsidRPr="00140F99">
        <w:rPr>
          <w:rFonts w:ascii="Tahoma" w:hAnsi="Tahoma" w:cs="Tahoma"/>
          <w:color w:val="000000" w:themeColor="text1"/>
          <w:sz w:val="20"/>
          <w:szCs w:val="20"/>
          <w:rtl/>
        </w:rPr>
        <w:t>) מצביעות על כך שבישראל כישורי הבוגרים לוקים בחסר בהשוואה בין-לאומית הן מבחינת מנעד הכישורים הממוצע והן מבחינת רמת המיומנויות הבסיסיות</w:t>
      </w:r>
      <w:r>
        <w:rPr>
          <w:rFonts w:ascii="Tahoma" w:hAnsi="Tahoma" w:cs="Tahoma"/>
          <w:color w:val="000000" w:themeColor="text1"/>
          <w:sz w:val="20"/>
          <w:szCs w:val="20"/>
          <w:vertAlign w:val="superscript"/>
          <w:rtl/>
        </w:rPr>
        <w:footnoteReference w:id="20"/>
      </w:r>
      <w:r w:rsidRPr="00140F99">
        <w:rPr>
          <w:rFonts w:ascii="Tahoma" w:hAnsi="Tahoma" w:cs="Tahoma"/>
          <w:color w:val="000000" w:themeColor="text1"/>
          <w:sz w:val="20"/>
          <w:szCs w:val="20"/>
          <w:rtl/>
        </w:rPr>
        <w:t>:</w:t>
      </w:r>
    </w:p>
    <w:p w:rsidR="008603E7" w:rsidRPr="00140F99" w:rsidP="00140F99" w14:paraId="4ADE4F02" w14:textId="77777777">
      <w:pPr>
        <w:pStyle w:val="a1"/>
        <w:rPr>
          <w:rtl/>
        </w:rPr>
      </w:pPr>
      <w:r w:rsidRPr="00140F99">
        <w:rPr>
          <w:color w:val="365F91"/>
          <w:rtl/>
        </w:rPr>
        <w:t>תרשים 7 : שיעור בעלי תואר אקדמי, מדינות ה-</w:t>
      </w:r>
      <w:r w:rsidRPr="00140F99">
        <w:rPr>
          <w:color w:val="365F91"/>
        </w:rPr>
        <w:t>OECD</w:t>
      </w:r>
      <w:r w:rsidRPr="00140F99">
        <w:rPr>
          <w:color w:val="365F91"/>
          <w:rtl/>
        </w:rPr>
        <w:t xml:space="preserve"> וממוצע ה-</w:t>
      </w:r>
      <w:r w:rsidRPr="00140F99">
        <w:rPr>
          <w:color w:val="365F91"/>
        </w:rPr>
        <w:t>OECD</w:t>
      </w:r>
      <w:r w:rsidRPr="00140F99">
        <w:rPr>
          <w:color w:val="365F91"/>
          <w:rtl/>
        </w:rPr>
        <w:t>, גילי 25 - 64, 2019</w:t>
      </w:r>
    </w:p>
    <w:p w:rsidR="008603E7" w:rsidRPr="00140F99" w:rsidP="00DC223D" w14:paraId="4D89DEF6" w14:textId="618166F4">
      <w:pPr>
        <w:pStyle w:val="a1"/>
        <w:keepNext w:val="0"/>
        <w:keepLines w:val="0"/>
        <w:rPr>
          <w:rtl/>
        </w:rPr>
      </w:pPr>
      <w:r>
        <w:rPr>
          <w:noProof/>
          <w:rtl/>
          <w:lang w:val="he-IL"/>
        </w:rPr>
        <w:drawing>
          <wp:inline distT="0" distB="0" distL="0" distR="0">
            <wp:extent cx="4325121" cy="23896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615957" name="Picture 1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89637"/>
                    </a:xfrm>
                    <a:prstGeom prst="rect">
                      <a:avLst/>
                    </a:prstGeom>
                  </pic:spPr>
                </pic:pic>
              </a:graphicData>
            </a:graphic>
          </wp:inline>
        </w:drawing>
      </w:r>
    </w:p>
    <w:p w:rsidR="008603E7" w:rsidRPr="00140F99" w:rsidP="00140F99" w14:paraId="3D3B5809" w14:textId="77777777">
      <w:pPr>
        <w:pStyle w:val="text-source"/>
        <w:rPr>
          <w:rtl/>
        </w:rPr>
      </w:pPr>
      <w:r w:rsidRPr="00140F99">
        <w:rPr>
          <w:color w:val="000000" w:themeColor="text1"/>
          <w:rtl/>
        </w:rPr>
        <w:t>על פי נתוני ה-</w:t>
      </w:r>
      <w:r w:rsidRPr="00140F99">
        <w:rPr>
          <w:color w:val="000000" w:themeColor="text1"/>
        </w:rPr>
        <w:t>OECD</w:t>
      </w:r>
      <w:r w:rsidRPr="00140F99">
        <w:rPr>
          <w:color w:val="000000" w:themeColor="text1"/>
          <w:spacing w:val="-51"/>
          <w:rtl/>
        </w:rPr>
        <w:t xml:space="preserve"> </w:t>
      </w:r>
      <w:r>
        <w:rPr>
          <w:color w:val="000000" w:themeColor="text1"/>
          <w:vertAlign w:val="superscript"/>
          <w:rtl/>
        </w:rPr>
        <w:footnoteReference w:id="21"/>
      </w:r>
      <w:r w:rsidRPr="00140F99">
        <w:rPr>
          <w:color w:val="000000" w:themeColor="text1"/>
          <w:rtl/>
        </w:rPr>
        <w:t>, בעיבוד משרד מבקר המדינה.</w:t>
      </w:r>
    </w:p>
    <w:p w:rsidR="008603E7" w:rsidRPr="00140F99" w:rsidP="00140F99" w14:paraId="28AD34DA" w14:textId="77777777">
      <w:pPr>
        <w:pStyle w:val="a1"/>
        <w:rPr>
          <w:rtl/>
        </w:rPr>
      </w:pPr>
      <w:r w:rsidRPr="00140F99">
        <w:rPr>
          <w:color w:val="365F91"/>
          <w:rtl/>
        </w:rPr>
        <w:t xml:space="preserve">תרשים 8: ציונים ממוצעים במבחני המיומנויות בסקר </w:t>
      </w:r>
      <w:r w:rsidRPr="00140F99">
        <w:rPr>
          <w:color w:val="365F91"/>
        </w:rPr>
        <w:t>PIAAC</w:t>
      </w:r>
      <w:r w:rsidRPr="00140F99">
        <w:rPr>
          <w:color w:val="365F91"/>
          <w:rtl/>
        </w:rPr>
        <w:t xml:space="preserve"> - המדינות שנבחנו וממוצע ה-</w:t>
      </w:r>
      <w:r w:rsidRPr="00140F99">
        <w:rPr>
          <w:color w:val="365F91"/>
        </w:rPr>
        <w:t>OECD</w:t>
      </w:r>
      <w:r w:rsidRPr="00140F99">
        <w:rPr>
          <w:color w:val="365F91"/>
          <w:rtl/>
        </w:rPr>
        <w:t>, גילי 16 - 65, 2015</w:t>
      </w:r>
    </w:p>
    <w:p w:rsidR="008603E7" w:rsidRPr="00140F99" w:rsidP="00DC223D" w14:paraId="17D15209" w14:textId="77777777">
      <w:pPr>
        <w:pStyle w:val="NoParagraphStyle"/>
        <w:keepNext/>
        <w:keepLines/>
        <w:tabs>
          <w:tab w:val="left" w:pos="340"/>
        </w:tabs>
        <w:suppressAutoHyphens/>
        <w:spacing w:after="170"/>
        <w:jc w:val="center"/>
        <w:rPr>
          <w:rFonts w:ascii="Tahoma" w:hAnsi="Tahoma" w:cs="Tahoma"/>
          <w:color w:val="000000" w:themeColor="text1"/>
          <w:sz w:val="22"/>
          <w:szCs w:val="22"/>
          <w:rtl/>
        </w:rPr>
      </w:pPr>
      <w:r w:rsidRPr="00140F99">
        <w:rPr>
          <w:rStyle w:val="a4"/>
          <w:rFonts w:ascii="Tahoma" w:hAnsi="Tahoma" w:cs="Tahoma"/>
          <w:color w:val="000000" w:themeColor="text1"/>
          <w:sz w:val="22"/>
          <w:szCs w:val="22"/>
          <w:rtl/>
        </w:rPr>
        <w:t>א. מיומנויות שפה - קריאה וכתיבה</w:t>
      </w:r>
    </w:p>
    <w:p w:rsidR="008603E7" w:rsidRPr="00140F99" w:rsidP="00DC223D" w14:paraId="5444D7A5" w14:textId="015C146C">
      <w:pPr>
        <w:pStyle w:val="a1"/>
        <w:keepNext w:val="0"/>
        <w:keepLines w:val="0"/>
        <w:rPr>
          <w:rtl/>
        </w:rPr>
      </w:pPr>
      <w:r>
        <w:rPr>
          <w:noProof/>
          <w:rtl/>
          <w:lang w:val="he-IL"/>
        </w:rPr>
        <w:drawing>
          <wp:inline distT="0" distB="0" distL="0" distR="0">
            <wp:extent cx="4325121" cy="2353061"/>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38189" name="Picture 12"/>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8603E7" w:rsidRPr="00140F99" w:rsidP="00841FC5" w14:paraId="7011AD81" w14:textId="77777777">
      <w:pPr>
        <w:pStyle w:val="NoParagraphStyle"/>
        <w:keepNext/>
        <w:keepLines/>
        <w:tabs>
          <w:tab w:val="left" w:pos="340"/>
        </w:tabs>
        <w:suppressAutoHyphens/>
        <w:spacing w:after="170"/>
        <w:jc w:val="center"/>
        <w:rPr>
          <w:rStyle w:val="a4"/>
          <w:rFonts w:ascii="Tahoma" w:hAnsi="Tahoma" w:cs="Tahoma"/>
          <w:color w:val="000000" w:themeColor="text1"/>
          <w:sz w:val="22"/>
          <w:szCs w:val="22"/>
          <w:rtl/>
        </w:rPr>
      </w:pPr>
      <w:r w:rsidRPr="00140F99">
        <w:rPr>
          <w:rStyle w:val="a4"/>
          <w:rFonts w:ascii="Tahoma" w:hAnsi="Tahoma" w:cs="Tahoma"/>
          <w:color w:val="000000" w:themeColor="text1"/>
          <w:sz w:val="22"/>
          <w:szCs w:val="22"/>
          <w:rtl/>
        </w:rPr>
        <w:t>ב. מיומנויות כמותיות</w:t>
      </w:r>
    </w:p>
    <w:p w:rsidR="008603E7" w:rsidRPr="00140F99" w:rsidP="00841FC5" w14:paraId="713A2286" w14:textId="0C9E770F">
      <w:pPr>
        <w:pStyle w:val="a1"/>
        <w:keepNext w:val="0"/>
        <w:keepLines w:val="0"/>
        <w:rPr>
          <w:rtl/>
        </w:rPr>
      </w:pPr>
      <w:r>
        <w:rPr>
          <w:noProof/>
          <w:rtl/>
          <w:lang w:val="he-IL"/>
        </w:rPr>
        <w:drawing>
          <wp:inline distT="0" distB="0" distL="0" distR="0">
            <wp:extent cx="4325121" cy="235306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08217" name="Picture 13"/>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8603E7" w:rsidRPr="00140F99" w:rsidP="00841FC5" w14:paraId="5E4B67D6" w14:textId="77777777">
      <w:pPr>
        <w:pStyle w:val="NoParagraphStyle"/>
        <w:keepNext/>
        <w:keepLines/>
        <w:tabs>
          <w:tab w:val="left" w:pos="340"/>
        </w:tabs>
        <w:suppressAutoHyphens/>
        <w:spacing w:before="567" w:after="57"/>
        <w:jc w:val="center"/>
        <w:rPr>
          <w:rStyle w:val="a4"/>
          <w:rFonts w:ascii="Tahoma" w:hAnsi="Tahoma" w:cs="Tahoma"/>
          <w:color w:val="000000" w:themeColor="text1"/>
          <w:sz w:val="22"/>
          <w:szCs w:val="22"/>
          <w:rtl/>
        </w:rPr>
      </w:pPr>
      <w:r w:rsidRPr="00140F99">
        <w:rPr>
          <w:rStyle w:val="a4"/>
          <w:rFonts w:ascii="Tahoma" w:hAnsi="Tahoma" w:cs="Tahoma"/>
          <w:color w:val="000000" w:themeColor="text1"/>
          <w:sz w:val="22"/>
          <w:szCs w:val="22"/>
          <w:rtl/>
        </w:rPr>
        <w:t xml:space="preserve">ג. מיומנויות פתרון בעיות בסביבה מתוקשבת </w:t>
      </w:r>
    </w:p>
    <w:p w:rsidR="008603E7" w:rsidRPr="00140F99" w:rsidP="00140F99" w14:paraId="0DDB7202" w14:textId="4CEAB926">
      <w:pPr>
        <w:pStyle w:val="a1"/>
        <w:rPr>
          <w:rtl/>
        </w:rPr>
      </w:pPr>
      <w:r>
        <w:rPr>
          <w:noProof/>
          <w:rtl/>
          <w:lang w:val="he-IL"/>
        </w:rPr>
        <w:drawing>
          <wp:inline distT="0" distB="0" distL="0" distR="0">
            <wp:extent cx="4325121" cy="23530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365846" name="Picture 14"/>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8603E7" w:rsidRPr="00140F99" w:rsidP="00140F99" w14:paraId="36B17478" w14:textId="77777777">
      <w:pPr>
        <w:pStyle w:val="text-source"/>
        <w:rPr>
          <w:rtl/>
        </w:rPr>
      </w:pPr>
      <w:r w:rsidRPr="00140F99">
        <w:rPr>
          <w:color w:val="000000" w:themeColor="text1"/>
          <w:rtl/>
        </w:rPr>
        <w:t xml:space="preserve">על פי נתוני סקר </w:t>
      </w:r>
      <w:r w:rsidRPr="00140F99">
        <w:rPr>
          <w:color w:val="000000" w:themeColor="text1"/>
        </w:rPr>
        <w:t>PIAAC</w:t>
      </w:r>
      <w:r w:rsidRPr="00140F99">
        <w:rPr>
          <w:color w:val="000000" w:themeColor="text1"/>
          <w:spacing w:val="-51"/>
          <w:rtl/>
        </w:rPr>
        <w:t xml:space="preserve"> </w:t>
      </w:r>
      <w:r>
        <w:rPr>
          <w:color w:val="000000" w:themeColor="text1"/>
          <w:vertAlign w:val="superscript"/>
          <w:rtl/>
        </w:rPr>
        <w:footnoteReference w:id="22"/>
      </w:r>
      <w:r w:rsidRPr="00140F99">
        <w:rPr>
          <w:color w:val="000000" w:themeColor="text1"/>
          <w:rtl/>
        </w:rPr>
        <w:t>, בעיבוד משרד מבקר המדינה.</w:t>
      </w:r>
    </w:p>
    <w:p w:rsidR="008603E7" w:rsidRPr="00140F99" w:rsidP="00140F99" w14:paraId="0703FEBA" w14:textId="078E6ACE">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 xml:space="preserve">מסקר </w:t>
      </w:r>
      <w:r w:rsidRPr="00140F99">
        <w:rPr>
          <w:rFonts w:ascii="Tahoma" w:hAnsi="Tahoma" w:cs="Tahoma"/>
          <w:color w:val="000000" w:themeColor="text1"/>
          <w:sz w:val="20"/>
          <w:szCs w:val="20"/>
        </w:rPr>
        <w:t>PIAAC</w:t>
      </w:r>
      <w:r w:rsidRPr="00140F99">
        <w:rPr>
          <w:rFonts w:ascii="Tahoma" w:hAnsi="Tahoma" w:cs="Tahoma"/>
          <w:color w:val="000000" w:themeColor="text1"/>
          <w:sz w:val="20"/>
          <w:szCs w:val="20"/>
          <w:rtl/>
        </w:rPr>
        <w:t xml:space="preserve"> עולה כי שיעור הבוגרים בישראל עם מיומנויות נמוכות של אוריינות שפה ואוריינות כמותית גדול </w:t>
      </w:r>
      <w:r w:rsidRPr="00973C29" w:rsidR="00973C29">
        <w:rPr>
          <w:rFonts w:ascii="Tahoma" w:hAnsi="Tahoma" w:cs="Tahoma"/>
          <w:color w:val="000000" w:themeColor="text1"/>
          <w:sz w:val="20"/>
          <w:szCs w:val="20"/>
          <w:rtl/>
        </w:rPr>
        <w:t>משיעורם במדינות ה-</w:t>
      </w:r>
      <w:r w:rsidRPr="00973C29" w:rsidR="00973C29">
        <w:rPr>
          <w:rFonts w:ascii="Tahoma" w:hAnsi="Tahoma" w:cs="Tahoma"/>
          <w:color w:val="000000" w:themeColor="text1"/>
          <w:sz w:val="20"/>
          <w:szCs w:val="20"/>
        </w:rPr>
        <w:t>OECD</w:t>
      </w:r>
      <w:r w:rsidR="00973C29">
        <w:rPr>
          <w:rFonts w:ascii="Tahoma" w:hAnsi="Tahoma" w:cs="Tahoma" w:hint="cs"/>
          <w:color w:val="000000" w:themeColor="text1"/>
          <w:sz w:val="20"/>
          <w:szCs w:val="20"/>
          <w:rtl/>
        </w:rPr>
        <w:t xml:space="preserve">: </w:t>
      </w:r>
      <w:r w:rsidRPr="00973C29" w:rsidR="00973C29">
        <w:rPr>
          <w:rFonts w:ascii="Tahoma" w:hAnsi="Tahoma" w:cs="Tahoma"/>
          <w:color w:val="000000" w:themeColor="text1"/>
          <w:sz w:val="20"/>
          <w:szCs w:val="20"/>
        </w:rPr>
        <w:t>37%</w:t>
      </w:r>
      <w:r w:rsidRPr="00973C29" w:rsidR="00973C29">
        <w:rPr>
          <w:rFonts w:ascii="Tahoma" w:hAnsi="Tahoma" w:cs="Tahoma"/>
          <w:color w:val="000000" w:themeColor="text1"/>
          <w:sz w:val="20"/>
          <w:szCs w:val="20"/>
          <w:rtl/>
        </w:rPr>
        <w:t xml:space="preserve"> מהבוגרים בישראל, </w:t>
      </w:r>
      <w:r w:rsidRPr="00140F99">
        <w:rPr>
          <w:rFonts w:ascii="Tahoma" w:hAnsi="Tahoma" w:cs="Tahoma"/>
          <w:color w:val="000000" w:themeColor="text1"/>
          <w:sz w:val="20"/>
          <w:szCs w:val="20"/>
          <w:rtl/>
        </w:rPr>
        <w:t>לעומת 27% במדינות ה-</w:t>
      </w:r>
      <w:r w:rsidRPr="00140F99">
        <w:rPr>
          <w:rFonts w:ascii="Tahoma" w:hAnsi="Tahoma" w:cs="Tahoma"/>
          <w:color w:val="000000" w:themeColor="text1"/>
          <w:sz w:val="20"/>
          <w:szCs w:val="20"/>
        </w:rPr>
        <w:t>OECD</w:t>
      </w:r>
      <w:r w:rsidRPr="00140F99">
        <w:rPr>
          <w:rFonts w:ascii="Tahoma" w:hAnsi="Tahoma" w:cs="Tahoma"/>
          <w:color w:val="000000" w:themeColor="text1"/>
          <w:sz w:val="20"/>
          <w:szCs w:val="20"/>
          <w:rtl/>
        </w:rPr>
        <w:t>. לא רק שהקבוצה המחזיקה במיומנויות נמוכות גדולה באופן יחסי, אלא גם רמת המיומנויות שלה נמוכה במיוחד בהשוואה לקבוצה המקבילה במדינות המפותחות</w:t>
      </w:r>
      <w:r>
        <w:rPr>
          <w:rFonts w:ascii="Tahoma" w:hAnsi="Tahoma" w:cs="Tahoma"/>
          <w:color w:val="000000" w:themeColor="text1"/>
          <w:sz w:val="20"/>
          <w:szCs w:val="20"/>
          <w:vertAlign w:val="superscript"/>
          <w:rtl/>
        </w:rPr>
        <w:footnoteReference w:id="23"/>
      </w:r>
      <w:r w:rsidRPr="00140F99">
        <w:rPr>
          <w:rFonts w:ascii="Tahoma" w:hAnsi="Tahoma" w:cs="Tahoma"/>
          <w:color w:val="000000" w:themeColor="text1"/>
          <w:sz w:val="20"/>
          <w:szCs w:val="20"/>
          <w:rtl/>
        </w:rPr>
        <w:t>.</w:t>
      </w:r>
    </w:p>
    <w:p w:rsidR="008603E7" w:rsidRPr="00140F99" w:rsidP="00140F99" w14:paraId="3F4FDA65" w14:textId="77777777">
      <w:pPr>
        <w:pStyle w:val="a5"/>
        <w:spacing w:after="120"/>
        <w:rPr>
          <w:rFonts w:ascii="Tahoma" w:hAnsi="Tahoma" w:cs="Tahoma"/>
          <w:color w:val="000000" w:themeColor="text1"/>
          <w:spacing w:val="-2"/>
          <w:w w:val="99"/>
          <w:sz w:val="20"/>
          <w:szCs w:val="20"/>
          <w:rtl/>
        </w:rPr>
      </w:pPr>
      <w:r w:rsidRPr="00DC223D">
        <w:rPr>
          <w:rStyle w:val="a4"/>
          <w:rFonts w:ascii="Tahoma" w:hAnsi="Tahoma" w:cs="Tahoma"/>
          <w:b/>
          <w:bCs/>
          <w:color w:val="000000" w:themeColor="text1"/>
          <w:spacing w:val="-2"/>
          <w:w w:val="99"/>
          <w:sz w:val="20"/>
          <w:szCs w:val="20"/>
          <w:rtl/>
        </w:rPr>
        <w:t>פערים גדולים במיומנויות בין אוכלוסיות בישראל:</w:t>
      </w:r>
      <w:r w:rsidRPr="00140F99">
        <w:rPr>
          <w:rFonts w:ascii="Tahoma" w:hAnsi="Tahoma" w:cs="Tahoma"/>
          <w:color w:val="000000" w:themeColor="text1"/>
          <w:spacing w:val="-2"/>
          <w:w w:val="99"/>
          <w:sz w:val="20"/>
          <w:szCs w:val="20"/>
          <w:rtl/>
        </w:rPr>
        <w:t xml:space="preserve"> ניתוח של תוצאות סקר </w:t>
      </w:r>
      <w:r w:rsidRPr="00140F99">
        <w:rPr>
          <w:rFonts w:ascii="Tahoma" w:hAnsi="Tahoma" w:cs="Tahoma"/>
          <w:color w:val="000000" w:themeColor="text1"/>
          <w:spacing w:val="-2"/>
          <w:w w:val="99"/>
          <w:sz w:val="20"/>
          <w:szCs w:val="20"/>
        </w:rPr>
        <w:t>PIAAC</w:t>
      </w:r>
      <w:r w:rsidRPr="00140F99">
        <w:rPr>
          <w:rFonts w:ascii="Tahoma" w:hAnsi="Tahoma" w:cs="Tahoma"/>
          <w:color w:val="000000" w:themeColor="text1"/>
          <w:spacing w:val="-2"/>
          <w:w w:val="99"/>
          <w:sz w:val="20"/>
          <w:szCs w:val="20"/>
          <w:rtl/>
        </w:rPr>
        <w:t xml:space="preserve"> מצביע על כך שרמת המיומנויות של האחוזונים העליונים של ההישגים דומה לממוצע במדינות ה-</w:t>
      </w:r>
      <w:r w:rsidRPr="00140F99">
        <w:rPr>
          <w:rFonts w:ascii="Tahoma" w:hAnsi="Tahoma" w:cs="Tahoma"/>
          <w:color w:val="000000" w:themeColor="text1"/>
          <w:spacing w:val="-2"/>
          <w:w w:val="99"/>
          <w:sz w:val="20"/>
          <w:szCs w:val="20"/>
        </w:rPr>
        <w:t>OECD</w:t>
      </w:r>
      <w:r w:rsidRPr="00140F99">
        <w:rPr>
          <w:rFonts w:ascii="Tahoma" w:hAnsi="Tahoma" w:cs="Tahoma"/>
          <w:color w:val="000000" w:themeColor="text1"/>
          <w:spacing w:val="-2"/>
          <w:w w:val="99"/>
          <w:sz w:val="20"/>
          <w:szCs w:val="20"/>
          <w:rtl/>
        </w:rPr>
        <w:t>. לעומת זאת, רמת המיומנויות של האחוזונים הנמוכים של ההישגים נמוכה משמעותית מזו של האחוזונים הנמוכים במדינות ה-</w:t>
      </w:r>
      <w:r w:rsidRPr="00140F99">
        <w:rPr>
          <w:rFonts w:ascii="Tahoma" w:hAnsi="Tahoma" w:cs="Tahoma"/>
          <w:color w:val="000000" w:themeColor="text1"/>
          <w:spacing w:val="-2"/>
          <w:w w:val="99"/>
          <w:sz w:val="20"/>
          <w:szCs w:val="20"/>
        </w:rPr>
        <w:t>OECD</w:t>
      </w:r>
      <w:r w:rsidRPr="00140F99">
        <w:rPr>
          <w:rFonts w:ascii="Tahoma" w:hAnsi="Tahoma" w:cs="Tahoma"/>
          <w:color w:val="000000" w:themeColor="text1"/>
          <w:spacing w:val="-2"/>
          <w:w w:val="99"/>
          <w:sz w:val="20"/>
          <w:szCs w:val="20"/>
          <w:rtl/>
        </w:rPr>
        <w:t xml:space="preserve">. ראו לדוגמה בתרשים שלהלן השוואה של המיומנויות הכמותיות. יצוין כי </w:t>
      </w:r>
      <w:r w:rsidRPr="00140F99">
        <w:rPr>
          <w:rFonts w:ascii="Tahoma" w:hAnsi="Tahoma" w:cs="Tahoma"/>
          <w:color w:val="000000" w:themeColor="text1"/>
          <w:spacing w:val="-2"/>
          <w:w w:val="99"/>
          <w:sz w:val="20"/>
          <w:szCs w:val="20"/>
          <w:rtl/>
        </w:rPr>
        <w:t>באחוזוני</w:t>
      </w:r>
      <w:r w:rsidRPr="00140F99">
        <w:rPr>
          <w:rFonts w:ascii="Tahoma" w:hAnsi="Tahoma" w:cs="Tahoma"/>
          <w:color w:val="000000" w:themeColor="text1"/>
          <w:spacing w:val="-2"/>
          <w:w w:val="99"/>
          <w:sz w:val="20"/>
          <w:szCs w:val="20"/>
          <w:rtl/>
        </w:rPr>
        <w:t xml:space="preserve"> המיומנויות הנמוכים בישראל מצויים בעיקר בני האוכלוסיות הערבית</w:t>
      </w:r>
      <w:r>
        <w:rPr>
          <w:rFonts w:ascii="Tahoma" w:hAnsi="Tahoma" w:cs="Tahoma"/>
          <w:color w:val="000000" w:themeColor="text1"/>
          <w:spacing w:val="-2"/>
          <w:w w:val="99"/>
          <w:sz w:val="20"/>
          <w:szCs w:val="20"/>
          <w:vertAlign w:val="superscript"/>
          <w:rtl/>
        </w:rPr>
        <w:footnoteReference w:id="24"/>
      </w:r>
      <w:r w:rsidRPr="00140F99">
        <w:rPr>
          <w:rFonts w:ascii="Tahoma" w:hAnsi="Tahoma" w:cs="Tahoma"/>
          <w:color w:val="000000" w:themeColor="text1"/>
          <w:spacing w:val="-2"/>
          <w:w w:val="99"/>
          <w:sz w:val="20"/>
          <w:szCs w:val="20"/>
          <w:rtl/>
        </w:rPr>
        <w:t xml:space="preserve"> והחרדית וקבוצות מעוטות אמצעים שונות. ישראל גם מצויה בראש רשימת מדינות ה-</w:t>
      </w:r>
      <w:r w:rsidRPr="00140F99">
        <w:rPr>
          <w:rFonts w:ascii="Tahoma" w:hAnsi="Tahoma" w:cs="Tahoma"/>
          <w:color w:val="000000" w:themeColor="text1"/>
          <w:spacing w:val="-2"/>
          <w:w w:val="99"/>
          <w:sz w:val="20"/>
          <w:szCs w:val="20"/>
        </w:rPr>
        <w:t>OECD</w:t>
      </w:r>
      <w:r w:rsidRPr="00140F99">
        <w:rPr>
          <w:rFonts w:ascii="Tahoma" w:hAnsi="Tahoma" w:cs="Tahoma"/>
          <w:color w:val="000000" w:themeColor="text1"/>
          <w:spacing w:val="-2"/>
          <w:w w:val="99"/>
          <w:sz w:val="20"/>
          <w:szCs w:val="20"/>
          <w:rtl/>
        </w:rPr>
        <w:t xml:space="preserve"> בפיזור הציונים (גודל הפערים בתוך האוכלוסייה) בכל שלושת המבחנים למיומנויות בסיס בסקר </w:t>
      </w:r>
      <w:r w:rsidRPr="00140F99">
        <w:rPr>
          <w:rFonts w:ascii="Tahoma" w:hAnsi="Tahoma" w:cs="Tahoma"/>
          <w:color w:val="000000" w:themeColor="text1"/>
          <w:spacing w:val="-2"/>
          <w:w w:val="99"/>
          <w:sz w:val="20"/>
          <w:szCs w:val="20"/>
        </w:rPr>
        <w:t>PIAAC</w:t>
      </w:r>
      <w:r w:rsidRPr="00140F99">
        <w:rPr>
          <w:rFonts w:ascii="Tahoma" w:hAnsi="Tahoma" w:cs="Tahoma"/>
          <w:color w:val="000000" w:themeColor="text1"/>
          <w:spacing w:val="-2"/>
          <w:w w:val="99"/>
          <w:sz w:val="20"/>
          <w:szCs w:val="20"/>
          <w:rtl/>
        </w:rPr>
        <w:t xml:space="preserve"> (אוריינות שפה, אוריינות כמותית, פתרון בעיות בסביבה מתוקשבת)</w:t>
      </w:r>
      <w:r>
        <w:rPr>
          <w:rFonts w:ascii="Tahoma" w:hAnsi="Tahoma" w:cs="Tahoma"/>
          <w:color w:val="000000" w:themeColor="text1"/>
          <w:spacing w:val="-2"/>
          <w:w w:val="99"/>
          <w:sz w:val="20"/>
          <w:szCs w:val="20"/>
          <w:vertAlign w:val="superscript"/>
          <w:rtl/>
        </w:rPr>
        <w:footnoteReference w:id="25"/>
      </w:r>
      <w:r w:rsidRPr="00140F99">
        <w:rPr>
          <w:rFonts w:ascii="Tahoma" w:hAnsi="Tahoma" w:cs="Tahoma"/>
          <w:color w:val="000000" w:themeColor="text1"/>
          <w:spacing w:val="-2"/>
          <w:w w:val="99"/>
          <w:sz w:val="20"/>
          <w:szCs w:val="20"/>
          <w:rtl/>
        </w:rPr>
        <w:t>.</w:t>
      </w:r>
    </w:p>
    <w:p w:rsidR="008603E7" w:rsidRPr="00140F99" w:rsidP="00973C29" w14:paraId="757A30B3" w14:textId="77777777">
      <w:pPr>
        <w:pStyle w:val="a1"/>
        <w:spacing w:before="240"/>
        <w:rPr>
          <w:rtl/>
        </w:rPr>
      </w:pPr>
      <w:r w:rsidRPr="00140F99">
        <w:rPr>
          <w:color w:val="365F91"/>
          <w:rtl/>
        </w:rPr>
        <w:t>תרשים 9: התפלגות ציוני המיומנויות הכמותיות, ישראל וממוצע ה-</w:t>
      </w:r>
      <w:r w:rsidRPr="00140F99">
        <w:rPr>
          <w:color w:val="365F91"/>
        </w:rPr>
        <w:t>OECD</w:t>
      </w:r>
      <w:r w:rsidRPr="00140F99">
        <w:rPr>
          <w:color w:val="365F91"/>
          <w:rtl/>
        </w:rPr>
        <w:t xml:space="preserve">, לפי </w:t>
      </w:r>
      <w:r w:rsidRPr="00140F99">
        <w:rPr>
          <w:color w:val="365F91"/>
          <w:rtl/>
        </w:rPr>
        <w:t>אחוזוני</w:t>
      </w:r>
      <w:r w:rsidRPr="00140F99">
        <w:rPr>
          <w:color w:val="365F91"/>
          <w:rtl/>
        </w:rPr>
        <w:t xml:space="preserve"> הישגים, 2015</w:t>
      </w:r>
    </w:p>
    <w:p w:rsidR="008603E7" w:rsidRPr="00140F99" w:rsidP="00140F99" w14:paraId="6BAB4553" w14:textId="6984571D">
      <w:pPr>
        <w:pStyle w:val="a1"/>
        <w:rPr>
          <w:rtl/>
        </w:rPr>
      </w:pPr>
      <w:r>
        <w:rPr>
          <w:noProof/>
          <w:rtl/>
          <w:lang w:val="he-IL"/>
        </w:rPr>
        <w:drawing>
          <wp:inline distT="0" distB="0" distL="0" distR="0">
            <wp:extent cx="4325121" cy="240182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79690" name="Picture 1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401829"/>
                    </a:xfrm>
                    <a:prstGeom prst="rect">
                      <a:avLst/>
                    </a:prstGeom>
                  </pic:spPr>
                </pic:pic>
              </a:graphicData>
            </a:graphic>
          </wp:inline>
        </w:drawing>
      </w:r>
    </w:p>
    <w:p w:rsidR="008603E7" w:rsidRPr="00140F99" w:rsidP="00140F99" w14:paraId="248F7C90" w14:textId="77777777">
      <w:pPr>
        <w:pStyle w:val="text-source"/>
        <w:rPr>
          <w:rtl/>
        </w:rPr>
      </w:pPr>
      <w:r w:rsidRPr="00140F99">
        <w:rPr>
          <w:color w:val="000000" w:themeColor="text1"/>
          <w:rtl/>
        </w:rPr>
        <w:t xml:space="preserve">על פי נתוני סקר </w:t>
      </w:r>
      <w:r w:rsidRPr="00140F99">
        <w:rPr>
          <w:color w:val="000000" w:themeColor="text1"/>
        </w:rPr>
        <w:t>PIAAC</w:t>
      </w:r>
      <w:r w:rsidRPr="00140F99">
        <w:rPr>
          <w:color w:val="000000" w:themeColor="text1"/>
          <w:spacing w:val="-51"/>
          <w:rtl/>
        </w:rPr>
        <w:t xml:space="preserve"> </w:t>
      </w:r>
      <w:r>
        <w:rPr>
          <w:color w:val="000000" w:themeColor="text1"/>
          <w:vertAlign w:val="superscript"/>
          <w:rtl/>
        </w:rPr>
        <w:footnoteReference w:id="26"/>
      </w:r>
      <w:r w:rsidRPr="00140F99">
        <w:rPr>
          <w:color w:val="000000" w:themeColor="text1"/>
          <w:rtl/>
        </w:rPr>
        <w:t>, בעיבוד משרד מבקר המדינה.</w:t>
      </w:r>
    </w:p>
    <w:p w:rsidR="008603E7" w:rsidRPr="00140F99" w:rsidP="00140F99" w14:paraId="2FAA5A15" w14:textId="77777777">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הפער בין האחוזונים, ובמיוחד בהשוואה בין-לאומית, מצביע על הצורך במיקוד לשיפור המיומנויות של קבוצות אלו, בעיקר על רקע מחקרים שמצאו קשר ישיר וסיבתי בין איכות ההשכלה של העובדים לבין פריון העבודה</w:t>
      </w:r>
      <w:r>
        <w:rPr>
          <w:rFonts w:ascii="Tahoma" w:hAnsi="Tahoma" w:cs="Tahoma"/>
          <w:color w:val="000000" w:themeColor="text1"/>
          <w:sz w:val="20"/>
          <w:szCs w:val="20"/>
          <w:vertAlign w:val="superscript"/>
          <w:rtl/>
        </w:rPr>
        <w:footnoteReference w:id="27"/>
      </w:r>
      <w:r w:rsidRPr="00140F99">
        <w:rPr>
          <w:rFonts w:ascii="Tahoma" w:hAnsi="Tahoma" w:cs="Tahoma"/>
          <w:color w:val="000000" w:themeColor="text1"/>
          <w:sz w:val="20"/>
          <w:szCs w:val="20"/>
          <w:rtl/>
        </w:rPr>
        <w:t xml:space="preserve">, כדי למנוע התקבעות בעוני, היפלטות מעבודה או אי-השתלבות בה מלכתחילה. </w:t>
      </w:r>
    </w:p>
    <w:p w:rsidR="008603E7" w:rsidRPr="00140F99" w:rsidP="00140F99" w14:paraId="354EB331" w14:textId="77777777">
      <w:pPr>
        <w:pStyle w:val="a5"/>
        <w:spacing w:after="120"/>
        <w:rPr>
          <w:rFonts w:ascii="Tahoma" w:hAnsi="Tahoma" w:cs="Tahoma"/>
          <w:color w:val="000000" w:themeColor="text1"/>
          <w:sz w:val="20"/>
          <w:szCs w:val="20"/>
          <w:rtl/>
        </w:rPr>
      </w:pPr>
      <w:r w:rsidRPr="00DC223D">
        <w:rPr>
          <w:rStyle w:val="a4"/>
          <w:rFonts w:ascii="Tahoma" w:hAnsi="Tahoma" w:cs="Tahoma"/>
          <w:b/>
          <w:bCs/>
          <w:color w:val="000000" w:themeColor="text1"/>
          <w:sz w:val="20"/>
          <w:szCs w:val="20"/>
          <w:rtl/>
        </w:rPr>
        <w:t>חוסר במיומנויות המאה ה-21 גם בקרב תלמידים:</w:t>
      </w:r>
      <w:r w:rsidRPr="00140F99">
        <w:rPr>
          <w:rFonts w:ascii="Tahoma" w:hAnsi="Tahoma" w:cs="Tahoma"/>
          <w:color w:val="000000" w:themeColor="text1"/>
          <w:sz w:val="20"/>
          <w:szCs w:val="20"/>
          <w:rtl/>
        </w:rPr>
        <w:t xml:space="preserve"> הציונים הנמוכים של ישראלים במבחני </w:t>
      </w:r>
      <w:r w:rsidRPr="00140F99">
        <w:rPr>
          <w:rFonts w:ascii="Tahoma" w:hAnsi="Tahoma" w:cs="Tahoma"/>
          <w:color w:val="000000" w:themeColor="text1"/>
          <w:sz w:val="20"/>
          <w:szCs w:val="20"/>
        </w:rPr>
        <w:t>PIAAC</w:t>
      </w:r>
      <w:r w:rsidRPr="00140F99">
        <w:rPr>
          <w:rFonts w:ascii="Tahoma" w:hAnsi="Tahoma" w:cs="Tahoma"/>
          <w:color w:val="000000" w:themeColor="text1"/>
          <w:sz w:val="20"/>
          <w:szCs w:val="20"/>
          <w:rtl/>
        </w:rPr>
        <w:t xml:space="preserve">, המוצגים לעיל, מצטרפים לתוצאות הנמוכות של בני 15 בישראל במבחן בין-לאומי </w:t>
      </w:r>
      <w:r w:rsidRPr="00140F99">
        <w:rPr>
          <w:rFonts w:ascii="Tahoma" w:hAnsi="Tahoma" w:cs="Tahoma"/>
          <w:color w:val="000000" w:themeColor="text1"/>
          <w:sz w:val="20"/>
          <w:szCs w:val="20"/>
          <w:rtl/>
        </w:rPr>
        <w:t>(פיז"ה)</w:t>
      </w:r>
      <w:r>
        <w:rPr>
          <w:rFonts w:ascii="Tahoma" w:hAnsi="Tahoma" w:cs="Tahoma"/>
          <w:color w:val="000000" w:themeColor="text1"/>
          <w:sz w:val="20"/>
          <w:szCs w:val="20"/>
          <w:vertAlign w:val="superscript"/>
          <w:rtl/>
        </w:rPr>
        <w:footnoteReference w:id="28"/>
      </w:r>
      <w:r w:rsidRPr="00140F99">
        <w:rPr>
          <w:rFonts w:ascii="Tahoma" w:hAnsi="Tahoma" w:cs="Tahoma"/>
          <w:color w:val="000000" w:themeColor="text1"/>
          <w:sz w:val="20"/>
          <w:szCs w:val="20"/>
          <w:rtl/>
        </w:rPr>
        <w:t>, שב-2015 בחן בין היתר את כישורי המאה ה-21. בדיקה זו כללה למשל פתרון בעיות שיתופי, שבו רק 30% מהתלמידים בישראל סווגו ברמה המוגדרת כרמה המינימלית הנדרשת, וישראל סווגה בשליש התחתון מתוך המדינות שנבחנו.</w:t>
      </w:r>
    </w:p>
    <w:p w:rsidR="008603E7" w:rsidRPr="00140F99" w:rsidP="00140F99" w14:paraId="273D374B" w14:textId="77777777">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במבט בין-לאומי נמצא כי להון האנושי מתאם גבוה עם צמיחה כלכלית לנפש</w:t>
      </w:r>
      <w:r>
        <w:rPr>
          <w:rFonts w:ascii="Tahoma" w:hAnsi="Tahoma" w:cs="Tahoma"/>
          <w:color w:val="000000" w:themeColor="text1"/>
          <w:sz w:val="20"/>
          <w:szCs w:val="20"/>
          <w:vertAlign w:val="superscript"/>
          <w:rtl/>
        </w:rPr>
        <w:footnoteReference w:id="29"/>
      </w:r>
      <w:r w:rsidRPr="00140F99">
        <w:rPr>
          <w:rFonts w:ascii="Tahoma" w:hAnsi="Tahoma" w:cs="Tahoma"/>
          <w:color w:val="000000" w:themeColor="text1"/>
          <w:sz w:val="20"/>
          <w:szCs w:val="20"/>
          <w:rtl/>
        </w:rPr>
        <w:t>. מכאן שהשגת צמיחה במשק ושמירה על יציבות תעסוקתית וכלכלית בשוק עבודה משתנה מחייבות, בין היתר, שמערכת החינוך תיערך לאתגרים אלה בהכנת בוגריה לשינויים הצפויים בשוק העבודה וכן את היערכות המערכות להכשרת מבוגרים: דרושה השקעה בהוראה בבתי הספר ובהכשרה למבוגרים, כדי שהן יתאימו לצורכי השוק החדשים ויביאו לשיפור כישוריהם של העובדים הנוכחיים והעתידיים. תפיסה זו באה לידי ביטוי במטרות הגלובליות לפיתוח בר-קיימה שאימצה העצרת הכללית של האומות המאוחדות ב-2015 בנושא הלמידה לאורך החיים ואספקת חינוך והכשרות שוויוניים ואיכותיים לכול</w:t>
      </w:r>
      <w:r>
        <w:rPr>
          <w:rFonts w:ascii="Tahoma" w:hAnsi="Tahoma" w:cs="Tahoma"/>
          <w:color w:val="000000" w:themeColor="text1"/>
          <w:sz w:val="20"/>
          <w:szCs w:val="20"/>
          <w:vertAlign w:val="superscript"/>
          <w:rtl/>
        </w:rPr>
        <w:footnoteReference w:id="30"/>
      </w:r>
      <w:r w:rsidRPr="00140F99">
        <w:rPr>
          <w:rFonts w:ascii="Tahoma" w:hAnsi="Tahoma" w:cs="Tahoma"/>
          <w:color w:val="000000" w:themeColor="text1"/>
          <w:sz w:val="20"/>
          <w:szCs w:val="20"/>
          <w:rtl/>
        </w:rPr>
        <w:t>.</w:t>
      </w:r>
    </w:p>
    <w:p w:rsidR="008603E7" w:rsidRPr="00140F99" w:rsidP="00140F99" w14:paraId="727EFF93" w14:textId="11F27DC7">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 xml:space="preserve">לאור זאת, המועצה הלאומית לכלכלה הציבה את טיפוח ומיצוי ההון האנושי כסוגיה האסטרטגית הראשונה העומדת בפני מדינת ישראל - במסגרת הערכת מצב אסטרטגית </w:t>
      </w:r>
      <w:r w:rsidR="00360D83">
        <w:rPr>
          <w:rFonts w:ascii="Tahoma" w:hAnsi="Tahoma" w:cs="Tahoma"/>
          <w:color w:val="000000" w:themeColor="text1"/>
          <w:sz w:val="20"/>
          <w:szCs w:val="20"/>
          <w:rtl/>
        </w:rPr>
        <w:br/>
      </w:r>
      <w:r w:rsidRPr="00140F99">
        <w:rPr>
          <w:rFonts w:ascii="Tahoma" w:hAnsi="Tahoma" w:cs="Tahoma"/>
          <w:color w:val="000000" w:themeColor="text1"/>
          <w:sz w:val="20"/>
          <w:szCs w:val="20"/>
          <w:rtl/>
        </w:rPr>
        <w:t>מ-2015, שאומצה על ידי הממשלה</w:t>
      </w:r>
      <w:r>
        <w:rPr>
          <w:rFonts w:ascii="Tahoma" w:hAnsi="Tahoma" w:cs="Tahoma"/>
          <w:color w:val="000000" w:themeColor="text1"/>
          <w:sz w:val="20"/>
          <w:szCs w:val="20"/>
          <w:vertAlign w:val="superscript"/>
          <w:rtl/>
        </w:rPr>
        <w:footnoteReference w:id="31"/>
      </w:r>
      <w:r w:rsidRPr="00140F99">
        <w:rPr>
          <w:rFonts w:ascii="Tahoma" w:hAnsi="Tahoma" w:cs="Tahoma"/>
          <w:color w:val="000000" w:themeColor="text1"/>
          <w:sz w:val="20"/>
          <w:szCs w:val="20"/>
          <w:rtl/>
        </w:rPr>
        <w:t xml:space="preserve">. גם רשויות המדינה הכירו בצורך זה ואף החלו לנקוט פעולות שונות להתמודדות עם האתגרים. במסגרת זו ערך משרד החינוך בשני העשורים האחרונים כמה רפורמות פדגוגיות שביקשו, בין היתר, להקנות לתלמידים את מיומנויות המאה ה-21. הבולטת ביניהן היא רפורמת "למידה משמעותית", שהחלה בשנת 2013 ומטרת העל שלה הוגדרה כ"הנחלת בסיס ידע, ערכים ומיומנויות הנדרשים במאה ה-21". כמו כן, משרד החינוך הצטרף לתוכנית </w:t>
      </w:r>
      <w:r w:rsidRPr="00140F99">
        <w:rPr>
          <w:rFonts w:ascii="Tahoma" w:hAnsi="Tahoma" w:cs="Tahoma"/>
          <w:color w:val="000000" w:themeColor="text1"/>
          <w:sz w:val="20"/>
          <w:szCs w:val="20"/>
        </w:rPr>
        <w:t>Education 2030</w:t>
      </w:r>
      <w:r w:rsidRPr="00140F99">
        <w:rPr>
          <w:rFonts w:ascii="Tahoma" w:hAnsi="Tahoma" w:cs="Tahoma"/>
          <w:color w:val="000000" w:themeColor="text1"/>
          <w:sz w:val="20"/>
          <w:szCs w:val="20"/>
          <w:rtl/>
        </w:rPr>
        <w:t xml:space="preserve"> שמוביל ה-</w:t>
      </w:r>
      <w:r w:rsidRPr="00140F99">
        <w:rPr>
          <w:rFonts w:ascii="Tahoma" w:hAnsi="Tahoma" w:cs="Tahoma"/>
          <w:color w:val="000000" w:themeColor="text1"/>
          <w:sz w:val="20"/>
          <w:szCs w:val="20"/>
        </w:rPr>
        <w:t>OECD</w:t>
      </w:r>
      <w:r w:rsidRPr="00140F99">
        <w:rPr>
          <w:rFonts w:ascii="Tahoma" w:hAnsi="Tahoma" w:cs="Tahoma"/>
          <w:color w:val="000000" w:themeColor="text1"/>
          <w:sz w:val="20"/>
          <w:szCs w:val="20"/>
          <w:rtl/>
        </w:rPr>
        <w:t>. בנושא ענפי ההיי-טק, הממשלה קיבלה ב-2017 החלטה על תוכנית לאומית להגדלת כוח אדם מיומן לתעשיית ההיי-טק</w:t>
      </w:r>
      <w:r>
        <w:rPr>
          <w:rFonts w:ascii="Tahoma" w:hAnsi="Tahoma" w:cs="Tahoma"/>
          <w:color w:val="000000" w:themeColor="text1"/>
          <w:sz w:val="20"/>
          <w:szCs w:val="20"/>
          <w:vertAlign w:val="superscript"/>
          <w:rtl/>
        </w:rPr>
        <w:footnoteReference w:id="32"/>
      </w:r>
      <w:r w:rsidRPr="00140F99">
        <w:rPr>
          <w:rFonts w:ascii="Tahoma" w:hAnsi="Tahoma" w:cs="Tahoma"/>
          <w:color w:val="000000" w:themeColor="text1"/>
          <w:sz w:val="20"/>
          <w:szCs w:val="20"/>
          <w:rtl/>
        </w:rPr>
        <w:t>. בנוגע למבוגרים במבט רחב, משרד העבודה, הרווחה והשירותים החברתיים הקים את הוועדה לקידום תחום התעסוקה לקראת שנת 2030, שעסקה בין היתר באתגרי שוק העבודה המשתנה</w:t>
      </w:r>
      <w:r>
        <w:rPr>
          <w:rFonts w:ascii="Tahoma" w:hAnsi="Tahoma" w:cs="Tahoma"/>
          <w:color w:val="000000" w:themeColor="text1"/>
          <w:sz w:val="20"/>
          <w:szCs w:val="20"/>
          <w:vertAlign w:val="superscript"/>
          <w:rtl/>
        </w:rPr>
        <w:footnoteReference w:id="33"/>
      </w:r>
      <w:r w:rsidRPr="00140F99">
        <w:rPr>
          <w:rFonts w:ascii="Tahoma" w:hAnsi="Tahoma" w:cs="Tahoma"/>
          <w:color w:val="000000" w:themeColor="text1"/>
          <w:sz w:val="20"/>
          <w:szCs w:val="20"/>
          <w:rtl/>
        </w:rPr>
        <w:t>.</w:t>
      </w:r>
    </w:p>
    <w:p w:rsidR="008603E7" w:rsidRPr="00140F99" w:rsidP="00140F99" w14:paraId="0D1FA79C" w14:textId="77777777">
      <w:pPr>
        <w:pStyle w:val="a5"/>
        <w:spacing w:after="120"/>
        <w:rPr>
          <w:rFonts w:ascii="Tahoma" w:hAnsi="Tahoma" w:cs="Tahoma"/>
          <w:color w:val="000000" w:themeColor="text1"/>
          <w:sz w:val="20"/>
          <w:szCs w:val="20"/>
          <w:rtl/>
        </w:rPr>
      </w:pPr>
      <w:r w:rsidRPr="00140F99">
        <w:rPr>
          <w:rFonts w:ascii="Tahoma" w:hAnsi="Tahoma" w:cs="Tahoma"/>
          <w:color w:val="000000" w:themeColor="text1"/>
          <w:sz w:val="20"/>
          <w:szCs w:val="20"/>
          <w:rtl/>
        </w:rPr>
        <w:t xml:space="preserve">אחד האמצעים המרכזיים להתמודדות עם השינויים בשוק העבודה הוא להקנות לאזרחי המדינה את הידע והכישורים המתאימים לאורך שלבי החיים: משלב בית הספר, שבו למערכת </w:t>
      </w:r>
      <w:r w:rsidRPr="00140F99">
        <w:rPr>
          <w:rFonts w:ascii="Tahoma" w:hAnsi="Tahoma" w:cs="Tahoma"/>
          <w:color w:val="000000" w:themeColor="text1"/>
          <w:sz w:val="20"/>
          <w:szCs w:val="20"/>
          <w:rtl/>
        </w:rPr>
        <w:t xml:space="preserve">החינוך תפקיד מרכזי כתחנה ראשונה להקניה תשתיתית של מיומנויות שילוו את התלמיד לאורך חייו; ודרך כל שלבי הבגרות - החל ביציאה הראשונית לעבודה ובהמשך חייו המקצועיים. לאור תכיפות השינויים, יש חשיבות מיוחדת להקניית מיומנויות בסיס חזקות וכן כישורים "רכים" המתאימים למגוון מצבים, ובהם היכולת ללמידה עצמית מתמשכת. לכן המערכות הרבות ברחבי העולם האמונות על הנושא פועלות בשנים האחרונות כדי לוודא שהן מעודכנות מבחינת הצרכים המשתנים ומיישמות את השינויים הנדרשים הן בתוכן הפעילות, הן בהיקפה והן מבחינת האוכלוסיות שאליהן הן פונות. </w:t>
      </w:r>
    </w:p>
    <w:p w:rsidR="008603E7" w:rsidRPr="00140F99" w:rsidP="00140F99" w14:paraId="126DD33B" w14:textId="77777777">
      <w:pPr>
        <w:pStyle w:val="RESHET"/>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line="312" w:lineRule="auto"/>
        <w:ind w:right="284"/>
        <w:rPr>
          <w:rFonts w:ascii="Tahoma" w:hAnsi="Tahoma" w:cs="Tahoma"/>
          <w:b w:val="0"/>
          <w:bCs w:val="0"/>
          <w:sz w:val="16"/>
          <w:szCs w:val="20"/>
          <w:rtl/>
        </w:rPr>
      </w:pPr>
      <w:r w:rsidRPr="00140F99">
        <w:rPr>
          <w:rFonts w:ascii="Tahoma" w:hAnsi="Tahoma" w:cs="Tahoma"/>
          <w:b w:val="0"/>
          <w:bCs w:val="0"/>
          <w:sz w:val="16"/>
          <w:szCs w:val="20"/>
          <w:rtl/>
        </w:rPr>
        <w:t xml:space="preserve">במקבץ הדוחות שלהלן בחן משרד מבקר המדינה את התמודדות הרשויות בישראל עם אתגר המוכנות לשוק העבודה המשתנה במניפה רחבה של היבטים הנוגעים להון האנושי של העובדים הקיימים והעתידיים. ראשית, נבחנה היערכות משרד החינוך להתאמת מערכת החינוך הישראלית למאה ה-21 ולהקניית המיומנויות הנדרשות לתלמידים בשוק העבודה המשתנה. שנית, נבחנו פעולות המדינה להגדלת מספר העובדים בתעשיית ההיי-טק בהתאם להחלטות הממשלה השונות וההיערכות </w:t>
      </w:r>
      <w:r w:rsidRPr="00140F99">
        <w:rPr>
          <w:rFonts w:ascii="Tahoma" w:hAnsi="Tahoma" w:cs="Tahoma"/>
          <w:b w:val="0"/>
          <w:bCs w:val="0"/>
          <w:sz w:val="16"/>
          <w:szCs w:val="20"/>
          <w:rtl/>
        </w:rPr>
        <w:t>לביקושים</w:t>
      </w:r>
      <w:r w:rsidRPr="00140F99">
        <w:rPr>
          <w:rFonts w:ascii="Tahoma" w:hAnsi="Tahoma" w:cs="Tahoma"/>
          <w:b w:val="0"/>
          <w:bCs w:val="0"/>
          <w:sz w:val="16"/>
          <w:szCs w:val="20"/>
          <w:rtl/>
        </w:rPr>
        <w:t xml:space="preserve"> העתידיים לעובדים בתעשייה זו. שלישית, נבחן מערך ההכשרות המקצועיות והטכנולוגיות למבוגרים והתאמתו לצורכי שוק העבודה המשתנה והעובדים בו, ולצידו נבחנו היוזמות הממשלתיות לעידוד למידה לאורך החיים על כלל היבטיה. לבסוף, נבחן המענה הממשלתי לצורך הגובר בהקניית אוריינות דיגיטלית מספקת לכלל האוכלוסייה. </w:t>
      </w:r>
    </w:p>
    <w:p w:rsidR="008603E7" w:rsidRPr="00140F99" w:rsidP="00140F99" w14:paraId="1A4D43D2" w14:textId="77777777">
      <w:pPr>
        <w:pStyle w:val="RESHET"/>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line="312" w:lineRule="auto"/>
        <w:ind w:right="284"/>
        <w:rPr>
          <w:rFonts w:ascii="Tahoma" w:hAnsi="Tahoma" w:cs="Tahoma"/>
          <w:b w:val="0"/>
          <w:bCs w:val="0"/>
          <w:sz w:val="16"/>
          <w:szCs w:val="20"/>
          <w:rtl/>
        </w:rPr>
      </w:pPr>
      <w:r w:rsidRPr="00140F99">
        <w:rPr>
          <w:rFonts w:ascii="Tahoma" w:hAnsi="Tahoma" w:cs="Tahoma"/>
          <w:b w:val="0"/>
          <w:bCs w:val="0"/>
          <w:sz w:val="16"/>
          <w:szCs w:val="20"/>
          <w:rtl/>
        </w:rPr>
        <w:t xml:space="preserve">בשל חשיבותו הגלובלית של נושא המוכנות לשוק העבודה המשתנה, משרד מבקר המדינה ביצע את הביקורת שבמקבץ דוחות זה גם כחלק מפרויקט ביקורת שבו נעשה שיתוף פעולה בין-לאומי עם משרדי מבקרי מדינה במדינות שונות: פינלנד, דרום קוריאה, האיחוד האירופי, איטליה, בולגריה וצפון מקדוניה. </w:t>
      </w:r>
    </w:p>
    <w:p w:rsidR="008603E7" w:rsidRPr="00844F8B" w:rsidP="00140F99" w14:paraId="212F8A69" w14:textId="77777777">
      <w:pPr>
        <w:pStyle w:val="RESHET"/>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line="312" w:lineRule="auto"/>
        <w:ind w:right="284"/>
        <w:rPr>
          <w:rFonts w:ascii="Tahoma" w:hAnsi="Tahoma" w:cs="Tahoma"/>
          <w:b w:val="0"/>
          <w:bCs w:val="0"/>
          <w:color w:val="000000" w:themeColor="text1"/>
          <w:sz w:val="20"/>
          <w:szCs w:val="20"/>
        </w:rPr>
      </w:pPr>
      <w:r w:rsidRPr="00844F8B">
        <w:rPr>
          <w:rFonts w:ascii="Tahoma" w:hAnsi="Tahoma" w:cs="Tahoma"/>
          <w:b w:val="0"/>
          <w:bCs w:val="0"/>
          <w:color w:val="000000" w:themeColor="text1"/>
          <w:sz w:val="20"/>
          <w:szCs w:val="20"/>
          <w:rtl/>
        </w:rPr>
        <w:t>המשבר התעסוקתי הנלווה למגפת הקורונה שפרצה בארץ במרץ 2020 מחדד את החשיבות בהשקעה בהון אנושי של עובדים קיימים, של מחוסרי עבודה ושל עובדים עתידיים - ילדים ונוער היום - לשם הגברת המסוגלות התעסוקתית במציאות משתנה והמשך ביסוס מגזר ההיי-טק. הדבר נכון במיוחד לאוכלוסיות בחברה הישראלית שהן מעוטות אמצעים ומיומנויות, ולכן הן קיבלו במקבץ הדוחות תשומת לב ייחודית. מעבר לכך, ימים אלה של משבר משמשים גם הזדמנות לשינוי ולהשקעה ברכישת מיומנויות במסגרות ההכשרה והלמידה השונות, וזאת מתוך ראייה צופה פני עתיד להשתלבות מיטבית ויציבה בשוק העבודה המשתנה.</w:t>
      </w:r>
    </w:p>
    <w:p w:rsidR="00A36941" w:rsidRPr="00140F99" w:rsidP="008B17A0" w14:paraId="4D055FD8" w14:textId="77777777">
      <w:pPr>
        <w:spacing w:after="120"/>
        <w:rPr>
          <w:rFonts w:ascii="Tahoma" w:hAnsi="Tahoma" w:cs="Tahoma"/>
          <w:szCs w:val="20"/>
          <w:rtl/>
        </w:rPr>
      </w:pPr>
    </w:p>
    <w:sectPr w:rsidSect="00FA6941">
      <w:headerReference w:type="first" r:id="rId24"/>
      <w:footerReference w:type="first" r:id="rId25"/>
      <w:pgSz w:w="11906" w:h="16838"/>
      <w:pgMar w:top="2268" w:right="1985" w:bottom="2155"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Aria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Fb Formalist Black">
    <w:panose1 w:val="00000000000000000000"/>
    <w:charset w:val="B1"/>
    <w:family w:val="modern"/>
    <w:notTrueType/>
    <w:pitch w:val="variable"/>
    <w:sig w:usb0="00000801" w:usb1="40000000" w:usb2="00000000" w:usb3="00000000" w:csb0="00000020" w:csb1="00000000"/>
  </w:font>
  <w:font w:name="Fb Formalist Bold">
    <w:panose1 w:val="00000000000000000000"/>
    <w:charset w:val="B1"/>
    <w:family w:val="modern"/>
    <w:notTrueType/>
    <w:pitch w:val="variable"/>
    <w:sig w:usb0="00000801" w:usb1="40000000" w:usb2="00000000" w:usb3="00000000" w:csb0="00000020" w:csb1="00000000"/>
  </w:font>
  <w:font w:name="Fb Formalist Light">
    <w:altName w:val="Tahoma"/>
    <w:panose1 w:val="00000000000000000000"/>
    <w:charset w:val="B1"/>
    <w:family w:val="modern"/>
    <w:notTrueType/>
    <w:pitch w:val="variable"/>
    <w:sig w:usb0="00000801" w:usb1="40000000" w:usb2="00000000" w:usb3="00000000" w:csb0="00000020" w:csb1="00000000"/>
  </w:font>
  <w:font w:name="Fb Formalist Medium">
    <w:panose1 w:val="00000000000000000000"/>
    <w:charset w:val="B1"/>
    <w:family w:val="modern"/>
    <w:notTrueType/>
    <w:pitch w:val="variable"/>
    <w:sig w:usb0="00000801" w:usb1="40000000" w:usb2="00000000" w:usb3="00000000" w:csb0="00000020" w:csb1="00000000"/>
  </w:font>
  <w:font w:name="Fb Formalist">
    <w:panose1 w:val="00000000000000000000"/>
    <w:charset w:val="B1"/>
    <w:family w:val="modern"/>
    <w:notTrueType/>
    <w:pitch w:val="variable"/>
    <w:sig w:usb0="00000801" w:usb1="40000000" w:usb2="00000000" w:usb3="00000000" w:csb0="00000020" w:csb1="00000000"/>
  </w:font>
  <w:font w:name="Open Sans Hebrew Light">
    <w:altName w:val="Arial"/>
    <w:charset w:val="00"/>
    <w:family w:val="auto"/>
    <w:pitch w:val="variable"/>
    <w:sig w:usb0="00000803" w:usb1="4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0B92" w:rsidRPr="00DE6C5F" w:rsidP="00600B92" w14:paraId="45FE0804" w14:textId="77777777">
    <w:pPr>
      <w:pStyle w:val="Footer"/>
      <w:spacing w:after="120" w:line="312" w:lineRule="auto"/>
      <w:jc w:val="center"/>
      <w:rPr>
        <w:rFonts w:ascii="Tahoma" w:hAnsi="Tahoma" w:cs="Tahoma"/>
        <w:color w:val="002060"/>
        <w:sz w:val="18"/>
        <w:szCs w:val="18"/>
      </w:rPr>
    </w:pP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Pr>
        <w:rtl/>
      </w:rPr>
      <w:t>7</w:t>
    </w:r>
    <w:r>
      <w:rPr>
        <w:rtl/>
      </w:rPr>
      <w:fldChar w:fldCharType="end"/>
    </w:r>
    <w:r>
      <w:t xml:space="preserve"> </w:t>
    </w:r>
    <w:r>
      <w:rPr>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33EC" w:rsidRPr="00DE6C5F" w:rsidP="00A30705" w14:paraId="3CB17AB7" w14:textId="7D207043">
    <w:pPr>
      <w:pStyle w:val="Footer"/>
      <w:spacing w:after="120" w:line="312" w:lineRule="auto"/>
      <w:jc w:val="center"/>
      <w:rPr>
        <w:rFonts w:ascii="Tahoma" w:hAnsi="Tahoma" w:cs="Tahoma"/>
        <w:color w:val="002060"/>
        <w:sz w:val="18"/>
        <w:szCs w:val="18"/>
      </w:rPr>
    </w:pP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Pr>
        <w:rtl/>
      </w:rPr>
      <w:t>21</w:t>
    </w:r>
    <w:r>
      <w:rPr>
        <w:rtl/>
      </w:rPr>
      <w:fldChar w:fldCharType="end"/>
    </w:r>
    <w:r>
      <w:t xml:space="preserve"> </w:t>
    </w:r>
    <w:r>
      <w:rPr>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593" w:rsidRPr="00D15500" w:rsidP="00D15500" w14:paraId="70465E85"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6229F" w:rsidP="00C23CC9" w14:paraId="706EE61A" w14:textId="77777777">
      <w:pPr>
        <w:spacing w:line="240" w:lineRule="auto"/>
      </w:pPr>
      <w:r>
        <w:separator/>
      </w:r>
    </w:p>
  </w:footnote>
  <w:footnote w:type="continuationSeparator" w:id="1">
    <w:p w:rsidR="0026229F" w:rsidP="00C23CC9" w14:paraId="30DD136F" w14:textId="77777777">
      <w:pPr>
        <w:spacing w:line="240" w:lineRule="auto"/>
      </w:pPr>
      <w:r>
        <w:continuationSeparator/>
      </w:r>
    </w:p>
  </w:footnote>
  <w:footnote w:id="2">
    <w:p w:rsidR="008603E7" w:rsidRPr="00E8021E" w:rsidP="001D3A6C" w14:paraId="37DD9DAF" w14:textId="7172AC7C">
      <w:pPr>
        <w:pStyle w:val="a7"/>
        <w:spacing w:after="60"/>
        <w:ind w:left="340" w:hanging="340"/>
        <w:rPr>
          <w:rFonts w:ascii="Tahoma" w:hAnsi="Tahoma" w:cs="Tahoma"/>
          <w:sz w:val="16"/>
          <w:szCs w:val="16"/>
        </w:rPr>
      </w:pPr>
      <w:r w:rsidRPr="00E8021E">
        <w:rPr>
          <w:rFonts w:ascii="Tahoma" w:hAnsi="Tahoma" w:cs="Tahoma"/>
          <w:sz w:val="16"/>
          <w:szCs w:val="16"/>
          <w:rtl/>
        </w:rPr>
        <w:footnoteRef/>
      </w:r>
      <w:r w:rsidRPr="00E8021E">
        <w:rPr>
          <w:rFonts w:ascii="Tahoma" w:hAnsi="Tahoma" w:cs="Tahoma"/>
          <w:sz w:val="16"/>
          <w:szCs w:val="16"/>
          <w:rtl/>
        </w:rPr>
        <w:tab/>
        <w:t xml:space="preserve">השינויים הטכנולוגיים נוגעים בעיקר לטכנולוגיות תקשורת ומידע ומועצמים הודות לפיתוחים כגון בינה מלאכותית, האינטרנט של הדברים, רובוטיקה, רכבים אוטונומיים, הדפסת תלת-ממד, ביוטכנולוגיה, </w:t>
      </w:r>
      <w:r w:rsidRPr="00E8021E">
        <w:rPr>
          <w:rFonts w:ascii="Tahoma" w:hAnsi="Tahoma" w:cs="Tahoma"/>
          <w:sz w:val="16"/>
          <w:szCs w:val="16"/>
          <w:rtl/>
        </w:rPr>
        <w:t>נאנו</w:t>
      </w:r>
      <w:r w:rsidRPr="00E8021E">
        <w:rPr>
          <w:rFonts w:ascii="Tahoma" w:hAnsi="Tahoma" w:cs="Tahoma"/>
          <w:sz w:val="16"/>
          <w:szCs w:val="16"/>
          <w:rtl/>
        </w:rPr>
        <w:t xml:space="preserve">-טכנולוגיה, מחשוב קוונטי ועוד: </w:t>
      </w:r>
      <w:r w:rsidRPr="00E8021E" w:rsidR="001D3A6C">
        <w:rPr>
          <w:rFonts w:ascii="Tahoma" w:hAnsi="Tahoma" w:cs="Tahoma"/>
          <w:sz w:val="16"/>
          <w:szCs w:val="16"/>
        </w:rPr>
        <w:t xml:space="preserve">World Economic Forum, </w:t>
      </w:r>
      <w:r w:rsidRPr="00E8021E" w:rsidR="001D3A6C">
        <w:rPr>
          <w:rFonts w:ascii="Tahoma" w:hAnsi="Tahoma" w:cs="Tahoma"/>
          <w:b/>
          <w:bCs/>
          <w:sz w:val="16"/>
          <w:szCs w:val="16"/>
        </w:rPr>
        <w:t>The Fourth Industrial Revolution</w:t>
      </w:r>
      <w:r w:rsidRPr="00E8021E" w:rsidR="001D3A6C">
        <w:rPr>
          <w:rFonts w:ascii="Tahoma" w:hAnsi="Tahoma" w:cs="Tahoma"/>
          <w:sz w:val="16"/>
          <w:szCs w:val="16"/>
          <w:rtl/>
        </w:rPr>
        <w:t xml:space="preserve"> </w:t>
      </w:r>
      <w:r w:rsidRPr="00E8021E">
        <w:rPr>
          <w:rFonts w:ascii="Tahoma" w:hAnsi="Tahoma" w:cs="Tahoma"/>
          <w:sz w:val="16"/>
          <w:szCs w:val="16"/>
          <w:rtl/>
        </w:rPr>
        <w:t>[</w:t>
      </w:r>
      <w:bookmarkStart w:id="0" w:name="_Hlk64159732"/>
      <w:hyperlink r:id="rId1" w:history="1">
        <w:r w:rsidRPr="00E8021E" w:rsidR="001D3A6C">
          <w:rPr>
            <w:rStyle w:val="Hyperlink"/>
            <w:rFonts w:ascii="Tahoma" w:hAnsi="Tahoma" w:cs="Tahoma"/>
            <w:sz w:val="16"/>
            <w:szCs w:val="16"/>
            <w:rtl/>
          </w:rPr>
          <w:t>קישור</w:t>
        </w:r>
      </w:hyperlink>
      <w:bookmarkEnd w:id="0"/>
      <w:r w:rsidRPr="00E8021E">
        <w:rPr>
          <w:rFonts w:ascii="Tahoma" w:hAnsi="Tahoma" w:cs="Tahoma"/>
          <w:sz w:val="16"/>
          <w:szCs w:val="16"/>
          <w:rtl/>
        </w:rPr>
        <w:t xml:space="preserve">]; </w:t>
      </w:r>
      <w:r w:rsidRPr="00E8021E" w:rsidR="001D3A6C">
        <w:rPr>
          <w:rFonts w:ascii="Tahoma" w:hAnsi="Tahoma" w:cs="Tahoma"/>
          <w:sz w:val="16"/>
          <w:szCs w:val="16"/>
        </w:rPr>
        <w:t xml:space="preserve">OECD, </w:t>
      </w:r>
      <w:r w:rsidRPr="00E8021E" w:rsidR="001D3A6C">
        <w:rPr>
          <w:rFonts w:ascii="Tahoma" w:hAnsi="Tahoma" w:cs="Tahoma"/>
          <w:b/>
          <w:bCs/>
          <w:sz w:val="16"/>
          <w:szCs w:val="16"/>
        </w:rPr>
        <w:t>Employment Outlook 2019: The Future of Work</w:t>
      </w:r>
      <w:r w:rsidRPr="00E8021E" w:rsidR="001D3A6C">
        <w:rPr>
          <w:rFonts w:ascii="Tahoma" w:hAnsi="Tahoma" w:cs="Tahoma"/>
          <w:sz w:val="16"/>
          <w:szCs w:val="16"/>
        </w:rPr>
        <w:t xml:space="preserve"> (2019) p.3</w:t>
      </w:r>
      <w:r w:rsidRPr="00E8021E" w:rsidR="001D3A6C">
        <w:rPr>
          <w:rFonts w:ascii="Tahoma" w:hAnsi="Tahoma" w:cs="Tahoma"/>
          <w:sz w:val="16"/>
          <w:szCs w:val="16"/>
          <w:rtl/>
        </w:rPr>
        <w:t>.</w:t>
      </w:r>
    </w:p>
  </w:footnote>
  <w:footnote w:id="3">
    <w:p w:rsidR="008603E7" w:rsidRPr="00E8021E" w:rsidP="00841FC5" w14:paraId="4BF71D9D" w14:textId="1097C424">
      <w:pPr>
        <w:pStyle w:val="a7"/>
        <w:spacing w:after="60"/>
        <w:ind w:left="340" w:hanging="340"/>
        <w:rPr>
          <w:rFonts w:ascii="Tahoma" w:hAnsi="Tahoma" w:cs="Tahoma"/>
          <w:sz w:val="16"/>
          <w:szCs w:val="16"/>
          <w:rtl/>
        </w:rPr>
      </w:pPr>
      <w:r w:rsidRPr="00E8021E">
        <w:rPr>
          <w:rFonts w:ascii="Tahoma" w:hAnsi="Tahoma" w:cs="Tahoma"/>
          <w:sz w:val="16"/>
          <w:szCs w:val="16"/>
          <w:rtl/>
        </w:rPr>
        <w:footnoteRef/>
      </w:r>
      <w:r w:rsidRPr="00E8021E">
        <w:rPr>
          <w:rFonts w:ascii="Tahoma" w:hAnsi="Tahoma" w:cs="Tahoma"/>
          <w:sz w:val="16"/>
          <w:szCs w:val="16"/>
          <w:rtl/>
        </w:rPr>
        <w:tab/>
      </w:r>
      <w:r w:rsidRPr="00E8021E" w:rsidR="001D3A6C">
        <w:rPr>
          <w:rFonts w:ascii="Tahoma" w:hAnsi="Tahoma" w:cs="Tahoma"/>
          <w:sz w:val="16"/>
          <w:szCs w:val="16"/>
        </w:rPr>
        <w:t>OECD,</w:t>
      </w:r>
      <w:r w:rsidRPr="00E8021E" w:rsidR="001D3A6C">
        <w:rPr>
          <w:rFonts w:ascii="Tahoma" w:hAnsi="Tahoma" w:cs="Tahoma"/>
          <w:b/>
          <w:bCs/>
          <w:sz w:val="16"/>
          <w:szCs w:val="16"/>
        </w:rPr>
        <w:t xml:space="preserve"> Getting Skills Right: Engaging low-skilled adults in learning </w:t>
      </w:r>
      <w:r w:rsidRPr="00E8021E" w:rsidR="001D3A6C">
        <w:rPr>
          <w:rFonts w:ascii="Tahoma" w:hAnsi="Tahoma" w:cs="Tahoma"/>
          <w:sz w:val="16"/>
          <w:szCs w:val="16"/>
        </w:rPr>
        <w:t>(2019) p. 2</w:t>
      </w:r>
      <w:r w:rsidRPr="00E8021E" w:rsidR="001D3A6C">
        <w:rPr>
          <w:rFonts w:ascii="Tahoma" w:hAnsi="Tahoma" w:cs="Tahoma"/>
          <w:sz w:val="16"/>
          <w:szCs w:val="16"/>
          <w:rtl/>
        </w:rPr>
        <w:t>.</w:t>
      </w:r>
    </w:p>
  </w:footnote>
  <w:footnote w:id="4">
    <w:p w:rsidR="008603E7" w:rsidRPr="00E8021E" w:rsidP="00092852" w14:paraId="6237DE1C" w14:textId="77777777">
      <w:pPr>
        <w:pStyle w:val="a7"/>
        <w:spacing w:after="60"/>
        <w:ind w:left="340" w:hanging="340"/>
        <w:rPr>
          <w:rFonts w:ascii="Tahoma" w:hAnsi="Tahoma" w:cs="Tahoma"/>
          <w:sz w:val="16"/>
          <w:szCs w:val="16"/>
          <w:rtl/>
        </w:rPr>
      </w:pPr>
      <w:r w:rsidRPr="00E8021E">
        <w:rPr>
          <w:rFonts w:ascii="Tahoma" w:hAnsi="Tahoma" w:cs="Tahoma"/>
          <w:sz w:val="16"/>
          <w:szCs w:val="16"/>
          <w:rtl/>
        </w:rPr>
        <w:footnoteRef/>
      </w:r>
      <w:r w:rsidRPr="00E8021E">
        <w:rPr>
          <w:rFonts w:ascii="Tahoma" w:hAnsi="Tahoma" w:cs="Tahoma"/>
          <w:sz w:val="16"/>
          <w:szCs w:val="16"/>
          <w:rtl/>
        </w:rPr>
        <w:tab/>
        <w:t xml:space="preserve">המונחים "כישורים", "יכולות" ו"מיומנויות" משמשים בערבוביה מסוימת בשיח המסוגלות התעסוקתית, כשאין הסכמה מחקרית על דקויות ההבדלים ביניהם. ראו למשל יוסי תמיר וזהר נוימן, </w:t>
      </w:r>
      <w:r w:rsidRPr="00E8021E">
        <w:rPr>
          <w:rStyle w:val="a4"/>
          <w:rFonts w:ascii="Tahoma" w:hAnsi="Tahoma" w:cs="Tahoma"/>
          <w:b/>
          <w:bCs/>
          <w:sz w:val="16"/>
          <w:szCs w:val="16"/>
          <w:rtl/>
        </w:rPr>
        <w:t>מסוגלות תעסוקתית ועידוד תעסוקה: השלכות למציאות הישראלית</w:t>
      </w:r>
      <w:r w:rsidRPr="00E8021E">
        <w:rPr>
          <w:rStyle w:val="a4"/>
          <w:rFonts w:ascii="Tahoma" w:hAnsi="Tahoma" w:cs="Tahoma"/>
          <w:sz w:val="16"/>
          <w:szCs w:val="16"/>
          <w:rtl/>
        </w:rPr>
        <w:t xml:space="preserve"> </w:t>
      </w:r>
      <w:r w:rsidRPr="00E8021E">
        <w:rPr>
          <w:rFonts w:ascii="Tahoma" w:hAnsi="Tahoma" w:cs="Tahoma"/>
          <w:sz w:val="16"/>
          <w:szCs w:val="16"/>
          <w:rtl/>
        </w:rPr>
        <w:t xml:space="preserve">(האוניברסיטה העברית - קבוצת המחקר במדיניות חברתית, 2007); אלי אייזנברג ועומר </w:t>
      </w:r>
      <w:r w:rsidRPr="00E8021E">
        <w:rPr>
          <w:rFonts w:ascii="Tahoma" w:hAnsi="Tahoma" w:cs="Tahoma"/>
          <w:sz w:val="16"/>
          <w:szCs w:val="16"/>
          <w:rtl/>
        </w:rPr>
        <w:t>זליבנסקי</w:t>
      </w:r>
      <w:r w:rsidRPr="00E8021E">
        <w:rPr>
          <w:rFonts w:ascii="Tahoma" w:hAnsi="Tahoma" w:cs="Tahoma"/>
          <w:sz w:val="16"/>
          <w:szCs w:val="16"/>
          <w:rtl/>
        </w:rPr>
        <w:t xml:space="preserve">-אדן, </w:t>
      </w:r>
      <w:r w:rsidRPr="00E8021E">
        <w:rPr>
          <w:rStyle w:val="a4"/>
          <w:rFonts w:ascii="Tahoma" w:hAnsi="Tahoma" w:cs="Tahoma"/>
          <w:b/>
          <w:bCs/>
          <w:sz w:val="16"/>
          <w:szCs w:val="16"/>
          <w:rtl/>
        </w:rPr>
        <w:t>התאמת מערכת החינוך למאה ה-21</w:t>
      </w:r>
      <w:r w:rsidRPr="00E8021E">
        <w:rPr>
          <w:rFonts w:ascii="Tahoma" w:hAnsi="Tahoma" w:cs="Tahoma"/>
          <w:sz w:val="16"/>
          <w:szCs w:val="16"/>
          <w:rtl/>
        </w:rPr>
        <w:t xml:space="preserve"> (המכון הישראלי לדמוקרטיה, 2019). בדוחות במקבץ זה נעשה שימוש ככל הניתן במונח המקובל לפי ההקשר.</w:t>
      </w:r>
    </w:p>
  </w:footnote>
  <w:footnote w:id="5">
    <w:p w:rsidR="008603E7" w:rsidRPr="00E8021E" w:rsidP="00092852" w14:paraId="1450BC5B" w14:textId="2002366C">
      <w:pPr>
        <w:pStyle w:val="a7"/>
        <w:spacing w:after="60"/>
        <w:ind w:left="340" w:hanging="340"/>
        <w:rPr>
          <w:rFonts w:ascii="Tahoma" w:hAnsi="Tahoma" w:cs="Tahoma"/>
          <w:sz w:val="16"/>
          <w:szCs w:val="16"/>
          <w:rtl/>
        </w:rPr>
      </w:pPr>
      <w:r w:rsidRPr="00E8021E">
        <w:rPr>
          <w:rFonts w:ascii="Tahoma" w:hAnsi="Tahoma" w:cs="Tahoma"/>
          <w:sz w:val="16"/>
          <w:szCs w:val="16"/>
          <w:rtl/>
        </w:rPr>
        <w:footnoteRef/>
      </w:r>
      <w:r w:rsidRPr="00E8021E">
        <w:rPr>
          <w:rFonts w:ascii="Tahoma" w:hAnsi="Tahoma" w:cs="Tahoma"/>
          <w:sz w:val="16"/>
          <w:szCs w:val="16"/>
          <w:rtl/>
        </w:rPr>
        <w:tab/>
      </w:r>
      <w:r w:rsidRPr="00E8021E" w:rsidR="00E8021E">
        <w:rPr>
          <w:rFonts w:ascii="Tahoma" w:hAnsi="Tahoma" w:cs="Tahoma"/>
          <w:sz w:val="16"/>
          <w:szCs w:val="16"/>
        </w:rPr>
        <w:t>Nedelkoska</w:t>
      </w:r>
      <w:r w:rsidRPr="00E8021E" w:rsidR="00E8021E">
        <w:rPr>
          <w:rFonts w:ascii="Tahoma" w:hAnsi="Tahoma" w:cs="Tahoma"/>
          <w:sz w:val="16"/>
          <w:szCs w:val="16"/>
        </w:rPr>
        <w:t xml:space="preserve"> &amp; </w:t>
      </w:r>
      <w:r w:rsidRPr="00E8021E" w:rsidR="00E8021E">
        <w:rPr>
          <w:rFonts w:ascii="Tahoma" w:hAnsi="Tahoma" w:cs="Tahoma"/>
          <w:sz w:val="16"/>
          <w:szCs w:val="16"/>
        </w:rPr>
        <w:t>Quintini</w:t>
      </w:r>
      <w:r w:rsidRPr="00E8021E" w:rsidR="00E8021E">
        <w:rPr>
          <w:rFonts w:ascii="Tahoma" w:hAnsi="Tahoma" w:cs="Tahoma"/>
          <w:sz w:val="16"/>
          <w:szCs w:val="16"/>
        </w:rPr>
        <w:t xml:space="preserve">, </w:t>
      </w:r>
      <w:r w:rsidRPr="00E8021E" w:rsidR="00E8021E">
        <w:rPr>
          <w:rFonts w:ascii="Tahoma" w:hAnsi="Tahoma" w:cs="Tahoma"/>
          <w:b/>
          <w:bCs/>
          <w:sz w:val="16"/>
          <w:szCs w:val="16"/>
        </w:rPr>
        <w:t>Automation, skills use and training</w:t>
      </w:r>
      <w:r w:rsidRPr="00E8021E" w:rsidR="00E8021E">
        <w:rPr>
          <w:rFonts w:ascii="Tahoma" w:hAnsi="Tahoma" w:cs="Tahoma"/>
          <w:sz w:val="16"/>
          <w:szCs w:val="16"/>
        </w:rPr>
        <w:t xml:space="preserve"> (OECD Social, Employment &amp; Migration Working Papers No. 202, 2018) p. 7</w:t>
      </w:r>
      <w:r w:rsidRPr="00E8021E">
        <w:rPr>
          <w:rFonts w:ascii="Tahoma" w:hAnsi="Tahoma" w:cs="Tahoma"/>
          <w:sz w:val="16"/>
          <w:szCs w:val="16"/>
          <w:rtl/>
        </w:rPr>
        <w:t>;</w:t>
      </w:r>
      <w:r w:rsidRPr="00E8021E" w:rsidR="00841FC5">
        <w:rPr>
          <w:rFonts w:ascii="Tahoma" w:hAnsi="Tahoma" w:cs="Tahoma"/>
          <w:sz w:val="16"/>
          <w:szCs w:val="16"/>
          <w:rtl/>
        </w:rPr>
        <w:t xml:space="preserve"> </w:t>
      </w:r>
      <w:r w:rsidRPr="00E8021E">
        <w:rPr>
          <w:rFonts w:ascii="Tahoma" w:hAnsi="Tahoma" w:cs="Tahoma"/>
          <w:sz w:val="16"/>
          <w:szCs w:val="16"/>
          <w:rtl/>
        </w:rPr>
        <w:t>ה-</w:t>
      </w:r>
      <w:r w:rsidRPr="00E8021E">
        <w:rPr>
          <w:rFonts w:ascii="Tahoma" w:hAnsi="Tahoma" w:cs="Tahoma"/>
          <w:sz w:val="16"/>
          <w:szCs w:val="16"/>
        </w:rPr>
        <w:t>OECD</w:t>
      </w:r>
      <w:r w:rsidRPr="00E8021E" w:rsidR="00841FC5">
        <w:rPr>
          <w:rFonts w:ascii="Tahoma" w:hAnsi="Tahoma" w:cs="Tahoma"/>
          <w:sz w:val="16"/>
          <w:szCs w:val="16"/>
          <w:rtl/>
        </w:rPr>
        <w:t xml:space="preserve"> </w:t>
      </w:r>
      <w:r w:rsidRPr="00E8021E">
        <w:rPr>
          <w:rFonts w:ascii="Tahoma" w:hAnsi="Tahoma" w:cs="Tahoma"/>
          <w:sz w:val="16"/>
          <w:szCs w:val="16"/>
          <w:rtl/>
        </w:rPr>
        <w:t>-</w:t>
      </w:r>
      <w:r w:rsidRPr="00E8021E" w:rsidR="00841FC5">
        <w:rPr>
          <w:rFonts w:ascii="Tahoma" w:hAnsi="Tahoma" w:cs="Tahoma"/>
          <w:sz w:val="16"/>
          <w:szCs w:val="16"/>
          <w:rtl/>
        </w:rPr>
        <w:t xml:space="preserve"> </w:t>
      </w:r>
      <w:r w:rsidRPr="00E8021E">
        <w:rPr>
          <w:rFonts w:ascii="Tahoma" w:hAnsi="Tahoma" w:cs="Tahoma"/>
          <w:sz w:val="16"/>
          <w:szCs w:val="16"/>
          <w:rtl/>
        </w:rPr>
        <w:t xml:space="preserve">הארגון לשיתוף פעולה ולפיתוח כלכלי. ניתוח רחב ממדים אחר העלה כי בשנת 2017 עובדים בתפקידים המתאימים לאוטומציה התבקשו לבצע בממוצע 4.3 פחות משימות מאשר בשנת 2010, ועובדים בתפקידים אחרים התבקשו לבצע בממוצע 2.9 פחות משימות. כמו כן, משרות ביניים מצטמצמות לטובת גידול במשרות ובתפקידים בשכר נמוך וגבוה: </w:t>
      </w:r>
      <w:r w:rsidRPr="00E8021E" w:rsidR="00E8021E">
        <w:rPr>
          <w:rFonts w:ascii="Tahoma" w:hAnsi="Tahoma" w:cs="Tahoma"/>
          <w:sz w:val="16"/>
          <w:szCs w:val="16"/>
        </w:rPr>
        <w:t xml:space="preserve">MIT-IBM Watson AI Lab, </w:t>
      </w:r>
      <w:r w:rsidRPr="00E8021E" w:rsidR="00E8021E">
        <w:rPr>
          <w:rFonts w:ascii="Tahoma" w:hAnsi="Tahoma" w:cs="Tahoma"/>
          <w:b/>
          <w:bCs/>
          <w:sz w:val="16"/>
          <w:szCs w:val="16"/>
        </w:rPr>
        <w:t xml:space="preserve">The Future of Work: How New Technologies Are Transforming Tasks </w:t>
      </w:r>
      <w:r w:rsidRPr="00E8021E" w:rsidR="00E8021E">
        <w:rPr>
          <w:rFonts w:ascii="Tahoma" w:hAnsi="Tahoma" w:cs="Tahoma"/>
          <w:sz w:val="16"/>
          <w:szCs w:val="16"/>
        </w:rPr>
        <w:t>(2019) pp. 3-4</w:t>
      </w:r>
      <w:r w:rsidRPr="00E8021E">
        <w:rPr>
          <w:rFonts w:ascii="Tahoma" w:hAnsi="Tahoma" w:cs="Tahoma"/>
          <w:sz w:val="16"/>
          <w:szCs w:val="16"/>
          <w:rtl/>
        </w:rPr>
        <w:t>.</w:t>
      </w:r>
    </w:p>
  </w:footnote>
  <w:footnote w:id="6">
    <w:p w:rsidR="008603E7" w:rsidRPr="00E8021E" w:rsidP="00092852" w14:paraId="78569CE9" w14:textId="56F83D3A">
      <w:pPr>
        <w:pStyle w:val="a7"/>
        <w:spacing w:after="60"/>
        <w:ind w:left="340" w:hanging="340"/>
        <w:rPr>
          <w:rFonts w:ascii="Tahoma" w:hAnsi="Tahoma" w:cs="Tahoma"/>
          <w:sz w:val="16"/>
          <w:szCs w:val="16"/>
          <w:rtl/>
        </w:rPr>
      </w:pPr>
      <w:r w:rsidRPr="00E8021E">
        <w:rPr>
          <w:rFonts w:ascii="Tahoma" w:hAnsi="Tahoma" w:cs="Tahoma"/>
          <w:sz w:val="16"/>
          <w:szCs w:val="16"/>
          <w:rtl/>
        </w:rPr>
        <w:footnoteRef/>
      </w:r>
      <w:r w:rsidRPr="00E8021E">
        <w:rPr>
          <w:rFonts w:ascii="Tahoma" w:hAnsi="Tahoma" w:cs="Tahoma"/>
          <w:sz w:val="16"/>
          <w:szCs w:val="16"/>
          <w:rtl/>
        </w:rPr>
        <w:tab/>
        <w:t xml:space="preserve">הערכה של חברת </w:t>
      </w:r>
      <w:r w:rsidRPr="00E8021E">
        <w:rPr>
          <w:rFonts w:ascii="Tahoma" w:hAnsi="Tahoma" w:cs="Tahoma"/>
          <w:sz w:val="16"/>
          <w:szCs w:val="16"/>
          <w:rtl/>
        </w:rPr>
        <w:t>מקינזי</w:t>
      </w:r>
      <w:r w:rsidRPr="00E8021E">
        <w:rPr>
          <w:rFonts w:ascii="Tahoma" w:hAnsi="Tahoma" w:cs="Tahoma"/>
          <w:sz w:val="16"/>
          <w:szCs w:val="16"/>
          <w:rtl/>
        </w:rPr>
        <w:t xml:space="preserve"> -</w:t>
      </w:r>
      <w:r w:rsidRPr="00E8021E" w:rsidR="00E8021E">
        <w:rPr>
          <w:rFonts w:ascii="Tahoma" w:hAnsi="Tahoma" w:cs="Tahoma"/>
          <w:sz w:val="16"/>
          <w:szCs w:val="16"/>
        </w:rPr>
        <w:t xml:space="preserve"> McKinsey Global Institute, </w:t>
      </w:r>
      <w:r w:rsidRPr="00E8021E" w:rsidR="00E8021E">
        <w:rPr>
          <w:rFonts w:ascii="Tahoma" w:hAnsi="Tahoma" w:cs="Tahoma"/>
          <w:b/>
          <w:bCs/>
          <w:sz w:val="16"/>
          <w:szCs w:val="16"/>
        </w:rPr>
        <w:t xml:space="preserve">Jobs Lost, Jobs Gained: Workforce Transitions in a Time of Automation - executive summary </w:t>
      </w:r>
      <w:r w:rsidRPr="00E8021E" w:rsidR="00E8021E">
        <w:rPr>
          <w:rFonts w:ascii="Tahoma" w:hAnsi="Tahoma" w:cs="Tahoma"/>
          <w:sz w:val="16"/>
          <w:szCs w:val="16"/>
        </w:rPr>
        <w:t>(2017) p. 2</w:t>
      </w:r>
      <w:r w:rsidRPr="00E8021E">
        <w:rPr>
          <w:rFonts w:ascii="Tahoma" w:hAnsi="Tahoma" w:cs="Tahoma"/>
          <w:sz w:val="16"/>
          <w:szCs w:val="16"/>
          <w:rtl/>
        </w:rPr>
        <w:t>.</w:t>
      </w:r>
    </w:p>
  </w:footnote>
  <w:footnote w:id="7">
    <w:p w:rsidR="008603E7" w:rsidRPr="00E8021E" w:rsidP="00092852" w14:paraId="2DCE9D24" w14:textId="4AACD021">
      <w:pPr>
        <w:pStyle w:val="a7"/>
        <w:spacing w:after="60"/>
        <w:ind w:left="340" w:hanging="340"/>
        <w:rPr>
          <w:rFonts w:ascii="Tahoma" w:hAnsi="Tahoma" w:cs="Tahoma"/>
          <w:sz w:val="16"/>
          <w:szCs w:val="16"/>
          <w:rtl/>
        </w:rPr>
      </w:pPr>
      <w:r w:rsidRPr="00E8021E">
        <w:rPr>
          <w:rFonts w:ascii="Tahoma" w:hAnsi="Tahoma" w:cs="Tahoma"/>
          <w:sz w:val="16"/>
          <w:szCs w:val="16"/>
          <w:rtl/>
        </w:rPr>
        <w:footnoteRef/>
      </w:r>
      <w:r w:rsidRPr="00E8021E">
        <w:rPr>
          <w:rFonts w:ascii="Tahoma" w:hAnsi="Tahoma" w:cs="Tahoma"/>
          <w:sz w:val="16"/>
          <w:szCs w:val="16"/>
          <w:rtl/>
        </w:rPr>
        <w:tab/>
      </w:r>
      <w:r w:rsidRPr="00E8021E" w:rsidR="00E8021E">
        <w:rPr>
          <w:rFonts w:ascii="Tahoma" w:hAnsi="Tahoma" w:cs="Tahoma"/>
          <w:sz w:val="16"/>
          <w:szCs w:val="16"/>
        </w:rPr>
        <w:t xml:space="preserve">OECD, </w:t>
      </w:r>
      <w:r w:rsidRPr="00E8021E" w:rsidR="00E8021E">
        <w:rPr>
          <w:rFonts w:ascii="Tahoma" w:hAnsi="Tahoma" w:cs="Tahoma"/>
          <w:b/>
          <w:bCs/>
          <w:sz w:val="16"/>
          <w:szCs w:val="16"/>
        </w:rPr>
        <w:t xml:space="preserve">Job Creation and Local Economic Development 2018: Preparing for the Future of Work </w:t>
      </w:r>
      <w:r w:rsidRPr="00E8021E" w:rsidR="00E8021E">
        <w:rPr>
          <w:rFonts w:ascii="Tahoma" w:hAnsi="Tahoma" w:cs="Tahoma"/>
          <w:sz w:val="16"/>
          <w:szCs w:val="16"/>
        </w:rPr>
        <w:t>(2018) p. 6</w:t>
      </w:r>
      <w:r w:rsidRPr="00E8021E">
        <w:rPr>
          <w:rFonts w:ascii="Tahoma" w:hAnsi="Tahoma" w:cs="Tahoma"/>
          <w:sz w:val="16"/>
          <w:szCs w:val="16"/>
          <w:rtl/>
        </w:rPr>
        <w:t>.</w:t>
      </w:r>
    </w:p>
  </w:footnote>
  <w:footnote w:id="8">
    <w:p w:rsidR="008603E7" w:rsidRPr="00E8021E" w:rsidP="00092852" w14:paraId="6A6F49B7" w14:textId="377D2EE0">
      <w:pPr>
        <w:pStyle w:val="a7"/>
        <w:spacing w:after="60"/>
        <w:ind w:left="340" w:hanging="340"/>
        <w:rPr>
          <w:rFonts w:ascii="Tahoma" w:hAnsi="Tahoma" w:cs="Tahoma"/>
          <w:sz w:val="16"/>
          <w:szCs w:val="16"/>
          <w:rtl/>
        </w:rPr>
      </w:pPr>
      <w:r w:rsidRPr="00E8021E">
        <w:rPr>
          <w:rFonts w:ascii="Tahoma" w:hAnsi="Tahoma" w:cs="Tahoma"/>
          <w:sz w:val="16"/>
          <w:szCs w:val="16"/>
          <w:rtl/>
        </w:rPr>
        <w:footnoteRef/>
      </w:r>
      <w:r w:rsidRPr="00E8021E">
        <w:rPr>
          <w:rFonts w:ascii="Tahoma" w:hAnsi="Tahoma" w:cs="Tahoma"/>
          <w:sz w:val="16"/>
          <w:szCs w:val="16"/>
          <w:rtl/>
        </w:rPr>
        <w:tab/>
        <w:t xml:space="preserve">על פי נתוני ארה"ב ו-14 מדינות מערב אירופה: </w:t>
      </w:r>
      <w:r w:rsidRPr="00E8021E" w:rsidR="00E8021E">
        <w:rPr>
          <w:rFonts w:ascii="Tahoma" w:hAnsi="Tahoma" w:cs="Tahoma"/>
          <w:sz w:val="16"/>
          <w:szCs w:val="16"/>
        </w:rPr>
        <w:t xml:space="preserve">McKinsey Global Institute, </w:t>
      </w:r>
      <w:r w:rsidRPr="00E8021E" w:rsidR="00E8021E">
        <w:rPr>
          <w:rFonts w:ascii="Tahoma" w:hAnsi="Tahoma" w:cs="Tahoma"/>
          <w:b/>
          <w:bCs/>
          <w:sz w:val="16"/>
          <w:szCs w:val="16"/>
        </w:rPr>
        <w:t xml:space="preserve">Skill Shift Automation and the Future of the Workforce </w:t>
      </w:r>
      <w:r w:rsidRPr="00E8021E" w:rsidR="00E8021E">
        <w:rPr>
          <w:rFonts w:ascii="Tahoma" w:hAnsi="Tahoma" w:cs="Tahoma"/>
          <w:sz w:val="16"/>
          <w:szCs w:val="16"/>
        </w:rPr>
        <w:t>(2018)</w:t>
      </w:r>
      <w:r w:rsidRPr="00E8021E">
        <w:rPr>
          <w:rFonts w:ascii="Tahoma" w:hAnsi="Tahoma" w:cs="Tahoma"/>
          <w:sz w:val="16"/>
          <w:szCs w:val="16"/>
          <w:rtl/>
        </w:rPr>
        <w:t>.</w:t>
      </w:r>
    </w:p>
  </w:footnote>
  <w:footnote w:id="9">
    <w:p w:rsidR="008603E7" w:rsidRPr="00360D83" w:rsidP="00092852" w14:paraId="4A6BD0F0"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ההערכות מוצגות במחקר של מרכז </w:t>
      </w:r>
      <w:r w:rsidRPr="00360D83">
        <w:rPr>
          <w:rFonts w:ascii="Tahoma" w:hAnsi="Tahoma" w:cs="Tahoma"/>
          <w:sz w:val="16"/>
          <w:szCs w:val="16"/>
          <w:rtl/>
        </w:rPr>
        <w:t>טאוב</w:t>
      </w:r>
      <w:r w:rsidRPr="00360D83">
        <w:rPr>
          <w:rFonts w:ascii="Tahoma" w:hAnsi="Tahoma" w:cs="Tahoma"/>
          <w:sz w:val="16"/>
          <w:szCs w:val="16"/>
          <w:rtl/>
        </w:rPr>
        <w:t xml:space="preserve">: שביט </w:t>
      </w:r>
      <w:r w:rsidRPr="00360D83">
        <w:rPr>
          <w:rFonts w:ascii="Tahoma" w:hAnsi="Tahoma" w:cs="Tahoma"/>
          <w:sz w:val="16"/>
          <w:szCs w:val="16"/>
          <w:rtl/>
        </w:rPr>
        <w:t>מדהלה</w:t>
      </w:r>
      <w:r w:rsidRPr="00360D83">
        <w:rPr>
          <w:rFonts w:ascii="Tahoma" w:hAnsi="Tahoma" w:cs="Tahoma"/>
          <w:sz w:val="16"/>
          <w:szCs w:val="16"/>
          <w:rtl/>
        </w:rPr>
        <w:t xml:space="preserve">, </w:t>
      </w:r>
      <w:r w:rsidRPr="00973C29">
        <w:rPr>
          <w:rStyle w:val="a4"/>
          <w:rFonts w:ascii="Tahoma" w:hAnsi="Tahoma" w:cs="Tahoma"/>
          <w:b/>
          <w:bCs/>
          <w:sz w:val="16"/>
          <w:szCs w:val="16"/>
          <w:rtl/>
        </w:rPr>
        <w:t>סיכון למחשוב בשוק העבודה בישראל</w:t>
      </w:r>
      <w:r w:rsidRPr="00360D83">
        <w:rPr>
          <w:rFonts w:ascii="Tahoma" w:hAnsi="Tahoma" w:cs="Tahoma"/>
          <w:sz w:val="16"/>
          <w:szCs w:val="16"/>
          <w:rtl/>
        </w:rPr>
        <w:t xml:space="preserve"> (מרכז </w:t>
      </w:r>
      <w:r w:rsidRPr="00360D83">
        <w:rPr>
          <w:rFonts w:ascii="Tahoma" w:hAnsi="Tahoma" w:cs="Tahoma"/>
          <w:sz w:val="16"/>
          <w:szCs w:val="16"/>
          <w:rtl/>
        </w:rPr>
        <w:t>טאוב</w:t>
      </w:r>
      <w:r w:rsidRPr="00360D83">
        <w:rPr>
          <w:rFonts w:ascii="Tahoma" w:hAnsi="Tahoma" w:cs="Tahoma"/>
          <w:sz w:val="16"/>
          <w:szCs w:val="16"/>
          <w:rtl/>
        </w:rPr>
        <w:t>, 2019).</w:t>
      </w:r>
    </w:p>
  </w:footnote>
  <w:footnote w:id="10">
    <w:p w:rsidR="008603E7" w:rsidRPr="00360D83" w:rsidP="00092852" w14:paraId="253B70C3"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שם, עמ' 8. הענפים ממוינים לפי שיעור המשרות שבסיכון גבוה בכל ענף. הניתוח של מרכז </w:t>
      </w:r>
      <w:r w:rsidRPr="00360D83">
        <w:rPr>
          <w:rFonts w:ascii="Tahoma" w:hAnsi="Tahoma" w:cs="Tahoma"/>
          <w:sz w:val="16"/>
          <w:szCs w:val="16"/>
          <w:rtl/>
        </w:rPr>
        <w:t>טאוב</w:t>
      </w:r>
      <w:r w:rsidRPr="00360D83">
        <w:rPr>
          <w:rFonts w:ascii="Tahoma" w:hAnsi="Tahoma" w:cs="Tahoma"/>
          <w:sz w:val="16"/>
          <w:szCs w:val="16"/>
          <w:rtl/>
        </w:rPr>
        <w:t xml:space="preserve"> מבוסס על נתוני </w:t>
      </w:r>
      <w:r w:rsidRPr="00360D83">
        <w:rPr>
          <w:rFonts w:ascii="Tahoma" w:hAnsi="Tahoma" w:cs="Tahoma"/>
          <w:sz w:val="16"/>
          <w:szCs w:val="16"/>
        </w:rPr>
        <w:t>PIAAC</w:t>
      </w:r>
      <w:r w:rsidRPr="00360D83">
        <w:rPr>
          <w:rFonts w:ascii="Tahoma" w:hAnsi="Tahoma" w:cs="Tahoma"/>
          <w:sz w:val="16"/>
          <w:szCs w:val="16"/>
          <w:rtl/>
        </w:rPr>
        <w:t>.</w:t>
      </w:r>
    </w:p>
  </w:footnote>
  <w:footnote w:id="11">
    <w:p w:rsidR="008603E7" w:rsidRPr="00360D83" w:rsidP="00092852" w14:paraId="7461C00E"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ללא תעודת המשך ממסגרת שלאחר סיום תיכון - עיבוד לנתוני </w:t>
      </w:r>
      <w:r w:rsidRPr="00360D83">
        <w:rPr>
          <w:rFonts w:ascii="Tahoma" w:hAnsi="Tahoma" w:cs="Tahoma"/>
          <w:sz w:val="16"/>
          <w:szCs w:val="16"/>
          <w:rtl/>
        </w:rPr>
        <w:t>למ"ס</w:t>
      </w:r>
      <w:r w:rsidRPr="00360D83">
        <w:rPr>
          <w:rFonts w:ascii="Tahoma" w:hAnsi="Tahoma" w:cs="Tahoma"/>
          <w:sz w:val="16"/>
          <w:szCs w:val="16"/>
          <w:rtl/>
        </w:rPr>
        <w:t xml:space="preserve">, </w:t>
      </w:r>
      <w:r w:rsidRPr="00E8021E">
        <w:rPr>
          <w:rStyle w:val="a4"/>
          <w:rFonts w:ascii="Tahoma" w:hAnsi="Tahoma" w:cs="Tahoma"/>
          <w:b/>
          <w:bCs/>
          <w:sz w:val="16"/>
          <w:szCs w:val="16"/>
          <w:rtl/>
        </w:rPr>
        <w:t>שנתון סטטיסטי לישראל 2020</w:t>
      </w:r>
      <w:r w:rsidRPr="00360D83">
        <w:rPr>
          <w:rFonts w:ascii="Tahoma" w:hAnsi="Tahoma" w:cs="Tahoma"/>
          <w:sz w:val="16"/>
          <w:szCs w:val="16"/>
          <w:rtl/>
        </w:rPr>
        <w:t xml:space="preserve">, לוח 9.7 "בני 15 ומעלה, לפי תכונות כוח העבודה, התעודה הגבוהה ביותר שקיבלו ומין"; 37% מכלל המועסקים ב-2018 היו לא-מקצועיים או עבדו במשלחי יד שלא דרשו הכשרה - עיבוד לנתוני </w:t>
      </w:r>
      <w:r w:rsidRPr="00360D83">
        <w:rPr>
          <w:rFonts w:ascii="Tahoma" w:hAnsi="Tahoma" w:cs="Tahoma"/>
          <w:sz w:val="16"/>
          <w:szCs w:val="16"/>
          <w:rtl/>
        </w:rPr>
        <w:t>למ"ס</w:t>
      </w:r>
      <w:r w:rsidRPr="00360D83">
        <w:rPr>
          <w:rFonts w:ascii="Tahoma" w:hAnsi="Tahoma" w:cs="Tahoma"/>
          <w:sz w:val="16"/>
          <w:szCs w:val="16"/>
          <w:rtl/>
        </w:rPr>
        <w:t xml:space="preserve">, </w:t>
      </w:r>
      <w:r w:rsidRPr="00E8021E">
        <w:rPr>
          <w:rStyle w:val="a4"/>
          <w:rFonts w:ascii="Tahoma" w:hAnsi="Tahoma" w:cs="Tahoma"/>
          <w:b/>
          <w:bCs/>
          <w:sz w:val="16"/>
          <w:szCs w:val="16"/>
          <w:rtl/>
        </w:rPr>
        <w:t>סקר כוח אדם 2018</w:t>
      </w:r>
      <w:r w:rsidRPr="00360D83">
        <w:rPr>
          <w:rFonts w:ascii="Tahoma" w:hAnsi="Tahoma" w:cs="Tahoma"/>
          <w:sz w:val="16"/>
          <w:szCs w:val="16"/>
          <w:rtl/>
        </w:rPr>
        <w:t xml:space="preserve">, לוח 2.17, "מועסקים ושכירים, לפי משלח יד (קבוצות ראשיות), קבוצת אוכלוסייה ומין, 2018". </w:t>
      </w:r>
    </w:p>
  </w:footnote>
  <w:footnote w:id="12">
    <w:p w:rsidR="008603E7" w:rsidRPr="00360D83" w:rsidP="00092852" w14:paraId="6511C368"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r>
      <w:r w:rsidRPr="00E8021E">
        <w:rPr>
          <w:rStyle w:val="a4"/>
          <w:rFonts w:ascii="Tahoma" w:hAnsi="Tahoma" w:cs="Tahoma"/>
          <w:b/>
          <w:bCs/>
          <w:sz w:val="16"/>
          <w:szCs w:val="16"/>
          <w:rtl/>
        </w:rPr>
        <w:t>דוח הון אנושי בתעשיית ההיי-טק</w:t>
      </w:r>
      <w:r w:rsidRPr="00360D83">
        <w:rPr>
          <w:rFonts w:ascii="Tahoma" w:hAnsi="Tahoma" w:cs="Tahoma"/>
          <w:sz w:val="16"/>
          <w:szCs w:val="16"/>
          <w:rtl/>
        </w:rPr>
        <w:t>, רשות החדשנות ו-</w:t>
      </w:r>
      <w:r w:rsidRPr="00360D83">
        <w:rPr>
          <w:rFonts w:ascii="Tahoma" w:hAnsi="Tahoma" w:cs="Tahoma"/>
          <w:sz w:val="16"/>
          <w:szCs w:val="16"/>
        </w:rPr>
        <w:t>Start-Up Nation Central</w:t>
      </w:r>
      <w:r w:rsidRPr="00360D83">
        <w:rPr>
          <w:rStyle w:val="a4"/>
          <w:rFonts w:ascii="Tahoma" w:hAnsi="Tahoma" w:cs="Tahoma"/>
          <w:sz w:val="16"/>
          <w:szCs w:val="16"/>
          <w:rtl/>
        </w:rPr>
        <w:t xml:space="preserve"> </w:t>
      </w:r>
      <w:r w:rsidRPr="00360D83">
        <w:rPr>
          <w:rFonts w:ascii="Tahoma" w:hAnsi="Tahoma" w:cs="Tahoma"/>
          <w:sz w:val="16"/>
          <w:szCs w:val="16"/>
          <w:rtl/>
        </w:rPr>
        <w:t>(2019). ענפי ההיי-טק הם ברובם חלק מענפי המסחר והשירותים.</w:t>
      </w:r>
    </w:p>
  </w:footnote>
  <w:footnote w:id="13">
    <w:p w:rsidR="008603E7" w:rsidRPr="00360D83" w:rsidP="00092852" w14:paraId="75826364"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22% אינם בעלי תואר; 3% נוספים עודם סטודנטים. יעל מזוז הרפז וזאב </w:t>
      </w:r>
      <w:r w:rsidRPr="00360D83">
        <w:rPr>
          <w:rFonts w:ascii="Tahoma" w:hAnsi="Tahoma" w:cs="Tahoma"/>
          <w:sz w:val="16"/>
          <w:szCs w:val="16"/>
          <w:rtl/>
        </w:rPr>
        <w:t>קריל</w:t>
      </w:r>
      <w:r w:rsidRPr="00360D83">
        <w:rPr>
          <w:rFonts w:ascii="Tahoma" w:hAnsi="Tahoma" w:cs="Tahoma"/>
          <w:sz w:val="16"/>
          <w:szCs w:val="16"/>
          <w:rtl/>
        </w:rPr>
        <w:t xml:space="preserve">, </w:t>
      </w:r>
      <w:r w:rsidRPr="00E8021E">
        <w:rPr>
          <w:rStyle w:val="a4"/>
          <w:rFonts w:ascii="Tahoma" w:hAnsi="Tahoma" w:cs="Tahoma"/>
          <w:b/>
          <w:bCs/>
          <w:sz w:val="16"/>
          <w:szCs w:val="16"/>
          <w:rtl/>
        </w:rPr>
        <w:t>המקפצה להיי-טק</w:t>
      </w:r>
      <w:r w:rsidRPr="00360D83">
        <w:rPr>
          <w:rFonts w:ascii="Tahoma" w:hAnsi="Tahoma" w:cs="Tahoma"/>
          <w:sz w:val="16"/>
          <w:szCs w:val="16"/>
          <w:rtl/>
        </w:rPr>
        <w:t xml:space="preserve"> (משרד העבודה, הרווחה והשירותים החברתיים ומשרד האוצר, 2017).</w:t>
      </w:r>
    </w:p>
  </w:footnote>
  <w:footnote w:id="14">
    <w:p w:rsidR="008603E7" w:rsidRPr="00360D83" w:rsidP="00092852" w14:paraId="262BE1C6"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בנק ישראל, </w:t>
      </w:r>
      <w:r w:rsidRPr="00E8021E">
        <w:rPr>
          <w:rStyle w:val="a4"/>
          <w:rFonts w:ascii="Tahoma" w:hAnsi="Tahoma" w:cs="Tahoma"/>
          <w:b/>
          <w:bCs/>
          <w:sz w:val="16"/>
          <w:szCs w:val="16"/>
          <w:rtl/>
        </w:rPr>
        <w:t>דוח מיוחד של חטיבת המחקר: העלאת רמת החיים בישראל באמצעות הגדלת פריון העבודה</w:t>
      </w:r>
      <w:r w:rsidRPr="00360D83">
        <w:rPr>
          <w:rFonts w:ascii="Tahoma" w:hAnsi="Tahoma" w:cs="Tahoma"/>
          <w:sz w:val="16"/>
          <w:szCs w:val="16"/>
          <w:rtl/>
        </w:rPr>
        <w:t xml:space="preserve"> (2019) (להלן - </w:t>
      </w:r>
      <w:r w:rsidRPr="00E8021E">
        <w:rPr>
          <w:rStyle w:val="a4"/>
          <w:rFonts w:ascii="Tahoma" w:hAnsi="Tahoma" w:cs="Tahoma"/>
          <w:b/>
          <w:bCs/>
          <w:sz w:val="16"/>
          <w:szCs w:val="16"/>
          <w:rtl/>
        </w:rPr>
        <w:t>דוח חטיבת המחקר</w:t>
      </w:r>
      <w:r w:rsidRPr="00360D83">
        <w:rPr>
          <w:rFonts w:ascii="Tahoma" w:hAnsi="Tahoma" w:cs="Tahoma"/>
          <w:sz w:val="16"/>
          <w:szCs w:val="16"/>
          <w:rtl/>
        </w:rPr>
        <w:t>), עמ' 15.</w:t>
      </w:r>
    </w:p>
  </w:footnote>
  <w:footnote w:id="15">
    <w:p w:rsidR="008603E7" w:rsidRPr="00360D83" w:rsidP="00092852" w14:paraId="7C8138E0"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r>
      <w:r w:rsidRPr="00E8021E">
        <w:rPr>
          <w:rStyle w:val="a4"/>
          <w:rFonts w:ascii="Tahoma" w:hAnsi="Tahoma" w:cs="Tahoma"/>
          <w:b/>
          <w:bCs/>
          <w:sz w:val="16"/>
          <w:szCs w:val="16"/>
          <w:rtl/>
        </w:rPr>
        <w:t>המחסור בכוח אדם מיומן בטכנולוגיה עילית</w:t>
      </w:r>
      <w:r w:rsidRPr="00360D83">
        <w:rPr>
          <w:rStyle w:val="a4"/>
          <w:rFonts w:ascii="Tahoma" w:hAnsi="Tahoma" w:cs="Tahoma"/>
          <w:sz w:val="16"/>
          <w:szCs w:val="16"/>
          <w:rtl/>
        </w:rPr>
        <w:t xml:space="preserve">: המלצות הצוות הבין-משרדי </w:t>
      </w:r>
      <w:r w:rsidRPr="00360D83">
        <w:rPr>
          <w:rFonts w:ascii="Tahoma" w:hAnsi="Tahoma" w:cs="Tahoma"/>
          <w:sz w:val="16"/>
          <w:szCs w:val="16"/>
          <w:rtl/>
        </w:rPr>
        <w:t>(2012).</w:t>
      </w:r>
    </w:p>
  </w:footnote>
  <w:footnote w:id="16">
    <w:p w:rsidR="008603E7" w:rsidRPr="00360D83" w:rsidP="00092852" w14:paraId="046FE250"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היחידה הכלכלית, מכון היצוא הישראלי, </w:t>
      </w:r>
      <w:r w:rsidRPr="00E8021E">
        <w:rPr>
          <w:rStyle w:val="a4"/>
          <w:rFonts w:ascii="Tahoma" w:hAnsi="Tahoma" w:cs="Tahoma"/>
          <w:b/>
          <w:bCs/>
          <w:sz w:val="16"/>
          <w:szCs w:val="16"/>
          <w:rtl/>
        </w:rPr>
        <w:t>התפתחויות ומגמות ביצוא הישראלי: סיכום מוקדם לשנת 2019</w:t>
      </w:r>
      <w:r w:rsidRPr="00360D83">
        <w:rPr>
          <w:rFonts w:ascii="Tahoma" w:hAnsi="Tahoma" w:cs="Tahoma"/>
          <w:sz w:val="16"/>
          <w:szCs w:val="16"/>
          <w:rtl/>
        </w:rPr>
        <w:t xml:space="preserve"> (2020).</w:t>
      </w:r>
    </w:p>
  </w:footnote>
  <w:footnote w:id="17">
    <w:p w:rsidR="008603E7" w:rsidRPr="00360D83" w:rsidP="00092852" w14:paraId="5349D122"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צבי אקשטיין ואביחי ליפשיץ, </w:t>
      </w:r>
      <w:r w:rsidRPr="00DC223D">
        <w:rPr>
          <w:rStyle w:val="a4"/>
          <w:rFonts w:ascii="Tahoma" w:hAnsi="Tahoma" w:cs="Tahoma"/>
          <w:b/>
          <w:bCs/>
          <w:sz w:val="16"/>
          <w:szCs w:val="16"/>
          <w:rtl/>
        </w:rPr>
        <w:t>אסטרטגיה לצמיחת המשק 2018</w:t>
      </w:r>
      <w:r w:rsidRPr="00360D83">
        <w:rPr>
          <w:rFonts w:ascii="Tahoma" w:hAnsi="Tahoma" w:cs="Tahoma"/>
          <w:sz w:val="16"/>
          <w:szCs w:val="16"/>
          <w:rtl/>
        </w:rPr>
        <w:t xml:space="preserve"> (מכון אהרון למדיניות כלכלית), עמ' 3, 5; כן ראו </w:t>
      </w:r>
      <w:r w:rsidRPr="00DC223D">
        <w:rPr>
          <w:rStyle w:val="a4"/>
          <w:rFonts w:ascii="Tahoma" w:hAnsi="Tahoma" w:cs="Tahoma"/>
          <w:b/>
          <w:bCs/>
          <w:sz w:val="16"/>
          <w:szCs w:val="16"/>
          <w:rtl/>
        </w:rPr>
        <w:t>דוח חטיבת המחקר</w:t>
      </w:r>
      <w:r w:rsidRPr="00360D83">
        <w:rPr>
          <w:rFonts w:ascii="Tahoma" w:hAnsi="Tahoma" w:cs="Tahoma"/>
          <w:sz w:val="16"/>
          <w:szCs w:val="16"/>
          <w:rtl/>
        </w:rPr>
        <w:t>, עמ' 2.</w:t>
      </w:r>
    </w:p>
  </w:footnote>
  <w:footnote w:id="18">
    <w:p w:rsidR="008603E7" w:rsidRPr="00DC223D" w:rsidP="00092852" w14:paraId="51E8D66C" w14:textId="77A4C8C1">
      <w:pPr>
        <w:pStyle w:val="a7"/>
        <w:spacing w:after="60"/>
        <w:ind w:left="340" w:hanging="340"/>
        <w:rPr>
          <w:rFonts w:ascii="Tahoma" w:hAnsi="Tahoma" w:cs="Tahoma"/>
          <w:sz w:val="16"/>
          <w:szCs w:val="16"/>
          <w:rtl/>
        </w:rPr>
      </w:pPr>
      <w:r w:rsidRPr="00DC223D">
        <w:rPr>
          <w:rFonts w:ascii="Tahoma" w:hAnsi="Tahoma" w:cs="Tahoma"/>
          <w:sz w:val="16"/>
          <w:szCs w:val="16"/>
          <w:rtl/>
        </w:rPr>
        <w:footnoteRef/>
      </w:r>
      <w:r w:rsidRPr="00DC223D">
        <w:rPr>
          <w:rFonts w:ascii="Tahoma" w:hAnsi="Tahoma" w:cs="Tahoma"/>
          <w:sz w:val="16"/>
          <w:szCs w:val="16"/>
          <w:rtl/>
        </w:rPr>
        <w:tab/>
      </w:r>
      <w:r w:rsidRPr="00DC223D" w:rsidR="00DC223D">
        <w:rPr>
          <w:rFonts w:ascii="Tahoma" w:hAnsi="Tahoma" w:cs="Tahoma"/>
          <w:sz w:val="16"/>
          <w:szCs w:val="16"/>
        </w:rPr>
        <w:t>OECD data: GDP per hour worked</w:t>
      </w:r>
      <w:r w:rsidRPr="00DC223D" w:rsidR="00DC223D">
        <w:rPr>
          <w:rFonts w:ascii="Tahoma" w:hAnsi="Tahoma" w:cs="Tahoma"/>
          <w:sz w:val="16"/>
          <w:szCs w:val="16"/>
          <w:rtl/>
        </w:rPr>
        <w:t xml:space="preserve"> </w:t>
      </w:r>
      <w:r w:rsidRPr="00DC223D">
        <w:rPr>
          <w:rFonts w:ascii="Tahoma" w:hAnsi="Tahoma" w:cs="Tahoma"/>
          <w:sz w:val="16"/>
          <w:szCs w:val="16"/>
          <w:rtl/>
        </w:rPr>
        <w:t>[</w:t>
      </w:r>
      <w:hyperlink r:id="rId2" w:history="1">
        <w:r w:rsidRPr="00DC223D" w:rsidR="00DC223D">
          <w:rPr>
            <w:rStyle w:val="Hyperlink"/>
            <w:rFonts w:ascii="Tahoma" w:hAnsi="Tahoma" w:cs="Tahoma"/>
            <w:sz w:val="16"/>
            <w:szCs w:val="16"/>
            <w:rtl/>
          </w:rPr>
          <w:t>קישור</w:t>
        </w:r>
      </w:hyperlink>
      <w:r w:rsidRPr="00DC223D">
        <w:rPr>
          <w:rFonts w:ascii="Tahoma" w:hAnsi="Tahoma" w:cs="Tahoma"/>
          <w:sz w:val="16"/>
          <w:szCs w:val="16"/>
          <w:rtl/>
        </w:rPr>
        <w:t>].</w:t>
      </w:r>
    </w:p>
  </w:footnote>
  <w:footnote w:id="19">
    <w:p w:rsidR="008603E7" w:rsidRPr="00360D83" w:rsidP="00092852" w14:paraId="6C76DB9A"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למשל, ההון האנושי מסביר 21% מפער הפריון מול ה-</w:t>
      </w:r>
      <w:r w:rsidRPr="00360D83">
        <w:rPr>
          <w:rFonts w:ascii="Tahoma" w:hAnsi="Tahoma" w:cs="Tahoma"/>
          <w:sz w:val="16"/>
          <w:szCs w:val="16"/>
        </w:rPr>
        <w:t>OECD</w:t>
      </w:r>
      <w:r w:rsidRPr="00360D83">
        <w:rPr>
          <w:rFonts w:ascii="Tahoma" w:hAnsi="Tahoma" w:cs="Tahoma"/>
          <w:sz w:val="16"/>
          <w:szCs w:val="16"/>
          <w:rtl/>
        </w:rPr>
        <w:t xml:space="preserve"> (לצד השפעת מלאי ההון הפיזי והבלתי-מוחשי), לפי צבי אקשטיין ואביחי ליפשיץ, </w:t>
      </w:r>
      <w:r w:rsidRPr="00DC223D">
        <w:rPr>
          <w:rStyle w:val="a4"/>
          <w:rFonts w:ascii="Tahoma" w:hAnsi="Tahoma" w:cs="Tahoma"/>
          <w:b/>
          <w:bCs/>
          <w:sz w:val="16"/>
          <w:szCs w:val="16"/>
          <w:rtl/>
        </w:rPr>
        <w:t>אסטרטגיה לצמיחת המשק 2017</w:t>
      </w:r>
      <w:r w:rsidRPr="00360D83">
        <w:rPr>
          <w:rFonts w:ascii="Tahoma" w:hAnsi="Tahoma" w:cs="Tahoma"/>
          <w:sz w:val="16"/>
          <w:szCs w:val="16"/>
          <w:rtl/>
        </w:rPr>
        <w:t xml:space="preserve"> (מכון אהרון למדיניות כלכלית), עמ' 18. </w:t>
      </w:r>
    </w:p>
  </w:footnote>
  <w:footnote w:id="20">
    <w:p w:rsidR="008603E7" w:rsidRPr="00DC223D" w:rsidP="00DC223D" w14:paraId="26D39224" w14:textId="0AF10830">
      <w:pPr>
        <w:pStyle w:val="a7"/>
        <w:keepNext/>
        <w:keepLines/>
        <w:spacing w:after="60"/>
        <w:ind w:left="340" w:hanging="340"/>
        <w:rPr>
          <w:rFonts w:ascii="Tahoma" w:hAnsi="Tahoma" w:cs="Tahoma"/>
          <w:sz w:val="16"/>
          <w:szCs w:val="16"/>
          <w:rtl/>
        </w:rPr>
      </w:pPr>
      <w:r w:rsidRPr="00DC223D">
        <w:rPr>
          <w:rFonts w:ascii="Tahoma" w:hAnsi="Tahoma" w:cs="Tahoma"/>
          <w:sz w:val="16"/>
          <w:szCs w:val="16"/>
          <w:rtl/>
        </w:rPr>
        <w:footnoteRef/>
      </w:r>
      <w:r w:rsidRPr="00DC223D">
        <w:rPr>
          <w:rFonts w:ascii="Tahoma" w:hAnsi="Tahoma" w:cs="Tahoma"/>
          <w:sz w:val="16"/>
          <w:szCs w:val="16"/>
          <w:rtl/>
        </w:rPr>
        <w:tab/>
        <w:t xml:space="preserve">סקר </w:t>
      </w:r>
      <w:r w:rsidRPr="00DC223D">
        <w:rPr>
          <w:rFonts w:ascii="Tahoma" w:hAnsi="Tahoma" w:cs="Tahoma"/>
          <w:sz w:val="16"/>
          <w:szCs w:val="16"/>
        </w:rPr>
        <w:t>PIAAC</w:t>
      </w:r>
      <w:r w:rsidRPr="00DC223D">
        <w:rPr>
          <w:rFonts w:ascii="Tahoma" w:hAnsi="Tahoma" w:cs="Tahoma"/>
          <w:sz w:val="16"/>
          <w:szCs w:val="16"/>
          <w:rtl/>
        </w:rPr>
        <w:t xml:space="preserve"> הבין-לאומי להערכת כישורי בוגרים (מגיל 16 עד 65) (</w:t>
      </w:r>
      <w:r w:rsidRPr="00DC223D">
        <w:rPr>
          <w:rFonts w:ascii="Tahoma" w:hAnsi="Tahoma" w:cs="Tahoma"/>
          <w:sz w:val="16"/>
          <w:szCs w:val="16"/>
        </w:rPr>
        <w:t>Programme</w:t>
      </w:r>
      <w:r w:rsidRPr="00DC223D">
        <w:rPr>
          <w:rFonts w:ascii="Tahoma" w:hAnsi="Tahoma" w:cs="Tahoma"/>
          <w:sz w:val="16"/>
          <w:szCs w:val="16"/>
        </w:rPr>
        <w:t xml:space="preserve"> for the International Assessment of Adult Competencies</w:t>
      </w:r>
      <w:r w:rsidRPr="00DC223D">
        <w:rPr>
          <w:rFonts w:ascii="Tahoma" w:hAnsi="Tahoma" w:cs="Tahoma"/>
          <w:sz w:val="16"/>
          <w:szCs w:val="16"/>
          <w:rtl/>
        </w:rPr>
        <w:t>) של ארגון ה-</w:t>
      </w:r>
      <w:r w:rsidRPr="00DC223D">
        <w:rPr>
          <w:rFonts w:ascii="Tahoma" w:hAnsi="Tahoma" w:cs="Tahoma"/>
          <w:sz w:val="16"/>
          <w:szCs w:val="16"/>
        </w:rPr>
        <w:t>OECD</w:t>
      </w:r>
      <w:r w:rsidRPr="00DC223D">
        <w:rPr>
          <w:rFonts w:ascii="Tahoma" w:hAnsi="Tahoma" w:cs="Tahoma"/>
          <w:sz w:val="16"/>
          <w:szCs w:val="16"/>
          <w:rtl/>
        </w:rPr>
        <w:t xml:space="preserve"> בוחן מיומנויות באוריינות קריאה וכתיבה, אוריינות כמותית ויכולת פתרון בעיות בסביבה מתוקשבת ואת התאמת המיומנויות לצורכי שוק העבודה. הסקר בוצע במדינות ה-</w:t>
      </w:r>
      <w:r w:rsidRPr="00DC223D">
        <w:rPr>
          <w:rFonts w:ascii="Tahoma" w:hAnsi="Tahoma" w:cs="Tahoma"/>
          <w:sz w:val="16"/>
          <w:szCs w:val="16"/>
        </w:rPr>
        <w:t>OECD</w:t>
      </w:r>
      <w:r w:rsidRPr="00DC223D">
        <w:rPr>
          <w:rFonts w:ascii="Tahoma" w:hAnsi="Tahoma" w:cs="Tahoma"/>
          <w:sz w:val="16"/>
          <w:szCs w:val="16"/>
          <w:rtl/>
        </w:rPr>
        <w:t xml:space="preserve"> ובכמה מדינות שותפות נוספות. המחזור הראשון של סקר </w:t>
      </w:r>
      <w:r w:rsidRPr="00DC223D">
        <w:rPr>
          <w:rFonts w:ascii="Tahoma" w:hAnsi="Tahoma" w:cs="Tahoma"/>
          <w:sz w:val="16"/>
          <w:szCs w:val="16"/>
        </w:rPr>
        <w:t>PIAAC</w:t>
      </w:r>
      <w:r w:rsidRPr="00DC223D">
        <w:rPr>
          <w:rFonts w:ascii="Tahoma" w:hAnsi="Tahoma" w:cs="Tahoma"/>
          <w:sz w:val="16"/>
          <w:szCs w:val="16"/>
          <w:rtl/>
        </w:rPr>
        <w:t xml:space="preserve"> התבצע בשלושה סבבים - בשנים 2012-2011, 2015-2014 ו-2017: ישראל השתתפה בסבב השני, בין אפריל 2014 לינואר 2015, ועתידה להשתתף גם בסקר שייערך בשנים 2022 - 2023; </w:t>
      </w:r>
      <w:r w:rsidRPr="00DC223D" w:rsidR="00DC223D">
        <w:rPr>
          <w:rFonts w:ascii="Tahoma" w:hAnsi="Tahoma" w:cs="Tahoma"/>
          <w:sz w:val="16"/>
          <w:szCs w:val="16"/>
        </w:rPr>
        <w:t xml:space="preserve">OECD, </w:t>
      </w:r>
      <w:r w:rsidRPr="00DC223D" w:rsidR="00DC223D">
        <w:rPr>
          <w:rFonts w:ascii="Tahoma" w:hAnsi="Tahoma" w:cs="Tahoma"/>
          <w:b/>
          <w:bCs/>
          <w:sz w:val="16"/>
          <w:szCs w:val="16"/>
        </w:rPr>
        <w:t xml:space="preserve">Skills Strategy: Israel </w:t>
      </w:r>
      <w:r w:rsidRPr="00DC223D" w:rsidR="00DC223D">
        <w:rPr>
          <w:rFonts w:ascii="Tahoma" w:hAnsi="Tahoma" w:cs="Tahoma"/>
          <w:sz w:val="16"/>
          <w:szCs w:val="16"/>
        </w:rPr>
        <w:t>(2019) p. 1</w:t>
      </w:r>
      <w:r w:rsidRPr="00DC223D">
        <w:rPr>
          <w:rFonts w:ascii="Tahoma" w:hAnsi="Tahoma" w:cs="Tahoma"/>
          <w:sz w:val="16"/>
          <w:szCs w:val="16"/>
          <w:rtl/>
        </w:rPr>
        <w:t>.</w:t>
      </w:r>
    </w:p>
  </w:footnote>
  <w:footnote w:id="21">
    <w:p w:rsidR="008603E7" w:rsidRPr="00DC223D" w:rsidP="00092852" w14:paraId="1D9A37D6" w14:textId="33A12B42">
      <w:pPr>
        <w:pStyle w:val="a7"/>
        <w:spacing w:after="60"/>
        <w:ind w:left="340" w:hanging="340"/>
        <w:rPr>
          <w:rFonts w:ascii="Tahoma" w:hAnsi="Tahoma" w:cs="Tahoma"/>
          <w:sz w:val="16"/>
          <w:szCs w:val="16"/>
          <w:rtl/>
        </w:rPr>
      </w:pPr>
      <w:r w:rsidRPr="00DC223D">
        <w:rPr>
          <w:rFonts w:ascii="Tahoma" w:hAnsi="Tahoma" w:cs="Tahoma"/>
          <w:sz w:val="16"/>
          <w:szCs w:val="16"/>
          <w:rtl/>
        </w:rPr>
        <w:footnoteRef/>
      </w:r>
      <w:r w:rsidRPr="00DC223D">
        <w:rPr>
          <w:rFonts w:ascii="Tahoma" w:hAnsi="Tahoma" w:cs="Tahoma"/>
          <w:sz w:val="16"/>
          <w:szCs w:val="16"/>
          <w:rtl/>
        </w:rPr>
        <w:tab/>
      </w:r>
      <w:r w:rsidRPr="00DC223D" w:rsidR="00DC223D">
        <w:rPr>
          <w:rFonts w:ascii="Tahoma" w:hAnsi="Tahoma" w:cs="Tahoma"/>
          <w:sz w:val="16"/>
          <w:szCs w:val="16"/>
        </w:rPr>
        <w:t>OECD stat: Educational attainment of 25-64 year-old - Tertiary education excluding Short-cycle tertiary education</w:t>
      </w:r>
      <w:r w:rsidRPr="00DC223D" w:rsidR="00DC223D">
        <w:rPr>
          <w:rFonts w:ascii="Tahoma" w:hAnsi="Tahoma" w:cs="Tahoma"/>
          <w:sz w:val="16"/>
          <w:szCs w:val="16"/>
          <w:rtl/>
        </w:rPr>
        <w:t xml:space="preserve"> </w:t>
      </w:r>
      <w:r w:rsidRPr="00DC223D">
        <w:rPr>
          <w:rFonts w:ascii="Tahoma" w:hAnsi="Tahoma" w:cs="Tahoma"/>
          <w:sz w:val="16"/>
          <w:szCs w:val="16"/>
          <w:rtl/>
        </w:rPr>
        <w:t>[</w:t>
      </w:r>
      <w:hyperlink r:id="rId3" w:history="1">
        <w:r w:rsidRPr="00DC223D" w:rsidR="00DC223D">
          <w:rPr>
            <w:rStyle w:val="Hyperlink"/>
            <w:rFonts w:ascii="Tahoma" w:hAnsi="Tahoma" w:cs="Tahoma"/>
            <w:sz w:val="16"/>
            <w:szCs w:val="16"/>
            <w:rtl/>
          </w:rPr>
          <w:t>קישור</w:t>
        </w:r>
      </w:hyperlink>
      <w:r w:rsidRPr="00DC223D" w:rsidR="00DC223D">
        <w:rPr>
          <w:rFonts w:ascii="Tahoma" w:hAnsi="Tahoma" w:cs="Tahoma"/>
          <w:sz w:val="16"/>
          <w:szCs w:val="16"/>
          <w:rtl/>
        </w:rPr>
        <w:t>]</w:t>
      </w:r>
      <w:r w:rsidRPr="00DC223D">
        <w:rPr>
          <w:rFonts w:ascii="Tahoma" w:hAnsi="Tahoma" w:cs="Tahoma"/>
          <w:sz w:val="16"/>
          <w:szCs w:val="16"/>
          <w:rtl/>
        </w:rPr>
        <w:t>.</w:t>
      </w:r>
    </w:p>
  </w:footnote>
  <w:footnote w:id="22">
    <w:p w:rsidR="008603E7" w:rsidRPr="00DC223D" w:rsidP="00092852" w14:paraId="405CCE88" w14:textId="7DA413C9">
      <w:pPr>
        <w:pStyle w:val="a7"/>
        <w:spacing w:after="60"/>
        <w:ind w:left="340" w:hanging="340"/>
        <w:rPr>
          <w:rFonts w:ascii="Tahoma" w:hAnsi="Tahoma" w:cs="Tahoma"/>
          <w:sz w:val="16"/>
          <w:szCs w:val="16"/>
          <w:rtl/>
        </w:rPr>
      </w:pPr>
      <w:r w:rsidRPr="00DC223D">
        <w:rPr>
          <w:rFonts w:ascii="Tahoma" w:hAnsi="Tahoma" w:cs="Tahoma"/>
          <w:sz w:val="16"/>
          <w:szCs w:val="16"/>
          <w:rtl/>
        </w:rPr>
        <w:footnoteRef/>
      </w:r>
      <w:r w:rsidRPr="00DC223D">
        <w:rPr>
          <w:rFonts w:ascii="Tahoma" w:hAnsi="Tahoma" w:cs="Tahoma"/>
          <w:sz w:val="16"/>
          <w:szCs w:val="16"/>
          <w:rtl/>
        </w:rPr>
        <w:tab/>
      </w:r>
      <w:r w:rsidRPr="00DC223D" w:rsidR="00DC223D">
        <w:rPr>
          <w:rFonts w:ascii="Tahoma" w:hAnsi="Tahoma" w:cs="Tahoma"/>
          <w:sz w:val="16"/>
          <w:szCs w:val="16"/>
        </w:rPr>
        <w:t>PIAAC Data Explorer</w:t>
      </w:r>
      <w:r w:rsidRPr="00DC223D">
        <w:rPr>
          <w:rFonts w:ascii="Tahoma" w:hAnsi="Tahoma" w:cs="Tahoma"/>
          <w:sz w:val="16"/>
          <w:szCs w:val="16"/>
          <w:rtl/>
        </w:rPr>
        <w:t xml:space="preserve"> [</w:t>
      </w:r>
      <w:hyperlink r:id="rId4" w:history="1">
        <w:r w:rsidRPr="00DC223D" w:rsidR="00DC223D">
          <w:rPr>
            <w:rStyle w:val="Hyperlink"/>
            <w:rFonts w:ascii="Tahoma" w:hAnsi="Tahoma" w:cs="Tahoma"/>
            <w:sz w:val="16"/>
            <w:szCs w:val="16"/>
            <w:rtl/>
          </w:rPr>
          <w:t>קישור</w:t>
        </w:r>
      </w:hyperlink>
      <w:r w:rsidRPr="00DC223D">
        <w:rPr>
          <w:rFonts w:ascii="Tahoma" w:hAnsi="Tahoma" w:cs="Tahoma"/>
          <w:sz w:val="16"/>
          <w:szCs w:val="16"/>
          <w:rtl/>
        </w:rPr>
        <w:t>].</w:t>
      </w:r>
    </w:p>
  </w:footnote>
  <w:footnote w:id="23">
    <w:p w:rsidR="008603E7" w:rsidRPr="00360D83" w:rsidP="00092852" w14:paraId="436BFD51"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r>
      <w:r w:rsidRPr="00973C29">
        <w:rPr>
          <w:rStyle w:val="a4"/>
          <w:rFonts w:ascii="Tahoma" w:hAnsi="Tahoma" w:cs="Tahoma"/>
          <w:b/>
          <w:bCs/>
          <w:sz w:val="16"/>
          <w:szCs w:val="16"/>
          <w:rtl/>
        </w:rPr>
        <w:t>דוח חטיבת המחקר</w:t>
      </w:r>
      <w:r w:rsidRPr="00360D83">
        <w:rPr>
          <w:rFonts w:ascii="Tahoma" w:hAnsi="Tahoma" w:cs="Tahoma"/>
          <w:sz w:val="16"/>
          <w:szCs w:val="16"/>
          <w:rtl/>
        </w:rPr>
        <w:t>, עמ' 3.</w:t>
      </w:r>
    </w:p>
  </w:footnote>
  <w:footnote w:id="24">
    <w:p w:rsidR="008603E7" w:rsidRPr="00360D83" w:rsidP="00092852" w14:paraId="20E1D1F6"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במקבץ דוחות זה המונחים "האוכלוסייה הערבית" ו-"המגזר הערבי" מתייחסים לתושבי ישראל שהם: ערבים מוסלמים, ערבים נוצרים, דרוזים ובדואים, אלא אם מצוין אחרת.</w:t>
      </w:r>
    </w:p>
  </w:footnote>
  <w:footnote w:id="25">
    <w:p w:rsidR="008603E7" w:rsidRPr="00360D83" w:rsidP="00092852" w14:paraId="1240936D"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r>
      <w:r w:rsidRPr="00360D83">
        <w:rPr>
          <w:rFonts w:ascii="Tahoma" w:hAnsi="Tahoma" w:cs="Tahoma"/>
          <w:sz w:val="16"/>
          <w:szCs w:val="16"/>
          <w:rtl/>
        </w:rPr>
        <w:t>למ"ס</w:t>
      </w:r>
      <w:r w:rsidRPr="00360D83">
        <w:rPr>
          <w:rFonts w:ascii="Tahoma" w:hAnsi="Tahoma" w:cs="Tahoma"/>
          <w:sz w:val="16"/>
          <w:szCs w:val="16"/>
          <w:rtl/>
        </w:rPr>
        <w:t xml:space="preserve">, </w:t>
      </w:r>
      <w:r w:rsidRPr="00DC223D">
        <w:rPr>
          <w:rStyle w:val="a4"/>
          <w:rFonts w:ascii="Tahoma" w:hAnsi="Tahoma" w:cs="Tahoma"/>
          <w:b/>
          <w:bCs/>
          <w:sz w:val="16"/>
          <w:szCs w:val="16"/>
          <w:rtl/>
        </w:rPr>
        <w:t>ממצאים ראשונים מתוך סקר מיומנויות בוגרים בישראל - 2015-2014</w:t>
      </w:r>
      <w:r w:rsidRPr="00360D83">
        <w:rPr>
          <w:rFonts w:ascii="Tahoma" w:hAnsi="Tahoma" w:cs="Tahoma"/>
          <w:sz w:val="16"/>
          <w:szCs w:val="16"/>
          <w:rtl/>
        </w:rPr>
        <w:t xml:space="preserve"> (2016), עמ' 5 והלאה.</w:t>
      </w:r>
    </w:p>
  </w:footnote>
  <w:footnote w:id="26">
    <w:p w:rsidR="008603E7" w:rsidRPr="00DC223D" w:rsidP="00092852" w14:paraId="526473E5" w14:textId="6BD0FB62">
      <w:pPr>
        <w:pStyle w:val="a7"/>
        <w:spacing w:after="60"/>
        <w:ind w:left="340" w:hanging="340"/>
        <w:rPr>
          <w:rFonts w:ascii="Tahoma" w:hAnsi="Tahoma" w:cs="Tahoma"/>
          <w:sz w:val="16"/>
          <w:szCs w:val="16"/>
          <w:rtl/>
        </w:rPr>
      </w:pPr>
      <w:r w:rsidRPr="00DC223D">
        <w:rPr>
          <w:rFonts w:ascii="Tahoma" w:hAnsi="Tahoma" w:cs="Tahoma"/>
          <w:sz w:val="16"/>
          <w:szCs w:val="16"/>
          <w:rtl/>
        </w:rPr>
        <w:footnoteRef/>
      </w:r>
      <w:r w:rsidRPr="00DC223D">
        <w:rPr>
          <w:rFonts w:ascii="Tahoma" w:hAnsi="Tahoma" w:cs="Tahoma"/>
          <w:sz w:val="16"/>
          <w:szCs w:val="16"/>
          <w:rtl/>
        </w:rPr>
        <w:tab/>
      </w:r>
      <w:r w:rsidRPr="00DC223D" w:rsidR="00DC223D">
        <w:rPr>
          <w:rFonts w:ascii="Tahoma" w:hAnsi="Tahoma" w:cs="Tahoma"/>
          <w:sz w:val="16"/>
          <w:szCs w:val="16"/>
        </w:rPr>
        <w:t>PIAAC Data Explorer</w:t>
      </w:r>
      <w:r w:rsidRPr="00DC223D" w:rsidR="00DC223D">
        <w:rPr>
          <w:rFonts w:ascii="Tahoma" w:hAnsi="Tahoma" w:cs="Tahoma"/>
          <w:sz w:val="16"/>
          <w:szCs w:val="16"/>
          <w:rtl/>
        </w:rPr>
        <w:t xml:space="preserve"> </w:t>
      </w:r>
      <w:r w:rsidRPr="00DC223D" w:rsidR="00DC223D">
        <w:rPr>
          <w:rStyle w:val="Hyperlink"/>
          <w:rFonts w:ascii="Tahoma" w:hAnsi="Tahoma" w:cs="Tahoma"/>
          <w:sz w:val="16"/>
          <w:szCs w:val="16"/>
        </w:rPr>
        <w:t>]</w:t>
      </w:r>
      <w:hyperlink r:id="rId4" w:history="1">
        <w:r w:rsidRPr="00DC223D" w:rsidR="00DC223D">
          <w:rPr>
            <w:rStyle w:val="Hyperlink"/>
            <w:rFonts w:ascii="Tahoma" w:hAnsi="Tahoma" w:cs="Tahoma"/>
            <w:sz w:val="16"/>
            <w:szCs w:val="16"/>
            <w:rtl/>
          </w:rPr>
          <w:t>קישור</w:t>
        </w:r>
      </w:hyperlink>
      <w:r w:rsidRPr="00DC223D" w:rsidR="00DC223D">
        <w:rPr>
          <w:rFonts w:ascii="Tahoma" w:hAnsi="Tahoma" w:cs="Tahoma"/>
          <w:sz w:val="16"/>
          <w:szCs w:val="16"/>
        </w:rPr>
        <w:t>[</w:t>
      </w:r>
      <w:r w:rsidRPr="00DC223D">
        <w:rPr>
          <w:rFonts w:ascii="Tahoma" w:hAnsi="Tahoma" w:cs="Tahoma"/>
          <w:sz w:val="16"/>
          <w:szCs w:val="16"/>
          <w:rtl/>
        </w:rPr>
        <w:t>.</w:t>
      </w:r>
    </w:p>
  </w:footnote>
  <w:footnote w:id="27">
    <w:p w:rsidR="008603E7" w:rsidRPr="00360D83" w:rsidP="00092852" w14:paraId="72BEF3FA"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r>
      <w:r w:rsidRPr="00DC223D">
        <w:rPr>
          <w:rStyle w:val="a4"/>
          <w:rFonts w:ascii="Tahoma" w:hAnsi="Tahoma" w:cs="Tahoma"/>
          <w:b/>
          <w:bCs/>
          <w:sz w:val="16"/>
          <w:szCs w:val="16"/>
          <w:rtl/>
        </w:rPr>
        <w:t>דוח חטיבת המחקר</w:t>
      </w:r>
      <w:r w:rsidRPr="00360D83">
        <w:rPr>
          <w:rFonts w:ascii="Tahoma" w:hAnsi="Tahoma" w:cs="Tahoma"/>
          <w:sz w:val="16"/>
          <w:szCs w:val="16"/>
          <w:rtl/>
        </w:rPr>
        <w:t>, עמ' 3.</w:t>
      </w:r>
    </w:p>
  </w:footnote>
  <w:footnote w:id="28">
    <w:p w:rsidR="008603E7" w:rsidRPr="00CA329C" w:rsidP="00CA329C" w14:paraId="22A2AB38" w14:textId="65186182">
      <w:pPr>
        <w:pStyle w:val="a7"/>
        <w:spacing w:after="60"/>
        <w:ind w:left="340" w:hanging="340"/>
        <w:rPr>
          <w:rFonts w:ascii="Tahoma" w:hAnsi="Tahoma" w:cs="Tahoma"/>
          <w:sz w:val="16"/>
          <w:szCs w:val="16"/>
          <w:rtl/>
        </w:rPr>
      </w:pPr>
      <w:r w:rsidRPr="00CA329C">
        <w:rPr>
          <w:rFonts w:ascii="Tahoma" w:hAnsi="Tahoma" w:cs="Tahoma"/>
          <w:sz w:val="16"/>
          <w:szCs w:val="16"/>
          <w:rtl/>
        </w:rPr>
        <w:footnoteRef/>
      </w:r>
      <w:r w:rsidRPr="00CA329C">
        <w:rPr>
          <w:rFonts w:ascii="Tahoma" w:hAnsi="Tahoma" w:cs="Tahoma"/>
          <w:sz w:val="16"/>
          <w:szCs w:val="16"/>
          <w:rtl/>
        </w:rPr>
        <w:tab/>
        <w:t>מבחן פיז"ה (</w:t>
      </w:r>
      <w:r w:rsidRPr="00CA329C">
        <w:rPr>
          <w:rFonts w:ascii="Tahoma" w:hAnsi="Tahoma" w:cs="Tahoma"/>
          <w:sz w:val="16"/>
          <w:szCs w:val="16"/>
        </w:rPr>
        <w:t xml:space="preserve">PISA - </w:t>
      </w:r>
      <w:r w:rsidRPr="00CA329C">
        <w:rPr>
          <w:rFonts w:ascii="Tahoma" w:hAnsi="Tahoma" w:cs="Tahoma"/>
          <w:sz w:val="16"/>
          <w:szCs w:val="16"/>
        </w:rPr>
        <w:t>Programme</w:t>
      </w:r>
      <w:r w:rsidRPr="00CA329C">
        <w:rPr>
          <w:rFonts w:ascii="Tahoma" w:hAnsi="Tahoma" w:cs="Tahoma"/>
          <w:sz w:val="16"/>
          <w:szCs w:val="16"/>
        </w:rPr>
        <w:t xml:space="preserve"> for International Student Assessment</w:t>
      </w:r>
      <w:r w:rsidRPr="00CA329C">
        <w:rPr>
          <w:rFonts w:ascii="Tahoma" w:hAnsi="Tahoma" w:cs="Tahoma"/>
          <w:sz w:val="16"/>
          <w:szCs w:val="16"/>
          <w:rtl/>
        </w:rPr>
        <w:t>) הוא מבחן בין-לאומי של ה-</w:t>
      </w:r>
      <w:r w:rsidRPr="00CA329C">
        <w:rPr>
          <w:rFonts w:ascii="Tahoma" w:hAnsi="Tahoma" w:cs="Tahoma"/>
          <w:sz w:val="16"/>
          <w:szCs w:val="16"/>
        </w:rPr>
        <w:t>OECD</w:t>
      </w:r>
      <w:r w:rsidRPr="00CA329C">
        <w:rPr>
          <w:rFonts w:ascii="Tahoma" w:hAnsi="Tahoma" w:cs="Tahoma"/>
          <w:sz w:val="16"/>
          <w:szCs w:val="16"/>
          <w:rtl/>
        </w:rPr>
        <w:t xml:space="preserve"> הבודק את רמת האוריינות של תלמידים בני 15 </w:t>
      </w:r>
      <w:r w:rsidRPr="00973C29" w:rsidR="00973C29">
        <w:rPr>
          <w:rFonts w:ascii="Tahoma" w:hAnsi="Tahoma" w:cs="Tahoma"/>
          <w:sz w:val="16"/>
          <w:szCs w:val="16"/>
          <w:rtl/>
        </w:rPr>
        <w:t>בשלושה תחומים</w:t>
      </w:r>
      <w:r w:rsidRPr="00CA329C">
        <w:rPr>
          <w:rFonts w:ascii="Tahoma" w:hAnsi="Tahoma" w:cs="Tahoma"/>
          <w:sz w:val="16"/>
          <w:szCs w:val="16"/>
          <w:rtl/>
        </w:rPr>
        <w:t xml:space="preserve">: קריאה, מתמטיקה ומדעים. ראו אתר הרשות הארצית למדידה והערכה בחינוך </w:t>
      </w:r>
      <w:r w:rsidRPr="00CA329C" w:rsidR="00844F8B">
        <w:rPr>
          <w:rFonts w:ascii="Tahoma" w:hAnsi="Tahoma" w:cs="Tahoma"/>
          <w:sz w:val="16"/>
          <w:szCs w:val="16"/>
          <w:rtl/>
        </w:rPr>
        <w:t>[</w:t>
      </w:r>
      <w:hyperlink r:id="rId5" w:history="1">
        <w:r w:rsidRPr="00CA329C" w:rsidR="00844F8B">
          <w:rPr>
            <w:rStyle w:val="Hyperlink"/>
            <w:rFonts w:ascii="Tahoma" w:hAnsi="Tahoma" w:cs="Tahoma"/>
            <w:sz w:val="16"/>
            <w:szCs w:val="16"/>
            <w:rtl/>
          </w:rPr>
          <w:t>קישור</w:t>
        </w:r>
      </w:hyperlink>
      <w:r w:rsidRPr="00CA329C" w:rsidR="00844F8B">
        <w:rPr>
          <w:rFonts w:ascii="Tahoma" w:hAnsi="Tahoma" w:cs="Tahoma"/>
          <w:sz w:val="16"/>
          <w:szCs w:val="16"/>
          <w:rtl/>
        </w:rPr>
        <w:t>]</w:t>
      </w:r>
      <w:r w:rsidRPr="00CA329C">
        <w:rPr>
          <w:rFonts w:ascii="Tahoma" w:hAnsi="Tahoma" w:cs="Tahoma"/>
          <w:sz w:val="16"/>
          <w:szCs w:val="16"/>
          <w:rtl/>
        </w:rPr>
        <w:t>.</w:t>
      </w:r>
    </w:p>
  </w:footnote>
  <w:footnote w:id="29">
    <w:p w:rsidR="008603E7" w:rsidRPr="00360D83" w:rsidP="00092852" w14:paraId="558F3E50"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קרנית </w:t>
      </w:r>
      <w:r w:rsidRPr="00360D83">
        <w:rPr>
          <w:rFonts w:ascii="Tahoma" w:hAnsi="Tahoma" w:cs="Tahoma"/>
          <w:sz w:val="16"/>
          <w:szCs w:val="16"/>
          <w:rtl/>
        </w:rPr>
        <w:t>פלוג</w:t>
      </w:r>
      <w:r w:rsidRPr="00360D83">
        <w:rPr>
          <w:rFonts w:ascii="Tahoma" w:hAnsi="Tahoma" w:cs="Tahoma"/>
          <w:sz w:val="16"/>
          <w:szCs w:val="16"/>
          <w:rtl/>
        </w:rPr>
        <w:t xml:space="preserve">, </w:t>
      </w:r>
      <w:r w:rsidRPr="00DC223D">
        <w:rPr>
          <w:rStyle w:val="a4"/>
          <w:rFonts w:ascii="Tahoma" w:hAnsi="Tahoma" w:cs="Tahoma"/>
          <w:b/>
          <w:bCs/>
          <w:sz w:val="16"/>
          <w:szCs w:val="16"/>
          <w:rtl/>
        </w:rPr>
        <w:t>טיפול באתגר הפריון: המפתח לצמיחה מכלילה ובת קיימא</w:t>
      </w:r>
      <w:r w:rsidRPr="00360D83">
        <w:rPr>
          <w:rFonts w:ascii="Tahoma" w:hAnsi="Tahoma" w:cs="Tahoma"/>
          <w:sz w:val="16"/>
          <w:szCs w:val="16"/>
          <w:rtl/>
        </w:rPr>
        <w:t xml:space="preserve"> (המכון הישראלי לדמוקרטיה, 2019), שקפים 13 - 14.</w:t>
      </w:r>
    </w:p>
  </w:footnote>
  <w:footnote w:id="30">
    <w:p w:rsidR="008603E7" w:rsidRPr="00844F8B" w:rsidP="00092852" w14:paraId="73565B07" w14:textId="7B47E7FA">
      <w:pPr>
        <w:pStyle w:val="a7"/>
        <w:spacing w:after="60"/>
        <w:ind w:left="340" w:hanging="340"/>
        <w:rPr>
          <w:rFonts w:ascii="Tahoma" w:hAnsi="Tahoma" w:cs="Tahoma"/>
          <w:sz w:val="16"/>
          <w:szCs w:val="16"/>
          <w:rtl/>
        </w:rPr>
      </w:pPr>
      <w:r w:rsidRPr="00844F8B">
        <w:rPr>
          <w:rFonts w:ascii="Tahoma" w:hAnsi="Tahoma" w:cs="Tahoma"/>
          <w:sz w:val="16"/>
          <w:szCs w:val="16"/>
          <w:rtl/>
        </w:rPr>
        <w:footnoteRef/>
      </w:r>
      <w:r w:rsidRPr="00844F8B">
        <w:rPr>
          <w:rFonts w:ascii="Tahoma" w:hAnsi="Tahoma" w:cs="Tahoma"/>
          <w:sz w:val="16"/>
          <w:szCs w:val="16"/>
          <w:rtl/>
        </w:rPr>
        <w:tab/>
        <w:t xml:space="preserve">ישראל אימצה את החלטת עצרת האו"ם הכללית מספר </w:t>
      </w:r>
      <w:r w:rsidRPr="00844F8B" w:rsidR="00844F8B">
        <w:rPr>
          <w:rFonts w:ascii="Tahoma" w:hAnsi="Tahoma" w:cs="Tahoma"/>
          <w:sz w:val="16"/>
          <w:szCs w:val="16"/>
        </w:rPr>
        <w:t>70/1A/RES</w:t>
      </w:r>
      <w:r w:rsidRPr="00844F8B">
        <w:rPr>
          <w:rFonts w:ascii="Tahoma" w:hAnsi="Tahoma" w:cs="Tahoma"/>
          <w:sz w:val="16"/>
          <w:szCs w:val="16"/>
          <w:rtl/>
        </w:rPr>
        <w:t xml:space="preserve"> מיום 25.9.15 בנושא אג'נדה 2030 לפיתוח בר קיימה - </w:t>
      </w:r>
      <w:r w:rsidRPr="00844F8B">
        <w:rPr>
          <w:rFonts w:ascii="Tahoma" w:hAnsi="Tahoma" w:cs="Tahoma"/>
          <w:sz w:val="16"/>
          <w:szCs w:val="16"/>
        </w:rPr>
        <w:t>SDG</w:t>
      </w:r>
      <w:r w:rsidRPr="00844F8B">
        <w:rPr>
          <w:rFonts w:ascii="Tahoma" w:hAnsi="Tahoma" w:cs="Tahoma"/>
          <w:sz w:val="16"/>
          <w:szCs w:val="16"/>
          <w:rtl/>
        </w:rPr>
        <w:t xml:space="preserve"> - ראו החלטת הממשלה 4631 (14.7.19).</w:t>
      </w:r>
    </w:p>
  </w:footnote>
  <w:footnote w:id="31">
    <w:p w:rsidR="008603E7" w:rsidRPr="00360D83" w:rsidP="00092852" w14:paraId="52EEFED2"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המועצה הלאומית לכלכלה, </w:t>
      </w:r>
      <w:r w:rsidRPr="00844F8B">
        <w:rPr>
          <w:rStyle w:val="a4"/>
          <w:rFonts w:ascii="Tahoma" w:hAnsi="Tahoma" w:cs="Tahoma"/>
          <w:b/>
          <w:bCs/>
          <w:sz w:val="16"/>
          <w:szCs w:val="16"/>
          <w:rtl/>
        </w:rPr>
        <w:t>הערכת מצב אסטרטגית כלכלית-חברתית</w:t>
      </w:r>
      <w:r w:rsidRPr="00360D83">
        <w:rPr>
          <w:rFonts w:ascii="Tahoma" w:hAnsi="Tahoma" w:cs="Tahoma"/>
          <w:sz w:val="16"/>
          <w:szCs w:val="16"/>
          <w:rtl/>
        </w:rPr>
        <w:t xml:space="preserve"> (2015). הערכה זו אומצה בהחלטת הממשלה 145 (28.6.15). בהמשך לאימוץ הממשלה את המלצות הערכת המצב, קיבלה הממשלה החלטות נוספות הנוגעות לקידום ולמיצוי ההון האנושי, שנתנו מענה לחלק מההיבטים של שיפור מערכי ההכשרה המקצועית, כגון החלטת הממשלה 147 (28.6.15).</w:t>
      </w:r>
    </w:p>
  </w:footnote>
  <w:footnote w:id="32">
    <w:p w:rsidR="008603E7" w:rsidRPr="00360D83" w:rsidP="00092852" w14:paraId="35B2B20E"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החלטת הממשלה 2292 (15.1.17).</w:t>
      </w:r>
    </w:p>
  </w:footnote>
  <w:footnote w:id="33">
    <w:p w:rsidR="008603E7" w:rsidRPr="00360D83" w:rsidP="00092852" w14:paraId="23658EEA" w14:textId="77777777">
      <w:pPr>
        <w:pStyle w:val="a7"/>
        <w:spacing w:after="60"/>
        <w:ind w:left="340" w:hanging="340"/>
        <w:rPr>
          <w:rFonts w:ascii="Tahoma" w:hAnsi="Tahoma" w:cs="Tahoma"/>
          <w:sz w:val="16"/>
          <w:szCs w:val="16"/>
          <w:rtl/>
        </w:rPr>
      </w:pPr>
      <w:r w:rsidRPr="00360D83">
        <w:rPr>
          <w:rFonts w:ascii="Tahoma" w:hAnsi="Tahoma" w:cs="Tahoma"/>
          <w:sz w:val="16"/>
          <w:szCs w:val="16"/>
          <w:rtl/>
        </w:rPr>
        <w:footnoteRef/>
      </w:r>
      <w:r w:rsidRPr="00360D83">
        <w:rPr>
          <w:rFonts w:ascii="Tahoma" w:hAnsi="Tahoma" w:cs="Tahoma"/>
          <w:sz w:val="16"/>
          <w:szCs w:val="16"/>
          <w:rtl/>
        </w:rPr>
        <w:tab/>
        <w:t xml:space="preserve">הוועדה מונתה על ידי שר העבודה באוגוסט 2017, בהמשך להחלטת הממשלה 2594 (6.4.17), ועמד בראשה פרופ' צבי אקשטיין. בוועדה היו חברים גם נציגי משרד האוצר (אגף תקציבים והכלכלנית הראשית), ההסתדרות החדשה, התאחדות התעשיינים, המוסד לביטוח לאומי, שירות התעסוקה, ות"ת-מל"ג, </w:t>
      </w:r>
      <w:r w:rsidRPr="00360D83">
        <w:rPr>
          <w:rFonts w:ascii="Tahoma" w:hAnsi="Tahoma" w:cs="Tahoma"/>
          <w:sz w:val="16"/>
          <w:szCs w:val="16"/>
          <w:rtl/>
        </w:rPr>
        <w:t>נש"ם</w:t>
      </w:r>
      <w:r w:rsidRPr="00360D83">
        <w:rPr>
          <w:rFonts w:ascii="Tahoma" w:hAnsi="Tahoma" w:cs="Tahoma"/>
          <w:sz w:val="16"/>
          <w:szCs w:val="16"/>
          <w:rtl/>
        </w:rPr>
        <w:t>, משרד הכלכלה, בנק ישראל, רשות החדשנות, המועצה הלאומית לכלכלה. בעת סיום הביקורת הושלם דוח הוועדה והוצג בפני שר העבודה.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941" w:rsidP="00FA6941" w14:paraId="09547B3E" w14:textId="56232A6D">
    <w:pPr>
      <w:pStyle w:val="Header"/>
      <w:tabs>
        <w:tab w:val="clear" w:pos="4153"/>
        <w:tab w:val="right" w:pos="7478"/>
        <w:tab w:val="right" w:pos="8222"/>
        <w:tab w:val="clear" w:pos="8306"/>
      </w:tabs>
      <w:spacing w:before="120" w:line="240" w:lineRule="atLeast"/>
      <w:jc w:val="left"/>
    </w:pPr>
    <w:r>
      <w:rPr>
        <w:noProof/>
      </w:rPr>
      <w:drawing>
        <wp:anchor distT="0" distB="0" distL="114300" distR="114300" simplePos="0" relativeHeight="251662336" behindDoc="1" locked="0" layoutInCell="1" allowOverlap="1">
          <wp:simplePos x="0" y="0"/>
          <wp:positionH relativeFrom="column">
            <wp:posOffset>8057</wp:posOffset>
          </wp:positionH>
          <wp:positionV relativeFrom="paragraph">
            <wp:posOffset>13431</wp:posOffset>
          </wp:positionV>
          <wp:extent cx="414000" cy="273600"/>
          <wp:effectExtent l="0" t="0" r="5715" b="0"/>
          <wp:wrapNone/>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14000" cy="2736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color w:val="002060"/>
        <w:sz w:val="18"/>
        <w:szCs w:val="18"/>
        <w:rtl/>
      </w:rPr>
      <w:tab/>
    </w:r>
    <w:r w:rsidRPr="00973C29" w:rsidR="00973C29">
      <w:rPr>
        <w:rFonts w:ascii="Tahoma" w:hAnsi="Tahoma" w:cs="Tahoma"/>
        <w:color w:val="002060"/>
        <w:sz w:val="18"/>
        <w:szCs w:val="18"/>
        <w:rtl/>
      </w:rPr>
      <w:t>מבוא כללי למקבץ הדוחות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33EC" w:rsidP="00FA242E" w14:paraId="72856949" w14:textId="77777777">
    <w:pPr>
      <w:pStyle w:val="Header"/>
      <w:tabs>
        <w:tab w:val="center" w:pos="4111"/>
        <w:tab w:val="clear" w:pos="4153"/>
        <w:tab w:val="right" w:pos="8222"/>
        <w:tab w:val="clear" w:pos="8306"/>
      </w:tabs>
      <w:jc w:val="left"/>
    </w:pPr>
    <w:r w:rsidRPr="008D2388">
      <w:rPr>
        <w:rFonts w:ascii="Tahoma" w:hAnsi="Tahoma" w:cs="Tahoma"/>
        <w:noProof/>
        <w:position w:val="-20"/>
        <w:szCs w:val="18"/>
      </w:rPr>
      <w:drawing>
        <wp:inline distT="0" distB="0" distL="0" distR="0">
          <wp:extent cx="252000" cy="313200"/>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28024" name="israel-blue.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000" cy="313200"/>
                  </a:xfrm>
                  <a:prstGeom prst="rect">
                    <a:avLst/>
                  </a:prstGeom>
                </pic:spPr>
              </pic:pic>
            </a:graphicData>
          </a:graphic>
        </wp:inline>
      </w:drawing>
    </w:r>
    <w:r>
      <w:rPr>
        <w:rFonts w:hint="cs"/>
        <w:rtl/>
      </w:rPr>
      <w:t xml:space="preserve"> </w:t>
    </w:r>
    <w:r>
      <w:t xml:space="preserve"> </w:t>
    </w:r>
    <w:r w:rsidRPr="005B4811">
      <w:rPr>
        <w:rFonts w:ascii="Tahoma" w:hAnsi="Tahoma" w:cs="Tahoma" w:hint="cs"/>
        <w:color w:val="002060"/>
        <w:sz w:val="18"/>
        <w:szCs w:val="18"/>
        <w:rtl/>
      </w:rPr>
      <w:t>מדינת ישראל</w:t>
    </w:r>
    <w:r>
      <w:rPr>
        <w:rFonts w:ascii="Tahoma" w:hAnsi="Tahoma" w:cs="Tahoma"/>
        <w:color w:val="002060"/>
        <w:sz w:val="18"/>
        <w:szCs w:val="18"/>
      </w:rPr>
      <w:tab/>
    </w: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Pr>
        <w:noProof/>
        <w:rtl/>
      </w:rPr>
      <w:t>4</w:t>
    </w:r>
    <w:r>
      <w:rPr>
        <w:rtl/>
      </w:rPr>
      <w:fldChar w:fldCharType="end"/>
    </w:r>
    <w:r>
      <w:t xml:space="preserve"> </w:t>
    </w:r>
    <w:r>
      <w:rPr>
        <w:rtl/>
      </w:rPr>
      <w:t>-</w:t>
    </w:r>
    <w:r>
      <w:rPr>
        <w:rFonts w:ascii="Tahoma" w:hAnsi="Tahoma" w:cs="Tahoma"/>
        <w:color w:val="002060"/>
        <w:sz w:val="18"/>
        <w:szCs w:val="18"/>
      </w:rPr>
      <w:tab/>
    </w: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r>
      <w:rPr>
        <w:rFonts w:ascii="Tahoma" w:hAnsi="Tahoma" w:cs="Tahoma" w:hint="cs"/>
        <w:color w:val="002060"/>
        <w:sz w:val="18"/>
        <w:szCs w:val="18"/>
        <w:rtl/>
      </w:rPr>
      <w:t xml:space="preserve"> </w:t>
    </w:r>
    <w:r w:rsidRPr="008D2388">
      <w:rPr>
        <w:rFonts w:ascii="Tahoma" w:hAnsi="Tahoma" w:cs="Tahoma"/>
        <w:noProof/>
        <w:position w:val="-12"/>
        <w:sz w:val="24"/>
      </w:rPr>
      <w:drawing>
        <wp:inline distT="0" distB="0" distL="0" distR="0">
          <wp:extent cx="412115" cy="271145"/>
          <wp:effectExtent l="0" t="0" r="698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39449" name="mevaker-semel.new-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2115" cy="271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7632" w:rsidP="00E85898" w14:paraId="6DFC39BA" w14:textId="03FF058F">
    <w:pPr>
      <w:pStyle w:val="Header"/>
      <w:tabs>
        <w:tab w:val="left" w:pos="493"/>
        <w:tab w:val="center" w:pos="4111"/>
        <w:tab w:val="clear" w:pos="4153"/>
        <w:tab w:val="right" w:pos="7478"/>
        <w:tab w:val="right" w:pos="8222"/>
        <w:tab w:val="clear" w:pos="8306"/>
      </w:tabs>
      <w:spacing w:before="120" w:line="240" w:lineRule="atLeast"/>
      <w:jc w:val="left"/>
    </w:pPr>
    <w:r>
      <w:rPr>
        <w:noProof/>
      </w:rPr>
      <w:drawing>
        <wp:anchor distT="0" distB="0" distL="114300" distR="114300" simplePos="0" relativeHeight="251665408" behindDoc="1" locked="0" layoutInCell="1" allowOverlap="1">
          <wp:simplePos x="0" y="0"/>
          <wp:positionH relativeFrom="column">
            <wp:posOffset>4961248</wp:posOffset>
          </wp:positionH>
          <wp:positionV relativeFrom="paragraph">
            <wp:posOffset>-943</wp:posOffset>
          </wp:positionV>
          <wp:extent cx="255600" cy="313200"/>
          <wp:effectExtent l="0" t="0" r="0" b="0"/>
          <wp:wrapNone/>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4347" name="Picture 659"/>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55600" cy="313200"/>
                  </a:xfrm>
                  <a:prstGeom prst="rect">
                    <a:avLst/>
                  </a:prstGeom>
                </pic:spPr>
              </pic:pic>
            </a:graphicData>
          </a:graphic>
          <wp14:sizeRelH relativeFrom="margin">
            <wp14:pctWidth>0</wp14:pctWidth>
          </wp14:sizeRelH>
          <wp14:sizeRelV relativeFrom="margin">
            <wp14:pctHeight>0</wp14:pctHeight>
          </wp14:sizeRelV>
        </wp:anchor>
      </w:drawing>
    </w:r>
    <w:r>
      <w:tab/>
    </w:r>
    <w:r w:rsidRPr="00D15500" w:rsidR="00E85898">
      <w:rPr>
        <w:rFonts w:ascii="Tahoma" w:hAnsi="Tahoma" w:cs="Tahoma" w:hint="cs"/>
        <w:color w:val="002060"/>
        <w:sz w:val="18"/>
        <w:szCs w:val="18"/>
        <w:rtl/>
      </w:rPr>
      <w:t xml:space="preserve">מבקר המדינה </w:t>
    </w:r>
    <w:r w:rsidR="00E85898">
      <w:rPr>
        <w:rFonts w:ascii="Tahoma" w:hAnsi="Tahoma" w:cs="Tahoma" w:hint="cs"/>
        <w:color w:val="002060"/>
        <w:sz w:val="18"/>
        <w:szCs w:val="18"/>
        <w:rtl/>
      </w:rPr>
      <w:t xml:space="preserve">| </w:t>
    </w:r>
    <w:r w:rsidRPr="00D15500" w:rsidR="00E85898">
      <w:rPr>
        <w:rFonts w:ascii="Tahoma" w:hAnsi="Tahoma" w:cs="Tahoma"/>
        <w:color w:val="002060"/>
        <w:sz w:val="18"/>
        <w:szCs w:val="18"/>
        <w:rtl/>
      </w:rPr>
      <w:t>דוח</w:t>
    </w:r>
    <w:r w:rsidRPr="00D15500" w:rsidR="00E85898">
      <w:rPr>
        <w:rFonts w:ascii="Tahoma" w:hAnsi="Tahoma" w:cs="Tahoma" w:hint="cs"/>
        <w:color w:val="002060"/>
        <w:sz w:val="18"/>
        <w:szCs w:val="18"/>
        <w:rtl/>
      </w:rPr>
      <w:t xml:space="preserve"> שנתי</w:t>
    </w:r>
    <w:r w:rsidRPr="00D15500" w:rsidR="00E85898">
      <w:rPr>
        <w:rFonts w:ascii="Tahoma" w:hAnsi="Tahoma" w:cs="Tahoma"/>
        <w:color w:val="002060"/>
        <w:sz w:val="18"/>
        <w:szCs w:val="18"/>
        <w:rtl/>
      </w:rPr>
      <w:t xml:space="preserve"> </w:t>
    </w:r>
    <w:r w:rsidR="00E85898">
      <w:rPr>
        <w:rFonts w:ascii="Tahoma" w:hAnsi="Tahoma" w:cs="Tahoma"/>
        <w:color w:val="002060"/>
        <w:sz w:val="18"/>
        <w:szCs w:val="18"/>
        <w:rtl/>
      </w:rPr>
      <w:t>71ב</w:t>
    </w:r>
    <w:r w:rsidR="00E85898">
      <w:rPr>
        <w:rFonts w:ascii="Tahoma" w:hAnsi="Tahoma" w:cs="Tahoma" w:hint="cs"/>
        <w:color w:val="002060"/>
        <w:sz w:val="18"/>
        <w:szCs w:val="18"/>
        <w:rtl/>
      </w:rPr>
      <w:t xml:space="preserve"> | </w:t>
    </w:r>
    <w:r w:rsidR="00192769">
      <w:rPr>
        <w:rFonts w:ascii="Tahoma" w:hAnsi="Tahoma" w:cs="Tahoma" w:hint="cs"/>
        <w:color w:val="002060"/>
        <w:sz w:val="18"/>
        <w:szCs w:val="18"/>
        <w:rtl/>
      </w:rPr>
      <w:t>התשפ"א-2021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593" w:rsidRPr="00D15500" w:rsidP="005B4811" w14:paraId="6E7AA361"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3360"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327593"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49"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327593" w:rsidRPr="005B4811" w:rsidP="005B4811" w14:paraId="56388473"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rsidR="00327593"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327593" w:rsidRPr="005B4811" w:rsidP="005B4811" w14:paraId="53AAA814"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4384"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105A2"/>
    <w:multiLevelType w:val="hybridMultilevel"/>
    <w:tmpl w:val="B4943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BA3D56"/>
    <w:multiLevelType w:val="hybridMultilevel"/>
    <w:tmpl w:val="2796F0B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DE3C09"/>
    <w:multiLevelType w:val="hybridMultilevel"/>
    <w:tmpl w:val="2796F0B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77AE5"/>
    <w:multiLevelType w:val="hybridMultilevel"/>
    <w:tmpl w:val="E23A7F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925F1E"/>
    <w:multiLevelType w:val="multilevel"/>
    <w:tmpl w:val="738C57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7636125"/>
    <w:multiLevelType w:val="hybridMultilevel"/>
    <w:tmpl w:val="38043AEE"/>
    <w:lvl w:ilvl="0">
      <w:start w:val="1"/>
      <w:numFmt w:val="decimal"/>
      <w:lvlText w:val="%1."/>
      <w:lvlJc w:val="left"/>
      <w:pPr>
        <w:ind w:left="672" w:hanging="360"/>
      </w:pPr>
      <w:rPr>
        <w:rFonts w:eastAsiaTheme="majorEastAsia" w:hint="default"/>
        <w:b/>
        <w:bCs w:val="0"/>
        <w:color w:val="004E6C"/>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
    <w:nsid w:val="1B5258AD"/>
    <w:multiLevelType w:val="hybridMultilevel"/>
    <w:tmpl w:val="F620D9CA"/>
    <w:lvl w:ilvl="0">
      <w:start w:val="1"/>
      <w:numFmt w:val="hebrew1"/>
      <w:lvlText w:val="%1."/>
      <w:lvlJc w:val="left"/>
      <w:pPr>
        <w:ind w:left="672" w:hanging="360"/>
      </w:pPr>
      <w:rPr>
        <w:rFonts w:hint="default"/>
        <w:b/>
        <w:bCs w:val="0"/>
        <w:color w:val="244061" w:themeColor="accent1" w:themeShade="80"/>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7">
    <w:nsid w:val="1F733C02"/>
    <w:multiLevelType w:val="multilevel"/>
    <w:tmpl w:val="F6AE030A"/>
    <w:lvl w:ilvl="0">
      <w:start w:val="3"/>
      <w:numFmt w:val="decimal"/>
      <w:lvlText w:val="%1."/>
      <w:lvlJc w:val="left"/>
      <w:pPr>
        <w:ind w:left="340" w:hanging="340"/>
      </w:pPr>
      <w:rPr>
        <w:rFonts w:hint="default"/>
        <w:b w:val="0"/>
        <w:bCs w:val="0"/>
        <w:color w:val="244061" w:themeColor="accent1" w:themeShade="80"/>
        <w:u w:val="none"/>
      </w:rPr>
    </w:lvl>
    <w:lvl w:ilvl="1">
      <w:start w:val="1"/>
      <w:numFmt w:val="hebrew1"/>
      <w:lvlText w:val="%2."/>
      <w:lvlJc w:val="left"/>
      <w:pPr>
        <w:ind w:left="765" w:hanging="340"/>
      </w:pPr>
      <w:rPr>
        <w:rFonts w:hint="default"/>
        <w:color w:val="244061" w:themeColor="accent1" w:themeShade="8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45B6E2A"/>
    <w:multiLevelType w:val="hybridMultilevel"/>
    <w:tmpl w:val="D25A74E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7E42A5"/>
    <w:multiLevelType w:val="hybridMultilevel"/>
    <w:tmpl w:val="5F804F5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4C0E53"/>
    <w:multiLevelType w:val="hybridMultilevel"/>
    <w:tmpl w:val="84DC7D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525D8D"/>
    <w:multiLevelType w:val="multilevel"/>
    <w:tmpl w:val="079C3D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F6D2E30"/>
    <w:multiLevelType w:val="multilevel"/>
    <w:tmpl w:val="5EB82C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4990D82"/>
    <w:multiLevelType w:val="hybridMultilevel"/>
    <w:tmpl w:val="DB783B5A"/>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CE1CD9"/>
    <w:multiLevelType w:val="hybridMultilevel"/>
    <w:tmpl w:val="0FA4657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A01783"/>
    <w:multiLevelType w:val="multilevel"/>
    <w:tmpl w:val="78DE58B8"/>
    <w:lvl w:ilvl="0">
      <w:start w:val="1"/>
      <w:numFmt w:val="decimal"/>
      <w:lvlText w:val="%1."/>
      <w:lvlJc w:val="left"/>
      <w:pPr>
        <w:ind w:left="340" w:hanging="340"/>
      </w:pPr>
      <w:rPr>
        <w:b w:val="0"/>
        <w:bCs w:val="0"/>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68531F0"/>
    <w:multiLevelType w:val="hybridMultilevel"/>
    <w:tmpl w:val="C404811C"/>
    <w:lvl w:ilvl="0">
      <w:start w:val="1"/>
      <w:numFmt w:val="decimal"/>
      <w:lvlText w:val="%1."/>
      <w:lvlJc w:val="left"/>
      <w:pPr>
        <w:ind w:left="587" w:hanging="360"/>
      </w:pPr>
      <w:rPr>
        <w:rFonts w:hint="default"/>
      </w:rPr>
    </w:lvl>
    <w:lvl w:ilvl="1" w:tentative="1">
      <w:start w:val="1"/>
      <w:numFmt w:val="lowerLetter"/>
      <w:lvlText w:val="%2."/>
      <w:lvlJc w:val="left"/>
      <w:pPr>
        <w:ind w:left="1307" w:hanging="360"/>
      </w:pPr>
    </w:lvl>
    <w:lvl w:ilvl="2" w:tentative="1">
      <w:start w:val="1"/>
      <w:numFmt w:val="lowerRoman"/>
      <w:lvlText w:val="%3."/>
      <w:lvlJc w:val="right"/>
      <w:pPr>
        <w:ind w:left="2027" w:hanging="180"/>
      </w:pPr>
    </w:lvl>
    <w:lvl w:ilvl="3" w:tentative="1">
      <w:start w:val="1"/>
      <w:numFmt w:val="decimal"/>
      <w:lvlText w:val="%4."/>
      <w:lvlJc w:val="left"/>
      <w:pPr>
        <w:ind w:left="2747" w:hanging="360"/>
      </w:pPr>
    </w:lvl>
    <w:lvl w:ilvl="4" w:tentative="1">
      <w:start w:val="1"/>
      <w:numFmt w:val="lowerLetter"/>
      <w:lvlText w:val="%5."/>
      <w:lvlJc w:val="left"/>
      <w:pPr>
        <w:ind w:left="3467" w:hanging="360"/>
      </w:pPr>
    </w:lvl>
    <w:lvl w:ilvl="5" w:tentative="1">
      <w:start w:val="1"/>
      <w:numFmt w:val="lowerRoman"/>
      <w:lvlText w:val="%6."/>
      <w:lvlJc w:val="right"/>
      <w:pPr>
        <w:ind w:left="4187" w:hanging="180"/>
      </w:pPr>
    </w:lvl>
    <w:lvl w:ilvl="6" w:tentative="1">
      <w:start w:val="1"/>
      <w:numFmt w:val="decimal"/>
      <w:lvlText w:val="%7."/>
      <w:lvlJc w:val="left"/>
      <w:pPr>
        <w:ind w:left="4907" w:hanging="360"/>
      </w:pPr>
    </w:lvl>
    <w:lvl w:ilvl="7" w:tentative="1">
      <w:start w:val="1"/>
      <w:numFmt w:val="lowerLetter"/>
      <w:lvlText w:val="%8."/>
      <w:lvlJc w:val="left"/>
      <w:pPr>
        <w:ind w:left="5627" w:hanging="360"/>
      </w:pPr>
    </w:lvl>
    <w:lvl w:ilvl="8" w:tentative="1">
      <w:start w:val="1"/>
      <w:numFmt w:val="lowerRoman"/>
      <w:lvlText w:val="%9."/>
      <w:lvlJc w:val="right"/>
      <w:pPr>
        <w:ind w:left="6347" w:hanging="180"/>
      </w:pPr>
    </w:lvl>
  </w:abstractNum>
  <w:abstractNum w:abstractNumId="17">
    <w:nsid w:val="474E3FE7"/>
    <w:multiLevelType w:val="hybridMultilevel"/>
    <w:tmpl w:val="92DEED4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91073E"/>
    <w:multiLevelType w:val="hybridMultilevel"/>
    <w:tmpl w:val="B6F41DD4"/>
    <w:lvl w:ilvl="0">
      <w:start w:val="1"/>
      <w:numFmt w:val="decimal"/>
      <w:lvlText w:val="%1."/>
      <w:lvlJc w:val="left"/>
      <w:pPr>
        <w:ind w:left="672" w:hanging="360"/>
      </w:pPr>
      <w:rPr>
        <w:rFonts w:hint="default"/>
        <w:b/>
        <w:bCs w:val="0"/>
        <w:color w:val="auto"/>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56635FD0"/>
    <w:multiLevelType w:val="hybridMultilevel"/>
    <w:tmpl w:val="B792CC2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59626C"/>
    <w:multiLevelType w:val="hybridMultilevel"/>
    <w:tmpl w:val="3AE4980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AA10D0C"/>
    <w:multiLevelType w:val="hybridMultilevel"/>
    <w:tmpl w:val="3E385B2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16A7A1C"/>
    <w:multiLevelType w:val="multilevel"/>
    <w:tmpl w:val="53EE31E0"/>
    <w:lvl w:ilvl="0">
      <w:start w:val="1"/>
      <w:numFmt w:val="decimal"/>
      <w:lvlText w:val="%1."/>
      <w:lvlJc w:val="left"/>
      <w:pPr>
        <w:ind w:left="340" w:hanging="340"/>
      </w:pPr>
      <w:rPr>
        <w:rFonts w:ascii="Tahoma" w:hAnsi="Tahoma" w:eastAsiaTheme="majorEastAsia" w:cs="Tahoma"/>
        <w:b w:val="0"/>
        <w:bCs w:val="0"/>
        <w:color w:val="244061" w:themeColor="accent1" w:themeShade="80"/>
      </w:rPr>
    </w:lvl>
    <w:lvl w:ilvl="1">
      <w:start w:val="1"/>
      <w:numFmt w:val="hebrew1"/>
      <w:lvlText w:val="%2."/>
      <w:lvlJc w:val="left"/>
      <w:pPr>
        <w:ind w:left="680" w:hanging="340"/>
      </w:pPr>
      <w:rPr>
        <w:rFonts w:ascii="Tahoma" w:hAnsi="Tahoma" w:eastAsiaTheme="majorEastAsia" w:cs="Tahoma"/>
        <w:color w:val="244061" w:themeColor="accent1" w:themeShade="8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16B2388"/>
    <w:multiLevelType w:val="multilevel"/>
    <w:tmpl w:val="42AC0EDE"/>
    <w:lvl w:ilvl="0">
      <w:start w:val="1"/>
      <w:numFmt w:val="decimal"/>
      <w:lvlText w:val="%1."/>
      <w:lvlJc w:val="left"/>
      <w:pPr>
        <w:ind w:left="340" w:hanging="340"/>
      </w:pPr>
      <w:rPr>
        <w:rFonts w:ascii="Tahoma" w:hAnsi="Tahoma" w:eastAsiaTheme="majorEastAsia" w:cs="Tahoma"/>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1C51176"/>
    <w:multiLevelType w:val="hybridMultilevel"/>
    <w:tmpl w:val="B35EBB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2B046C7"/>
    <w:multiLevelType w:val="hybridMultilevel"/>
    <w:tmpl w:val="2E12C206"/>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3113D87"/>
    <w:multiLevelType w:val="hybridMultilevel"/>
    <w:tmpl w:val="F620D9CA"/>
    <w:lvl w:ilvl="0">
      <w:start w:val="1"/>
      <w:numFmt w:val="hebrew1"/>
      <w:lvlText w:val="%1."/>
      <w:lvlJc w:val="left"/>
      <w:pPr>
        <w:ind w:left="672" w:hanging="360"/>
      </w:pPr>
      <w:rPr>
        <w:rFonts w:hint="default"/>
        <w:b/>
        <w:bCs w:val="0"/>
        <w:color w:val="244061" w:themeColor="accent1" w:themeShade="80"/>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7">
    <w:nsid w:val="63FF7159"/>
    <w:multiLevelType w:val="hybridMultilevel"/>
    <w:tmpl w:val="38043AEE"/>
    <w:lvl w:ilvl="0">
      <w:start w:val="1"/>
      <w:numFmt w:val="decimal"/>
      <w:lvlText w:val="%1."/>
      <w:lvlJc w:val="left"/>
      <w:pPr>
        <w:ind w:left="672" w:hanging="360"/>
      </w:pPr>
      <w:rPr>
        <w:rFonts w:eastAsiaTheme="majorEastAsia" w:hint="default"/>
        <w:b/>
        <w:bCs w:val="0"/>
        <w:color w:val="004E6C"/>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8">
    <w:nsid w:val="71E23E40"/>
    <w:multiLevelType w:val="multilevel"/>
    <w:tmpl w:val="D4541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573084C"/>
    <w:multiLevelType w:val="hybridMultilevel"/>
    <w:tmpl w:val="1D38543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204688"/>
    <w:multiLevelType w:val="hybridMultilevel"/>
    <w:tmpl w:val="95E639A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F0E0131"/>
    <w:multiLevelType w:val="hybridMultilevel"/>
    <w:tmpl w:val="F71EDB7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2"/>
  </w:num>
  <w:num w:numId="3">
    <w:abstractNumId w:val="26"/>
  </w:num>
  <w:num w:numId="4">
    <w:abstractNumId w:val="7"/>
  </w:num>
  <w:num w:numId="5">
    <w:abstractNumId w:val="15"/>
  </w:num>
  <w:num w:numId="6">
    <w:abstractNumId w:val="23"/>
  </w:num>
  <w:num w:numId="7">
    <w:abstractNumId w:val="8"/>
  </w:num>
  <w:num w:numId="8">
    <w:abstractNumId w:val="24"/>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4"/>
  </w:num>
  <w:num w:numId="19">
    <w:abstractNumId w:val="21"/>
  </w:num>
  <w:num w:numId="20">
    <w:abstractNumId w:val="30"/>
  </w:num>
  <w:num w:numId="21">
    <w:abstractNumId w:val="1"/>
  </w:num>
  <w:num w:numId="22">
    <w:abstractNumId w:val="3"/>
  </w:num>
  <w:num w:numId="23">
    <w:abstractNumId w:val="2"/>
  </w:num>
  <w:num w:numId="24">
    <w:abstractNumId w:val="10"/>
  </w:num>
  <w:num w:numId="25">
    <w:abstractNumId w:val="0"/>
  </w:num>
  <w:num w:numId="26">
    <w:abstractNumId w:val="29"/>
  </w:num>
  <w:num w:numId="27">
    <w:abstractNumId w:val="25"/>
  </w:num>
  <w:num w:numId="28">
    <w:abstractNumId w:val="11"/>
  </w:num>
  <w:num w:numId="29">
    <w:abstractNumId w:val="17"/>
  </w:num>
  <w:num w:numId="30">
    <w:abstractNumId w:val="19"/>
  </w:num>
  <w:num w:numId="31">
    <w:abstractNumId w:val="31"/>
  </w:num>
  <w:num w:numId="32">
    <w:abstractNumId w:val="13"/>
  </w:num>
  <w:num w:numId="33">
    <w:abstractNumId w:val="27"/>
  </w:num>
  <w:num w:numId="34">
    <w:abstractNumId w:val="16"/>
  </w:num>
  <w:num w:numId="35">
    <w:abstractNumId w:val="5"/>
  </w:num>
  <w:num w:numId="36">
    <w:abstractNumId w:val="18"/>
  </w:num>
  <w:num w:numId="3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gutterAtTop/>
  <w:proofState w:spelling="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D05CC"/>
    <w:rsid w:val="00001D5A"/>
    <w:rsid w:val="00002EF7"/>
    <w:rsid w:val="00003B77"/>
    <w:rsid w:val="00003F96"/>
    <w:rsid w:val="0000520D"/>
    <w:rsid w:val="000054B7"/>
    <w:rsid w:val="00005EE0"/>
    <w:rsid w:val="00006B59"/>
    <w:rsid w:val="0001014C"/>
    <w:rsid w:val="00011BFC"/>
    <w:rsid w:val="00012657"/>
    <w:rsid w:val="00013BC3"/>
    <w:rsid w:val="000155F0"/>
    <w:rsid w:val="000157CF"/>
    <w:rsid w:val="00015A22"/>
    <w:rsid w:val="0001735B"/>
    <w:rsid w:val="000206F1"/>
    <w:rsid w:val="00021FFB"/>
    <w:rsid w:val="0002582E"/>
    <w:rsid w:val="00026367"/>
    <w:rsid w:val="000264D7"/>
    <w:rsid w:val="000303C9"/>
    <w:rsid w:val="00031C68"/>
    <w:rsid w:val="00031CEB"/>
    <w:rsid w:val="00032932"/>
    <w:rsid w:val="0003494D"/>
    <w:rsid w:val="00035B80"/>
    <w:rsid w:val="00036B0F"/>
    <w:rsid w:val="00040918"/>
    <w:rsid w:val="00040C4D"/>
    <w:rsid w:val="000413AB"/>
    <w:rsid w:val="000419ED"/>
    <w:rsid w:val="00042688"/>
    <w:rsid w:val="00042837"/>
    <w:rsid w:val="00043204"/>
    <w:rsid w:val="00043931"/>
    <w:rsid w:val="000448BE"/>
    <w:rsid w:val="00046670"/>
    <w:rsid w:val="00047A92"/>
    <w:rsid w:val="000501A4"/>
    <w:rsid w:val="00050BDE"/>
    <w:rsid w:val="00052281"/>
    <w:rsid w:val="00052AE4"/>
    <w:rsid w:val="000532AA"/>
    <w:rsid w:val="00053AA7"/>
    <w:rsid w:val="00053D09"/>
    <w:rsid w:val="0005582D"/>
    <w:rsid w:val="00055CB5"/>
    <w:rsid w:val="00055E07"/>
    <w:rsid w:val="00055E4C"/>
    <w:rsid w:val="00055EC9"/>
    <w:rsid w:val="00056B3E"/>
    <w:rsid w:val="000571B9"/>
    <w:rsid w:val="0005725C"/>
    <w:rsid w:val="00060045"/>
    <w:rsid w:val="00060178"/>
    <w:rsid w:val="00061760"/>
    <w:rsid w:val="000618D0"/>
    <w:rsid w:val="00063297"/>
    <w:rsid w:val="00064637"/>
    <w:rsid w:val="000675B0"/>
    <w:rsid w:val="00067F12"/>
    <w:rsid w:val="000710A8"/>
    <w:rsid w:val="00072B83"/>
    <w:rsid w:val="00072FE8"/>
    <w:rsid w:val="000736B3"/>
    <w:rsid w:val="0007429C"/>
    <w:rsid w:val="0007508C"/>
    <w:rsid w:val="00076758"/>
    <w:rsid w:val="0007717F"/>
    <w:rsid w:val="0007762A"/>
    <w:rsid w:val="00080072"/>
    <w:rsid w:val="00081D0E"/>
    <w:rsid w:val="0008345D"/>
    <w:rsid w:val="00084E3A"/>
    <w:rsid w:val="00086BCD"/>
    <w:rsid w:val="00091A72"/>
    <w:rsid w:val="00092852"/>
    <w:rsid w:val="00093E30"/>
    <w:rsid w:val="0009432F"/>
    <w:rsid w:val="00094F15"/>
    <w:rsid w:val="00096CF4"/>
    <w:rsid w:val="00097CDE"/>
    <w:rsid w:val="000A00AE"/>
    <w:rsid w:val="000A01F2"/>
    <w:rsid w:val="000A0884"/>
    <w:rsid w:val="000A0915"/>
    <w:rsid w:val="000A1610"/>
    <w:rsid w:val="000A26F1"/>
    <w:rsid w:val="000A2BD8"/>
    <w:rsid w:val="000A4686"/>
    <w:rsid w:val="000A567C"/>
    <w:rsid w:val="000A5B75"/>
    <w:rsid w:val="000A65A9"/>
    <w:rsid w:val="000A69A7"/>
    <w:rsid w:val="000B1102"/>
    <w:rsid w:val="000B2074"/>
    <w:rsid w:val="000B2C5B"/>
    <w:rsid w:val="000B2DBE"/>
    <w:rsid w:val="000B3056"/>
    <w:rsid w:val="000B55BB"/>
    <w:rsid w:val="000B7912"/>
    <w:rsid w:val="000B7B95"/>
    <w:rsid w:val="000C05CB"/>
    <w:rsid w:val="000C0F17"/>
    <w:rsid w:val="000C16F6"/>
    <w:rsid w:val="000C2AB9"/>
    <w:rsid w:val="000C404B"/>
    <w:rsid w:val="000C50A1"/>
    <w:rsid w:val="000C6AAF"/>
    <w:rsid w:val="000C7459"/>
    <w:rsid w:val="000D11EB"/>
    <w:rsid w:val="000D2056"/>
    <w:rsid w:val="000D22F0"/>
    <w:rsid w:val="000D2F93"/>
    <w:rsid w:val="000D5B81"/>
    <w:rsid w:val="000D5C0B"/>
    <w:rsid w:val="000E013E"/>
    <w:rsid w:val="000E1FBD"/>
    <w:rsid w:val="000E23EA"/>
    <w:rsid w:val="000E2715"/>
    <w:rsid w:val="000E2B2C"/>
    <w:rsid w:val="000E3022"/>
    <w:rsid w:val="000E3BB6"/>
    <w:rsid w:val="000E3D52"/>
    <w:rsid w:val="000E44FD"/>
    <w:rsid w:val="000E5149"/>
    <w:rsid w:val="000E5834"/>
    <w:rsid w:val="000F158C"/>
    <w:rsid w:val="000F1DEA"/>
    <w:rsid w:val="000F2408"/>
    <w:rsid w:val="000F3700"/>
    <w:rsid w:val="000F76A8"/>
    <w:rsid w:val="000F7725"/>
    <w:rsid w:val="00101681"/>
    <w:rsid w:val="00101BB0"/>
    <w:rsid w:val="00101D0F"/>
    <w:rsid w:val="00105970"/>
    <w:rsid w:val="00107175"/>
    <w:rsid w:val="00107A35"/>
    <w:rsid w:val="00111F8A"/>
    <w:rsid w:val="00112E28"/>
    <w:rsid w:val="00113C2F"/>
    <w:rsid w:val="00113E28"/>
    <w:rsid w:val="00114325"/>
    <w:rsid w:val="00115432"/>
    <w:rsid w:val="001157CE"/>
    <w:rsid w:val="00115E66"/>
    <w:rsid w:val="001172DF"/>
    <w:rsid w:val="0012279D"/>
    <w:rsid w:val="001239A8"/>
    <w:rsid w:val="00124DC1"/>
    <w:rsid w:val="00134F83"/>
    <w:rsid w:val="001354CB"/>
    <w:rsid w:val="00135695"/>
    <w:rsid w:val="00135742"/>
    <w:rsid w:val="00135A23"/>
    <w:rsid w:val="00136496"/>
    <w:rsid w:val="0013664A"/>
    <w:rsid w:val="00136A10"/>
    <w:rsid w:val="00137337"/>
    <w:rsid w:val="00137FF0"/>
    <w:rsid w:val="00140CC4"/>
    <w:rsid w:val="00140F99"/>
    <w:rsid w:val="00141BD6"/>
    <w:rsid w:val="00142206"/>
    <w:rsid w:val="00143176"/>
    <w:rsid w:val="001451A4"/>
    <w:rsid w:val="0014715B"/>
    <w:rsid w:val="00150A48"/>
    <w:rsid w:val="00150BE4"/>
    <w:rsid w:val="00150BEB"/>
    <w:rsid w:val="00150CC9"/>
    <w:rsid w:val="00150F89"/>
    <w:rsid w:val="00152C2F"/>
    <w:rsid w:val="00153149"/>
    <w:rsid w:val="00153A60"/>
    <w:rsid w:val="00154682"/>
    <w:rsid w:val="00154827"/>
    <w:rsid w:val="00155501"/>
    <w:rsid w:val="00156CAA"/>
    <w:rsid w:val="0015702B"/>
    <w:rsid w:val="00160155"/>
    <w:rsid w:val="0016031C"/>
    <w:rsid w:val="00161124"/>
    <w:rsid w:val="001637C1"/>
    <w:rsid w:val="001643E4"/>
    <w:rsid w:val="00164534"/>
    <w:rsid w:val="00164B64"/>
    <w:rsid w:val="00166477"/>
    <w:rsid w:val="00166D27"/>
    <w:rsid w:val="00170230"/>
    <w:rsid w:val="00170320"/>
    <w:rsid w:val="00170625"/>
    <w:rsid w:val="00171B4A"/>
    <w:rsid w:val="0017200D"/>
    <w:rsid w:val="001730B0"/>
    <w:rsid w:val="00173FDD"/>
    <w:rsid w:val="001747CF"/>
    <w:rsid w:val="00174A21"/>
    <w:rsid w:val="00175FE2"/>
    <w:rsid w:val="00176411"/>
    <w:rsid w:val="00176B96"/>
    <w:rsid w:val="00177D09"/>
    <w:rsid w:val="00177D2F"/>
    <w:rsid w:val="00180392"/>
    <w:rsid w:val="001821A3"/>
    <w:rsid w:val="00182DC0"/>
    <w:rsid w:val="00183DDC"/>
    <w:rsid w:val="0018586A"/>
    <w:rsid w:val="00185B85"/>
    <w:rsid w:val="0018758B"/>
    <w:rsid w:val="0019015A"/>
    <w:rsid w:val="00190F93"/>
    <w:rsid w:val="00191FF6"/>
    <w:rsid w:val="00192769"/>
    <w:rsid w:val="00192F16"/>
    <w:rsid w:val="00193071"/>
    <w:rsid w:val="001933EC"/>
    <w:rsid w:val="00195BC7"/>
    <w:rsid w:val="00195EBA"/>
    <w:rsid w:val="001960B4"/>
    <w:rsid w:val="00197B8A"/>
    <w:rsid w:val="001A0CA6"/>
    <w:rsid w:val="001A2081"/>
    <w:rsid w:val="001A2F88"/>
    <w:rsid w:val="001A325B"/>
    <w:rsid w:val="001A38A7"/>
    <w:rsid w:val="001A3974"/>
    <w:rsid w:val="001A5D04"/>
    <w:rsid w:val="001A613C"/>
    <w:rsid w:val="001A6276"/>
    <w:rsid w:val="001A72F6"/>
    <w:rsid w:val="001A7D06"/>
    <w:rsid w:val="001B17FB"/>
    <w:rsid w:val="001B2821"/>
    <w:rsid w:val="001B2ACB"/>
    <w:rsid w:val="001B2DBB"/>
    <w:rsid w:val="001B3BE6"/>
    <w:rsid w:val="001B3EFA"/>
    <w:rsid w:val="001B4EA7"/>
    <w:rsid w:val="001B5656"/>
    <w:rsid w:val="001B5DFF"/>
    <w:rsid w:val="001B65B8"/>
    <w:rsid w:val="001B70CA"/>
    <w:rsid w:val="001B75F0"/>
    <w:rsid w:val="001C00D8"/>
    <w:rsid w:val="001C057E"/>
    <w:rsid w:val="001C308D"/>
    <w:rsid w:val="001C3232"/>
    <w:rsid w:val="001C34D5"/>
    <w:rsid w:val="001C3ED9"/>
    <w:rsid w:val="001C45D9"/>
    <w:rsid w:val="001C49B8"/>
    <w:rsid w:val="001D1192"/>
    <w:rsid w:val="001D223A"/>
    <w:rsid w:val="001D2793"/>
    <w:rsid w:val="001D2F2A"/>
    <w:rsid w:val="001D3679"/>
    <w:rsid w:val="001D3A6C"/>
    <w:rsid w:val="001D3CC2"/>
    <w:rsid w:val="001D461F"/>
    <w:rsid w:val="001D77E6"/>
    <w:rsid w:val="001E0D0D"/>
    <w:rsid w:val="001E1C40"/>
    <w:rsid w:val="001E1EC3"/>
    <w:rsid w:val="001E1FB9"/>
    <w:rsid w:val="001E1FD1"/>
    <w:rsid w:val="001E23E2"/>
    <w:rsid w:val="001E3778"/>
    <w:rsid w:val="001E3F7F"/>
    <w:rsid w:val="001E475C"/>
    <w:rsid w:val="001E773D"/>
    <w:rsid w:val="001F068F"/>
    <w:rsid w:val="001F407D"/>
    <w:rsid w:val="00200434"/>
    <w:rsid w:val="00200E5B"/>
    <w:rsid w:val="00202F8B"/>
    <w:rsid w:val="00203277"/>
    <w:rsid w:val="00203604"/>
    <w:rsid w:val="002064F7"/>
    <w:rsid w:val="00206BDB"/>
    <w:rsid w:val="002127FD"/>
    <w:rsid w:val="00212B04"/>
    <w:rsid w:val="00212EEA"/>
    <w:rsid w:val="002130B4"/>
    <w:rsid w:val="00214BC0"/>
    <w:rsid w:val="00214CAA"/>
    <w:rsid w:val="00215BEE"/>
    <w:rsid w:val="0021654E"/>
    <w:rsid w:val="0022072A"/>
    <w:rsid w:val="0022100A"/>
    <w:rsid w:val="00221160"/>
    <w:rsid w:val="002213EE"/>
    <w:rsid w:val="00221922"/>
    <w:rsid w:val="002248C1"/>
    <w:rsid w:val="00224C04"/>
    <w:rsid w:val="00225718"/>
    <w:rsid w:val="00225CAE"/>
    <w:rsid w:val="00227E88"/>
    <w:rsid w:val="00231C3C"/>
    <w:rsid w:val="00231DC5"/>
    <w:rsid w:val="00232836"/>
    <w:rsid w:val="002338F8"/>
    <w:rsid w:val="00234167"/>
    <w:rsid w:val="00234F9B"/>
    <w:rsid w:val="0023589B"/>
    <w:rsid w:val="00235AEE"/>
    <w:rsid w:val="00235D75"/>
    <w:rsid w:val="002366CE"/>
    <w:rsid w:val="0024001A"/>
    <w:rsid w:val="00240887"/>
    <w:rsid w:val="002419F2"/>
    <w:rsid w:val="00243E20"/>
    <w:rsid w:val="00244096"/>
    <w:rsid w:val="00244C55"/>
    <w:rsid w:val="00245470"/>
    <w:rsid w:val="00246CD7"/>
    <w:rsid w:val="00247C83"/>
    <w:rsid w:val="0025068A"/>
    <w:rsid w:val="00250751"/>
    <w:rsid w:val="00260D04"/>
    <w:rsid w:val="00261C84"/>
    <w:rsid w:val="0026229F"/>
    <w:rsid w:val="00263521"/>
    <w:rsid w:val="002674A0"/>
    <w:rsid w:val="0027121E"/>
    <w:rsid w:val="0027188F"/>
    <w:rsid w:val="002739B2"/>
    <w:rsid w:val="00275A79"/>
    <w:rsid w:val="002813A0"/>
    <w:rsid w:val="002841CB"/>
    <w:rsid w:val="00284ABA"/>
    <w:rsid w:val="0028686C"/>
    <w:rsid w:val="0028694C"/>
    <w:rsid w:val="00292A58"/>
    <w:rsid w:val="00293FC3"/>
    <w:rsid w:val="00294784"/>
    <w:rsid w:val="00294AF0"/>
    <w:rsid w:val="00296A9F"/>
    <w:rsid w:val="00297B77"/>
    <w:rsid w:val="002A1117"/>
    <w:rsid w:val="002A18D6"/>
    <w:rsid w:val="002A2132"/>
    <w:rsid w:val="002A2C5A"/>
    <w:rsid w:val="002A4153"/>
    <w:rsid w:val="002A4707"/>
    <w:rsid w:val="002A57EB"/>
    <w:rsid w:val="002A598C"/>
    <w:rsid w:val="002A6418"/>
    <w:rsid w:val="002A64F8"/>
    <w:rsid w:val="002A68DE"/>
    <w:rsid w:val="002A6A8F"/>
    <w:rsid w:val="002A6B3B"/>
    <w:rsid w:val="002A7D21"/>
    <w:rsid w:val="002B10E8"/>
    <w:rsid w:val="002B637F"/>
    <w:rsid w:val="002B65DC"/>
    <w:rsid w:val="002C1EE0"/>
    <w:rsid w:val="002C28D3"/>
    <w:rsid w:val="002C2B0E"/>
    <w:rsid w:val="002C316A"/>
    <w:rsid w:val="002C3B87"/>
    <w:rsid w:val="002C4139"/>
    <w:rsid w:val="002C4302"/>
    <w:rsid w:val="002C4F9F"/>
    <w:rsid w:val="002C54FF"/>
    <w:rsid w:val="002C65B3"/>
    <w:rsid w:val="002C6D22"/>
    <w:rsid w:val="002C70A2"/>
    <w:rsid w:val="002C7D35"/>
    <w:rsid w:val="002D1688"/>
    <w:rsid w:val="002D3201"/>
    <w:rsid w:val="002D3AC8"/>
    <w:rsid w:val="002D572F"/>
    <w:rsid w:val="002D5930"/>
    <w:rsid w:val="002D65CF"/>
    <w:rsid w:val="002D6964"/>
    <w:rsid w:val="002D6DBD"/>
    <w:rsid w:val="002E01CC"/>
    <w:rsid w:val="002E188D"/>
    <w:rsid w:val="002E1E1F"/>
    <w:rsid w:val="002E2DB0"/>
    <w:rsid w:val="002E3AA6"/>
    <w:rsid w:val="002E424B"/>
    <w:rsid w:val="002E4818"/>
    <w:rsid w:val="002E5757"/>
    <w:rsid w:val="002E6B3E"/>
    <w:rsid w:val="002E707E"/>
    <w:rsid w:val="002E70B8"/>
    <w:rsid w:val="002F11D2"/>
    <w:rsid w:val="002F1610"/>
    <w:rsid w:val="002F2019"/>
    <w:rsid w:val="002F24F0"/>
    <w:rsid w:val="002F29CA"/>
    <w:rsid w:val="002F42B0"/>
    <w:rsid w:val="002F5163"/>
    <w:rsid w:val="002F5A80"/>
    <w:rsid w:val="002F5B51"/>
    <w:rsid w:val="002F6FA5"/>
    <w:rsid w:val="002F724D"/>
    <w:rsid w:val="0030043A"/>
    <w:rsid w:val="00301153"/>
    <w:rsid w:val="003020D6"/>
    <w:rsid w:val="00302DC7"/>
    <w:rsid w:val="0030338B"/>
    <w:rsid w:val="00304E57"/>
    <w:rsid w:val="003050D0"/>
    <w:rsid w:val="003067B1"/>
    <w:rsid w:val="00307A51"/>
    <w:rsid w:val="003108E3"/>
    <w:rsid w:val="00311190"/>
    <w:rsid w:val="00313D58"/>
    <w:rsid w:val="00313EEC"/>
    <w:rsid w:val="00315624"/>
    <w:rsid w:val="00315BD6"/>
    <w:rsid w:val="00315FF2"/>
    <w:rsid w:val="00316C57"/>
    <w:rsid w:val="003177E2"/>
    <w:rsid w:val="0032289E"/>
    <w:rsid w:val="00322A81"/>
    <w:rsid w:val="00323027"/>
    <w:rsid w:val="0032331E"/>
    <w:rsid w:val="00324236"/>
    <w:rsid w:val="00324BC1"/>
    <w:rsid w:val="00324C2A"/>
    <w:rsid w:val="00324F0D"/>
    <w:rsid w:val="003257C6"/>
    <w:rsid w:val="00325F44"/>
    <w:rsid w:val="00326ABF"/>
    <w:rsid w:val="00326C7C"/>
    <w:rsid w:val="00327593"/>
    <w:rsid w:val="00332F33"/>
    <w:rsid w:val="00334A65"/>
    <w:rsid w:val="00334D20"/>
    <w:rsid w:val="0033564C"/>
    <w:rsid w:val="003356A2"/>
    <w:rsid w:val="00337048"/>
    <w:rsid w:val="00337846"/>
    <w:rsid w:val="0034038A"/>
    <w:rsid w:val="003405E7"/>
    <w:rsid w:val="00340C7C"/>
    <w:rsid w:val="0034149F"/>
    <w:rsid w:val="00346930"/>
    <w:rsid w:val="00347612"/>
    <w:rsid w:val="003513C7"/>
    <w:rsid w:val="0035145F"/>
    <w:rsid w:val="00351F4E"/>
    <w:rsid w:val="00355453"/>
    <w:rsid w:val="003559A1"/>
    <w:rsid w:val="00355B59"/>
    <w:rsid w:val="00356540"/>
    <w:rsid w:val="00356926"/>
    <w:rsid w:val="00356C79"/>
    <w:rsid w:val="003606C0"/>
    <w:rsid w:val="00360D83"/>
    <w:rsid w:val="00363344"/>
    <w:rsid w:val="003633E1"/>
    <w:rsid w:val="00363FE3"/>
    <w:rsid w:val="00365C9E"/>
    <w:rsid w:val="00365DC9"/>
    <w:rsid w:val="00365DE2"/>
    <w:rsid w:val="0036639F"/>
    <w:rsid w:val="003675CC"/>
    <w:rsid w:val="00371181"/>
    <w:rsid w:val="0037128C"/>
    <w:rsid w:val="0037259B"/>
    <w:rsid w:val="0037289B"/>
    <w:rsid w:val="003729F9"/>
    <w:rsid w:val="0037370B"/>
    <w:rsid w:val="00375AE4"/>
    <w:rsid w:val="00375C87"/>
    <w:rsid w:val="00376061"/>
    <w:rsid w:val="00376625"/>
    <w:rsid w:val="0037752E"/>
    <w:rsid w:val="0037753E"/>
    <w:rsid w:val="00377B33"/>
    <w:rsid w:val="00380052"/>
    <w:rsid w:val="003806AE"/>
    <w:rsid w:val="00382741"/>
    <w:rsid w:val="00382981"/>
    <w:rsid w:val="003839AA"/>
    <w:rsid w:val="003843E4"/>
    <w:rsid w:val="00385CBB"/>
    <w:rsid w:val="003907CF"/>
    <w:rsid w:val="00391943"/>
    <w:rsid w:val="003926A8"/>
    <w:rsid w:val="00392CEC"/>
    <w:rsid w:val="00392E92"/>
    <w:rsid w:val="003941E1"/>
    <w:rsid w:val="0039563E"/>
    <w:rsid w:val="0039592D"/>
    <w:rsid w:val="00396082"/>
    <w:rsid w:val="00396D3F"/>
    <w:rsid w:val="00396EB2"/>
    <w:rsid w:val="003971AD"/>
    <w:rsid w:val="00397234"/>
    <w:rsid w:val="00397C56"/>
    <w:rsid w:val="003A042B"/>
    <w:rsid w:val="003A08AE"/>
    <w:rsid w:val="003A613A"/>
    <w:rsid w:val="003A66EF"/>
    <w:rsid w:val="003A769E"/>
    <w:rsid w:val="003B166B"/>
    <w:rsid w:val="003B4CBF"/>
    <w:rsid w:val="003B505F"/>
    <w:rsid w:val="003B5A1E"/>
    <w:rsid w:val="003B71E3"/>
    <w:rsid w:val="003C1622"/>
    <w:rsid w:val="003C26AC"/>
    <w:rsid w:val="003C2EC6"/>
    <w:rsid w:val="003C3358"/>
    <w:rsid w:val="003C4F30"/>
    <w:rsid w:val="003C5BB1"/>
    <w:rsid w:val="003C6C20"/>
    <w:rsid w:val="003C7AD3"/>
    <w:rsid w:val="003C7B2D"/>
    <w:rsid w:val="003D0F91"/>
    <w:rsid w:val="003D16F2"/>
    <w:rsid w:val="003D1D5C"/>
    <w:rsid w:val="003D2AE6"/>
    <w:rsid w:val="003D4194"/>
    <w:rsid w:val="003D43B8"/>
    <w:rsid w:val="003D5CAC"/>
    <w:rsid w:val="003D6CAC"/>
    <w:rsid w:val="003D6FE1"/>
    <w:rsid w:val="003D7383"/>
    <w:rsid w:val="003D7489"/>
    <w:rsid w:val="003E0ABC"/>
    <w:rsid w:val="003E364E"/>
    <w:rsid w:val="003E4D5A"/>
    <w:rsid w:val="003E58C2"/>
    <w:rsid w:val="003E5FCA"/>
    <w:rsid w:val="003E77E9"/>
    <w:rsid w:val="003E798E"/>
    <w:rsid w:val="003F06E0"/>
    <w:rsid w:val="003F0C61"/>
    <w:rsid w:val="003F0D90"/>
    <w:rsid w:val="003F0E51"/>
    <w:rsid w:val="003F2708"/>
    <w:rsid w:val="003F316F"/>
    <w:rsid w:val="003F46E7"/>
    <w:rsid w:val="003F5B6A"/>
    <w:rsid w:val="003F6CB2"/>
    <w:rsid w:val="003F6D65"/>
    <w:rsid w:val="003F7B2B"/>
    <w:rsid w:val="00403EED"/>
    <w:rsid w:val="0040494A"/>
    <w:rsid w:val="00405277"/>
    <w:rsid w:val="004064E0"/>
    <w:rsid w:val="00406F61"/>
    <w:rsid w:val="004078B5"/>
    <w:rsid w:val="0041045D"/>
    <w:rsid w:val="00410935"/>
    <w:rsid w:val="00410D75"/>
    <w:rsid w:val="0041180B"/>
    <w:rsid w:val="0041212D"/>
    <w:rsid w:val="0041284E"/>
    <w:rsid w:val="00413464"/>
    <w:rsid w:val="00416D06"/>
    <w:rsid w:val="00420371"/>
    <w:rsid w:val="004204DC"/>
    <w:rsid w:val="004206BA"/>
    <w:rsid w:val="0042090E"/>
    <w:rsid w:val="00420DB1"/>
    <w:rsid w:val="0042545B"/>
    <w:rsid w:val="00425E72"/>
    <w:rsid w:val="00425E85"/>
    <w:rsid w:val="004276E0"/>
    <w:rsid w:val="00427A72"/>
    <w:rsid w:val="00430277"/>
    <w:rsid w:val="00432A56"/>
    <w:rsid w:val="00434C19"/>
    <w:rsid w:val="00436048"/>
    <w:rsid w:val="00436B23"/>
    <w:rsid w:val="0043791D"/>
    <w:rsid w:val="00437D9B"/>
    <w:rsid w:val="004413C7"/>
    <w:rsid w:val="004414E6"/>
    <w:rsid w:val="00442E2D"/>
    <w:rsid w:val="00443D1B"/>
    <w:rsid w:val="004470C5"/>
    <w:rsid w:val="00451A68"/>
    <w:rsid w:val="00451AA2"/>
    <w:rsid w:val="00451E5C"/>
    <w:rsid w:val="0045209D"/>
    <w:rsid w:val="00452950"/>
    <w:rsid w:val="004547C8"/>
    <w:rsid w:val="00456AD9"/>
    <w:rsid w:val="00460179"/>
    <w:rsid w:val="00462348"/>
    <w:rsid w:val="00463683"/>
    <w:rsid w:val="00464D56"/>
    <w:rsid w:val="00465DDF"/>
    <w:rsid w:val="004661DB"/>
    <w:rsid w:val="00466B28"/>
    <w:rsid w:val="00467D5E"/>
    <w:rsid w:val="004705A4"/>
    <w:rsid w:val="00471164"/>
    <w:rsid w:val="00471E18"/>
    <w:rsid w:val="004736FF"/>
    <w:rsid w:val="004743DF"/>
    <w:rsid w:val="00474EFE"/>
    <w:rsid w:val="0047620F"/>
    <w:rsid w:val="004767BA"/>
    <w:rsid w:val="004779AA"/>
    <w:rsid w:val="00480107"/>
    <w:rsid w:val="004809CB"/>
    <w:rsid w:val="00482259"/>
    <w:rsid w:val="00482559"/>
    <w:rsid w:val="0048280E"/>
    <w:rsid w:val="00482C33"/>
    <w:rsid w:val="004833CE"/>
    <w:rsid w:val="004836A0"/>
    <w:rsid w:val="004845B2"/>
    <w:rsid w:val="00485787"/>
    <w:rsid w:val="00486172"/>
    <w:rsid w:val="004875EB"/>
    <w:rsid w:val="0049015A"/>
    <w:rsid w:val="00491199"/>
    <w:rsid w:val="004919A3"/>
    <w:rsid w:val="00492D47"/>
    <w:rsid w:val="004930AA"/>
    <w:rsid w:val="004939B6"/>
    <w:rsid w:val="00493CBE"/>
    <w:rsid w:val="004965B9"/>
    <w:rsid w:val="004A0385"/>
    <w:rsid w:val="004A07F3"/>
    <w:rsid w:val="004A0E02"/>
    <w:rsid w:val="004A0E75"/>
    <w:rsid w:val="004A144B"/>
    <w:rsid w:val="004A3415"/>
    <w:rsid w:val="004A3A1C"/>
    <w:rsid w:val="004A5AE0"/>
    <w:rsid w:val="004A5FCA"/>
    <w:rsid w:val="004A6C9C"/>
    <w:rsid w:val="004A77C4"/>
    <w:rsid w:val="004A7ABE"/>
    <w:rsid w:val="004B09A3"/>
    <w:rsid w:val="004B117A"/>
    <w:rsid w:val="004B18AE"/>
    <w:rsid w:val="004B21B0"/>
    <w:rsid w:val="004B3850"/>
    <w:rsid w:val="004B6164"/>
    <w:rsid w:val="004B7C1A"/>
    <w:rsid w:val="004C1BDC"/>
    <w:rsid w:val="004C2149"/>
    <w:rsid w:val="004C2531"/>
    <w:rsid w:val="004C2B02"/>
    <w:rsid w:val="004C3342"/>
    <w:rsid w:val="004C4396"/>
    <w:rsid w:val="004C4F65"/>
    <w:rsid w:val="004C7D9F"/>
    <w:rsid w:val="004D16BE"/>
    <w:rsid w:val="004D1983"/>
    <w:rsid w:val="004D1D1F"/>
    <w:rsid w:val="004D2D0A"/>
    <w:rsid w:val="004D3387"/>
    <w:rsid w:val="004D38B0"/>
    <w:rsid w:val="004D3AAD"/>
    <w:rsid w:val="004D5AD1"/>
    <w:rsid w:val="004E0BE3"/>
    <w:rsid w:val="004E0F37"/>
    <w:rsid w:val="004E13FA"/>
    <w:rsid w:val="004E1D0E"/>
    <w:rsid w:val="004E1DB7"/>
    <w:rsid w:val="004E229B"/>
    <w:rsid w:val="004E3112"/>
    <w:rsid w:val="004E5265"/>
    <w:rsid w:val="004E6717"/>
    <w:rsid w:val="004E6D72"/>
    <w:rsid w:val="004E7219"/>
    <w:rsid w:val="004E7332"/>
    <w:rsid w:val="004F01B0"/>
    <w:rsid w:val="004F19E2"/>
    <w:rsid w:val="004F1D1F"/>
    <w:rsid w:val="004F24FD"/>
    <w:rsid w:val="004F30E8"/>
    <w:rsid w:val="004F43AB"/>
    <w:rsid w:val="004F4F1F"/>
    <w:rsid w:val="004F4F85"/>
    <w:rsid w:val="004F539A"/>
    <w:rsid w:val="004F5B56"/>
    <w:rsid w:val="0050010C"/>
    <w:rsid w:val="005001D8"/>
    <w:rsid w:val="005006C5"/>
    <w:rsid w:val="005011A2"/>
    <w:rsid w:val="00501D89"/>
    <w:rsid w:val="0050204B"/>
    <w:rsid w:val="00502507"/>
    <w:rsid w:val="00502A0F"/>
    <w:rsid w:val="00503072"/>
    <w:rsid w:val="005031BB"/>
    <w:rsid w:val="00503380"/>
    <w:rsid w:val="00503B67"/>
    <w:rsid w:val="00503E67"/>
    <w:rsid w:val="00503F81"/>
    <w:rsid w:val="005048E9"/>
    <w:rsid w:val="00504A34"/>
    <w:rsid w:val="00505366"/>
    <w:rsid w:val="00510184"/>
    <w:rsid w:val="00510973"/>
    <w:rsid w:val="00510D89"/>
    <w:rsid w:val="00511F6D"/>
    <w:rsid w:val="0051326F"/>
    <w:rsid w:val="005147FC"/>
    <w:rsid w:val="005158BE"/>
    <w:rsid w:val="00516835"/>
    <w:rsid w:val="00517613"/>
    <w:rsid w:val="00520C3B"/>
    <w:rsid w:val="00520C4B"/>
    <w:rsid w:val="0052156D"/>
    <w:rsid w:val="00521A4E"/>
    <w:rsid w:val="00522475"/>
    <w:rsid w:val="005227A0"/>
    <w:rsid w:val="0052289F"/>
    <w:rsid w:val="005254F8"/>
    <w:rsid w:val="005259CE"/>
    <w:rsid w:val="00526053"/>
    <w:rsid w:val="005265D4"/>
    <w:rsid w:val="00526812"/>
    <w:rsid w:val="0052721A"/>
    <w:rsid w:val="00530147"/>
    <w:rsid w:val="0053022D"/>
    <w:rsid w:val="005315AB"/>
    <w:rsid w:val="005325F3"/>
    <w:rsid w:val="005326D9"/>
    <w:rsid w:val="00533572"/>
    <w:rsid w:val="00534623"/>
    <w:rsid w:val="00536D35"/>
    <w:rsid w:val="005373BF"/>
    <w:rsid w:val="00537EE4"/>
    <w:rsid w:val="005402FF"/>
    <w:rsid w:val="005408D0"/>
    <w:rsid w:val="00540A49"/>
    <w:rsid w:val="00540FF0"/>
    <w:rsid w:val="005413A3"/>
    <w:rsid w:val="00542C8D"/>
    <w:rsid w:val="00542EA3"/>
    <w:rsid w:val="00543699"/>
    <w:rsid w:val="00543A22"/>
    <w:rsid w:val="0054509A"/>
    <w:rsid w:val="00545927"/>
    <w:rsid w:val="005474F6"/>
    <w:rsid w:val="00550BA0"/>
    <w:rsid w:val="00550E94"/>
    <w:rsid w:val="00551B42"/>
    <w:rsid w:val="00551DB7"/>
    <w:rsid w:val="00554AAD"/>
    <w:rsid w:val="005554C5"/>
    <w:rsid w:val="005559D1"/>
    <w:rsid w:val="00555D63"/>
    <w:rsid w:val="005565B2"/>
    <w:rsid w:val="00556F6F"/>
    <w:rsid w:val="00557296"/>
    <w:rsid w:val="005608B2"/>
    <w:rsid w:val="00560A43"/>
    <w:rsid w:val="00561000"/>
    <w:rsid w:val="00563749"/>
    <w:rsid w:val="00563C85"/>
    <w:rsid w:val="00563DDB"/>
    <w:rsid w:val="00564813"/>
    <w:rsid w:val="0056546C"/>
    <w:rsid w:val="0056563A"/>
    <w:rsid w:val="00565966"/>
    <w:rsid w:val="00567686"/>
    <w:rsid w:val="005676DC"/>
    <w:rsid w:val="005715C9"/>
    <w:rsid w:val="00571D67"/>
    <w:rsid w:val="00572E40"/>
    <w:rsid w:val="00573801"/>
    <w:rsid w:val="00574579"/>
    <w:rsid w:val="0057527E"/>
    <w:rsid w:val="00575A1D"/>
    <w:rsid w:val="00575A7F"/>
    <w:rsid w:val="005764A9"/>
    <w:rsid w:val="00576867"/>
    <w:rsid w:val="00576D2C"/>
    <w:rsid w:val="00576EFD"/>
    <w:rsid w:val="00580508"/>
    <w:rsid w:val="00580C5C"/>
    <w:rsid w:val="00580DA8"/>
    <w:rsid w:val="00580F79"/>
    <w:rsid w:val="0058597D"/>
    <w:rsid w:val="00585F34"/>
    <w:rsid w:val="00587DC2"/>
    <w:rsid w:val="005906E5"/>
    <w:rsid w:val="00590EBE"/>
    <w:rsid w:val="0059185F"/>
    <w:rsid w:val="00592EBE"/>
    <w:rsid w:val="0059595B"/>
    <w:rsid w:val="00595A3D"/>
    <w:rsid w:val="00595D44"/>
    <w:rsid w:val="0059614A"/>
    <w:rsid w:val="005963B4"/>
    <w:rsid w:val="005A021D"/>
    <w:rsid w:val="005A0CEA"/>
    <w:rsid w:val="005A190A"/>
    <w:rsid w:val="005A1A1B"/>
    <w:rsid w:val="005A2216"/>
    <w:rsid w:val="005A24B5"/>
    <w:rsid w:val="005A2CFC"/>
    <w:rsid w:val="005A40BA"/>
    <w:rsid w:val="005A5A70"/>
    <w:rsid w:val="005A7389"/>
    <w:rsid w:val="005A7CA2"/>
    <w:rsid w:val="005B02F2"/>
    <w:rsid w:val="005B1071"/>
    <w:rsid w:val="005B1790"/>
    <w:rsid w:val="005B1F44"/>
    <w:rsid w:val="005B20D0"/>
    <w:rsid w:val="005B3945"/>
    <w:rsid w:val="005B4811"/>
    <w:rsid w:val="005B4C75"/>
    <w:rsid w:val="005B53E0"/>
    <w:rsid w:val="005B78A1"/>
    <w:rsid w:val="005C05FF"/>
    <w:rsid w:val="005C0998"/>
    <w:rsid w:val="005C14A0"/>
    <w:rsid w:val="005C198B"/>
    <w:rsid w:val="005C438E"/>
    <w:rsid w:val="005C43F3"/>
    <w:rsid w:val="005C62D9"/>
    <w:rsid w:val="005D00DB"/>
    <w:rsid w:val="005D07D2"/>
    <w:rsid w:val="005D293C"/>
    <w:rsid w:val="005D30B8"/>
    <w:rsid w:val="005D48FE"/>
    <w:rsid w:val="005D5EAC"/>
    <w:rsid w:val="005D66B0"/>
    <w:rsid w:val="005D6C63"/>
    <w:rsid w:val="005D7598"/>
    <w:rsid w:val="005E1528"/>
    <w:rsid w:val="005E2189"/>
    <w:rsid w:val="005E2A5A"/>
    <w:rsid w:val="005E2C15"/>
    <w:rsid w:val="005E46DC"/>
    <w:rsid w:val="005E4C95"/>
    <w:rsid w:val="005F00DC"/>
    <w:rsid w:val="005F0B3C"/>
    <w:rsid w:val="005F0E3E"/>
    <w:rsid w:val="005F27EF"/>
    <w:rsid w:val="005F3AEF"/>
    <w:rsid w:val="005F492A"/>
    <w:rsid w:val="005F49D2"/>
    <w:rsid w:val="005F4CED"/>
    <w:rsid w:val="005F5352"/>
    <w:rsid w:val="005F5527"/>
    <w:rsid w:val="005F6F91"/>
    <w:rsid w:val="00600B92"/>
    <w:rsid w:val="00600F74"/>
    <w:rsid w:val="00603ABE"/>
    <w:rsid w:val="00603F19"/>
    <w:rsid w:val="006052E4"/>
    <w:rsid w:val="00605442"/>
    <w:rsid w:val="00607532"/>
    <w:rsid w:val="00610930"/>
    <w:rsid w:val="00610B37"/>
    <w:rsid w:val="00613D28"/>
    <w:rsid w:val="0061404F"/>
    <w:rsid w:val="0061424C"/>
    <w:rsid w:val="00614C2C"/>
    <w:rsid w:val="00614E96"/>
    <w:rsid w:val="00614EA9"/>
    <w:rsid w:val="00615EA0"/>
    <w:rsid w:val="00616E27"/>
    <w:rsid w:val="00617088"/>
    <w:rsid w:val="00617831"/>
    <w:rsid w:val="0062007E"/>
    <w:rsid w:val="00620205"/>
    <w:rsid w:val="006202CC"/>
    <w:rsid w:val="00620470"/>
    <w:rsid w:val="00620736"/>
    <w:rsid w:val="00621EF4"/>
    <w:rsid w:val="00622128"/>
    <w:rsid w:val="006241BE"/>
    <w:rsid w:val="00625009"/>
    <w:rsid w:val="006278CC"/>
    <w:rsid w:val="0063189C"/>
    <w:rsid w:val="00632878"/>
    <w:rsid w:val="00633595"/>
    <w:rsid w:val="00634521"/>
    <w:rsid w:val="0063468C"/>
    <w:rsid w:val="00634DAD"/>
    <w:rsid w:val="006358A5"/>
    <w:rsid w:val="006359D0"/>
    <w:rsid w:val="00636EAC"/>
    <w:rsid w:val="0063728E"/>
    <w:rsid w:val="006372F2"/>
    <w:rsid w:val="00637810"/>
    <w:rsid w:val="00637918"/>
    <w:rsid w:val="00637E30"/>
    <w:rsid w:val="00640391"/>
    <w:rsid w:val="0064090C"/>
    <w:rsid w:val="00640A83"/>
    <w:rsid w:val="00642D42"/>
    <w:rsid w:val="00642E0E"/>
    <w:rsid w:val="00643044"/>
    <w:rsid w:val="00643B35"/>
    <w:rsid w:val="006457EB"/>
    <w:rsid w:val="00650191"/>
    <w:rsid w:val="00650351"/>
    <w:rsid w:val="00650BE0"/>
    <w:rsid w:val="006531CB"/>
    <w:rsid w:val="00653453"/>
    <w:rsid w:val="00654C6A"/>
    <w:rsid w:val="00655B41"/>
    <w:rsid w:val="00656821"/>
    <w:rsid w:val="006569B1"/>
    <w:rsid w:val="006572F6"/>
    <w:rsid w:val="006600F5"/>
    <w:rsid w:val="00660609"/>
    <w:rsid w:val="0066318C"/>
    <w:rsid w:val="00664533"/>
    <w:rsid w:val="0066498E"/>
    <w:rsid w:val="00665B84"/>
    <w:rsid w:val="006662AD"/>
    <w:rsid w:val="00667ABB"/>
    <w:rsid w:val="00670B88"/>
    <w:rsid w:val="00670E84"/>
    <w:rsid w:val="0067240D"/>
    <w:rsid w:val="006726E0"/>
    <w:rsid w:val="00675A81"/>
    <w:rsid w:val="0067643D"/>
    <w:rsid w:val="0067675D"/>
    <w:rsid w:val="00677C73"/>
    <w:rsid w:val="00677F7C"/>
    <w:rsid w:val="00683356"/>
    <w:rsid w:val="006834E5"/>
    <w:rsid w:val="00683A28"/>
    <w:rsid w:val="00684DEA"/>
    <w:rsid w:val="006854F2"/>
    <w:rsid w:val="006862BE"/>
    <w:rsid w:val="00686E12"/>
    <w:rsid w:val="00690E56"/>
    <w:rsid w:val="0069249C"/>
    <w:rsid w:val="00692613"/>
    <w:rsid w:val="00697E8B"/>
    <w:rsid w:val="006A21AF"/>
    <w:rsid w:val="006A2D1D"/>
    <w:rsid w:val="006A49AE"/>
    <w:rsid w:val="006A5A4C"/>
    <w:rsid w:val="006A6846"/>
    <w:rsid w:val="006A75AC"/>
    <w:rsid w:val="006A7F23"/>
    <w:rsid w:val="006B056A"/>
    <w:rsid w:val="006B0FA2"/>
    <w:rsid w:val="006B1475"/>
    <w:rsid w:val="006B1A63"/>
    <w:rsid w:val="006B2A03"/>
    <w:rsid w:val="006B2ABD"/>
    <w:rsid w:val="006B3858"/>
    <w:rsid w:val="006B5363"/>
    <w:rsid w:val="006B56D9"/>
    <w:rsid w:val="006B709C"/>
    <w:rsid w:val="006C01B3"/>
    <w:rsid w:val="006C0671"/>
    <w:rsid w:val="006C1ABF"/>
    <w:rsid w:val="006C1BD3"/>
    <w:rsid w:val="006C1C44"/>
    <w:rsid w:val="006C1C92"/>
    <w:rsid w:val="006C34ED"/>
    <w:rsid w:val="006C3B12"/>
    <w:rsid w:val="006C3D2D"/>
    <w:rsid w:val="006C4D54"/>
    <w:rsid w:val="006C7199"/>
    <w:rsid w:val="006D04D2"/>
    <w:rsid w:val="006D280F"/>
    <w:rsid w:val="006D383A"/>
    <w:rsid w:val="006D4161"/>
    <w:rsid w:val="006D6131"/>
    <w:rsid w:val="006D66B2"/>
    <w:rsid w:val="006D6CC0"/>
    <w:rsid w:val="006D6DC4"/>
    <w:rsid w:val="006D76F3"/>
    <w:rsid w:val="006D786C"/>
    <w:rsid w:val="006D79E4"/>
    <w:rsid w:val="006E07AA"/>
    <w:rsid w:val="006E123A"/>
    <w:rsid w:val="006E3C03"/>
    <w:rsid w:val="006E52CE"/>
    <w:rsid w:val="006E57B4"/>
    <w:rsid w:val="006E585B"/>
    <w:rsid w:val="006E5FB1"/>
    <w:rsid w:val="006E6297"/>
    <w:rsid w:val="006E6560"/>
    <w:rsid w:val="006E787E"/>
    <w:rsid w:val="006F10E1"/>
    <w:rsid w:val="006F11DD"/>
    <w:rsid w:val="006F19AA"/>
    <w:rsid w:val="006F281D"/>
    <w:rsid w:val="006F285F"/>
    <w:rsid w:val="006F347B"/>
    <w:rsid w:val="006F3A6E"/>
    <w:rsid w:val="006F4A1E"/>
    <w:rsid w:val="006F713A"/>
    <w:rsid w:val="007021CD"/>
    <w:rsid w:val="0070320C"/>
    <w:rsid w:val="007033B5"/>
    <w:rsid w:val="00704670"/>
    <w:rsid w:val="00710AF8"/>
    <w:rsid w:val="00710BF9"/>
    <w:rsid w:val="00710F65"/>
    <w:rsid w:val="0071327A"/>
    <w:rsid w:val="00713714"/>
    <w:rsid w:val="0071397B"/>
    <w:rsid w:val="007139D1"/>
    <w:rsid w:val="00715002"/>
    <w:rsid w:val="007202FA"/>
    <w:rsid w:val="00720648"/>
    <w:rsid w:val="00720C94"/>
    <w:rsid w:val="0072219B"/>
    <w:rsid w:val="00722424"/>
    <w:rsid w:val="00722DED"/>
    <w:rsid w:val="007244C8"/>
    <w:rsid w:val="00724A11"/>
    <w:rsid w:val="00725154"/>
    <w:rsid w:val="007264A6"/>
    <w:rsid w:val="00726C56"/>
    <w:rsid w:val="00727068"/>
    <w:rsid w:val="00727786"/>
    <w:rsid w:val="00727AE5"/>
    <w:rsid w:val="00727E46"/>
    <w:rsid w:val="0073024E"/>
    <w:rsid w:val="00730D60"/>
    <w:rsid w:val="00731EC4"/>
    <w:rsid w:val="00731FA8"/>
    <w:rsid w:val="0073212E"/>
    <w:rsid w:val="0073326F"/>
    <w:rsid w:val="007343B1"/>
    <w:rsid w:val="00734516"/>
    <w:rsid w:val="00735043"/>
    <w:rsid w:val="00736983"/>
    <w:rsid w:val="00740C3E"/>
    <w:rsid w:val="0074450C"/>
    <w:rsid w:val="00744632"/>
    <w:rsid w:val="007452B3"/>
    <w:rsid w:val="00746215"/>
    <w:rsid w:val="0074683C"/>
    <w:rsid w:val="007474F0"/>
    <w:rsid w:val="00747AC3"/>
    <w:rsid w:val="007524DB"/>
    <w:rsid w:val="007526C7"/>
    <w:rsid w:val="00753941"/>
    <w:rsid w:val="00753A65"/>
    <w:rsid w:val="00753ADE"/>
    <w:rsid w:val="00756E3A"/>
    <w:rsid w:val="0075719C"/>
    <w:rsid w:val="00757B56"/>
    <w:rsid w:val="00760B67"/>
    <w:rsid w:val="00761CE2"/>
    <w:rsid w:val="00761E43"/>
    <w:rsid w:val="00763E35"/>
    <w:rsid w:val="00766829"/>
    <w:rsid w:val="00766AEC"/>
    <w:rsid w:val="00771F85"/>
    <w:rsid w:val="00772487"/>
    <w:rsid w:val="00772730"/>
    <w:rsid w:val="00773308"/>
    <w:rsid w:val="0077389E"/>
    <w:rsid w:val="00773F61"/>
    <w:rsid w:val="0077505C"/>
    <w:rsid w:val="0077594D"/>
    <w:rsid w:val="007761EE"/>
    <w:rsid w:val="00777DAD"/>
    <w:rsid w:val="00780D40"/>
    <w:rsid w:val="00780FCB"/>
    <w:rsid w:val="00784F53"/>
    <w:rsid w:val="00786364"/>
    <w:rsid w:val="00787591"/>
    <w:rsid w:val="00787AC0"/>
    <w:rsid w:val="00791581"/>
    <w:rsid w:val="00792B80"/>
    <w:rsid w:val="007938BB"/>
    <w:rsid w:val="00795121"/>
    <w:rsid w:val="00795C02"/>
    <w:rsid w:val="00795E68"/>
    <w:rsid w:val="00795F23"/>
    <w:rsid w:val="00796843"/>
    <w:rsid w:val="007A0926"/>
    <w:rsid w:val="007A3DF5"/>
    <w:rsid w:val="007A3F08"/>
    <w:rsid w:val="007A4DFA"/>
    <w:rsid w:val="007A4EBD"/>
    <w:rsid w:val="007A54C1"/>
    <w:rsid w:val="007A711B"/>
    <w:rsid w:val="007A75A0"/>
    <w:rsid w:val="007A7E74"/>
    <w:rsid w:val="007A7F2A"/>
    <w:rsid w:val="007B0184"/>
    <w:rsid w:val="007B06A5"/>
    <w:rsid w:val="007B0C46"/>
    <w:rsid w:val="007B112B"/>
    <w:rsid w:val="007B5B26"/>
    <w:rsid w:val="007B687A"/>
    <w:rsid w:val="007B691A"/>
    <w:rsid w:val="007B6D25"/>
    <w:rsid w:val="007C0832"/>
    <w:rsid w:val="007C1372"/>
    <w:rsid w:val="007C17FC"/>
    <w:rsid w:val="007C1C85"/>
    <w:rsid w:val="007C1FF6"/>
    <w:rsid w:val="007C2E02"/>
    <w:rsid w:val="007C2F86"/>
    <w:rsid w:val="007C45FB"/>
    <w:rsid w:val="007C4A9A"/>
    <w:rsid w:val="007C553D"/>
    <w:rsid w:val="007C56CB"/>
    <w:rsid w:val="007C5CAC"/>
    <w:rsid w:val="007C7734"/>
    <w:rsid w:val="007D01B9"/>
    <w:rsid w:val="007D0E2D"/>
    <w:rsid w:val="007D15AE"/>
    <w:rsid w:val="007D16B5"/>
    <w:rsid w:val="007D1D12"/>
    <w:rsid w:val="007D56D2"/>
    <w:rsid w:val="007D61B8"/>
    <w:rsid w:val="007D6945"/>
    <w:rsid w:val="007D70B5"/>
    <w:rsid w:val="007D760B"/>
    <w:rsid w:val="007D77AF"/>
    <w:rsid w:val="007D7EB3"/>
    <w:rsid w:val="007E01DB"/>
    <w:rsid w:val="007E10DE"/>
    <w:rsid w:val="007E36FC"/>
    <w:rsid w:val="007E3828"/>
    <w:rsid w:val="007E3B77"/>
    <w:rsid w:val="007E3C92"/>
    <w:rsid w:val="007E5629"/>
    <w:rsid w:val="007E69A8"/>
    <w:rsid w:val="007E6E5C"/>
    <w:rsid w:val="007E7D7C"/>
    <w:rsid w:val="007F1621"/>
    <w:rsid w:val="007F1D4F"/>
    <w:rsid w:val="007F34EB"/>
    <w:rsid w:val="007F3B2C"/>
    <w:rsid w:val="007F42D5"/>
    <w:rsid w:val="007F4A1B"/>
    <w:rsid w:val="007F4AD9"/>
    <w:rsid w:val="007F6056"/>
    <w:rsid w:val="007F7FF2"/>
    <w:rsid w:val="00800A64"/>
    <w:rsid w:val="00802129"/>
    <w:rsid w:val="008024D4"/>
    <w:rsid w:val="00802E55"/>
    <w:rsid w:val="008059B4"/>
    <w:rsid w:val="00805B42"/>
    <w:rsid w:val="00805E4B"/>
    <w:rsid w:val="00806D63"/>
    <w:rsid w:val="00807409"/>
    <w:rsid w:val="008102AD"/>
    <w:rsid w:val="0081297F"/>
    <w:rsid w:val="00815809"/>
    <w:rsid w:val="008168F8"/>
    <w:rsid w:val="00820393"/>
    <w:rsid w:val="0082350D"/>
    <w:rsid w:val="00824AA0"/>
    <w:rsid w:val="00825A1B"/>
    <w:rsid w:val="00825AAA"/>
    <w:rsid w:val="00831AF4"/>
    <w:rsid w:val="00831C86"/>
    <w:rsid w:val="008327D7"/>
    <w:rsid w:val="00833E19"/>
    <w:rsid w:val="00834E18"/>
    <w:rsid w:val="00834E9C"/>
    <w:rsid w:val="0083622F"/>
    <w:rsid w:val="00836462"/>
    <w:rsid w:val="008368AA"/>
    <w:rsid w:val="00837276"/>
    <w:rsid w:val="008372A9"/>
    <w:rsid w:val="008375AA"/>
    <w:rsid w:val="00837997"/>
    <w:rsid w:val="00841FC5"/>
    <w:rsid w:val="00842138"/>
    <w:rsid w:val="00842F70"/>
    <w:rsid w:val="00844F8B"/>
    <w:rsid w:val="00845894"/>
    <w:rsid w:val="00845E9A"/>
    <w:rsid w:val="00847B0A"/>
    <w:rsid w:val="00847C79"/>
    <w:rsid w:val="00847D4E"/>
    <w:rsid w:val="00850599"/>
    <w:rsid w:val="00850910"/>
    <w:rsid w:val="00851CD4"/>
    <w:rsid w:val="00851FD3"/>
    <w:rsid w:val="00852213"/>
    <w:rsid w:val="0085238A"/>
    <w:rsid w:val="008524EB"/>
    <w:rsid w:val="00852890"/>
    <w:rsid w:val="0085318D"/>
    <w:rsid w:val="008565BC"/>
    <w:rsid w:val="00856648"/>
    <w:rsid w:val="00856A67"/>
    <w:rsid w:val="00857D59"/>
    <w:rsid w:val="008603E7"/>
    <w:rsid w:val="00861731"/>
    <w:rsid w:val="0086190F"/>
    <w:rsid w:val="00864147"/>
    <w:rsid w:val="0086437F"/>
    <w:rsid w:val="00867FC5"/>
    <w:rsid w:val="008711F1"/>
    <w:rsid w:val="00871B57"/>
    <w:rsid w:val="00871E21"/>
    <w:rsid w:val="008747C9"/>
    <w:rsid w:val="00875402"/>
    <w:rsid w:val="00875858"/>
    <w:rsid w:val="00877E88"/>
    <w:rsid w:val="0088002F"/>
    <w:rsid w:val="008802A2"/>
    <w:rsid w:val="00881072"/>
    <w:rsid w:val="008816A3"/>
    <w:rsid w:val="008829F7"/>
    <w:rsid w:val="00882E18"/>
    <w:rsid w:val="00884B09"/>
    <w:rsid w:val="00885345"/>
    <w:rsid w:val="00885469"/>
    <w:rsid w:val="008864D1"/>
    <w:rsid w:val="008865D6"/>
    <w:rsid w:val="008866DF"/>
    <w:rsid w:val="00886AEF"/>
    <w:rsid w:val="00887178"/>
    <w:rsid w:val="0088747B"/>
    <w:rsid w:val="008879D3"/>
    <w:rsid w:val="00890D9C"/>
    <w:rsid w:val="00892F80"/>
    <w:rsid w:val="00893A03"/>
    <w:rsid w:val="00894E27"/>
    <w:rsid w:val="00895566"/>
    <w:rsid w:val="00895CB8"/>
    <w:rsid w:val="0089661E"/>
    <w:rsid w:val="0089739C"/>
    <w:rsid w:val="00897D19"/>
    <w:rsid w:val="00897F55"/>
    <w:rsid w:val="008A0D84"/>
    <w:rsid w:val="008A14DB"/>
    <w:rsid w:val="008A1A62"/>
    <w:rsid w:val="008A1D01"/>
    <w:rsid w:val="008A1FFE"/>
    <w:rsid w:val="008A2C51"/>
    <w:rsid w:val="008A328B"/>
    <w:rsid w:val="008A342D"/>
    <w:rsid w:val="008A5963"/>
    <w:rsid w:val="008A5ABF"/>
    <w:rsid w:val="008B0887"/>
    <w:rsid w:val="008B17A0"/>
    <w:rsid w:val="008B22B0"/>
    <w:rsid w:val="008B2C01"/>
    <w:rsid w:val="008B31F7"/>
    <w:rsid w:val="008B33C0"/>
    <w:rsid w:val="008B3869"/>
    <w:rsid w:val="008B4A36"/>
    <w:rsid w:val="008B4F41"/>
    <w:rsid w:val="008B5F0A"/>
    <w:rsid w:val="008C0E17"/>
    <w:rsid w:val="008C2AB9"/>
    <w:rsid w:val="008C3DBB"/>
    <w:rsid w:val="008C4092"/>
    <w:rsid w:val="008C5036"/>
    <w:rsid w:val="008C61AE"/>
    <w:rsid w:val="008C6F75"/>
    <w:rsid w:val="008C7200"/>
    <w:rsid w:val="008C7627"/>
    <w:rsid w:val="008D111E"/>
    <w:rsid w:val="008D1B62"/>
    <w:rsid w:val="008D1B9E"/>
    <w:rsid w:val="008D1F9A"/>
    <w:rsid w:val="008D2082"/>
    <w:rsid w:val="008D2388"/>
    <w:rsid w:val="008D4146"/>
    <w:rsid w:val="008D5013"/>
    <w:rsid w:val="008D59E9"/>
    <w:rsid w:val="008D7367"/>
    <w:rsid w:val="008E0F0B"/>
    <w:rsid w:val="008E1159"/>
    <w:rsid w:val="008E1580"/>
    <w:rsid w:val="008E1A9C"/>
    <w:rsid w:val="008E20F1"/>
    <w:rsid w:val="008E32CE"/>
    <w:rsid w:val="008E3CC4"/>
    <w:rsid w:val="008E40C9"/>
    <w:rsid w:val="008E4F24"/>
    <w:rsid w:val="008F1056"/>
    <w:rsid w:val="008F1589"/>
    <w:rsid w:val="008F1873"/>
    <w:rsid w:val="008F18E5"/>
    <w:rsid w:val="008F2E02"/>
    <w:rsid w:val="008F3327"/>
    <w:rsid w:val="008F3549"/>
    <w:rsid w:val="008F49E7"/>
    <w:rsid w:val="008F4BA0"/>
    <w:rsid w:val="008F4D58"/>
    <w:rsid w:val="008F5110"/>
    <w:rsid w:val="008F5B13"/>
    <w:rsid w:val="008F6006"/>
    <w:rsid w:val="008F62CE"/>
    <w:rsid w:val="008F71B1"/>
    <w:rsid w:val="008F7246"/>
    <w:rsid w:val="008F7DE6"/>
    <w:rsid w:val="009015B2"/>
    <w:rsid w:val="009022AF"/>
    <w:rsid w:val="009040D4"/>
    <w:rsid w:val="00904723"/>
    <w:rsid w:val="00905ACD"/>
    <w:rsid w:val="00906209"/>
    <w:rsid w:val="0090659B"/>
    <w:rsid w:val="0090660F"/>
    <w:rsid w:val="00906D38"/>
    <w:rsid w:val="00906E90"/>
    <w:rsid w:val="0091051D"/>
    <w:rsid w:val="00910533"/>
    <w:rsid w:val="00910C50"/>
    <w:rsid w:val="00912CB8"/>
    <w:rsid w:val="00916484"/>
    <w:rsid w:val="00916B7D"/>
    <w:rsid w:val="00917575"/>
    <w:rsid w:val="009176BF"/>
    <w:rsid w:val="00917ABD"/>
    <w:rsid w:val="00920136"/>
    <w:rsid w:val="009209E3"/>
    <w:rsid w:val="00921847"/>
    <w:rsid w:val="00923A33"/>
    <w:rsid w:val="009261BF"/>
    <w:rsid w:val="009266A4"/>
    <w:rsid w:val="009272C6"/>
    <w:rsid w:val="009313EE"/>
    <w:rsid w:val="00933A3E"/>
    <w:rsid w:val="00934D39"/>
    <w:rsid w:val="00934DEB"/>
    <w:rsid w:val="0093548A"/>
    <w:rsid w:val="00936381"/>
    <w:rsid w:val="00936F5C"/>
    <w:rsid w:val="00936F84"/>
    <w:rsid w:val="00937A6E"/>
    <w:rsid w:val="00940851"/>
    <w:rsid w:val="00941194"/>
    <w:rsid w:val="009422BC"/>
    <w:rsid w:val="0094287F"/>
    <w:rsid w:val="00942B51"/>
    <w:rsid w:val="009430E5"/>
    <w:rsid w:val="0094315F"/>
    <w:rsid w:val="009432CB"/>
    <w:rsid w:val="00943DE3"/>
    <w:rsid w:val="00944192"/>
    <w:rsid w:val="0094678B"/>
    <w:rsid w:val="009513BE"/>
    <w:rsid w:val="0095242E"/>
    <w:rsid w:val="00953B97"/>
    <w:rsid w:val="00954408"/>
    <w:rsid w:val="00954FE1"/>
    <w:rsid w:val="0095542B"/>
    <w:rsid w:val="009556AE"/>
    <w:rsid w:val="00955DD9"/>
    <w:rsid w:val="009565BD"/>
    <w:rsid w:val="00956939"/>
    <w:rsid w:val="00956AB0"/>
    <w:rsid w:val="00961EF6"/>
    <w:rsid w:val="00962780"/>
    <w:rsid w:val="00962B87"/>
    <w:rsid w:val="00962FF1"/>
    <w:rsid w:val="009630CE"/>
    <w:rsid w:val="009641AD"/>
    <w:rsid w:val="00965842"/>
    <w:rsid w:val="009679D9"/>
    <w:rsid w:val="009703F8"/>
    <w:rsid w:val="0097067B"/>
    <w:rsid w:val="009712AE"/>
    <w:rsid w:val="00971BE0"/>
    <w:rsid w:val="00971EFA"/>
    <w:rsid w:val="009725A2"/>
    <w:rsid w:val="00973381"/>
    <w:rsid w:val="00973C29"/>
    <w:rsid w:val="00974915"/>
    <w:rsid w:val="009752C7"/>
    <w:rsid w:val="009759F2"/>
    <w:rsid w:val="00976469"/>
    <w:rsid w:val="00976532"/>
    <w:rsid w:val="0097654B"/>
    <w:rsid w:val="009770B8"/>
    <w:rsid w:val="00977C6D"/>
    <w:rsid w:val="00977F17"/>
    <w:rsid w:val="00981AF3"/>
    <w:rsid w:val="00982497"/>
    <w:rsid w:val="00982CD1"/>
    <w:rsid w:val="0098342A"/>
    <w:rsid w:val="00983AE1"/>
    <w:rsid w:val="00985D36"/>
    <w:rsid w:val="009865D6"/>
    <w:rsid w:val="00990506"/>
    <w:rsid w:val="009910DC"/>
    <w:rsid w:val="00991B19"/>
    <w:rsid w:val="00993599"/>
    <w:rsid w:val="009974A8"/>
    <w:rsid w:val="009A0A09"/>
    <w:rsid w:val="009A245B"/>
    <w:rsid w:val="009A2516"/>
    <w:rsid w:val="009A2FAA"/>
    <w:rsid w:val="009B18D7"/>
    <w:rsid w:val="009B23EE"/>
    <w:rsid w:val="009B3610"/>
    <w:rsid w:val="009B37D3"/>
    <w:rsid w:val="009B4C61"/>
    <w:rsid w:val="009B4CE0"/>
    <w:rsid w:val="009B54CF"/>
    <w:rsid w:val="009B5A8C"/>
    <w:rsid w:val="009B5C74"/>
    <w:rsid w:val="009B6B5C"/>
    <w:rsid w:val="009C01B9"/>
    <w:rsid w:val="009C0342"/>
    <w:rsid w:val="009C0408"/>
    <w:rsid w:val="009C161A"/>
    <w:rsid w:val="009C4088"/>
    <w:rsid w:val="009C7BBD"/>
    <w:rsid w:val="009C7FE0"/>
    <w:rsid w:val="009D05CC"/>
    <w:rsid w:val="009D09AE"/>
    <w:rsid w:val="009D2A1F"/>
    <w:rsid w:val="009D2BAC"/>
    <w:rsid w:val="009D55EE"/>
    <w:rsid w:val="009D5970"/>
    <w:rsid w:val="009D5C32"/>
    <w:rsid w:val="009D6401"/>
    <w:rsid w:val="009D73F5"/>
    <w:rsid w:val="009D740A"/>
    <w:rsid w:val="009D7D93"/>
    <w:rsid w:val="009E1607"/>
    <w:rsid w:val="009E1A3F"/>
    <w:rsid w:val="009E21B7"/>
    <w:rsid w:val="009E2CF2"/>
    <w:rsid w:val="009E312B"/>
    <w:rsid w:val="009E4844"/>
    <w:rsid w:val="009E564F"/>
    <w:rsid w:val="009E6184"/>
    <w:rsid w:val="009E655C"/>
    <w:rsid w:val="009E6F2E"/>
    <w:rsid w:val="009F0BD3"/>
    <w:rsid w:val="009F3218"/>
    <w:rsid w:val="009F7F2B"/>
    <w:rsid w:val="00A0001D"/>
    <w:rsid w:val="00A0119C"/>
    <w:rsid w:val="00A03332"/>
    <w:rsid w:val="00A0541B"/>
    <w:rsid w:val="00A06208"/>
    <w:rsid w:val="00A0628B"/>
    <w:rsid w:val="00A1016F"/>
    <w:rsid w:val="00A10996"/>
    <w:rsid w:val="00A10EC9"/>
    <w:rsid w:val="00A11F7F"/>
    <w:rsid w:val="00A12648"/>
    <w:rsid w:val="00A13855"/>
    <w:rsid w:val="00A140A3"/>
    <w:rsid w:val="00A15B34"/>
    <w:rsid w:val="00A1647B"/>
    <w:rsid w:val="00A177A3"/>
    <w:rsid w:val="00A20EFE"/>
    <w:rsid w:val="00A21556"/>
    <w:rsid w:val="00A21903"/>
    <w:rsid w:val="00A22AF7"/>
    <w:rsid w:val="00A25C16"/>
    <w:rsid w:val="00A30028"/>
    <w:rsid w:val="00A301EF"/>
    <w:rsid w:val="00A3040F"/>
    <w:rsid w:val="00A30705"/>
    <w:rsid w:val="00A3168A"/>
    <w:rsid w:val="00A31CD2"/>
    <w:rsid w:val="00A32EFA"/>
    <w:rsid w:val="00A35D28"/>
    <w:rsid w:val="00A35E53"/>
    <w:rsid w:val="00A3635F"/>
    <w:rsid w:val="00A36941"/>
    <w:rsid w:val="00A37995"/>
    <w:rsid w:val="00A41A4E"/>
    <w:rsid w:val="00A42621"/>
    <w:rsid w:val="00A436D2"/>
    <w:rsid w:val="00A43752"/>
    <w:rsid w:val="00A443B8"/>
    <w:rsid w:val="00A452B2"/>
    <w:rsid w:val="00A454E3"/>
    <w:rsid w:val="00A463F3"/>
    <w:rsid w:val="00A50258"/>
    <w:rsid w:val="00A51149"/>
    <w:rsid w:val="00A5498C"/>
    <w:rsid w:val="00A5541A"/>
    <w:rsid w:val="00A567CB"/>
    <w:rsid w:val="00A57DEC"/>
    <w:rsid w:val="00A60C13"/>
    <w:rsid w:val="00A61AD5"/>
    <w:rsid w:val="00A62DEF"/>
    <w:rsid w:val="00A637C6"/>
    <w:rsid w:val="00A63824"/>
    <w:rsid w:val="00A63A5F"/>
    <w:rsid w:val="00A63D9A"/>
    <w:rsid w:val="00A63FAB"/>
    <w:rsid w:val="00A6458B"/>
    <w:rsid w:val="00A64C0E"/>
    <w:rsid w:val="00A653AC"/>
    <w:rsid w:val="00A65BF7"/>
    <w:rsid w:val="00A65DCD"/>
    <w:rsid w:val="00A66E2A"/>
    <w:rsid w:val="00A67E6C"/>
    <w:rsid w:val="00A7067D"/>
    <w:rsid w:val="00A7189A"/>
    <w:rsid w:val="00A71C9E"/>
    <w:rsid w:val="00A71DDE"/>
    <w:rsid w:val="00A7228B"/>
    <w:rsid w:val="00A72A7B"/>
    <w:rsid w:val="00A72B75"/>
    <w:rsid w:val="00A73038"/>
    <w:rsid w:val="00A749FD"/>
    <w:rsid w:val="00A74B8A"/>
    <w:rsid w:val="00A74C77"/>
    <w:rsid w:val="00A75387"/>
    <w:rsid w:val="00A75C2A"/>
    <w:rsid w:val="00A76C99"/>
    <w:rsid w:val="00A76F14"/>
    <w:rsid w:val="00A800C8"/>
    <w:rsid w:val="00A811CB"/>
    <w:rsid w:val="00A81D2F"/>
    <w:rsid w:val="00A81E59"/>
    <w:rsid w:val="00A81EBE"/>
    <w:rsid w:val="00A826F1"/>
    <w:rsid w:val="00A84CD0"/>
    <w:rsid w:val="00A915F4"/>
    <w:rsid w:val="00A917A9"/>
    <w:rsid w:val="00A91C36"/>
    <w:rsid w:val="00A91D41"/>
    <w:rsid w:val="00A9684D"/>
    <w:rsid w:val="00A97402"/>
    <w:rsid w:val="00A97873"/>
    <w:rsid w:val="00AA3C4B"/>
    <w:rsid w:val="00AA4CFF"/>
    <w:rsid w:val="00AA5CDC"/>
    <w:rsid w:val="00AA6669"/>
    <w:rsid w:val="00AA690A"/>
    <w:rsid w:val="00AA6AB3"/>
    <w:rsid w:val="00AA6D26"/>
    <w:rsid w:val="00AB0541"/>
    <w:rsid w:val="00AB09EE"/>
    <w:rsid w:val="00AB2400"/>
    <w:rsid w:val="00AB359A"/>
    <w:rsid w:val="00AB5377"/>
    <w:rsid w:val="00AB5B77"/>
    <w:rsid w:val="00AB7D08"/>
    <w:rsid w:val="00AC0B81"/>
    <w:rsid w:val="00AC3506"/>
    <w:rsid w:val="00AC387E"/>
    <w:rsid w:val="00AC4DD2"/>
    <w:rsid w:val="00AC5BDF"/>
    <w:rsid w:val="00AC6903"/>
    <w:rsid w:val="00AC6B95"/>
    <w:rsid w:val="00AD0AF6"/>
    <w:rsid w:val="00AD343E"/>
    <w:rsid w:val="00AD476A"/>
    <w:rsid w:val="00AD47AA"/>
    <w:rsid w:val="00AD4ABF"/>
    <w:rsid w:val="00AD52D1"/>
    <w:rsid w:val="00AD54E1"/>
    <w:rsid w:val="00AD5632"/>
    <w:rsid w:val="00AD6306"/>
    <w:rsid w:val="00AE1BD1"/>
    <w:rsid w:val="00AE1DBE"/>
    <w:rsid w:val="00AE276C"/>
    <w:rsid w:val="00AE3DF4"/>
    <w:rsid w:val="00AE4788"/>
    <w:rsid w:val="00AE50A3"/>
    <w:rsid w:val="00AE54FF"/>
    <w:rsid w:val="00AE563F"/>
    <w:rsid w:val="00AE71A8"/>
    <w:rsid w:val="00AE74B3"/>
    <w:rsid w:val="00AE7678"/>
    <w:rsid w:val="00AF0329"/>
    <w:rsid w:val="00AF0774"/>
    <w:rsid w:val="00AF2612"/>
    <w:rsid w:val="00AF39DC"/>
    <w:rsid w:val="00AF3FE3"/>
    <w:rsid w:val="00AF4A53"/>
    <w:rsid w:val="00AF52DC"/>
    <w:rsid w:val="00AF6305"/>
    <w:rsid w:val="00AF6A68"/>
    <w:rsid w:val="00B008DF"/>
    <w:rsid w:val="00B00E5C"/>
    <w:rsid w:val="00B0131B"/>
    <w:rsid w:val="00B01819"/>
    <w:rsid w:val="00B022D8"/>
    <w:rsid w:val="00B02540"/>
    <w:rsid w:val="00B04DC3"/>
    <w:rsid w:val="00B0529B"/>
    <w:rsid w:val="00B1077D"/>
    <w:rsid w:val="00B11176"/>
    <w:rsid w:val="00B13CB1"/>
    <w:rsid w:val="00B167CE"/>
    <w:rsid w:val="00B16B62"/>
    <w:rsid w:val="00B17A2E"/>
    <w:rsid w:val="00B20292"/>
    <w:rsid w:val="00B206B1"/>
    <w:rsid w:val="00B22004"/>
    <w:rsid w:val="00B22C0A"/>
    <w:rsid w:val="00B22FF9"/>
    <w:rsid w:val="00B25B42"/>
    <w:rsid w:val="00B267F1"/>
    <w:rsid w:val="00B2725F"/>
    <w:rsid w:val="00B27998"/>
    <w:rsid w:val="00B308E1"/>
    <w:rsid w:val="00B331DC"/>
    <w:rsid w:val="00B33BCF"/>
    <w:rsid w:val="00B35546"/>
    <w:rsid w:val="00B35594"/>
    <w:rsid w:val="00B36B6D"/>
    <w:rsid w:val="00B3756E"/>
    <w:rsid w:val="00B401AE"/>
    <w:rsid w:val="00B414AF"/>
    <w:rsid w:val="00B41708"/>
    <w:rsid w:val="00B4301A"/>
    <w:rsid w:val="00B43FF7"/>
    <w:rsid w:val="00B4438B"/>
    <w:rsid w:val="00B46241"/>
    <w:rsid w:val="00B46422"/>
    <w:rsid w:val="00B47C72"/>
    <w:rsid w:val="00B50D0F"/>
    <w:rsid w:val="00B524C0"/>
    <w:rsid w:val="00B52CF9"/>
    <w:rsid w:val="00B52D9E"/>
    <w:rsid w:val="00B53C31"/>
    <w:rsid w:val="00B555A9"/>
    <w:rsid w:val="00B563E9"/>
    <w:rsid w:val="00B60ED0"/>
    <w:rsid w:val="00B627E7"/>
    <w:rsid w:val="00B6283F"/>
    <w:rsid w:val="00B62F33"/>
    <w:rsid w:val="00B6668D"/>
    <w:rsid w:val="00B666B9"/>
    <w:rsid w:val="00B66A94"/>
    <w:rsid w:val="00B66F81"/>
    <w:rsid w:val="00B677F1"/>
    <w:rsid w:val="00B707AF"/>
    <w:rsid w:val="00B70882"/>
    <w:rsid w:val="00B709B8"/>
    <w:rsid w:val="00B72D75"/>
    <w:rsid w:val="00B72F97"/>
    <w:rsid w:val="00B741EF"/>
    <w:rsid w:val="00B75F72"/>
    <w:rsid w:val="00B76DC1"/>
    <w:rsid w:val="00B805C4"/>
    <w:rsid w:val="00B81548"/>
    <w:rsid w:val="00B81633"/>
    <w:rsid w:val="00B82FF5"/>
    <w:rsid w:val="00B83A38"/>
    <w:rsid w:val="00B84D75"/>
    <w:rsid w:val="00B850CE"/>
    <w:rsid w:val="00B862C0"/>
    <w:rsid w:val="00B863D9"/>
    <w:rsid w:val="00B86E98"/>
    <w:rsid w:val="00B90192"/>
    <w:rsid w:val="00B90B9B"/>
    <w:rsid w:val="00B91455"/>
    <w:rsid w:val="00B919E1"/>
    <w:rsid w:val="00B945A2"/>
    <w:rsid w:val="00B962AB"/>
    <w:rsid w:val="00B96C66"/>
    <w:rsid w:val="00B97B6F"/>
    <w:rsid w:val="00BA0622"/>
    <w:rsid w:val="00BA13D0"/>
    <w:rsid w:val="00BA1C0C"/>
    <w:rsid w:val="00BA1C65"/>
    <w:rsid w:val="00BA1F66"/>
    <w:rsid w:val="00BA2A52"/>
    <w:rsid w:val="00BA35C3"/>
    <w:rsid w:val="00BA3F2E"/>
    <w:rsid w:val="00BA4760"/>
    <w:rsid w:val="00BA4FF0"/>
    <w:rsid w:val="00BA5FB5"/>
    <w:rsid w:val="00BA7003"/>
    <w:rsid w:val="00BB065D"/>
    <w:rsid w:val="00BB14CF"/>
    <w:rsid w:val="00BB1CF9"/>
    <w:rsid w:val="00BB26DC"/>
    <w:rsid w:val="00BB315F"/>
    <w:rsid w:val="00BB5036"/>
    <w:rsid w:val="00BB6888"/>
    <w:rsid w:val="00BB6EFD"/>
    <w:rsid w:val="00BC3D44"/>
    <w:rsid w:val="00BC4213"/>
    <w:rsid w:val="00BC5C80"/>
    <w:rsid w:val="00BC5D5B"/>
    <w:rsid w:val="00BC5F08"/>
    <w:rsid w:val="00BC65B2"/>
    <w:rsid w:val="00BD09B1"/>
    <w:rsid w:val="00BD1B72"/>
    <w:rsid w:val="00BD3BB5"/>
    <w:rsid w:val="00BD41C0"/>
    <w:rsid w:val="00BD4AA0"/>
    <w:rsid w:val="00BD6053"/>
    <w:rsid w:val="00BD6593"/>
    <w:rsid w:val="00BD66B2"/>
    <w:rsid w:val="00BD71AD"/>
    <w:rsid w:val="00BD7725"/>
    <w:rsid w:val="00BD78AD"/>
    <w:rsid w:val="00BE0F6C"/>
    <w:rsid w:val="00BE1F09"/>
    <w:rsid w:val="00BE2DD8"/>
    <w:rsid w:val="00BE301A"/>
    <w:rsid w:val="00BE400A"/>
    <w:rsid w:val="00BE458A"/>
    <w:rsid w:val="00BE4E51"/>
    <w:rsid w:val="00BE7A1E"/>
    <w:rsid w:val="00BF0159"/>
    <w:rsid w:val="00BF0D84"/>
    <w:rsid w:val="00BF18FE"/>
    <w:rsid w:val="00BF1C55"/>
    <w:rsid w:val="00BF224A"/>
    <w:rsid w:val="00BF3AAA"/>
    <w:rsid w:val="00BF497A"/>
    <w:rsid w:val="00BF4AC8"/>
    <w:rsid w:val="00BF70D4"/>
    <w:rsid w:val="00BF71E4"/>
    <w:rsid w:val="00BF7B13"/>
    <w:rsid w:val="00C0163D"/>
    <w:rsid w:val="00C017CA"/>
    <w:rsid w:val="00C03CE8"/>
    <w:rsid w:val="00C0494D"/>
    <w:rsid w:val="00C05806"/>
    <w:rsid w:val="00C06A1F"/>
    <w:rsid w:val="00C108A9"/>
    <w:rsid w:val="00C12466"/>
    <w:rsid w:val="00C143BD"/>
    <w:rsid w:val="00C1441B"/>
    <w:rsid w:val="00C14FB5"/>
    <w:rsid w:val="00C151EC"/>
    <w:rsid w:val="00C15A04"/>
    <w:rsid w:val="00C1656A"/>
    <w:rsid w:val="00C16815"/>
    <w:rsid w:val="00C17D4D"/>
    <w:rsid w:val="00C2100C"/>
    <w:rsid w:val="00C226C2"/>
    <w:rsid w:val="00C2305A"/>
    <w:rsid w:val="00C23CC9"/>
    <w:rsid w:val="00C24114"/>
    <w:rsid w:val="00C2492B"/>
    <w:rsid w:val="00C30B3D"/>
    <w:rsid w:val="00C30BEF"/>
    <w:rsid w:val="00C32004"/>
    <w:rsid w:val="00C323BD"/>
    <w:rsid w:val="00C33180"/>
    <w:rsid w:val="00C33462"/>
    <w:rsid w:val="00C33AE2"/>
    <w:rsid w:val="00C34138"/>
    <w:rsid w:val="00C34324"/>
    <w:rsid w:val="00C344E9"/>
    <w:rsid w:val="00C3492B"/>
    <w:rsid w:val="00C35315"/>
    <w:rsid w:val="00C3555A"/>
    <w:rsid w:val="00C3626C"/>
    <w:rsid w:val="00C36CE9"/>
    <w:rsid w:val="00C37741"/>
    <w:rsid w:val="00C37E3D"/>
    <w:rsid w:val="00C4041E"/>
    <w:rsid w:val="00C44475"/>
    <w:rsid w:val="00C45757"/>
    <w:rsid w:val="00C46807"/>
    <w:rsid w:val="00C50B1E"/>
    <w:rsid w:val="00C51C72"/>
    <w:rsid w:val="00C544CC"/>
    <w:rsid w:val="00C55114"/>
    <w:rsid w:val="00C57198"/>
    <w:rsid w:val="00C578CE"/>
    <w:rsid w:val="00C617BF"/>
    <w:rsid w:val="00C62791"/>
    <w:rsid w:val="00C62FA1"/>
    <w:rsid w:val="00C653BA"/>
    <w:rsid w:val="00C677AA"/>
    <w:rsid w:val="00C71914"/>
    <w:rsid w:val="00C7263B"/>
    <w:rsid w:val="00C727EF"/>
    <w:rsid w:val="00C73290"/>
    <w:rsid w:val="00C74636"/>
    <w:rsid w:val="00C7613A"/>
    <w:rsid w:val="00C77AEB"/>
    <w:rsid w:val="00C805DA"/>
    <w:rsid w:val="00C8096C"/>
    <w:rsid w:val="00C80A78"/>
    <w:rsid w:val="00C80F33"/>
    <w:rsid w:val="00C80FD0"/>
    <w:rsid w:val="00C8100B"/>
    <w:rsid w:val="00C816BC"/>
    <w:rsid w:val="00C825DD"/>
    <w:rsid w:val="00C852AC"/>
    <w:rsid w:val="00C86543"/>
    <w:rsid w:val="00C8683F"/>
    <w:rsid w:val="00C87D19"/>
    <w:rsid w:val="00C90FA2"/>
    <w:rsid w:val="00C92267"/>
    <w:rsid w:val="00C95BC5"/>
    <w:rsid w:val="00C974ED"/>
    <w:rsid w:val="00C97A8D"/>
    <w:rsid w:val="00CA04C0"/>
    <w:rsid w:val="00CA329C"/>
    <w:rsid w:val="00CA4064"/>
    <w:rsid w:val="00CA41D2"/>
    <w:rsid w:val="00CA4F20"/>
    <w:rsid w:val="00CA5908"/>
    <w:rsid w:val="00CA5D21"/>
    <w:rsid w:val="00CA6512"/>
    <w:rsid w:val="00CA7A61"/>
    <w:rsid w:val="00CB0C16"/>
    <w:rsid w:val="00CB1327"/>
    <w:rsid w:val="00CB149F"/>
    <w:rsid w:val="00CB1EAE"/>
    <w:rsid w:val="00CB1F5B"/>
    <w:rsid w:val="00CB2147"/>
    <w:rsid w:val="00CB315D"/>
    <w:rsid w:val="00CB3EC6"/>
    <w:rsid w:val="00CB4F56"/>
    <w:rsid w:val="00CB68CC"/>
    <w:rsid w:val="00CB6BB5"/>
    <w:rsid w:val="00CB6D6A"/>
    <w:rsid w:val="00CB7873"/>
    <w:rsid w:val="00CC07DB"/>
    <w:rsid w:val="00CC0A26"/>
    <w:rsid w:val="00CC3F55"/>
    <w:rsid w:val="00CC54B1"/>
    <w:rsid w:val="00CC79A2"/>
    <w:rsid w:val="00CD0A75"/>
    <w:rsid w:val="00CD11DE"/>
    <w:rsid w:val="00CD143E"/>
    <w:rsid w:val="00CD19CA"/>
    <w:rsid w:val="00CD34FD"/>
    <w:rsid w:val="00CD6C4D"/>
    <w:rsid w:val="00CE0440"/>
    <w:rsid w:val="00CE05E1"/>
    <w:rsid w:val="00CE16F2"/>
    <w:rsid w:val="00CE1CC5"/>
    <w:rsid w:val="00CE253C"/>
    <w:rsid w:val="00CE2EE4"/>
    <w:rsid w:val="00CE3346"/>
    <w:rsid w:val="00CE3797"/>
    <w:rsid w:val="00CE41CB"/>
    <w:rsid w:val="00CE5FE1"/>
    <w:rsid w:val="00CF0777"/>
    <w:rsid w:val="00CF0FF4"/>
    <w:rsid w:val="00CF1622"/>
    <w:rsid w:val="00CF4635"/>
    <w:rsid w:val="00CF46ED"/>
    <w:rsid w:val="00CF5173"/>
    <w:rsid w:val="00CF51E8"/>
    <w:rsid w:val="00CF5BA3"/>
    <w:rsid w:val="00CF637A"/>
    <w:rsid w:val="00CF7C31"/>
    <w:rsid w:val="00D02242"/>
    <w:rsid w:val="00D025CC"/>
    <w:rsid w:val="00D028B3"/>
    <w:rsid w:val="00D06218"/>
    <w:rsid w:val="00D10566"/>
    <w:rsid w:val="00D138B4"/>
    <w:rsid w:val="00D13D12"/>
    <w:rsid w:val="00D15500"/>
    <w:rsid w:val="00D15C15"/>
    <w:rsid w:val="00D16725"/>
    <w:rsid w:val="00D16D23"/>
    <w:rsid w:val="00D17643"/>
    <w:rsid w:val="00D20188"/>
    <w:rsid w:val="00D201E3"/>
    <w:rsid w:val="00D2027A"/>
    <w:rsid w:val="00D218EF"/>
    <w:rsid w:val="00D22433"/>
    <w:rsid w:val="00D22748"/>
    <w:rsid w:val="00D22E55"/>
    <w:rsid w:val="00D232AE"/>
    <w:rsid w:val="00D23626"/>
    <w:rsid w:val="00D26918"/>
    <w:rsid w:val="00D27734"/>
    <w:rsid w:val="00D27BED"/>
    <w:rsid w:val="00D3182A"/>
    <w:rsid w:val="00D3227D"/>
    <w:rsid w:val="00D33567"/>
    <w:rsid w:val="00D341A7"/>
    <w:rsid w:val="00D35236"/>
    <w:rsid w:val="00D3579C"/>
    <w:rsid w:val="00D37121"/>
    <w:rsid w:val="00D376AA"/>
    <w:rsid w:val="00D40043"/>
    <w:rsid w:val="00D40A47"/>
    <w:rsid w:val="00D41051"/>
    <w:rsid w:val="00D417AE"/>
    <w:rsid w:val="00D41B6F"/>
    <w:rsid w:val="00D457ED"/>
    <w:rsid w:val="00D46D32"/>
    <w:rsid w:val="00D51C50"/>
    <w:rsid w:val="00D5266D"/>
    <w:rsid w:val="00D52BBA"/>
    <w:rsid w:val="00D54AEA"/>
    <w:rsid w:val="00D55A96"/>
    <w:rsid w:val="00D56796"/>
    <w:rsid w:val="00D56D85"/>
    <w:rsid w:val="00D60B6B"/>
    <w:rsid w:val="00D60D72"/>
    <w:rsid w:val="00D61918"/>
    <w:rsid w:val="00D63019"/>
    <w:rsid w:val="00D631BD"/>
    <w:rsid w:val="00D64812"/>
    <w:rsid w:val="00D64E31"/>
    <w:rsid w:val="00D65604"/>
    <w:rsid w:val="00D656B6"/>
    <w:rsid w:val="00D65F9D"/>
    <w:rsid w:val="00D666E7"/>
    <w:rsid w:val="00D67C66"/>
    <w:rsid w:val="00D67E37"/>
    <w:rsid w:val="00D705C5"/>
    <w:rsid w:val="00D706C6"/>
    <w:rsid w:val="00D726CE"/>
    <w:rsid w:val="00D73943"/>
    <w:rsid w:val="00D74912"/>
    <w:rsid w:val="00D75805"/>
    <w:rsid w:val="00D779F7"/>
    <w:rsid w:val="00D82F54"/>
    <w:rsid w:val="00D83026"/>
    <w:rsid w:val="00D83045"/>
    <w:rsid w:val="00D8411C"/>
    <w:rsid w:val="00D844D3"/>
    <w:rsid w:val="00D857E6"/>
    <w:rsid w:val="00D85885"/>
    <w:rsid w:val="00D8653A"/>
    <w:rsid w:val="00D871CE"/>
    <w:rsid w:val="00D87542"/>
    <w:rsid w:val="00D87D77"/>
    <w:rsid w:val="00D9375F"/>
    <w:rsid w:val="00D937F8"/>
    <w:rsid w:val="00D93883"/>
    <w:rsid w:val="00D93A88"/>
    <w:rsid w:val="00D93B43"/>
    <w:rsid w:val="00D93D76"/>
    <w:rsid w:val="00D93D78"/>
    <w:rsid w:val="00D93FAF"/>
    <w:rsid w:val="00D94DB5"/>
    <w:rsid w:val="00D95202"/>
    <w:rsid w:val="00D95B44"/>
    <w:rsid w:val="00D95C20"/>
    <w:rsid w:val="00D96BFE"/>
    <w:rsid w:val="00D97B59"/>
    <w:rsid w:val="00D97C16"/>
    <w:rsid w:val="00D97D49"/>
    <w:rsid w:val="00DA025F"/>
    <w:rsid w:val="00DA0755"/>
    <w:rsid w:val="00DA08A5"/>
    <w:rsid w:val="00DA23AB"/>
    <w:rsid w:val="00DA2B4B"/>
    <w:rsid w:val="00DA4D03"/>
    <w:rsid w:val="00DA5A16"/>
    <w:rsid w:val="00DA7D0B"/>
    <w:rsid w:val="00DB07CA"/>
    <w:rsid w:val="00DB0823"/>
    <w:rsid w:val="00DB0E2A"/>
    <w:rsid w:val="00DB111E"/>
    <w:rsid w:val="00DB2718"/>
    <w:rsid w:val="00DB2A06"/>
    <w:rsid w:val="00DB383F"/>
    <w:rsid w:val="00DB53D6"/>
    <w:rsid w:val="00DB5FF0"/>
    <w:rsid w:val="00DB63F1"/>
    <w:rsid w:val="00DB65D7"/>
    <w:rsid w:val="00DB6791"/>
    <w:rsid w:val="00DB6C38"/>
    <w:rsid w:val="00DB7445"/>
    <w:rsid w:val="00DB7D53"/>
    <w:rsid w:val="00DC0464"/>
    <w:rsid w:val="00DC0787"/>
    <w:rsid w:val="00DC0F18"/>
    <w:rsid w:val="00DC1303"/>
    <w:rsid w:val="00DC223D"/>
    <w:rsid w:val="00DC42A4"/>
    <w:rsid w:val="00DC42EA"/>
    <w:rsid w:val="00DC693E"/>
    <w:rsid w:val="00DD0C3F"/>
    <w:rsid w:val="00DD1F41"/>
    <w:rsid w:val="00DD26CC"/>
    <w:rsid w:val="00DD3766"/>
    <w:rsid w:val="00DD6DE7"/>
    <w:rsid w:val="00DD71D6"/>
    <w:rsid w:val="00DD73A8"/>
    <w:rsid w:val="00DD7687"/>
    <w:rsid w:val="00DE08C3"/>
    <w:rsid w:val="00DE094A"/>
    <w:rsid w:val="00DE1DAB"/>
    <w:rsid w:val="00DE20A2"/>
    <w:rsid w:val="00DE261E"/>
    <w:rsid w:val="00DE269D"/>
    <w:rsid w:val="00DE52B7"/>
    <w:rsid w:val="00DE6636"/>
    <w:rsid w:val="00DE6C5F"/>
    <w:rsid w:val="00DF0B89"/>
    <w:rsid w:val="00DF131B"/>
    <w:rsid w:val="00DF164A"/>
    <w:rsid w:val="00DF353C"/>
    <w:rsid w:val="00DF3DF8"/>
    <w:rsid w:val="00DF46B7"/>
    <w:rsid w:val="00DF73B6"/>
    <w:rsid w:val="00DF781C"/>
    <w:rsid w:val="00E00C6B"/>
    <w:rsid w:val="00E02A3C"/>
    <w:rsid w:val="00E03F4C"/>
    <w:rsid w:val="00E03F4E"/>
    <w:rsid w:val="00E056B0"/>
    <w:rsid w:val="00E05C27"/>
    <w:rsid w:val="00E063DE"/>
    <w:rsid w:val="00E0671B"/>
    <w:rsid w:val="00E118AB"/>
    <w:rsid w:val="00E11E0F"/>
    <w:rsid w:val="00E11E5E"/>
    <w:rsid w:val="00E12077"/>
    <w:rsid w:val="00E12F2F"/>
    <w:rsid w:val="00E1319F"/>
    <w:rsid w:val="00E13A48"/>
    <w:rsid w:val="00E13FB6"/>
    <w:rsid w:val="00E14ACF"/>
    <w:rsid w:val="00E14BAD"/>
    <w:rsid w:val="00E14D14"/>
    <w:rsid w:val="00E173EF"/>
    <w:rsid w:val="00E20B5E"/>
    <w:rsid w:val="00E20F69"/>
    <w:rsid w:val="00E22732"/>
    <w:rsid w:val="00E22B39"/>
    <w:rsid w:val="00E2459F"/>
    <w:rsid w:val="00E2693C"/>
    <w:rsid w:val="00E30AF9"/>
    <w:rsid w:val="00E32488"/>
    <w:rsid w:val="00E327E4"/>
    <w:rsid w:val="00E34C86"/>
    <w:rsid w:val="00E34DB8"/>
    <w:rsid w:val="00E35369"/>
    <w:rsid w:val="00E35682"/>
    <w:rsid w:val="00E3649B"/>
    <w:rsid w:val="00E41042"/>
    <w:rsid w:val="00E4127C"/>
    <w:rsid w:val="00E41B14"/>
    <w:rsid w:val="00E41DD4"/>
    <w:rsid w:val="00E43B12"/>
    <w:rsid w:val="00E443AB"/>
    <w:rsid w:val="00E444BC"/>
    <w:rsid w:val="00E4510E"/>
    <w:rsid w:val="00E46906"/>
    <w:rsid w:val="00E46EA3"/>
    <w:rsid w:val="00E50223"/>
    <w:rsid w:val="00E50F61"/>
    <w:rsid w:val="00E51C1B"/>
    <w:rsid w:val="00E53353"/>
    <w:rsid w:val="00E53C45"/>
    <w:rsid w:val="00E53CE0"/>
    <w:rsid w:val="00E53DA7"/>
    <w:rsid w:val="00E55DB0"/>
    <w:rsid w:val="00E567E7"/>
    <w:rsid w:val="00E577EC"/>
    <w:rsid w:val="00E57C4D"/>
    <w:rsid w:val="00E602BD"/>
    <w:rsid w:val="00E62337"/>
    <w:rsid w:val="00E62809"/>
    <w:rsid w:val="00E631A3"/>
    <w:rsid w:val="00E63321"/>
    <w:rsid w:val="00E634AD"/>
    <w:rsid w:val="00E635BD"/>
    <w:rsid w:val="00E63FAC"/>
    <w:rsid w:val="00E64C9D"/>
    <w:rsid w:val="00E6537A"/>
    <w:rsid w:val="00E65B3E"/>
    <w:rsid w:val="00E65FF3"/>
    <w:rsid w:val="00E6618A"/>
    <w:rsid w:val="00E67470"/>
    <w:rsid w:val="00E67A24"/>
    <w:rsid w:val="00E70552"/>
    <w:rsid w:val="00E712F8"/>
    <w:rsid w:val="00E72B05"/>
    <w:rsid w:val="00E72E0E"/>
    <w:rsid w:val="00E74A39"/>
    <w:rsid w:val="00E75609"/>
    <w:rsid w:val="00E75BCD"/>
    <w:rsid w:val="00E76031"/>
    <w:rsid w:val="00E8021E"/>
    <w:rsid w:val="00E82CAF"/>
    <w:rsid w:val="00E82CEF"/>
    <w:rsid w:val="00E83A79"/>
    <w:rsid w:val="00E83DCE"/>
    <w:rsid w:val="00E842A8"/>
    <w:rsid w:val="00E84360"/>
    <w:rsid w:val="00E84E89"/>
    <w:rsid w:val="00E85898"/>
    <w:rsid w:val="00E870BF"/>
    <w:rsid w:val="00E871BC"/>
    <w:rsid w:val="00E90229"/>
    <w:rsid w:val="00E91899"/>
    <w:rsid w:val="00E92268"/>
    <w:rsid w:val="00E92604"/>
    <w:rsid w:val="00E942AE"/>
    <w:rsid w:val="00E96274"/>
    <w:rsid w:val="00E96D36"/>
    <w:rsid w:val="00E974B7"/>
    <w:rsid w:val="00E97DD3"/>
    <w:rsid w:val="00EA00A6"/>
    <w:rsid w:val="00EA1489"/>
    <w:rsid w:val="00EA1A6D"/>
    <w:rsid w:val="00EA335A"/>
    <w:rsid w:val="00EA3D63"/>
    <w:rsid w:val="00EA55C1"/>
    <w:rsid w:val="00EA6854"/>
    <w:rsid w:val="00EB0AA6"/>
    <w:rsid w:val="00EB1273"/>
    <w:rsid w:val="00EB22C0"/>
    <w:rsid w:val="00EB396F"/>
    <w:rsid w:val="00EB400B"/>
    <w:rsid w:val="00EB5C40"/>
    <w:rsid w:val="00EB6A2C"/>
    <w:rsid w:val="00EB6B83"/>
    <w:rsid w:val="00EC08AD"/>
    <w:rsid w:val="00EC1B2E"/>
    <w:rsid w:val="00EC2AB4"/>
    <w:rsid w:val="00EC2B87"/>
    <w:rsid w:val="00EC3089"/>
    <w:rsid w:val="00EC4214"/>
    <w:rsid w:val="00EC6B44"/>
    <w:rsid w:val="00EC7CED"/>
    <w:rsid w:val="00ED0D39"/>
    <w:rsid w:val="00ED0EA7"/>
    <w:rsid w:val="00ED172E"/>
    <w:rsid w:val="00ED1F4F"/>
    <w:rsid w:val="00ED353C"/>
    <w:rsid w:val="00ED41B5"/>
    <w:rsid w:val="00ED5433"/>
    <w:rsid w:val="00ED7DE0"/>
    <w:rsid w:val="00EE123E"/>
    <w:rsid w:val="00EE298D"/>
    <w:rsid w:val="00EE2BB3"/>
    <w:rsid w:val="00EE37A3"/>
    <w:rsid w:val="00EE4F91"/>
    <w:rsid w:val="00EE6737"/>
    <w:rsid w:val="00EE7093"/>
    <w:rsid w:val="00EE7375"/>
    <w:rsid w:val="00EE7465"/>
    <w:rsid w:val="00EE75B5"/>
    <w:rsid w:val="00EE7E8F"/>
    <w:rsid w:val="00EF2215"/>
    <w:rsid w:val="00EF3B49"/>
    <w:rsid w:val="00EF45CF"/>
    <w:rsid w:val="00EF4B52"/>
    <w:rsid w:val="00EF5CDA"/>
    <w:rsid w:val="00EF70BA"/>
    <w:rsid w:val="00F013CB"/>
    <w:rsid w:val="00F0267C"/>
    <w:rsid w:val="00F03379"/>
    <w:rsid w:val="00F0345E"/>
    <w:rsid w:val="00F03FC4"/>
    <w:rsid w:val="00F05790"/>
    <w:rsid w:val="00F06960"/>
    <w:rsid w:val="00F106E4"/>
    <w:rsid w:val="00F1171C"/>
    <w:rsid w:val="00F119FB"/>
    <w:rsid w:val="00F145D4"/>
    <w:rsid w:val="00F14AEC"/>
    <w:rsid w:val="00F16210"/>
    <w:rsid w:val="00F164D5"/>
    <w:rsid w:val="00F17632"/>
    <w:rsid w:val="00F1792F"/>
    <w:rsid w:val="00F17A56"/>
    <w:rsid w:val="00F20474"/>
    <w:rsid w:val="00F21AB6"/>
    <w:rsid w:val="00F223D5"/>
    <w:rsid w:val="00F2283A"/>
    <w:rsid w:val="00F22A84"/>
    <w:rsid w:val="00F22A8F"/>
    <w:rsid w:val="00F22ED6"/>
    <w:rsid w:val="00F23EB4"/>
    <w:rsid w:val="00F2529A"/>
    <w:rsid w:val="00F25F5E"/>
    <w:rsid w:val="00F260CB"/>
    <w:rsid w:val="00F26C19"/>
    <w:rsid w:val="00F32553"/>
    <w:rsid w:val="00F327CE"/>
    <w:rsid w:val="00F332ED"/>
    <w:rsid w:val="00F33552"/>
    <w:rsid w:val="00F33C8D"/>
    <w:rsid w:val="00F35955"/>
    <w:rsid w:val="00F378C1"/>
    <w:rsid w:val="00F40CC5"/>
    <w:rsid w:val="00F41AF4"/>
    <w:rsid w:val="00F41DE0"/>
    <w:rsid w:val="00F42FBC"/>
    <w:rsid w:val="00F4385E"/>
    <w:rsid w:val="00F43BFB"/>
    <w:rsid w:val="00F43F5D"/>
    <w:rsid w:val="00F44398"/>
    <w:rsid w:val="00F448C3"/>
    <w:rsid w:val="00F45085"/>
    <w:rsid w:val="00F450F4"/>
    <w:rsid w:val="00F463F1"/>
    <w:rsid w:val="00F46892"/>
    <w:rsid w:val="00F469B2"/>
    <w:rsid w:val="00F47200"/>
    <w:rsid w:val="00F47953"/>
    <w:rsid w:val="00F50572"/>
    <w:rsid w:val="00F50E5A"/>
    <w:rsid w:val="00F511FB"/>
    <w:rsid w:val="00F51333"/>
    <w:rsid w:val="00F52456"/>
    <w:rsid w:val="00F5281E"/>
    <w:rsid w:val="00F531AA"/>
    <w:rsid w:val="00F536B7"/>
    <w:rsid w:val="00F53FEE"/>
    <w:rsid w:val="00F54DAB"/>
    <w:rsid w:val="00F56161"/>
    <w:rsid w:val="00F56862"/>
    <w:rsid w:val="00F575AF"/>
    <w:rsid w:val="00F604F4"/>
    <w:rsid w:val="00F60AFA"/>
    <w:rsid w:val="00F62588"/>
    <w:rsid w:val="00F627EB"/>
    <w:rsid w:val="00F629BF"/>
    <w:rsid w:val="00F633D8"/>
    <w:rsid w:val="00F6431B"/>
    <w:rsid w:val="00F64B3B"/>
    <w:rsid w:val="00F64C76"/>
    <w:rsid w:val="00F64CCC"/>
    <w:rsid w:val="00F64ED6"/>
    <w:rsid w:val="00F65747"/>
    <w:rsid w:val="00F65AD5"/>
    <w:rsid w:val="00F660F7"/>
    <w:rsid w:val="00F6638A"/>
    <w:rsid w:val="00F6692A"/>
    <w:rsid w:val="00F66E97"/>
    <w:rsid w:val="00F675B0"/>
    <w:rsid w:val="00F707C9"/>
    <w:rsid w:val="00F710FE"/>
    <w:rsid w:val="00F71BEA"/>
    <w:rsid w:val="00F744F4"/>
    <w:rsid w:val="00F74A01"/>
    <w:rsid w:val="00F75A10"/>
    <w:rsid w:val="00F75D9F"/>
    <w:rsid w:val="00F76063"/>
    <w:rsid w:val="00F77276"/>
    <w:rsid w:val="00F77A8D"/>
    <w:rsid w:val="00F77D27"/>
    <w:rsid w:val="00F80013"/>
    <w:rsid w:val="00F8095A"/>
    <w:rsid w:val="00F81476"/>
    <w:rsid w:val="00F81681"/>
    <w:rsid w:val="00F81E11"/>
    <w:rsid w:val="00F834A7"/>
    <w:rsid w:val="00F864FC"/>
    <w:rsid w:val="00F86808"/>
    <w:rsid w:val="00F9142D"/>
    <w:rsid w:val="00F92104"/>
    <w:rsid w:val="00F92F35"/>
    <w:rsid w:val="00F93A3D"/>
    <w:rsid w:val="00F94C16"/>
    <w:rsid w:val="00F94D3F"/>
    <w:rsid w:val="00F9689E"/>
    <w:rsid w:val="00FA066D"/>
    <w:rsid w:val="00FA1126"/>
    <w:rsid w:val="00FA242E"/>
    <w:rsid w:val="00FA24F3"/>
    <w:rsid w:val="00FA42BC"/>
    <w:rsid w:val="00FA4635"/>
    <w:rsid w:val="00FA509C"/>
    <w:rsid w:val="00FA5FCE"/>
    <w:rsid w:val="00FA6941"/>
    <w:rsid w:val="00FA761A"/>
    <w:rsid w:val="00FA786A"/>
    <w:rsid w:val="00FB0515"/>
    <w:rsid w:val="00FB0EE9"/>
    <w:rsid w:val="00FB0EFB"/>
    <w:rsid w:val="00FB0F8A"/>
    <w:rsid w:val="00FB252E"/>
    <w:rsid w:val="00FB2EB5"/>
    <w:rsid w:val="00FB30F6"/>
    <w:rsid w:val="00FB34E4"/>
    <w:rsid w:val="00FB3DE3"/>
    <w:rsid w:val="00FB3F26"/>
    <w:rsid w:val="00FB45A8"/>
    <w:rsid w:val="00FB4C8E"/>
    <w:rsid w:val="00FB4D15"/>
    <w:rsid w:val="00FB4E84"/>
    <w:rsid w:val="00FB68DD"/>
    <w:rsid w:val="00FC02F4"/>
    <w:rsid w:val="00FC2683"/>
    <w:rsid w:val="00FC2810"/>
    <w:rsid w:val="00FC3213"/>
    <w:rsid w:val="00FC3C6C"/>
    <w:rsid w:val="00FC48C6"/>
    <w:rsid w:val="00FC4A91"/>
    <w:rsid w:val="00FC4E0B"/>
    <w:rsid w:val="00FC6141"/>
    <w:rsid w:val="00FC646D"/>
    <w:rsid w:val="00FC6E1D"/>
    <w:rsid w:val="00FD1AA4"/>
    <w:rsid w:val="00FD1BD4"/>
    <w:rsid w:val="00FD2FA7"/>
    <w:rsid w:val="00FD4B79"/>
    <w:rsid w:val="00FD58EF"/>
    <w:rsid w:val="00FD5BC9"/>
    <w:rsid w:val="00FD667B"/>
    <w:rsid w:val="00FD7165"/>
    <w:rsid w:val="00FE1303"/>
    <w:rsid w:val="00FE291B"/>
    <w:rsid w:val="00FE40C1"/>
    <w:rsid w:val="00FE410C"/>
    <w:rsid w:val="00FE546C"/>
    <w:rsid w:val="00FE54AE"/>
    <w:rsid w:val="00FE5671"/>
    <w:rsid w:val="00FE6AE8"/>
    <w:rsid w:val="00FE70D5"/>
    <w:rsid w:val="00FF041F"/>
    <w:rsid w:val="00FF0C67"/>
    <w:rsid w:val="00FF0E6A"/>
    <w:rsid w:val="00FF0F69"/>
    <w:rsid w:val="00FF1623"/>
    <w:rsid w:val="00FF21EF"/>
    <w:rsid w:val="00FF2A34"/>
    <w:rsid w:val="00FF5813"/>
    <w:rsid w:val="00FF5E54"/>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DAA09E33-1E7D-4E61-A5FC-652F32EB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text"/>
    <w:basedOn w:val="DefaultParagraphFont"/>
    <w:uiPriority w:val="99"/>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
    <w:name w:val="כותרת 5"/>
    <w:basedOn w:val="Heading5"/>
    <w:qFormat/>
    <w:rsid w:val="008711F1"/>
    <w:pPr>
      <w:keepLines w:val="0"/>
      <w:spacing w:before="240" w:after="120" w:line="269" w:lineRule="auto"/>
    </w:pPr>
    <w:rPr>
      <w:rFonts w:ascii="Tahoma" w:hAnsi="Tahoma" w:eastAsiaTheme="minorHAnsi" w:cs="Tahoma"/>
      <w:b/>
      <w:bCs w:val="0"/>
      <w:color w:val="387026"/>
      <w:spacing w:val="0"/>
      <w:sz w:val="23"/>
      <w:szCs w:val="23"/>
    </w:rPr>
  </w:style>
  <w:style w:type="paragraph" w:customStyle="1" w:styleId="6">
    <w:name w:val="כותרת 6"/>
    <w:basedOn w:val="Heading6"/>
    <w:qFormat/>
    <w:rsid w:val="008711F1"/>
    <w:pPr>
      <w:keepNext w:val="0"/>
      <w:keepLines w:val="0"/>
      <w:spacing w:before="120" w:after="120" w:line="269" w:lineRule="auto"/>
    </w:pPr>
    <w:rPr>
      <w:rFonts w:ascii="Tahoma" w:hAnsi="Tahoma" w:eastAsiaTheme="minorHAnsi" w:cs="Tahoma"/>
      <w:color w:val="387026"/>
      <w:spacing w:val="0"/>
      <w:sz w:val="21"/>
      <w:szCs w:val="21"/>
    </w:rPr>
  </w:style>
  <w:style w:type="paragraph" w:customStyle="1" w:styleId="10">
    <w:name w:val="כותרת 1"/>
    <w:basedOn w:val="NAME"/>
    <w:qFormat/>
    <w:rsid w:val="008711F1"/>
    <w:pPr>
      <w:spacing w:before="1440" w:after="0"/>
    </w:pPr>
  </w:style>
  <w:style w:type="paragraph" w:customStyle="1" w:styleId="3">
    <w:name w:val="כותרת 3"/>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
    <w:rsid w:val="008711F1"/>
    <w:rPr>
      <w:rFonts w:ascii="Tahoma" w:eastAsia="Times New Roman" w:hAnsi="Tahoma" w:cs="Tahoma"/>
      <w:bCs w:val="0"/>
      <w:color w:val="009692"/>
      <w:sz w:val="32"/>
      <w:szCs w:val="32"/>
      <w:u w:val="single"/>
    </w:rPr>
  </w:style>
  <w:style w:type="paragraph" w:customStyle="1" w:styleId="2">
    <w:name w:val="כותרת 2"/>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
    <w:rsid w:val="008711F1"/>
    <w:rPr>
      <w:rFonts w:ascii="Arial Bold" w:hAnsi="Arial Bold" w:eastAsiaTheme="majorEastAsia" w:cs="Tahoma"/>
      <w:bCs w:val="0"/>
      <w:color w:val="365F91" w:themeColor="accent1" w:themeShade="BF"/>
      <w:sz w:val="36"/>
      <w:szCs w:val="36"/>
    </w:rPr>
  </w:style>
  <w:style w:type="paragraph" w:customStyle="1" w:styleId="4">
    <w:name w:val="כותרת 4"/>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
    <w:rsid w:val="008711F1"/>
    <w:rPr>
      <w:rFonts w:ascii="Tahoma" w:hAnsi="Tahoma" w:eastAsiaTheme="majorEastAsia" w:cs="Tahoma"/>
      <w:bCs w:val="0"/>
      <w:color w:val="387026"/>
      <w:sz w:val="28"/>
      <w:szCs w:val="28"/>
    </w:rPr>
  </w:style>
  <w:style w:type="paragraph" w:customStyle="1" w:styleId="a1">
    <w:name w:val="כותרת לוח"/>
    <w:basedOn w:val="Normal"/>
    <w:qFormat/>
    <w:rsid w:val="00AA5CDC"/>
    <w:pPr>
      <w:keepNext/>
      <w:keepLines/>
      <w:spacing w:after="200"/>
      <w:jc w:val="center"/>
    </w:pPr>
    <w:rPr>
      <w:rFonts w:ascii="Tahoma" w:hAnsi="Tahoma" w:eastAsiaTheme="minorEastAsia" w:cs="Tahoma"/>
      <w:b/>
      <w:bCs/>
      <w:color w:val="365F91" w:themeColor="accent1" w:themeShade="BF"/>
      <w:szCs w:val="20"/>
    </w:rPr>
  </w:style>
  <w:style w:type="paragraph" w:customStyle="1" w:styleId="a2">
    <w:name w:val="ביננים ראשון"/>
    <w:basedOn w:val="Normal"/>
    <w:autoRedefine/>
    <w:qFormat/>
    <w:rsid w:val="008603E7"/>
    <w:pPr>
      <w:spacing w:after="120" w:line="240" w:lineRule="auto"/>
      <w:jc w:val="left"/>
    </w:pPr>
    <w:rPr>
      <w:rFonts w:asciiTheme="minorHAnsi" w:hAnsiTheme="minorHAnsi" w:cstheme="minorBidi"/>
      <w:bCs/>
      <w:sz w:val="22"/>
      <w:szCs w:val="32"/>
    </w:rPr>
  </w:style>
  <w:style w:type="paragraph" w:customStyle="1" w:styleId="a3">
    <w:name w:val="טקסט בסיסי"/>
    <w:basedOn w:val="Normal"/>
    <w:qFormat/>
    <w:rsid w:val="008603E7"/>
    <w:pPr>
      <w:spacing w:after="240" w:line="360" w:lineRule="auto"/>
    </w:pPr>
    <w:rPr>
      <w:rFonts w:asciiTheme="minorBidi" w:hAnsiTheme="minorBidi" w:cstheme="minorBidi"/>
      <w:color w:val="333333"/>
      <w:sz w:val="24"/>
    </w:rPr>
  </w:style>
  <w:style w:type="paragraph" w:customStyle="1" w:styleId="NoParagraphStyle">
    <w:name w:val="[No Paragraph Style]"/>
    <w:rsid w:val="008603E7"/>
    <w:pPr>
      <w:autoSpaceDE w:val="0"/>
      <w:autoSpaceDN w:val="0"/>
      <w:bidi/>
      <w:adjustRightInd w:val="0"/>
      <w:spacing w:after="0" w:line="288" w:lineRule="auto"/>
      <w:jc w:val="left"/>
      <w:textAlignment w:val="center"/>
    </w:pPr>
    <w:rPr>
      <w:rFonts w:ascii="Adobe Hebrew" w:hAnsi="Adobe Hebrew" w:cs="Adobe Hebrew"/>
      <w:color w:val="000000"/>
      <w:sz w:val="24"/>
    </w:rPr>
  </w:style>
  <w:style w:type="character" w:customStyle="1" w:styleId="a4">
    <w:name w:val="טקסט רץ שמן"/>
    <w:uiPriority w:val="99"/>
    <w:rsid w:val="008603E7"/>
  </w:style>
  <w:style w:type="paragraph" w:customStyle="1" w:styleId="-1">
    <w:name w:val="כותרת - רמה 1"/>
    <w:basedOn w:val="NoParagraphStyle"/>
    <w:uiPriority w:val="99"/>
    <w:rsid w:val="008603E7"/>
    <w:pPr>
      <w:suppressAutoHyphens/>
      <w:spacing w:before="340" w:after="113" w:line="420" w:lineRule="atLeast"/>
    </w:pPr>
    <w:rPr>
      <w:rFonts w:ascii="Fb Formalist Black" w:hAnsiTheme="minorHAnsi" w:cs="Fb Formalist Black"/>
      <w:color w:val="002F5E"/>
      <w:spacing w:val="-4"/>
      <w:w w:val="95"/>
      <w:sz w:val="40"/>
      <w:szCs w:val="40"/>
    </w:rPr>
  </w:style>
  <w:style w:type="paragraph" w:customStyle="1" w:styleId="-2">
    <w:name w:val="כותרת - רמה 2"/>
    <w:basedOn w:val="NoParagraphStyle"/>
    <w:uiPriority w:val="99"/>
    <w:rsid w:val="008603E7"/>
    <w:pPr>
      <w:suppressAutoHyphens/>
      <w:spacing w:before="227" w:after="113" w:line="320" w:lineRule="atLeast"/>
    </w:pPr>
    <w:rPr>
      <w:rFonts w:ascii="Fb Formalist Bold" w:hAnsiTheme="minorHAnsi" w:cs="Fb Formalist Bold"/>
      <w:b/>
      <w:bCs/>
      <w:color w:val="002F5E"/>
      <w:spacing w:val="-3"/>
      <w:w w:val="95"/>
      <w:sz w:val="30"/>
      <w:szCs w:val="30"/>
    </w:rPr>
  </w:style>
  <w:style w:type="paragraph" w:customStyle="1" w:styleId="a5">
    <w:name w:val="טקסט רץ"/>
    <w:basedOn w:val="NoParagraphStyle"/>
    <w:uiPriority w:val="99"/>
    <w:rsid w:val="008603E7"/>
    <w:pPr>
      <w:tabs>
        <w:tab w:val="left" w:pos="340"/>
      </w:tabs>
      <w:suppressAutoHyphens/>
      <w:spacing w:after="170" w:line="300" w:lineRule="atLeast"/>
      <w:jc w:val="both"/>
    </w:pPr>
    <w:rPr>
      <w:rFonts w:ascii="Fb Formalist Light" w:hAnsiTheme="minorHAnsi" w:cs="Fb Formalist Light"/>
      <w:sz w:val="19"/>
      <w:szCs w:val="19"/>
    </w:rPr>
  </w:style>
  <w:style w:type="paragraph" w:customStyle="1" w:styleId="-">
    <w:name w:val="לוח-תרשים"/>
    <w:basedOn w:val="NoParagraphStyle"/>
    <w:uiPriority w:val="99"/>
    <w:rsid w:val="008603E7"/>
    <w:pPr>
      <w:tabs>
        <w:tab w:val="left" w:pos="340"/>
      </w:tabs>
      <w:suppressAutoHyphens/>
      <w:spacing w:before="170" w:after="170" w:line="260" w:lineRule="atLeast"/>
      <w:jc w:val="center"/>
    </w:pPr>
    <w:rPr>
      <w:rFonts w:ascii="Fb Formalist Medium" w:hAnsiTheme="minorHAnsi" w:cs="Fb Formalist Medium"/>
      <w:sz w:val="22"/>
      <w:szCs w:val="22"/>
    </w:rPr>
  </w:style>
  <w:style w:type="paragraph" w:customStyle="1" w:styleId="-0">
    <w:name w:val="המקור-על פי"/>
    <w:basedOn w:val="NoParagraphStyle"/>
    <w:uiPriority w:val="99"/>
    <w:rsid w:val="008603E7"/>
    <w:pPr>
      <w:tabs>
        <w:tab w:val="left" w:pos="340"/>
      </w:tabs>
      <w:suppressAutoHyphens/>
      <w:spacing w:before="57" w:after="170" w:line="220" w:lineRule="atLeast"/>
      <w:jc w:val="both"/>
    </w:pPr>
    <w:rPr>
      <w:rFonts w:ascii="Fb Formalist Light" w:hAnsiTheme="minorHAnsi" w:cs="Fb Formalist Light"/>
      <w:sz w:val="17"/>
      <w:szCs w:val="17"/>
    </w:rPr>
  </w:style>
  <w:style w:type="paragraph" w:customStyle="1" w:styleId="a6">
    <w:name w:val="בוקסה מרוסטרט"/>
    <w:basedOn w:val="NoParagraphStyle"/>
    <w:uiPriority w:val="99"/>
    <w:rsid w:val="008603E7"/>
    <w:pPr>
      <w:shd w:val="clear" w:color="auto" w:fill="1485C7"/>
      <w:tabs>
        <w:tab w:val="left" w:pos="340"/>
      </w:tabs>
      <w:suppressAutoHyphens/>
      <w:spacing w:before="170" w:after="340" w:line="300" w:lineRule="atLeast"/>
      <w:ind w:left="283" w:right="283"/>
      <w:jc w:val="both"/>
    </w:pPr>
    <w:rPr>
      <w:rFonts w:ascii="Fb Formalist" w:hAnsiTheme="minorHAnsi" w:cs="Fb Formalist"/>
      <w:sz w:val="19"/>
      <w:szCs w:val="19"/>
    </w:rPr>
  </w:style>
  <w:style w:type="paragraph" w:customStyle="1" w:styleId="a7">
    <w:name w:val="הערת שוליים"/>
    <w:basedOn w:val="NoParagraphStyle"/>
    <w:uiPriority w:val="99"/>
    <w:rsid w:val="008603E7"/>
    <w:pPr>
      <w:tabs>
        <w:tab w:val="left" w:pos="340"/>
      </w:tabs>
      <w:suppressAutoHyphens/>
      <w:spacing w:after="170" w:line="200" w:lineRule="atLeast"/>
      <w:jc w:val="both"/>
    </w:pPr>
    <w:rPr>
      <w:rFonts w:ascii="Fb Formalist Light" w:hAnsiTheme="minorHAnsi" w:cs="Fb Formalist Light"/>
      <w:spacing w:val="-1"/>
      <w:sz w:val="14"/>
      <w:szCs w:val="14"/>
    </w:rPr>
  </w:style>
  <w:style w:type="character" w:customStyle="1" w:styleId="a8">
    <w:name w:val="טקסט רץ אנגלית"/>
    <w:uiPriority w:val="99"/>
    <w:rsid w:val="008603E7"/>
    <w:rPr>
      <w:rFonts w:ascii="Open Sans Hebrew Light" w:hAnsi="Open Sans Hebrew Light" w:cs="Open Sans Hebrew Light"/>
      <w:lang w:bidi="he-IL"/>
    </w:rPr>
  </w:style>
  <w:style w:type="character" w:customStyle="1" w:styleId="a9">
    <w:name w:val="מספר הערה"/>
    <w:uiPriority w:val="99"/>
    <w:rsid w:val="008603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8" Type="http://schemas.openxmlformats.org/officeDocument/2006/relationships/header" Target="header1.xml"/><Relationship Id="rId21" Type="http://schemas.openxmlformats.org/officeDocument/2006/relationships/image" Target="media/image15.jpeg"/><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11.jpeg"/><Relationship Id="rId25" Type="http://schemas.openxmlformats.org/officeDocument/2006/relationships/footer" Target="footer3.xml"/><Relationship Id="rId7" Type="http://schemas.openxmlformats.org/officeDocument/2006/relationships/image" Target="media/image2.jpeg"/><Relationship Id="rId16" Type="http://schemas.openxmlformats.org/officeDocument/2006/relationships/image" Target="media/image10.jpeg"/><Relationship Id="rId2" Type="http://schemas.openxmlformats.org/officeDocument/2006/relationships/settings" Target="settings.xml"/><Relationship Id="rId20" Type="http://schemas.openxmlformats.org/officeDocument/2006/relationships/image" Target="media/image14.jpeg"/><Relationship Id="rId29"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6"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image" Target="media/image13.jpeg"/><Relationship Id="rId31" Type="http://schemas.openxmlformats.org/officeDocument/2006/relationships/customXml" Target="../customXml/item4.xm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2.xml"/><Relationship Id="rId30" Type="http://schemas.openxmlformats.org/officeDocument/2006/relationships/customXml" Target="../customXml/item3.xml"/></Relationships>
</file>

<file path=word/_rels/footnotes.xml.rels>&#65279;<?xml version="1.0" encoding="utf-8" standalone="yes"?><Relationships xmlns="http://schemas.openxmlformats.org/package/2006/relationships"><Relationship Id="rId1" Type="http://schemas.openxmlformats.org/officeDocument/2006/relationships/hyperlink" Target="https://www.weforum.org/agenda/2016/01/the-fourth-industrial-revolution-what-it-means-and-how-to-respond/" TargetMode="External" /><Relationship Id="rId2" Type="http://schemas.openxmlformats.org/officeDocument/2006/relationships/hyperlink" Target="https://data.oecd.org/lprdty/gdp-per-hour-worked.htm" TargetMode="External" /><Relationship Id="rId3" Type="http://schemas.openxmlformats.org/officeDocument/2006/relationships/hyperlink" Target="https://stats.oecd.org/index.aspx?queryid=93189" TargetMode="External" /><Relationship Id="rId4" Type="http://schemas.openxmlformats.org/officeDocument/2006/relationships/hyperlink" Target="https://piaacdataexplorer.oecd.org/ide/idepiaac/dataset.aspx" TargetMode="External" /><Relationship Id="rId5" Type="http://schemas.openxmlformats.org/officeDocument/2006/relationships/hyperlink" Target="https://cms.education.gov.il/EducationCMS/Units/Rama/MivchanimBenLeumiyim/OdotPisa.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 Id="rId2" Type="http://schemas.openxmlformats.org/officeDocument/2006/relationships/image" Target="media/image5.jpeg" /></Relationships>
</file>

<file path=word/_rels/header3.xml.rels>&#65279;<?xml version="1.0" encoding="utf-8" standalone="yes"?><Relationships xmlns="http://schemas.openxmlformats.org/package/2006/relationships"><Relationship Id="rId1" Type="http://schemas.openxmlformats.org/officeDocument/2006/relationships/image" Target="media/image6.jpeg" /></Relationships>
</file>

<file path=word/_rels/header4.xml.rels>&#65279;<?xml version="1.0" encoding="utf-8" standalone="yes"?><Relationships xmlns="http://schemas.openxmlformats.org/package/2006/relationships"><Relationship Id="rId1" Type="http://schemas.openxmlformats.org/officeDocument/2006/relationships/image" Target="media/image18.jpeg" /><Relationship Id="rId2" Type="http://schemas.openxmlformats.org/officeDocument/2006/relationships/image" Target="media/image19.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00CDB-B6EF-4B02-A685-E33CCF2B15A2}">
  <ds:schemaRefs>
    <ds:schemaRef ds:uri="http://schemas.openxmlformats.org/officeDocument/2006/bibliography"/>
  </ds:schemaRefs>
</ds:datastoreItem>
</file>

<file path=customXml/itemProps2.xml><?xml version="1.0" encoding="utf-8"?>
<ds:datastoreItem xmlns:ds="http://schemas.openxmlformats.org/officeDocument/2006/customXml" ds:itemID="{D9FB1074-C59F-4512-9D03-2284FFB4AEDA}"/>
</file>

<file path=customXml/itemProps3.xml><?xml version="1.0" encoding="utf-8"?>
<ds:datastoreItem xmlns:ds="http://schemas.openxmlformats.org/officeDocument/2006/customXml" ds:itemID="{EB73B5D0-B4E7-42B5-A8C7-4C3BF25D4BBB}"/>
</file>

<file path=customXml/itemProps4.xml><?xml version="1.0" encoding="utf-8"?>
<ds:datastoreItem xmlns:ds="http://schemas.openxmlformats.org/officeDocument/2006/customXml" ds:itemID="{2138274F-BD15-46A5-96E3-0EB136E2751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