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5488" behindDoc="1" locked="0" layoutInCell="1" allowOverlap="1" wp14:anchorId="4AB4C1EF" wp14:editId="710CB18E">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0A46B" id="Straight Connector 618" o:spid="_x0000_s1026" style="position:absolute;left:0;text-align:left;flip:x;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1824" behindDoc="0" locked="0" layoutInCell="1" allowOverlap="1" wp14:anchorId="677A2A3F" wp14:editId="601E5F5C">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09AEA" id="Rectangle 11" o:spid="_x0000_s1026" style="position:absolute;left:0;text-align:left;margin-left:-1194pt;margin-top:-466.05pt;width:1596pt;height:12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5920" behindDoc="0" locked="0" layoutInCell="1" allowOverlap="1" wp14:anchorId="48268CB6" wp14:editId="083D42AA">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776" behindDoc="0" locked="0" layoutInCell="1" allowOverlap="1" wp14:anchorId="2B74F5FF" wp14:editId="31331900">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0494C" id="Straight Connector 16"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674643B9" w:rsidR="003C32FE" w:rsidRDefault="00DA744C"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7734C2EE" wp14:editId="507A39F3">
                <wp:simplePos x="0" y="0"/>
                <wp:positionH relativeFrom="column">
                  <wp:posOffset>3131820</wp:posOffset>
                </wp:positionH>
                <wp:positionV relativeFrom="paragraph">
                  <wp:posOffset>362585</wp:posOffset>
                </wp:positionV>
                <wp:extent cx="0" cy="241935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24193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F469DB" id="Straight Connector 5" o:spid="_x0000_s1026" style="position:absolute;left:0;text-align:lef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6pt,28.55pt" to="246.6pt,2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" strokecolor="white [3212]" strokeweight="4pt"/>
            </w:pict>
          </mc:Fallback>
        </mc:AlternateContent>
      </w:r>
      <w:r w:rsidR="008E20BE">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53584DBA" wp14:editId="0DA10912">
                <wp:simplePos x="0" y="0"/>
                <wp:positionH relativeFrom="column">
                  <wp:posOffset>75565</wp:posOffset>
                </wp:positionH>
                <wp:positionV relativeFrom="paragraph">
                  <wp:posOffset>1648460</wp:posOffset>
                </wp:positionV>
                <wp:extent cx="284670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284670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DD856" id="Straight Connector 8" o:spid="_x0000_s1026"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29.8pt" to="230.1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" strokecolor="white [3212]" strokeweight="1.5pt"/>
            </w:pict>
          </mc:Fallback>
        </mc:AlternateContent>
      </w:r>
      <w:r w:rsidR="008E20BE" w:rsidRPr="0030415A">
        <w:rPr>
          <w:rFonts w:ascii="Tahoma" w:hAnsi="Tahoma" w:cs="Tahoma"/>
          <w:noProof/>
          <w:sz w:val="22"/>
          <w:szCs w:val="22"/>
          <w:rtl/>
        </w:rPr>
        <mc:AlternateContent>
          <mc:Choice Requires="wps">
            <w:drawing>
              <wp:anchor distT="45720" distB="45720" distL="114300" distR="114300" simplePos="0" relativeHeight="251662848" behindDoc="0" locked="0" layoutInCell="1" allowOverlap="1" wp14:anchorId="0862BFB6" wp14:editId="3E9E76AB">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17761F27"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C8451E">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784C3E51" w:rsidR="00CB22A1" w:rsidRPr="00876ED9" w:rsidRDefault="002B4F54"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נושאים מערכתיים</w:t>
                            </w:r>
                          </w:p>
                          <w:p w14:paraId="6697F098" w14:textId="2EC59C1F" w:rsidR="005C48B2" w:rsidRDefault="007E417C"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ניהול השקעות בקרב גופים שונים</w:t>
                            </w:r>
                            <w:r w:rsidR="005C48B2">
                              <w:rPr>
                                <w:rFonts w:ascii="Tahoma" w:hAnsi="Tahoma" w:cs="Tahoma" w:hint="cs"/>
                                <w:b/>
                                <w:bCs/>
                                <w:color w:val="FFFFFF" w:themeColor="background1"/>
                                <w:sz w:val="44"/>
                                <w:szCs w:val="44"/>
                                <w:rtl/>
                              </w:rPr>
                              <w:t xml:space="preserve"> </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1.55pt;margin-top:20.55pt;width:413.75pt;height:33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17761F27"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C8451E">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784C3E51" w:rsidR="00CB22A1" w:rsidRPr="00876ED9" w:rsidRDefault="002B4F54"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נושאים מערכתיים</w:t>
                      </w:r>
                    </w:p>
                    <w:p w14:paraId="6697F098" w14:textId="2EC59C1F" w:rsidR="005C48B2" w:rsidRDefault="007E417C"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ניהול השקעות בקרב גופים שונים</w:t>
                      </w:r>
                      <w:r w:rsidR="005C48B2">
                        <w:rPr>
                          <w:rFonts w:ascii="Tahoma" w:hAnsi="Tahoma" w:cs="Tahoma" w:hint="cs"/>
                          <w:b/>
                          <w:bCs/>
                          <w:color w:val="FFFFFF" w:themeColor="background1"/>
                          <w:sz w:val="44"/>
                          <w:szCs w:val="44"/>
                          <w:rtl/>
                        </w:rPr>
                        <w:t xml:space="preserve"> </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77184" behindDoc="0" locked="0" layoutInCell="1" allowOverlap="1" wp14:anchorId="0642EECC" wp14:editId="1AB41D9A">
            <wp:simplePos x="0" y="0"/>
            <wp:positionH relativeFrom="column">
              <wp:posOffset>3318510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80CB0">
          <w:headerReference w:type="even" r:id="rId10"/>
          <w:headerReference w:type="default" r:id="rId11"/>
          <w:footerReference w:type="default" r:id="rId12"/>
          <w:footnotePr>
            <w:numRestart w:val="eachSect"/>
          </w:footnotePr>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2480" behindDoc="0" locked="0" layoutInCell="1" allowOverlap="1" wp14:anchorId="62E8C69A" wp14:editId="2569AF68">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AE33E" id="Rectangle 24" o:spid="_x0000_s1026" style="position:absolute;left:0;text-align:left;margin-left:-115.65pt;margin-top:-93.1pt;width:598.55pt;height:121.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80CB0">
          <w:headerReference w:type="even" r:id="rId13"/>
          <w:footnotePr>
            <w:numRestart w:val="eachSect"/>
          </w:footnotePr>
          <w:pgSz w:w="11906" w:h="16838" w:code="9"/>
          <w:pgMar w:top="3062" w:right="2268" w:bottom="2552" w:left="2268" w:header="709" w:footer="709" w:gutter="0"/>
          <w:pgNumType w:start="0"/>
          <w:cols w:space="720"/>
          <w:bidi/>
          <w:rtlGutter/>
          <w:docGrid w:linePitch="272"/>
        </w:sectPr>
      </w:pPr>
    </w:p>
    <w:p w14:paraId="4971E376" w14:textId="3FD91A56" w:rsidR="00DC45E5" w:rsidRDefault="00DA49C1" w:rsidP="004A4161">
      <w:pPr>
        <w:pStyle w:val="7120"/>
        <w:spacing w:after="0"/>
        <w:rPr>
          <w:rtl/>
        </w:rPr>
      </w:pPr>
      <w:r>
        <w:rPr>
          <w:rFonts w:hint="cs"/>
          <w:rtl/>
        </w:rPr>
        <w:lastRenderedPageBreak/>
        <w:t>ניהול השקעות בקרב גופים שונים</w:t>
      </w:r>
      <w:r w:rsidR="005C48B2" w:rsidRPr="00366B78">
        <w:rPr>
          <w:rFonts w:hint="cs"/>
          <w:rtl/>
        </w:rPr>
        <w:t xml:space="preserve"> </w:t>
      </w:r>
    </w:p>
    <w:p w14:paraId="0165F9FB" w14:textId="399FA469" w:rsidR="0027424D" w:rsidRPr="000D2FE7" w:rsidRDefault="00EB223C" w:rsidP="00C51CB1">
      <w:pPr>
        <w:pStyle w:val="af3"/>
        <w:rPr>
          <w:rtl/>
        </w:rPr>
      </w:pPr>
      <w:r>
        <w:rPr>
          <w:rtl/>
        </w:rPr>
        <w:drawing>
          <wp:anchor distT="0" distB="0" distL="114300" distR="114300" simplePos="0" relativeHeight="251680256" behindDoc="0" locked="0" layoutInCell="1" allowOverlap="1" wp14:anchorId="510ACD8F" wp14:editId="0609B28D">
            <wp:simplePos x="0" y="0"/>
            <wp:positionH relativeFrom="margin">
              <wp:posOffset>3317875</wp:posOffset>
            </wp:positionH>
            <wp:positionV relativeFrom="paragraph">
              <wp:posOffset>225425</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5F3673B3" w14:textId="176EAE6E" w:rsidR="00BD22B5" w:rsidRDefault="00532254" w:rsidP="004A4161">
      <w:pPr>
        <w:pStyle w:val="7190"/>
        <w:spacing w:after="0"/>
        <w:rPr>
          <w:rtl/>
        </w:rPr>
      </w:pPr>
      <w:r w:rsidRPr="00D83D3E">
        <w:rPr>
          <w:rtl/>
        </w:rPr>
        <w:t>ניהול ההשקעות של ישויות שונות מהמגזר הציבורי (גופים מוסדיים, חברות ממשלתיות, תאגידים סטטוטוריים ורשויות מקומיות) עשוי להיות בעל השפעה על יציבותן הפיננסית ועל פעילותן השוטפת. ישויות אלו נדרשות בין היתר להטמיע מדיניות השקעות כוללת שתעסוק באופן שבו יושקעו כספי הישות בדרך שתהלום את מאפייני פעילותה, את חשיפתה לסיכונים ואת האסטרטגיה העסקית שלה, לצד אופן ניהול סיכון הנזילות בהתאם לתחזית תזרים המזומנים. כספי ההשקעות משמשים את הישויות לטווחי זמן שונים, והם מושקעים בהתאם לצורכי הישות או למטרות שלשמן נועדו הכספים</w:t>
      </w:r>
      <w:r w:rsidR="00FD0801" w:rsidRPr="00FD0801">
        <w:rPr>
          <w:rFonts w:hint="cs"/>
          <w:rtl/>
        </w:rPr>
        <w:t>.</w:t>
      </w:r>
      <w:r w:rsidR="000E7BE6" w:rsidRPr="00FD0801">
        <w:rPr>
          <w:rFonts w:hint="cs"/>
          <w:rtl/>
        </w:rPr>
        <w:t xml:space="preserve"> </w:t>
      </w:r>
      <w:r w:rsidR="00BD22B5" w:rsidRPr="00FD0801">
        <w:rPr>
          <w:rtl/>
        </w:rPr>
        <w:t xml:space="preserve"> </w:t>
      </w:r>
    </w:p>
    <w:p w14:paraId="0C267AA5" w14:textId="18DB6EFF" w:rsidR="00A07476" w:rsidRDefault="004A4161" w:rsidP="00532254">
      <w:pPr>
        <w:pStyle w:val="7190"/>
        <w:rPr>
          <w:rtl/>
        </w:rPr>
      </w:pPr>
      <w:r>
        <w:rPr>
          <w:b/>
          <w:bCs/>
          <w:noProof/>
          <w:color w:val="00305F"/>
          <w:sz w:val="22"/>
          <w:szCs w:val="22"/>
          <w:rtl/>
          <w:lang w:val="he-IL"/>
        </w:rPr>
        <w:drawing>
          <wp:anchor distT="0" distB="0" distL="114300" distR="114300" simplePos="0" relativeHeight="252018176" behindDoc="0" locked="0" layoutInCell="1" allowOverlap="1" wp14:anchorId="353DE5A8" wp14:editId="22A040A4">
            <wp:simplePos x="0" y="0"/>
            <wp:positionH relativeFrom="column">
              <wp:posOffset>3274695</wp:posOffset>
            </wp:positionH>
            <wp:positionV relativeFrom="paragraph">
              <wp:posOffset>285750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7F44F0DE" w14:textId="12D9602C" w:rsidR="00A07476" w:rsidRDefault="00A07476" w:rsidP="00532254">
      <w:pPr>
        <w:pStyle w:val="7190"/>
        <w:rPr>
          <w:rtl/>
        </w:rPr>
      </w:pPr>
    </w:p>
    <w:tbl>
      <w:tblPr>
        <w:tblStyle w:val="TableGrid"/>
        <w:bidiVisual/>
        <w:tblW w:w="7377" w:type="dxa"/>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228"/>
        <w:gridCol w:w="1832"/>
        <w:gridCol w:w="228"/>
        <w:gridCol w:w="1433"/>
        <w:gridCol w:w="228"/>
        <w:gridCol w:w="1582"/>
      </w:tblGrid>
      <w:tr w:rsidR="00EF3B57" w14:paraId="22B53802" w14:textId="77777777" w:rsidTr="00B70A32">
        <w:trPr>
          <w:trHeight w:val="113"/>
        </w:trPr>
        <w:tc>
          <w:tcPr>
            <w:tcW w:w="1802" w:type="dxa"/>
            <w:tcBorders>
              <w:bottom w:val="single" w:sz="12" w:space="0" w:color="auto"/>
            </w:tcBorders>
          </w:tcPr>
          <w:p w14:paraId="32D9B4D1" w14:textId="77777777" w:rsidR="00A07476" w:rsidRPr="00C934D0" w:rsidRDefault="00A07476" w:rsidP="00A07476">
            <w:pPr>
              <w:pStyle w:val="20211"/>
              <w:spacing w:after="0"/>
              <w:rPr>
                <w:b/>
                <w:bCs/>
                <w:spacing w:val="-10"/>
                <w:w w:val="100"/>
                <w:sz w:val="36"/>
                <w:szCs w:val="36"/>
                <w:rtl/>
              </w:rPr>
            </w:pPr>
            <w:r w:rsidRPr="00C934D0">
              <w:rPr>
                <w:b/>
                <w:bCs/>
                <w:spacing w:val="-10"/>
                <w:w w:val="100"/>
                <w:sz w:val="36"/>
                <w:szCs w:val="36"/>
                <w:rtl/>
              </w:rPr>
              <w:t xml:space="preserve">9.4 </w:t>
            </w:r>
          </w:p>
          <w:p w14:paraId="7F64C5C8" w14:textId="64FA7D7B" w:rsidR="00A07476" w:rsidRPr="00A62059" w:rsidRDefault="00A07476" w:rsidP="00A07476">
            <w:pPr>
              <w:spacing w:after="60" w:line="240" w:lineRule="auto"/>
              <w:rPr>
                <w:b/>
                <w:bCs/>
                <w:sz w:val="24"/>
                <w:rtl/>
              </w:rPr>
            </w:pPr>
            <w:r w:rsidRPr="00C934D0">
              <w:rPr>
                <w:rFonts w:ascii="Tahoma" w:hAnsi="Tahoma" w:cs="Tahoma"/>
                <w:b/>
                <w:bCs/>
                <w:spacing w:val="-10"/>
                <w:sz w:val="24"/>
                <w:rtl/>
              </w:rPr>
              <w:t xml:space="preserve">מיליארדי </w:t>
            </w:r>
            <w:r w:rsidRPr="00C934D0">
              <w:rPr>
                <w:rFonts w:ascii="Tahoma" w:hAnsi="Tahoma" w:cs="Tahoma" w:hint="cs"/>
                <w:b/>
                <w:bCs/>
                <w:spacing w:val="-10"/>
                <w:sz w:val="24"/>
                <w:rtl/>
              </w:rPr>
              <w:t>ש"ח</w:t>
            </w:r>
          </w:p>
        </w:tc>
        <w:tc>
          <w:tcPr>
            <w:tcW w:w="170" w:type="dxa"/>
          </w:tcPr>
          <w:p w14:paraId="58048908" w14:textId="77777777" w:rsidR="00A07476" w:rsidRPr="00A62059" w:rsidRDefault="00A07476" w:rsidP="00A07476">
            <w:pPr>
              <w:spacing w:after="60" w:line="240" w:lineRule="auto"/>
              <w:rPr>
                <w:rFonts w:ascii="Tahoma" w:hAnsi="Tahoma" w:cs="Tahoma"/>
                <w:b/>
                <w:bCs/>
                <w:spacing w:val="-18"/>
                <w:sz w:val="36"/>
                <w:szCs w:val="36"/>
                <w:rtl/>
              </w:rPr>
            </w:pPr>
          </w:p>
        </w:tc>
        <w:tc>
          <w:tcPr>
            <w:tcW w:w="1787" w:type="dxa"/>
            <w:tcBorders>
              <w:bottom w:val="single" w:sz="12" w:space="0" w:color="auto"/>
            </w:tcBorders>
          </w:tcPr>
          <w:p w14:paraId="0FD41ECD" w14:textId="77777777" w:rsidR="00A07476" w:rsidRDefault="00A07476" w:rsidP="00A07476">
            <w:pPr>
              <w:pStyle w:val="20211"/>
              <w:spacing w:after="0"/>
              <w:rPr>
                <w:spacing w:val="-10"/>
                <w:sz w:val="36"/>
                <w:szCs w:val="36"/>
                <w:rtl/>
              </w:rPr>
            </w:pPr>
            <w:r w:rsidRPr="00C934D0">
              <w:rPr>
                <w:b/>
                <w:bCs/>
                <w:spacing w:val="-10"/>
                <w:w w:val="100"/>
                <w:sz w:val="36"/>
                <w:szCs w:val="36"/>
                <w:rtl/>
              </w:rPr>
              <w:t>6.4</w:t>
            </w:r>
            <w:r w:rsidRPr="00D83D3E">
              <w:rPr>
                <w:spacing w:val="-10"/>
                <w:sz w:val="36"/>
                <w:szCs w:val="36"/>
                <w:rtl/>
              </w:rPr>
              <w:t xml:space="preserve"> </w:t>
            </w:r>
          </w:p>
          <w:p w14:paraId="3549A9D0" w14:textId="57AE6B33" w:rsidR="00A07476" w:rsidRPr="00A62059" w:rsidRDefault="00A07476" w:rsidP="00A07476">
            <w:pPr>
              <w:spacing w:after="60" w:line="240" w:lineRule="auto"/>
              <w:rPr>
                <w:rFonts w:ascii="Tahoma" w:hAnsi="Tahoma" w:cs="Tahoma"/>
                <w:b/>
                <w:bCs/>
                <w:spacing w:val="-18"/>
                <w:sz w:val="36"/>
                <w:szCs w:val="36"/>
                <w:rtl/>
              </w:rPr>
            </w:pPr>
            <w:r w:rsidRPr="00C934D0">
              <w:rPr>
                <w:rFonts w:ascii="Tahoma" w:hAnsi="Tahoma" w:cs="Tahoma"/>
                <w:b/>
                <w:bCs/>
                <w:spacing w:val="-10"/>
                <w:sz w:val="24"/>
                <w:rtl/>
              </w:rPr>
              <w:t xml:space="preserve">מיליארדי </w:t>
            </w:r>
            <w:r w:rsidRPr="00C934D0">
              <w:rPr>
                <w:rFonts w:ascii="Tahoma" w:hAnsi="Tahoma" w:cs="Tahoma" w:hint="cs"/>
                <w:b/>
                <w:bCs/>
                <w:spacing w:val="-10"/>
                <w:sz w:val="24"/>
                <w:rtl/>
              </w:rPr>
              <w:t>ש"ח</w:t>
            </w:r>
          </w:p>
        </w:tc>
        <w:tc>
          <w:tcPr>
            <w:tcW w:w="170" w:type="dxa"/>
          </w:tcPr>
          <w:p w14:paraId="66045AAA" w14:textId="77777777" w:rsidR="00A07476" w:rsidRPr="00A62059" w:rsidRDefault="00A07476" w:rsidP="00A07476">
            <w:pPr>
              <w:spacing w:after="60" w:line="240" w:lineRule="auto"/>
              <w:rPr>
                <w:rFonts w:ascii="Tahoma" w:hAnsi="Tahoma" w:cs="Tahoma"/>
                <w:b/>
                <w:bCs/>
                <w:spacing w:val="-18"/>
                <w:sz w:val="36"/>
                <w:szCs w:val="36"/>
                <w:rtl/>
              </w:rPr>
            </w:pPr>
          </w:p>
        </w:tc>
        <w:tc>
          <w:tcPr>
            <w:tcW w:w="1398" w:type="dxa"/>
            <w:tcBorders>
              <w:bottom w:val="single" w:sz="12" w:space="0" w:color="auto"/>
            </w:tcBorders>
          </w:tcPr>
          <w:p w14:paraId="21F045B5" w14:textId="035941AF" w:rsidR="00A07476" w:rsidRPr="00A62059" w:rsidRDefault="00A07476" w:rsidP="00A07476">
            <w:pPr>
              <w:spacing w:after="60" w:line="240" w:lineRule="auto"/>
              <w:jc w:val="left"/>
              <w:rPr>
                <w:rFonts w:ascii="Tahoma" w:hAnsi="Tahoma" w:cs="Tahoma"/>
                <w:b/>
                <w:bCs/>
                <w:spacing w:val="-18"/>
                <w:sz w:val="36"/>
                <w:szCs w:val="36"/>
                <w:rtl/>
              </w:rPr>
            </w:pPr>
            <w:r w:rsidRPr="00C934D0">
              <w:rPr>
                <w:rFonts w:ascii="Tahoma" w:hAnsi="Tahoma" w:cs="Tahoma"/>
                <w:b/>
                <w:bCs/>
                <w:spacing w:val="-10"/>
                <w:sz w:val="36"/>
                <w:szCs w:val="36"/>
                <w:rtl/>
              </w:rPr>
              <w:t>3.83%</w:t>
            </w:r>
          </w:p>
        </w:tc>
        <w:tc>
          <w:tcPr>
            <w:tcW w:w="170" w:type="dxa"/>
          </w:tcPr>
          <w:p w14:paraId="19AEFD09" w14:textId="77777777" w:rsidR="00A07476" w:rsidRPr="00A62059" w:rsidRDefault="00A07476" w:rsidP="00A07476">
            <w:pPr>
              <w:spacing w:after="60" w:line="240" w:lineRule="auto"/>
              <w:rPr>
                <w:rFonts w:ascii="Tahoma" w:hAnsi="Tahoma" w:cs="Tahoma"/>
                <w:b/>
                <w:bCs/>
                <w:spacing w:val="-18"/>
                <w:sz w:val="36"/>
                <w:szCs w:val="36"/>
                <w:rtl/>
              </w:rPr>
            </w:pPr>
          </w:p>
        </w:tc>
        <w:tc>
          <w:tcPr>
            <w:tcW w:w="1543" w:type="dxa"/>
            <w:tcBorders>
              <w:bottom w:val="single" w:sz="12" w:space="0" w:color="auto"/>
            </w:tcBorders>
          </w:tcPr>
          <w:p w14:paraId="692DF24C" w14:textId="0DF5D6A2" w:rsidR="00A07476" w:rsidRPr="00A62059" w:rsidRDefault="00A07476" w:rsidP="00A07476">
            <w:pPr>
              <w:spacing w:after="60" w:line="240" w:lineRule="auto"/>
              <w:jc w:val="left"/>
              <w:rPr>
                <w:rFonts w:ascii="Tahoma" w:hAnsi="Tahoma" w:cs="Tahoma"/>
                <w:b/>
                <w:bCs/>
                <w:sz w:val="24"/>
                <w:rtl/>
              </w:rPr>
            </w:pPr>
            <w:r w:rsidRPr="00C934D0">
              <w:rPr>
                <w:rFonts w:ascii="Tahoma" w:hAnsi="Tahoma" w:cs="Tahoma"/>
                <w:b/>
                <w:bCs/>
                <w:spacing w:val="-10"/>
                <w:sz w:val="36"/>
                <w:szCs w:val="36"/>
                <w:rtl/>
              </w:rPr>
              <w:t>3.25%</w:t>
            </w:r>
          </w:p>
        </w:tc>
      </w:tr>
      <w:tr w:rsidR="00EF3B57" w:rsidRPr="00B3146C" w14:paraId="4AE11964" w14:textId="77777777" w:rsidTr="00B70A32">
        <w:trPr>
          <w:trHeight w:val="113"/>
        </w:trPr>
        <w:tc>
          <w:tcPr>
            <w:tcW w:w="1802" w:type="dxa"/>
            <w:tcBorders>
              <w:top w:val="single" w:sz="12" w:space="0" w:color="auto"/>
            </w:tcBorders>
          </w:tcPr>
          <w:p w14:paraId="1D327BDF" w14:textId="5A5851BC" w:rsidR="00A07476" w:rsidRPr="00B3146C" w:rsidRDefault="00A07476" w:rsidP="00136822">
            <w:pPr>
              <w:pStyle w:val="20211"/>
              <w:spacing w:after="120"/>
              <w:rPr>
                <w:rtl/>
              </w:rPr>
            </w:pPr>
            <w:r w:rsidRPr="00E25EC0">
              <w:rPr>
                <w:rtl/>
              </w:rPr>
              <w:t>שווי ההשקעות השוטפות</w:t>
            </w:r>
            <w:r>
              <w:rPr>
                <w:rFonts w:hint="cs"/>
                <w:rtl/>
              </w:rPr>
              <w:t xml:space="preserve"> </w:t>
            </w:r>
            <w:r w:rsidRPr="00E25EC0">
              <w:rPr>
                <w:rtl/>
              </w:rPr>
              <w:t>ב-30.6.20 של הגופים המוסדיים, החברות הממשלתיות והתאגידים הסטטוטוריים (להלן - הישויות הממשלתיות) שנבדקו.</w:t>
            </w:r>
          </w:p>
        </w:tc>
        <w:tc>
          <w:tcPr>
            <w:tcW w:w="170" w:type="dxa"/>
          </w:tcPr>
          <w:p w14:paraId="34C6D701" w14:textId="77777777" w:rsidR="00A07476" w:rsidRPr="00B3146C" w:rsidRDefault="00A07476" w:rsidP="00136822">
            <w:pPr>
              <w:pStyle w:val="20211"/>
              <w:spacing w:after="120"/>
              <w:rPr>
                <w:rtl/>
              </w:rPr>
            </w:pPr>
          </w:p>
        </w:tc>
        <w:tc>
          <w:tcPr>
            <w:tcW w:w="1787" w:type="dxa"/>
            <w:tcBorders>
              <w:top w:val="single" w:sz="12" w:space="0" w:color="auto"/>
            </w:tcBorders>
          </w:tcPr>
          <w:p w14:paraId="4B3315A8" w14:textId="1C2A835F" w:rsidR="00A07476" w:rsidRPr="00B3146C" w:rsidRDefault="00A07476" w:rsidP="00136822">
            <w:pPr>
              <w:pStyle w:val="20211"/>
              <w:spacing w:after="120"/>
              <w:rPr>
                <w:rtl/>
              </w:rPr>
            </w:pPr>
            <w:r w:rsidRPr="00D83D3E">
              <w:rPr>
                <w:rtl/>
              </w:rPr>
              <w:t xml:space="preserve">שווי ההשקעות המיועדות לפנסייה </w:t>
            </w:r>
            <w:r>
              <w:rPr>
                <w:rFonts w:hint="cs"/>
                <w:rtl/>
              </w:rPr>
              <w:t xml:space="preserve">         </w:t>
            </w:r>
            <w:r w:rsidRPr="00D83D3E">
              <w:rPr>
                <w:rtl/>
              </w:rPr>
              <w:t>ב-30.6.20 של הישויות הממשלתיות שנבדקו</w:t>
            </w:r>
            <w:r>
              <w:rPr>
                <w:rFonts w:hint="cs"/>
                <w:rtl/>
              </w:rPr>
              <w:t>.</w:t>
            </w:r>
          </w:p>
        </w:tc>
        <w:tc>
          <w:tcPr>
            <w:tcW w:w="170" w:type="dxa"/>
          </w:tcPr>
          <w:p w14:paraId="01D2B523" w14:textId="77777777" w:rsidR="00A07476" w:rsidRPr="00B3146C" w:rsidRDefault="00A07476" w:rsidP="00136822">
            <w:pPr>
              <w:pStyle w:val="20211"/>
              <w:spacing w:after="120"/>
              <w:rPr>
                <w:rtl/>
              </w:rPr>
            </w:pPr>
          </w:p>
        </w:tc>
        <w:tc>
          <w:tcPr>
            <w:tcW w:w="1398" w:type="dxa"/>
            <w:tcBorders>
              <w:top w:val="single" w:sz="12" w:space="0" w:color="auto"/>
            </w:tcBorders>
          </w:tcPr>
          <w:p w14:paraId="0B7BB0CC" w14:textId="39F8780E" w:rsidR="00A07476" w:rsidRPr="00B3146C" w:rsidRDefault="00A07476" w:rsidP="00136822">
            <w:pPr>
              <w:pStyle w:val="20211"/>
              <w:spacing w:after="120"/>
              <w:rPr>
                <w:rtl/>
              </w:rPr>
            </w:pPr>
            <w:r w:rsidRPr="00D83D3E">
              <w:rPr>
                <w:rtl/>
              </w:rPr>
              <w:t>תשואה שנתית ממוצעת בין השנים 2017-2019 של השקעות שוטפות בגופים המוסדיים שנבדקו</w:t>
            </w:r>
            <w:r>
              <w:rPr>
                <w:rFonts w:hint="cs"/>
                <w:rtl/>
              </w:rPr>
              <w:t>.</w:t>
            </w:r>
          </w:p>
        </w:tc>
        <w:tc>
          <w:tcPr>
            <w:tcW w:w="170" w:type="dxa"/>
          </w:tcPr>
          <w:p w14:paraId="233A349E" w14:textId="77777777" w:rsidR="00A07476" w:rsidRPr="00B3146C" w:rsidRDefault="00A07476" w:rsidP="00136822">
            <w:pPr>
              <w:pStyle w:val="20211"/>
              <w:spacing w:after="120"/>
              <w:rPr>
                <w:rtl/>
              </w:rPr>
            </w:pPr>
          </w:p>
        </w:tc>
        <w:tc>
          <w:tcPr>
            <w:tcW w:w="1543" w:type="dxa"/>
            <w:tcBorders>
              <w:top w:val="single" w:sz="12" w:space="0" w:color="auto"/>
            </w:tcBorders>
          </w:tcPr>
          <w:p w14:paraId="0B0145D8" w14:textId="6596DE3F" w:rsidR="00A07476" w:rsidRPr="00B3146C" w:rsidRDefault="00A07476" w:rsidP="00136822">
            <w:pPr>
              <w:pStyle w:val="20211"/>
              <w:spacing w:after="120"/>
              <w:rPr>
                <w:rtl/>
              </w:rPr>
            </w:pPr>
            <w:r w:rsidRPr="00D83D3E">
              <w:rPr>
                <w:rtl/>
              </w:rPr>
              <w:t>תשואה שנתית ממוצעת בין השנים 2017-2019 של השקעות שוטפות בחברות ממשלתיות ובתאגידים סטטוטוריים שנבדקו</w:t>
            </w:r>
            <w:r>
              <w:rPr>
                <w:rFonts w:hint="cs"/>
                <w:rtl/>
              </w:rPr>
              <w:t>.</w:t>
            </w:r>
          </w:p>
        </w:tc>
      </w:tr>
      <w:tr w:rsidR="00EF3B57" w:rsidRPr="00A62059" w14:paraId="0AF1F4B7" w14:textId="77777777" w:rsidTr="00B70A32">
        <w:trPr>
          <w:trHeight w:val="113"/>
        </w:trPr>
        <w:tc>
          <w:tcPr>
            <w:tcW w:w="1802" w:type="dxa"/>
            <w:tcBorders>
              <w:bottom w:val="single" w:sz="12" w:space="0" w:color="auto"/>
            </w:tcBorders>
          </w:tcPr>
          <w:p w14:paraId="3897F013" w14:textId="1C78E9EC" w:rsidR="00A07476" w:rsidRPr="00A62059" w:rsidRDefault="004A4161" w:rsidP="004A4161">
            <w:pPr>
              <w:pStyle w:val="20211"/>
              <w:spacing w:after="0"/>
              <w:rPr>
                <w:b/>
                <w:bCs/>
                <w:spacing w:val="-18"/>
                <w:sz w:val="36"/>
                <w:szCs w:val="36"/>
                <w:rtl/>
              </w:rPr>
            </w:pPr>
            <w:r>
              <w:rPr>
                <w:rFonts w:hint="cs"/>
                <w:b/>
                <w:bCs/>
                <w:spacing w:val="-10"/>
                <w:w w:val="100"/>
                <w:sz w:val="36"/>
                <w:szCs w:val="36"/>
                <w:rtl/>
              </w:rPr>
              <w:t>3.91%</w:t>
            </w:r>
          </w:p>
        </w:tc>
        <w:tc>
          <w:tcPr>
            <w:tcW w:w="170" w:type="dxa"/>
          </w:tcPr>
          <w:p w14:paraId="37E1E9DC" w14:textId="77777777" w:rsidR="00A07476" w:rsidRPr="00A62059" w:rsidRDefault="00A07476" w:rsidP="00A07476">
            <w:pPr>
              <w:spacing w:after="60" w:line="240" w:lineRule="auto"/>
              <w:rPr>
                <w:rFonts w:ascii="Tahoma" w:hAnsi="Tahoma" w:cs="Tahoma"/>
                <w:b/>
                <w:bCs/>
                <w:spacing w:val="-18"/>
                <w:sz w:val="36"/>
                <w:szCs w:val="36"/>
                <w:rtl/>
              </w:rPr>
            </w:pPr>
          </w:p>
        </w:tc>
        <w:tc>
          <w:tcPr>
            <w:tcW w:w="1787" w:type="dxa"/>
            <w:tcBorders>
              <w:bottom w:val="single" w:sz="12" w:space="0" w:color="auto"/>
            </w:tcBorders>
          </w:tcPr>
          <w:p w14:paraId="70D57868" w14:textId="166F561B" w:rsidR="00A07476" w:rsidRPr="00A62059" w:rsidRDefault="004A4161" w:rsidP="00A07476">
            <w:pPr>
              <w:spacing w:after="60" w:line="240" w:lineRule="auto"/>
              <w:rPr>
                <w:rFonts w:ascii="Tahoma" w:hAnsi="Tahoma" w:cs="Tahoma"/>
                <w:b/>
                <w:bCs/>
                <w:spacing w:val="-18"/>
                <w:sz w:val="36"/>
                <w:szCs w:val="36"/>
                <w:rtl/>
              </w:rPr>
            </w:pPr>
            <w:r>
              <w:rPr>
                <w:rFonts w:ascii="Tahoma" w:hAnsi="Tahoma" w:cs="Tahoma" w:hint="cs"/>
                <w:b/>
                <w:bCs/>
                <w:spacing w:val="-18"/>
                <w:sz w:val="36"/>
                <w:szCs w:val="36"/>
                <w:rtl/>
              </w:rPr>
              <w:t>46%</w:t>
            </w:r>
            <w:r w:rsidR="00A07476" w:rsidRPr="00A62059">
              <w:rPr>
                <w:rFonts w:ascii="Tahoma" w:hAnsi="Tahoma" w:cs="Tahoma" w:hint="cs"/>
                <w:b/>
                <w:bCs/>
                <w:spacing w:val="-18"/>
                <w:sz w:val="36"/>
                <w:szCs w:val="36"/>
                <w:rtl/>
              </w:rPr>
              <w:t xml:space="preserve"> </w:t>
            </w:r>
          </w:p>
        </w:tc>
        <w:tc>
          <w:tcPr>
            <w:tcW w:w="170" w:type="dxa"/>
          </w:tcPr>
          <w:p w14:paraId="487925AB" w14:textId="77777777" w:rsidR="00A07476" w:rsidRPr="00A62059" w:rsidRDefault="00A07476" w:rsidP="00A07476">
            <w:pPr>
              <w:spacing w:after="60" w:line="240" w:lineRule="auto"/>
              <w:rPr>
                <w:rFonts w:ascii="Tahoma" w:hAnsi="Tahoma" w:cs="Tahoma"/>
                <w:b/>
                <w:bCs/>
                <w:spacing w:val="-18"/>
                <w:sz w:val="36"/>
                <w:szCs w:val="36"/>
                <w:rtl/>
              </w:rPr>
            </w:pPr>
          </w:p>
        </w:tc>
        <w:tc>
          <w:tcPr>
            <w:tcW w:w="1398" w:type="dxa"/>
            <w:tcBorders>
              <w:bottom w:val="single" w:sz="12" w:space="0" w:color="auto"/>
            </w:tcBorders>
          </w:tcPr>
          <w:p w14:paraId="1E68C9DF" w14:textId="55A30079" w:rsidR="00A07476" w:rsidRPr="00A62059" w:rsidRDefault="004A4161" w:rsidP="004A4161">
            <w:pPr>
              <w:spacing w:after="60" w:line="240" w:lineRule="auto"/>
              <w:rPr>
                <w:rFonts w:ascii="Tahoma" w:hAnsi="Tahoma" w:cs="Tahoma"/>
                <w:b/>
                <w:bCs/>
                <w:spacing w:val="-18"/>
                <w:sz w:val="36"/>
                <w:szCs w:val="36"/>
                <w:rtl/>
              </w:rPr>
            </w:pPr>
            <w:r>
              <w:rPr>
                <w:rFonts w:ascii="Tahoma" w:hAnsi="Tahoma" w:cs="Tahoma" w:hint="cs"/>
                <w:b/>
                <w:bCs/>
                <w:spacing w:val="-18"/>
                <w:sz w:val="36"/>
                <w:szCs w:val="36"/>
                <w:rtl/>
              </w:rPr>
              <w:t xml:space="preserve">4.9 </w:t>
            </w:r>
            <w:r w:rsidRPr="00136822">
              <w:rPr>
                <w:rFonts w:ascii="Tahoma" w:hAnsi="Tahoma" w:cs="Tahoma" w:hint="cs"/>
                <w:b/>
                <w:bCs/>
                <w:spacing w:val="-24"/>
                <w:sz w:val="24"/>
                <w:rtl/>
              </w:rPr>
              <w:t>מיליארדי ש"ח</w:t>
            </w:r>
          </w:p>
        </w:tc>
        <w:tc>
          <w:tcPr>
            <w:tcW w:w="170" w:type="dxa"/>
          </w:tcPr>
          <w:p w14:paraId="35153B04" w14:textId="77777777" w:rsidR="00A07476" w:rsidRPr="00A62059" w:rsidRDefault="00A07476" w:rsidP="00A07476">
            <w:pPr>
              <w:spacing w:after="60" w:line="240" w:lineRule="auto"/>
              <w:rPr>
                <w:rFonts w:ascii="Tahoma" w:hAnsi="Tahoma" w:cs="Tahoma"/>
                <w:b/>
                <w:bCs/>
                <w:spacing w:val="-18"/>
                <w:sz w:val="36"/>
                <w:szCs w:val="36"/>
                <w:rtl/>
              </w:rPr>
            </w:pPr>
          </w:p>
        </w:tc>
        <w:tc>
          <w:tcPr>
            <w:tcW w:w="1543" w:type="dxa"/>
            <w:tcBorders>
              <w:bottom w:val="single" w:sz="12" w:space="0" w:color="auto"/>
            </w:tcBorders>
          </w:tcPr>
          <w:p w14:paraId="4C4194B0" w14:textId="73AED4D3" w:rsidR="00A07476" w:rsidRPr="00A62059" w:rsidRDefault="004A4161" w:rsidP="00A07476">
            <w:pPr>
              <w:spacing w:after="60" w:line="240" w:lineRule="auto"/>
              <w:rPr>
                <w:rFonts w:ascii="Tahoma" w:hAnsi="Tahoma" w:cs="Tahoma"/>
                <w:b/>
                <w:bCs/>
                <w:spacing w:val="-18"/>
                <w:sz w:val="36"/>
                <w:szCs w:val="36"/>
                <w:rtl/>
              </w:rPr>
            </w:pPr>
            <w:r>
              <w:rPr>
                <w:rFonts w:ascii="Tahoma" w:hAnsi="Tahoma" w:cs="Tahoma" w:hint="cs"/>
                <w:b/>
                <w:bCs/>
                <w:spacing w:val="-18"/>
                <w:sz w:val="36"/>
                <w:szCs w:val="36"/>
                <w:rtl/>
              </w:rPr>
              <w:t>2.4%</w:t>
            </w:r>
          </w:p>
        </w:tc>
      </w:tr>
      <w:tr w:rsidR="00EF3B57" w:rsidRPr="00B3146C" w14:paraId="4DA1C00B" w14:textId="77777777" w:rsidTr="00B70A32">
        <w:trPr>
          <w:trHeight w:val="113"/>
        </w:trPr>
        <w:tc>
          <w:tcPr>
            <w:tcW w:w="1802" w:type="dxa"/>
            <w:tcBorders>
              <w:top w:val="single" w:sz="12" w:space="0" w:color="auto"/>
            </w:tcBorders>
          </w:tcPr>
          <w:p w14:paraId="7F45BC9C" w14:textId="71AE89E6" w:rsidR="00A07476" w:rsidRPr="00B3146C" w:rsidRDefault="004A4161" w:rsidP="00F75422">
            <w:pPr>
              <w:pStyle w:val="20211"/>
              <w:spacing w:after="0"/>
              <w:rPr>
                <w:rtl/>
              </w:rPr>
            </w:pPr>
            <w:r w:rsidRPr="00D83D3E">
              <w:rPr>
                <w:rtl/>
              </w:rPr>
              <w:t xml:space="preserve">תשואה שנתית ממוצעת בין השנים 2017-2019 של השקעות </w:t>
            </w:r>
            <w:r w:rsidRPr="004A4161">
              <w:rPr>
                <w:rtl/>
              </w:rPr>
              <w:t>לפנסייה</w:t>
            </w:r>
            <w:r w:rsidRPr="00D83D3E">
              <w:rPr>
                <w:rtl/>
              </w:rPr>
              <w:t xml:space="preserve"> בחברות הממשלתיות ובתאגידים הסטטוטוריים שנבדקו.</w:t>
            </w:r>
          </w:p>
        </w:tc>
        <w:tc>
          <w:tcPr>
            <w:tcW w:w="170" w:type="dxa"/>
          </w:tcPr>
          <w:p w14:paraId="3161AC5A" w14:textId="77777777" w:rsidR="00A07476" w:rsidRPr="00B3146C" w:rsidRDefault="00A07476" w:rsidP="00F75422">
            <w:pPr>
              <w:pStyle w:val="20211"/>
              <w:spacing w:after="0"/>
              <w:rPr>
                <w:rtl/>
              </w:rPr>
            </w:pPr>
          </w:p>
        </w:tc>
        <w:tc>
          <w:tcPr>
            <w:tcW w:w="1787" w:type="dxa"/>
            <w:tcBorders>
              <w:top w:val="single" w:sz="12" w:space="0" w:color="auto"/>
            </w:tcBorders>
          </w:tcPr>
          <w:p w14:paraId="0B1DBFF5" w14:textId="584D337A" w:rsidR="00A07476" w:rsidRPr="00B3146C" w:rsidRDefault="004A4161" w:rsidP="00F75422">
            <w:pPr>
              <w:pStyle w:val="20211"/>
              <w:spacing w:after="0"/>
              <w:rPr>
                <w:rtl/>
              </w:rPr>
            </w:pPr>
            <w:r w:rsidRPr="00D83D3E">
              <w:rPr>
                <w:rtl/>
              </w:rPr>
              <w:t>מהרשויות המקומיות שנבדקו מחזיקות בתיק השקעות לטווח ארוך</w:t>
            </w:r>
            <w:r>
              <w:rPr>
                <w:rStyle w:val="FootnoteReference"/>
                <w:sz w:val="19"/>
                <w:szCs w:val="19"/>
                <w:rtl/>
              </w:rPr>
              <w:footnoteReference w:id="2"/>
            </w:r>
            <w:r w:rsidRPr="00D83D3E">
              <w:rPr>
                <w:rtl/>
              </w:rPr>
              <w:t xml:space="preserve"> (31.12.19).</w:t>
            </w:r>
          </w:p>
        </w:tc>
        <w:tc>
          <w:tcPr>
            <w:tcW w:w="170" w:type="dxa"/>
          </w:tcPr>
          <w:p w14:paraId="0F59C384" w14:textId="77777777" w:rsidR="00A07476" w:rsidRPr="00B3146C" w:rsidRDefault="00A07476" w:rsidP="00F75422">
            <w:pPr>
              <w:pStyle w:val="20211"/>
              <w:spacing w:after="0"/>
              <w:rPr>
                <w:rtl/>
              </w:rPr>
            </w:pPr>
          </w:p>
        </w:tc>
        <w:tc>
          <w:tcPr>
            <w:tcW w:w="1398" w:type="dxa"/>
            <w:tcBorders>
              <w:top w:val="single" w:sz="12" w:space="0" w:color="auto"/>
            </w:tcBorders>
          </w:tcPr>
          <w:p w14:paraId="01AE6A8F" w14:textId="1DAC8CEF" w:rsidR="00A07476" w:rsidRPr="00B3146C" w:rsidRDefault="004A4161" w:rsidP="00F75422">
            <w:pPr>
              <w:pStyle w:val="20211"/>
              <w:spacing w:after="0"/>
              <w:rPr>
                <w:rtl/>
              </w:rPr>
            </w:pPr>
            <w:r w:rsidRPr="00D83D3E">
              <w:rPr>
                <w:rtl/>
              </w:rPr>
              <w:t>שווי ההשקעות לטווח ארוך של הרשויות המקומיות שנבדקו (30.6.20).</w:t>
            </w:r>
          </w:p>
        </w:tc>
        <w:tc>
          <w:tcPr>
            <w:tcW w:w="170" w:type="dxa"/>
          </w:tcPr>
          <w:p w14:paraId="1B3AADFE" w14:textId="77777777" w:rsidR="00A07476" w:rsidRPr="00B3146C" w:rsidRDefault="00A07476" w:rsidP="00F75422">
            <w:pPr>
              <w:pStyle w:val="20211"/>
              <w:spacing w:after="0"/>
              <w:rPr>
                <w:rtl/>
              </w:rPr>
            </w:pPr>
          </w:p>
        </w:tc>
        <w:tc>
          <w:tcPr>
            <w:tcW w:w="1543" w:type="dxa"/>
            <w:tcBorders>
              <w:top w:val="single" w:sz="12" w:space="0" w:color="auto"/>
            </w:tcBorders>
          </w:tcPr>
          <w:p w14:paraId="3531AC0A" w14:textId="7F5B63E2" w:rsidR="00A07476" w:rsidRPr="00B3146C" w:rsidRDefault="004A4161" w:rsidP="00F75422">
            <w:pPr>
              <w:pStyle w:val="20211"/>
              <w:spacing w:after="0"/>
              <w:rPr>
                <w:rtl/>
              </w:rPr>
            </w:pPr>
            <w:r w:rsidRPr="00D83D3E">
              <w:rPr>
                <w:rtl/>
              </w:rPr>
              <w:t>התשואה הממוצעת בין השנים 2017 - 2019 של השקעות לטווח ארוך של הרשויות המקומיות שנבדקו.</w:t>
            </w:r>
          </w:p>
        </w:tc>
      </w:tr>
    </w:tbl>
    <w:p w14:paraId="3CC61AEA" w14:textId="715365C9" w:rsidR="00F75422" w:rsidRDefault="00F75422" w:rsidP="00F9227B">
      <w:pPr>
        <w:pStyle w:val="100"/>
        <w:tabs>
          <w:tab w:val="center" w:pos="3685"/>
        </w:tabs>
        <w:spacing w:after="0" w:line="240" w:lineRule="exact"/>
        <w:rPr>
          <w:b/>
          <w:bCs/>
          <w:color w:val="00305F"/>
          <w:sz w:val="32"/>
          <w:szCs w:val="32"/>
          <w:rtl/>
        </w:rPr>
        <w:sectPr w:rsidR="00F75422" w:rsidSect="00547152">
          <w:footerReference w:type="even" r:id="rId16"/>
          <w:footerReference w:type="default" r:id="rId17"/>
          <w:headerReference w:type="first" r:id="rId18"/>
          <w:footerReference w:type="first" r:id="rId19"/>
          <w:footnotePr>
            <w:numRestart w:val="eachSect"/>
          </w:footnotePr>
          <w:pgSz w:w="11906" w:h="16838" w:code="9"/>
          <w:pgMar w:top="3062" w:right="2268" w:bottom="2552" w:left="2268" w:header="1134" w:footer="1361" w:gutter="0"/>
          <w:pgNumType w:start="33"/>
          <w:cols w:space="708"/>
          <w:bidi/>
          <w:rtlGutter/>
          <w:docGrid w:linePitch="360"/>
        </w:sectPr>
      </w:pPr>
    </w:p>
    <w:p w14:paraId="41E762A5" w14:textId="034B4149"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8448" behindDoc="0" locked="0" layoutInCell="1" allowOverlap="1" wp14:anchorId="7839D982" wp14:editId="75773203">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ED08F7" id="Group 45" o:spid="_x0000_s1026" style="position:absolute;left:0;text-align:left;margin-left:-2.4pt;margin-top:3.75pt;width:372pt;height:3pt;z-index:25168844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6D3BE1">
      <w:pPr>
        <w:pStyle w:val="215"/>
        <w:rPr>
          <w:rtl/>
        </w:rPr>
      </w:pPr>
      <w:r w:rsidRPr="00C62692">
        <w:rPr>
          <w:rFonts w:hint="cs"/>
          <w:rtl/>
        </w:rPr>
        <w:t>פעולות הביקורת</w:t>
      </w:r>
    </w:p>
    <w:p w14:paraId="52312822" w14:textId="1CCEFEFD" w:rsidR="000D4B62" w:rsidRDefault="00BF7831" w:rsidP="00DC35EC">
      <w:pPr>
        <w:pStyle w:val="71f3"/>
        <w:rPr>
          <w:rtl/>
        </w:rPr>
      </w:pPr>
      <w:r w:rsidRPr="00666E99">
        <w:rPr>
          <w:noProof/>
        </w:rPr>
        <w:drawing>
          <wp:anchor distT="0" distB="0" distL="114300" distR="114300" simplePos="0" relativeHeight="251705856" behindDoc="0" locked="0" layoutInCell="1" allowOverlap="1" wp14:anchorId="0EA9C558" wp14:editId="7534B2CA">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DD8" w:rsidRPr="00D83D3E">
        <w:rPr>
          <w:rtl/>
        </w:rPr>
        <w:t>בחודשים יוני - דצמבר 2020 בדק משרד מבקר המדינה היבטים בניהול השקעות פיננסיות בכמה גופים מוסדיים, חברות ממשלתיות, תאגידים סטטוטוריים ורשויות מקומיות בעלי היקף השקעות ניכר. ההשקעות יכולות להיות השקעות עצמיות שוטפות (נוסטרו) או השקעות המיועדות לכיסוי התחייבויות פנסיוניות. הבדיקה נעשתה בגופים אלו: קנט - קרן לביטוח נזקי טבע בחקלאות בע"מ; קרנית - קרן לפיצוי נפגעי תאונות דרכים; החברה הישראלית לביטוח סיכוני סחר חוץ בע"מ (אשרא);</w:t>
      </w:r>
      <w:r w:rsidR="004E3DD8">
        <w:rPr>
          <w:rtl/>
        </w:rPr>
        <w:t xml:space="preserve"> חברת החשמל לישראל בע"מ</w:t>
      </w:r>
      <w:r w:rsidR="004E3DD8" w:rsidRPr="00D83D3E">
        <w:rPr>
          <w:rtl/>
        </w:rPr>
        <w:t>; חברת נמל חיפה בע"מ; חברת נמל אשדוד בע"מ; רשות שדות התעופה בישראל; הקרן לשיקום מחצבות. הבדיקה נעשתה גם במשרד הפנים וב-50 רשויות מקומיות באמצעות שאלון. בדיקות השלמה נעשו ברשות החברות הממשלתיות וברשות שוק ההון ביטוח וחיסכון; במרכז לשלטון מקומי ובחברה למשק וכלכלה של השלטון המקומי בע"מ</w:t>
      </w:r>
      <w:r w:rsidR="004E3DD8">
        <w:rPr>
          <w:rFonts w:hint="cs"/>
          <w:rtl/>
        </w:rPr>
        <w:t>.</w:t>
      </w:r>
    </w:p>
    <w:p w14:paraId="3037171D" w14:textId="35507133" w:rsidR="0060683C" w:rsidRDefault="00666E99" w:rsidP="00666E99">
      <w:pPr>
        <w:pStyle w:val="7190"/>
        <w:rPr>
          <w:rtl/>
        </w:rPr>
      </w:pPr>
      <w:r w:rsidRPr="00362C00">
        <w:rPr>
          <w:noProof/>
          <w:rtl/>
        </w:rPr>
        <w:drawing>
          <wp:anchor distT="0" distB="0" distL="114300" distR="114300" simplePos="0" relativeHeight="251722240" behindDoc="0" locked="0" layoutInCell="1" allowOverlap="1" wp14:anchorId="596EA90B" wp14:editId="73B018E5">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0432" behindDoc="0" locked="0" layoutInCell="1" allowOverlap="1" wp14:anchorId="0D187C07" wp14:editId="45B7F1B7">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1456" behindDoc="0" locked="0" layoutInCell="1" allowOverlap="1" wp14:anchorId="59406E43" wp14:editId="3CC0E24E">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A15ADD" id="Straight Connector 3" o:spid="_x0000_s1026" style="position:absolute;left:0;text-align:lef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75455E75" w14:textId="01459828" w:rsidR="004E3DD8" w:rsidRPr="00D86CCA" w:rsidRDefault="004E3DD8" w:rsidP="00E37B34">
      <w:pPr>
        <w:pStyle w:val="7190"/>
        <w:spacing w:after="120" w:line="240" w:lineRule="exact"/>
        <w:rPr>
          <w:b/>
          <w:bCs/>
          <w:sz w:val="19"/>
          <w:szCs w:val="19"/>
          <w:rtl/>
        </w:rPr>
      </w:pPr>
      <w:r w:rsidRPr="00D86CCA">
        <w:rPr>
          <w:b/>
          <w:bCs/>
          <w:sz w:val="19"/>
          <w:szCs w:val="19"/>
          <w:rtl/>
        </w:rPr>
        <w:t>גופים ציבוריים מוסדיים - קנט, קרנית ואשרא</w:t>
      </w:r>
    </w:p>
    <w:p w14:paraId="76913108" w14:textId="500B622B" w:rsidR="005E36DC" w:rsidRPr="005E36DC" w:rsidRDefault="00807FA7" w:rsidP="00E37B34">
      <w:pPr>
        <w:pStyle w:val="71f3"/>
        <w:spacing w:after="120"/>
      </w:pPr>
      <w:r w:rsidRPr="00864795">
        <w:rPr>
          <w:rStyle w:val="7195Char"/>
          <w:rFonts w:hint="cs"/>
          <w:rtl/>
        </w:rPr>
        <w:drawing>
          <wp:anchor distT="0" distB="3600450" distL="114300" distR="114300" simplePos="0" relativeHeight="251883008" behindDoc="0" locked="0" layoutInCell="1" allowOverlap="1" wp14:anchorId="3B13BABC" wp14:editId="4EB6A898">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E3DD8" w:rsidRPr="00D83D3E">
        <w:rPr>
          <w:b/>
          <w:bCs/>
          <w:rtl/>
        </w:rPr>
        <w:t>הרכב תיקי ההשקעות של הגופים המוסדיים</w:t>
      </w:r>
      <w:r w:rsidR="004E3DD8" w:rsidRPr="00D83D3E">
        <w:rPr>
          <w:rtl/>
        </w:rPr>
        <w:t xml:space="preserve"> -</w:t>
      </w:r>
      <w:r w:rsidR="004E3DD8" w:rsidRPr="00D83D3E">
        <w:rPr>
          <w:b/>
          <w:bCs/>
          <w:rtl/>
        </w:rPr>
        <w:t xml:space="preserve"> </w:t>
      </w:r>
      <w:r w:rsidR="004E3DD8" w:rsidRPr="00D83D3E">
        <w:rPr>
          <w:rtl/>
        </w:rPr>
        <w:t>קיימת שונות בין הרכבי התיקים של הגופים שנבדקו - קנט, קרנית, אשרא. הגופים המוסדיים הממשלתיים משקיעים 69% - 79% מנכסיהם באגרות חוב ואינם משקיעים באפיק אלטרנטיבי של קרנות השקעה</w:t>
      </w:r>
      <w:r w:rsidR="005E36DC" w:rsidRPr="005E36DC">
        <w:rPr>
          <w:rtl/>
        </w:rPr>
        <w:t>.</w:t>
      </w:r>
    </w:p>
    <w:p w14:paraId="76D4A93A" w14:textId="77777777" w:rsidR="00E37B34" w:rsidRDefault="00D40584" w:rsidP="00E37B34">
      <w:pPr>
        <w:pStyle w:val="71f3"/>
        <w:spacing w:after="120"/>
        <w:rPr>
          <w:b/>
          <w:bCs/>
          <w:rtl/>
        </w:rPr>
      </w:pPr>
      <w:r w:rsidRPr="00864795">
        <w:rPr>
          <w:rStyle w:val="7195Char"/>
          <w:rFonts w:hint="cs"/>
          <w:rtl/>
        </w:rPr>
        <w:drawing>
          <wp:anchor distT="0" distB="3600450" distL="114300" distR="114300" simplePos="0" relativeHeight="251938304" behindDoc="0" locked="0" layoutInCell="1" allowOverlap="1" wp14:anchorId="48BF398D" wp14:editId="790DC6C1">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E3DD8" w:rsidRPr="00D83D3E">
        <w:rPr>
          <w:b/>
          <w:bCs/>
          <w:rtl/>
        </w:rPr>
        <w:t>התשואה של תיקי ההשקעות -</w:t>
      </w:r>
      <w:r w:rsidR="004E3DD8" w:rsidRPr="00D83D3E">
        <w:rPr>
          <w:rtl/>
        </w:rPr>
        <w:t xml:space="preserve"> קיימים הבדלים בין תשואות הגופים המוסדיים בתקופה שבין 2017 ליוני 2020, ובינם לבין קרנות ההשתלמות ומדדים נסחרים נוספים. הבדלים אלה נובעים משונות בין הרכבי התיקים ומפרופיל סיכון שונה שלהם שבא לידי ביטוי בין היתר באחוזי החשיפה לנכסים השונים ובאופק השקעה שונה הנדרש בהתאם לצורכי התזרים של כל גוף. להלן נתוני התשואות של הגופים השונים:</w:t>
      </w:r>
    </w:p>
    <w:tbl>
      <w:tblPr>
        <w:tblStyle w:val="GridTable5Dark-Accent1"/>
        <w:tblpPr w:leftFromText="180" w:rightFromText="180" w:vertAnchor="text" w:horzAnchor="margin" w:tblpY="4"/>
        <w:bidiVisual/>
        <w:tblW w:w="0" w:type="auto"/>
        <w:tblBorders>
          <w:left w:val="single" w:sz="4" w:space="0" w:color="1D1B11" w:themeColor="background2" w:themeShade="1A"/>
          <w:right w:val="single" w:sz="4" w:space="0" w:color="1D1B11" w:themeColor="background2" w:themeShade="1A"/>
          <w:insideH w:val="none" w:sz="0" w:space="0" w:color="auto"/>
          <w:insideV w:val="single" w:sz="4" w:space="0" w:color="1D1B11" w:themeColor="background2" w:themeShade="1A"/>
        </w:tblBorders>
        <w:tblLook w:val="04A0" w:firstRow="1" w:lastRow="0" w:firstColumn="1" w:lastColumn="0" w:noHBand="0" w:noVBand="1"/>
      </w:tblPr>
      <w:tblGrid>
        <w:gridCol w:w="1387"/>
        <w:gridCol w:w="1387"/>
        <w:gridCol w:w="1387"/>
        <w:gridCol w:w="1387"/>
        <w:gridCol w:w="1388"/>
      </w:tblGrid>
      <w:tr w:rsidR="00E37B34" w:rsidRPr="00D83D3E" w14:paraId="1434FDF0" w14:textId="77777777" w:rsidTr="00E37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Borders>
              <w:top w:val="none" w:sz="0" w:space="0" w:color="auto"/>
              <w:left w:val="none" w:sz="0" w:space="0" w:color="auto"/>
              <w:bottom w:val="nil"/>
              <w:right w:val="none" w:sz="0" w:space="0" w:color="auto"/>
            </w:tcBorders>
            <w:shd w:val="clear" w:color="auto" w:fill="C6DCE4"/>
          </w:tcPr>
          <w:p w14:paraId="2DDEBCA1" w14:textId="77777777" w:rsidR="00E37B34" w:rsidRPr="006D3BE1" w:rsidRDefault="00E37B34" w:rsidP="002B4F54">
            <w:pPr>
              <w:pStyle w:val="71R"/>
              <w:spacing w:before="60" w:after="60" w:line="180" w:lineRule="exact"/>
              <w:jc w:val="center"/>
              <w:rPr>
                <w:rtl/>
              </w:rPr>
            </w:pPr>
            <w:r w:rsidRPr="006D3BE1">
              <w:rPr>
                <w:rFonts w:hint="cs"/>
                <w:rtl/>
              </w:rPr>
              <w:t>ה</w:t>
            </w:r>
            <w:r w:rsidRPr="006D3BE1">
              <w:rPr>
                <w:rtl/>
              </w:rPr>
              <w:t>גוף</w:t>
            </w:r>
          </w:p>
        </w:tc>
        <w:tc>
          <w:tcPr>
            <w:tcW w:w="1387" w:type="dxa"/>
            <w:tcBorders>
              <w:top w:val="none" w:sz="0" w:space="0" w:color="auto"/>
              <w:left w:val="none" w:sz="0" w:space="0" w:color="auto"/>
              <w:bottom w:val="nil"/>
              <w:right w:val="none" w:sz="0" w:space="0" w:color="auto"/>
            </w:tcBorders>
            <w:shd w:val="clear" w:color="auto" w:fill="C6DCE4"/>
          </w:tcPr>
          <w:p w14:paraId="54F72E80" w14:textId="6D57291F" w:rsidR="00E37B34" w:rsidRPr="006D3BE1" w:rsidRDefault="00E37B34" w:rsidP="002B4F54">
            <w:pPr>
              <w:pStyle w:val="71R"/>
              <w:spacing w:before="60" w:after="60" w:line="180" w:lineRule="exact"/>
              <w:jc w:val="center"/>
              <w:cnfStyle w:val="100000000000" w:firstRow="1" w:lastRow="0" w:firstColumn="0" w:lastColumn="0" w:oddVBand="0" w:evenVBand="0" w:oddHBand="0" w:evenHBand="0" w:firstRowFirstColumn="0" w:firstRowLastColumn="0" w:lastRowFirstColumn="0" w:lastRowLastColumn="0"/>
              <w:rPr>
                <w:rtl/>
              </w:rPr>
            </w:pPr>
            <w:r w:rsidRPr="006D3BE1">
              <w:rPr>
                <w:rtl/>
              </w:rPr>
              <w:t>2017</w:t>
            </w:r>
          </w:p>
        </w:tc>
        <w:tc>
          <w:tcPr>
            <w:tcW w:w="1387" w:type="dxa"/>
            <w:tcBorders>
              <w:top w:val="none" w:sz="0" w:space="0" w:color="auto"/>
              <w:left w:val="none" w:sz="0" w:space="0" w:color="auto"/>
              <w:bottom w:val="nil"/>
              <w:right w:val="none" w:sz="0" w:space="0" w:color="auto"/>
            </w:tcBorders>
            <w:shd w:val="clear" w:color="auto" w:fill="C6DCE4"/>
          </w:tcPr>
          <w:p w14:paraId="29BFBF51" w14:textId="77777777" w:rsidR="00E37B34" w:rsidRPr="006D3BE1" w:rsidRDefault="00E37B34" w:rsidP="002B4F54">
            <w:pPr>
              <w:pStyle w:val="71R"/>
              <w:spacing w:before="60" w:after="60" w:line="180" w:lineRule="exact"/>
              <w:jc w:val="center"/>
              <w:cnfStyle w:val="100000000000" w:firstRow="1" w:lastRow="0" w:firstColumn="0" w:lastColumn="0" w:oddVBand="0" w:evenVBand="0" w:oddHBand="0" w:evenHBand="0" w:firstRowFirstColumn="0" w:firstRowLastColumn="0" w:lastRowFirstColumn="0" w:lastRowLastColumn="0"/>
              <w:rPr>
                <w:rtl/>
              </w:rPr>
            </w:pPr>
            <w:r w:rsidRPr="006D3BE1">
              <w:rPr>
                <w:rtl/>
              </w:rPr>
              <w:t>2018</w:t>
            </w:r>
          </w:p>
        </w:tc>
        <w:tc>
          <w:tcPr>
            <w:tcW w:w="1387" w:type="dxa"/>
            <w:tcBorders>
              <w:top w:val="none" w:sz="0" w:space="0" w:color="auto"/>
              <w:left w:val="none" w:sz="0" w:space="0" w:color="auto"/>
              <w:bottom w:val="nil"/>
              <w:right w:val="none" w:sz="0" w:space="0" w:color="auto"/>
            </w:tcBorders>
            <w:shd w:val="clear" w:color="auto" w:fill="C6DCE4"/>
          </w:tcPr>
          <w:p w14:paraId="3C1B3F99" w14:textId="77777777" w:rsidR="00E37B34" w:rsidRPr="006D3BE1" w:rsidRDefault="00E37B34" w:rsidP="002B4F54">
            <w:pPr>
              <w:pStyle w:val="71R"/>
              <w:spacing w:before="60" w:after="60" w:line="180" w:lineRule="exact"/>
              <w:jc w:val="center"/>
              <w:cnfStyle w:val="100000000000" w:firstRow="1" w:lastRow="0" w:firstColumn="0" w:lastColumn="0" w:oddVBand="0" w:evenVBand="0" w:oddHBand="0" w:evenHBand="0" w:firstRowFirstColumn="0" w:firstRowLastColumn="0" w:lastRowFirstColumn="0" w:lastRowLastColumn="0"/>
              <w:rPr>
                <w:rtl/>
              </w:rPr>
            </w:pPr>
            <w:r w:rsidRPr="006D3BE1">
              <w:rPr>
                <w:rtl/>
              </w:rPr>
              <w:t>2019</w:t>
            </w:r>
          </w:p>
        </w:tc>
        <w:tc>
          <w:tcPr>
            <w:tcW w:w="1388" w:type="dxa"/>
            <w:tcBorders>
              <w:top w:val="none" w:sz="0" w:space="0" w:color="auto"/>
              <w:left w:val="none" w:sz="0" w:space="0" w:color="auto"/>
              <w:bottom w:val="nil"/>
              <w:right w:val="none" w:sz="0" w:space="0" w:color="auto"/>
            </w:tcBorders>
            <w:shd w:val="clear" w:color="auto" w:fill="C6DCE4"/>
          </w:tcPr>
          <w:p w14:paraId="7C639AC2" w14:textId="77777777" w:rsidR="00E37B34" w:rsidRPr="006D3BE1" w:rsidRDefault="00E37B34" w:rsidP="002B4F54">
            <w:pPr>
              <w:pStyle w:val="71R"/>
              <w:spacing w:before="60" w:after="60" w:line="180" w:lineRule="exact"/>
              <w:jc w:val="center"/>
              <w:cnfStyle w:val="100000000000" w:firstRow="1" w:lastRow="0" w:firstColumn="0" w:lastColumn="0" w:oddVBand="0" w:evenVBand="0" w:oddHBand="0" w:evenHBand="0" w:firstRowFirstColumn="0" w:firstRowLastColumn="0" w:lastRowFirstColumn="0" w:lastRowLastColumn="0"/>
              <w:rPr>
                <w:rtl/>
              </w:rPr>
            </w:pPr>
            <w:r w:rsidRPr="006D3BE1">
              <w:rPr>
                <w:rtl/>
              </w:rPr>
              <w:t>1-6.20</w:t>
            </w:r>
          </w:p>
        </w:tc>
      </w:tr>
      <w:tr w:rsidR="00E37B34" w:rsidRPr="00D83D3E" w14:paraId="76FD5533" w14:textId="77777777" w:rsidTr="00E37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gridSpan w:val="5"/>
            <w:tcBorders>
              <w:top w:val="nil"/>
              <w:left w:val="single" w:sz="4" w:space="0" w:color="1D1B11" w:themeColor="background2" w:themeShade="1A"/>
              <w:bottom w:val="nil"/>
            </w:tcBorders>
            <w:shd w:val="clear" w:color="auto" w:fill="C6DCE4"/>
          </w:tcPr>
          <w:p w14:paraId="4FFEA499" w14:textId="77777777" w:rsidR="00E37B34" w:rsidRPr="006D3BE1" w:rsidRDefault="00E37B34" w:rsidP="002B4F54">
            <w:pPr>
              <w:pStyle w:val="71R"/>
              <w:spacing w:before="60" w:after="60" w:line="180" w:lineRule="exact"/>
              <w:jc w:val="center"/>
              <w:rPr>
                <w:color w:val="FF0000"/>
                <w:rtl/>
              </w:rPr>
            </w:pPr>
            <w:r w:rsidRPr="006D3BE1">
              <w:rPr>
                <w:color w:val="auto"/>
                <w:rtl/>
              </w:rPr>
              <w:t>גופים נבדקים בביקורת</w:t>
            </w:r>
          </w:p>
        </w:tc>
      </w:tr>
      <w:tr w:rsidR="00E37B34" w:rsidRPr="00D83D3E" w14:paraId="562D5049" w14:textId="77777777" w:rsidTr="00E37B34">
        <w:tc>
          <w:tcPr>
            <w:cnfStyle w:val="001000000000" w:firstRow="0" w:lastRow="0" w:firstColumn="1" w:lastColumn="0" w:oddVBand="0" w:evenVBand="0" w:oddHBand="0" w:evenHBand="0" w:firstRowFirstColumn="0" w:firstRowLastColumn="0" w:lastRowFirstColumn="0" w:lastRowLastColumn="0"/>
            <w:tcW w:w="1387" w:type="dxa"/>
            <w:tcBorders>
              <w:top w:val="nil"/>
              <w:left w:val="none" w:sz="0" w:space="0" w:color="auto"/>
            </w:tcBorders>
            <w:shd w:val="clear" w:color="auto" w:fill="DBE8EE"/>
          </w:tcPr>
          <w:p w14:paraId="6FBA7AA3" w14:textId="77777777" w:rsidR="00E37B34" w:rsidRPr="006D3BE1" w:rsidRDefault="00E37B34" w:rsidP="00E37B34">
            <w:pPr>
              <w:pStyle w:val="71R"/>
              <w:spacing w:before="60" w:after="60" w:line="180" w:lineRule="exact"/>
              <w:rPr>
                <w:rtl/>
              </w:rPr>
            </w:pPr>
            <w:r w:rsidRPr="006D3BE1">
              <w:rPr>
                <w:rtl/>
              </w:rPr>
              <w:t>קנט</w:t>
            </w:r>
          </w:p>
        </w:tc>
        <w:tc>
          <w:tcPr>
            <w:tcW w:w="1387" w:type="dxa"/>
            <w:tcBorders>
              <w:top w:val="nil"/>
            </w:tcBorders>
            <w:shd w:val="clear" w:color="auto" w:fill="DBE8EE"/>
          </w:tcPr>
          <w:p w14:paraId="5FFFBBD2" w14:textId="77777777" w:rsidR="00E37B34" w:rsidRPr="006D3BE1" w:rsidRDefault="00E37B34" w:rsidP="00E37B34">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color w:val="FF0000"/>
                <w:rtl/>
              </w:rPr>
            </w:pPr>
            <w:r w:rsidRPr="006D3BE1">
              <w:rPr>
                <w:rtl/>
              </w:rPr>
              <w:t>4.22%</w:t>
            </w:r>
          </w:p>
        </w:tc>
        <w:tc>
          <w:tcPr>
            <w:tcW w:w="1387" w:type="dxa"/>
            <w:tcBorders>
              <w:top w:val="nil"/>
            </w:tcBorders>
            <w:shd w:val="clear" w:color="auto" w:fill="DBE8EE"/>
          </w:tcPr>
          <w:p w14:paraId="70D543D3" w14:textId="77777777" w:rsidR="00E37B34" w:rsidRPr="006D3BE1" w:rsidRDefault="00E37B34" w:rsidP="00E37B34">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rtl/>
              </w:rPr>
            </w:pPr>
            <w:r w:rsidRPr="006D3BE1">
              <w:rPr>
                <w:color w:val="FF0000"/>
                <w:rtl/>
              </w:rPr>
              <w:t>1.06%-</w:t>
            </w:r>
          </w:p>
        </w:tc>
        <w:tc>
          <w:tcPr>
            <w:tcW w:w="1387" w:type="dxa"/>
            <w:tcBorders>
              <w:top w:val="nil"/>
            </w:tcBorders>
            <w:shd w:val="clear" w:color="auto" w:fill="DBE8EE"/>
          </w:tcPr>
          <w:p w14:paraId="4097DC01" w14:textId="77777777" w:rsidR="00E37B34" w:rsidRPr="006D3BE1" w:rsidRDefault="00E37B34" w:rsidP="00E37B34">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rtl/>
              </w:rPr>
            </w:pPr>
            <w:r w:rsidRPr="006D3BE1">
              <w:rPr>
                <w:rtl/>
              </w:rPr>
              <w:t>7.78%</w:t>
            </w:r>
          </w:p>
        </w:tc>
        <w:tc>
          <w:tcPr>
            <w:tcW w:w="1388" w:type="dxa"/>
            <w:tcBorders>
              <w:top w:val="nil"/>
            </w:tcBorders>
            <w:shd w:val="clear" w:color="auto" w:fill="DBE8EE"/>
          </w:tcPr>
          <w:p w14:paraId="1CDFF100" w14:textId="77777777" w:rsidR="00E37B34" w:rsidRPr="006D3BE1" w:rsidRDefault="00E37B34" w:rsidP="00E37B34">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color w:val="FF0000"/>
                <w:rtl/>
              </w:rPr>
            </w:pPr>
            <w:r w:rsidRPr="006D3BE1">
              <w:rPr>
                <w:color w:val="FF0000"/>
                <w:rtl/>
              </w:rPr>
              <w:t>4.31%-</w:t>
            </w:r>
          </w:p>
        </w:tc>
      </w:tr>
      <w:tr w:rsidR="00E37B34" w:rsidRPr="00D83D3E" w14:paraId="0423947F" w14:textId="77777777" w:rsidTr="00E37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Borders>
              <w:left w:val="none" w:sz="0" w:space="0" w:color="auto"/>
            </w:tcBorders>
            <w:shd w:val="clear" w:color="auto" w:fill="ECF4F5"/>
          </w:tcPr>
          <w:p w14:paraId="236DDEB5" w14:textId="77777777" w:rsidR="00E37B34" w:rsidRPr="006D3BE1" w:rsidRDefault="00E37B34" w:rsidP="00E37B34">
            <w:pPr>
              <w:pStyle w:val="71R"/>
              <w:spacing w:before="60" w:after="60" w:line="180" w:lineRule="exact"/>
              <w:rPr>
                <w:rtl/>
              </w:rPr>
            </w:pPr>
            <w:r w:rsidRPr="006D3BE1">
              <w:rPr>
                <w:rtl/>
              </w:rPr>
              <w:t>קרנית</w:t>
            </w:r>
          </w:p>
        </w:tc>
        <w:tc>
          <w:tcPr>
            <w:tcW w:w="1387" w:type="dxa"/>
            <w:shd w:val="clear" w:color="auto" w:fill="ECF4F5"/>
          </w:tcPr>
          <w:p w14:paraId="49058598" w14:textId="77777777" w:rsidR="00E37B34" w:rsidRPr="006D3BE1" w:rsidRDefault="00E37B34" w:rsidP="00E37B34">
            <w:pPr>
              <w:pStyle w:val="71R"/>
              <w:spacing w:before="60" w:after="60" w:line="180" w:lineRule="exact"/>
              <w:cnfStyle w:val="000000100000" w:firstRow="0" w:lastRow="0" w:firstColumn="0" w:lastColumn="0" w:oddVBand="0" w:evenVBand="0" w:oddHBand="1" w:evenHBand="0" w:firstRowFirstColumn="0" w:firstRowLastColumn="0" w:lastRowFirstColumn="0" w:lastRowLastColumn="0"/>
              <w:rPr>
                <w:rtl/>
              </w:rPr>
            </w:pPr>
            <w:r w:rsidRPr="006D3BE1">
              <w:rPr>
                <w:rtl/>
              </w:rPr>
              <w:t>1.28%</w:t>
            </w:r>
          </w:p>
        </w:tc>
        <w:tc>
          <w:tcPr>
            <w:tcW w:w="1387" w:type="dxa"/>
            <w:shd w:val="clear" w:color="auto" w:fill="ECF4F5"/>
          </w:tcPr>
          <w:p w14:paraId="73E2E8C4" w14:textId="77777777" w:rsidR="00E37B34" w:rsidRPr="006D3BE1" w:rsidRDefault="00E37B34" w:rsidP="00E37B34">
            <w:pPr>
              <w:pStyle w:val="71R"/>
              <w:spacing w:before="60" w:after="60" w:line="180" w:lineRule="exact"/>
              <w:cnfStyle w:val="000000100000" w:firstRow="0" w:lastRow="0" w:firstColumn="0" w:lastColumn="0" w:oddVBand="0" w:evenVBand="0" w:oddHBand="1" w:evenHBand="0" w:firstRowFirstColumn="0" w:firstRowLastColumn="0" w:lastRowFirstColumn="0" w:lastRowLastColumn="0"/>
              <w:rPr>
                <w:rtl/>
              </w:rPr>
            </w:pPr>
            <w:r w:rsidRPr="006D3BE1">
              <w:rPr>
                <w:rtl/>
              </w:rPr>
              <w:t>2.47%</w:t>
            </w:r>
          </w:p>
        </w:tc>
        <w:tc>
          <w:tcPr>
            <w:tcW w:w="1387" w:type="dxa"/>
            <w:shd w:val="clear" w:color="auto" w:fill="ECF4F5"/>
          </w:tcPr>
          <w:p w14:paraId="63088B28" w14:textId="77777777" w:rsidR="00E37B34" w:rsidRPr="006D3BE1" w:rsidRDefault="00E37B34" w:rsidP="00E37B34">
            <w:pPr>
              <w:pStyle w:val="71R"/>
              <w:spacing w:before="60" w:after="60" w:line="180" w:lineRule="exact"/>
              <w:cnfStyle w:val="000000100000" w:firstRow="0" w:lastRow="0" w:firstColumn="0" w:lastColumn="0" w:oddVBand="0" w:evenVBand="0" w:oddHBand="1" w:evenHBand="0" w:firstRowFirstColumn="0" w:firstRowLastColumn="0" w:lastRowFirstColumn="0" w:lastRowLastColumn="0"/>
              <w:rPr>
                <w:rtl/>
              </w:rPr>
            </w:pPr>
            <w:r w:rsidRPr="006D3BE1">
              <w:rPr>
                <w:rtl/>
              </w:rPr>
              <w:t>5.58%</w:t>
            </w:r>
          </w:p>
        </w:tc>
        <w:tc>
          <w:tcPr>
            <w:tcW w:w="1388" w:type="dxa"/>
            <w:shd w:val="clear" w:color="auto" w:fill="ECF4F5"/>
          </w:tcPr>
          <w:p w14:paraId="59CF635C" w14:textId="77777777" w:rsidR="00E37B34" w:rsidRPr="006D3BE1" w:rsidRDefault="00E37B34" w:rsidP="00E37B34">
            <w:pPr>
              <w:pStyle w:val="71R"/>
              <w:spacing w:before="60" w:after="60" w:line="180" w:lineRule="exact"/>
              <w:cnfStyle w:val="000000100000" w:firstRow="0" w:lastRow="0" w:firstColumn="0" w:lastColumn="0" w:oddVBand="0" w:evenVBand="0" w:oddHBand="1" w:evenHBand="0" w:firstRowFirstColumn="0" w:firstRowLastColumn="0" w:lastRowFirstColumn="0" w:lastRowLastColumn="0"/>
              <w:rPr>
                <w:rtl/>
              </w:rPr>
            </w:pPr>
            <w:r w:rsidRPr="006D3BE1">
              <w:rPr>
                <w:color w:val="FF0000"/>
                <w:rtl/>
              </w:rPr>
              <w:t>1.62%-</w:t>
            </w:r>
          </w:p>
        </w:tc>
      </w:tr>
      <w:tr w:rsidR="00E37B34" w:rsidRPr="00D83D3E" w14:paraId="0434BCE6" w14:textId="77777777" w:rsidTr="00E37B34">
        <w:tc>
          <w:tcPr>
            <w:cnfStyle w:val="001000000000" w:firstRow="0" w:lastRow="0" w:firstColumn="1" w:lastColumn="0" w:oddVBand="0" w:evenVBand="0" w:oddHBand="0" w:evenHBand="0" w:firstRowFirstColumn="0" w:firstRowLastColumn="0" w:lastRowFirstColumn="0" w:lastRowLastColumn="0"/>
            <w:tcW w:w="1387" w:type="dxa"/>
            <w:tcBorders>
              <w:left w:val="none" w:sz="0" w:space="0" w:color="auto"/>
            </w:tcBorders>
            <w:shd w:val="clear" w:color="auto" w:fill="DBE8EE"/>
          </w:tcPr>
          <w:p w14:paraId="640477F8" w14:textId="77777777" w:rsidR="00E37B34" w:rsidRPr="006D3BE1" w:rsidRDefault="00E37B34" w:rsidP="00E37B34">
            <w:pPr>
              <w:pStyle w:val="71R"/>
              <w:spacing w:before="60" w:after="60" w:line="180" w:lineRule="exact"/>
              <w:rPr>
                <w:rtl/>
              </w:rPr>
            </w:pPr>
            <w:r w:rsidRPr="006D3BE1">
              <w:rPr>
                <w:rtl/>
              </w:rPr>
              <w:t>אשרא</w:t>
            </w:r>
          </w:p>
        </w:tc>
        <w:tc>
          <w:tcPr>
            <w:tcW w:w="1387" w:type="dxa"/>
            <w:shd w:val="clear" w:color="auto" w:fill="DBE8EE"/>
          </w:tcPr>
          <w:p w14:paraId="1A7B48E7" w14:textId="77777777" w:rsidR="00E37B34" w:rsidRPr="006D3BE1" w:rsidRDefault="00E37B34" w:rsidP="00E37B34">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color w:val="FF0000"/>
                <w:rtl/>
              </w:rPr>
            </w:pPr>
            <w:r w:rsidRPr="006D3BE1">
              <w:rPr>
                <w:rtl/>
              </w:rPr>
              <w:t>5.01%</w:t>
            </w:r>
          </w:p>
        </w:tc>
        <w:tc>
          <w:tcPr>
            <w:tcW w:w="1387" w:type="dxa"/>
            <w:shd w:val="clear" w:color="auto" w:fill="DBE8EE"/>
          </w:tcPr>
          <w:p w14:paraId="06A8774D" w14:textId="77777777" w:rsidR="00E37B34" w:rsidRPr="006D3BE1" w:rsidRDefault="00E37B34" w:rsidP="00E37B34">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rtl/>
              </w:rPr>
            </w:pPr>
            <w:r w:rsidRPr="006D3BE1">
              <w:rPr>
                <w:color w:val="FF0000"/>
                <w:rtl/>
              </w:rPr>
              <w:t>1.17%-</w:t>
            </w:r>
          </w:p>
        </w:tc>
        <w:tc>
          <w:tcPr>
            <w:tcW w:w="1387" w:type="dxa"/>
            <w:shd w:val="clear" w:color="auto" w:fill="DBE8EE"/>
          </w:tcPr>
          <w:p w14:paraId="07F56CFD" w14:textId="77777777" w:rsidR="00E37B34" w:rsidRPr="006D3BE1" w:rsidRDefault="00E37B34" w:rsidP="00E37B34">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rtl/>
              </w:rPr>
            </w:pPr>
            <w:r w:rsidRPr="006D3BE1">
              <w:rPr>
                <w:rtl/>
              </w:rPr>
              <w:t>10.36%</w:t>
            </w:r>
          </w:p>
        </w:tc>
        <w:tc>
          <w:tcPr>
            <w:tcW w:w="1388" w:type="dxa"/>
            <w:shd w:val="clear" w:color="auto" w:fill="DBE8EE"/>
          </w:tcPr>
          <w:p w14:paraId="6D62D93C" w14:textId="77777777" w:rsidR="00E37B34" w:rsidRPr="006D3BE1" w:rsidRDefault="00E37B34" w:rsidP="00E37B34">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rtl/>
              </w:rPr>
            </w:pPr>
            <w:r w:rsidRPr="006D3BE1">
              <w:rPr>
                <w:rtl/>
              </w:rPr>
              <w:t>2.08%</w:t>
            </w:r>
          </w:p>
        </w:tc>
      </w:tr>
      <w:tr w:rsidR="00E37B34" w:rsidRPr="00D83D3E" w14:paraId="7CF13220" w14:textId="77777777" w:rsidTr="00E37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gridSpan w:val="5"/>
            <w:tcBorders>
              <w:left w:val="none" w:sz="0" w:space="0" w:color="auto"/>
            </w:tcBorders>
            <w:shd w:val="clear" w:color="auto" w:fill="C6DCE4"/>
          </w:tcPr>
          <w:p w14:paraId="763F7ED2" w14:textId="77777777" w:rsidR="00E37B34" w:rsidRPr="006D3BE1" w:rsidRDefault="00E37B34" w:rsidP="002B4F54">
            <w:pPr>
              <w:pStyle w:val="71R"/>
              <w:spacing w:before="60" w:after="60" w:line="180" w:lineRule="exact"/>
              <w:jc w:val="center"/>
              <w:rPr>
                <w:rtl/>
              </w:rPr>
            </w:pPr>
            <w:r w:rsidRPr="006D3BE1">
              <w:rPr>
                <w:color w:val="auto"/>
                <w:rtl/>
              </w:rPr>
              <w:t>מדדים השוואתיים</w:t>
            </w:r>
          </w:p>
        </w:tc>
      </w:tr>
      <w:tr w:rsidR="00E37B34" w:rsidRPr="00D83D3E" w14:paraId="04AC0640" w14:textId="77777777" w:rsidTr="00E37B34">
        <w:tc>
          <w:tcPr>
            <w:cnfStyle w:val="001000000000" w:firstRow="0" w:lastRow="0" w:firstColumn="1" w:lastColumn="0" w:oddVBand="0" w:evenVBand="0" w:oddHBand="0" w:evenHBand="0" w:firstRowFirstColumn="0" w:firstRowLastColumn="0" w:lastRowFirstColumn="0" w:lastRowLastColumn="0"/>
            <w:tcW w:w="1387" w:type="dxa"/>
            <w:tcBorders>
              <w:left w:val="none" w:sz="0" w:space="0" w:color="auto"/>
            </w:tcBorders>
            <w:shd w:val="clear" w:color="auto" w:fill="DBE8EE"/>
          </w:tcPr>
          <w:p w14:paraId="4C1CEEEF" w14:textId="77777777" w:rsidR="00E37B34" w:rsidRPr="006D3BE1" w:rsidRDefault="00E37B34" w:rsidP="00E37B34">
            <w:pPr>
              <w:pStyle w:val="71R"/>
              <w:spacing w:before="60" w:after="60" w:line="180" w:lineRule="exact"/>
              <w:rPr>
                <w:rtl/>
              </w:rPr>
            </w:pPr>
            <w:r w:rsidRPr="006D3BE1">
              <w:rPr>
                <w:rtl/>
              </w:rPr>
              <w:t>קרנות השתלמות</w:t>
            </w:r>
          </w:p>
        </w:tc>
        <w:tc>
          <w:tcPr>
            <w:tcW w:w="1387" w:type="dxa"/>
            <w:shd w:val="clear" w:color="auto" w:fill="DBE8EE"/>
          </w:tcPr>
          <w:p w14:paraId="0D0723AA" w14:textId="77777777" w:rsidR="00E37B34" w:rsidRPr="006D3BE1" w:rsidRDefault="00E37B34" w:rsidP="00E37B34">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color w:val="FF0000"/>
                <w:rtl/>
              </w:rPr>
            </w:pPr>
            <w:r w:rsidRPr="006D3BE1">
              <w:rPr>
                <w:rtl/>
              </w:rPr>
              <w:t>6.90%</w:t>
            </w:r>
          </w:p>
        </w:tc>
        <w:tc>
          <w:tcPr>
            <w:tcW w:w="1387" w:type="dxa"/>
            <w:shd w:val="clear" w:color="auto" w:fill="DBE8EE"/>
          </w:tcPr>
          <w:p w14:paraId="65EFE641" w14:textId="77777777" w:rsidR="00E37B34" w:rsidRPr="006D3BE1" w:rsidRDefault="00E37B34" w:rsidP="00E37B34">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rtl/>
              </w:rPr>
            </w:pPr>
            <w:r w:rsidRPr="006D3BE1">
              <w:rPr>
                <w:color w:val="FF0000"/>
                <w:rtl/>
              </w:rPr>
              <w:t>1.22%-</w:t>
            </w:r>
          </w:p>
        </w:tc>
        <w:tc>
          <w:tcPr>
            <w:tcW w:w="1387" w:type="dxa"/>
            <w:shd w:val="clear" w:color="auto" w:fill="DBE8EE"/>
          </w:tcPr>
          <w:p w14:paraId="3F613FFA" w14:textId="77777777" w:rsidR="00E37B34" w:rsidRPr="006D3BE1" w:rsidRDefault="00E37B34" w:rsidP="00E37B34">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rtl/>
              </w:rPr>
            </w:pPr>
            <w:r w:rsidRPr="006D3BE1">
              <w:rPr>
                <w:rtl/>
              </w:rPr>
              <w:t>11.94%</w:t>
            </w:r>
          </w:p>
        </w:tc>
        <w:tc>
          <w:tcPr>
            <w:tcW w:w="1388" w:type="dxa"/>
            <w:shd w:val="clear" w:color="auto" w:fill="DBE8EE"/>
          </w:tcPr>
          <w:p w14:paraId="10E03709" w14:textId="77777777" w:rsidR="00E37B34" w:rsidRPr="006D3BE1" w:rsidRDefault="00E37B34" w:rsidP="00E37B34">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color w:val="FF0000"/>
                <w:rtl/>
              </w:rPr>
            </w:pPr>
            <w:r w:rsidRPr="006D3BE1">
              <w:rPr>
                <w:color w:val="FF0000"/>
                <w:rtl/>
              </w:rPr>
              <w:t>5.10%-</w:t>
            </w:r>
          </w:p>
        </w:tc>
      </w:tr>
      <w:tr w:rsidR="00E37B34" w:rsidRPr="00D83D3E" w14:paraId="0386F6D0" w14:textId="77777777" w:rsidTr="00E37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Borders>
              <w:left w:val="none" w:sz="0" w:space="0" w:color="auto"/>
            </w:tcBorders>
            <w:shd w:val="clear" w:color="auto" w:fill="ECF4F5"/>
          </w:tcPr>
          <w:p w14:paraId="56787EA5" w14:textId="77777777" w:rsidR="00E37B34" w:rsidRPr="006D3BE1" w:rsidRDefault="00E37B34" w:rsidP="00E37B34">
            <w:pPr>
              <w:pStyle w:val="71R"/>
              <w:spacing w:before="60" w:after="60" w:line="180" w:lineRule="exact"/>
              <w:rPr>
                <w:rtl/>
              </w:rPr>
            </w:pPr>
            <w:r w:rsidRPr="006D3BE1">
              <w:rPr>
                <w:rtl/>
              </w:rPr>
              <w:t>ת"א 125</w:t>
            </w:r>
          </w:p>
        </w:tc>
        <w:tc>
          <w:tcPr>
            <w:tcW w:w="1387" w:type="dxa"/>
            <w:shd w:val="clear" w:color="auto" w:fill="ECF4F5"/>
          </w:tcPr>
          <w:p w14:paraId="679F5F06" w14:textId="77777777" w:rsidR="00E37B34" w:rsidRPr="006D3BE1" w:rsidRDefault="00E37B34" w:rsidP="00E37B34">
            <w:pPr>
              <w:pStyle w:val="71R"/>
              <w:spacing w:before="60" w:after="60" w:line="180" w:lineRule="exact"/>
              <w:cnfStyle w:val="000000100000" w:firstRow="0" w:lastRow="0" w:firstColumn="0" w:lastColumn="0" w:oddVBand="0" w:evenVBand="0" w:oddHBand="1" w:evenHBand="0" w:firstRowFirstColumn="0" w:firstRowLastColumn="0" w:lastRowFirstColumn="0" w:lastRowLastColumn="0"/>
              <w:rPr>
                <w:color w:val="FF0000"/>
                <w:rtl/>
              </w:rPr>
            </w:pPr>
            <w:r w:rsidRPr="006D3BE1">
              <w:rPr>
                <w:rtl/>
              </w:rPr>
              <w:t>6.87%</w:t>
            </w:r>
          </w:p>
        </w:tc>
        <w:tc>
          <w:tcPr>
            <w:tcW w:w="1387" w:type="dxa"/>
            <w:shd w:val="clear" w:color="auto" w:fill="ECF4F5"/>
          </w:tcPr>
          <w:p w14:paraId="680D5646" w14:textId="77777777" w:rsidR="00E37B34" w:rsidRPr="006D3BE1" w:rsidRDefault="00E37B34" w:rsidP="00E37B34">
            <w:pPr>
              <w:pStyle w:val="71R"/>
              <w:spacing w:before="60" w:after="60" w:line="180" w:lineRule="exact"/>
              <w:cnfStyle w:val="000000100000" w:firstRow="0" w:lastRow="0" w:firstColumn="0" w:lastColumn="0" w:oddVBand="0" w:evenVBand="0" w:oddHBand="1" w:evenHBand="0" w:firstRowFirstColumn="0" w:firstRowLastColumn="0" w:lastRowFirstColumn="0" w:lastRowLastColumn="0"/>
              <w:rPr>
                <w:rtl/>
              </w:rPr>
            </w:pPr>
            <w:r w:rsidRPr="006D3BE1">
              <w:rPr>
                <w:color w:val="FF0000"/>
                <w:rtl/>
              </w:rPr>
              <w:t>2.44%-</w:t>
            </w:r>
          </w:p>
        </w:tc>
        <w:tc>
          <w:tcPr>
            <w:tcW w:w="1387" w:type="dxa"/>
            <w:shd w:val="clear" w:color="auto" w:fill="ECF4F5"/>
          </w:tcPr>
          <w:p w14:paraId="62B3A740" w14:textId="77777777" w:rsidR="00E37B34" w:rsidRPr="006D3BE1" w:rsidRDefault="00E37B34" w:rsidP="00E37B34">
            <w:pPr>
              <w:pStyle w:val="71R"/>
              <w:spacing w:before="60" w:after="60" w:line="180" w:lineRule="exact"/>
              <w:cnfStyle w:val="000000100000" w:firstRow="0" w:lastRow="0" w:firstColumn="0" w:lastColumn="0" w:oddVBand="0" w:evenVBand="0" w:oddHBand="1" w:evenHBand="0" w:firstRowFirstColumn="0" w:firstRowLastColumn="0" w:lastRowFirstColumn="0" w:lastRowLastColumn="0"/>
              <w:rPr>
                <w:rtl/>
              </w:rPr>
            </w:pPr>
            <w:r w:rsidRPr="006D3BE1">
              <w:rPr>
                <w:rtl/>
              </w:rPr>
              <w:t>21.20%</w:t>
            </w:r>
          </w:p>
        </w:tc>
        <w:tc>
          <w:tcPr>
            <w:tcW w:w="1388" w:type="dxa"/>
            <w:shd w:val="clear" w:color="auto" w:fill="ECF4F5"/>
          </w:tcPr>
          <w:p w14:paraId="21242AB4" w14:textId="77777777" w:rsidR="00E37B34" w:rsidRPr="006D3BE1" w:rsidRDefault="00E37B34" w:rsidP="00E37B34">
            <w:pPr>
              <w:pStyle w:val="71R"/>
              <w:spacing w:before="60" w:after="60" w:line="180" w:lineRule="exact"/>
              <w:cnfStyle w:val="000000100000" w:firstRow="0" w:lastRow="0" w:firstColumn="0" w:lastColumn="0" w:oddVBand="0" w:evenVBand="0" w:oddHBand="1" w:evenHBand="0" w:firstRowFirstColumn="0" w:firstRowLastColumn="0" w:lastRowFirstColumn="0" w:lastRowLastColumn="0"/>
              <w:rPr>
                <w:color w:val="FF0000"/>
                <w:rtl/>
              </w:rPr>
            </w:pPr>
            <w:r w:rsidRPr="006D3BE1">
              <w:rPr>
                <w:color w:val="FF0000"/>
                <w:rtl/>
              </w:rPr>
              <w:t>18.18%-</w:t>
            </w:r>
          </w:p>
        </w:tc>
      </w:tr>
      <w:tr w:rsidR="00E37B34" w:rsidRPr="00D83D3E" w14:paraId="0F97E644" w14:textId="77777777" w:rsidTr="00E37B34">
        <w:tc>
          <w:tcPr>
            <w:cnfStyle w:val="001000000000" w:firstRow="0" w:lastRow="0" w:firstColumn="1" w:lastColumn="0" w:oddVBand="0" w:evenVBand="0" w:oddHBand="0" w:evenHBand="0" w:firstRowFirstColumn="0" w:firstRowLastColumn="0" w:lastRowFirstColumn="0" w:lastRowLastColumn="0"/>
            <w:tcW w:w="1387" w:type="dxa"/>
            <w:tcBorders>
              <w:left w:val="none" w:sz="0" w:space="0" w:color="auto"/>
              <w:bottom w:val="none" w:sz="0" w:space="0" w:color="auto"/>
            </w:tcBorders>
            <w:shd w:val="clear" w:color="auto" w:fill="DBE8EE"/>
          </w:tcPr>
          <w:p w14:paraId="6BB73E9C" w14:textId="77777777" w:rsidR="00E37B34" w:rsidRPr="006D3BE1" w:rsidRDefault="00E37B34" w:rsidP="00E37B34">
            <w:pPr>
              <w:pStyle w:val="71R"/>
              <w:spacing w:before="60" w:after="60" w:line="180" w:lineRule="exact"/>
              <w:rPr>
                <w:rtl/>
              </w:rPr>
            </w:pPr>
            <w:r w:rsidRPr="006D3BE1">
              <w:rPr>
                <w:rtl/>
              </w:rPr>
              <w:t>תל בונד 60</w:t>
            </w:r>
          </w:p>
        </w:tc>
        <w:tc>
          <w:tcPr>
            <w:tcW w:w="1387" w:type="dxa"/>
            <w:shd w:val="clear" w:color="auto" w:fill="DBE8EE"/>
          </w:tcPr>
          <w:p w14:paraId="6FE9D796" w14:textId="77777777" w:rsidR="00E37B34" w:rsidRPr="006D3BE1" w:rsidRDefault="00E37B34" w:rsidP="00E37B34">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color w:val="FF0000"/>
                <w:rtl/>
              </w:rPr>
            </w:pPr>
            <w:r w:rsidRPr="006D3BE1">
              <w:rPr>
                <w:rtl/>
              </w:rPr>
              <w:t>5.79%</w:t>
            </w:r>
          </w:p>
        </w:tc>
        <w:tc>
          <w:tcPr>
            <w:tcW w:w="1387" w:type="dxa"/>
            <w:shd w:val="clear" w:color="auto" w:fill="DBE8EE"/>
          </w:tcPr>
          <w:p w14:paraId="79008B80" w14:textId="77777777" w:rsidR="00E37B34" w:rsidRPr="006D3BE1" w:rsidRDefault="00E37B34" w:rsidP="00E37B34">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rtl/>
              </w:rPr>
            </w:pPr>
            <w:r w:rsidRPr="006D3BE1">
              <w:rPr>
                <w:color w:val="FF0000"/>
                <w:rtl/>
              </w:rPr>
              <w:t>0.79%-</w:t>
            </w:r>
          </w:p>
        </w:tc>
        <w:tc>
          <w:tcPr>
            <w:tcW w:w="1387" w:type="dxa"/>
            <w:shd w:val="clear" w:color="auto" w:fill="DBE8EE"/>
          </w:tcPr>
          <w:p w14:paraId="24F4B100" w14:textId="77777777" w:rsidR="00E37B34" w:rsidRPr="006D3BE1" w:rsidRDefault="00E37B34" w:rsidP="00E37B34">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rtl/>
              </w:rPr>
            </w:pPr>
            <w:r w:rsidRPr="006D3BE1">
              <w:rPr>
                <w:rtl/>
              </w:rPr>
              <w:t>7.37%</w:t>
            </w:r>
          </w:p>
        </w:tc>
        <w:tc>
          <w:tcPr>
            <w:tcW w:w="1388" w:type="dxa"/>
            <w:shd w:val="clear" w:color="auto" w:fill="DBE8EE"/>
          </w:tcPr>
          <w:p w14:paraId="5A371E72" w14:textId="77777777" w:rsidR="00E37B34" w:rsidRPr="006D3BE1" w:rsidRDefault="00E37B34" w:rsidP="00E37B34">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color w:val="FF0000"/>
                <w:rtl/>
              </w:rPr>
            </w:pPr>
            <w:r w:rsidRPr="006D3BE1">
              <w:rPr>
                <w:color w:val="FF0000"/>
                <w:rtl/>
              </w:rPr>
              <w:t>5.49%-</w:t>
            </w:r>
          </w:p>
        </w:tc>
      </w:tr>
    </w:tbl>
    <w:p w14:paraId="194FA2B3" w14:textId="696EC79B" w:rsidR="00E37B34" w:rsidRPr="00D83D3E" w:rsidRDefault="00E37B34" w:rsidP="00E37B34">
      <w:pPr>
        <w:pStyle w:val="7100"/>
        <w:spacing w:before="60"/>
        <w:rPr>
          <w:rtl/>
        </w:rPr>
      </w:pPr>
      <w:r w:rsidRPr="00D83D3E">
        <w:rPr>
          <w:rtl/>
        </w:rPr>
        <w:t>המקור: נתוני הגופים המבוקרים, נתונים ממערכת גמל נט ונתונים מאתר הבורסה בעיבוד משרד מבקר המדינה.</w:t>
      </w:r>
    </w:p>
    <w:p w14:paraId="3C29828E" w14:textId="62CB4183" w:rsidR="00531C27" w:rsidRPr="00531C27" w:rsidRDefault="00807FA7" w:rsidP="00AB1ACD">
      <w:pPr>
        <w:pStyle w:val="71f3"/>
      </w:pPr>
      <w:r w:rsidRPr="006D32A1">
        <w:rPr>
          <w:rStyle w:val="7195Char"/>
          <w:rFonts w:hint="cs"/>
          <w:rtl/>
        </w:rPr>
        <w:lastRenderedPageBreak/>
        <w:drawing>
          <wp:anchor distT="0" distB="3600450" distL="114300" distR="114300" simplePos="0" relativeHeight="251885056" behindDoc="0" locked="0" layoutInCell="1" allowOverlap="1" wp14:anchorId="66CBD98E" wp14:editId="2A9D2385">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B1ACD" w:rsidRPr="00D83D3E">
        <w:rPr>
          <w:b/>
          <w:bCs/>
          <w:rtl/>
        </w:rPr>
        <w:t>השקעות אחראיות</w:t>
      </w:r>
      <w:r w:rsidR="00AB1ACD" w:rsidRPr="00D83D3E">
        <w:rPr>
          <w:b/>
          <w:bCs/>
        </w:rPr>
        <w:t xml:space="preserve">ESG </w:t>
      </w:r>
      <w:r w:rsidR="00AB1ACD">
        <w:rPr>
          <w:rStyle w:val="FootnoteReference"/>
          <w:sz w:val="19"/>
          <w:szCs w:val="19"/>
          <w:rtl/>
        </w:rPr>
        <w:footnoteReference w:id="3"/>
      </w:r>
      <w:r w:rsidR="00AB1ACD">
        <w:rPr>
          <w:rFonts w:hint="cs"/>
          <w:rtl/>
        </w:rPr>
        <w:t xml:space="preserve"> </w:t>
      </w:r>
      <w:r w:rsidR="00AB1ACD" w:rsidRPr="00D83D3E">
        <w:rPr>
          <w:rtl/>
        </w:rPr>
        <w:t xml:space="preserve">- הגופים המוסדיים שנבדקו בביקורת לא שילבו כללי </w:t>
      </w:r>
      <w:r w:rsidR="00AB1ACD" w:rsidRPr="00D83D3E">
        <w:t>ESG</w:t>
      </w:r>
      <w:r w:rsidR="00AB1ACD" w:rsidRPr="00D83D3E">
        <w:rPr>
          <w:rtl/>
        </w:rPr>
        <w:t xml:space="preserve"> במדיניות ההשקעות. כמו כן מאחר שהם אינם מוגדרים כמשקיעים מוסדיים, הרי שטיוטת חוזר רשות שוק ההון בנושא לא צפויה לחול עליהם</w:t>
      </w:r>
      <w:r w:rsidR="00531C27" w:rsidRPr="00531C27">
        <w:rPr>
          <w:rFonts w:hint="cs"/>
          <w:rtl/>
        </w:rPr>
        <w:t xml:space="preserve">. </w:t>
      </w:r>
    </w:p>
    <w:p w14:paraId="53DDBB75" w14:textId="07CBBF45" w:rsidR="0025204C" w:rsidRPr="0025204C" w:rsidRDefault="001F0906" w:rsidP="00AB1ACD">
      <w:pPr>
        <w:pStyle w:val="71f3"/>
        <w:rPr>
          <w:rtl/>
        </w:rPr>
      </w:pPr>
      <w:r w:rsidRPr="006D32A1">
        <w:rPr>
          <w:rStyle w:val="7195Char"/>
          <w:rFonts w:hint="cs"/>
          <w:rtl/>
        </w:rPr>
        <w:drawing>
          <wp:anchor distT="0" distB="3600450" distL="114300" distR="114300" simplePos="0" relativeHeight="252122624" behindDoc="0" locked="0" layoutInCell="1" allowOverlap="1" wp14:anchorId="2E757AE1" wp14:editId="06D473F6">
            <wp:simplePos x="0" y="0"/>
            <wp:positionH relativeFrom="column">
              <wp:posOffset>4518025</wp:posOffset>
            </wp:positionH>
            <wp:positionV relativeFrom="paragraph">
              <wp:posOffset>53340</wp:posOffset>
            </wp:positionV>
            <wp:extent cx="161925" cy="161925"/>
            <wp:effectExtent l="0" t="0" r="9525" b="952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B1ACD" w:rsidRPr="00D83D3E">
        <w:rPr>
          <w:b/>
          <w:bCs/>
          <w:rtl/>
        </w:rPr>
        <w:t>סוגיות מנהלתיות בעבודת ועדת ההשקעות</w:t>
      </w:r>
      <w:r w:rsidR="00AB1ACD" w:rsidRPr="00D83D3E">
        <w:rPr>
          <w:rtl/>
        </w:rPr>
        <w:t xml:space="preserve"> -</w:t>
      </w:r>
      <w:r w:rsidR="00AB1ACD" w:rsidRPr="00D83D3E">
        <w:rPr>
          <w:b/>
          <w:bCs/>
          <w:rtl/>
        </w:rPr>
        <w:t xml:space="preserve"> </w:t>
      </w:r>
      <w:r w:rsidR="00AB1ACD" w:rsidRPr="00D83D3E">
        <w:rPr>
          <w:rtl/>
        </w:rPr>
        <w:t>הן בקנט והן בקרנית התכנסה ועדת ההשקעות בכל חודש כראוי - פעם בחודש, ואילו באשרא התכנסה הוועדה מיוני 2018 עד יוני 2020 שבע פעמים, אך לא בכל רבעון; בכל הגופים הנבדקים אף כי היה הקוורום</w:t>
      </w:r>
      <w:r w:rsidR="00AB1ACD">
        <w:rPr>
          <w:rStyle w:val="FootnoteReference"/>
          <w:sz w:val="19"/>
          <w:szCs w:val="19"/>
          <w:rtl/>
        </w:rPr>
        <w:footnoteReference w:id="4"/>
      </w:r>
      <w:r w:rsidR="00AB1ACD" w:rsidRPr="00D83D3E">
        <w:rPr>
          <w:rtl/>
        </w:rPr>
        <w:t xml:space="preserve"> הנדרש הייתה היעדרות של דירקטורים בוועדת ההשקעות בחלק נכבד</w:t>
      </w:r>
      <w:r w:rsidR="00AB1ACD">
        <w:rPr>
          <w:rStyle w:val="FootnoteReference"/>
          <w:sz w:val="19"/>
          <w:szCs w:val="19"/>
          <w:rtl/>
        </w:rPr>
        <w:footnoteReference w:id="5"/>
      </w:r>
      <w:r w:rsidR="00AB1ACD" w:rsidRPr="00D83D3E">
        <w:rPr>
          <w:rtl/>
        </w:rPr>
        <w:t xml:space="preserve"> מהישיבות; מסקירת הפרוטוקולים של הגופים השונים עולה כי תוכן הפרוטוקולים של חברת אשרא לוקה בחסר, ואילו בחברת קנט ובקרנית הוא משקף כראוי את הדיונים שנערכו בוועדת ההשקעות ומאפשר להבין היטב את השיקולים שעמדו בבסיס החלטות הוועדה. כן נמצא כי חברי ועדת ההשקעות בחברת אשרא שהם עובדי החברה אינם חתומים על הצהרה בעניין הימנעות מניגודי עניינים הנוגעת לפעילותם בוועדת ההשקעות</w:t>
      </w:r>
      <w:r w:rsidR="0025204C" w:rsidRPr="0025204C">
        <w:rPr>
          <w:rFonts w:hint="cs"/>
          <w:rtl/>
        </w:rPr>
        <w:t xml:space="preserve">. </w:t>
      </w:r>
    </w:p>
    <w:p w14:paraId="00CD1110" w14:textId="0050021B" w:rsidR="00784964" w:rsidRDefault="00784964" w:rsidP="00AB1ACD">
      <w:pPr>
        <w:pStyle w:val="71f3"/>
        <w:rPr>
          <w:rtl/>
        </w:rPr>
      </w:pPr>
      <w:r w:rsidRPr="00784964">
        <w:rPr>
          <w:b/>
          <w:bCs/>
          <w:noProof/>
        </w:rPr>
        <mc:AlternateContent>
          <mc:Choice Requires="wps">
            <w:drawing>
              <wp:anchor distT="45720" distB="45720" distL="114300" distR="114300" simplePos="0" relativeHeight="252051968" behindDoc="0" locked="0" layoutInCell="1" allowOverlap="1" wp14:anchorId="34FA705B" wp14:editId="1F74707B">
                <wp:simplePos x="0" y="0"/>
                <wp:positionH relativeFrom="column">
                  <wp:posOffset>-60960</wp:posOffset>
                </wp:positionH>
                <wp:positionV relativeFrom="paragraph">
                  <wp:posOffset>897890</wp:posOffset>
                </wp:positionV>
                <wp:extent cx="4828540" cy="472440"/>
                <wp:effectExtent l="0" t="0" r="0" b="3810"/>
                <wp:wrapSquare wrapText="bothSides"/>
                <wp:docPr id="2052770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472440"/>
                        </a:xfrm>
                        <a:prstGeom prst="rect">
                          <a:avLst/>
                        </a:prstGeom>
                        <a:solidFill>
                          <a:srgbClr val="FFFFFF"/>
                        </a:solidFill>
                        <a:ln w="9525">
                          <a:noFill/>
                          <a:miter lim="800000"/>
                          <a:headEnd/>
                          <a:tailEnd/>
                        </a:ln>
                      </wps:spPr>
                      <wps:txbx>
                        <w:txbxContent>
                          <w:p w14:paraId="1A0CECD6" w14:textId="5B8410E5" w:rsidR="00784964" w:rsidRPr="00784964" w:rsidRDefault="00784964">
                            <w:pPr>
                              <w:rPr>
                                <w:rFonts w:ascii="Tahoma" w:hAnsi="Tahoma" w:cs="Tahoma"/>
                                <w:b/>
                                <w:bCs/>
                                <w:color w:val="0D0D0D" w:themeColor="text1" w:themeTint="F2"/>
                                <w:sz w:val="19"/>
                                <w:szCs w:val="19"/>
                              </w:rPr>
                            </w:pPr>
                            <w:r w:rsidRPr="00784964">
                              <w:rPr>
                                <w:rFonts w:ascii="Tahoma" w:hAnsi="Tahoma" w:cs="Tahoma"/>
                                <w:b/>
                                <w:bCs/>
                                <w:color w:val="0D0D0D" w:themeColor="text1" w:themeTint="F2"/>
                                <w:sz w:val="19"/>
                                <w:szCs w:val="19"/>
                                <w:rtl/>
                              </w:rPr>
                              <w:t>חברות ממשלתיות ותאגידים סטטוטוריים - חברת החשמל, נמל חיפה, נמל אשדוד, רשות שדות התעופה והקרן לשיקום מחצבות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A705B" id="_x0000_s1028" type="#_x0000_t202" style="position:absolute;left:0;text-align:left;margin-left:-4.8pt;margin-top:70.7pt;width:380.2pt;height:37.2pt;z-index:25205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" stroked="f">
                <v:textbox>
                  <w:txbxContent>
                    <w:p w14:paraId="1A0CECD6" w14:textId="5B8410E5" w:rsidR="00784964" w:rsidRPr="00784964" w:rsidRDefault="00784964">
                      <w:pPr>
                        <w:rPr>
                          <w:rFonts w:ascii="Tahoma" w:hAnsi="Tahoma" w:cs="Tahoma"/>
                          <w:b/>
                          <w:bCs/>
                          <w:color w:val="0D0D0D" w:themeColor="text1" w:themeTint="F2"/>
                          <w:sz w:val="19"/>
                          <w:szCs w:val="19"/>
                        </w:rPr>
                      </w:pPr>
                      <w:r w:rsidRPr="00784964">
                        <w:rPr>
                          <w:rFonts w:ascii="Tahoma" w:hAnsi="Tahoma" w:cs="Tahoma"/>
                          <w:b/>
                          <w:bCs/>
                          <w:color w:val="0D0D0D" w:themeColor="text1" w:themeTint="F2"/>
                          <w:sz w:val="19"/>
                          <w:szCs w:val="19"/>
                          <w:rtl/>
                        </w:rPr>
                        <w:t>חברות ממשלתיות ותאגידים סטטוטוריים - חברת החשמל, נמל חיפה, נמל אשדוד, רשות שדות התעופה והקרן לשיקום מחצבות</w:t>
                      </w:r>
                    </w:p>
                  </w:txbxContent>
                </v:textbox>
                <w10:wrap type="square"/>
              </v:shape>
            </w:pict>
          </mc:Fallback>
        </mc:AlternateContent>
      </w:r>
      <w:r w:rsidR="00807FA7" w:rsidRPr="0069093D">
        <w:rPr>
          <w:rFonts w:hint="cs"/>
          <w:b/>
          <w:bCs/>
          <w:noProof/>
          <w:rtl/>
        </w:rPr>
        <w:drawing>
          <wp:anchor distT="0" distB="3600450" distL="114300" distR="114300" simplePos="0" relativeHeight="251888128" behindDoc="1" locked="0" layoutInCell="1" allowOverlap="1" wp14:anchorId="74BFE39F" wp14:editId="05769A76">
            <wp:simplePos x="0" y="0"/>
            <wp:positionH relativeFrom="column">
              <wp:posOffset>4518660</wp:posOffset>
            </wp:positionH>
            <wp:positionV relativeFrom="paragraph">
              <wp:posOffset>44450</wp:posOffset>
            </wp:positionV>
            <wp:extent cx="161925" cy="161925"/>
            <wp:effectExtent l="0" t="0" r="9525" b="9525"/>
            <wp:wrapTight wrapText="bothSides">
              <wp:wrapPolygon edited="0">
                <wp:start x="0" y="0"/>
                <wp:lineTo x="0" y="15247"/>
                <wp:lineTo x="5082" y="20329"/>
                <wp:lineTo x="17788" y="20329"/>
                <wp:lineTo x="20329" y="15247"/>
                <wp:lineTo x="20329"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B1ACD" w:rsidRPr="00D83D3E">
        <w:rPr>
          <w:b/>
          <w:bCs/>
          <w:rtl/>
        </w:rPr>
        <w:t xml:space="preserve">סוגיות מקצועיות בעבודת ועדת ההשקעות </w:t>
      </w:r>
      <w:r w:rsidR="00AB1ACD" w:rsidRPr="00D83D3E">
        <w:rPr>
          <w:rtl/>
        </w:rPr>
        <w:t>- חברת אשרא בשנת 2020 בהיעדר קוורום, לא אישרה את מדיניות ההשקעה בדירקטוריון; חברת אשרא אינה משווה את ביצועי מנהלי התיקים השונים תוך התייחסות לתשואה ביחס למדדי סיכון שונים; רק במרץ 2018 מונה לקרנית מנהל סיכונים; בתקופה שנבחנה לא בוצעה ביקורת פנימית בנושא ההשקעות בחברת אשרא</w:t>
      </w:r>
      <w:r w:rsidR="00D40584" w:rsidRPr="0051536E">
        <w:rPr>
          <w:rtl/>
        </w:rPr>
        <w:t>.</w:t>
      </w:r>
    </w:p>
    <w:p w14:paraId="561444B7" w14:textId="4AEB96E9" w:rsidR="00807FA7" w:rsidRPr="0025204C" w:rsidRDefault="00784964" w:rsidP="00BE29D4">
      <w:pPr>
        <w:pStyle w:val="71f3"/>
      </w:pPr>
      <w:r w:rsidRPr="0069093D">
        <w:rPr>
          <w:rFonts w:hint="cs"/>
          <w:b/>
          <w:bCs/>
          <w:noProof/>
          <w:rtl/>
        </w:rPr>
        <w:drawing>
          <wp:anchor distT="0" distB="3600450" distL="114300" distR="114300" simplePos="0" relativeHeight="252055040" behindDoc="0" locked="0" layoutInCell="1" allowOverlap="1" wp14:anchorId="61A54E8C" wp14:editId="58AEF4A1">
            <wp:simplePos x="0" y="0"/>
            <wp:positionH relativeFrom="column">
              <wp:posOffset>4518025</wp:posOffset>
            </wp:positionH>
            <wp:positionV relativeFrom="paragraph">
              <wp:posOffset>533400</wp:posOffset>
            </wp:positionV>
            <wp:extent cx="161925" cy="161925"/>
            <wp:effectExtent l="0" t="0" r="9525" b="9525"/>
            <wp:wrapSquare wrapText="bothSides"/>
            <wp:docPr id="2052770968" name="Picture 205277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7FA7" w:rsidRPr="009E6333">
        <w:rPr>
          <w:rStyle w:val="7195Char"/>
          <w:rFonts w:hint="cs"/>
          <w:rtl/>
        </w:rPr>
        <w:drawing>
          <wp:anchor distT="0" distB="3600450" distL="114300" distR="114300" simplePos="0" relativeHeight="251889152" behindDoc="1" locked="0" layoutInCell="1" allowOverlap="1" wp14:anchorId="1E9554F7" wp14:editId="4B093AFE">
            <wp:simplePos x="0" y="0"/>
            <wp:positionH relativeFrom="column">
              <wp:posOffset>4495800</wp:posOffset>
            </wp:positionH>
            <wp:positionV relativeFrom="paragraph">
              <wp:posOffset>41910</wp:posOffset>
            </wp:positionV>
            <wp:extent cx="161925" cy="161925"/>
            <wp:effectExtent l="0" t="0" r="9525" b="9525"/>
            <wp:wrapTight wrapText="bothSides">
              <wp:wrapPolygon edited="0">
                <wp:start x="0" y="0"/>
                <wp:lineTo x="0" y="15247"/>
                <wp:lineTo x="5082" y="20329"/>
                <wp:lineTo x="17788" y="20329"/>
                <wp:lineTo x="20329" y="15247"/>
                <wp:lineTo x="20329"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E29D4" w:rsidRPr="00D83D3E">
        <w:rPr>
          <w:b/>
          <w:bCs/>
          <w:rtl/>
        </w:rPr>
        <w:t>הרכב תיקי ההשקעה -</w:t>
      </w:r>
      <w:r w:rsidR="00BE29D4" w:rsidRPr="00D83D3E">
        <w:rPr>
          <w:rtl/>
        </w:rPr>
        <w:t xml:space="preserve"> קיימת שונות בין הרכבי התיקים של הגופים שנבדקו הן בתיקי ההשקעות השוטפות והן בתיקי ההשקעות לפנסייה. עם זאת, יצוין כי אחוז ההשקעה של הגופים שנבדקו באגרות חוב ממשלתיות וקונצרניות נע בין 69% ל-98% וכי הם אינם משקיעים באפיקים אלטרנטיביים כגון קרנות השקעה</w:t>
      </w:r>
      <w:r w:rsidR="0025204C" w:rsidRPr="00BC5F1F">
        <w:rPr>
          <w:rFonts w:hint="cs"/>
          <w:rtl/>
        </w:rPr>
        <w:t>.</w:t>
      </w:r>
    </w:p>
    <w:p w14:paraId="629CF945" w14:textId="266BD4A6" w:rsidR="00907B7B" w:rsidRDefault="00807FA7" w:rsidP="00BE29D4">
      <w:pPr>
        <w:pStyle w:val="71f3"/>
        <w:rPr>
          <w:rtl/>
        </w:rPr>
      </w:pPr>
      <w:r w:rsidRPr="0069093D">
        <w:rPr>
          <w:rFonts w:hint="cs"/>
          <w:b/>
          <w:bCs/>
          <w:noProof/>
          <w:rtl/>
        </w:rPr>
        <w:drawing>
          <wp:anchor distT="0" distB="3600450" distL="114300" distR="114300" simplePos="0" relativeHeight="251890176" behindDoc="0" locked="0" layoutInCell="1" allowOverlap="1" wp14:anchorId="4F5FB196" wp14:editId="43B2628F">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E29D4" w:rsidRPr="00D83D3E">
        <w:rPr>
          <w:b/>
          <w:bCs/>
          <w:rtl/>
        </w:rPr>
        <w:t xml:space="preserve">התשואה של תיקי ההשקעות השוטפות </w:t>
      </w:r>
      <w:r w:rsidR="00BE29D4" w:rsidRPr="00D83D3E">
        <w:rPr>
          <w:rtl/>
        </w:rPr>
        <w:t xml:space="preserve">- קיימים הבדלים בין תשואות החברות הממשלתיות והתאגידים הסטטוטוריים בתקופה שבין 2017 ליוני 2020, ובינם לבין קרנות ההשתלמות ומדדים נבחרים נוספים. הבדלים אלה נובעים משונות בין הרכבי התיקים </w:t>
      </w:r>
      <w:r w:rsidR="00BE29D4" w:rsidRPr="00BE29D4">
        <w:rPr>
          <w:rtl/>
        </w:rPr>
        <w:t>ומפרופיל</w:t>
      </w:r>
      <w:r w:rsidR="00BE29D4" w:rsidRPr="00D83D3E">
        <w:rPr>
          <w:rtl/>
        </w:rPr>
        <w:t xml:space="preserve"> סיכון שונה שלהם שבא לידי ביטוי בין היתר באחוזי החשיפה לנכסים השונים ובאופק השקעה שונה הנדרש בהתאם לצורכי התזרים של כל גוף. להלן נתוני התשואות של הגופים השונים:</w:t>
      </w:r>
    </w:p>
    <w:p w14:paraId="666EBAA0" w14:textId="77777777" w:rsidR="00907B7B" w:rsidRDefault="00907B7B">
      <w:pPr>
        <w:bidi w:val="0"/>
        <w:spacing w:after="200" w:line="276" w:lineRule="auto"/>
        <w:rPr>
          <w:rFonts w:ascii="Tahoma" w:hAnsi="Tahoma" w:cs="Tahoma"/>
          <w:color w:val="0D0D0D" w:themeColor="text1" w:themeTint="F2"/>
          <w:sz w:val="18"/>
          <w:szCs w:val="18"/>
          <w:rtl/>
        </w:rPr>
      </w:pPr>
      <w:r>
        <w:rPr>
          <w:rtl/>
        </w:rPr>
        <w:br w:type="page"/>
      </w:r>
    </w:p>
    <w:tbl>
      <w:tblPr>
        <w:tblStyle w:val="GridTable5Dark-Accent1"/>
        <w:tblpPr w:leftFromText="180" w:rightFromText="180" w:vertAnchor="text" w:horzAnchor="margin" w:tblpY="4"/>
        <w:bidiVisual/>
        <w:tblW w:w="0" w:type="auto"/>
        <w:tblBorders>
          <w:left w:val="single" w:sz="4" w:space="0" w:color="0D0D0D" w:themeColor="text1" w:themeTint="F2"/>
          <w:right w:val="single" w:sz="4" w:space="0" w:color="0D0D0D" w:themeColor="text1" w:themeTint="F2"/>
          <w:insideH w:val="none" w:sz="0" w:space="0" w:color="auto"/>
          <w:insideV w:val="single" w:sz="4" w:space="0" w:color="0D0D0D" w:themeColor="text1" w:themeTint="F2"/>
        </w:tblBorders>
        <w:tblLook w:val="04A0" w:firstRow="1" w:lastRow="0" w:firstColumn="1" w:lastColumn="0" w:noHBand="0" w:noVBand="1"/>
      </w:tblPr>
      <w:tblGrid>
        <w:gridCol w:w="1387"/>
        <w:gridCol w:w="1387"/>
        <w:gridCol w:w="1387"/>
        <w:gridCol w:w="1387"/>
        <w:gridCol w:w="1388"/>
      </w:tblGrid>
      <w:tr w:rsidR="00907B7B" w:rsidRPr="006D3BE1" w14:paraId="09549ECC" w14:textId="77777777" w:rsidTr="006963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Borders>
              <w:top w:val="none" w:sz="0" w:space="0" w:color="auto"/>
              <w:left w:val="none" w:sz="0" w:space="0" w:color="auto"/>
              <w:right w:val="none" w:sz="0" w:space="0" w:color="auto"/>
            </w:tcBorders>
            <w:shd w:val="clear" w:color="auto" w:fill="C6DCE4"/>
          </w:tcPr>
          <w:p w14:paraId="40FA66CA" w14:textId="77777777" w:rsidR="00907B7B" w:rsidRPr="006D3BE1" w:rsidRDefault="00907B7B" w:rsidP="00941375">
            <w:pPr>
              <w:pStyle w:val="71R"/>
              <w:spacing w:line="220" w:lineRule="exact"/>
              <w:jc w:val="center"/>
              <w:rPr>
                <w:rtl/>
              </w:rPr>
            </w:pPr>
            <w:r w:rsidRPr="006D3BE1">
              <w:rPr>
                <w:rFonts w:hint="cs"/>
                <w:rtl/>
              </w:rPr>
              <w:lastRenderedPageBreak/>
              <w:t>ה</w:t>
            </w:r>
            <w:r w:rsidRPr="006D3BE1">
              <w:rPr>
                <w:rtl/>
              </w:rPr>
              <w:t>גוף</w:t>
            </w:r>
          </w:p>
        </w:tc>
        <w:tc>
          <w:tcPr>
            <w:tcW w:w="1387" w:type="dxa"/>
            <w:tcBorders>
              <w:top w:val="none" w:sz="0" w:space="0" w:color="auto"/>
              <w:left w:val="none" w:sz="0" w:space="0" w:color="auto"/>
              <w:right w:val="none" w:sz="0" w:space="0" w:color="auto"/>
            </w:tcBorders>
            <w:shd w:val="clear" w:color="auto" w:fill="C6DCE4"/>
          </w:tcPr>
          <w:p w14:paraId="614624FA" w14:textId="1AB12598" w:rsidR="00907B7B" w:rsidRPr="006D3BE1" w:rsidRDefault="00907B7B" w:rsidP="00941375">
            <w:pPr>
              <w:pStyle w:val="71R"/>
              <w:spacing w:line="220" w:lineRule="exact"/>
              <w:jc w:val="center"/>
              <w:cnfStyle w:val="100000000000" w:firstRow="1" w:lastRow="0" w:firstColumn="0" w:lastColumn="0" w:oddVBand="0" w:evenVBand="0" w:oddHBand="0" w:evenHBand="0" w:firstRowFirstColumn="0" w:firstRowLastColumn="0" w:lastRowFirstColumn="0" w:lastRowLastColumn="0"/>
              <w:rPr>
                <w:rtl/>
              </w:rPr>
            </w:pPr>
            <w:r w:rsidRPr="006D3BE1">
              <w:rPr>
                <w:rtl/>
              </w:rPr>
              <w:t>2017</w:t>
            </w:r>
          </w:p>
        </w:tc>
        <w:tc>
          <w:tcPr>
            <w:tcW w:w="1387" w:type="dxa"/>
            <w:tcBorders>
              <w:top w:val="none" w:sz="0" w:space="0" w:color="auto"/>
              <w:left w:val="none" w:sz="0" w:space="0" w:color="auto"/>
              <w:right w:val="none" w:sz="0" w:space="0" w:color="auto"/>
            </w:tcBorders>
            <w:shd w:val="clear" w:color="auto" w:fill="C6DCE4"/>
          </w:tcPr>
          <w:p w14:paraId="5B05839A" w14:textId="77777777" w:rsidR="00907B7B" w:rsidRPr="006D3BE1" w:rsidRDefault="00907B7B" w:rsidP="00941375">
            <w:pPr>
              <w:pStyle w:val="71R"/>
              <w:spacing w:line="220" w:lineRule="exact"/>
              <w:jc w:val="center"/>
              <w:cnfStyle w:val="100000000000" w:firstRow="1" w:lastRow="0" w:firstColumn="0" w:lastColumn="0" w:oddVBand="0" w:evenVBand="0" w:oddHBand="0" w:evenHBand="0" w:firstRowFirstColumn="0" w:firstRowLastColumn="0" w:lastRowFirstColumn="0" w:lastRowLastColumn="0"/>
              <w:rPr>
                <w:rtl/>
              </w:rPr>
            </w:pPr>
            <w:r w:rsidRPr="006D3BE1">
              <w:rPr>
                <w:rtl/>
              </w:rPr>
              <w:t>2018</w:t>
            </w:r>
          </w:p>
        </w:tc>
        <w:tc>
          <w:tcPr>
            <w:tcW w:w="1387" w:type="dxa"/>
            <w:tcBorders>
              <w:top w:val="none" w:sz="0" w:space="0" w:color="auto"/>
              <w:left w:val="none" w:sz="0" w:space="0" w:color="auto"/>
              <w:right w:val="none" w:sz="0" w:space="0" w:color="auto"/>
            </w:tcBorders>
            <w:shd w:val="clear" w:color="auto" w:fill="C6DCE4"/>
          </w:tcPr>
          <w:p w14:paraId="7D96A3A7" w14:textId="77777777" w:rsidR="00907B7B" w:rsidRPr="006D3BE1" w:rsidRDefault="00907B7B" w:rsidP="00941375">
            <w:pPr>
              <w:pStyle w:val="71R"/>
              <w:spacing w:line="220" w:lineRule="exact"/>
              <w:jc w:val="center"/>
              <w:cnfStyle w:val="100000000000" w:firstRow="1" w:lastRow="0" w:firstColumn="0" w:lastColumn="0" w:oddVBand="0" w:evenVBand="0" w:oddHBand="0" w:evenHBand="0" w:firstRowFirstColumn="0" w:firstRowLastColumn="0" w:lastRowFirstColumn="0" w:lastRowLastColumn="0"/>
              <w:rPr>
                <w:rtl/>
              </w:rPr>
            </w:pPr>
            <w:r w:rsidRPr="006D3BE1">
              <w:rPr>
                <w:rtl/>
              </w:rPr>
              <w:t>2019</w:t>
            </w:r>
          </w:p>
        </w:tc>
        <w:tc>
          <w:tcPr>
            <w:tcW w:w="1388" w:type="dxa"/>
            <w:tcBorders>
              <w:top w:val="none" w:sz="0" w:space="0" w:color="auto"/>
              <w:left w:val="none" w:sz="0" w:space="0" w:color="auto"/>
              <w:right w:val="none" w:sz="0" w:space="0" w:color="auto"/>
            </w:tcBorders>
            <w:shd w:val="clear" w:color="auto" w:fill="C6DCE4"/>
          </w:tcPr>
          <w:p w14:paraId="17112F69" w14:textId="77777777" w:rsidR="00907B7B" w:rsidRPr="006D3BE1" w:rsidRDefault="00907B7B" w:rsidP="00941375">
            <w:pPr>
              <w:pStyle w:val="71R"/>
              <w:spacing w:line="220" w:lineRule="exact"/>
              <w:jc w:val="center"/>
              <w:cnfStyle w:val="100000000000" w:firstRow="1" w:lastRow="0" w:firstColumn="0" w:lastColumn="0" w:oddVBand="0" w:evenVBand="0" w:oddHBand="0" w:evenHBand="0" w:firstRowFirstColumn="0" w:firstRowLastColumn="0" w:lastRowFirstColumn="0" w:lastRowLastColumn="0"/>
              <w:rPr>
                <w:rtl/>
              </w:rPr>
            </w:pPr>
            <w:r w:rsidRPr="006D3BE1">
              <w:rPr>
                <w:rtl/>
              </w:rPr>
              <w:t>1-6.20</w:t>
            </w:r>
          </w:p>
        </w:tc>
      </w:tr>
      <w:tr w:rsidR="00907B7B" w:rsidRPr="006D3BE1" w14:paraId="14AB059B" w14:textId="77777777" w:rsidTr="00696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gridSpan w:val="5"/>
            <w:tcBorders>
              <w:left w:val="none" w:sz="0" w:space="0" w:color="auto"/>
            </w:tcBorders>
            <w:shd w:val="clear" w:color="auto" w:fill="C6DCE4"/>
          </w:tcPr>
          <w:p w14:paraId="0E5CAECF" w14:textId="77777777" w:rsidR="00907B7B" w:rsidRPr="006D3BE1" w:rsidRDefault="00907B7B" w:rsidP="00941375">
            <w:pPr>
              <w:pStyle w:val="71R"/>
              <w:spacing w:line="220" w:lineRule="exact"/>
              <w:jc w:val="center"/>
              <w:rPr>
                <w:color w:val="FF0000"/>
                <w:rtl/>
              </w:rPr>
            </w:pPr>
            <w:r w:rsidRPr="006D3BE1">
              <w:rPr>
                <w:color w:val="auto"/>
                <w:rtl/>
              </w:rPr>
              <w:t>גופים נבדקים בביקורת</w:t>
            </w:r>
          </w:p>
        </w:tc>
      </w:tr>
      <w:tr w:rsidR="00696305" w:rsidRPr="006D3BE1" w14:paraId="14A7587D" w14:textId="77777777" w:rsidTr="00696305">
        <w:tc>
          <w:tcPr>
            <w:cnfStyle w:val="001000000000" w:firstRow="0" w:lastRow="0" w:firstColumn="1" w:lastColumn="0" w:oddVBand="0" w:evenVBand="0" w:oddHBand="0" w:evenHBand="0" w:firstRowFirstColumn="0" w:firstRowLastColumn="0" w:lastRowFirstColumn="0" w:lastRowLastColumn="0"/>
            <w:tcW w:w="1387" w:type="dxa"/>
            <w:tcBorders>
              <w:left w:val="none" w:sz="0" w:space="0" w:color="auto"/>
            </w:tcBorders>
            <w:shd w:val="clear" w:color="auto" w:fill="DBE8EE"/>
          </w:tcPr>
          <w:p w14:paraId="0002CCF3" w14:textId="5016A773" w:rsidR="00696305" w:rsidRPr="006D3BE1" w:rsidRDefault="00696305" w:rsidP="000E683C">
            <w:pPr>
              <w:pStyle w:val="71R"/>
              <w:spacing w:line="220" w:lineRule="exact"/>
              <w:rPr>
                <w:rtl/>
              </w:rPr>
            </w:pPr>
            <w:r w:rsidRPr="00D83D3E">
              <w:rPr>
                <w:rtl/>
              </w:rPr>
              <w:t>נמל חיפה</w:t>
            </w:r>
          </w:p>
        </w:tc>
        <w:tc>
          <w:tcPr>
            <w:tcW w:w="1387" w:type="dxa"/>
            <w:shd w:val="clear" w:color="auto" w:fill="DBE8EE"/>
          </w:tcPr>
          <w:p w14:paraId="067D3E41" w14:textId="21D6ACF8" w:rsidR="00696305" w:rsidRPr="006D3BE1" w:rsidRDefault="00696305" w:rsidP="000E683C">
            <w:pPr>
              <w:pStyle w:val="71R"/>
              <w:spacing w:line="220" w:lineRule="exact"/>
              <w:cnfStyle w:val="000000000000" w:firstRow="0" w:lastRow="0" w:firstColumn="0" w:lastColumn="0" w:oddVBand="0" w:evenVBand="0" w:oddHBand="0" w:evenHBand="0" w:firstRowFirstColumn="0" w:firstRowLastColumn="0" w:lastRowFirstColumn="0" w:lastRowLastColumn="0"/>
              <w:rPr>
                <w:color w:val="FF0000"/>
                <w:rtl/>
              </w:rPr>
            </w:pPr>
            <w:r w:rsidRPr="00D83D3E">
              <w:rPr>
                <w:rtl/>
              </w:rPr>
              <w:t>4.82%</w:t>
            </w:r>
          </w:p>
        </w:tc>
        <w:tc>
          <w:tcPr>
            <w:tcW w:w="1387" w:type="dxa"/>
            <w:shd w:val="clear" w:color="auto" w:fill="DBE8EE"/>
          </w:tcPr>
          <w:p w14:paraId="0DC9EB08" w14:textId="454C4B13" w:rsidR="00696305" w:rsidRPr="006D3BE1" w:rsidRDefault="00696305" w:rsidP="000E683C">
            <w:pPr>
              <w:pStyle w:val="71R"/>
              <w:spacing w:line="220" w:lineRule="exact"/>
              <w:cnfStyle w:val="000000000000" w:firstRow="0" w:lastRow="0" w:firstColumn="0" w:lastColumn="0" w:oddVBand="0" w:evenVBand="0" w:oddHBand="0" w:evenHBand="0" w:firstRowFirstColumn="0" w:firstRowLastColumn="0" w:lastRowFirstColumn="0" w:lastRowLastColumn="0"/>
              <w:rPr>
                <w:rtl/>
              </w:rPr>
            </w:pPr>
            <w:r w:rsidRPr="00D83D3E">
              <w:rPr>
                <w:color w:val="FF0000"/>
                <w:rtl/>
              </w:rPr>
              <w:t>1.85%-</w:t>
            </w:r>
          </w:p>
        </w:tc>
        <w:tc>
          <w:tcPr>
            <w:tcW w:w="1387" w:type="dxa"/>
            <w:shd w:val="clear" w:color="auto" w:fill="DBE8EE"/>
          </w:tcPr>
          <w:p w14:paraId="164A41AF" w14:textId="744CE62D" w:rsidR="00696305" w:rsidRPr="006D3BE1" w:rsidRDefault="00696305" w:rsidP="000E683C">
            <w:pPr>
              <w:pStyle w:val="71R"/>
              <w:spacing w:line="220" w:lineRule="exact"/>
              <w:cnfStyle w:val="000000000000" w:firstRow="0" w:lastRow="0" w:firstColumn="0" w:lastColumn="0" w:oddVBand="0" w:evenVBand="0" w:oddHBand="0" w:evenHBand="0" w:firstRowFirstColumn="0" w:firstRowLastColumn="0" w:lastRowFirstColumn="0" w:lastRowLastColumn="0"/>
              <w:rPr>
                <w:rtl/>
              </w:rPr>
            </w:pPr>
            <w:r w:rsidRPr="00D83D3E">
              <w:rPr>
                <w:rtl/>
              </w:rPr>
              <w:t>9.30%</w:t>
            </w:r>
          </w:p>
        </w:tc>
        <w:tc>
          <w:tcPr>
            <w:tcW w:w="1388" w:type="dxa"/>
            <w:shd w:val="clear" w:color="auto" w:fill="DBE8EE"/>
          </w:tcPr>
          <w:p w14:paraId="39C6A4A6" w14:textId="0FCD4DAE" w:rsidR="00696305" w:rsidRPr="006D3BE1" w:rsidRDefault="00696305" w:rsidP="000E683C">
            <w:pPr>
              <w:pStyle w:val="71R"/>
              <w:spacing w:line="220" w:lineRule="exact"/>
              <w:cnfStyle w:val="000000000000" w:firstRow="0" w:lastRow="0" w:firstColumn="0" w:lastColumn="0" w:oddVBand="0" w:evenVBand="0" w:oddHBand="0" w:evenHBand="0" w:firstRowFirstColumn="0" w:firstRowLastColumn="0" w:lastRowFirstColumn="0" w:lastRowLastColumn="0"/>
              <w:rPr>
                <w:color w:val="FF0000"/>
                <w:rtl/>
              </w:rPr>
            </w:pPr>
            <w:r w:rsidRPr="00D83D3E">
              <w:rPr>
                <w:color w:val="FF0000"/>
                <w:rtl/>
              </w:rPr>
              <w:t>4.71%-</w:t>
            </w:r>
          </w:p>
        </w:tc>
      </w:tr>
      <w:tr w:rsidR="00696305" w:rsidRPr="006D3BE1" w14:paraId="115C9F61" w14:textId="77777777" w:rsidTr="00696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Borders>
              <w:left w:val="none" w:sz="0" w:space="0" w:color="auto"/>
            </w:tcBorders>
            <w:shd w:val="clear" w:color="auto" w:fill="ECF4F5"/>
          </w:tcPr>
          <w:p w14:paraId="72FA6143" w14:textId="4AF360AB" w:rsidR="00696305" w:rsidRPr="006D3BE1" w:rsidRDefault="00696305" w:rsidP="000E683C">
            <w:pPr>
              <w:pStyle w:val="71R"/>
              <w:spacing w:line="220" w:lineRule="exact"/>
              <w:rPr>
                <w:rtl/>
              </w:rPr>
            </w:pPr>
            <w:r w:rsidRPr="00D83D3E">
              <w:rPr>
                <w:rtl/>
              </w:rPr>
              <w:t>נמל אשדוד</w:t>
            </w:r>
          </w:p>
        </w:tc>
        <w:tc>
          <w:tcPr>
            <w:tcW w:w="1387" w:type="dxa"/>
            <w:shd w:val="clear" w:color="auto" w:fill="ECF4F5"/>
          </w:tcPr>
          <w:p w14:paraId="0A724DD7" w14:textId="580C0206" w:rsidR="00696305" w:rsidRPr="006D3BE1" w:rsidRDefault="00696305" w:rsidP="000E683C">
            <w:pPr>
              <w:pStyle w:val="71R"/>
              <w:spacing w:line="220" w:lineRule="exact"/>
              <w:cnfStyle w:val="000000100000" w:firstRow="0" w:lastRow="0" w:firstColumn="0" w:lastColumn="0" w:oddVBand="0" w:evenVBand="0" w:oddHBand="1" w:evenHBand="0" w:firstRowFirstColumn="0" w:firstRowLastColumn="0" w:lastRowFirstColumn="0" w:lastRowLastColumn="0"/>
              <w:rPr>
                <w:rtl/>
              </w:rPr>
            </w:pPr>
            <w:r w:rsidRPr="00D83D3E">
              <w:rPr>
                <w:rtl/>
              </w:rPr>
              <w:t>3.27%</w:t>
            </w:r>
          </w:p>
        </w:tc>
        <w:tc>
          <w:tcPr>
            <w:tcW w:w="1387" w:type="dxa"/>
            <w:shd w:val="clear" w:color="auto" w:fill="ECF4F5"/>
          </w:tcPr>
          <w:p w14:paraId="5E20E661" w14:textId="7AB2729A" w:rsidR="00696305" w:rsidRPr="006D3BE1" w:rsidRDefault="00696305" w:rsidP="000E683C">
            <w:pPr>
              <w:pStyle w:val="71R"/>
              <w:spacing w:line="220" w:lineRule="exact"/>
              <w:cnfStyle w:val="000000100000" w:firstRow="0" w:lastRow="0" w:firstColumn="0" w:lastColumn="0" w:oddVBand="0" w:evenVBand="0" w:oddHBand="1" w:evenHBand="0" w:firstRowFirstColumn="0" w:firstRowLastColumn="0" w:lastRowFirstColumn="0" w:lastRowLastColumn="0"/>
              <w:rPr>
                <w:rtl/>
              </w:rPr>
            </w:pPr>
            <w:r w:rsidRPr="00D83D3E">
              <w:rPr>
                <w:color w:val="FF0000"/>
                <w:rtl/>
              </w:rPr>
              <w:t>0.62%-</w:t>
            </w:r>
          </w:p>
        </w:tc>
        <w:tc>
          <w:tcPr>
            <w:tcW w:w="1387" w:type="dxa"/>
            <w:shd w:val="clear" w:color="auto" w:fill="ECF4F5"/>
          </w:tcPr>
          <w:p w14:paraId="2F32F6B3" w14:textId="70DEF26A" w:rsidR="00696305" w:rsidRPr="006D3BE1" w:rsidRDefault="00696305" w:rsidP="000E683C">
            <w:pPr>
              <w:pStyle w:val="71R"/>
              <w:spacing w:line="220" w:lineRule="exact"/>
              <w:cnfStyle w:val="000000100000" w:firstRow="0" w:lastRow="0" w:firstColumn="0" w:lastColumn="0" w:oddVBand="0" w:evenVBand="0" w:oddHBand="1" w:evenHBand="0" w:firstRowFirstColumn="0" w:firstRowLastColumn="0" w:lastRowFirstColumn="0" w:lastRowLastColumn="0"/>
              <w:rPr>
                <w:rtl/>
              </w:rPr>
            </w:pPr>
            <w:r w:rsidRPr="00D83D3E">
              <w:rPr>
                <w:rtl/>
              </w:rPr>
              <w:t>5.60%</w:t>
            </w:r>
          </w:p>
        </w:tc>
        <w:tc>
          <w:tcPr>
            <w:tcW w:w="1388" w:type="dxa"/>
            <w:shd w:val="clear" w:color="auto" w:fill="ECF4F5"/>
          </w:tcPr>
          <w:p w14:paraId="512EF43D" w14:textId="0491CC50" w:rsidR="00696305" w:rsidRPr="006D3BE1" w:rsidRDefault="00696305" w:rsidP="000E683C">
            <w:pPr>
              <w:pStyle w:val="71R"/>
              <w:spacing w:line="220" w:lineRule="exact"/>
              <w:cnfStyle w:val="000000100000" w:firstRow="0" w:lastRow="0" w:firstColumn="0" w:lastColumn="0" w:oddVBand="0" w:evenVBand="0" w:oddHBand="1" w:evenHBand="0" w:firstRowFirstColumn="0" w:firstRowLastColumn="0" w:lastRowFirstColumn="0" w:lastRowLastColumn="0"/>
              <w:rPr>
                <w:rtl/>
              </w:rPr>
            </w:pPr>
            <w:r w:rsidRPr="00D83D3E">
              <w:rPr>
                <w:color w:val="FF0000"/>
                <w:rtl/>
              </w:rPr>
              <w:t>1.36%-</w:t>
            </w:r>
          </w:p>
        </w:tc>
      </w:tr>
      <w:tr w:rsidR="00696305" w:rsidRPr="006D3BE1" w14:paraId="77A894D6" w14:textId="77777777" w:rsidTr="007F59FF">
        <w:tc>
          <w:tcPr>
            <w:cnfStyle w:val="001000000000" w:firstRow="0" w:lastRow="0" w:firstColumn="1" w:lastColumn="0" w:oddVBand="0" w:evenVBand="0" w:oddHBand="0" w:evenHBand="0" w:firstRowFirstColumn="0" w:firstRowLastColumn="0" w:lastRowFirstColumn="0" w:lastRowLastColumn="0"/>
            <w:tcW w:w="1387" w:type="dxa"/>
            <w:tcBorders>
              <w:left w:val="none" w:sz="0" w:space="0" w:color="auto"/>
              <w:bottom w:val="nil"/>
            </w:tcBorders>
            <w:shd w:val="clear" w:color="auto" w:fill="DBE8EE"/>
          </w:tcPr>
          <w:p w14:paraId="295B1033" w14:textId="58E705D8" w:rsidR="00696305" w:rsidRPr="006D3BE1" w:rsidRDefault="00696305" w:rsidP="000E683C">
            <w:pPr>
              <w:pStyle w:val="71R"/>
              <w:spacing w:line="220" w:lineRule="exact"/>
              <w:rPr>
                <w:rtl/>
              </w:rPr>
            </w:pPr>
            <w:r w:rsidRPr="00D83D3E">
              <w:rPr>
                <w:rtl/>
              </w:rPr>
              <w:t>רשות שדות התעופה</w:t>
            </w:r>
          </w:p>
        </w:tc>
        <w:tc>
          <w:tcPr>
            <w:tcW w:w="1387" w:type="dxa"/>
            <w:tcBorders>
              <w:bottom w:val="nil"/>
            </w:tcBorders>
            <w:shd w:val="clear" w:color="auto" w:fill="DBE8EE"/>
          </w:tcPr>
          <w:p w14:paraId="258944B4" w14:textId="48B60430" w:rsidR="00696305" w:rsidRPr="006D3BE1" w:rsidRDefault="00696305" w:rsidP="000E683C">
            <w:pPr>
              <w:pStyle w:val="71R"/>
              <w:spacing w:line="220" w:lineRule="exact"/>
              <w:cnfStyle w:val="000000000000" w:firstRow="0" w:lastRow="0" w:firstColumn="0" w:lastColumn="0" w:oddVBand="0" w:evenVBand="0" w:oddHBand="0" w:evenHBand="0" w:firstRowFirstColumn="0" w:firstRowLastColumn="0" w:lastRowFirstColumn="0" w:lastRowLastColumn="0"/>
              <w:rPr>
                <w:color w:val="FF0000"/>
                <w:rtl/>
              </w:rPr>
            </w:pPr>
            <w:r w:rsidRPr="00D83D3E">
              <w:rPr>
                <w:rtl/>
              </w:rPr>
              <w:t>3.60%</w:t>
            </w:r>
          </w:p>
        </w:tc>
        <w:tc>
          <w:tcPr>
            <w:tcW w:w="1387" w:type="dxa"/>
            <w:tcBorders>
              <w:bottom w:val="nil"/>
            </w:tcBorders>
            <w:shd w:val="clear" w:color="auto" w:fill="DBE8EE"/>
          </w:tcPr>
          <w:p w14:paraId="1E1D6E81" w14:textId="60F2608A" w:rsidR="00696305" w:rsidRPr="006D3BE1" w:rsidRDefault="00696305" w:rsidP="000E683C">
            <w:pPr>
              <w:pStyle w:val="71R"/>
              <w:spacing w:line="220" w:lineRule="exact"/>
              <w:cnfStyle w:val="000000000000" w:firstRow="0" w:lastRow="0" w:firstColumn="0" w:lastColumn="0" w:oddVBand="0" w:evenVBand="0" w:oddHBand="0" w:evenHBand="0" w:firstRowFirstColumn="0" w:firstRowLastColumn="0" w:lastRowFirstColumn="0" w:lastRowLastColumn="0"/>
              <w:rPr>
                <w:rtl/>
              </w:rPr>
            </w:pPr>
            <w:r w:rsidRPr="00D83D3E">
              <w:rPr>
                <w:color w:val="FF0000"/>
                <w:rtl/>
              </w:rPr>
              <w:t>0.93%-</w:t>
            </w:r>
          </w:p>
        </w:tc>
        <w:tc>
          <w:tcPr>
            <w:tcW w:w="1387" w:type="dxa"/>
            <w:tcBorders>
              <w:bottom w:val="nil"/>
            </w:tcBorders>
            <w:shd w:val="clear" w:color="auto" w:fill="DBE8EE"/>
          </w:tcPr>
          <w:p w14:paraId="6A251EC8" w14:textId="20412580" w:rsidR="00696305" w:rsidRPr="006D3BE1" w:rsidRDefault="00696305" w:rsidP="000E683C">
            <w:pPr>
              <w:pStyle w:val="71R"/>
              <w:spacing w:line="220" w:lineRule="exact"/>
              <w:cnfStyle w:val="000000000000" w:firstRow="0" w:lastRow="0" w:firstColumn="0" w:lastColumn="0" w:oddVBand="0" w:evenVBand="0" w:oddHBand="0" w:evenHBand="0" w:firstRowFirstColumn="0" w:firstRowLastColumn="0" w:lastRowFirstColumn="0" w:lastRowLastColumn="0"/>
              <w:rPr>
                <w:rtl/>
              </w:rPr>
            </w:pPr>
            <w:r w:rsidRPr="00D83D3E">
              <w:rPr>
                <w:rtl/>
              </w:rPr>
              <w:t>6.60%</w:t>
            </w:r>
          </w:p>
        </w:tc>
        <w:tc>
          <w:tcPr>
            <w:tcW w:w="1388" w:type="dxa"/>
            <w:tcBorders>
              <w:bottom w:val="nil"/>
            </w:tcBorders>
            <w:shd w:val="clear" w:color="auto" w:fill="DBE8EE"/>
          </w:tcPr>
          <w:p w14:paraId="2D1AC948" w14:textId="3B61476D" w:rsidR="00696305" w:rsidRPr="006D3BE1" w:rsidRDefault="00696305" w:rsidP="000E683C">
            <w:pPr>
              <w:pStyle w:val="71R"/>
              <w:spacing w:line="220" w:lineRule="exact"/>
              <w:cnfStyle w:val="000000000000" w:firstRow="0" w:lastRow="0" w:firstColumn="0" w:lastColumn="0" w:oddVBand="0" w:evenVBand="0" w:oddHBand="0" w:evenHBand="0" w:firstRowFirstColumn="0" w:firstRowLastColumn="0" w:lastRowFirstColumn="0" w:lastRowLastColumn="0"/>
              <w:rPr>
                <w:rtl/>
              </w:rPr>
            </w:pPr>
            <w:r w:rsidRPr="00D83D3E">
              <w:rPr>
                <w:color w:val="FF0000"/>
                <w:rtl/>
              </w:rPr>
              <w:t>0.60%-</w:t>
            </w:r>
          </w:p>
        </w:tc>
      </w:tr>
      <w:tr w:rsidR="00696305" w:rsidRPr="006D3BE1" w14:paraId="36019C39" w14:textId="77777777" w:rsidTr="007F5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Borders>
              <w:top w:val="nil"/>
              <w:left w:val="none" w:sz="0" w:space="0" w:color="auto"/>
              <w:bottom w:val="nil"/>
            </w:tcBorders>
            <w:shd w:val="clear" w:color="auto" w:fill="ECF4F5"/>
          </w:tcPr>
          <w:p w14:paraId="0B9262C6" w14:textId="3A4557F7" w:rsidR="00696305" w:rsidRPr="006D3BE1" w:rsidRDefault="00696305" w:rsidP="000E683C">
            <w:pPr>
              <w:pStyle w:val="71R"/>
              <w:spacing w:line="220" w:lineRule="exact"/>
              <w:rPr>
                <w:rtl/>
              </w:rPr>
            </w:pPr>
            <w:r w:rsidRPr="00D83D3E">
              <w:rPr>
                <w:rtl/>
              </w:rPr>
              <w:t>הקרן לשיקום מחצבות</w:t>
            </w:r>
          </w:p>
        </w:tc>
        <w:tc>
          <w:tcPr>
            <w:tcW w:w="1387" w:type="dxa"/>
            <w:tcBorders>
              <w:top w:val="nil"/>
              <w:bottom w:val="nil"/>
            </w:tcBorders>
            <w:shd w:val="clear" w:color="auto" w:fill="ECF4F5"/>
          </w:tcPr>
          <w:p w14:paraId="09E3FE34" w14:textId="114C7713" w:rsidR="00696305" w:rsidRPr="006D3BE1" w:rsidRDefault="00696305" w:rsidP="000E683C">
            <w:pPr>
              <w:pStyle w:val="71R"/>
              <w:spacing w:line="220" w:lineRule="exact"/>
              <w:cnfStyle w:val="000000100000" w:firstRow="0" w:lastRow="0" w:firstColumn="0" w:lastColumn="0" w:oddVBand="0" w:evenVBand="0" w:oddHBand="1" w:evenHBand="0" w:firstRowFirstColumn="0" w:firstRowLastColumn="0" w:lastRowFirstColumn="0" w:lastRowLastColumn="0"/>
              <w:rPr>
                <w:rtl/>
              </w:rPr>
            </w:pPr>
            <w:r w:rsidRPr="00D83D3E">
              <w:rPr>
                <w:rtl/>
              </w:rPr>
              <w:t>3.35%</w:t>
            </w:r>
          </w:p>
        </w:tc>
        <w:tc>
          <w:tcPr>
            <w:tcW w:w="1387" w:type="dxa"/>
            <w:tcBorders>
              <w:top w:val="nil"/>
              <w:bottom w:val="nil"/>
            </w:tcBorders>
            <w:shd w:val="clear" w:color="auto" w:fill="ECF4F5"/>
          </w:tcPr>
          <w:p w14:paraId="0A9BD42E" w14:textId="3D80CD4C" w:rsidR="00696305" w:rsidRPr="006D3BE1" w:rsidRDefault="00696305" w:rsidP="000E683C">
            <w:pPr>
              <w:pStyle w:val="71R"/>
              <w:spacing w:line="220" w:lineRule="exact"/>
              <w:cnfStyle w:val="000000100000" w:firstRow="0" w:lastRow="0" w:firstColumn="0" w:lastColumn="0" w:oddVBand="0" w:evenVBand="0" w:oddHBand="1" w:evenHBand="0" w:firstRowFirstColumn="0" w:firstRowLastColumn="0" w:lastRowFirstColumn="0" w:lastRowLastColumn="0"/>
              <w:rPr>
                <w:color w:val="FF0000"/>
                <w:rtl/>
              </w:rPr>
            </w:pPr>
            <w:r w:rsidRPr="00D83D3E">
              <w:rPr>
                <w:color w:val="FF0000"/>
                <w:rtl/>
              </w:rPr>
              <w:t>0.43%-</w:t>
            </w:r>
          </w:p>
        </w:tc>
        <w:tc>
          <w:tcPr>
            <w:tcW w:w="1387" w:type="dxa"/>
            <w:tcBorders>
              <w:top w:val="nil"/>
              <w:bottom w:val="nil"/>
            </w:tcBorders>
            <w:shd w:val="clear" w:color="auto" w:fill="ECF4F5"/>
          </w:tcPr>
          <w:p w14:paraId="1727A089" w14:textId="1150BBB2" w:rsidR="00696305" w:rsidRPr="006D3BE1" w:rsidRDefault="00696305" w:rsidP="000E683C">
            <w:pPr>
              <w:pStyle w:val="71R"/>
              <w:spacing w:line="220" w:lineRule="exact"/>
              <w:cnfStyle w:val="000000100000" w:firstRow="0" w:lastRow="0" w:firstColumn="0" w:lastColumn="0" w:oddVBand="0" w:evenVBand="0" w:oddHBand="1" w:evenHBand="0" w:firstRowFirstColumn="0" w:firstRowLastColumn="0" w:lastRowFirstColumn="0" w:lastRowLastColumn="0"/>
              <w:rPr>
                <w:rtl/>
              </w:rPr>
            </w:pPr>
            <w:r w:rsidRPr="00D83D3E">
              <w:rPr>
                <w:rtl/>
              </w:rPr>
              <w:t>6.23%</w:t>
            </w:r>
          </w:p>
        </w:tc>
        <w:tc>
          <w:tcPr>
            <w:tcW w:w="1388" w:type="dxa"/>
            <w:tcBorders>
              <w:top w:val="nil"/>
              <w:bottom w:val="nil"/>
            </w:tcBorders>
            <w:shd w:val="clear" w:color="auto" w:fill="ECF4F5"/>
          </w:tcPr>
          <w:p w14:paraId="6646679B" w14:textId="613D6265" w:rsidR="00696305" w:rsidRPr="006D3BE1" w:rsidRDefault="00696305" w:rsidP="000E683C">
            <w:pPr>
              <w:pStyle w:val="71R"/>
              <w:spacing w:line="220" w:lineRule="exact"/>
              <w:cnfStyle w:val="000000100000" w:firstRow="0" w:lastRow="0" w:firstColumn="0" w:lastColumn="0" w:oddVBand="0" w:evenVBand="0" w:oddHBand="1" w:evenHBand="0" w:firstRowFirstColumn="0" w:firstRowLastColumn="0" w:lastRowFirstColumn="0" w:lastRowLastColumn="0"/>
              <w:rPr>
                <w:rtl/>
              </w:rPr>
            </w:pPr>
            <w:r w:rsidRPr="00D83D3E">
              <w:rPr>
                <w:color w:val="FF0000"/>
                <w:rtl/>
              </w:rPr>
              <w:t>1.65%-</w:t>
            </w:r>
          </w:p>
        </w:tc>
      </w:tr>
      <w:tr w:rsidR="00907B7B" w:rsidRPr="006D3BE1" w14:paraId="7F493B92" w14:textId="77777777" w:rsidTr="007F59FF">
        <w:tc>
          <w:tcPr>
            <w:cnfStyle w:val="001000000000" w:firstRow="0" w:lastRow="0" w:firstColumn="1" w:lastColumn="0" w:oddVBand="0" w:evenVBand="0" w:oddHBand="0" w:evenHBand="0" w:firstRowFirstColumn="0" w:firstRowLastColumn="0" w:lastRowFirstColumn="0" w:lastRowLastColumn="0"/>
            <w:tcW w:w="6936" w:type="dxa"/>
            <w:gridSpan w:val="5"/>
            <w:tcBorders>
              <w:top w:val="nil"/>
              <w:left w:val="none" w:sz="0" w:space="0" w:color="auto"/>
            </w:tcBorders>
            <w:shd w:val="clear" w:color="auto" w:fill="C6DCE4"/>
          </w:tcPr>
          <w:p w14:paraId="1962D31A" w14:textId="77777777" w:rsidR="00907B7B" w:rsidRPr="006D3BE1" w:rsidRDefault="00907B7B" w:rsidP="00941375">
            <w:pPr>
              <w:pStyle w:val="71R"/>
              <w:spacing w:line="220" w:lineRule="exact"/>
              <w:jc w:val="center"/>
              <w:rPr>
                <w:rtl/>
              </w:rPr>
            </w:pPr>
            <w:r w:rsidRPr="006D3BE1">
              <w:rPr>
                <w:color w:val="auto"/>
                <w:rtl/>
              </w:rPr>
              <w:t>מדדים השוואתיים</w:t>
            </w:r>
          </w:p>
        </w:tc>
      </w:tr>
      <w:tr w:rsidR="00907B7B" w:rsidRPr="006D3BE1" w14:paraId="00D27D57" w14:textId="77777777" w:rsidTr="00696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Borders>
              <w:left w:val="none" w:sz="0" w:space="0" w:color="auto"/>
            </w:tcBorders>
            <w:shd w:val="clear" w:color="auto" w:fill="DBE8EE"/>
          </w:tcPr>
          <w:p w14:paraId="377F59E8" w14:textId="77777777" w:rsidR="00907B7B" w:rsidRPr="006D3BE1" w:rsidRDefault="00907B7B" w:rsidP="000E683C">
            <w:pPr>
              <w:pStyle w:val="71R"/>
              <w:spacing w:line="220" w:lineRule="exact"/>
              <w:rPr>
                <w:rtl/>
              </w:rPr>
            </w:pPr>
            <w:r w:rsidRPr="006D3BE1">
              <w:rPr>
                <w:rtl/>
              </w:rPr>
              <w:t>קרנות השתלמות</w:t>
            </w:r>
          </w:p>
        </w:tc>
        <w:tc>
          <w:tcPr>
            <w:tcW w:w="1387" w:type="dxa"/>
            <w:shd w:val="clear" w:color="auto" w:fill="DBE8EE"/>
          </w:tcPr>
          <w:p w14:paraId="2BA8FB84" w14:textId="77777777" w:rsidR="00907B7B" w:rsidRPr="006D3BE1" w:rsidRDefault="00907B7B" w:rsidP="000E683C">
            <w:pPr>
              <w:pStyle w:val="71R"/>
              <w:spacing w:line="220" w:lineRule="exact"/>
              <w:cnfStyle w:val="000000100000" w:firstRow="0" w:lastRow="0" w:firstColumn="0" w:lastColumn="0" w:oddVBand="0" w:evenVBand="0" w:oddHBand="1" w:evenHBand="0" w:firstRowFirstColumn="0" w:firstRowLastColumn="0" w:lastRowFirstColumn="0" w:lastRowLastColumn="0"/>
              <w:rPr>
                <w:color w:val="FF0000"/>
                <w:rtl/>
              </w:rPr>
            </w:pPr>
            <w:r w:rsidRPr="006D3BE1">
              <w:rPr>
                <w:rtl/>
              </w:rPr>
              <w:t>6.90%</w:t>
            </w:r>
          </w:p>
        </w:tc>
        <w:tc>
          <w:tcPr>
            <w:tcW w:w="1387" w:type="dxa"/>
            <w:shd w:val="clear" w:color="auto" w:fill="DBE8EE"/>
          </w:tcPr>
          <w:p w14:paraId="0CC5AF74" w14:textId="77777777" w:rsidR="00907B7B" w:rsidRPr="006D3BE1" w:rsidRDefault="00907B7B" w:rsidP="000E683C">
            <w:pPr>
              <w:pStyle w:val="71R"/>
              <w:spacing w:line="220" w:lineRule="exact"/>
              <w:cnfStyle w:val="000000100000" w:firstRow="0" w:lastRow="0" w:firstColumn="0" w:lastColumn="0" w:oddVBand="0" w:evenVBand="0" w:oddHBand="1" w:evenHBand="0" w:firstRowFirstColumn="0" w:firstRowLastColumn="0" w:lastRowFirstColumn="0" w:lastRowLastColumn="0"/>
              <w:rPr>
                <w:rtl/>
              </w:rPr>
            </w:pPr>
            <w:r w:rsidRPr="006D3BE1">
              <w:rPr>
                <w:color w:val="FF0000"/>
                <w:rtl/>
              </w:rPr>
              <w:t>1.22%-</w:t>
            </w:r>
          </w:p>
        </w:tc>
        <w:tc>
          <w:tcPr>
            <w:tcW w:w="1387" w:type="dxa"/>
            <w:shd w:val="clear" w:color="auto" w:fill="DBE8EE"/>
          </w:tcPr>
          <w:p w14:paraId="16E8A6F9" w14:textId="77777777" w:rsidR="00907B7B" w:rsidRPr="006D3BE1" w:rsidRDefault="00907B7B" w:rsidP="000E683C">
            <w:pPr>
              <w:pStyle w:val="71R"/>
              <w:spacing w:line="220" w:lineRule="exact"/>
              <w:cnfStyle w:val="000000100000" w:firstRow="0" w:lastRow="0" w:firstColumn="0" w:lastColumn="0" w:oddVBand="0" w:evenVBand="0" w:oddHBand="1" w:evenHBand="0" w:firstRowFirstColumn="0" w:firstRowLastColumn="0" w:lastRowFirstColumn="0" w:lastRowLastColumn="0"/>
              <w:rPr>
                <w:rtl/>
              </w:rPr>
            </w:pPr>
            <w:r w:rsidRPr="006D3BE1">
              <w:rPr>
                <w:rtl/>
              </w:rPr>
              <w:t>11.94%</w:t>
            </w:r>
          </w:p>
        </w:tc>
        <w:tc>
          <w:tcPr>
            <w:tcW w:w="1388" w:type="dxa"/>
            <w:shd w:val="clear" w:color="auto" w:fill="DBE8EE"/>
          </w:tcPr>
          <w:p w14:paraId="765A49EA" w14:textId="77777777" w:rsidR="00907B7B" w:rsidRPr="006D3BE1" w:rsidRDefault="00907B7B" w:rsidP="000E683C">
            <w:pPr>
              <w:pStyle w:val="71R"/>
              <w:spacing w:line="220" w:lineRule="exact"/>
              <w:cnfStyle w:val="000000100000" w:firstRow="0" w:lastRow="0" w:firstColumn="0" w:lastColumn="0" w:oddVBand="0" w:evenVBand="0" w:oddHBand="1" w:evenHBand="0" w:firstRowFirstColumn="0" w:firstRowLastColumn="0" w:lastRowFirstColumn="0" w:lastRowLastColumn="0"/>
              <w:rPr>
                <w:color w:val="FF0000"/>
                <w:rtl/>
              </w:rPr>
            </w:pPr>
            <w:r w:rsidRPr="006D3BE1">
              <w:rPr>
                <w:color w:val="FF0000"/>
                <w:rtl/>
              </w:rPr>
              <w:t>5.10%-</w:t>
            </w:r>
          </w:p>
        </w:tc>
      </w:tr>
      <w:tr w:rsidR="00907B7B" w:rsidRPr="006D3BE1" w14:paraId="503B4A56" w14:textId="77777777" w:rsidTr="00696305">
        <w:tc>
          <w:tcPr>
            <w:cnfStyle w:val="001000000000" w:firstRow="0" w:lastRow="0" w:firstColumn="1" w:lastColumn="0" w:oddVBand="0" w:evenVBand="0" w:oddHBand="0" w:evenHBand="0" w:firstRowFirstColumn="0" w:firstRowLastColumn="0" w:lastRowFirstColumn="0" w:lastRowLastColumn="0"/>
            <w:tcW w:w="1387" w:type="dxa"/>
            <w:tcBorders>
              <w:left w:val="none" w:sz="0" w:space="0" w:color="auto"/>
            </w:tcBorders>
            <w:shd w:val="clear" w:color="auto" w:fill="ECF4F5"/>
          </w:tcPr>
          <w:p w14:paraId="261F124D" w14:textId="77777777" w:rsidR="00907B7B" w:rsidRPr="006D3BE1" w:rsidRDefault="00907B7B" w:rsidP="000E683C">
            <w:pPr>
              <w:pStyle w:val="71R"/>
              <w:spacing w:line="220" w:lineRule="exact"/>
              <w:rPr>
                <w:rtl/>
              </w:rPr>
            </w:pPr>
            <w:r w:rsidRPr="006D3BE1">
              <w:rPr>
                <w:rtl/>
              </w:rPr>
              <w:t>ת"א 125</w:t>
            </w:r>
          </w:p>
        </w:tc>
        <w:tc>
          <w:tcPr>
            <w:tcW w:w="1387" w:type="dxa"/>
            <w:shd w:val="clear" w:color="auto" w:fill="ECF4F5"/>
          </w:tcPr>
          <w:p w14:paraId="110DE772" w14:textId="77777777" w:rsidR="00907B7B" w:rsidRPr="006D3BE1" w:rsidRDefault="00907B7B" w:rsidP="000E683C">
            <w:pPr>
              <w:pStyle w:val="71R"/>
              <w:spacing w:line="220" w:lineRule="exact"/>
              <w:cnfStyle w:val="000000000000" w:firstRow="0" w:lastRow="0" w:firstColumn="0" w:lastColumn="0" w:oddVBand="0" w:evenVBand="0" w:oddHBand="0" w:evenHBand="0" w:firstRowFirstColumn="0" w:firstRowLastColumn="0" w:lastRowFirstColumn="0" w:lastRowLastColumn="0"/>
              <w:rPr>
                <w:color w:val="FF0000"/>
                <w:rtl/>
              </w:rPr>
            </w:pPr>
            <w:r w:rsidRPr="006D3BE1">
              <w:rPr>
                <w:rtl/>
              </w:rPr>
              <w:t>6.87%</w:t>
            </w:r>
          </w:p>
        </w:tc>
        <w:tc>
          <w:tcPr>
            <w:tcW w:w="1387" w:type="dxa"/>
            <w:shd w:val="clear" w:color="auto" w:fill="ECF4F5"/>
          </w:tcPr>
          <w:p w14:paraId="5D74CCBA" w14:textId="77777777" w:rsidR="00907B7B" w:rsidRPr="006D3BE1" w:rsidRDefault="00907B7B" w:rsidP="000E683C">
            <w:pPr>
              <w:pStyle w:val="71R"/>
              <w:spacing w:line="220" w:lineRule="exact"/>
              <w:cnfStyle w:val="000000000000" w:firstRow="0" w:lastRow="0" w:firstColumn="0" w:lastColumn="0" w:oddVBand="0" w:evenVBand="0" w:oddHBand="0" w:evenHBand="0" w:firstRowFirstColumn="0" w:firstRowLastColumn="0" w:lastRowFirstColumn="0" w:lastRowLastColumn="0"/>
              <w:rPr>
                <w:rtl/>
              </w:rPr>
            </w:pPr>
            <w:r w:rsidRPr="006D3BE1">
              <w:rPr>
                <w:color w:val="FF0000"/>
                <w:rtl/>
              </w:rPr>
              <w:t>2.44%-</w:t>
            </w:r>
          </w:p>
        </w:tc>
        <w:tc>
          <w:tcPr>
            <w:tcW w:w="1387" w:type="dxa"/>
            <w:shd w:val="clear" w:color="auto" w:fill="ECF4F5"/>
          </w:tcPr>
          <w:p w14:paraId="64DEE8A0" w14:textId="77777777" w:rsidR="00907B7B" w:rsidRPr="006D3BE1" w:rsidRDefault="00907B7B" w:rsidP="000E683C">
            <w:pPr>
              <w:pStyle w:val="71R"/>
              <w:spacing w:line="220" w:lineRule="exact"/>
              <w:cnfStyle w:val="000000000000" w:firstRow="0" w:lastRow="0" w:firstColumn="0" w:lastColumn="0" w:oddVBand="0" w:evenVBand="0" w:oddHBand="0" w:evenHBand="0" w:firstRowFirstColumn="0" w:firstRowLastColumn="0" w:lastRowFirstColumn="0" w:lastRowLastColumn="0"/>
              <w:rPr>
                <w:rtl/>
              </w:rPr>
            </w:pPr>
            <w:r w:rsidRPr="006D3BE1">
              <w:rPr>
                <w:rtl/>
              </w:rPr>
              <w:t>21.20%</w:t>
            </w:r>
          </w:p>
        </w:tc>
        <w:tc>
          <w:tcPr>
            <w:tcW w:w="1388" w:type="dxa"/>
            <w:shd w:val="clear" w:color="auto" w:fill="ECF4F5"/>
          </w:tcPr>
          <w:p w14:paraId="568F3D9B" w14:textId="77777777" w:rsidR="00907B7B" w:rsidRPr="006D3BE1" w:rsidRDefault="00907B7B" w:rsidP="000E683C">
            <w:pPr>
              <w:pStyle w:val="71R"/>
              <w:spacing w:line="220" w:lineRule="exact"/>
              <w:cnfStyle w:val="000000000000" w:firstRow="0" w:lastRow="0" w:firstColumn="0" w:lastColumn="0" w:oddVBand="0" w:evenVBand="0" w:oddHBand="0" w:evenHBand="0" w:firstRowFirstColumn="0" w:firstRowLastColumn="0" w:lastRowFirstColumn="0" w:lastRowLastColumn="0"/>
              <w:rPr>
                <w:color w:val="FF0000"/>
                <w:rtl/>
              </w:rPr>
            </w:pPr>
            <w:r w:rsidRPr="006D3BE1">
              <w:rPr>
                <w:color w:val="FF0000"/>
                <w:rtl/>
              </w:rPr>
              <w:t>18.18%-</w:t>
            </w:r>
          </w:p>
        </w:tc>
      </w:tr>
      <w:tr w:rsidR="00907B7B" w:rsidRPr="006D3BE1" w14:paraId="4E4CFC24" w14:textId="77777777" w:rsidTr="006963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Borders>
              <w:left w:val="none" w:sz="0" w:space="0" w:color="auto"/>
              <w:bottom w:val="none" w:sz="0" w:space="0" w:color="auto"/>
            </w:tcBorders>
            <w:shd w:val="clear" w:color="auto" w:fill="DBE8EE"/>
          </w:tcPr>
          <w:p w14:paraId="0D9F95B8" w14:textId="77777777" w:rsidR="00907B7B" w:rsidRPr="006D3BE1" w:rsidRDefault="00907B7B" w:rsidP="000E683C">
            <w:pPr>
              <w:pStyle w:val="71R"/>
              <w:spacing w:line="220" w:lineRule="exact"/>
              <w:rPr>
                <w:rtl/>
              </w:rPr>
            </w:pPr>
            <w:r w:rsidRPr="006D3BE1">
              <w:rPr>
                <w:rtl/>
              </w:rPr>
              <w:t>תל בונד 60</w:t>
            </w:r>
          </w:p>
        </w:tc>
        <w:tc>
          <w:tcPr>
            <w:tcW w:w="1387" w:type="dxa"/>
            <w:shd w:val="clear" w:color="auto" w:fill="DBE8EE"/>
          </w:tcPr>
          <w:p w14:paraId="3E3F6A78" w14:textId="77777777" w:rsidR="00907B7B" w:rsidRPr="006D3BE1" w:rsidRDefault="00907B7B" w:rsidP="000E683C">
            <w:pPr>
              <w:pStyle w:val="71R"/>
              <w:spacing w:line="220" w:lineRule="exact"/>
              <w:cnfStyle w:val="000000100000" w:firstRow="0" w:lastRow="0" w:firstColumn="0" w:lastColumn="0" w:oddVBand="0" w:evenVBand="0" w:oddHBand="1" w:evenHBand="0" w:firstRowFirstColumn="0" w:firstRowLastColumn="0" w:lastRowFirstColumn="0" w:lastRowLastColumn="0"/>
              <w:rPr>
                <w:color w:val="FF0000"/>
                <w:rtl/>
              </w:rPr>
            </w:pPr>
            <w:r w:rsidRPr="006D3BE1">
              <w:rPr>
                <w:rtl/>
              </w:rPr>
              <w:t>5.79%</w:t>
            </w:r>
          </w:p>
        </w:tc>
        <w:tc>
          <w:tcPr>
            <w:tcW w:w="1387" w:type="dxa"/>
            <w:shd w:val="clear" w:color="auto" w:fill="DBE8EE"/>
          </w:tcPr>
          <w:p w14:paraId="21E44108" w14:textId="77777777" w:rsidR="00907B7B" w:rsidRPr="006D3BE1" w:rsidRDefault="00907B7B" w:rsidP="000E683C">
            <w:pPr>
              <w:pStyle w:val="71R"/>
              <w:spacing w:line="220" w:lineRule="exact"/>
              <w:cnfStyle w:val="000000100000" w:firstRow="0" w:lastRow="0" w:firstColumn="0" w:lastColumn="0" w:oddVBand="0" w:evenVBand="0" w:oddHBand="1" w:evenHBand="0" w:firstRowFirstColumn="0" w:firstRowLastColumn="0" w:lastRowFirstColumn="0" w:lastRowLastColumn="0"/>
              <w:rPr>
                <w:rtl/>
              </w:rPr>
            </w:pPr>
            <w:r w:rsidRPr="006D3BE1">
              <w:rPr>
                <w:color w:val="FF0000"/>
                <w:rtl/>
              </w:rPr>
              <w:t>0.79%-</w:t>
            </w:r>
          </w:p>
        </w:tc>
        <w:tc>
          <w:tcPr>
            <w:tcW w:w="1387" w:type="dxa"/>
            <w:shd w:val="clear" w:color="auto" w:fill="DBE8EE"/>
          </w:tcPr>
          <w:p w14:paraId="4C9F95AA" w14:textId="77777777" w:rsidR="00907B7B" w:rsidRPr="006D3BE1" w:rsidRDefault="00907B7B" w:rsidP="000E683C">
            <w:pPr>
              <w:pStyle w:val="71R"/>
              <w:spacing w:line="220" w:lineRule="exact"/>
              <w:cnfStyle w:val="000000100000" w:firstRow="0" w:lastRow="0" w:firstColumn="0" w:lastColumn="0" w:oddVBand="0" w:evenVBand="0" w:oddHBand="1" w:evenHBand="0" w:firstRowFirstColumn="0" w:firstRowLastColumn="0" w:lastRowFirstColumn="0" w:lastRowLastColumn="0"/>
              <w:rPr>
                <w:rtl/>
              </w:rPr>
            </w:pPr>
            <w:r w:rsidRPr="006D3BE1">
              <w:rPr>
                <w:rtl/>
              </w:rPr>
              <w:t>7.37%</w:t>
            </w:r>
          </w:p>
        </w:tc>
        <w:tc>
          <w:tcPr>
            <w:tcW w:w="1388" w:type="dxa"/>
            <w:shd w:val="clear" w:color="auto" w:fill="DBE8EE"/>
          </w:tcPr>
          <w:p w14:paraId="213D78B8" w14:textId="77777777" w:rsidR="00907B7B" w:rsidRPr="006D3BE1" w:rsidRDefault="00907B7B" w:rsidP="000E683C">
            <w:pPr>
              <w:pStyle w:val="71R"/>
              <w:spacing w:line="220" w:lineRule="exact"/>
              <w:cnfStyle w:val="000000100000" w:firstRow="0" w:lastRow="0" w:firstColumn="0" w:lastColumn="0" w:oddVBand="0" w:evenVBand="0" w:oddHBand="1" w:evenHBand="0" w:firstRowFirstColumn="0" w:firstRowLastColumn="0" w:lastRowFirstColumn="0" w:lastRowLastColumn="0"/>
              <w:rPr>
                <w:color w:val="FF0000"/>
                <w:rtl/>
              </w:rPr>
            </w:pPr>
            <w:r w:rsidRPr="006D3BE1">
              <w:rPr>
                <w:color w:val="FF0000"/>
                <w:rtl/>
              </w:rPr>
              <w:t>5.49%-</w:t>
            </w:r>
          </w:p>
        </w:tc>
      </w:tr>
    </w:tbl>
    <w:p w14:paraId="01CEDA08" w14:textId="77777777" w:rsidR="00BE29D4" w:rsidRPr="007E476A" w:rsidRDefault="00BE29D4" w:rsidP="00BE29D4">
      <w:pPr>
        <w:spacing w:after="120" w:line="240" w:lineRule="auto"/>
        <w:ind w:left="556" w:right="209"/>
        <w:rPr>
          <w:rFonts w:ascii="Tahoma" w:hAnsi="Tahoma" w:cs="Tahoma"/>
          <w:sz w:val="16"/>
          <w:szCs w:val="16"/>
          <w:rtl/>
        </w:rPr>
      </w:pPr>
      <w:r w:rsidRPr="007E476A">
        <w:rPr>
          <w:rFonts w:ascii="Tahoma" w:hAnsi="Tahoma" w:cs="Tahoma"/>
          <w:sz w:val="16"/>
          <w:szCs w:val="16"/>
          <w:rtl/>
        </w:rPr>
        <w:t>המקור: נתוני הגופים המבוקרים, נתונים ממערכת גמל נט ונתונים מאתר הבורסה בעיבוד משרד מבקר המדינה.</w:t>
      </w:r>
    </w:p>
    <w:p w14:paraId="778F04D3" w14:textId="77777777" w:rsidR="00BE29D4" w:rsidRPr="00D83D3E" w:rsidRDefault="00BE29D4" w:rsidP="00BE29D4">
      <w:pPr>
        <w:pStyle w:val="71f3"/>
      </w:pPr>
      <w:r w:rsidRPr="00D83D3E">
        <w:rPr>
          <w:rtl/>
        </w:rPr>
        <w:t>כמו כן, רשות שדות התעופה והקרן לשיקום מחצבות אינם מפרסמים לציבור את התשואות השוטפות של תיקי ההשקעות שלהם.</w:t>
      </w:r>
    </w:p>
    <w:p w14:paraId="67B61088" w14:textId="19F54D99" w:rsidR="00BE29D4" w:rsidRDefault="00BE29D4" w:rsidP="00BE29D4">
      <w:pPr>
        <w:pStyle w:val="71f3"/>
        <w:rPr>
          <w:rtl/>
        </w:rPr>
      </w:pPr>
      <w:r w:rsidRPr="0069093D">
        <w:rPr>
          <w:rFonts w:hint="cs"/>
          <w:b/>
          <w:bCs/>
          <w:noProof/>
          <w:rtl/>
        </w:rPr>
        <w:drawing>
          <wp:anchor distT="0" distB="3600450" distL="114300" distR="114300" simplePos="0" relativeHeight="252020224" behindDoc="0" locked="0" layoutInCell="1" allowOverlap="1" wp14:anchorId="4EA5106A" wp14:editId="2D7398A3">
            <wp:simplePos x="0" y="0"/>
            <wp:positionH relativeFrom="column">
              <wp:posOffset>4518025</wp:posOffset>
            </wp:positionH>
            <wp:positionV relativeFrom="paragraph">
              <wp:posOffset>46990</wp:posOffset>
            </wp:positionV>
            <wp:extent cx="161925" cy="16192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83D3E">
        <w:rPr>
          <w:b/>
          <w:bCs/>
          <w:rtl/>
        </w:rPr>
        <w:t>סוגיות מ</w:t>
      </w:r>
      <w:r>
        <w:rPr>
          <w:rFonts w:hint="cs"/>
          <w:b/>
          <w:bCs/>
          <w:rtl/>
        </w:rPr>
        <w:t>י</w:t>
      </w:r>
      <w:r>
        <w:rPr>
          <w:b/>
          <w:bCs/>
          <w:rtl/>
        </w:rPr>
        <w:t>נהל</w:t>
      </w:r>
      <w:r w:rsidRPr="00D83D3E">
        <w:rPr>
          <w:b/>
          <w:bCs/>
          <w:rtl/>
        </w:rPr>
        <w:t>יות בעבודת ועדת ההשקעות</w:t>
      </w:r>
      <w:r w:rsidRPr="00D83D3E">
        <w:rPr>
          <w:rtl/>
        </w:rPr>
        <w:t xml:space="preserve"> </w:t>
      </w:r>
      <w:r w:rsidRPr="00D83D3E">
        <w:rPr>
          <w:b/>
          <w:bCs/>
          <w:rtl/>
        </w:rPr>
        <w:t xml:space="preserve">- </w:t>
      </w:r>
      <w:r w:rsidRPr="00D83D3E">
        <w:rPr>
          <w:rtl/>
        </w:rPr>
        <w:t>ברשות שדות התעופה ועדת השקעות מתכנסת לפחות פעמיים ברבעון ובנמל חיפה לעתים בכל חודש ולעיתים פעם בכמה חודשים; בנמל חיפה ובקרן לשיקום מחצבות לא היה קוורום נדרש בישיבות ועדת השקעות בחלק מהתקופה שמינואר 2017 ועד יוני 2020; מסקירת הפרוטוקולים של הגופים עולה כי, למעט רשות שדות התעופה, תוכן הפרוטוקולים של יתר הגופים אינו משקף כראוי את הדיונים שנערכו בוועדת ההשקעות ואינו מאפשר להבין את השיקולים שעמדו בבסיס החלטות הוועדה. כן נמצא כי נכון למועד סיום הביקורת בנמל חיפה וברשות שדות התעופה חברי ועדת ההשקעות לא היו חתומים על הצהרה בעניין הימנעות מניגוד עניינים, וכי בנמל חיפה, בנמל אשדוד ובחברת החשמל הנושא אינו מוסדר בנוהל פעילות הוועדה</w:t>
      </w:r>
      <w:r>
        <w:rPr>
          <w:rFonts w:hint="cs"/>
          <w:rtl/>
        </w:rPr>
        <w:t>.</w:t>
      </w:r>
    </w:p>
    <w:p w14:paraId="320D902F" w14:textId="3A673A52" w:rsidR="00D74F78" w:rsidRDefault="00D74F78" w:rsidP="00D74F78">
      <w:pPr>
        <w:pStyle w:val="71f3"/>
        <w:rPr>
          <w:rtl/>
        </w:rPr>
      </w:pPr>
      <w:r w:rsidRPr="0069093D">
        <w:rPr>
          <w:rFonts w:hint="cs"/>
          <w:b/>
          <w:bCs/>
          <w:noProof/>
          <w:rtl/>
        </w:rPr>
        <w:drawing>
          <wp:anchor distT="0" distB="3600450" distL="114300" distR="114300" simplePos="0" relativeHeight="252022272" behindDoc="0" locked="0" layoutInCell="1" allowOverlap="1" wp14:anchorId="4D6134EA" wp14:editId="2537C6AE">
            <wp:simplePos x="0" y="0"/>
            <wp:positionH relativeFrom="column">
              <wp:posOffset>4518025</wp:posOffset>
            </wp:positionH>
            <wp:positionV relativeFrom="paragraph">
              <wp:posOffset>46990</wp:posOffset>
            </wp:positionV>
            <wp:extent cx="161925" cy="161925"/>
            <wp:effectExtent l="0" t="0" r="9525" b="952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83D3E">
        <w:rPr>
          <w:b/>
          <w:bCs/>
          <w:rtl/>
        </w:rPr>
        <w:t xml:space="preserve">סוגיות מקצועיות בעבודת ועדת השקעות - </w:t>
      </w:r>
      <w:r w:rsidRPr="00D83D3E">
        <w:rPr>
          <w:rtl/>
        </w:rPr>
        <w:t>הקרן לשיקום מחצבות לא אישרה את מדיניות ההשקעה בהנהלה בשנת 2017 וחברת החשמל לא מאשרת בדירקטוריון החברה את מדיניות ההשקעה של תיק ההשקעות לפנסייה</w:t>
      </w:r>
      <w:r>
        <w:rPr>
          <w:rStyle w:val="FootnoteReference"/>
          <w:sz w:val="19"/>
          <w:szCs w:val="19"/>
          <w:rtl/>
        </w:rPr>
        <w:footnoteReference w:id="6"/>
      </w:r>
      <w:r w:rsidRPr="00D83D3E">
        <w:rPr>
          <w:rtl/>
        </w:rPr>
        <w:t xml:space="preserve">; חברת החשמל, בניגוד ליתר הגופים שנבדקו, אינה נעזרת בשירותיו של יועץ פיננסי, אף שהנוהל הפנימי שלה מאפשר זאת ועל אף סכומי ההשקעה הגדולים של תיק ההשקעות לפנסייה. חברת החשמל, רשות שדות </w:t>
      </w:r>
      <w:r w:rsidRPr="00D83D3E">
        <w:rPr>
          <w:rtl/>
        </w:rPr>
        <w:lastRenderedPageBreak/>
        <w:t>התעופה והקרן לשיקום מחצבות אינן משתמשות במדדי סיכון שונים לצורך השוואת ביצועי מנהלי התיקים שלהם;</w:t>
      </w:r>
      <w:r w:rsidRPr="00D83D3E">
        <w:t xml:space="preserve"> </w:t>
      </w:r>
      <w:r w:rsidRPr="00D83D3E">
        <w:rPr>
          <w:rtl/>
        </w:rPr>
        <w:t>בחברת החשמל ובקרן לשיקום מחצבות לא נערך ניתוח סיכונים של תיק ההשקעות בתקופה שנבחנה; בנמל חיפה, בחברת החשמל וברשות שדות התעופה לא נערכה בתקופה שנבחנה ביקורת פנימית בנושא השקעות</w:t>
      </w:r>
      <w:r>
        <w:rPr>
          <w:rFonts w:hint="cs"/>
          <w:rtl/>
        </w:rPr>
        <w:t>.</w:t>
      </w:r>
    </w:p>
    <w:p w14:paraId="567A5F7E" w14:textId="433DC0D3" w:rsidR="00D74F78" w:rsidRPr="00784964" w:rsidRDefault="00D74F78" w:rsidP="00D74F78">
      <w:pPr>
        <w:pStyle w:val="71f3"/>
        <w:ind w:left="0"/>
        <w:rPr>
          <w:sz w:val="19"/>
          <w:szCs w:val="19"/>
          <w:rtl/>
        </w:rPr>
      </w:pPr>
      <w:r w:rsidRPr="00784964">
        <w:rPr>
          <w:b/>
          <w:bCs/>
          <w:sz w:val="19"/>
          <w:szCs w:val="19"/>
          <w:rtl/>
        </w:rPr>
        <w:t>רשויות מקומיות</w:t>
      </w:r>
    </w:p>
    <w:p w14:paraId="5C090A65" w14:textId="5D4F96B5" w:rsidR="00935A32" w:rsidRDefault="00935A32" w:rsidP="00935A32">
      <w:pPr>
        <w:pStyle w:val="71f3"/>
        <w:rPr>
          <w:rtl/>
        </w:rPr>
      </w:pPr>
      <w:r w:rsidRPr="0069093D">
        <w:rPr>
          <w:rFonts w:hint="cs"/>
          <w:b/>
          <w:bCs/>
          <w:noProof/>
          <w:rtl/>
        </w:rPr>
        <w:drawing>
          <wp:anchor distT="0" distB="3600450" distL="114300" distR="114300" simplePos="0" relativeHeight="252024320" behindDoc="0" locked="0" layoutInCell="1" allowOverlap="1" wp14:anchorId="61E09ADB" wp14:editId="00A1BF6B">
            <wp:simplePos x="0" y="0"/>
            <wp:positionH relativeFrom="column">
              <wp:posOffset>4518025</wp:posOffset>
            </wp:positionH>
            <wp:positionV relativeFrom="paragraph">
              <wp:posOffset>46990</wp:posOffset>
            </wp:positionV>
            <wp:extent cx="161925" cy="161925"/>
            <wp:effectExtent l="0" t="0" r="9525"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83D3E">
        <w:rPr>
          <w:b/>
          <w:bCs/>
          <w:rtl/>
        </w:rPr>
        <w:t>מעקב משרד הפנים אחר ניהול ההשקעות ע"י הרשויות -</w:t>
      </w:r>
      <w:r w:rsidRPr="00D83D3E">
        <w:rPr>
          <w:rtl/>
        </w:rPr>
        <w:t xml:space="preserve"> אין בידי משרד הפנים מידע בדבר הרשויות שמנהלות תיק פעיל ורשויות שאינן מנהלות תיק השקעות פעיל. עוד נמצא כי משרד הפנים אינו מקיים מעקב אחר קיומו של תיק השקעות פעיל ברשויות השונות. נוסף על כך, הנתונים הכספיים המדֻווחים למשרד הפנים ובדוחות הכספיים הפומביים אינם משקפים את פעילות תיק ההשקעות של הרשויות, ולא ניתן לזהות את היקף תיק ההשקעות של הרשות, את התשואה שהתקבלה בגינו ומהם אפיקי ההשקעה של התיק</w:t>
      </w:r>
      <w:r>
        <w:rPr>
          <w:rFonts w:hint="cs"/>
          <w:rtl/>
        </w:rPr>
        <w:t>.</w:t>
      </w:r>
    </w:p>
    <w:p w14:paraId="2CD3E5B0" w14:textId="0404F93A" w:rsidR="00935A32" w:rsidRDefault="00935A32" w:rsidP="00935A32">
      <w:pPr>
        <w:pStyle w:val="71f3"/>
        <w:rPr>
          <w:rtl/>
        </w:rPr>
      </w:pPr>
      <w:r w:rsidRPr="0069093D">
        <w:rPr>
          <w:rFonts w:hint="cs"/>
          <w:b/>
          <w:bCs/>
          <w:noProof/>
          <w:rtl/>
        </w:rPr>
        <w:drawing>
          <wp:anchor distT="0" distB="3600450" distL="114300" distR="114300" simplePos="0" relativeHeight="252026368" behindDoc="0" locked="0" layoutInCell="1" allowOverlap="1" wp14:anchorId="581F6382" wp14:editId="47395282">
            <wp:simplePos x="0" y="0"/>
            <wp:positionH relativeFrom="column">
              <wp:posOffset>4518025</wp:posOffset>
            </wp:positionH>
            <wp:positionV relativeFrom="paragraph">
              <wp:posOffset>46990</wp:posOffset>
            </wp:positionV>
            <wp:extent cx="161925" cy="161925"/>
            <wp:effectExtent l="0" t="0" r="9525" b="952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83D3E">
        <w:rPr>
          <w:b/>
          <w:bCs/>
          <w:rtl/>
        </w:rPr>
        <w:t>התפלגות האחזקה בתיק השקעות בחלוקה לאשכול הרשות</w:t>
      </w:r>
      <w:r w:rsidRPr="00D83D3E">
        <w:rPr>
          <w:rtl/>
        </w:rPr>
        <w:t xml:space="preserve"> - קיים פער משמעותי בין הרשויות בדירוג חברתי-כלכלי גבוה לרשויות בדירוג חברתי-כלכלי נמוך. כך לדוגמה, 82% מהרשויות בדירוג גבוה מחזיקות בתיק השקעות פעיל, ואילו מהרשויות בדירוג נמוך החזיקו בתיק השקעות פעיל 28% בלבד. עוד נמצא כי תיק ההשקעות לטווח ארוך הממוצע ברשויות בעשירונים העליונים (ללא עיריית תל אביב-יפו) עמד על כ-113 מיליוני ש"ח, לעומת 30 מיליוני ש"ח ברשויות מהעשירונים הנמוכים</w:t>
      </w:r>
      <w:r>
        <w:rPr>
          <w:rFonts w:hint="cs"/>
          <w:rtl/>
        </w:rPr>
        <w:t>.</w:t>
      </w:r>
    </w:p>
    <w:p w14:paraId="0EC8A2EE" w14:textId="0F106635" w:rsidR="00935A32" w:rsidRDefault="00935A32" w:rsidP="00935A32">
      <w:pPr>
        <w:pStyle w:val="71f3"/>
        <w:rPr>
          <w:rtl/>
        </w:rPr>
      </w:pPr>
      <w:r w:rsidRPr="0069093D">
        <w:rPr>
          <w:rFonts w:hint="cs"/>
          <w:b/>
          <w:bCs/>
          <w:noProof/>
          <w:rtl/>
        </w:rPr>
        <w:drawing>
          <wp:anchor distT="0" distB="3600450" distL="114300" distR="114300" simplePos="0" relativeHeight="252028416" behindDoc="0" locked="0" layoutInCell="1" allowOverlap="1" wp14:anchorId="421F4174" wp14:editId="441ED36F">
            <wp:simplePos x="0" y="0"/>
            <wp:positionH relativeFrom="column">
              <wp:posOffset>4518025</wp:posOffset>
            </wp:positionH>
            <wp:positionV relativeFrom="paragraph">
              <wp:posOffset>46990</wp:posOffset>
            </wp:positionV>
            <wp:extent cx="161925" cy="161925"/>
            <wp:effectExtent l="0" t="0" r="9525" b="952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83D3E">
        <w:rPr>
          <w:b/>
          <w:bCs/>
          <w:rtl/>
        </w:rPr>
        <w:t>תשואת תיק ההשקעות לטווח ארוך -</w:t>
      </w:r>
      <w:r w:rsidRPr="00D83D3E">
        <w:rPr>
          <w:rtl/>
        </w:rPr>
        <w:t xml:space="preserve"> התשואה המצטברת הממוצעת של הרשויות לשנים 2017 - 2019 הסתכמה בכ-2.4% והייתה נמוכה למול תשואת קרנות ההשתלמות וקרנות מרכזיות לפיצויים שהיו כ-5% - 6% בתקופה האמורה. ההבדלים האמורים נובעים מהרכבי תיקים שונים ומפרופיל סיכון שונה.</w:t>
      </w:r>
    </w:p>
    <w:tbl>
      <w:tblPr>
        <w:tblStyle w:val="GridTable5Dark-Accent1"/>
        <w:tblpPr w:leftFromText="180" w:rightFromText="180" w:vertAnchor="text" w:horzAnchor="margin" w:tblpY="4"/>
        <w:bidiVisual/>
        <w:tblW w:w="0" w:type="auto"/>
        <w:tblBorders>
          <w:left w:val="single" w:sz="4" w:space="0" w:color="0D0D0D" w:themeColor="text1" w:themeTint="F2"/>
          <w:right w:val="single" w:sz="4" w:space="0" w:color="0D0D0D" w:themeColor="text1" w:themeTint="F2"/>
          <w:insideH w:val="none" w:sz="0" w:space="0" w:color="auto"/>
          <w:insideV w:val="single" w:sz="4" w:space="0" w:color="0D0D0D" w:themeColor="text1" w:themeTint="F2"/>
        </w:tblBorders>
        <w:tblLook w:val="04A0" w:firstRow="1" w:lastRow="0" w:firstColumn="1" w:lastColumn="0" w:noHBand="0" w:noVBand="1"/>
      </w:tblPr>
      <w:tblGrid>
        <w:gridCol w:w="1387"/>
        <w:gridCol w:w="1387"/>
        <w:gridCol w:w="1387"/>
        <w:gridCol w:w="1387"/>
        <w:gridCol w:w="1388"/>
      </w:tblGrid>
      <w:tr w:rsidR="003F6142" w:rsidRPr="006D3BE1" w14:paraId="6DF32A63" w14:textId="77777777" w:rsidTr="007F59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Borders>
              <w:top w:val="none" w:sz="0" w:space="0" w:color="auto"/>
              <w:left w:val="none" w:sz="0" w:space="0" w:color="auto"/>
              <w:right w:val="none" w:sz="0" w:space="0" w:color="auto"/>
            </w:tcBorders>
            <w:shd w:val="clear" w:color="auto" w:fill="C6DCE4"/>
          </w:tcPr>
          <w:p w14:paraId="13B0903A" w14:textId="77777777" w:rsidR="003F6142" w:rsidRPr="006D3BE1" w:rsidRDefault="003F6142" w:rsidP="004E0118">
            <w:pPr>
              <w:pStyle w:val="71R"/>
              <w:spacing w:before="60" w:after="60" w:line="180" w:lineRule="exact"/>
              <w:jc w:val="center"/>
              <w:rPr>
                <w:rtl/>
              </w:rPr>
            </w:pPr>
            <w:r w:rsidRPr="006D3BE1">
              <w:rPr>
                <w:rFonts w:hint="cs"/>
                <w:rtl/>
              </w:rPr>
              <w:t>ה</w:t>
            </w:r>
            <w:r w:rsidRPr="006D3BE1">
              <w:rPr>
                <w:rtl/>
              </w:rPr>
              <w:t>גוף</w:t>
            </w:r>
          </w:p>
        </w:tc>
        <w:tc>
          <w:tcPr>
            <w:tcW w:w="1387" w:type="dxa"/>
            <w:tcBorders>
              <w:top w:val="none" w:sz="0" w:space="0" w:color="auto"/>
              <w:left w:val="none" w:sz="0" w:space="0" w:color="auto"/>
              <w:right w:val="none" w:sz="0" w:space="0" w:color="auto"/>
            </w:tcBorders>
            <w:shd w:val="clear" w:color="auto" w:fill="C6DCE4"/>
          </w:tcPr>
          <w:p w14:paraId="7799C57A" w14:textId="15C6A33F" w:rsidR="003F6142" w:rsidRPr="006D3BE1" w:rsidRDefault="003F6142" w:rsidP="004E0118">
            <w:pPr>
              <w:pStyle w:val="71R"/>
              <w:spacing w:before="60" w:after="60" w:line="180" w:lineRule="exact"/>
              <w:jc w:val="center"/>
              <w:cnfStyle w:val="100000000000" w:firstRow="1" w:lastRow="0" w:firstColumn="0" w:lastColumn="0" w:oddVBand="0" w:evenVBand="0" w:oddHBand="0" w:evenHBand="0" w:firstRowFirstColumn="0" w:firstRowLastColumn="0" w:lastRowFirstColumn="0" w:lastRowLastColumn="0"/>
              <w:rPr>
                <w:rtl/>
              </w:rPr>
            </w:pPr>
            <w:r w:rsidRPr="006D3BE1">
              <w:rPr>
                <w:rtl/>
              </w:rPr>
              <w:t>2017</w:t>
            </w:r>
          </w:p>
        </w:tc>
        <w:tc>
          <w:tcPr>
            <w:tcW w:w="1387" w:type="dxa"/>
            <w:tcBorders>
              <w:top w:val="none" w:sz="0" w:space="0" w:color="auto"/>
              <w:left w:val="none" w:sz="0" w:space="0" w:color="auto"/>
              <w:right w:val="none" w:sz="0" w:space="0" w:color="auto"/>
            </w:tcBorders>
            <w:shd w:val="clear" w:color="auto" w:fill="C6DCE4"/>
          </w:tcPr>
          <w:p w14:paraId="6139D34D" w14:textId="77777777" w:rsidR="003F6142" w:rsidRPr="006D3BE1" w:rsidRDefault="003F6142" w:rsidP="004E0118">
            <w:pPr>
              <w:pStyle w:val="71R"/>
              <w:spacing w:before="60" w:after="60" w:line="180" w:lineRule="exact"/>
              <w:jc w:val="center"/>
              <w:cnfStyle w:val="100000000000" w:firstRow="1" w:lastRow="0" w:firstColumn="0" w:lastColumn="0" w:oddVBand="0" w:evenVBand="0" w:oddHBand="0" w:evenHBand="0" w:firstRowFirstColumn="0" w:firstRowLastColumn="0" w:lastRowFirstColumn="0" w:lastRowLastColumn="0"/>
              <w:rPr>
                <w:rtl/>
              </w:rPr>
            </w:pPr>
            <w:r w:rsidRPr="006D3BE1">
              <w:rPr>
                <w:rtl/>
              </w:rPr>
              <w:t>2018</w:t>
            </w:r>
          </w:p>
        </w:tc>
        <w:tc>
          <w:tcPr>
            <w:tcW w:w="1387" w:type="dxa"/>
            <w:tcBorders>
              <w:top w:val="none" w:sz="0" w:space="0" w:color="auto"/>
              <w:left w:val="none" w:sz="0" w:space="0" w:color="auto"/>
              <w:right w:val="none" w:sz="0" w:space="0" w:color="auto"/>
            </w:tcBorders>
            <w:shd w:val="clear" w:color="auto" w:fill="C6DCE4"/>
          </w:tcPr>
          <w:p w14:paraId="026C2617" w14:textId="77777777" w:rsidR="003F6142" w:rsidRPr="006D3BE1" w:rsidRDefault="003F6142" w:rsidP="004E0118">
            <w:pPr>
              <w:pStyle w:val="71R"/>
              <w:spacing w:before="60" w:after="60" w:line="180" w:lineRule="exact"/>
              <w:jc w:val="center"/>
              <w:cnfStyle w:val="100000000000" w:firstRow="1" w:lastRow="0" w:firstColumn="0" w:lastColumn="0" w:oddVBand="0" w:evenVBand="0" w:oddHBand="0" w:evenHBand="0" w:firstRowFirstColumn="0" w:firstRowLastColumn="0" w:lastRowFirstColumn="0" w:lastRowLastColumn="0"/>
              <w:rPr>
                <w:rtl/>
              </w:rPr>
            </w:pPr>
            <w:r w:rsidRPr="006D3BE1">
              <w:rPr>
                <w:rtl/>
              </w:rPr>
              <w:t>2019</w:t>
            </w:r>
          </w:p>
        </w:tc>
        <w:tc>
          <w:tcPr>
            <w:tcW w:w="1388" w:type="dxa"/>
            <w:tcBorders>
              <w:top w:val="none" w:sz="0" w:space="0" w:color="auto"/>
              <w:left w:val="none" w:sz="0" w:space="0" w:color="auto"/>
              <w:right w:val="none" w:sz="0" w:space="0" w:color="auto"/>
            </w:tcBorders>
            <w:shd w:val="clear" w:color="auto" w:fill="C6DCE4"/>
          </w:tcPr>
          <w:p w14:paraId="09FDF02A" w14:textId="77777777" w:rsidR="003F6142" w:rsidRPr="006D3BE1" w:rsidRDefault="003F6142" w:rsidP="004E0118">
            <w:pPr>
              <w:pStyle w:val="71R"/>
              <w:spacing w:before="60" w:after="60" w:line="180" w:lineRule="exact"/>
              <w:jc w:val="center"/>
              <w:cnfStyle w:val="100000000000" w:firstRow="1" w:lastRow="0" w:firstColumn="0" w:lastColumn="0" w:oddVBand="0" w:evenVBand="0" w:oddHBand="0" w:evenHBand="0" w:firstRowFirstColumn="0" w:firstRowLastColumn="0" w:lastRowFirstColumn="0" w:lastRowLastColumn="0"/>
              <w:rPr>
                <w:rtl/>
              </w:rPr>
            </w:pPr>
            <w:r w:rsidRPr="006D3BE1">
              <w:rPr>
                <w:rtl/>
              </w:rPr>
              <w:t>1-6.20</w:t>
            </w:r>
          </w:p>
        </w:tc>
      </w:tr>
      <w:tr w:rsidR="003F6142" w:rsidRPr="006D3BE1" w14:paraId="4507292F" w14:textId="77777777" w:rsidTr="007F5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gridSpan w:val="5"/>
            <w:tcBorders>
              <w:left w:val="none" w:sz="0" w:space="0" w:color="auto"/>
            </w:tcBorders>
            <w:shd w:val="clear" w:color="auto" w:fill="C6DCE4"/>
          </w:tcPr>
          <w:p w14:paraId="24AE1277" w14:textId="77777777" w:rsidR="003F6142" w:rsidRPr="006D3BE1" w:rsidRDefault="003F6142" w:rsidP="004E0118">
            <w:pPr>
              <w:pStyle w:val="71R"/>
              <w:spacing w:before="60" w:after="60" w:line="180" w:lineRule="exact"/>
              <w:jc w:val="center"/>
              <w:rPr>
                <w:color w:val="FF0000"/>
                <w:rtl/>
              </w:rPr>
            </w:pPr>
            <w:r w:rsidRPr="006D3BE1">
              <w:rPr>
                <w:color w:val="auto"/>
                <w:rtl/>
              </w:rPr>
              <w:t>גופים נבדקים בביקורת</w:t>
            </w:r>
          </w:p>
        </w:tc>
      </w:tr>
      <w:tr w:rsidR="003F6142" w:rsidRPr="006D3BE1" w14:paraId="5913FA21" w14:textId="77777777" w:rsidTr="007F59FF">
        <w:tc>
          <w:tcPr>
            <w:cnfStyle w:val="001000000000" w:firstRow="0" w:lastRow="0" w:firstColumn="1" w:lastColumn="0" w:oddVBand="0" w:evenVBand="0" w:oddHBand="0" w:evenHBand="0" w:firstRowFirstColumn="0" w:firstRowLastColumn="0" w:lastRowFirstColumn="0" w:lastRowLastColumn="0"/>
            <w:tcW w:w="1387" w:type="dxa"/>
            <w:tcBorders>
              <w:left w:val="none" w:sz="0" w:space="0" w:color="auto"/>
            </w:tcBorders>
            <w:shd w:val="clear" w:color="auto" w:fill="DBE8EE"/>
          </w:tcPr>
          <w:p w14:paraId="3EC3D4A1" w14:textId="52D5EDAE" w:rsidR="003F6142" w:rsidRPr="006D3BE1" w:rsidRDefault="003F6142" w:rsidP="003F6142">
            <w:pPr>
              <w:pStyle w:val="71R"/>
              <w:spacing w:before="60" w:after="60" w:line="180" w:lineRule="exact"/>
              <w:rPr>
                <w:rtl/>
              </w:rPr>
            </w:pPr>
            <w:r w:rsidRPr="003F6142">
              <w:rPr>
                <w:rtl/>
              </w:rPr>
              <w:t>רשויות מקומיות שנבדקו - עם תיק השקעות לטווח ארוך בשנים 2017 - 2019 (תשואה ממוצעת)</w:t>
            </w:r>
          </w:p>
        </w:tc>
        <w:tc>
          <w:tcPr>
            <w:tcW w:w="1387" w:type="dxa"/>
            <w:shd w:val="clear" w:color="auto" w:fill="DBE8EE"/>
          </w:tcPr>
          <w:p w14:paraId="79C0F52F" w14:textId="5B2510D7" w:rsidR="003F6142" w:rsidRPr="006D3BE1" w:rsidRDefault="003F6142" w:rsidP="003F6142">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color w:val="FF0000"/>
                <w:rtl/>
              </w:rPr>
            </w:pPr>
            <w:r w:rsidRPr="00D83D3E">
              <w:rPr>
                <w:rtl/>
              </w:rPr>
              <w:t>3.4%</w:t>
            </w:r>
          </w:p>
        </w:tc>
        <w:tc>
          <w:tcPr>
            <w:tcW w:w="1387" w:type="dxa"/>
            <w:shd w:val="clear" w:color="auto" w:fill="DBE8EE"/>
          </w:tcPr>
          <w:p w14:paraId="7A8AFDF6" w14:textId="08BD8A0E" w:rsidR="003F6142" w:rsidRPr="006D3BE1" w:rsidRDefault="003F6142" w:rsidP="003F6142">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rtl/>
              </w:rPr>
            </w:pPr>
            <w:r w:rsidRPr="00D83D3E">
              <w:rPr>
                <w:color w:val="FF0000"/>
                <w:rtl/>
              </w:rPr>
              <w:t>1.3%-</w:t>
            </w:r>
          </w:p>
        </w:tc>
        <w:tc>
          <w:tcPr>
            <w:tcW w:w="1387" w:type="dxa"/>
            <w:shd w:val="clear" w:color="auto" w:fill="DBE8EE"/>
          </w:tcPr>
          <w:p w14:paraId="413DCA2B" w14:textId="62E862B5" w:rsidR="003F6142" w:rsidRPr="006D3BE1" w:rsidRDefault="003F6142" w:rsidP="003F6142">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rtl/>
              </w:rPr>
            </w:pPr>
            <w:r w:rsidRPr="00D83D3E">
              <w:rPr>
                <w:rtl/>
              </w:rPr>
              <w:t>5.2%</w:t>
            </w:r>
          </w:p>
        </w:tc>
        <w:tc>
          <w:tcPr>
            <w:tcW w:w="1388" w:type="dxa"/>
            <w:shd w:val="clear" w:color="auto" w:fill="DBE8EE"/>
          </w:tcPr>
          <w:p w14:paraId="7A819A93" w14:textId="41BB19DE" w:rsidR="003F6142" w:rsidRPr="006D3BE1" w:rsidRDefault="003F6142" w:rsidP="003F6142">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color w:val="FF0000"/>
                <w:rtl/>
              </w:rPr>
            </w:pPr>
            <w:r w:rsidRPr="00D83D3E">
              <w:rPr>
                <w:color w:val="FF0000"/>
                <w:rtl/>
              </w:rPr>
              <w:t>1.6%-</w:t>
            </w:r>
          </w:p>
        </w:tc>
      </w:tr>
      <w:tr w:rsidR="003F6142" w:rsidRPr="006D3BE1" w14:paraId="4FC20B11" w14:textId="77777777" w:rsidTr="007F5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6" w:type="dxa"/>
            <w:gridSpan w:val="5"/>
            <w:tcBorders>
              <w:left w:val="none" w:sz="0" w:space="0" w:color="auto"/>
            </w:tcBorders>
            <w:shd w:val="clear" w:color="auto" w:fill="C6DCE4"/>
          </w:tcPr>
          <w:p w14:paraId="29B99626" w14:textId="77777777" w:rsidR="003F6142" w:rsidRPr="006D3BE1" w:rsidRDefault="003F6142" w:rsidP="004E0118">
            <w:pPr>
              <w:pStyle w:val="71R"/>
              <w:spacing w:before="60" w:after="60" w:line="180" w:lineRule="exact"/>
              <w:jc w:val="center"/>
              <w:rPr>
                <w:rtl/>
              </w:rPr>
            </w:pPr>
            <w:r w:rsidRPr="006D3BE1">
              <w:rPr>
                <w:color w:val="auto"/>
                <w:rtl/>
              </w:rPr>
              <w:t>מדדים השוואתיים</w:t>
            </w:r>
          </w:p>
        </w:tc>
      </w:tr>
      <w:tr w:rsidR="007F59FF" w:rsidRPr="006D3BE1" w14:paraId="3EDF4C4B" w14:textId="77777777" w:rsidTr="007F59FF">
        <w:tc>
          <w:tcPr>
            <w:cnfStyle w:val="001000000000" w:firstRow="0" w:lastRow="0" w:firstColumn="1" w:lastColumn="0" w:oddVBand="0" w:evenVBand="0" w:oddHBand="0" w:evenHBand="0" w:firstRowFirstColumn="0" w:firstRowLastColumn="0" w:lastRowFirstColumn="0" w:lastRowLastColumn="0"/>
            <w:tcW w:w="1387" w:type="dxa"/>
            <w:tcBorders>
              <w:left w:val="none" w:sz="0" w:space="0" w:color="auto"/>
            </w:tcBorders>
            <w:shd w:val="clear" w:color="auto" w:fill="DBE8EE"/>
          </w:tcPr>
          <w:p w14:paraId="622F6E27" w14:textId="77777777" w:rsidR="007F59FF" w:rsidRPr="006D3BE1" w:rsidRDefault="007F59FF" w:rsidP="007F59FF">
            <w:pPr>
              <w:pStyle w:val="71R"/>
              <w:spacing w:before="60" w:after="60" w:line="180" w:lineRule="exact"/>
              <w:rPr>
                <w:rtl/>
              </w:rPr>
            </w:pPr>
            <w:r w:rsidRPr="006D3BE1">
              <w:rPr>
                <w:rtl/>
              </w:rPr>
              <w:t>קרנות השתלמות</w:t>
            </w:r>
          </w:p>
        </w:tc>
        <w:tc>
          <w:tcPr>
            <w:tcW w:w="1387" w:type="dxa"/>
            <w:shd w:val="clear" w:color="auto" w:fill="DBE8EE"/>
          </w:tcPr>
          <w:p w14:paraId="50A1CC59" w14:textId="73DA9253" w:rsidR="007F59FF" w:rsidRPr="006D3BE1" w:rsidRDefault="007F59FF" w:rsidP="007F59FF">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color w:val="FF0000"/>
                <w:rtl/>
              </w:rPr>
            </w:pPr>
            <w:r w:rsidRPr="00D83D3E">
              <w:rPr>
                <w:rtl/>
              </w:rPr>
              <w:t>6.9%</w:t>
            </w:r>
          </w:p>
        </w:tc>
        <w:tc>
          <w:tcPr>
            <w:tcW w:w="1387" w:type="dxa"/>
            <w:shd w:val="clear" w:color="auto" w:fill="DBE8EE"/>
          </w:tcPr>
          <w:p w14:paraId="6A2947AC" w14:textId="79F1E2BD" w:rsidR="007F59FF" w:rsidRPr="006D3BE1" w:rsidRDefault="007F59FF" w:rsidP="007F59FF">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rtl/>
              </w:rPr>
            </w:pPr>
            <w:r w:rsidRPr="00D83D3E">
              <w:rPr>
                <w:color w:val="FF0000"/>
                <w:rtl/>
              </w:rPr>
              <w:t>1.2%-</w:t>
            </w:r>
          </w:p>
        </w:tc>
        <w:tc>
          <w:tcPr>
            <w:tcW w:w="1387" w:type="dxa"/>
            <w:shd w:val="clear" w:color="auto" w:fill="DBE8EE"/>
          </w:tcPr>
          <w:p w14:paraId="4CAF8D6A" w14:textId="088675A0" w:rsidR="007F59FF" w:rsidRPr="006D3BE1" w:rsidRDefault="007F59FF" w:rsidP="007F59FF">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rtl/>
              </w:rPr>
            </w:pPr>
            <w:r w:rsidRPr="00D83D3E">
              <w:rPr>
                <w:rtl/>
              </w:rPr>
              <w:t>11.9%</w:t>
            </w:r>
          </w:p>
        </w:tc>
        <w:tc>
          <w:tcPr>
            <w:tcW w:w="1388" w:type="dxa"/>
            <w:shd w:val="clear" w:color="auto" w:fill="DBE8EE"/>
          </w:tcPr>
          <w:p w14:paraId="05D105FC" w14:textId="2923469D" w:rsidR="007F59FF" w:rsidRPr="006D3BE1" w:rsidRDefault="007F59FF" w:rsidP="007F59FF">
            <w:pPr>
              <w:pStyle w:val="71R"/>
              <w:spacing w:before="60" w:after="60" w:line="180" w:lineRule="exact"/>
              <w:cnfStyle w:val="000000000000" w:firstRow="0" w:lastRow="0" w:firstColumn="0" w:lastColumn="0" w:oddVBand="0" w:evenVBand="0" w:oddHBand="0" w:evenHBand="0" w:firstRowFirstColumn="0" w:firstRowLastColumn="0" w:lastRowFirstColumn="0" w:lastRowLastColumn="0"/>
              <w:rPr>
                <w:color w:val="FF0000"/>
                <w:rtl/>
              </w:rPr>
            </w:pPr>
            <w:r w:rsidRPr="00D83D3E">
              <w:rPr>
                <w:color w:val="FF0000"/>
                <w:rtl/>
              </w:rPr>
              <w:t>5.1%-</w:t>
            </w:r>
          </w:p>
        </w:tc>
      </w:tr>
      <w:tr w:rsidR="007F59FF" w:rsidRPr="006D3BE1" w14:paraId="43292387" w14:textId="77777777" w:rsidTr="007F59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 w:type="dxa"/>
            <w:tcBorders>
              <w:left w:val="none" w:sz="0" w:space="0" w:color="auto"/>
              <w:bottom w:val="none" w:sz="0" w:space="0" w:color="auto"/>
            </w:tcBorders>
            <w:shd w:val="clear" w:color="auto" w:fill="ECF4F5"/>
          </w:tcPr>
          <w:p w14:paraId="177EB87C" w14:textId="12354C48" w:rsidR="007F59FF" w:rsidRPr="006D3BE1" w:rsidRDefault="007F59FF" w:rsidP="007F59FF">
            <w:pPr>
              <w:pStyle w:val="71R"/>
              <w:spacing w:before="60" w:after="60" w:line="180" w:lineRule="exact"/>
              <w:rPr>
                <w:rtl/>
              </w:rPr>
            </w:pPr>
            <w:r w:rsidRPr="003F6142">
              <w:rPr>
                <w:rtl/>
              </w:rPr>
              <w:t>קרנות</w:t>
            </w:r>
            <w:r w:rsidRPr="003F6142">
              <w:t xml:space="preserve"> </w:t>
            </w:r>
            <w:r w:rsidRPr="003F6142">
              <w:rPr>
                <w:rtl/>
              </w:rPr>
              <w:t>מרכזיות</w:t>
            </w:r>
            <w:r w:rsidRPr="003F6142">
              <w:t xml:space="preserve"> </w:t>
            </w:r>
            <w:r w:rsidRPr="003F6142">
              <w:rPr>
                <w:rtl/>
              </w:rPr>
              <w:t>לפיצויים</w:t>
            </w:r>
          </w:p>
        </w:tc>
        <w:tc>
          <w:tcPr>
            <w:tcW w:w="1387" w:type="dxa"/>
            <w:shd w:val="clear" w:color="auto" w:fill="ECF4F5"/>
          </w:tcPr>
          <w:p w14:paraId="73781B5A" w14:textId="72D6DBED" w:rsidR="007F59FF" w:rsidRPr="006D3BE1" w:rsidRDefault="007F59FF" w:rsidP="007F59FF">
            <w:pPr>
              <w:pStyle w:val="71R"/>
              <w:spacing w:before="60" w:after="60" w:line="180" w:lineRule="exact"/>
              <w:cnfStyle w:val="000000100000" w:firstRow="0" w:lastRow="0" w:firstColumn="0" w:lastColumn="0" w:oddVBand="0" w:evenVBand="0" w:oddHBand="1" w:evenHBand="0" w:firstRowFirstColumn="0" w:firstRowLastColumn="0" w:lastRowFirstColumn="0" w:lastRowLastColumn="0"/>
              <w:rPr>
                <w:color w:val="FF0000"/>
                <w:rtl/>
              </w:rPr>
            </w:pPr>
            <w:r w:rsidRPr="00D83D3E">
              <w:rPr>
                <w:rtl/>
              </w:rPr>
              <w:t>6.4%</w:t>
            </w:r>
          </w:p>
        </w:tc>
        <w:tc>
          <w:tcPr>
            <w:tcW w:w="1387" w:type="dxa"/>
            <w:shd w:val="clear" w:color="auto" w:fill="ECF4F5"/>
          </w:tcPr>
          <w:p w14:paraId="61BE2F46" w14:textId="5EC561E3" w:rsidR="007F59FF" w:rsidRPr="006D3BE1" w:rsidRDefault="007F59FF" w:rsidP="007F59FF">
            <w:pPr>
              <w:pStyle w:val="71R"/>
              <w:spacing w:before="60" w:after="60" w:line="180" w:lineRule="exact"/>
              <w:cnfStyle w:val="000000100000" w:firstRow="0" w:lastRow="0" w:firstColumn="0" w:lastColumn="0" w:oddVBand="0" w:evenVBand="0" w:oddHBand="1" w:evenHBand="0" w:firstRowFirstColumn="0" w:firstRowLastColumn="0" w:lastRowFirstColumn="0" w:lastRowLastColumn="0"/>
              <w:rPr>
                <w:rtl/>
              </w:rPr>
            </w:pPr>
            <w:r w:rsidRPr="00D83D3E">
              <w:rPr>
                <w:color w:val="FF0000"/>
                <w:rtl/>
              </w:rPr>
              <w:t>1.3%-</w:t>
            </w:r>
          </w:p>
        </w:tc>
        <w:tc>
          <w:tcPr>
            <w:tcW w:w="1387" w:type="dxa"/>
            <w:shd w:val="clear" w:color="auto" w:fill="ECF4F5"/>
          </w:tcPr>
          <w:p w14:paraId="582879B4" w14:textId="741BC94D" w:rsidR="007F59FF" w:rsidRPr="006D3BE1" w:rsidRDefault="007F59FF" w:rsidP="007F59FF">
            <w:pPr>
              <w:pStyle w:val="71R"/>
              <w:spacing w:before="60" w:after="60" w:line="180" w:lineRule="exact"/>
              <w:cnfStyle w:val="000000100000" w:firstRow="0" w:lastRow="0" w:firstColumn="0" w:lastColumn="0" w:oddVBand="0" w:evenVBand="0" w:oddHBand="1" w:evenHBand="0" w:firstRowFirstColumn="0" w:firstRowLastColumn="0" w:lastRowFirstColumn="0" w:lastRowLastColumn="0"/>
              <w:rPr>
                <w:rtl/>
              </w:rPr>
            </w:pPr>
            <w:r w:rsidRPr="00D83D3E">
              <w:rPr>
                <w:rtl/>
              </w:rPr>
              <w:t>10.9%</w:t>
            </w:r>
          </w:p>
        </w:tc>
        <w:tc>
          <w:tcPr>
            <w:tcW w:w="1388" w:type="dxa"/>
            <w:shd w:val="clear" w:color="auto" w:fill="ECF4F5"/>
          </w:tcPr>
          <w:p w14:paraId="23D1D019" w14:textId="3BBDE260" w:rsidR="007F59FF" w:rsidRPr="006D3BE1" w:rsidRDefault="007F59FF" w:rsidP="007F59FF">
            <w:pPr>
              <w:pStyle w:val="71R"/>
              <w:spacing w:before="60" w:after="60" w:line="180" w:lineRule="exact"/>
              <w:cnfStyle w:val="000000100000" w:firstRow="0" w:lastRow="0" w:firstColumn="0" w:lastColumn="0" w:oddVBand="0" w:evenVBand="0" w:oddHBand="1" w:evenHBand="0" w:firstRowFirstColumn="0" w:firstRowLastColumn="0" w:lastRowFirstColumn="0" w:lastRowLastColumn="0"/>
              <w:rPr>
                <w:color w:val="FF0000"/>
                <w:rtl/>
              </w:rPr>
            </w:pPr>
            <w:r w:rsidRPr="00D83D3E">
              <w:rPr>
                <w:color w:val="FF0000"/>
                <w:rtl/>
              </w:rPr>
              <w:t>5.0%-</w:t>
            </w:r>
          </w:p>
        </w:tc>
      </w:tr>
    </w:tbl>
    <w:p w14:paraId="4B9CF799" w14:textId="5FD37768" w:rsidR="000E683C" w:rsidRDefault="000E683C" w:rsidP="00935A32">
      <w:pPr>
        <w:pStyle w:val="71f3"/>
        <w:rPr>
          <w:rtl/>
        </w:rPr>
      </w:pPr>
    </w:p>
    <w:p w14:paraId="4E98ADEB" w14:textId="5254E1BE" w:rsidR="000E683C" w:rsidRDefault="000E683C" w:rsidP="00935A32">
      <w:pPr>
        <w:pStyle w:val="71f3"/>
        <w:rPr>
          <w:rtl/>
        </w:rPr>
      </w:pPr>
    </w:p>
    <w:p w14:paraId="1D6519E8" w14:textId="4A9F91A1" w:rsidR="000E683C" w:rsidRDefault="000E683C" w:rsidP="00935A32">
      <w:pPr>
        <w:pStyle w:val="71f3"/>
        <w:rPr>
          <w:rtl/>
        </w:rPr>
      </w:pPr>
    </w:p>
    <w:p w14:paraId="7CB3C45F" w14:textId="45F00796" w:rsidR="00935A32" w:rsidRDefault="00935A32" w:rsidP="00935A32">
      <w:pPr>
        <w:pStyle w:val="71f3"/>
        <w:rPr>
          <w:rtl/>
        </w:rPr>
      </w:pPr>
      <w:r w:rsidRPr="0069093D">
        <w:rPr>
          <w:rFonts w:hint="cs"/>
          <w:b/>
          <w:bCs/>
          <w:noProof/>
          <w:rtl/>
        </w:rPr>
        <w:lastRenderedPageBreak/>
        <w:drawing>
          <wp:anchor distT="0" distB="3600450" distL="114300" distR="114300" simplePos="0" relativeHeight="252030464" behindDoc="0" locked="0" layoutInCell="1" allowOverlap="1" wp14:anchorId="1781701E" wp14:editId="5BB6EF43">
            <wp:simplePos x="0" y="0"/>
            <wp:positionH relativeFrom="column">
              <wp:posOffset>4518025</wp:posOffset>
            </wp:positionH>
            <wp:positionV relativeFrom="paragraph">
              <wp:posOffset>46990</wp:posOffset>
            </wp:positionV>
            <wp:extent cx="161925" cy="161925"/>
            <wp:effectExtent l="0" t="0" r="9525" b="9525"/>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83D3E">
        <w:rPr>
          <w:b/>
          <w:bCs/>
          <w:rtl/>
        </w:rPr>
        <w:t>סוגיות מ</w:t>
      </w:r>
      <w:r>
        <w:rPr>
          <w:rFonts w:hint="cs"/>
          <w:b/>
          <w:bCs/>
          <w:rtl/>
        </w:rPr>
        <w:t>י</w:t>
      </w:r>
      <w:r w:rsidRPr="00D83D3E">
        <w:rPr>
          <w:b/>
          <w:bCs/>
          <w:rtl/>
        </w:rPr>
        <w:t xml:space="preserve">נהליות בעבודת ועדת ההשקעות </w:t>
      </w:r>
      <w:r w:rsidRPr="00D83D3E">
        <w:rPr>
          <w:rtl/>
        </w:rPr>
        <w:t>-</w:t>
      </w:r>
      <w:r w:rsidRPr="00D83D3E">
        <w:rPr>
          <w:szCs w:val="20"/>
          <w:rtl/>
        </w:rPr>
        <w:t xml:space="preserve"> </w:t>
      </w:r>
      <w:r w:rsidRPr="00D83D3E">
        <w:rPr>
          <w:rtl/>
        </w:rPr>
        <w:t>ל-34% מהרשויות שנבדקו (17 מתוך 50) לא הייתה ועדת השקעות פעילה ב-31.12.2019. בנוסף, 22% עד 33% מהרשויות שלהן תיק השקעות לטווח ארוך לא קיימו בשנים 2017 - 2019, ישיבות של ועדת ההשקעות בתדירות הנדרשת.</w:t>
      </w:r>
    </w:p>
    <w:p w14:paraId="0CC294A8" w14:textId="21CAD8D3" w:rsidR="00935A32" w:rsidRPr="00935A32" w:rsidRDefault="00935A32" w:rsidP="00935A32">
      <w:pPr>
        <w:pStyle w:val="71f3"/>
        <w:rPr>
          <w:rtl/>
        </w:rPr>
      </w:pPr>
      <w:r w:rsidRPr="0069093D">
        <w:rPr>
          <w:rFonts w:hint="cs"/>
          <w:b/>
          <w:bCs/>
          <w:noProof/>
          <w:rtl/>
        </w:rPr>
        <w:drawing>
          <wp:anchor distT="0" distB="3600450" distL="114300" distR="114300" simplePos="0" relativeHeight="252032512" behindDoc="0" locked="0" layoutInCell="1" allowOverlap="1" wp14:anchorId="1FCDBA3D" wp14:editId="326E7B65">
            <wp:simplePos x="0" y="0"/>
            <wp:positionH relativeFrom="column">
              <wp:posOffset>4518025</wp:posOffset>
            </wp:positionH>
            <wp:positionV relativeFrom="paragraph">
              <wp:posOffset>46990</wp:posOffset>
            </wp:positionV>
            <wp:extent cx="161925" cy="161925"/>
            <wp:effectExtent l="0" t="0" r="9525" b="952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83D3E">
        <w:rPr>
          <w:b/>
          <w:bCs/>
          <w:rtl/>
        </w:rPr>
        <w:t xml:space="preserve">הנחיות משרד הפנים - </w:t>
      </w:r>
      <w:r w:rsidRPr="00D83D3E">
        <w:rPr>
          <w:rtl/>
        </w:rPr>
        <w:t>למרות היתרונות המקצועיים לא קבע משרד הפנים הנחיות בדבר מחויבות הרשויות ביצירת תיק סמן ו/או התקשרות עם יועץ פיננסי מקצועי לצורך קביעת מדיניות, ניהול ובחינת ביצועי תיקי ההשקעות שלהן. כמו כן, לא הגדיר המשרד הנחיות בדבר הפיקוח והבקרה הנדרשים על כספי הפנסייה התקציבית של עובדי הרשויות.</w:t>
      </w:r>
    </w:p>
    <w:p w14:paraId="5380A53C" w14:textId="07B88D04" w:rsidR="00935A32" w:rsidRPr="00935A32" w:rsidRDefault="00935A32" w:rsidP="00935A32">
      <w:pPr>
        <w:pStyle w:val="71f3"/>
        <w:rPr>
          <w:rtl/>
        </w:rPr>
      </w:pPr>
      <w:r w:rsidRPr="0069093D">
        <w:rPr>
          <w:rFonts w:hint="cs"/>
          <w:b/>
          <w:bCs/>
          <w:noProof/>
          <w:rtl/>
        </w:rPr>
        <w:drawing>
          <wp:anchor distT="0" distB="3600450" distL="114300" distR="114300" simplePos="0" relativeHeight="252034560" behindDoc="0" locked="0" layoutInCell="1" allowOverlap="1" wp14:anchorId="094FDCF2" wp14:editId="57DBE3D7">
            <wp:simplePos x="0" y="0"/>
            <wp:positionH relativeFrom="column">
              <wp:posOffset>4518025</wp:posOffset>
            </wp:positionH>
            <wp:positionV relativeFrom="paragraph">
              <wp:posOffset>46990</wp:posOffset>
            </wp:positionV>
            <wp:extent cx="161925" cy="161925"/>
            <wp:effectExtent l="0" t="0" r="9525" b="9525"/>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83D3E">
        <w:rPr>
          <w:b/>
          <w:bCs/>
          <w:rtl/>
        </w:rPr>
        <w:t>בקרות על פעילות ועדת ההשקעות -</w:t>
      </w:r>
      <w:r w:rsidRPr="00D83D3E">
        <w:rPr>
          <w:rtl/>
        </w:rPr>
        <w:t xml:space="preserve"> בשנים 2017 - 2019 78% מהרשויות שנבדקו ולהן תיק השקעות פעיל (14 מתוך 18 רשויות), לא קיימו דיון בהנהלת הרשות בנושא פעילות ועדת ההשקעות</w:t>
      </w:r>
      <w:r>
        <w:rPr>
          <w:vertAlign w:val="superscript"/>
          <w:rtl/>
        </w:rPr>
        <w:footnoteReference w:id="7"/>
      </w:r>
      <w:r w:rsidRPr="00D83D3E">
        <w:rPr>
          <w:rtl/>
        </w:rPr>
        <w:t>, הגם שעד פרסום חוזר 02/2020 הרשויות לא היו מחויבות בדיון שנתי כאמור. כמו כן, למרות הסיכון והיקפן הכספי הניכר של תיקי ההשקעות ברשויות, רק ב-4 מתוך 50 הרשויות שהשיבו לשאלון - מבקר הרשות ערך ביקורת על פעילות ועדת ההשקעות. בנוסף, משרד הפנים לא קיים ביקורת יזומה על פעילות ועדות ההשקעה ברשויות המקומיות כדי לבחון באופן רחב ומלא את עמידת הרשויות בהנחיותיו בנושא. כמו כן, המשרד לא בחן את המעקב והבקרה של ועדות ההשקעה של הרשויות על כספי הפנסייה.</w:t>
      </w:r>
    </w:p>
    <w:p w14:paraId="5D1E623C" w14:textId="796B1E4D" w:rsidR="000D7EB1" w:rsidRPr="00C74181" w:rsidRDefault="00EB5DB5" w:rsidP="00D40584">
      <w:pPr>
        <w:bidi w:val="0"/>
        <w:spacing w:after="200" w:line="276" w:lineRule="auto"/>
        <w:rPr>
          <w:rtl/>
        </w:rPr>
      </w:pPr>
      <w:r w:rsidRPr="00362C00">
        <w:rPr>
          <w:rFonts w:hint="cs"/>
          <w:noProof/>
          <w:sz w:val="19"/>
          <w:szCs w:val="19"/>
          <w:rtl/>
        </w:rPr>
        <w:drawing>
          <wp:anchor distT="0" distB="0" distL="114300" distR="114300" simplePos="0" relativeHeight="251724288" behindDoc="0" locked="0" layoutInCell="1" allowOverlap="1" wp14:anchorId="25B1C011" wp14:editId="071E56B4">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FDA6BB8" w14:textId="7B7E76BA" w:rsidR="00D40584" w:rsidRPr="00832BE0" w:rsidRDefault="00935A32" w:rsidP="00935A32">
      <w:pPr>
        <w:pStyle w:val="71f3"/>
        <w:rPr>
          <w:b/>
          <w:bCs/>
          <w:rtl/>
        </w:rPr>
      </w:pPr>
      <w:r w:rsidRPr="00D83D3E">
        <w:rPr>
          <w:b/>
          <w:bCs/>
          <w:rtl/>
        </w:rPr>
        <w:t>אישור מדיניות ההשקעה</w:t>
      </w:r>
      <w:r w:rsidRPr="00D83D3E">
        <w:rPr>
          <w:rtl/>
        </w:rPr>
        <w:t xml:space="preserve"> - ברוב הישויות הממשלתיות שנבדקו מדיניות ההשקעה מאושרת בהנהלה אחת לשנה</w:t>
      </w:r>
      <w:r w:rsidR="00D40584" w:rsidRPr="0051536E">
        <w:rPr>
          <w:rtl/>
        </w:rPr>
        <w:t>.</w:t>
      </w:r>
    </w:p>
    <w:p w14:paraId="7793C2AC" w14:textId="4C175DF2" w:rsidR="00D40584" w:rsidRPr="00DA6466" w:rsidRDefault="00935A32" w:rsidP="00935A32">
      <w:pPr>
        <w:pStyle w:val="71f3"/>
      </w:pPr>
      <w:r w:rsidRPr="00D83D3E">
        <w:rPr>
          <w:b/>
          <w:bCs/>
          <w:rtl/>
        </w:rPr>
        <w:t>קיומו של נוהל המסדיר את פעילות ועדת ההשקעות</w:t>
      </w:r>
      <w:r w:rsidRPr="00D83D3E">
        <w:rPr>
          <w:rtl/>
        </w:rPr>
        <w:t xml:space="preserve"> - ברוב הישויות הממשלתיות שנבדקו, קיים נוהל המסדיר את פעילות ועדת ההשקעות. כמו כן, משרד הפנים פרסם ועדכן </w:t>
      </w:r>
      <w:r w:rsidRPr="00935A32">
        <w:rPr>
          <w:rtl/>
        </w:rPr>
        <w:t>הנחיות</w:t>
      </w:r>
      <w:r w:rsidRPr="00D83D3E">
        <w:rPr>
          <w:rtl/>
        </w:rPr>
        <w:t xml:space="preserve"> לרשויות המקומיות בנושא זה במסגרת חוזרי מנכ"ל</w:t>
      </w:r>
      <w:r>
        <w:rPr>
          <w:rStyle w:val="FootnoteReference"/>
          <w:sz w:val="19"/>
          <w:szCs w:val="19"/>
          <w:rtl/>
        </w:rPr>
        <w:footnoteReference w:id="8"/>
      </w:r>
      <w:r w:rsidRPr="00D83D3E">
        <w:rPr>
          <w:rtl/>
        </w:rPr>
        <w:t>.</w:t>
      </w:r>
      <w:r w:rsidR="00D40584" w:rsidRPr="00DA6466">
        <w:rPr>
          <w:rtl/>
        </w:rPr>
        <w:t xml:space="preserve"> </w:t>
      </w:r>
    </w:p>
    <w:p w14:paraId="7AA033A5" w14:textId="7C1DC6CA" w:rsidR="00D40584" w:rsidRDefault="00935A32" w:rsidP="00935A32">
      <w:pPr>
        <w:pStyle w:val="71f3"/>
      </w:pPr>
      <w:r w:rsidRPr="00D83D3E">
        <w:rPr>
          <w:b/>
          <w:bCs/>
          <w:rtl/>
        </w:rPr>
        <w:t>שימוש בתיק סמן לצורך השוואת ביצועי תיקי ההשקעות</w:t>
      </w:r>
      <w:r w:rsidRPr="00D83D3E">
        <w:rPr>
          <w:rtl/>
        </w:rPr>
        <w:t xml:space="preserve"> - רוב הישויות הממשלתיות ומקצת הרשויות המקומיות שנבדקו משתמשות בתיק סמן לצורך השוואת ביצועי תיקי ההשקעות</w:t>
      </w:r>
      <w:r w:rsidR="00D40584" w:rsidRPr="0051536E">
        <w:rPr>
          <w:rtl/>
        </w:rPr>
        <w:t>.</w:t>
      </w:r>
      <w:r w:rsidR="007001E4" w:rsidRPr="007001E4">
        <w:rPr>
          <w:noProof/>
          <w:rtl/>
          <w:lang w:val="he-IL"/>
        </w:rPr>
        <w:t xml:space="preserve"> </w:t>
      </w:r>
    </w:p>
    <w:p w14:paraId="41D02BF4" w14:textId="2C1B9397" w:rsidR="00D40584" w:rsidRDefault="00935A32" w:rsidP="00935A32">
      <w:pPr>
        <w:pStyle w:val="71f3"/>
        <w:rPr>
          <w:rtl/>
        </w:rPr>
      </w:pPr>
      <w:r w:rsidRPr="00D83D3E">
        <w:rPr>
          <w:b/>
          <w:bCs/>
          <w:rtl/>
        </w:rPr>
        <w:t>עריכת ביקורת פנימית למזעור סיכונים</w:t>
      </w:r>
      <w:r w:rsidRPr="00D83D3E">
        <w:rPr>
          <w:rtl/>
        </w:rPr>
        <w:t xml:space="preserve"> - מבקר הפנים של חברת קנט הכין דוח ביקורת פנימית בנושא סקירת דוחות ביקורת פנימית של בתי השקעות במטרה למזער חשיפות של החברה לסיכונים של בתי ההשקעות</w:t>
      </w:r>
      <w:r w:rsidR="00D40584" w:rsidRPr="00105273">
        <w:rPr>
          <w:rtl/>
        </w:rPr>
        <w:t>.</w:t>
      </w:r>
    </w:p>
    <w:p w14:paraId="0896809D" w14:textId="6BCC8168" w:rsidR="000932F0" w:rsidRPr="00784964" w:rsidRDefault="00784964" w:rsidP="00844A1F">
      <w:pPr>
        <w:pStyle w:val="71f3"/>
        <w:ind w:left="0"/>
        <w:rPr>
          <w:b/>
          <w:bCs/>
          <w:sz w:val="19"/>
          <w:szCs w:val="19"/>
          <w:rtl/>
        </w:rPr>
      </w:pPr>
      <w:r w:rsidRPr="00784964">
        <w:rPr>
          <w:b/>
          <w:bCs/>
          <w:noProof/>
          <w:sz w:val="19"/>
          <w:szCs w:val="19"/>
          <w:rtl/>
        </w:rPr>
        <w:lastRenderedPageBreak/>
        <mc:AlternateContent>
          <mc:Choice Requires="wps">
            <w:drawing>
              <wp:anchor distT="0" distB="0" distL="114300" distR="114300" simplePos="0" relativeHeight="252037632" behindDoc="0" locked="0" layoutInCell="1" allowOverlap="1" wp14:anchorId="1656879E" wp14:editId="14EFCB61">
                <wp:simplePos x="0" y="0"/>
                <wp:positionH relativeFrom="column">
                  <wp:posOffset>-52705</wp:posOffset>
                </wp:positionH>
                <wp:positionV relativeFrom="paragraph">
                  <wp:posOffset>-10795</wp:posOffset>
                </wp:positionV>
                <wp:extent cx="4733925" cy="0"/>
                <wp:effectExtent l="0" t="0" r="0" b="0"/>
                <wp:wrapNone/>
                <wp:docPr id="2052770949" name="Straight Connector 2052770949"/>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3D8074" id="Straight Connector 2052770949" o:spid="_x0000_s1026" style="position:absolute;left:0;text-align:left;z-index:25203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85pt" to="36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" strokecolor="black [3213]" strokeweight="2pt"/>
            </w:pict>
          </mc:Fallback>
        </mc:AlternateContent>
      </w:r>
      <w:r w:rsidR="00844A1F" w:rsidRPr="00784964">
        <w:rPr>
          <w:b/>
          <w:bCs/>
          <w:noProof/>
          <w:sz w:val="19"/>
          <w:szCs w:val="19"/>
          <w:rtl/>
        </w:rPr>
        <mc:AlternateContent>
          <mc:Choice Requires="wps">
            <w:drawing>
              <wp:anchor distT="45720" distB="45720" distL="114300" distR="114300" simplePos="0" relativeHeight="252036608" behindDoc="0" locked="0" layoutInCell="1" allowOverlap="1" wp14:anchorId="0B8D91C8" wp14:editId="1F8D5CBB">
                <wp:simplePos x="0" y="0"/>
                <wp:positionH relativeFrom="column">
                  <wp:posOffset>119380</wp:posOffset>
                </wp:positionH>
                <wp:positionV relativeFrom="paragraph">
                  <wp:posOffset>7620</wp:posOffset>
                </wp:positionV>
                <wp:extent cx="4667250" cy="390525"/>
                <wp:effectExtent l="0" t="0" r="19050" b="28575"/>
                <wp:wrapSquare wrapText="bothSides"/>
                <wp:docPr id="2052770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1AD8356C" w14:textId="77777777" w:rsidR="00844A1F" w:rsidRDefault="00844A1F" w:rsidP="00844A1F">
                            <w:pPr>
                              <w:pStyle w:val="215"/>
                              <w:rPr>
                                <w:rtl/>
                              </w:rPr>
                            </w:pPr>
                            <w:r>
                              <w:rPr>
                                <w:rFonts w:hint="cs"/>
                                <w:rtl/>
                              </w:rPr>
                              <w:t>עיקרי המלצות הביקורת</w:t>
                            </w:r>
                          </w:p>
                          <w:p w14:paraId="7386305F" w14:textId="77777777" w:rsidR="00844A1F" w:rsidRDefault="00844A1F" w:rsidP="00844A1F">
                            <w:pPr>
                              <w:pStyle w:val="215"/>
                              <w:rPr>
                                <w:rtl/>
                              </w:rPr>
                            </w:pPr>
                          </w:p>
                          <w:p w14:paraId="7DFA98EE" w14:textId="77777777" w:rsidR="00844A1F" w:rsidRPr="00A25467" w:rsidRDefault="00844A1F" w:rsidP="00844A1F">
                            <w:pPr>
                              <w:pStyle w:val="215"/>
                              <w:rPr>
                                <w:rtl/>
                              </w:rPr>
                            </w:pPr>
                          </w:p>
                          <w:p w14:paraId="11C9DC5F" w14:textId="77777777" w:rsidR="00844A1F" w:rsidRDefault="00844A1F" w:rsidP="00844A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D91C8" id="_x0000_s1029" type="#_x0000_t202" style="position:absolute;left:0;text-align:left;margin-left:9.4pt;margin-top:.6pt;width:367.5pt;height:30.75pt;z-index:25203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" strokecolor="white [3212]">
                <v:textbox>
                  <w:txbxContent>
                    <w:p w14:paraId="1AD8356C" w14:textId="77777777" w:rsidR="00844A1F" w:rsidRDefault="00844A1F" w:rsidP="00844A1F">
                      <w:pPr>
                        <w:pStyle w:val="215"/>
                        <w:rPr>
                          <w:rtl/>
                        </w:rPr>
                      </w:pPr>
                      <w:r>
                        <w:rPr>
                          <w:rFonts w:hint="cs"/>
                          <w:rtl/>
                        </w:rPr>
                        <w:t>עיקרי המלצות הביקורת</w:t>
                      </w:r>
                    </w:p>
                    <w:p w14:paraId="7386305F" w14:textId="77777777" w:rsidR="00844A1F" w:rsidRDefault="00844A1F" w:rsidP="00844A1F">
                      <w:pPr>
                        <w:pStyle w:val="215"/>
                        <w:rPr>
                          <w:rtl/>
                        </w:rPr>
                      </w:pPr>
                    </w:p>
                    <w:p w14:paraId="7DFA98EE" w14:textId="77777777" w:rsidR="00844A1F" w:rsidRPr="00A25467" w:rsidRDefault="00844A1F" w:rsidP="00844A1F">
                      <w:pPr>
                        <w:pStyle w:val="215"/>
                        <w:rPr>
                          <w:rtl/>
                        </w:rPr>
                      </w:pPr>
                    </w:p>
                    <w:p w14:paraId="11C9DC5F" w14:textId="77777777" w:rsidR="00844A1F" w:rsidRDefault="00844A1F" w:rsidP="00844A1F"/>
                  </w:txbxContent>
                </v:textbox>
                <w10:wrap type="square"/>
              </v:shape>
            </w:pict>
          </mc:Fallback>
        </mc:AlternateContent>
      </w:r>
      <w:r w:rsidR="0043078F" w:rsidRPr="00784964">
        <w:rPr>
          <w:rFonts w:hint="cs"/>
          <w:b/>
          <w:bCs/>
          <w:sz w:val="19"/>
          <w:szCs w:val="19"/>
          <w:rtl/>
        </w:rPr>
        <w:t xml:space="preserve">גופים ציבוריים מוסדיים </w:t>
      </w:r>
      <w:r w:rsidR="0043078F" w:rsidRPr="00784964">
        <w:rPr>
          <w:b/>
          <w:bCs/>
          <w:sz w:val="19"/>
          <w:szCs w:val="19"/>
          <w:rtl/>
        </w:rPr>
        <w:t>–</w:t>
      </w:r>
      <w:r w:rsidR="0043078F" w:rsidRPr="00784964">
        <w:rPr>
          <w:rFonts w:hint="cs"/>
          <w:b/>
          <w:bCs/>
          <w:sz w:val="19"/>
          <w:szCs w:val="19"/>
          <w:rtl/>
        </w:rPr>
        <w:t xml:space="preserve"> קנט, קרנית ואשרא</w:t>
      </w:r>
      <w:r w:rsidR="000932F0" w:rsidRPr="00784964">
        <w:rPr>
          <w:rFonts w:hint="cs"/>
          <w:b/>
          <w:bCs/>
          <w:sz w:val="19"/>
          <w:szCs w:val="19"/>
          <w:rtl/>
        </w:rPr>
        <w:t xml:space="preserve"> </w:t>
      </w:r>
    </w:p>
    <w:p w14:paraId="5BB58D8A" w14:textId="363B080F" w:rsidR="003D472A" w:rsidRPr="0051536E" w:rsidRDefault="00C248DB" w:rsidP="0043078F">
      <w:pPr>
        <w:pStyle w:val="71f3"/>
      </w:pPr>
      <w:r w:rsidRPr="00C76C95">
        <w:rPr>
          <w:noProof/>
        </w:rPr>
        <w:drawing>
          <wp:anchor distT="0" distB="3600450" distL="114300" distR="114300" simplePos="0" relativeHeight="251756032" behindDoc="0" locked="0" layoutInCell="1" allowOverlap="1" wp14:anchorId="50BE8128" wp14:editId="66D5A8C6">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78F" w:rsidRPr="00D83D3E">
        <w:rPr>
          <w:rtl/>
        </w:rPr>
        <w:t>לצורך בחינת ביצועי מנהלי התיקים, ראוי להגדיר מדד ייחוס השוואתי רלוונטי ולהשתמש במגוון של מדדי ייחוס השוואתיים, וזאת במטרה להשיא את תשואת תיקי ההשקעות</w:t>
      </w:r>
      <w:r w:rsidR="003D472A" w:rsidRPr="0051536E">
        <w:rPr>
          <w:rtl/>
        </w:rPr>
        <w:t>.</w:t>
      </w:r>
    </w:p>
    <w:p w14:paraId="13AF705A" w14:textId="2EFAFBF9" w:rsidR="00351AD0" w:rsidRPr="003D472A" w:rsidRDefault="00351AD0" w:rsidP="0043078F">
      <w:pPr>
        <w:pStyle w:val="71f3"/>
        <w:rPr>
          <w:rtl/>
        </w:rPr>
      </w:pPr>
      <w:r w:rsidRPr="00577C64">
        <w:rPr>
          <w:noProof/>
        </w:rPr>
        <w:drawing>
          <wp:anchor distT="0" distB="3600450" distL="114300" distR="114300" simplePos="0" relativeHeight="251760128" behindDoc="0" locked="0" layoutInCell="1" allowOverlap="1" wp14:anchorId="6CC03CA8" wp14:editId="7F5AFD61">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78F" w:rsidRPr="00D83D3E">
        <w:rPr>
          <w:rtl/>
        </w:rPr>
        <w:t>מומלץ כי קרנית, קנט ואשרא ימשיכו לבחון באופן עיתי את מדיניות ההשקעה, התשואות וגיוון ההשקעות לרבות לעומת משקיעים מוסדיים מקבילים ומדדים מקובלים בשוק, על מנת להשיא תשואה מיטבית על תיקי השקעותיהן</w:t>
      </w:r>
      <w:r w:rsidR="003D472A" w:rsidRPr="0051536E">
        <w:rPr>
          <w:rtl/>
        </w:rPr>
        <w:t>.</w:t>
      </w:r>
    </w:p>
    <w:p w14:paraId="34366829" w14:textId="1E1E7E58" w:rsidR="000932F0" w:rsidRPr="000932F0" w:rsidRDefault="00351AD0" w:rsidP="0043078F">
      <w:pPr>
        <w:pStyle w:val="71f3"/>
      </w:pPr>
      <w:r w:rsidRPr="00003EBB">
        <w:rPr>
          <w:noProof/>
        </w:rPr>
        <w:drawing>
          <wp:anchor distT="0" distB="3600450" distL="114300" distR="114300" simplePos="0" relativeHeight="251762176" behindDoc="0" locked="0" layoutInCell="1" allowOverlap="1" wp14:anchorId="2D6437BC" wp14:editId="1FD4E9AE">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78F" w:rsidRPr="00D83D3E">
        <w:rPr>
          <w:rtl/>
        </w:rPr>
        <w:t xml:space="preserve">מומלץ כי כלל הגופים הציבוריים שנבדקו בביקורת יבחנו שילוב כללי </w:t>
      </w:r>
      <w:r w:rsidR="0043078F" w:rsidRPr="00D83D3E">
        <w:t>ESG</w:t>
      </w:r>
      <w:r w:rsidR="0043078F" w:rsidRPr="00D83D3E">
        <w:rPr>
          <w:rtl/>
        </w:rPr>
        <w:t xml:space="preserve"> במסגרת מדיניות ההשקעה שלהם</w:t>
      </w:r>
      <w:r w:rsidR="003D472A" w:rsidRPr="0051536E">
        <w:rPr>
          <w:rtl/>
        </w:rPr>
        <w:t>.</w:t>
      </w:r>
    </w:p>
    <w:p w14:paraId="31FE7BFC" w14:textId="77777777" w:rsidR="004E6FDF" w:rsidRDefault="00784964" w:rsidP="004E6FDF">
      <w:pPr>
        <w:pStyle w:val="71f3"/>
        <w:rPr>
          <w:rtl/>
        </w:rPr>
      </w:pPr>
      <w:r w:rsidRPr="00784964">
        <w:rPr>
          <w:b/>
          <w:bCs/>
          <w:noProof/>
        </w:rPr>
        <mc:AlternateContent>
          <mc:Choice Requires="wps">
            <w:drawing>
              <wp:anchor distT="45720" distB="45720" distL="114300" distR="114300" simplePos="0" relativeHeight="252058112" behindDoc="0" locked="0" layoutInCell="1" allowOverlap="1" wp14:anchorId="1B07DFB4" wp14:editId="41DFB9FC">
                <wp:simplePos x="0" y="0"/>
                <wp:positionH relativeFrom="column">
                  <wp:posOffset>-60960</wp:posOffset>
                </wp:positionH>
                <wp:positionV relativeFrom="paragraph">
                  <wp:posOffset>414020</wp:posOffset>
                </wp:positionV>
                <wp:extent cx="4828540" cy="472440"/>
                <wp:effectExtent l="0" t="0" r="0" b="3810"/>
                <wp:wrapSquare wrapText="bothSides"/>
                <wp:docPr id="2052770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472440"/>
                        </a:xfrm>
                        <a:prstGeom prst="rect">
                          <a:avLst/>
                        </a:prstGeom>
                        <a:solidFill>
                          <a:srgbClr val="FFFFFF"/>
                        </a:solidFill>
                        <a:ln w="9525">
                          <a:noFill/>
                          <a:miter lim="800000"/>
                          <a:headEnd/>
                          <a:tailEnd/>
                        </a:ln>
                      </wps:spPr>
                      <wps:txbx>
                        <w:txbxContent>
                          <w:p w14:paraId="3C928A53" w14:textId="77777777" w:rsidR="00784964" w:rsidRPr="00784964" w:rsidRDefault="00784964" w:rsidP="00784964">
                            <w:pPr>
                              <w:rPr>
                                <w:rFonts w:ascii="Tahoma" w:hAnsi="Tahoma" w:cs="Tahoma"/>
                                <w:b/>
                                <w:bCs/>
                                <w:color w:val="0D0D0D" w:themeColor="text1" w:themeTint="F2"/>
                                <w:sz w:val="19"/>
                                <w:szCs w:val="19"/>
                              </w:rPr>
                            </w:pPr>
                            <w:r w:rsidRPr="00784964">
                              <w:rPr>
                                <w:rFonts w:ascii="Tahoma" w:hAnsi="Tahoma" w:cs="Tahoma"/>
                                <w:b/>
                                <w:bCs/>
                                <w:color w:val="0D0D0D" w:themeColor="text1" w:themeTint="F2"/>
                                <w:sz w:val="19"/>
                                <w:szCs w:val="19"/>
                                <w:rtl/>
                              </w:rPr>
                              <w:t>חברות ממשלתיות ותאגידים סטטוטוריים - חברת החשמל, נמל חיפה, נמל אשדוד, רשות שדות התעופה והקרן לשיקום מחצבות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7DFB4" id="_x0000_s1030" type="#_x0000_t202" style="position:absolute;left:0;text-align:left;margin-left:-4.8pt;margin-top:32.6pt;width:380.2pt;height:37.2pt;z-index:25205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" stroked="f">
                <v:textbox>
                  <w:txbxContent>
                    <w:p w14:paraId="3C928A53" w14:textId="77777777" w:rsidR="00784964" w:rsidRPr="00784964" w:rsidRDefault="00784964" w:rsidP="00784964">
                      <w:pPr>
                        <w:rPr>
                          <w:rFonts w:ascii="Tahoma" w:hAnsi="Tahoma" w:cs="Tahoma"/>
                          <w:b/>
                          <w:bCs/>
                          <w:color w:val="0D0D0D" w:themeColor="text1" w:themeTint="F2"/>
                          <w:sz w:val="19"/>
                          <w:szCs w:val="19"/>
                        </w:rPr>
                      </w:pPr>
                      <w:r w:rsidRPr="00784964">
                        <w:rPr>
                          <w:rFonts w:ascii="Tahoma" w:hAnsi="Tahoma" w:cs="Tahoma"/>
                          <w:b/>
                          <w:bCs/>
                          <w:color w:val="0D0D0D" w:themeColor="text1" w:themeTint="F2"/>
                          <w:sz w:val="19"/>
                          <w:szCs w:val="19"/>
                          <w:rtl/>
                        </w:rPr>
                        <w:t>חברות ממשלתיות ותאגידים סטטוטוריים - חברת החשמל, נמל חיפה, נמל אשדוד, רשות שדות התעופה והקרן לשיקום מחצבות</w:t>
                      </w:r>
                    </w:p>
                  </w:txbxContent>
                </v:textbox>
                <w10:wrap type="square"/>
              </v:shape>
            </w:pict>
          </mc:Fallback>
        </mc:AlternateContent>
      </w:r>
      <w:r w:rsidR="00351AD0" w:rsidRPr="00003EBB">
        <w:rPr>
          <w:noProof/>
        </w:rPr>
        <w:drawing>
          <wp:anchor distT="0" distB="3600450" distL="114300" distR="114300" simplePos="0" relativeHeight="251764224" behindDoc="1" locked="0" layoutInCell="1" allowOverlap="1" wp14:anchorId="074940A4" wp14:editId="3BE982F7">
            <wp:simplePos x="0" y="0"/>
            <wp:positionH relativeFrom="column">
              <wp:posOffset>4541520</wp:posOffset>
            </wp:positionH>
            <wp:positionV relativeFrom="paragraph">
              <wp:posOffset>19050</wp:posOffset>
            </wp:positionV>
            <wp:extent cx="140400" cy="162000"/>
            <wp:effectExtent l="0" t="0" r="0" b="9525"/>
            <wp:wrapTight wrapText="bothSides">
              <wp:wrapPolygon edited="0">
                <wp:start x="2932" y="0"/>
                <wp:lineTo x="0" y="2541"/>
                <wp:lineTo x="0" y="20329"/>
                <wp:lineTo x="17593" y="20329"/>
                <wp:lineTo x="17593" y="2541"/>
                <wp:lineTo x="14661" y="0"/>
                <wp:lineTo x="2932" y="0"/>
              </wp:wrapPolygon>
            </wp:wrapTight>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4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6FDF">
        <w:rPr>
          <w:rtl/>
        </w:rPr>
        <w:t>על שר הכלכלה והתעשייה והשר הממונה על רשות החברות האמונים על כך, לפעול להשלמת מינוי הדירקטורים בחברת אשרא כנדרש בחוק.</w:t>
      </w:r>
    </w:p>
    <w:p w14:paraId="408E8A6A" w14:textId="2F6E3B53" w:rsidR="00577C64" w:rsidRDefault="00784964" w:rsidP="00476CA1">
      <w:pPr>
        <w:pStyle w:val="71f3"/>
        <w:rPr>
          <w:rtl/>
        </w:rPr>
      </w:pPr>
      <w:r w:rsidRPr="00003EBB">
        <w:rPr>
          <w:noProof/>
        </w:rPr>
        <w:drawing>
          <wp:anchor distT="0" distB="3600450" distL="114300" distR="114300" simplePos="0" relativeHeight="252060160" behindDoc="0" locked="0" layoutInCell="1" allowOverlap="1" wp14:anchorId="4945CC77" wp14:editId="30A397C0">
            <wp:simplePos x="0" y="0"/>
            <wp:positionH relativeFrom="column">
              <wp:posOffset>4539615</wp:posOffset>
            </wp:positionH>
            <wp:positionV relativeFrom="paragraph">
              <wp:posOffset>511810</wp:posOffset>
            </wp:positionV>
            <wp:extent cx="140335" cy="161925"/>
            <wp:effectExtent l="0" t="0" r="0" b="9525"/>
            <wp:wrapSquare wrapText="bothSides"/>
            <wp:docPr id="205277097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1AD0" w:rsidRPr="00003EBB">
        <w:rPr>
          <w:noProof/>
        </w:rPr>
        <w:drawing>
          <wp:anchor distT="0" distB="3600450" distL="114300" distR="114300" simplePos="0" relativeHeight="251766272" behindDoc="0" locked="0" layoutInCell="1" allowOverlap="1" wp14:anchorId="1CD9980E" wp14:editId="117702BE">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6CA1" w:rsidRPr="00D83D3E">
        <w:rPr>
          <w:rtl/>
        </w:rPr>
        <w:t>לצורך הגברת השקיפות של ניהול כספי החברות הממשלתיות בעיני הציבור, מומלץ לרשות החברות לשקול להנחות את החברות הממשלתיות לפרסם את תשואות תיקי ההשקעות שלהן באופן שוטף לציבור. במסגרת זאת ניתן לתת ביטוי למדיניות ההשקעה ולמערכת השיקולים של החברה</w:t>
      </w:r>
      <w:r w:rsidR="000932F0" w:rsidRPr="00BC5F1F">
        <w:rPr>
          <w:rtl/>
        </w:rPr>
        <w:t>.</w:t>
      </w:r>
    </w:p>
    <w:p w14:paraId="712EA2F7" w14:textId="0607F23E" w:rsidR="003D472A" w:rsidRDefault="00476CA1" w:rsidP="00476CA1">
      <w:pPr>
        <w:pStyle w:val="71f3"/>
        <w:rPr>
          <w:noProof/>
          <w:rtl/>
          <w:lang w:val="he-IL"/>
        </w:rPr>
      </w:pPr>
      <w:r w:rsidRPr="00003EBB">
        <w:rPr>
          <w:noProof/>
        </w:rPr>
        <w:drawing>
          <wp:anchor distT="0" distB="3600450" distL="114300" distR="114300" simplePos="0" relativeHeight="251940352" behindDoc="0" locked="0" layoutInCell="1" allowOverlap="1" wp14:anchorId="4B24BFBD" wp14:editId="37289215">
            <wp:simplePos x="0" y="0"/>
            <wp:positionH relativeFrom="column">
              <wp:posOffset>4539615</wp:posOffset>
            </wp:positionH>
            <wp:positionV relativeFrom="paragraph">
              <wp:posOffset>23495</wp:posOffset>
            </wp:positionV>
            <wp:extent cx="140335" cy="161925"/>
            <wp:effectExtent l="0" t="0" r="0" b="9525"/>
            <wp:wrapSquare wrapText="bothSides"/>
            <wp:docPr id="205277095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3D3E">
        <w:rPr>
          <w:rtl/>
        </w:rPr>
        <w:t>מומלץ לרשות שדות התעופה ולקרן לשיקום מחצבות לשקול לפרסם את תשואות תיקי ההשקעות שלהן באופן שוטף לציבור</w:t>
      </w:r>
      <w:r w:rsidR="003D472A" w:rsidRPr="0051536E">
        <w:rPr>
          <w:rtl/>
        </w:rPr>
        <w:t>.</w:t>
      </w:r>
      <w:r w:rsidR="007001E4" w:rsidRPr="007001E4">
        <w:rPr>
          <w:noProof/>
          <w:rtl/>
          <w:lang w:val="he-IL"/>
        </w:rPr>
        <w:t xml:space="preserve"> </w:t>
      </w:r>
    </w:p>
    <w:p w14:paraId="68BF2124" w14:textId="3CD3F5CB" w:rsidR="00476CA1" w:rsidRDefault="009860C3" w:rsidP="00476CA1">
      <w:pPr>
        <w:pStyle w:val="71f3"/>
        <w:rPr>
          <w:rtl/>
        </w:rPr>
      </w:pPr>
      <w:r w:rsidRPr="00784964">
        <w:rPr>
          <w:b/>
          <w:bCs/>
          <w:noProof/>
        </w:rPr>
        <mc:AlternateContent>
          <mc:Choice Requires="wps">
            <w:drawing>
              <wp:anchor distT="45720" distB="45720" distL="114300" distR="114300" simplePos="0" relativeHeight="252062208" behindDoc="0" locked="0" layoutInCell="1" allowOverlap="1" wp14:anchorId="3E625714" wp14:editId="796C44CA">
                <wp:simplePos x="0" y="0"/>
                <wp:positionH relativeFrom="column">
                  <wp:posOffset>-60960</wp:posOffset>
                </wp:positionH>
                <wp:positionV relativeFrom="paragraph">
                  <wp:posOffset>553720</wp:posOffset>
                </wp:positionV>
                <wp:extent cx="4828540" cy="281940"/>
                <wp:effectExtent l="0" t="0" r="0" b="3810"/>
                <wp:wrapSquare wrapText="bothSides"/>
                <wp:docPr id="2052770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281940"/>
                        </a:xfrm>
                        <a:prstGeom prst="rect">
                          <a:avLst/>
                        </a:prstGeom>
                        <a:solidFill>
                          <a:srgbClr val="FFFFFF"/>
                        </a:solidFill>
                        <a:ln w="9525">
                          <a:noFill/>
                          <a:miter lim="800000"/>
                          <a:headEnd/>
                          <a:tailEnd/>
                        </a:ln>
                      </wps:spPr>
                      <wps:txbx>
                        <w:txbxContent>
                          <w:p w14:paraId="1ABF8C12" w14:textId="018C47A3" w:rsidR="009860C3" w:rsidRPr="00784964" w:rsidRDefault="009860C3" w:rsidP="009860C3">
                            <w:pPr>
                              <w:rPr>
                                <w:rFonts w:ascii="Tahoma" w:hAnsi="Tahoma" w:cs="Tahoma"/>
                                <w:b/>
                                <w:bCs/>
                                <w:color w:val="0D0D0D" w:themeColor="text1" w:themeTint="F2"/>
                                <w:sz w:val="19"/>
                                <w:szCs w:val="19"/>
                              </w:rPr>
                            </w:pPr>
                            <w:r>
                              <w:rPr>
                                <w:rFonts w:ascii="Tahoma" w:hAnsi="Tahoma" w:cs="Tahoma" w:hint="cs"/>
                                <w:b/>
                                <w:bCs/>
                                <w:color w:val="0D0D0D" w:themeColor="text1" w:themeTint="F2"/>
                                <w:sz w:val="19"/>
                                <w:szCs w:val="19"/>
                                <w:rtl/>
                              </w:rPr>
                              <w:t>רשויות מקומיות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25714" id="_x0000_s1031" type="#_x0000_t202" style="position:absolute;left:0;text-align:left;margin-left:-4.8pt;margin-top:43.6pt;width:380.2pt;height:22.2pt;z-index:25206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" stroked="f">
                <v:textbox>
                  <w:txbxContent>
                    <w:p w14:paraId="1ABF8C12" w14:textId="018C47A3" w:rsidR="009860C3" w:rsidRPr="00784964" w:rsidRDefault="009860C3" w:rsidP="009860C3">
                      <w:pPr>
                        <w:rPr>
                          <w:rFonts w:ascii="Tahoma" w:hAnsi="Tahoma" w:cs="Tahoma"/>
                          <w:b/>
                          <w:bCs/>
                          <w:color w:val="0D0D0D" w:themeColor="text1" w:themeTint="F2"/>
                          <w:sz w:val="19"/>
                          <w:szCs w:val="19"/>
                        </w:rPr>
                      </w:pPr>
                      <w:r>
                        <w:rPr>
                          <w:rFonts w:ascii="Tahoma" w:hAnsi="Tahoma" w:cs="Tahoma" w:hint="cs"/>
                          <w:b/>
                          <w:bCs/>
                          <w:color w:val="0D0D0D" w:themeColor="text1" w:themeTint="F2"/>
                          <w:sz w:val="19"/>
                          <w:szCs w:val="19"/>
                          <w:rtl/>
                        </w:rPr>
                        <w:t>רשויות מקומיות</w:t>
                      </w:r>
                    </w:p>
                  </w:txbxContent>
                </v:textbox>
                <w10:wrap type="square"/>
              </v:shape>
            </w:pict>
          </mc:Fallback>
        </mc:AlternateContent>
      </w:r>
      <w:r w:rsidR="00476CA1" w:rsidRPr="00003EBB">
        <w:rPr>
          <w:noProof/>
        </w:rPr>
        <w:drawing>
          <wp:anchor distT="0" distB="3600450" distL="114300" distR="114300" simplePos="0" relativeHeight="252039680" behindDoc="0" locked="0" layoutInCell="1" allowOverlap="1" wp14:anchorId="07674330" wp14:editId="1F894B80">
            <wp:simplePos x="0" y="0"/>
            <wp:positionH relativeFrom="column">
              <wp:posOffset>4539615</wp:posOffset>
            </wp:positionH>
            <wp:positionV relativeFrom="paragraph">
              <wp:posOffset>23495</wp:posOffset>
            </wp:positionV>
            <wp:extent cx="140335" cy="161925"/>
            <wp:effectExtent l="0" t="0" r="0" b="9525"/>
            <wp:wrapSquare wrapText="bothSides"/>
            <wp:docPr id="205277095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6CA1" w:rsidRPr="00D83D3E">
        <w:rPr>
          <w:rtl/>
        </w:rPr>
        <w:t>לאור סכומי ההשקעות הגבוהים המנוהלים, שחלקם מנוהל בין היתר דרך מנהלי השקעות, מומלץ כי נמל חיפה, חברת החשמל ורשות שדות התעופה ישלבו עריכת ביקורת פנימית בתחומי ההשקעות</w:t>
      </w:r>
      <w:r w:rsidR="00476CA1" w:rsidRPr="0051536E">
        <w:rPr>
          <w:rtl/>
        </w:rPr>
        <w:t>.</w:t>
      </w:r>
      <w:r w:rsidR="00476CA1" w:rsidRPr="007001E4">
        <w:rPr>
          <w:noProof/>
          <w:rtl/>
          <w:lang w:val="he-IL"/>
        </w:rPr>
        <w:t xml:space="preserve"> </w:t>
      </w:r>
    </w:p>
    <w:p w14:paraId="7C926790" w14:textId="64C763DE" w:rsidR="00476CA1" w:rsidRDefault="009860C3" w:rsidP="00476CA1">
      <w:pPr>
        <w:pStyle w:val="71f3"/>
        <w:rPr>
          <w:noProof/>
          <w:rtl/>
          <w:lang w:val="he-IL"/>
        </w:rPr>
      </w:pPr>
      <w:r w:rsidRPr="00003EBB">
        <w:rPr>
          <w:noProof/>
        </w:rPr>
        <w:drawing>
          <wp:anchor distT="0" distB="3600450" distL="114300" distR="114300" simplePos="0" relativeHeight="252064256" behindDoc="0" locked="0" layoutInCell="1" allowOverlap="1" wp14:anchorId="01B22466" wp14:editId="0599793B">
            <wp:simplePos x="0" y="0"/>
            <wp:positionH relativeFrom="column">
              <wp:posOffset>4539615</wp:posOffset>
            </wp:positionH>
            <wp:positionV relativeFrom="paragraph">
              <wp:posOffset>300990</wp:posOffset>
            </wp:positionV>
            <wp:extent cx="140335" cy="161925"/>
            <wp:effectExtent l="0" t="0" r="0" b="9525"/>
            <wp:wrapSquare wrapText="bothSides"/>
            <wp:docPr id="205277098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6CA1" w:rsidRPr="00D83D3E">
        <w:rPr>
          <w:rtl/>
        </w:rPr>
        <w:t>על הרשויות שיש להן תיק השקעות פעיל להקפיד על קיום דיונים בהיקף הנדרש של ועדות ההשקעות ועל הוצאת כתבי מינוי לחברי ועדת ההשקעות. כמו כן, מומלץ כי משרד הפנים, הרשויות המקומיות והמרכז לשלטון המקומי יפעלו לקיום הכשרות עתיות לחברי ועדת ההשקעות של הרשויות במטרה לוודא כי הם בעלי הידע המקצועי הנדרש והעדכני למילוי תפקידם כחברי ועדת ההשקעות של הרשות</w:t>
      </w:r>
      <w:r w:rsidR="00476CA1" w:rsidRPr="0051536E">
        <w:rPr>
          <w:rtl/>
        </w:rPr>
        <w:t>.</w:t>
      </w:r>
      <w:r w:rsidR="00476CA1" w:rsidRPr="007001E4">
        <w:rPr>
          <w:noProof/>
          <w:rtl/>
          <w:lang w:val="he-IL"/>
        </w:rPr>
        <w:t xml:space="preserve"> </w:t>
      </w:r>
    </w:p>
    <w:p w14:paraId="74E5891B" w14:textId="665CB7BB" w:rsidR="00476CA1" w:rsidRDefault="00476CA1" w:rsidP="00476CA1">
      <w:pPr>
        <w:pStyle w:val="71f3"/>
        <w:rPr>
          <w:noProof/>
          <w:rtl/>
          <w:lang w:val="he-IL"/>
        </w:rPr>
      </w:pPr>
      <w:r w:rsidRPr="00003EBB">
        <w:rPr>
          <w:noProof/>
        </w:rPr>
        <w:drawing>
          <wp:anchor distT="0" distB="3600450" distL="114300" distR="114300" simplePos="0" relativeHeight="252043776" behindDoc="0" locked="0" layoutInCell="1" allowOverlap="1" wp14:anchorId="24C9CA92" wp14:editId="6C6CFCF5">
            <wp:simplePos x="0" y="0"/>
            <wp:positionH relativeFrom="column">
              <wp:posOffset>4539615</wp:posOffset>
            </wp:positionH>
            <wp:positionV relativeFrom="paragraph">
              <wp:posOffset>23495</wp:posOffset>
            </wp:positionV>
            <wp:extent cx="140335" cy="161925"/>
            <wp:effectExtent l="0" t="0" r="0" b="9525"/>
            <wp:wrapSquare wrapText="bothSides"/>
            <wp:docPr id="205277095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3D3E">
        <w:rPr>
          <w:rtl/>
        </w:rPr>
        <w:t>על משרד הפנים לעדכן את הנחיותיו כך שיכללו הוראות ייעודיות ומפורטות בעניין אופן פיקוח ועדת ההשקעות על ניהול כספי הפנסייה של עובדי הרשות, לרבות מדיניות ההשקעה, אופן בחירת קופת הגמל והכלים לפיקוח ובקרה על ביצועיה</w:t>
      </w:r>
      <w:r w:rsidRPr="0051536E">
        <w:rPr>
          <w:rtl/>
        </w:rPr>
        <w:t>.</w:t>
      </w:r>
      <w:r w:rsidRPr="007001E4">
        <w:rPr>
          <w:noProof/>
          <w:rtl/>
          <w:lang w:val="he-IL"/>
        </w:rPr>
        <w:t xml:space="preserve"> </w:t>
      </w:r>
    </w:p>
    <w:p w14:paraId="2C312C81" w14:textId="205FD8C0" w:rsidR="00476CA1" w:rsidRDefault="00476CA1" w:rsidP="006D5960">
      <w:pPr>
        <w:pStyle w:val="71f3"/>
        <w:rPr>
          <w:noProof/>
          <w:rtl/>
          <w:lang w:val="he-IL"/>
        </w:rPr>
      </w:pPr>
      <w:r w:rsidRPr="00003EBB">
        <w:rPr>
          <w:noProof/>
        </w:rPr>
        <w:lastRenderedPageBreak/>
        <w:drawing>
          <wp:anchor distT="0" distB="3600450" distL="114300" distR="114300" simplePos="0" relativeHeight="252045824" behindDoc="0" locked="0" layoutInCell="1" allowOverlap="1" wp14:anchorId="7585211C" wp14:editId="180AF80C">
            <wp:simplePos x="0" y="0"/>
            <wp:positionH relativeFrom="column">
              <wp:posOffset>4539615</wp:posOffset>
            </wp:positionH>
            <wp:positionV relativeFrom="paragraph">
              <wp:posOffset>23495</wp:posOffset>
            </wp:positionV>
            <wp:extent cx="140335" cy="161925"/>
            <wp:effectExtent l="0" t="0" r="0" b="9525"/>
            <wp:wrapSquare wrapText="bothSides"/>
            <wp:docPr id="205277095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5960" w:rsidRPr="00D83D3E">
        <w:rPr>
          <w:rtl/>
        </w:rPr>
        <w:t>מומלץ כי משרד הפנים יבחן את השימוש בכלים ומדדי ייחוס רלוונטיים ואת התרומה והשירותים של היועצים הפיננסיים לוועדות ההשקעה, בפרט בכל הנוגע לרשויות המנהלות תיקים גדולים, ויתאים את הנחיותיו בהתאם. בנוסף, מומלץ כי המרכז לשלטון מקומי והחברה למשק וכלכלה של השלטון המקומי בע"מ יסייעו לרשויות המקומיות בשיפור פעילותן בתחום ההשקעות וביצירת יתרונות לגודל בניהול תיקי ההשקעות, כדוגמת הקמת מאגר של מנהלי תיקים, יועצי השקעות מקצועיים חיצוניים וכן בהכשרות מקצועיות לחברי ועדת ההשקעות</w:t>
      </w:r>
      <w:r w:rsidRPr="0051536E">
        <w:rPr>
          <w:rtl/>
        </w:rPr>
        <w:t>.</w:t>
      </w:r>
      <w:r w:rsidRPr="007001E4">
        <w:rPr>
          <w:noProof/>
          <w:rtl/>
          <w:lang w:val="he-IL"/>
        </w:rPr>
        <w:t xml:space="preserve"> </w:t>
      </w:r>
    </w:p>
    <w:p w14:paraId="29010659" w14:textId="62108C3A" w:rsidR="00476CA1" w:rsidRDefault="00476CA1" w:rsidP="006D5960">
      <w:pPr>
        <w:pStyle w:val="71f3"/>
        <w:rPr>
          <w:noProof/>
          <w:rtl/>
          <w:lang w:val="he-IL"/>
        </w:rPr>
      </w:pPr>
      <w:r w:rsidRPr="00003EBB">
        <w:rPr>
          <w:noProof/>
        </w:rPr>
        <w:drawing>
          <wp:anchor distT="0" distB="3600450" distL="114300" distR="114300" simplePos="0" relativeHeight="252047872" behindDoc="0" locked="0" layoutInCell="1" allowOverlap="1" wp14:anchorId="275D56E8" wp14:editId="42DBBC33">
            <wp:simplePos x="0" y="0"/>
            <wp:positionH relativeFrom="column">
              <wp:posOffset>4539615</wp:posOffset>
            </wp:positionH>
            <wp:positionV relativeFrom="paragraph">
              <wp:posOffset>23495</wp:posOffset>
            </wp:positionV>
            <wp:extent cx="140335" cy="161925"/>
            <wp:effectExtent l="0" t="0" r="0" b="9525"/>
            <wp:wrapSquare wrapText="bothSides"/>
            <wp:docPr id="205277096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5960" w:rsidRPr="00D83D3E">
        <w:rPr>
          <w:rtl/>
        </w:rPr>
        <w:t>מומלץ כי האגף לביקורת במשרד הפנים ישלב בביקורות שהוא מבצע ברשויות את בחינת זקיפת התשואות מתיק ההשקעות ויוודא את קיום ההנחיה. כמו כן, על כלל הרשויות המקומיות המחזיקות בתיק השקעות ארוך טווח ובו כספים המיועדים לקרנות הפיתוח ובכללן תל אביב-יפו, חולון, ראשון לציון, כפר סבא, אלעד, שפיר, חוף הכרמל, שדרות, אופקים, בת ים, ערד, טירת הכרמל, תל מונד, שגב שלום, חדרה, חיפה ומטה אשר לפעול לזקיפת התשואות לטובת קרנות הפיתוח</w:t>
      </w:r>
      <w:r w:rsidRPr="0051536E">
        <w:rPr>
          <w:rtl/>
        </w:rPr>
        <w:t>.</w:t>
      </w:r>
      <w:r w:rsidRPr="007001E4">
        <w:rPr>
          <w:noProof/>
          <w:rtl/>
          <w:lang w:val="he-IL"/>
        </w:rPr>
        <w:t xml:space="preserve"> </w:t>
      </w:r>
    </w:p>
    <w:p w14:paraId="77491853" w14:textId="4B05EFD4" w:rsidR="006D5960" w:rsidRDefault="00815011" w:rsidP="006D5960">
      <w:pPr>
        <w:pStyle w:val="71f3"/>
        <w:rPr>
          <w:noProof/>
          <w:rtl/>
          <w:lang w:val="he-IL"/>
        </w:rPr>
      </w:pPr>
      <w:r>
        <w:rPr>
          <w:noProof/>
          <w:rtl/>
          <w:lang w:val="he-IL"/>
        </w:rPr>
        <mc:AlternateContent>
          <mc:Choice Requires="wpg">
            <w:drawing>
              <wp:anchor distT="0" distB="0" distL="114300" distR="114300" simplePos="0" relativeHeight="251896320" behindDoc="0" locked="0" layoutInCell="1" allowOverlap="1" wp14:anchorId="377C9AF8" wp14:editId="53FA08EF">
                <wp:simplePos x="0" y="0"/>
                <wp:positionH relativeFrom="margin">
                  <wp:posOffset>-106045</wp:posOffset>
                </wp:positionH>
                <wp:positionV relativeFrom="paragraph">
                  <wp:posOffset>839470</wp:posOffset>
                </wp:positionV>
                <wp:extent cx="4787900" cy="923925"/>
                <wp:effectExtent l="0" t="0" r="0" b="0"/>
                <wp:wrapSquare wrapText="bothSides"/>
                <wp:docPr id="2052770959" name="Group 2052770959"/>
                <wp:cNvGraphicFramePr/>
                <a:graphic xmlns:a="http://schemas.openxmlformats.org/drawingml/2006/main">
                  <a:graphicData uri="http://schemas.microsoft.com/office/word/2010/wordprocessingGroup">
                    <wpg:wgp>
                      <wpg:cNvGrpSpPr/>
                      <wpg:grpSpPr>
                        <a:xfrm>
                          <a:off x="0" y="0"/>
                          <a:ext cx="4787900" cy="923925"/>
                          <a:chOff x="-99060" y="-312420"/>
                          <a:chExt cx="4787900" cy="923925"/>
                        </a:xfrm>
                      </wpg:grpSpPr>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99060" y="-312420"/>
                            <a:ext cx="4787900" cy="923925"/>
                          </a:xfrm>
                          <a:prstGeom prst="rect">
                            <a:avLst/>
                          </a:prstGeom>
                        </pic:spPr>
                      </pic:pic>
                      <wps:wsp>
                        <wps:cNvPr id="36" name="Text Box 2"/>
                        <wps:cNvSpPr txBox="1">
                          <a:spLocks noChangeArrowheads="1"/>
                        </wps:cNvSpPr>
                        <wps:spPr bwMode="auto">
                          <a:xfrm>
                            <a:off x="129540" y="-207645"/>
                            <a:ext cx="4476115" cy="573405"/>
                          </a:xfrm>
                          <a:prstGeom prst="rect">
                            <a:avLst/>
                          </a:prstGeom>
                          <a:solidFill>
                            <a:srgbClr val="F05260"/>
                          </a:solidFill>
                          <a:ln w="9525">
                            <a:noFill/>
                            <a:miter lim="800000"/>
                            <a:headEnd/>
                            <a:tailEnd/>
                          </a:ln>
                        </wps:spPr>
                        <wps:txbx>
                          <w:txbxContent>
                            <w:p w14:paraId="7C0CF9BB" w14:textId="6EF75B40" w:rsidR="00CB22A1" w:rsidRPr="00A47335" w:rsidRDefault="00E43BBE" w:rsidP="00361AA2">
                              <w:pPr>
                                <w:pStyle w:val="71fb"/>
                                <w:spacing w:before="0"/>
                                <w:rPr>
                                  <w:b w:val="0"/>
                                  <w:bCs/>
                                </w:rPr>
                              </w:pPr>
                              <w:r>
                                <w:rPr>
                                  <w:rFonts w:hint="cs"/>
                                  <w:b w:val="0"/>
                                  <w:bCs/>
                                  <w:rtl/>
                                </w:rPr>
                                <w:t>סך תיקי ההשקעות של הגופים המוסדיים</w:t>
                              </w:r>
                              <w:r w:rsidR="00677C43">
                                <w:rPr>
                                  <w:rFonts w:hint="cs"/>
                                  <w:b w:val="0"/>
                                  <w:bCs/>
                                  <w:rtl/>
                                </w:rPr>
                                <w:t xml:space="preserve"> </w:t>
                              </w:r>
                              <w:r>
                                <w:rPr>
                                  <w:rFonts w:hint="cs"/>
                                  <w:b w:val="0"/>
                                  <w:bCs/>
                                  <w:rtl/>
                                </w:rPr>
                                <w:t>ב-30.6.20</w:t>
                              </w:r>
                              <w:r w:rsidR="00677C43">
                                <w:rPr>
                                  <w:rFonts w:hint="cs"/>
                                  <w:b w:val="0"/>
                                  <w:bCs/>
                                  <w:rtl/>
                                </w:rPr>
                                <w:t xml:space="preserve"> (במיליוני ש"ח)                 </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377C9AF8" id="Group 2052770959" o:spid="_x0000_s1032" style="position:absolute;left:0;text-align:left;margin-left:-8.35pt;margin-top:66.1pt;width:377pt;height:72.75pt;z-index:251896320;mso-position-horizontal-relative:margin;mso-height-relative:margin" coordorigin="-990,-3124" coordsize="47879,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">
                <v:shape id="Picture 23" o:spid="_x0000_s1033" type="#_x0000_t75" style="position:absolute;left:-990;top:-3124;width:47878;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">
                  <v:imagedata r:id="rId29" o:title=""/>
                </v:shape>
                <v:shape id="_x0000_s1034" type="#_x0000_t202" style="position:absolute;left:1295;top:-2076;width:44761;height:5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" fillcolor="#f05260" stroked="f">
                  <v:textbox>
                    <w:txbxContent>
                      <w:p w14:paraId="7C0CF9BB" w14:textId="6EF75B40" w:rsidR="00CB22A1" w:rsidRPr="00A47335" w:rsidRDefault="00E43BBE" w:rsidP="00361AA2">
                        <w:pPr>
                          <w:pStyle w:val="71fb"/>
                          <w:spacing w:before="0"/>
                          <w:rPr>
                            <w:b w:val="0"/>
                            <w:bCs/>
                          </w:rPr>
                        </w:pPr>
                        <w:r>
                          <w:rPr>
                            <w:rFonts w:hint="cs"/>
                            <w:b w:val="0"/>
                            <w:bCs/>
                            <w:rtl/>
                          </w:rPr>
                          <w:t>סך תיקי ההשקעות של הגופים המוסדיים</w:t>
                        </w:r>
                        <w:r w:rsidR="00677C43">
                          <w:rPr>
                            <w:rFonts w:hint="cs"/>
                            <w:b w:val="0"/>
                            <w:bCs/>
                            <w:rtl/>
                          </w:rPr>
                          <w:t xml:space="preserve"> </w:t>
                        </w:r>
                        <w:r>
                          <w:rPr>
                            <w:rFonts w:hint="cs"/>
                            <w:b w:val="0"/>
                            <w:bCs/>
                            <w:rtl/>
                          </w:rPr>
                          <w:t>ב-30.6.20</w:t>
                        </w:r>
                        <w:r w:rsidR="00677C43">
                          <w:rPr>
                            <w:rFonts w:hint="cs"/>
                            <w:b w:val="0"/>
                            <w:bCs/>
                            <w:rtl/>
                          </w:rPr>
                          <w:t xml:space="preserve"> (במיליוני ש"ח)                 </w:t>
                        </w:r>
                      </w:p>
                    </w:txbxContent>
                  </v:textbox>
                </v:shape>
                <w10:wrap type="square" anchorx="margin"/>
              </v:group>
            </w:pict>
          </mc:Fallback>
        </mc:AlternateContent>
      </w:r>
      <w:r w:rsidR="006D5960" w:rsidRPr="00003EBB">
        <w:rPr>
          <w:noProof/>
        </w:rPr>
        <w:drawing>
          <wp:anchor distT="0" distB="3600450" distL="114300" distR="114300" simplePos="0" relativeHeight="252049920" behindDoc="0" locked="0" layoutInCell="1" allowOverlap="1" wp14:anchorId="4A37255B" wp14:editId="40A101FB">
            <wp:simplePos x="0" y="0"/>
            <wp:positionH relativeFrom="column">
              <wp:posOffset>4539615</wp:posOffset>
            </wp:positionH>
            <wp:positionV relativeFrom="paragraph">
              <wp:posOffset>23495</wp:posOffset>
            </wp:positionV>
            <wp:extent cx="140335" cy="161925"/>
            <wp:effectExtent l="0" t="0" r="0" b="9525"/>
            <wp:wrapSquare wrapText="bothSides"/>
            <wp:docPr id="205277096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5960" w:rsidRPr="00D83D3E">
        <w:rPr>
          <w:rtl/>
        </w:rPr>
        <w:t>לאור היקפי ההשקעות הגבוהים והעבודה עם כמה מנהלי תיקים של הרשויות שנבדקו, ראוי כי משרד הפנים ומבקרי הרשויות הרלוונטיים יקיימו ביקורות עתיות במטרה לשפר את עמידת הרשויות בהנחיות המשרד ולצורך בחינה ושיפור הביצועים, כך שתגבר התועלת שיפיקו הרשויות מתיק ההשקעות</w:t>
      </w:r>
      <w:r w:rsidR="006D5960" w:rsidRPr="0051536E">
        <w:rPr>
          <w:rtl/>
        </w:rPr>
        <w:t>.</w:t>
      </w:r>
      <w:r w:rsidR="006D5960" w:rsidRPr="007001E4">
        <w:rPr>
          <w:noProof/>
          <w:rtl/>
          <w:lang w:val="he-IL"/>
        </w:rPr>
        <w:t xml:space="preserve"> </w:t>
      </w:r>
    </w:p>
    <w:p w14:paraId="2044892A" w14:textId="7D975845" w:rsidR="00815011" w:rsidRDefault="00815011" w:rsidP="00E43BBE">
      <w:pPr>
        <w:spacing w:line="360" w:lineRule="auto"/>
        <w:rPr>
          <w:rtl/>
        </w:rPr>
      </w:pPr>
      <w:r>
        <w:rPr>
          <w:noProof/>
          <w:rtl/>
          <w:lang w:val="he-IL"/>
        </w:rPr>
        <w:drawing>
          <wp:inline distT="0" distB="0" distL="0" distR="0" wp14:anchorId="322258B6" wp14:editId="6AB20B84">
            <wp:extent cx="4261097" cy="2304000"/>
            <wp:effectExtent l="0" t="0" r="6350" b="1270"/>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94" name="Picture 2052770994"/>
                    <pic:cNvPicPr/>
                  </pic:nvPicPr>
                  <pic:blipFill rotWithShape="1">
                    <a:blip r:embed="rId30" cstate="print">
                      <a:extLst>
                        <a:ext uri="{28A0092B-C50C-407E-A947-70E740481C1C}">
                          <a14:useLocalDpi xmlns:a14="http://schemas.microsoft.com/office/drawing/2010/main" val="0"/>
                        </a:ext>
                      </a:extLst>
                    </a:blip>
                    <a:srcRect t="8286"/>
                    <a:stretch/>
                  </pic:blipFill>
                  <pic:spPr bwMode="auto">
                    <a:xfrm>
                      <a:off x="0" y="0"/>
                      <a:ext cx="4261097" cy="2304000"/>
                    </a:xfrm>
                    <a:prstGeom prst="rect">
                      <a:avLst/>
                    </a:prstGeom>
                    <a:ln>
                      <a:noFill/>
                    </a:ln>
                    <a:extLst>
                      <a:ext uri="{53640926-AAD7-44D8-BBD7-CCE9431645EC}">
                        <a14:shadowObscured xmlns:a14="http://schemas.microsoft.com/office/drawing/2010/main"/>
                      </a:ext>
                    </a:extLst>
                  </pic:spPr>
                </pic:pic>
              </a:graphicData>
            </a:graphic>
          </wp:inline>
        </w:drawing>
      </w:r>
    </w:p>
    <w:p w14:paraId="2F107411" w14:textId="77777777" w:rsidR="00815011" w:rsidRPr="00D86E8B" w:rsidRDefault="00815011" w:rsidP="00815011">
      <w:pPr>
        <w:pStyle w:val="71c"/>
        <w:spacing w:before="0"/>
        <w:rPr>
          <w:rtl/>
        </w:rPr>
      </w:pPr>
      <w:r w:rsidRPr="00D86E8B">
        <w:rPr>
          <w:rFonts w:hint="cs"/>
          <w:rtl/>
        </w:rPr>
        <w:t xml:space="preserve">המקור: נתוני הגופים האמורים, </w:t>
      </w:r>
      <w:r w:rsidRPr="00D86E8B">
        <w:rPr>
          <w:rFonts w:hint="eastAsia"/>
          <w:rtl/>
        </w:rPr>
        <w:t>בעיבוד</w:t>
      </w:r>
      <w:r w:rsidRPr="00D86E8B">
        <w:rPr>
          <w:rtl/>
        </w:rPr>
        <w:t xml:space="preserve"> משרד מבקר המדינה</w:t>
      </w:r>
      <w:r w:rsidRPr="00D86E8B">
        <w:rPr>
          <w:rFonts w:hint="cs"/>
          <w:rtl/>
        </w:rPr>
        <w:t>.</w:t>
      </w:r>
    </w:p>
    <w:p w14:paraId="030C80D9" w14:textId="0FB2DBF5" w:rsidR="008E37C0" w:rsidRDefault="008E37C0" w:rsidP="00E43BBE">
      <w:pPr>
        <w:spacing w:line="360" w:lineRule="auto"/>
        <w:rPr>
          <w:rFonts w:ascii="Tahoma" w:hAnsi="Tahoma" w:cs="Tahoma"/>
          <w:color w:val="0D0D0D" w:themeColor="text1" w:themeTint="F2"/>
          <w:sz w:val="16"/>
          <w:szCs w:val="16"/>
        </w:rPr>
      </w:pPr>
      <w:r>
        <w:rPr>
          <w:rtl/>
        </w:rPr>
        <w:br w:type="page"/>
      </w:r>
    </w:p>
    <w:p w14:paraId="791C1606" w14:textId="171419EA" w:rsidR="00467262" w:rsidRDefault="00467262" w:rsidP="00C57A39">
      <w:pPr>
        <w:pStyle w:val="7120"/>
        <w:spacing w:before="0" w:after="0"/>
        <w:rPr>
          <w:rtl/>
        </w:rPr>
      </w:pPr>
      <w:r w:rsidRPr="00467262">
        <w:rPr>
          <w:noProof/>
          <w:rtl/>
        </w:rPr>
        <w:lastRenderedPageBreak/>
        <mc:AlternateContent>
          <mc:Choice Requires="wps">
            <w:drawing>
              <wp:anchor distT="0" distB="0" distL="114300" distR="114300" simplePos="0" relativeHeight="252067328" behindDoc="0" locked="0" layoutInCell="1" allowOverlap="1" wp14:anchorId="003E2B9F" wp14:editId="2DB48865">
                <wp:simplePos x="0" y="0"/>
                <wp:positionH relativeFrom="column">
                  <wp:posOffset>121920</wp:posOffset>
                </wp:positionH>
                <wp:positionV relativeFrom="paragraph">
                  <wp:posOffset>105410</wp:posOffset>
                </wp:positionV>
                <wp:extent cx="4590415" cy="573405"/>
                <wp:effectExtent l="0" t="0" r="635" b="0"/>
                <wp:wrapNone/>
                <wp:docPr id="2052770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0415" cy="573405"/>
                        </a:xfrm>
                        <a:prstGeom prst="rect">
                          <a:avLst/>
                        </a:prstGeom>
                        <a:solidFill>
                          <a:srgbClr val="F05260"/>
                        </a:solidFill>
                        <a:ln w="9525">
                          <a:noFill/>
                          <a:miter lim="800000"/>
                          <a:headEnd/>
                          <a:tailEnd/>
                        </a:ln>
                      </wps:spPr>
                      <wps:txbx>
                        <w:txbxContent>
                          <w:p w14:paraId="2FC8FCE7" w14:textId="2BC91DB0" w:rsidR="00467262" w:rsidRPr="00A47335" w:rsidRDefault="00467262" w:rsidP="00467262">
                            <w:pPr>
                              <w:pStyle w:val="71fb"/>
                              <w:spacing w:before="0"/>
                              <w:rPr>
                                <w:b w:val="0"/>
                                <w:bCs/>
                              </w:rPr>
                            </w:pPr>
                            <w:r>
                              <w:rPr>
                                <w:rFonts w:hint="cs"/>
                                <w:b w:val="0"/>
                                <w:bCs/>
                                <w:rtl/>
                              </w:rPr>
                              <w:t>סך תיקי ההשקעות השוטפות של חברות ממשלתיות ותאגידים סטטוטוריים ב-30.6.20</w:t>
                            </w:r>
                            <w:r w:rsidR="001F37F8">
                              <w:rPr>
                                <w:rFonts w:hint="cs"/>
                                <w:b w:val="0"/>
                                <w:bCs/>
                                <w:rtl/>
                              </w:rPr>
                              <w:t>*</w:t>
                            </w:r>
                            <w:r>
                              <w:rPr>
                                <w:rFonts w:hint="cs"/>
                                <w:b w:val="0"/>
                                <w:bCs/>
                                <w:rtl/>
                              </w:rPr>
                              <w:t xml:space="preserve"> (במיליוני ש"ח)                 </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003E2B9F" id="_x0000_s1035" type="#_x0000_t202" style="position:absolute;left:0;text-align:left;margin-left:9.6pt;margin-top:8.3pt;width:361.45pt;height:45.15pt;z-index:25206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" fillcolor="#f05260" stroked="f">
                <v:textbox>
                  <w:txbxContent>
                    <w:p w14:paraId="2FC8FCE7" w14:textId="2BC91DB0" w:rsidR="00467262" w:rsidRPr="00A47335" w:rsidRDefault="00467262" w:rsidP="00467262">
                      <w:pPr>
                        <w:pStyle w:val="71fb"/>
                        <w:spacing w:before="0"/>
                        <w:rPr>
                          <w:b w:val="0"/>
                          <w:bCs/>
                        </w:rPr>
                      </w:pPr>
                      <w:r>
                        <w:rPr>
                          <w:rFonts w:hint="cs"/>
                          <w:b w:val="0"/>
                          <w:bCs/>
                          <w:rtl/>
                        </w:rPr>
                        <w:t>סך תיקי ההשקעות השוטפות של חברות ממשלתיות ותאגידים סטטוטוריים ב-30.6.20</w:t>
                      </w:r>
                      <w:r w:rsidR="001F37F8">
                        <w:rPr>
                          <w:rFonts w:hint="cs"/>
                          <w:b w:val="0"/>
                          <w:bCs/>
                          <w:rtl/>
                        </w:rPr>
                        <w:t>*</w:t>
                      </w:r>
                      <w:r>
                        <w:rPr>
                          <w:rFonts w:hint="cs"/>
                          <w:b w:val="0"/>
                          <w:bCs/>
                          <w:rtl/>
                        </w:rPr>
                        <w:t xml:space="preserve"> (במיליוני ש"ח)                 </w:t>
                      </w:r>
                    </w:p>
                  </w:txbxContent>
                </v:textbox>
              </v:shape>
            </w:pict>
          </mc:Fallback>
        </mc:AlternateContent>
      </w:r>
      <w:r w:rsidRPr="00467262">
        <w:rPr>
          <w:noProof/>
          <w:rtl/>
        </w:rPr>
        <w:drawing>
          <wp:anchor distT="0" distB="0" distL="114300" distR="114300" simplePos="0" relativeHeight="252066304" behindDoc="0" locked="0" layoutInCell="1" allowOverlap="1" wp14:anchorId="740FD2B9" wp14:editId="2A6EBF32">
            <wp:simplePos x="0" y="0"/>
            <wp:positionH relativeFrom="column">
              <wp:posOffset>0</wp:posOffset>
            </wp:positionH>
            <wp:positionV relativeFrom="paragraph">
              <wp:posOffset>0</wp:posOffset>
            </wp:positionV>
            <wp:extent cx="4787900" cy="923925"/>
            <wp:effectExtent l="0" t="0" r="0" b="0"/>
            <wp:wrapNone/>
            <wp:docPr id="2052770986" name="Picture 205277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p>
    <w:p w14:paraId="3DB108AD" w14:textId="0DF2A3A2" w:rsidR="00467262" w:rsidRDefault="00467262" w:rsidP="00C57A39">
      <w:pPr>
        <w:pStyle w:val="7120"/>
        <w:spacing w:before="0" w:after="0"/>
        <w:rPr>
          <w:rtl/>
        </w:rPr>
      </w:pPr>
    </w:p>
    <w:p w14:paraId="527A5F46" w14:textId="7912FF99" w:rsidR="00467262" w:rsidRDefault="00467262" w:rsidP="00C57A39">
      <w:pPr>
        <w:pStyle w:val="7120"/>
        <w:spacing w:before="0" w:after="0"/>
        <w:rPr>
          <w:rtl/>
        </w:rPr>
      </w:pPr>
    </w:p>
    <w:p w14:paraId="691D57D6" w14:textId="056BEE85" w:rsidR="00583E3E" w:rsidRDefault="00583E3E" w:rsidP="00583E3E">
      <w:pPr>
        <w:pStyle w:val="71c"/>
        <w:spacing w:after="0"/>
        <w:rPr>
          <w:rtl/>
        </w:rPr>
      </w:pPr>
      <w:r>
        <w:rPr>
          <w:noProof/>
          <w:rtl/>
          <w:lang w:val="he-IL"/>
        </w:rPr>
        <w:drawing>
          <wp:anchor distT="0" distB="0" distL="114300" distR="114300" simplePos="0" relativeHeight="252068352" behindDoc="0" locked="0" layoutInCell="1" allowOverlap="1" wp14:anchorId="7AAFCA88" wp14:editId="4F966FD8">
            <wp:simplePos x="0" y="0"/>
            <wp:positionH relativeFrom="column">
              <wp:posOffset>716280</wp:posOffset>
            </wp:positionH>
            <wp:positionV relativeFrom="paragraph">
              <wp:posOffset>83185</wp:posOffset>
            </wp:positionV>
            <wp:extent cx="3240000" cy="2004568"/>
            <wp:effectExtent l="0" t="0" r="0" b="0"/>
            <wp:wrapSquare wrapText="bothSides"/>
            <wp:docPr id="2052770988" name="Picture 2052770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rotWithShape="1">
                    <a:blip r:embed="rId31" cstate="print">
                      <a:extLst>
                        <a:ext uri="{28A0092B-C50C-407E-A947-70E740481C1C}">
                          <a14:useLocalDpi xmlns:a14="http://schemas.microsoft.com/office/drawing/2010/main" val="0"/>
                        </a:ext>
                      </a:extLst>
                    </a:blip>
                    <a:srcRect t="5789" b="6232"/>
                    <a:stretch/>
                  </pic:blipFill>
                  <pic:spPr bwMode="auto">
                    <a:xfrm>
                      <a:off x="0" y="0"/>
                      <a:ext cx="3240000" cy="20045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EAA224" w14:textId="50893A47" w:rsidR="00583E3E" w:rsidRDefault="00583E3E" w:rsidP="00583E3E">
      <w:pPr>
        <w:pStyle w:val="71c"/>
        <w:spacing w:after="0"/>
        <w:rPr>
          <w:rtl/>
        </w:rPr>
      </w:pPr>
    </w:p>
    <w:p w14:paraId="0F569260" w14:textId="72E68E34" w:rsidR="00583E3E" w:rsidRDefault="00583E3E" w:rsidP="00583E3E">
      <w:pPr>
        <w:pStyle w:val="71c"/>
        <w:spacing w:after="0"/>
        <w:rPr>
          <w:rtl/>
        </w:rPr>
      </w:pPr>
    </w:p>
    <w:p w14:paraId="5E2B5505" w14:textId="2B3ED8C3" w:rsidR="00583E3E" w:rsidRDefault="00583E3E" w:rsidP="00583E3E">
      <w:pPr>
        <w:pStyle w:val="71c"/>
        <w:spacing w:after="0"/>
        <w:rPr>
          <w:rtl/>
        </w:rPr>
      </w:pPr>
    </w:p>
    <w:p w14:paraId="4C31951A" w14:textId="01B43B21" w:rsidR="00583E3E" w:rsidRDefault="00583E3E" w:rsidP="00583E3E">
      <w:pPr>
        <w:pStyle w:val="71c"/>
        <w:spacing w:after="0"/>
        <w:rPr>
          <w:rtl/>
        </w:rPr>
      </w:pPr>
    </w:p>
    <w:p w14:paraId="036539FE" w14:textId="382849CC" w:rsidR="00583E3E" w:rsidRDefault="00583E3E" w:rsidP="00583E3E">
      <w:pPr>
        <w:pStyle w:val="71c"/>
        <w:spacing w:after="0"/>
        <w:rPr>
          <w:rtl/>
        </w:rPr>
      </w:pPr>
    </w:p>
    <w:p w14:paraId="70B0FFB7" w14:textId="1A595AFE" w:rsidR="00583E3E" w:rsidRDefault="00583E3E" w:rsidP="00583E3E">
      <w:pPr>
        <w:pStyle w:val="71c"/>
        <w:spacing w:after="0"/>
        <w:rPr>
          <w:rtl/>
        </w:rPr>
      </w:pPr>
    </w:p>
    <w:p w14:paraId="5E5C1DE0" w14:textId="5FD7849E" w:rsidR="00583E3E" w:rsidRDefault="00583E3E" w:rsidP="00583E3E">
      <w:pPr>
        <w:pStyle w:val="71c"/>
        <w:spacing w:after="0"/>
        <w:rPr>
          <w:rtl/>
        </w:rPr>
      </w:pPr>
    </w:p>
    <w:p w14:paraId="7DFA677D" w14:textId="5BBD3BFB" w:rsidR="00583E3E" w:rsidRDefault="00583E3E" w:rsidP="00583E3E">
      <w:pPr>
        <w:pStyle w:val="71c"/>
        <w:spacing w:after="0"/>
        <w:rPr>
          <w:rtl/>
        </w:rPr>
      </w:pPr>
    </w:p>
    <w:p w14:paraId="36593C56" w14:textId="41C2BC62" w:rsidR="00FA0EAE" w:rsidRPr="00B12BA2" w:rsidRDefault="00FA0EAE" w:rsidP="00701407">
      <w:pPr>
        <w:pStyle w:val="71c"/>
        <w:spacing w:before="0" w:after="0"/>
        <w:rPr>
          <w:rtl/>
        </w:rPr>
      </w:pPr>
      <w:r w:rsidRPr="00B12BA2">
        <w:rPr>
          <w:rFonts w:hint="cs"/>
          <w:rtl/>
        </w:rPr>
        <w:t xml:space="preserve">המקור: נתוני הגופים האמורים, </w:t>
      </w:r>
      <w:r w:rsidRPr="00B12BA2">
        <w:rPr>
          <w:rFonts w:hint="eastAsia"/>
          <w:rtl/>
        </w:rPr>
        <w:t>בעיבוד</w:t>
      </w:r>
      <w:r w:rsidRPr="00B12BA2">
        <w:rPr>
          <w:rtl/>
        </w:rPr>
        <w:t xml:space="preserve"> משרד מבקר המדינה</w:t>
      </w:r>
      <w:r w:rsidRPr="00B12BA2">
        <w:rPr>
          <w:rFonts w:hint="cs"/>
          <w:rtl/>
        </w:rPr>
        <w:t>.</w:t>
      </w:r>
    </w:p>
    <w:p w14:paraId="186C6D96" w14:textId="187D0543" w:rsidR="00FA0EAE" w:rsidRPr="00B12BA2" w:rsidRDefault="00FA0EAE" w:rsidP="00583E3E">
      <w:pPr>
        <w:pStyle w:val="71c"/>
        <w:spacing w:before="0"/>
        <w:ind w:left="227" w:hanging="227"/>
        <w:rPr>
          <w:rtl/>
        </w:rPr>
      </w:pPr>
      <w:r w:rsidRPr="00B12BA2">
        <w:rPr>
          <w:rFonts w:hint="cs"/>
          <w:rtl/>
        </w:rPr>
        <w:t>*</w:t>
      </w:r>
      <w:r>
        <w:rPr>
          <w:rtl/>
        </w:rPr>
        <w:tab/>
      </w:r>
      <w:r w:rsidRPr="00923A7B">
        <w:rPr>
          <w:rFonts w:hint="cs"/>
          <w:rtl/>
        </w:rPr>
        <w:t>לחברת</w:t>
      </w:r>
      <w:r w:rsidRPr="00B12BA2">
        <w:rPr>
          <w:rFonts w:hint="cs"/>
          <w:rtl/>
        </w:rPr>
        <w:t xml:space="preserve"> החשמל אין תיק השקעות שוטפות.</w:t>
      </w:r>
    </w:p>
    <w:p w14:paraId="339A9865" w14:textId="52BCEE6C" w:rsidR="00FA0EAE" w:rsidRDefault="00FA0EAE" w:rsidP="00C57A39">
      <w:pPr>
        <w:pStyle w:val="7120"/>
        <w:spacing w:before="0" w:after="0"/>
        <w:rPr>
          <w:rtl/>
        </w:rPr>
      </w:pPr>
      <w:r w:rsidRPr="00FA0EAE">
        <w:rPr>
          <w:noProof/>
          <w:rtl/>
        </w:rPr>
        <mc:AlternateContent>
          <mc:Choice Requires="wps">
            <w:drawing>
              <wp:anchor distT="0" distB="0" distL="114300" distR="114300" simplePos="0" relativeHeight="252071424" behindDoc="0" locked="0" layoutInCell="1" allowOverlap="1" wp14:anchorId="50217C9B" wp14:editId="491B60C5">
                <wp:simplePos x="0" y="0"/>
                <wp:positionH relativeFrom="column">
                  <wp:posOffset>112395</wp:posOffset>
                </wp:positionH>
                <wp:positionV relativeFrom="paragraph">
                  <wp:posOffset>105410</wp:posOffset>
                </wp:positionV>
                <wp:extent cx="4590415" cy="573405"/>
                <wp:effectExtent l="0" t="0" r="635" b="0"/>
                <wp:wrapNone/>
                <wp:docPr id="2052770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0415" cy="573405"/>
                        </a:xfrm>
                        <a:prstGeom prst="rect">
                          <a:avLst/>
                        </a:prstGeom>
                        <a:solidFill>
                          <a:srgbClr val="F05260"/>
                        </a:solidFill>
                        <a:ln w="9525">
                          <a:noFill/>
                          <a:miter lim="800000"/>
                          <a:headEnd/>
                          <a:tailEnd/>
                        </a:ln>
                      </wps:spPr>
                      <wps:txbx>
                        <w:txbxContent>
                          <w:p w14:paraId="4CD537FA" w14:textId="7447CBEB" w:rsidR="00FA0EAE" w:rsidRPr="00A47335" w:rsidRDefault="00FA0EAE" w:rsidP="00FA0EAE">
                            <w:pPr>
                              <w:pStyle w:val="71fb"/>
                              <w:spacing w:before="0"/>
                              <w:rPr>
                                <w:b w:val="0"/>
                                <w:bCs/>
                              </w:rPr>
                            </w:pPr>
                            <w:r>
                              <w:rPr>
                                <w:rFonts w:hint="cs"/>
                                <w:b w:val="0"/>
                                <w:bCs/>
                                <w:rtl/>
                              </w:rPr>
                              <w:t>סך תיקי השקעות</w:t>
                            </w:r>
                            <w:r w:rsidR="008835E1">
                              <w:rPr>
                                <w:rFonts w:hint="cs"/>
                                <w:b w:val="0"/>
                                <w:bCs/>
                                <w:rtl/>
                              </w:rPr>
                              <w:t xml:space="preserve"> לטווח ארוך של הרשויות שנבדקו            </w:t>
                            </w:r>
                            <w:r w:rsidR="002C2E11">
                              <w:rPr>
                                <w:rFonts w:hint="cs"/>
                                <w:b w:val="0"/>
                                <w:bCs/>
                                <w:rtl/>
                              </w:rPr>
                              <w:t xml:space="preserve">               </w:t>
                            </w:r>
                            <w:r w:rsidR="008835E1">
                              <w:rPr>
                                <w:rFonts w:hint="cs"/>
                                <w:b w:val="0"/>
                                <w:bCs/>
                                <w:rtl/>
                              </w:rPr>
                              <w:t xml:space="preserve"> </w:t>
                            </w:r>
                            <w:r>
                              <w:rPr>
                                <w:rFonts w:hint="cs"/>
                                <w:b w:val="0"/>
                                <w:bCs/>
                                <w:rtl/>
                              </w:rPr>
                              <w:t xml:space="preserve">ב-30.6.20 (במיליוני ש"ח)                 </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50217C9B" id="_x0000_s1036" type="#_x0000_t202" style="position:absolute;left:0;text-align:left;margin-left:8.85pt;margin-top:8.3pt;width:361.45pt;height:45.15pt;z-index:25207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" fillcolor="#f05260" stroked="f">
                <v:textbox>
                  <w:txbxContent>
                    <w:p w14:paraId="4CD537FA" w14:textId="7447CBEB" w:rsidR="00FA0EAE" w:rsidRPr="00A47335" w:rsidRDefault="00FA0EAE" w:rsidP="00FA0EAE">
                      <w:pPr>
                        <w:pStyle w:val="71fb"/>
                        <w:spacing w:before="0"/>
                        <w:rPr>
                          <w:b w:val="0"/>
                          <w:bCs/>
                        </w:rPr>
                      </w:pPr>
                      <w:r>
                        <w:rPr>
                          <w:rFonts w:hint="cs"/>
                          <w:b w:val="0"/>
                          <w:bCs/>
                          <w:rtl/>
                        </w:rPr>
                        <w:t>סך תיקי השקעות</w:t>
                      </w:r>
                      <w:r w:rsidR="008835E1">
                        <w:rPr>
                          <w:rFonts w:hint="cs"/>
                          <w:b w:val="0"/>
                          <w:bCs/>
                          <w:rtl/>
                        </w:rPr>
                        <w:t xml:space="preserve"> לטווח ארוך של הרשויות שנבדקו            </w:t>
                      </w:r>
                      <w:r w:rsidR="002C2E11">
                        <w:rPr>
                          <w:rFonts w:hint="cs"/>
                          <w:b w:val="0"/>
                          <w:bCs/>
                          <w:rtl/>
                        </w:rPr>
                        <w:t xml:space="preserve">               </w:t>
                      </w:r>
                      <w:r w:rsidR="008835E1">
                        <w:rPr>
                          <w:rFonts w:hint="cs"/>
                          <w:b w:val="0"/>
                          <w:bCs/>
                          <w:rtl/>
                        </w:rPr>
                        <w:t xml:space="preserve"> </w:t>
                      </w:r>
                      <w:r>
                        <w:rPr>
                          <w:rFonts w:hint="cs"/>
                          <w:b w:val="0"/>
                          <w:bCs/>
                          <w:rtl/>
                        </w:rPr>
                        <w:t xml:space="preserve">ב-30.6.20 (במיליוני ש"ח)                 </w:t>
                      </w:r>
                    </w:p>
                  </w:txbxContent>
                </v:textbox>
              </v:shape>
            </w:pict>
          </mc:Fallback>
        </mc:AlternateContent>
      </w:r>
      <w:r w:rsidRPr="00FA0EAE">
        <w:rPr>
          <w:noProof/>
          <w:rtl/>
        </w:rPr>
        <w:drawing>
          <wp:anchor distT="0" distB="0" distL="114300" distR="114300" simplePos="0" relativeHeight="252070400" behindDoc="0" locked="0" layoutInCell="1" allowOverlap="1" wp14:anchorId="2B2FEB96" wp14:editId="39C9E3C2">
            <wp:simplePos x="0" y="0"/>
            <wp:positionH relativeFrom="column">
              <wp:posOffset>0</wp:posOffset>
            </wp:positionH>
            <wp:positionV relativeFrom="paragraph">
              <wp:posOffset>0</wp:posOffset>
            </wp:positionV>
            <wp:extent cx="4787900" cy="923925"/>
            <wp:effectExtent l="0" t="0" r="0" b="0"/>
            <wp:wrapNone/>
            <wp:docPr id="2052770993" name="Picture 2052770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p>
    <w:p w14:paraId="387744C9" w14:textId="76A2F824" w:rsidR="001F37F8" w:rsidRDefault="00940B22" w:rsidP="00C57A39">
      <w:pPr>
        <w:pStyle w:val="7120"/>
        <w:spacing w:before="0" w:after="0"/>
        <w:rPr>
          <w:rtl/>
        </w:rPr>
      </w:pPr>
      <w:r>
        <w:rPr>
          <w:noProof/>
          <w:rtl/>
          <w:lang w:val="he-IL"/>
        </w:rPr>
        <w:drawing>
          <wp:anchor distT="0" distB="0" distL="114300" distR="114300" simplePos="0" relativeHeight="252072448" behindDoc="0" locked="0" layoutInCell="1" allowOverlap="1" wp14:anchorId="7D27A644" wp14:editId="26FCD114">
            <wp:simplePos x="0" y="0"/>
            <wp:positionH relativeFrom="column">
              <wp:posOffset>274320</wp:posOffset>
            </wp:positionH>
            <wp:positionV relativeFrom="paragraph">
              <wp:posOffset>562610</wp:posOffset>
            </wp:positionV>
            <wp:extent cx="4283710" cy="2426335"/>
            <wp:effectExtent l="0" t="0" r="2540" b="0"/>
            <wp:wrapSquare wrapText="bothSides"/>
            <wp:docPr id="2052770995" name="Picture 2052770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95" name="Picture 2052770995"/>
                    <pic:cNvPicPr/>
                  </pic:nvPicPr>
                  <pic:blipFill rotWithShape="1">
                    <a:blip r:embed="rId32" cstate="print">
                      <a:extLst>
                        <a:ext uri="{28A0092B-C50C-407E-A947-70E740481C1C}">
                          <a14:useLocalDpi xmlns:a14="http://schemas.microsoft.com/office/drawing/2010/main" val="0"/>
                        </a:ext>
                      </a:extLst>
                    </a:blip>
                    <a:srcRect t="5150"/>
                    <a:stretch/>
                  </pic:blipFill>
                  <pic:spPr bwMode="auto">
                    <a:xfrm>
                      <a:off x="0" y="0"/>
                      <a:ext cx="4283710" cy="242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24A915" w14:textId="4D5FFE13" w:rsidR="001F37F8" w:rsidRDefault="001F37F8" w:rsidP="00C57A39">
      <w:pPr>
        <w:pStyle w:val="7120"/>
        <w:spacing w:before="0" w:after="0"/>
        <w:rPr>
          <w:rtl/>
        </w:rPr>
      </w:pPr>
    </w:p>
    <w:p w14:paraId="0D1751FD" w14:textId="34C55E99" w:rsidR="001F37F8" w:rsidRDefault="00583E3E" w:rsidP="00583E3E">
      <w:pPr>
        <w:pStyle w:val="71c"/>
        <w:spacing w:before="0"/>
        <w:rPr>
          <w:rtl/>
        </w:rPr>
      </w:pPr>
      <w:r w:rsidRPr="00583E3E">
        <w:rPr>
          <w:rtl/>
        </w:rPr>
        <w:t>המקור: תשובות הרשויות המקומיות לשאלון משרד מבקר המדינה ב-50 רשויות מקומיות, אוקטובר 2020.</w:t>
      </w:r>
    </w:p>
    <w:p w14:paraId="5E9C70D4" w14:textId="2A4B638E" w:rsidR="00F27A70" w:rsidRDefault="00644F86" w:rsidP="007864BE">
      <w:pPr>
        <w:pStyle w:val="7120"/>
        <w:spacing w:before="0" w:after="120"/>
        <w:rPr>
          <w:rtl/>
        </w:rPr>
      </w:pPr>
      <w:r>
        <w:rPr>
          <w:b w:val="0"/>
          <w:bCs w:val="0"/>
          <w:noProof/>
          <w:sz w:val="32"/>
          <w:szCs w:val="32"/>
          <w:rtl/>
          <w:lang w:val="he-IL"/>
        </w:rPr>
        <w:lastRenderedPageBreak/>
        <mc:AlternateContent>
          <mc:Choice Requires="wpg">
            <w:drawing>
              <wp:anchor distT="0" distB="0" distL="114300" distR="114300" simplePos="0" relativeHeight="251898368" behindDoc="0" locked="0" layoutInCell="1" allowOverlap="1" wp14:anchorId="7CDD7FA0" wp14:editId="27318E6E">
                <wp:simplePos x="0" y="0"/>
                <wp:positionH relativeFrom="margin">
                  <wp:posOffset>-11430</wp:posOffset>
                </wp:positionH>
                <wp:positionV relativeFrom="paragraph">
                  <wp:posOffset>79375</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5CE3F9A" id="Group 55" o:spid="_x0000_s1026" style="position:absolute;left:0;text-align:left;margin-left:-.9pt;margin-top:6.25pt;width:368.5pt;height:2.95pt;z-index:251898368;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r w:rsidR="00EC6229" w:rsidRPr="00EF3061">
        <w:rPr>
          <w:rFonts w:hint="cs"/>
          <w:rtl/>
        </w:rPr>
        <w:t>סיכום</w:t>
      </w:r>
    </w:p>
    <w:p w14:paraId="73BFF308" w14:textId="54819682" w:rsidR="00BD22B5" w:rsidRDefault="0007295F" w:rsidP="001512BB">
      <w:pPr>
        <w:pStyle w:val="7190"/>
        <w:rPr>
          <w:rtl/>
        </w:rPr>
      </w:pPr>
      <w:r w:rsidRPr="00D83D3E">
        <w:rPr>
          <w:rtl/>
        </w:rPr>
        <w:t>ניהול השקעות מושכל בקרב רשויות מקומיות וישויות מהמגזר הציבורי - הכולל קביעת מדיניות השקעה מתאימה תוך כדי התחשבות בשיקולי רווח כלכלי או שמירה על הערך הריאלי של ההשקעה, טווחי ההשקעה וסיכון - ישיא את התועלות הנובעות מהכספים המוחזקים בישות. הממצאים העולים מדוח זה מלמדים כי יש ליקויים בהיבט המינהלי ובהיבט המקצועי בפעילות ועדות ההשקעה בישויות אלו. להגברת הפיקוח והבקרה על ההשקעות של ישויות אלו, בין היתר באמצעות ועדות ההשקעה ובאמצעות ניהול סיכונים מושכל, נודעת חשיבות יתרה בעיתות משבר, שבהן עלולה התנודתיות בשוק ההון לשחוק את תיק ההשקעות</w:t>
      </w:r>
      <w:r w:rsidR="00F17FCF">
        <w:rPr>
          <w:rtl/>
        </w:rPr>
        <w:t>.</w:t>
      </w:r>
    </w:p>
    <w:sectPr w:rsidR="00BD22B5" w:rsidSect="008304C8">
      <w:headerReference w:type="default" r:id="rId33"/>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p w14:paraId="37599636" w14:textId="77777777" w:rsidR="008E7701" w:rsidRDefault="008E7701"/>
  </w:endnote>
  <w:endnote w:type="continuationSeparator" w:id="0">
    <w:p w14:paraId="49804240" w14:textId="77777777" w:rsidR="00CB22A1" w:rsidRDefault="00CB22A1">
      <w:pPr>
        <w:spacing w:line="240" w:lineRule="auto"/>
      </w:pPr>
      <w:r>
        <w:continuationSeparator/>
      </w:r>
    </w:p>
    <w:p w14:paraId="587A5DFA" w14:textId="77777777" w:rsidR="00CB22A1" w:rsidRDefault="00CB22A1"/>
    <w:p w14:paraId="7B943935" w14:textId="77777777" w:rsidR="008E7701" w:rsidRDefault="008E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Segoe MDL2 Assets">
    <w:panose1 w:val="050A0102010101010101"/>
    <w:charset w:val="00"/>
    <w:family w:val="roman"/>
    <w:pitch w:val="variable"/>
    <w:sig w:usb0="00000003" w:usb1="10000000" w:usb2="00000000" w:usb3="00000000" w:csb0="00000001" w:csb1="00000000"/>
  </w:font>
  <w:font w:name="TypoUpright BT">
    <w:panose1 w:val="03020702030807050705"/>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0316AEA" w:rsidR="00CB22A1" w:rsidRDefault="00CB22A1" w:rsidP="00337C4E">
    <w:pPr>
      <w:pStyle w:val="Footer"/>
      <w:spacing w:after="120" w:line="312" w:lineRule="auto"/>
      <w:ind w:left="-510"/>
      <w:jc w:val="left"/>
      <w:rPr>
        <w:rFonts w:ascii="Tahoma" w:hAnsi="Tahoma" w:cs="Tahoma"/>
        <w:sz w:val="18"/>
        <w:szCs w:val="18"/>
        <w:rtl/>
      </w:rPr>
    </w:pPr>
  </w:p>
  <w:p w14:paraId="55F954A2" w14:textId="5DDCB7BA" w:rsidR="00CB22A1" w:rsidRDefault="00CB22A1" w:rsidP="00F8544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FE70F98" w:rsidR="00CB22A1" w:rsidRDefault="00CB22A1" w:rsidP="00F8544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sidR="00F85446">
      <w:rPr>
        <w:rFonts w:ascii="Tahoma" w:hAnsi="Tahoma" w:cs="Tahoma" w:hint="cs"/>
        <w:sz w:val="18"/>
        <w:szCs w:val="18"/>
        <w:rtl/>
      </w:rPr>
      <w:t xml:space="preserve"> </w:t>
    </w:r>
    <w:r>
      <w:rPr>
        <w:rFonts w:ascii="Tahoma" w:hAnsi="Tahoma" w:cs="Tahoma" w:hint="cs"/>
        <w:sz w:val="18"/>
        <w:szCs w:val="18"/>
        <w:rtl/>
      </w:rPr>
      <w:t>|</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footnote>
  <w:footnote w:type="continuationNotice" w:id="1">
    <w:p w14:paraId="3853ECE5" w14:textId="77777777" w:rsidR="00DD329B" w:rsidRDefault="00DD329B">
      <w:pPr>
        <w:spacing w:line="240" w:lineRule="auto"/>
      </w:pPr>
    </w:p>
  </w:footnote>
  <w:footnote w:id="2">
    <w:p w14:paraId="24BCAFB8" w14:textId="77777777" w:rsidR="004A4161" w:rsidRPr="00EF3B57" w:rsidRDefault="004A4161" w:rsidP="00EF3B57">
      <w:pPr>
        <w:pStyle w:val="719"/>
        <w:rPr>
          <w:rtl/>
        </w:rPr>
      </w:pPr>
      <w:r w:rsidRPr="00EF3B57">
        <w:rPr>
          <w:rStyle w:val="FootnoteReference"/>
          <w:vertAlign w:val="baseline"/>
        </w:rPr>
        <w:footnoteRef/>
      </w:r>
      <w:r w:rsidRPr="00EF3B57">
        <w:rPr>
          <w:rtl/>
        </w:rPr>
        <w:t xml:space="preserve"> </w:t>
      </w:r>
      <w:r w:rsidRPr="00EF3B57">
        <w:rPr>
          <w:rtl/>
        </w:rPr>
        <w:tab/>
        <w:t>תיקי השקעות הכוללים גם ניירות ערך סחירים (להלן - תיק השקעות לטווח ארוך).</w:t>
      </w:r>
    </w:p>
  </w:footnote>
  <w:footnote w:id="3">
    <w:p w14:paraId="68E1CEE6" w14:textId="77777777" w:rsidR="00AB1ACD" w:rsidRPr="00BE29D4" w:rsidRDefault="00AB1ACD" w:rsidP="00BE29D4">
      <w:pPr>
        <w:pStyle w:val="719"/>
        <w:rPr>
          <w:rtl/>
        </w:rPr>
      </w:pPr>
      <w:r w:rsidRPr="00BE29D4">
        <w:rPr>
          <w:rStyle w:val="FootnoteReference"/>
          <w:vertAlign w:val="baseline"/>
        </w:rPr>
        <w:footnoteRef/>
      </w:r>
      <w:r w:rsidRPr="00BE29D4">
        <w:rPr>
          <w:rtl/>
        </w:rPr>
        <w:t xml:space="preserve"> </w:t>
      </w:r>
      <w:r w:rsidRPr="00BE29D4">
        <w:rPr>
          <w:rtl/>
        </w:rPr>
        <w:tab/>
      </w:r>
      <w:r w:rsidRPr="00BE29D4">
        <w:t>Environmental, Social and Governance</w:t>
      </w:r>
      <w:r w:rsidRPr="00BE29D4">
        <w:rPr>
          <w:rtl/>
        </w:rPr>
        <w:t>.</w:t>
      </w:r>
    </w:p>
  </w:footnote>
  <w:footnote w:id="4">
    <w:p w14:paraId="36263FE2" w14:textId="77777777" w:rsidR="00AB1ACD" w:rsidRPr="00BE29D4" w:rsidRDefault="00AB1ACD" w:rsidP="00BE29D4">
      <w:pPr>
        <w:pStyle w:val="719"/>
      </w:pPr>
      <w:r w:rsidRPr="00BE29D4">
        <w:rPr>
          <w:rStyle w:val="FootnoteReference"/>
          <w:vertAlign w:val="baseline"/>
        </w:rPr>
        <w:footnoteRef/>
      </w:r>
      <w:r w:rsidRPr="00BE29D4">
        <w:rPr>
          <w:rtl/>
        </w:rPr>
        <w:t xml:space="preserve"> </w:t>
      </w:r>
      <w:r w:rsidRPr="00BE29D4">
        <w:rPr>
          <w:rtl/>
        </w:rPr>
        <w:tab/>
        <w:t>מניין חוקי.</w:t>
      </w:r>
    </w:p>
  </w:footnote>
  <w:footnote w:id="5">
    <w:p w14:paraId="746D946B" w14:textId="77777777" w:rsidR="00AB1ACD" w:rsidRPr="00BE29D4" w:rsidRDefault="00AB1ACD" w:rsidP="00BE29D4">
      <w:pPr>
        <w:pStyle w:val="719"/>
        <w:rPr>
          <w:rtl/>
        </w:rPr>
      </w:pPr>
      <w:r w:rsidRPr="00BE29D4">
        <w:rPr>
          <w:rStyle w:val="FootnoteReference"/>
          <w:vertAlign w:val="baseline"/>
        </w:rPr>
        <w:footnoteRef/>
      </w:r>
      <w:r w:rsidRPr="00BE29D4">
        <w:rPr>
          <w:rtl/>
        </w:rPr>
        <w:t xml:space="preserve"> </w:t>
      </w:r>
      <w:r w:rsidRPr="00BE29D4">
        <w:rPr>
          <w:rtl/>
        </w:rPr>
        <w:tab/>
        <w:t>בקנט בכ-44% מהישיבות נעדר אחד החברים; בקרנית בכ-32% מהישיבות נעדר אחד החברים; באשרא רק בחמש מתוך שש עשרה ישיבות נכחו שני דירקטורים בישיבה.</w:t>
      </w:r>
    </w:p>
  </w:footnote>
  <w:footnote w:id="6">
    <w:p w14:paraId="53D0BF59" w14:textId="77777777" w:rsidR="00D74F78" w:rsidRPr="00935A32" w:rsidRDefault="00D74F78" w:rsidP="00935A32">
      <w:pPr>
        <w:pStyle w:val="719"/>
        <w:rPr>
          <w:rtl/>
        </w:rPr>
      </w:pPr>
      <w:r w:rsidRPr="00935A32">
        <w:rPr>
          <w:rStyle w:val="FootnoteReference"/>
          <w:vertAlign w:val="baseline"/>
        </w:rPr>
        <w:footnoteRef/>
      </w:r>
      <w:r w:rsidRPr="00935A32">
        <w:rPr>
          <w:rtl/>
        </w:rPr>
        <w:t xml:space="preserve"> </w:t>
      </w:r>
      <w:r w:rsidRPr="00935A32">
        <w:rPr>
          <w:rtl/>
        </w:rPr>
        <w:tab/>
        <w:t>תיק השקעות של כספים בנאמנות המיועדים לכיסוי מחויבויות אקטואריות לתשלומים פנסיוניים כלפי עובדים בגין רכיבי שכר שאינם קצבתיים ומחויבויות הקשורות לסיום יחסי עובד-מעביד.</w:t>
      </w:r>
    </w:p>
  </w:footnote>
  <w:footnote w:id="7">
    <w:p w14:paraId="4E067BAA" w14:textId="77777777" w:rsidR="00935A32" w:rsidRPr="00844A1F" w:rsidRDefault="00935A32" w:rsidP="00844A1F">
      <w:pPr>
        <w:pStyle w:val="719"/>
      </w:pPr>
      <w:r w:rsidRPr="00844A1F">
        <w:rPr>
          <w:rStyle w:val="FootnoteReference"/>
          <w:vertAlign w:val="baseline"/>
        </w:rPr>
        <w:footnoteRef/>
      </w:r>
      <w:r w:rsidRPr="00844A1F">
        <w:rPr>
          <w:rtl/>
        </w:rPr>
        <w:t xml:space="preserve"> </w:t>
      </w:r>
      <w:r w:rsidRPr="00844A1F">
        <w:rPr>
          <w:rtl/>
        </w:rPr>
        <w:tab/>
        <w:t>מתוך 18 רשויות עם תיק השקעות פעיל בשנים 2017 - 2019, שתי רשויות קיימו דיונים שנתיים ושתי רשויות קיימו דיונים בחלק מהשנים.</w:t>
      </w:r>
    </w:p>
  </w:footnote>
  <w:footnote w:id="8">
    <w:p w14:paraId="4394B1D6" w14:textId="77777777" w:rsidR="00935A32" w:rsidRPr="00844A1F" w:rsidRDefault="00935A32" w:rsidP="00844A1F">
      <w:pPr>
        <w:pStyle w:val="719"/>
        <w:rPr>
          <w:rtl/>
        </w:rPr>
      </w:pPr>
      <w:r w:rsidRPr="00844A1F">
        <w:rPr>
          <w:rStyle w:val="FootnoteReference"/>
          <w:vertAlign w:val="baseline"/>
        </w:rPr>
        <w:footnoteRef/>
      </w:r>
      <w:r w:rsidRPr="00844A1F">
        <w:rPr>
          <w:rtl/>
        </w:rPr>
        <w:t xml:space="preserve"> </w:t>
      </w:r>
      <w:r w:rsidRPr="00844A1F">
        <w:rPr>
          <w:rtl/>
        </w:rPr>
        <w:tab/>
        <w:t>כללים להשקעת עודפים זמניים שנצברו בקרנות לפיתוח ועודפים זמניים אחרים, חוזרים: 08/94, 04/2008 ו-02/2020.</w:t>
      </w:r>
    </w:p>
    <w:p w14:paraId="3A773E0D" w14:textId="77777777" w:rsidR="00935A32" w:rsidRPr="00D83D3E" w:rsidRDefault="00935A32" w:rsidP="00935A32">
      <w:pPr>
        <w:pStyle w:val="FootnoteText"/>
        <w:rPr>
          <w:rFonts w:ascii="Tahoma" w:hAnsi="Tahoma"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7"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8"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9"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63D4D5F9"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C8451E">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40"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63D4D5F9"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C8451E">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56655D73">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sys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41"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" filled="f" strokecolor="#bfbfbf [2412]" strokeweight=".25pt">
              <v:stroke dashstyle="3 1"/>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78D7D1C2" w:rsidR="00CB22A1" w:rsidRPr="004D562B" w:rsidRDefault="000A4F3D" w:rsidP="00502FAD">
                          <w:pPr>
                            <w:jc w:val="left"/>
                            <w:rPr>
                              <w:color w:val="0D0D0D"/>
                              <w:sz w:val="16"/>
                              <w:szCs w:val="16"/>
                            </w:rPr>
                          </w:pPr>
                          <w:r>
                            <w:rPr>
                              <w:rFonts w:ascii="Tahoma" w:hAnsi="Tahoma" w:cs="Tahoma" w:hint="cs"/>
                              <w:color w:val="0D0D0D" w:themeColor="text1" w:themeTint="F2"/>
                              <w:sz w:val="16"/>
                              <w:szCs w:val="16"/>
                              <w:rtl/>
                            </w:rPr>
                            <w:t>ניהול השקעות בקרב גופים שונים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42"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78D7D1C2" w:rsidR="00CB22A1" w:rsidRPr="004D562B" w:rsidRDefault="000A4F3D" w:rsidP="00502FAD">
                    <w:pPr>
                      <w:jc w:val="left"/>
                      <w:rPr>
                        <w:color w:val="0D0D0D"/>
                        <w:sz w:val="16"/>
                        <w:szCs w:val="16"/>
                      </w:rPr>
                    </w:pPr>
                    <w:r>
                      <w:rPr>
                        <w:rFonts w:ascii="Tahoma" w:hAnsi="Tahoma" w:cs="Tahoma" w:hint="cs"/>
                        <w:color w:val="0D0D0D" w:themeColor="text1" w:themeTint="F2"/>
                        <w:sz w:val="16"/>
                        <w:szCs w:val="16"/>
                        <w:rtl/>
                      </w:rPr>
                      <w:t>ניהול השקעות בקרב גופים שונים</w:t>
                    </w:r>
                  </w:p>
                </w:txbxContent>
              </v:textbox>
              <w10:wrap type="square"/>
            </v:shape>
          </w:pict>
        </mc:Fallback>
      </mc:AlternateContent>
    </w:r>
  </w:p>
  <w:p w14:paraId="53F52C1C" w14:textId="024E6CDB"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780F32C0">
          <wp:simplePos x="0" y="0"/>
          <wp:positionH relativeFrom="column">
            <wp:posOffset>4423410</wp:posOffset>
          </wp:positionH>
          <wp:positionV relativeFrom="paragraph">
            <wp:posOffset>19518</wp:posOffset>
          </wp:positionV>
          <wp:extent cx="248285" cy="298450"/>
          <wp:effectExtent l="0" t="0" r="0"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43"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44"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51" name="Picture 205277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79C58CB3">
              <wp:simplePos x="0" y="0"/>
              <wp:positionH relativeFrom="margin">
                <wp:posOffset>-908050</wp:posOffset>
              </wp:positionH>
              <wp:positionV relativeFrom="margin">
                <wp:posOffset>-1030605</wp:posOffset>
              </wp:positionV>
              <wp:extent cx="6479540" cy="8999855"/>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79540" cy="8999855"/>
                      </a:xfrm>
                      <a:prstGeom prst="rect">
                        <a:avLst/>
                      </a:prstGeom>
                      <a:noFill/>
                      <a:ln w="3175">
                        <a:solidFill>
                          <a:schemeClr val="bg1">
                            <a:lumMod val="65000"/>
                          </a:schemeClr>
                        </a:solidFill>
                        <a:prstDash val="sysDash"/>
                      </a:ln>
                    </wps:spPr>
                    <wps:txb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8" type="#_x0000_t202" style="position:absolute;left:0;text-align:left;margin-left:-71.5pt;margin-top:-81.15pt;width:510.2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" filled="f" strokecolor="#a5a5a5 [2092]" strokeweight=".25pt">
              <v:stroke dashstyle="3 1"/>
              <v:textbo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6776E069" w:rsidR="00CB22A1" w:rsidRPr="00DE3BE2" w:rsidRDefault="00CB22A1"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FD23AE" w:rsidRPr="00565F1B">
                            <w:rPr>
                              <w:rFonts w:ascii="Tahoma" w:hAnsi="Tahoma" w:cs="Tahoma" w:hint="cs"/>
                              <w:sz w:val="24"/>
                              <w:szCs w:val="24"/>
                              <w:rtl/>
                            </w:rPr>
                            <w:t xml:space="preserve">תקציר </w:t>
                          </w:r>
                          <w:r w:rsidR="00FD23AE" w:rsidRPr="00565F1B">
                            <w:rPr>
                              <w:rFonts w:ascii="Tahoma" w:hAnsi="Tahoma" w:cs="Tahoma" w:hint="cs"/>
                              <w:rtl/>
                            </w:rPr>
                            <w:t xml:space="preserve"> </w:t>
                          </w:r>
                          <w:r w:rsidR="00FD23AE">
                            <w:rPr>
                              <w:rFonts w:ascii="Tahoma" w:hAnsi="Tahoma" w:cs="Tahoma" w:hint="cs"/>
                              <w:rtl/>
                            </w:rPr>
                            <w:t xml:space="preserve"> </w:t>
                          </w:r>
                          <w:r>
                            <w:rPr>
                              <w:rFonts w:hint="cs"/>
                              <w:sz w:val="24"/>
                              <w:szCs w:val="24"/>
                              <w:rtl/>
                            </w:rPr>
                            <w:t>|</w:t>
                          </w:r>
                          <w:r w:rsidRPr="009B7D1B">
                            <w:rPr>
                              <w:rFonts w:hint="cs"/>
                              <w:sz w:val="24"/>
                              <w:szCs w:val="24"/>
                              <w:rtl/>
                            </w:rPr>
                            <w:t xml:space="preserve">  </w:t>
                          </w:r>
                          <w:r w:rsidR="002601C1" w:rsidRPr="00DE3BE2">
                            <w:rPr>
                              <w:rFonts w:ascii="Tahoma" w:hAnsi="Tahoma" w:cs="Tahoma" w:hint="cs"/>
                              <w:b/>
                              <w:bCs/>
                              <w:sz w:val="24"/>
                              <w:szCs w:val="24"/>
                              <w:rtl/>
                            </w:rPr>
                            <w:t xml:space="preserve">ניהול השקעות בקרב גופים </w:t>
                          </w:r>
                          <w:r w:rsidR="00676165" w:rsidRPr="00DE3BE2">
                            <w:rPr>
                              <w:rFonts w:ascii="Tahoma" w:hAnsi="Tahoma" w:cs="Tahoma" w:hint="cs"/>
                              <w:b/>
                              <w:bCs/>
                              <w:sz w:val="24"/>
                              <w:szCs w:val="24"/>
                              <w:rtl/>
                            </w:rPr>
                            <w:t>שונים</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01E36D46" id="_x0000_t202" coordsize="21600,21600" o:spt="202" path="m,l,21600r21600,l21600,xe">
              <v:stroke joinstyle="miter"/>
              <v:path gradientshapeok="t" o:connecttype="rect"/>
            </v:shapetype>
            <v:shape id="_x0000_s1046"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0iAAIAABQ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bqNzPNJVRnIghh&#10;2lP6V+QEm61o9IHWtODuz1Gg4qz7ZojnsNOzg7NTzo4wsgXads/Z5O79tPtHi7ppCXxS0sAtaVHr&#10;SFMQbWrk0jGtXmTv8k3Cbj8/x6x/n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CS89IgACAAAU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6776E069" w:rsidR="00CB22A1" w:rsidRPr="00DE3BE2" w:rsidRDefault="00CB22A1"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FD23AE" w:rsidRPr="00565F1B">
                      <w:rPr>
                        <w:rFonts w:ascii="Tahoma" w:hAnsi="Tahoma" w:cs="Tahoma" w:hint="cs"/>
                        <w:sz w:val="24"/>
                        <w:szCs w:val="24"/>
                        <w:rtl/>
                      </w:rPr>
                      <w:t xml:space="preserve">תקציר </w:t>
                    </w:r>
                    <w:r w:rsidR="00FD23AE" w:rsidRPr="00565F1B">
                      <w:rPr>
                        <w:rFonts w:ascii="Tahoma" w:hAnsi="Tahoma" w:cs="Tahoma" w:hint="cs"/>
                        <w:rtl/>
                      </w:rPr>
                      <w:t xml:space="preserve"> </w:t>
                    </w:r>
                    <w:r w:rsidR="00FD23AE">
                      <w:rPr>
                        <w:rFonts w:ascii="Tahoma" w:hAnsi="Tahoma" w:cs="Tahoma" w:hint="cs"/>
                        <w:rtl/>
                      </w:rPr>
                      <w:t xml:space="preserve"> </w:t>
                    </w:r>
                    <w:r>
                      <w:rPr>
                        <w:rFonts w:hint="cs"/>
                        <w:sz w:val="24"/>
                        <w:szCs w:val="24"/>
                        <w:rtl/>
                      </w:rPr>
                      <w:t>|</w:t>
                    </w:r>
                    <w:r w:rsidRPr="009B7D1B">
                      <w:rPr>
                        <w:rFonts w:hint="cs"/>
                        <w:sz w:val="24"/>
                        <w:szCs w:val="24"/>
                        <w:rtl/>
                      </w:rPr>
                      <w:t xml:space="preserve">  </w:t>
                    </w:r>
                    <w:r w:rsidR="002601C1" w:rsidRPr="00DE3BE2">
                      <w:rPr>
                        <w:rFonts w:ascii="Tahoma" w:hAnsi="Tahoma" w:cs="Tahoma" w:hint="cs"/>
                        <w:b/>
                        <w:bCs/>
                        <w:sz w:val="24"/>
                        <w:szCs w:val="24"/>
                        <w:rtl/>
                      </w:rPr>
                      <w:t xml:space="preserve">ניהול השקעות בקרב גופים </w:t>
                    </w:r>
                    <w:r w:rsidR="00676165" w:rsidRPr="00DE3BE2">
                      <w:rPr>
                        <w:rFonts w:ascii="Tahoma" w:hAnsi="Tahoma" w:cs="Tahoma" w:hint="cs"/>
                        <w:b/>
                        <w:bCs/>
                        <w:sz w:val="24"/>
                        <w:szCs w:val="24"/>
                        <w:rtl/>
                      </w:rPr>
                      <w:t>שונים</w:t>
                    </w:r>
                  </w:p>
                </w:txbxContent>
              </v:textbox>
              <w10:wrap type="square"/>
            </v:shape>
          </w:pict>
        </mc:Fallback>
      </mc:AlternateContent>
    </w:r>
  </w:p>
  <w:p w14:paraId="52188F3E" w14:textId="6AFEEEA3" w:rsidR="00CB22A1" w:rsidRDefault="00CB22A1" w:rsidP="001C5C9D">
    <w:pPr>
      <w:pStyle w:val="Header"/>
      <w:tabs>
        <w:tab w:val="clear" w:pos="4153"/>
        <w:tab w:val="clear" w:pos="8306"/>
        <w:tab w:val="left" w:pos="4530"/>
      </w:tabs>
      <w:jc w:val="left"/>
      <w:rPr>
        <w:rtl/>
      </w:rPr>
    </w:pPr>
    <w:r>
      <w:rPr>
        <w:rtl/>
      </w:rPr>
      <w:tab/>
    </w:r>
  </w:p>
  <w:p w14:paraId="53D931BB" w14:textId="77777777" w:rsidR="00CB22A1" w:rsidRDefault="00CB22A1"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320511C4" w:rsidR="00CB22A1" w:rsidRPr="004D562B" w:rsidRDefault="00CB22A1"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w:t>
                          </w:r>
                          <w:r w:rsidR="00C8451E">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50"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LgIAAEw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f7/pkC4CAABMBAAADgAAAAAAAAAAAAAAAAAuAgAA&#10;ZHJzL2Uyb0RvYy54bWxQSwECLQAUAAYACAAAACEA40qJTt8AAAAIAQAADwAAAAAAAAAAAAAAAACI&#10;BAAAZHJzL2Rvd25yZXYueG1sUEsFBgAAAAAEAAQA8wAAAJQFAAAAAA==&#10;" strokecolor="white [3212]">
              <v:textbox>
                <w:txbxContent>
                  <w:p w14:paraId="5B61FBF3" w14:textId="320511C4" w:rsidR="00CB22A1" w:rsidRPr="004D562B" w:rsidRDefault="00CB22A1"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w:t>
                    </w:r>
                    <w:r w:rsidR="00C8451E">
                      <w:rPr>
                        <w:rFonts w:ascii="Tahoma" w:hAnsi="Tahoma" w:cs="Tahoma" w:hint="cs"/>
                        <w:color w:val="0D0D0D"/>
                        <w:sz w:val="16"/>
                        <w:szCs w:val="16"/>
                        <w:rtl/>
                      </w:rPr>
                      <w:t>ב</w:t>
                    </w:r>
                    <w:r w:rsidRPr="004D562B">
                      <w:rPr>
                        <w:rFonts w:ascii="Tahoma" w:hAnsi="Tahoma" w:cs="Tahoma" w:hint="cs"/>
                        <w:color w:val="0D0D0D"/>
                        <w:sz w:val="16"/>
                        <w:szCs w:val="16"/>
                        <w:rtl/>
                      </w:rPr>
                      <w:t>-2021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2052770954" name="Picture 205277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0641F518">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55151"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133C0DA0" w14:textId="2E0368D3" w:rsidR="00CB22A1" w:rsidRPr="001526AC" w:rsidRDefault="00CB22A1"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3" type="#_x0000_t75" style="width:141.7pt;height:141.7pt" o:bullet="t">
        <v:imagedata r:id="rId1" o:title="זכוכית מגדלת5"/>
      </v:shape>
    </w:pict>
  </w:numPicBullet>
  <w:numPicBullet w:numPicBulletId="1">
    <w:pict>
      <v:shape w14:anchorId="2B74F5FF" id="_x0000_i1534" type="#_x0000_t75" alt="Capture" style="width:19.5pt;height:18.75pt" o:bullet="t">
        <v:imagedata r:id="rId2" o:title="Capture"/>
      </v:shape>
    </w:pict>
  </w:numPicBullet>
  <w:numPicBullet w:numPicBulletId="2">
    <w:pict>
      <v:shape id="_x0000_i1535" type="#_x0000_t75" style="width:20.25pt;height:18.75pt;visibility:visible;mso-wrap-style:square" o:bullet="t">
        <v:imagedata r:id="rId3" o:title="Capture"/>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B0D11A4"/>
    <w:multiLevelType w:val="hybridMultilevel"/>
    <w:tmpl w:val="17CEB296"/>
    <w:lvl w:ilvl="0" w:tplc="4CA0FFC4">
      <w:start w:val="1"/>
      <w:numFmt w:val="decimal"/>
      <w:lvlText w:val="%1."/>
      <w:lvlJc w:val="left"/>
      <w:pPr>
        <w:ind w:left="720" w:hanging="360"/>
      </w:pPr>
      <w:rPr>
        <w:rFonts w:hint="default"/>
      </w:rPr>
    </w:lvl>
    <w:lvl w:ilvl="1" w:tplc="BD32E226" w:tentative="1">
      <w:start w:val="1"/>
      <w:numFmt w:val="lowerLetter"/>
      <w:lvlText w:val="%2."/>
      <w:lvlJc w:val="left"/>
      <w:pPr>
        <w:ind w:left="1440" w:hanging="360"/>
      </w:pPr>
    </w:lvl>
    <w:lvl w:ilvl="2" w:tplc="7A408EAE" w:tentative="1">
      <w:start w:val="1"/>
      <w:numFmt w:val="lowerRoman"/>
      <w:lvlText w:val="%3."/>
      <w:lvlJc w:val="right"/>
      <w:pPr>
        <w:ind w:left="2160" w:hanging="180"/>
      </w:pPr>
    </w:lvl>
    <w:lvl w:ilvl="3" w:tplc="528C4E60" w:tentative="1">
      <w:start w:val="1"/>
      <w:numFmt w:val="decimal"/>
      <w:lvlText w:val="%4."/>
      <w:lvlJc w:val="left"/>
      <w:pPr>
        <w:ind w:left="2880" w:hanging="360"/>
      </w:pPr>
    </w:lvl>
    <w:lvl w:ilvl="4" w:tplc="10003958" w:tentative="1">
      <w:start w:val="1"/>
      <w:numFmt w:val="lowerLetter"/>
      <w:lvlText w:val="%5."/>
      <w:lvlJc w:val="left"/>
      <w:pPr>
        <w:ind w:left="3600" w:hanging="360"/>
      </w:pPr>
    </w:lvl>
    <w:lvl w:ilvl="5" w:tplc="457C1DC6" w:tentative="1">
      <w:start w:val="1"/>
      <w:numFmt w:val="lowerRoman"/>
      <w:lvlText w:val="%6."/>
      <w:lvlJc w:val="right"/>
      <w:pPr>
        <w:ind w:left="4320" w:hanging="180"/>
      </w:pPr>
    </w:lvl>
    <w:lvl w:ilvl="6" w:tplc="849278A8" w:tentative="1">
      <w:start w:val="1"/>
      <w:numFmt w:val="decimal"/>
      <w:lvlText w:val="%7."/>
      <w:lvlJc w:val="left"/>
      <w:pPr>
        <w:ind w:left="5040" w:hanging="360"/>
      </w:pPr>
    </w:lvl>
    <w:lvl w:ilvl="7" w:tplc="5AAE450A" w:tentative="1">
      <w:start w:val="1"/>
      <w:numFmt w:val="lowerLetter"/>
      <w:lvlText w:val="%8."/>
      <w:lvlJc w:val="left"/>
      <w:pPr>
        <w:ind w:left="5760" w:hanging="360"/>
      </w:pPr>
    </w:lvl>
    <w:lvl w:ilvl="8" w:tplc="1F7659C2" w:tentative="1">
      <w:start w:val="1"/>
      <w:numFmt w:val="lowerRoman"/>
      <w:lvlText w:val="%9."/>
      <w:lvlJc w:val="right"/>
      <w:pPr>
        <w:ind w:left="6480" w:hanging="180"/>
      </w:pPr>
    </w:lvl>
  </w:abstractNum>
  <w:abstractNum w:abstractNumId="2" w15:restartNumberingAfterBreak="0">
    <w:nsid w:val="0C1079D6"/>
    <w:multiLevelType w:val="hybridMultilevel"/>
    <w:tmpl w:val="A5A2E976"/>
    <w:lvl w:ilvl="0" w:tplc="C4EE8A4A">
      <w:numFmt w:val="bullet"/>
      <w:lvlText w:val="-"/>
      <w:lvlJc w:val="left"/>
      <w:pPr>
        <w:ind w:left="644" w:hanging="360"/>
      </w:pPr>
      <w:rPr>
        <w:rFonts w:ascii="Tahoma" w:eastAsia="Times New Roman" w:hAnsi="Tahoma" w:cs="Tahom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5"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BC45517"/>
    <w:multiLevelType w:val="hybridMultilevel"/>
    <w:tmpl w:val="422E6ECE"/>
    <w:lvl w:ilvl="0" w:tplc="C6FA0990">
      <w:start w:val="1"/>
      <w:numFmt w:val="decimal"/>
      <w:lvlText w:val="%1."/>
      <w:lvlJc w:val="left"/>
      <w:pPr>
        <w:ind w:left="720" w:hanging="360"/>
      </w:pPr>
      <w:rPr>
        <w:rFonts w:hint="default"/>
      </w:rPr>
    </w:lvl>
    <w:lvl w:ilvl="1" w:tplc="3462154E" w:tentative="1">
      <w:start w:val="1"/>
      <w:numFmt w:val="lowerLetter"/>
      <w:lvlText w:val="%2."/>
      <w:lvlJc w:val="left"/>
      <w:pPr>
        <w:ind w:left="1440" w:hanging="360"/>
      </w:pPr>
    </w:lvl>
    <w:lvl w:ilvl="2" w:tplc="CABC1C06" w:tentative="1">
      <w:start w:val="1"/>
      <w:numFmt w:val="lowerRoman"/>
      <w:lvlText w:val="%3."/>
      <w:lvlJc w:val="right"/>
      <w:pPr>
        <w:ind w:left="2160" w:hanging="180"/>
      </w:pPr>
    </w:lvl>
    <w:lvl w:ilvl="3" w:tplc="984AE8AC" w:tentative="1">
      <w:start w:val="1"/>
      <w:numFmt w:val="decimal"/>
      <w:lvlText w:val="%4."/>
      <w:lvlJc w:val="left"/>
      <w:pPr>
        <w:ind w:left="2880" w:hanging="360"/>
      </w:pPr>
    </w:lvl>
    <w:lvl w:ilvl="4" w:tplc="AA66BD9A" w:tentative="1">
      <w:start w:val="1"/>
      <w:numFmt w:val="lowerLetter"/>
      <w:lvlText w:val="%5."/>
      <w:lvlJc w:val="left"/>
      <w:pPr>
        <w:ind w:left="3600" w:hanging="360"/>
      </w:pPr>
    </w:lvl>
    <w:lvl w:ilvl="5" w:tplc="54522DB8" w:tentative="1">
      <w:start w:val="1"/>
      <w:numFmt w:val="lowerRoman"/>
      <w:lvlText w:val="%6."/>
      <w:lvlJc w:val="right"/>
      <w:pPr>
        <w:ind w:left="4320" w:hanging="180"/>
      </w:pPr>
    </w:lvl>
    <w:lvl w:ilvl="6" w:tplc="42DECC74" w:tentative="1">
      <w:start w:val="1"/>
      <w:numFmt w:val="decimal"/>
      <w:lvlText w:val="%7."/>
      <w:lvlJc w:val="left"/>
      <w:pPr>
        <w:ind w:left="5040" w:hanging="360"/>
      </w:pPr>
    </w:lvl>
    <w:lvl w:ilvl="7" w:tplc="0E0C4420" w:tentative="1">
      <w:start w:val="1"/>
      <w:numFmt w:val="lowerLetter"/>
      <w:lvlText w:val="%8."/>
      <w:lvlJc w:val="left"/>
      <w:pPr>
        <w:ind w:left="5760" w:hanging="360"/>
      </w:pPr>
    </w:lvl>
    <w:lvl w:ilvl="8" w:tplc="FDCABD00" w:tentative="1">
      <w:start w:val="1"/>
      <w:numFmt w:val="lowerRoman"/>
      <w:lvlText w:val="%9."/>
      <w:lvlJc w:val="right"/>
      <w:pPr>
        <w:ind w:left="6480" w:hanging="180"/>
      </w:pPr>
    </w:lvl>
  </w:abstractNum>
  <w:abstractNum w:abstractNumId="8" w15:restartNumberingAfterBreak="0">
    <w:nsid w:val="1C824DB6"/>
    <w:multiLevelType w:val="hybridMultilevel"/>
    <w:tmpl w:val="97DEAC4E"/>
    <w:lvl w:ilvl="0" w:tplc="792289FC">
      <w:start w:val="1"/>
      <w:numFmt w:val="hebrew1"/>
      <w:lvlText w:val="(%1)"/>
      <w:lvlJc w:val="left"/>
      <w:pPr>
        <w:ind w:left="360" w:hanging="360"/>
      </w:pPr>
      <w:rPr>
        <w:rFonts w:hint="default"/>
      </w:rPr>
    </w:lvl>
    <w:lvl w:ilvl="1" w:tplc="1B6EB03C" w:tentative="1">
      <w:start w:val="1"/>
      <w:numFmt w:val="lowerLetter"/>
      <w:lvlText w:val="%2."/>
      <w:lvlJc w:val="left"/>
      <w:pPr>
        <w:ind w:left="1080" w:hanging="360"/>
      </w:pPr>
    </w:lvl>
    <w:lvl w:ilvl="2" w:tplc="7AAEF95A" w:tentative="1">
      <w:start w:val="1"/>
      <w:numFmt w:val="lowerRoman"/>
      <w:lvlText w:val="%3."/>
      <w:lvlJc w:val="right"/>
      <w:pPr>
        <w:ind w:left="1800" w:hanging="180"/>
      </w:pPr>
    </w:lvl>
    <w:lvl w:ilvl="3" w:tplc="928803CA" w:tentative="1">
      <w:start w:val="1"/>
      <w:numFmt w:val="decimal"/>
      <w:lvlText w:val="%4."/>
      <w:lvlJc w:val="left"/>
      <w:pPr>
        <w:ind w:left="2520" w:hanging="360"/>
      </w:pPr>
    </w:lvl>
    <w:lvl w:ilvl="4" w:tplc="D40202F0" w:tentative="1">
      <w:start w:val="1"/>
      <w:numFmt w:val="lowerLetter"/>
      <w:lvlText w:val="%5."/>
      <w:lvlJc w:val="left"/>
      <w:pPr>
        <w:ind w:left="3240" w:hanging="360"/>
      </w:pPr>
    </w:lvl>
    <w:lvl w:ilvl="5" w:tplc="E910C740" w:tentative="1">
      <w:start w:val="1"/>
      <w:numFmt w:val="lowerRoman"/>
      <w:lvlText w:val="%6."/>
      <w:lvlJc w:val="right"/>
      <w:pPr>
        <w:ind w:left="3960" w:hanging="180"/>
      </w:pPr>
    </w:lvl>
    <w:lvl w:ilvl="6" w:tplc="7B4EE752" w:tentative="1">
      <w:start w:val="1"/>
      <w:numFmt w:val="decimal"/>
      <w:lvlText w:val="%7."/>
      <w:lvlJc w:val="left"/>
      <w:pPr>
        <w:ind w:left="4680" w:hanging="360"/>
      </w:pPr>
    </w:lvl>
    <w:lvl w:ilvl="7" w:tplc="CFB4A0DE" w:tentative="1">
      <w:start w:val="1"/>
      <w:numFmt w:val="lowerLetter"/>
      <w:lvlText w:val="%8."/>
      <w:lvlJc w:val="left"/>
      <w:pPr>
        <w:ind w:left="5400" w:hanging="360"/>
      </w:pPr>
    </w:lvl>
    <w:lvl w:ilvl="8" w:tplc="D1B47EB0" w:tentative="1">
      <w:start w:val="1"/>
      <w:numFmt w:val="lowerRoman"/>
      <w:lvlText w:val="%9."/>
      <w:lvlJc w:val="right"/>
      <w:pPr>
        <w:ind w:left="6120" w:hanging="180"/>
      </w:pPr>
    </w:lvl>
  </w:abstractNum>
  <w:abstractNum w:abstractNumId="9"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22403C55"/>
    <w:multiLevelType w:val="hybridMultilevel"/>
    <w:tmpl w:val="3384D9F8"/>
    <w:lvl w:ilvl="0" w:tplc="E43C5700">
      <w:start w:val="1"/>
      <w:numFmt w:val="decimal"/>
      <w:lvlText w:val="%1."/>
      <w:lvlJc w:val="left"/>
      <w:pPr>
        <w:ind w:left="720" w:hanging="360"/>
      </w:pPr>
      <w:rPr>
        <w:rFonts w:hint="default"/>
      </w:rPr>
    </w:lvl>
    <w:lvl w:ilvl="1" w:tplc="F676BEE0" w:tentative="1">
      <w:start w:val="1"/>
      <w:numFmt w:val="lowerLetter"/>
      <w:lvlText w:val="%2."/>
      <w:lvlJc w:val="left"/>
      <w:pPr>
        <w:ind w:left="1440" w:hanging="360"/>
      </w:pPr>
    </w:lvl>
    <w:lvl w:ilvl="2" w:tplc="0FE87D52" w:tentative="1">
      <w:start w:val="1"/>
      <w:numFmt w:val="lowerRoman"/>
      <w:lvlText w:val="%3."/>
      <w:lvlJc w:val="right"/>
      <w:pPr>
        <w:ind w:left="2160" w:hanging="180"/>
      </w:pPr>
    </w:lvl>
    <w:lvl w:ilvl="3" w:tplc="18281E0C" w:tentative="1">
      <w:start w:val="1"/>
      <w:numFmt w:val="decimal"/>
      <w:lvlText w:val="%4."/>
      <w:lvlJc w:val="left"/>
      <w:pPr>
        <w:ind w:left="2880" w:hanging="360"/>
      </w:pPr>
    </w:lvl>
    <w:lvl w:ilvl="4" w:tplc="0D40BF1A" w:tentative="1">
      <w:start w:val="1"/>
      <w:numFmt w:val="lowerLetter"/>
      <w:lvlText w:val="%5."/>
      <w:lvlJc w:val="left"/>
      <w:pPr>
        <w:ind w:left="3600" w:hanging="360"/>
      </w:pPr>
    </w:lvl>
    <w:lvl w:ilvl="5" w:tplc="FB2454A6" w:tentative="1">
      <w:start w:val="1"/>
      <w:numFmt w:val="lowerRoman"/>
      <w:lvlText w:val="%6."/>
      <w:lvlJc w:val="right"/>
      <w:pPr>
        <w:ind w:left="4320" w:hanging="180"/>
      </w:pPr>
    </w:lvl>
    <w:lvl w:ilvl="6" w:tplc="ECD67E02" w:tentative="1">
      <w:start w:val="1"/>
      <w:numFmt w:val="decimal"/>
      <w:lvlText w:val="%7."/>
      <w:lvlJc w:val="left"/>
      <w:pPr>
        <w:ind w:left="5040" w:hanging="360"/>
      </w:pPr>
    </w:lvl>
    <w:lvl w:ilvl="7" w:tplc="B350835E" w:tentative="1">
      <w:start w:val="1"/>
      <w:numFmt w:val="lowerLetter"/>
      <w:lvlText w:val="%8."/>
      <w:lvlJc w:val="left"/>
      <w:pPr>
        <w:ind w:left="5760" w:hanging="360"/>
      </w:pPr>
    </w:lvl>
    <w:lvl w:ilvl="8" w:tplc="151C32B4" w:tentative="1">
      <w:start w:val="1"/>
      <w:numFmt w:val="lowerRoman"/>
      <w:lvlText w:val="%9."/>
      <w:lvlJc w:val="right"/>
      <w:pPr>
        <w:ind w:left="6480" w:hanging="180"/>
      </w:pPr>
    </w:lvl>
  </w:abstractNum>
  <w:abstractNum w:abstractNumId="11"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12"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17D1B"/>
    <w:multiLevelType w:val="hybridMultilevel"/>
    <w:tmpl w:val="B7B2DA4C"/>
    <w:lvl w:ilvl="0" w:tplc="963ABC58">
      <w:start w:val="1"/>
      <w:numFmt w:val="decimal"/>
      <w:lvlText w:val="%1."/>
      <w:lvlJc w:val="left"/>
      <w:pPr>
        <w:ind w:left="720" w:hanging="360"/>
      </w:pPr>
      <w:rPr>
        <w:rFonts w:hint="default"/>
      </w:rPr>
    </w:lvl>
    <w:lvl w:ilvl="1" w:tplc="0E123922" w:tentative="1">
      <w:start w:val="1"/>
      <w:numFmt w:val="lowerLetter"/>
      <w:lvlText w:val="%2."/>
      <w:lvlJc w:val="left"/>
      <w:pPr>
        <w:ind w:left="1440" w:hanging="360"/>
      </w:pPr>
    </w:lvl>
    <w:lvl w:ilvl="2" w:tplc="4E56BE14" w:tentative="1">
      <w:start w:val="1"/>
      <w:numFmt w:val="lowerRoman"/>
      <w:lvlText w:val="%3."/>
      <w:lvlJc w:val="right"/>
      <w:pPr>
        <w:ind w:left="2160" w:hanging="180"/>
      </w:pPr>
    </w:lvl>
    <w:lvl w:ilvl="3" w:tplc="8272C380" w:tentative="1">
      <w:start w:val="1"/>
      <w:numFmt w:val="decimal"/>
      <w:lvlText w:val="%4."/>
      <w:lvlJc w:val="left"/>
      <w:pPr>
        <w:ind w:left="2880" w:hanging="360"/>
      </w:pPr>
    </w:lvl>
    <w:lvl w:ilvl="4" w:tplc="B75826AE" w:tentative="1">
      <w:start w:val="1"/>
      <w:numFmt w:val="lowerLetter"/>
      <w:lvlText w:val="%5."/>
      <w:lvlJc w:val="left"/>
      <w:pPr>
        <w:ind w:left="3600" w:hanging="360"/>
      </w:pPr>
    </w:lvl>
    <w:lvl w:ilvl="5" w:tplc="2B0A7566" w:tentative="1">
      <w:start w:val="1"/>
      <w:numFmt w:val="lowerRoman"/>
      <w:lvlText w:val="%6."/>
      <w:lvlJc w:val="right"/>
      <w:pPr>
        <w:ind w:left="4320" w:hanging="180"/>
      </w:pPr>
    </w:lvl>
    <w:lvl w:ilvl="6" w:tplc="38EACB30" w:tentative="1">
      <w:start w:val="1"/>
      <w:numFmt w:val="decimal"/>
      <w:lvlText w:val="%7."/>
      <w:lvlJc w:val="left"/>
      <w:pPr>
        <w:ind w:left="5040" w:hanging="360"/>
      </w:pPr>
    </w:lvl>
    <w:lvl w:ilvl="7" w:tplc="746CE31A" w:tentative="1">
      <w:start w:val="1"/>
      <w:numFmt w:val="lowerLetter"/>
      <w:lvlText w:val="%8."/>
      <w:lvlJc w:val="left"/>
      <w:pPr>
        <w:ind w:left="5760" w:hanging="360"/>
      </w:pPr>
    </w:lvl>
    <w:lvl w:ilvl="8" w:tplc="10D62802" w:tentative="1">
      <w:start w:val="1"/>
      <w:numFmt w:val="lowerRoman"/>
      <w:lvlText w:val="%9."/>
      <w:lvlJc w:val="right"/>
      <w:pPr>
        <w:ind w:left="6480" w:hanging="180"/>
      </w:pPr>
    </w:lvl>
  </w:abstractNum>
  <w:abstractNum w:abstractNumId="15" w15:restartNumberingAfterBreak="0">
    <w:nsid w:val="378814C7"/>
    <w:multiLevelType w:val="hybridMultilevel"/>
    <w:tmpl w:val="AC3AD50C"/>
    <w:lvl w:ilvl="0" w:tplc="6C021436">
      <w:start w:val="1"/>
      <w:numFmt w:val="decimal"/>
      <w:lvlText w:val="%1."/>
      <w:lvlJc w:val="left"/>
      <w:pPr>
        <w:ind w:left="720" w:hanging="360"/>
      </w:pPr>
      <w:rPr>
        <w:rFonts w:hint="default"/>
      </w:rPr>
    </w:lvl>
    <w:lvl w:ilvl="1" w:tplc="A5A4084E" w:tentative="1">
      <w:start w:val="1"/>
      <w:numFmt w:val="lowerLetter"/>
      <w:lvlText w:val="%2."/>
      <w:lvlJc w:val="left"/>
      <w:pPr>
        <w:ind w:left="1440" w:hanging="360"/>
      </w:pPr>
    </w:lvl>
    <w:lvl w:ilvl="2" w:tplc="F13ADB06" w:tentative="1">
      <w:start w:val="1"/>
      <w:numFmt w:val="lowerRoman"/>
      <w:lvlText w:val="%3."/>
      <w:lvlJc w:val="right"/>
      <w:pPr>
        <w:ind w:left="2160" w:hanging="180"/>
      </w:pPr>
    </w:lvl>
    <w:lvl w:ilvl="3" w:tplc="FD207452" w:tentative="1">
      <w:start w:val="1"/>
      <w:numFmt w:val="decimal"/>
      <w:lvlText w:val="%4."/>
      <w:lvlJc w:val="left"/>
      <w:pPr>
        <w:ind w:left="2880" w:hanging="360"/>
      </w:pPr>
    </w:lvl>
    <w:lvl w:ilvl="4" w:tplc="0316E534" w:tentative="1">
      <w:start w:val="1"/>
      <w:numFmt w:val="lowerLetter"/>
      <w:lvlText w:val="%5."/>
      <w:lvlJc w:val="left"/>
      <w:pPr>
        <w:ind w:left="3600" w:hanging="360"/>
      </w:pPr>
    </w:lvl>
    <w:lvl w:ilvl="5" w:tplc="76DC6F28" w:tentative="1">
      <w:start w:val="1"/>
      <w:numFmt w:val="lowerRoman"/>
      <w:lvlText w:val="%6."/>
      <w:lvlJc w:val="right"/>
      <w:pPr>
        <w:ind w:left="4320" w:hanging="180"/>
      </w:pPr>
    </w:lvl>
    <w:lvl w:ilvl="6" w:tplc="C36CA4EA" w:tentative="1">
      <w:start w:val="1"/>
      <w:numFmt w:val="decimal"/>
      <w:lvlText w:val="%7."/>
      <w:lvlJc w:val="left"/>
      <w:pPr>
        <w:ind w:left="5040" w:hanging="360"/>
      </w:pPr>
    </w:lvl>
    <w:lvl w:ilvl="7" w:tplc="2EF840A0" w:tentative="1">
      <w:start w:val="1"/>
      <w:numFmt w:val="lowerLetter"/>
      <w:lvlText w:val="%8."/>
      <w:lvlJc w:val="left"/>
      <w:pPr>
        <w:ind w:left="5760" w:hanging="360"/>
      </w:pPr>
    </w:lvl>
    <w:lvl w:ilvl="8" w:tplc="92B80922" w:tentative="1">
      <w:start w:val="1"/>
      <w:numFmt w:val="lowerRoman"/>
      <w:lvlText w:val="%9."/>
      <w:lvlJc w:val="right"/>
      <w:pPr>
        <w:ind w:left="6480" w:hanging="180"/>
      </w:pPr>
    </w:lvl>
  </w:abstractNum>
  <w:abstractNum w:abstractNumId="16" w15:restartNumberingAfterBreak="0">
    <w:nsid w:val="399964BB"/>
    <w:multiLevelType w:val="hybridMultilevel"/>
    <w:tmpl w:val="D02A5AA0"/>
    <w:lvl w:ilvl="0" w:tplc="315E529E">
      <w:start w:val="1"/>
      <w:numFmt w:val="decimal"/>
      <w:lvlText w:val="%1."/>
      <w:lvlJc w:val="left"/>
      <w:pPr>
        <w:ind w:left="720" w:hanging="360"/>
      </w:pPr>
      <w:rPr>
        <w:rFonts w:hint="default"/>
      </w:rPr>
    </w:lvl>
    <w:lvl w:ilvl="1" w:tplc="0874ACFA" w:tentative="1">
      <w:start w:val="1"/>
      <w:numFmt w:val="lowerLetter"/>
      <w:lvlText w:val="%2."/>
      <w:lvlJc w:val="left"/>
      <w:pPr>
        <w:ind w:left="1440" w:hanging="360"/>
      </w:pPr>
    </w:lvl>
    <w:lvl w:ilvl="2" w:tplc="84845230" w:tentative="1">
      <w:start w:val="1"/>
      <w:numFmt w:val="lowerRoman"/>
      <w:lvlText w:val="%3."/>
      <w:lvlJc w:val="right"/>
      <w:pPr>
        <w:ind w:left="2160" w:hanging="180"/>
      </w:pPr>
    </w:lvl>
    <w:lvl w:ilvl="3" w:tplc="91E8D34E" w:tentative="1">
      <w:start w:val="1"/>
      <w:numFmt w:val="decimal"/>
      <w:lvlText w:val="%4."/>
      <w:lvlJc w:val="left"/>
      <w:pPr>
        <w:ind w:left="2880" w:hanging="360"/>
      </w:pPr>
    </w:lvl>
    <w:lvl w:ilvl="4" w:tplc="07FEFC58" w:tentative="1">
      <w:start w:val="1"/>
      <w:numFmt w:val="lowerLetter"/>
      <w:lvlText w:val="%5."/>
      <w:lvlJc w:val="left"/>
      <w:pPr>
        <w:ind w:left="3600" w:hanging="360"/>
      </w:pPr>
    </w:lvl>
    <w:lvl w:ilvl="5" w:tplc="7EA89A5C" w:tentative="1">
      <w:start w:val="1"/>
      <w:numFmt w:val="lowerRoman"/>
      <w:lvlText w:val="%6."/>
      <w:lvlJc w:val="right"/>
      <w:pPr>
        <w:ind w:left="4320" w:hanging="180"/>
      </w:pPr>
    </w:lvl>
    <w:lvl w:ilvl="6" w:tplc="5D5ABC02" w:tentative="1">
      <w:start w:val="1"/>
      <w:numFmt w:val="decimal"/>
      <w:lvlText w:val="%7."/>
      <w:lvlJc w:val="left"/>
      <w:pPr>
        <w:ind w:left="5040" w:hanging="360"/>
      </w:pPr>
    </w:lvl>
    <w:lvl w:ilvl="7" w:tplc="23AC0034" w:tentative="1">
      <w:start w:val="1"/>
      <w:numFmt w:val="lowerLetter"/>
      <w:lvlText w:val="%8."/>
      <w:lvlJc w:val="left"/>
      <w:pPr>
        <w:ind w:left="5760" w:hanging="360"/>
      </w:pPr>
    </w:lvl>
    <w:lvl w:ilvl="8" w:tplc="23E8FD6E" w:tentative="1">
      <w:start w:val="1"/>
      <w:numFmt w:val="lowerRoman"/>
      <w:lvlText w:val="%9."/>
      <w:lvlJc w:val="right"/>
      <w:pPr>
        <w:ind w:left="6480" w:hanging="180"/>
      </w:pPr>
    </w:lvl>
  </w:abstractNum>
  <w:abstractNum w:abstractNumId="17" w15:restartNumberingAfterBreak="0">
    <w:nsid w:val="3A12107F"/>
    <w:multiLevelType w:val="hybridMultilevel"/>
    <w:tmpl w:val="178A6702"/>
    <w:lvl w:ilvl="0" w:tplc="B866BBB4">
      <w:start w:val="2"/>
      <w:numFmt w:val="bullet"/>
      <w:lvlText w:val=""/>
      <w:lvlJc w:val="left"/>
      <w:pPr>
        <w:ind w:left="360" w:hanging="360"/>
      </w:pPr>
      <w:rPr>
        <w:rFonts w:ascii="Symbol" w:eastAsiaTheme="minorHAnsi" w:hAnsi="Symbol" w:cs="David" w:hint="default"/>
      </w:rPr>
    </w:lvl>
    <w:lvl w:ilvl="1" w:tplc="85A222F2" w:tentative="1">
      <w:start w:val="1"/>
      <w:numFmt w:val="bullet"/>
      <w:lvlText w:val="o"/>
      <w:lvlJc w:val="left"/>
      <w:pPr>
        <w:ind w:left="1080" w:hanging="360"/>
      </w:pPr>
      <w:rPr>
        <w:rFonts w:ascii="Courier New" w:hAnsi="Courier New" w:cs="Courier New" w:hint="default"/>
      </w:rPr>
    </w:lvl>
    <w:lvl w:ilvl="2" w:tplc="02DE614E" w:tentative="1">
      <w:start w:val="1"/>
      <w:numFmt w:val="bullet"/>
      <w:lvlText w:val=""/>
      <w:lvlJc w:val="left"/>
      <w:pPr>
        <w:ind w:left="1800" w:hanging="360"/>
      </w:pPr>
      <w:rPr>
        <w:rFonts w:ascii="Wingdings" w:hAnsi="Wingdings" w:hint="default"/>
      </w:rPr>
    </w:lvl>
    <w:lvl w:ilvl="3" w:tplc="7542FE7E" w:tentative="1">
      <w:start w:val="1"/>
      <w:numFmt w:val="bullet"/>
      <w:lvlText w:val=""/>
      <w:lvlJc w:val="left"/>
      <w:pPr>
        <w:ind w:left="2520" w:hanging="360"/>
      </w:pPr>
      <w:rPr>
        <w:rFonts w:ascii="Symbol" w:hAnsi="Symbol" w:hint="default"/>
      </w:rPr>
    </w:lvl>
    <w:lvl w:ilvl="4" w:tplc="B024F746" w:tentative="1">
      <w:start w:val="1"/>
      <w:numFmt w:val="bullet"/>
      <w:lvlText w:val="o"/>
      <w:lvlJc w:val="left"/>
      <w:pPr>
        <w:ind w:left="3240" w:hanging="360"/>
      </w:pPr>
      <w:rPr>
        <w:rFonts w:ascii="Courier New" w:hAnsi="Courier New" w:cs="Courier New" w:hint="default"/>
      </w:rPr>
    </w:lvl>
    <w:lvl w:ilvl="5" w:tplc="FA923CDE" w:tentative="1">
      <w:start w:val="1"/>
      <w:numFmt w:val="bullet"/>
      <w:lvlText w:val=""/>
      <w:lvlJc w:val="left"/>
      <w:pPr>
        <w:ind w:left="3960" w:hanging="360"/>
      </w:pPr>
      <w:rPr>
        <w:rFonts w:ascii="Wingdings" w:hAnsi="Wingdings" w:hint="default"/>
      </w:rPr>
    </w:lvl>
    <w:lvl w:ilvl="6" w:tplc="64962720" w:tentative="1">
      <w:start w:val="1"/>
      <w:numFmt w:val="bullet"/>
      <w:lvlText w:val=""/>
      <w:lvlJc w:val="left"/>
      <w:pPr>
        <w:ind w:left="4680" w:hanging="360"/>
      </w:pPr>
      <w:rPr>
        <w:rFonts w:ascii="Symbol" w:hAnsi="Symbol" w:hint="default"/>
      </w:rPr>
    </w:lvl>
    <w:lvl w:ilvl="7" w:tplc="6706AFB6" w:tentative="1">
      <w:start w:val="1"/>
      <w:numFmt w:val="bullet"/>
      <w:lvlText w:val="o"/>
      <w:lvlJc w:val="left"/>
      <w:pPr>
        <w:ind w:left="5400" w:hanging="360"/>
      </w:pPr>
      <w:rPr>
        <w:rFonts w:ascii="Courier New" w:hAnsi="Courier New" w:cs="Courier New" w:hint="default"/>
      </w:rPr>
    </w:lvl>
    <w:lvl w:ilvl="8" w:tplc="88243C18" w:tentative="1">
      <w:start w:val="1"/>
      <w:numFmt w:val="bullet"/>
      <w:lvlText w:val=""/>
      <w:lvlJc w:val="left"/>
      <w:pPr>
        <w:ind w:left="6120" w:hanging="360"/>
      </w:pPr>
      <w:rPr>
        <w:rFonts w:ascii="Wingdings" w:hAnsi="Wingdings" w:hint="default"/>
      </w:rPr>
    </w:lvl>
  </w:abstractNum>
  <w:abstractNum w:abstractNumId="1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3E285803"/>
    <w:multiLevelType w:val="hybridMultilevel"/>
    <w:tmpl w:val="298E81FA"/>
    <w:lvl w:ilvl="0" w:tplc="E92A76A8">
      <w:start w:val="1"/>
      <w:numFmt w:val="decimal"/>
      <w:lvlText w:val="%1."/>
      <w:lvlJc w:val="left"/>
      <w:pPr>
        <w:ind w:left="720" w:hanging="360"/>
      </w:pPr>
      <w:rPr>
        <w:rFonts w:hint="default"/>
      </w:rPr>
    </w:lvl>
    <w:lvl w:ilvl="1" w:tplc="90E070D2" w:tentative="1">
      <w:start w:val="1"/>
      <w:numFmt w:val="lowerLetter"/>
      <w:lvlText w:val="%2."/>
      <w:lvlJc w:val="left"/>
      <w:pPr>
        <w:ind w:left="1440" w:hanging="360"/>
      </w:pPr>
    </w:lvl>
    <w:lvl w:ilvl="2" w:tplc="C764E850" w:tentative="1">
      <w:start w:val="1"/>
      <w:numFmt w:val="lowerRoman"/>
      <w:lvlText w:val="%3."/>
      <w:lvlJc w:val="right"/>
      <w:pPr>
        <w:ind w:left="2160" w:hanging="180"/>
      </w:pPr>
    </w:lvl>
    <w:lvl w:ilvl="3" w:tplc="F47868C2" w:tentative="1">
      <w:start w:val="1"/>
      <w:numFmt w:val="decimal"/>
      <w:lvlText w:val="%4."/>
      <w:lvlJc w:val="left"/>
      <w:pPr>
        <w:ind w:left="2880" w:hanging="360"/>
      </w:pPr>
    </w:lvl>
    <w:lvl w:ilvl="4" w:tplc="726E7DF4" w:tentative="1">
      <w:start w:val="1"/>
      <w:numFmt w:val="lowerLetter"/>
      <w:lvlText w:val="%5."/>
      <w:lvlJc w:val="left"/>
      <w:pPr>
        <w:ind w:left="3600" w:hanging="360"/>
      </w:pPr>
    </w:lvl>
    <w:lvl w:ilvl="5" w:tplc="6E9A6E44" w:tentative="1">
      <w:start w:val="1"/>
      <w:numFmt w:val="lowerRoman"/>
      <w:lvlText w:val="%6."/>
      <w:lvlJc w:val="right"/>
      <w:pPr>
        <w:ind w:left="4320" w:hanging="180"/>
      </w:pPr>
    </w:lvl>
    <w:lvl w:ilvl="6" w:tplc="80769A78" w:tentative="1">
      <w:start w:val="1"/>
      <w:numFmt w:val="decimal"/>
      <w:lvlText w:val="%7."/>
      <w:lvlJc w:val="left"/>
      <w:pPr>
        <w:ind w:left="5040" w:hanging="360"/>
      </w:pPr>
    </w:lvl>
    <w:lvl w:ilvl="7" w:tplc="6DDAC374" w:tentative="1">
      <w:start w:val="1"/>
      <w:numFmt w:val="lowerLetter"/>
      <w:lvlText w:val="%8."/>
      <w:lvlJc w:val="left"/>
      <w:pPr>
        <w:ind w:left="5760" w:hanging="360"/>
      </w:pPr>
    </w:lvl>
    <w:lvl w:ilvl="8" w:tplc="E7A652A6" w:tentative="1">
      <w:start w:val="1"/>
      <w:numFmt w:val="lowerRoman"/>
      <w:lvlText w:val="%9."/>
      <w:lvlJc w:val="right"/>
      <w:pPr>
        <w:ind w:left="6480" w:hanging="180"/>
      </w:pPr>
    </w:lvl>
  </w:abstractNum>
  <w:abstractNum w:abstractNumId="21" w15:restartNumberingAfterBreak="0">
    <w:nsid w:val="3FD6457B"/>
    <w:multiLevelType w:val="hybridMultilevel"/>
    <w:tmpl w:val="249A928E"/>
    <w:lvl w:ilvl="0" w:tplc="9B34BAE2">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E7A08A52" w:tentative="1">
      <w:start w:val="1"/>
      <w:numFmt w:val="bullet"/>
      <w:lvlText w:val="o"/>
      <w:lvlJc w:val="left"/>
      <w:pPr>
        <w:ind w:left="1080" w:hanging="360"/>
      </w:pPr>
      <w:rPr>
        <w:rFonts w:ascii="Courier New" w:hAnsi="Courier New" w:cs="Courier New" w:hint="default"/>
      </w:rPr>
    </w:lvl>
    <w:lvl w:ilvl="2" w:tplc="F87E8716" w:tentative="1">
      <w:start w:val="1"/>
      <w:numFmt w:val="bullet"/>
      <w:lvlText w:val=""/>
      <w:lvlJc w:val="left"/>
      <w:pPr>
        <w:ind w:left="1800" w:hanging="360"/>
      </w:pPr>
      <w:rPr>
        <w:rFonts w:ascii="Wingdings" w:hAnsi="Wingdings" w:hint="default"/>
      </w:rPr>
    </w:lvl>
    <w:lvl w:ilvl="3" w:tplc="D9424E26" w:tentative="1">
      <w:start w:val="1"/>
      <w:numFmt w:val="bullet"/>
      <w:lvlText w:val=""/>
      <w:lvlJc w:val="left"/>
      <w:pPr>
        <w:ind w:left="2520" w:hanging="360"/>
      </w:pPr>
      <w:rPr>
        <w:rFonts w:ascii="Symbol" w:hAnsi="Symbol" w:hint="default"/>
      </w:rPr>
    </w:lvl>
    <w:lvl w:ilvl="4" w:tplc="9D7AD06A" w:tentative="1">
      <w:start w:val="1"/>
      <w:numFmt w:val="bullet"/>
      <w:lvlText w:val="o"/>
      <w:lvlJc w:val="left"/>
      <w:pPr>
        <w:ind w:left="3240" w:hanging="360"/>
      </w:pPr>
      <w:rPr>
        <w:rFonts w:ascii="Courier New" w:hAnsi="Courier New" w:cs="Courier New" w:hint="default"/>
      </w:rPr>
    </w:lvl>
    <w:lvl w:ilvl="5" w:tplc="EB5A98FA" w:tentative="1">
      <w:start w:val="1"/>
      <w:numFmt w:val="bullet"/>
      <w:lvlText w:val=""/>
      <w:lvlJc w:val="left"/>
      <w:pPr>
        <w:ind w:left="3960" w:hanging="360"/>
      </w:pPr>
      <w:rPr>
        <w:rFonts w:ascii="Wingdings" w:hAnsi="Wingdings" w:hint="default"/>
      </w:rPr>
    </w:lvl>
    <w:lvl w:ilvl="6" w:tplc="3CAC1E44" w:tentative="1">
      <w:start w:val="1"/>
      <w:numFmt w:val="bullet"/>
      <w:lvlText w:val=""/>
      <w:lvlJc w:val="left"/>
      <w:pPr>
        <w:ind w:left="4680" w:hanging="360"/>
      </w:pPr>
      <w:rPr>
        <w:rFonts w:ascii="Symbol" w:hAnsi="Symbol" w:hint="default"/>
      </w:rPr>
    </w:lvl>
    <w:lvl w:ilvl="7" w:tplc="8AA20700" w:tentative="1">
      <w:start w:val="1"/>
      <w:numFmt w:val="bullet"/>
      <w:lvlText w:val="o"/>
      <w:lvlJc w:val="left"/>
      <w:pPr>
        <w:ind w:left="5400" w:hanging="360"/>
      </w:pPr>
      <w:rPr>
        <w:rFonts w:ascii="Courier New" w:hAnsi="Courier New" w:cs="Courier New" w:hint="default"/>
      </w:rPr>
    </w:lvl>
    <w:lvl w:ilvl="8" w:tplc="0D749B3E" w:tentative="1">
      <w:start w:val="1"/>
      <w:numFmt w:val="bullet"/>
      <w:lvlText w:val=""/>
      <w:lvlJc w:val="left"/>
      <w:pPr>
        <w:ind w:left="6120" w:hanging="360"/>
      </w:pPr>
      <w:rPr>
        <w:rFonts w:ascii="Wingdings" w:hAnsi="Wingdings" w:hint="default"/>
      </w:rPr>
    </w:lvl>
  </w:abstractNum>
  <w:abstractNum w:abstractNumId="22"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4A502D4C"/>
    <w:multiLevelType w:val="hybridMultilevel"/>
    <w:tmpl w:val="6110195A"/>
    <w:lvl w:ilvl="0" w:tplc="07AA61D6">
      <w:start w:val="1"/>
      <w:numFmt w:val="decimal"/>
      <w:lvlText w:val="%1"/>
      <w:lvlJc w:val="left"/>
      <w:pPr>
        <w:ind w:left="720" w:hanging="360"/>
      </w:pPr>
      <w:rPr>
        <w:rFonts w:hint="default"/>
      </w:rPr>
    </w:lvl>
    <w:lvl w:ilvl="1" w:tplc="C352C4B6" w:tentative="1">
      <w:start w:val="1"/>
      <w:numFmt w:val="lowerLetter"/>
      <w:lvlText w:val="%2."/>
      <w:lvlJc w:val="left"/>
      <w:pPr>
        <w:ind w:left="1440" w:hanging="360"/>
      </w:pPr>
    </w:lvl>
    <w:lvl w:ilvl="2" w:tplc="F33865EA" w:tentative="1">
      <w:start w:val="1"/>
      <w:numFmt w:val="lowerRoman"/>
      <w:lvlText w:val="%3."/>
      <w:lvlJc w:val="right"/>
      <w:pPr>
        <w:ind w:left="2160" w:hanging="180"/>
      </w:pPr>
    </w:lvl>
    <w:lvl w:ilvl="3" w:tplc="3B022248" w:tentative="1">
      <w:start w:val="1"/>
      <w:numFmt w:val="decimal"/>
      <w:lvlText w:val="%4."/>
      <w:lvlJc w:val="left"/>
      <w:pPr>
        <w:ind w:left="2880" w:hanging="360"/>
      </w:pPr>
    </w:lvl>
    <w:lvl w:ilvl="4" w:tplc="998AD49E" w:tentative="1">
      <w:start w:val="1"/>
      <w:numFmt w:val="lowerLetter"/>
      <w:lvlText w:val="%5."/>
      <w:lvlJc w:val="left"/>
      <w:pPr>
        <w:ind w:left="3600" w:hanging="360"/>
      </w:pPr>
    </w:lvl>
    <w:lvl w:ilvl="5" w:tplc="6D5E32AC" w:tentative="1">
      <w:start w:val="1"/>
      <w:numFmt w:val="lowerRoman"/>
      <w:lvlText w:val="%6."/>
      <w:lvlJc w:val="right"/>
      <w:pPr>
        <w:ind w:left="4320" w:hanging="180"/>
      </w:pPr>
    </w:lvl>
    <w:lvl w:ilvl="6" w:tplc="4874DC0A" w:tentative="1">
      <w:start w:val="1"/>
      <w:numFmt w:val="decimal"/>
      <w:lvlText w:val="%7."/>
      <w:lvlJc w:val="left"/>
      <w:pPr>
        <w:ind w:left="5040" w:hanging="360"/>
      </w:pPr>
    </w:lvl>
    <w:lvl w:ilvl="7" w:tplc="F21CCC20" w:tentative="1">
      <w:start w:val="1"/>
      <w:numFmt w:val="lowerLetter"/>
      <w:lvlText w:val="%8."/>
      <w:lvlJc w:val="left"/>
      <w:pPr>
        <w:ind w:left="5760" w:hanging="360"/>
      </w:pPr>
    </w:lvl>
    <w:lvl w:ilvl="8" w:tplc="5D90F94C" w:tentative="1">
      <w:start w:val="1"/>
      <w:numFmt w:val="lowerRoman"/>
      <w:lvlText w:val="%9."/>
      <w:lvlJc w:val="right"/>
      <w:pPr>
        <w:ind w:left="6480" w:hanging="180"/>
      </w:pPr>
    </w:lvl>
  </w:abstractNum>
  <w:abstractNum w:abstractNumId="24" w15:restartNumberingAfterBreak="0">
    <w:nsid w:val="4F64045C"/>
    <w:multiLevelType w:val="hybridMultilevel"/>
    <w:tmpl w:val="730CEFF0"/>
    <w:lvl w:ilvl="0" w:tplc="EA5EAC38">
      <w:start w:val="1"/>
      <w:numFmt w:val="decimal"/>
      <w:lvlText w:val="%1."/>
      <w:lvlJc w:val="left"/>
      <w:pPr>
        <w:ind w:left="720" w:hanging="360"/>
      </w:pPr>
      <w:rPr>
        <w:rFonts w:hint="default"/>
      </w:rPr>
    </w:lvl>
    <w:lvl w:ilvl="1" w:tplc="7C9CF2CC" w:tentative="1">
      <w:start w:val="1"/>
      <w:numFmt w:val="lowerLetter"/>
      <w:lvlText w:val="%2."/>
      <w:lvlJc w:val="left"/>
      <w:pPr>
        <w:ind w:left="1440" w:hanging="360"/>
      </w:pPr>
    </w:lvl>
    <w:lvl w:ilvl="2" w:tplc="2320F838" w:tentative="1">
      <w:start w:val="1"/>
      <w:numFmt w:val="lowerRoman"/>
      <w:lvlText w:val="%3."/>
      <w:lvlJc w:val="right"/>
      <w:pPr>
        <w:ind w:left="2160" w:hanging="180"/>
      </w:pPr>
    </w:lvl>
    <w:lvl w:ilvl="3" w:tplc="2F1219FA" w:tentative="1">
      <w:start w:val="1"/>
      <w:numFmt w:val="decimal"/>
      <w:lvlText w:val="%4."/>
      <w:lvlJc w:val="left"/>
      <w:pPr>
        <w:ind w:left="2880" w:hanging="360"/>
      </w:pPr>
    </w:lvl>
    <w:lvl w:ilvl="4" w:tplc="D36A4074" w:tentative="1">
      <w:start w:val="1"/>
      <w:numFmt w:val="lowerLetter"/>
      <w:lvlText w:val="%5."/>
      <w:lvlJc w:val="left"/>
      <w:pPr>
        <w:ind w:left="3600" w:hanging="360"/>
      </w:pPr>
    </w:lvl>
    <w:lvl w:ilvl="5" w:tplc="F202C676" w:tentative="1">
      <w:start w:val="1"/>
      <w:numFmt w:val="lowerRoman"/>
      <w:lvlText w:val="%6."/>
      <w:lvlJc w:val="right"/>
      <w:pPr>
        <w:ind w:left="4320" w:hanging="180"/>
      </w:pPr>
    </w:lvl>
    <w:lvl w:ilvl="6" w:tplc="2A58BF56" w:tentative="1">
      <w:start w:val="1"/>
      <w:numFmt w:val="decimal"/>
      <w:lvlText w:val="%7."/>
      <w:lvlJc w:val="left"/>
      <w:pPr>
        <w:ind w:left="5040" w:hanging="360"/>
      </w:pPr>
    </w:lvl>
    <w:lvl w:ilvl="7" w:tplc="CD7ED5C8" w:tentative="1">
      <w:start w:val="1"/>
      <w:numFmt w:val="lowerLetter"/>
      <w:lvlText w:val="%8."/>
      <w:lvlJc w:val="left"/>
      <w:pPr>
        <w:ind w:left="5760" w:hanging="360"/>
      </w:pPr>
    </w:lvl>
    <w:lvl w:ilvl="8" w:tplc="FB1AD432" w:tentative="1">
      <w:start w:val="1"/>
      <w:numFmt w:val="lowerRoman"/>
      <w:lvlText w:val="%9."/>
      <w:lvlJc w:val="right"/>
      <w:pPr>
        <w:ind w:left="6480" w:hanging="180"/>
      </w:pPr>
    </w:lvl>
  </w:abstractNum>
  <w:abstractNum w:abstractNumId="25" w15:restartNumberingAfterBreak="0">
    <w:nsid w:val="55D5063A"/>
    <w:multiLevelType w:val="hybridMultilevel"/>
    <w:tmpl w:val="388A7BDC"/>
    <w:lvl w:ilvl="0" w:tplc="7086518A">
      <w:start w:val="1"/>
      <w:numFmt w:val="bullet"/>
      <w:lvlText w:val=""/>
      <w:lvlPicBulletId w:val="1"/>
      <w:lvlJc w:val="left"/>
      <w:pPr>
        <w:tabs>
          <w:tab w:val="num" w:pos="720"/>
        </w:tabs>
        <w:ind w:left="720" w:hanging="360"/>
      </w:pPr>
      <w:rPr>
        <w:rFonts w:ascii="Symbol" w:hAnsi="Symbol" w:hint="default"/>
      </w:rPr>
    </w:lvl>
    <w:lvl w:ilvl="1" w:tplc="817CE69C" w:tentative="1">
      <w:start w:val="1"/>
      <w:numFmt w:val="bullet"/>
      <w:lvlText w:val=""/>
      <w:lvlJc w:val="left"/>
      <w:pPr>
        <w:tabs>
          <w:tab w:val="num" w:pos="1440"/>
        </w:tabs>
        <w:ind w:left="1440" w:hanging="360"/>
      </w:pPr>
      <w:rPr>
        <w:rFonts w:ascii="Symbol" w:hAnsi="Symbol" w:hint="default"/>
      </w:rPr>
    </w:lvl>
    <w:lvl w:ilvl="2" w:tplc="9E6ABB82" w:tentative="1">
      <w:start w:val="1"/>
      <w:numFmt w:val="bullet"/>
      <w:lvlText w:val=""/>
      <w:lvlJc w:val="left"/>
      <w:pPr>
        <w:tabs>
          <w:tab w:val="num" w:pos="2160"/>
        </w:tabs>
        <w:ind w:left="2160" w:hanging="360"/>
      </w:pPr>
      <w:rPr>
        <w:rFonts w:ascii="Symbol" w:hAnsi="Symbol" w:hint="default"/>
      </w:rPr>
    </w:lvl>
    <w:lvl w:ilvl="3" w:tplc="097E6598" w:tentative="1">
      <w:start w:val="1"/>
      <w:numFmt w:val="bullet"/>
      <w:lvlText w:val=""/>
      <w:lvlJc w:val="left"/>
      <w:pPr>
        <w:tabs>
          <w:tab w:val="num" w:pos="2880"/>
        </w:tabs>
        <w:ind w:left="2880" w:hanging="360"/>
      </w:pPr>
      <w:rPr>
        <w:rFonts w:ascii="Symbol" w:hAnsi="Symbol" w:hint="default"/>
      </w:rPr>
    </w:lvl>
    <w:lvl w:ilvl="4" w:tplc="CE704274" w:tentative="1">
      <w:start w:val="1"/>
      <w:numFmt w:val="bullet"/>
      <w:lvlText w:val=""/>
      <w:lvlJc w:val="left"/>
      <w:pPr>
        <w:tabs>
          <w:tab w:val="num" w:pos="3600"/>
        </w:tabs>
        <w:ind w:left="3600" w:hanging="360"/>
      </w:pPr>
      <w:rPr>
        <w:rFonts w:ascii="Symbol" w:hAnsi="Symbol" w:hint="default"/>
      </w:rPr>
    </w:lvl>
    <w:lvl w:ilvl="5" w:tplc="DB6EC12E" w:tentative="1">
      <w:start w:val="1"/>
      <w:numFmt w:val="bullet"/>
      <w:lvlText w:val=""/>
      <w:lvlJc w:val="left"/>
      <w:pPr>
        <w:tabs>
          <w:tab w:val="num" w:pos="4320"/>
        </w:tabs>
        <w:ind w:left="4320" w:hanging="360"/>
      </w:pPr>
      <w:rPr>
        <w:rFonts w:ascii="Symbol" w:hAnsi="Symbol" w:hint="default"/>
      </w:rPr>
    </w:lvl>
    <w:lvl w:ilvl="6" w:tplc="BCA6C46C" w:tentative="1">
      <w:start w:val="1"/>
      <w:numFmt w:val="bullet"/>
      <w:lvlText w:val=""/>
      <w:lvlJc w:val="left"/>
      <w:pPr>
        <w:tabs>
          <w:tab w:val="num" w:pos="5040"/>
        </w:tabs>
        <w:ind w:left="5040" w:hanging="360"/>
      </w:pPr>
      <w:rPr>
        <w:rFonts w:ascii="Symbol" w:hAnsi="Symbol" w:hint="default"/>
      </w:rPr>
    </w:lvl>
    <w:lvl w:ilvl="7" w:tplc="EA9C2492" w:tentative="1">
      <w:start w:val="1"/>
      <w:numFmt w:val="bullet"/>
      <w:lvlText w:val=""/>
      <w:lvlJc w:val="left"/>
      <w:pPr>
        <w:tabs>
          <w:tab w:val="num" w:pos="5760"/>
        </w:tabs>
        <w:ind w:left="5760" w:hanging="360"/>
      </w:pPr>
      <w:rPr>
        <w:rFonts w:ascii="Symbol" w:hAnsi="Symbol" w:hint="default"/>
      </w:rPr>
    </w:lvl>
    <w:lvl w:ilvl="8" w:tplc="4CCCB28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67B57"/>
    <w:multiLevelType w:val="hybridMultilevel"/>
    <w:tmpl w:val="3EBC300A"/>
    <w:lvl w:ilvl="0" w:tplc="CE74DF44">
      <w:start w:val="1"/>
      <w:numFmt w:val="decimal"/>
      <w:lvlText w:val="%1."/>
      <w:lvlJc w:val="left"/>
      <w:pPr>
        <w:ind w:left="720" w:hanging="360"/>
      </w:pPr>
      <w:rPr>
        <w:rFonts w:hint="default"/>
      </w:rPr>
    </w:lvl>
    <w:lvl w:ilvl="1" w:tplc="E892E838" w:tentative="1">
      <w:start w:val="1"/>
      <w:numFmt w:val="lowerLetter"/>
      <w:lvlText w:val="%2."/>
      <w:lvlJc w:val="left"/>
      <w:pPr>
        <w:ind w:left="1440" w:hanging="360"/>
      </w:pPr>
    </w:lvl>
    <w:lvl w:ilvl="2" w:tplc="3B0815E2" w:tentative="1">
      <w:start w:val="1"/>
      <w:numFmt w:val="lowerRoman"/>
      <w:lvlText w:val="%3."/>
      <w:lvlJc w:val="right"/>
      <w:pPr>
        <w:ind w:left="2160" w:hanging="180"/>
      </w:pPr>
    </w:lvl>
    <w:lvl w:ilvl="3" w:tplc="C180CABA" w:tentative="1">
      <w:start w:val="1"/>
      <w:numFmt w:val="decimal"/>
      <w:lvlText w:val="%4."/>
      <w:lvlJc w:val="left"/>
      <w:pPr>
        <w:ind w:left="2880" w:hanging="360"/>
      </w:pPr>
    </w:lvl>
    <w:lvl w:ilvl="4" w:tplc="E13E9784" w:tentative="1">
      <w:start w:val="1"/>
      <w:numFmt w:val="lowerLetter"/>
      <w:lvlText w:val="%5."/>
      <w:lvlJc w:val="left"/>
      <w:pPr>
        <w:ind w:left="3600" w:hanging="360"/>
      </w:pPr>
    </w:lvl>
    <w:lvl w:ilvl="5" w:tplc="2CC018B4" w:tentative="1">
      <w:start w:val="1"/>
      <w:numFmt w:val="lowerRoman"/>
      <w:lvlText w:val="%6."/>
      <w:lvlJc w:val="right"/>
      <w:pPr>
        <w:ind w:left="4320" w:hanging="180"/>
      </w:pPr>
    </w:lvl>
    <w:lvl w:ilvl="6" w:tplc="23CA5E4C" w:tentative="1">
      <w:start w:val="1"/>
      <w:numFmt w:val="decimal"/>
      <w:lvlText w:val="%7."/>
      <w:lvlJc w:val="left"/>
      <w:pPr>
        <w:ind w:left="5040" w:hanging="360"/>
      </w:pPr>
    </w:lvl>
    <w:lvl w:ilvl="7" w:tplc="F1387392" w:tentative="1">
      <w:start w:val="1"/>
      <w:numFmt w:val="lowerLetter"/>
      <w:lvlText w:val="%8."/>
      <w:lvlJc w:val="left"/>
      <w:pPr>
        <w:ind w:left="5760" w:hanging="360"/>
      </w:pPr>
    </w:lvl>
    <w:lvl w:ilvl="8" w:tplc="3F6A44A0" w:tentative="1">
      <w:start w:val="1"/>
      <w:numFmt w:val="lowerRoman"/>
      <w:lvlText w:val="%9."/>
      <w:lvlJc w:val="right"/>
      <w:pPr>
        <w:ind w:left="6480" w:hanging="180"/>
      </w:pPr>
    </w:lvl>
  </w:abstractNum>
  <w:abstractNum w:abstractNumId="28"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9"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0"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1" w15:restartNumberingAfterBreak="0">
    <w:nsid w:val="6699458C"/>
    <w:multiLevelType w:val="hybridMultilevel"/>
    <w:tmpl w:val="B9E2BA98"/>
    <w:lvl w:ilvl="0" w:tplc="92042F0A">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1256D2A0" w:tentative="1">
      <w:start w:val="1"/>
      <w:numFmt w:val="bullet"/>
      <w:lvlText w:val="o"/>
      <w:lvlJc w:val="left"/>
      <w:pPr>
        <w:ind w:left="1080" w:hanging="360"/>
      </w:pPr>
      <w:rPr>
        <w:rFonts w:ascii="Courier New" w:hAnsi="Courier New" w:cs="Courier New" w:hint="default"/>
      </w:rPr>
    </w:lvl>
    <w:lvl w:ilvl="2" w:tplc="CC7C4A02" w:tentative="1">
      <w:start w:val="1"/>
      <w:numFmt w:val="bullet"/>
      <w:lvlText w:val=""/>
      <w:lvlJc w:val="left"/>
      <w:pPr>
        <w:ind w:left="1800" w:hanging="360"/>
      </w:pPr>
      <w:rPr>
        <w:rFonts w:ascii="Wingdings" w:hAnsi="Wingdings" w:hint="default"/>
      </w:rPr>
    </w:lvl>
    <w:lvl w:ilvl="3" w:tplc="C56C7860" w:tentative="1">
      <w:start w:val="1"/>
      <w:numFmt w:val="bullet"/>
      <w:lvlText w:val=""/>
      <w:lvlJc w:val="left"/>
      <w:pPr>
        <w:ind w:left="2520" w:hanging="360"/>
      </w:pPr>
      <w:rPr>
        <w:rFonts w:ascii="Symbol" w:hAnsi="Symbol" w:hint="default"/>
      </w:rPr>
    </w:lvl>
    <w:lvl w:ilvl="4" w:tplc="85DA9312" w:tentative="1">
      <w:start w:val="1"/>
      <w:numFmt w:val="bullet"/>
      <w:lvlText w:val="o"/>
      <w:lvlJc w:val="left"/>
      <w:pPr>
        <w:ind w:left="3240" w:hanging="360"/>
      </w:pPr>
      <w:rPr>
        <w:rFonts w:ascii="Courier New" w:hAnsi="Courier New" w:cs="Courier New" w:hint="default"/>
      </w:rPr>
    </w:lvl>
    <w:lvl w:ilvl="5" w:tplc="7D7EDB30" w:tentative="1">
      <w:start w:val="1"/>
      <w:numFmt w:val="bullet"/>
      <w:lvlText w:val=""/>
      <w:lvlJc w:val="left"/>
      <w:pPr>
        <w:ind w:left="3960" w:hanging="360"/>
      </w:pPr>
      <w:rPr>
        <w:rFonts w:ascii="Wingdings" w:hAnsi="Wingdings" w:hint="default"/>
      </w:rPr>
    </w:lvl>
    <w:lvl w:ilvl="6" w:tplc="83AAA18E" w:tentative="1">
      <w:start w:val="1"/>
      <w:numFmt w:val="bullet"/>
      <w:lvlText w:val=""/>
      <w:lvlJc w:val="left"/>
      <w:pPr>
        <w:ind w:left="4680" w:hanging="360"/>
      </w:pPr>
      <w:rPr>
        <w:rFonts w:ascii="Symbol" w:hAnsi="Symbol" w:hint="default"/>
      </w:rPr>
    </w:lvl>
    <w:lvl w:ilvl="7" w:tplc="4CA24DDE" w:tentative="1">
      <w:start w:val="1"/>
      <w:numFmt w:val="bullet"/>
      <w:lvlText w:val="o"/>
      <w:lvlJc w:val="left"/>
      <w:pPr>
        <w:ind w:left="5400" w:hanging="360"/>
      </w:pPr>
      <w:rPr>
        <w:rFonts w:ascii="Courier New" w:hAnsi="Courier New" w:cs="Courier New" w:hint="default"/>
      </w:rPr>
    </w:lvl>
    <w:lvl w:ilvl="8" w:tplc="C6CC1C1E" w:tentative="1">
      <w:start w:val="1"/>
      <w:numFmt w:val="bullet"/>
      <w:lvlText w:val=""/>
      <w:lvlJc w:val="left"/>
      <w:pPr>
        <w:ind w:left="6120" w:hanging="360"/>
      </w:pPr>
      <w:rPr>
        <w:rFonts w:ascii="Wingdings" w:hAnsi="Wingdings" w:hint="default"/>
      </w:rPr>
    </w:lvl>
  </w:abstractNum>
  <w:abstractNum w:abstractNumId="32"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AF49D6"/>
    <w:multiLevelType w:val="hybridMultilevel"/>
    <w:tmpl w:val="CF4C37B0"/>
    <w:lvl w:ilvl="0" w:tplc="6E2C0FD2">
      <w:start w:val="1"/>
      <w:numFmt w:val="decimal"/>
      <w:lvlText w:val="%1."/>
      <w:lvlJc w:val="left"/>
      <w:pPr>
        <w:ind w:left="720" w:hanging="360"/>
      </w:pPr>
    </w:lvl>
    <w:lvl w:ilvl="1" w:tplc="5BE25C9E">
      <w:start w:val="1"/>
      <w:numFmt w:val="lowerLetter"/>
      <w:lvlText w:val="%2."/>
      <w:lvlJc w:val="left"/>
      <w:pPr>
        <w:ind w:left="1440" w:hanging="360"/>
      </w:pPr>
    </w:lvl>
    <w:lvl w:ilvl="2" w:tplc="82D8245A">
      <w:start w:val="1"/>
      <w:numFmt w:val="lowerRoman"/>
      <w:lvlText w:val="%3."/>
      <w:lvlJc w:val="right"/>
      <w:pPr>
        <w:ind w:left="2160" w:hanging="180"/>
      </w:pPr>
    </w:lvl>
    <w:lvl w:ilvl="3" w:tplc="18A4D588">
      <w:start w:val="1"/>
      <w:numFmt w:val="decimal"/>
      <w:lvlText w:val="%4."/>
      <w:lvlJc w:val="left"/>
      <w:pPr>
        <w:ind w:left="2880" w:hanging="360"/>
      </w:pPr>
    </w:lvl>
    <w:lvl w:ilvl="4" w:tplc="714C0982">
      <w:start w:val="1"/>
      <w:numFmt w:val="lowerLetter"/>
      <w:lvlText w:val="%5."/>
      <w:lvlJc w:val="left"/>
      <w:pPr>
        <w:ind w:left="3600" w:hanging="360"/>
      </w:pPr>
    </w:lvl>
    <w:lvl w:ilvl="5" w:tplc="3B8CF5CC">
      <w:start w:val="1"/>
      <w:numFmt w:val="lowerRoman"/>
      <w:lvlText w:val="%6."/>
      <w:lvlJc w:val="right"/>
      <w:pPr>
        <w:ind w:left="4320" w:hanging="180"/>
      </w:pPr>
    </w:lvl>
    <w:lvl w:ilvl="6" w:tplc="150A61F8">
      <w:start w:val="1"/>
      <w:numFmt w:val="decimal"/>
      <w:lvlText w:val="%7."/>
      <w:lvlJc w:val="left"/>
      <w:pPr>
        <w:ind w:left="5040" w:hanging="360"/>
      </w:pPr>
    </w:lvl>
    <w:lvl w:ilvl="7" w:tplc="FB22CB92">
      <w:start w:val="1"/>
      <w:numFmt w:val="lowerLetter"/>
      <w:lvlText w:val="%8."/>
      <w:lvlJc w:val="left"/>
      <w:pPr>
        <w:ind w:left="5760" w:hanging="360"/>
      </w:pPr>
    </w:lvl>
    <w:lvl w:ilvl="8" w:tplc="51DE292A">
      <w:start w:val="1"/>
      <w:numFmt w:val="lowerRoman"/>
      <w:lvlText w:val="%9."/>
      <w:lvlJc w:val="right"/>
      <w:pPr>
        <w:ind w:left="6480" w:hanging="180"/>
      </w:pPr>
    </w:lvl>
  </w:abstractNum>
  <w:abstractNum w:abstractNumId="34"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5" w15:restartNumberingAfterBreak="0">
    <w:nsid w:val="6DCC0D25"/>
    <w:multiLevelType w:val="hybridMultilevel"/>
    <w:tmpl w:val="E4F4F87C"/>
    <w:lvl w:ilvl="0" w:tplc="64708C8C">
      <w:start w:val="1"/>
      <w:numFmt w:val="decimal"/>
      <w:lvlText w:val="%1."/>
      <w:lvlJc w:val="left"/>
      <w:pPr>
        <w:ind w:left="1088" w:hanging="360"/>
      </w:pPr>
    </w:lvl>
    <w:lvl w:ilvl="1" w:tplc="71DC82BA" w:tentative="1">
      <w:start w:val="1"/>
      <w:numFmt w:val="lowerLetter"/>
      <w:lvlText w:val="%2."/>
      <w:lvlJc w:val="left"/>
      <w:pPr>
        <w:ind w:left="1808" w:hanging="360"/>
      </w:pPr>
    </w:lvl>
    <w:lvl w:ilvl="2" w:tplc="8AC4EECC" w:tentative="1">
      <w:start w:val="1"/>
      <w:numFmt w:val="lowerRoman"/>
      <w:lvlText w:val="%3."/>
      <w:lvlJc w:val="right"/>
      <w:pPr>
        <w:ind w:left="2528" w:hanging="180"/>
      </w:pPr>
    </w:lvl>
    <w:lvl w:ilvl="3" w:tplc="BF8AAD8E" w:tentative="1">
      <w:start w:val="1"/>
      <w:numFmt w:val="decimal"/>
      <w:lvlText w:val="%4."/>
      <w:lvlJc w:val="left"/>
      <w:pPr>
        <w:ind w:left="3248" w:hanging="360"/>
      </w:pPr>
    </w:lvl>
    <w:lvl w:ilvl="4" w:tplc="8B3AB846" w:tentative="1">
      <w:start w:val="1"/>
      <w:numFmt w:val="lowerLetter"/>
      <w:lvlText w:val="%5."/>
      <w:lvlJc w:val="left"/>
      <w:pPr>
        <w:ind w:left="3968" w:hanging="360"/>
      </w:pPr>
    </w:lvl>
    <w:lvl w:ilvl="5" w:tplc="DDCC6008" w:tentative="1">
      <w:start w:val="1"/>
      <w:numFmt w:val="lowerRoman"/>
      <w:lvlText w:val="%6."/>
      <w:lvlJc w:val="right"/>
      <w:pPr>
        <w:ind w:left="4688" w:hanging="180"/>
      </w:pPr>
    </w:lvl>
    <w:lvl w:ilvl="6" w:tplc="6E24C7B8" w:tentative="1">
      <w:start w:val="1"/>
      <w:numFmt w:val="decimal"/>
      <w:lvlText w:val="%7."/>
      <w:lvlJc w:val="left"/>
      <w:pPr>
        <w:ind w:left="5408" w:hanging="360"/>
      </w:pPr>
    </w:lvl>
    <w:lvl w:ilvl="7" w:tplc="98AC8758" w:tentative="1">
      <w:start w:val="1"/>
      <w:numFmt w:val="lowerLetter"/>
      <w:lvlText w:val="%8."/>
      <w:lvlJc w:val="left"/>
      <w:pPr>
        <w:ind w:left="6128" w:hanging="360"/>
      </w:pPr>
    </w:lvl>
    <w:lvl w:ilvl="8" w:tplc="9C8A067E" w:tentative="1">
      <w:start w:val="1"/>
      <w:numFmt w:val="lowerRoman"/>
      <w:lvlText w:val="%9."/>
      <w:lvlJc w:val="right"/>
      <w:pPr>
        <w:ind w:left="6848" w:hanging="180"/>
      </w:pPr>
    </w:lvl>
  </w:abstractNum>
  <w:abstractNum w:abstractNumId="36" w15:restartNumberingAfterBreak="0">
    <w:nsid w:val="6E075BCA"/>
    <w:multiLevelType w:val="hybridMultilevel"/>
    <w:tmpl w:val="10747EA4"/>
    <w:lvl w:ilvl="0" w:tplc="34A876C4">
      <w:start w:val="1"/>
      <w:numFmt w:val="bullet"/>
      <w:lvlText w:val=""/>
      <w:lvlJc w:val="left"/>
      <w:pPr>
        <w:ind w:left="360" w:hanging="360"/>
      </w:pPr>
      <w:rPr>
        <w:rFonts w:ascii="Symbol" w:eastAsiaTheme="minorHAnsi" w:hAnsi="Symbol" w:cs="David" w:hint="default"/>
      </w:rPr>
    </w:lvl>
    <w:lvl w:ilvl="1" w:tplc="A232D46C" w:tentative="1">
      <w:start w:val="1"/>
      <w:numFmt w:val="bullet"/>
      <w:lvlText w:val="o"/>
      <w:lvlJc w:val="left"/>
      <w:pPr>
        <w:ind w:left="1080" w:hanging="360"/>
      </w:pPr>
      <w:rPr>
        <w:rFonts w:ascii="Courier New" w:hAnsi="Courier New" w:cs="Courier New" w:hint="default"/>
      </w:rPr>
    </w:lvl>
    <w:lvl w:ilvl="2" w:tplc="B4F47572" w:tentative="1">
      <w:start w:val="1"/>
      <w:numFmt w:val="bullet"/>
      <w:lvlText w:val=""/>
      <w:lvlJc w:val="left"/>
      <w:pPr>
        <w:ind w:left="1800" w:hanging="360"/>
      </w:pPr>
      <w:rPr>
        <w:rFonts w:ascii="Wingdings" w:hAnsi="Wingdings" w:hint="default"/>
      </w:rPr>
    </w:lvl>
    <w:lvl w:ilvl="3" w:tplc="24A2D704" w:tentative="1">
      <w:start w:val="1"/>
      <w:numFmt w:val="bullet"/>
      <w:lvlText w:val=""/>
      <w:lvlJc w:val="left"/>
      <w:pPr>
        <w:ind w:left="2520" w:hanging="360"/>
      </w:pPr>
      <w:rPr>
        <w:rFonts w:ascii="Symbol" w:hAnsi="Symbol" w:hint="default"/>
      </w:rPr>
    </w:lvl>
    <w:lvl w:ilvl="4" w:tplc="56C4F604" w:tentative="1">
      <w:start w:val="1"/>
      <w:numFmt w:val="bullet"/>
      <w:lvlText w:val="o"/>
      <w:lvlJc w:val="left"/>
      <w:pPr>
        <w:ind w:left="3240" w:hanging="360"/>
      </w:pPr>
      <w:rPr>
        <w:rFonts w:ascii="Courier New" w:hAnsi="Courier New" w:cs="Courier New" w:hint="default"/>
      </w:rPr>
    </w:lvl>
    <w:lvl w:ilvl="5" w:tplc="AFB0A2E0" w:tentative="1">
      <w:start w:val="1"/>
      <w:numFmt w:val="bullet"/>
      <w:lvlText w:val=""/>
      <w:lvlJc w:val="left"/>
      <w:pPr>
        <w:ind w:left="3960" w:hanging="360"/>
      </w:pPr>
      <w:rPr>
        <w:rFonts w:ascii="Wingdings" w:hAnsi="Wingdings" w:hint="default"/>
      </w:rPr>
    </w:lvl>
    <w:lvl w:ilvl="6" w:tplc="F55ED988" w:tentative="1">
      <w:start w:val="1"/>
      <w:numFmt w:val="bullet"/>
      <w:lvlText w:val=""/>
      <w:lvlJc w:val="left"/>
      <w:pPr>
        <w:ind w:left="4680" w:hanging="360"/>
      </w:pPr>
      <w:rPr>
        <w:rFonts w:ascii="Symbol" w:hAnsi="Symbol" w:hint="default"/>
      </w:rPr>
    </w:lvl>
    <w:lvl w:ilvl="7" w:tplc="D3A4C2DA" w:tentative="1">
      <w:start w:val="1"/>
      <w:numFmt w:val="bullet"/>
      <w:lvlText w:val="o"/>
      <w:lvlJc w:val="left"/>
      <w:pPr>
        <w:ind w:left="5400" w:hanging="360"/>
      </w:pPr>
      <w:rPr>
        <w:rFonts w:ascii="Courier New" w:hAnsi="Courier New" w:cs="Courier New" w:hint="default"/>
      </w:rPr>
    </w:lvl>
    <w:lvl w:ilvl="8" w:tplc="B38CA034" w:tentative="1">
      <w:start w:val="1"/>
      <w:numFmt w:val="bullet"/>
      <w:lvlText w:val=""/>
      <w:lvlJc w:val="left"/>
      <w:pPr>
        <w:ind w:left="6120" w:hanging="360"/>
      </w:pPr>
      <w:rPr>
        <w:rFonts w:ascii="Wingdings" w:hAnsi="Wingdings" w:hint="default"/>
      </w:rPr>
    </w:lvl>
  </w:abstractNum>
  <w:abstractNum w:abstractNumId="37" w15:restartNumberingAfterBreak="0">
    <w:nsid w:val="70F3621E"/>
    <w:multiLevelType w:val="hybridMultilevel"/>
    <w:tmpl w:val="F93C261C"/>
    <w:lvl w:ilvl="0" w:tplc="39AE3B92">
      <w:numFmt w:val="bullet"/>
      <w:lvlText w:val="-"/>
      <w:lvlJc w:val="left"/>
      <w:pPr>
        <w:ind w:left="360" w:hanging="360"/>
      </w:pPr>
      <w:rPr>
        <w:rFonts w:ascii="Times New Roman" w:eastAsiaTheme="minorHAnsi" w:hAnsi="Times New Roman" w:cs="David" w:hint="default"/>
      </w:rPr>
    </w:lvl>
    <w:lvl w:ilvl="1" w:tplc="D0502FB8" w:tentative="1">
      <w:start w:val="1"/>
      <w:numFmt w:val="bullet"/>
      <w:lvlText w:val="o"/>
      <w:lvlJc w:val="left"/>
      <w:pPr>
        <w:ind w:left="1080" w:hanging="360"/>
      </w:pPr>
      <w:rPr>
        <w:rFonts w:ascii="Courier New" w:hAnsi="Courier New" w:cs="Courier New" w:hint="default"/>
      </w:rPr>
    </w:lvl>
    <w:lvl w:ilvl="2" w:tplc="EB00FA4C" w:tentative="1">
      <w:start w:val="1"/>
      <w:numFmt w:val="bullet"/>
      <w:lvlText w:val=""/>
      <w:lvlJc w:val="left"/>
      <w:pPr>
        <w:ind w:left="1800" w:hanging="360"/>
      </w:pPr>
      <w:rPr>
        <w:rFonts w:ascii="Wingdings" w:hAnsi="Wingdings" w:hint="default"/>
      </w:rPr>
    </w:lvl>
    <w:lvl w:ilvl="3" w:tplc="EF88D090" w:tentative="1">
      <w:start w:val="1"/>
      <w:numFmt w:val="bullet"/>
      <w:lvlText w:val=""/>
      <w:lvlJc w:val="left"/>
      <w:pPr>
        <w:ind w:left="2520" w:hanging="360"/>
      </w:pPr>
      <w:rPr>
        <w:rFonts w:ascii="Symbol" w:hAnsi="Symbol" w:hint="default"/>
      </w:rPr>
    </w:lvl>
    <w:lvl w:ilvl="4" w:tplc="D506FE02" w:tentative="1">
      <w:start w:val="1"/>
      <w:numFmt w:val="bullet"/>
      <w:lvlText w:val="o"/>
      <w:lvlJc w:val="left"/>
      <w:pPr>
        <w:ind w:left="3240" w:hanging="360"/>
      </w:pPr>
      <w:rPr>
        <w:rFonts w:ascii="Courier New" w:hAnsi="Courier New" w:cs="Courier New" w:hint="default"/>
      </w:rPr>
    </w:lvl>
    <w:lvl w:ilvl="5" w:tplc="5E288CCA" w:tentative="1">
      <w:start w:val="1"/>
      <w:numFmt w:val="bullet"/>
      <w:lvlText w:val=""/>
      <w:lvlJc w:val="left"/>
      <w:pPr>
        <w:ind w:left="3960" w:hanging="360"/>
      </w:pPr>
      <w:rPr>
        <w:rFonts w:ascii="Wingdings" w:hAnsi="Wingdings" w:hint="default"/>
      </w:rPr>
    </w:lvl>
    <w:lvl w:ilvl="6" w:tplc="8278B8DC" w:tentative="1">
      <w:start w:val="1"/>
      <w:numFmt w:val="bullet"/>
      <w:lvlText w:val=""/>
      <w:lvlJc w:val="left"/>
      <w:pPr>
        <w:ind w:left="4680" w:hanging="360"/>
      </w:pPr>
      <w:rPr>
        <w:rFonts w:ascii="Symbol" w:hAnsi="Symbol" w:hint="default"/>
      </w:rPr>
    </w:lvl>
    <w:lvl w:ilvl="7" w:tplc="6BBA2802" w:tentative="1">
      <w:start w:val="1"/>
      <w:numFmt w:val="bullet"/>
      <w:lvlText w:val="o"/>
      <w:lvlJc w:val="left"/>
      <w:pPr>
        <w:ind w:left="5400" w:hanging="360"/>
      </w:pPr>
      <w:rPr>
        <w:rFonts w:ascii="Courier New" w:hAnsi="Courier New" w:cs="Courier New" w:hint="default"/>
      </w:rPr>
    </w:lvl>
    <w:lvl w:ilvl="8" w:tplc="5D5E6142" w:tentative="1">
      <w:start w:val="1"/>
      <w:numFmt w:val="bullet"/>
      <w:lvlText w:val=""/>
      <w:lvlJc w:val="left"/>
      <w:pPr>
        <w:ind w:left="6120" w:hanging="360"/>
      </w:pPr>
      <w:rPr>
        <w:rFonts w:ascii="Wingdings" w:hAnsi="Wingdings" w:hint="default"/>
      </w:rPr>
    </w:lvl>
  </w:abstractNum>
  <w:abstractNum w:abstractNumId="38"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39"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40" w15:restartNumberingAfterBreak="0">
    <w:nsid w:val="7D5F74F1"/>
    <w:multiLevelType w:val="hybridMultilevel"/>
    <w:tmpl w:val="2F646484"/>
    <w:lvl w:ilvl="0" w:tplc="BCAEEEAC">
      <w:start w:val="1"/>
      <w:numFmt w:val="decimal"/>
      <w:lvlText w:val="%1."/>
      <w:lvlJc w:val="left"/>
      <w:pPr>
        <w:ind w:left="360" w:hanging="360"/>
      </w:pPr>
      <w:rPr>
        <w:rFonts w:hint="default"/>
        <w:sz w:val="24"/>
      </w:rPr>
    </w:lvl>
    <w:lvl w:ilvl="1" w:tplc="FF32DEB0" w:tentative="1">
      <w:start w:val="1"/>
      <w:numFmt w:val="lowerLetter"/>
      <w:lvlText w:val="%2."/>
      <w:lvlJc w:val="left"/>
      <w:pPr>
        <w:ind w:left="1080" w:hanging="360"/>
      </w:pPr>
    </w:lvl>
    <w:lvl w:ilvl="2" w:tplc="870A3594" w:tentative="1">
      <w:start w:val="1"/>
      <w:numFmt w:val="lowerRoman"/>
      <w:lvlText w:val="%3."/>
      <w:lvlJc w:val="right"/>
      <w:pPr>
        <w:ind w:left="1800" w:hanging="180"/>
      </w:pPr>
    </w:lvl>
    <w:lvl w:ilvl="3" w:tplc="EC2E2544" w:tentative="1">
      <w:start w:val="1"/>
      <w:numFmt w:val="decimal"/>
      <w:lvlText w:val="%4."/>
      <w:lvlJc w:val="left"/>
      <w:pPr>
        <w:ind w:left="2520" w:hanging="360"/>
      </w:pPr>
    </w:lvl>
    <w:lvl w:ilvl="4" w:tplc="04E41A46" w:tentative="1">
      <w:start w:val="1"/>
      <w:numFmt w:val="lowerLetter"/>
      <w:lvlText w:val="%5."/>
      <w:lvlJc w:val="left"/>
      <w:pPr>
        <w:ind w:left="3240" w:hanging="360"/>
      </w:pPr>
    </w:lvl>
    <w:lvl w:ilvl="5" w:tplc="5254C07A" w:tentative="1">
      <w:start w:val="1"/>
      <w:numFmt w:val="lowerRoman"/>
      <w:lvlText w:val="%6."/>
      <w:lvlJc w:val="right"/>
      <w:pPr>
        <w:ind w:left="3960" w:hanging="180"/>
      </w:pPr>
    </w:lvl>
    <w:lvl w:ilvl="6" w:tplc="83C230F6" w:tentative="1">
      <w:start w:val="1"/>
      <w:numFmt w:val="decimal"/>
      <w:lvlText w:val="%7."/>
      <w:lvlJc w:val="left"/>
      <w:pPr>
        <w:ind w:left="4680" w:hanging="360"/>
      </w:pPr>
    </w:lvl>
    <w:lvl w:ilvl="7" w:tplc="A11ADBE6" w:tentative="1">
      <w:start w:val="1"/>
      <w:numFmt w:val="lowerLetter"/>
      <w:lvlText w:val="%8."/>
      <w:lvlJc w:val="left"/>
      <w:pPr>
        <w:ind w:left="5400" w:hanging="360"/>
      </w:pPr>
    </w:lvl>
    <w:lvl w:ilvl="8" w:tplc="94AE6986" w:tentative="1">
      <w:start w:val="1"/>
      <w:numFmt w:val="lowerRoman"/>
      <w:lvlText w:val="%9."/>
      <w:lvlJc w:val="right"/>
      <w:pPr>
        <w:ind w:left="6120" w:hanging="180"/>
      </w:pPr>
    </w:lvl>
  </w:abstractNum>
  <w:abstractNum w:abstractNumId="41" w15:restartNumberingAfterBreak="0">
    <w:nsid w:val="7F4B4744"/>
    <w:multiLevelType w:val="multilevel"/>
    <w:tmpl w:val="B582AB5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9"/>
  </w:num>
  <w:num w:numId="2">
    <w:abstractNumId w:val="19"/>
  </w:num>
  <w:num w:numId="3">
    <w:abstractNumId w:val="34"/>
  </w:num>
  <w:num w:numId="4">
    <w:abstractNumId w:val="28"/>
  </w:num>
  <w:num w:numId="5">
    <w:abstractNumId w:val="12"/>
  </w:num>
  <w:num w:numId="6">
    <w:abstractNumId w:val="18"/>
  </w:num>
  <w:num w:numId="7">
    <w:abstractNumId w:val="39"/>
  </w:num>
  <w:num w:numId="8">
    <w:abstractNumId w:val="0"/>
  </w:num>
  <w:num w:numId="9">
    <w:abstractNumId w:val="22"/>
  </w:num>
  <w:num w:numId="10">
    <w:abstractNumId w:val="5"/>
  </w:num>
  <w:num w:numId="11">
    <w:abstractNumId w:val="30"/>
  </w:num>
  <w:num w:numId="12">
    <w:abstractNumId w:val="4"/>
  </w:num>
  <w:num w:numId="13">
    <w:abstractNumId w:val="6"/>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6"/>
  </w:num>
  <w:num w:numId="18">
    <w:abstractNumId w:val="29"/>
  </w:num>
  <w:num w:numId="19">
    <w:abstractNumId w:val="32"/>
  </w:num>
  <w:num w:numId="20">
    <w:abstractNumId w:val="13"/>
  </w:num>
  <w:num w:numId="21">
    <w:abstractNumId w:val="41"/>
  </w:num>
  <w:num w:numId="22">
    <w:abstractNumId w:val="36"/>
  </w:num>
  <w:num w:numId="23">
    <w:abstractNumId w:val="37"/>
  </w:num>
  <w:num w:numId="24">
    <w:abstractNumId w:val="2"/>
  </w:num>
  <w:num w:numId="25">
    <w:abstractNumId w:val="8"/>
  </w:num>
  <w:num w:numId="26">
    <w:abstractNumId w:val="21"/>
  </w:num>
  <w:num w:numId="27">
    <w:abstractNumId w:val="31"/>
  </w:num>
  <w:num w:numId="28">
    <w:abstractNumId w:val="25"/>
  </w:num>
  <w:num w:numId="29">
    <w:abstractNumId w:val="17"/>
  </w:num>
  <w:num w:numId="30">
    <w:abstractNumId w:val="24"/>
  </w:num>
  <w:num w:numId="31">
    <w:abstractNumId w:val="16"/>
  </w:num>
  <w:num w:numId="32">
    <w:abstractNumId w:val="23"/>
  </w:num>
  <w:num w:numId="33">
    <w:abstractNumId w:val="1"/>
  </w:num>
  <w:num w:numId="34">
    <w:abstractNumId w:val="14"/>
  </w:num>
  <w:num w:numId="35">
    <w:abstractNumId w:val="20"/>
  </w:num>
  <w:num w:numId="36">
    <w:abstractNumId w:val="27"/>
  </w:num>
  <w:num w:numId="37">
    <w:abstractNumId w:val="35"/>
  </w:num>
  <w:num w:numId="38">
    <w:abstractNumId w:val="40"/>
  </w:num>
  <w:num w:numId="39">
    <w:abstractNumId w:val="7"/>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462"/>
    <w:rsid w:val="0000351F"/>
    <w:rsid w:val="0000361F"/>
    <w:rsid w:val="00003B77"/>
    <w:rsid w:val="00003D51"/>
    <w:rsid w:val="00003EBB"/>
    <w:rsid w:val="00003F96"/>
    <w:rsid w:val="00004679"/>
    <w:rsid w:val="0000520D"/>
    <w:rsid w:val="00005374"/>
    <w:rsid w:val="000054B7"/>
    <w:rsid w:val="00005B23"/>
    <w:rsid w:val="00005EE0"/>
    <w:rsid w:val="00006B59"/>
    <w:rsid w:val="000073E5"/>
    <w:rsid w:val="000100D8"/>
    <w:rsid w:val="0001014C"/>
    <w:rsid w:val="000107D8"/>
    <w:rsid w:val="0001099A"/>
    <w:rsid w:val="00011BFC"/>
    <w:rsid w:val="00011DF7"/>
    <w:rsid w:val="00012657"/>
    <w:rsid w:val="0001316C"/>
    <w:rsid w:val="00013BC3"/>
    <w:rsid w:val="0001431C"/>
    <w:rsid w:val="0001482C"/>
    <w:rsid w:val="00015162"/>
    <w:rsid w:val="00015252"/>
    <w:rsid w:val="000155F0"/>
    <w:rsid w:val="00015680"/>
    <w:rsid w:val="000157CF"/>
    <w:rsid w:val="00015A22"/>
    <w:rsid w:val="000168DE"/>
    <w:rsid w:val="0001735B"/>
    <w:rsid w:val="000206F1"/>
    <w:rsid w:val="00021298"/>
    <w:rsid w:val="00021ED5"/>
    <w:rsid w:val="00021FFB"/>
    <w:rsid w:val="000224FF"/>
    <w:rsid w:val="00023E81"/>
    <w:rsid w:val="00024614"/>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08BD"/>
    <w:rsid w:val="00030FD3"/>
    <w:rsid w:val="00031C68"/>
    <w:rsid w:val="00031C69"/>
    <w:rsid w:val="00031CEB"/>
    <w:rsid w:val="00032932"/>
    <w:rsid w:val="000335B6"/>
    <w:rsid w:val="0003410F"/>
    <w:rsid w:val="0003494D"/>
    <w:rsid w:val="000351F1"/>
    <w:rsid w:val="00035688"/>
    <w:rsid w:val="00035B80"/>
    <w:rsid w:val="00035C03"/>
    <w:rsid w:val="000360F7"/>
    <w:rsid w:val="00036B0F"/>
    <w:rsid w:val="00036EB8"/>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7B4"/>
    <w:rsid w:val="0005582D"/>
    <w:rsid w:val="0005596D"/>
    <w:rsid w:val="00055CB5"/>
    <w:rsid w:val="00055E07"/>
    <w:rsid w:val="00055E4C"/>
    <w:rsid w:val="00055EC9"/>
    <w:rsid w:val="00056733"/>
    <w:rsid w:val="00056B3E"/>
    <w:rsid w:val="00056E0E"/>
    <w:rsid w:val="000571B9"/>
    <w:rsid w:val="0005725C"/>
    <w:rsid w:val="00057574"/>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95F"/>
    <w:rsid w:val="00072B83"/>
    <w:rsid w:val="00072FE8"/>
    <w:rsid w:val="000736B3"/>
    <w:rsid w:val="000738F6"/>
    <w:rsid w:val="00073B6B"/>
    <w:rsid w:val="00073D9F"/>
    <w:rsid w:val="0007429C"/>
    <w:rsid w:val="00074533"/>
    <w:rsid w:val="00074F31"/>
    <w:rsid w:val="00075678"/>
    <w:rsid w:val="00076758"/>
    <w:rsid w:val="00076ED7"/>
    <w:rsid w:val="0007717F"/>
    <w:rsid w:val="0007749C"/>
    <w:rsid w:val="0007762A"/>
    <w:rsid w:val="00077B79"/>
    <w:rsid w:val="00080072"/>
    <w:rsid w:val="000803F2"/>
    <w:rsid w:val="00081D0E"/>
    <w:rsid w:val="000824F8"/>
    <w:rsid w:val="0008345D"/>
    <w:rsid w:val="00083692"/>
    <w:rsid w:val="000837F2"/>
    <w:rsid w:val="00083FD0"/>
    <w:rsid w:val="00084E3A"/>
    <w:rsid w:val="0008507D"/>
    <w:rsid w:val="00085086"/>
    <w:rsid w:val="00085A22"/>
    <w:rsid w:val="00085B99"/>
    <w:rsid w:val="00086738"/>
    <w:rsid w:val="00086BCD"/>
    <w:rsid w:val="00087355"/>
    <w:rsid w:val="00087686"/>
    <w:rsid w:val="0009057F"/>
    <w:rsid w:val="00090633"/>
    <w:rsid w:val="000907D0"/>
    <w:rsid w:val="00090DEC"/>
    <w:rsid w:val="00090DF7"/>
    <w:rsid w:val="00091397"/>
    <w:rsid w:val="00091811"/>
    <w:rsid w:val="00091A72"/>
    <w:rsid w:val="000932F0"/>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A21"/>
    <w:rsid w:val="000A4F3D"/>
    <w:rsid w:val="000A5140"/>
    <w:rsid w:val="000A529B"/>
    <w:rsid w:val="000A5356"/>
    <w:rsid w:val="000A567C"/>
    <w:rsid w:val="000A5B75"/>
    <w:rsid w:val="000A65A9"/>
    <w:rsid w:val="000A6748"/>
    <w:rsid w:val="000A69A7"/>
    <w:rsid w:val="000B0929"/>
    <w:rsid w:val="000B1102"/>
    <w:rsid w:val="000B1376"/>
    <w:rsid w:val="000B153C"/>
    <w:rsid w:val="000B1C94"/>
    <w:rsid w:val="000B2074"/>
    <w:rsid w:val="000B2C5B"/>
    <w:rsid w:val="000B2DBE"/>
    <w:rsid w:val="000B3056"/>
    <w:rsid w:val="000B3A23"/>
    <w:rsid w:val="000B4419"/>
    <w:rsid w:val="000B4EA8"/>
    <w:rsid w:val="000B4F23"/>
    <w:rsid w:val="000B55BB"/>
    <w:rsid w:val="000B597C"/>
    <w:rsid w:val="000B6604"/>
    <w:rsid w:val="000B764A"/>
    <w:rsid w:val="000B781F"/>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1F48"/>
    <w:rsid w:val="000D2056"/>
    <w:rsid w:val="000D215D"/>
    <w:rsid w:val="000D22F0"/>
    <w:rsid w:val="000D248D"/>
    <w:rsid w:val="000D2A57"/>
    <w:rsid w:val="000D2CDA"/>
    <w:rsid w:val="000D2F93"/>
    <w:rsid w:val="000D2FE7"/>
    <w:rsid w:val="000D32F3"/>
    <w:rsid w:val="000D3D09"/>
    <w:rsid w:val="000D4B62"/>
    <w:rsid w:val="000D4B88"/>
    <w:rsid w:val="000D53BB"/>
    <w:rsid w:val="000D543D"/>
    <w:rsid w:val="000D5B81"/>
    <w:rsid w:val="000D5BF8"/>
    <w:rsid w:val="000D5C0B"/>
    <w:rsid w:val="000D63C9"/>
    <w:rsid w:val="000D69F0"/>
    <w:rsid w:val="000D7666"/>
    <w:rsid w:val="000D799D"/>
    <w:rsid w:val="000D7D9F"/>
    <w:rsid w:val="000D7EB1"/>
    <w:rsid w:val="000E013E"/>
    <w:rsid w:val="000E0809"/>
    <w:rsid w:val="000E1306"/>
    <w:rsid w:val="000E1FBD"/>
    <w:rsid w:val="000E2359"/>
    <w:rsid w:val="000E23EA"/>
    <w:rsid w:val="000E2688"/>
    <w:rsid w:val="000E2715"/>
    <w:rsid w:val="000E2B2C"/>
    <w:rsid w:val="000E2E81"/>
    <w:rsid w:val="000E3022"/>
    <w:rsid w:val="000E3B68"/>
    <w:rsid w:val="000E3D52"/>
    <w:rsid w:val="000E3DFA"/>
    <w:rsid w:val="000E3F0C"/>
    <w:rsid w:val="000E3F87"/>
    <w:rsid w:val="000E44FD"/>
    <w:rsid w:val="000E4D6A"/>
    <w:rsid w:val="000E4DF7"/>
    <w:rsid w:val="000E50E1"/>
    <w:rsid w:val="000E5149"/>
    <w:rsid w:val="000E54D2"/>
    <w:rsid w:val="000E5834"/>
    <w:rsid w:val="000E6198"/>
    <w:rsid w:val="000E64A1"/>
    <w:rsid w:val="000E683C"/>
    <w:rsid w:val="000E6AAF"/>
    <w:rsid w:val="000E6F44"/>
    <w:rsid w:val="000E72BB"/>
    <w:rsid w:val="000E73AF"/>
    <w:rsid w:val="000E7622"/>
    <w:rsid w:val="000E7BE6"/>
    <w:rsid w:val="000F021B"/>
    <w:rsid w:val="000F158C"/>
    <w:rsid w:val="000F1DEA"/>
    <w:rsid w:val="000F2408"/>
    <w:rsid w:val="000F2DBB"/>
    <w:rsid w:val="000F2E36"/>
    <w:rsid w:val="000F3700"/>
    <w:rsid w:val="000F4578"/>
    <w:rsid w:val="000F4B6E"/>
    <w:rsid w:val="000F4C79"/>
    <w:rsid w:val="000F53C2"/>
    <w:rsid w:val="000F5EDB"/>
    <w:rsid w:val="000F60AB"/>
    <w:rsid w:val="000F62A9"/>
    <w:rsid w:val="000F6A6C"/>
    <w:rsid w:val="000F6F38"/>
    <w:rsid w:val="000F76A8"/>
    <w:rsid w:val="000F7725"/>
    <w:rsid w:val="000F78AE"/>
    <w:rsid w:val="00100372"/>
    <w:rsid w:val="00101157"/>
    <w:rsid w:val="00101681"/>
    <w:rsid w:val="00101BB0"/>
    <w:rsid w:val="00101D0F"/>
    <w:rsid w:val="00101D7B"/>
    <w:rsid w:val="00101F18"/>
    <w:rsid w:val="0010231B"/>
    <w:rsid w:val="0010237C"/>
    <w:rsid w:val="0010413A"/>
    <w:rsid w:val="00104A49"/>
    <w:rsid w:val="00104FBC"/>
    <w:rsid w:val="00105970"/>
    <w:rsid w:val="00105B99"/>
    <w:rsid w:val="00106A59"/>
    <w:rsid w:val="00106B31"/>
    <w:rsid w:val="00106C65"/>
    <w:rsid w:val="00107175"/>
    <w:rsid w:val="0010747A"/>
    <w:rsid w:val="00107A35"/>
    <w:rsid w:val="00107D4A"/>
    <w:rsid w:val="00110BAC"/>
    <w:rsid w:val="0011111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84"/>
    <w:rsid w:val="00116E1B"/>
    <w:rsid w:val="001172DF"/>
    <w:rsid w:val="00117408"/>
    <w:rsid w:val="001178DB"/>
    <w:rsid w:val="00117C0E"/>
    <w:rsid w:val="0012150C"/>
    <w:rsid w:val="00121682"/>
    <w:rsid w:val="00121EA1"/>
    <w:rsid w:val="00121FBC"/>
    <w:rsid w:val="0012279D"/>
    <w:rsid w:val="001239A8"/>
    <w:rsid w:val="001239E1"/>
    <w:rsid w:val="001243A4"/>
    <w:rsid w:val="001247BA"/>
    <w:rsid w:val="00124DC1"/>
    <w:rsid w:val="00125628"/>
    <w:rsid w:val="00125881"/>
    <w:rsid w:val="001305E5"/>
    <w:rsid w:val="00131349"/>
    <w:rsid w:val="0013138F"/>
    <w:rsid w:val="00131CCD"/>
    <w:rsid w:val="0013210D"/>
    <w:rsid w:val="00132126"/>
    <w:rsid w:val="001321A1"/>
    <w:rsid w:val="00132671"/>
    <w:rsid w:val="0013302E"/>
    <w:rsid w:val="0013406B"/>
    <w:rsid w:val="001340B5"/>
    <w:rsid w:val="00134560"/>
    <w:rsid w:val="00134BE5"/>
    <w:rsid w:val="00134F83"/>
    <w:rsid w:val="001354CB"/>
    <w:rsid w:val="00135695"/>
    <w:rsid w:val="00135742"/>
    <w:rsid w:val="00135A23"/>
    <w:rsid w:val="00136479"/>
    <w:rsid w:val="00136496"/>
    <w:rsid w:val="0013664A"/>
    <w:rsid w:val="0013667B"/>
    <w:rsid w:val="00136822"/>
    <w:rsid w:val="0013696C"/>
    <w:rsid w:val="00136A10"/>
    <w:rsid w:val="0013702C"/>
    <w:rsid w:val="00137337"/>
    <w:rsid w:val="001378D5"/>
    <w:rsid w:val="00137FF0"/>
    <w:rsid w:val="00140CC4"/>
    <w:rsid w:val="00141464"/>
    <w:rsid w:val="00141BD6"/>
    <w:rsid w:val="00141E09"/>
    <w:rsid w:val="00142206"/>
    <w:rsid w:val="00142C69"/>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2BB"/>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CE1"/>
    <w:rsid w:val="00156DEF"/>
    <w:rsid w:val="0015702B"/>
    <w:rsid w:val="00157577"/>
    <w:rsid w:val="00157D86"/>
    <w:rsid w:val="00157F43"/>
    <w:rsid w:val="00160155"/>
    <w:rsid w:val="0016031C"/>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D27"/>
    <w:rsid w:val="0016788B"/>
    <w:rsid w:val="00167D07"/>
    <w:rsid w:val="00170230"/>
    <w:rsid w:val="00170320"/>
    <w:rsid w:val="00170625"/>
    <w:rsid w:val="0017091D"/>
    <w:rsid w:val="00170E23"/>
    <w:rsid w:val="0017146B"/>
    <w:rsid w:val="00171B4A"/>
    <w:rsid w:val="00171C48"/>
    <w:rsid w:val="0017200D"/>
    <w:rsid w:val="0017251C"/>
    <w:rsid w:val="0017265F"/>
    <w:rsid w:val="001730B0"/>
    <w:rsid w:val="001739FC"/>
    <w:rsid w:val="00173FDD"/>
    <w:rsid w:val="001747AA"/>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CE6"/>
    <w:rsid w:val="00182DAD"/>
    <w:rsid w:val="00182DC0"/>
    <w:rsid w:val="00183085"/>
    <w:rsid w:val="001839FA"/>
    <w:rsid w:val="00183DA7"/>
    <w:rsid w:val="00183DDC"/>
    <w:rsid w:val="00184249"/>
    <w:rsid w:val="0018435A"/>
    <w:rsid w:val="00184867"/>
    <w:rsid w:val="0018505D"/>
    <w:rsid w:val="001850C6"/>
    <w:rsid w:val="0018586A"/>
    <w:rsid w:val="001858E5"/>
    <w:rsid w:val="00185B85"/>
    <w:rsid w:val="00186BD2"/>
    <w:rsid w:val="0018758B"/>
    <w:rsid w:val="001900F7"/>
    <w:rsid w:val="0019015A"/>
    <w:rsid w:val="00190396"/>
    <w:rsid w:val="00190704"/>
    <w:rsid w:val="00190F93"/>
    <w:rsid w:val="00191D43"/>
    <w:rsid w:val="00191FF6"/>
    <w:rsid w:val="00192668"/>
    <w:rsid w:val="00192E51"/>
    <w:rsid w:val="00192F16"/>
    <w:rsid w:val="00193071"/>
    <w:rsid w:val="0019399F"/>
    <w:rsid w:val="00194286"/>
    <w:rsid w:val="00195BC7"/>
    <w:rsid w:val="00195EBA"/>
    <w:rsid w:val="001960B4"/>
    <w:rsid w:val="00196FD4"/>
    <w:rsid w:val="0019758B"/>
    <w:rsid w:val="00197B6F"/>
    <w:rsid w:val="00197B8A"/>
    <w:rsid w:val="00197CC1"/>
    <w:rsid w:val="001A0135"/>
    <w:rsid w:val="001A0CA6"/>
    <w:rsid w:val="001A0D9B"/>
    <w:rsid w:val="001A0E9D"/>
    <w:rsid w:val="001A166A"/>
    <w:rsid w:val="001A2081"/>
    <w:rsid w:val="001A2A50"/>
    <w:rsid w:val="001A2F88"/>
    <w:rsid w:val="001A30F6"/>
    <w:rsid w:val="001A325B"/>
    <w:rsid w:val="001A38A7"/>
    <w:rsid w:val="001A3974"/>
    <w:rsid w:val="001A3E92"/>
    <w:rsid w:val="001A40B6"/>
    <w:rsid w:val="001A4B1D"/>
    <w:rsid w:val="001A4C5A"/>
    <w:rsid w:val="001A5641"/>
    <w:rsid w:val="001A5D04"/>
    <w:rsid w:val="001A613C"/>
    <w:rsid w:val="001A6276"/>
    <w:rsid w:val="001A72F6"/>
    <w:rsid w:val="001A7D06"/>
    <w:rsid w:val="001B1655"/>
    <w:rsid w:val="001B17FB"/>
    <w:rsid w:val="001B2815"/>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34B"/>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2B2"/>
    <w:rsid w:val="001C75D0"/>
    <w:rsid w:val="001D0073"/>
    <w:rsid w:val="001D0D41"/>
    <w:rsid w:val="001D1192"/>
    <w:rsid w:val="001D1437"/>
    <w:rsid w:val="001D223A"/>
    <w:rsid w:val="001D2243"/>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75C"/>
    <w:rsid w:val="001E59BD"/>
    <w:rsid w:val="001E5A5F"/>
    <w:rsid w:val="001E5C3E"/>
    <w:rsid w:val="001E641F"/>
    <w:rsid w:val="001E66A7"/>
    <w:rsid w:val="001E773D"/>
    <w:rsid w:val="001F068F"/>
    <w:rsid w:val="001F0906"/>
    <w:rsid w:val="001F0BBB"/>
    <w:rsid w:val="001F0DE8"/>
    <w:rsid w:val="001F1693"/>
    <w:rsid w:val="001F28B4"/>
    <w:rsid w:val="001F35DC"/>
    <w:rsid w:val="001F37F8"/>
    <w:rsid w:val="001F3815"/>
    <w:rsid w:val="001F3D45"/>
    <w:rsid w:val="001F4057"/>
    <w:rsid w:val="001F407D"/>
    <w:rsid w:val="001F4183"/>
    <w:rsid w:val="001F4EB7"/>
    <w:rsid w:val="001F518D"/>
    <w:rsid w:val="001F5566"/>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0FF"/>
    <w:rsid w:val="0020461C"/>
    <w:rsid w:val="00204F4E"/>
    <w:rsid w:val="00205317"/>
    <w:rsid w:val="00205724"/>
    <w:rsid w:val="00205C5F"/>
    <w:rsid w:val="00205ED8"/>
    <w:rsid w:val="002064F7"/>
    <w:rsid w:val="00206509"/>
    <w:rsid w:val="00206BDB"/>
    <w:rsid w:val="00210326"/>
    <w:rsid w:val="0021058F"/>
    <w:rsid w:val="0021135F"/>
    <w:rsid w:val="0021150C"/>
    <w:rsid w:val="00211938"/>
    <w:rsid w:val="002122F7"/>
    <w:rsid w:val="002127FD"/>
    <w:rsid w:val="00212850"/>
    <w:rsid w:val="00212B04"/>
    <w:rsid w:val="00212EEA"/>
    <w:rsid w:val="002130B4"/>
    <w:rsid w:val="0021348C"/>
    <w:rsid w:val="00214BC0"/>
    <w:rsid w:val="00214CAA"/>
    <w:rsid w:val="002154D1"/>
    <w:rsid w:val="00215BEE"/>
    <w:rsid w:val="0021654E"/>
    <w:rsid w:val="002167B0"/>
    <w:rsid w:val="0022072A"/>
    <w:rsid w:val="002207BC"/>
    <w:rsid w:val="00220B3D"/>
    <w:rsid w:val="0022100A"/>
    <w:rsid w:val="00221160"/>
    <w:rsid w:val="002213EE"/>
    <w:rsid w:val="00221922"/>
    <w:rsid w:val="00221B94"/>
    <w:rsid w:val="00221BC1"/>
    <w:rsid w:val="00222AAD"/>
    <w:rsid w:val="00222FD7"/>
    <w:rsid w:val="0022360D"/>
    <w:rsid w:val="002236B0"/>
    <w:rsid w:val="00224723"/>
    <w:rsid w:val="002248C1"/>
    <w:rsid w:val="00224C04"/>
    <w:rsid w:val="00224DC7"/>
    <w:rsid w:val="002251A4"/>
    <w:rsid w:val="00225489"/>
    <w:rsid w:val="00225718"/>
    <w:rsid w:val="00225CAE"/>
    <w:rsid w:val="0022685E"/>
    <w:rsid w:val="0022705A"/>
    <w:rsid w:val="00227E88"/>
    <w:rsid w:val="0023004B"/>
    <w:rsid w:val="002301B6"/>
    <w:rsid w:val="0023027F"/>
    <w:rsid w:val="00230B94"/>
    <w:rsid w:val="00231C3C"/>
    <w:rsid w:val="00231DC5"/>
    <w:rsid w:val="00232836"/>
    <w:rsid w:val="002338F8"/>
    <w:rsid w:val="00234167"/>
    <w:rsid w:val="00234A15"/>
    <w:rsid w:val="00234AB5"/>
    <w:rsid w:val="00234F9B"/>
    <w:rsid w:val="0023589B"/>
    <w:rsid w:val="00235AEE"/>
    <w:rsid w:val="00235D75"/>
    <w:rsid w:val="002366CE"/>
    <w:rsid w:val="0023687B"/>
    <w:rsid w:val="002369D4"/>
    <w:rsid w:val="002375D3"/>
    <w:rsid w:val="0024001A"/>
    <w:rsid w:val="00240126"/>
    <w:rsid w:val="00240887"/>
    <w:rsid w:val="00241142"/>
    <w:rsid w:val="002419F2"/>
    <w:rsid w:val="00242F1E"/>
    <w:rsid w:val="00243E20"/>
    <w:rsid w:val="00243F02"/>
    <w:rsid w:val="00244017"/>
    <w:rsid w:val="00244096"/>
    <w:rsid w:val="0024417D"/>
    <w:rsid w:val="00244754"/>
    <w:rsid w:val="00244C55"/>
    <w:rsid w:val="00245470"/>
    <w:rsid w:val="00246CD7"/>
    <w:rsid w:val="002479F2"/>
    <w:rsid w:val="00247C83"/>
    <w:rsid w:val="00250370"/>
    <w:rsid w:val="002503D4"/>
    <w:rsid w:val="0025068A"/>
    <w:rsid w:val="00250751"/>
    <w:rsid w:val="00250A7F"/>
    <w:rsid w:val="00251026"/>
    <w:rsid w:val="002516DF"/>
    <w:rsid w:val="00251B50"/>
    <w:rsid w:val="0025204C"/>
    <w:rsid w:val="00253D03"/>
    <w:rsid w:val="00254CF4"/>
    <w:rsid w:val="00254EF4"/>
    <w:rsid w:val="00255877"/>
    <w:rsid w:val="00256FDC"/>
    <w:rsid w:val="0025701A"/>
    <w:rsid w:val="002575ED"/>
    <w:rsid w:val="0025764A"/>
    <w:rsid w:val="002576EB"/>
    <w:rsid w:val="002601C1"/>
    <w:rsid w:val="00260BF5"/>
    <w:rsid w:val="00260D04"/>
    <w:rsid w:val="0026130F"/>
    <w:rsid w:val="0026179F"/>
    <w:rsid w:val="00261C84"/>
    <w:rsid w:val="002622D4"/>
    <w:rsid w:val="00262A9E"/>
    <w:rsid w:val="00263521"/>
    <w:rsid w:val="00263A1E"/>
    <w:rsid w:val="00263DB7"/>
    <w:rsid w:val="00264127"/>
    <w:rsid w:val="002643D4"/>
    <w:rsid w:val="00264CFB"/>
    <w:rsid w:val="00265428"/>
    <w:rsid w:val="002654D1"/>
    <w:rsid w:val="0027101D"/>
    <w:rsid w:val="0027121E"/>
    <w:rsid w:val="0027188F"/>
    <w:rsid w:val="00271D5F"/>
    <w:rsid w:val="00272D1C"/>
    <w:rsid w:val="00272ECF"/>
    <w:rsid w:val="002739B2"/>
    <w:rsid w:val="002739CF"/>
    <w:rsid w:val="00273D43"/>
    <w:rsid w:val="00273D8B"/>
    <w:rsid w:val="0027424D"/>
    <w:rsid w:val="00275A79"/>
    <w:rsid w:val="002763F9"/>
    <w:rsid w:val="00276D55"/>
    <w:rsid w:val="00277114"/>
    <w:rsid w:val="0028138F"/>
    <w:rsid w:val="002813A0"/>
    <w:rsid w:val="00281F46"/>
    <w:rsid w:val="002820C3"/>
    <w:rsid w:val="00282C5A"/>
    <w:rsid w:val="00282ED8"/>
    <w:rsid w:val="00283E18"/>
    <w:rsid w:val="00283FFC"/>
    <w:rsid w:val="002841CB"/>
    <w:rsid w:val="00284ABA"/>
    <w:rsid w:val="00284B06"/>
    <w:rsid w:val="00285362"/>
    <w:rsid w:val="00285EC0"/>
    <w:rsid w:val="0028686C"/>
    <w:rsid w:val="0028694C"/>
    <w:rsid w:val="002869E1"/>
    <w:rsid w:val="00286A23"/>
    <w:rsid w:val="00286C34"/>
    <w:rsid w:val="00287385"/>
    <w:rsid w:val="00287BEF"/>
    <w:rsid w:val="002908B1"/>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B77"/>
    <w:rsid w:val="00297FD7"/>
    <w:rsid w:val="002A04CC"/>
    <w:rsid w:val="002A1117"/>
    <w:rsid w:val="002A18D6"/>
    <w:rsid w:val="002A2132"/>
    <w:rsid w:val="002A29AB"/>
    <w:rsid w:val="002A2C5A"/>
    <w:rsid w:val="002A2E74"/>
    <w:rsid w:val="002A3A3E"/>
    <w:rsid w:val="002A4153"/>
    <w:rsid w:val="002A4460"/>
    <w:rsid w:val="002A4707"/>
    <w:rsid w:val="002A4951"/>
    <w:rsid w:val="002A4B57"/>
    <w:rsid w:val="002A4F87"/>
    <w:rsid w:val="002A53E2"/>
    <w:rsid w:val="002A57EB"/>
    <w:rsid w:val="002A598C"/>
    <w:rsid w:val="002A6418"/>
    <w:rsid w:val="002A64F8"/>
    <w:rsid w:val="002A68DE"/>
    <w:rsid w:val="002A6966"/>
    <w:rsid w:val="002A6A8F"/>
    <w:rsid w:val="002A6B3B"/>
    <w:rsid w:val="002A7D21"/>
    <w:rsid w:val="002B08F4"/>
    <w:rsid w:val="002B0C29"/>
    <w:rsid w:val="002B10E8"/>
    <w:rsid w:val="002B12C0"/>
    <w:rsid w:val="002B1394"/>
    <w:rsid w:val="002B29AC"/>
    <w:rsid w:val="002B30DB"/>
    <w:rsid w:val="002B3A8C"/>
    <w:rsid w:val="002B4F54"/>
    <w:rsid w:val="002B55FA"/>
    <w:rsid w:val="002B5A1F"/>
    <w:rsid w:val="002B5C10"/>
    <w:rsid w:val="002B5D65"/>
    <w:rsid w:val="002B637F"/>
    <w:rsid w:val="002B65DC"/>
    <w:rsid w:val="002B6FB4"/>
    <w:rsid w:val="002B7B64"/>
    <w:rsid w:val="002B7E82"/>
    <w:rsid w:val="002C06EB"/>
    <w:rsid w:val="002C0B9D"/>
    <w:rsid w:val="002C1BB5"/>
    <w:rsid w:val="002C1D86"/>
    <w:rsid w:val="002C1EE0"/>
    <w:rsid w:val="002C28D3"/>
    <w:rsid w:val="002C2B0E"/>
    <w:rsid w:val="002C2E11"/>
    <w:rsid w:val="002C316A"/>
    <w:rsid w:val="002C3291"/>
    <w:rsid w:val="002C3B87"/>
    <w:rsid w:val="002C3D55"/>
    <w:rsid w:val="002C4139"/>
    <w:rsid w:val="002C4302"/>
    <w:rsid w:val="002C4B51"/>
    <w:rsid w:val="002C4F9F"/>
    <w:rsid w:val="002C521E"/>
    <w:rsid w:val="002C54FF"/>
    <w:rsid w:val="002C58AD"/>
    <w:rsid w:val="002C65B3"/>
    <w:rsid w:val="002C6C7D"/>
    <w:rsid w:val="002C6D22"/>
    <w:rsid w:val="002C70A2"/>
    <w:rsid w:val="002C7D35"/>
    <w:rsid w:val="002D1688"/>
    <w:rsid w:val="002D2963"/>
    <w:rsid w:val="002D2BFB"/>
    <w:rsid w:val="002D3201"/>
    <w:rsid w:val="002D32B9"/>
    <w:rsid w:val="002D38CB"/>
    <w:rsid w:val="002D3AC8"/>
    <w:rsid w:val="002D4617"/>
    <w:rsid w:val="002D4679"/>
    <w:rsid w:val="002D4E81"/>
    <w:rsid w:val="002D555F"/>
    <w:rsid w:val="002D572F"/>
    <w:rsid w:val="002D5930"/>
    <w:rsid w:val="002D613F"/>
    <w:rsid w:val="002D6521"/>
    <w:rsid w:val="002D65CF"/>
    <w:rsid w:val="002D6752"/>
    <w:rsid w:val="002D68A0"/>
    <w:rsid w:val="002D6964"/>
    <w:rsid w:val="002D69A4"/>
    <w:rsid w:val="002D6DBD"/>
    <w:rsid w:val="002D6EF5"/>
    <w:rsid w:val="002D79C7"/>
    <w:rsid w:val="002D7C0D"/>
    <w:rsid w:val="002E0151"/>
    <w:rsid w:val="002E01CC"/>
    <w:rsid w:val="002E0A57"/>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1D12"/>
    <w:rsid w:val="002F2019"/>
    <w:rsid w:val="002F24F0"/>
    <w:rsid w:val="002F29CA"/>
    <w:rsid w:val="002F2A6F"/>
    <w:rsid w:val="002F3162"/>
    <w:rsid w:val="002F42B0"/>
    <w:rsid w:val="002F42B4"/>
    <w:rsid w:val="002F4761"/>
    <w:rsid w:val="002F47F1"/>
    <w:rsid w:val="002F5163"/>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6F7"/>
    <w:rsid w:val="003108E3"/>
    <w:rsid w:val="00310AC6"/>
    <w:rsid w:val="00311190"/>
    <w:rsid w:val="0031135A"/>
    <w:rsid w:val="0031327E"/>
    <w:rsid w:val="00313D58"/>
    <w:rsid w:val="00313EEC"/>
    <w:rsid w:val="00314BB0"/>
    <w:rsid w:val="003150C0"/>
    <w:rsid w:val="00315624"/>
    <w:rsid w:val="003157DD"/>
    <w:rsid w:val="00315BD6"/>
    <w:rsid w:val="00315D7F"/>
    <w:rsid w:val="00315FF2"/>
    <w:rsid w:val="003160D7"/>
    <w:rsid w:val="00316385"/>
    <w:rsid w:val="00316A77"/>
    <w:rsid w:val="00316C57"/>
    <w:rsid w:val="00316F0F"/>
    <w:rsid w:val="003177E2"/>
    <w:rsid w:val="00320104"/>
    <w:rsid w:val="0032022E"/>
    <w:rsid w:val="0032289E"/>
    <w:rsid w:val="00322998"/>
    <w:rsid w:val="00322A81"/>
    <w:rsid w:val="00322BC2"/>
    <w:rsid w:val="00323027"/>
    <w:rsid w:val="0032331E"/>
    <w:rsid w:val="00324236"/>
    <w:rsid w:val="0032448C"/>
    <w:rsid w:val="00324BC1"/>
    <w:rsid w:val="00324C2A"/>
    <w:rsid w:val="00324F0D"/>
    <w:rsid w:val="003257C6"/>
    <w:rsid w:val="00325CD8"/>
    <w:rsid w:val="00325F44"/>
    <w:rsid w:val="00326ABF"/>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AA4"/>
    <w:rsid w:val="00334CB7"/>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30"/>
    <w:rsid w:val="003470A8"/>
    <w:rsid w:val="00347612"/>
    <w:rsid w:val="00347800"/>
    <w:rsid w:val="00347942"/>
    <w:rsid w:val="00347A15"/>
    <w:rsid w:val="00350248"/>
    <w:rsid w:val="003505CE"/>
    <w:rsid w:val="003509DF"/>
    <w:rsid w:val="003513C7"/>
    <w:rsid w:val="00351457"/>
    <w:rsid w:val="0035145F"/>
    <w:rsid w:val="00351AD0"/>
    <w:rsid w:val="00351F4E"/>
    <w:rsid w:val="003525D4"/>
    <w:rsid w:val="0035281B"/>
    <w:rsid w:val="00353C79"/>
    <w:rsid w:val="00354481"/>
    <w:rsid w:val="0035448A"/>
    <w:rsid w:val="00354767"/>
    <w:rsid w:val="00355453"/>
    <w:rsid w:val="003559A1"/>
    <w:rsid w:val="00355B59"/>
    <w:rsid w:val="00356540"/>
    <w:rsid w:val="00356926"/>
    <w:rsid w:val="00356BD5"/>
    <w:rsid w:val="00356C79"/>
    <w:rsid w:val="00356CD5"/>
    <w:rsid w:val="00356F00"/>
    <w:rsid w:val="00357420"/>
    <w:rsid w:val="00357544"/>
    <w:rsid w:val="00360129"/>
    <w:rsid w:val="00360285"/>
    <w:rsid w:val="00360322"/>
    <w:rsid w:val="003606C0"/>
    <w:rsid w:val="00360FD1"/>
    <w:rsid w:val="00361812"/>
    <w:rsid w:val="00361AA2"/>
    <w:rsid w:val="00362B88"/>
    <w:rsid w:val="00363344"/>
    <w:rsid w:val="003633E1"/>
    <w:rsid w:val="003639B6"/>
    <w:rsid w:val="00363FE3"/>
    <w:rsid w:val="003640C2"/>
    <w:rsid w:val="003641B1"/>
    <w:rsid w:val="00364581"/>
    <w:rsid w:val="003651FF"/>
    <w:rsid w:val="0036568B"/>
    <w:rsid w:val="00365C9E"/>
    <w:rsid w:val="00365D63"/>
    <w:rsid w:val="00365DC9"/>
    <w:rsid w:val="00365DE2"/>
    <w:rsid w:val="0036639F"/>
    <w:rsid w:val="003668A5"/>
    <w:rsid w:val="00366B78"/>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724"/>
    <w:rsid w:val="003839AA"/>
    <w:rsid w:val="003843E4"/>
    <w:rsid w:val="00384988"/>
    <w:rsid w:val="00384EDD"/>
    <w:rsid w:val="00385426"/>
    <w:rsid w:val="0038575C"/>
    <w:rsid w:val="00385A72"/>
    <w:rsid w:val="00385CBB"/>
    <w:rsid w:val="00385FBB"/>
    <w:rsid w:val="00387987"/>
    <w:rsid w:val="00387E5E"/>
    <w:rsid w:val="003907CF"/>
    <w:rsid w:val="00391776"/>
    <w:rsid w:val="00391943"/>
    <w:rsid w:val="00391D47"/>
    <w:rsid w:val="00391DC4"/>
    <w:rsid w:val="00392578"/>
    <w:rsid w:val="003926A8"/>
    <w:rsid w:val="00392806"/>
    <w:rsid w:val="00392899"/>
    <w:rsid w:val="003929A4"/>
    <w:rsid w:val="00392CB6"/>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20"/>
    <w:rsid w:val="00397B41"/>
    <w:rsid w:val="00397C56"/>
    <w:rsid w:val="003A0054"/>
    <w:rsid w:val="003A042B"/>
    <w:rsid w:val="003A07CF"/>
    <w:rsid w:val="003A0852"/>
    <w:rsid w:val="003A08AE"/>
    <w:rsid w:val="003A26D2"/>
    <w:rsid w:val="003A30E1"/>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A94"/>
    <w:rsid w:val="003B7C80"/>
    <w:rsid w:val="003B7F4E"/>
    <w:rsid w:val="003C0A02"/>
    <w:rsid w:val="003C2280"/>
    <w:rsid w:val="003C2534"/>
    <w:rsid w:val="003C26AC"/>
    <w:rsid w:val="003C2A0B"/>
    <w:rsid w:val="003C2EC6"/>
    <w:rsid w:val="003C3154"/>
    <w:rsid w:val="003C32FE"/>
    <w:rsid w:val="003C3358"/>
    <w:rsid w:val="003C4C10"/>
    <w:rsid w:val="003C4F30"/>
    <w:rsid w:val="003C5044"/>
    <w:rsid w:val="003C5153"/>
    <w:rsid w:val="003C5BB1"/>
    <w:rsid w:val="003C5BC7"/>
    <w:rsid w:val="003C5ED9"/>
    <w:rsid w:val="003C6C20"/>
    <w:rsid w:val="003C73F8"/>
    <w:rsid w:val="003C76CA"/>
    <w:rsid w:val="003C7AD3"/>
    <w:rsid w:val="003C7B2D"/>
    <w:rsid w:val="003D0F91"/>
    <w:rsid w:val="003D1118"/>
    <w:rsid w:val="003D16F2"/>
    <w:rsid w:val="003D1801"/>
    <w:rsid w:val="003D1D5C"/>
    <w:rsid w:val="003D2796"/>
    <w:rsid w:val="003D2AE6"/>
    <w:rsid w:val="003D314F"/>
    <w:rsid w:val="003D3533"/>
    <w:rsid w:val="003D415E"/>
    <w:rsid w:val="003D417E"/>
    <w:rsid w:val="003D4194"/>
    <w:rsid w:val="003D43AC"/>
    <w:rsid w:val="003D43B8"/>
    <w:rsid w:val="003D472A"/>
    <w:rsid w:val="003D4ABB"/>
    <w:rsid w:val="003D5549"/>
    <w:rsid w:val="003D5B8A"/>
    <w:rsid w:val="003D5CAC"/>
    <w:rsid w:val="003D5FFB"/>
    <w:rsid w:val="003D6310"/>
    <w:rsid w:val="003D657A"/>
    <w:rsid w:val="003D6CAC"/>
    <w:rsid w:val="003D6FE1"/>
    <w:rsid w:val="003D7383"/>
    <w:rsid w:val="003D7489"/>
    <w:rsid w:val="003D7A6A"/>
    <w:rsid w:val="003E000E"/>
    <w:rsid w:val="003E009E"/>
    <w:rsid w:val="003E06F4"/>
    <w:rsid w:val="003E0ABC"/>
    <w:rsid w:val="003E159B"/>
    <w:rsid w:val="003E20EB"/>
    <w:rsid w:val="003E2333"/>
    <w:rsid w:val="003E248F"/>
    <w:rsid w:val="003E26E6"/>
    <w:rsid w:val="003E2F13"/>
    <w:rsid w:val="003E2F94"/>
    <w:rsid w:val="003E3166"/>
    <w:rsid w:val="003E31EE"/>
    <w:rsid w:val="003E364E"/>
    <w:rsid w:val="003E4D21"/>
    <w:rsid w:val="003E4D5A"/>
    <w:rsid w:val="003E58C2"/>
    <w:rsid w:val="003E5FCA"/>
    <w:rsid w:val="003E6002"/>
    <w:rsid w:val="003E66A4"/>
    <w:rsid w:val="003E672B"/>
    <w:rsid w:val="003E6F99"/>
    <w:rsid w:val="003E77E9"/>
    <w:rsid w:val="003E798E"/>
    <w:rsid w:val="003F06E0"/>
    <w:rsid w:val="003F0C61"/>
    <w:rsid w:val="003F0D90"/>
    <w:rsid w:val="003F0E51"/>
    <w:rsid w:val="003F14F0"/>
    <w:rsid w:val="003F2195"/>
    <w:rsid w:val="003F2708"/>
    <w:rsid w:val="003F2DBB"/>
    <w:rsid w:val="003F2EF4"/>
    <w:rsid w:val="003F2F7C"/>
    <w:rsid w:val="003F316F"/>
    <w:rsid w:val="003F40CF"/>
    <w:rsid w:val="003F48CD"/>
    <w:rsid w:val="003F4A41"/>
    <w:rsid w:val="003F5468"/>
    <w:rsid w:val="003F5B6A"/>
    <w:rsid w:val="003F6142"/>
    <w:rsid w:val="003F6A36"/>
    <w:rsid w:val="003F6CB2"/>
    <w:rsid w:val="003F6D65"/>
    <w:rsid w:val="003F782E"/>
    <w:rsid w:val="003F7B2B"/>
    <w:rsid w:val="004002DD"/>
    <w:rsid w:val="0040036C"/>
    <w:rsid w:val="0040072A"/>
    <w:rsid w:val="00400D5E"/>
    <w:rsid w:val="00401ED1"/>
    <w:rsid w:val="00402817"/>
    <w:rsid w:val="004029F9"/>
    <w:rsid w:val="0040326F"/>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F06"/>
    <w:rsid w:val="00423618"/>
    <w:rsid w:val="004250C9"/>
    <w:rsid w:val="0042545B"/>
    <w:rsid w:val="00425E72"/>
    <w:rsid w:val="00425E85"/>
    <w:rsid w:val="0042649D"/>
    <w:rsid w:val="00426862"/>
    <w:rsid w:val="00426CE7"/>
    <w:rsid w:val="00426D50"/>
    <w:rsid w:val="004276E0"/>
    <w:rsid w:val="00427A72"/>
    <w:rsid w:val="00427D9F"/>
    <w:rsid w:val="00430277"/>
    <w:rsid w:val="00430708"/>
    <w:rsid w:val="0043078F"/>
    <w:rsid w:val="00431AA5"/>
    <w:rsid w:val="00431BF9"/>
    <w:rsid w:val="00431C39"/>
    <w:rsid w:val="00431CDD"/>
    <w:rsid w:val="00432A56"/>
    <w:rsid w:val="00433922"/>
    <w:rsid w:val="00433A0F"/>
    <w:rsid w:val="00433D69"/>
    <w:rsid w:val="00433DC5"/>
    <w:rsid w:val="004349D7"/>
    <w:rsid w:val="00434C19"/>
    <w:rsid w:val="0043539D"/>
    <w:rsid w:val="0043581E"/>
    <w:rsid w:val="00435D22"/>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2EF9"/>
    <w:rsid w:val="0044305F"/>
    <w:rsid w:val="00443518"/>
    <w:rsid w:val="00443D1B"/>
    <w:rsid w:val="00443D1F"/>
    <w:rsid w:val="00443DD1"/>
    <w:rsid w:val="0044419E"/>
    <w:rsid w:val="00444597"/>
    <w:rsid w:val="00444C88"/>
    <w:rsid w:val="004453BB"/>
    <w:rsid w:val="00445522"/>
    <w:rsid w:val="00445626"/>
    <w:rsid w:val="0044619B"/>
    <w:rsid w:val="004465C9"/>
    <w:rsid w:val="00446802"/>
    <w:rsid w:val="004470C5"/>
    <w:rsid w:val="004474BB"/>
    <w:rsid w:val="004475E5"/>
    <w:rsid w:val="004503E1"/>
    <w:rsid w:val="00451290"/>
    <w:rsid w:val="00451A68"/>
    <w:rsid w:val="00451AA2"/>
    <w:rsid w:val="00451E5C"/>
    <w:rsid w:val="0045209D"/>
    <w:rsid w:val="00452950"/>
    <w:rsid w:val="00452A13"/>
    <w:rsid w:val="00452FA4"/>
    <w:rsid w:val="00453265"/>
    <w:rsid w:val="004532C0"/>
    <w:rsid w:val="00453750"/>
    <w:rsid w:val="004537EC"/>
    <w:rsid w:val="00453CEB"/>
    <w:rsid w:val="004547C8"/>
    <w:rsid w:val="0045495E"/>
    <w:rsid w:val="00455BC0"/>
    <w:rsid w:val="00455C7E"/>
    <w:rsid w:val="00456367"/>
    <w:rsid w:val="0045637F"/>
    <w:rsid w:val="00456696"/>
    <w:rsid w:val="00456A60"/>
    <w:rsid w:val="00456AD9"/>
    <w:rsid w:val="00456F88"/>
    <w:rsid w:val="004575EF"/>
    <w:rsid w:val="0045768C"/>
    <w:rsid w:val="00457CF6"/>
    <w:rsid w:val="00460179"/>
    <w:rsid w:val="00460B1C"/>
    <w:rsid w:val="004617CF"/>
    <w:rsid w:val="004619ED"/>
    <w:rsid w:val="004622BB"/>
    <w:rsid w:val="00462348"/>
    <w:rsid w:val="00463683"/>
    <w:rsid w:val="00464358"/>
    <w:rsid w:val="00464D56"/>
    <w:rsid w:val="00464DF0"/>
    <w:rsid w:val="00465254"/>
    <w:rsid w:val="00465562"/>
    <w:rsid w:val="00465884"/>
    <w:rsid w:val="00465DDF"/>
    <w:rsid w:val="004661DB"/>
    <w:rsid w:val="004661EC"/>
    <w:rsid w:val="004663C7"/>
    <w:rsid w:val="00466B28"/>
    <w:rsid w:val="00467262"/>
    <w:rsid w:val="00467D5E"/>
    <w:rsid w:val="0047012B"/>
    <w:rsid w:val="004701EC"/>
    <w:rsid w:val="004705A4"/>
    <w:rsid w:val="00470787"/>
    <w:rsid w:val="00470C3F"/>
    <w:rsid w:val="00471164"/>
    <w:rsid w:val="00471238"/>
    <w:rsid w:val="0047126F"/>
    <w:rsid w:val="00471AA2"/>
    <w:rsid w:val="00471E18"/>
    <w:rsid w:val="00471F92"/>
    <w:rsid w:val="00471FC6"/>
    <w:rsid w:val="0047228C"/>
    <w:rsid w:val="00472A3C"/>
    <w:rsid w:val="004736FF"/>
    <w:rsid w:val="00473D67"/>
    <w:rsid w:val="004743DF"/>
    <w:rsid w:val="00474EE3"/>
    <w:rsid w:val="00474EFE"/>
    <w:rsid w:val="00475095"/>
    <w:rsid w:val="00475A1C"/>
    <w:rsid w:val="0047620F"/>
    <w:rsid w:val="00476508"/>
    <w:rsid w:val="004767BA"/>
    <w:rsid w:val="00476CA1"/>
    <w:rsid w:val="004776F8"/>
    <w:rsid w:val="004779AA"/>
    <w:rsid w:val="00477F44"/>
    <w:rsid w:val="00480011"/>
    <w:rsid w:val="00480107"/>
    <w:rsid w:val="004809CB"/>
    <w:rsid w:val="00481A59"/>
    <w:rsid w:val="00481A8A"/>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4C3"/>
    <w:rsid w:val="004945A4"/>
    <w:rsid w:val="00494B5A"/>
    <w:rsid w:val="00494C49"/>
    <w:rsid w:val="00495214"/>
    <w:rsid w:val="004955D7"/>
    <w:rsid w:val="0049574B"/>
    <w:rsid w:val="00495B91"/>
    <w:rsid w:val="004964BE"/>
    <w:rsid w:val="004965B9"/>
    <w:rsid w:val="00497103"/>
    <w:rsid w:val="00497117"/>
    <w:rsid w:val="004975F0"/>
    <w:rsid w:val="004976B0"/>
    <w:rsid w:val="00497953"/>
    <w:rsid w:val="00497FC7"/>
    <w:rsid w:val="00497FC9"/>
    <w:rsid w:val="004A0385"/>
    <w:rsid w:val="004A07F3"/>
    <w:rsid w:val="004A0E02"/>
    <w:rsid w:val="004A0E75"/>
    <w:rsid w:val="004A1184"/>
    <w:rsid w:val="004A144B"/>
    <w:rsid w:val="004A15D5"/>
    <w:rsid w:val="004A1FF4"/>
    <w:rsid w:val="004A30DB"/>
    <w:rsid w:val="004A3415"/>
    <w:rsid w:val="004A3987"/>
    <w:rsid w:val="004A3A1C"/>
    <w:rsid w:val="004A4161"/>
    <w:rsid w:val="004A4DA0"/>
    <w:rsid w:val="004A5AE0"/>
    <w:rsid w:val="004A5D89"/>
    <w:rsid w:val="004A5FCA"/>
    <w:rsid w:val="004A68B3"/>
    <w:rsid w:val="004A6B9E"/>
    <w:rsid w:val="004A6C9C"/>
    <w:rsid w:val="004A6CC0"/>
    <w:rsid w:val="004A6FE6"/>
    <w:rsid w:val="004A7203"/>
    <w:rsid w:val="004A77C4"/>
    <w:rsid w:val="004A78DC"/>
    <w:rsid w:val="004A7ABE"/>
    <w:rsid w:val="004B09A3"/>
    <w:rsid w:val="004B117A"/>
    <w:rsid w:val="004B18AE"/>
    <w:rsid w:val="004B21B0"/>
    <w:rsid w:val="004B2564"/>
    <w:rsid w:val="004B2751"/>
    <w:rsid w:val="004B2D77"/>
    <w:rsid w:val="004B2F85"/>
    <w:rsid w:val="004B3850"/>
    <w:rsid w:val="004B42DF"/>
    <w:rsid w:val="004B43E6"/>
    <w:rsid w:val="004B4756"/>
    <w:rsid w:val="004B5F7A"/>
    <w:rsid w:val="004B6164"/>
    <w:rsid w:val="004B63AE"/>
    <w:rsid w:val="004B6754"/>
    <w:rsid w:val="004B7C1A"/>
    <w:rsid w:val="004C056A"/>
    <w:rsid w:val="004C0FFF"/>
    <w:rsid w:val="004C1639"/>
    <w:rsid w:val="004C1653"/>
    <w:rsid w:val="004C1BDC"/>
    <w:rsid w:val="004C209B"/>
    <w:rsid w:val="004C2149"/>
    <w:rsid w:val="004C2531"/>
    <w:rsid w:val="004C2B02"/>
    <w:rsid w:val="004C3342"/>
    <w:rsid w:val="004C4396"/>
    <w:rsid w:val="004C4772"/>
    <w:rsid w:val="004C4F65"/>
    <w:rsid w:val="004C58B1"/>
    <w:rsid w:val="004C65C7"/>
    <w:rsid w:val="004C6628"/>
    <w:rsid w:val="004C7A8F"/>
    <w:rsid w:val="004C7D9F"/>
    <w:rsid w:val="004D102C"/>
    <w:rsid w:val="004D1475"/>
    <w:rsid w:val="004D16BE"/>
    <w:rsid w:val="004D1983"/>
    <w:rsid w:val="004D1BC8"/>
    <w:rsid w:val="004D1D1F"/>
    <w:rsid w:val="004D2576"/>
    <w:rsid w:val="004D262A"/>
    <w:rsid w:val="004D2869"/>
    <w:rsid w:val="004D2D0A"/>
    <w:rsid w:val="004D3387"/>
    <w:rsid w:val="004D38B0"/>
    <w:rsid w:val="004D3AAD"/>
    <w:rsid w:val="004D4C8A"/>
    <w:rsid w:val="004D55AB"/>
    <w:rsid w:val="004D562B"/>
    <w:rsid w:val="004D581B"/>
    <w:rsid w:val="004D5AD1"/>
    <w:rsid w:val="004D629E"/>
    <w:rsid w:val="004D708B"/>
    <w:rsid w:val="004D7A95"/>
    <w:rsid w:val="004D7ABD"/>
    <w:rsid w:val="004D7BF2"/>
    <w:rsid w:val="004E0118"/>
    <w:rsid w:val="004E0BE3"/>
    <w:rsid w:val="004E0E03"/>
    <w:rsid w:val="004E0F37"/>
    <w:rsid w:val="004E102F"/>
    <w:rsid w:val="004E13FA"/>
    <w:rsid w:val="004E1450"/>
    <w:rsid w:val="004E1AA9"/>
    <w:rsid w:val="004E1D0E"/>
    <w:rsid w:val="004E1DB7"/>
    <w:rsid w:val="004E1FE7"/>
    <w:rsid w:val="004E221D"/>
    <w:rsid w:val="004E229B"/>
    <w:rsid w:val="004E2601"/>
    <w:rsid w:val="004E3112"/>
    <w:rsid w:val="004E3B2D"/>
    <w:rsid w:val="004E3DD8"/>
    <w:rsid w:val="004E3F72"/>
    <w:rsid w:val="004E46AF"/>
    <w:rsid w:val="004E51B2"/>
    <w:rsid w:val="004E5265"/>
    <w:rsid w:val="004E52EE"/>
    <w:rsid w:val="004E5E3F"/>
    <w:rsid w:val="004E6717"/>
    <w:rsid w:val="004E6D72"/>
    <w:rsid w:val="004E6FDF"/>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A9B"/>
    <w:rsid w:val="004F5B56"/>
    <w:rsid w:val="004F679D"/>
    <w:rsid w:val="004F67EC"/>
    <w:rsid w:val="004F717A"/>
    <w:rsid w:val="004F7AE0"/>
    <w:rsid w:val="0050010C"/>
    <w:rsid w:val="005001D1"/>
    <w:rsid w:val="005001D8"/>
    <w:rsid w:val="005002E1"/>
    <w:rsid w:val="005006C5"/>
    <w:rsid w:val="0050079A"/>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4A96"/>
    <w:rsid w:val="00505366"/>
    <w:rsid w:val="0050537A"/>
    <w:rsid w:val="00507685"/>
    <w:rsid w:val="0051015F"/>
    <w:rsid w:val="00510184"/>
    <w:rsid w:val="0051084F"/>
    <w:rsid w:val="00510973"/>
    <w:rsid w:val="00510A6C"/>
    <w:rsid w:val="00510D89"/>
    <w:rsid w:val="00511F6D"/>
    <w:rsid w:val="00512670"/>
    <w:rsid w:val="005130A4"/>
    <w:rsid w:val="0051326F"/>
    <w:rsid w:val="00513BCD"/>
    <w:rsid w:val="00513CBD"/>
    <w:rsid w:val="00513F33"/>
    <w:rsid w:val="005147FC"/>
    <w:rsid w:val="00514BB5"/>
    <w:rsid w:val="00514DD2"/>
    <w:rsid w:val="0051501C"/>
    <w:rsid w:val="00515606"/>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1C27"/>
    <w:rsid w:val="00532196"/>
    <w:rsid w:val="00532254"/>
    <w:rsid w:val="005324E4"/>
    <w:rsid w:val="005325F3"/>
    <w:rsid w:val="005326D9"/>
    <w:rsid w:val="00533572"/>
    <w:rsid w:val="00534021"/>
    <w:rsid w:val="005341FF"/>
    <w:rsid w:val="005342AA"/>
    <w:rsid w:val="00534441"/>
    <w:rsid w:val="00534623"/>
    <w:rsid w:val="005346A1"/>
    <w:rsid w:val="00534EB1"/>
    <w:rsid w:val="00534F41"/>
    <w:rsid w:val="0053509B"/>
    <w:rsid w:val="005352B7"/>
    <w:rsid w:val="00535691"/>
    <w:rsid w:val="00535CC6"/>
    <w:rsid w:val="00535D72"/>
    <w:rsid w:val="00536216"/>
    <w:rsid w:val="005363E8"/>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C8D"/>
    <w:rsid w:val="00542CDA"/>
    <w:rsid w:val="00542EA3"/>
    <w:rsid w:val="00542EB8"/>
    <w:rsid w:val="0054365A"/>
    <w:rsid w:val="00543699"/>
    <w:rsid w:val="00543A22"/>
    <w:rsid w:val="00543F8A"/>
    <w:rsid w:val="0054509A"/>
    <w:rsid w:val="00545927"/>
    <w:rsid w:val="00546559"/>
    <w:rsid w:val="00547152"/>
    <w:rsid w:val="005474F6"/>
    <w:rsid w:val="00547C0F"/>
    <w:rsid w:val="005500D2"/>
    <w:rsid w:val="00550BA0"/>
    <w:rsid w:val="00550E94"/>
    <w:rsid w:val="00551B42"/>
    <w:rsid w:val="00551DB7"/>
    <w:rsid w:val="005529ED"/>
    <w:rsid w:val="00553469"/>
    <w:rsid w:val="00554AAD"/>
    <w:rsid w:val="0055522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CD2"/>
    <w:rsid w:val="00571D67"/>
    <w:rsid w:val="00572DD3"/>
    <w:rsid w:val="00572E2F"/>
    <w:rsid w:val="00572E40"/>
    <w:rsid w:val="00573801"/>
    <w:rsid w:val="00573EFC"/>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35C"/>
    <w:rsid w:val="00577BC4"/>
    <w:rsid w:val="00577C64"/>
    <w:rsid w:val="00580508"/>
    <w:rsid w:val="005806F9"/>
    <w:rsid w:val="00580C5C"/>
    <w:rsid w:val="00580DA8"/>
    <w:rsid w:val="00580F79"/>
    <w:rsid w:val="0058142E"/>
    <w:rsid w:val="00581795"/>
    <w:rsid w:val="005817E6"/>
    <w:rsid w:val="00583B95"/>
    <w:rsid w:val="00583E34"/>
    <w:rsid w:val="00583E3E"/>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51E"/>
    <w:rsid w:val="00592ABD"/>
    <w:rsid w:val="00592EAA"/>
    <w:rsid w:val="00592EBE"/>
    <w:rsid w:val="00593050"/>
    <w:rsid w:val="00593685"/>
    <w:rsid w:val="0059372F"/>
    <w:rsid w:val="0059393A"/>
    <w:rsid w:val="0059466A"/>
    <w:rsid w:val="00594734"/>
    <w:rsid w:val="005947CE"/>
    <w:rsid w:val="00594F0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744"/>
    <w:rsid w:val="005A2CFC"/>
    <w:rsid w:val="005A2F84"/>
    <w:rsid w:val="005A3347"/>
    <w:rsid w:val="005A35D0"/>
    <w:rsid w:val="005A3A05"/>
    <w:rsid w:val="005A3FF2"/>
    <w:rsid w:val="005A40BA"/>
    <w:rsid w:val="005A504A"/>
    <w:rsid w:val="005A57D6"/>
    <w:rsid w:val="005A5A70"/>
    <w:rsid w:val="005A7389"/>
    <w:rsid w:val="005A78EE"/>
    <w:rsid w:val="005A7CA2"/>
    <w:rsid w:val="005A7DB2"/>
    <w:rsid w:val="005B02F2"/>
    <w:rsid w:val="005B095F"/>
    <w:rsid w:val="005B1071"/>
    <w:rsid w:val="005B1790"/>
    <w:rsid w:val="005B1F44"/>
    <w:rsid w:val="005B20D0"/>
    <w:rsid w:val="005B2AC2"/>
    <w:rsid w:val="005B3945"/>
    <w:rsid w:val="005B4811"/>
    <w:rsid w:val="005B48E8"/>
    <w:rsid w:val="005B4C75"/>
    <w:rsid w:val="005B5101"/>
    <w:rsid w:val="005B529D"/>
    <w:rsid w:val="005B53E0"/>
    <w:rsid w:val="005B554D"/>
    <w:rsid w:val="005B5853"/>
    <w:rsid w:val="005B5E6C"/>
    <w:rsid w:val="005B63E4"/>
    <w:rsid w:val="005B6AB5"/>
    <w:rsid w:val="005B6CCC"/>
    <w:rsid w:val="005B70F9"/>
    <w:rsid w:val="005B71CE"/>
    <w:rsid w:val="005B74FB"/>
    <w:rsid w:val="005B757C"/>
    <w:rsid w:val="005B78A1"/>
    <w:rsid w:val="005C02D4"/>
    <w:rsid w:val="005C05FF"/>
    <w:rsid w:val="005C14A0"/>
    <w:rsid w:val="005C198B"/>
    <w:rsid w:val="005C1CBD"/>
    <w:rsid w:val="005C23D7"/>
    <w:rsid w:val="005C26CE"/>
    <w:rsid w:val="005C2859"/>
    <w:rsid w:val="005C287F"/>
    <w:rsid w:val="005C2947"/>
    <w:rsid w:val="005C2D2D"/>
    <w:rsid w:val="005C438E"/>
    <w:rsid w:val="005C43F3"/>
    <w:rsid w:val="005C48B2"/>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2A10"/>
    <w:rsid w:val="005D2C9D"/>
    <w:rsid w:val="005D30B8"/>
    <w:rsid w:val="005D36C1"/>
    <w:rsid w:val="005D36DB"/>
    <w:rsid w:val="005D3986"/>
    <w:rsid w:val="005D3ED4"/>
    <w:rsid w:val="005D48FE"/>
    <w:rsid w:val="005D4DA2"/>
    <w:rsid w:val="005D5686"/>
    <w:rsid w:val="005D5880"/>
    <w:rsid w:val="005D5DA2"/>
    <w:rsid w:val="005D5EAC"/>
    <w:rsid w:val="005D601C"/>
    <w:rsid w:val="005D66B0"/>
    <w:rsid w:val="005D6BA1"/>
    <w:rsid w:val="005D6C63"/>
    <w:rsid w:val="005D6D3C"/>
    <w:rsid w:val="005D6E99"/>
    <w:rsid w:val="005D7598"/>
    <w:rsid w:val="005E009F"/>
    <w:rsid w:val="005E0C21"/>
    <w:rsid w:val="005E143B"/>
    <w:rsid w:val="005E1528"/>
    <w:rsid w:val="005E2189"/>
    <w:rsid w:val="005E25F7"/>
    <w:rsid w:val="005E2A5A"/>
    <w:rsid w:val="005E2C15"/>
    <w:rsid w:val="005E2CBB"/>
    <w:rsid w:val="005E36DC"/>
    <w:rsid w:val="005E3B69"/>
    <w:rsid w:val="005E3DDA"/>
    <w:rsid w:val="005E4642"/>
    <w:rsid w:val="005E46DC"/>
    <w:rsid w:val="005E4A51"/>
    <w:rsid w:val="005E4C95"/>
    <w:rsid w:val="005E58A5"/>
    <w:rsid w:val="005E5AF1"/>
    <w:rsid w:val="005E5E61"/>
    <w:rsid w:val="005E7491"/>
    <w:rsid w:val="005E78E7"/>
    <w:rsid w:val="005E7D9E"/>
    <w:rsid w:val="005F00DC"/>
    <w:rsid w:val="005F01BE"/>
    <w:rsid w:val="005F0224"/>
    <w:rsid w:val="005F038B"/>
    <w:rsid w:val="005F03A8"/>
    <w:rsid w:val="005F0908"/>
    <w:rsid w:val="005F0B3C"/>
    <w:rsid w:val="005F0E3E"/>
    <w:rsid w:val="005F14B1"/>
    <w:rsid w:val="005F16C0"/>
    <w:rsid w:val="005F1C34"/>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462"/>
    <w:rsid w:val="00601C2F"/>
    <w:rsid w:val="00601E17"/>
    <w:rsid w:val="00602BBC"/>
    <w:rsid w:val="00603ABE"/>
    <w:rsid w:val="00603F19"/>
    <w:rsid w:val="00604D69"/>
    <w:rsid w:val="006052E4"/>
    <w:rsid w:val="00605442"/>
    <w:rsid w:val="006065A9"/>
    <w:rsid w:val="0060683C"/>
    <w:rsid w:val="00607532"/>
    <w:rsid w:val="00607BCE"/>
    <w:rsid w:val="00607C9B"/>
    <w:rsid w:val="00610319"/>
    <w:rsid w:val="006104FE"/>
    <w:rsid w:val="006105C2"/>
    <w:rsid w:val="00610930"/>
    <w:rsid w:val="00610B37"/>
    <w:rsid w:val="006111D5"/>
    <w:rsid w:val="00611216"/>
    <w:rsid w:val="006125B0"/>
    <w:rsid w:val="00612C20"/>
    <w:rsid w:val="00612E61"/>
    <w:rsid w:val="00612FC6"/>
    <w:rsid w:val="006139F2"/>
    <w:rsid w:val="00613D01"/>
    <w:rsid w:val="00613D28"/>
    <w:rsid w:val="0061404F"/>
    <w:rsid w:val="0061424C"/>
    <w:rsid w:val="00614C2C"/>
    <w:rsid w:val="00614E96"/>
    <w:rsid w:val="00614EA9"/>
    <w:rsid w:val="00615072"/>
    <w:rsid w:val="00615EA0"/>
    <w:rsid w:val="00615F30"/>
    <w:rsid w:val="00616902"/>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C82"/>
    <w:rsid w:val="00624DEA"/>
    <w:rsid w:val="00624F8C"/>
    <w:rsid w:val="00625009"/>
    <w:rsid w:val="00625759"/>
    <w:rsid w:val="006259EF"/>
    <w:rsid w:val="00625B32"/>
    <w:rsid w:val="00625B8F"/>
    <w:rsid w:val="006261EC"/>
    <w:rsid w:val="006278CC"/>
    <w:rsid w:val="00630332"/>
    <w:rsid w:val="00630F2B"/>
    <w:rsid w:val="0063145D"/>
    <w:rsid w:val="006315AC"/>
    <w:rsid w:val="0063189C"/>
    <w:rsid w:val="00632193"/>
    <w:rsid w:val="00632878"/>
    <w:rsid w:val="006328D1"/>
    <w:rsid w:val="00632C05"/>
    <w:rsid w:val="00633595"/>
    <w:rsid w:val="00633BF7"/>
    <w:rsid w:val="00634521"/>
    <w:rsid w:val="0063468C"/>
    <w:rsid w:val="00634DAD"/>
    <w:rsid w:val="006356A3"/>
    <w:rsid w:val="006356C7"/>
    <w:rsid w:val="006358A5"/>
    <w:rsid w:val="006359D0"/>
    <w:rsid w:val="00635B2E"/>
    <w:rsid w:val="006364F7"/>
    <w:rsid w:val="00636E7A"/>
    <w:rsid w:val="00636EAC"/>
    <w:rsid w:val="0063728E"/>
    <w:rsid w:val="006372F2"/>
    <w:rsid w:val="0063730B"/>
    <w:rsid w:val="006373B0"/>
    <w:rsid w:val="00637630"/>
    <w:rsid w:val="00637810"/>
    <w:rsid w:val="00637918"/>
    <w:rsid w:val="0063799F"/>
    <w:rsid w:val="006379EE"/>
    <w:rsid w:val="00637E30"/>
    <w:rsid w:val="00637E67"/>
    <w:rsid w:val="0064036F"/>
    <w:rsid w:val="00640391"/>
    <w:rsid w:val="0064090C"/>
    <w:rsid w:val="00640A83"/>
    <w:rsid w:val="00640D00"/>
    <w:rsid w:val="00641800"/>
    <w:rsid w:val="00641C4F"/>
    <w:rsid w:val="00642D42"/>
    <w:rsid w:val="00642E0E"/>
    <w:rsid w:val="00643044"/>
    <w:rsid w:val="006430ED"/>
    <w:rsid w:val="0064320B"/>
    <w:rsid w:val="006432EA"/>
    <w:rsid w:val="006434BE"/>
    <w:rsid w:val="00643B35"/>
    <w:rsid w:val="00644879"/>
    <w:rsid w:val="00644C6D"/>
    <w:rsid w:val="00644F86"/>
    <w:rsid w:val="0064527F"/>
    <w:rsid w:val="006454AC"/>
    <w:rsid w:val="006457EB"/>
    <w:rsid w:val="00645A81"/>
    <w:rsid w:val="00646222"/>
    <w:rsid w:val="0064663D"/>
    <w:rsid w:val="00646CA0"/>
    <w:rsid w:val="00647186"/>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1C"/>
    <w:rsid w:val="00653E4D"/>
    <w:rsid w:val="00653F03"/>
    <w:rsid w:val="00653F88"/>
    <w:rsid w:val="00654171"/>
    <w:rsid w:val="006541A6"/>
    <w:rsid w:val="00654347"/>
    <w:rsid w:val="006546E0"/>
    <w:rsid w:val="00654926"/>
    <w:rsid w:val="00654C6A"/>
    <w:rsid w:val="00655356"/>
    <w:rsid w:val="00655B41"/>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3BF"/>
    <w:rsid w:val="006624F0"/>
    <w:rsid w:val="0066294A"/>
    <w:rsid w:val="0066318C"/>
    <w:rsid w:val="00663346"/>
    <w:rsid w:val="006637B9"/>
    <w:rsid w:val="00663AAC"/>
    <w:rsid w:val="00664533"/>
    <w:rsid w:val="0066498E"/>
    <w:rsid w:val="006659DD"/>
    <w:rsid w:val="00665B84"/>
    <w:rsid w:val="006661AD"/>
    <w:rsid w:val="006662AD"/>
    <w:rsid w:val="006668CA"/>
    <w:rsid w:val="00666E99"/>
    <w:rsid w:val="0066760C"/>
    <w:rsid w:val="00667ABB"/>
    <w:rsid w:val="006702ED"/>
    <w:rsid w:val="006708C9"/>
    <w:rsid w:val="00670B88"/>
    <w:rsid w:val="00670CE1"/>
    <w:rsid w:val="00670E84"/>
    <w:rsid w:val="00671A22"/>
    <w:rsid w:val="0067240D"/>
    <w:rsid w:val="006726E0"/>
    <w:rsid w:val="006726E2"/>
    <w:rsid w:val="00672D02"/>
    <w:rsid w:val="0067416C"/>
    <w:rsid w:val="006742C5"/>
    <w:rsid w:val="00674A96"/>
    <w:rsid w:val="00674D18"/>
    <w:rsid w:val="006750F1"/>
    <w:rsid w:val="00675A81"/>
    <w:rsid w:val="00676022"/>
    <w:rsid w:val="00676165"/>
    <w:rsid w:val="0067643D"/>
    <w:rsid w:val="0067675D"/>
    <w:rsid w:val="00677A1C"/>
    <w:rsid w:val="00677C43"/>
    <w:rsid w:val="00677C73"/>
    <w:rsid w:val="00677F7C"/>
    <w:rsid w:val="0068074C"/>
    <w:rsid w:val="006813F0"/>
    <w:rsid w:val="006819D0"/>
    <w:rsid w:val="00682AE2"/>
    <w:rsid w:val="00682F0A"/>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37E"/>
    <w:rsid w:val="00691B4D"/>
    <w:rsid w:val="0069225F"/>
    <w:rsid w:val="0069249C"/>
    <w:rsid w:val="00692613"/>
    <w:rsid w:val="006927F0"/>
    <w:rsid w:val="0069289E"/>
    <w:rsid w:val="00692D60"/>
    <w:rsid w:val="00692E52"/>
    <w:rsid w:val="006931BD"/>
    <w:rsid w:val="0069335D"/>
    <w:rsid w:val="00693370"/>
    <w:rsid w:val="00694C3C"/>
    <w:rsid w:val="0069547B"/>
    <w:rsid w:val="00696305"/>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A03"/>
    <w:rsid w:val="006B2ABD"/>
    <w:rsid w:val="006B2E94"/>
    <w:rsid w:val="006B3858"/>
    <w:rsid w:val="006B424E"/>
    <w:rsid w:val="006B4D65"/>
    <w:rsid w:val="006B5363"/>
    <w:rsid w:val="006B56D9"/>
    <w:rsid w:val="006B5FBD"/>
    <w:rsid w:val="006B657B"/>
    <w:rsid w:val="006B6AFA"/>
    <w:rsid w:val="006B709C"/>
    <w:rsid w:val="006B7AF5"/>
    <w:rsid w:val="006C0000"/>
    <w:rsid w:val="006C01B3"/>
    <w:rsid w:val="006C0671"/>
    <w:rsid w:val="006C0F3D"/>
    <w:rsid w:val="006C0F58"/>
    <w:rsid w:val="006C150F"/>
    <w:rsid w:val="006C18B1"/>
    <w:rsid w:val="006C1ABF"/>
    <w:rsid w:val="006C1BD3"/>
    <w:rsid w:val="006C1C44"/>
    <w:rsid w:val="006C1C92"/>
    <w:rsid w:val="006C1D80"/>
    <w:rsid w:val="006C2017"/>
    <w:rsid w:val="006C2C47"/>
    <w:rsid w:val="006C34ED"/>
    <w:rsid w:val="006C3A8A"/>
    <w:rsid w:val="006C3B12"/>
    <w:rsid w:val="006C3D2D"/>
    <w:rsid w:val="006C3D70"/>
    <w:rsid w:val="006C4023"/>
    <w:rsid w:val="006C4287"/>
    <w:rsid w:val="006C431D"/>
    <w:rsid w:val="006C4D54"/>
    <w:rsid w:val="006C51B3"/>
    <w:rsid w:val="006C58DF"/>
    <w:rsid w:val="006C6452"/>
    <w:rsid w:val="006C6529"/>
    <w:rsid w:val="006C6CE3"/>
    <w:rsid w:val="006C7199"/>
    <w:rsid w:val="006C7422"/>
    <w:rsid w:val="006D0087"/>
    <w:rsid w:val="006D04D2"/>
    <w:rsid w:val="006D06CC"/>
    <w:rsid w:val="006D167F"/>
    <w:rsid w:val="006D176D"/>
    <w:rsid w:val="006D280F"/>
    <w:rsid w:val="006D32A1"/>
    <w:rsid w:val="006D383A"/>
    <w:rsid w:val="006D3BE1"/>
    <w:rsid w:val="006D4161"/>
    <w:rsid w:val="006D521C"/>
    <w:rsid w:val="006D5563"/>
    <w:rsid w:val="006D5960"/>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31A"/>
    <w:rsid w:val="006E787E"/>
    <w:rsid w:val="006F0215"/>
    <w:rsid w:val="006F0DA2"/>
    <w:rsid w:val="006F10E1"/>
    <w:rsid w:val="006F11DD"/>
    <w:rsid w:val="006F1422"/>
    <w:rsid w:val="006F161B"/>
    <w:rsid w:val="006F19AA"/>
    <w:rsid w:val="006F19AB"/>
    <w:rsid w:val="006F2410"/>
    <w:rsid w:val="006F26FB"/>
    <w:rsid w:val="006F281D"/>
    <w:rsid w:val="006F285F"/>
    <w:rsid w:val="006F2C77"/>
    <w:rsid w:val="006F3142"/>
    <w:rsid w:val="006F347B"/>
    <w:rsid w:val="006F3536"/>
    <w:rsid w:val="006F3A6E"/>
    <w:rsid w:val="006F4275"/>
    <w:rsid w:val="006F4A1E"/>
    <w:rsid w:val="006F713A"/>
    <w:rsid w:val="006F78A5"/>
    <w:rsid w:val="006F7EEE"/>
    <w:rsid w:val="007001E4"/>
    <w:rsid w:val="00700615"/>
    <w:rsid w:val="00701259"/>
    <w:rsid w:val="00701407"/>
    <w:rsid w:val="00701441"/>
    <w:rsid w:val="00701DC8"/>
    <w:rsid w:val="00701EDB"/>
    <w:rsid w:val="00701F32"/>
    <w:rsid w:val="007021CD"/>
    <w:rsid w:val="00702A1E"/>
    <w:rsid w:val="00702A70"/>
    <w:rsid w:val="00702E9B"/>
    <w:rsid w:val="0070320C"/>
    <w:rsid w:val="007033B5"/>
    <w:rsid w:val="00703549"/>
    <w:rsid w:val="00703BA7"/>
    <w:rsid w:val="00704670"/>
    <w:rsid w:val="00704D42"/>
    <w:rsid w:val="00704E3E"/>
    <w:rsid w:val="00705DA7"/>
    <w:rsid w:val="00706400"/>
    <w:rsid w:val="00706474"/>
    <w:rsid w:val="007069D0"/>
    <w:rsid w:val="0070704B"/>
    <w:rsid w:val="007103A8"/>
    <w:rsid w:val="00710AF8"/>
    <w:rsid w:val="00710BF9"/>
    <w:rsid w:val="00710F65"/>
    <w:rsid w:val="007123F2"/>
    <w:rsid w:val="00712A9F"/>
    <w:rsid w:val="00712ACD"/>
    <w:rsid w:val="0071327A"/>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6CC5"/>
    <w:rsid w:val="00727068"/>
    <w:rsid w:val="007270D6"/>
    <w:rsid w:val="007273AA"/>
    <w:rsid w:val="00727786"/>
    <w:rsid w:val="007278B3"/>
    <w:rsid w:val="00727AE5"/>
    <w:rsid w:val="00727E46"/>
    <w:rsid w:val="00730041"/>
    <w:rsid w:val="0073024E"/>
    <w:rsid w:val="007303ED"/>
    <w:rsid w:val="00730D60"/>
    <w:rsid w:val="00731EC4"/>
    <w:rsid w:val="00731FA8"/>
    <w:rsid w:val="0073212E"/>
    <w:rsid w:val="00732E66"/>
    <w:rsid w:val="0073326F"/>
    <w:rsid w:val="0073378E"/>
    <w:rsid w:val="00733F2B"/>
    <w:rsid w:val="007343AE"/>
    <w:rsid w:val="007343B1"/>
    <w:rsid w:val="00734516"/>
    <w:rsid w:val="00734D2F"/>
    <w:rsid w:val="00735043"/>
    <w:rsid w:val="007356CC"/>
    <w:rsid w:val="00736983"/>
    <w:rsid w:val="00736C98"/>
    <w:rsid w:val="00736CF3"/>
    <w:rsid w:val="00737520"/>
    <w:rsid w:val="007379AC"/>
    <w:rsid w:val="0074067F"/>
    <w:rsid w:val="007406F6"/>
    <w:rsid w:val="00740C3E"/>
    <w:rsid w:val="00740E0F"/>
    <w:rsid w:val="0074196F"/>
    <w:rsid w:val="0074222A"/>
    <w:rsid w:val="00742601"/>
    <w:rsid w:val="00743384"/>
    <w:rsid w:val="00743463"/>
    <w:rsid w:val="00743EA9"/>
    <w:rsid w:val="0074450C"/>
    <w:rsid w:val="00744632"/>
    <w:rsid w:val="00744779"/>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1C76"/>
    <w:rsid w:val="007524DB"/>
    <w:rsid w:val="007526C7"/>
    <w:rsid w:val="00753115"/>
    <w:rsid w:val="007535E4"/>
    <w:rsid w:val="007536B9"/>
    <w:rsid w:val="00753941"/>
    <w:rsid w:val="00753A65"/>
    <w:rsid w:val="00753ADE"/>
    <w:rsid w:val="00754D6C"/>
    <w:rsid w:val="007551D8"/>
    <w:rsid w:val="00755B26"/>
    <w:rsid w:val="00755D95"/>
    <w:rsid w:val="0075625B"/>
    <w:rsid w:val="00756A96"/>
    <w:rsid w:val="00756E3A"/>
    <w:rsid w:val="0075719C"/>
    <w:rsid w:val="007578C1"/>
    <w:rsid w:val="00757B56"/>
    <w:rsid w:val="007609B5"/>
    <w:rsid w:val="00760B67"/>
    <w:rsid w:val="00760F3C"/>
    <w:rsid w:val="0076115B"/>
    <w:rsid w:val="0076182A"/>
    <w:rsid w:val="007619E8"/>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300F"/>
    <w:rsid w:val="00773308"/>
    <w:rsid w:val="007735FB"/>
    <w:rsid w:val="0077389E"/>
    <w:rsid w:val="00773F61"/>
    <w:rsid w:val="00774E68"/>
    <w:rsid w:val="00774E93"/>
    <w:rsid w:val="0077505C"/>
    <w:rsid w:val="007758DC"/>
    <w:rsid w:val="0077594D"/>
    <w:rsid w:val="007761EE"/>
    <w:rsid w:val="0077697F"/>
    <w:rsid w:val="0077727E"/>
    <w:rsid w:val="007772C8"/>
    <w:rsid w:val="00777388"/>
    <w:rsid w:val="00777BAD"/>
    <w:rsid w:val="00777D52"/>
    <w:rsid w:val="00777DAD"/>
    <w:rsid w:val="00780097"/>
    <w:rsid w:val="007809A9"/>
    <w:rsid w:val="00780D40"/>
    <w:rsid w:val="00781125"/>
    <w:rsid w:val="00781F3B"/>
    <w:rsid w:val="00782109"/>
    <w:rsid w:val="007824AB"/>
    <w:rsid w:val="00783850"/>
    <w:rsid w:val="00783C07"/>
    <w:rsid w:val="00784964"/>
    <w:rsid w:val="00784D2F"/>
    <w:rsid w:val="00784F53"/>
    <w:rsid w:val="00785D0A"/>
    <w:rsid w:val="00786364"/>
    <w:rsid w:val="007864BE"/>
    <w:rsid w:val="007874F4"/>
    <w:rsid w:val="00787591"/>
    <w:rsid w:val="007877E8"/>
    <w:rsid w:val="0078781C"/>
    <w:rsid w:val="00787AC0"/>
    <w:rsid w:val="00787BF8"/>
    <w:rsid w:val="00787EAD"/>
    <w:rsid w:val="0079068D"/>
    <w:rsid w:val="00790BF1"/>
    <w:rsid w:val="00790E5B"/>
    <w:rsid w:val="0079128A"/>
    <w:rsid w:val="00791581"/>
    <w:rsid w:val="00792831"/>
    <w:rsid w:val="00792B80"/>
    <w:rsid w:val="007938BB"/>
    <w:rsid w:val="0079415F"/>
    <w:rsid w:val="00795121"/>
    <w:rsid w:val="00795C02"/>
    <w:rsid w:val="00795E68"/>
    <w:rsid w:val="00795F23"/>
    <w:rsid w:val="00795FC9"/>
    <w:rsid w:val="00796843"/>
    <w:rsid w:val="0079764A"/>
    <w:rsid w:val="007A0926"/>
    <w:rsid w:val="007A156F"/>
    <w:rsid w:val="007A1E36"/>
    <w:rsid w:val="007A2FCF"/>
    <w:rsid w:val="007A354C"/>
    <w:rsid w:val="007A3DF5"/>
    <w:rsid w:val="007A3F08"/>
    <w:rsid w:val="007A4B4D"/>
    <w:rsid w:val="007A4DFA"/>
    <w:rsid w:val="007A4EBD"/>
    <w:rsid w:val="007A521B"/>
    <w:rsid w:val="007A54C1"/>
    <w:rsid w:val="007A54D9"/>
    <w:rsid w:val="007A582C"/>
    <w:rsid w:val="007A5995"/>
    <w:rsid w:val="007A5D0C"/>
    <w:rsid w:val="007A696C"/>
    <w:rsid w:val="007A70F6"/>
    <w:rsid w:val="007A711B"/>
    <w:rsid w:val="007A7314"/>
    <w:rsid w:val="007A75A0"/>
    <w:rsid w:val="007A7E74"/>
    <w:rsid w:val="007A7F2A"/>
    <w:rsid w:val="007B0091"/>
    <w:rsid w:val="007B0184"/>
    <w:rsid w:val="007B0536"/>
    <w:rsid w:val="007B06A5"/>
    <w:rsid w:val="007B0A01"/>
    <w:rsid w:val="007B0C46"/>
    <w:rsid w:val="007B112B"/>
    <w:rsid w:val="007B147A"/>
    <w:rsid w:val="007B1C69"/>
    <w:rsid w:val="007B1F7F"/>
    <w:rsid w:val="007B21F2"/>
    <w:rsid w:val="007B328D"/>
    <w:rsid w:val="007B34D1"/>
    <w:rsid w:val="007B3FAA"/>
    <w:rsid w:val="007B4427"/>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1372"/>
    <w:rsid w:val="007C17FC"/>
    <w:rsid w:val="007C1C85"/>
    <w:rsid w:val="007C1FF6"/>
    <w:rsid w:val="007C2E02"/>
    <w:rsid w:val="007C2F86"/>
    <w:rsid w:val="007C33A8"/>
    <w:rsid w:val="007C4108"/>
    <w:rsid w:val="007C45FB"/>
    <w:rsid w:val="007C4A9A"/>
    <w:rsid w:val="007C4AF4"/>
    <w:rsid w:val="007C553D"/>
    <w:rsid w:val="007C566F"/>
    <w:rsid w:val="007C56CB"/>
    <w:rsid w:val="007C5CAC"/>
    <w:rsid w:val="007C76F8"/>
    <w:rsid w:val="007C7734"/>
    <w:rsid w:val="007C7B0E"/>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BEE"/>
    <w:rsid w:val="007E0EA7"/>
    <w:rsid w:val="007E10DE"/>
    <w:rsid w:val="007E128A"/>
    <w:rsid w:val="007E19A6"/>
    <w:rsid w:val="007E3217"/>
    <w:rsid w:val="007E36FC"/>
    <w:rsid w:val="007E3828"/>
    <w:rsid w:val="007E3B77"/>
    <w:rsid w:val="007E3C92"/>
    <w:rsid w:val="007E405F"/>
    <w:rsid w:val="007E417C"/>
    <w:rsid w:val="007E4217"/>
    <w:rsid w:val="007E5629"/>
    <w:rsid w:val="007E5AD7"/>
    <w:rsid w:val="007E63BA"/>
    <w:rsid w:val="007E68C3"/>
    <w:rsid w:val="007E69A8"/>
    <w:rsid w:val="007E6E5C"/>
    <w:rsid w:val="007E750F"/>
    <w:rsid w:val="007E7AD2"/>
    <w:rsid w:val="007E7CB0"/>
    <w:rsid w:val="007E7D7C"/>
    <w:rsid w:val="007F02E3"/>
    <w:rsid w:val="007F0CD0"/>
    <w:rsid w:val="007F1517"/>
    <w:rsid w:val="007F1621"/>
    <w:rsid w:val="007F16B7"/>
    <w:rsid w:val="007F1D4F"/>
    <w:rsid w:val="007F272A"/>
    <w:rsid w:val="007F2A7E"/>
    <w:rsid w:val="007F3426"/>
    <w:rsid w:val="007F34DE"/>
    <w:rsid w:val="007F34EB"/>
    <w:rsid w:val="007F370E"/>
    <w:rsid w:val="007F3B2C"/>
    <w:rsid w:val="007F3C16"/>
    <w:rsid w:val="007F42D5"/>
    <w:rsid w:val="007F4A1B"/>
    <w:rsid w:val="007F4AD9"/>
    <w:rsid w:val="007F4C7A"/>
    <w:rsid w:val="007F53B3"/>
    <w:rsid w:val="007F572D"/>
    <w:rsid w:val="007F59FF"/>
    <w:rsid w:val="007F5D02"/>
    <w:rsid w:val="007F6056"/>
    <w:rsid w:val="007F7FF2"/>
    <w:rsid w:val="00800889"/>
    <w:rsid w:val="00800A64"/>
    <w:rsid w:val="00800C46"/>
    <w:rsid w:val="0080175F"/>
    <w:rsid w:val="00801F46"/>
    <w:rsid w:val="00802129"/>
    <w:rsid w:val="008024D4"/>
    <w:rsid w:val="008026ED"/>
    <w:rsid w:val="00802B8E"/>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940"/>
    <w:rsid w:val="00811E96"/>
    <w:rsid w:val="00811EF6"/>
    <w:rsid w:val="0081268F"/>
    <w:rsid w:val="0081297F"/>
    <w:rsid w:val="008141D0"/>
    <w:rsid w:val="00814318"/>
    <w:rsid w:val="008148B4"/>
    <w:rsid w:val="0081495F"/>
    <w:rsid w:val="00815011"/>
    <w:rsid w:val="008153A7"/>
    <w:rsid w:val="0081585D"/>
    <w:rsid w:val="00815EB6"/>
    <w:rsid w:val="008162A9"/>
    <w:rsid w:val="0081653B"/>
    <w:rsid w:val="008166A5"/>
    <w:rsid w:val="008168F8"/>
    <w:rsid w:val="00820133"/>
    <w:rsid w:val="00820393"/>
    <w:rsid w:val="008203CF"/>
    <w:rsid w:val="00820603"/>
    <w:rsid w:val="00820F52"/>
    <w:rsid w:val="00821122"/>
    <w:rsid w:val="00821CD7"/>
    <w:rsid w:val="0082350D"/>
    <w:rsid w:val="00823E80"/>
    <w:rsid w:val="00824505"/>
    <w:rsid w:val="008246BA"/>
    <w:rsid w:val="00824AA0"/>
    <w:rsid w:val="00824B1A"/>
    <w:rsid w:val="00825A14"/>
    <w:rsid w:val="00825A1B"/>
    <w:rsid w:val="00825AAA"/>
    <w:rsid w:val="00826222"/>
    <w:rsid w:val="008304C8"/>
    <w:rsid w:val="00830B48"/>
    <w:rsid w:val="0083121F"/>
    <w:rsid w:val="00831AF4"/>
    <w:rsid w:val="00831BC5"/>
    <w:rsid w:val="00831C86"/>
    <w:rsid w:val="00831FC6"/>
    <w:rsid w:val="008327D7"/>
    <w:rsid w:val="00832A1F"/>
    <w:rsid w:val="008332F5"/>
    <w:rsid w:val="008336FB"/>
    <w:rsid w:val="00833AB7"/>
    <w:rsid w:val="00833E19"/>
    <w:rsid w:val="00833FCD"/>
    <w:rsid w:val="0083431E"/>
    <w:rsid w:val="00834535"/>
    <w:rsid w:val="00834E18"/>
    <w:rsid w:val="00834E9C"/>
    <w:rsid w:val="00835707"/>
    <w:rsid w:val="00835B73"/>
    <w:rsid w:val="00835BF5"/>
    <w:rsid w:val="0083622F"/>
    <w:rsid w:val="00836462"/>
    <w:rsid w:val="008368AA"/>
    <w:rsid w:val="00836A5E"/>
    <w:rsid w:val="00836E6E"/>
    <w:rsid w:val="00837087"/>
    <w:rsid w:val="0083723D"/>
    <w:rsid w:val="00837276"/>
    <w:rsid w:val="008372A9"/>
    <w:rsid w:val="008375AA"/>
    <w:rsid w:val="00837997"/>
    <w:rsid w:val="00840057"/>
    <w:rsid w:val="00842138"/>
    <w:rsid w:val="00842561"/>
    <w:rsid w:val="00842BBF"/>
    <w:rsid w:val="00842F70"/>
    <w:rsid w:val="00843348"/>
    <w:rsid w:val="00843C79"/>
    <w:rsid w:val="00843FE7"/>
    <w:rsid w:val="00844A1F"/>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0A20"/>
    <w:rsid w:val="00851014"/>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72F"/>
    <w:rsid w:val="00856A67"/>
    <w:rsid w:val="00856B26"/>
    <w:rsid w:val="00856B71"/>
    <w:rsid w:val="00856C93"/>
    <w:rsid w:val="008573F9"/>
    <w:rsid w:val="00857D59"/>
    <w:rsid w:val="00857E85"/>
    <w:rsid w:val="00861731"/>
    <w:rsid w:val="0086190F"/>
    <w:rsid w:val="0086219D"/>
    <w:rsid w:val="00862862"/>
    <w:rsid w:val="008628FE"/>
    <w:rsid w:val="00862BAF"/>
    <w:rsid w:val="00862D12"/>
    <w:rsid w:val="00863B4F"/>
    <w:rsid w:val="00864147"/>
    <w:rsid w:val="008642D0"/>
    <w:rsid w:val="0086437F"/>
    <w:rsid w:val="00864795"/>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57E"/>
    <w:rsid w:val="0087267C"/>
    <w:rsid w:val="0087336E"/>
    <w:rsid w:val="008736E6"/>
    <w:rsid w:val="00873E3E"/>
    <w:rsid w:val="008747C9"/>
    <w:rsid w:val="00875402"/>
    <w:rsid w:val="00875449"/>
    <w:rsid w:val="00875858"/>
    <w:rsid w:val="00876359"/>
    <w:rsid w:val="00876705"/>
    <w:rsid w:val="00877175"/>
    <w:rsid w:val="00877544"/>
    <w:rsid w:val="00877E88"/>
    <w:rsid w:val="0088002F"/>
    <w:rsid w:val="008802A2"/>
    <w:rsid w:val="008804D7"/>
    <w:rsid w:val="008806EF"/>
    <w:rsid w:val="00880A80"/>
    <w:rsid w:val="00881072"/>
    <w:rsid w:val="008816A3"/>
    <w:rsid w:val="00881DF7"/>
    <w:rsid w:val="008829F7"/>
    <w:rsid w:val="00882E18"/>
    <w:rsid w:val="00882EB6"/>
    <w:rsid w:val="008835E1"/>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9AC"/>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7AC"/>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E17"/>
    <w:rsid w:val="008C0F5B"/>
    <w:rsid w:val="008C1006"/>
    <w:rsid w:val="008C2AB9"/>
    <w:rsid w:val="008C329B"/>
    <w:rsid w:val="008C3638"/>
    <w:rsid w:val="008C3DBB"/>
    <w:rsid w:val="008C4092"/>
    <w:rsid w:val="008C5036"/>
    <w:rsid w:val="008C5D99"/>
    <w:rsid w:val="008C61AE"/>
    <w:rsid w:val="008C6F75"/>
    <w:rsid w:val="008C7151"/>
    <w:rsid w:val="008C7200"/>
    <w:rsid w:val="008C7627"/>
    <w:rsid w:val="008D043E"/>
    <w:rsid w:val="008D0443"/>
    <w:rsid w:val="008D0D42"/>
    <w:rsid w:val="008D0E0F"/>
    <w:rsid w:val="008D111E"/>
    <w:rsid w:val="008D12BF"/>
    <w:rsid w:val="008D1B62"/>
    <w:rsid w:val="008D1B9E"/>
    <w:rsid w:val="008D1F9A"/>
    <w:rsid w:val="008D2082"/>
    <w:rsid w:val="008D2388"/>
    <w:rsid w:val="008D24C9"/>
    <w:rsid w:val="008D287B"/>
    <w:rsid w:val="008D2AEF"/>
    <w:rsid w:val="008D4146"/>
    <w:rsid w:val="008D42F6"/>
    <w:rsid w:val="008D5013"/>
    <w:rsid w:val="008D59E9"/>
    <w:rsid w:val="008D6E4C"/>
    <w:rsid w:val="008D7367"/>
    <w:rsid w:val="008D73B9"/>
    <w:rsid w:val="008D7D2D"/>
    <w:rsid w:val="008E0B4C"/>
    <w:rsid w:val="008E0F0B"/>
    <w:rsid w:val="008E1159"/>
    <w:rsid w:val="008E1580"/>
    <w:rsid w:val="008E1A9C"/>
    <w:rsid w:val="008E1B5B"/>
    <w:rsid w:val="008E20BE"/>
    <w:rsid w:val="008E20F1"/>
    <w:rsid w:val="008E2F17"/>
    <w:rsid w:val="008E30EF"/>
    <w:rsid w:val="008E3175"/>
    <w:rsid w:val="008E32CE"/>
    <w:rsid w:val="008E37C0"/>
    <w:rsid w:val="008E3CC4"/>
    <w:rsid w:val="008E3DDC"/>
    <w:rsid w:val="008E417F"/>
    <w:rsid w:val="008E4F24"/>
    <w:rsid w:val="008E5512"/>
    <w:rsid w:val="008E59C0"/>
    <w:rsid w:val="008E5F4E"/>
    <w:rsid w:val="008E606F"/>
    <w:rsid w:val="008E63A4"/>
    <w:rsid w:val="008E65C3"/>
    <w:rsid w:val="008E6EF3"/>
    <w:rsid w:val="008E71E2"/>
    <w:rsid w:val="008E74CF"/>
    <w:rsid w:val="008E75D6"/>
    <w:rsid w:val="008E76F8"/>
    <w:rsid w:val="008E7701"/>
    <w:rsid w:val="008F080D"/>
    <w:rsid w:val="008F08C3"/>
    <w:rsid w:val="008F1056"/>
    <w:rsid w:val="008F1589"/>
    <w:rsid w:val="008F1873"/>
    <w:rsid w:val="008F18E5"/>
    <w:rsid w:val="008F2187"/>
    <w:rsid w:val="008F245E"/>
    <w:rsid w:val="008F2E02"/>
    <w:rsid w:val="008F3327"/>
    <w:rsid w:val="008F3549"/>
    <w:rsid w:val="008F39A8"/>
    <w:rsid w:val="008F3E23"/>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B7B"/>
    <w:rsid w:val="00907C3D"/>
    <w:rsid w:val="0091051D"/>
    <w:rsid w:val="00910533"/>
    <w:rsid w:val="009105FC"/>
    <w:rsid w:val="00910C50"/>
    <w:rsid w:val="009117BF"/>
    <w:rsid w:val="00911F9B"/>
    <w:rsid w:val="009120C5"/>
    <w:rsid w:val="00912796"/>
    <w:rsid w:val="0091293D"/>
    <w:rsid w:val="00912CB8"/>
    <w:rsid w:val="009132FC"/>
    <w:rsid w:val="00913863"/>
    <w:rsid w:val="009138D6"/>
    <w:rsid w:val="00913B73"/>
    <w:rsid w:val="00913C6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D9A"/>
    <w:rsid w:val="00921EDE"/>
    <w:rsid w:val="0092228B"/>
    <w:rsid w:val="00923216"/>
    <w:rsid w:val="009234D0"/>
    <w:rsid w:val="00923A33"/>
    <w:rsid w:val="00923A7B"/>
    <w:rsid w:val="00923DB7"/>
    <w:rsid w:val="00926180"/>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1B"/>
    <w:rsid w:val="0093548A"/>
    <w:rsid w:val="00935A32"/>
    <w:rsid w:val="00935F94"/>
    <w:rsid w:val="00936381"/>
    <w:rsid w:val="00936F5C"/>
    <w:rsid w:val="00936F84"/>
    <w:rsid w:val="009372E0"/>
    <w:rsid w:val="009376D7"/>
    <w:rsid w:val="00937A6E"/>
    <w:rsid w:val="00937FC1"/>
    <w:rsid w:val="0094006D"/>
    <w:rsid w:val="00940851"/>
    <w:rsid w:val="00940B22"/>
    <w:rsid w:val="00941194"/>
    <w:rsid w:val="0094125B"/>
    <w:rsid w:val="00941352"/>
    <w:rsid w:val="00941375"/>
    <w:rsid w:val="0094160F"/>
    <w:rsid w:val="009422BC"/>
    <w:rsid w:val="0094287F"/>
    <w:rsid w:val="00942B51"/>
    <w:rsid w:val="009430E5"/>
    <w:rsid w:val="0094315F"/>
    <w:rsid w:val="009431A3"/>
    <w:rsid w:val="009432CB"/>
    <w:rsid w:val="009434C0"/>
    <w:rsid w:val="009436D4"/>
    <w:rsid w:val="00943AFE"/>
    <w:rsid w:val="00943BD8"/>
    <w:rsid w:val="00943DE3"/>
    <w:rsid w:val="00944192"/>
    <w:rsid w:val="00944E26"/>
    <w:rsid w:val="009462A7"/>
    <w:rsid w:val="0094678B"/>
    <w:rsid w:val="00946AB7"/>
    <w:rsid w:val="00946B07"/>
    <w:rsid w:val="00950145"/>
    <w:rsid w:val="009505BB"/>
    <w:rsid w:val="009510AD"/>
    <w:rsid w:val="0095117D"/>
    <w:rsid w:val="009513BE"/>
    <w:rsid w:val="00951973"/>
    <w:rsid w:val="00951DAD"/>
    <w:rsid w:val="00951DBF"/>
    <w:rsid w:val="00951E28"/>
    <w:rsid w:val="00951EFA"/>
    <w:rsid w:val="00952259"/>
    <w:rsid w:val="0095242E"/>
    <w:rsid w:val="0095256D"/>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B5C"/>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E5"/>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342A"/>
    <w:rsid w:val="00983AE1"/>
    <w:rsid w:val="00983E85"/>
    <w:rsid w:val="009854B6"/>
    <w:rsid w:val="00985829"/>
    <w:rsid w:val="00985D36"/>
    <w:rsid w:val="00985DBA"/>
    <w:rsid w:val="00985F0E"/>
    <w:rsid w:val="009860C3"/>
    <w:rsid w:val="009865D6"/>
    <w:rsid w:val="00986975"/>
    <w:rsid w:val="00986C5B"/>
    <w:rsid w:val="0098757B"/>
    <w:rsid w:val="00990506"/>
    <w:rsid w:val="00990E8D"/>
    <w:rsid w:val="00990F79"/>
    <w:rsid w:val="009910DC"/>
    <w:rsid w:val="00991584"/>
    <w:rsid w:val="00991705"/>
    <w:rsid w:val="0099172C"/>
    <w:rsid w:val="00991B19"/>
    <w:rsid w:val="00991F23"/>
    <w:rsid w:val="00992605"/>
    <w:rsid w:val="00992CD6"/>
    <w:rsid w:val="00993599"/>
    <w:rsid w:val="00994CCA"/>
    <w:rsid w:val="009958AF"/>
    <w:rsid w:val="00996FFF"/>
    <w:rsid w:val="009974A8"/>
    <w:rsid w:val="009975C9"/>
    <w:rsid w:val="009A0A09"/>
    <w:rsid w:val="009A0DDD"/>
    <w:rsid w:val="009A1489"/>
    <w:rsid w:val="009A245B"/>
    <w:rsid w:val="009A2516"/>
    <w:rsid w:val="009A25A6"/>
    <w:rsid w:val="009A2FAA"/>
    <w:rsid w:val="009A349F"/>
    <w:rsid w:val="009A3852"/>
    <w:rsid w:val="009A4788"/>
    <w:rsid w:val="009A4A6E"/>
    <w:rsid w:val="009A5FDB"/>
    <w:rsid w:val="009A7D33"/>
    <w:rsid w:val="009B007C"/>
    <w:rsid w:val="009B0A9C"/>
    <w:rsid w:val="009B0E26"/>
    <w:rsid w:val="009B10AE"/>
    <w:rsid w:val="009B1240"/>
    <w:rsid w:val="009B1309"/>
    <w:rsid w:val="009B146A"/>
    <w:rsid w:val="009B1690"/>
    <w:rsid w:val="009B18D7"/>
    <w:rsid w:val="009B23EE"/>
    <w:rsid w:val="009B3610"/>
    <w:rsid w:val="009B37D3"/>
    <w:rsid w:val="009B4C61"/>
    <w:rsid w:val="009B4C66"/>
    <w:rsid w:val="009B4CB0"/>
    <w:rsid w:val="009B4CE0"/>
    <w:rsid w:val="009B4EB8"/>
    <w:rsid w:val="009B54CF"/>
    <w:rsid w:val="009B5A8C"/>
    <w:rsid w:val="009B5C74"/>
    <w:rsid w:val="009B661E"/>
    <w:rsid w:val="009B68A4"/>
    <w:rsid w:val="009B6CF3"/>
    <w:rsid w:val="009B75F0"/>
    <w:rsid w:val="009B7D1B"/>
    <w:rsid w:val="009C01B9"/>
    <w:rsid w:val="009C0342"/>
    <w:rsid w:val="009C0408"/>
    <w:rsid w:val="009C0B5E"/>
    <w:rsid w:val="009C12CC"/>
    <w:rsid w:val="009C161A"/>
    <w:rsid w:val="009C1E60"/>
    <w:rsid w:val="009C270A"/>
    <w:rsid w:val="009C2CE9"/>
    <w:rsid w:val="009C3C12"/>
    <w:rsid w:val="009C4077"/>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2C91"/>
    <w:rsid w:val="009D378B"/>
    <w:rsid w:val="009D3B20"/>
    <w:rsid w:val="009D41AC"/>
    <w:rsid w:val="009D5139"/>
    <w:rsid w:val="009D55EE"/>
    <w:rsid w:val="009D564D"/>
    <w:rsid w:val="009D5843"/>
    <w:rsid w:val="009D5970"/>
    <w:rsid w:val="009D5C32"/>
    <w:rsid w:val="009D73F5"/>
    <w:rsid w:val="009D740A"/>
    <w:rsid w:val="009D7D93"/>
    <w:rsid w:val="009E040E"/>
    <w:rsid w:val="009E0531"/>
    <w:rsid w:val="009E15ED"/>
    <w:rsid w:val="009E1607"/>
    <w:rsid w:val="009E1A3F"/>
    <w:rsid w:val="009E1A92"/>
    <w:rsid w:val="009E21B7"/>
    <w:rsid w:val="009E2CF2"/>
    <w:rsid w:val="009E2EA7"/>
    <w:rsid w:val="009E312B"/>
    <w:rsid w:val="009E327E"/>
    <w:rsid w:val="009E3966"/>
    <w:rsid w:val="009E397E"/>
    <w:rsid w:val="009E41D0"/>
    <w:rsid w:val="009E4844"/>
    <w:rsid w:val="009E4CC2"/>
    <w:rsid w:val="009E564F"/>
    <w:rsid w:val="009E6184"/>
    <w:rsid w:val="009E6333"/>
    <w:rsid w:val="009E655C"/>
    <w:rsid w:val="009E6F2E"/>
    <w:rsid w:val="009E7475"/>
    <w:rsid w:val="009E752B"/>
    <w:rsid w:val="009F0A3A"/>
    <w:rsid w:val="009F0BD3"/>
    <w:rsid w:val="009F1A47"/>
    <w:rsid w:val="009F1F49"/>
    <w:rsid w:val="009F2467"/>
    <w:rsid w:val="009F3218"/>
    <w:rsid w:val="009F394C"/>
    <w:rsid w:val="009F3A44"/>
    <w:rsid w:val="009F3D00"/>
    <w:rsid w:val="009F42A9"/>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07476"/>
    <w:rsid w:val="00A1016F"/>
    <w:rsid w:val="00A102CF"/>
    <w:rsid w:val="00A10996"/>
    <w:rsid w:val="00A10B74"/>
    <w:rsid w:val="00A10C18"/>
    <w:rsid w:val="00A10EC9"/>
    <w:rsid w:val="00A1130A"/>
    <w:rsid w:val="00A11E8D"/>
    <w:rsid w:val="00A11F7F"/>
    <w:rsid w:val="00A12648"/>
    <w:rsid w:val="00A127BA"/>
    <w:rsid w:val="00A136A9"/>
    <w:rsid w:val="00A13855"/>
    <w:rsid w:val="00A139EC"/>
    <w:rsid w:val="00A13CF2"/>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556"/>
    <w:rsid w:val="00A21903"/>
    <w:rsid w:val="00A22AF7"/>
    <w:rsid w:val="00A23211"/>
    <w:rsid w:val="00A23428"/>
    <w:rsid w:val="00A2405B"/>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47B"/>
    <w:rsid w:val="00A37995"/>
    <w:rsid w:val="00A408EB"/>
    <w:rsid w:val="00A4109A"/>
    <w:rsid w:val="00A4133B"/>
    <w:rsid w:val="00A4189A"/>
    <w:rsid w:val="00A41A4E"/>
    <w:rsid w:val="00A42565"/>
    <w:rsid w:val="00A42621"/>
    <w:rsid w:val="00A436D2"/>
    <w:rsid w:val="00A43752"/>
    <w:rsid w:val="00A4391C"/>
    <w:rsid w:val="00A443B8"/>
    <w:rsid w:val="00A44504"/>
    <w:rsid w:val="00A452B2"/>
    <w:rsid w:val="00A454E3"/>
    <w:rsid w:val="00A457AB"/>
    <w:rsid w:val="00A463F3"/>
    <w:rsid w:val="00A468B1"/>
    <w:rsid w:val="00A47100"/>
    <w:rsid w:val="00A47291"/>
    <w:rsid w:val="00A472D1"/>
    <w:rsid w:val="00A47335"/>
    <w:rsid w:val="00A47902"/>
    <w:rsid w:val="00A47B8B"/>
    <w:rsid w:val="00A50258"/>
    <w:rsid w:val="00A50806"/>
    <w:rsid w:val="00A5085F"/>
    <w:rsid w:val="00A51149"/>
    <w:rsid w:val="00A523F5"/>
    <w:rsid w:val="00A5289A"/>
    <w:rsid w:val="00A53632"/>
    <w:rsid w:val="00A53AB4"/>
    <w:rsid w:val="00A53DBB"/>
    <w:rsid w:val="00A53FB6"/>
    <w:rsid w:val="00A5498C"/>
    <w:rsid w:val="00A54D45"/>
    <w:rsid w:val="00A54EE1"/>
    <w:rsid w:val="00A54FE4"/>
    <w:rsid w:val="00A5541A"/>
    <w:rsid w:val="00A55BD7"/>
    <w:rsid w:val="00A56092"/>
    <w:rsid w:val="00A56419"/>
    <w:rsid w:val="00A567CB"/>
    <w:rsid w:val="00A57263"/>
    <w:rsid w:val="00A57DEC"/>
    <w:rsid w:val="00A60040"/>
    <w:rsid w:val="00A6060D"/>
    <w:rsid w:val="00A60C13"/>
    <w:rsid w:val="00A615A6"/>
    <w:rsid w:val="00A61AD5"/>
    <w:rsid w:val="00A61C95"/>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F7"/>
    <w:rsid w:val="00A65C20"/>
    <w:rsid w:val="00A65DCD"/>
    <w:rsid w:val="00A66506"/>
    <w:rsid w:val="00A66E2A"/>
    <w:rsid w:val="00A6764D"/>
    <w:rsid w:val="00A6769C"/>
    <w:rsid w:val="00A67E6C"/>
    <w:rsid w:val="00A67FE1"/>
    <w:rsid w:val="00A70081"/>
    <w:rsid w:val="00A703C1"/>
    <w:rsid w:val="00A70642"/>
    <w:rsid w:val="00A7067D"/>
    <w:rsid w:val="00A712E0"/>
    <w:rsid w:val="00A7189A"/>
    <w:rsid w:val="00A71C9E"/>
    <w:rsid w:val="00A71DDE"/>
    <w:rsid w:val="00A7228B"/>
    <w:rsid w:val="00A7251C"/>
    <w:rsid w:val="00A72A7B"/>
    <w:rsid w:val="00A72B75"/>
    <w:rsid w:val="00A73038"/>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1F83"/>
    <w:rsid w:val="00A82177"/>
    <w:rsid w:val="00A826F1"/>
    <w:rsid w:val="00A82712"/>
    <w:rsid w:val="00A82D02"/>
    <w:rsid w:val="00A82D36"/>
    <w:rsid w:val="00A83369"/>
    <w:rsid w:val="00A83A27"/>
    <w:rsid w:val="00A8428C"/>
    <w:rsid w:val="00A84364"/>
    <w:rsid w:val="00A84CD0"/>
    <w:rsid w:val="00A858E9"/>
    <w:rsid w:val="00A85E5B"/>
    <w:rsid w:val="00A85E73"/>
    <w:rsid w:val="00A85EC0"/>
    <w:rsid w:val="00A86473"/>
    <w:rsid w:val="00A86556"/>
    <w:rsid w:val="00A86ED1"/>
    <w:rsid w:val="00A86F9B"/>
    <w:rsid w:val="00A909F1"/>
    <w:rsid w:val="00A915F4"/>
    <w:rsid w:val="00A917A9"/>
    <w:rsid w:val="00A91C36"/>
    <w:rsid w:val="00A91D41"/>
    <w:rsid w:val="00A9255C"/>
    <w:rsid w:val="00A926F4"/>
    <w:rsid w:val="00A929F5"/>
    <w:rsid w:val="00A9331F"/>
    <w:rsid w:val="00A93F51"/>
    <w:rsid w:val="00A96010"/>
    <w:rsid w:val="00A9684D"/>
    <w:rsid w:val="00A97402"/>
    <w:rsid w:val="00A974C9"/>
    <w:rsid w:val="00A97873"/>
    <w:rsid w:val="00AA0B30"/>
    <w:rsid w:val="00AA0EFF"/>
    <w:rsid w:val="00AA0F61"/>
    <w:rsid w:val="00AA1258"/>
    <w:rsid w:val="00AA1265"/>
    <w:rsid w:val="00AA1D97"/>
    <w:rsid w:val="00AA1E6C"/>
    <w:rsid w:val="00AA29DC"/>
    <w:rsid w:val="00AA2B4F"/>
    <w:rsid w:val="00AA321D"/>
    <w:rsid w:val="00AA3259"/>
    <w:rsid w:val="00AA383C"/>
    <w:rsid w:val="00AA3BBB"/>
    <w:rsid w:val="00AA3C4B"/>
    <w:rsid w:val="00AA3F4F"/>
    <w:rsid w:val="00AA4830"/>
    <w:rsid w:val="00AA4B32"/>
    <w:rsid w:val="00AA4CFF"/>
    <w:rsid w:val="00AA4D52"/>
    <w:rsid w:val="00AA4F04"/>
    <w:rsid w:val="00AA5773"/>
    <w:rsid w:val="00AA5953"/>
    <w:rsid w:val="00AA6669"/>
    <w:rsid w:val="00AA690A"/>
    <w:rsid w:val="00AA6AB3"/>
    <w:rsid w:val="00AA6D26"/>
    <w:rsid w:val="00AA74C0"/>
    <w:rsid w:val="00AB0541"/>
    <w:rsid w:val="00AB09EE"/>
    <w:rsid w:val="00AB19B4"/>
    <w:rsid w:val="00AB1ACD"/>
    <w:rsid w:val="00AB2400"/>
    <w:rsid w:val="00AB25DF"/>
    <w:rsid w:val="00AB5377"/>
    <w:rsid w:val="00AB5B77"/>
    <w:rsid w:val="00AB5C1D"/>
    <w:rsid w:val="00AB5FC3"/>
    <w:rsid w:val="00AB7D08"/>
    <w:rsid w:val="00AB7F4B"/>
    <w:rsid w:val="00AB7F83"/>
    <w:rsid w:val="00AC0B81"/>
    <w:rsid w:val="00AC1BC9"/>
    <w:rsid w:val="00AC2300"/>
    <w:rsid w:val="00AC2C98"/>
    <w:rsid w:val="00AC3451"/>
    <w:rsid w:val="00AC3506"/>
    <w:rsid w:val="00AC387E"/>
    <w:rsid w:val="00AC49E6"/>
    <w:rsid w:val="00AC4DD2"/>
    <w:rsid w:val="00AC5210"/>
    <w:rsid w:val="00AC5710"/>
    <w:rsid w:val="00AC5BDF"/>
    <w:rsid w:val="00AC5DA2"/>
    <w:rsid w:val="00AC662A"/>
    <w:rsid w:val="00AC6903"/>
    <w:rsid w:val="00AC6B95"/>
    <w:rsid w:val="00AC6BFA"/>
    <w:rsid w:val="00AC722F"/>
    <w:rsid w:val="00AC7669"/>
    <w:rsid w:val="00AC79C9"/>
    <w:rsid w:val="00AD043B"/>
    <w:rsid w:val="00AD0AF6"/>
    <w:rsid w:val="00AD1A93"/>
    <w:rsid w:val="00AD1B73"/>
    <w:rsid w:val="00AD277E"/>
    <w:rsid w:val="00AD343E"/>
    <w:rsid w:val="00AD3D31"/>
    <w:rsid w:val="00AD4267"/>
    <w:rsid w:val="00AD476A"/>
    <w:rsid w:val="00AD47AA"/>
    <w:rsid w:val="00AD497B"/>
    <w:rsid w:val="00AD4ABF"/>
    <w:rsid w:val="00AD4C67"/>
    <w:rsid w:val="00AD52D1"/>
    <w:rsid w:val="00AD54E1"/>
    <w:rsid w:val="00AD5632"/>
    <w:rsid w:val="00AD6222"/>
    <w:rsid w:val="00AD6306"/>
    <w:rsid w:val="00AD67DE"/>
    <w:rsid w:val="00AD7076"/>
    <w:rsid w:val="00AD739C"/>
    <w:rsid w:val="00AE0764"/>
    <w:rsid w:val="00AE0F10"/>
    <w:rsid w:val="00AE16D1"/>
    <w:rsid w:val="00AE1BC1"/>
    <w:rsid w:val="00AE1BD1"/>
    <w:rsid w:val="00AE1DBE"/>
    <w:rsid w:val="00AE276C"/>
    <w:rsid w:val="00AE340A"/>
    <w:rsid w:val="00AE3DF4"/>
    <w:rsid w:val="00AE41D4"/>
    <w:rsid w:val="00AE44B9"/>
    <w:rsid w:val="00AE46D1"/>
    <w:rsid w:val="00AE4788"/>
    <w:rsid w:val="00AE4A5B"/>
    <w:rsid w:val="00AE4BEA"/>
    <w:rsid w:val="00AE4C6D"/>
    <w:rsid w:val="00AE50A3"/>
    <w:rsid w:val="00AE54FF"/>
    <w:rsid w:val="00AE563F"/>
    <w:rsid w:val="00AE6595"/>
    <w:rsid w:val="00AE66C9"/>
    <w:rsid w:val="00AE6B0B"/>
    <w:rsid w:val="00AE71A8"/>
    <w:rsid w:val="00AE74AF"/>
    <w:rsid w:val="00AE74B3"/>
    <w:rsid w:val="00AE7530"/>
    <w:rsid w:val="00AE7678"/>
    <w:rsid w:val="00AF0043"/>
    <w:rsid w:val="00AF0329"/>
    <w:rsid w:val="00AF0774"/>
    <w:rsid w:val="00AF0B7B"/>
    <w:rsid w:val="00AF11B5"/>
    <w:rsid w:val="00AF1257"/>
    <w:rsid w:val="00AF1F48"/>
    <w:rsid w:val="00AF1FE8"/>
    <w:rsid w:val="00AF2612"/>
    <w:rsid w:val="00AF3889"/>
    <w:rsid w:val="00AF39DC"/>
    <w:rsid w:val="00AF3BD3"/>
    <w:rsid w:val="00AF3F13"/>
    <w:rsid w:val="00AF3FE3"/>
    <w:rsid w:val="00AF4A53"/>
    <w:rsid w:val="00AF4F33"/>
    <w:rsid w:val="00AF52DC"/>
    <w:rsid w:val="00AF5984"/>
    <w:rsid w:val="00AF6305"/>
    <w:rsid w:val="00AF6A0B"/>
    <w:rsid w:val="00AF6A68"/>
    <w:rsid w:val="00AF72F9"/>
    <w:rsid w:val="00AF7938"/>
    <w:rsid w:val="00B001C6"/>
    <w:rsid w:val="00B008DF"/>
    <w:rsid w:val="00B00BB3"/>
    <w:rsid w:val="00B00E5C"/>
    <w:rsid w:val="00B011D8"/>
    <w:rsid w:val="00B0131B"/>
    <w:rsid w:val="00B013BE"/>
    <w:rsid w:val="00B014AD"/>
    <w:rsid w:val="00B01819"/>
    <w:rsid w:val="00B0182F"/>
    <w:rsid w:val="00B018F4"/>
    <w:rsid w:val="00B022D8"/>
    <w:rsid w:val="00B02540"/>
    <w:rsid w:val="00B02836"/>
    <w:rsid w:val="00B039AB"/>
    <w:rsid w:val="00B039E9"/>
    <w:rsid w:val="00B03B7D"/>
    <w:rsid w:val="00B04DC3"/>
    <w:rsid w:val="00B04E7B"/>
    <w:rsid w:val="00B04EED"/>
    <w:rsid w:val="00B0529B"/>
    <w:rsid w:val="00B05E03"/>
    <w:rsid w:val="00B0644E"/>
    <w:rsid w:val="00B1077D"/>
    <w:rsid w:val="00B10841"/>
    <w:rsid w:val="00B10B1F"/>
    <w:rsid w:val="00B11176"/>
    <w:rsid w:val="00B11B4E"/>
    <w:rsid w:val="00B123B7"/>
    <w:rsid w:val="00B13CB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725F"/>
    <w:rsid w:val="00B2779E"/>
    <w:rsid w:val="00B278D0"/>
    <w:rsid w:val="00B27998"/>
    <w:rsid w:val="00B308E1"/>
    <w:rsid w:val="00B30FEF"/>
    <w:rsid w:val="00B316BA"/>
    <w:rsid w:val="00B31D3D"/>
    <w:rsid w:val="00B32623"/>
    <w:rsid w:val="00B331DC"/>
    <w:rsid w:val="00B33BCF"/>
    <w:rsid w:val="00B3444E"/>
    <w:rsid w:val="00B35546"/>
    <w:rsid w:val="00B3556A"/>
    <w:rsid w:val="00B35594"/>
    <w:rsid w:val="00B3580D"/>
    <w:rsid w:val="00B35E2D"/>
    <w:rsid w:val="00B360C3"/>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47F9D"/>
    <w:rsid w:val="00B507E9"/>
    <w:rsid w:val="00B50878"/>
    <w:rsid w:val="00B50D0F"/>
    <w:rsid w:val="00B50F95"/>
    <w:rsid w:val="00B51496"/>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C97"/>
    <w:rsid w:val="00B56ECB"/>
    <w:rsid w:val="00B57983"/>
    <w:rsid w:val="00B6036B"/>
    <w:rsid w:val="00B604C8"/>
    <w:rsid w:val="00B60ED0"/>
    <w:rsid w:val="00B60EFD"/>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70767"/>
    <w:rsid w:val="00B707AF"/>
    <w:rsid w:val="00B70882"/>
    <w:rsid w:val="00B709B8"/>
    <w:rsid w:val="00B70A32"/>
    <w:rsid w:val="00B71678"/>
    <w:rsid w:val="00B717DC"/>
    <w:rsid w:val="00B72D75"/>
    <w:rsid w:val="00B72F97"/>
    <w:rsid w:val="00B73165"/>
    <w:rsid w:val="00B73C14"/>
    <w:rsid w:val="00B73C1B"/>
    <w:rsid w:val="00B741EF"/>
    <w:rsid w:val="00B742B8"/>
    <w:rsid w:val="00B747A2"/>
    <w:rsid w:val="00B75001"/>
    <w:rsid w:val="00B75086"/>
    <w:rsid w:val="00B7532D"/>
    <w:rsid w:val="00B7568D"/>
    <w:rsid w:val="00B75D6E"/>
    <w:rsid w:val="00B75F72"/>
    <w:rsid w:val="00B76DC1"/>
    <w:rsid w:val="00B77BBD"/>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50CE"/>
    <w:rsid w:val="00B85BA3"/>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45A2"/>
    <w:rsid w:val="00B946C4"/>
    <w:rsid w:val="00B94702"/>
    <w:rsid w:val="00B947BF"/>
    <w:rsid w:val="00B94912"/>
    <w:rsid w:val="00B94EE8"/>
    <w:rsid w:val="00B95427"/>
    <w:rsid w:val="00B95B10"/>
    <w:rsid w:val="00B962AB"/>
    <w:rsid w:val="00B966B6"/>
    <w:rsid w:val="00B96717"/>
    <w:rsid w:val="00B9672D"/>
    <w:rsid w:val="00B96C66"/>
    <w:rsid w:val="00B975F1"/>
    <w:rsid w:val="00B97B6F"/>
    <w:rsid w:val="00BA05AF"/>
    <w:rsid w:val="00BA0622"/>
    <w:rsid w:val="00BA096B"/>
    <w:rsid w:val="00BA0E35"/>
    <w:rsid w:val="00BA1289"/>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E68"/>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A7C"/>
    <w:rsid w:val="00BC31E2"/>
    <w:rsid w:val="00BC363F"/>
    <w:rsid w:val="00BC3D44"/>
    <w:rsid w:val="00BC4213"/>
    <w:rsid w:val="00BC4A3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301"/>
    <w:rsid w:val="00BD09B1"/>
    <w:rsid w:val="00BD0FE8"/>
    <w:rsid w:val="00BD16D6"/>
    <w:rsid w:val="00BD1816"/>
    <w:rsid w:val="00BD1B72"/>
    <w:rsid w:val="00BD22B5"/>
    <w:rsid w:val="00BD31B3"/>
    <w:rsid w:val="00BD38B1"/>
    <w:rsid w:val="00BD3BB5"/>
    <w:rsid w:val="00BD41C0"/>
    <w:rsid w:val="00BD485C"/>
    <w:rsid w:val="00BD4AA0"/>
    <w:rsid w:val="00BD521B"/>
    <w:rsid w:val="00BD5D44"/>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B63"/>
    <w:rsid w:val="00BE0F6C"/>
    <w:rsid w:val="00BE1821"/>
    <w:rsid w:val="00BE1D73"/>
    <w:rsid w:val="00BE1EC9"/>
    <w:rsid w:val="00BE1F09"/>
    <w:rsid w:val="00BE26F9"/>
    <w:rsid w:val="00BE29D4"/>
    <w:rsid w:val="00BE2DD8"/>
    <w:rsid w:val="00BE301A"/>
    <w:rsid w:val="00BE400A"/>
    <w:rsid w:val="00BE458A"/>
    <w:rsid w:val="00BE4BE8"/>
    <w:rsid w:val="00BE4E51"/>
    <w:rsid w:val="00BE57E3"/>
    <w:rsid w:val="00BE5D07"/>
    <w:rsid w:val="00BE61FC"/>
    <w:rsid w:val="00BE7519"/>
    <w:rsid w:val="00BE7A1E"/>
    <w:rsid w:val="00BF0159"/>
    <w:rsid w:val="00BF03E8"/>
    <w:rsid w:val="00BF096E"/>
    <w:rsid w:val="00BF0D04"/>
    <w:rsid w:val="00BF0D84"/>
    <w:rsid w:val="00BF1423"/>
    <w:rsid w:val="00BF18FE"/>
    <w:rsid w:val="00BF194F"/>
    <w:rsid w:val="00BF1C55"/>
    <w:rsid w:val="00BF224A"/>
    <w:rsid w:val="00BF28A4"/>
    <w:rsid w:val="00BF293F"/>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4AC5"/>
    <w:rsid w:val="00C0531C"/>
    <w:rsid w:val="00C053C2"/>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153"/>
    <w:rsid w:val="00C1656A"/>
    <w:rsid w:val="00C166FD"/>
    <w:rsid w:val="00C16815"/>
    <w:rsid w:val="00C16951"/>
    <w:rsid w:val="00C17D4D"/>
    <w:rsid w:val="00C205F8"/>
    <w:rsid w:val="00C2100C"/>
    <w:rsid w:val="00C2106B"/>
    <w:rsid w:val="00C21175"/>
    <w:rsid w:val="00C226C2"/>
    <w:rsid w:val="00C2297F"/>
    <w:rsid w:val="00C22CC3"/>
    <w:rsid w:val="00C23002"/>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56AF"/>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86F"/>
    <w:rsid w:val="00C51C72"/>
    <w:rsid w:val="00C51CB1"/>
    <w:rsid w:val="00C521B4"/>
    <w:rsid w:val="00C52914"/>
    <w:rsid w:val="00C53964"/>
    <w:rsid w:val="00C544CC"/>
    <w:rsid w:val="00C546E7"/>
    <w:rsid w:val="00C55114"/>
    <w:rsid w:val="00C55963"/>
    <w:rsid w:val="00C56262"/>
    <w:rsid w:val="00C57198"/>
    <w:rsid w:val="00C578CE"/>
    <w:rsid w:val="00C57A39"/>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A37"/>
    <w:rsid w:val="00C70D78"/>
    <w:rsid w:val="00C70F72"/>
    <w:rsid w:val="00C71914"/>
    <w:rsid w:val="00C7263B"/>
    <w:rsid w:val="00C727EF"/>
    <w:rsid w:val="00C72D01"/>
    <w:rsid w:val="00C72F2F"/>
    <w:rsid w:val="00C73290"/>
    <w:rsid w:val="00C736A7"/>
    <w:rsid w:val="00C74181"/>
    <w:rsid w:val="00C742D2"/>
    <w:rsid w:val="00C742F7"/>
    <w:rsid w:val="00C74636"/>
    <w:rsid w:val="00C74AF1"/>
    <w:rsid w:val="00C74E4A"/>
    <w:rsid w:val="00C752C9"/>
    <w:rsid w:val="00C759F1"/>
    <w:rsid w:val="00C7613A"/>
    <w:rsid w:val="00C761B9"/>
    <w:rsid w:val="00C77315"/>
    <w:rsid w:val="00C77AEB"/>
    <w:rsid w:val="00C77C98"/>
    <w:rsid w:val="00C80069"/>
    <w:rsid w:val="00C803A8"/>
    <w:rsid w:val="00C805DA"/>
    <w:rsid w:val="00C807A3"/>
    <w:rsid w:val="00C8096C"/>
    <w:rsid w:val="00C80A78"/>
    <w:rsid w:val="00C80B25"/>
    <w:rsid w:val="00C80F33"/>
    <w:rsid w:val="00C80FD0"/>
    <w:rsid w:val="00C8100B"/>
    <w:rsid w:val="00C81168"/>
    <w:rsid w:val="00C816BC"/>
    <w:rsid w:val="00C825DD"/>
    <w:rsid w:val="00C82DDB"/>
    <w:rsid w:val="00C83869"/>
    <w:rsid w:val="00C8451E"/>
    <w:rsid w:val="00C8458B"/>
    <w:rsid w:val="00C852AC"/>
    <w:rsid w:val="00C857F9"/>
    <w:rsid w:val="00C860BC"/>
    <w:rsid w:val="00C8614D"/>
    <w:rsid w:val="00C86543"/>
    <w:rsid w:val="00C8683F"/>
    <w:rsid w:val="00C86967"/>
    <w:rsid w:val="00C87CC8"/>
    <w:rsid w:val="00C87D19"/>
    <w:rsid w:val="00C9091D"/>
    <w:rsid w:val="00C90FA2"/>
    <w:rsid w:val="00C91207"/>
    <w:rsid w:val="00C91CA5"/>
    <w:rsid w:val="00C91D26"/>
    <w:rsid w:val="00C92267"/>
    <w:rsid w:val="00C934D0"/>
    <w:rsid w:val="00C94857"/>
    <w:rsid w:val="00C94F83"/>
    <w:rsid w:val="00C959C2"/>
    <w:rsid w:val="00C95BC5"/>
    <w:rsid w:val="00C95DEA"/>
    <w:rsid w:val="00C95FCA"/>
    <w:rsid w:val="00C9633F"/>
    <w:rsid w:val="00C974ED"/>
    <w:rsid w:val="00C976AC"/>
    <w:rsid w:val="00C97A8D"/>
    <w:rsid w:val="00CA0083"/>
    <w:rsid w:val="00CA04C0"/>
    <w:rsid w:val="00CA0696"/>
    <w:rsid w:val="00CA0837"/>
    <w:rsid w:val="00CA0BD9"/>
    <w:rsid w:val="00CA12B2"/>
    <w:rsid w:val="00CA14DD"/>
    <w:rsid w:val="00CA16E6"/>
    <w:rsid w:val="00CA3079"/>
    <w:rsid w:val="00CA3B08"/>
    <w:rsid w:val="00CA4064"/>
    <w:rsid w:val="00CA41D2"/>
    <w:rsid w:val="00CA4753"/>
    <w:rsid w:val="00CA4D91"/>
    <w:rsid w:val="00CA4F20"/>
    <w:rsid w:val="00CA5908"/>
    <w:rsid w:val="00CA5D21"/>
    <w:rsid w:val="00CA6512"/>
    <w:rsid w:val="00CA7A61"/>
    <w:rsid w:val="00CA7F72"/>
    <w:rsid w:val="00CB0C16"/>
    <w:rsid w:val="00CB1327"/>
    <w:rsid w:val="00CB149F"/>
    <w:rsid w:val="00CB1EAE"/>
    <w:rsid w:val="00CB1F5B"/>
    <w:rsid w:val="00CB2147"/>
    <w:rsid w:val="00CB22A1"/>
    <w:rsid w:val="00CB28EA"/>
    <w:rsid w:val="00CB2AA3"/>
    <w:rsid w:val="00CB30F5"/>
    <w:rsid w:val="00CB315D"/>
    <w:rsid w:val="00CB38FE"/>
    <w:rsid w:val="00CB3B4E"/>
    <w:rsid w:val="00CB3EC6"/>
    <w:rsid w:val="00CB4AEE"/>
    <w:rsid w:val="00CB4BEE"/>
    <w:rsid w:val="00CB4F56"/>
    <w:rsid w:val="00CB56CD"/>
    <w:rsid w:val="00CB598E"/>
    <w:rsid w:val="00CB68CC"/>
    <w:rsid w:val="00CB6BB5"/>
    <w:rsid w:val="00CB6D6A"/>
    <w:rsid w:val="00CB7873"/>
    <w:rsid w:val="00CC0309"/>
    <w:rsid w:val="00CC07DB"/>
    <w:rsid w:val="00CC0A26"/>
    <w:rsid w:val="00CC0AB1"/>
    <w:rsid w:val="00CC129B"/>
    <w:rsid w:val="00CC1838"/>
    <w:rsid w:val="00CC341C"/>
    <w:rsid w:val="00CC3645"/>
    <w:rsid w:val="00CC379D"/>
    <w:rsid w:val="00CC37FC"/>
    <w:rsid w:val="00CC3B15"/>
    <w:rsid w:val="00CC3F55"/>
    <w:rsid w:val="00CC4116"/>
    <w:rsid w:val="00CC4625"/>
    <w:rsid w:val="00CC54B1"/>
    <w:rsid w:val="00CC55AE"/>
    <w:rsid w:val="00CC5932"/>
    <w:rsid w:val="00CC7253"/>
    <w:rsid w:val="00CC79A2"/>
    <w:rsid w:val="00CC7D66"/>
    <w:rsid w:val="00CD0153"/>
    <w:rsid w:val="00CD02C6"/>
    <w:rsid w:val="00CD092E"/>
    <w:rsid w:val="00CD0A75"/>
    <w:rsid w:val="00CD11DE"/>
    <w:rsid w:val="00CD143E"/>
    <w:rsid w:val="00CD1963"/>
    <w:rsid w:val="00CD19CA"/>
    <w:rsid w:val="00CD1AC2"/>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4A8C"/>
    <w:rsid w:val="00CE5579"/>
    <w:rsid w:val="00CE5B42"/>
    <w:rsid w:val="00CE5D42"/>
    <w:rsid w:val="00CE5FE1"/>
    <w:rsid w:val="00CE6803"/>
    <w:rsid w:val="00CE6809"/>
    <w:rsid w:val="00CE6D99"/>
    <w:rsid w:val="00CE7351"/>
    <w:rsid w:val="00CF0777"/>
    <w:rsid w:val="00CF0FF4"/>
    <w:rsid w:val="00CF1622"/>
    <w:rsid w:val="00CF1EB5"/>
    <w:rsid w:val="00CF26D0"/>
    <w:rsid w:val="00CF2899"/>
    <w:rsid w:val="00CF28A7"/>
    <w:rsid w:val="00CF291D"/>
    <w:rsid w:val="00CF34B4"/>
    <w:rsid w:val="00CF34DB"/>
    <w:rsid w:val="00CF3CAD"/>
    <w:rsid w:val="00CF3DED"/>
    <w:rsid w:val="00CF3E28"/>
    <w:rsid w:val="00CF425F"/>
    <w:rsid w:val="00CF4635"/>
    <w:rsid w:val="00CF46ED"/>
    <w:rsid w:val="00CF5173"/>
    <w:rsid w:val="00CF51E8"/>
    <w:rsid w:val="00CF5BA3"/>
    <w:rsid w:val="00CF5E0D"/>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7CAE"/>
    <w:rsid w:val="00D104AC"/>
    <w:rsid w:val="00D10566"/>
    <w:rsid w:val="00D11C6E"/>
    <w:rsid w:val="00D11D11"/>
    <w:rsid w:val="00D12AD5"/>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161"/>
    <w:rsid w:val="00D22433"/>
    <w:rsid w:val="00D22748"/>
    <w:rsid w:val="00D22E55"/>
    <w:rsid w:val="00D232AE"/>
    <w:rsid w:val="00D233E0"/>
    <w:rsid w:val="00D2347F"/>
    <w:rsid w:val="00D23626"/>
    <w:rsid w:val="00D236F3"/>
    <w:rsid w:val="00D242C0"/>
    <w:rsid w:val="00D242E5"/>
    <w:rsid w:val="00D24B4F"/>
    <w:rsid w:val="00D25371"/>
    <w:rsid w:val="00D25F9E"/>
    <w:rsid w:val="00D266A8"/>
    <w:rsid w:val="00D26918"/>
    <w:rsid w:val="00D269B3"/>
    <w:rsid w:val="00D27015"/>
    <w:rsid w:val="00D27734"/>
    <w:rsid w:val="00D27BED"/>
    <w:rsid w:val="00D3182A"/>
    <w:rsid w:val="00D32136"/>
    <w:rsid w:val="00D3222B"/>
    <w:rsid w:val="00D3227D"/>
    <w:rsid w:val="00D323CB"/>
    <w:rsid w:val="00D3250E"/>
    <w:rsid w:val="00D330D8"/>
    <w:rsid w:val="00D33197"/>
    <w:rsid w:val="00D33567"/>
    <w:rsid w:val="00D33EEE"/>
    <w:rsid w:val="00D341A7"/>
    <w:rsid w:val="00D34B4B"/>
    <w:rsid w:val="00D35236"/>
    <w:rsid w:val="00D352F1"/>
    <w:rsid w:val="00D35305"/>
    <w:rsid w:val="00D3579C"/>
    <w:rsid w:val="00D37121"/>
    <w:rsid w:val="00D376AA"/>
    <w:rsid w:val="00D40043"/>
    <w:rsid w:val="00D40584"/>
    <w:rsid w:val="00D40A47"/>
    <w:rsid w:val="00D40BB1"/>
    <w:rsid w:val="00D40C19"/>
    <w:rsid w:val="00D41051"/>
    <w:rsid w:val="00D410F8"/>
    <w:rsid w:val="00D417AE"/>
    <w:rsid w:val="00D41B6F"/>
    <w:rsid w:val="00D42528"/>
    <w:rsid w:val="00D446AE"/>
    <w:rsid w:val="00D44DDE"/>
    <w:rsid w:val="00D455CC"/>
    <w:rsid w:val="00D457ED"/>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1DDF"/>
    <w:rsid w:val="00D523B2"/>
    <w:rsid w:val="00D5266D"/>
    <w:rsid w:val="00D52BBA"/>
    <w:rsid w:val="00D52C1C"/>
    <w:rsid w:val="00D53BD6"/>
    <w:rsid w:val="00D53FDE"/>
    <w:rsid w:val="00D543EE"/>
    <w:rsid w:val="00D546D9"/>
    <w:rsid w:val="00D54AEA"/>
    <w:rsid w:val="00D54E4B"/>
    <w:rsid w:val="00D550C4"/>
    <w:rsid w:val="00D55A96"/>
    <w:rsid w:val="00D56188"/>
    <w:rsid w:val="00D56796"/>
    <w:rsid w:val="00D56D40"/>
    <w:rsid w:val="00D56D85"/>
    <w:rsid w:val="00D57A84"/>
    <w:rsid w:val="00D60345"/>
    <w:rsid w:val="00D606FC"/>
    <w:rsid w:val="00D60B6B"/>
    <w:rsid w:val="00D60D72"/>
    <w:rsid w:val="00D60D80"/>
    <w:rsid w:val="00D61918"/>
    <w:rsid w:val="00D62F54"/>
    <w:rsid w:val="00D63019"/>
    <w:rsid w:val="00D631BD"/>
    <w:rsid w:val="00D6357B"/>
    <w:rsid w:val="00D63FAA"/>
    <w:rsid w:val="00D643D1"/>
    <w:rsid w:val="00D64502"/>
    <w:rsid w:val="00D64812"/>
    <w:rsid w:val="00D64E31"/>
    <w:rsid w:val="00D65360"/>
    <w:rsid w:val="00D65604"/>
    <w:rsid w:val="00D656B6"/>
    <w:rsid w:val="00D65F9D"/>
    <w:rsid w:val="00D666E7"/>
    <w:rsid w:val="00D66C52"/>
    <w:rsid w:val="00D675FB"/>
    <w:rsid w:val="00D678F8"/>
    <w:rsid w:val="00D67BAE"/>
    <w:rsid w:val="00D67C66"/>
    <w:rsid w:val="00D67E37"/>
    <w:rsid w:val="00D705C5"/>
    <w:rsid w:val="00D706C6"/>
    <w:rsid w:val="00D712E7"/>
    <w:rsid w:val="00D721EC"/>
    <w:rsid w:val="00D726CE"/>
    <w:rsid w:val="00D72DB5"/>
    <w:rsid w:val="00D73677"/>
    <w:rsid w:val="00D73943"/>
    <w:rsid w:val="00D74304"/>
    <w:rsid w:val="00D74912"/>
    <w:rsid w:val="00D74A6E"/>
    <w:rsid w:val="00D74F78"/>
    <w:rsid w:val="00D75805"/>
    <w:rsid w:val="00D75B50"/>
    <w:rsid w:val="00D75BE2"/>
    <w:rsid w:val="00D76480"/>
    <w:rsid w:val="00D779F7"/>
    <w:rsid w:val="00D80754"/>
    <w:rsid w:val="00D80CD9"/>
    <w:rsid w:val="00D81F77"/>
    <w:rsid w:val="00D823AA"/>
    <w:rsid w:val="00D82459"/>
    <w:rsid w:val="00D82F54"/>
    <w:rsid w:val="00D83026"/>
    <w:rsid w:val="00D83045"/>
    <w:rsid w:val="00D8314F"/>
    <w:rsid w:val="00D83354"/>
    <w:rsid w:val="00D84118"/>
    <w:rsid w:val="00D844D3"/>
    <w:rsid w:val="00D85015"/>
    <w:rsid w:val="00D857E6"/>
    <w:rsid w:val="00D85885"/>
    <w:rsid w:val="00D8653A"/>
    <w:rsid w:val="00D86CCA"/>
    <w:rsid w:val="00D871CE"/>
    <w:rsid w:val="00D87542"/>
    <w:rsid w:val="00D87D77"/>
    <w:rsid w:val="00D90174"/>
    <w:rsid w:val="00D906F0"/>
    <w:rsid w:val="00D9098E"/>
    <w:rsid w:val="00D916CC"/>
    <w:rsid w:val="00D91AF5"/>
    <w:rsid w:val="00D91B76"/>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12D"/>
    <w:rsid w:val="00D95202"/>
    <w:rsid w:val="00D95458"/>
    <w:rsid w:val="00D95B44"/>
    <w:rsid w:val="00D95C20"/>
    <w:rsid w:val="00D961B5"/>
    <w:rsid w:val="00D961C7"/>
    <w:rsid w:val="00D96BFE"/>
    <w:rsid w:val="00D96F7E"/>
    <w:rsid w:val="00D9724B"/>
    <w:rsid w:val="00D9778A"/>
    <w:rsid w:val="00D979D0"/>
    <w:rsid w:val="00D97B59"/>
    <w:rsid w:val="00D97C16"/>
    <w:rsid w:val="00D97D49"/>
    <w:rsid w:val="00DA025F"/>
    <w:rsid w:val="00DA0755"/>
    <w:rsid w:val="00DA08A5"/>
    <w:rsid w:val="00DA19B5"/>
    <w:rsid w:val="00DA1C74"/>
    <w:rsid w:val="00DA2219"/>
    <w:rsid w:val="00DA23AB"/>
    <w:rsid w:val="00DA2B4B"/>
    <w:rsid w:val="00DA3363"/>
    <w:rsid w:val="00DA4512"/>
    <w:rsid w:val="00DA49C1"/>
    <w:rsid w:val="00DA4D03"/>
    <w:rsid w:val="00DA4EAF"/>
    <w:rsid w:val="00DA5929"/>
    <w:rsid w:val="00DA5A16"/>
    <w:rsid w:val="00DA67CB"/>
    <w:rsid w:val="00DA6949"/>
    <w:rsid w:val="00DA744C"/>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61"/>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20FE"/>
    <w:rsid w:val="00DC35EC"/>
    <w:rsid w:val="00DC36F1"/>
    <w:rsid w:val="00DC389B"/>
    <w:rsid w:val="00DC3904"/>
    <w:rsid w:val="00DC394C"/>
    <w:rsid w:val="00DC42A4"/>
    <w:rsid w:val="00DC42EA"/>
    <w:rsid w:val="00DC45E5"/>
    <w:rsid w:val="00DC4933"/>
    <w:rsid w:val="00DC558C"/>
    <w:rsid w:val="00DC5ED6"/>
    <w:rsid w:val="00DC6513"/>
    <w:rsid w:val="00DC693E"/>
    <w:rsid w:val="00DC7C31"/>
    <w:rsid w:val="00DD0C3F"/>
    <w:rsid w:val="00DD1F41"/>
    <w:rsid w:val="00DD26CC"/>
    <w:rsid w:val="00DD2F23"/>
    <w:rsid w:val="00DD329B"/>
    <w:rsid w:val="00DD3543"/>
    <w:rsid w:val="00DD3766"/>
    <w:rsid w:val="00DD380F"/>
    <w:rsid w:val="00DD503F"/>
    <w:rsid w:val="00DD514C"/>
    <w:rsid w:val="00DD5BE3"/>
    <w:rsid w:val="00DD60E2"/>
    <w:rsid w:val="00DD691A"/>
    <w:rsid w:val="00DD6DE7"/>
    <w:rsid w:val="00DD71D6"/>
    <w:rsid w:val="00DD73A8"/>
    <w:rsid w:val="00DD7687"/>
    <w:rsid w:val="00DD7849"/>
    <w:rsid w:val="00DD7B55"/>
    <w:rsid w:val="00DE0693"/>
    <w:rsid w:val="00DE0797"/>
    <w:rsid w:val="00DE08C3"/>
    <w:rsid w:val="00DE094A"/>
    <w:rsid w:val="00DE17FA"/>
    <w:rsid w:val="00DE1ACD"/>
    <w:rsid w:val="00DE1DAB"/>
    <w:rsid w:val="00DE20A2"/>
    <w:rsid w:val="00DE261E"/>
    <w:rsid w:val="00DE269B"/>
    <w:rsid w:val="00DE269D"/>
    <w:rsid w:val="00DE2D8D"/>
    <w:rsid w:val="00DE3288"/>
    <w:rsid w:val="00DE330A"/>
    <w:rsid w:val="00DE3BE2"/>
    <w:rsid w:val="00DE40F4"/>
    <w:rsid w:val="00DE43A8"/>
    <w:rsid w:val="00DE52B7"/>
    <w:rsid w:val="00DE59EE"/>
    <w:rsid w:val="00DE6636"/>
    <w:rsid w:val="00DE6A94"/>
    <w:rsid w:val="00DE6C5F"/>
    <w:rsid w:val="00DE70EA"/>
    <w:rsid w:val="00DF0175"/>
    <w:rsid w:val="00DF0B89"/>
    <w:rsid w:val="00DF0CFA"/>
    <w:rsid w:val="00DF131B"/>
    <w:rsid w:val="00DF1325"/>
    <w:rsid w:val="00DF152E"/>
    <w:rsid w:val="00DF164A"/>
    <w:rsid w:val="00DF2527"/>
    <w:rsid w:val="00DF2808"/>
    <w:rsid w:val="00DF2924"/>
    <w:rsid w:val="00DF299E"/>
    <w:rsid w:val="00DF2BC6"/>
    <w:rsid w:val="00DF3044"/>
    <w:rsid w:val="00DF353C"/>
    <w:rsid w:val="00DF3DF8"/>
    <w:rsid w:val="00DF4216"/>
    <w:rsid w:val="00DF46B7"/>
    <w:rsid w:val="00DF46C8"/>
    <w:rsid w:val="00DF476B"/>
    <w:rsid w:val="00DF4978"/>
    <w:rsid w:val="00DF4F0F"/>
    <w:rsid w:val="00DF55D6"/>
    <w:rsid w:val="00DF58F4"/>
    <w:rsid w:val="00DF5AAF"/>
    <w:rsid w:val="00DF5AB2"/>
    <w:rsid w:val="00DF6074"/>
    <w:rsid w:val="00DF6BF4"/>
    <w:rsid w:val="00DF73B6"/>
    <w:rsid w:val="00DF781C"/>
    <w:rsid w:val="00E000F9"/>
    <w:rsid w:val="00E00270"/>
    <w:rsid w:val="00E008D8"/>
    <w:rsid w:val="00E00C6B"/>
    <w:rsid w:val="00E00D29"/>
    <w:rsid w:val="00E02A3C"/>
    <w:rsid w:val="00E02F70"/>
    <w:rsid w:val="00E032F6"/>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7B2"/>
    <w:rsid w:val="00E129D1"/>
    <w:rsid w:val="00E12F2F"/>
    <w:rsid w:val="00E12FBA"/>
    <w:rsid w:val="00E1319F"/>
    <w:rsid w:val="00E13A48"/>
    <w:rsid w:val="00E13FB6"/>
    <w:rsid w:val="00E14458"/>
    <w:rsid w:val="00E14ACF"/>
    <w:rsid w:val="00E14BAD"/>
    <w:rsid w:val="00E14D14"/>
    <w:rsid w:val="00E1580F"/>
    <w:rsid w:val="00E159EC"/>
    <w:rsid w:val="00E15C68"/>
    <w:rsid w:val="00E16E4C"/>
    <w:rsid w:val="00E173EF"/>
    <w:rsid w:val="00E20A78"/>
    <w:rsid w:val="00E20AFC"/>
    <w:rsid w:val="00E20B50"/>
    <w:rsid w:val="00E20B5E"/>
    <w:rsid w:val="00E20F69"/>
    <w:rsid w:val="00E218E5"/>
    <w:rsid w:val="00E21906"/>
    <w:rsid w:val="00E221AF"/>
    <w:rsid w:val="00E224BF"/>
    <w:rsid w:val="00E22732"/>
    <w:rsid w:val="00E22B39"/>
    <w:rsid w:val="00E2398E"/>
    <w:rsid w:val="00E23A5C"/>
    <w:rsid w:val="00E2406F"/>
    <w:rsid w:val="00E24570"/>
    <w:rsid w:val="00E2459F"/>
    <w:rsid w:val="00E24B98"/>
    <w:rsid w:val="00E2527D"/>
    <w:rsid w:val="00E25C68"/>
    <w:rsid w:val="00E25EC0"/>
    <w:rsid w:val="00E262A9"/>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575"/>
    <w:rsid w:val="00E34C86"/>
    <w:rsid w:val="00E34DB8"/>
    <w:rsid w:val="00E35369"/>
    <w:rsid w:val="00E35682"/>
    <w:rsid w:val="00E35DF9"/>
    <w:rsid w:val="00E361F1"/>
    <w:rsid w:val="00E3649B"/>
    <w:rsid w:val="00E3697A"/>
    <w:rsid w:val="00E372F6"/>
    <w:rsid w:val="00E3745E"/>
    <w:rsid w:val="00E37A35"/>
    <w:rsid w:val="00E37B12"/>
    <w:rsid w:val="00E37B34"/>
    <w:rsid w:val="00E37BEF"/>
    <w:rsid w:val="00E37D65"/>
    <w:rsid w:val="00E40DD3"/>
    <w:rsid w:val="00E41042"/>
    <w:rsid w:val="00E41074"/>
    <w:rsid w:val="00E4127C"/>
    <w:rsid w:val="00E41929"/>
    <w:rsid w:val="00E41B14"/>
    <w:rsid w:val="00E41DD4"/>
    <w:rsid w:val="00E4219A"/>
    <w:rsid w:val="00E424A0"/>
    <w:rsid w:val="00E425C4"/>
    <w:rsid w:val="00E42698"/>
    <w:rsid w:val="00E4274A"/>
    <w:rsid w:val="00E433FB"/>
    <w:rsid w:val="00E43B12"/>
    <w:rsid w:val="00E43BBE"/>
    <w:rsid w:val="00E43E66"/>
    <w:rsid w:val="00E443AB"/>
    <w:rsid w:val="00E444BC"/>
    <w:rsid w:val="00E4510E"/>
    <w:rsid w:val="00E45294"/>
    <w:rsid w:val="00E45D97"/>
    <w:rsid w:val="00E468F7"/>
    <w:rsid w:val="00E46906"/>
    <w:rsid w:val="00E46EA3"/>
    <w:rsid w:val="00E47D3D"/>
    <w:rsid w:val="00E50223"/>
    <w:rsid w:val="00E5059B"/>
    <w:rsid w:val="00E509F8"/>
    <w:rsid w:val="00E50F61"/>
    <w:rsid w:val="00E51040"/>
    <w:rsid w:val="00E51502"/>
    <w:rsid w:val="00E51C1B"/>
    <w:rsid w:val="00E52FD1"/>
    <w:rsid w:val="00E52FDB"/>
    <w:rsid w:val="00E5332C"/>
    <w:rsid w:val="00E53353"/>
    <w:rsid w:val="00E535A6"/>
    <w:rsid w:val="00E536CC"/>
    <w:rsid w:val="00E53C45"/>
    <w:rsid w:val="00E53CE0"/>
    <w:rsid w:val="00E53DA7"/>
    <w:rsid w:val="00E540FC"/>
    <w:rsid w:val="00E541C3"/>
    <w:rsid w:val="00E54C11"/>
    <w:rsid w:val="00E54E2F"/>
    <w:rsid w:val="00E55DB0"/>
    <w:rsid w:val="00E56E3F"/>
    <w:rsid w:val="00E5703B"/>
    <w:rsid w:val="00E577EC"/>
    <w:rsid w:val="00E57C4D"/>
    <w:rsid w:val="00E602BD"/>
    <w:rsid w:val="00E60456"/>
    <w:rsid w:val="00E60783"/>
    <w:rsid w:val="00E61A8C"/>
    <w:rsid w:val="00E61A8D"/>
    <w:rsid w:val="00E6224C"/>
    <w:rsid w:val="00E62337"/>
    <w:rsid w:val="00E62809"/>
    <w:rsid w:val="00E63321"/>
    <w:rsid w:val="00E634AD"/>
    <w:rsid w:val="00E635BD"/>
    <w:rsid w:val="00E63675"/>
    <w:rsid w:val="00E638A7"/>
    <w:rsid w:val="00E63FAC"/>
    <w:rsid w:val="00E64141"/>
    <w:rsid w:val="00E643F2"/>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12A0"/>
    <w:rsid w:val="00E712F8"/>
    <w:rsid w:val="00E71416"/>
    <w:rsid w:val="00E7174D"/>
    <w:rsid w:val="00E72B05"/>
    <w:rsid w:val="00E72E0E"/>
    <w:rsid w:val="00E72FE7"/>
    <w:rsid w:val="00E73D0E"/>
    <w:rsid w:val="00E74A39"/>
    <w:rsid w:val="00E75609"/>
    <w:rsid w:val="00E75790"/>
    <w:rsid w:val="00E75BCD"/>
    <w:rsid w:val="00E75DB6"/>
    <w:rsid w:val="00E76031"/>
    <w:rsid w:val="00E76714"/>
    <w:rsid w:val="00E76FAC"/>
    <w:rsid w:val="00E7709D"/>
    <w:rsid w:val="00E80437"/>
    <w:rsid w:val="00E80EE6"/>
    <w:rsid w:val="00E81031"/>
    <w:rsid w:val="00E8103F"/>
    <w:rsid w:val="00E81525"/>
    <w:rsid w:val="00E8184C"/>
    <w:rsid w:val="00E81B55"/>
    <w:rsid w:val="00E82CEF"/>
    <w:rsid w:val="00E83A79"/>
    <w:rsid w:val="00E83B1E"/>
    <w:rsid w:val="00E83D05"/>
    <w:rsid w:val="00E83DC4"/>
    <w:rsid w:val="00E83DCE"/>
    <w:rsid w:val="00E842A8"/>
    <w:rsid w:val="00E84360"/>
    <w:rsid w:val="00E847B3"/>
    <w:rsid w:val="00E84E89"/>
    <w:rsid w:val="00E86804"/>
    <w:rsid w:val="00E86871"/>
    <w:rsid w:val="00E8691F"/>
    <w:rsid w:val="00E870BF"/>
    <w:rsid w:val="00E871BC"/>
    <w:rsid w:val="00E87A23"/>
    <w:rsid w:val="00E90034"/>
    <w:rsid w:val="00E90229"/>
    <w:rsid w:val="00E90ABA"/>
    <w:rsid w:val="00E90ABD"/>
    <w:rsid w:val="00E91899"/>
    <w:rsid w:val="00E91A6F"/>
    <w:rsid w:val="00E92268"/>
    <w:rsid w:val="00E9246B"/>
    <w:rsid w:val="00E92604"/>
    <w:rsid w:val="00E9261B"/>
    <w:rsid w:val="00E927A2"/>
    <w:rsid w:val="00E92DFB"/>
    <w:rsid w:val="00E933E7"/>
    <w:rsid w:val="00E936C2"/>
    <w:rsid w:val="00E93B8A"/>
    <w:rsid w:val="00E942AE"/>
    <w:rsid w:val="00E94469"/>
    <w:rsid w:val="00E949C6"/>
    <w:rsid w:val="00E95DE1"/>
    <w:rsid w:val="00E96274"/>
    <w:rsid w:val="00E96D36"/>
    <w:rsid w:val="00E974B7"/>
    <w:rsid w:val="00E97DD3"/>
    <w:rsid w:val="00EA00A6"/>
    <w:rsid w:val="00EA1134"/>
    <w:rsid w:val="00EA1192"/>
    <w:rsid w:val="00EA1489"/>
    <w:rsid w:val="00EA148E"/>
    <w:rsid w:val="00EA151C"/>
    <w:rsid w:val="00EA1A6D"/>
    <w:rsid w:val="00EA21DA"/>
    <w:rsid w:val="00EA26C2"/>
    <w:rsid w:val="00EA28D1"/>
    <w:rsid w:val="00EA2C75"/>
    <w:rsid w:val="00EA335A"/>
    <w:rsid w:val="00EA3D63"/>
    <w:rsid w:val="00EA3E05"/>
    <w:rsid w:val="00EA3EB1"/>
    <w:rsid w:val="00EA4DBA"/>
    <w:rsid w:val="00EA4F3D"/>
    <w:rsid w:val="00EA50CC"/>
    <w:rsid w:val="00EA55C1"/>
    <w:rsid w:val="00EA5AC0"/>
    <w:rsid w:val="00EA61F0"/>
    <w:rsid w:val="00EA6854"/>
    <w:rsid w:val="00EA7391"/>
    <w:rsid w:val="00EA7C1F"/>
    <w:rsid w:val="00EB0265"/>
    <w:rsid w:val="00EB09C3"/>
    <w:rsid w:val="00EB0AA6"/>
    <w:rsid w:val="00EB0ADE"/>
    <w:rsid w:val="00EB0DC5"/>
    <w:rsid w:val="00EB1273"/>
    <w:rsid w:val="00EB1C22"/>
    <w:rsid w:val="00EB1ED2"/>
    <w:rsid w:val="00EB223C"/>
    <w:rsid w:val="00EB22C0"/>
    <w:rsid w:val="00EB340C"/>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01E"/>
    <w:rsid w:val="00EC2514"/>
    <w:rsid w:val="00EC287C"/>
    <w:rsid w:val="00EC2AB4"/>
    <w:rsid w:val="00EC2B87"/>
    <w:rsid w:val="00EC3089"/>
    <w:rsid w:val="00EC3608"/>
    <w:rsid w:val="00EC4214"/>
    <w:rsid w:val="00EC4338"/>
    <w:rsid w:val="00EC4859"/>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45E7"/>
    <w:rsid w:val="00ED5433"/>
    <w:rsid w:val="00ED6D2B"/>
    <w:rsid w:val="00ED78DB"/>
    <w:rsid w:val="00ED7DE0"/>
    <w:rsid w:val="00EE0A44"/>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919"/>
    <w:rsid w:val="00EE7D83"/>
    <w:rsid w:val="00EE7E8F"/>
    <w:rsid w:val="00EF0DF3"/>
    <w:rsid w:val="00EF10A4"/>
    <w:rsid w:val="00EF21B7"/>
    <w:rsid w:val="00EF2215"/>
    <w:rsid w:val="00EF24CF"/>
    <w:rsid w:val="00EF295F"/>
    <w:rsid w:val="00EF302F"/>
    <w:rsid w:val="00EF3061"/>
    <w:rsid w:val="00EF3179"/>
    <w:rsid w:val="00EF3B49"/>
    <w:rsid w:val="00EF3B57"/>
    <w:rsid w:val="00EF45CF"/>
    <w:rsid w:val="00EF4B52"/>
    <w:rsid w:val="00EF5517"/>
    <w:rsid w:val="00EF5CDA"/>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2DFE"/>
    <w:rsid w:val="00F03360"/>
    <w:rsid w:val="00F03379"/>
    <w:rsid w:val="00F03425"/>
    <w:rsid w:val="00F0345E"/>
    <w:rsid w:val="00F03FC4"/>
    <w:rsid w:val="00F04065"/>
    <w:rsid w:val="00F04BF2"/>
    <w:rsid w:val="00F04C67"/>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792F"/>
    <w:rsid w:val="00F17A56"/>
    <w:rsid w:val="00F17FCF"/>
    <w:rsid w:val="00F2027F"/>
    <w:rsid w:val="00F20474"/>
    <w:rsid w:val="00F209A2"/>
    <w:rsid w:val="00F21AB6"/>
    <w:rsid w:val="00F223D4"/>
    <w:rsid w:val="00F223D5"/>
    <w:rsid w:val="00F2283A"/>
    <w:rsid w:val="00F22A84"/>
    <w:rsid w:val="00F22A8F"/>
    <w:rsid w:val="00F22ED6"/>
    <w:rsid w:val="00F23EB4"/>
    <w:rsid w:val="00F24BD2"/>
    <w:rsid w:val="00F24DAA"/>
    <w:rsid w:val="00F25094"/>
    <w:rsid w:val="00F2529A"/>
    <w:rsid w:val="00F25333"/>
    <w:rsid w:val="00F253AA"/>
    <w:rsid w:val="00F2565F"/>
    <w:rsid w:val="00F25A72"/>
    <w:rsid w:val="00F25BCF"/>
    <w:rsid w:val="00F25F5E"/>
    <w:rsid w:val="00F260CB"/>
    <w:rsid w:val="00F263C3"/>
    <w:rsid w:val="00F26C19"/>
    <w:rsid w:val="00F27A70"/>
    <w:rsid w:val="00F27B0A"/>
    <w:rsid w:val="00F3192A"/>
    <w:rsid w:val="00F31E2D"/>
    <w:rsid w:val="00F322C3"/>
    <w:rsid w:val="00F32553"/>
    <w:rsid w:val="00F32690"/>
    <w:rsid w:val="00F327CE"/>
    <w:rsid w:val="00F332ED"/>
    <w:rsid w:val="00F33552"/>
    <w:rsid w:val="00F335AB"/>
    <w:rsid w:val="00F33C8D"/>
    <w:rsid w:val="00F34371"/>
    <w:rsid w:val="00F348D1"/>
    <w:rsid w:val="00F35955"/>
    <w:rsid w:val="00F35EA4"/>
    <w:rsid w:val="00F3669D"/>
    <w:rsid w:val="00F36C33"/>
    <w:rsid w:val="00F36F79"/>
    <w:rsid w:val="00F37660"/>
    <w:rsid w:val="00F378C1"/>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55A5"/>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55"/>
    <w:rsid w:val="00F53FEE"/>
    <w:rsid w:val="00F549B3"/>
    <w:rsid w:val="00F54DAB"/>
    <w:rsid w:val="00F553B5"/>
    <w:rsid w:val="00F55CC6"/>
    <w:rsid w:val="00F55CDC"/>
    <w:rsid w:val="00F56161"/>
    <w:rsid w:val="00F561CC"/>
    <w:rsid w:val="00F563CD"/>
    <w:rsid w:val="00F56862"/>
    <w:rsid w:val="00F56FE5"/>
    <w:rsid w:val="00F575AF"/>
    <w:rsid w:val="00F57925"/>
    <w:rsid w:val="00F57A83"/>
    <w:rsid w:val="00F57A8D"/>
    <w:rsid w:val="00F604F4"/>
    <w:rsid w:val="00F60AFA"/>
    <w:rsid w:val="00F61098"/>
    <w:rsid w:val="00F619AB"/>
    <w:rsid w:val="00F62588"/>
    <w:rsid w:val="00F627EB"/>
    <w:rsid w:val="00F629BF"/>
    <w:rsid w:val="00F633D8"/>
    <w:rsid w:val="00F6431B"/>
    <w:rsid w:val="00F64572"/>
    <w:rsid w:val="00F64B3B"/>
    <w:rsid w:val="00F64BF7"/>
    <w:rsid w:val="00F64C76"/>
    <w:rsid w:val="00F64CCC"/>
    <w:rsid w:val="00F64ED6"/>
    <w:rsid w:val="00F650D5"/>
    <w:rsid w:val="00F65747"/>
    <w:rsid w:val="00F659C1"/>
    <w:rsid w:val="00F65AD5"/>
    <w:rsid w:val="00F65E42"/>
    <w:rsid w:val="00F65F15"/>
    <w:rsid w:val="00F66072"/>
    <w:rsid w:val="00F660F7"/>
    <w:rsid w:val="00F661DF"/>
    <w:rsid w:val="00F6638A"/>
    <w:rsid w:val="00F66673"/>
    <w:rsid w:val="00F66908"/>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887"/>
    <w:rsid w:val="00F74A01"/>
    <w:rsid w:val="00F74AA8"/>
    <w:rsid w:val="00F74B25"/>
    <w:rsid w:val="00F74F89"/>
    <w:rsid w:val="00F75422"/>
    <w:rsid w:val="00F75A10"/>
    <w:rsid w:val="00F75D9F"/>
    <w:rsid w:val="00F76063"/>
    <w:rsid w:val="00F76490"/>
    <w:rsid w:val="00F76D11"/>
    <w:rsid w:val="00F77276"/>
    <w:rsid w:val="00F77A8D"/>
    <w:rsid w:val="00F77D27"/>
    <w:rsid w:val="00F77E98"/>
    <w:rsid w:val="00F80013"/>
    <w:rsid w:val="00F8095A"/>
    <w:rsid w:val="00F80CB0"/>
    <w:rsid w:val="00F80E7E"/>
    <w:rsid w:val="00F81308"/>
    <w:rsid w:val="00F8143C"/>
    <w:rsid w:val="00F81441"/>
    <w:rsid w:val="00F81476"/>
    <w:rsid w:val="00F81681"/>
    <w:rsid w:val="00F81E11"/>
    <w:rsid w:val="00F8260F"/>
    <w:rsid w:val="00F8279D"/>
    <w:rsid w:val="00F82B08"/>
    <w:rsid w:val="00F83228"/>
    <w:rsid w:val="00F834A7"/>
    <w:rsid w:val="00F847A0"/>
    <w:rsid w:val="00F85446"/>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2FF4"/>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7B3"/>
    <w:rsid w:val="00F97F91"/>
    <w:rsid w:val="00FA03A6"/>
    <w:rsid w:val="00FA03D6"/>
    <w:rsid w:val="00FA066D"/>
    <w:rsid w:val="00FA0956"/>
    <w:rsid w:val="00FA0AEA"/>
    <w:rsid w:val="00FA0C49"/>
    <w:rsid w:val="00FA0EAE"/>
    <w:rsid w:val="00FA0FB3"/>
    <w:rsid w:val="00FA10EA"/>
    <w:rsid w:val="00FA1126"/>
    <w:rsid w:val="00FA1816"/>
    <w:rsid w:val="00FA1B03"/>
    <w:rsid w:val="00FA214C"/>
    <w:rsid w:val="00FA24F3"/>
    <w:rsid w:val="00FA263E"/>
    <w:rsid w:val="00FA2798"/>
    <w:rsid w:val="00FA3051"/>
    <w:rsid w:val="00FA3679"/>
    <w:rsid w:val="00FA3A4D"/>
    <w:rsid w:val="00FA4135"/>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A7F81"/>
    <w:rsid w:val="00FB0515"/>
    <w:rsid w:val="00FB0EE9"/>
    <w:rsid w:val="00FB0EFB"/>
    <w:rsid w:val="00FB0F8A"/>
    <w:rsid w:val="00FB1300"/>
    <w:rsid w:val="00FB19BF"/>
    <w:rsid w:val="00FB20F3"/>
    <w:rsid w:val="00FB238A"/>
    <w:rsid w:val="00FB252E"/>
    <w:rsid w:val="00FB2585"/>
    <w:rsid w:val="00FB2740"/>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2683"/>
    <w:rsid w:val="00FC2810"/>
    <w:rsid w:val="00FC299F"/>
    <w:rsid w:val="00FC3213"/>
    <w:rsid w:val="00FC3C6C"/>
    <w:rsid w:val="00FC48C6"/>
    <w:rsid w:val="00FC4A91"/>
    <w:rsid w:val="00FC4E0B"/>
    <w:rsid w:val="00FC6141"/>
    <w:rsid w:val="00FC623A"/>
    <w:rsid w:val="00FC646D"/>
    <w:rsid w:val="00FC64C9"/>
    <w:rsid w:val="00FC65E5"/>
    <w:rsid w:val="00FC6C78"/>
    <w:rsid w:val="00FC6CEF"/>
    <w:rsid w:val="00FC6E1D"/>
    <w:rsid w:val="00FC740E"/>
    <w:rsid w:val="00FD01D3"/>
    <w:rsid w:val="00FD0801"/>
    <w:rsid w:val="00FD0D17"/>
    <w:rsid w:val="00FD0E6A"/>
    <w:rsid w:val="00FD1AA4"/>
    <w:rsid w:val="00FD1BD4"/>
    <w:rsid w:val="00FD1EA8"/>
    <w:rsid w:val="00FD23AE"/>
    <w:rsid w:val="00FD25CD"/>
    <w:rsid w:val="00FD2DBC"/>
    <w:rsid w:val="00FD2FA7"/>
    <w:rsid w:val="00FD3133"/>
    <w:rsid w:val="00FD3B87"/>
    <w:rsid w:val="00FD4B79"/>
    <w:rsid w:val="00FD53EF"/>
    <w:rsid w:val="00FD5465"/>
    <w:rsid w:val="00FD5858"/>
    <w:rsid w:val="00FD58EF"/>
    <w:rsid w:val="00FD5BC9"/>
    <w:rsid w:val="00FD6110"/>
    <w:rsid w:val="00FD620D"/>
    <w:rsid w:val="00FD64B8"/>
    <w:rsid w:val="00FD667B"/>
    <w:rsid w:val="00FD7165"/>
    <w:rsid w:val="00FD76D9"/>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11"/>
    <w:rsid w:val="00FE5D99"/>
    <w:rsid w:val="00FE5E25"/>
    <w:rsid w:val="00FE6AE8"/>
    <w:rsid w:val="00FE70D5"/>
    <w:rsid w:val="00FE7127"/>
    <w:rsid w:val="00FE7B5D"/>
    <w:rsid w:val="00FF041F"/>
    <w:rsid w:val="00FF0793"/>
    <w:rsid w:val="00FF0C67"/>
    <w:rsid w:val="00FF0E6A"/>
    <w:rsid w:val="00FF0F69"/>
    <w:rsid w:val="00FF1623"/>
    <w:rsid w:val="00FF16F4"/>
    <w:rsid w:val="00FF21EF"/>
    <w:rsid w:val="00FF2A34"/>
    <w:rsid w:val="00FF364B"/>
    <w:rsid w:val="00FF4A4D"/>
    <w:rsid w:val="00FF5347"/>
    <w:rsid w:val="00FF5813"/>
    <w:rsid w:val="00FF5E54"/>
    <w:rsid w:val="00FF5E85"/>
    <w:rsid w:val="00FF6280"/>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5F1C34"/>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5">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9">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fa">
    <w:name w:val="אפיזה טקסט"/>
    <w:basedOn w:val="Normal"/>
    <w:link w:val="afb"/>
    <w:qFormat/>
    <w:rsid w:val="00E933E7"/>
    <w:pPr>
      <w:spacing w:before="120" w:after="120" w:line="360" w:lineRule="auto"/>
    </w:pPr>
    <w:rPr>
      <w:rFonts w:ascii="Arial" w:eastAsia="Calibri" w:hAnsi="Arial" w:cs="Arial"/>
      <w:szCs w:val="22"/>
    </w:rPr>
  </w:style>
  <w:style w:type="character" w:customStyle="1" w:styleId="afb">
    <w:name w:val="אפיזה טקסט תו"/>
    <w:basedOn w:val="DefaultParagraphFont"/>
    <w:link w:val="afa"/>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6.png"/><Relationship Id="rId33" Type="http://schemas.openxmlformats.org/officeDocument/2006/relationships/header" Target="header5.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1.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5.png"/><Relationship Id="rId32" Type="http://schemas.openxmlformats.org/officeDocument/2006/relationships/image" Target="media/image20.png"/><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jpeg"/><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7.png"/><Relationship Id="rId22" Type="http://schemas.openxmlformats.org/officeDocument/2006/relationships/image" Target="media/image13.png"/><Relationship Id="rId30" Type="http://schemas.openxmlformats.org/officeDocument/2006/relationships/image" Target="media/image18.png"/><Relationship Id="rId35" Type="http://schemas.openxmlformats.org/officeDocument/2006/relationships/theme" Target="theme/theme1.xml"/><Relationship Id="rId8"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DE45EFD6-CD7F-4999-A469-762C86198A73}"/>
</file>

<file path=customXml/itemProps3.xml><?xml version="1.0" encoding="utf-8"?>
<ds:datastoreItem xmlns:ds="http://schemas.openxmlformats.org/officeDocument/2006/customXml" ds:itemID="{63099348-86EF-44BA-A207-114B22BB3956}"/>
</file>

<file path=customXml/itemProps4.xml><?xml version="1.0" encoding="utf-8"?>
<ds:datastoreItem xmlns:ds="http://schemas.openxmlformats.org/officeDocument/2006/customXml" ds:itemID="{8550A7BA-8B8C-4685-A6C6-D3789E6836C9}"/>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171</TotalTime>
  <Pages>12</Pages>
  <Words>2263</Words>
  <Characters>11316</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19</cp:revision>
  <cp:lastPrinted>2021-08-11T07:46:00Z</cp:lastPrinted>
  <dcterms:created xsi:type="dcterms:W3CDTF">2021-08-11T04:55:00Z</dcterms:created>
  <dcterms:modified xsi:type="dcterms:W3CDTF">2021-10-09T07:11:00Z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