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666E0F0C" w:rsidR="008B2E28" w:rsidRDefault="00C21954" w:rsidP="008D2388">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82AC61">
                <wp:simplePos x="0" y="0"/>
                <wp:positionH relativeFrom="column">
                  <wp:posOffset>-15041880</wp:posOffset>
                </wp:positionH>
                <wp:positionV relativeFrom="paragraph">
                  <wp:posOffset>-6002655</wp:posOffset>
                </wp:positionV>
                <wp:extent cx="20269200" cy="154781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125"/>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F303C8B" id="Rectangle 11" o:spid="_x0000_s1026" style="position:absolute;left:0;text-align:left;margin-left:-1184.4pt;margin-top:-472.65pt;width:1596pt;height:12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" fillcolor="#00305f" strokecolor="#243f60 [1604]" strokeweight="2pt"/>
            </w:pict>
          </mc:Fallback>
        </mc:AlternateContent>
      </w:r>
      <w:r w:rsidR="009D10F3">
        <w:rPr>
          <w:noProof/>
        </w:rPr>
        <mc:AlternateContent>
          <mc:Choice Requires="wps">
            <w:drawing>
              <wp:anchor distT="0" distB="0" distL="114300" distR="114300" simplePos="0" relativeHeight="251771392" behindDoc="1" locked="0" layoutInCell="1" allowOverlap="1" wp14:anchorId="4AB4C1EF" wp14:editId="3FF1A012">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50DE6AE" id="Straight Connector 618" o:spid="_x0000_s1026" style="position:absolute;left:0;text-align:left;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bookmarkStart w:id="0" w:name="_Hlk63775048"/>
      <w:bookmarkEnd w:id="0"/>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BC7416">
        <w:rPr>
          <w:rFonts w:ascii="Tahoma" w:hAnsi="Tahoma" w:cs="Tahoma"/>
          <w:sz w:val="22"/>
          <w:szCs w:val="22"/>
        </w:rPr>
        <w:t xml:space="preserve">    </w:t>
      </w:r>
      <w:bookmarkStart w:id="1" w:name="_GoBack"/>
      <w:bookmarkEnd w:id="1"/>
      <w:r>
        <w:rPr>
          <w:rFonts w:ascii="Tahoma" w:hAnsi="Tahoma" w:cs="Tahoma"/>
          <w:sz w:val="22"/>
          <w:szCs w:val="22"/>
        </w:rPr>
        <w:t>,</w:t>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3AFE9951" w:rsidR="003C32FE" w:rsidRPr="00170230" w:rsidRDefault="003C32FE" w:rsidP="003C32FE">
      <w:pPr>
        <w:spacing w:line="240" w:lineRule="atLeast"/>
        <w:jc w:val="center"/>
        <w:rPr>
          <w:rFonts w:ascii="Tahoma" w:hAnsi="Tahoma" w:cs="Tahoma"/>
          <w:szCs w:val="18"/>
          <w:rtl/>
        </w:rPr>
      </w:pPr>
    </w:p>
    <w:p w14:paraId="7A26D94A" w14:textId="3BA2212A" w:rsidR="003C32FE" w:rsidRDefault="0018174D"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63F8BB95">
                <wp:simplePos x="0" y="0"/>
                <wp:positionH relativeFrom="column">
                  <wp:posOffset>3141345</wp:posOffset>
                </wp:positionH>
                <wp:positionV relativeFrom="paragraph">
                  <wp:posOffset>362585</wp:posOffset>
                </wp:positionV>
                <wp:extent cx="0" cy="23431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43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8BB0746" id="Straight Connector 5"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35pt,28.55pt" to="247.3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" strokecolor="white [3212]" strokeweight="4pt"/>
            </w:pict>
          </mc:Fallback>
        </mc:AlternateContent>
      </w:r>
      <w:r w:rsidR="002B07DE">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5644AA78">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387DC8F" id="Straight Connector 8"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167C2AEB">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BC7416" w:rsidRDefault="00BC7416" w:rsidP="0052031E">
                            <w:pPr>
                              <w:ind w:left="2268"/>
                              <w:rPr>
                                <w:rFonts w:ascii="Tahoma" w:hAnsi="Tahoma" w:cs="Tahoma"/>
                                <w:sz w:val="18"/>
                                <w:szCs w:val="18"/>
                                <w:rtl/>
                              </w:rPr>
                            </w:pPr>
                          </w:p>
                          <w:p w14:paraId="01373895" w14:textId="77777777" w:rsidR="00BC7416" w:rsidRDefault="00BC7416" w:rsidP="0052031E">
                            <w:pPr>
                              <w:ind w:left="2268"/>
                              <w:rPr>
                                <w:rFonts w:ascii="Tahoma" w:hAnsi="Tahoma" w:cs="Tahoma"/>
                                <w:sz w:val="18"/>
                                <w:szCs w:val="18"/>
                                <w:rtl/>
                              </w:rPr>
                            </w:pPr>
                          </w:p>
                          <w:p w14:paraId="36732496" w14:textId="01D1CE25" w:rsidR="00BC7416" w:rsidRPr="0052031E" w:rsidRDefault="00BC7416"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Pr>
                                <w:rFonts w:ascii="Tahoma" w:hAnsi="Tahoma" w:cs="Tahoma" w:hint="cs"/>
                                <w:sz w:val="18"/>
                                <w:szCs w:val="18"/>
                                <w:rtl/>
                              </w:rPr>
                              <w:t>מיוחד</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BC7416" w:rsidRDefault="00BC7416" w:rsidP="0052031E">
                            <w:pPr>
                              <w:ind w:left="2268"/>
                              <w:rPr>
                                <w:rtl/>
                              </w:rPr>
                            </w:pPr>
                          </w:p>
                          <w:p w14:paraId="537675A5" w14:textId="77777777" w:rsidR="00BC7416" w:rsidRDefault="00BC7416" w:rsidP="0052031E">
                            <w:pPr>
                              <w:ind w:left="2268"/>
                              <w:rPr>
                                <w:rtl/>
                              </w:rPr>
                            </w:pPr>
                          </w:p>
                          <w:p w14:paraId="028C1DED" w14:textId="3662D4DC" w:rsidR="00BC7416" w:rsidRPr="00876ED9" w:rsidRDefault="00BC741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דוח ביקורת מיוחד </w:t>
                            </w:r>
                          </w:p>
                          <w:p w14:paraId="6697F098" w14:textId="19C16FCE" w:rsidR="00BC7416" w:rsidRDefault="00BC7416" w:rsidP="00CD092E">
                            <w:pPr>
                              <w:spacing w:before="360" w:line="600" w:lineRule="exact"/>
                              <w:ind w:left="2268"/>
                              <w:jc w:val="left"/>
                              <w:rPr>
                                <w:rFonts w:ascii="Tahoma" w:hAnsi="Tahoma" w:cs="Tahoma"/>
                                <w:b/>
                                <w:bCs/>
                                <w:color w:val="FFFFFF" w:themeColor="background1"/>
                                <w:sz w:val="44"/>
                                <w:szCs w:val="44"/>
                                <w:rtl/>
                              </w:rPr>
                            </w:pPr>
                            <w:r w:rsidRPr="0013021D">
                              <w:rPr>
                                <w:rFonts w:ascii="Tahoma" w:hAnsi="Tahoma" w:cs="Tahoma" w:hint="cs"/>
                                <w:b/>
                                <w:bCs/>
                                <w:sz w:val="40"/>
                                <w:szCs w:val="40"/>
                                <w:rtl/>
                              </w:rPr>
                              <w:t>היבטים</w:t>
                            </w:r>
                            <w:r w:rsidRPr="0013021D">
                              <w:rPr>
                                <w:rFonts w:ascii="Tahoma" w:hAnsi="Tahoma" w:cs="Tahoma"/>
                                <w:b/>
                                <w:bCs/>
                                <w:sz w:val="40"/>
                                <w:szCs w:val="40"/>
                                <w:rtl/>
                              </w:rPr>
                              <w:t xml:space="preserve"> </w:t>
                            </w:r>
                            <w:r w:rsidRPr="0013021D">
                              <w:rPr>
                                <w:rFonts w:ascii="Tahoma" w:hAnsi="Tahoma" w:cs="Tahoma" w:hint="cs"/>
                                <w:b/>
                                <w:bCs/>
                                <w:sz w:val="40"/>
                                <w:szCs w:val="40"/>
                                <w:rtl/>
                              </w:rPr>
                              <w:t>בהסכמי</w:t>
                            </w:r>
                            <w:r w:rsidRPr="0013021D">
                              <w:rPr>
                                <w:rFonts w:ascii="Tahoma" w:hAnsi="Tahoma" w:cs="Tahoma"/>
                                <w:b/>
                                <w:bCs/>
                                <w:sz w:val="40"/>
                                <w:szCs w:val="40"/>
                                <w:rtl/>
                              </w:rPr>
                              <w:t xml:space="preserve"> </w:t>
                            </w:r>
                            <w:r w:rsidRPr="0013021D">
                              <w:rPr>
                                <w:rFonts w:ascii="Tahoma" w:hAnsi="Tahoma" w:cs="Tahoma" w:hint="cs"/>
                                <w:b/>
                                <w:bCs/>
                                <w:sz w:val="40"/>
                                <w:szCs w:val="40"/>
                                <w:rtl/>
                              </w:rPr>
                              <w:t>הגג</w:t>
                            </w:r>
                            <w:r w:rsidRPr="0013021D">
                              <w:rPr>
                                <w:rFonts w:ascii="Tahoma" w:hAnsi="Tahoma" w:cs="Tahoma"/>
                                <w:b/>
                                <w:bCs/>
                                <w:sz w:val="40"/>
                                <w:szCs w:val="40"/>
                                <w:rtl/>
                              </w:rPr>
                              <w:t xml:space="preserve"> </w:t>
                            </w:r>
                            <w:r w:rsidRPr="0013021D">
                              <w:rPr>
                                <w:rFonts w:ascii="Tahoma" w:hAnsi="Tahoma" w:cs="Tahoma" w:hint="cs"/>
                                <w:b/>
                                <w:bCs/>
                                <w:sz w:val="40"/>
                                <w:szCs w:val="40"/>
                                <w:rtl/>
                              </w:rPr>
                              <w:t>שנחתמו</w:t>
                            </w:r>
                            <w:r w:rsidRPr="0013021D">
                              <w:rPr>
                                <w:rFonts w:ascii="Tahoma" w:hAnsi="Tahoma" w:cs="Tahoma"/>
                                <w:b/>
                                <w:bCs/>
                                <w:sz w:val="40"/>
                                <w:szCs w:val="40"/>
                                <w:rtl/>
                              </w:rPr>
                              <w:t xml:space="preserve"> </w:t>
                            </w:r>
                            <w:r w:rsidRPr="0013021D">
                              <w:rPr>
                                <w:rFonts w:ascii="Tahoma" w:hAnsi="Tahoma" w:cs="Tahoma" w:hint="cs"/>
                                <w:b/>
                                <w:bCs/>
                                <w:sz w:val="40"/>
                                <w:szCs w:val="40"/>
                                <w:rtl/>
                              </w:rPr>
                              <w:t>עם</w:t>
                            </w:r>
                            <w:r w:rsidRPr="0013021D">
                              <w:rPr>
                                <w:rFonts w:ascii="Tahoma" w:hAnsi="Tahoma" w:cs="Tahoma"/>
                                <w:b/>
                                <w:bCs/>
                                <w:sz w:val="40"/>
                                <w:szCs w:val="40"/>
                                <w:rtl/>
                              </w:rPr>
                              <w:t xml:space="preserve"> </w:t>
                            </w:r>
                            <w:r w:rsidRPr="0013021D">
                              <w:rPr>
                                <w:rFonts w:ascii="Tahoma" w:hAnsi="Tahoma" w:cs="Tahoma" w:hint="cs"/>
                                <w:b/>
                                <w:bCs/>
                                <w:sz w:val="40"/>
                                <w:szCs w:val="40"/>
                                <w:rtl/>
                              </w:rPr>
                              <w:t>רשויות</w:t>
                            </w:r>
                            <w:r w:rsidRPr="0013021D">
                              <w:rPr>
                                <w:rFonts w:ascii="Tahoma" w:hAnsi="Tahoma" w:cs="Tahoma"/>
                                <w:b/>
                                <w:bCs/>
                                <w:sz w:val="40"/>
                                <w:szCs w:val="40"/>
                                <w:rtl/>
                              </w:rPr>
                              <w:t xml:space="preserve"> </w:t>
                            </w:r>
                            <w:r w:rsidRPr="0013021D">
                              <w:rPr>
                                <w:rFonts w:ascii="Tahoma" w:hAnsi="Tahoma" w:cs="Tahoma" w:hint="cs"/>
                                <w:b/>
                                <w:bCs/>
                                <w:sz w:val="40"/>
                                <w:szCs w:val="40"/>
                                <w:rtl/>
                              </w:rPr>
                              <w:t>מקומיות</w:t>
                            </w:r>
                            <w:r>
                              <w:rPr>
                                <w:rFonts w:ascii="Tahoma" w:hAnsi="Tahoma" w:cs="Tahoma"/>
                                <w:b/>
                                <w:bCs/>
                                <w:sz w:val="40"/>
                                <w:szCs w:val="40"/>
                                <w:rtl/>
                              </w:rPr>
                              <w:t xml:space="preserve"> </w:t>
                            </w:r>
                          </w:p>
                          <w:p w14:paraId="5464BE8D" w14:textId="323C5C35" w:rsidR="00BC7416" w:rsidRPr="005C48B2" w:rsidRDefault="00BC7416"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BC7416" w:rsidRDefault="00BC7416" w:rsidP="0052031E">
                      <w:pPr>
                        <w:ind w:left="2268"/>
                        <w:rPr>
                          <w:rFonts w:ascii="Tahoma" w:hAnsi="Tahoma" w:cs="Tahoma"/>
                          <w:sz w:val="18"/>
                          <w:szCs w:val="18"/>
                          <w:rtl/>
                        </w:rPr>
                      </w:pPr>
                    </w:p>
                    <w:p w14:paraId="01373895" w14:textId="77777777" w:rsidR="00BC7416" w:rsidRDefault="00BC7416" w:rsidP="0052031E">
                      <w:pPr>
                        <w:ind w:left="2268"/>
                        <w:rPr>
                          <w:rFonts w:ascii="Tahoma" w:hAnsi="Tahoma" w:cs="Tahoma"/>
                          <w:sz w:val="18"/>
                          <w:szCs w:val="18"/>
                          <w:rtl/>
                        </w:rPr>
                      </w:pPr>
                    </w:p>
                    <w:p w14:paraId="36732496" w14:textId="01D1CE25" w:rsidR="00BC7416" w:rsidRPr="0052031E" w:rsidRDefault="00BC7416"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Pr>
                          <w:rFonts w:ascii="Tahoma" w:hAnsi="Tahoma" w:cs="Tahoma" w:hint="cs"/>
                          <w:sz w:val="18"/>
                          <w:szCs w:val="18"/>
                          <w:rtl/>
                        </w:rPr>
                        <w:t>מיוחד</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BC7416" w:rsidRDefault="00BC7416" w:rsidP="0052031E">
                      <w:pPr>
                        <w:ind w:left="2268"/>
                        <w:rPr>
                          <w:rtl/>
                        </w:rPr>
                      </w:pPr>
                    </w:p>
                    <w:p w14:paraId="537675A5" w14:textId="77777777" w:rsidR="00BC7416" w:rsidRDefault="00BC7416" w:rsidP="0052031E">
                      <w:pPr>
                        <w:ind w:left="2268"/>
                        <w:rPr>
                          <w:rtl/>
                        </w:rPr>
                      </w:pPr>
                    </w:p>
                    <w:p w14:paraId="028C1DED" w14:textId="3662D4DC" w:rsidR="00BC7416" w:rsidRPr="00876ED9" w:rsidRDefault="00BC741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דוח ביקורת מיוחד </w:t>
                      </w:r>
                    </w:p>
                    <w:p w14:paraId="6697F098" w14:textId="19C16FCE" w:rsidR="00BC7416" w:rsidRDefault="00BC7416" w:rsidP="00CD092E">
                      <w:pPr>
                        <w:spacing w:before="360" w:line="600" w:lineRule="exact"/>
                        <w:ind w:left="2268"/>
                        <w:jc w:val="left"/>
                        <w:rPr>
                          <w:rFonts w:ascii="Tahoma" w:hAnsi="Tahoma" w:cs="Tahoma"/>
                          <w:b/>
                          <w:bCs/>
                          <w:color w:val="FFFFFF" w:themeColor="background1"/>
                          <w:sz w:val="44"/>
                          <w:szCs w:val="44"/>
                          <w:rtl/>
                        </w:rPr>
                      </w:pPr>
                      <w:r w:rsidRPr="0013021D">
                        <w:rPr>
                          <w:rFonts w:ascii="Tahoma" w:hAnsi="Tahoma" w:cs="Tahoma" w:hint="cs"/>
                          <w:b/>
                          <w:bCs/>
                          <w:sz w:val="40"/>
                          <w:szCs w:val="40"/>
                          <w:rtl/>
                        </w:rPr>
                        <w:t>היבטים</w:t>
                      </w:r>
                      <w:r w:rsidRPr="0013021D">
                        <w:rPr>
                          <w:rFonts w:ascii="Tahoma" w:hAnsi="Tahoma" w:cs="Tahoma"/>
                          <w:b/>
                          <w:bCs/>
                          <w:sz w:val="40"/>
                          <w:szCs w:val="40"/>
                          <w:rtl/>
                        </w:rPr>
                        <w:t xml:space="preserve"> </w:t>
                      </w:r>
                      <w:r w:rsidRPr="0013021D">
                        <w:rPr>
                          <w:rFonts w:ascii="Tahoma" w:hAnsi="Tahoma" w:cs="Tahoma" w:hint="cs"/>
                          <w:b/>
                          <w:bCs/>
                          <w:sz w:val="40"/>
                          <w:szCs w:val="40"/>
                          <w:rtl/>
                        </w:rPr>
                        <w:t>בהסכמי</w:t>
                      </w:r>
                      <w:r w:rsidRPr="0013021D">
                        <w:rPr>
                          <w:rFonts w:ascii="Tahoma" w:hAnsi="Tahoma" w:cs="Tahoma"/>
                          <w:b/>
                          <w:bCs/>
                          <w:sz w:val="40"/>
                          <w:szCs w:val="40"/>
                          <w:rtl/>
                        </w:rPr>
                        <w:t xml:space="preserve"> </w:t>
                      </w:r>
                      <w:r w:rsidRPr="0013021D">
                        <w:rPr>
                          <w:rFonts w:ascii="Tahoma" w:hAnsi="Tahoma" w:cs="Tahoma" w:hint="cs"/>
                          <w:b/>
                          <w:bCs/>
                          <w:sz w:val="40"/>
                          <w:szCs w:val="40"/>
                          <w:rtl/>
                        </w:rPr>
                        <w:t>הגג</w:t>
                      </w:r>
                      <w:r w:rsidRPr="0013021D">
                        <w:rPr>
                          <w:rFonts w:ascii="Tahoma" w:hAnsi="Tahoma" w:cs="Tahoma"/>
                          <w:b/>
                          <w:bCs/>
                          <w:sz w:val="40"/>
                          <w:szCs w:val="40"/>
                          <w:rtl/>
                        </w:rPr>
                        <w:t xml:space="preserve"> </w:t>
                      </w:r>
                      <w:r w:rsidRPr="0013021D">
                        <w:rPr>
                          <w:rFonts w:ascii="Tahoma" w:hAnsi="Tahoma" w:cs="Tahoma" w:hint="cs"/>
                          <w:b/>
                          <w:bCs/>
                          <w:sz w:val="40"/>
                          <w:szCs w:val="40"/>
                          <w:rtl/>
                        </w:rPr>
                        <w:t>שנחתמו</w:t>
                      </w:r>
                      <w:r w:rsidRPr="0013021D">
                        <w:rPr>
                          <w:rFonts w:ascii="Tahoma" w:hAnsi="Tahoma" w:cs="Tahoma"/>
                          <w:b/>
                          <w:bCs/>
                          <w:sz w:val="40"/>
                          <w:szCs w:val="40"/>
                          <w:rtl/>
                        </w:rPr>
                        <w:t xml:space="preserve"> </w:t>
                      </w:r>
                      <w:r w:rsidRPr="0013021D">
                        <w:rPr>
                          <w:rFonts w:ascii="Tahoma" w:hAnsi="Tahoma" w:cs="Tahoma" w:hint="cs"/>
                          <w:b/>
                          <w:bCs/>
                          <w:sz w:val="40"/>
                          <w:szCs w:val="40"/>
                          <w:rtl/>
                        </w:rPr>
                        <w:t>עם</w:t>
                      </w:r>
                      <w:r w:rsidRPr="0013021D">
                        <w:rPr>
                          <w:rFonts w:ascii="Tahoma" w:hAnsi="Tahoma" w:cs="Tahoma"/>
                          <w:b/>
                          <w:bCs/>
                          <w:sz w:val="40"/>
                          <w:szCs w:val="40"/>
                          <w:rtl/>
                        </w:rPr>
                        <w:t xml:space="preserve"> </w:t>
                      </w:r>
                      <w:r w:rsidRPr="0013021D">
                        <w:rPr>
                          <w:rFonts w:ascii="Tahoma" w:hAnsi="Tahoma" w:cs="Tahoma" w:hint="cs"/>
                          <w:b/>
                          <w:bCs/>
                          <w:sz w:val="40"/>
                          <w:szCs w:val="40"/>
                          <w:rtl/>
                        </w:rPr>
                        <w:t>רשויות</w:t>
                      </w:r>
                      <w:r w:rsidRPr="0013021D">
                        <w:rPr>
                          <w:rFonts w:ascii="Tahoma" w:hAnsi="Tahoma" w:cs="Tahoma"/>
                          <w:b/>
                          <w:bCs/>
                          <w:sz w:val="40"/>
                          <w:szCs w:val="40"/>
                          <w:rtl/>
                        </w:rPr>
                        <w:t xml:space="preserve"> </w:t>
                      </w:r>
                      <w:r w:rsidRPr="0013021D">
                        <w:rPr>
                          <w:rFonts w:ascii="Tahoma" w:hAnsi="Tahoma" w:cs="Tahoma" w:hint="cs"/>
                          <w:b/>
                          <w:bCs/>
                          <w:sz w:val="40"/>
                          <w:szCs w:val="40"/>
                          <w:rtl/>
                        </w:rPr>
                        <w:t>מקומיות</w:t>
                      </w:r>
                      <w:r>
                        <w:rPr>
                          <w:rFonts w:ascii="Tahoma" w:hAnsi="Tahoma" w:cs="Tahoma"/>
                          <w:b/>
                          <w:bCs/>
                          <w:sz w:val="40"/>
                          <w:szCs w:val="40"/>
                          <w:rtl/>
                        </w:rPr>
                        <w:t xml:space="preserve"> </w:t>
                      </w:r>
                    </w:p>
                    <w:p w14:paraId="5464BE8D" w14:textId="323C5C35" w:rsidR="00BC7416" w:rsidRPr="005C48B2" w:rsidRDefault="00BC7416"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67E3409D">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9"/>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432496FE" w:rsidR="00DC45E5" w:rsidRDefault="00031BF6" w:rsidP="00B30EC9">
      <w:pPr>
        <w:pStyle w:val="7120"/>
        <w:spacing w:after="0"/>
        <w:rPr>
          <w:rtl/>
        </w:rPr>
      </w:pPr>
      <w:r w:rsidRPr="00031BF6">
        <w:rPr>
          <w:rFonts w:hint="cs"/>
          <w:rtl/>
        </w:rPr>
        <w:lastRenderedPageBreak/>
        <w:t>היבטים</w:t>
      </w:r>
      <w:r w:rsidRPr="00031BF6">
        <w:rPr>
          <w:rtl/>
        </w:rPr>
        <w:t xml:space="preserve"> </w:t>
      </w:r>
      <w:r w:rsidRPr="00031BF6">
        <w:rPr>
          <w:rFonts w:hint="cs"/>
          <w:rtl/>
        </w:rPr>
        <w:t>בהסכמי</w:t>
      </w:r>
      <w:r w:rsidRPr="00031BF6">
        <w:rPr>
          <w:rtl/>
        </w:rPr>
        <w:t xml:space="preserve"> </w:t>
      </w:r>
      <w:r w:rsidRPr="00031BF6">
        <w:rPr>
          <w:rFonts w:hint="cs"/>
          <w:rtl/>
        </w:rPr>
        <w:t>הגג</w:t>
      </w:r>
      <w:r w:rsidRPr="00031BF6">
        <w:rPr>
          <w:rtl/>
        </w:rPr>
        <w:t xml:space="preserve"> </w:t>
      </w:r>
      <w:r w:rsidRPr="00031BF6">
        <w:rPr>
          <w:rFonts w:hint="cs"/>
          <w:rtl/>
        </w:rPr>
        <w:t>שנחתמו</w:t>
      </w:r>
      <w:r w:rsidRPr="00031BF6">
        <w:rPr>
          <w:rtl/>
        </w:rPr>
        <w:t xml:space="preserve"> </w:t>
      </w:r>
      <w:r w:rsidRPr="00031BF6">
        <w:rPr>
          <w:rFonts w:hint="cs"/>
          <w:rtl/>
        </w:rPr>
        <w:t>עם</w:t>
      </w:r>
      <w:r w:rsidRPr="00031BF6">
        <w:rPr>
          <w:rtl/>
        </w:rPr>
        <w:t xml:space="preserve"> </w:t>
      </w:r>
      <w:r w:rsidRPr="00031BF6">
        <w:rPr>
          <w:rFonts w:hint="cs"/>
          <w:rtl/>
        </w:rPr>
        <w:t>רשויות</w:t>
      </w:r>
      <w:r w:rsidRPr="00031BF6">
        <w:rPr>
          <w:rtl/>
        </w:rPr>
        <w:t xml:space="preserve"> </w:t>
      </w:r>
      <w:r w:rsidRPr="00031BF6">
        <w:rPr>
          <w:rFonts w:hint="cs"/>
          <w:rtl/>
        </w:rPr>
        <w:t>מקומיות</w:t>
      </w:r>
      <w:r>
        <w:rPr>
          <w:szCs w:val="40"/>
          <w:rtl/>
        </w:rPr>
        <w:t xml:space="preserve"> </w:t>
      </w:r>
    </w:p>
    <w:p w14:paraId="0165F9FB" w14:textId="0075B03F" w:rsidR="0027424D" w:rsidRPr="000D2FE7" w:rsidRDefault="00EB223C" w:rsidP="00445EB4">
      <w:pPr>
        <w:pStyle w:val="afff6"/>
        <w:spacing w:after="0"/>
        <w:rPr>
          <w:rtl/>
        </w:rPr>
      </w:pPr>
      <w:r>
        <w:rPr>
          <w:rtl/>
        </w:rPr>
        <w:drawing>
          <wp:anchor distT="0" distB="0" distL="114300" distR="114300" simplePos="0" relativeHeight="251676160" behindDoc="0" locked="0" layoutInCell="1" allowOverlap="1" wp14:anchorId="510ACD8F" wp14:editId="04077D98">
            <wp:simplePos x="0" y="0"/>
            <wp:positionH relativeFrom="margin">
              <wp:posOffset>3317875</wp:posOffset>
            </wp:positionH>
            <wp:positionV relativeFrom="paragraph">
              <wp:posOffset>337820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7389757" w14:textId="77777777" w:rsidR="00803283" w:rsidRDefault="00803283" w:rsidP="00247BC0">
      <w:pPr>
        <w:pStyle w:val="7190"/>
        <w:rPr>
          <w:rtl/>
        </w:rPr>
      </w:pPr>
    </w:p>
    <w:p w14:paraId="733C5D88" w14:textId="20BE8865" w:rsidR="007D10A2" w:rsidRDefault="00ED34B0" w:rsidP="007D10A2">
      <w:pPr>
        <w:pStyle w:val="7190"/>
        <w:rPr>
          <w:rtl/>
        </w:rPr>
      </w:pPr>
      <w:r>
        <w:rPr>
          <w:sz w:val="19"/>
          <w:szCs w:val="19"/>
          <w:rtl/>
        </w:rPr>
        <w:t>העלייה הניכרת (בשיעור 103% במונחים ריאליים) שחלה במחירי הדיור במדינה מתחילת שנת 2008 ועד סוף שנת 2020 הכבידה את נטל ההוצאה על משקי הבית, בייחוד מהמעמד החברתי-הכלכלי הנמוך וממעמד הביניים, וחוללה משבר בתחום הדיור. אחד הגורמים לעליית מחירי הדירות הוא מחסור ביחידות דיור (יח"ד). מתוך כוונה לעודד את הרשויות המקומיות לקדם בתחום שיפוטן פיתוח של שכונות מגורים חדשות ושיווק של יח"ד בהיקף נרחב ובקצב מהיר קיבלה הממשלה באוקטובר 2013 החלטה בנושא "הסכמי גג עם רשויות מקומיות לטובת הסרת חסמי שיווק ופיתוח" (החלטת הממשלה על הסכמי הגג). בהחלטה זו נקבע כי על משרד האוצר, משרד הבינוי והשיכון (משרד הבינוי) ורשות מקרקעי ישראל (רמ"י) להתקשר עם רשויות מקומיות בהסכמים לפיתוח ולשיווק של קרקעות בתחום שיפוטן (הסכמי גג). מאז החלטת הממשלה על הסכמי הגג ועד סוף 2020 נחתמו הסכמי גג עם 32 רשויות מקומיות - 20 מהן חתמו על ההסכמים עם רמ"י, ו-12 האחרות עם משרד הבינוי</w:t>
      </w:r>
      <w:r w:rsidR="007D10A2">
        <w:rPr>
          <w:rFonts w:hint="cs"/>
          <w:rtl/>
        </w:rPr>
        <w:t>.</w:t>
      </w:r>
    </w:p>
    <w:p w14:paraId="17821B6B" w14:textId="714007ED" w:rsidR="00DF0D09" w:rsidRDefault="00DF0D09">
      <w:pPr>
        <w:bidi w:val="0"/>
        <w:spacing w:after="200" w:line="276" w:lineRule="auto"/>
        <w:rPr>
          <w:rFonts w:ascii="Tahoma" w:hAnsi="Tahoma" w:cs="Tahoma"/>
          <w:b/>
          <w:bCs/>
          <w:color w:val="00305F"/>
          <w:sz w:val="32"/>
          <w:szCs w:val="32"/>
          <w:rtl/>
        </w:rPr>
      </w:pPr>
      <w:r>
        <w:rPr>
          <w:b/>
          <w:bCs/>
          <w:color w:val="00305F"/>
          <w:sz w:val="32"/>
          <w:szCs w:val="32"/>
          <w:rtl/>
        </w:rPr>
        <w:br w:type="page"/>
      </w:r>
    </w:p>
    <w:p w14:paraId="1277B358" w14:textId="3C05E3B6" w:rsidR="00B30EC9" w:rsidRDefault="00CB216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005888" behindDoc="0" locked="0" layoutInCell="1" allowOverlap="1" wp14:anchorId="3D592140" wp14:editId="48FD7F6E">
            <wp:simplePos x="0" y="0"/>
            <wp:positionH relativeFrom="column">
              <wp:posOffset>3303905</wp:posOffset>
            </wp:positionH>
            <wp:positionV relativeFrom="paragraph">
              <wp:posOffset>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02D9A468" w14:textId="7284CF18" w:rsidR="00CB2164" w:rsidRDefault="00CB2164" w:rsidP="00F9227B">
      <w:pPr>
        <w:pStyle w:val="100"/>
        <w:tabs>
          <w:tab w:val="center" w:pos="3685"/>
        </w:tabs>
        <w:spacing w:after="0" w:line="240" w:lineRule="exact"/>
        <w:rPr>
          <w:b/>
          <w:bCs/>
          <w:color w:val="00305F"/>
          <w:sz w:val="32"/>
          <w:szCs w:val="32"/>
          <w:rtl/>
        </w:rPr>
      </w:pPr>
    </w:p>
    <w:p w14:paraId="6C09B717" w14:textId="77777777" w:rsidR="00CB2164" w:rsidRDefault="00CB2164" w:rsidP="00F9227B">
      <w:pPr>
        <w:pStyle w:val="100"/>
        <w:tabs>
          <w:tab w:val="center" w:pos="3685"/>
        </w:tabs>
        <w:spacing w:after="0" w:line="240" w:lineRule="exact"/>
        <w:rPr>
          <w:b/>
          <w:bCs/>
          <w:color w:val="00305F"/>
          <w:sz w:val="32"/>
          <w:szCs w:val="32"/>
          <w:rtl/>
        </w:rPr>
      </w:pPr>
    </w:p>
    <w:tbl>
      <w:tblPr>
        <w:tblStyle w:val="aa"/>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222"/>
        <w:gridCol w:w="1610"/>
        <w:gridCol w:w="222"/>
        <w:gridCol w:w="1643"/>
        <w:gridCol w:w="222"/>
        <w:gridCol w:w="1628"/>
      </w:tblGrid>
      <w:tr w:rsidR="00ED34B0" w:rsidRPr="00A62059" w14:paraId="28D061A6" w14:textId="77777777" w:rsidTr="008F34AF">
        <w:trPr>
          <w:trHeight w:val="750"/>
        </w:trPr>
        <w:tc>
          <w:tcPr>
            <w:tcW w:w="1822" w:type="dxa"/>
            <w:tcBorders>
              <w:bottom w:val="single" w:sz="12" w:space="0" w:color="auto"/>
            </w:tcBorders>
            <w:vAlign w:val="center"/>
          </w:tcPr>
          <w:p w14:paraId="570C3D6F" w14:textId="02C194F2" w:rsidR="00ED34B0" w:rsidRPr="007E421C" w:rsidRDefault="00ED34B0" w:rsidP="00ED34B0">
            <w:pPr>
              <w:spacing w:line="240" w:lineRule="auto"/>
              <w:rPr>
                <w:rFonts w:ascii="Tahoma" w:hAnsi="Tahoma" w:cs="Tahoma"/>
                <w:b/>
                <w:bCs/>
                <w:spacing w:val="-18"/>
                <w:sz w:val="36"/>
                <w:szCs w:val="36"/>
                <w:rtl/>
              </w:rPr>
            </w:pPr>
            <w:r w:rsidRPr="00ED34B0">
              <w:rPr>
                <w:rFonts w:ascii="Tahoma" w:hAnsi="Tahoma" w:cs="Tahoma"/>
                <w:b/>
                <w:bCs/>
                <w:spacing w:val="-18"/>
                <w:sz w:val="36"/>
                <w:szCs w:val="36"/>
                <w:rtl/>
              </w:rPr>
              <w:t>103%</w:t>
            </w:r>
            <w:r w:rsidRPr="00ED34B0">
              <w:rPr>
                <w:rFonts w:ascii="Tahoma" w:hAnsi="Tahoma" w:cs="Tahoma" w:hint="cs"/>
                <w:b/>
                <w:bCs/>
                <w:spacing w:val="-18"/>
                <w:sz w:val="36"/>
                <w:szCs w:val="36"/>
                <w:rtl/>
              </w:rPr>
              <w:t>,</w:t>
            </w:r>
            <w:r w:rsidRPr="00ED34B0">
              <w:rPr>
                <w:rFonts w:ascii="Tahoma" w:hAnsi="Tahoma" w:cs="Tahoma"/>
                <w:b/>
                <w:bCs/>
                <w:spacing w:val="-18"/>
                <w:sz w:val="36"/>
                <w:szCs w:val="36"/>
                <w:rtl/>
              </w:rPr>
              <w:t xml:space="preserve"> 34%</w:t>
            </w:r>
          </w:p>
        </w:tc>
        <w:tc>
          <w:tcPr>
            <w:tcW w:w="222" w:type="dxa"/>
          </w:tcPr>
          <w:p w14:paraId="0B9DB5E0" w14:textId="77777777" w:rsidR="00ED34B0" w:rsidRPr="00A62059" w:rsidRDefault="00ED34B0" w:rsidP="00ED34B0">
            <w:pPr>
              <w:spacing w:line="240" w:lineRule="auto"/>
              <w:rPr>
                <w:rFonts w:ascii="Tahoma" w:hAnsi="Tahoma" w:cs="Tahoma"/>
                <w:b/>
                <w:bCs/>
                <w:spacing w:val="-18"/>
                <w:sz w:val="36"/>
                <w:szCs w:val="36"/>
                <w:rtl/>
              </w:rPr>
            </w:pPr>
          </w:p>
        </w:tc>
        <w:tc>
          <w:tcPr>
            <w:tcW w:w="1610" w:type="dxa"/>
            <w:tcBorders>
              <w:bottom w:val="single" w:sz="12" w:space="0" w:color="auto"/>
            </w:tcBorders>
          </w:tcPr>
          <w:p w14:paraId="73377A77" w14:textId="7594A2A2" w:rsidR="00ED34B0" w:rsidRPr="00ED34B0" w:rsidRDefault="00ED34B0" w:rsidP="00ED34B0">
            <w:pPr>
              <w:spacing w:line="240" w:lineRule="auto"/>
              <w:rPr>
                <w:rFonts w:ascii="Tahoma" w:hAnsi="Tahoma" w:cs="Tahoma"/>
                <w:b/>
                <w:bCs/>
                <w:spacing w:val="-18"/>
                <w:sz w:val="36"/>
                <w:szCs w:val="36"/>
                <w:rtl/>
              </w:rPr>
            </w:pPr>
            <w:r w:rsidRPr="00ED34B0">
              <w:rPr>
                <w:rFonts w:ascii="Tahoma" w:hAnsi="Tahoma" w:cs="Tahoma" w:hint="cs"/>
                <w:b/>
                <w:bCs/>
                <w:spacing w:val="-18"/>
                <w:sz w:val="36"/>
                <w:szCs w:val="36"/>
                <w:rtl/>
              </w:rPr>
              <w:t xml:space="preserve">475,000 </w:t>
            </w:r>
            <w:r w:rsidRPr="00ED34B0">
              <w:rPr>
                <w:rFonts w:ascii="Tahoma" w:hAnsi="Tahoma" w:cs="Tahoma" w:hint="cs"/>
                <w:b/>
                <w:bCs/>
                <w:spacing w:val="-18"/>
                <w:sz w:val="24"/>
                <w:rtl/>
              </w:rPr>
              <w:t>יח"ד</w:t>
            </w:r>
          </w:p>
        </w:tc>
        <w:tc>
          <w:tcPr>
            <w:tcW w:w="222" w:type="dxa"/>
          </w:tcPr>
          <w:p w14:paraId="326222A3" w14:textId="77777777" w:rsidR="00ED34B0" w:rsidRPr="00A62059" w:rsidRDefault="00ED34B0" w:rsidP="00ED34B0">
            <w:pPr>
              <w:spacing w:line="240" w:lineRule="auto"/>
              <w:rPr>
                <w:rFonts w:ascii="Tahoma" w:hAnsi="Tahoma" w:cs="Tahoma"/>
                <w:b/>
                <w:bCs/>
                <w:spacing w:val="-18"/>
                <w:sz w:val="36"/>
                <w:szCs w:val="36"/>
                <w:rtl/>
              </w:rPr>
            </w:pPr>
          </w:p>
        </w:tc>
        <w:tc>
          <w:tcPr>
            <w:tcW w:w="1643" w:type="dxa"/>
            <w:tcBorders>
              <w:bottom w:val="single" w:sz="12" w:space="0" w:color="auto"/>
            </w:tcBorders>
          </w:tcPr>
          <w:p w14:paraId="79D7A758" w14:textId="7FE2C04F" w:rsidR="00ED34B0" w:rsidRPr="00A62059" w:rsidRDefault="00DF0D09" w:rsidP="00ED34B0">
            <w:pPr>
              <w:spacing w:line="240" w:lineRule="auto"/>
              <w:jc w:val="left"/>
              <w:rPr>
                <w:rFonts w:ascii="Tahoma" w:hAnsi="Tahoma" w:cs="Tahoma"/>
                <w:b/>
                <w:bCs/>
                <w:spacing w:val="-18"/>
                <w:sz w:val="36"/>
                <w:szCs w:val="36"/>
                <w:rtl/>
              </w:rPr>
            </w:pPr>
            <w:r w:rsidRPr="00DF0D09">
              <w:rPr>
                <w:rFonts w:ascii="Tahoma" w:hAnsi="Tahoma" w:cs="Tahoma"/>
                <w:b/>
                <w:bCs/>
                <w:spacing w:val="-18"/>
                <w:sz w:val="36"/>
                <w:szCs w:val="36"/>
                <w:rtl/>
              </w:rPr>
              <w:t>441,000</w:t>
            </w:r>
            <w:r>
              <w:rPr>
                <w:rFonts w:ascii="Tahoma" w:hAnsi="Tahoma" w:cs="Tahoma"/>
                <w:spacing w:val="-10"/>
                <w:sz w:val="36"/>
                <w:szCs w:val="36"/>
                <w:rtl/>
              </w:rPr>
              <w:t xml:space="preserve"> </w:t>
            </w:r>
            <w:r w:rsidRPr="00DF0D09">
              <w:rPr>
                <w:rFonts w:ascii="Tahoma" w:hAnsi="Tahoma" w:cs="Tahoma"/>
                <w:b/>
                <w:bCs/>
                <w:spacing w:val="-18"/>
                <w:sz w:val="24"/>
                <w:rtl/>
              </w:rPr>
              <w:t>יח"ד</w:t>
            </w:r>
          </w:p>
        </w:tc>
        <w:tc>
          <w:tcPr>
            <w:tcW w:w="222" w:type="dxa"/>
          </w:tcPr>
          <w:p w14:paraId="613BDCE5" w14:textId="77777777" w:rsidR="00ED34B0" w:rsidRPr="00A62059" w:rsidRDefault="00ED34B0" w:rsidP="00ED34B0">
            <w:pPr>
              <w:spacing w:line="240" w:lineRule="auto"/>
              <w:rPr>
                <w:rFonts w:ascii="Tahoma" w:hAnsi="Tahoma" w:cs="Tahoma"/>
                <w:b/>
                <w:bCs/>
                <w:spacing w:val="-18"/>
                <w:sz w:val="36"/>
                <w:szCs w:val="36"/>
                <w:rtl/>
              </w:rPr>
            </w:pPr>
          </w:p>
        </w:tc>
        <w:tc>
          <w:tcPr>
            <w:tcW w:w="1628" w:type="dxa"/>
            <w:tcBorders>
              <w:bottom w:val="single" w:sz="12" w:space="0" w:color="auto"/>
            </w:tcBorders>
          </w:tcPr>
          <w:p w14:paraId="509615D5" w14:textId="01EF3926" w:rsidR="00ED34B0" w:rsidRPr="00A62059" w:rsidRDefault="00DF0D09" w:rsidP="00ED34B0">
            <w:pPr>
              <w:spacing w:line="240" w:lineRule="auto"/>
              <w:jc w:val="left"/>
              <w:rPr>
                <w:rFonts w:ascii="Tahoma" w:hAnsi="Tahoma" w:cs="Tahoma"/>
                <w:b/>
                <w:bCs/>
                <w:sz w:val="24"/>
                <w:rtl/>
              </w:rPr>
            </w:pPr>
            <w:r w:rsidRPr="00DF0D09">
              <w:rPr>
                <w:rFonts w:ascii="Tahoma" w:hAnsi="Tahoma" w:cs="Tahoma"/>
                <w:b/>
                <w:bCs/>
                <w:spacing w:val="-18"/>
                <w:sz w:val="36"/>
                <w:szCs w:val="36"/>
                <w:rtl/>
              </w:rPr>
              <w:t>67</w:t>
            </w:r>
            <w:r>
              <w:rPr>
                <w:rFonts w:ascii="Tahoma" w:hAnsi="Tahoma" w:cs="Tahoma"/>
                <w:spacing w:val="-10"/>
                <w:sz w:val="36"/>
                <w:szCs w:val="36"/>
                <w:rtl/>
              </w:rPr>
              <w:t xml:space="preserve"> </w:t>
            </w:r>
            <w:r>
              <w:rPr>
                <w:rFonts w:ascii="Tahoma" w:hAnsi="Tahoma" w:cs="Tahoma" w:hint="cs"/>
                <w:spacing w:val="-10"/>
                <w:sz w:val="36"/>
                <w:szCs w:val="36"/>
                <w:rtl/>
              </w:rPr>
              <w:t xml:space="preserve">        </w:t>
            </w:r>
            <w:r w:rsidRPr="00DF0D09">
              <w:rPr>
                <w:rFonts w:ascii="Tahoma" w:hAnsi="Tahoma" w:cs="Tahoma"/>
                <w:b/>
                <w:bCs/>
                <w:spacing w:val="-18"/>
                <w:sz w:val="24"/>
                <w:rtl/>
              </w:rPr>
              <w:t>מיליארד ש"ח</w:t>
            </w:r>
          </w:p>
        </w:tc>
      </w:tr>
      <w:tr w:rsidR="00ED34B0" w:rsidRPr="00423730" w14:paraId="72AF8BF9" w14:textId="77777777" w:rsidTr="008F34AF">
        <w:trPr>
          <w:trHeight w:val="113"/>
        </w:trPr>
        <w:tc>
          <w:tcPr>
            <w:tcW w:w="1822" w:type="dxa"/>
            <w:tcBorders>
              <w:top w:val="single" w:sz="12" w:space="0" w:color="auto"/>
            </w:tcBorders>
          </w:tcPr>
          <w:p w14:paraId="5D3EEBE7" w14:textId="6AB37356" w:rsidR="00ED34B0" w:rsidRPr="00EE2834" w:rsidRDefault="00DF0D09" w:rsidP="00CB2164">
            <w:pPr>
              <w:pStyle w:val="20211"/>
              <w:spacing w:after="120"/>
              <w:rPr>
                <w:rtl/>
              </w:rPr>
            </w:pPr>
            <w:r>
              <w:rPr>
                <w:rtl/>
              </w:rPr>
              <w:t xml:space="preserve">שיעור העלייה במדד מחירי הדירות במונחים ריאליים מינואר 2008 </w:t>
            </w:r>
            <w:r w:rsidRPr="00DF0D09">
              <w:rPr>
                <w:rtl/>
              </w:rPr>
              <w:t>ועד</w:t>
            </w:r>
            <w:r>
              <w:rPr>
                <w:rtl/>
              </w:rPr>
              <w:t xml:space="preserve"> דצמבר 2020 וכן </w:t>
            </w:r>
            <w:r w:rsidRPr="00DF0D09">
              <w:rPr>
                <w:rtl/>
              </w:rPr>
              <w:t>מאוקטובר</w:t>
            </w:r>
            <w:r>
              <w:rPr>
                <w:rtl/>
              </w:rPr>
              <w:t xml:space="preserve"> 2013, מועד קבלתה של החלטת הממשלה על הסכמי הגג, ועד דצמבר 2020, בהתאמה</w:t>
            </w:r>
            <w:r w:rsidR="00ED34B0">
              <w:rPr>
                <w:rFonts w:hint="cs"/>
                <w:rtl/>
              </w:rPr>
              <w:t>.</w:t>
            </w:r>
          </w:p>
        </w:tc>
        <w:tc>
          <w:tcPr>
            <w:tcW w:w="222" w:type="dxa"/>
          </w:tcPr>
          <w:p w14:paraId="51ECEB83" w14:textId="77777777" w:rsidR="00ED34B0" w:rsidRPr="00B3146C" w:rsidRDefault="00ED34B0" w:rsidP="00CB2164">
            <w:pPr>
              <w:pStyle w:val="20211"/>
              <w:spacing w:after="120"/>
              <w:rPr>
                <w:rtl/>
              </w:rPr>
            </w:pPr>
          </w:p>
        </w:tc>
        <w:tc>
          <w:tcPr>
            <w:tcW w:w="1610" w:type="dxa"/>
            <w:tcBorders>
              <w:top w:val="single" w:sz="12" w:space="0" w:color="auto"/>
            </w:tcBorders>
          </w:tcPr>
          <w:p w14:paraId="0913DE54" w14:textId="299F203E" w:rsidR="00ED34B0" w:rsidRPr="00DF0D09" w:rsidRDefault="00DF0D09" w:rsidP="00CB2164">
            <w:pPr>
              <w:pStyle w:val="20211"/>
              <w:spacing w:after="120"/>
              <w:rPr>
                <w:rtl/>
              </w:rPr>
            </w:pPr>
            <w:r>
              <w:rPr>
                <w:rFonts w:hint="cs"/>
                <w:rtl/>
              </w:rPr>
              <w:t xml:space="preserve">מספר יחה"ד שהממשלה קבעה </w:t>
            </w:r>
            <w:r w:rsidRPr="00C97581">
              <w:rPr>
                <w:rtl/>
              </w:rPr>
              <w:t>שייכללו ב</w:t>
            </w:r>
            <w:r>
              <w:rPr>
                <w:rFonts w:hint="cs"/>
                <w:rtl/>
              </w:rPr>
              <w:t>תוכניות שב</w:t>
            </w:r>
            <w:r w:rsidRPr="00C97581">
              <w:rPr>
                <w:rtl/>
              </w:rPr>
              <w:t>הסכמי</w:t>
            </w:r>
            <w:r>
              <w:rPr>
                <w:rFonts w:hint="cs"/>
                <w:rtl/>
              </w:rPr>
              <w:t xml:space="preserve"> הגג</w:t>
            </w:r>
            <w:r w:rsidRPr="00C97581">
              <w:rPr>
                <w:rtl/>
              </w:rPr>
              <w:t xml:space="preserve"> שייחתמו עד סוף שנת 2020</w:t>
            </w:r>
            <w:r>
              <w:rPr>
                <w:rFonts w:hint="cs"/>
                <w:rtl/>
              </w:rPr>
              <w:t>.</w:t>
            </w:r>
          </w:p>
        </w:tc>
        <w:tc>
          <w:tcPr>
            <w:tcW w:w="222" w:type="dxa"/>
          </w:tcPr>
          <w:p w14:paraId="5A44F8E8" w14:textId="77777777" w:rsidR="00ED34B0" w:rsidRPr="00B3146C" w:rsidRDefault="00ED34B0" w:rsidP="00CB2164">
            <w:pPr>
              <w:pStyle w:val="20211"/>
              <w:spacing w:after="120"/>
              <w:rPr>
                <w:rtl/>
              </w:rPr>
            </w:pPr>
          </w:p>
        </w:tc>
        <w:tc>
          <w:tcPr>
            <w:tcW w:w="1643" w:type="dxa"/>
            <w:tcBorders>
              <w:top w:val="single" w:sz="12" w:space="0" w:color="auto"/>
            </w:tcBorders>
          </w:tcPr>
          <w:p w14:paraId="3DDB1A6D" w14:textId="77777777" w:rsidR="00DF0D09" w:rsidRPr="00DF0D09" w:rsidRDefault="00DF0D09" w:rsidP="00CB2164">
            <w:pPr>
              <w:pStyle w:val="20211"/>
              <w:spacing w:after="120"/>
              <w:rPr>
                <w:rtl/>
              </w:rPr>
            </w:pPr>
            <w:r w:rsidRPr="00DF0D09">
              <w:rPr>
                <w:rtl/>
              </w:rPr>
              <w:t>מספר יחה"ד שניתן לבנות על הקרקעות הכלולות בתוכניות שבהסכמי הגג שנחתמו עם 32 רשויות מקומיות, נכון לדצמבר 2020.</w:t>
            </w:r>
          </w:p>
          <w:p w14:paraId="230DC58F" w14:textId="47D83D30" w:rsidR="00ED34B0" w:rsidRPr="00EE2834" w:rsidRDefault="00ED34B0" w:rsidP="00CB2164">
            <w:pPr>
              <w:pStyle w:val="20211"/>
              <w:spacing w:after="120"/>
              <w:rPr>
                <w:rtl/>
              </w:rPr>
            </w:pPr>
          </w:p>
        </w:tc>
        <w:tc>
          <w:tcPr>
            <w:tcW w:w="222" w:type="dxa"/>
          </w:tcPr>
          <w:p w14:paraId="6260BA4A" w14:textId="77777777" w:rsidR="00ED34B0" w:rsidRPr="00B3146C" w:rsidRDefault="00ED34B0" w:rsidP="00CB2164">
            <w:pPr>
              <w:pStyle w:val="20211"/>
              <w:spacing w:after="120"/>
              <w:rPr>
                <w:rtl/>
              </w:rPr>
            </w:pPr>
          </w:p>
        </w:tc>
        <w:tc>
          <w:tcPr>
            <w:tcW w:w="1628" w:type="dxa"/>
            <w:tcBorders>
              <w:top w:val="single" w:sz="12" w:space="0" w:color="auto"/>
            </w:tcBorders>
          </w:tcPr>
          <w:p w14:paraId="33D7A3B1" w14:textId="49E8D925" w:rsidR="00ED34B0" w:rsidRPr="00DF0D09" w:rsidRDefault="00DF0D09" w:rsidP="00CB2164">
            <w:pPr>
              <w:pStyle w:val="20211"/>
              <w:spacing w:after="120"/>
              <w:rPr>
                <w:rtl/>
              </w:rPr>
            </w:pPr>
            <w:r>
              <w:rPr>
                <w:rtl/>
              </w:rPr>
              <w:t xml:space="preserve">כלל עלויות הפיתוח של תשתיות-העל והתשתיות </w:t>
            </w:r>
            <w:r w:rsidRPr="009F3FB4">
              <w:rPr>
                <w:rtl/>
              </w:rPr>
              <w:t>הצמודות</w:t>
            </w:r>
            <w:r>
              <w:rPr>
                <w:rtl/>
              </w:rPr>
              <w:t xml:space="preserve"> הצפויות בהסכמי הגג </w:t>
            </w:r>
            <w:r w:rsidRPr="00DF0D09">
              <w:rPr>
                <w:rtl/>
              </w:rPr>
              <w:t>שנחתמו</w:t>
            </w:r>
            <w:r>
              <w:rPr>
                <w:rtl/>
              </w:rPr>
              <w:t xml:space="preserve"> עד ינואר 2020</w:t>
            </w:r>
            <w:r>
              <w:rPr>
                <w:rFonts w:hint="cs"/>
                <w:rtl/>
              </w:rPr>
              <w:t>, נכון ליוני 2020</w:t>
            </w:r>
            <w:r>
              <w:rPr>
                <w:rtl/>
              </w:rPr>
              <w:t>.</w:t>
            </w:r>
          </w:p>
        </w:tc>
      </w:tr>
      <w:tr w:rsidR="008F7CB8" w:rsidRPr="00A62059" w14:paraId="6A863257" w14:textId="77777777" w:rsidTr="008F34AF">
        <w:trPr>
          <w:trHeight w:val="113"/>
        </w:trPr>
        <w:tc>
          <w:tcPr>
            <w:tcW w:w="1822" w:type="dxa"/>
            <w:tcBorders>
              <w:bottom w:val="single" w:sz="12" w:space="0" w:color="auto"/>
            </w:tcBorders>
          </w:tcPr>
          <w:p w14:paraId="5399C505" w14:textId="5561666F"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116,000 </w:t>
            </w:r>
            <w:r w:rsidRPr="008F7CB8">
              <w:rPr>
                <w:rFonts w:ascii="Tahoma" w:hAnsi="Tahoma" w:cs="Tahoma"/>
                <w:b/>
                <w:bCs/>
                <w:spacing w:val="-18"/>
                <w:sz w:val="24"/>
                <w:rtl/>
              </w:rPr>
              <w:t>ש"ח ליח"ד</w:t>
            </w:r>
          </w:p>
        </w:tc>
        <w:tc>
          <w:tcPr>
            <w:tcW w:w="222" w:type="dxa"/>
          </w:tcPr>
          <w:p w14:paraId="4D282A81" w14:textId="77777777" w:rsidR="008F7CB8" w:rsidRPr="00A62059" w:rsidRDefault="008F7CB8" w:rsidP="008F7CB8">
            <w:pPr>
              <w:spacing w:line="240" w:lineRule="auto"/>
              <w:rPr>
                <w:rFonts w:ascii="Tahoma" w:hAnsi="Tahoma" w:cs="Tahoma"/>
                <w:b/>
                <w:bCs/>
                <w:spacing w:val="-18"/>
                <w:sz w:val="36"/>
                <w:szCs w:val="36"/>
                <w:rtl/>
              </w:rPr>
            </w:pPr>
          </w:p>
        </w:tc>
        <w:tc>
          <w:tcPr>
            <w:tcW w:w="1610" w:type="dxa"/>
            <w:tcBorders>
              <w:bottom w:val="single" w:sz="12" w:space="0" w:color="auto"/>
            </w:tcBorders>
          </w:tcPr>
          <w:p w14:paraId="18F380F7" w14:textId="7028485E"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33% </w:t>
            </w:r>
            <w:r w:rsidRPr="008F7CB8">
              <w:rPr>
                <w:rFonts w:ascii="Tahoma" w:hAnsi="Tahoma" w:cs="Tahoma"/>
                <w:b/>
                <w:bCs/>
                <w:spacing w:val="-18"/>
                <w:sz w:val="24"/>
                <w:rtl/>
              </w:rPr>
              <w:t>בלבד</w:t>
            </w:r>
            <w:r w:rsidRPr="008F7CB8">
              <w:rPr>
                <w:rFonts w:ascii="Tahoma" w:hAnsi="Tahoma" w:cs="Tahoma" w:hint="cs"/>
                <w:b/>
                <w:bCs/>
                <w:spacing w:val="-18"/>
                <w:sz w:val="24"/>
                <w:rtl/>
              </w:rPr>
              <w:t xml:space="preserve"> </w:t>
            </w:r>
          </w:p>
        </w:tc>
        <w:tc>
          <w:tcPr>
            <w:tcW w:w="222" w:type="dxa"/>
          </w:tcPr>
          <w:p w14:paraId="50A73F00" w14:textId="77777777" w:rsidR="008F7CB8" w:rsidRPr="00A62059" w:rsidRDefault="008F7CB8" w:rsidP="008F7CB8">
            <w:pPr>
              <w:spacing w:line="240" w:lineRule="auto"/>
              <w:rPr>
                <w:rFonts w:ascii="Tahoma" w:hAnsi="Tahoma" w:cs="Tahoma"/>
                <w:b/>
                <w:bCs/>
                <w:spacing w:val="-18"/>
                <w:sz w:val="36"/>
                <w:szCs w:val="36"/>
                <w:rtl/>
              </w:rPr>
            </w:pPr>
          </w:p>
        </w:tc>
        <w:tc>
          <w:tcPr>
            <w:tcW w:w="1643" w:type="dxa"/>
            <w:tcBorders>
              <w:bottom w:val="single" w:sz="12" w:space="0" w:color="auto"/>
            </w:tcBorders>
          </w:tcPr>
          <w:p w14:paraId="3B28B07A" w14:textId="299E5098"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7% </w:t>
            </w:r>
            <w:r w:rsidRPr="008F7CB8">
              <w:rPr>
                <w:rFonts w:ascii="Tahoma" w:hAnsi="Tahoma" w:cs="Tahoma"/>
                <w:b/>
                <w:bCs/>
                <w:spacing w:val="-18"/>
                <w:sz w:val="24"/>
                <w:rtl/>
              </w:rPr>
              <w:t>בלבד</w:t>
            </w:r>
          </w:p>
        </w:tc>
        <w:tc>
          <w:tcPr>
            <w:tcW w:w="222" w:type="dxa"/>
          </w:tcPr>
          <w:p w14:paraId="23070B1E" w14:textId="77777777" w:rsidR="008F7CB8" w:rsidRPr="00A62059" w:rsidRDefault="008F7CB8" w:rsidP="008F7CB8">
            <w:pPr>
              <w:spacing w:line="240" w:lineRule="auto"/>
              <w:rPr>
                <w:rFonts w:ascii="Tahoma" w:hAnsi="Tahoma" w:cs="Tahoma"/>
                <w:b/>
                <w:bCs/>
                <w:spacing w:val="-18"/>
                <w:sz w:val="36"/>
                <w:szCs w:val="36"/>
                <w:rtl/>
              </w:rPr>
            </w:pPr>
          </w:p>
        </w:tc>
        <w:tc>
          <w:tcPr>
            <w:tcW w:w="1628" w:type="dxa"/>
            <w:tcBorders>
              <w:bottom w:val="single" w:sz="12" w:space="0" w:color="auto"/>
            </w:tcBorders>
          </w:tcPr>
          <w:p w14:paraId="60424CB9" w14:textId="1F7E60E5"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98,000 </w:t>
            </w:r>
            <w:r w:rsidRPr="008F7CB8">
              <w:rPr>
                <w:rFonts w:ascii="Tahoma" w:hAnsi="Tahoma" w:cs="Tahoma"/>
                <w:b/>
                <w:bCs/>
                <w:spacing w:val="-18"/>
                <w:sz w:val="24"/>
                <w:rtl/>
              </w:rPr>
              <w:t>יח"ד</w:t>
            </w:r>
          </w:p>
        </w:tc>
      </w:tr>
      <w:tr w:rsidR="008F7CB8" w:rsidRPr="00D40747" w14:paraId="2346D9F3" w14:textId="77777777" w:rsidTr="008F34AF">
        <w:trPr>
          <w:trHeight w:val="113"/>
        </w:trPr>
        <w:tc>
          <w:tcPr>
            <w:tcW w:w="1822" w:type="dxa"/>
            <w:tcBorders>
              <w:top w:val="single" w:sz="12" w:space="0" w:color="auto"/>
            </w:tcBorders>
          </w:tcPr>
          <w:p w14:paraId="7D376513" w14:textId="77777777" w:rsidR="003F04D2" w:rsidRDefault="009F3FB4" w:rsidP="003F04D2">
            <w:pPr>
              <w:autoSpaceDE w:val="0"/>
              <w:autoSpaceDN w:val="0"/>
              <w:adjustRightInd w:val="0"/>
              <w:spacing w:line="240" w:lineRule="auto"/>
              <w:jc w:val="left"/>
              <w:rPr>
                <w:rFonts w:ascii="Segoe UI" w:hAnsi="Segoe UI" w:cs="Segoe UI"/>
                <w:szCs w:val="20"/>
                <w:rtl/>
              </w:rPr>
            </w:pPr>
            <w:r w:rsidRPr="003F04D2">
              <w:rPr>
                <w:rFonts w:ascii="Tahoma" w:eastAsiaTheme="minorEastAsia" w:hAnsi="Tahoma" w:cs="Tahoma"/>
                <w:color w:val="0D0D0D" w:themeColor="text1" w:themeTint="F2"/>
                <w:w w:val="90"/>
                <w:sz w:val="18"/>
                <w:szCs w:val="18"/>
                <w:rtl/>
              </w:rPr>
              <w:t>עלות הפיתוח הצפויה הממוצעת של תשתיות-העל והתשתיות הצמודות בגין כל יח"ד בהסכמי הגג.</w:t>
            </w:r>
            <w:r w:rsidR="003F04D2" w:rsidRPr="003F04D2">
              <w:rPr>
                <w:rFonts w:ascii="Tahoma" w:eastAsiaTheme="minorEastAsia" w:hAnsi="Tahoma" w:cs="Tahoma" w:hint="cs"/>
                <w:color w:val="0D0D0D" w:themeColor="text1" w:themeTint="F2"/>
                <w:w w:val="90"/>
                <w:sz w:val="18"/>
                <w:szCs w:val="18"/>
                <w:rtl/>
              </w:rPr>
              <w:t xml:space="preserve"> </w:t>
            </w:r>
            <w:r w:rsidR="003F04D2" w:rsidRPr="003F04D2">
              <w:rPr>
                <w:rFonts w:ascii="Tahoma" w:eastAsiaTheme="minorEastAsia" w:hAnsi="Tahoma" w:cs="Tahoma"/>
                <w:color w:val="0D0D0D" w:themeColor="text1" w:themeTint="F2"/>
                <w:w w:val="90"/>
                <w:sz w:val="18"/>
                <w:szCs w:val="18"/>
                <w:rtl/>
              </w:rPr>
              <w:t>נכון ליוני 2020.</w:t>
            </w:r>
          </w:p>
          <w:p w14:paraId="39462B57" w14:textId="512D7486" w:rsidR="008F7CB8" w:rsidRPr="00F90F19" w:rsidRDefault="008F7CB8" w:rsidP="009F3FB4">
            <w:pPr>
              <w:pStyle w:val="20211"/>
              <w:rPr>
                <w:rtl/>
              </w:rPr>
            </w:pPr>
          </w:p>
        </w:tc>
        <w:tc>
          <w:tcPr>
            <w:tcW w:w="222" w:type="dxa"/>
          </w:tcPr>
          <w:p w14:paraId="53F98C7C" w14:textId="77777777" w:rsidR="008F7CB8" w:rsidRPr="00B3146C" w:rsidRDefault="008F7CB8" w:rsidP="008F7CB8">
            <w:pPr>
              <w:pStyle w:val="20211"/>
              <w:spacing w:after="0" w:line="220" w:lineRule="exact"/>
              <w:rPr>
                <w:rtl/>
              </w:rPr>
            </w:pPr>
          </w:p>
        </w:tc>
        <w:tc>
          <w:tcPr>
            <w:tcW w:w="1610" w:type="dxa"/>
            <w:tcBorders>
              <w:top w:val="single" w:sz="12" w:space="0" w:color="auto"/>
            </w:tcBorders>
          </w:tcPr>
          <w:p w14:paraId="278F4FC2" w14:textId="22294790" w:rsidR="008F7CB8" w:rsidRPr="00D40747" w:rsidRDefault="009F3FB4" w:rsidP="00CB2164">
            <w:pPr>
              <w:pStyle w:val="20211"/>
              <w:spacing w:after="0"/>
              <w:rPr>
                <w:rtl/>
              </w:rPr>
            </w:pPr>
            <w:r>
              <w:rPr>
                <w:rtl/>
              </w:rPr>
              <w:t xml:space="preserve">שיעור השיווק בהצלחה של קרקעות למגורים </w:t>
            </w:r>
            <w:r>
              <w:rPr>
                <w:rFonts w:hint="cs"/>
                <w:rtl/>
              </w:rPr>
              <w:t xml:space="preserve">   </w:t>
            </w:r>
            <w:r>
              <w:rPr>
                <w:rtl/>
              </w:rPr>
              <w:t xml:space="preserve">(ביח"ד) יחסית לקצב </w:t>
            </w:r>
            <w:r w:rsidRPr="009F3FB4">
              <w:rPr>
                <w:rtl/>
              </w:rPr>
              <w:t>השיווק</w:t>
            </w:r>
            <w:r>
              <w:rPr>
                <w:rtl/>
              </w:rPr>
              <w:t xml:space="preserve"> שבהחלטת הממשלה על הסכמי הגג, לפי התוכניות החלות על הקרקעות.</w:t>
            </w:r>
          </w:p>
        </w:tc>
        <w:tc>
          <w:tcPr>
            <w:tcW w:w="222" w:type="dxa"/>
          </w:tcPr>
          <w:p w14:paraId="3FF38FBB" w14:textId="16129294" w:rsidR="008F7CB8" w:rsidRPr="00B3146C" w:rsidRDefault="008F7CB8" w:rsidP="00CB2164">
            <w:pPr>
              <w:pStyle w:val="20211"/>
              <w:spacing w:after="0" w:line="220" w:lineRule="exact"/>
              <w:rPr>
                <w:rtl/>
              </w:rPr>
            </w:pPr>
          </w:p>
        </w:tc>
        <w:tc>
          <w:tcPr>
            <w:tcW w:w="1643" w:type="dxa"/>
            <w:tcBorders>
              <w:top w:val="single" w:sz="12" w:space="0" w:color="auto"/>
            </w:tcBorders>
          </w:tcPr>
          <w:p w14:paraId="7DDDD2FE" w14:textId="7B145444" w:rsidR="008F7CB8" w:rsidRPr="00F90F19" w:rsidRDefault="009F3FB4" w:rsidP="00CB2164">
            <w:pPr>
              <w:pStyle w:val="20211"/>
              <w:spacing w:after="0"/>
              <w:rPr>
                <w:rtl/>
              </w:rPr>
            </w:pPr>
            <w:r>
              <w:rPr>
                <w:rtl/>
              </w:rPr>
              <w:t xml:space="preserve">עד יוני 2020 שווקו בהצלחה כ-7% </w:t>
            </w:r>
            <w:r w:rsidRPr="009F3FB4">
              <w:rPr>
                <w:rtl/>
              </w:rPr>
              <w:t>מהקרקעות</w:t>
            </w:r>
            <w:r>
              <w:rPr>
                <w:rtl/>
              </w:rPr>
              <w:t xml:space="preserve"> למסחר ותעסוקה שנכללו בתוכניות שבהסכמי הגג (במונחי מ"ר בנוי).</w:t>
            </w:r>
            <w:r w:rsidR="008F7CB8" w:rsidRPr="00F90F19">
              <w:rPr>
                <w:rFonts w:hint="cs"/>
                <w:rtl/>
              </w:rPr>
              <w:t xml:space="preserve"> </w:t>
            </w:r>
          </w:p>
        </w:tc>
        <w:tc>
          <w:tcPr>
            <w:tcW w:w="222" w:type="dxa"/>
          </w:tcPr>
          <w:p w14:paraId="41F46737" w14:textId="77777777" w:rsidR="008F7CB8" w:rsidRPr="00B3146C" w:rsidRDefault="008F7CB8" w:rsidP="00CB2164">
            <w:pPr>
              <w:pStyle w:val="20211"/>
              <w:spacing w:after="0" w:line="220" w:lineRule="exact"/>
              <w:rPr>
                <w:rtl/>
              </w:rPr>
            </w:pPr>
          </w:p>
        </w:tc>
        <w:tc>
          <w:tcPr>
            <w:tcW w:w="1628" w:type="dxa"/>
            <w:tcBorders>
              <w:top w:val="single" w:sz="12" w:space="0" w:color="auto"/>
            </w:tcBorders>
          </w:tcPr>
          <w:p w14:paraId="58287615" w14:textId="6D16DAA5" w:rsidR="008F7CB8" w:rsidRPr="00D40747" w:rsidRDefault="009F3FB4" w:rsidP="00CB2164">
            <w:pPr>
              <w:pStyle w:val="20211"/>
              <w:spacing w:after="0"/>
              <w:rPr>
                <w:rtl/>
              </w:rPr>
            </w:pPr>
            <w:r>
              <w:rPr>
                <w:rtl/>
              </w:rPr>
              <w:t xml:space="preserve">מספר יח"ד המוערך שבתוכניות הכלולות </w:t>
            </w:r>
            <w:r w:rsidRPr="009F3FB4">
              <w:rPr>
                <w:rtl/>
              </w:rPr>
              <w:t>בהסכמי</w:t>
            </w:r>
            <w:r>
              <w:rPr>
                <w:rtl/>
              </w:rPr>
              <w:t xml:space="preserve"> הגג אשר אישורן התעכב.</w:t>
            </w:r>
          </w:p>
        </w:tc>
      </w:tr>
    </w:tbl>
    <w:p w14:paraId="0C5DEB7D" w14:textId="19E22F2F" w:rsidR="00CB2164" w:rsidRDefault="0038136E" w:rsidP="00CB2164">
      <w:pPr>
        <w:pStyle w:val="216"/>
        <w:rPr>
          <w:rtl/>
        </w:rPr>
      </w:pPr>
      <w:r>
        <w:rPr>
          <w:b/>
          <w:bCs w:val="0"/>
          <w:noProof/>
          <w:rtl/>
          <w:lang w:val="he-IL"/>
        </w:rPr>
        <mc:AlternateContent>
          <mc:Choice Requires="wpg">
            <w:drawing>
              <wp:anchor distT="0" distB="0" distL="114300" distR="114300" simplePos="0" relativeHeight="251684352" behindDoc="0" locked="0" layoutInCell="1" allowOverlap="1" wp14:anchorId="7839D982" wp14:editId="1528A009">
                <wp:simplePos x="0" y="0"/>
                <wp:positionH relativeFrom="column">
                  <wp:posOffset>-20955</wp:posOffset>
                </wp:positionH>
                <wp:positionV relativeFrom="paragraph">
                  <wp:posOffset>290195</wp:posOffset>
                </wp:positionV>
                <wp:extent cx="4724400" cy="47625"/>
                <wp:effectExtent l="0" t="0" r="19050" b="28575"/>
                <wp:wrapNone/>
                <wp:docPr id="45" name="Group 45"/>
                <wp:cNvGraphicFramePr/>
                <a:graphic xmlns:a="http://schemas.openxmlformats.org/drawingml/2006/main">
                  <a:graphicData uri="http://schemas.microsoft.com/office/word/2010/wordprocessingGroup">
                    <wpg:wgp>
                      <wpg:cNvGrpSpPr/>
                      <wpg:grpSpPr>
                        <a:xfrm>
                          <a:off x="0" y="0"/>
                          <a:ext cx="4724400" cy="47625"/>
                          <a:chOff x="0" y="-9525"/>
                          <a:chExt cx="4724400" cy="47625"/>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9525"/>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358CD57" id="Group 45" o:spid="_x0000_s1026" style="position:absolute;left:0;text-align:left;margin-left:-1.65pt;margin-top:22.85pt;width:372pt;height:3.75pt;z-index:251684352;mso-width-relative:margin;mso-height-relative:margin" coordorigin=",-95" coordsize="472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95" to="472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1D573208" w14:textId="61F1F21D" w:rsidR="00CB2164" w:rsidRPr="00C62692" w:rsidRDefault="00CB2164" w:rsidP="00CB2164">
      <w:pPr>
        <w:pStyle w:val="216"/>
        <w:rPr>
          <w:rtl/>
        </w:rPr>
      </w:pPr>
      <w:r w:rsidRPr="00C62692">
        <w:rPr>
          <w:rFonts w:hint="cs"/>
          <w:rtl/>
        </w:rPr>
        <w:t>פעולות הביקורת</w:t>
      </w:r>
    </w:p>
    <w:p w14:paraId="35272BE2" w14:textId="10CF33F0" w:rsidR="00CB2164" w:rsidRPr="00E406D1" w:rsidRDefault="00CB2164" w:rsidP="00CB2164">
      <w:pPr>
        <w:pStyle w:val="71f4"/>
        <w:spacing w:after="120"/>
        <w:rPr>
          <w:rtl/>
        </w:rPr>
      </w:pPr>
      <w:r w:rsidRPr="00E406D1">
        <w:rPr>
          <w:noProof/>
        </w:rPr>
        <w:drawing>
          <wp:anchor distT="0" distB="0" distL="114300" distR="114300" simplePos="0" relativeHeight="252092928" behindDoc="0" locked="0" layoutInCell="1" allowOverlap="1" wp14:anchorId="3ACB41D0" wp14:editId="22A891B2">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בחודשים מרץ 2020 - ינואר 2021 בדק מבקר המדינה כמה היבטים בהסכמי הגג שנחתמו עם רשויות מקומיות בשנים 2013 - 2020. בין היתר נבדקו שיעור העמידה </w:t>
      </w:r>
      <w:r w:rsidRPr="008F34AF">
        <w:rPr>
          <w:rtl/>
        </w:rPr>
        <w:t>בקצב</w:t>
      </w:r>
      <w:r>
        <w:rPr>
          <w:rtl/>
        </w:rPr>
        <w:t xml:space="preserve"> שיווק הקרקעות למגורים, ההשפעות של הסכמי הגג על מצבן הפיננסי של הרשויות המקומיות, מידת ההלימה בין הסכמי הגג לעקרונות התוכנית האסטרטגית לדיור, היתרי בנייה שהונפקו במסגרת הסכמי הגג, ומנגנונים להפחתת עלויות הפיתוח. הביקורת נעשתה ברמ"י ובמשרד הבינוי. בדיקות השלמה נעשו במשרד האוצר, במשרד הפנים, ברשות הממשלתית להתחדשות עירונית (הרשות להתחדשות עירונית) ובכמה רשויות מקומיות</w:t>
      </w:r>
      <w:r w:rsidRPr="00E406D1">
        <w:rPr>
          <w:rFonts w:hint="cs"/>
          <w:rtl/>
        </w:rPr>
        <w:t>.</w:t>
      </w:r>
    </w:p>
    <w:p w14:paraId="3CC61AEA" w14:textId="68B68A0E" w:rsidR="00B30EC9" w:rsidRDefault="00B30EC9" w:rsidP="00F9227B">
      <w:pPr>
        <w:pStyle w:val="100"/>
        <w:tabs>
          <w:tab w:val="center" w:pos="3685"/>
        </w:tabs>
        <w:spacing w:after="0" w:line="240" w:lineRule="exact"/>
        <w:rPr>
          <w:b/>
          <w:bCs/>
          <w:color w:val="00305F"/>
          <w:sz w:val="32"/>
          <w:szCs w:val="32"/>
          <w:rtl/>
        </w:rPr>
        <w:sectPr w:rsidR="00B30EC9" w:rsidSect="003F3EF3">
          <w:footerReference w:type="even" r:id="rId23"/>
          <w:footerReference w:type="default" r:id="rId24"/>
          <w:headerReference w:type="first" r:id="rId25"/>
          <w:footerReference w:type="first" r:id="rId26"/>
          <w:footnotePr>
            <w:numRestart w:val="eachSect"/>
          </w:footnotePr>
          <w:pgSz w:w="11906" w:h="16838" w:code="9"/>
          <w:pgMar w:top="3062" w:right="2268" w:bottom="2552" w:left="2268" w:header="1134" w:footer="1361" w:gutter="0"/>
          <w:pgNumType w:start="385"/>
          <w:cols w:space="708"/>
          <w:bidi/>
          <w:rtlGutter/>
          <w:docGrid w:linePitch="360"/>
        </w:sectPr>
      </w:pPr>
    </w:p>
    <w:p w14:paraId="41E762A5" w14:textId="04195EA2" w:rsidR="0038136E" w:rsidRDefault="0038136E">
      <w:pPr>
        <w:bidi w:val="0"/>
        <w:spacing w:after="200" w:line="276" w:lineRule="auto"/>
        <w:rPr>
          <w:rFonts w:ascii="Tahoma" w:hAnsi="Tahoma" w:cs="Tahoma"/>
          <w:b/>
          <w:bCs/>
          <w:color w:val="00305F"/>
          <w:sz w:val="32"/>
          <w:szCs w:val="32"/>
          <w:rtl/>
        </w:rPr>
      </w:pPr>
      <w:r>
        <w:rPr>
          <w:b/>
          <w:bCs/>
          <w:color w:val="00305F"/>
          <w:sz w:val="32"/>
          <w:szCs w:val="32"/>
          <w:rtl/>
        </w:rPr>
        <w:br w:type="page"/>
      </w:r>
    </w:p>
    <w:p w14:paraId="3037171D" w14:textId="33F81D06" w:rsidR="0060683C" w:rsidRDefault="00666E99" w:rsidP="00666E99">
      <w:pPr>
        <w:pStyle w:val="7190"/>
        <w:rPr>
          <w:rtl/>
        </w:rPr>
      </w:pPr>
      <w:r w:rsidRPr="00362C00">
        <w:rPr>
          <w:noProof/>
          <w:rtl/>
        </w:rPr>
        <w:lastRenderedPageBreak/>
        <w:drawing>
          <wp:anchor distT="0" distB="0" distL="114300" distR="114300" simplePos="0" relativeHeight="251718144" behindDoc="0" locked="0" layoutInCell="1" allowOverlap="1" wp14:anchorId="596EA90B" wp14:editId="507E404A">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BC7416" w:rsidRPr="00A25467" w:rsidRDefault="00BC7416"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C7416" w:rsidRDefault="00BC7416"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BC7416" w:rsidRPr="00A25467" w:rsidRDefault="00BC7416"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C7416" w:rsidRDefault="00BC7416"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39DB7888">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362DE318" id="Straight Connector 3" o:spid="_x0000_s1026" style="position:absolute;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013AB6D6" w:rsidR="005E36DC" w:rsidRPr="00EB11B0" w:rsidRDefault="00807FA7" w:rsidP="00CD63B7">
      <w:pPr>
        <w:pStyle w:val="71f4"/>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33ABDAF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קצב שיווק הקרקעות למגורים: </w:t>
      </w:r>
      <w:r w:rsidR="00CD63B7">
        <w:rPr>
          <w:rFonts w:hint="cs"/>
          <w:rtl/>
        </w:rPr>
        <w:t>ב</w:t>
      </w:r>
      <w:r w:rsidR="00CD63B7">
        <w:rPr>
          <w:rtl/>
        </w:rPr>
        <w:t>החלטת הממשלה על הסכמי הגג נקבע כי הרשות המקומית תתחייב בהסכם הגג לאפשר שיווק קרקע בתחום שיפוטה בקצב שיווק שלא יפחת מ-2,000 יח"ד לשנה (קצב השיווק). כלומר, נכון למחצית השנייה של שנת 2020, היו אמורות להיות משווקות קרקעות שלפי התוכניות החלות עליהן ניתן לבנות בהן כ-241,000 יח"ד, אילו השיווק היה בהתאם לקצב השיווק כאמור. בביקורת נמצא כי בפועל שווקו בהצלחה קרקעות ל</w:t>
      </w:r>
      <w:r w:rsidR="00CD63B7">
        <w:rPr>
          <w:rFonts w:hint="cs"/>
          <w:rtl/>
        </w:rPr>
        <w:t xml:space="preserve">בניית </w:t>
      </w:r>
      <w:r w:rsidR="00CD63B7">
        <w:rPr>
          <w:rtl/>
        </w:rPr>
        <w:t>כ-80,000 יח"ד, שהן כ-33% מהקרקעות שהיו משווקות לו היה השיווק בהתאם לקצב השיווק כאמור, במונחי יח"ד</w:t>
      </w:r>
      <w:r w:rsidR="005E36DC" w:rsidRPr="00EB11B0">
        <w:rPr>
          <w:rtl/>
        </w:rPr>
        <w:t>.</w:t>
      </w:r>
    </w:p>
    <w:p w14:paraId="7D68B5ED" w14:textId="29340976" w:rsidR="00D40584" w:rsidRPr="00F47262" w:rsidRDefault="00D40584" w:rsidP="00CD63B7">
      <w:pPr>
        <w:pStyle w:val="71f4"/>
        <w:rPr>
          <w:rtl/>
        </w:rPr>
      </w:pPr>
      <w:r w:rsidRPr="00864795">
        <w:rPr>
          <w:rStyle w:val="7195Char"/>
          <w:rFonts w:hint="cs"/>
          <w:rtl/>
        </w:rPr>
        <w:drawing>
          <wp:anchor distT="0" distB="3600450" distL="114300" distR="114300" simplePos="0" relativeHeight="251937280" behindDoc="0" locked="0" layoutInCell="1" allowOverlap="1" wp14:anchorId="48BF398D" wp14:editId="62FBFC3C">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שילוב התחדשות עירונית בהסכמי הגג: </w:t>
      </w:r>
      <w:r w:rsidR="00CD63B7">
        <w:rPr>
          <w:rtl/>
        </w:rPr>
        <w:t xml:space="preserve">ביעדי התכנון הממשלתי לשנים 2017 - 2020 נקבע שהתכנון בתחום ההתחדשות </w:t>
      </w:r>
      <w:r w:rsidR="00CD63B7">
        <w:rPr>
          <w:rFonts w:hint="cs"/>
          <w:rtl/>
        </w:rPr>
        <w:t>ה</w:t>
      </w:r>
      <w:r w:rsidR="00CD63B7">
        <w:rPr>
          <w:rtl/>
        </w:rPr>
        <w:t xml:space="preserve">עירונית יהיה בהיקף של כ-76,000 יח"ד, כ-18% מיעד התכנון הכולל לשנים אלו (אשר מרביתן מרוכזות במחוזות תל אביב, המרכז, </w:t>
      </w:r>
      <w:r w:rsidR="00CD63B7" w:rsidRPr="00CD63B7">
        <w:rPr>
          <w:rtl/>
        </w:rPr>
        <w:t>ירושלים</w:t>
      </w:r>
      <w:r w:rsidR="00CD63B7">
        <w:rPr>
          <w:rtl/>
        </w:rPr>
        <w:t xml:space="preserve"> וחיפה). לפי החלטת מועצת מקרקעי ישראל (המועצה), בהסכמי הגג התאפשר לרמ"י להקצות מגרש השלמה לעד 10% מיח"ד שבהסכמי הגג לשם התחדשות עירונית, כך שהפוטנציאל הוא לבניית עד כ-44,000 יח"ד. עלה כי עד סוף שנת 2020 מבין היישובים שלגביהם נחתם הסכם גג, הוקצו מגרשי השלמה ביישוב אחד בלבד במסגרת תכנית הכוללת 3,500 יח"ד (תוכנית שבה כ-0.8% מכלל יח"ד שבהסכמי גג). כלומר, ההסכמים לא שימשו ככלי מרכזי ליישום פרויקטים של התחדשות עירונית</w:t>
      </w:r>
      <w:r w:rsidR="00F47262">
        <w:rPr>
          <w:rFonts w:hint="cs"/>
          <w:rtl/>
        </w:rPr>
        <w:t>.</w:t>
      </w:r>
    </w:p>
    <w:p w14:paraId="3C29828E" w14:textId="513564B9" w:rsidR="00531C27" w:rsidRPr="00531C27" w:rsidRDefault="00807FA7" w:rsidP="00CD63B7">
      <w:pPr>
        <w:pStyle w:val="71f4"/>
      </w:pPr>
      <w:r w:rsidRPr="006D32A1">
        <w:rPr>
          <w:rStyle w:val="7195Char"/>
          <w:rFonts w:hint="cs"/>
          <w:rtl/>
        </w:rPr>
        <w:drawing>
          <wp:anchor distT="0" distB="3600450" distL="114300" distR="114300" simplePos="0" relativeHeight="251880960" behindDoc="0" locked="0" layoutInCell="1" allowOverlap="1" wp14:anchorId="66CBD98E" wp14:editId="78088713">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צורכי הדיור של האוכלוסייה ביישובי המיעוטים: </w:t>
      </w:r>
      <w:r w:rsidR="00CD63B7">
        <w:rPr>
          <w:rtl/>
        </w:rPr>
        <w:t>עלה כי בינואר 2021, מועד סיום הביקורת, טרם חתמו משרד הבינוי או רמ"י על הסכם גג עם רשות מקומית מיישובי המיעוטים, אף שהממשלה ייחסה חשיבות לכך לקידום הבנייה ביישובי המיעוטים.</w:t>
      </w:r>
      <w:r w:rsidR="00CD63B7">
        <w:rPr>
          <w:rFonts w:hint="cs"/>
          <w:rtl/>
        </w:rPr>
        <w:t xml:space="preserve"> יצוין כי בספטמבר 2021 (לאחר מועד סיום הביקורת) חתמה רמ"י על הסכם גג עם עיריית אום אל-פחם</w:t>
      </w:r>
      <w:r w:rsidR="00531C27" w:rsidRPr="00531C27">
        <w:rPr>
          <w:rFonts w:hint="cs"/>
          <w:rtl/>
        </w:rPr>
        <w:t xml:space="preserve">. </w:t>
      </w:r>
    </w:p>
    <w:p w14:paraId="19BCCA1F" w14:textId="0E53C5B6" w:rsidR="00B04EDE" w:rsidRDefault="00807FA7" w:rsidP="00CD63B7">
      <w:pPr>
        <w:pStyle w:val="71f4"/>
        <w:rPr>
          <w:rtl/>
        </w:rPr>
      </w:pPr>
      <w:r w:rsidRPr="005E3B69">
        <w:rPr>
          <w:rStyle w:val="7195Char"/>
          <w:rFonts w:hint="cs"/>
          <w:rtl/>
        </w:rPr>
        <w:drawing>
          <wp:anchor distT="0" distB="3600450" distL="114300" distR="114300" simplePos="0" relativeHeight="251883008" behindDoc="0" locked="0" layoutInCell="1" allowOverlap="1" wp14:anchorId="2C51AA09" wp14:editId="7A32D8B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צורכי הדיור של האוכלוסייה החרדית:</w:t>
      </w:r>
      <w:r w:rsidR="00CD63B7">
        <w:rPr>
          <w:rtl/>
        </w:rPr>
        <w:t xml:space="preserve"> על אף הצורך בהקמתן של 200,000 יח"ד לאוכלוסייה החרדית בשנים 2016 - 2035, נכון למועד סיום הביקורת לא שווקה שכונה חרדית בשום עיר הטרוגנית שלגביה נחתם הסכם גג, בהתאם להחלטת הממשלה לגבי הדיור לאוכלוסייה החרדית מאוגוסט 2016, ונמצא כי בשלוש רשויות נמצאות בשלבי תכנון שונים שכונות המיועדות לאוכלוסייה החרדית, בהיקף של כ-2,350 יח"ד (ברמלה ונתיבות) וכן בעכו כחלק מתוכנית "שערי עכו" הכוללת כ-8,000 יח"ד לכלל האוכלוסייה. במועד סיום הביקורת תוכניות אלו טרם קודמו לכדי שיווק.</w:t>
      </w:r>
      <w:r w:rsidR="00CD63B7">
        <w:rPr>
          <w:b/>
          <w:bCs/>
          <w:rtl/>
        </w:rPr>
        <w:t xml:space="preserve"> </w:t>
      </w:r>
      <w:r w:rsidR="00CD63B7">
        <w:rPr>
          <w:rtl/>
        </w:rPr>
        <w:t>כמו כן, אף שחלפו יותר מארבע שנים ממועד החלטת הממשלה, משרד הבינוי ואגף תקציבים במשרד האוצר טרם גיבשו מערכת תמריצים להכללת שכונות לאוכלוסייה החרדית במסגרת הסכמי הגג</w:t>
      </w:r>
      <w:r w:rsidR="00B04EDE">
        <w:rPr>
          <w:rFonts w:hint="cs"/>
          <w:rtl/>
        </w:rPr>
        <w:t>.</w:t>
      </w:r>
      <w:r w:rsidR="00B04EDE" w:rsidRPr="00FA5F8F">
        <w:rPr>
          <w:rFonts w:hint="cs"/>
          <w:rtl/>
        </w:rPr>
        <w:t xml:space="preserve"> </w:t>
      </w:r>
    </w:p>
    <w:p w14:paraId="00CD1110" w14:textId="123865B1" w:rsidR="00807FA7" w:rsidRDefault="00807FA7" w:rsidP="00CD63B7">
      <w:pPr>
        <w:pStyle w:val="71f4"/>
        <w:rPr>
          <w:rtl/>
        </w:rPr>
      </w:pPr>
      <w:r w:rsidRPr="0069093D">
        <w:rPr>
          <w:rFonts w:hint="cs"/>
          <w:b/>
          <w:bCs/>
          <w:noProof/>
          <w:rtl/>
        </w:rPr>
        <w:drawing>
          <wp:anchor distT="0" distB="3600450" distL="114300" distR="114300" simplePos="0" relativeHeight="251884032" behindDoc="0" locked="0" layoutInCell="1" allowOverlap="1" wp14:anchorId="74BFE39F" wp14:editId="7C692898">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הדיווח על יישום החלטת הממשלה על הסכמי הגג</w:t>
      </w:r>
      <w:r w:rsidR="00CD63B7">
        <w:rPr>
          <w:rtl/>
        </w:rPr>
        <w:t>: בהחלטת הממשלה על הסכמי הגג לא נקבע מנגנון דיווח לממשלה על אופן יישום ההחלטה.</w:t>
      </w:r>
      <w:r w:rsidR="00CD63B7">
        <w:rPr>
          <w:rFonts w:hint="cs"/>
          <w:rtl/>
        </w:rPr>
        <w:t xml:space="preserve"> </w:t>
      </w:r>
      <w:r w:rsidR="00CD63B7">
        <w:rPr>
          <w:rtl/>
        </w:rPr>
        <w:t xml:space="preserve">כמו כן, בשנים 2013 - 2020 לא דנה המועצה בנושא אי-העמידה בקצב השיווק ובחסמים המונעים את העמידה בו. נוסף על כך, עלה כי הדוחות השנתיים לשנים 2013 - 2019 שהגישה רמ"י למועצה כללו דיווח על הסכמי הגג שנחתמו בשנים הרלוונטיות, ולעיתים הם כללו פירוט של מספר </w:t>
      </w:r>
      <w:r w:rsidR="00CD63B7">
        <w:rPr>
          <w:rtl/>
        </w:rPr>
        <w:lastRenderedPageBreak/>
        <w:t>יחה"ד ששווקו ודיווח על הסכמים שצפויים להיחתם. אולם לא היה בהם דיווח על החסמים ביישום ההסכם או על הפער בין השיווק בפועל לבין השיווק לפי קצב השיווק שנקבע בהחלטת הממשלה על הסכמי הגג</w:t>
      </w:r>
      <w:r w:rsidR="00D40584" w:rsidRPr="0051536E">
        <w:rPr>
          <w:rtl/>
        </w:rPr>
        <w:t>.</w:t>
      </w:r>
    </w:p>
    <w:p w14:paraId="632E1B8A" w14:textId="6B90F126" w:rsidR="00B04EDE" w:rsidRDefault="00B04EDE" w:rsidP="00887EEB">
      <w:pPr>
        <w:pStyle w:val="71f4"/>
        <w:rPr>
          <w:rtl/>
        </w:rPr>
      </w:pPr>
      <w:r w:rsidRPr="0069093D">
        <w:rPr>
          <w:rFonts w:hint="cs"/>
          <w:b/>
          <w:bCs/>
          <w:noProof/>
          <w:rtl/>
        </w:rPr>
        <w:drawing>
          <wp:anchor distT="0" distB="3600450" distL="114300" distR="114300" simplePos="0" relativeHeight="252070400" behindDoc="0" locked="0" layoutInCell="1" allowOverlap="1" wp14:anchorId="7AE37191" wp14:editId="0288D239">
            <wp:simplePos x="0" y="0"/>
            <wp:positionH relativeFrom="column">
              <wp:posOffset>4518025</wp:posOffset>
            </wp:positionH>
            <wp:positionV relativeFrom="paragraph">
              <wp:posOffset>46990</wp:posOffset>
            </wp:positionV>
            <wp:extent cx="161925" cy="1619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87EEB">
        <w:rPr>
          <w:b/>
          <w:bCs/>
          <w:rtl/>
        </w:rPr>
        <w:t>שיווק שטחי מסחר ותעסוקה במסגרת הסכמי הגג:</w:t>
      </w:r>
      <w:r w:rsidR="00887EEB">
        <w:rPr>
          <w:rtl/>
        </w:rPr>
        <w:t xml:space="preserve"> עד יוני 2020 שווקו בהצלחה </w:t>
      </w:r>
      <w:r w:rsidR="00887EEB">
        <w:rPr>
          <w:rFonts w:hint="cs"/>
          <w:rtl/>
        </w:rPr>
        <w:t xml:space="preserve">               </w:t>
      </w:r>
      <w:r w:rsidR="00887EEB">
        <w:rPr>
          <w:rtl/>
        </w:rPr>
        <w:t xml:space="preserve">כ-7% בלבד מהקרקעות למסחר ותעסוקה הנכללות בתוכניות שבהסכמי הגג, במונחי מ"ר בנוי. ביותר ממחצית מהרשויות שחתמו על הסכמי הגג עד סוף שנת 2017 (13 מתוך 25) שיעור הקרקעות למגורים ששווקו בהצלחה (לפי מס' יח"ד) מתוך הקרקעות הנכללות בתוכניות שבהסכם היה גדול בכ-10% ויותר משיעור הקרקעות למסחר ותעסוקה ששווקו בהצלחה (לפי מ"ר של שטח בנוי לפי התוכניות) מתוך כלל הקרקעות למסחר ותעסוקה הנכללות בתוכניות שבהסכם. </w:t>
      </w:r>
      <w:r w:rsidR="00887EEB">
        <w:rPr>
          <w:rFonts w:hint="cs"/>
          <w:sz w:val="24"/>
          <w:rtl/>
        </w:rPr>
        <w:t>עקב ההסתמכות של הרשויות המקומיות במידה רבה על ההכנסות הצפויות להן מגביית ארנונה עסקית,</w:t>
      </w:r>
      <w:r w:rsidR="00887EEB">
        <w:rPr>
          <w:rFonts w:hint="cs"/>
          <w:b/>
          <w:bCs/>
          <w:sz w:val="24"/>
          <w:rtl/>
        </w:rPr>
        <w:t xml:space="preserve"> </w:t>
      </w:r>
      <w:r w:rsidR="00887EEB">
        <w:rPr>
          <w:rtl/>
        </w:rPr>
        <w:t>הדבר עלול לפגוע במצבן הפיננסי של הרשויות וביכולתן לספק לתושביהן שירותים ברמה נאותה</w:t>
      </w:r>
      <w:r w:rsidRPr="0051536E">
        <w:rPr>
          <w:rtl/>
        </w:rPr>
        <w:t>.</w:t>
      </w:r>
    </w:p>
    <w:p w14:paraId="7C5748F9" w14:textId="480E8C00" w:rsidR="00887EEB" w:rsidRPr="0069093D" w:rsidRDefault="00887EEB" w:rsidP="00887EEB">
      <w:pPr>
        <w:pStyle w:val="71f4"/>
        <w:rPr>
          <w:rtl/>
        </w:rPr>
      </w:pPr>
      <w:r w:rsidRPr="0069093D">
        <w:rPr>
          <w:rFonts w:hint="cs"/>
          <w:b/>
          <w:bCs/>
          <w:noProof/>
          <w:rtl/>
        </w:rPr>
        <w:drawing>
          <wp:anchor distT="0" distB="3600450" distL="114300" distR="114300" simplePos="0" relativeHeight="252094976" behindDoc="0" locked="0" layoutInCell="1" allowOverlap="1" wp14:anchorId="3B9761A8" wp14:editId="398A44C5">
            <wp:simplePos x="0" y="0"/>
            <wp:positionH relativeFrom="column">
              <wp:posOffset>4518025</wp:posOffset>
            </wp:positionH>
            <wp:positionV relativeFrom="paragraph">
              <wp:posOffset>46990</wp:posOffset>
            </wp:positionV>
            <wp:extent cx="161925" cy="161925"/>
            <wp:effectExtent l="0" t="0" r="9525" b="9525"/>
            <wp:wrapSquare wrapText="bothSides"/>
            <wp:docPr id="3788738" name="Picture 378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שיעור היתרי הבנייה ומשך הזמן להנפקתם: </w:t>
      </w:r>
      <w:r>
        <w:rPr>
          <w:rtl/>
        </w:rPr>
        <w:t xml:space="preserve">שיעור היתרי הבנייה מכלל יחה"ד הכלולות בתוכניות שבהסכמים ב-11 רשויות שנבדקו היה בין 7% בבאר יעקב לבין 58% בראש העין, שהיא אחת הרשויות הראשונות שחתמו על הסכם גג. בממוצע הונפקו היתרי בנייה עבור 23% מכלל יחה"ד הנכללות בתוכניות הכלולות בהסכמי הגג של 11 הרשויות שנבדקו. משך הזמן לקבלת היתר בנייה בעשר רשויות מקומיות </w:t>
      </w:r>
      <w:r>
        <w:rPr>
          <w:rFonts w:hint="cs"/>
          <w:rtl/>
        </w:rPr>
        <w:t xml:space="preserve">שלגביהן נערכה בדיקה היה </w:t>
      </w:r>
      <w:r>
        <w:rPr>
          <w:rtl/>
        </w:rPr>
        <w:t xml:space="preserve">יותר מ-90 יום כפי שנקבע בהסכם הגג. משך הזמן לקבלת היתר היה בין 132 יום בנתיבות ל-504 יום בנתניה, ובממוצע 309 יום. יודגש כי משך הזמן לקבלת היתר תלוי בגורמים שונים, לרבות במגישי הבקשה ובעורכיה, ובנסיבות שחלקן אינן </w:t>
      </w:r>
      <w:r w:rsidRPr="00887EEB">
        <w:rPr>
          <w:rtl/>
        </w:rPr>
        <w:t>בשליטת</w:t>
      </w:r>
      <w:r>
        <w:rPr>
          <w:rtl/>
        </w:rPr>
        <w:t xml:space="preserve"> הרשות המקומית. עוד נמצא כי מענק הסכמי הגג בעלות של 129 מיליון ש"ח ניתן לרשויות החתומות על הסכמי הגג בשנים 2019 ו-2020 לפי אמת מידה הנוגעת לגידול בהיקף האוכלוסייה ברשות ולא לפי מספר היתרי הבנייה שהנפיקה הרשות, אף שהתוכנית של משרד הפנים הייתה "תוכנית לתמרוץ רשויות למתן היתרי בנייה ליחידות דיור". עקב כך המענק לא שימש תמריץ להנפקת היתרי בנייה עבור רשויות אל</w:t>
      </w:r>
      <w:r w:rsidR="00AE3083">
        <w:rPr>
          <w:rFonts w:hint="cs"/>
          <w:rtl/>
        </w:rPr>
        <w:t>ה</w:t>
      </w:r>
      <w:r w:rsidRPr="0051536E">
        <w:rPr>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0192" behindDoc="0" locked="0" layoutInCell="1" allowOverlap="1" wp14:anchorId="25B1C011" wp14:editId="19E1FD3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4737EAE" w14:textId="2F5849EB" w:rsidR="004E614C" w:rsidRDefault="00576FEA" w:rsidP="00827D42">
      <w:pPr>
        <w:pStyle w:val="71f4"/>
        <w:rPr>
          <w:rtl/>
        </w:rPr>
      </w:pPr>
      <w:r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9888" behindDoc="0" locked="0" layoutInCell="1" allowOverlap="1" wp14:anchorId="4AF189CA" wp14:editId="4AE0B9B1">
                <wp:simplePos x="0" y="0"/>
                <wp:positionH relativeFrom="column">
                  <wp:posOffset>-85725</wp:posOffset>
                </wp:positionH>
                <wp:positionV relativeFrom="paragraph">
                  <wp:posOffset>615950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23E21432" id="Straight Connector 585" o:spid="_x0000_s1026" style="position:absolute;left:0;text-align:lef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48.5pt" to="36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" strokecolor="black [3213]" strokeweight="2pt"/>
            </w:pict>
          </mc:Fallback>
        </mc:AlternateContent>
      </w:r>
      <w:r w:rsidR="00827D42">
        <w:rPr>
          <w:b/>
          <w:bCs/>
          <w:rtl/>
        </w:rPr>
        <w:t>חיסכון בעלויות הפיתוח</w:t>
      </w:r>
      <w:r w:rsidR="00827D42">
        <w:rPr>
          <w:rtl/>
        </w:rPr>
        <w:t xml:space="preserve">: תוצאות עשרה מכרזים לביצוע עבודות פיתוח במסגרת הסכמי הגג שנסקרו בביקורת העלו כי הושג באמצעותם חיסכון מצטבר של כ-152 מיליון ש"ח (כ-24%) מאומדן </w:t>
      </w:r>
      <w:r w:rsidR="00827D42" w:rsidRPr="00827D42">
        <w:rPr>
          <w:rtl/>
        </w:rPr>
        <w:t>העלויות</w:t>
      </w:r>
      <w:r w:rsidR="00827D42">
        <w:rPr>
          <w:rtl/>
        </w:rPr>
        <w:t xml:space="preserve"> של העבודות.</w:t>
      </w:r>
    </w:p>
    <w:p w14:paraId="0896809D" w14:textId="7618C55C" w:rsidR="000932F0" w:rsidRDefault="00C248DB" w:rsidP="00DC4791">
      <w:pPr>
        <w:pStyle w:val="71f4"/>
        <w:rPr>
          <w:rtl/>
        </w:rPr>
      </w:pPr>
      <w:r w:rsidRPr="003D472A">
        <w:rPr>
          <w:noProof/>
        </w:rPr>
        <w:drawing>
          <wp:anchor distT="0" distB="3600450" distL="114300" distR="114300" simplePos="0" relativeHeight="251753984" behindDoc="0" locked="0" layoutInCell="1" allowOverlap="1" wp14:anchorId="4F0667FA" wp14:editId="69187AA2">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BC7416" w:rsidRPr="00A25467" w:rsidRDefault="00BC7416" w:rsidP="007B571D">
                            <w:pPr>
                              <w:pStyle w:val="216"/>
                              <w:rPr>
                                <w:rtl/>
                              </w:rPr>
                            </w:pPr>
                            <w:r>
                              <w:rPr>
                                <w:rFonts w:hint="cs"/>
                                <w:rtl/>
                              </w:rPr>
                              <w:t>עיקרי המלצות הביקורת</w:t>
                            </w:r>
                          </w:p>
                          <w:p w14:paraId="19399FDD" w14:textId="77777777" w:rsidR="00BC7416" w:rsidRDefault="00BC7416"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BC7416" w:rsidRPr="00A25467" w:rsidRDefault="00BC7416" w:rsidP="007B571D">
                      <w:pPr>
                        <w:pStyle w:val="216"/>
                        <w:rPr>
                          <w:rtl/>
                        </w:rPr>
                      </w:pPr>
                      <w:r>
                        <w:rPr>
                          <w:rFonts w:hint="cs"/>
                          <w:rtl/>
                        </w:rPr>
                        <w:t>עיקרי המלצות הביקורת</w:t>
                      </w:r>
                    </w:p>
                    <w:p w14:paraId="19399FDD" w14:textId="77777777" w:rsidR="00BC7416" w:rsidRDefault="00BC7416" w:rsidP="007B571D"/>
                  </w:txbxContent>
                </v:textbox>
                <w10:wrap type="square"/>
              </v:shape>
            </w:pict>
          </mc:Fallback>
        </mc:AlternateContent>
      </w:r>
      <w:r w:rsidR="00DC4791">
        <w:rPr>
          <w:rtl/>
        </w:rPr>
        <w:t xml:space="preserve">מומלץ כי רמ"י ומשרד הבינוי יעקבו אחר מידת העמידה בקצב שיווק יחה"ד בהתאם להחלטת הממשלה על הסכמי הגג, יקיימו במשותף עבודת מטה לצורך מיפוי החסמים והקשיים בכל אחד משלבי מימוש הסכמי הגג ויפעלו יחד לגיבוש הצעות להסרת אותם חסמים והתגברות על אותם קשיים. מומלץ כי בתהליך זה ישותפו נציגי הגורמים הרלוונטיים לנושא, לרבות משרדי הממשלה והחברות הממשלתיות שנדרשת מעורבותן בכך ונציגי השלטון המקומי. עוד מומלץ כי תוצרי התהליך יוצגו לשר הבינוי והשיכון, יידונו במועצה ובמידת הצורך יגובשו פתרונות חילופיים לקידום יעדי הממשלה למילוי צורכי </w:t>
      </w:r>
      <w:r w:rsidR="00DC4791">
        <w:rPr>
          <w:rtl/>
        </w:rPr>
        <w:lastRenderedPageBreak/>
        <w:t>הדיור. עוד מומלץ כי שר הבינוי והשיכון יכנס את המועצה לדיון תקופתי בעניין יישום הסכמי הגג, וכן יכנס את ועדת השרים לענייני דיור ותחבורה כדי לבחון את האפשרות לקבוע מנגנון דיווח לוועדה או לממשלה בעניין יישום החלטת הממשלה על הסכמי הגג. מומלץ גם כי במסגרת תהליך קבלת החלטה בעניין היקף יח"ד שיש לקדם בכל רשות, ינותחו עלויות הפיתוח ושווי הקרקעות ותיבחן האפשרות לקביעת עלות בסיס לפיתוח בהתבסס על מקדמים הנוגעים לתנאי הקרקע ומשתנים רלוונטיים אחרים</w:t>
      </w:r>
      <w:r w:rsidR="003D472A" w:rsidRPr="0051536E">
        <w:rPr>
          <w:rtl/>
        </w:rPr>
        <w:t>.</w:t>
      </w:r>
      <w:r w:rsidR="000932F0" w:rsidRPr="000932F0">
        <w:rPr>
          <w:rFonts w:hint="cs"/>
          <w:rtl/>
        </w:rPr>
        <w:t xml:space="preserve"> </w:t>
      </w:r>
    </w:p>
    <w:p w14:paraId="1B3C2047" w14:textId="04024CF2" w:rsidR="000A1EE6" w:rsidRDefault="000A1EE6" w:rsidP="00DC4791">
      <w:pPr>
        <w:pStyle w:val="71f4"/>
        <w:rPr>
          <w:rtl/>
        </w:rPr>
      </w:pPr>
      <w:r w:rsidRPr="00577C64">
        <w:rPr>
          <w:noProof/>
        </w:rPr>
        <w:drawing>
          <wp:anchor distT="0" distB="3600450" distL="114300" distR="114300" simplePos="0" relativeHeight="251756032" behindDoc="0" locked="0" layoutInCell="1" allowOverlap="1" wp14:anchorId="6CC03CA8" wp14:editId="118F4188">
            <wp:simplePos x="0" y="0"/>
            <wp:positionH relativeFrom="column">
              <wp:posOffset>4543425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משרד הבינוי, רמ"י ומשרד האוצר בשיתוף עם משרד הפנים יבחנו באופן פרטני כיצד מימוש הסכמי הגג עשוי להשפיע על מצבה הפיננסי של הרשות ועל יכולתה לספק לתושבים שירותים מוניציפליים ברמה נאותה, ובכלל זה יבחנו את ההיתכנות של השיווק והמימוש של הקרקעות למסחר ותעסוקה</w:t>
      </w:r>
      <w:r w:rsidR="00DC4791">
        <w:rPr>
          <w:rFonts w:hint="cs"/>
          <w:rtl/>
        </w:rPr>
        <w:t xml:space="preserve"> </w:t>
      </w:r>
      <w:r w:rsidR="00DC4791">
        <w:rPr>
          <w:rtl/>
        </w:rPr>
        <w:t xml:space="preserve">ואת היכולת להסתמך על ההכנסה מארנונה עסקית בגינן. בהתאם לממצאי הבחינה מומלץ כי משרד הבינוי, רמ"י ומשרד האוצר יגבשו את המענה שיידרש לרשות עקב מימוש הסכם הגג והפגיעה האפשרית במצבה הפיננסי בעקבות מימוש הסכם הגג. עוד מומלץ כי משרדי הפנים והאוצר, בשיתוף הרשויות המקומיות, משרד הבינוי ורמ"י, יבחנו </w:t>
      </w:r>
      <w:r w:rsidR="00DC4791" w:rsidRPr="00DC4791">
        <w:rPr>
          <w:rtl/>
        </w:rPr>
        <w:t>מנגנונים</w:t>
      </w:r>
      <w:r w:rsidR="00DC4791">
        <w:rPr>
          <w:rtl/>
        </w:rPr>
        <w:t xml:space="preserve"> לקידום השיווק והמימוש של קרקעות למסחר ולתעסוקה בשטחן של רשויות אלה כדי להגדיל את הכנסתן מארנונה עסקית. עוד מומלץ כי משרד הבינוי ורמ"י יגבשו יעדים לשיווק קרקעות למסחר ולתעסוקה בכלל הרשויות אשר התקשרו בהסכמי הגג</w:t>
      </w:r>
      <w:r>
        <w:rPr>
          <w:rFonts w:hint="cs"/>
          <w:rtl/>
        </w:rPr>
        <w:t>.</w:t>
      </w:r>
    </w:p>
    <w:p w14:paraId="34366829" w14:textId="3AEAC945" w:rsidR="000932F0" w:rsidRDefault="00351AD0" w:rsidP="00DC4791">
      <w:pPr>
        <w:pStyle w:val="71f4"/>
        <w:rPr>
          <w:rtl/>
        </w:rPr>
      </w:pPr>
      <w:r w:rsidRPr="00003EBB">
        <w:rPr>
          <w:noProof/>
        </w:rPr>
        <w:drawing>
          <wp:anchor distT="0" distB="3600450" distL="114300" distR="114300" simplePos="0" relativeHeight="251758080" behindDoc="0" locked="0" layoutInCell="1" allowOverlap="1" wp14:anchorId="2D6437BC" wp14:editId="21A27D90">
            <wp:simplePos x="0" y="0"/>
            <wp:positionH relativeFrom="column">
              <wp:posOffset>4543425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משרד הבינוי ורמ"י יבחנו, בשיתוף הרשות להתחדשות עירונית, דרכים אפשריות לקידום פרויקטים להתחדשות עירונית ברשויות המקומיות החתומות על הסכמי הגג, בפרט - במקרים שבהם ערך הקרקע נמוך מכדי שתיווצר היתכנות כלכלית ויגבשו תוכנית רב-שנתית שתאפשר לרשויות לעמוד ביעדי יח"ד לעניין תכנון בהתחדשות עירונית</w:t>
      </w:r>
      <w:r w:rsidR="003D472A" w:rsidRPr="0051536E">
        <w:rPr>
          <w:rtl/>
        </w:rPr>
        <w:t>.</w:t>
      </w:r>
    </w:p>
    <w:p w14:paraId="3F10CC9C" w14:textId="27AD9910" w:rsidR="00003EBB" w:rsidRPr="003D472A" w:rsidRDefault="00351AD0" w:rsidP="00DC4791">
      <w:pPr>
        <w:pStyle w:val="71f4"/>
      </w:pPr>
      <w:r w:rsidRPr="00F94BC9">
        <w:rPr>
          <w:noProof/>
        </w:rPr>
        <w:drawing>
          <wp:anchor distT="0" distB="3600450" distL="114300" distR="114300" simplePos="0" relativeHeight="251760128" behindDoc="0" locked="0" layoutInCell="1" allowOverlap="1" wp14:anchorId="074940A4" wp14:editId="09B5005D">
            <wp:simplePos x="0" y="0"/>
            <wp:positionH relativeFrom="column">
              <wp:posOffset>4549140</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sidRPr="00E569C3">
        <w:rPr>
          <w:rtl/>
        </w:rPr>
        <w:t xml:space="preserve">מומלץ כי משרד הבינוי ורמ"י יפעלו עם משרדי ממשלה ורשויות מדינה אחרות ובשיתוף הרשויות </w:t>
      </w:r>
      <w:r w:rsidR="00DC4791" w:rsidRPr="00DC4791">
        <w:rPr>
          <w:rtl/>
        </w:rPr>
        <w:t>המקומיות</w:t>
      </w:r>
      <w:r w:rsidR="00DC4791" w:rsidRPr="00E569C3">
        <w:rPr>
          <w:rtl/>
        </w:rPr>
        <w:t xml:space="preserve"> הרלוונטיות לקידום החתימה על הסכ</w:t>
      </w:r>
      <w:r w:rsidR="00DC4791">
        <w:rPr>
          <w:rFonts w:hint="cs"/>
          <w:rtl/>
        </w:rPr>
        <w:t>מי</w:t>
      </w:r>
      <w:r w:rsidR="00DC4791" w:rsidRPr="00E569C3">
        <w:rPr>
          <w:rtl/>
        </w:rPr>
        <w:t xml:space="preserve"> גג עם רשו</w:t>
      </w:r>
      <w:r w:rsidR="00DC4791">
        <w:rPr>
          <w:rFonts w:hint="cs"/>
          <w:rtl/>
        </w:rPr>
        <w:t>יו</w:t>
      </w:r>
      <w:r w:rsidR="00DC4791" w:rsidRPr="00E569C3">
        <w:rPr>
          <w:rtl/>
        </w:rPr>
        <w:t>ת מקומי</w:t>
      </w:r>
      <w:r w:rsidR="00161B5B">
        <w:rPr>
          <w:rFonts w:hint="cs"/>
          <w:rtl/>
        </w:rPr>
        <w:t>ו</w:t>
      </w:r>
      <w:r w:rsidR="00DC4791" w:rsidRPr="00E569C3">
        <w:rPr>
          <w:rtl/>
        </w:rPr>
        <w:t xml:space="preserve">ת מיישובי המיעוטים, </w:t>
      </w:r>
      <w:r w:rsidR="00DC4791">
        <w:rPr>
          <w:rFonts w:hint="cs"/>
          <w:rtl/>
        </w:rPr>
        <w:t xml:space="preserve">נוסף על ההסכם </w:t>
      </w:r>
      <w:r w:rsidR="00DC4791" w:rsidRPr="001946EC">
        <w:rPr>
          <w:rtl/>
        </w:rPr>
        <w:t>עם עיריית אום אל-פחם</w:t>
      </w:r>
      <w:r w:rsidR="00DC4791">
        <w:rPr>
          <w:rFonts w:hint="cs"/>
          <w:rtl/>
        </w:rPr>
        <w:t xml:space="preserve"> שנחתם בספטמבר 2021</w:t>
      </w:r>
      <w:r w:rsidR="003D472A" w:rsidRPr="008872B7">
        <w:rPr>
          <w:rtl/>
        </w:rPr>
        <w:t>.</w:t>
      </w:r>
    </w:p>
    <w:p w14:paraId="408E8A6A" w14:textId="120A6D54" w:rsidR="00577C64" w:rsidRDefault="00F94BC9" w:rsidP="00DC4791">
      <w:pPr>
        <w:pStyle w:val="71f4"/>
        <w:rPr>
          <w:rtl/>
        </w:rPr>
      </w:pPr>
      <w:r w:rsidRPr="00003EBB">
        <w:rPr>
          <w:noProof/>
        </w:rPr>
        <w:drawing>
          <wp:anchor distT="0" distB="3600450" distL="114300" distR="114300" simplePos="0" relativeHeight="251762176" behindDoc="0" locked="0" layoutInCell="1" allowOverlap="1" wp14:anchorId="1CD9980E" wp14:editId="7FD52B91">
            <wp:simplePos x="0" y="0"/>
            <wp:positionH relativeFrom="column">
              <wp:posOffset>4530090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על משרד הבינוי ורמ"י לקדם שיווק יח"ד לאוכלוסייה החרדית בכלל הרשויות המקומיות הרלוונטיות שעימן נחתמו הסכמי גג, בהתאם להחלטת הממשלה בנושא מאוגוסט 2016. כמו כן, על משרד הבינוי ואגף תקציבים במשרד האוצר להשלים גיבוש של מערכת תמריצים שתאפשר לתמרץ רשויות מקומיות של יישובים הטרוגניים שחתומים על הסכם גג לשלב בהם שכונות לאוכלוסייה החרדית, בהתאם לאמור בהחלטת הממשלה לגבי ה</w:t>
      </w:r>
      <w:r w:rsidR="00DC4791">
        <w:rPr>
          <w:rFonts w:hint="cs"/>
          <w:rtl/>
        </w:rPr>
        <w:t>דיור ל</w:t>
      </w:r>
      <w:r w:rsidR="00DC4791">
        <w:rPr>
          <w:rtl/>
        </w:rPr>
        <w:t>אוכלוסייה החרדית</w:t>
      </w:r>
      <w:r w:rsidRPr="00776C83">
        <w:rPr>
          <w:rtl/>
        </w:rPr>
        <w:t>.</w:t>
      </w:r>
    </w:p>
    <w:p w14:paraId="1A69D726" w14:textId="5DC91945" w:rsidR="00857B06" w:rsidRDefault="00333845" w:rsidP="00095449">
      <w:pPr>
        <w:pStyle w:val="71f4"/>
        <w:rPr>
          <w:rtl/>
        </w:rPr>
      </w:pPr>
      <w:r w:rsidRPr="00003EBB">
        <w:rPr>
          <w:noProof/>
        </w:rPr>
        <w:drawing>
          <wp:anchor distT="0" distB="3600450" distL="114300" distR="114300" simplePos="0" relativeHeight="252072448" behindDoc="0" locked="0" layoutInCell="1" allowOverlap="1" wp14:anchorId="696F7B42" wp14:editId="50C03AD2">
            <wp:simplePos x="0" y="0"/>
            <wp:positionH relativeFrom="column">
              <wp:posOffset>4511040</wp:posOffset>
            </wp:positionH>
            <wp:positionV relativeFrom="paragraph">
              <wp:posOffset>19050</wp:posOffset>
            </wp:positionV>
            <wp:extent cx="140335" cy="161925"/>
            <wp:effectExtent l="0" t="0" r="0" b="9525"/>
            <wp:wrapSquare wrapText="bothSides"/>
            <wp:docPr id="3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אם משרדי הפנים והאוצר יחליטו להמשיך לחלק מענקים לרשויות המקומיות לצורך תמרוץ הנפקת היתרי בנייה, הם יבחנו את התנאים לקבלתם באופן שמענקים אלה ישמשו עבור הרשויות המקומיות תמריץ</w:t>
      </w:r>
      <w:r w:rsidR="00DC4791">
        <w:rPr>
          <w:rFonts w:hint="cs"/>
          <w:rtl/>
        </w:rPr>
        <w:t xml:space="preserve"> להנפקת היתרי בנייה. זאת בפרט נוכח הנתונים המעידים על שיעור קטן מהנדרש של היתרי בנייה שהפיקו הרשויות המקומיות ועל הזמן הממושך שנדרש להן </w:t>
      </w:r>
      <w:r w:rsidR="00095449">
        <w:rPr>
          <w:rFonts w:hint="cs"/>
          <w:rtl/>
        </w:rPr>
        <w:t>כדי להפיקם</w:t>
      </w:r>
      <w:r w:rsidRPr="00776C83">
        <w:rPr>
          <w:rtl/>
        </w:rPr>
        <w:t>.</w:t>
      </w:r>
    </w:p>
    <w:p w14:paraId="06DB502D" w14:textId="77777777" w:rsidR="00857B06" w:rsidRDefault="00857B06">
      <w:pPr>
        <w:bidi w:val="0"/>
        <w:spacing w:after="200" w:line="276" w:lineRule="auto"/>
        <w:rPr>
          <w:rFonts w:ascii="Tahoma" w:hAnsi="Tahoma" w:cs="Tahoma"/>
          <w:color w:val="0D0D0D" w:themeColor="text1" w:themeTint="F2"/>
          <w:sz w:val="18"/>
          <w:szCs w:val="18"/>
        </w:rPr>
      </w:pPr>
      <w:r>
        <w:rPr>
          <w:rtl/>
        </w:rPr>
        <w:br w:type="page"/>
      </w:r>
    </w:p>
    <w:p w14:paraId="5D1D525A" w14:textId="799D62A0" w:rsidR="00A03AE1" w:rsidRDefault="0038765E" w:rsidP="00857B06">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w:lastRenderedPageBreak/>
        <w:drawing>
          <wp:anchor distT="0" distB="0" distL="114300" distR="114300" simplePos="0" relativeHeight="252007936" behindDoc="0" locked="0" layoutInCell="1" allowOverlap="1" wp14:anchorId="0C9F4DB4" wp14:editId="25DD9A40">
            <wp:simplePos x="0" y="0"/>
            <wp:positionH relativeFrom="column">
              <wp:posOffset>-144780</wp:posOffset>
            </wp:positionH>
            <wp:positionV relativeFrom="paragraph">
              <wp:posOffset>27305</wp:posOffset>
            </wp:positionV>
            <wp:extent cx="4877435" cy="876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7435" cy="876300"/>
                    </a:xfrm>
                    <a:prstGeom prst="rect">
                      <a:avLst/>
                    </a:prstGeom>
                  </pic:spPr>
                </pic:pic>
              </a:graphicData>
            </a:graphic>
            <wp14:sizeRelH relativeFrom="margin">
              <wp14:pctWidth>0</wp14:pctWidth>
            </wp14:sizeRelH>
            <wp14:sizeRelV relativeFrom="margin">
              <wp14:pctHeight>0</wp14:pctHeight>
            </wp14:sizeRelV>
          </wp:anchor>
        </w:drawing>
      </w: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2008960" behindDoc="0" locked="0" layoutInCell="1" allowOverlap="1" wp14:anchorId="54A18098" wp14:editId="7905E76C">
                <wp:simplePos x="0" y="0"/>
                <wp:positionH relativeFrom="column">
                  <wp:posOffset>47625</wp:posOffset>
                </wp:positionH>
                <wp:positionV relativeFrom="paragraph">
                  <wp:posOffset>100965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2850A56" w14:textId="3210A47B" w:rsidR="00BC7416" w:rsidRPr="00A47335" w:rsidRDefault="00BC7416" w:rsidP="00A03AE1">
                            <w:pPr>
                              <w:pStyle w:val="71fc"/>
                              <w:spacing w:before="0"/>
                              <w:rPr>
                                <w:b w:val="0"/>
                                <w:bCs/>
                              </w:rPr>
                            </w:pPr>
                            <w:r>
                              <w:rPr>
                                <w:bCs/>
                                <w:rtl/>
                              </w:rPr>
                              <w:t xml:space="preserve">יישובים שלגביהם נחתם הסכם גג, ומס' יח"ד שבתוכניות בכל הסכם </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4A18098" id="_x0000_s1029" type="#_x0000_t202" style="position:absolute;left:0;text-align:left;margin-left:3.75pt;margin-top:7.95pt;width:363.55pt;height:45.1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" fillcolor="#f05260" stroked="f">
                <v:textbox>
                  <w:txbxContent>
                    <w:p w14:paraId="22850A56" w14:textId="3210A47B" w:rsidR="00BC7416" w:rsidRPr="00A47335" w:rsidRDefault="00BC7416" w:rsidP="00A03AE1">
                      <w:pPr>
                        <w:pStyle w:val="71fc"/>
                        <w:spacing w:before="0"/>
                        <w:rPr>
                          <w:b w:val="0"/>
                          <w:bCs/>
                        </w:rPr>
                      </w:pPr>
                      <w:r>
                        <w:rPr>
                          <w:bCs/>
                          <w:rtl/>
                        </w:rPr>
                        <w:t xml:space="preserve">יישובים שלגביהם נחתם הסכם גג, ומס' יח"ד שבתוכניות בכל הסכם </w:t>
                      </w:r>
                      <w:r>
                        <w:rPr>
                          <w:rFonts w:hint="cs"/>
                          <w:b w:val="0"/>
                          <w:bCs/>
                          <w:rtl/>
                        </w:rPr>
                        <w:t xml:space="preserve">               </w:t>
                      </w:r>
                    </w:p>
                  </w:txbxContent>
                </v:textbox>
              </v:shape>
            </w:pict>
          </mc:Fallback>
        </mc:AlternateContent>
      </w:r>
    </w:p>
    <w:p w14:paraId="4C16BE24" w14:textId="67527114" w:rsidR="002D3AA4" w:rsidRDefault="002D3AA4">
      <w:pPr>
        <w:bidi w:val="0"/>
        <w:spacing w:after="200" w:line="276" w:lineRule="auto"/>
        <w:rPr>
          <w:rFonts w:ascii="Tahoma" w:hAnsi="Tahoma" w:cs="Tahoma"/>
          <w:b/>
          <w:bCs/>
          <w:color w:val="00305F"/>
          <w:sz w:val="40"/>
          <w:szCs w:val="34"/>
        </w:rPr>
      </w:pPr>
    </w:p>
    <w:p w14:paraId="60756217" w14:textId="60C8ECEC" w:rsidR="00857B06" w:rsidRDefault="00D85809" w:rsidP="00D82407">
      <w:pPr>
        <w:pStyle w:val="71d"/>
        <w:rPr>
          <w:rtl/>
        </w:rPr>
      </w:pPr>
      <w:r>
        <w:rPr>
          <w:noProof/>
        </w:rPr>
        <w:drawing>
          <wp:anchor distT="0" distB="0" distL="114300" distR="114300" simplePos="0" relativeHeight="252096000" behindDoc="0" locked="0" layoutInCell="1" allowOverlap="1" wp14:anchorId="26ED78C5" wp14:editId="417F2CE2">
            <wp:simplePos x="0" y="0"/>
            <wp:positionH relativeFrom="column">
              <wp:posOffset>342265</wp:posOffset>
            </wp:positionH>
            <wp:positionV relativeFrom="paragraph">
              <wp:posOffset>43815</wp:posOffset>
            </wp:positionV>
            <wp:extent cx="3923665" cy="5916930"/>
            <wp:effectExtent l="0" t="0" r="635" b="7620"/>
            <wp:wrapSquare wrapText="bothSides"/>
            <wp:docPr id="9" name="תמונה 61" descr="ISAM-MA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8532" name="תמונה 10" descr="ISAM-MAP LOCATION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923665" cy="591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2D6A6" w14:textId="5AF772F4" w:rsidR="00857B06" w:rsidRDefault="00857B06" w:rsidP="00D82407">
      <w:pPr>
        <w:pStyle w:val="71d"/>
        <w:rPr>
          <w:rtl/>
        </w:rPr>
      </w:pPr>
    </w:p>
    <w:p w14:paraId="5FD1B803" w14:textId="77777777" w:rsidR="00857B06" w:rsidRDefault="00857B06" w:rsidP="00D82407">
      <w:pPr>
        <w:pStyle w:val="71d"/>
        <w:rPr>
          <w:rtl/>
        </w:rPr>
      </w:pPr>
    </w:p>
    <w:p w14:paraId="4582F9F2" w14:textId="77777777" w:rsidR="00857B06" w:rsidRDefault="00857B06" w:rsidP="00D82407">
      <w:pPr>
        <w:pStyle w:val="71d"/>
        <w:rPr>
          <w:rtl/>
        </w:rPr>
      </w:pPr>
    </w:p>
    <w:p w14:paraId="52DA2935" w14:textId="5F43172E" w:rsidR="00857B06" w:rsidRDefault="00857B06" w:rsidP="00D82407">
      <w:pPr>
        <w:pStyle w:val="71d"/>
        <w:rPr>
          <w:rtl/>
        </w:rPr>
      </w:pPr>
    </w:p>
    <w:p w14:paraId="3D496F24" w14:textId="77777777" w:rsidR="00857B06" w:rsidRDefault="00857B06" w:rsidP="00D82407">
      <w:pPr>
        <w:pStyle w:val="71d"/>
        <w:rPr>
          <w:rtl/>
        </w:rPr>
      </w:pPr>
    </w:p>
    <w:p w14:paraId="4A91ADB6" w14:textId="77777777" w:rsidR="00857B06" w:rsidRDefault="00857B06" w:rsidP="00D82407">
      <w:pPr>
        <w:pStyle w:val="71d"/>
        <w:rPr>
          <w:rtl/>
        </w:rPr>
      </w:pPr>
    </w:p>
    <w:p w14:paraId="17705816" w14:textId="77777777" w:rsidR="00857B06" w:rsidRDefault="00857B06" w:rsidP="00D82407">
      <w:pPr>
        <w:pStyle w:val="71d"/>
        <w:rPr>
          <w:rtl/>
        </w:rPr>
      </w:pPr>
    </w:p>
    <w:p w14:paraId="5270CBAF" w14:textId="77777777" w:rsidR="00857B06" w:rsidRDefault="00857B06" w:rsidP="00D82407">
      <w:pPr>
        <w:pStyle w:val="71d"/>
        <w:rPr>
          <w:rtl/>
        </w:rPr>
      </w:pPr>
    </w:p>
    <w:p w14:paraId="3BFC0DC1" w14:textId="77777777" w:rsidR="00857B06" w:rsidRDefault="00857B06" w:rsidP="00D82407">
      <w:pPr>
        <w:pStyle w:val="71d"/>
        <w:rPr>
          <w:rtl/>
        </w:rPr>
      </w:pPr>
    </w:p>
    <w:p w14:paraId="1017F16D" w14:textId="77777777" w:rsidR="00857B06" w:rsidRDefault="00857B06" w:rsidP="00D82407">
      <w:pPr>
        <w:pStyle w:val="71d"/>
        <w:rPr>
          <w:rtl/>
        </w:rPr>
      </w:pPr>
    </w:p>
    <w:p w14:paraId="6285CA41" w14:textId="77777777" w:rsidR="00857B06" w:rsidRDefault="00857B06" w:rsidP="00D82407">
      <w:pPr>
        <w:pStyle w:val="71d"/>
        <w:rPr>
          <w:rtl/>
        </w:rPr>
      </w:pPr>
    </w:p>
    <w:p w14:paraId="2620FACD" w14:textId="77777777" w:rsidR="00857B06" w:rsidRDefault="00857B06" w:rsidP="00D82407">
      <w:pPr>
        <w:pStyle w:val="71d"/>
        <w:rPr>
          <w:rtl/>
        </w:rPr>
      </w:pPr>
    </w:p>
    <w:p w14:paraId="51DCF59A" w14:textId="77777777" w:rsidR="00B3345A" w:rsidRDefault="00B3345A" w:rsidP="00B3345A">
      <w:pPr>
        <w:pStyle w:val="7100"/>
        <w:rPr>
          <w:rtl/>
        </w:rPr>
      </w:pPr>
    </w:p>
    <w:p w14:paraId="023E7E9B" w14:textId="77777777" w:rsidR="00B3345A" w:rsidRDefault="00B3345A" w:rsidP="00B3345A">
      <w:pPr>
        <w:pStyle w:val="7100"/>
        <w:rPr>
          <w:rtl/>
        </w:rPr>
      </w:pPr>
    </w:p>
    <w:p w14:paraId="32B10C63" w14:textId="77777777" w:rsidR="00B3345A" w:rsidRDefault="00B3345A" w:rsidP="00B3345A">
      <w:pPr>
        <w:pStyle w:val="7100"/>
        <w:rPr>
          <w:rtl/>
        </w:rPr>
      </w:pPr>
    </w:p>
    <w:p w14:paraId="05C81E62" w14:textId="77777777" w:rsidR="00B3345A" w:rsidRDefault="00B3345A" w:rsidP="00B3345A">
      <w:pPr>
        <w:pStyle w:val="7100"/>
        <w:rPr>
          <w:rtl/>
        </w:rPr>
      </w:pPr>
    </w:p>
    <w:p w14:paraId="30F15F4F" w14:textId="77777777" w:rsidR="00B3345A" w:rsidRDefault="00B3345A" w:rsidP="00B3345A">
      <w:pPr>
        <w:pStyle w:val="7100"/>
        <w:rPr>
          <w:rtl/>
        </w:rPr>
      </w:pPr>
    </w:p>
    <w:p w14:paraId="1A371C7A" w14:textId="77777777" w:rsidR="00B3345A" w:rsidRDefault="00B3345A" w:rsidP="00B3345A">
      <w:pPr>
        <w:pStyle w:val="7100"/>
        <w:rPr>
          <w:rtl/>
        </w:rPr>
      </w:pPr>
    </w:p>
    <w:p w14:paraId="7EA48D96" w14:textId="77777777" w:rsidR="00B3345A" w:rsidRDefault="00B3345A" w:rsidP="00B3345A">
      <w:pPr>
        <w:pStyle w:val="7100"/>
        <w:rPr>
          <w:rtl/>
        </w:rPr>
      </w:pPr>
    </w:p>
    <w:p w14:paraId="58FCAAC9" w14:textId="77777777" w:rsidR="00B3345A" w:rsidRDefault="00B3345A" w:rsidP="00B3345A">
      <w:pPr>
        <w:pStyle w:val="7100"/>
        <w:rPr>
          <w:rtl/>
        </w:rPr>
      </w:pPr>
    </w:p>
    <w:p w14:paraId="75FBEFE9" w14:textId="09D8B0A0" w:rsidR="00B3345A" w:rsidRDefault="00B3345A" w:rsidP="00B3345A">
      <w:pPr>
        <w:pStyle w:val="7100"/>
        <w:rPr>
          <w:rtl/>
        </w:rPr>
      </w:pPr>
      <w:r>
        <w:rPr>
          <w:rtl/>
        </w:rPr>
        <w:t>על פי נתוני רמ"י ומשרד הבינוי והשיכון, בעיבוד משרד מבקר המדינה.</w:t>
      </w:r>
    </w:p>
    <w:p w14:paraId="5E9C70D4" w14:textId="314FA8EA" w:rsidR="00F27A70" w:rsidRDefault="00644F86" w:rsidP="00680C58">
      <w:pPr>
        <w:bidi w:val="0"/>
        <w:spacing w:after="200" w:line="276" w:lineRule="auto"/>
        <w:jc w:val="right"/>
        <w:rPr>
          <w:rtl/>
        </w:rPr>
      </w:pPr>
      <w:r w:rsidRPr="00680C58">
        <w:rPr>
          <w:rStyle w:val="712Char"/>
          <w:noProof/>
          <w:rtl/>
        </w:rPr>
        <w:lastRenderedPageBreak/>
        <mc:AlternateContent>
          <mc:Choice Requires="wpg">
            <w:drawing>
              <wp:anchor distT="0" distB="0" distL="114300" distR="114300" simplePos="0" relativeHeight="251897344" behindDoc="0" locked="0" layoutInCell="1" allowOverlap="1" wp14:anchorId="7CDD7FA0" wp14:editId="01AAFD56">
                <wp:simplePos x="0" y="0"/>
                <wp:positionH relativeFrom="margin">
                  <wp:posOffset>-6985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2032CB5E" id="Group 55" o:spid="_x0000_s1026" style="position:absolute;left:0;text-align:left;margin-left:-.5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680C58">
        <w:rPr>
          <w:rStyle w:val="712Char"/>
          <w:rFonts w:hint="cs"/>
          <w:rtl/>
        </w:rPr>
        <w:t>סיכום</w:t>
      </w:r>
    </w:p>
    <w:p w14:paraId="179105B5" w14:textId="59D65DC1" w:rsidR="00B77EC7" w:rsidRDefault="00947907" w:rsidP="00947907">
      <w:pPr>
        <w:pStyle w:val="7190"/>
        <w:rPr>
          <w:rtl/>
        </w:rPr>
      </w:pPr>
      <w:r>
        <w:rPr>
          <w:rtl/>
        </w:rPr>
        <w:t xml:space="preserve">מינואר 2008 עד דצמבר 2020 עלה מדד מחירי הדירות בכ-103% במונחים ריאליים; ומאוקטובר 2013, המועד שבו החליטה הממשלה על קידום החתימה על הסכמי גג עם הרשויות המקומיות, עלה המדד בכ-34%. הסכמי הגג שנחתמו בשנים האחרונות הם הסכמי שיווק ופיתוח קרקע מורכבים ועתירי משאבים, שמסדירים את המסגרת העיקרית לפיתוח ולבנייה למגורים בהיקפים נרחבים לשנים הקרובות. הסכמי הגג שנחתמו בשנים 2013 - </w:t>
      </w:r>
      <w:r w:rsidRPr="00947907">
        <w:rPr>
          <w:rtl/>
        </w:rPr>
        <w:t>2020</w:t>
      </w:r>
      <w:r>
        <w:rPr>
          <w:rtl/>
        </w:rPr>
        <w:t xml:space="preserve"> נועדו ליצור "ארגז כלים" לבניית יח"ד בהיקף גדול - תוכניות ל-475,000 יח"ד עד סוף שנת 2020 - בקצב שיווק של 2,000 יח"ד בשנה בכל אחת מ-32 הרשויות שחתמו עד סוף 2020 על הסכם גג, תוך הפחתת התמריץ השלילי של הרשויות המקומיות להגדיל את מספר יחה"ד בתחום שיפוטן. למעשה, ניתן היה לצפות שהסכמי הגג יהיו אמצעי מרכזי למילוי צורכי הדיור של האוכלוסייה בישראל, היות שלפי התוכנית האסטרטגית </w:t>
      </w:r>
      <w:r w:rsidR="00653803">
        <w:rPr>
          <w:rFonts w:hint="cs"/>
          <w:rtl/>
        </w:rPr>
        <w:t xml:space="preserve">לדיור </w:t>
      </w:r>
      <w:r>
        <w:rPr>
          <w:rtl/>
        </w:rPr>
        <w:t>נדרשים תכנונן של כ-2.6 מיליון יח"ד ובנייתן של כ-1.5 מיליון יח"ד עד לשנת 2040</w:t>
      </w:r>
      <w:r w:rsidR="00B77EC7" w:rsidRPr="004847E8">
        <w:rPr>
          <w:rFonts w:hint="cs"/>
          <w:rtl/>
        </w:rPr>
        <w:t>.</w:t>
      </w:r>
      <w:r w:rsidR="00B77EC7">
        <w:rPr>
          <w:rFonts w:hint="cs"/>
          <w:rtl/>
        </w:rPr>
        <w:t xml:space="preserve"> </w:t>
      </w:r>
    </w:p>
    <w:p w14:paraId="13BD0C93" w14:textId="5B9C97EC" w:rsidR="00947907" w:rsidRDefault="00947907" w:rsidP="00947907">
      <w:pPr>
        <w:pStyle w:val="7190"/>
        <w:rPr>
          <w:rtl/>
        </w:rPr>
      </w:pPr>
      <w:r>
        <w:rPr>
          <w:rtl/>
        </w:rPr>
        <w:t xml:space="preserve">בביקורת עלה כי קשיים וחסמים לאורך שלבי התכנון, הפיתוח והשיווק מקשים על הרשויות לעמוד בקצב השיווק, ובפועל עד סוף שנת 2020 שווקו קרקעות בהיקף של כ-80,000 יח"ד בכלל </w:t>
      </w:r>
      <w:r w:rsidRPr="00947907">
        <w:rPr>
          <w:rtl/>
        </w:rPr>
        <w:t>הרשויות</w:t>
      </w:r>
      <w:r>
        <w:rPr>
          <w:rtl/>
        </w:rPr>
        <w:t>, ששיעור</w:t>
      </w:r>
      <w:r w:rsidR="00653803">
        <w:rPr>
          <w:rFonts w:hint="cs"/>
          <w:rtl/>
        </w:rPr>
        <w:t>ן</w:t>
      </w:r>
      <w:r>
        <w:rPr>
          <w:rtl/>
        </w:rPr>
        <w:t xml:space="preserve"> הממוצע כ-33% מההיקף הצפוי לפי קצב השיווק. עקב כך לא תוכל הממשלה לתת מענה לצורכי הדיור במדינה. עוד עלה כי עד סוף שנת 2020 שווקו שטחי תעסוקה בהיקף של כ-1.3 מיליון מ"ר מתוך סך כולל של כ-17.6 מיליון מ"ר של שטחי התעסוקה שנכללו בתוכניות שבהסכמי הגג (ששיעורם כ-7% מכלל השטחים שנכללו בהסכמים). תוספת בנייה ניכרת של יח"ד ללא תוספת מספקת של מקורות הכנסה נוספים, ובפרט ארנונה עסקית, עלולה לפגוע ביכולתן של הרשויות לספק בעתיד שירותים ברמה נאותה לתושבים.</w:t>
      </w:r>
    </w:p>
    <w:p w14:paraId="573BA587" w14:textId="0C9DDB3F" w:rsidR="00947907" w:rsidRDefault="00947907" w:rsidP="00947907">
      <w:pPr>
        <w:pStyle w:val="7190"/>
        <w:rPr>
          <w:rtl/>
        </w:rPr>
      </w:pPr>
      <w:r w:rsidRPr="00947907">
        <w:rPr>
          <w:rtl/>
        </w:rPr>
        <w:t>נוכח האמור לעיל, מומלץ כי רמ"י ומשרד הבינוי יבצעו מעקב כדי לבחון אם הרשויות עומדות בקצב שיווק יח"ד שנקבע בהחלטה על הסכמי הגג, יקיימו במשותף עבודת מטה לצורך מיפוי החסמים והקשיים בכל אחד משלבי מימוש הסכמי הגג ויפעלו יחד לגיבוש הצעות להסרת אותם חסמים והתגברות על אותם קשיים. עוד מומלץ כי תוצרי התהליך יוצגו לשר הבינוי והשיכון, יידונו במועצה, ובמידת הצורך יגובשו פתרונות חלופיים לקידום יעדי הממשלה למתן פתרונות לצ</w:t>
      </w:r>
      <w:r w:rsidR="009A2195">
        <w:rPr>
          <w:rFonts w:hint="cs"/>
          <w:rtl/>
        </w:rPr>
        <w:t>ו</w:t>
      </w:r>
      <w:r w:rsidRPr="00947907">
        <w:rPr>
          <w:rtl/>
        </w:rPr>
        <w:t>רכי הדיור</w:t>
      </w:r>
      <w:r>
        <w:rPr>
          <w:rFonts w:hint="cs"/>
          <w:rtl/>
        </w:rPr>
        <w:t>.</w:t>
      </w:r>
    </w:p>
    <w:p w14:paraId="335BDB53" w14:textId="50DE8F61" w:rsidR="00947907" w:rsidRPr="00947907" w:rsidRDefault="00947907" w:rsidP="00947907">
      <w:pPr>
        <w:pStyle w:val="7190"/>
        <w:rPr>
          <w:rtl/>
        </w:rPr>
      </w:pPr>
      <w:r>
        <w:rPr>
          <w:rtl/>
        </w:rPr>
        <w:t xml:space="preserve">מומלץ גם כי משרד הבינוי, רמ"י ומשרד האוצר בשיתוף עם משרד הפנים יבחנו באופן פרטני את ההשפעות של מימוש הסכמי הגג על מצבה הפיננסי של הרשות ועל יכולתה לספק </w:t>
      </w:r>
      <w:r w:rsidRPr="00947907">
        <w:rPr>
          <w:rtl/>
        </w:rPr>
        <w:t>לתושבים</w:t>
      </w:r>
      <w:r>
        <w:rPr>
          <w:rtl/>
        </w:rPr>
        <w:t xml:space="preserve"> את השירותים המוניציפליים ברמה נאותה, ובהתאם לממצאי הבחינה מומלץ כי הם יגבשו את המענה שיידרש לרשות עקב מימוש הסכם הגג. כמו כן מומלץ כי משרדי הפנים והאוצר, בשיתוף עם הרשויות המקומיות, משרד הבינוי ורמ"י, יבחנו מנגנונים לקידום השיווק והמימוש של קרקעות למסחר ותעסוקה בשטח הרשויות המקומיות הרלוונטיות, כדי להגדיל את הכנסתן מארנונה עסקית</w:t>
      </w:r>
      <w:r w:rsidR="00417275">
        <w:rPr>
          <w:rFonts w:hint="cs"/>
          <w:rtl/>
        </w:rPr>
        <w:t>.</w:t>
      </w:r>
    </w:p>
    <w:p w14:paraId="7B1D2994" w14:textId="0AE83B29" w:rsidR="00BD2BBB" w:rsidRDefault="00BD2BBB">
      <w:pPr>
        <w:bidi w:val="0"/>
        <w:spacing w:after="200" w:line="276" w:lineRule="auto"/>
        <w:rPr>
          <w:rFonts w:ascii="Tahoma" w:hAnsi="Tahoma" w:cs="Tahoma"/>
          <w:color w:val="0D0D0D" w:themeColor="text1" w:themeTint="F2"/>
          <w:sz w:val="18"/>
          <w:szCs w:val="18"/>
          <w:rtl/>
        </w:rPr>
      </w:pPr>
    </w:p>
    <w:p w14:paraId="4857F710" w14:textId="78D519B9"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headerReference w:type="default" r:id="rId33"/>
          <w:footnotePr>
            <w:numRestart w:val="eachSect"/>
          </w:footnotePr>
          <w:type w:val="continuous"/>
          <w:pgSz w:w="11906" w:h="16838" w:code="9"/>
          <w:pgMar w:top="3062" w:right="2268" w:bottom="2552" w:left="2268" w:header="1134" w:footer="1361" w:gutter="0"/>
          <w:cols w:space="708"/>
          <w:bidi/>
          <w:rtlGutter/>
          <w:docGrid w:linePitch="360"/>
        </w:sectPr>
      </w:pPr>
    </w:p>
    <w:p w14:paraId="4DB88410" w14:textId="77777777" w:rsidR="00442EF9" w:rsidRDefault="00442EF9" w:rsidP="00116E1B">
      <w:pPr>
        <w:pStyle w:val="71316"/>
        <w:rPr>
          <w:rtl/>
        </w:rPr>
        <w:sectPr w:rsidR="00442EF9" w:rsidSect="007100F0">
          <w:headerReference w:type="default" r:id="rId34"/>
          <w:footnotePr>
            <w:numRestart w:val="eachSect"/>
          </w:footnotePr>
          <w:type w:val="continuous"/>
          <w:pgSz w:w="11906" w:h="16838" w:code="9"/>
          <w:pgMar w:top="3062" w:right="2268" w:bottom="2552" w:left="2268" w:header="1134" w:footer="1361" w:gutter="0"/>
          <w:cols w:space="708"/>
          <w:bidi/>
          <w:rtlGutter/>
          <w:docGrid w:linePitch="360"/>
        </w:sectPr>
      </w:pPr>
    </w:p>
    <w:p w14:paraId="15E7F4D5" w14:textId="1D762FEF" w:rsidR="00E54FBA" w:rsidRDefault="00770092">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090880" behindDoc="0" locked="0" layoutInCell="1" allowOverlap="1" wp14:anchorId="5A199EF1" wp14:editId="5194733A">
                <wp:simplePos x="0" y="0"/>
                <wp:positionH relativeFrom="column">
                  <wp:posOffset>3093720</wp:posOffset>
                </wp:positionH>
                <wp:positionV relativeFrom="paragraph">
                  <wp:posOffset>7247255</wp:posOffset>
                </wp:positionV>
                <wp:extent cx="2381250" cy="638175"/>
                <wp:effectExtent l="0" t="0" r="0" b="9525"/>
                <wp:wrapNone/>
                <wp:docPr id="3788743" name="Rectangle 3788743"/>
                <wp:cNvGraphicFramePr/>
                <a:graphic xmlns:a="http://schemas.openxmlformats.org/drawingml/2006/main">
                  <a:graphicData uri="http://schemas.microsoft.com/office/word/2010/wordprocessingShape">
                    <wps:wsp>
                      <wps:cNvSpPr/>
                      <wps:spPr>
                        <a:xfrm>
                          <a:off x="0" y="0"/>
                          <a:ext cx="23812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6C7885E" id="Rectangle 3788743" o:spid="_x0000_s1026" style="position:absolute;left:0;text-align:left;margin-left:243.6pt;margin-top:570.65pt;width:187.5pt;height:50.25pt;z-index:25209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" fillcolor="white [3212]" stroked="f" strokeweight="2pt"/>
            </w:pict>
          </mc:Fallback>
        </mc:AlternateContent>
      </w:r>
      <w:r>
        <w:rPr>
          <w:noProof/>
          <w:rtl/>
          <w:lang w:val="he-IL"/>
        </w:rPr>
        <mc:AlternateContent>
          <mc:Choice Requires="wps">
            <w:drawing>
              <wp:anchor distT="0" distB="0" distL="114300" distR="114300" simplePos="0" relativeHeight="252089856" behindDoc="0" locked="0" layoutInCell="1" allowOverlap="1" wp14:anchorId="2198883A" wp14:editId="4B13FD50">
                <wp:simplePos x="0" y="0"/>
                <wp:positionH relativeFrom="column">
                  <wp:posOffset>-1392555</wp:posOffset>
                </wp:positionH>
                <wp:positionV relativeFrom="paragraph">
                  <wp:posOffset>-753745</wp:posOffset>
                </wp:positionV>
                <wp:extent cx="6917690" cy="866775"/>
                <wp:effectExtent l="0" t="0" r="0" b="9525"/>
                <wp:wrapNone/>
                <wp:docPr id="3788742" name="Rectangle 3788742"/>
                <wp:cNvGraphicFramePr/>
                <a:graphic xmlns:a="http://schemas.openxmlformats.org/drawingml/2006/main">
                  <a:graphicData uri="http://schemas.microsoft.com/office/word/2010/wordprocessingShape">
                    <wps:wsp>
                      <wps:cNvSpPr/>
                      <wps:spPr>
                        <a:xfrm>
                          <a:off x="0" y="0"/>
                          <a:ext cx="6917690" cy="86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34B9844" id="Rectangle 3788742" o:spid="_x0000_s1026" style="position:absolute;left:0;text-align:left;margin-left:-109.65pt;margin-top:-59.35pt;width:544.7pt;height:68.2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" fillcolor="white [3212]" stroked="f" strokeweight="2pt"/>
            </w:pict>
          </mc:Fallback>
        </mc:AlternateContent>
      </w:r>
      <w:r w:rsidR="00E54FBA">
        <w:rPr>
          <w:rtl/>
        </w:rPr>
        <w:br w:type="page"/>
      </w:r>
    </w:p>
    <w:p w14:paraId="4DBE3692" w14:textId="49888876" w:rsidR="00AB5FC3" w:rsidRDefault="002C6C7D" w:rsidP="00C246D0">
      <w:pPr>
        <w:pStyle w:val="71316"/>
        <w:rPr>
          <w:rtl/>
        </w:rPr>
      </w:pPr>
      <w:r w:rsidRPr="00C246D0">
        <w:rPr>
          <w:rFonts w:hint="cs"/>
          <w:rtl/>
        </w:rPr>
        <w:lastRenderedPageBreak/>
        <w:t>מ</w:t>
      </w:r>
      <w:r w:rsidR="00116E1B" w:rsidRPr="00C246D0">
        <w:rPr>
          <w:rFonts w:hint="cs"/>
          <w:rtl/>
        </w:rPr>
        <w:t>בוא</w:t>
      </w:r>
    </w:p>
    <w:p w14:paraId="7C2BB38A" w14:textId="77777777" w:rsidR="00735DAF" w:rsidRDefault="00735DAF" w:rsidP="00735DAF">
      <w:pPr>
        <w:pStyle w:val="7190"/>
        <w:rPr>
          <w:rtl/>
        </w:rPr>
      </w:pPr>
      <w:r>
        <w:rPr>
          <w:rFonts w:hint="cs"/>
          <w:rtl/>
        </w:rPr>
        <w:t>הצורך בטיפול במצוקת הדיור נמצא על סדר היום הציבורי. העלייה הניכרת במחירי הדיור במדינה משנת 2008 הכבידה את נטל ההוצאה על משקי הבית, בעיקר מהמעמד החברתי-כלכלי הנמוך וממעמד הביניים, וחוללה משבר בתחום הדיור. מינואר 2008 עד דצמבר 2020</w:t>
      </w:r>
      <w:r>
        <w:rPr>
          <w:rFonts w:hint="cs"/>
          <w:sz w:val="24"/>
          <w:rtl/>
          <w:lang w:eastAsia="he-IL"/>
        </w:rPr>
        <w:t xml:space="preserve"> עלה מדד מחירי הדירות בכ-103% במונחים ריאליים</w:t>
      </w:r>
      <w:r>
        <w:rPr>
          <w:rStyle w:val="a9"/>
          <w:sz w:val="24"/>
          <w:rtl/>
          <w:lang w:eastAsia="he-IL"/>
        </w:rPr>
        <w:footnoteReference w:id="2"/>
      </w:r>
      <w:r>
        <w:rPr>
          <w:rFonts w:hint="cs"/>
          <w:sz w:val="24"/>
          <w:rtl/>
          <w:lang w:eastAsia="he-IL"/>
        </w:rPr>
        <w:t>,</w:t>
      </w:r>
      <w:r>
        <w:rPr>
          <w:rFonts w:hint="cs"/>
          <w:rtl/>
        </w:rPr>
        <w:t xml:space="preserve"> ו</w:t>
      </w:r>
      <w:r>
        <w:rPr>
          <w:rFonts w:hint="cs"/>
          <w:sz w:val="24"/>
          <w:rtl/>
          <w:lang w:eastAsia="he-IL"/>
        </w:rPr>
        <w:t xml:space="preserve">בתוך כך בכ-34% מאוקטובר 2013, המועד שבו החליטה הממשלה על קידום החתימה על הסכמי גג עם הרשויות המקומיות לשם הסרת חסמי שיווק ופיתוח (ראו להלן). </w:t>
      </w:r>
      <w:r>
        <w:rPr>
          <w:rFonts w:hint="cs"/>
          <w:rtl/>
        </w:rPr>
        <w:t>אחד הגורמים לעליית מחירי הדירות הוא מחסור בעשרות אלפי דירות, שנוצר עקב היקפן המצומצם של התחלות בנייה יחסית לגידול שחל במספר משקי הבית</w:t>
      </w:r>
      <w:r>
        <w:rPr>
          <w:rStyle w:val="a9"/>
          <w:rtl/>
        </w:rPr>
        <w:footnoteReference w:id="3"/>
      </w:r>
      <w:r>
        <w:rPr>
          <w:rFonts w:hint="cs"/>
          <w:rtl/>
        </w:rPr>
        <w:t xml:space="preserve">. </w:t>
      </w:r>
    </w:p>
    <w:p w14:paraId="33939EB5" w14:textId="77777777" w:rsidR="00735DAF" w:rsidRDefault="00735DAF" w:rsidP="00735DAF">
      <w:pPr>
        <w:pStyle w:val="7190"/>
        <w:rPr>
          <w:rtl/>
        </w:rPr>
      </w:pPr>
      <w:r>
        <w:rPr>
          <w:rFonts w:hint="cs"/>
          <w:rtl/>
        </w:rPr>
        <w:t>מתוך כוונה לעודד את הרשויות המקומיות לקדם בתחום שיפוטן פיתוח שכונות מגורים חדשות ושיווק של יחידות דיור (להלן - יח"ד) בהיקף נרחב ובקצב מהיר החליטה הממשלה באוקטובר 2013 החלטה שכותרתה "הסכמי גג עם רשויות מקומיות לטובת הסרת חסמי שיווק ופיתוח" (להלן - החלטת הממשלה על הסכמי הגג)</w:t>
      </w:r>
      <w:r>
        <w:rPr>
          <w:rStyle w:val="a9"/>
          <w:rtl/>
        </w:rPr>
        <w:footnoteReference w:id="4"/>
      </w:r>
      <w:r>
        <w:rPr>
          <w:rFonts w:hint="cs"/>
          <w:rtl/>
        </w:rPr>
        <w:t>, שנתנה תוקף להחלטה בנושא של ועדת שרים לענייני תכנון, בנייה מקרקעין ודיור דאז (להלן ועדת השרים הרלוונטית לנושא הדיור - "קבינט הדיור"). בהחלטה נקבע כי על משרד האוצר, משרד הבינוי והשיכון (להלן - משרד הבינוי)</w:t>
      </w:r>
      <w:r>
        <w:rPr>
          <w:rStyle w:val="a9"/>
          <w:rtl/>
        </w:rPr>
        <w:footnoteReference w:id="5"/>
      </w:r>
      <w:r>
        <w:rPr>
          <w:rFonts w:hint="cs"/>
          <w:rtl/>
        </w:rPr>
        <w:t xml:space="preserve"> ורשות מקרקעי ישראל (להלן - רמ"י)</w:t>
      </w:r>
      <w:r>
        <w:rPr>
          <w:rStyle w:val="a9"/>
          <w:rtl/>
        </w:rPr>
        <w:footnoteReference w:id="6"/>
      </w:r>
      <w:r>
        <w:rPr>
          <w:rFonts w:hint="cs"/>
          <w:rtl/>
        </w:rPr>
        <w:t xml:space="preserve"> להתקשר עם רשויות מקומיות בהסכמים לפיתוח ולשיווק של קרקעות למגורים בתחום שיפוטן (להלן - הסכמי גג). מטרת ההחלטה הייתה ליצור "ארגז כלים" המאפשר שיתוף פעולה בין משרדי הממשלה הקשורים לפיתוח תשתיות בנייה למגורים, להסיר חששות ולצמצם אי-ודאות מצד הרשויות המקומיות לגבי פיתוח תשתיות ומבני ציבור החיוניים לאכלוס של יחידות הדיור הנבנות בתחום שיפוטן</w:t>
      </w:r>
      <w:r>
        <w:rPr>
          <w:rStyle w:val="a9"/>
          <w:rtl/>
        </w:rPr>
        <w:footnoteReference w:id="7"/>
      </w:r>
      <w:r>
        <w:rPr>
          <w:rFonts w:hint="cs"/>
          <w:rtl/>
        </w:rPr>
        <w:t xml:space="preserve">. </w:t>
      </w:r>
    </w:p>
    <w:p w14:paraId="413C5D0C" w14:textId="77777777" w:rsidR="00735DAF" w:rsidRDefault="00735DAF" w:rsidP="00735DAF">
      <w:pPr>
        <w:pStyle w:val="7190"/>
        <w:rPr>
          <w:rtl/>
        </w:rPr>
      </w:pPr>
      <w:r>
        <w:rPr>
          <w:rFonts w:hint="cs"/>
          <w:b/>
          <w:sz w:val="24"/>
          <w:rtl/>
        </w:rPr>
        <w:t xml:space="preserve">יצוין בהקשר זה כי הצורך בעידוד הרשויות המקומיות לאפשר שיווק יח"ד בתחום שיפוטן נבע בין היתר ממוטיבציה נמוכה של הרשויות המקומיות לקדם בינוי בהיקף גדול של יח"ד בשטחן. זאת בין היתר משום </w:t>
      </w:r>
      <w:r>
        <w:rPr>
          <w:rFonts w:hint="cs"/>
          <w:sz w:val="24"/>
          <w:rtl/>
        </w:rPr>
        <w:t xml:space="preserve">שסכום הארנונה המוטלת על יח"ד בישראל קטן מסכום הארנונה המוטלת על קרקעות מבני מסחר ותעסוקה באותו השטח, וככלל ההוצאה של הרשות על יח"ד ועל הדיירים המתגוררים בה עקב מימון שירותים מוניציפליים בתחומי החינוך, הרווחה, התרבות, התברואה ועוד </w:t>
      </w:r>
      <w:r>
        <w:rPr>
          <w:rFonts w:hint="cs"/>
          <w:b/>
          <w:sz w:val="24"/>
          <w:rtl/>
        </w:rPr>
        <w:t>גבוהה מההכנסות מארנונה מאותה יח"ד.</w:t>
      </w:r>
      <w:r>
        <w:rPr>
          <w:rFonts w:hint="cs"/>
          <w:rtl/>
        </w:rPr>
        <w:t xml:space="preserve"> </w:t>
      </w:r>
      <w:r>
        <w:rPr>
          <w:rFonts w:hint="cs"/>
          <w:b/>
          <w:sz w:val="24"/>
          <w:rtl/>
        </w:rPr>
        <w:t>דברים אלה כוחם יפה בייחוד לגבי רשויות החתומות על הסכמי הגג בשל הגידול המשמעותי הצפוי במספר התושבים ברשויות אלה בפרק זמן של שנים ספורות.</w:t>
      </w:r>
      <w:r>
        <w:rPr>
          <w:rFonts w:hint="cs"/>
          <w:rtl/>
        </w:rPr>
        <w:t xml:space="preserve"> </w:t>
      </w:r>
    </w:p>
    <w:p w14:paraId="43CA604A" w14:textId="77777777" w:rsidR="00735DAF" w:rsidRDefault="00735DAF" w:rsidP="00735DAF">
      <w:pPr>
        <w:pStyle w:val="7190"/>
        <w:rPr>
          <w:rtl/>
        </w:rPr>
      </w:pPr>
      <w:r>
        <w:rPr>
          <w:rFonts w:hint="cs"/>
          <w:rtl/>
        </w:rPr>
        <w:lastRenderedPageBreak/>
        <w:t>בהחלטת הממשלה על הסכמי הגג נקבעו העקרונות להסכמים: הסכמי הגג ייחתמו עם רשויות מקומיות אשר בתחום שיפוטן חלות תוכניות מפורטות שניתן להוציא מכוחן היתרי בנייה</w:t>
      </w:r>
      <w:r>
        <w:rPr>
          <w:rStyle w:val="a9"/>
          <w:rtl/>
        </w:rPr>
        <w:footnoteReference w:id="8"/>
      </w:r>
      <w:r>
        <w:rPr>
          <w:rFonts w:hint="cs"/>
          <w:rtl/>
        </w:rPr>
        <w:t xml:space="preserve"> בהיקף שלא יפחת מ-5,000 יח"ד, או תוכניות כאמור אשר צפויות להיות מאושרות על ידי מוסדות התכנון המוסמכים לכך בתוך לא יותר מ-18 חודשים ממועד חתימת ההסכם (להלן - תוכניות בשלבי תכנון); הרשות המקומית תתחייב לאפשר שיווק קרקע בתחומה בקצב שיווק שלא יפחת               מ-2,000 יח"ד לשנה (להלן - קצב השיווק) ולהיות ערוכה מקצועית לאשר בקשות להיתרי בנייה בתוך 90 יום ממועד הגשת בקשה</w:t>
      </w:r>
      <w:r>
        <w:rPr>
          <w:rStyle w:val="a9"/>
          <w:rtl/>
        </w:rPr>
        <w:footnoteReference w:id="9"/>
      </w:r>
      <w:r>
        <w:rPr>
          <w:rFonts w:hint="cs"/>
          <w:rtl/>
        </w:rPr>
        <w:t>; עוד נקבעו בהחלטת הממשלה על הסכמי הגג עקרונות למימון וליישום של ההסכמים. בהתאם להחלטת הממשלה, קיבלה מועצת מקרקעי ישראל</w:t>
      </w:r>
      <w:r>
        <w:rPr>
          <w:rStyle w:val="a9"/>
          <w:rtl/>
        </w:rPr>
        <w:footnoteReference w:id="10"/>
      </w:r>
      <w:r>
        <w:rPr>
          <w:rFonts w:hint="cs"/>
          <w:rtl/>
        </w:rPr>
        <w:t xml:space="preserve"> (להלן - המועצה) החלטות בנושא "עקרונות להסכמי גג עם רשויות מקומיות לצורך הסרת חסמי שיווק ופיתוח", לצורך מימוש החלטת הממשלה</w:t>
      </w:r>
      <w:r>
        <w:rPr>
          <w:rStyle w:val="a9"/>
          <w:rtl/>
        </w:rPr>
        <w:footnoteReference w:id="11"/>
      </w:r>
      <w:r>
        <w:rPr>
          <w:rFonts w:hint="cs"/>
          <w:rtl/>
        </w:rPr>
        <w:t>.</w:t>
      </w:r>
    </w:p>
    <w:p w14:paraId="45DCC2EF" w14:textId="77777777" w:rsidR="00735DAF" w:rsidRDefault="00735DAF" w:rsidP="00735DAF">
      <w:pPr>
        <w:pStyle w:val="7190"/>
        <w:rPr>
          <w:rtl/>
        </w:rPr>
      </w:pPr>
      <w:r>
        <w:rPr>
          <w:rFonts w:hint="cs"/>
          <w:rtl/>
        </w:rPr>
        <w:t>נוסף על כך, כדי לעודד רשויות מקומיות לחתום על הסכמי גג קיבלו הממשלה והמועצה החלטות שונות בעניין זה המקנות תקציביים ייעודיים לרשות מקומית החתומה על הסכם גג לגבי שיווק קרקעות שלא במסגרת זו. למשל, לגבי רשויות מקומיות החתומות על הסכמי הגג נקבע כי הן יקבלו מימון מוגדל יחסית לרשויות שאינן חתומות על הסכמי גג לצורך הקמת "מוסדות ציבור רשות", הכוללים מעונות יום, מקוואות, בתי כנסת, אולמות ומגרשי ספורט, מתנ"סים וספריות</w:t>
      </w:r>
      <w:r>
        <w:rPr>
          <w:rStyle w:val="a9"/>
          <w:rtl/>
        </w:rPr>
        <w:footnoteReference w:id="12"/>
      </w:r>
      <w:r>
        <w:rPr>
          <w:rFonts w:hint="cs"/>
          <w:rtl/>
        </w:rPr>
        <w:t xml:space="preserve"> (להלן - מוסדות ציבור) עבור יחה"ד החדשות וכן לצורך שדרוג התשתיות במרקם הישן של היישוב, וזאת מהתקבולים שיתקבלו משיווק הקרקעות לבנייה למגורים בשכונות חדשות (להלן - "ישן מול חדש")</w:t>
      </w:r>
      <w:r>
        <w:rPr>
          <w:rStyle w:val="a9"/>
          <w:rtl/>
        </w:rPr>
        <w:footnoteReference w:id="13"/>
      </w:r>
      <w:r>
        <w:rPr>
          <w:rFonts w:hint="cs"/>
          <w:rtl/>
        </w:rPr>
        <w:t>. כמו כן, בהחלטת ממשלה משנת 2014</w:t>
      </w:r>
      <w:r>
        <w:rPr>
          <w:rStyle w:val="a9"/>
          <w:rtl/>
        </w:rPr>
        <w:footnoteReference w:id="14"/>
      </w:r>
      <w:r>
        <w:rPr>
          <w:rFonts w:hint="cs"/>
          <w:rtl/>
        </w:rPr>
        <w:t xml:space="preserve"> נקבעו לגבי הרשויות החתומות על הסכמי גג תנאים ייחודיים לקבלת מענק בעד הוצאת היתרי בנייה בשטחן. </w:t>
      </w:r>
    </w:p>
    <w:p w14:paraId="412F32AD" w14:textId="77777777" w:rsidR="00735DAF" w:rsidRDefault="00735DAF" w:rsidP="00735DAF">
      <w:pPr>
        <w:pStyle w:val="7190"/>
        <w:rPr>
          <w:rtl/>
        </w:rPr>
      </w:pPr>
      <w:r>
        <w:rPr>
          <w:rFonts w:hint="cs"/>
          <w:rtl/>
        </w:rPr>
        <w:t>מנובמבר 2013 ועד סוף שנת 2020 נחתמו הסכמי גג עם 32 רשויות מקומיות - 20 מהן חתמו על ההסכמים עם רמ"י, ו-12 עם משרד הבינוי, ועל כולם חתום גם החשב הכללי במשרד האוצר (להלן - החשכ"ל), כמורשה חתימה של המדינה. בכל הסכם גג נקבעו בין היתר התוכניות שלגביהן הוא יחול (לבניית יח"ד או לבניית שטחי מסחר ותעסוקה), תשתיות-העל והתשתיות הצמודות</w:t>
      </w:r>
      <w:r>
        <w:rPr>
          <w:rStyle w:val="a9"/>
          <w:rtl/>
        </w:rPr>
        <w:footnoteReference w:id="15"/>
      </w:r>
      <w:r>
        <w:rPr>
          <w:rFonts w:hint="cs"/>
          <w:rtl/>
        </w:rPr>
        <w:t>, מוסדות החינוך</w:t>
      </w:r>
      <w:r>
        <w:rPr>
          <w:rStyle w:val="a9"/>
          <w:rtl/>
        </w:rPr>
        <w:footnoteReference w:id="16"/>
      </w:r>
      <w:r>
        <w:rPr>
          <w:rFonts w:hint="cs"/>
          <w:rtl/>
        </w:rPr>
        <w:t xml:space="preserve"> ומוסדות הציבור הנדרשים לרשות המקומית בראייה כוללת </w:t>
      </w:r>
      <w:r>
        <w:rPr>
          <w:rFonts w:hint="cs"/>
          <w:rtl/>
        </w:rPr>
        <w:lastRenderedPageBreak/>
        <w:t>בעקבות הבנייה המתוכננת במסגרת יישום ההסכם ואומדן העלויות הצפויות להקמת תשתיות-העל. ככלל, בהסכמים התחייבו הרשויות המקומיות לתכנן ולבצע את עבודות הפיתוח ולהקים את מוסדות הציבור והחינוך המפורטים בהסכם</w:t>
      </w:r>
      <w:r>
        <w:rPr>
          <w:rStyle w:val="a9"/>
          <w:rtl/>
        </w:rPr>
        <w:footnoteReference w:id="17"/>
      </w:r>
      <w:r>
        <w:rPr>
          <w:rFonts w:hint="cs"/>
          <w:rtl/>
        </w:rPr>
        <w:t xml:space="preserve">, וכן נקבע בהם סכום העמלה שתקבל הרשות תמורת התכנון והביצוע של עבודות הפיתוח. </w:t>
      </w:r>
    </w:p>
    <w:p w14:paraId="4AB7E73F" w14:textId="77777777" w:rsidR="00735DAF" w:rsidRDefault="00735DAF" w:rsidP="00735DAF">
      <w:pPr>
        <w:pStyle w:val="7190"/>
        <w:rPr>
          <w:rtl/>
          <w:lang w:eastAsia="he-IL"/>
        </w:rPr>
      </w:pPr>
      <w:r>
        <w:rPr>
          <w:rFonts w:hint="cs"/>
          <w:rtl/>
          <w:lang w:eastAsia="he-IL"/>
        </w:rPr>
        <w:t>להלן בלוח 1 יוצגו נתונים לגבי הסכמי הגג שנחתמו עם כמה מהרשויות המקומיות:</w:t>
      </w:r>
    </w:p>
    <w:p w14:paraId="0C2F31E8" w14:textId="77777777" w:rsidR="00735DAF" w:rsidRDefault="00735DAF" w:rsidP="00735DAF">
      <w:pPr>
        <w:pStyle w:val="71b"/>
        <w:rPr>
          <w:rtl/>
          <w:lang w:eastAsia="he-IL"/>
        </w:rPr>
      </w:pPr>
      <w:r w:rsidRPr="004A558E">
        <w:rPr>
          <w:rFonts w:hint="cs"/>
          <w:b w:val="0"/>
          <w:bCs w:val="0"/>
          <w:rtl/>
          <w:lang w:eastAsia="he-IL"/>
        </w:rPr>
        <w:t>לוח 1:</w:t>
      </w:r>
      <w:r>
        <w:rPr>
          <w:rFonts w:hint="cs"/>
          <w:rtl/>
          <w:lang w:eastAsia="he-IL"/>
        </w:rPr>
        <w:t xml:space="preserve"> נתונים עיקריים לגבי הסכמי הגג שנחתמו עם כמה רשויות מקומיות</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28"/>
        <w:gridCol w:w="938"/>
        <w:gridCol w:w="939"/>
        <w:gridCol w:w="939"/>
        <w:gridCol w:w="938"/>
        <w:gridCol w:w="939"/>
        <w:gridCol w:w="939"/>
      </w:tblGrid>
      <w:tr w:rsidR="00735DAF" w:rsidRPr="000E2AC7" w14:paraId="05671FCC" w14:textId="77777777" w:rsidTr="00BC7416">
        <w:trPr>
          <w:tblHeader/>
        </w:trPr>
        <w:tc>
          <w:tcPr>
            <w:tcW w:w="1728" w:type="dxa"/>
            <w:shd w:val="clear" w:color="auto" w:fill="C6DCE4"/>
            <w:hideMark/>
          </w:tcPr>
          <w:p w14:paraId="099A58D7" w14:textId="77777777" w:rsidR="00735DAF" w:rsidRPr="000E2AC7" w:rsidRDefault="00735DAF" w:rsidP="00C76D6F">
            <w:pPr>
              <w:pStyle w:val="71B0"/>
              <w:rPr>
                <w:rtl/>
                <w:lang w:eastAsia="he-IL"/>
              </w:rPr>
            </w:pPr>
            <w:r w:rsidRPr="000E2AC7">
              <w:rPr>
                <w:rFonts w:hint="cs"/>
                <w:rtl/>
                <w:lang w:eastAsia="he-IL"/>
              </w:rPr>
              <w:t>הרשות המקומית</w:t>
            </w:r>
          </w:p>
        </w:tc>
        <w:tc>
          <w:tcPr>
            <w:tcW w:w="938" w:type="dxa"/>
            <w:tcBorders>
              <w:bottom w:val="nil"/>
            </w:tcBorders>
            <w:shd w:val="clear" w:color="auto" w:fill="C6DCE4"/>
            <w:hideMark/>
          </w:tcPr>
          <w:p w14:paraId="4D2C9DE4" w14:textId="78238DCD" w:rsidR="00735DAF" w:rsidRPr="000E2AC7" w:rsidRDefault="00735DAF" w:rsidP="00C76D6F">
            <w:pPr>
              <w:pStyle w:val="71B0"/>
              <w:rPr>
                <w:rtl/>
                <w:lang w:eastAsia="he-IL"/>
              </w:rPr>
            </w:pPr>
            <w:r w:rsidRPr="000E2AC7">
              <w:rPr>
                <w:rFonts w:hint="cs"/>
                <w:rtl/>
                <w:lang w:eastAsia="he-IL"/>
              </w:rPr>
              <w:t>הרצלייה</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22920170" w14:textId="3D94C902" w:rsidR="00735DAF" w:rsidRPr="000E2AC7" w:rsidRDefault="00735DAF" w:rsidP="00C76D6F">
            <w:pPr>
              <w:pStyle w:val="71B0"/>
              <w:rPr>
                <w:rtl/>
                <w:lang w:eastAsia="he-IL"/>
              </w:rPr>
            </w:pPr>
            <w:r w:rsidRPr="000E2AC7">
              <w:rPr>
                <w:rFonts w:hint="cs"/>
                <w:rtl/>
                <w:lang w:eastAsia="he-IL"/>
              </w:rPr>
              <w:t>יבנה</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0659D1DC" w14:textId="0BE3C9EE" w:rsidR="00735DAF" w:rsidRPr="000E2AC7" w:rsidRDefault="00735DAF" w:rsidP="00C76D6F">
            <w:pPr>
              <w:pStyle w:val="71B0"/>
              <w:rPr>
                <w:rtl/>
                <w:lang w:eastAsia="he-IL"/>
              </w:rPr>
            </w:pPr>
            <w:r w:rsidRPr="000E2AC7">
              <w:rPr>
                <w:rFonts w:hint="cs"/>
                <w:rtl/>
                <w:lang w:eastAsia="he-IL"/>
              </w:rPr>
              <w:t>נתניה</w:t>
            </w:r>
            <w:r w:rsidR="00C76D6F">
              <w:rPr>
                <w:rtl/>
                <w:lang w:eastAsia="he-IL"/>
              </w:rPr>
              <w:br/>
            </w:r>
            <w:r w:rsidRPr="000E2AC7">
              <w:rPr>
                <w:rFonts w:hint="cs"/>
                <w:rtl/>
                <w:lang w:eastAsia="he-IL"/>
              </w:rPr>
              <w:t>(רמ"י)</w:t>
            </w:r>
          </w:p>
        </w:tc>
        <w:tc>
          <w:tcPr>
            <w:tcW w:w="938" w:type="dxa"/>
            <w:tcBorders>
              <w:bottom w:val="nil"/>
            </w:tcBorders>
            <w:shd w:val="clear" w:color="auto" w:fill="C6DCE4"/>
            <w:hideMark/>
          </w:tcPr>
          <w:p w14:paraId="7EE6FBB4" w14:textId="20B1CFAA" w:rsidR="00735DAF" w:rsidRPr="000E2AC7" w:rsidRDefault="00735DAF" w:rsidP="00C76D6F">
            <w:pPr>
              <w:pStyle w:val="71B0"/>
              <w:rPr>
                <w:rtl/>
                <w:lang w:eastAsia="he-IL"/>
              </w:rPr>
            </w:pPr>
            <w:r w:rsidRPr="000E2AC7">
              <w:rPr>
                <w:rFonts w:hint="cs"/>
                <w:rtl/>
                <w:lang w:eastAsia="he-IL"/>
              </w:rPr>
              <w:t>נתיבות</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5685A9C2" w14:textId="08A5A638" w:rsidR="00735DAF" w:rsidRPr="000E2AC7" w:rsidRDefault="00735DAF" w:rsidP="00C76D6F">
            <w:pPr>
              <w:pStyle w:val="71B0"/>
              <w:rPr>
                <w:rtl/>
                <w:lang w:eastAsia="he-IL"/>
              </w:rPr>
            </w:pPr>
            <w:r w:rsidRPr="000E2AC7">
              <w:rPr>
                <w:rFonts w:hint="cs"/>
                <w:rtl/>
                <w:lang w:eastAsia="he-IL"/>
              </w:rPr>
              <w:t>קריית ביאליק</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68CFC28A" w14:textId="0141ED75" w:rsidR="00735DAF" w:rsidRPr="000E2AC7" w:rsidRDefault="00735DAF" w:rsidP="00C76D6F">
            <w:pPr>
              <w:pStyle w:val="71B0"/>
              <w:rPr>
                <w:rtl/>
                <w:lang w:eastAsia="he-IL"/>
              </w:rPr>
            </w:pPr>
            <w:r w:rsidRPr="000E2AC7">
              <w:rPr>
                <w:rFonts w:hint="cs"/>
                <w:rtl/>
                <w:lang w:eastAsia="he-IL"/>
              </w:rPr>
              <w:t>ראש העין</w:t>
            </w:r>
            <w:r w:rsidR="00C76D6F">
              <w:rPr>
                <w:rtl/>
                <w:lang w:eastAsia="he-IL"/>
              </w:rPr>
              <w:br/>
            </w:r>
            <w:r w:rsidRPr="000E2AC7">
              <w:rPr>
                <w:rFonts w:hint="cs"/>
                <w:rtl/>
                <w:lang w:eastAsia="he-IL"/>
              </w:rPr>
              <w:t>(משרד הבינוי)</w:t>
            </w:r>
          </w:p>
        </w:tc>
      </w:tr>
      <w:tr w:rsidR="00735DAF" w14:paraId="747B5D8E" w14:textId="77777777" w:rsidTr="00BC7416">
        <w:trPr>
          <w:tblHeader/>
        </w:trPr>
        <w:tc>
          <w:tcPr>
            <w:tcW w:w="1728" w:type="dxa"/>
            <w:shd w:val="clear" w:color="auto" w:fill="C6DCE4"/>
            <w:hideMark/>
          </w:tcPr>
          <w:p w14:paraId="603B8BA8" w14:textId="77777777" w:rsidR="00735DAF" w:rsidRPr="000E2AC7" w:rsidRDefault="00735DAF" w:rsidP="00715E28">
            <w:pPr>
              <w:pStyle w:val="71R"/>
              <w:rPr>
                <w:b/>
                <w:bCs/>
                <w:rtl/>
                <w:lang w:eastAsia="he-IL"/>
              </w:rPr>
            </w:pPr>
            <w:r w:rsidRPr="000E2AC7">
              <w:rPr>
                <w:rFonts w:hint="cs"/>
                <w:b/>
                <w:bCs/>
                <w:rtl/>
                <w:lang w:eastAsia="he-IL"/>
              </w:rPr>
              <w:t>מועד החתימה</w:t>
            </w:r>
          </w:p>
        </w:tc>
        <w:tc>
          <w:tcPr>
            <w:tcW w:w="938" w:type="dxa"/>
            <w:tcBorders>
              <w:bottom w:val="nil"/>
            </w:tcBorders>
            <w:shd w:val="clear" w:color="auto" w:fill="DBE8EE"/>
            <w:hideMark/>
          </w:tcPr>
          <w:p w14:paraId="67698EDC" w14:textId="77777777" w:rsidR="00735DAF" w:rsidRDefault="00735DAF" w:rsidP="00715E28">
            <w:pPr>
              <w:pStyle w:val="71R"/>
              <w:rPr>
                <w:rtl/>
                <w:lang w:eastAsia="he-IL"/>
              </w:rPr>
            </w:pPr>
            <w:r>
              <w:rPr>
                <w:rFonts w:hint="cs"/>
                <w:rtl/>
                <w:lang w:eastAsia="he-IL"/>
              </w:rPr>
              <w:t>ינואר 2016</w:t>
            </w:r>
          </w:p>
        </w:tc>
        <w:tc>
          <w:tcPr>
            <w:tcW w:w="939" w:type="dxa"/>
            <w:tcBorders>
              <w:bottom w:val="nil"/>
            </w:tcBorders>
            <w:shd w:val="clear" w:color="auto" w:fill="DBE8EE"/>
            <w:hideMark/>
          </w:tcPr>
          <w:p w14:paraId="579A7E2A" w14:textId="77777777" w:rsidR="00735DAF" w:rsidRDefault="00735DAF" w:rsidP="00715E28">
            <w:pPr>
              <w:pStyle w:val="71R"/>
              <w:rPr>
                <w:rtl/>
                <w:lang w:eastAsia="he-IL"/>
              </w:rPr>
            </w:pPr>
            <w:r>
              <w:rPr>
                <w:rFonts w:hint="cs"/>
                <w:rtl/>
                <w:lang w:eastAsia="he-IL"/>
              </w:rPr>
              <w:t>אוגוסט 2016</w:t>
            </w:r>
          </w:p>
        </w:tc>
        <w:tc>
          <w:tcPr>
            <w:tcW w:w="939" w:type="dxa"/>
            <w:tcBorders>
              <w:bottom w:val="nil"/>
            </w:tcBorders>
            <w:shd w:val="clear" w:color="auto" w:fill="DBE8EE"/>
            <w:hideMark/>
          </w:tcPr>
          <w:p w14:paraId="5CE6EED8" w14:textId="77777777" w:rsidR="00735DAF" w:rsidRDefault="00735DAF" w:rsidP="00715E28">
            <w:pPr>
              <w:pStyle w:val="71R"/>
              <w:rPr>
                <w:rtl/>
                <w:lang w:eastAsia="he-IL"/>
              </w:rPr>
            </w:pPr>
            <w:r>
              <w:rPr>
                <w:rFonts w:hint="cs"/>
                <w:rtl/>
                <w:lang w:eastAsia="he-IL"/>
              </w:rPr>
              <w:t>אפריל 2016</w:t>
            </w:r>
          </w:p>
        </w:tc>
        <w:tc>
          <w:tcPr>
            <w:tcW w:w="938" w:type="dxa"/>
            <w:tcBorders>
              <w:bottom w:val="nil"/>
            </w:tcBorders>
            <w:shd w:val="clear" w:color="auto" w:fill="DBE8EE"/>
            <w:hideMark/>
          </w:tcPr>
          <w:p w14:paraId="2265A94A" w14:textId="77777777" w:rsidR="00735DAF" w:rsidRDefault="00735DAF" w:rsidP="00715E28">
            <w:pPr>
              <w:pStyle w:val="71R"/>
              <w:rPr>
                <w:rtl/>
                <w:lang w:eastAsia="he-IL"/>
              </w:rPr>
            </w:pPr>
            <w:r>
              <w:rPr>
                <w:rFonts w:hint="cs"/>
                <w:rtl/>
                <w:lang w:eastAsia="he-IL"/>
              </w:rPr>
              <w:t>דצמבר 2017</w:t>
            </w:r>
          </w:p>
        </w:tc>
        <w:tc>
          <w:tcPr>
            <w:tcW w:w="939" w:type="dxa"/>
            <w:tcBorders>
              <w:bottom w:val="nil"/>
            </w:tcBorders>
            <w:shd w:val="clear" w:color="auto" w:fill="DBE8EE"/>
            <w:hideMark/>
          </w:tcPr>
          <w:p w14:paraId="311C470A" w14:textId="77777777" w:rsidR="00735DAF" w:rsidRDefault="00735DAF" w:rsidP="00715E28">
            <w:pPr>
              <w:pStyle w:val="71R"/>
              <w:rPr>
                <w:rtl/>
                <w:lang w:eastAsia="he-IL"/>
              </w:rPr>
            </w:pPr>
            <w:r>
              <w:rPr>
                <w:rFonts w:hint="cs"/>
                <w:rtl/>
                <w:lang w:eastAsia="he-IL"/>
              </w:rPr>
              <w:t>אפריל 2014</w:t>
            </w:r>
          </w:p>
        </w:tc>
        <w:tc>
          <w:tcPr>
            <w:tcW w:w="939" w:type="dxa"/>
            <w:tcBorders>
              <w:bottom w:val="nil"/>
            </w:tcBorders>
            <w:shd w:val="clear" w:color="auto" w:fill="DBE8EE"/>
            <w:hideMark/>
          </w:tcPr>
          <w:p w14:paraId="24DE053B" w14:textId="77777777" w:rsidR="00735DAF" w:rsidRDefault="00735DAF" w:rsidP="00715E28">
            <w:pPr>
              <w:pStyle w:val="71R"/>
              <w:rPr>
                <w:rtl/>
                <w:lang w:eastAsia="he-IL"/>
              </w:rPr>
            </w:pPr>
            <w:r>
              <w:rPr>
                <w:rFonts w:hint="cs"/>
                <w:rtl/>
                <w:lang w:eastAsia="he-IL"/>
              </w:rPr>
              <w:t>פברואר 2014</w:t>
            </w:r>
          </w:p>
        </w:tc>
      </w:tr>
      <w:tr w:rsidR="00735DAF" w14:paraId="18B6E875" w14:textId="77777777" w:rsidTr="00BC7416">
        <w:trPr>
          <w:tblHeader/>
        </w:trPr>
        <w:tc>
          <w:tcPr>
            <w:tcW w:w="1728" w:type="dxa"/>
            <w:shd w:val="clear" w:color="auto" w:fill="C6DCE4"/>
            <w:hideMark/>
          </w:tcPr>
          <w:p w14:paraId="3BC10879" w14:textId="77777777" w:rsidR="00735DAF" w:rsidRPr="000E2AC7" w:rsidRDefault="00735DAF" w:rsidP="00715E28">
            <w:pPr>
              <w:pStyle w:val="71R"/>
              <w:rPr>
                <w:b/>
                <w:bCs/>
                <w:rtl/>
                <w:lang w:eastAsia="he-IL"/>
              </w:rPr>
            </w:pPr>
            <w:r w:rsidRPr="000E2AC7">
              <w:rPr>
                <w:rFonts w:hint="cs"/>
                <w:b/>
                <w:bCs/>
                <w:rtl/>
                <w:lang w:eastAsia="he-IL"/>
              </w:rPr>
              <w:t>מספר יח"ד בהסכם</w:t>
            </w:r>
          </w:p>
        </w:tc>
        <w:tc>
          <w:tcPr>
            <w:tcW w:w="938" w:type="dxa"/>
            <w:tcBorders>
              <w:bottom w:val="nil"/>
            </w:tcBorders>
            <w:shd w:val="clear" w:color="auto" w:fill="ECF4F5"/>
            <w:hideMark/>
          </w:tcPr>
          <w:p w14:paraId="776ED568" w14:textId="77777777" w:rsidR="00735DAF" w:rsidRDefault="00735DAF" w:rsidP="00715E28">
            <w:pPr>
              <w:pStyle w:val="71R"/>
              <w:rPr>
                <w:rtl/>
                <w:lang w:eastAsia="he-IL"/>
              </w:rPr>
            </w:pPr>
            <w:r>
              <w:rPr>
                <w:rFonts w:hint="cs"/>
                <w:rtl/>
                <w:lang w:eastAsia="he-IL"/>
              </w:rPr>
              <w:t>7,443</w:t>
            </w:r>
          </w:p>
        </w:tc>
        <w:tc>
          <w:tcPr>
            <w:tcW w:w="939" w:type="dxa"/>
            <w:tcBorders>
              <w:bottom w:val="nil"/>
            </w:tcBorders>
            <w:shd w:val="clear" w:color="auto" w:fill="ECF4F5"/>
            <w:hideMark/>
          </w:tcPr>
          <w:p w14:paraId="71FDF39C" w14:textId="77777777" w:rsidR="00735DAF" w:rsidRDefault="00735DAF" w:rsidP="00715E28">
            <w:pPr>
              <w:pStyle w:val="71R"/>
              <w:rPr>
                <w:rtl/>
                <w:lang w:eastAsia="he-IL"/>
              </w:rPr>
            </w:pPr>
            <w:r>
              <w:rPr>
                <w:rFonts w:hint="cs"/>
                <w:rtl/>
                <w:lang w:eastAsia="he-IL"/>
              </w:rPr>
              <w:t>12,699</w:t>
            </w:r>
          </w:p>
        </w:tc>
        <w:tc>
          <w:tcPr>
            <w:tcW w:w="939" w:type="dxa"/>
            <w:tcBorders>
              <w:bottom w:val="nil"/>
            </w:tcBorders>
            <w:shd w:val="clear" w:color="auto" w:fill="ECF4F5"/>
            <w:hideMark/>
          </w:tcPr>
          <w:p w14:paraId="36779930" w14:textId="77777777" w:rsidR="00735DAF" w:rsidRDefault="00735DAF" w:rsidP="00715E28">
            <w:pPr>
              <w:pStyle w:val="71R"/>
              <w:rPr>
                <w:rtl/>
                <w:lang w:eastAsia="he-IL"/>
              </w:rPr>
            </w:pPr>
            <w:r>
              <w:rPr>
                <w:rFonts w:hint="cs"/>
                <w:rtl/>
                <w:lang w:eastAsia="he-IL"/>
              </w:rPr>
              <w:t>12,288</w:t>
            </w:r>
          </w:p>
        </w:tc>
        <w:tc>
          <w:tcPr>
            <w:tcW w:w="938" w:type="dxa"/>
            <w:tcBorders>
              <w:bottom w:val="nil"/>
            </w:tcBorders>
            <w:shd w:val="clear" w:color="auto" w:fill="ECF4F5"/>
            <w:hideMark/>
          </w:tcPr>
          <w:p w14:paraId="253CA779" w14:textId="77777777" w:rsidR="00735DAF" w:rsidRDefault="00735DAF" w:rsidP="00715E28">
            <w:pPr>
              <w:pStyle w:val="71R"/>
              <w:rPr>
                <w:rtl/>
                <w:lang w:eastAsia="he-IL"/>
              </w:rPr>
            </w:pPr>
            <w:r>
              <w:rPr>
                <w:rFonts w:hint="cs"/>
                <w:rtl/>
                <w:lang w:eastAsia="he-IL"/>
              </w:rPr>
              <w:t>13,103</w:t>
            </w:r>
          </w:p>
        </w:tc>
        <w:tc>
          <w:tcPr>
            <w:tcW w:w="939" w:type="dxa"/>
            <w:tcBorders>
              <w:bottom w:val="nil"/>
            </w:tcBorders>
            <w:shd w:val="clear" w:color="auto" w:fill="ECF4F5"/>
            <w:hideMark/>
          </w:tcPr>
          <w:p w14:paraId="22F1890D" w14:textId="77777777" w:rsidR="00735DAF" w:rsidRDefault="00735DAF" w:rsidP="00715E28">
            <w:pPr>
              <w:pStyle w:val="71R"/>
              <w:rPr>
                <w:rtl/>
                <w:lang w:eastAsia="he-IL"/>
              </w:rPr>
            </w:pPr>
            <w:r>
              <w:rPr>
                <w:rFonts w:hint="cs"/>
                <w:rtl/>
                <w:lang w:eastAsia="he-IL"/>
              </w:rPr>
              <w:t>7,253</w:t>
            </w:r>
          </w:p>
        </w:tc>
        <w:tc>
          <w:tcPr>
            <w:tcW w:w="939" w:type="dxa"/>
            <w:tcBorders>
              <w:bottom w:val="nil"/>
            </w:tcBorders>
            <w:shd w:val="clear" w:color="auto" w:fill="ECF4F5"/>
            <w:hideMark/>
          </w:tcPr>
          <w:p w14:paraId="27238520" w14:textId="77777777" w:rsidR="00735DAF" w:rsidRDefault="00735DAF" w:rsidP="00715E28">
            <w:pPr>
              <w:pStyle w:val="71R"/>
              <w:rPr>
                <w:rtl/>
                <w:lang w:eastAsia="he-IL"/>
              </w:rPr>
            </w:pPr>
            <w:r>
              <w:rPr>
                <w:rFonts w:hint="cs"/>
                <w:rtl/>
                <w:lang w:eastAsia="he-IL"/>
              </w:rPr>
              <w:t>13,636</w:t>
            </w:r>
          </w:p>
        </w:tc>
      </w:tr>
      <w:tr w:rsidR="00735DAF" w14:paraId="2C370850" w14:textId="77777777" w:rsidTr="00BC7416">
        <w:trPr>
          <w:tblHeader/>
        </w:trPr>
        <w:tc>
          <w:tcPr>
            <w:tcW w:w="1728" w:type="dxa"/>
            <w:shd w:val="clear" w:color="auto" w:fill="C6DCE4"/>
            <w:hideMark/>
          </w:tcPr>
          <w:p w14:paraId="3C007D16" w14:textId="77777777" w:rsidR="00735DAF" w:rsidRPr="000E2AC7" w:rsidRDefault="00735DAF" w:rsidP="00715E28">
            <w:pPr>
              <w:pStyle w:val="71R"/>
              <w:rPr>
                <w:b/>
                <w:bCs/>
                <w:rtl/>
                <w:lang w:eastAsia="he-IL"/>
              </w:rPr>
            </w:pPr>
            <w:r w:rsidRPr="000E2AC7">
              <w:rPr>
                <w:rFonts w:hint="cs"/>
                <w:b/>
                <w:bCs/>
                <w:rtl/>
              </w:rPr>
              <w:t>שיעור הקרקעות למגורים ששווקו בהצלחה (ביח"ד) מתוך הקרקעות שנקבע כי ישווקו בהתאם לקצב השיווק</w:t>
            </w:r>
            <w:r>
              <w:rPr>
                <w:rStyle w:val="a9"/>
                <w:b/>
                <w:bCs/>
                <w:szCs w:val="20"/>
                <w:rtl/>
              </w:rPr>
              <w:footnoteReference w:id="18"/>
            </w:r>
          </w:p>
        </w:tc>
        <w:tc>
          <w:tcPr>
            <w:tcW w:w="938" w:type="dxa"/>
            <w:tcBorders>
              <w:bottom w:val="nil"/>
            </w:tcBorders>
            <w:shd w:val="clear" w:color="auto" w:fill="DBE8EE"/>
            <w:hideMark/>
          </w:tcPr>
          <w:p w14:paraId="79CB91C0" w14:textId="77777777" w:rsidR="00735DAF" w:rsidRDefault="00735DAF" w:rsidP="00715E28">
            <w:pPr>
              <w:pStyle w:val="71R"/>
              <w:rPr>
                <w:rtl/>
                <w:lang w:eastAsia="he-IL"/>
              </w:rPr>
            </w:pPr>
            <w:r>
              <w:rPr>
                <w:rFonts w:hint="cs"/>
                <w:rtl/>
                <w:lang w:eastAsia="he-IL"/>
              </w:rPr>
              <w:t>15%</w:t>
            </w:r>
          </w:p>
        </w:tc>
        <w:tc>
          <w:tcPr>
            <w:tcW w:w="939" w:type="dxa"/>
            <w:tcBorders>
              <w:bottom w:val="nil"/>
            </w:tcBorders>
            <w:shd w:val="clear" w:color="auto" w:fill="DBE8EE"/>
            <w:hideMark/>
          </w:tcPr>
          <w:p w14:paraId="11A36E03" w14:textId="77777777" w:rsidR="00735DAF" w:rsidRDefault="00735DAF" w:rsidP="00715E28">
            <w:pPr>
              <w:pStyle w:val="71R"/>
              <w:rPr>
                <w:rtl/>
                <w:lang w:eastAsia="he-IL"/>
              </w:rPr>
            </w:pPr>
            <w:r>
              <w:rPr>
                <w:rFonts w:hint="cs"/>
                <w:rtl/>
                <w:lang w:eastAsia="he-IL"/>
              </w:rPr>
              <w:t>26%</w:t>
            </w:r>
          </w:p>
        </w:tc>
        <w:tc>
          <w:tcPr>
            <w:tcW w:w="939" w:type="dxa"/>
            <w:tcBorders>
              <w:bottom w:val="nil"/>
            </w:tcBorders>
            <w:shd w:val="clear" w:color="auto" w:fill="DBE8EE"/>
            <w:hideMark/>
          </w:tcPr>
          <w:p w14:paraId="45C014EC" w14:textId="77777777" w:rsidR="00735DAF" w:rsidRDefault="00735DAF" w:rsidP="00715E28">
            <w:pPr>
              <w:pStyle w:val="71R"/>
              <w:rPr>
                <w:rtl/>
                <w:lang w:eastAsia="he-IL"/>
              </w:rPr>
            </w:pPr>
            <w:r>
              <w:rPr>
                <w:rFonts w:hint="cs"/>
                <w:rtl/>
                <w:lang w:eastAsia="he-IL"/>
              </w:rPr>
              <w:t>16%</w:t>
            </w:r>
          </w:p>
        </w:tc>
        <w:tc>
          <w:tcPr>
            <w:tcW w:w="938" w:type="dxa"/>
            <w:tcBorders>
              <w:bottom w:val="nil"/>
            </w:tcBorders>
            <w:shd w:val="clear" w:color="auto" w:fill="DBE8EE"/>
            <w:hideMark/>
          </w:tcPr>
          <w:p w14:paraId="74EF8589" w14:textId="77777777" w:rsidR="00735DAF" w:rsidRDefault="00735DAF" w:rsidP="00715E28">
            <w:pPr>
              <w:pStyle w:val="71R"/>
              <w:rPr>
                <w:rtl/>
                <w:lang w:eastAsia="he-IL"/>
              </w:rPr>
            </w:pPr>
            <w:r>
              <w:rPr>
                <w:rFonts w:hint="cs"/>
                <w:rtl/>
                <w:lang w:eastAsia="he-IL"/>
              </w:rPr>
              <w:t>74%</w:t>
            </w:r>
          </w:p>
        </w:tc>
        <w:tc>
          <w:tcPr>
            <w:tcW w:w="939" w:type="dxa"/>
            <w:tcBorders>
              <w:bottom w:val="nil"/>
            </w:tcBorders>
            <w:shd w:val="clear" w:color="auto" w:fill="DBE8EE"/>
            <w:hideMark/>
          </w:tcPr>
          <w:p w14:paraId="23E2D6E0" w14:textId="77777777" w:rsidR="00735DAF" w:rsidRDefault="00735DAF" w:rsidP="00715E28">
            <w:pPr>
              <w:pStyle w:val="71R"/>
              <w:rPr>
                <w:rtl/>
                <w:lang w:eastAsia="he-IL"/>
              </w:rPr>
            </w:pPr>
            <w:r>
              <w:rPr>
                <w:rFonts w:hint="cs"/>
                <w:rtl/>
                <w:lang w:eastAsia="he-IL"/>
              </w:rPr>
              <w:t>13%</w:t>
            </w:r>
          </w:p>
        </w:tc>
        <w:tc>
          <w:tcPr>
            <w:tcW w:w="939" w:type="dxa"/>
            <w:tcBorders>
              <w:bottom w:val="nil"/>
            </w:tcBorders>
            <w:shd w:val="clear" w:color="auto" w:fill="DBE8EE"/>
            <w:hideMark/>
          </w:tcPr>
          <w:p w14:paraId="505A1DD3" w14:textId="77777777" w:rsidR="00735DAF" w:rsidRDefault="00735DAF" w:rsidP="00715E28">
            <w:pPr>
              <w:pStyle w:val="71R"/>
              <w:rPr>
                <w:rtl/>
                <w:lang w:eastAsia="he-IL"/>
              </w:rPr>
            </w:pPr>
            <w:r>
              <w:rPr>
                <w:rFonts w:hint="cs"/>
                <w:rtl/>
                <w:lang w:eastAsia="he-IL"/>
              </w:rPr>
              <w:t>48%</w:t>
            </w:r>
          </w:p>
        </w:tc>
      </w:tr>
      <w:tr w:rsidR="00735DAF" w14:paraId="0DEF259B" w14:textId="77777777" w:rsidTr="00BC7416">
        <w:trPr>
          <w:tblHeader/>
        </w:trPr>
        <w:tc>
          <w:tcPr>
            <w:tcW w:w="1728" w:type="dxa"/>
            <w:shd w:val="clear" w:color="auto" w:fill="C6DCE4"/>
            <w:hideMark/>
          </w:tcPr>
          <w:p w14:paraId="5646A4AD" w14:textId="77777777" w:rsidR="00735DAF" w:rsidRPr="000E2AC7" w:rsidRDefault="00735DAF" w:rsidP="00715E28">
            <w:pPr>
              <w:pStyle w:val="71R"/>
              <w:rPr>
                <w:b/>
                <w:bCs/>
                <w:rtl/>
                <w:lang w:eastAsia="he-IL"/>
              </w:rPr>
            </w:pPr>
            <w:r w:rsidRPr="000E2AC7">
              <w:rPr>
                <w:rFonts w:hint="cs"/>
                <w:b/>
                <w:bCs/>
                <w:rtl/>
                <w:lang w:eastAsia="he-IL"/>
              </w:rPr>
              <w:t>שטחים למסחר או לתעסוקה בהסכם במ"ר</w:t>
            </w:r>
          </w:p>
        </w:tc>
        <w:tc>
          <w:tcPr>
            <w:tcW w:w="938" w:type="dxa"/>
            <w:tcBorders>
              <w:bottom w:val="nil"/>
            </w:tcBorders>
            <w:shd w:val="clear" w:color="auto" w:fill="ECF4F5"/>
            <w:hideMark/>
          </w:tcPr>
          <w:p w14:paraId="6F2862DA" w14:textId="77777777" w:rsidR="00735DAF" w:rsidRDefault="00735DAF" w:rsidP="00715E28">
            <w:pPr>
              <w:pStyle w:val="71R"/>
              <w:rPr>
                <w:rtl/>
                <w:lang w:eastAsia="he-IL"/>
              </w:rPr>
            </w:pPr>
            <w:r>
              <w:rPr>
                <w:rFonts w:hint="cs"/>
                <w:rtl/>
                <w:lang w:eastAsia="he-IL"/>
              </w:rPr>
              <w:t>277,492</w:t>
            </w:r>
          </w:p>
        </w:tc>
        <w:tc>
          <w:tcPr>
            <w:tcW w:w="939" w:type="dxa"/>
            <w:tcBorders>
              <w:bottom w:val="nil"/>
            </w:tcBorders>
            <w:shd w:val="clear" w:color="auto" w:fill="ECF4F5"/>
            <w:hideMark/>
          </w:tcPr>
          <w:p w14:paraId="7B653582" w14:textId="77777777" w:rsidR="00735DAF" w:rsidRDefault="00735DAF" w:rsidP="00715E28">
            <w:pPr>
              <w:pStyle w:val="71R"/>
              <w:rPr>
                <w:rtl/>
                <w:lang w:eastAsia="he-IL"/>
              </w:rPr>
            </w:pPr>
            <w:r>
              <w:rPr>
                <w:rFonts w:hint="cs"/>
                <w:rtl/>
                <w:lang w:eastAsia="he-IL"/>
              </w:rPr>
              <w:t>331,450</w:t>
            </w:r>
          </w:p>
        </w:tc>
        <w:tc>
          <w:tcPr>
            <w:tcW w:w="939" w:type="dxa"/>
            <w:tcBorders>
              <w:bottom w:val="nil"/>
            </w:tcBorders>
            <w:shd w:val="clear" w:color="auto" w:fill="ECF4F5"/>
            <w:hideMark/>
          </w:tcPr>
          <w:p w14:paraId="74C2C737" w14:textId="77777777" w:rsidR="00735DAF" w:rsidRDefault="00735DAF" w:rsidP="00715E28">
            <w:pPr>
              <w:pStyle w:val="71R"/>
              <w:rPr>
                <w:rtl/>
                <w:lang w:eastAsia="he-IL"/>
              </w:rPr>
            </w:pPr>
            <w:r>
              <w:rPr>
                <w:rFonts w:hint="cs"/>
                <w:rtl/>
                <w:lang w:eastAsia="he-IL"/>
              </w:rPr>
              <w:t>1,778,707</w:t>
            </w:r>
          </w:p>
        </w:tc>
        <w:tc>
          <w:tcPr>
            <w:tcW w:w="938" w:type="dxa"/>
            <w:tcBorders>
              <w:bottom w:val="nil"/>
            </w:tcBorders>
            <w:shd w:val="clear" w:color="auto" w:fill="ECF4F5"/>
            <w:hideMark/>
          </w:tcPr>
          <w:p w14:paraId="6F618715" w14:textId="77777777" w:rsidR="00735DAF" w:rsidRDefault="00735DAF" w:rsidP="00715E28">
            <w:pPr>
              <w:pStyle w:val="71R"/>
              <w:rPr>
                <w:rtl/>
                <w:lang w:eastAsia="he-IL"/>
              </w:rPr>
            </w:pPr>
            <w:r>
              <w:rPr>
                <w:rFonts w:hint="cs"/>
                <w:rtl/>
                <w:lang w:eastAsia="he-IL"/>
              </w:rPr>
              <w:t>86,000</w:t>
            </w:r>
          </w:p>
        </w:tc>
        <w:tc>
          <w:tcPr>
            <w:tcW w:w="939" w:type="dxa"/>
            <w:tcBorders>
              <w:bottom w:val="nil"/>
            </w:tcBorders>
            <w:shd w:val="clear" w:color="auto" w:fill="ECF4F5"/>
            <w:hideMark/>
          </w:tcPr>
          <w:p w14:paraId="0B882572" w14:textId="77777777" w:rsidR="00735DAF" w:rsidRDefault="00735DAF" w:rsidP="00715E28">
            <w:pPr>
              <w:pStyle w:val="71R"/>
              <w:rPr>
                <w:rtl/>
                <w:lang w:eastAsia="he-IL"/>
              </w:rPr>
            </w:pPr>
            <w:r>
              <w:rPr>
                <w:rFonts w:hint="cs"/>
                <w:rtl/>
                <w:lang w:eastAsia="he-IL"/>
              </w:rPr>
              <w:t>14,000</w:t>
            </w:r>
          </w:p>
        </w:tc>
        <w:tc>
          <w:tcPr>
            <w:tcW w:w="939" w:type="dxa"/>
            <w:tcBorders>
              <w:bottom w:val="nil"/>
            </w:tcBorders>
            <w:shd w:val="clear" w:color="auto" w:fill="ECF4F5"/>
            <w:hideMark/>
          </w:tcPr>
          <w:p w14:paraId="011140CA" w14:textId="77777777" w:rsidR="00735DAF" w:rsidRDefault="00735DAF" w:rsidP="00715E28">
            <w:pPr>
              <w:pStyle w:val="71R"/>
              <w:rPr>
                <w:rtl/>
                <w:lang w:eastAsia="he-IL"/>
              </w:rPr>
            </w:pPr>
            <w:r>
              <w:rPr>
                <w:rFonts w:hint="cs"/>
                <w:rtl/>
                <w:lang w:eastAsia="he-IL"/>
              </w:rPr>
              <w:t>13,696</w:t>
            </w:r>
          </w:p>
        </w:tc>
      </w:tr>
      <w:tr w:rsidR="00735DAF" w14:paraId="4CF7D7E0" w14:textId="77777777" w:rsidTr="00BC7416">
        <w:trPr>
          <w:tblHeader/>
        </w:trPr>
        <w:tc>
          <w:tcPr>
            <w:tcW w:w="1728" w:type="dxa"/>
            <w:shd w:val="clear" w:color="auto" w:fill="C6DCE4"/>
            <w:hideMark/>
          </w:tcPr>
          <w:p w14:paraId="2A8262D5" w14:textId="77777777" w:rsidR="00735DAF" w:rsidRPr="000E2AC7" w:rsidRDefault="00735DAF" w:rsidP="00715E28">
            <w:pPr>
              <w:pStyle w:val="71R"/>
              <w:rPr>
                <w:b/>
                <w:bCs/>
                <w:rtl/>
                <w:lang w:eastAsia="he-IL"/>
              </w:rPr>
            </w:pPr>
            <w:r w:rsidRPr="000E2AC7">
              <w:rPr>
                <w:rFonts w:hint="cs"/>
                <w:b/>
                <w:bCs/>
                <w:rtl/>
              </w:rPr>
              <w:t>שיעור השיווק בהצלחה של שטחים למסחר או לתעסוקה</w:t>
            </w:r>
            <w:r w:rsidRPr="000E2AC7">
              <w:rPr>
                <w:rStyle w:val="a9"/>
                <w:b/>
                <w:bCs/>
                <w:szCs w:val="20"/>
                <w:rtl/>
              </w:rPr>
              <w:footnoteReference w:id="19"/>
            </w:r>
          </w:p>
        </w:tc>
        <w:tc>
          <w:tcPr>
            <w:tcW w:w="938" w:type="dxa"/>
            <w:shd w:val="clear" w:color="auto" w:fill="DBE8EE"/>
            <w:hideMark/>
          </w:tcPr>
          <w:p w14:paraId="67165B35" w14:textId="77777777" w:rsidR="00735DAF" w:rsidRDefault="00735DAF" w:rsidP="00715E28">
            <w:pPr>
              <w:pStyle w:val="71R"/>
              <w:rPr>
                <w:rtl/>
                <w:lang w:eastAsia="he-IL"/>
              </w:rPr>
            </w:pPr>
            <w:r>
              <w:rPr>
                <w:rFonts w:hint="cs"/>
                <w:rtl/>
                <w:lang w:eastAsia="he-IL"/>
              </w:rPr>
              <w:t>54%</w:t>
            </w:r>
          </w:p>
        </w:tc>
        <w:tc>
          <w:tcPr>
            <w:tcW w:w="939" w:type="dxa"/>
            <w:shd w:val="clear" w:color="auto" w:fill="DBE8EE"/>
            <w:hideMark/>
          </w:tcPr>
          <w:p w14:paraId="5FB5EFEF" w14:textId="77777777" w:rsidR="00735DAF" w:rsidRDefault="00735DAF" w:rsidP="00715E28">
            <w:pPr>
              <w:pStyle w:val="71R"/>
              <w:rPr>
                <w:rtl/>
                <w:lang w:eastAsia="he-IL"/>
              </w:rPr>
            </w:pPr>
            <w:r>
              <w:rPr>
                <w:rFonts w:hint="cs"/>
                <w:rtl/>
                <w:lang w:eastAsia="he-IL"/>
              </w:rPr>
              <w:t>4%</w:t>
            </w:r>
          </w:p>
        </w:tc>
        <w:tc>
          <w:tcPr>
            <w:tcW w:w="939" w:type="dxa"/>
            <w:shd w:val="clear" w:color="auto" w:fill="DBE8EE"/>
            <w:hideMark/>
          </w:tcPr>
          <w:p w14:paraId="61C286BA" w14:textId="77777777" w:rsidR="00735DAF" w:rsidRDefault="00735DAF" w:rsidP="00715E28">
            <w:pPr>
              <w:pStyle w:val="71R"/>
              <w:rPr>
                <w:rtl/>
                <w:lang w:eastAsia="he-IL"/>
              </w:rPr>
            </w:pPr>
            <w:r>
              <w:rPr>
                <w:rFonts w:hint="cs"/>
                <w:rtl/>
                <w:lang w:eastAsia="he-IL"/>
              </w:rPr>
              <w:t>5%</w:t>
            </w:r>
          </w:p>
        </w:tc>
        <w:tc>
          <w:tcPr>
            <w:tcW w:w="938" w:type="dxa"/>
            <w:shd w:val="clear" w:color="auto" w:fill="DBE8EE"/>
            <w:hideMark/>
          </w:tcPr>
          <w:p w14:paraId="7EB784C7" w14:textId="77777777" w:rsidR="00735DAF" w:rsidRDefault="00735DAF" w:rsidP="00715E28">
            <w:pPr>
              <w:pStyle w:val="71R"/>
              <w:rPr>
                <w:rtl/>
                <w:lang w:eastAsia="he-IL"/>
              </w:rPr>
            </w:pPr>
            <w:r>
              <w:rPr>
                <w:rFonts w:hint="cs"/>
                <w:rtl/>
                <w:lang w:eastAsia="he-IL"/>
              </w:rPr>
              <w:t>25%</w:t>
            </w:r>
          </w:p>
        </w:tc>
        <w:tc>
          <w:tcPr>
            <w:tcW w:w="939" w:type="dxa"/>
            <w:shd w:val="clear" w:color="auto" w:fill="DBE8EE"/>
            <w:hideMark/>
          </w:tcPr>
          <w:p w14:paraId="616DC61E" w14:textId="77777777" w:rsidR="00735DAF" w:rsidRDefault="00735DAF" w:rsidP="00715E28">
            <w:pPr>
              <w:pStyle w:val="71R"/>
              <w:rPr>
                <w:rtl/>
                <w:lang w:eastAsia="he-IL"/>
              </w:rPr>
            </w:pPr>
            <w:r>
              <w:rPr>
                <w:rFonts w:hint="cs"/>
                <w:rtl/>
                <w:lang w:eastAsia="he-IL"/>
              </w:rPr>
              <w:t>29%</w:t>
            </w:r>
          </w:p>
        </w:tc>
        <w:tc>
          <w:tcPr>
            <w:tcW w:w="939" w:type="dxa"/>
            <w:shd w:val="clear" w:color="auto" w:fill="DBE8EE"/>
            <w:hideMark/>
          </w:tcPr>
          <w:p w14:paraId="4B56689B" w14:textId="77777777" w:rsidR="00735DAF" w:rsidRDefault="00735DAF" w:rsidP="00715E28">
            <w:pPr>
              <w:pStyle w:val="71R"/>
              <w:rPr>
                <w:rtl/>
                <w:lang w:eastAsia="he-IL"/>
              </w:rPr>
            </w:pPr>
            <w:r>
              <w:rPr>
                <w:rFonts w:hint="cs"/>
                <w:rtl/>
                <w:lang w:eastAsia="he-IL"/>
              </w:rPr>
              <w:t>0%</w:t>
            </w:r>
          </w:p>
        </w:tc>
      </w:tr>
    </w:tbl>
    <w:p w14:paraId="5B2196D9" w14:textId="77777777" w:rsidR="00735DAF" w:rsidRDefault="00735DAF" w:rsidP="00735DAF">
      <w:pPr>
        <w:rPr>
          <w:rtl/>
        </w:rPr>
      </w:pPr>
    </w:p>
    <w:p w14:paraId="32A4E0F1" w14:textId="77777777" w:rsidR="00735DAF" w:rsidRDefault="00735DAF" w:rsidP="00735DAF">
      <w:pPr>
        <w:rPr>
          <w:rtl/>
        </w:rPr>
      </w:pPr>
    </w:p>
    <w:p w14:paraId="7A565CC8" w14:textId="77777777" w:rsidR="00735DAF" w:rsidRDefault="00735DAF" w:rsidP="00735DAF">
      <w:pPr>
        <w:rPr>
          <w:rtl/>
        </w:rPr>
      </w:pPr>
    </w:p>
    <w:p w14:paraId="5E325FB0" w14:textId="77777777" w:rsidR="00735DAF" w:rsidRDefault="00735DAF" w:rsidP="00735DAF">
      <w:pPr>
        <w:rPr>
          <w:rtl/>
        </w:rPr>
      </w:pPr>
    </w:p>
    <w:p w14:paraId="4D8DC6AB" w14:textId="77777777" w:rsidR="00735DAF" w:rsidRDefault="00735DAF" w:rsidP="00735DAF">
      <w:pPr>
        <w:rPr>
          <w:rtl/>
        </w:rPr>
      </w:pP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28"/>
        <w:gridCol w:w="938"/>
        <w:gridCol w:w="939"/>
        <w:gridCol w:w="939"/>
        <w:gridCol w:w="938"/>
        <w:gridCol w:w="939"/>
        <w:gridCol w:w="939"/>
      </w:tblGrid>
      <w:tr w:rsidR="00735DAF" w:rsidRPr="000E2AC7" w14:paraId="35886ED1" w14:textId="77777777" w:rsidTr="00C76D6F">
        <w:tc>
          <w:tcPr>
            <w:tcW w:w="1728" w:type="dxa"/>
            <w:shd w:val="clear" w:color="auto" w:fill="C6DCE4"/>
            <w:hideMark/>
          </w:tcPr>
          <w:p w14:paraId="530B5EE5" w14:textId="77777777" w:rsidR="00735DAF" w:rsidRPr="000E2AC7" w:rsidRDefault="00735DAF" w:rsidP="00C76D6F">
            <w:pPr>
              <w:pStyle w:val="71B0"/>
              <w:rPr>
                <w:rtl/>
                <w:lang w:eastAsia="he-IL"/>
              </w:rPr>
            </w:pPr>
            <w:r w:rsidRPr="000E2AC7">
              <w:rPr>
                <w:rFonts w:hint="cs"/>
                <w:rtl/>
                <w:lang w:eastAsia="he-IL"/>
              </w:rPr>
              <w:t>הרשות המקומית</w:t>
            </w:r>
          </w:p>
        </w:tc>
        <w:tc>
          <w:tcPr>
            <w:tcW w:w="938" w:type="dxa"/>
            <w:shd w:val="clear" w:color="auto" w:fill="C6DCE4"/>
            <w:hideMark/>
          </w:tcPr>
          <w:p w14:paraId="34CBBE41" w14:textId="6FAE7BB4" w:rsidR="00735DAF" w:rsidRPr="000E2AC7" w:rsidRDefault="00735DAF" w:rsidP="00C76D6F">
            <w:pPr>
              <w:pStyle w:val="71B0"/>
              <w:rPr>
                <w:rtl/>
                <w:lang w:eastAsia="he-IL"/>
              </w:rPr>
            </w:pPr>
            <w:r w:rsidRPr="000E2AC7">
              <w:rPr>
                <w:rFonts w:hint="cs"/>
                <w:rtl/>
                <w:lang w:eastAsia="he-IL"/>
              </w:rPr>
              <w:t>הרצלייה</w:t>
            </w:r>
            <w:r w:rsidR="00C76D6F">
              <w:rPr>
                <w:rtl/>
                <w:lang w:eastAsia="he-IL"/>
              </w:rPr>
              <w:br/>
            </w:r>
            <w:r w:rsidRPr="000E2AC7">
              <w:rPr>
                <w:rFonts w:hint="cs"/>
                <w:rtl/>
                <w:lang w:eastAsia="he-IL"/>
              </w:rPr>
              <w:t>(רמ"י)</w:t>
            </w:r>
          </w:p>
        </w:tc>
        <w:tc>
          <w:tcPr>
            <w:tcW w:w="939" w:type="dxa"/>
            <w:shd w:val="clear" w:color="auto" w:fill="C6DCE4"/>
            <w:hideMark/>
          </w:tcPr>
          <w:p w14:paraId="6B325CE2" w14:textId="2DC2DD16" w:rsidR="00735DAF" w:rsidRPr="000E2AC7" w:rsidRDefault="00735DAF" w:rsidP="00C76D6F">
            <w:pPr>
              <w:pStyle w:val="71B0"/>
              <w:rPr>
                <w:rtl/>
                <w:lang w:eastAsia="he-IL"/>
              </w:rPr>
            </w:pPr>
            <w:r w:rsidRPr="000E2AC7">
              <w:rPr>
                <w:rFonts w:hint="cs"/>
                <w:rtl/>
                <w:lang w:eastAsia="he-IL"/>
              </w:rPr>
              <w:t>יבנה</w:t>
            </w:r>
            <w:r w:rsidR="00C76D6F">
              <w:rPr>
                <w:rtl/>
                <w:lang w:eastAsia="he-IL"/>
              </w:rPr>
              <w:br/>
            </w:r>
            <w:r w:rsidRPr="000E2AC7">
              <w:rPr>
                <w:rFonts w:hint="cs"/>
                <w:rtl/>
                <w:lang w:eastAsia="he-IL"/>
              </w:rPr>
              <w:t>(רמ"י)</w:t>
            </w:r>
          </w:p>
        </w:tc>
        <w:tc>
          <w:tcPr>
            <w:tcW w:w="939" w:type="dxa"/>
            <w:shd w:val="clear" w:color="auto" w:fill="C6DCE4"/>
            <w:hideMark/>
          </w:tcPr>
          <w:p w14:paraId="6A673CA7" w14:textId="0363168C" w:rsidR="00735DAF" w:rsidRPr="000E2AC7" w:rsidRDefault="00735DAF" w:rsidP="00C76D6F">
            <w:pPr>
              <w:pStyle w:val="71B0"/>
              <w:rPr>
                <w:rtl/>
                <w:lang w:eastAsia="he-IL"/>
              </w:rPr>
            </w:pPr>
            <w:r w:rsidRPr="000E2AC7">
              <w:rPr>
                <w:rFonts w:hint="cs"/>
                <w:rtl/>
                <w:lang w:eastAsia="he-IL"/>
              </w:rPr>
              <w:t>נתניה</w:t>
            </w:r>
            <w:r w:rsidR="00C76D6F">
              <w:rPr>
                <w:rtl/>
                <w:lang w:eastAsia="he-IL"/>
              </w:rPr>
              <w:br/>
            </w:r>
            <w:r w:rsidRPr="000E2AC7">
              <w:rPr>
                <w:rFonts w:hint="cs"/>
                <w:rtl/>
                <w:lang w:eastAsia="he-IL"/>
              </w:rPr>
              <w:t>(רמ"י)</w:t>
            </w:r>
          </w:p>
        </w:tc>
        <w:tc>
          <w:tcPr>
            <w:tcW w:w="938" w:type="dxa"/>
            <w:shd w:val="clear" w:color="auto" w:fill="C6DCE4"/>
            <w:hideMark/>
          </w:tcPr>
          <w:p w14:paraId="20D2827E" w14:textId="2F905849" w:rsidR="00735DAF" w:rsidRPr="000E2AC7" w:rsidRDefault="00735DAF" w:rsidP="00C76D6F">
            <w:pPr>
              <w:pStyle w:val="71B0"/>
              <w:rPr>
                <w:rtl/>
                <w:lang w:eastAsia="he-IL"/>
              </w:rPr>
            </w:pPr>
            <w:r w:rsidRPr="000E2AC7">
              <w:rPr>
                <w:rFonts w:hint="cs"/>
                <w:rtl/>
                <w:lang w:eastAsia="he-IL"/>
              </w:rPr>
              <w:t>נתיבות</w:t>
            </w:r>
            <w:r w:rsidR="00C76D6F">
              <w:rPr>
                <w:rtl/>
                <w:lang w:eastAsia="he-IL"/>
              </w:rPr>
              <w:br/>
            </w:r>
            <w:r w:rsidRPr="000E2AC7">
              <w:rPr>
                <w:rFonts w:hint="cs"/>
                <w:rtl/>
                <w:lang w:eastAsia="he-IL"/>
              </w:rPr>
              <w:t>(רמ"י)</w:t>
            </w:r>
          </w:p>
        </w:tc>
        <w:tc>
          <w:tcPr>
            <w:tcW w:w="939" w:type="dxa"/>
            <w:shd w:val="clear" w:color="auto" w:fill="C6DCE4"/>
            <w:hideMark/>
          </w:tcPr>
          <w:p w14:paraId="536B365C" w14:textId="0CABEDBA" w:rsidR="00735DAF" w:rsidRPr="000E2AC7" w:rsidRDefault="00735DAF" w:rsidP="00C76D6F">
            <w:pPr>
              <w:pStyle w:val="71B0"/>
              <w:rPr>
                <w:rtl/>
                <w:lang w:eastAsia="he-IL"/>
              </w:rPr>
            </w:pPr>
            <w:r w:rsidRPr="000E2AC7">
              <w:rPr>
                <w:rFonts w:hint="cs"/>
                <w:rtl/>
                <w:lang w:eastAsia="he-IL"/>
              </w:rPr>
              <w:t>קריית ביאליק</w:t>
            </w:r>
            <w:r w:rsidR="00C76D6F">
              <w:rPr>
                <w:rtl/>
                <w:lang w:eastAsia="he-IL"/>
              </w:rPr>
              <w:br/>
            </w:r>
            <w:r w:rsidRPr="000E2AC7">
              <w:rPr>
                <w:rFonts w:hint="cs"/>
                <w:rtl/>
                <w:lang w:eastAsia="he-IL"/>
              </w:rPr>
              <w:t>(רמ"י)</w:t>
            </w:r>
          </w:p>
        </w:tc>
        <w:tc>
          <w:tcPr>
            <w:tcW w:w="939" w:type="dxa"/>
            <w:shd w:val="clear" w:color="auto" w:fill="C6DCE4"/>
            <w:hideMark/>
          </w:tcPr>
          <w:p w14:paraId="5A20C091" w14:textId="31CDC2F5" w:rsidR="00735DAF" w:rsidRPr="000E2AC7" w:rsidRDefault="00735DAF" w:rsidP="00C76D6F">
            <w:pPr>
              <w:pStyle w:val="71B0"/>
              <w:rPr>
                <w:rtl/>
                <w:lang w:eastAsia="he-IL"/>
              </w:rPr>
            </w:pPr>
            <w:r w:rsidRPr="000E2AC7">
              <w:rPr>
                <w:rFonts w:hint="cs"/>
                <w:rtl/>
                <w:lang w:eastAsia="he-IL"/>
              </w:rPr>
              <w:t>ראש העין</w:t>
            </w:r>
            <w:r w:rsidR="00C76D6F">
              <w:rPr>
                <w:rtl/>
                <w:lang w:eastAsia="he-IL"/>
              </w:rPr>
              <w:br/>
            </w:r>
            <w:r w:rsidRPr="000E2AC7">
              <w:rPr>
                <w:rFonts w:hint="cs"/>
                <w:rtl/>
                <w:lang w:eastAsia="he-IL"/>
              </w:rPr>
              <w:t>(משרד הבינוי)</w:t>
            </w:r>
          </w:p>
        </w:tc>
      </w:tr>
      <w:tr w:rsidR="005833CD" w14:paraId="406346AF" w14:textId="77777777" w:rsidTr="00C76D6F">
        <w:trPr>
          <w:trHeight w:val="1254"/>
          <w:tblHeader/>
        </w:trPr>
        <w:tc>
          <w:tcPr>
            <w:tcW w:w="1728" w:type="dxa"/>
            <w:shd w:val="clear" w:color="auto" w:fill="ECF4F5"/>
          </w:tcPr>
          <w:p w14:paraId="14D9B8C2" w14:textId="551A2FB3" w:rsidR="005833CD" w:rsidRPr="000E2AC7" w:rsidRDefault="005833CD" w:rsidP="00715E28">
            <w:pPr>
              <w:pStyle w:val="71R"/>
              <w:rPr>
                <w:b/>
                <w:bCs/>
                <w:rtl/>
                <w:lang w:eastAsia="he-IL"/>
              </w:rPr>
            </w:pPr>
            <w:r w:rsidRPr="000E2AC7">
              <w:rPr>
                <w:rFonts w:hint="cs"/>
                <w:b/>
                <w:bCs/>
                <w:rtl/>
                <w:lang w:eastAsia="he-IL"/>
              </w:rPr>
              <w:t xml:space="preserve">עלות הפיתוח של תשתיות-העל והתשתיות הצמודות </w:t>
            </w:r>
            <w:r>
              <w:rPr>
                <w:rFonts w:hint="cs"/>
                <w:b/>
                <w:bCs/>
                <w:rtl/>
                <w:lang w:eastAsia="he-IL"/>
              </w:rPr>
              <w:t xml:space="preserve">            </w:t>
            </w:r>
            <w:r w:rsidRPr="000E2AC7">
              <w:rPr>
                <w:rFonts w:hint="cs"/>
                <w:b/>
                <w:bCs/>
                <w:rtl/>
                <w:lang w:eastAsia="he-IL"/>
              </w:rPr>
              <w:t>(במיליוני ש"ח)</w:t>
            </w:r>
          </w:p>
        </w:tc>
        <w:tc>
          <w:tcPr>
            <w:tcW w:w="938" w:type="dxa"/>
            <w:shd w:val="clear" w:color="auto" w:fill="ECF4F5"/>
          </w:tcPr>
          <w:p w14:paraId="7F91A67E" w14:textId="4B53C2B7" w:rsidR="005833CD" w:rsidRDefault="005833CD" w:rsidP="00715E28">
            <w:pPr>
              <w:pStyle w:val="71R"/>
              <w:rPr>
                <w:rtl/>
                <w:lang w:eastAsia="he-IL"/>
              </w:rPr>
            </w:pPr>
            <w:r>
              <w:rPr>
                <w:rFonts w:hint="cs"/>
                <w:rtl/>
                <w:lang w:eastAsia="he-IL"/>
              </w:rPr>
              <w:t>1,078</w:t>
            </w:r>
          </w:p>
        </w:tc>
        <w:tc>
          <w:tcPr>
            <w:tcW w:w="939" w:type="dxa"/>
            <w:shd w:val="clear" w:color="auto" w:fill="ECF4F5"/>
          </w:tcPr>
          <w:p w14:paraId="11AD1C93" w14:textId="6761D05A" w:rsidR="005833CD" w:rsidRDefault="005833CD" w:rsidP="00715E28">
            <w:pPr>
              <w:pStyle w:val="71R"/>
              <w:rPr>
                <w:rtl/>
                <w:lang w:eastAsia="he-IL"/>
              </w:rPr>
            </w:pPr>
            <w:r>
              <w:rPr>
                <w:rFonts w:hint="cs"/>
                <w:rtl/>
                <w:lang w:eastAsia="he-IL"/>
              </w:rPr>
              <w:t>1,905</w:t>
            </w:r>
          </w:p>
        </w:tc>
        <w:tc>
          <w:tcPr>
            <w:tcW w:w="939" w:type="dxa"/>
            <w:shd w:val="clear" w:color="auto" w:fill="ECF4F5"/>
          </w:tcPr>
          <w:p w14:paraId="392DDCFD" w14:textId="2E82FFC9" w:rsidR="005833CD" w:rsidRDefault="005833CD" w:rsidP="00715E28">
            <w:pPr>
              <w:pStyle w:val="71R"/>
              <w:rPr>
                <w:rtl/>
                <w:lang w:eastAsia="he-IL"/>
              </w:rPr>
            </w:pPr>
            <w:r>
              <w:rPr>
                <w:rFonts w:hint="cs"/>
                <w:rtl/>
                <w:lang w:eastAsia="he-IL"/>
              </w:rPr>
              <w:t>1,843</w:t>
            </w:r>
          </w:p>
        </w:tc>
        <w:tc>
          <w:tcPr>
            <w:tcW w:w="938" w:type="dxa"/>
            <w:shd w:val="clear" w:color="auto" w:fill="ECF4F5"/>
          </w:tcPr>
          <w:p w14:paraId="2F83A87C" w14:textId="729B9BDB" w:rsidR="005833CD" w:rsidRDefault="005833CD" w:rsidP="00715E28">
            <w:pPr>
              <w:pStyle w:val="71R"/>
              <w:rPr>
                <w:rtl/>
                <w:lang w:eastAsia="he-IL"/>
              </w:rPr>
            </w:pPr>
            <w:r>
              <w:rPr>
                <w:rFonts w:hint="cs"/>
                <w:rtl/>
                <w:lang w:eastAsia="he-IL"/>
              </w:rPr>
              <w:t>1,965</w:t>
            </w:r>
          </w:p>
        </w:tc>
        <w:tc>
          <w:tcPr>
            <w:tcW w:w="939" w:type="dxa"/>
            <w:shd w:val="clear" w:color="auto" w:fill="ECF4F5"/>
          </w:tcPr>
          <w:p w14:paraId="68E356F7" w14:textId="56B71898" w:rsidR="005833CD" w:rsidRDefault="005833CD" w:rsidP="00715E28">
            <w:pPr>
              <w:pStyle w:val="71R"/>
              <w:rPr>
                <w:rtl/>
                <w:lang w:eastAsia="he-IL"/>
              </w:rPr>
            </w:pPr>
            <w:r>
              <w:rPr>
                <w:rFonts w:hint="cs"/>
                <w:rtl/>
                <w:lang w:eastAsia="he-IL"/>
              </w:rPr>
              <w:t>1,155</w:t>
            </w:r>
          </w:p>
        </w:tc>
        <w:tc>
          <w:tcPr>
            <w:tcW w:w="939" w:type="dxa"/>
            <w:shd w:val="clear" w:color="auto" w:fill="ECF4F5"/>
          </w:tcPr>
          <w:p w14:paraId="748C2B3A" w14:textId="493758C2" w:rsidR="005833CD" w:rsidRDefault="005833CD" w:rsidP="00715E28">
            <w:pPr>
              <w:pStyle w:val="71R"/>
              <w:rPr>
                <w:rtl/>
                <w:lang w:eastAsia="he-IL"/>
              </w:rPr>
            </w:pPr>
            <w:r>
              <w:rPr>
                <w:rFonts w:hint="cs"/>
                <w:rtl/>
                <w:lang w:eastAsia="he-IL"/>
              </w:rPr>
              <w:t>3,198</w:t>
            </w:r>
          </w:p>
        </w:tc>
      </w:tr>
      <w:tr w:rsidR="00735DAF" w14:paraId="7A90B27E" w14:textId="77777777" w:rsidTr="00C76D6F">
        <w:trPr>
          <w:trHeight w:val="1254"/>
          <w:tblHeader/>
        </w:trPr>
        <w:tc>
          <w:tcPr>
            <w:tcW w:w="1728" w:type="dxa"/>
            <w:shd w:val="clear" w:color="auto" w:fill="C6DCE4"/>
            <w:hideMark/>
          </w:tcPr>
          <w:p w14:paraId="5A33A433" w14:textId="77777777" w:rsidR="00735DAF" w:rsidRPr="000E2AC7" w:rsidRDefault="00735DAF" w:rsidP="00715E28">
            <w:pPr>
              <w:pStyle w:val="71R"/>
              <w:rPr>
                <w:b/>
                <w:bCs/>
                <w:rtl/>
                <w:lang w:eastAsia="he-IL"/>
              </w:rPr>
            </w:pPr>
            <w:r w:rsidRPr="000E2AC7">
              <w:rPr>
                <w:rFonts w:hint="cs"/>
                <w:b/>
                <w:bCs/>
                <w:rtl/>
                <w:lang w:eastAsia="he-IL"/>
              </w:rPr>
              <w:t>תשתיות-על עיקריות הכלולות בהסכם</w:t>
            </w:r>
          </w:p>
        </w:tc>
        <w:tc>
          <w:tcPr>
            <w:tcW w:w="938" w:type="dxa"/>
            <w:shd w:val="clear" w:color="auto" w:fill="DBE8EE"/>
            <w:hideMark/>
          </w:tcPr>
          <w:p w14:paraId="0A2F2181" w14:textId="77777777" w:rsidR="00735DAF" w:rsidRDefault="00735DAF" w:rsidP="00715E28">
            <w:pPr>
              <w:pStyle w:val="71R"/>
              <w:rPr>
                <w:rtl/>
                <w:lang w:eastAsia="he-IL"/>
              </w:rPr>
            </w:pPr>
            <w:r>
              <w:rPr>
                <w:rFonts w:hint="cs"/>
                <w:rtl/>
                <w:lang w:eastAsia="he-IL"/>
              </w:rPr>
              <w:t>בניית מחלפים וגשרים ופיתוח פארק רובעי</w:t>
            </w:r>
          </w:p>
        </w:tc>
        <w:tc>
          <w:tcPr>
            <w:tcW w:w="939" w:type="dxa"/>
            <w:shd w:val="clear" w:color="auto" w:fill="DBE8EE"/>
            <w:hideMark/>
          </w:tcPr>
          <w:p w14:paraId="4D2517B2" w14:textId="77777777" w:rsidR="00735DAF" w:rsidRDefault="00735DAF" w:rsidP="00715E28">
            <w:pPr>
              <w:pStyle w:val="71R"/>
              <w:rPr>
                <w:rtl/>
                <w:lang w:eastAsia="he-IL"/>
              </w:rPr>
            </w:pPr>
            <w:r>
              <w:rPr>
                <w:rFonts w:hint="cs"/>
                <w:rtl/>
                <w:lang w:eastAsia="he-IL"/>
              </w:rPr>
              <w:t>בניית מחלף, שיקוע מסילת רכבת, שדרוג כבישים</w:t>
            </w:r>
          </w:p>
        </w:tc>
        <w:tc>
          <w:tcPr>
            <w:tcW w:w="939" w:type="dxa"/>
            <w:shd w:val="clear" w:color="auto" w:fill="DBE8EE"/>
            <w:hideMark/>
          </w:tcPr>
          <w:p w14:paraId="230AEC98" w14:textId="77777777" w:rsidR="00735DAF" w:rsidRDefault="00735DAF" w:rsidP="00715E28">
            <w:pPr>
              <w:pStyle w:val="71R"/>
              <w:rPr>
                <w:rtl/>
                <w:lang w:eastAsia="he-IL"/>
              </w:rPr>
            </w:pPr>
            <w:r>
              <w:rPr>
                <w:rFonts w:hint="cs"/>
                <w:rtl/>
                <w:lang w:eastAsia="he-IL"/>
              </w:rPr>
              <w:t>בניית גשר, מעבר משוקע, בניית רמפות, סלילת כביש עוקף נתניה</w:t>
            </w:r>
          </w:p>
        </w:tc>
        <w:tc>
          <w:tcPr>
            <w:tcW w:w="938" w:type="dxa"/>
            <w:shd w:val="clear" w:color="auto" w:fill="DBE8EE"/>
            <w:hideMark/>
          </w:tcPr>
          <w:p w14:paraId="75235064" w14:textId="77777777" w:rsidR="00735DAF" w:rsidRDefault="00735DAF" w:rsidP="00715E28">
            <w:pPr>
              <w:pStyle w:val="71R"/>
              <w:rPr>
                <w:rtl/>
                <w:lang w:eastAsia="he-IL"/>
              </w:rPr>
            </w:pPr>
            <w:r>
              <w:rPr>
                <w:rFonts w:hint="cs"/>
                <w:rtl/>
                <w:lang w:eastAsia="he-IL"/>
              </w:rPr>
              <w:t>הסדרת כניסה נוספת לעיר, סלילת כבישים</w:t>
            </w:r>
          </w:p>
        </w:tc>
        <w:tc>
          <w:tcPr>
            <w:tcW w:w="939" w:type="dxa"/>
            <w:shd w:val="clear" w:color="auto" w:fill="DBE8EE"/>
            <w:hideMark/>
          </w:tcPr>
          <w:p w14:paraId="66D00FFA" w14:textId="77777777" w:rsidR="00735DAF" w:rsidRDefault="00735DAF" w:rsidP="00715E28">
            <w:pPr>
              <w:pStyle w:val="71R"/>
              <w:rPr>
                <w:rtl/>
                <w:lang w:eastAsia="he-IL"/>
              </w:rPr>
            </w:pPr>
            <w:r>
              <w:rPr>
                <w:rFonts w:hint="cs"/>
                <w:rtl/>
                <w:lang w:eastAsia="he-IL"/>
              </w:rPr>
              <w:t>הקמת מחלף, הטמנת קווי מתח עליון וגבוה, הקמת מתקן טיהור שפכים, הסטת נחל נעמן</w:t>
            </w:r>
          </w:p>
        </w:tc>
        <w:tc>
          <w:tcPr>
            <w:tcW w:w="939" w:type="dxa"/>
            <w:shd w:val="clear" w:color="auto" w:fill="DBE8EE"/>
            <w:hideMark/>
          </w:tcPr>
          <w:p w14:paraId="5701C934" w14:textId="77777777" w:rsidR="00735DAF" w:rsidRDefault="00735DAF" w:rsidP="00715E28">
            <w:pPr>
              <w:pStyle w:val="71R"/>
              <w:rPr>
                <w:rtl/>
                <w:lang w:eastAsia="he-IL"/>
              </w:rPr>
            </w:pPr>
            <w:r>
              <w:rPr>
                <w:rFonts w:hint="cs"/>
                <w:rtl/>
                <w:lang w:eastAsia="he-IL"/>
              </w:rPr>
              <w:t>סלילת כבישים ומעברים תת-קרקעיים, פיתוח פארק</w:t>
            </w:r>
          </w:p>
        </w:tc>
      </w:tr>
    </w:tbl>
    <w:p w14:paraId="1C1C8D7A" w14:textId="77777777" w:rsidR="00735DAF" w:rsidRDefault="00735DAF" w:rsidP="00735DAF">
      <w:pPr>
        <w:pStyle w:val="71d"/>
        <w:rPr>
          <w:rtl/>
          <w:lang w:eastAsia="he-IL"/>
        </w:rPr>
      </w:pPr>
      <w:r>
        <w:rPr>
          <w:rFonts w:hint="cs"/>
          <w:rtl/>
          <w:lang w:eastAsia="he-IL"/>
        </w:rPr>
        <w:t>על פי נתוני רמ"י ומשרד הבינוי בעיבוד משרד מבקר המדינה</w:t>
      </w:r>
    </w:p>
    <w:p w14:paraId="0E6C44FC" w14:textId="77777777" w:rsidR="00735DAF" w:rsidRDefault="00735DAF" w:rsidP="00735DAF">
      <w:pPr>
        <w:pStyle w:val="7190"/>
        <w:rPr>
          <w:rtl/>
        </w:rPr>
      </w:pPr>
      <w:r>
        <w:rPr>
          <w:rFonts w:hint="cs"/>
          <w:rtl/>
        </w:rPr>
        <w:t>כאמור, הממשלה עדכנה מפעם לפעם את ההחלטה על הסכמי הגג. בכלל זה, בין היתר, עדכנה הממשלה את היעד למספר יח"ד שייכללו בתוכניות הכלולות בהסכמי הגג. לפי העדכון האחרון מינואר 2020 הוא הסתכם ב-475,000 יח"ד שייכללו בהסכמים שייחתמו עד סוף שנת 2020</w:t>
      </w:r>
      <w:r>
        <w:rPr>
          <w:rStyle w:val="a9"/>
          <w:rtl/>
        </w:rPr>
        <w:footnoteReference w:id="20"/>
      </w:r>
      <w:r>
        <w:rPr>
          <w:rFonts w:hint="cs"/>
          <w:rtl/>
        </w:rPr>
        <w:t>. להלן במפה 1 יוצגו היישובים שלגביהם נחתם הסכם גג ומס' יח"ד שבתוכניות בכל הסכם:</w:t>
      </w:r>
    </w:p>
    <w:p w14:paraId="6A9F2BD8" w14:textId="77777777" w:rsidR="00735DAF" w:rsidRDefault="00735DAF" w:rsidP="00735DAF">
      <w:pPr>
        <w:bidi w:val="0"/>
        <w:spacing w:after="200" w:line="276" w:lineRule="auto"/>
        <w:rPr>
          <w:rFonts w:ascii="Tahoma" w:eastAsiaTheme="minorEastAsia" w:hAnsi="Tahoma" w:cs="Tahoma"/>
          <w:b/>
          <w:bCs/>
          <w:color w:val="0D0D0D" w:themeColor="text1" w:themeTint="F2"/>
          <w:szCs w:val="20"/>
          <w:rtl/>
        </w:rPr>
      </w:pPr>
      <w:r>
        <w:rPr>
          <w:rtl/>
        </w:rPr>
        <w:br w:type="page"/>
      </w:r>
    </w:p>
    <w:p w14:paraId="7761F56D" w14:textId="77777777" w:rsidR="00735DAF" w:rsidRDefault="00735DAF" w:rsidP="00735DAF">
      <w:pPr>
        <w:pStyle w:val="71b"/>
        <w:rPr>
          <w:rtl/>
        </w:rPr>
      </w:pPr>
      <w:r>
        <w:rPr>
          <w:noProof/>
        </w:rPr>
        <w:lastRenderedPageBreak/>
        <w:drawing>
          <wp:anchor distT="0" distB="0" distL="114300" distR="114300" simplePos="0" relativeHeight="252098048" behindDoc="0" locked="0" layoutInCell="1" allowOverlap="1" wp14:anchorId="61C60994" wp14:editId="056A63FC">
            <wp:simplePos x="0" y="0"/>
            <wp:positionH relativeFrom="column">
              <wp:posOffset>394335</wp:posOffset>
            </wp:positionH>
            <wp:positionV relativeFrom="paragraph">
              <wp:posOffset>358775</wp:posOffset>
            </wp:positionV>
            <wp:extent cx="3888000" cy="5863146"/>
            <wp:effectExtent l="0" t="0" r="0" b="4445"/>
            <wp:wrapSquare wrapText="bothSides"/>
            <wp:docPr id="3788746" name="תמונה 61" descr="ISAM-MA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8532" name="תמונה 10" descr="ISAM-MAP LOCATION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888000" cy="586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58E">
        <w:rPr>
          <w:rFonts w:hint="cs"/>
          <w:b w:val="0"/>
          <w:bCs w:val="0"/>
          <w:rtl/>
        </w:rPr>
        <w:t>מפה 1:</w:t>
      </w:r>
      <w:r>
        <w:rPr>
          <w:rFonts w:hint="cs"/>
          <w:rtl/>
        </w:rPr>
        <w:t xml:space="preserve"> יישובים שלגביהם נחתם הסכם גג ומס' יח"ד שבתוכניות                          בכל הסכם</w:t>
      </w:r>
      <w:r>
        <w:rPr>
          <w:rStyle w:val="a9"/>
          <w:rtl/>
        </w:rPr>
        <w:footnoteReference w:id="21"/>
      </w:r>
      <w:r>
        <w:rPr>
          <w:rFonts w:hint="cs"/>
          <w:rtl/>
        </w:rPr>
        <w:t xml:space="preserve"> </w:t>
      </w:r>
    </w:p>
    <w:p w14:paraId="04114F63" w14:textId="77777777" w:rsidR="00735DAF" w:rsidRDefault="00735DAF" w:rsidP="00735DAF">
      <w:pPr>
        <w:pStyle w:val="71b"/>
        <w:rPr>
          <w:rtl/>
        </w:rPr>
      </w:pPr>
    </w:p>
    <w:p w14:paraId="271F34F3" w14:textId="77777777" w:rsidR="00735DAF" w:rsidRDefault="00735DAF" w:rsidP="00735DAF">
      <w:pPr>
        <w:pStyle w:val="71b"/>
        <w:rPr>
          <w:rtl/>
        </w:rPr>
      </w:pPr>
    </w:p>
    <w:p w14:paraId="733F19A7" w14:textId="77777777" w:rsidR="00735DAF" w:rsidRDefault="00735DAF" w:rsidP="00735DAF">
      <w:pPr>
        <w:pStyle w:val="71b"/>
        <w:rPr>
          <w:rtl/>
        </w:rPr>
      </w:pPr>
    </w:p>
    <w:p w14:paraId="56C81187" w14:textId="77777777" w:rsidR="00735DAF" w:rsidRDefault="00735DAF" w:rsidP="00735DAF">
      <w:pPr>
        <w:pStyle w:val="71b"/>
        <w:rPr>
          <w:rtl/>
        </w:rPr>
      </w:pPr>
    </w:p>
    <w:p w14:paraId="54555D9B" w14:textId="77777777" w:rsidR="00735DAF" w:rsidRDefault="00735DAF" w:rsidP="00735DAF">
      <w:pPr>
        <w:pStyle w:val="71b"/>
        <w:rPr>
          <w:rtl/>
        </w:rPr>
      </w:pPr>
    </w:p>
    <w:p w14:paraId="69F4DCEC" w14:textId="77777777" w:rsidR="00735DAF" w:rsidRDefault="00735DAF" w:rsidP="00735DAF">
      <w:pPr>
        <w:pStyle w:val="71b"/>
        <w:rPr>
          <w:rtl/>
        </w:rPr>
      </w:pPr>
    </w:p>
    <w:p w14:paraId="71CC2CDD" w14:textId="77777777" w:rsidR="00735DAF" w:rsidRDefault="00735DAF" w:rsidP="00735DAF">
      <w:pPr>
        <w:pStyle w:val="71b"/>
        <w:rPr>
          <w:rtl/>
        </w:rPr>
      </w:pPr>
    </w:p>
    <w:p w14:paraId="40E2000A" w14:textId="77777777" w:rsidR="00735DAF" w:rsidRDefault="00735DAF" w:rsidP="00735DAF">
      <w:pPr>
        <w:pStyle w:val="71b"/>
        <w:rPr>
          <w:rtl/>
        </w:rPr>
      </w:pPr>
    </w:p>
    <w:p w14:paraId="39284CE2" w14:textId="77777777" w:rsidR="00735DAF" w:rsidRDefault="00735DAF" w:rsidP="00735DAF">
      <w:pPr>
        <w:pStyle w:val="71b"/>
        <w:rPr>
          <w:rtl/>
        </w:rPr>
      </w:pPr>
    </w:p>
    <w:p w14:paraId="5A1A5E5B" w14:textId="77777777" w:rsidR="00735DAF" w:rsidRDefault="00735DAF" w:rsidP="00735DAF">
      <w:pPr>
        <w:pStyle w:val="71b"/>
        <w:rPr>
          <w:rtl/>
        </w:rPr>
      </w:pPr>
    </w:p>
    <w:p w14:paraId="40A2A43F" w14:textId="77777777" w:rsidR="00735DAF" w:rsidRDefault="00735DAF" w:rsidP="00735DAF">
      <w:pPr>
        <w:pStyle w:val="71b"/>
        <w:rPr>
          <w:rtl/>
        </w:rPr>
      </w:pPr>
    </w:p>
    <w:p w14:paraId="3A83E0E6" w14:textId="77777777" w:rsidR="00735DAF" w:rsidRDefault="00735DAF" w:rsidP="00735DAF">
      <w:pPr>
        <w:pStyle w:val="71b"/>
        <w:rPr>
          <w:rtl/>
        </w:rPr>
      </w:pPr>
    </w:p>
    <w:p w14:paraId="7057B37D" w14:textId="77777777" w:rsidR="00735DAF" w:rsidRDefault="00735DAF" w:rsidP="00735DAF">
      <w:pPr>
        <w:pStyle w:val="71b"/>
        <w:rPr>
          <w:rtl/>
        </w:rPr>
      </w:pPr>
    </w:p>
    <w:p w14:paraId="6F8DBDBD" w14:textId="77777777" w:rsidR="00735DAF" w:rsidRDefault="00735DAF" w:rsidP="00735DAF">
      <w:pPr>
        <w:pStyle w:val="71b"/>
        <w:rPr>
          <w:rtl/>
        </w:rPr>
      </w:pPr>
    </w:p>
    <w:p w14:paraId="2BB4FB44" w14:textId="77777777" w:rsidR="00735DAF" w:rsidRDefault="00735DAF" w:rsidP="00735DAF">
      <w:pPr>
        <w:pStyle w:val="71b"/>
        <w:rPr>
          <w:rtl/>
        </w:rPr>
      </w:pPr>
    </w:p>
    <w:p w14:paraId="59182011" w14:textId="77777777" w:rsidR="00735DAF" w:rsidRDefault="00735DAF" w:rsidP="00735DAF">
      <w:pPr>
        <w:pStyle w:val="71b"/>
        <w:rPr>
          <w:rtl/>
        </w:rPr>
      </w:pPr>
    </w:p>
    <w:p w14:paraId="0D930724" w14:textId="77777777" w:rsidR="00735DAF" w:rsidRDefault="00735DAF" w:rsidP="00735DAF">
      <w:pPr>
        <w:pStyle w:val="71b"/>
        <w:rPr>
          <w:rtl/>
        </w:rPr>
      </w:pPr>
    </w:p>
    <w:p w14:paraId="5C85B72F" w14:textId="77777777" w:rsidR="00735DAF" w:rsidRDefault="00735DAF" w:rsidP="00735DAF">
      <w:pPr>
        <w:pStyle w:val="71b"/>
        <w:rPr>
          <w:rtl/>
        </w:rPr>
      </w:pPr>
    </w:p>
    <w:p w14:paraId="10D16E61" w14:textId="77777777" w:rsidR="00735DAF" w:rsidRDefault="00735DAF" w:rsidP="00735DAF">
      <w:pPr>
        <w:pStyle w:val="71d"/>
        <w:spacing w:after="0"/>
        <w:rPr>
          <w:rtl/>
        </w:rPr>
      </w:pPr>
    </w:p>
    <w:p w14:paraId="4D842CB8" w14:textId="77777777" w:rsidR="00735DAF" w:rsidRPr="004D2395" w:rsidRDefault="00735DAF" w:rsidP="00735DAF">
      <w:pPr>
        <w:pStyle w:val="71d"/>
        <w:spacing w:after="0"/>
        <w:rPr>
          <w:rtl/>
        </w:rPr>
      </w:pPr>
      <w:r>
        <w:rPr>
          <w:rFonts w:hint="cs"/>
          <w:rtl/>
        </w:rPr>
        <w:t>ע</w:t>
      </w:r>
      <w:r w:rsidRPr="008F0A7B">
        <w:rPr>
          <w:rFonts w:hint="eastAsia"/>
          <w:rtl/>
        </w:rPr>
        <w:t>ל</w:t>
      </w:r>
      <w:r w:rsidRPr="008F0A7B">
        <w:rPr>
          <w:rtl/>
        </w:rPr>
        <w:t xml:space="preserve"> פי נתוני </w:t>
      </w:r>
      <w:r w:rsidRPr="008F0A7B">
        <w:rPr>
          <w:rFonts w:hint="eastAsia"/>
          <w:rtl/>
        </w:rPr>
        <w:t>רמ</w:t>
      </w:r>
      <w:r w:rsidRPr="008F0A7B">
        <w:rPr>
          <w:rtl/>
        </w:rPr>
        <w:t>"י ומשרד הבינוי בעיבוד משרד מבקר המדינה.</w:t>
      </w:r>
    </w:p>
    <w:p w14:paraId="62B4727F" w14:textId="77777777" w:rsidR="00735DAF" w:rsidRDefault="00735DAF" w:rsidP="00735DAF">
      <w:pPr>
        <w:pStyle w:val="7190"/>
        <w:rPr>
          <w:rtl/>
        </w:rPr>
      </w:pPr>
      <w:r>
        <w:rPr>
          <w:rFonts w:hint="cs"/>
          <w:rtl/>
        </w:rPr>
        <w:lastRenderedPageBreak/>
        <w:t>מהמפה עולה כי המספר הגדול ביותר של יח"ד נכלל בהסכמים עם הרשויות המקומיות במחוז דרום, והקטן ביותר במחוז תל אביב - כעשירית ממחוז דרום.</w:t>
      </w:r>
    </w:p>
    <w:p w14:paraId="3F99624E" w14:textId="77777777" w:rsidR="00735DAF" w:rsidRDefault="00735DAF" w:rsidP="00735DAF">
      <w:pPr>
        <w:pStyle w:val="7190"/>
        <w:rPr>
          <w:rtl/>
        </w:rPr>
      </w:pPr>
      <w:r>
        <w:rPr>
          <w:rFonts w:hint="cs"/>
          <w:rtl/>
        </w:rPr>
        <w:t>הסכמי הגג מעמידים את התשתית המשפטית והביצועית העיקרית לפיתוח ולבנייה בהיקפים נרחבים בישראל בשנים האחרונות, והם הגורם העיקרי לכך שרשויות מקומיות רבות - 32, צפויות לצמוח בשנים הקרובות בהיקפים משמעותיים</w:t>
      </w:r>
      <w:r>
        <w:rPr>
          <w:rStyle w:val="a9"/>
          <w:rtl/>
        </w:rPr>
        <w:footnoteReference w:id="22"/>
      </w:r>
      <w:r>
        <w:rPr>
          <w:rFonts w:hint="cs"/>
          <w:sz w:val="24"/>
          <w:rtl/>
        </w:rPr>
        <w:t>. להלן בתרשים 1 יפורט שיעור התוספת הצפויה של יח"ד</w:t>
      </w:r>
      <w:r>
        <w:rPr>
          <w:rFonts w:hint="cs"/>
          <w:rtl/>
        </w:rPr>
        <w:t xml:space="preserve"> ב-20 מ-32 הרשויות המקומיות שחתמו על הסכם גג לפי התוכניות שנכללו בהסכם, לעומת מספר יח"ד בהן בשנה שבה נחתם ההסכם:</w:t>
      </w:r>
    </w:p>
    <w:p w14:paraId="7A5D20F3" w14:textId="7A7EA0F5" w:rsidR="00735DAF" w:rsidRDefault="00F22636" w:rsidP="00735DAF">
      <w:pPr>
        <w:pStyle w:val="71b"/>
        <w:rPr>
          <w:rtl/>
        </w:rPr>
      </w:pPr>
      <w:r>
        <w:rPr>
          <w:noProof/>
          <w:sz w:val="18"/>
          <w:szCs w:val="18"/>
        </w:rPr>
        <w:lastRenderedPageBreak/>
        <w:drawing>
          <wp:anchor distT="0" distB="0" distL="114300" distR="114300" simplePos="0" relativeHeight="252113408" behindDoc="0" locked="0" layoutInCell="1" allowOverlap="1" wp14:anchorId="4FDDC47F" wp14:editId="69944187">
            <wp:simplePos x="0" y="0"/>
            <wp:positionH relativeFrom="column">
              <wp:posOffset>0</wp:posOffset>
            </wp:positionH>
            <wp:positionV relativeFrom="paragraph">
              <wp:posOffset>516890</wp:posOffset>
            </wp:positionV>
            <wp:extent cx="4679950" cy="5073650"/>
            <wp:effectExtent l="0" t="0" r="635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5073650"/>
                    </a:xfrm>
                    <a:prstGeom prst="rect">
                      <a:avLst/>
                    </a:prstGeom>
                  </pic:spPr>
                </pic:pic>
              </a:graphicData>
            </a:graphic>
            <wp14:sizeRelV relativeFrom="margin">
              <wp14:pctHeight>0</wp14:pctHeight>
            </wp14:sizeRelV>
          </wp:anchor>
        </w:drawing>
      </w:r>
      <w:r w:rsidR="00735DAF" w:rsidRPr="00D638EC">
        <w:rPr>
          <w:rFonts w:hint="cs"/>
          <w:b w:val="0"/>
          <w:bCs w:val="0"/>
          <w:rtl/>
        </w:rPr>
        <w:t>תרשים 1:</w:t>
      </w:r>
      <w:r w:rsidR="00735DAF">
        <w:rPr>
          <w:rFonts w:hint="cs"/>
          <w:rtl/>
        </w:rPr>
        <w:t xml:space="preserve"> שיעור התוספת הצפויה של יח"ד ב-20 מ-32 רשויות המקומיות שחתמו על הסכם גג לפי התוכניות שנכללו בהסכם, לעומת מספר יח"ד בהן בשנה שבה נחתם ההסכם</w:t>
      </w:r>
    </w:p>
    <w:p w14:paraId="591442AC" w14:textId="11566991" w:rsidR="005D089D" w:rsidRDefault="005D089D" w:rsidP="00EB148D">
      <w:pPr>
        <w:bidi w:val="0"/>
        <w:spacing w:after="200" w:line="276" w:lineRule="auto"/>
        <w:jc w:val="right"/>
        <w:rPr>
          <w:b/>
          <w:bCs/>
          <w:rtl/>
        </w:rPr>
      </w:pPr>
      <w:r w:rsidRPr="005A420A">
        <w:rPr>
          <w:rStyle w:val="71Char2"/>
          <w:rFonts w:hint="cs"/>
          <w:rtl/>
        </w:rPr>
        <w:t>על פי נתוני בנק ישראל והלשכה המרכזית לסטטיסטיקה, בעיבוד משרד מבקר המדינה.</w:t>
      </w:r>
    </w:p>
    <w:p w14:paraId="57245817" w14:textId="77777777" w:rsidR="005D089D" w:rsidRDefault="005D089D" w:rsidP="005D089D">
      <w:pPr>
        <w:pStyle w:val="71f5"/>
        <w:rPr>
          <w:rtl/>
        </w:rPr>
      </w:pPr>
      <w:r>
        <w:rPr>
          <w:rFonts w:hint="cs"/>
          <w:rtl/>
        </w:rPr>
        <w:t>כפי שעולה מהתרשים, השיעור של הגידול במספר יחה"ד בעקבות יישום הסכמי הגג בישובים שפורטו נע בין כ-7% (בירושלים) ל-218% (בבאר יעקב). בחמישה יישובים לפחות צפויה הכפלה ויותר מכך של מספר יחה"ד בהם בעקבות יישום ההסכמים.</w:t>
      </w:r>
    </w:p>
    <w:p w14:paraId="6321077E" w14:textId="77777777" w:rsidR="00F22636" w:rsidRDefault="00F22636" w:rsidP="002E5917">
      <w:pPr>
        <w:pStyle w:val="7190"/>
        <w:rPr>
          <w:rtl/>
        </w:rPr>
      </w:pPr>
    </w:p>
    <w:p w14:paraId="46DCA067" w14:textId="64210DF3" w:rsidR="005D089D" w:rsidRDefault="005D089D" w:rsidP="002E5917">
      <w:pPr>
        <w:pStyle w:val="7190"/>
        <w:rPr>
          <w:rtl/>
        </w:rPr>
      </w:pPr>
      <w:r>
        <w:rPr>
          <w:rFonts w:hint="cs"/>
          <w:rtl/>
        </w:rPr>
        <w:lastRenderedPageBreak/>
        <w:t xml:space="preserve">לפי נתונים עדכניים לסוף שנת 2020, בתוכניות שבהסכמי הגג נכללו כ-441,000 יח"ד, כ-93% מהיעד שקבעה הממשלה. יודגש כי תוכניות אלה כוללות תוכניות בשלבי תכנון, באופן שלאחר אישורן הסטטוטורי, מספר יחה"ד הכלול בהן עשוי להיות שונה מהמספר שנקבע בהסכם הגג. זאת ועוד, גורמי המקצוע החליטו שלא לקדם כלל את אישורן של כמה תוכניות (ראו להלן בפרק "קצב שיווק הקרקעות למגורים"). </w:t>
      </w:r>
    </w:p>
    <w:p w14:paraId="09FD7823" w14:textId="77777777" w:rsidR="005D089D" w:rsidRDefault="005D089D" w:rsidP="002E5917">
      <w:pPr>
        <w:pStyle w:val="7190"/>
        <w:rPr>
          <w:rtl/>
        </w:rPr>
      </w:pPr>
      <w:r w:rsidRPr="002E5917">
        <w:rPr>
          <w:rStyle w:val="71512Char"/>
          <w:rFonts w:hint="cs"/>
          <w:rtl/>
        </w:rPr>
        <w:t>אומדני עלויות הסכמי הגג:</w:t>
      </w:r>
      <w:r>
        <w:rPr>
          <w:rFonts w:hint="cs"/>
          <w:rtl/>
        </w:rPr>
        <w:t xml:space="preserve"> המקורות התקציביים ליישום ההסכמים כוללים תקציבים שהרשות המקומית זכאית להם מכוח הסכם הגג - תקציבים למימון הוצאות הפיתוח ותוספת תקציב ל"ישן מול חדש" ולבניית מוסדות ציבור</w:t>
      </w:r>
      <w:r>
        <w:rPr>
          <w:rStyle w:val="a9"/>
          <w:rtl/>
        </w:rPr>
        <w:footnoteReference w:id="23"/>
      </w:r>
      <w:r>
        <w:rPr>
          <w:rFonts w:hint="cs"/>
          <w:rtl/>
        </w:rPr>
        <w:t>, וזאת בהתאם להחלטות מועצת מקרקעי ישראל בעניין, שבהן נקבעו התנאים לקבלת התקציבים</w:t>
      </w:r>
      <w:r>
        <w:rPr>
          <w:rStyle w:val="a9"/>
          <w:rtl/>
        </w:rPr>
        <w:footnoteReference w:id="24"/>
      </w:r>
      <w:r>
        <w:rPr>
          <w:rFonts w:hint="cs"/>
          <w:rtl/>
        </w:rPr>
        <w:t>. כמו כן מקבלת הרשות המקומית תקציבים ממקורות חיצוניים להסכם הגג - למשל, משרד החינוך מתקצב בניית כיתות לימוד, ומשרדי ממשלה נוספים משתתפים בתקצוב בנייתם של מוסדות ציבור. למשל, משרד הכלכלה והתעשייה מקצה, ככלל, תקציב להקמת מעונות יום לילדים עד גיל שלוש. נוסף על כך, הוקצה מתקציב המדינה תקציב ייעודי לבניית תשתיות-על בתחום התחבורה, הדרושות בין היתר ליישום הסכמי גג</w:t>
      </w:r>
      <w:r>
        <w:rPr>
          <w:rStyle w:val="a9"/>
          <w:sz w:val="24"/>
          <w:rtl/>
        </w:rPr>
        <w:footnoteReference w:id="25"/>
      </w:r>
      <w:r>
        <w:rPr>
          <w:rFonts w:hint="cs"/>
          <w:rtl/>
        </w:rPr>
        <w:t xml:space="preserve">. </w:t>
      </w:r>
    </w:p>
    <w:p w14:paraId="1EE36BA9" w14:textId="77777777" w:rsidR="005D089D" w:rsidRDefault="005D089D" w:rsidP="002E5917">
      <w:pPr>
        <w:pStyle w:val="7190"/>
        <w:rPr>
          <w:sz w:val="24"/>
          <w:rtl/>
        </w:rPr>
      </w:pPr>
      <w:r>
        <w:rPr>
          <w:rFonts w:hint="cs"/>
          <w:rtl/>
        </w:rPr>
        <w:t>בשנת 2015 הקימה הממשלה במשרד האוצר את הוועדה לתכנון ופיתוח (להלן - הוות"פ)</w:t>
      </w:r>
      <w:r>
        <w:rPr>
          <w:rStyle w:val="a9"/>
          <w:rtl/>
        </w:rPr>
        <w:footnoteReference w:id="26"/>
      </w:r>
      <w:r>
        <w:rPr>
          <w:rFonts w:hint="cs"/>
          <w:rtl/>
        </w:rPr>
        <w:t xml:space="preserve"> שבראשה ראש מטה הדיור הלאומי</w:t>
      </w:r>
      <w:r>
        <w:rPr>
          <w:rStyle w:val="a9"/>
          <w:rtl/>
        </w:rPr>
        <w:footnoteReference w:id="27"/>
      </w:r>
      <w:r>
        <w:rPr>
          <w:rFonts w:hint="cs"/>
          <w:rtl/>
        </w:rPr>
        <w:t xml:space="preserve"> (להלן - מטה הדיור) וחבריה הם נציגי משרד האוצר, רמ"י ומשרד הבינוי</w:t>
      </w:r>
      <w:r>
        <w:rPr>
          <w:rStyle w:val="a9"/>
          <w:rtl/>
        </w:rPr>
        <w:footnoteReference w:id="28"/>
      </w:r>
      <w:r>
        <w:rPr>
          <w:rFonts w:hint="cs"/>
          <w:rtl/>
        </w:rPr>
        <w:t>. הוות"פ הוקמה</w:t>
      </w:r>
      <w:r>
        <w:rPr>
          <w:rStyle w:val="a9"/>
          <w:rFonts w:hint="cs"/>
          <w:rtl/>
        </w:rPr>
        <w:t xml:space="preserve"> </w:t>
      </w:r>
      <w:r>
        <w:rPr>
          <w:rFonts w:hint="cs"/>
          <w:rtl/>
        </w:rPr>
        <w:t xml:space="preserve">בין היתר כדי לתאם את פעילות כלל הגורמים המפתחים בממשלה, ובין סמכויותיה - להורות לכל אחד מהגופים המפתחים והמתכננים עם אילו רשויות מקומיות ובאילו מתחמים לערוך הסכמי פיתוח, לרבות הסכמי גג, ולאשר את עלויות הפיתוח עבור כלל גופי הממשלה העוסקים בפיתוח, ובכלל זה את עלויות הפיתוח במסגרת הסכמי הגג. כך, </w:t>
      </w:r>
      <w:r>
        <w:rPr>
          <w:rFonts w:hint="cs"/>
          <w:sz w:val="24"/>
          <w:rtl/>
        </w:rPr>
        <w:t xml:space="preserve">הוות"פ מאשרת את </w:t>
      </w:r>
      <w:r>
        <w:rPr>
          <w:rFonts w:hint="cs"/>
          <w:rtl/>
        </w:rPr>
        <w:t xml:space="preserve">עלות הפיתוח הצפויה בכל אחד מהסכמי הגג </w:t>
      </w:r>
      <w:r>
        <w:rPr>
          <w:rFonts w:hint="cs"/>
          <w:sz w:val="24"/>
          <w:rtl/>
        </w:rPr>
        <w:t>בהתבסס על אומדני עלות הפיתוח שמעבירים לאישורה רמ"י או משרד הבינוי, לפי העניין (להלן - עלות הפיתוח הצפויה</w:t>
      </w:r>
      <w:r>
        <w:rPr>
          <w:rStyle w:val="a9"/>
          <w:b/>
          <w:rtl/>
        </w:rPr>
        <w:footnoteReference w:id="29"/>
      </w:r>
      <w:r>
        <w:rPr>
          <w:rFonts w:hint="cs"/>
          <w:sz w:val="24"/>
          <w:rtl/>
        </w:rPr>
        <w:t xml:space="preserve">). </w:t>
      </w:r>
    </w:p>
    <w:p w14:paraId="1BAC4871" w14:textId="77777777" w:rsidR="005D089D" w:rsidRDefault="005D089D" w:rsidP="002E5917">
      <w:pPr>
        <w:pStyle w:val="7190"/>
        <w:rPr>
          <w:b/>
          <w:rtl/>
        </w:rPr>
      </w:pPr>
      <w:r>
        <w:rPr>
          <w:rFonts w:hint="cs"/>
          <w:rtl/>
        </w:rPr>
        <w:lastRenderedPageBreak/>
        <w:t>לפי נתונים של רמ"י ומשרד הבינוי מיוני 2020, עלות הפיתוח הצפויה מסתכמת בכ-95 מיליארד ש"ח, בכלל זה עלויות פיתוח תשתיות-העל והתשתיות הצמודות הצפויות הן כ-67 מיליארד ש"ח</w:t>
      </w:r>
      <w:r>
        <w:rPr>
          <w:rStyle w:val="a9"/>
          <w:rtl/>
        </w:rPr>
        <w:footnoteReference w:id="30"/>
      </w:r>
      <w:r>
        <w:rPr>
          <w:rFonts w:hint="cs"/>
          <w:rtl/>
        </w:rPr>
        <w:t xml:space="preserve">, והיתר - כ-28 מיליארד ש"ח - הן בעד הקמת מוסדות ציבור ו"ישן מול חדש". </w:t>
      </w:r>
      <w:r>
        <w:rPr>
          <w:rFonts w:hint="cs"/>
          <w:b/>
          <w:rtl/>
        </w:rPr>
        <w:t>להלן בתרשים 2 יוצגו עלות הפיתוח הצפויה של תשתיות-העל והתשתיות הצמודות בכל אחד מהסכמי הגג</w:t>
      </w:r>
      <w:r>
        <w:rPr>
          <w:rStyle w:val="a9"/>
          <w:b/>
          <w:rtl/>
        </w:rPr>
        <w:footnoteReference w:id="31"/>
      </w:r>
      <w:r>
        <w:rPr>
          <w:rFonts w:hint="cs"/>
          <w:b/>
          <w:rtl/>
        </w:rPr>
        <w:t xml:space="preserve"> (במיליוני ש"ח): </w:t>
      </w:r>
    </w:p>
    <w:p w14:paraId="4F9B2CE9" w14:textId="77777777" w:rsidR="006E6E65" w:rsidRDefault="006E6E65">
      <w:pPr>
        <w:bidi w:val="0"/>
        <w:spacing w:after="200" w:line="276" w:lineRule="auto"/>
        <w:rPr>
          <w:rFonts w:ascii="Tahoma" w:eastAsiaTheme="minorEastAsia" w:hAnsi="Tahoma" w:cs="Tahoma"/>
          <w:color w:val="0D0D0D" w:themeColor="text1" w:themeTint="F2"/>
          <w:szCs w:val="20"/>
          <w:rtl/>
        </w:rPr>
      </w:pPr>
      <w:r>
        <w:rPr>
          <w:b/>
          <w:bCs/>
          <w:rtl/>
        </w:rPr>
        <w:br w:type="page"/>
      </w:r>
    </w:p>
    <w:p w14:paraId="7EA82B59" w14:textId="1CB646D7" w:rsidR="005D089D" w:rsidRDefault="00715444" w:rsidP="004735CD">
      <w:pPr>
        <w:pStyle w:val="71b"/>
        <w:rPr>
          <w:sz w:val="22"/>
          <w:szCs w:val="22"/>
          <w:rtl/>
        </w:rPr>
      </w:pPr>
      <w:r>
        <w:rPr>
          <w:noProof/>
          <w:sz w:val="22"/>
          <w:szCs w:val="22"/>
          <w:rtl/>
          <w:lang w:val="he-IL"/>
        </w:rPr>
        <w:lastRenderedPageBreak/>
        <w:drawing>
          <wp:anchor distT="0" distB="0" distL="114300" distR="114300" simplePos="0" relativeHeight="252144128" behindDoc="0" locked="0" layoutInCell="1" allowOverlap="1" wp14:anchorId="189B8F91" wp14:editId="60FAF872">
            <wp:simplePos x="0" y="0"/>
            <wp:positionH relativeFrom="column">
              <wp:posOffset>-4445</wp:posOffset>
            </wp:positionH>
            <wp:positionV relativeFrom="paragraph">
              <wp:posOffset>408305</wp:posOffset>
            </wp:positionV>
            <wp:extent cx="4679950" cy="6319520"/>
            <wp:effectExtent l="0" t="0" r="635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6319520"/>
                    </a:xfrm>
                    <a:prstGeom prst="rect">
                      <a:avLst/>
                    </a:prstGeom>
                  </pic:spPr>
                </pic:pic>
              </a:graphicData>
            </a:graphic>
          </wp:anchor>
        </w:drawing>
      </w:r>
      <w:r w:rsidR="005D089D" w:rsidRPr="004735CD">
        <w:rPr>
          <w:rFonts w:hint="cs"/>
          <w:b w:val="0"/>
          <w:bCs w:val="0"/>
          <w:rtl/>
        </w:rPr>
        <w:t>תרשים 2:</w:t>
      </w:r>
      <w:r w:rsidR="005D089D">
        <w:rPr>
          <w:rFonts w:hint="cs"/>
          <w:rtl/>
        </w:rPr>
        <w:t xml:space="preserve"> עלות הפיתוח הצפויה של תשתיות-העל והתשתיות הצמודות בהסכמי הגג (במיליוני ש"ח)</w:t>
      </w:r>
    </w:p>
    <w:p w14:paraId="5CA08C09" w14:textId="110234F5" w:rsidR="006E6E65" w:rsidRDefault="006E6E65" w:rsidP="006E6E65">
      <w:pPr>
        <w:pStyle w:val="71d"/>
        <w:rPr>
          <w:rtl/>
        </w:rPr>
      </w:pPr>
      <w:r>
        <w:rPr>
          <w:rFonts w:hint="cs"/>
          <w:rtl/>
        </w:rPr>
        <w:t>על פי נתוני רמ"י ומשרד הבינוי בעיבוד משרד מבקר המדינה (יוני 2020).</w:t>
      </w:r>
    </w:p>
    <w:p w14:paraId="447CA592" w14:textId="77777777" w:rsidR="006E6E65" w:rsidRDefault="006E6E65" w:rsidP="006E6E65">
      <w:pPr>
        <w:pStyle w:val="71f5"/>
        <w:rPr>
          <w:rtl/>
        </w:rPr>
      </w:pPr>
      <w:r>
        <w:rPr>
          <w:rFonts w:hint="cs"/>
          <w:rtl/>
        </w:rPr>
        <w:lastRenderedPageBreak/>
        <w:t xml:space="preserve">מהתרשים עולה כי עלות הפיתוח הצפויה של תשתיות-העל והתשתיות הצמודות בהסכמים היא בין כ-783 מיליון ש"ח באור יהודה לכ-5 מיליארד ש"ח באשדוד. </w:t>
      </w:r>
    </w:p>
    <w:p w14:paraId="056FC468" w14:textId="1BEBB050" w:rsidR="006E6E65" w:rsidRDefault="006E6E65" w:rsidP="006E6E65">
      <w:pPr>
        <w:pStyle w:val="7190"/>
        <w:rPr>
          <w:rtl/>
        </w:rPr>
      </w:pPr>
      <w:r>
        <w:rPr>
          <w:rFonts w:hint="cs"/>
          <w:rtl/>
        </w:rPr>
        <w:t>יצוין כי ההבדלים בין ההסכמים בעלויות הפיתוח הצפויות יכולים לנבוע בין היתר מהבדלים בהיקף הבינוי של יחה"ד ושטחי המסחר והתעסוקה, בהיקף התשתיות הנדרש למימוש התוכניות שבהסכם ובמאפייני הקרקע והטופוגרפיה. למשל, אם בגלל מצב התשתיות ביישוב נדרש להקים מחלף או מתקן לטיהור שפכים כתנאי לאכלוס שכונה חדשה, הרי שעלות הפיתוח הצפויה תהיה גבוהה מזו של שכונה דומה שהתשתיות בה מתאימות לצורכי התושבים.</w:t>
      </w:r>
    </w:p>
    <w:p w14:paraId="29B3F527" w14:textId="52C55170" w:rsidR="006E6E65" w:rsidRDefault="006E6E65" w:rsidP="006E6E65">
      <w:pPr>
        <w:pStyle w:val="7190"/>
        <w:rPr>
          <w:rtl/>
        </w:rPr>
      </w:pPr>
      <w:r>
        <w:rPr>
          <w:rFonts w:hint="cs"/>
          <w:rtl/>
        </w:rPr>
        <w:t>מהשוואה של היחס שבין עלויות הפיתוח הצפויות של התשתיות למספר יחה"ד הכלולות בכל הסכם, עולה כי ההסכמים נבדלים ביניהם בעניין זה</w:t>
      </w:r>
      <w:r>
        <w:rPr>
          <w:rStyle w:val="a9"/>
          <w:rtl/>
        </w:rPr>
        <w:footnoteReference w:id="32"/>
      </w:r>
      <w:r>
        <w:rPr>
          <w:rFonts w:hint="cs"/>
          <w:rtl/>
        </w:rPr>
        <w:t>. בתרשים 3 להלן תפורט עלות הפיתוח הצפויה של תשתיות-העל ושל התשתיות הצמודות בגין כל יח"ד שבתוכניות</w:t>
      </w:r>
      <w:r>
        <w:rPr>
          <w:rStyle w:val="a9"/>
          <w:rtl/>
        </w:rPr>
        <w:footnoteReference w:id="33"/>
      </w:r>
      <w:r>
        <w:rPr>
          <w:rFonts w:hint="cs"/>
          <w:rtl/>
        </w:rPr>
        <w:t xml:space="preserve"> שבכל אחד מההסכמים</w:t>
      </w:r>
      <w:r>
        <w:rPr>
          <w:rStyle w:val="a9"/>
          <w:rtl/>
        </w:rPr>
        <w:footnoteReference w:id="34"/>
      </w:r>
      <w:r>
        <w:rPr>
          <w:rFonts w:hint="cs"/>
          <w:rtl/>
        </w:rPr>
        <w:t xml:space="preserve"> (באלפי ש"ח):</w:t>
      </w:r>
    </w:p>
    <w:p w14:paraId="1A98BA9C" w14:textId="540B547D" w:rsidR="006E6E65" w:rsidRDefault="006E6E65" w:rsidP="00517ECD">
      <w:pPr>
        <w:pStyle w:val="71b"/>
        <w:rPr>
          <w:rtl/>
        </w:rPr>
      </w:pPr>
      <w:r w:rsidRPr="00517ECD">
        <w:rPr>
          <w:rFonts w:hint="cs"/>
          <w:b w:val="0"/>
          <w:bCs w:val="0"/>
          <w:rtl/>
        </w:rPr>
        <w:lastRenderedPageBreak/>
        <w:softHyphen/>
      </w:r>
      <w:r w:rsidRPr="00517ECD">
        <w:rPr>
          <w:rFonts w:hint="cs"/>
          <w:b w:val="0"/>
          <w:bCs w:val="0"/>
          <w:rtl/>
        </w:rPr>
        <w:softHyphen/>
        <w:t>תרשים 3:</w:t>
      </w:r>
      <w:r>
        <w:rPr>
          <w:rFonts w:hint="cs"/>
          <w:rtl/>
        </w:rPr>
        <w:t xml:space="preserve"> עלות הפיתוח הצפויה של תשתיות-העל והתשתיות הצמודות בגין כל יח"ד בתוכניות שבכל אחד מההסכמים (באלפי ש"ח)</w:t>
      </w:r>
      <w:r>
        <w:rPr>
          <w:rStyle w:val="a9"/>
          <w:rtl/>
        </w:rPr>
        <w:footnoteReference w:id="35"/>
      </w:r>
      <w:r>
        <w:rPr>
          <w:rFonts w:hint="cs"/>
          <w:rtl/>
        </w:rPr>
        <w:t xml:space="preserve"> </w:t>
      </w:r>
    </w:p>
    <w:p w14:paraId="157F413B" w14:textId="240D4CB5" w:rsidR="00B743D3" w:rsidRDefault="00B743D3" w:rsidP="00517ECD">
      <w:pPr>
        <w:pStyle w:val="71b"/>
        <w:rPr>
          <w:rtl/>
        </w:rPr>
      </w:pPr>
      <w:r>
        <w:rPr>
          <w:noProof/>
          <w:rtl/>
          <w:lang w:val="he-IL"/>
        </w:rPr>
        <w:drawing>
          <wp:anchor distT="0" distB="0" distL="114300" distR="114300" simplePos="0" relativeHeight="252146176" behindDoc="0" locked="0" layoutInCell="1" allowOverlap="1" wp14:anchorId="176327FB" wp14:editId="5E29EA5A">
            <wp:simplePos x="0" y="0"/>
            <wp:positionH relativeFrom="column">
              <wp:posOffset>628650</wp:posOffset>
            </wp:positionH>
            <wp:positionV relativeFrom="paragraph">
              <wp:posOffset>12700</wp:posOffset>
            </wp:positionV>
            <wp:extent cx="3348000" cy="5686738"/>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8000" cy="5686738"/>
                    </a:xfrm>
                    <a:prstGeom prst="rect">
                      <a:avLst/>
                    </a:prstGeom>
                  </pic:spPr>
                </pic:pic>
              </a:graphicData>
            </a:graphic>
            <wp14:sizeRelH relativeFrom="margin">
              <wp14:pctWidth>0</wp14:pctWidth>
            </wp14:sizeRelH>
            <wp14:sizeRelV relativeFrom="margin">
              <wp14:pctHeight>0</wp14:pctHeight>
            </wp14:sizeRelV>
          </wp:anchor>
        </w:drawing>
      </w:r>
    </w:p>
    <w:p w14:paraId="39B36C32" w14:textId="064F1CB7" w:rsidR="00B743D3" w:rsidRDefault="00B743D3" w:rsidP="00517ECD">
      <w:pPr>
        <w:pStyle w:val="71b"/>
        <w:rPr>
          <w:rtl/>
        </w:rPr>
      </w:pPr>
    </w:p>
    <w:p w14:paraId="400EBD4B" w14:textId="21FBADC4" w:rsidR="005F0C6A" w:rsidRDefault="005F0C6A" w:rsidP="00517ECD">
      <w:pPr>
        <w:pStyle w:val="71b"/>
        <w:rPr>
          <w:rtl/>
        </w:rPr>
      </w:pPr>
    </w:p>
    <w:p w14:paraId="6B7379C8" w14:textId="23739205" w:rsidR="005F0C6A" w:rsidRDefault="005F0C6A" w:rsidP="005F3532">
      <w:pPr>
        <w:pStyle w:val="71d"/>
        <w:rPr>
          <w:rtl/>
        </w:rPr>
      </w:pPr>
    </w:p>
    <w:p w14:paraId="4C5A140F" w14:textId="089AF4B5" w:rsidR="005F0C6A" w:rsidRDefault="005F0C6A" w:rsidP="005F3532">
      <w:pPr>
        <w:pStyle w:val="71d"/>
        <w:rPr>
          <w:rtl/>
        </w:rPr>
      </w:pPr>
    </w:p>
    <w:p w14:paraId="0D79E98A" w14:textId="7A1B2AF9" w:rsidR="005F0C6A" w:rsidRDefault="005F0C6A" w:rsidP="005F3532">
      <w:pPr>
        <w:pStyle w:val="71d"/>
        <w:rPr>
          <w:rtl/>
        </w:rPr>
      </w:pPr>
    </w:p>
    <w:p w14:paraId="594A4A9E" w14:textId="2F37F992" w:rsidR="005F0C6A" w:rsidRDefault="005F0C6A" w:rsidP="005F3532">
      <w:pPr>
        <w:pStyle w:val="71d"/>
        <w:rPr>
          <w:rtl/>
        </w:rPr>
      </w:pPr>
    </w:p>
    <w:p w14:paraId="0D04DEB7" w14:textId="53231BDD" w:rsidR="005F0C6A" w:rsidRDefault="005F0C6A" w:rsidP="005F3532">
      <w:pPr>
        <w:pStyle w:val="71d"/>
        <w:rPr>
          <w:rtl/>
        </w:rPr>
      </w:pPr>
    </w:p>
    <w:p w14:paraId="614D8BB5" w14:textId="4A2FB211" w:rsidR="005F0C6A" w:rsidRDefault="005F0C6A" w:rsidP="005F3532">
      <w:pPr>
        <w:pStyle w:val="71d"/>
        <w:rPr>
          <w:rtl/>
        </w:rPr>
      </w:pPr>
    </w:p>
    <w:p w14:paraId="44595749" w14:textId="71AA9F7D" w:rsidR="005F0C6A" w:rsidRDefault="005F0C6A" w:rsidP="005F3532">
      <w:pPr>
        <w:pStyle w:val="71d"/>
        <w:rPr>
          <w:rtl/>
        </w:rPr>
      </w:pPr>
    </w:p>
    <w:p w14:paraId="017D5EB9" w14:textId="77777777" w:rsidR="005F0C6A" w:rsidRDefault="005F0C6A" w:rsidP="005F3532">
      <w:pPr>
        <w:pStyle w:val="71d"/>
        <w:rPr>
          <w:rtl/>
        </w:rPr>
      </w:pPr>
    </w:p>
    <w:p w14:paraId="5193F933" w14:textId="77777777" w:rsidR="005F0C6A" w:rsidRDefault="005F0C6A" w:rsidP="005F3532">
      <w:pPr>
        <w:pStyle w:val="71d"/>
        <w:rPr>
          <w:rtl/>
        </w:rPr>
      </w:pPr>
    </w:p>
    <w:p w14:paraId="102184DE" w14:textId="50C9648A" w:rsidR="005F0C6A" w:rsidRDefault="005F0C6A" w:rsidP="005F3532">
      <w:pPr>
        <w:pStyle w:val="71d"/>
        <w:rPr>
          <w:rtl/>
        </w:rPr>
      </w:pPr>
    </w:p>
    <w:p w14:paraId="30B88C0D" w14:textId="77777777" w:rsidR="005F0C6A" w:rsidRDefault="005F0C6A" w:rsidP="005F3532">
      <w:pPr>
        <w:pStyle w:val="71d"/>
        <w:rPr>
          <w:rtl/>
        </w:rPr>
      </w:pPr>
    </w:p>
    <w:p w14:paraId="138E4AB3" w14:textId="77777777" w:rsidR="005F0C6A" w:rsidRDefault="005F0C6A" w:rsidP="005F3532">
      <w:pPr>
        <w:pStyle w:val="71d"/>
        <w:rPr>
          <w:rtl/>
        </w:rPr>
      </w:pPr>
    </w:p>
    <w:p w14:paraId="72C87965" w14:textId="49BEF40A" w:rsidR="005F0C6A" w:rsidRDefault="005F0C6A" w:rsidP="005F3532">
      <w:pPr>
        <w:pStyle w:val="71d"/>
        <w:rPr>
          <w:rtl/>
        </w:rPr>
      </w:pPr>
    </w:p>
    <w:p w14:paraId="0940BD2A" w14:textId="77777777" w:rsidR="005F0C6A" w:rsidRDefault="005F0C6A" w:rsidP="005F3532">
      <w:pPr>
        <w:pStyle w:val="71d"/>
        <w:rPr>
          <w:rtl/>
        </w:rPr>
      </w:pPr>
    </w:p>
    <w:p w14:paraId="5825E62E" w14:textId="5CDA89AF" w:rsidR="005F0C6A" w:rsidRDefault="005F0C6A" w:rsidP="005F3532">
      <w:pPr>
        <w:pStyle w:val="71d"/>
        <w:rPr>
          <w:rtl/>
        </w:rPr>
      </w:pPr>
    </w:p>
    <w:p w14:paraId="4DEB28D6" w14:textId="60299621" w:rsidR="006661BA" w:rsidRDefault="006661BA" w:rsidP="001C1456">
      <w:pPr>
        <w:pStyle w:val="71d"/>
        <w:spacing w:after="0"/>
        <w:rPr>
          <w:rtl/>
        </w:rPr>
      </w:pPr>
      <w:r>
        <w:rPr>
          <w:rFonts w:hint="cs"/>
          <w:rtl/>
        </w:rPr>
        <w:t>על פי נתונים שהתקבלו מרמ"י ומשרד הבינוי מיוני 2020 בעיבוד משרד מבקר המדינה</w:t>
      </w:r>
      <w:r w:rsidR="001C1456">
        <w:rPr>
          <w:rFonts w:hint="cs"/>
          <w:rtl/>
        </w:rPr>
        <w:t>.</w:t>
      </w:r>
      <w:r>
        <w:rPr>
          <w:rFonts w:hint="cs"/>
          <w:rtl/>
        </w:rPr>
        <w:t xml:space="preserve"> </w:t>
      </w:r>
    </w:p>
    <w:p w14:paraId="467598D4" w14:textId="428B31DC" w:rsidR="006661BA" w:rsidRDefault="006661BA" w:rsidP="005F3532">
      <w:pPr>
        <w:pStyle w:val="71f5"/>
        <w:rPr>
          <w:rtl/>
        </w:rPr>
      </w:pPr>
      <w:r>
        <w:rPr>
          <w:rFonts w:hint="cs"/>
          <w:rtl/>
        </w:rPr>
        <w:lastRenderedPageBreak/>
        <w:t xml:space="preserve">מהתרשים עולה כי עלות הפיתוח הצפויה של תשתיות-העל והתשתיות הצמודות בגין כל יח"ד היא בין כ-48,000 ש"ח (באלעד) לכ-215,000 ש"ח (בבית שמש), ובממוצע </w:t>
      </w:r>
      <w:r w:rsidR="005F3532">
        <w:rPr>
          <w:rFonts w:hint="cs"/>
          <w:rtl/>
        </w:rPr>
        <w:t xml:space="preserve">                        </w:t>
      </w:r>
      <w:r>
        <w:rPr>
          <w:rFonts w:hint="cs"/>
          <w:rtl/>
        </w:rPr>
        <w:t>כ-116,000 ש"ח ליח"ד.</w:t>
      </w:r>
    </w:p>
    <w:p w14:paraId="2543C2A8" w14:textId="77777777" w:rsidR="006661BA" w:rsidRDefault="006661BA" w:rsidP="005F3532">
      <w:pPr>
        <w:pStyle w:val="7190"/>
        <w:rPr>
          <w:rtl/>
        </w:rPr>
      </w:pPr>
      <w:r>
        <w:rPr>
          <w:rFonts w:hint="cs"/>
          <w:rtl/>
        </w:rPr>
        <w:t>כמו כן, קיימים הבדלים בעלויות הפיתוח הצפויות של התשתיות בגין כל יח"ד לפי ההסכמים בחתך השיוך הגיאוגרפי של היישוב. בתרשים 4 להלן מוצגות עלויות הפיתוח הצפויות של התשתיות (באלפי ש"ח) בגין כל יח"ד הכלולה בהסכמים, לפי המחוזות הגיאוגרפיים שבהן נמצאות יחה"ד</w:t>
      </w:r>
      <w:r>
        <w:rPr>
          <w:rStyle w:val="a9"/>
          <w:rtl/>
        </w:rPr>
        <w:footnoteReference w:id="36"/>
      </w:r>
      <w:r>
        <w:rPr>
          <w:rStyle w:val="51"/>
          <w:rFonts w:hint="cs"/>
          <w:b/>
          <w:bCs w:val="0"/>
          <w:rtl/>
        </w:rPr>
        <w:t>:</w:t>
      </w:r>
      <w:r>
        <w:rPr>
          <w:rFonts w:hint="cs"/>
          <w:rtl/>
        </w:rPr>
        <w:t xml:space="preserve"> </w:t>
      </w:r>
    </w:p>
    <w:p w14:paraId="1E8A13A6" w14:textId="25F3D7AA" w:rsidR="006661BA" w:rsidRDefault="003D7AF5" w:rsidP="005F3532">
      <w:pPr>
        <w:pStyle w:val="71b"/>
        <w:rPr>
          <w:rStyle w:val="51"/>
          <w:rtl/>
        </w:rPr>
      </w:pPr>
      <w:r>
        <w:rPr>
          <w:rFonts w:eastAsiaTheme="majorEastAsia"/>
          <w:bCs w:val="0"/>
          <w:noProof/>
          <w:spacing w:val="40"/>
          <w:rtl/>
          <w:lang w:val="he-IL"/>
        </w:rPr>
        <w:drawing>
          <wp:anchor distT="0" distB="0" distL="114300" distR="114300" simplePos="0" relativeHeight="252115456" behindDoc="0" locked="0" layoutInCell="1" allowOverlap="1" wp14:anchorId="24CC8CBC" wp14:editId="413F50E3">
            <wp:simplePos x="0" y="0"/>
            <wp:positionH relativeFrom="column">
              <wp:posOffset>-11430</wp:posOffset>
            </wp:positionH>
            <wp:positionV relativeFrom="paragraph">
              <wp:posOffset>420370</wp:posOffset>
            </wp:positionV>
            <wp:extent cx="4679950" cy="2790825"/>
            <wp:effectExtent l="0" t="0" r="6350" b="9525"/>
            <wp:wrapSquare wrapText="bothSides"/>
            <wp:docPr id="3788757" name="Picture 378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7" name="Picture 3788757"/>
                    <pic:cNvPicPr/>
                  </pic:nvPicPr>
                  <pic:blipFill rotWithShape="1">
                    <a:blip r:embed="rId38" cstate="print">
                      <a:extLst>
                        <a:ext uri="{28A0092B-C50C-407E-A947-70E740481C1C}">
                          <a14:useLocalDpi xmlns:a14="http://schemas.microsoft.com/office/drawing/2010/main" val="0"/>
                        </a:ext>
                      </a:extLst>
                    </a:blip>
                    <a:srcRect b="-1736"/>
                    <a:stretch/>
                  </pic:blipFill>
                  <pic:spPr bwMode="auto">
                    <a:xfrm>
                      <a:off x="0" y="0"/>
                      <a:ext cx="4679950" cy="2790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61BA" w:rsidRPr="005F3532">
        <w:rPr>
          <w:rFonts w:hint="cs"/>
          <w:b w:val="0"/>
          <w:bCs w:val="0"/>
          <w:rtl/>
        </w:rPr>
        <w:t>תרשים 4:</w:t>
      </w:r>
      <w:r w:rsidR="006661BA">
        <w:rPr>
          <w:rFonts w:hint="cs"/>
          <w:rtl/>
        </w:rPr>
        <w:t xml:space="preserve"> עלות הפיתוח הצפויה של התשתיות (באלפי ש"ח) בגין כל יח"ד לפי ההסכם, לפי מחוזות</w:t>
      </w:r>
    </w:p>
    <w:p w14:paraId="26C4D1C8" w14:textId="4C61E708" w:rsidR="006661BA" w:rsidRDefault="006661BA" w:rsidP="000C5769">
      <w:pPr>
        <w:pStyle w:val="71d"/>
        <w:spacing w:before="240"/>
        <w:rPr>
          <w:rStyle w:val="51"/>
          <w:b/>
          <w:bCs w:val="0"/>
          <w:rtl/>
        </w:rPr>
      </w:pPr>
      <w:r>
        <w:rPr>
          <w:rFonts w:hint="cs"/>
          <w:rtl/>
        </w:rPr>
        <w:t>על פי נתונים שהתקבלו מרמ"י ומשרד הבינוי מיוני 2020, בעיבוד משרד מבקר המדינה</w:t>
      </w:r>
      <w:r w:rsidR="003D7AF5">
        <w:rPr>
          <w:rFonts w:hint="cs"/>
          <w:rtl/>
        </w:rPr>
        <w:t>.</w:t>
      </w:r>
      <w:r>
        <w:rPr>
          <w:rFonts w:hint="cs"/>
          <w:rtl/>
        </w:rPr>
        <w:t xml:space="preserve"> </w:t>
      </w:r>
    </w:p>
    <w:p w14:paraId="00A6F439" w14:textId="77777777" w:rsidR="006661BA" w:rsidRDefault="006661BA" w:rsidP="005F3532">
      <w:pPr>
        <w:pStyle w:val="71f5"/>
        <w:rPr>
          <w:rtl/>
        </w:rPr>
      </w:pPr>
      <w:r>
        <w:rPr>
          <w:rFonts w:hint="cs"/>
          <w:rtl/>
        </w:rPr>
        <w:t>מהתרשים עולה כי עלות הפיתוח הממוצעת הנמוכה ביותר של תשתיות-העל והתשתיות הצמודות ליח"ד היא ביישובים שבמחוז מרכז (כ-88,000 ש"ח), והגבוהה ביותר - ביישובים שבמחוז חיפה (כ-150,000 ש"ח) - פי 1.7 מהעלות ביישובים שבמחוז מרכז.</w:t>
      </w:r>
    </w:p>
    <w:p w14:paraId="66F47C61" w14:textId="77777777" w:rsidR="006661BA" w:rsidRDefault="006661BA" w:rsidP="005F3532">
      <w:pPr>
        <w:pStyle w:val="71b"/>
        <w:rPr>
          <w:rtl/>
        </w:rPr>
      </w:pPr>
      <w:r w:rsidRPr="005F3532">
        <w:rPr>
          <w:rFonts w:hint="cs"/>
          <w:b w:val="0"/>
          <w:bCs w:val="0"/>
          <w:rtl/>
        </w:rPr>
        <w:lastRenderedPageBreak/>
        <w:t>תרשים 5:</w:t>
      </w:r>
      <w:r>
        <w:rPr>
          <w:rFonts w:hint="cs"/>
          <w:rtl/>
        </w:rPr>
        <w:t xml:space="preserve"> עלות הפיתוח הממוצעת הצפויה של התשתיות ליח"ד, לפי המדד החברתי-כלכלי</w:t>
      </w:r>
      <w:r>
        <w:rPr>
          <w:rStyle w:val="a9"/>
          <w:rtl/>
        </w:rPr>
        <w:footnoteReference w:id="37"/>
      </w:r>
      <w:r>
        <w:rPr>
          <w:rFonts w:hint="cs"/>
          <w:rtl/>
        </w:rPr>
        <w:t xml:space="preserve"> של האוכלוסייה ברשות המקומית</w:t>
      </w:r>
      <w:r>
        <w:rPr>
          <w:rStyle w:val="a9"/>
          <w:rtl/>
        </w:rPr>
        <w:footnoteReference w:id="38"/>
      </w:r>
      <w:r>
        <w:rPr>
          <w:rFonts w:hint="cs"/>
          <w:rtl/>
        </w:rPr>
        <w:t xml:space="preserve"> (באלפי ש"ח)</w:t>
      </w:r>
    </w:p>
    <w:p w14:paraId="4C548418" w14:textId="555EC3E2" w:rsidR="006661BA" w:rsidRDefault="003D7AF5" w:rsidP="006661BA">
      <w:pPr>
        <w:rPr>
          <w:b/>
          <w:bCs/>
          <w:rtl/>
        </w:rPr>
      </w:pPr>
      <w:r>
        <w:rPr>
          <w:b/>
          <w:bCs/>
          <w:noProof/>
          <w:rtl/>
          <w:lang w:val="he-IL"/>
        </w:rPr>
        <w:drawing>
          <wp:inline distT="0" distB="0" distL="0" distR="0" wp14:anchorId="2F8D9490" wp14:editId="47281120">
            <wp:extent cx="4679950" cy="2764790"/>
            <wp:effectExtent l="0" t="0" r="6350" b="0"/>
            <wp:docPr id="3788758" name="Picture 378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8" name="Picture 378875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764790"/>
                    </a:xfrm>
                    <a:prstGeom prst="rect">
                      <a:avLst/>
                    </a:prstGeom>
                  </pic:spPr>
                </pic:pic>
              </a:graphicData>
            </a:graphic>
          </wp:inline>
        </w:drawing>
      </w:r>
    </w:p>
    <w:p w14:paraId="615C6F9F" w14:textId="77777777" w:rsidR="006661BA" w:rsidRDefault="006661BA" w:rsidP="003D7AF5">
      <w:pPr>
        <w:pStyle w:val="71d"/>
        <w:spacing w:before="0"/>
        <w:rPr>
          <w:rtl/>
        </w:rPr>
      </w:pPr>
      <w:r>
        <w:rPr>
          <w:rFonts w:hint="cs"/>
          <w:rtl/>
        </w:rPr>
        <w:t>על פי נתוני הלשכה המרכזית לסטטיסטיקה, בעיבוד משרד מבקר המדינה</w:t>
      </w:r>
    </w:p>
    <w:p w14:paraId="6E11B2EB" w14:textId="77777777" w:rsidR="006661BA" w:rsidRDefault="006661BA" w:rsidP="00FE7C73">
      <w:pPr>
        <w:pStyle w:val="71f5"/>
        <w:rPr>
          <w:rtl/>
        </w:rPr>
      </w:pPr>
      <w:r>
        <w:rPr>
          <w:rFonts w:hint="cs"/>
          <w:rtl/>
        </w:rPr>
        <w:t>מהתרשים עולה כי עלות הפיתוח הצפויה של כל יח"ד גבוהה ביישובים שבהם הדירוג החברתי-כלכלי של האוכלוסייה נמוך יחסית לעלות הצפויה ביישובים שבהם הדירוג גבוה.</w:t>
      </w:r>
    </w:p>
    <w:p w14:paraId="6D6D5E2A" w14:textId="77777777" w:rsidR="006661BA" w:rsidRDefault="006661BA" w:rsidP="00FE7C73">
      <w:pPr>
        <w:pStyle w:val="7190"/>
        <w:rPr>
          <w:rtl/>
        </w:rPr>
      </w:pPr>
      <w:r w:rsidRPr="00FE7C73">
        <w:rPr>
          <w:rStyle w:val="71512Char"/>
          <w:rFonts w:hint="cs"/>
          <w:rtl/>
        </w:rPr>
        <w:t>סך התשלומים בפועל:</w:t>
      </w:r>
      <w:r>
        <w:rPr>
          <w:rFonts w:hint="cs"/>
          <w:rtl/>
        </w:rPr>
        <w:t xml:space="preserve"> לפי נתונים של רמ"י ומשרד הבינוי מיוני 2020, רמ"י ומשרד הבינוי שילמו לשם יישום הסכמי הגג כ-11.85 מיליארד ש"ח (כ-12.5%) מעלויות הפיתוח הצפויות המסתכמות בכ-95 מיליארד ש"ח, ובממוצע כ-370 מיליון ש"ח בעד כל הסכם. </w:t>
      </w:r>
    </w:p>
    <w:p w14:paraId="188D78CB" w14:textId="77777777" w:rsidR="006661BA" w:rsidRDefault="006661BA" w:rsidP="00FE7C73">
      <w:pPr>
        <w:pStyle w:val="7190"/>
        <w:rPr>
          <w:rtl/>
        </w:rPr>
      </w:pPr>
      <w:r>
        <w:rPr>
          <w:rFonts w:hint="cs"/>
          <w:rtl/>
        </w:rPr>
        <w:t>בתמונות שלהלן יוצגו פרויקטים שנכללו במסגרת הסכמי הגג:</w:t>
      </w:r>
    </w:p>
    <w:p w14:paraId="065FC40A" w14:textId="77777777" w:rsidR="006661BA" w:rsidRDefault="006661BA" w:rsidP="006661BA">
      <w:pPr>
        <w:jc w:val="center"/>
        <w:rPr>
          <w:b/>
          <w:bCs/>
          <w:rtl/>
        </w:rPr>
      </w:pPr>
    </w:p>
    <w:p w14:paraId="22F06144" w14:textId="77777777" w:rsidR="006661BA" w:rsidRDefault="006661BA" w:rsidP="00FE7C73">
      <w:pPr>
        <w:pStyle w:val="71b"/>
        <w:rPr>
          <w:rtl/>
        </w:rPr>
      </w:pPr>
      <w:r w:rsidRPr="00FE7C73">
        <w:rPr>
          <w:rFonts w:hint="cs"/>
          <w:b w:val="0"/>
          <w:bCs w:val="0"/>
          <w:rtl/>
        </w:rPr>
        <w:lastRenderedPageBreak/>
        <w:t>תמונה 1:</w:t>
      </w:r>
      <w:r>
        <w:rPr>
          <w:rFonts w:hint="cs"/>
          <w:rtl/>
        </w:rPr>
        <w:t xml:space="preserve"> מתחם מגורים שהוקם במסגרת הסכם הגג בקריית ביאליק </w:t>
      </w:r>
    </w:p>
    <w:p w14:paraId="7AD038EE" w14:textId="77777777" w:rsidR="006661BA" w:rsidRDefault="006661BA" w:rsidP="006661BA">
      <w:pPr>
        <w:rPr>
          <w:rtl/>
        </w:rPr>
      </w:pPr>
      <w:r>
        <w:rPr>
          <w:noProof/>
        </w:rPr>
        <w:drawing>
          <wp:inline distT="0" distB="0" distL="0" distR="0" wp14:anchorId="066E106E" wp14:editId="60695432">
            <wp:extent cx="4680000" cy="4413162"/>
            <wp:effectExtent l="0" t="0" r="6350" b="6985"/>
            <wp:docPr id="49"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3328" name="תמונה 1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80000" cy="4413162"/>
                    </a:xfrm>
                    <a:prstGeom prst="rect">
                      <a:avLst/>
                    </a:prstGeom>
                    <a:noFill/>
                    <a:ln>
                      <a:noFill/>
                    </a:ln>
                  </pic:spPr>
                </pic:pic>
              </a:graphicData>
            </a:graphic>
          </wp:inline>
        </w:drawing>
      </w:r>
    </w:p>
    <w:p w14:paraId="2124EA64" w14:textId="59113DC5" w:rsidR="006661BA" w:rsidRDefault="006661BA" w:rsidP="00FE7C73">
      <w:pPr>
        <w:pStyle w:val="71d"/>
        <w:rPr>
          <w:rtl/>
        </w:rPr>
      </w:pPr>
      <w:r>
        <w:rPr>
          <w:rFonts w:hint="cs"/>
          <w:rtl/>
        </w:rPr>
        <w:t>צולם על ידי צוות הביקורת במאי 2021</w:t>
      </w:r>
      <w:r w:rsidR="00675104">
        <w:rPr>
          <w:rFonts w:hint="cs"/>
          <w:rtl/>
        </w:rPr>
        <w:t>.</w:t>
      </w:r>
    </w:p>
    <w:p w14:paraId="6C9601A5" w14:textId="6B015FD8" w:rsidR="006661BA" w:rsidRDefault="00675104" w:rsidP="00FE7C73">
      <w:pPr>
        <w:pStyle w:val="71b"/>
        <w:rPr>
          <w:rtl/>
        </w:rPr>
      </w:pPr>
      <w:r>
        <w:rPr>
          <w:noProof/>
        </w:rPr>
        <w:lastRenderedPageBreak/>
        <w:drawing>
          <wp:anchor distT="0" distB="0" distL="114300" distR="114300" simplePos="0" relativeHeight="252116480" behindDoc="0" locked="0" layoutInCell="1" allowOverlap="1" wp14:anchorId="0A8FBEF9" wp14:editId="2EC6C2F4">
            <wp:simplePos x="0" y="0"/>
            <wp:positionH relativeFrom="column">
              <wp:posOffset>152400</wp:posOffset>
            </wp:positionH>
            <wp:positionV relativeFrom="paragraph">
              <wp:posOffset>242570</wp:posOffset>
            </wp:positionV>
            <wp:extent cx="4320000" cy="2900897"/>
            <wp:effectExtent l="0" t="0" r="4445" b="0"/>
            <wp:wrapSquare wrapText="bothSides"/>
            <wp:docPr id="3788737" name="תמונה 52" descr="20210520_10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4305" name="תמונה 21" descr="20210520_10280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320000" cy="2900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1BA" w:rsidRPr="00FE7C73">
        <w:rPr>
          <w:rFonts w:hint="cs"/>
          <w:b w:val="0"/>
          <w:bCs w:val="0"/>
          <w:rtl/>
        </w:rPr>
        <w:t>תמונה 2:</w:t>
      </w:r>
      <w:r w:rsidR="006661BA">
        <w:rPr>
          <w:rFonts w:hint="cs"/>
          <w:rtl/>
        </w:rPr>
        <w:t xml:space="preserve"> מתחם בפיתוח ובהקמה במסגרת הסכם הגג בבאר יעקב </w:t>
      </w:r>
    </w:p>
    <w:p w14:paraId="4D999E36" w14:textId="680EADB8" w:rsidR="006661BA" w:rsidRDefault="006661BA" w:rsidP="00675104">
      <w:pPr>
        <w:pStyle w:val="71d"/>
        <w:spacing w:before="0"/>
        <w:rPr>
          <w:rtl/>
        </w:rPr>
      </w:pPr>
      <w:r>
        <w:rPr>
          <w:rFonts w:hint="cs"/>
          <w:rtl/>
        </w:rPr>
        <w:t>צולם על ידי צוות הביקורת במאי 2021</w:t>
      </w:r>
    </w:p>
    <w:p w14:paraId="4555E59A" w14:textId="162585E4" w:rsidR="006661BA" w:rsidRDefault="00690450" w:rsidP="00FE7C73">
      <w:pPr>
        <w:pStyle w:val="71b"/>
        <w:rPr>
          <w:rtl/>
        </w:rPr>
      </w:pPr>
      <w:r>
        <w:rPr>
          <w:noProof/>
        </w:rPr>
        <w:drawing>
          <wp:anchor distT="0" distB="0" distL="114300" distR="114300" simplePos="0" relativeHeight="252117504" behindDoc="0" locked="0" layoutInCell="1" allowOverlap="1" wp14:anchorId="13775871" wp14:editId="3B0D1A04">
            <wp:simplePos x="0" y="0"/>
            <wp:positionH relativeFrom="column">
              <wp:posOffset>152400</wp:posOffset>
            </wp:positionH>
            <wp:positionV relativeFrom="paragraph">
              <wp:posOffset>217805</wp:posOffset>
            </wp:positionV>
            <wp:extent cx="4320000" cy="2995620"/>
            <wp:effectExtent l="0" t="0" r="4445" b="0"/>
            <wp:wrapSquare wrapText="bothSides"/>
            <wp:docPr id="3788744" name="תמונה 48" descr="20210520_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21273" name="תמונה 23" descr="20210520_10452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320000" cy="299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1BA" w:rsidRPr="00FE7C73">
        <w:rPr>
          <w:rFonts w:hint="cs"/>
          <w:b w:val="0"/>
          <w:bCs w:val="0"/>
          <w:rtl/>
        </w:rPr>
        <w:t>תמונה 3:</w:t>
      </w:r>
      <w:r w:rsidR="006661BA">
        <w:rPr>
          <w:rFonts w:hint="cs"/>
          <w:rtl/>
        </w:rPr>
        <w:t xml:space="preserve"> מתחם בפיתוח ובהקמה במסגרת הסכם הגג בבאר יעקב </w:t>
      </w:r>
    </w:p>
    <w:p w14:paraId="7FC88F21" w14:textId="7C02E559" w:rsidR="006661BA" w:rsidRDefault="006661BA" w:rsidP="00690450">
      <w:pPr>
        <w:pStyle w:val="71d"/>
        <w:spacing w:after="0"/>
        <w:rPr>
          <w:rtl/>
        </w:rPr>
      </w:pPr>
      <w:r>
        <w:rPr>
          <w:rFonts w:hint="cs"/>
          <w:rtl/>
        </w:rPr>
        <w:t>צולם על ידי צוות הביקורת במאי 2021</w:t>
      </w:r>
    </w:p>
    <w:p w14:paraId="4C27F05B" w14:textId="2AF22E76" w:rsidR="006661BA" w:rsidRDefault="006661BA" w:rsidP="006661BA">
      <w:pPr>
        <w:rPr>
          <w:sz w:val="22"/>
          <w:szCs w:val="22"/>
          <w:rtl/>
        </w:rPr>
      </w:pPr>
    </w:p>
    <w:p w14:paraId="47D3E354" w14:textId="544B4AE9" w:rsidR="00ED63E1" w:rsidRDefault="00ED63E1" w:rsidP="00CA3385">
      <w:pPr>
        <w:pStyle w:val="71316"/>
        <w:rPr>
          <w:rFonts w:eastAsiaTheme="majorEastAsia"/>
          <w:rtl/>
          <w:lang w:eastAsia="he-IL"/>
        </w:rPr>
      </w:pPr>
      <w:r>
        <w:rPr>
          <w:rFonts w:eastAsiaTheme="majorEastAsia" w:hint="cs"/>
          <w:rtl/>
          <w:lang w:eastAsia="he-IL"/>
        </w:rPr>
        <w:lastRenderedPageBreak/>
        <w:t>פעולות הביקורת</w:t>
      </w:r>
    </w:p>
    <w:p w14:paraId="6C876D3C" w14:textId="44120D43" w:rsidR="00ED63E1" w:rsidRDefault="00ED63E1" w:rsidP="00CA3385">
      <w:pPr>
        <w:pStyle w:val="7190"/>
        <w:rPr>
          <w:rtl/>
        </w:rPr>
      </w:pPr>
      <w:r>
        <w:rPr>
          <w:rFonts w:hint="cs"/>
          <w:rtl/>
          <w:lang w:eastAsia="he-IL"/>
        </w:rPr>
        <w:t>בחודשים מרץ 2020 - ינואר 2021 בדק מבקר המדינה כמה היבטים בהסכמי הגג שנחתמו עם רשויות מקומיות בשנים 2013 - 2020. בין היתר נבדקו</w:t>
      </w:r>
      <w:r>
        <w:rPr>
          <w:rFonts w:hint="cs"/>
          <w:rtl/>
        </w:rPr>
        <w:t xml:space="preserve"> שיעור העמידה בקצב שיווק הקרקעות למגורים, ההשפעות של הסכמי הגג על מצבן הפיננסי של הרשויות המקומיות, מידת ההלימה בין הסכמי הגג לעקרונות התוכנית האסטרטגית לדיור, היתרי בנייה</w:t>
      </w:r>
      <w:r w:rsidR="008424F5">
        <w:rPr>
          <w:rFonts w:hint="cs"/>
          <w:rtl/>
        </w:rPr>
        <w:t xml:space="preserve"> שהונפקו</w:t>
      </w:r>
      <w:r>
        <w:rPr>
          <w:rFonts w:hint="cs"/>
          <w:rtl/>
        </w:rPr>
        <w:t xml:space="preserve"> במסגרת הסכמי הגג, ומנגנונים להפחתת עלויות הפיתוח. הביקורת נעשתה ברמ"י ובמשרד הבינוי. בדיקות השלמה נעשו </w:t>
      </w:r>
      <w:r>
        <w:rPr>
          <w:rFonts w:hint="cs"/>
          <w:rtl/>
          <w:lang w:eastAsia="he-IL"/>
        </w:rPr>
        <w:t>במשרד האוצר, במשרד הפנים, ברשות הממשלתית להתחדשות עירונית (להלן - הרשות להתחדשות עירונית)</w:t>
      </w:r>
      <w:r>
        <w:rPr>
          <w:rFonts w:hint="cs"/>
          <w:rtl/>
        </w:rPr>
        <w:t xml:space="preserve"> ובכמה רשויות מקומיות</w:t>
      </w:r>
      <w:r>
        <w:rPr>
          <w:rStyle w:val="a9"/>
          <w:rtl/>
        </w:rPr>
        <w:footnoteReference w:id="39"/>
      </w:r>
      <w:r>
        <w:rPr>
          <w:rFonts w:hint="cs"/>
          <w:rtl/>
        </w:rPr>
        <w:t xml:space="preserve">. </w:t>
      </w:r>
    </w:p>
    <w:p w14:paraId="35093AA2" w14:textId="77777777" w:rsidR="00F94631" w:rsidRDefault="00F94631" w:rsidP="00CA3385">
      <w:pPr>
        <w:pStyle w:val="7190"/>
        <w:rPr>
          <w:rtl/>
        </w:rPr>
      </w:pPr>
    </w:p>
    <w:p w14:paraId="227688B1" w14:textId="6298C8E2" w:rsidR="00ED63E1" w:rsidRDefault="00ED63E1" w:rsidP="00CA3385">
      <w:pPr>
        <w:pStyle w:val="7120"/>
        <w:rPr>
          <w:rtl/>
        </w:rPr>
      </w:pPr>
      <w:r>
        <w:rPr>
          <w:rFonts w:hint="cs"/>
          <w:rtl/>
        </w:rPr>
        <w:t>מידת ההלימה בין הסכמי הגג לעקרונות התוכנית האסטרטגית לדיור</w:t>
      </w:r>
    </w:p>
    <w:p w14:paraId="54E31AC2" w14:textId="77777777" w:rsidR="00ED63E1" w:rsidRDefault="00ED63E1" w:rsidP="00CA3385">
      <w:pPr>
        <w:pStyle w:val="7190"/>
        <w:rPr>
          <w:rtl/>
        </w:rPr>
      </w:pPr>
      <w:r>
        <w:rPr>
          <w:rFonts w:hint="cs"/>
          <w:rtl/>
        </w:rPr>
        <w:t>בשנת 2015 הוקם צוות "אסטרטגיה דיור" בראשות מינהל התכנון, ובהשתתפות המועצה הלאומית לכלכלה ומשרד הבינוי (להלן - הצוות) כדי לקדם מענה איכותי לצורכי הדיור העתידיים של אוכלוסיית ישראל בעשורים הבאים ועל מנת שימליץ על הצעדים שיש לנקוט בטווח הבינוני והארוך כדי שייווצר שוק דיור מתפקד, המציע מוצר איכותי במחיר סביר, אשר נתמך על ידי כלל התשתיות הנדרשות. זאת על מנת למנוע מחסור תכנוני בעתיד, לשפר את יכולת התגובה של השוק והממשלה לאירועים לא צפויים וליצור סנכרון בין הקמת התשתיות להקמת מבני המגורים</w:t>
      </w:r>
      <w:r>
        <w:rPr>
          <w:rStyle w:val="a9"/>
          <w:rtl/>
        </w:rPr>
        <w:footnoteReference w:id="40"/>
      </w:r>
      <w:r>
        <w:rPr>
          <w:rFonts w:hint="cs"/>
          <w:rtl/>
        </w:rPr>
        <w:t xml:space="preserve">. </w:t>
      </w:r>
    </w:p>
    <w:p w14:paraId="67E5E638" w14:textId="77777777" w:rsidR="00ED63E1" w:rsidRDefault="00ED63E1" w:rsidP="00CA3385">
      <w:pPr>
        <w:pStyle w:val="7190"/>
        <w:rPr>
          <w:rtl/>
        </w:rPr>
      </w:pPr>
      <w:r>
        <w:rPr>
          <w:rFonts w:hint="cs"/>
          <w:rtl/>
        </w:rPr>
        <w:t>בהחלטת הממשלה ממרץ 2017</w:t>
      </w:r>
      <w:r>
        <w:rPr>
          <w:vertAlign w:val="superscript"/>
          <w:rtl/>
        </w:rPr>
        <w:footnoteReference w:id="41"/>
      </w:r>
      <w:r>
        <w:rPr>
          <w:rFonts w:hint="cs"/>
          <w:rtl/>
        </w:rPr>
        <w:t xml:space="preserve"> בנושא "תוכנית אסטרטגית לדיור" (להלן - ההחלטה על התוכנית האסטרטגית) אומצה תחזית צורכי הדיור של הצוות אשר הוצגה לקבינט הדיור בפברואר 2017, ולפיה בשנים 2017 - 2040 נדרשת בנייתן של כ-1.5 מיליון יח"ד כדי לספק את צורכי הדיור של האוכלוסייה בישראל. בהחלטה נקבעו יעדים בנושא מספר יחה"ד שתאשר מערכת התכנון, באופן שבשנים 2017 - 2040 יתוכננו 2.6 מיליון יח"ד, בחלוקה לפי תקופות, אזור גיאוגרפי, מגזר (יהודי או ערבי) ואופי הבנייה (התחדשות עירונית או בנייה חדשה)</w:t>
      </w:r>
      <w:r>
        <w:rPr>
          <w:rStyle w:val="a9"/>
          <w:rtl/>
        </w:rPr>
        <w:footnoteReference w:id="42"/>
      </w:r>
      <w:r>
        <w:rPr>
          <w:rFonts w:hint="cs"/>
          <w:rtl/>
        </w:rPr>
        <w:t xml:space="preserve">. במאי 2017 פרסם הצוות שהקימה הממשלה דוח בנושא "תוכנית אסטרטגית לדיור 2017 - 2040" (להלן - התוכנית האסטרטגית לדיור). </w:t>
      </w:r>
    </w:p>
    <w:p w14:paraId="029C69C0" w14:textId="77777777" w:rsidR="00ED63E1" w:rsidRDefault="00ED63E1" w:rsidP="00CA3385">
      <w:pPr>
        <w:pStyle w:val="7190"/>
        <w:rPr>
          <w:rtl/>
        </w:rPr>
      </w:pPr>
      <w:r>
        <w:rPr>
          <w:rFonts w:hint="cs"/>
          <w:rtl/>
        </w:rPr>
        <w:t xml:space="preserve">בהחלטה על התוכנית האסטרטגית נקבע גם כי על מנת להבטיח את קידום ההתיישבות ופיתוח הפריפריה מחד גיסא, ונוכח העובדה כי הקרקעות צפויות לאזול באזור המרכז והרצון למקסום </w:t>
      </w:r>
      <w:r>
        <w:rPr>
          <w:rFonts w:hint="cs"/>
          <w:rtl/>
        </w:rPr>
        <w:lastRenderedPageBreak/>
        <w:t>היתרונות הגלומים בציפוף אזור זה מאידך גיסא, תפרוסת יח"ד בין המחוזות השונים במדינה תותאם בין היתר לעקרונות אלה:</w:t>
      </w:r>
    </w:p>
    <w:p w14:paraId="7BBE07C8" w14:textId="38F77DFA" w:rsidR="00ED63E1" w:rsidRDefault="00ED63E1" w:rsidP="00CA3385">
      <w:pPr>
        <w:pStyle w:val="714"/>
      </w:pPr>
      <w:r>
        <w:rPr>
          <w:rFonts w:hint="cs"/>
          <w:rtl/>
        </w:rPr>
        <w:t>"הכוונת יחה"ד החדשות בדגש על ארבע המטרופולינים</w:t>
      </w:r>
      <w:r>
        <w:rPr>
          <w:rStyle w:val="a9"/>
          <w:rtl/>
        </w:rPr>
        <w:footnoteReference w:id="43"/>
      </w:r>
      <w:r>
        <w:rPr>
          <w:rFonts w:hint="cs"/>
          <w:rtl/>
        </w:rPr>
        <w:t xml:space="preserve"> (תל אביב, חיפה, ירושלים ובאר שבע)".</w:t>
      </w:r>
    </w:p>
    <w:p w14:paraId="0357EA5F" w14:textId="44B66908" w:rsidR="00ED63E1" w:rsidRDefault="00ED63E1" w:rsidP="00CA3385">
      <w:pPr>
        <w:pStyle w:val="714"/>
        <w:rPr>
          <w:rtl/>
        </w:rPr>
      </w:pPr>
      <w:r>
        <w:rPr>
          <w:rFonts w:hint="cs"/>
          <w:rtl/>
        </w:rPr>
        <w:t>האצה ניכרת של קצב ההתחדשות העירונית.</w:t>
      </w:r>
    </w:p>
    <w:p w14:paraId="0F6F7D68" w14:textId="2CCCE124" w:rsidR="00ED63E1" w:rsidRDefault="00ED63E1" w:rsidP="00CA3385">
      <w:pPr>
        <w:pStyle w:val="714"/>
        <w:rPr>
          <w:rtl/>
        </w:rPr>
      </w:pPr>
      <w:r>
        <w:rPr>
          <w:rFonts w:hint="cs"/>
          <w:rtl/>
        </w:rPr>
        <w:t>הסטת חלק מהביקושים החזויים ממחוז המרכז לנפות אשקלון, חיפה ובאר שבע</w:t>
      </w:r>
      <w:r>
        <w:rPr>
          <w:rStyle w:val="a9"/>
          <w:rtl/>
        </w:rPr>
        <w:footnoteReference w:id="44"/>
      </w:r>
      <w:r>
        <w:rPr>
          <w:rFonts w:hint="cs"/>
          <w:rtl/>
        </w:rPr>
        <w:t>.</w:t>
      </w:r>
    </w:p>
    <w:p w14:paraId="59A62CE5" w14:textId="77777777" w:rsidR="00ED63E1" w:rsidRPr="00CA3385" w:rsidRDefault="00ED63E1" w:rsidP="00800050">
      <w:pPr>
        <w:pStyle w:val="7190"/>
        <w:rPr>
          <w:rtl/>
        </w:rPr>
      </w:pPr>
      <w:r w:rsidRPr="00CA3385">
        <w:rPr>
          <w:rFonts w:hint="cs"/>
          <w:rtl/>
        </w:rPr>
        <w:t>משרד מבקר המדינה בדק את מידת ההלימה בין העקרונות לעיל שנקבעו בהחלטה על התוכנית האסטרטגית לבין מימושם במסגרת הסכמי הגג - אחד הכלים המשמעותיים של הממשלה לקידום הבנייה של יח"ד. כאמור, נכון לסוף 2020, נחתמו הסכמי גג הכוללים תוכניות להקמת כ-441,000 יח"ד, כאשר נדרשת בנייה של כ-1.5 מיליון יח"ד עד שנת 2040. להלן פירוט:</w:t>
      </w:r>
    </w:p>
    <w:p w14:paraId="63E5B44A" w14:textId="77777777" w:rsidR="00ED63E1" w:rsidRDefault="00ED63E1" w:rsidP="00800050">
      <w:pPr>
        <w:pStyle w:val="7190"/>
        <w:rPr>
          <w:rtl/>
        </w:rPr>
      </w:pPr>
      <w:r w:rsidRPr="00CA3385">
        <w:rPr>
          <w:rStyle w:val="717Char0"/>
          <w:rFonts w:hint="cs"/>
          <w:rtl/>
        </w:rPr>
        <w:t>הכוונת יחה"ד החדשות בדגש על ארבע המטרופולינים:</w:t>
      </w:r>
      <w:r>
        <w:rPr>
          <w:rStyle w:val="51"/>
          <w:rFonts w:hint="cs"/>
          <w:rtl/>
        </w:rPr>
        <w:t xml:space="preserve"> </w:t>
      </w:r>
      <w:r>
        <w:rPr>
          <w:rFonts w:hint="cs"/>
          <w:rtl/>
        </w:rPr>
        <w:t>בתרשים 6 להלן מוצגת התפלגות מספר יחה"ד (240,407 יח"ד) הכלולות בתוכניות שבהסכמי הגג שנחתמו בשנים 2017 - 2020, לאחר מועד קבלת ההחלטה על התוכנית האסטרטגית, ושיעורן מכלל יחה"ד הכלולות בתוכניות שבהסכמים כאמור, בהתאם להשתייכותן למטרופולינים כאמור לעיל:</w:t>
      </w:r>
    </w:p>
    <w:p w14:paraId="5393598A" w14:textId="0C529617" w:rsidR="00ED63E1" w:rsidRDefault="00F94631" w:rsidP="00632946">
      <w:pPr>
        <w:pStyle w:val="71b"/>
        <w:spacing w:before="120"/>
        <w:rPr>
          <w:rtl/>
        </w:rPr>
      </w:pPr>
      <w:r>
        <w:rPr>
          <w:noProof/>
          <w:rtl/>
          <w:lang w:val="he-IL"/>
        </w:rPr>
        <w:lastRenderedPageBreak/>
        <w:drawing>
          <wp:anchor distT="0" distB="0" distL="114300" distR="114300" simplePos="0" relativeHeight="252118528" behindDoc="0" locked="0" layoutInCell="1" allowOverlap="1" wp14:anchorId="51C1618A" wp14:editId="3B3D13B6">
            <wp:simplePos x="0" y="0"/>
            <wp:positionH relativeFrom="column">
              <wp:posOffset>502920</wp:posOffset>
            </wp:positionH>
            <wp:positionV relativeFrom="paragraph">
              <wp:posOffset>557530</wp:posOffset>
            </wp:positionV>
            <wp:extent cx="3675380" cy="2609850"/>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43" cstate="print">
                      <a:extLst>
                        <a:ext uri="{28A0092B-C50C-407E-A947-70E740481C1C}">
                          <a14:useLocalDpi xmlns:a14="http://schemas.microsoft.com/office/drawing/2010/main" val="0"/>
                        </a:ext>
                      </a:extLst>
                    </a:blip>
                    <a:srcRect t="7316" b="16766"/>
                    <a:stretch/>
                  </pic:blipFill>
                  <pic:spPr bwMode="auto">
                    <a:xfrm>
                      <a:off x="0" y="0"/>
                      <a:ext cx="3675380" cy="2609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63E1" w:rsidRPr="00CA3385">
        <w:rPr>
          <w:rFonts w:hint="cs"/>
          <w:b w:val="0"/>
          <w:bCs w:val="0"/>
          <w:rtl/>
        </w:rPr>
        <w:t>תרשים 6:</w:t>
      </w:r>
      <w:r w:rsidR="00ED63E1">
        <w:rPr>
          <w:rFonts w:hint="cs"/>
          <w:rtl/>
        </w:rPr>
        <w:t xml:space="preserve"> מספר יחה"ד שבתוכניות שבהסכמי גג שנחתמו החל ממרץ 2017, ושיעורן מכלל יחה"ד שבתוכניות שבהסכמים כאמור, בשיוך לפי מטרופולינים</w:t>
      </w:r>
      <w:r w:rsidR="00ED63E1">
        <w:rPr>
          <w:rStyle w:val="a9"/>
          <w:rtl/>
        </w:rPr>
        <w:footnoteReference w:id="45"/>
      </w:r>
    </w:p>
    <w:p w14:paraId="29551D6E" w14:textId="5BCA6B82" w:rsidR="00F94631" w:rsidRDefault="00F94631" w:rsidP="00CA3385">
      <w:pPr>
        <w:pStyle w:val="71b"/>
        <w:rPr>
          <w:rtl/>
        </w:rPr>
      </w:pPr>
    </w:p>
    <w:p w14:paraId="6D3D9D10" w14:textId="77777777" w:rsidR="00F94631" w:rsidRDefault="00F94631" w:rsidP="00ED4B74">
      <w:pPr>
        <w:pStyle w:val="71d"/>
        <w:rPr>
          <w:rtl/>
        </w:rPr>
      </w:pPr>
    </w:p>
    <w:p w14:paraId="1C7A9091" w14:textId="77777777" w:rsidR="00F94631" w:rsidRDefault="00F94631" w:rsidP="00ED4B74">
      <w:pPr>
        <w:pStyle w:val="71d"/>
        <w:rPr>
          <w:rtl/>
        </w:rPr>
      </w:pPr>
    </w:p>
    <w:p w14:paraId="5DE653A5" w14:textId="77777777" w:rsidR="00F94631" w:rsidRDefault="00F94631" w:rsidP="00ED4B74">
      <w:pPr>
        <w:pStyle w:val="71d"/>
        <w:rPr>
          <w:rtl/>
        </w:rPr>
      </w:pPr>
    </w:p>
    <w:p w14:paraId="4108B691" w14:textId="77777777" w:rsidR="00F94631" w:rsidRDefault="00F94631" w:rsidP="00ED4B74">
      <w:pPr>
        <w:pStyle w:val="71d"/>
        <w:rPr>
          <w:rtl/>
        </w:rPr>
      </w:pPr>
    </w:p>
    <w:p w14:paraId="5EAF9CB6" w14:textId="77777777" w:rsidR="00F94631" w:rsidRDefault="00F94631" w:rsidP="00ED4B74">
      <w:pPr>
        <w:pStyle w:val="71d"/>
        <w:rPr>
          <w:rtl/>
        </w:rPr>
      </w:pPr>
    </w:p>
    <w:p w14:paraId="542F10D7" w14:textId="77777777" w:rsidR="00F94631" w:rsidRDefault="00F94631" w:rsidP="00ED4B74">
      <w:pPr>
        <w:pStyle w:val="71d"/>
        <w:rPr>
          <w:rtl/>
        </w:rPr>
      </w:pPr>
    </w:p>
    <w:p w14:paraId="7563755B" w14:textId="77777777" w:rsidR="00F94631" w:rsidRDefault="00F94631" w:rsidP="00ED4B74">
      <w:pPr>
        <w:pStyle w:val="71d"/>
        <w:rPr>
          <w:rtl/>
        </w:rPr>
      </w:pPr>
    </w:p>
    <w:p w14:paraId="163AE5A2" w14:textId="77777777" w:rsidR="00F94631" w:rsidRDefault="00F94631" w:rsidP="00F94631">
      <w:pPr>
        <w:pStyle w:val="71d"/>
        <w:spacing w:before="240" w:after="0" w:line="140" w:lineRule="exact"/>
        <w:rPr>
          <w:rtl/>
        </w:rPr>
      </w:pPr>
    </w:p>
    <w:p w14:paraId="64232282" w14:textId="2ACD04B9" w:rsidR="00ED63E1" w:rsidRDefault="00ED4B74" w:rsidP="00632946">
      <w:pPr>
        <w:pStyle w:val="71d"/>
        <w:spacing w:before="0"/>
        <w:rPr>
          <w:rtl/>
        </w:rPr>
      </w:pPr>
      <w:r>
        <w:rPr>
          <w:rFonts w:hint="cs"/>
          <w:rtl/>
        </w:rPr>
        <w:t>ע</w:t>
      </w:r>
      <w:r w:rsidR="00ED63E1">
        <w:rPr>
          <w:rFonts w:hint="cs"/>
          <w:rtl/>
        </w:rPr>
        <w:t>ל פי נתוני רמ"י, בעיבוד משרד מבקר המדינה</w:t>
      </w:r>
      <w:r>
        <w:rPr>
          <w:rFonts w:hint="cs"/>
          <w:rtl/>
        </w:rPr>
        <w:t>.</w:t>
      </w:r>
    </w:p>
    <w:p w14:paraId="30414F2B" w14:textId="77777777" w:rsidR="00ED63E1" w:rsidRDefault="00ED63E1" w:rsidP="00ED4B74">
      <w:pPr>
        <w:pStyle w:val="71f5"/>
        <w:rPr>
          <w:rtl/>
        </w:rPr>
      </w:pPr>
      <w:r>
        <w:rPr>
          <w:rFonts w:hint="cs"/>
          <w:rtl/>
        </w:rPr>
        <w:t xml:space="preserve">מהתרשים עולה כי כ-187,000 (כ-77%) מיחה"ד הכלולות בתוכניות שבהסכמי הגג שנחתמו לאחר שהתקבלה ההחלטה על התוכנית האסטרטגית נכללים ביישובים המשתייכים למטרופולינים חיפה, תל אביב וירושלים, בהתאם להחלטה כאמור. אשר למטרופולין באר שבע, יצוין כי הסכם הגג עם באר שבע נחתם לפני שהתקבלה החלטת הממשלה משנת 2017. </w:t>
      </w:r>
    </w:p>
    <w:p w14:paraId="57840191" w14:textId="77777777" w:rsidR="00ED63E1" w:rsidRDefault="00ED63E1" w:rsidP="00ED4B74">
      <w:pPr>
        <w:pStyle w:val="7190"/>
        <w:rPr>
          <w:rtl/>
        </w:rPr>
      </w:pPr>
      <w:r w:rsidRPr="00ED4B74">
        <w:rPr>
          <w:rStyle w:val="717Char"/>
          <w:rFonts w:hint="cs"/>
          <w:rtl/>
        </w:rPr>
        <w:t>הסטת חלק מהביקושים החזויים ממחוז המרכז לנפות אשקלון, חיפה ובאר שבע:</w:t>
      </w:r>
      <w:r>
        <w:rPr>
          <w:rStyle w:val="51"/>
          <w:rFonts w:hint="cs"/>
          <w:rtl/>
        </w:rPr>
        <w:t xml:space="preserve"> </w:t>
      </w:r>
      <w:r>
        <w:rPr>
          <w:rFonts w:hint="cs"/>
          <w:rtl/>
        </w:rPr>
        <w:t>בתרשים 7 להלן מוצג מספר יחה"ד (240,407 יח"ד) הכלולות בתוכניות שבהסכמי הגג שנחתמו בשנים 2017 - 2020, לאחר קבלת ההחלטה על התוכנית האסטרטגית, ושיעורן מכלל יחה"ד הכלולות בתוכניות שבהסכמים בהתאם להשתייכותן למחוז מרכז ולנפות, כאמור לעיל, ולשאר חלקי הארץ:</w:t>
      </w:r>
    </w:p>
    <w:p w14:paraId="0590E988" w14:textId="00412EEC" w:rsidR="00ED63E1" w:rsidRDefault="00ED63E1" w:rsidP="00ED4B74">
      <w:pPr>
        <w:pStyle w:val="71b"/>
        <w:rPr>
          <w:rtl/>
        </w:rPr>
      </w:pPr>
      <w:r w:rsidRPr="00ED4B74">
        <w:rPr>
          <w:rFonts w:hint="cs"/>
          <w:b w:val="0"/>
          <w:bCs w:val="0"/>
          <w:rtl/>
        </w:rPr>
        <w:lastRenderedPageBreak/>
        <w:t>תרשים 7:</w:t>
      </w:r>
      <w:r>
        <w:rPr>
          <w:rFonts w:hint="cs"/>
          <w:rtl/>
        </w:rPr>
        <w:t xml:space="preserve"> מספר יחה"ד שבתוכניות הכלולות בהסכמי גג בחלוקה לפי מחוז מרכז, נפות אשקלון, חיפה ובאר שבע ושאר חלקי הארץ, ושיעורן מכלל יחה"ד הכלולות בתוכניות שבהסכמים</w:t>
      </w:r>
      <w:r>
        <w:rPr>
          <w:rStyle w:val="a9"/>
          <w:rtl/>
        </w:rPr>
        <w:footnoteReference w:id="46"/>
      </w:r>
    </w:p>
    <w:p w14:paraId="581F6A91" w14:textId="5FB1BF57" w:rsidR="00E3333D" w:rsidRDefault="00E3333D" w:rsidP="00ED4B74">
      <w:pPr>
        <w:pStyle w:val="71b"/>
        <w:rPr>
          <w:rtl/>
        </w:rPr>
      </w:pPr>
      <w:r>
        <w:rPr>
          <w:noProof/>
          <w:rtl/>
          <w:lang w:val="he-IL"/>
        </w:rPr>
        <w:drawing>
          <wp:anchor distT="0" distB="0" distL="114300" distR="114300" simplePos="0" relativeHeight="252135936" behindDoc="0" locked="0" layoutInCell="1" allowOverlap="1" wp14:anchorId="48861664" wp14:editId="0D9AFB53">
            <wp:simplePos x="0" y="0"/>
            <wp:positionH relativeFrom="column">
              <wp:posOffset>496570</wp:posOffset>
            </wp:positionH>
            <wp:positionV relativeFrom="paragraph">
              <wp:posOffset>24130</wp:posOffset>
            </wp:positionV>
            <wp:extent cx="3666490" cy="2590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44" cstate="print">
                      <a:extLst>
                        <a:ext uri="{28A0092B-C50C-407E-A947-70E740481C1C}">
                          <a14:useLocalDpi xmlns:a14="http://schemas.microsoft.com/office/drawing/2010/main" val="0"/>
                        </a:ext>
                      </a:extLst>
                    </a:blip>
                    <a:srcRect t="10186" b="14253"/>
                    <a:stretch/>
                  </pic:blipFill>
                  <pic:spPr bwMode="auto">
                    <a:xfrm>
                      <a:off x="0" y="0"/>
                      <a:ext cx="3666490" cy="2590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5BB2FE" w14:textId="6AE2F888" w:rsidR="00ED63E1" w:rsidRDefault="00ED63E1" w:rsidP="00ED63E1">
      <w:pPr>
        <w:rPr>
          <w:b/>
          <w:bCs/>
          <w:rtl/>
        </w:rPr>
      </w:pPr>
    </w:p>
    <w:p w14:paraId="0BEC1FF1" w14:textId="77777777" w:rsidR="0014244D" w:rsidRDefault="0014244D" w:rsidP="00ED4B74">
      <w:pPr>
        <w:pStyle w:val="71d"/>
        <w:rPr>
          <w:rtl/>
        </w:rPr>
      </w:pPr>
    </w:p>
    <w:p w14:paraId="09B2B241" w14:textId="77777777" w:rsidR="0014244D" w:rsidRDefault="0014244D" w:rsidP="00ED4B74">
      <w:pPr>
        <w:pStyle w:val="71d"/>
        <w:rPr>
          <w:rtl/>
        </w:rPr>
      </w:pPr>
    </w:p>
    <w:p w14:paraId="2180FE56" w14:textId="77777777" w:rsidR="0014244D" w:rsidRDefault="0014244D" w:rsidP="00ED4B74">
      <w:pPr>
        <w:pStyle w:val="71d"/>
        <w:rPr>
          <w:rtl/>
        </w:rPr>
      </w:pPr>
    </w:p>
    <w:p w14:paraId="501FDB7E" w14:textId="77777777" w:rsidR="0014244D" w:rsidRDefault="0014244D" w:rsidP="00ED4B74">
      <w:pPr>
        <w:pStyle w:val="71d"/>
        <w:rPr>
          <w:rtl/>
        </w:rPr>
      </w:pPr>
    </w:p>
    <w:p w14:paraId="7DCEBE53" w14:textId="77777777" w:rsidR="0014244D" w:rsidRDefault="0014244D" w:rsidP="00ED4B74">
      <w:pPr>
        <w:pStyle w:val="71d"/>
        <w:rPr>
          <w:rtl/>
        </w:rPr>
      </w:pPr>
    </w:p>
    <w:p w14:paraId="659152CE" w14:textId="77777777" w:rsidR="0014244D" w:rsidRDefault="0014244D" w:rsidP="00ED4B74">
      <w:pPr>
        <w:pStyle w:val="71d"/>
        <w:rPr>
          <w:rtl/>
        </w:rPr>
      </w:pPr>
    </w:p>
    <w:p w14:paraId="10289D20" w14:textId="77777777" w:rsidR="00E3333D" w:rsidRDefault="00E3333D" w:rsidP="00E3333D">
      <w:pPr>
        <w:pStyle w:val="71d"/>
        <w:spacing w:before="0" w:after="0"/>
        <w:rPr>
          <w:rtl/>
        </w:rPr>
      </w:pPr>
    </w:p>
    <w:p w14:paraId="0FEE70AD" w14:textId="0DA8649D" w:rsidR="00ED63E1" w:rsidRDefault="00ED63E1" w:rsidP="00E3333D">
      <w:pPr>
        <w:pStyle w:val="71d"/>
        <w:spacing w:before="0"/>
        <w:rPr>
          <w:szCs w:val="20"/>
          <w:rtl/>
        </w:rPr>
      </w:pPr>
      <w:r>
        <w:rPr>
          <w:rFonts w:hint="cs"/>
          <w:rtl/>
        </w:rPr>
        <w:t>על פי נתוני רמ"י, בעיבוד משרד מבקר המדינה</w:t>
      </w:r>
      <w:r>
        <w:rPr>
          <w:rFonts w:hint="cs"/>
          <w:szCs w:val="20"/>
          <w:rtl/>
        </w:rPr>
        <w:t>.</w:t>
      </w:r>
    </w:p>
    <w:p w14:paraId="4E099A5C" w14:textId="77777777" w:rsidR="00ED63E1" w:rsidRDefault="00ED63E1" w:rsidP="00ED4B74">
      <w:pPr>
        <w:pStyle w:val="71f5"/>
        <w:rPr>
          <w:rtl/>
        </w:rPr>
      </w:pPr>
      <w:r>
        <w:rPr>
          <w:rFonts w:hint="cs"/>
          <w:rtl/>
        </w:rPr>
        <w:t>מהתרשים עולה כי כ-119,000 (כ-50%) מיחה"ד הכלולות בתוכניות שבהסכמי הגג שנחתמו לאחר שהתקבלה ההחלטה על התוכנית האסטרטגית משתייכות לנפות באר שבע, אשקלון וחיפה, וכי כ-42,000 (17%) מיחה"ד שוכנות ביישובים המשתייכים למחוז מרכז.</w:t>
      </w:r>
    </w:p>
    <w:p w14:paraId="2AA4F7D7" w14:textId="77777777" w:rsidR="00ED63E1" w:rsidRDefault="00ED63E1" w:rsidP="00920AF2">
      <w:pPr>
        <w:pStyle w:val="7190"/>
        <w:rPr>
          <w:rtl/>
        </w:rPr>
      </w:pPr>
      <w:r w:rsidRPr="00920AF2">
        <w:rPr>
          <w:rStyle w:val="717Char0"/>
          <w:rFonts w:hint="cs"/>
          <w:rtl/>
        </w:rPr>
        <w:t>התחדשות עירונית:</w:t>
      </w:r>
      <w:r>
        <w:rPr>
          <w:rStyle w:val="719"/>
          <w:rFonts w:hint="cs"/>
          <w:rtl/>
        </w:rPr>
        <w:t xml:space="preserve"> </w:t>
      </w:r>
      <w:r>
        <w:rPr>
          <w:rFonts w:hint="cs"/>
          <w:rtl/>
        </w:rPr>
        <w:t>בתוכנית האסטרטגית לדיור נקבע כי ללא התחדשות עירונית בהיקפים גדולים, תעמוד מדינת ישראל בפני קושי תכנוני ממשי של אזילת הקרקעות הפנויות המיועדות לבינוי במרכז הארץ, ואם יימשך הבינוי של פרויקטים להתחדשות עירונית בקצב הקיים כיום, צפוי מחסור של כ-420,000 יח"ד עד שנת 2040</w:t>
      </w:r>
      <w:r w:rsidRPr="00920AF2">
        <w:rPr>
          <w:rStyle w:val="a9"/>
          <w:b/>
          <w:rtl/>
        </w:rPr>
        <w:footnoteReference w:id="47"/>
      </w:r>
      <w:r>
        <w:rPr>
          <w:rFonts w:hint="cs"/>
          <w:rtl/>
        </w:rPr>
        <w:t xml:space="preserve">. </w:t>
      </w:r>
    </w:p>
    <w:p w14:paraId="38310605" w14:textId="77777777" w:rsidR="00ED63E1" w:rsidRDefault="00ED63E1" w:rsidP="00920AF2">
      <w:pPr>
        <w:pStyle w:val="7190"/>
        <w:rPr>
          <w:rtl/>
        </w:rPr>
      </w:pPr>
      <w:r>
        <w:rPr>
          <w:rFonts w:hint="cs"/>
          <w:rtl/>
        </w:rPr>
        <w:t>בהתאם לכך נקבע בהחלטה על התוכנית האסטרטגית כי שיעור מסוים מיחה"ד שיאשרו מוסדות התכנון עד שנת 2040 יהיו במסגרת תוכניות להתחדשות עירונית. להלן בלוח 2 יפורט שיעור ההתחדשות העירונית מתוך יעדי התכנון המחוזיים השנתיים, לפי תקופות:</w:t>
      </w:r>
    </w:p>
    <w:p w14:paraId="3D7ECC4A" w14:textId="77777777" w:rsidR="00ED63E1" w:rsidRDefault="00ED63E1" w:rsidP="00D03930">
      <w:pPr>
        <w:pStyle w:val="71b"/>
        <w:rPr>
          <w:rtl/>
        </w:rPr>
      </w:pPr>
      <w:r w:rsidRPr="00D03930">
        <w:rPr>
          <w:rFonts w:hint="cs"/>
          <w:b w:val="0"/>
          <w:bCs w:val="0"/>
          <w:rtl/>
        </w:rPr>
        <w:lastRenderedPageBreak/>
        <w:t>לוח 2:</w:t>
      </w:r>
      <w:r>
        <w:rPr>
          <w:rFonts w:hint="cs"/>
          <w:rtl/>
        </w:rPr>
        <w:t xml:space="preserve"> שיעור ההתחדשות העירונית מתוך יעדי התכנון המחוזיים השנתיים, לפי תקופות</w:t>
      </w:r>
    </w:p>
    <w:tbl>
      <w:tblPr>
        <w:tblStyle w:val="2-5"/>
        <w:bidiVisual/>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1083"/>
        <w:gridCol w:w="1399"/>
        <w:gridCol w:w="1628"/>
        <w:gridCol w:w="1628"/>
        <w:gridCol w:w="1626"/>
      </w:tblGrid>
      <w:tr w:rsidR="00590A30" w14:paraId="0ED79847" w14:textId="77777777" w:rsidTr="00590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Borders>
              <w:top w:val="none" w:sz="0" w:space="0" w:color="auto"/>
              <w:bottom w:val="nil"/>
              <w:right w:val="none" w:sz="0" w:space="0" w:color="auto"/>
            </w:tcBorders>
            <w:shd w:val="clear" w:color="auto" w:fill="C6DCE4"/>
            <w:hideMark/>
          </w:tcPr>
          <w:p w14:paraId="0D7B137A" w14:textId="77777777" w:rsidR="00ED63E1" w:rsidRDefault="00ED63E1" w:rsidP="00D03930">
            <w:pPr>
              <w:pStyle w:val="71R"/>
              <w:rPr>
                <w:rtl/>
              </w:rPr>
            </w:pPr>
            <w:r>
              <w:rPr>
                <w:rFonts w:hint="cs"/>
                <w:rtl/>
              </w:rPr>
              <w:t>המחוז</w:t>
            </w:r>
          </w:p>
        </w:tc>
        <w:tc>
          <w:tcPr>
            <w:tcW w:w="1400" w:type="dxa"/>
            <w:tcBorders>
              <w:top w:val="none" w:sz="0" w:space="0" w:color="auto"/>
              <w:left w:val="none" w:sz="0" w:space="0" w:color="auto"/>
              <w:bottom w:val="nil"/>
              <w:right w:val="none" w:sz="0" w:space="0" w:color="auto"/>
            </w:tcBorders>
            <w:shd w:val="clear" w:color="auto" w:fill="C6DCE4"/>
            <w:hideMark/>
          </w:tcPr>
          <w:p w14:paraId="45A6F168" w14:textId="6B549817"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2017 - 2020 </w:t>
            </w:r>
          </w:p>
        </w:tc>
        <w:tc>
          <w:tcPr>
            <w:tcW w:w="1630" w:type="dxa"/>
            <w:tcBorders>
              <w:top w:val="none" w:sz="0" w:space="0" w:color="auto"/>
              <w:left w:val="none" w:sz="0" w:space="0" w:color="auto"/>
              <w:bottom w:val="nil"/>
              <w:right w:val="none" w:sz="0" w:space="0" w:color="auto"/>
            </w:tcBorders>
            <w:shd w:val="clear" w:color="auto" w:fill="C6DCE4"/>
            <w:hideMark/>
          </w:tcPr>
          <w:p w14:paraId="30880490" w14:textId="55B4413E"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2021 - 2025</w:t>
            </w:r>
          </w:p>
        </w:tc>
        <w:tc>
          <w:tcPr>
            <w:tcW w:w="1630" w:type="dxa"/>
            <w:tcBorders>
              <w:top w:val="none" w:sz="0" w:space="0" w:color="auto"/>
              <w:left w:val="none" w:sz="0" w:space="0" w:color="auto"/>
              <w:bottom w:val="nil"/>
              <w:right w:val="none" w:sz="0" w:space="0" w:color="auto"/>
            </w:tcBorders>
            <w:shd w:val="clear" w:color="auto" w:fill="C6DCE4"/>
            <w:hideMark/>
          </w:tcPr>
          <w:p w14:paraId="6D23E3B9" w14:textId="649602C0"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2026 - 2030</w:t>
            </w:r>
          </w:p>
        </w:tc>
        <w:tc>
          <w:tcPr>
            <w:tcW w:w="1627" w:type="dxa"/>
            <w:tcBorders>
              <w:top w:val="none" w:sz="0" w:space="0" w:color="auto"/>
              <w:left w:val="none" w:sz="0" w:space="0" w:color="auto"/>
              <w:bottom w:val="nil"/>
            </w:tcBorders>
            <w:shd w:val="clear" w:color="auto" w:fill="C6DCE4"/>
            <w:hideMark/>
          </w:tcPr>
          <w:p w14:paraId="14E42120" w14:textId="0B355DD6"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2031 - 2040</w:t>
            </w:r>
          </w:p>
        </w:tc>
      </w:tr>
      <w:tr w:rsidR="00D03930" w14:paraId="2EFBD111"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DBE8EE"/>
            <w:hideMark/>
          </w:tcPr>
          <w:p w14:paraId="7FF9927D" w14:textId="77777777" w:rsidR="00ED63E1" w:rsidRDefault="00ED63E1" w:rsidP="00D03930">
            <w:pPr>
              <w:pStyle w:val="71R"/>
              <w:rPr>
                <w:rtl/>
              </w:rPr>
            </w:pPr>
            <w:r>
              <w:rPr>
                <w:rFonts w:hint="cs"/>
                <w:rtl/>
              </w:rPr>
              <w:t>צפון</w:t>
            </w:r>
          </w:p>
        </w:tc>
        <w:tc>
          <w:tcPr>
            <w:tcW w:w="1400" w:type="dxa"/>
            <w:shd w:val="clear" w:color="auto" w:fill="DBE8EE"/>
            <w:hideMark/>
          </w:tcPr>
          <w:p w14:paraId="2475B62E"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10% - 1,800 יח"ד</w:t>
            </w:r>
          </w:p>
        </w:tc>
        <w:tc>
          <w:tcPr>
            <w:tcW w:w="1630" w:type="dxa"/>
            <w:shd w:val="clear" w:color="auto" w:fill="DBE8EE"/>
            <w:hideMark/>
          </w:tcPr>
          <w:p w14:paraId="52DAC46C"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15% - 2,775 יח"ד</w:t>
            </w:r>
          </w:p>
        </w:tc>
        <w:tc>
          <w:tcPr>
            <w:tcW w:w="1630" w:type="dxa"/>
            <w:shd w:val="clear" w:color="auto" w:fill="DBE8EE"/>
            <w:hideMark/>
          </w:tcPr>
          <w:p w14:paraId="2DAE488A"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- 3,520 יח"ד</w:t>
            </w:r>
          </w:p>
        </w:tc>
        <w:tc>
          <w:tcPr>
            <w:tcW w:w="1627" w:type="dxa"/>
            <w:shd w:val="clear" w:color="auto" w:fill="DBE8EE"/>
            <w:hideMark/>
          </w:tcPr>
          <w:p w14:paraId="12219FCA"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- 3,760 יח"ד</w:t>
            </w:r>
          </w:p>
        </w:tc>
      </w:tr>
      <w:tr w:rsidR="00590A30" w14:paraId="328DF655" w14:textId="77777777" w:rsidTr="00590A30">
        <w:tc>
          <w:tcPr>
            <w:cnfStyle w:val="001000000000" w:firstRow="0" w:lastRow="0" w:firstColumn="1" w:lastColumn="0" w:oddVBand="0" w:evenVBand="0" w:oddHBand="0" w:evenHBand="0" w:firstRowFirstColumn="0" w:firstRowLastColumn="0" w:lastRowFirstColumn="0" w:lastRowLastColumn="0"/>
            <w:tcW w:w="1083" w:type="dxa"/>
            <w:tcBorders>
              <w:bottom w:val="nil"/>
            </w:tcBorders>
            <w:shd w:val="clear" w:color="auto" w:fill="ECF4F5"/>
            <w:hideMark/>
          </w:tcPr>
          <w:p w14:paraId="0D9033FF" w14:textId="77777777" w:rsidR="00ED63E1" w:rsidRDefault="00ED63E1" w:rsidP="00D03930">
            <w:pPr>
              <w:pStyle w:val="71R"/>
              <w:rPr>
                <w:rtl/>
              </w:rPr>
            </w:pPr>
            <w:r>
              <w:rPr>
                <w:rFonts w:hint="cs"/>
                <w:rtl/>
              </w:rPr>
              <w:t>חיפה</w:t>
            </w:r>
          </w:p>
        </w:tc>
        <w:tc>
          <w:tcPr>
            <w:tcW w:w="1400" w:type="dxa"/>
            <w:tcBorders>
              <w:bottom w:val="nil"/>
            </w:tcBorders>
            <w:shd w:val="clear" w:color="auto" w:fill="ECF4F5"/>
            <w:hideMark/>
          </w:tcPr>
          <w:p w14:paraId="702787AA"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20% - 2,600 יח"ד</w:t>
            </w:r>
          </w:p>
        </w:tc>
        <w:tc>
          <w:tcPr>
            <w:tcW w:w="1630" w:type="dxa"/>
            <w:tcBorders>
              <w:bottom w:val="nil"/>
            </w:tcBorders>
            <w:shd w:val="clear" w:color="auto" w:fill="ECF4F5"/>
            <w:hideMark/>
          </w:tcPr>
          <w:p w14:paraId="378C7048"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30% - 3,570 יח"ד</w:t>
            </w:r>
          </w:p>
        </w:tc>
        <w:tc>
          <w:tcPr>
            <w:tcW w:w="1630" w:type="dxa"/>
            <w:tcBorders>
              <w:bottom w:val="nil"/>
            </w:tcBorders>
            <w:shd w:val="clear" w:color="auto" w:fill="ECF4F5"/>
            <w:hideMark/>
          </w:tcPr>
          <w:p w14:paraId="21BC46CF"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40% - 5,000 יח"ד</w:t>
            </w:r>
          </w:p>
        </w:tc>
        <w:tc>
          <w:tcPr>
            <w:tcW w:w="1627" w:type="dxa"/>
            <w:tcBorders>
              <w:bottom w:val="nil"/>
            </w:tcBorders>
            <w:shd w:val="clear" w:color="auto" w:fill="ECF4F5"/>
            <w:hideMark/>
          </w:tcPr>
          <w:p w14:paraId="4EF54612"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40% - 5,640 יח"ד</w:t>
            </w:r>
          </w:p>
        </w:tc>
      </w:tr>
      <w:tr w:rsidR="00D03930" w14:paraId="6126A33F"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DBE8EE"/>
            <w:hideMark/>
          </w:tcPr>
          <w:p w14:paraId="0B2FF3E6" w14:textId="77777777" w:rsidR="00ED63E1" w:rsidRDefault="00ED63E1" w:rsidP="00D03930">
            <w:pPr>
              <w:pStyle w:val="71R"/>
              <w:rPr>
                <w:rtl/>
              </w:rPr>
            </w:pPr>
            <w:r>
              <w:rPr>
                <w:rFonts w:hint="cs"/>
                <w:rtl/>
              </w:rPr>
              <w:t>מרכז</w:t>
            </w:r>
          </w:p>
        </w:tc>
        <w:tc>
          <w:tcPr>
            <w:tcW w:w="1400" w:type="dxa"/>
            <w:shd w:val="clear" w:color="auto" w:fill="DBE8EE"/>
            <w:hideMark/>
          </w:tcPr>
          <w:p w14:paraId="49AC69F0"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- 5,500 יח"ד</w:t>
            </w:r>
          </w:p>
        </w:tc>
        <w:tc>
          <w:tcPr>
            <w:tcW w:w="1630" w:type="dxa"/>
            <w:shd w:val="clear" w:color="auto" w:fill="DBE8EE"/>
            <w:hideMark/>
          </w:tcPr>
          <w:p w14:paraId="7668FC8B"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30% - 7,650 יח"ד</w:t>
            </w:r>
          </w:p>
        </w:tc>
        <w:tc>
          <w:tcPr>
            <w:tcW w:w="1630" w:type="dxa"/>
            <w:shd w:val="clear" w:color="auto" w:fill="DBE8EE"/>
            <w:hideMark/>
          </w:tcPr>
          <w:p w14:paraId="34AD50F7"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40% - 9,800 יח"ד</w:t>
            </w:r>
          </w:p>
        </w:tc>
        <w:tc>
          <w:tcPr>
            <w:tcW w:w="1627" w:type="dxa"/>
            <w:shd w:val="clear" w:color="auto" w:fill="DBE8EE"/>
            <w:hideMark/>
          </w:tcPr>
          <w:p w14:paraId="7807DFEE"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40% - 10,920 יח"ד</w:t>
            </w:r>
          </w:p>
        </w:tc>
      </w:tr>
      <w:tr w:rsidR="00590A30" w14:paraId="72C1C860" w14:textId="77777777" w:rsidTr="00590A30">
        <w:tc>
          <w:tcPr>
            <w:cnfStyle w:val="001000000000" w:firstRow="0" w:lastRow="0" w:firstColumn="1" w:lastColumn="0" w:oddVBand="0" w:evenVBand="0" w:oddHBand="0" w:evenHBand="0" w:firstRowFirstColumn="0" w:firstRowLastColumn="0" w:lastRowFirstColumn="0" w:lastRowLastColumn="0"/>
            <w:tcW w:w="1083" w:type="dxa"/>
            <w:tcBorders>
              <w:bottom w:val="nil"/>
            </w:tcBorders>
            <w:shd w:val="clear" w:color="auto" w:fill="ECF4F5"/>
            <w:hideMark/>
          </w:tcPr>
          <w:p w14:paraId="22519668" w14:textId="77777777" w:rsidR="00ED63E1" w:rsidRDefault="00ED63E1" w:rsidP="00D03930">
            <w:pPr>
              <w:pStyle w:val="71R"/>
              <w:rPr>
                <w:rtl/>
              </w:rPr>
            </w:pPr>
            <w:r>
              <w:rPr>
                <w:rFonts w:hint="cs"/>
                <w:rtl/>
              </w:rPr>
              <w:t>תל אביב</w:t>
            </w:r>
          </w:p>
        </w:tc>
        <w:tc>
          <w:tcPr>
            <w:tcW w:w="1400" w:type="dxa"/>
            <w:tcBorders>
              <w:bottom w:val="nil"/>
            </w:tcBorders>
            <w:shd w:val="clear" w:color="auto" w:fill="ECF4F5"/>
            <w:hideMark/>
          </w:tcPr>
          <w:p w14:paraId="2F03EA8D"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40% - 6,200 יח"ד</w:t>
            </w:r>
          </w:p>
        </w:tc>
        <w:tc>
          <w:tcPr>
            <w:tcW w:w="1630" w:type="dxa"/>
            <w:tcBorders>
              <w:bottom w:val="nil"/>
            </w:tcBorders>
            <w:shd w:val="clear" w:color="auto" w:fill="ECF4F5"/>
            <w:hideMark/>
          </w:tcPr>
          <w:p w14:paraId="4449E3BC"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50% - 8,200 יח"ד</w:t>
            </w:r>
          </w:p>
        </w:tc>
        <w:tc>
          <w:tcPr>
            <w:tcW w:w="1630" w:type="dxa"/>
            <w:tcBorders>
              <w:bottom w:val="nil"/>
            </w:tcBorders>
            <w:shd w:val="clear" w:color="auto" w:fill="ECF4F5"/>
            <w:hideMark/>
          </w:tcPr>
          <w:p w14:paraId="61B28C32"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60% - 10,620 יח"ד</w:t>
            </w:r>
          </w:p>
        </w:tc>
        <w:tc>
          <w:tcPr>
            <w:tcW w:w="1627" w:type="dxa"/>
            <w:tcBorders>
              <w:bottom w:val="nil"/>
            </w:tcBorders>
            <w:shd w:val="clear" w:color="auto" w:fill="ECF4F5"/>
            <w:hideMark/>
          </w:tcPr>
          <w:p w14:paraId="19B93F65"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60% - 12,240 יח"ד</w:t>
            </w:r>
          </w:p>
        </w:tc>
      </w:tr>
      <w:tr w:rsidR="00D03930" w14:paraId="5E9D442B"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DBE8EE"/>
            <w:hideMark/>
          </w:tcPr>
          <w:p w14:paraId="0F30FE0B" w14:textId="77777777" w:rsidR="00ED63E1" w:rsidRDefault="00ED63E1" w:rsidP="00D03930">
            <w:pPr>
              <w:pStyle w:val="71R"/>
              <w:rPr>
                <w:rtl/>
              </w:rPr>
            </w:pPr>
            <w:r>
              <w:rPr>
                <w:rFonts w:hint="cs"/>
                <w:rtl/>
              </w:rPr>
              <w:t>ירושלים</w:t>
            </w:r>
          </w:p>
        </w:tc>
        <w:tc>
          <w:tcPr>
            <w:tcW w:w="1400" w:type="dxa"/>
            <w:shd w:val="clear" w:color="auto" w:fill="DBE8EE"/>
            <w:hideMark/>
          </w:tcPr>
          <w:p w14:paraId="658EA683"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12% - 1,380 יח"ד</w:t>
            </w:r>
          </w:p>
        </w:tc>
        <w:tc>
          <w:tcPr>
            <w:tcW w:w="1630" w:type="dxa"/>
            <w:shd w:val="clear" w:color="auto" w:fill="DBE8EE"/>
            <w:hideMark/>
          </w:tcPr>
          <w:p w14:paraId="2C96EA79"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- 2,460 יח"ד</w:t>
            </w:r>
          </w:p>
        </w:tc>
        <w:tc>
          <w:tcPr>
            <w:tcW w:w="1630" w:type="dxa"/>
            <w:shd w:val="clear" w:color="auto" w:fill="DBE8EE"/>
            <w:hideMark/>
          </w:tcPr>
          <w:p w14:paraId="34ADF99A"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30% - 3,600 יח"ד</w:t>
            </w:r>
          </w:p>
        </w:tc>
        <w:tc>
          <w:tcPr>
            <w:tcW w:w="1627" w:type="dxa"/>
            <w:shd w:val="clear" w:color="auto" w:fill="DBE8EE"/>
            <w:hideMark/>
          </w:tcPr>
          <w:p w14:paraId="114D5407"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30% - 3,900 יח"ד</w:t>
            </w:r>
          </w:p>
        </w:tc>
      </w:tr>
      <w:tr w:rsidR="00590A30" w14:paraId="55C210D3" w14:textId="77777777" w:rsidTr="00590A30">
        <w:tc>
          <w:tcPr>
            <w:cnfStyle w:val="001000000000" w:firstRow="0" w:lastRow="0" w:firstColumn="1" w:lastColumn="0" w:oddVBand="0" w:evenVBand="0" w:oddHBand="0" w:evenHBand="0" w:firstRowFirstColumn="0" w:firstRowLastColumn="0" w:lastRowFirstColumn="0" w:lastRowLastColumn="0"/>
            <w:tcW w:w="1083" w:type="dxa"/>
            <w:tcBorders>
              <w:bottom w:val="nil"/>
            </w:tcBorders>
            <w:shd w:val="clear" w:color="auto" w:fill="ECF4F5"/>
            <w:hideMark/>
          </w:tcPr>
          <w:p w14:paraId="524D053B" w14:textId="77777777" w:rsidR="00ED63E1" w:rsidRDefault="00ED63E1" w:rsidP="00D03930">
            <w:pPr>
              <w:pStyle w:val="71R"/>
              <w:rPr>
                <w:rtl/>
              </w:rPr>
            </w:pPr>
            <w:r>
              <w:rPr>
                <w:rFonts w:hint="cs"/>
                <w:rtl/>
              </w:rPr>
              <w:t>דרום</w:t>
            </w:r>
          </w:p>
        </w:tc>
        <w:tc>
          <w:tcPr>
            <w:tcW w:w="1400" w:type="dxa"/>
            <w:tcBorders>
              <w:bottom w:val="nil"/>
            </w:tcBorders>
            <w:shd w:val="clear" w:color="auto" w:fill="ECF4F5"/>
            <w:hideMark/>
          </w:tcPr>
          <w:p w14:paraId="6FCE7994"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8% - 1,480 יח"ד</w:t>
            </w:r>
          </w:p>
        </w:tc>
        <w:tc>
          <w:tcPr>
            <w:tcW w:w="1630" w:type="dxa"/>
            <w:tcBorders>
              <w:bottom w:val="nil"/>
            </w:tcBorders>
            <w:shd w:val="clear" w:color="auto" w:fill="ECF4F5"/>
            <w:hideMark/>
          </w:tcPr>
          <w:p w14:paraId="5F1B181A"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12% - 2,328 יח"ד</w:t>
            </w:r>
          </w:p>
        </w:tc>
        <w:tc>
          <w:tcPr>
            <w:tcW w:w="1630" w:type="dxa"/>
            <w:tcBorders>
              <w:bottom w:val="nil"/>
            </w:tcBorders>
            <w:shd w:val="clear" w:color="auto" w:fill="ECF4F5"/>
            <w:hideMark/>
          </w:tcPr>
          <w:p w14:paraId="2D7888AB"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17% - 3,434 יח"ד</w:t>
            </w:r>
          </w:p>
        </w:tc>
        <w:tc>
          <w:tcPr>
            <w:tcW w:w="1627" w:type="dxa"/>
            <w:tcBorders>
              <w:bottom w:val="nil"/>
            </w:tcBorders>
            <w:shd w:val="clear" w:color="auto" w:fill="ECF4F5"/>
            <w:hideMark/>
          </w:tcPr>
          <w:p w14:paraId="041FDF31"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17% - 3,706 יח"ד</w:t>
            </w:r>
          </w:p>
        </w:tc>
      </w:tr>
      <w:tr w:rsidR="00D03930" w14:paraId="0F04A26F"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C6DCE4"/>
            <w:hideMark/>
          </w:tcPr>
          <w:p w14:paraId="110C4712" w14:textId="77777777" w:rsidR="00ED63E1" w:rsidRDefault="00ED63E1" w:rsidP="00D03930">
            <w:pPr>
              <w:pStyle w:val="71R"/>
              <w:rPr>
                <w:rtl/>
              </w:rPr>
            </w:pPr>
            <w:r>
              <w:rPr>
                <w:rFonts w:hint="cs"/>
                <w:rtl/>
              </w:rPr>
              <w:t>סה"כ</w:t>
            </w:r>
          </w:p>
        </w:tc>
        <w:tc>
          <w:tcPr>
            <w:tcW w:w="1400" w:type="dxa"/>
            <w:shd w:val="clear" w:color="auto" w:fill="C6DCE4"/>
            <w:hideMark/>
          </w:tcPr>
          <w:p w14:paraId="1F0F3DE8"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18,960 יח"ד</w:t>
            </w:r>
          </w:p>
        </w:tc>
        <w:tc>
          <w:tcPr>
            <w:tcW w:w="1630" w:type="dxa"/>
            <w:shd w:val="clear" w:color="auto" w:fill="C6DCE4"/>
            <w:hideMark/>
          </w:tcPr>
          <w:p w14:paraId="26C6A1E2"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26,983 יח"ד</w:t>
            </w:r>
          </w:p>
        </w:tc>
        <w:tc>
          <w:tcPr>
            <w:tcW w:w="1630" w:type="dxa"/>
            <w:shd w:val="clear" w:color="auto" w:fill="C6DCE4"/>
            <w:hideMark/>
          </w:tcPr>
          <w:p w14:paraId="2D3D2236"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35,974 יח"ד</w:t>
            </w:r>
          </w:p>
        </w:tc>
        <w:tc>
          <w:tcPr>
            <w:tcW w:w="1627" w:type="dxa"/>
            <w:shd w:val="clear" w:color="auto" w:fill="C6DCE4"/>
            <w:hideMark/>
          </w:tcPr>
          <w:p w14:paraId="1D56338E"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40,166 יח"ד</w:t>
            </w:r>
          </w:p>
        </w:tc>
      </w:tr>
    </w:tbl>
    <w:p w14:paraId="3FD8399E" w14:textId="6056E601" w:rsidR="00ED63E1" w:rsidRDefault="00ED63E1" w:rsidP="00BC6538">
      <w:pPr>
        <w:pStyle w:val="71d"/>
        <w:rPr>
          <w:rtl/>
        </w:rPr>
      </w:pPr>
      <w:r>
        <w:rPr>
          <w:rFonts w:hint="cs"/>
          <w:rtl/>
        </w:rPr>
        <w:t>על פי נתוני לוח 3 להחלטה על התוכנית האסטרטגית, בעיבוד משרד מבקר המדינה</w:t>
      </w:r>
      <w:r w:rsidR="00BC6538">
        <w:rPr>
          <w:rFonts w:hint="cs"/>
          <w:rtl/>
        </w:rPr>
        <w:t>.</w:t>
      </w:r>
    </w:p>
    <w:p w14:paraId="2AD79D82" w14:textId="77777777" w:rsidR="00ED63E1" w:rsidRDefault="00ED63E1" w:rsidP="00BC6538">
      <w:pPr>
        <w:pStyle w:val="7190"/>
        <w:rPr>
          <w:rtl/>
        </w:rPr>
      </w:pPr>
      <w:r>
        <w:rPr>
          <w:rFonts w:hint="cs"/>
          <w:rtl/>
        </w:rPr>
        <w:t>מבדיקת משרד מבקר המדינה עלה כי ב-16 מ-32 הסכמי הגג שנחתמו עד סוף שנת 2020</w:t>
      </w:r>
      <w:r>
        <w:rPr>
          <w:rStyle w:val="a9"/>
          <w:rtl/>
        </w:rPr>
        <w:footnoteReference w:id="48"/>
      </w:r>
      <w:r>
        <w:rPr>
          <w:rFonts w:hint="cs"/>
          <w:rtl/>
        </w:rPr>
        <w:t xml:space="preserve"> נקבע, בנושא ההתחדשות העירונית, כי הרשויות המקומיות ורמ"י או משרד הבינוי יפעלו, לפי העניין, לקידום הקצאה של מגרשי השלמה</w:t>
      </w:r>
      <w:r w:rsidRPr="00BC6538">
        <w:rPr>
          <w:rStyle w:val="a9"/>
          <w:rtl/>
        </w:rPr>
        <w:footnoteReference w:id="49"/>
      </w:r>
      <w:r>
        <w:rPr>
          <w:rFonts w:hint="cs"/>
          <w:rtl/>
        </w:rPr>
        <w:t xml:space="preserve"> ברשות המקומית, לצורך מימוש תוכניות להתחדשות עירונית. לפי החלטת המועצה בעניין</w:t>
      </w:r>
      <w:r>
        <w:rPr>
          <w:rStyle w:val="a9"/>
          <w:rtl/>
        </w:rPr>
        <w:footnoteReference w:id="50"/>
      </w:r>
      <w:r>
        <w:rPr>
          <w:rFonts w:hint="cs"/>
          <w:rtl/>
        </w:rPr>
        <w:t>, רמ"י רשאית, בהמלצת הרשות להתחדשות עירונית, להקצות מגרש השלמה אם אין כדאיות כלכלית</w:t>
      </w:r>
      <w:r>
        <w:rPr>
          <w:rStyle w:val="a9"/>
          <w:rtl/>
        </w:rPr>
        <w:footnoteReference w:id="51"/>
      </w:r>
      <w:r>
        <w:rPr>
          <w:rFonts w:hint="cs"/>
          <w:rtl/>
        </w:rPr>
        <w:t xml:space="preserve"> למימוש תוכנית להתחדשות עירונית, והקצאת המגרש ובנייה עליו תהפוך את התוכנית לבעלת כדאיות כלכלית, בכפוף לכמה תנאים שנקבעו בהחלטה. עוד נקבע בהחלטה כי ברשות מקומית שחתמה על הסכם גג, רשאית רמ"י להקצות לביצוע פרויקטים להתחדשות עירונית עד 10% ממספר יחה"ד הנכללות בהסכם, כמגרש השלמה. קצב הקצאת יחה"ד נתון לשיקול דעתה הבלעדי של רמ"י ויושפע, בין השאר, </w:t>
      </w:r>
      <w:r>
        <w:rPr>
          <w:rFonts w:hint="cs"/>
          <w:rtl/>
        </w:rPr>
        <w:lastRenderedPageBreak/>
        <w:t xml:space="preserve">ממצבו התכנוני של המתחם וממספר יחה"ד ששווקו בפועל. בהסכמים האמורים נקבע ככלל כי לבקשת הרשות המקומית תמומש החלטתה האמורה של המועצה באופן שרמ"י תסכים, לאחר התייעצות עם הרשות להתחדשות עירונית ואם יהיה צורך בכך, להקצות כמגרשי השלמה עד 10% ממספר יחה"ד שבתוכניות הכלולות בהסכם. </w:t>
      </w:r>
    </w:p>
    <w:p w14:paraId="377D0566" w14:textId="77777777" w:rsidR="00ED63E1" w:rsidRDefault="00ED63E1" w:rsidP="00BC6538">
      <w:pPr>
        <w:pStyle w:val="7190"/>
        <w:rPr>
          <w:rtl/>
        </w:rPr>
      </w:pPr>
      <w:r>
        <w:rPr>
          <w:rFonts w:hint="cs"/>
          <w:rtl/>
        </w:rPr>
        <w:t>מנתונים שנמסרו ממשרד הבינוי, מהרשות להתחדשות עירונית ומרשויות מקומיות עלה כי ב-13 (81%) מ-16 הרשויות המקומיות שבהסכם איתן הייתה התייחסות לנושא ההתחדשות העירונית</w:t>
      </w:r>
      <w:r>
        <w:rPr>
          <w:rStyle w:val="a9"/>
          <w:rtl/>
        </w:rPr>
        <w:footnoteReference w:id="52"/>
      </w:r>
      <w:r>
        <w:rPr>
          <w:rFonts w:hint="cs"/>
          <w:rtl/>
        </w:rPr>
        <w:t xml:space="preserve"> התקיימו דיונים בעניין, בין היתר בין הרשות המקומית לרשות להתחדשות עירונית בדבר קידום התחדשות עירונית באמצעות הקצאת מגרש השלמה אולם טרם התקבלו החלטות בדבר הקצאת מגרש כאמור; לגבי שתי רשויות</w:t>
      </w:r>
      <w:r>
        <w:rPr>
          <w:rStyle w:val="a9"/>
          <w:rtl/>
        </w:rPr>
        <w:footnoteReference w:id="53"/>
      </w:r>
      <w:r>
        <w:rPr>
          <w:rFonts w:hint="cs"/>
          <w:rtl/>
        </w:rPr>
        <w:t xml:space="preserve"> לא התקיימה התייעצות עם הרשות להתחדשות עירונית, ולפי הערכת הרשות להתחדשות עירונית, ערכי הקרקע בהן נמוכים ועל כן ספק אם למגרש השלמה ערך של ממש שיש בו כדי לתת מענה לחוסר הכדאיות הכלכלית שבייזום התחדשות עירונית. רשות אחת - עיריית ראשון לציון - חתמה בדצמבר 2014 (לאחר שנחתם הסכם הגג) על הסכם נוסף עם רמ"י, שעניינו הקצאת מגרש השלמה עבור פרויקט התחדשות עירונית בשכונת רמת אליהו ביישוב. </w:t>
      </w:r>
    </w:p>
    <w:p w14:paraId="3BE59780" w14:textId="77777777" w:rsidR="00ED63E1" w:rsidRDefault="00ED63E1" w:rsidP="009E6E3F">
      <w:pPr>
        <w:pStyle w:val="71f5"/>
        <w:rPr>
          <w:rtl/>
        </w:rPr>
      </w:pPr>
      <w:r>
        <w:rPr>
          <w:rFonts w:hint="cs"/>
          <w:rtl/>
        </w:rPr>
        <w:t xml:space="preserve">יוצא אפוא כי לפי יעדי התכנון הממשלתי לשנים 2017 - 2020, התכנון בתחום ההתחדשות העירונית יהיה בהיקף של כ-76,000 יח"ד, כ-18% מיעד התכנון הכולל לשנים אלו (אשר מרביתן מרוכזות במחוזות תל אביב ומרכז). לפי החלטת המועצה כאמור, בהסכמי הגג התאפשר לרמ"י להקצות מגרש השלמה לעד כ-44,000 (כ-10%) מיח"ד שהקמתן תוכננה בהסכמי הגג לטובת התחדשות עירונית. בהמשך לכך, עלה כי במחצית מהסכמי הגג נידון מפורשות נושא ההתחדשות העירונית. עם זאת, בפועל, עד סוף שנת 2020 הוקצו מגרשי השלמה רק באחד מהיישובים שלגביהם נחתם הסכם גג - ראשון לציון - בהיקף של 460 יח"ד במסגרת הסכם להקמתן של 3,500 יח"ד (הסכם לגבי כ-0.8% בלבד מכלל יח"ד שבהסכמי הגג). כלומר, ההסכמים לא שימשו ככלי מרכזי ליישום פרויקטים של התחדשות עירונית. </w:t>
      </w:r>
    </w:p>
    <w:p w14:paraId="662463DD" w14:textId="77777777" w:rsidR="00ED63E1" w:rsidRDefault="00ED63E1" w:rsidP="009E6E3F">
      <w:pPr>
        <w:pStyle w:val="71f5"/>
        <w:ind w:right="284"/>
        <w:rPr>
          <w:rtl/>
        </w:rPr>
      </w:pPr>
      <w:r>
        <w:rPr>
          <w:rFonts w:hint="cs"/>
          <w:rtl/>
        </w:rPr>
        <w:t>מומלץ כי משרד הבינוי ורמ"י יבחנו בשיתוף הרשות להתחדשות עירונית דרכים אפשריות לקידום פרויקטים להתחדשות עירונית ברשויות המקומיות החתומות על הסכמי הגג, ובפרט - במקרים שבהם ערך הקרקע נמוך מכדי שתהיה היתכנות כלכלית ויגבשו תוכנית רב-שנתית שתאפשר לרשויות לעמוד ביעדי יח"ד לעניין תכנון בהתחדשות עירונית.</w:t>
      </w:r>
    </w:p>
    <w:p w14:paraId="3DB2C877" w14:textId="77777777" w:rsidR="00ED63E1" w:rsidRPr="00762BF0" w:rsidRDefault="00ED63E1" w:rsidP="009E6E3F">
      <w:pPr>
        <w:pStyle w:val="7190"/>
        <w:rPr>
          <w:rtl/>
        </w:rPr>
      </w:pPr>
      <w:r w:rsidRPr="00762BF0">
        <w:rPr>
          <w:rFonts w:hint="cs"/>
          <w:rtl/>
        </w:rPr>
        <w:t xml:space="preserve">משרד הבינוי מסר בתשובתו למשרד מבקר המדינה מיולי 2021 (להלן - תשובת משרד הבינוי) כי הוא </w:t>
      </w:r>
      <w:r w:rsidRPr="00762BF0">
        <w:rPr>
          <w:rFonts w:hint="cs"/>
          <w:sz w:val="24"/>
          <w:rtl/>
        </w:rPr>
        <w:t>מקבל את ההמלצה לקידום פרויקטים של התחדשות עירונית שבהם ערך הקרקע נמוך מכדי שתהיה היתכנות כלכלית</w:t>
      </w:r>
      <w:r w:rsidRPr="00762BF0">
        <w:rPr>
          <w:rFonts w:hint="cs"/>
          <w:rtl/>
        </w:rPr>
        <w:t xml:space="preserve"> לביצועם.</w:t>
      </w:r>
    </w:p>
    <w:p w14:paraId="29A665AE" w14:textId="0C67EFF5" w:rsidR="00ED63E1" w:rsidRDefault="00ED63E1" w:rsidP="009E6E3F">
      <w:pPr>
        <w:pStyle w:val="7190"/>
        <w:rPr>
          <w:rtl/>
        </w:rPr>
      </w:pPr>
      <w:r w:rsidRPr="00762BF0">
        <w:rPr>
          <w:rFonts w:hint="eastAsia"/>
          <w:rtl/>
        </w:rPr>
        <w:t>הרשות</w:t>
      </w:r>
      <w:r w:rsidRPr="00762BF0">
        <w:rPr>
          <w:rtl/>
        </w:rPr>
        <w:t xml:space="preserve"> להתחדשות עירונית מסרה בתשובתה למשרד מבקר המדינה מיולי 2021 כי בשנה האחרונה היא ביצעה עבודת מטה מקיפה עם רמ"י כדי לסכם את תנאי הסף והקריטריונים למכרז קרקע משלימה ולהתגבר על הקשיים הכרוכים במימוש החלטת המועצה בעניין. הרשות </w:t>
      </w:r>
      <w:r w:rsidRPr="00762BF0">
        <w:rPr>
          <w:rtl/>
        </w:rPr>
        <w:lastRenderedPageBreak/>
        <w:t>להתחדשות עירונית, משרד הבינוי ורמ"י מסרו בתשובותיהם מיולי 2021 כי ביוני 2021 קיבלה המועצה החלטה, שעדיין טעונה אישור של שר האוצר, שלפיה יתאפשר לקיים פיילוט שבמסגרתו במקום הקצאת מגרשי השלמה למיזמי התחדשות עירונית, ישווקו מגרשי ההשלמה במכרז לכל המרבה במחיר, והכספים שיתקבלו משיווק מגרשי ההשלמה יוקצו למיזמים שייבחרו בהליך תחרותי בהתאם לקריטריונים שייקבעו. עוד מסרו משרד הבינוי ורמ"י שהדבר יאפשר את שיווקם של מגרשים רבים אשר שוריינו כמגרשי השלמה, ותמורתם תוקצה בהתאם לכללים כאמור.</w:t>
      </w:r>
    </w:p>
    <w:p w14:paraId="0A6D3C6F" w14:textId="77777777" w:rsidR="009E6E3F" w:rsidRDefault="009E6E3F" w:rsidP="009E6E3F">
      <w:pPr>
        <w:pStyle w:val="7190"/>
        <w:rPr>
          <w:rtl/>
        </w:rPr>
      </w:pPr>
    </w:p>
    <w:p w14:paraId="22E854D1" w14:textId="77777777" w:rsidR="00ED63E1" w:rsidRDefault="00ED63E1" w:rsidP="009E6E3F">
      <w:pPr>
        <w:pStyle w:val="71414"/>
        <w:rPr>
          <w:rtl/>
        </w:rPr>
      </w:pPr>
      <w:r>
        <w:rPr>
          <w:rFonts w:hint="cs"/>
          <w:rtl/>
        </w:rPr>
        <w:t>צורכי הדיור של האוכלוסייה ביישובי המיעוטים - הסכמי גג ייעודיים</w:t>
      </w:r>
    </w:p>
    <w:p w14:paraId="1E937717" w14:textId="77777777" w:rsidR="00ED63E1" w:rsidRDefault="00ED63E1" w:rsidP="006909ED">
      <w:pPr>
        <w:pStyle w:val="7190"/>
        <w:rPr>
          <w:rtl/>
        </w:rPr>
      </w:pPr>
      <w:r>
        <w:rPr>
          <w:rFonts w:hint="cs"/>
          <w:rtl/>
        </w:rPr>
        <w:t>בהחלטה בנושא התוכנית האסטרטגית נקבעו יעדים לגבי מספר יחה"ד שתאשר מערכת התכנון, בין היתר לפי מגזר - יהודי או ערבי, כדי לספק את צורכי הדיור של האוכלוסייה ביישובי המגזר הערבי</w:t>
      </w:r>
      <w:r>
        <w:rPr>
          <w:rStyle w:val="a9"/>
          <w:rtl/>
        </w:rPr>
        <w:footnoteReference w:id="54"/>
      </w:r>
      <w:r>
        <w:rPr>
          <w:rFonts w:hint="cs"/>
          <w:rtl/>
        </w:rPr>
        <w:t>. למשל, נקבע כי בשנים 2017 - 2020 יהיו 84,000 (כ-20%) מ-416,000 יחה"ד שנכללו בתוכניות שיאשרו מוסדות התכנון ביישובי המגזר הערבי.</w:t>
      </w:r>
    </w:p>
    <w:p w14:paraId="0233BA23" w14:textId="77777777" w:rsidR="00ED63E1" w:rsidRDefault="00ED63E1" w:rsidP="006909ED">
      <w:pPr>
        <w:pStyle w:val="7190"/>
        <w:rPr>
          <w:rtl/>
        </w:rPr>
      </w:pPr>
      <w:r>
        <w:rPr>
          <w:rFonts w:hint="cs"/>
          <w:rtl/>
        </w:rPr>
        <w:t>זאת בהמשך להחלטת הממשלה מדצמבר 2015 בנושא "פעילות הממשלה לפיתוח כלכלי באוכלוסיית המיעוטים בשנים 2020-2016" (להלן - ההחלטה בנושא הפיתוח עבור אוכלוסיית המיעוטים)</w:t>
      </w:r>
      <w:r>
        <w:rPr>
          <w:rStyle w:val="a9"/>
          <w:rtl/>
        </w:rPr>
        <w:footnoteReference w:id="55"/>
      </w:r>
      <w:r>
        <w:rPr>
          <w:rFonts w:hint="cs"/>
          <w:rtl/>
        </w:rPr>
        <w:t>, ובה נקבעו כמה צעדים לקידום פתרונות דיור ביישובי המיעוטים. בין היתר החליטה הממשלה להנחות את אגף תקציבים במשרד האוצר (להלן - אגף תקציבים) ומשרד הבינוי לפעול לאיתור רשות מקומית מיישובי המיעוטים שניתן יהיה לגבש אתה הסכם גג לפי הפרמטרים הקבועים בהחלטות הממשלה בנושא</w:t>
      </w:r>
      <w:r>
        <w:rPr>
          <w:rStyle w:val="a9"/>
          <w:rtl/>
        </w:rPr>
        <w:footnoteReference w:id="56"/>
      </w:r>
      <w:r>
        <w:rPr>
          <w:rFonts w:hint="cs"/>
          <w:rtl/>
        </w:rPr>
        <w:t xml:space="preserve">. </w:t>
      </w:r>
    </w:p>
    <w:p w14:paraId="4B5D1E82" w14:textId="77777777" w:rsidR="00ED63E1" w:rsidRDefault="00ED63E1" w:rsidP="006909ED">
      <w:pPr>
        <w:pStyle w:val="71f5"/>
        <w:rPr>
          <w:rtl/>
        </w:rPr>
      </w:pPr>
      <w:r>
        <w:rPr>
          <w:rFonts w:hint="cs"/>
          <w:rtl/>
        </w:rPr>
        <w:t>עלה כי בינואר 2021, מועד סיום הביקורת, טרם חתמו משרד הבינוי או רמ"י על הסכם גג עם רשות מקומית מיישובי המיעוטים, אף שהממשלה ייחסה חשיבות לכך ולקידום הבנייה ביישובי המיעוטים, כפי שעולה מההחלטה בנושא הפיתוח עבור אוכלוסיית המיעוטים ומההחלטה על התוכנית האסטרטגית</w:t>
      </w:r>
      <w:r w:rsidRPr="006909ED">
        <w:rPr>
          <w:rStyle w:val="a9"/>
          <w:rtl/>
        </w:rPr>
        <w:footnoteReference w:id="57"/>
      </w:r>
      <w:r w:rsidRPr="006909ED">
        <w:rPr>
          <w:rFonts w:hint="cs"/>
          <w:rtl/>
        </w:rPr>
        <w:t>.</w:t>
      </w:r>
      <w:r>
        <w:rPr>
          <w:rFonts w:hint="cs"/>
          <w:rtl/>
        </w:rPr>
        <w:t xml:space="preserve"> </w:t>
      </w:r>
    </w:p>
    <w:p w14:paraId="12410F3C" w14:textId="77777777" w:rsidR="00ED63E1" w:rsidRPr="00580A52" w:rsidRDefault="00ED63E1" w:rsidP="006909ED">
      <w:pPr>
        <w:pStyle w:val="7190"/>
        <w:rPr>
          <w:rtl/>
        </w:rPr>
      </w:pPr>
      <w:r w:rsidRPr="00580A52">
        <w:rPr>
          <w:rFonts w:hint="cs"/>
          <w:rtl/>
        </w:rPr>
        <w:t>יצוין כי בספטמבר 2021 (לאחר מועד סיום הביקורת) חתמה רמ"י על הסכם גג עם עיריית אום אל-פחם הכולל תוכניות לכ-15,000 יח"ד ביישוב, מהן כ-5,300 על אדמות מדינה.</w:t>
      </w:r>
    </w:p>
    <w:p w14:paraId="3AA2695E" w14:textId="466A0739" w:rsidR="00ED63E1" w:rsidRPr="003270F8" w:rsidRDefault="00ED63E1" w:rsidP="006909ED">
      <w:pPr>
        <w:pStyle w:val="7190"/>
        <w:rPr>
          <w:rtl/>
        </w:rPr>
      </w:pPr>
      <w:r w:rsidRPr="003270F8">
        <w:rPr>
          <w:rFonts w:hint="cs"/>
          <w:rtl/>
        </w:rPr>
        <w:lastRenderedPageBreak/>
        <w:t>משרד הבינוי ורמ"י מסרו למשרד מבקר המדינה כי במועד סיום הביקורת הם ניהלו משא ומתן לחתימת הסכם גג עם כמה רשויות מקומיות מיישובי המיעוטים</w:t>
      </w:r>
      <w:r>
        <w:rPr>
          <w:rFonts w:hint="cs"/>
          <w:rtl/>
        </w:rPr>
        <w:t>, נוסף על אום אל-פחם</w:t>
      </w:r>
      <w:r w:rsidR="004F5EF5">
        <w:rPr>
          <w:rFonts w:hint="cs"/>
          <w:rtl/>
        </w:rPr>
        <w:t xml:space="preserve"> -</w:t>
      </w:r>
      <w:r w:rsidRPr="003270F8">
        <w:rPr>
          <w:rFonts w:hint="cs"/>
          <w:rtl/>
        </w:rPr>
        <w:t xml:space="preserve"> טמרה </w:t>
      </w:r>
      <w:r>
        <w:rPr>
          <w:rFonts w:hint="cs"/>
          <w:rtl/>
        </w:rPr>
        <w:t>ו</w:t>
      </w:r>
      <w:r w:rsidRPr="003270F8">
        <w:rPr>
          <w:rFonts w:hint="cs"/>
          <w:rtl/>
        </w:rPr>
        <w:t>ג'ודידה-מכר</w:t>
      </w:r>
      <w:r>
        <w:rPr>
          <w:rFonts w:hint="cs"/>
          <w:rtl/>
        </w:rPr>
        <w:t>.</w:t>
      </w:r>
    </w:p>
    <w:p w14:paraId="3942F952" w14:textId="77777777" w:rsidR="00ED63E1" w:rsidRPr="003270F8" w:rsidRDefault="00ED63E1" w:rsidP="006909ED">
      <w:pPr>
        <w:pStyle w:val="7190"/>
        <w:rPr>
          <w:rtl/>
        </w:rPr>
      </w:pPr>
      <w:r w:rsidRPr="003270F8">
        <w:rPr>
          <w:rFonts w:hint="cs"/>
          <w:rtl/>
        </w:rPr>
        <w:t xml:space="preserve">רמ"י מסרה בתשובתה למשרד מבקר המדינה מיולי 2021 </w:t>
      </w:r>
      <w:r>
        <w:rPr>
          <w:rFonts w:hint="cs"/>
          <w:rtl/>
        </w:rPr>
        <w:t xml:space="preserve">(להלן - תשובת רמ"י) </w:t>
      </w:r>
      <w:r w:rsidRPr="003270F8">
        <w:rPr>
          <w:rFonts w:hint="cs"/>
          <w:rtl/>
        </w:rPr>
        <w:t xml:space="preserve">כי מרבית המקרקעין ביישובי המיעוטים הם בבעלות פרטית, ומאחר שקידום התכנון והשיווק על ידי רמ"י יכול להתבצע ככלל במקרקעין שבניהולה, ההיתכנות לחתימה על הסכם גג עם יישובים אלה בתנאים שנקבעו אינו סביר. </w:t>
      </w:r>
    </w:p>
    <w:p w14:paraId="593CF431" w14:textId="5791458A" w:rsidR="00ED63E1" w:rsidRPr="003270F8" w:rsidRDefault="00ED63E1" w:rsidP="006909ED">
      <w:pPr>
        <w:pStyle w:val="7190"/>
        <w:rPr>
          <w:rtl/>
        </w:rPr>
      </w:pPr>
      <w:r w:rsidRPr="003270F8">
        <w:rPr>
          <w:rFonts w:hint="cs"/>
          <w:rtl/>
        </w:rPr>
        <w:t xml:space="preserve">עיריית אום אל-פחם מסרה בתשובתה מיולי 2021 כי להערכתה ההסכם </w:t>
      </w:r>
      <w:r w:rsidR="00A354A4" w:rsidRPr="00A354A4">
        <w:rPr>
          <w:rtl/>
        </w:rPr>
        <w:t>המתגבש</w:t>
      </w:r>
      <w:r>
        <w:rPr>
          <w:rFonts w:hint="cs"/>
          <w:rtl/>
        </w:rPr>
        <w:t xml:space="preserve"> </w:t>
      </w:r>
      <w:r w:rsidRPr="003270F8">
        <w:rPr>
          <w:rFonts w:hint="cs"/>
          <w:rtl/>
        </w:rPr>
        <w:t>עונה בצורה מיטבית על כמה אתגרים שאיתם מתמודדת העיר, והוא יאפשר מתן מענה בתחום הדיור לצעירים מהעיר, הרחבת שטחי התעסוקה והמסחר ופיתוח המרקם הוותיק והתשתיות בעיר.</w:t>
      </w:r>
    </w:p>
    <w:p w14:paraId="0D2E2CD9" w14:textId="77777777" w:rsidR="00ED63E1" w:rsidRPr="003270F8" w:rsidRDefault="00ED63E1" w:rsidP="006909ED">
      <w:pPr>
        <w:pStyle w:val="7190"/>
        <w:rPr>
          <w:rtl/>
        </w:rPr>
      </w:pPr>
      <w:r w:rsidRPr="003270F8">
        <w:rPr>
          <w:rFonts w:hint="cs"/>
          <w:rtl/>
        </w:rPr>
        <w:t xml:space="preserve">משרד הבינוי מסר בתשובתו כי טיוטות של הסכמים שגובשו עם עיריית טמרה (בדבר כ-5,700 יח״ד) ועם המועצה המקומית ג׳ודידה-מכר (בדבר כ-15,000 יח׳׳ד) לא הבשילו לכדי חתימה, בין היתר מכיוון שאין לגבי תחום השיפוט של יישובים אלה תוכניות בהיקפים הנדרשים הצפויות לקבל תוקף בתוך 18 חודש, בהתאם להחלטת הממשלה על הסכמי הגג. משרד הבינוי גם ציין שמגבלה המקשה על חתימה עם רשות מקומית מיישובי המיעוטים היא מיעוט קרקעות מדינה זמינות בתחום השיפוט שלהם. </w:t>
      </w:r>
    </w:p>
    <w:p w14:paraId="77418D76" w14:textId="77777777" w:rsidR="00ED63E1" w:rsidRDefault="00ED63E1" w:rsidP="006909ED">
      <w:pPr>
        <w:pStyle w:val="7190"/>
        <w:rPr>
          <w:rtl/>
        </w:rPr>
      </w:pPr>
      <w:r w:rsidRPr="003270F8">
        <w:rPr>
          <w:rFonts w:hint="cs"/>
          <w:rtl/>
        </w:rPr>
        <w:t xml:space="preserve">אגף תקציבים מסר בתשובתו למשרד מבקר המדינה מיולי 2021 </w:t>
      </w:r>
      <w:r>
        <w:rPr>
          <w:rFonts w:hint="cs"/>
          <w:rtl/>
        </w:rPr>
        <w:t xml:space="preserve">(להלן - תשובת אגף תקציבים) </w:t>
      </w:r>
      <w:r w:rsidRPr="003270F8">
        <w:rPr>
          <w:rFonts w:hint="cs"/>
          <w:rtl/>
        </w:rPr>
        <w:t>כי הוא, רמ"י ומשרד הבינוי פועלים לקידום הסכמי גג בנוגע ליישובי המיעוטים.</w:t>
      </w:r>
      <w:r>
        <w:rPr>
          <w:rFonts w:hint="cs"/>
          <w:rtl/>
        </w:rPr>
        <w:t xml:space="preserve"> </w:t>
      </w:r>
    </w:p>
    <w:p w14:paraId="39CED99B" w14:textId="77777777" w:rsidR="00ED63E1" w:rsidRPr="00E569C3" w:rsidRDefault="00ED63E1" w:rsidP="006909ED">
      <w:pPr>
        <w:pStyle w:val="71f5"/>
        <w:rPr>
          <w:rtl/>
        </w:rPr>
      </w:pPr>
      <w:r w:rsidRPr="00E569C3">
        <w:rPr>
          <w:rtl/>
        </w:rPr>
        <w:t xml:space="preserve">מומלץ </w:t>
      </w:r>
      <w:r w:rsidRPr="00762BF0">
        <w:rPr>
          <w:rtl/>
        </w:rPr>
        <w:t>כי משרד הבינוי ורמ"י יפעלו עם משרדי ממשלה ורשויות מדינה אחרות ובשיתוף הרשויות המקומיות הרלוונטיות לקידום החתימה על הסכ</w:t>
      </w:r>
      <w:r>
        <w:rPr>
          <w:rFonts w:hint="cs"/>
          <w:rtl/>
        </w:rPr>
        <w:t>מי</w:t>
      </w:r>
      <w:r w:rsidRPr="00762BF0">
        <w:rPr>
          <w:rtl/>
        </w:rPr>
        <w:t xml:space="preserve"> גג עם רשו</w:t>
      </w:r>
      <w:r>
        <w:rPr>
          <w:rFonts w:hint="cs"/>
          <w:rtl/>
        </w:rPr>
        <w:t>יו</w:t>
      </w:r>
      <w:r w:rsidRPr="00762BF0">
        <w:rPr>
          <w:rtl/>
        </w:rPr>
        <w:t>ת מקומי</w:t>
      </w:r>
      <w:r>
        <w:rPr>
          <w:rFonts w:hint="cs"/>
          <w:rtl/>
        </w:rPr>
        <w:t>ו</w:t>
      </w:r>
      <w:r w:rsidRPr="00762BF0">
        <w:rPr>
          <w:rtl/>
        </w:rPr>
        <w:t xml:space="preserve">ת מיישובי המיעוטים, </w:t>
      </w:r>
      <w:r>
        <w:rPr>
          <w:rFonts w:hint="cs"/>
          <w:rtl/>
        </w:rPr>
        <w:t xml:space="preserve">נוסף על ההסכם עם </w:t>
      </w:r>
      <w:r w:rsidRPr="00762BF0">
        <w:rPr>
          <w:rtl/>
        </w:rPr>
        <w:t>עיריית אום</w:t>
      </w:r>
      <w:r w:rsidRPr="00E569C3">
        <w:rPr>
          <w:rtl/>
        </w:rPr>
        <w:t xml:space="preserve"> אל-פחם</w:t>
      </w:r>
      <w:r>
        <w:rPr>
          <w:rFonts w:hint="cs"/>
          <w:rtl/>
        </w:rPr>
        <w:t>.</w:t>
      </w:r>
    </w:p>
    <w:p w14:paraId="1EA8CCDB" w14:textId="77777777" w:rsidR="00366FDA" w:rsidRDefault="00366FDA" w:rsidP="006B2A1C">
      <w:pPr>
        <w:pStyle w:val="71414"/>
        <w:rPr>
          <w:rtl/>
        </w:rPr>
      </w:pPr>
    </w:p>
    <w:p w14:paraId="4F7EDD62" w14:textId="5081CD2B" w:rsidR="00ED63E1" w:rsidRDefault="00ED63E1" w:rsidP="006B2A1C">
      <w:pPr>
        <w:pStyle w:val="71414"/>
        <w:rPr>
          <w:rtl/>
        </w:rPr>
      </w:pPr>
      <w:r>
        <w:rPr>
          <w:rFonts w:hint="cs"/>
          <w:rtl/>
        </w:rPr>
        <w:t xml:space="preserve">צורכי הדיור של האוכלוסייה החרדית - הסכמי הגג </w:t>
      </w:r>
    </w:p>
    <w:p w14:paraId="02C5B8E1" w14:textId="77777777" w:rsidR="00ED63E1" w:rsidRDefault="00ED63E1" w:rsidP="006B2A1C">
      <w:pPr>
        <w:pStyle w:val="7190"/>
        <w:rPr>
          <w:rtl/>
        </w:rPr>
      </w:pPr>
      <w:r>
        <w:rPr>
          <w:rFonts w:hint="cs"/>
          <w:rtl/>
        </w:rPr>
        <w:t>באוגוסט 2016 קיבלה הממשלה החלטה בנושא "תכנון ושיווק מקרקעין לאוכלוסייה החרדית"</w:t>
      </w:r>
      <w:r>
        <w:rPr>
          <w:vertAlign w:val="superscript"/>
          <w:rtl/>
        </w:rPr>
        <w:footnoteReference w:id="58"/>
      </w:r>
      <w:r>
        <w:rPr>
          <w:rFonts w:hint="cs"/>
          <w:rtl/>
        </w:rPr>
        <w:t xml:space="preserve"> שמטרתה לקדם יצירת פתרונות דיור ייעודיים למגזר החרדי לנוכח אומדן ולפיו לאוכלוסייה זו נדרשות 200,000 יח"ד בשנים 2016 - 2035</w:t>
      </w:r>
      <w:r>
        <w:rPr>
          <w:vertAlign w:val="superscript"/>
          <w:rtl/>
        </w:rPr>
        <w:footnoteReference w:id="59"/>
      </w:r>
      <w:r>
        <w:rPr>
          <w:rFonts w:hint="cs"/>
          <w:rtl/>
        </w:rPr>
        <w:t xml:space="preserve"> (להלן - החלטת הממשלה לגבי הדיור לאוכלוסייה החרדית).</w:t>
      </w:r>
    </w:p>
    <w:p w14:paraId="4DDADBCA" w14:textId="77777777" w:rsidR="00ED63E1" w:rsidRDefault="00ED63E1" w:rsidP="006B2A1C">
      <w:pPr>
        <w:pStyle w:val="7190"/>
        <w:rPr>
          <w:rtl/>
        </w:rPr>
      </w:pPr>
      <w:r>
        <w:rPr>
          <w:rFonts w:hint="cs"/>
          <w:rtl/>
        </w:rPr>
        <w:t xml:space="preserve">בהחלטת הממשלה לגבי הדיור לאוכלוסייה החרדית נקבע בין היתר כי כדי לקדם הקמת שכונות חרדיות ביישובים הטרוגניים - יישובים שבהם השיעור המרבי של האוכלוסייה החרדית הוא 15% </w:t>
      </w:r>
      <w:r>
        <w:rPr>
          <w:rFonts w:hint="cs"/>
          <w:rtl/>
        </w:rPr>
        <w:lastRenderedPageBreak/>
        <w:t>מכלל האוכלוסייה - על מנכ"ל משרד הבינוי, מנהל רמ"י, יו"ר מטה הדיור והממונה על התקציבים במשרד האוצר לפעול להכללת תכנון ושיווק של שכונות חרדיות במסגרת הסכמי גג והסכמי פיתוח הנחתמים עם הרשויות המקומיות של אותם יישובים, ובלבד שיש בהם גרעין קיים של אוכלוסייה כאמור ובסמיכות לגרעין זה, באופן שהשכונות החדשות יוכלו להסתמך, בין היתר, על מוסדות ציבור המשרתים את הגרעין הקיים, והשכונות ישווקו באופן שלא יחולל שינוי ניכר בתמהיל האוכלוסייה ביישוב כולו. עוד נקבע בהחלטת הממשלה כי לצורך יישום האמור יגבש מנכ"ל משרד הבינוי, בתיאום עם יו"ר מטה הדיור והממונה על התקציבים, בתוך 90 ימים, מערכת תמריצים הולמת שתאפשר את הכללתן של שכונות חרדיות בהסכמי גג ובהסכמי פיתוח כאמור, תוך התחשבות בצרכים של האוכלוסייה הקולטת והאוכלוסייה הנקלטת.</w:t>
      </w:r>
    </w:p>
    <w:p w14:paraId="7D202CDF" w14:textId="77777777" w:rsidR="00ED63E1" w:rsidRPr="00AE1D40" w:rsidRDefault="00ED63E1" w:rsidP="006B2A1C">
      <w:pPr>
        <w:pStyle w:val="7190"/>
        <w:rPr>
          <w:rtl/>
        </w:rPr>
      </w:pPr>
      <w:r>
        <w:rPr>
          <w:rFonts w:hint="cs"/>
          <w:rtl/>
        </w:rPr>
        <w:t xml:space="preserve">גם בהחלטת הממשלה על התוכנית האסטרטגית משנת 2017 ניתנה הדעת על צורכי הדיור של האוכלוסייה החרדית, ונקבע בה כי משרד הבינוי אחראי לפעול, בתיאום עם המועצה הלאומית לכלכלה, להגדרת יעדי תכנון יח"ד לשנים 2019 - 2040, באופן שיינתן מענה לצורכי הגידול </w:t>
      </w:r>
      <w:r w:rsidRPr="00AE1D40">
        <w:rPr>
          <w:rFonts w:hint="cs"/>
          <w:rtl/>
        </w:rPr>
        <w:t xml:space="preserve">הדמוגרפי ולתוספת משקי הבית הצפויה במגזר החרדי. </w:t>
      </w:r>
    </w:p>
    <w:p w14:paraId="30A10598" w14:textId="77777777" w:rsidR="00ED63E1" w:rsidRDefault="00ED63E1" w:rsidP="006B2A1C">
      <w:pPr>
        <w:pStyle w:val="7190"/>
        <w:rPr>
          <w:szCs w:val="20"/>
          <w:rtl/>
        </w:rPr>
      </w:pPr>
      <w:r w:rsidRPr="00AE1D40">
        <w:rPr>
          <w:rFonts w:hint="cs"/>
          <w:rtl/>
        </w:rPr>
        <w:t>אגף תקציבים מסר בתשובתו כי בהצעת החוק לקידום הבנייה במתחמים מועדפים לדיור (הוראת שעה) (תיקון מס' 7), התשפ"א-2021, המקודמת בימים אלו (יולי 2021), מוצע להוסיף מסלול ייעודי לתכנון מהיר עבור המגזר החרדי, דבר שיאפשר להגדיל את היצע הדיור למגזר זה ולספק את המענה כאמור לצורכי הדיור שלו.</w:t>
      </w:r>
    </w:p>
    <w:p w14:paraId="06615089" w14:textId="77777777" w:rsidR="00ED63E1" w:rsidRPr="006B2A1C" w:rsidRDefault="00ED63E1" w:rsidP="00235FD7">
      <w:pPr>
        <w:pStyle w:val="714"/>
        <w:numPr>
          <w:ilvl w:val="0"/>
          <w:numId w:val="21"/>
        </w:numPr>
        <w:rPr>
          <w:b/>
          <w:bCs/>
          <w:rtl/>
        </w:rPr>
      </w:pPr>
      <w:r w:rsidRPr="006B2A1C">
        <w:rPr>
          <w:rFonts w:hint="cs"/>
          <w:b/>
          <w:bCs/>
          <w:rtl/>
        </w:rPr>
        <w:t xml:space="preserve">הכללת תכנון שכונות חרדיות ושיווק יח"ד לאוכלוסייה החרדית ביישובים הטרוגניים שלגביהם נחתם הסכם גג </w:t>
      </w:r>
    </w:p>
    <w:p w14:paraId="716ACA26" w14:textId="77777777" w:rsidR="00ED63E1" w:rsidRDefault="00ED63E1" w:rsidP="006B2A1C">
      <w:pPr>
        <w:pStyle w:val="71f4"/>
        <w:rPr>
          <w:rtl/>
        </w:rPr>
      </w:pPr>
      <w:r>
        <w:rPr>
          <w:rFonts w:hint="cs"/>
          <w:rtl/>
        </w:rPr>
        <w:t>כפי שיפורט להלן, לפי נתוני משרד הבינוי, נכון לאפריל 2021 התכנון של שכונות חרדיות והשיווק של יח"ד לאוכלוסייה החרדית ברשויות רמלה, נתיבות ועכו שחתומות על הסכם גג, בהתאם להחלטת הממשלה לגבי הדיור לאוכלוסייה החרדית, נמצאים בשלבים שונים ובלא שהגיעו לכדי שיווק יח"ד. נוסף על כך מתבצע תכנון של יח"ד לאוכלוסייה החרדית באשדוד, שבה שיעור האוכלוסייה החרדית בשנת 2017 היה כרבע מכלל התושבים</w:t>
      </w:r>
      <w:r>
        <w:rPr>
          <w:vertAlign w:val="superscript"/>
          <w:rtl/>
        </w:rPr>
        <w:footnoteReference w:id="60"/>
      </w:r>
      <w:r>
        <w:rPr>
          <w:rFonts w:hint="cs"/>
          <w:rtl/>
        </w:rPr>
        <w:t>, ומכאן שהעיר אינה עונה להגדרה של יישוב הטרוגני לפי החלטת הממשלה לגבי הדיור לאוכלוסייה החרדית, גם יח"ד אלה טרם שווקו. ההערכה של משרד הבינוי היא שביישובים אלה יש פוטנציאל להקמת כמה אלפי יח"ד לאוכלוסייה החרדית. להלן פירוט:</w:t>
      </w:r>
    </w:p>
    <w:p w14:paraId="4EA0A0AE" w14:textId="5FF20B06" w:rsidR="00ED63E1" w:rsidRDefault="00ED63E1" w:rsidP="00162560">
      <w:pPr>
        <w:pStyle w:val="717"/>
        <w:rPr>
          <w:rtl/>
        </w:rPr>
      </w:pPr>
      <w:r w:rsidRPr="00162560">
        <w:rPr>
          <w:rStyle w:val="717Char"/>
          <w:rFonts w:hint="cs"/>
          <w:rtl/>
        </w:rPr>
        <w:t>רמלה:</w:t>
      </w:r>
      <w:r>
        <w:rPr>
          <w:rFonts w:hint="cs"/>
          <w:rtl/>
        </w:rPr>
        <w:t xml:space="preserve"> לדברי משרד הבינוי, בתחילת שנת 2019 הציעה עיריית רמלה להקים שכונה חרדית במסגרת תוכנית "רמלה מערב" הכלולה בהסכם הגג, אולם השכונה לא שווקה כי היא לא תוכננה באופן שיתאים לאוכלוסייה החרדית. נכון לאפריל 2021 התוכנית מתוכננת מחדש, והיא צפויה לכלול 650 יח"ד לאוכלוסייה החרדית. להערכת משרד הבינוי, שינוי התוכנית צפוי לעכב במידה ניכרת את שיווק הקרקעות לאוכלוסייה החרדית</w:t>
      </w:r>
      <w:r>
        <w:rPr>
          <w:vertAlign w:val="superscript"/>
          <w:rtl/>
        </w:rPr>
        <w:footnoteReference w:id="61"/>
      </w:r>
      <w:r>
        <w:rPr>
          <w:rFonts w:hint="cs"/>
          <w:rtl/>
        </w:rPr>
        <w:t>.</w:t>
      </w:r>
    </w:p>
    <w:p w14:paraId="73CF042C" w14:textId="696EEF8F" w:rsidR="00ED63E1" w:rsidRDefault="00ED63E1" w:rsidP="0046415D">
      <w:pPr>
        <w:pStyle w:val="717"/>
      </w:pPr>
      <w:r w:rsidRPr="00162560">
        <w:rPr>
          <w:rStyle w:val="717Char"/>
          <w:rFonts w:hint="cs"/>
          <w:rtl/>
        </w:rPr>
        <w:t>נתיבות:</w:t>
      </w:r>
      <w:r>
        <w:rPr>
          <w:rFonts w:hint="cs"/>
          <w:rtl/>
        </w:rPr>
        <w:t xml:space="preserve"> לדברי משרד הבינוי, בדומה לרמלה, בתחילת שנת 2019 הציעה עיריית נתיבות להקים שכונה חרדית הכוללת כ-1,700 יח"ד במסגרת תוכנית "רמות מאיר", </w:t>
      </w:r>
      <w:r>
        <w:rPr>
          <w:rFonts w:hint="cs"/>
          <w:rtl/>
        </w:rPr>
        <w:lastRenderedPageBreak/>
        <w:t xml:space="preserve">אולם נכון לאפריל 2021 הקרקעות בשכונה טרם שווקו. לפי משרד הבינוי, עיריית נתיבות מעוניינת לייעד את השכונה לאוכלוסייה חרדית, אולם לא מבוצע תכנון מחדש של השכונה שכן העירייה מעריכה שצפויה להתגורר בשכונה אוכלוסייה חרדית גם אם לא יבוצע תכנון מחדש, והיא אינה מעוניינת כי יבוצע תכנון מחדש שיעכב את מימוש התוכנית. משרד הבינוי מסר שהוא יפעל לקדם שיווק של השכונה. </w:t>
      </w:r>
    </w:p>
    <w:p w14:paraId="197CD379" w14:textId="77777777" w:rsidR="00ED63E1" w:rsidRDefault="00ED63E1" w:rsidP="0046415D">
      <w:pPr>
        <w:pStyle w:val="717"/>
      </w:pPr>
      <w:r w:rsidRPr="00162560">
        <w:rPr>
          <w:rStyle w:val="717Char"/>
          <w:rFonts w:hint="cs"/>
          <w:rtl/>
        </w:rPr>
        <w:t>עכו:</w:t>
      </w:r>
      <w:r>
        <w:rPr>
          <w:rStyle w:val="719"/>
          <w:rFonts w:hint="cs"/>
          <w:rtl/>
        </w:rPr>
        <w:t xml:space="preserve"> </w:t>
      </w:r>
      <w:r>
        <w:rPr>
          <w:rFonts w:hint="cs"/>
          <w:rtl/>
        </w:rPr>
        <w:t>לדברי משרד הבינוי, נכון לאפריל 2021 התקיימו מגעים עם עיריית עכו לגבי שיווק יח"ד לאוכלוסייה החרדית כחלק מתוכנית "שערי עכו" הכוללת כ-8,000 יח"ד, אולם התוכנית אינה מותאמת לאוכלוסייה זו. נכון למועד האמור בוחן משרד הבינוי את האפשרות שבשלב ראשון תתוכנן מחדש חלק מהתוכנית כדי להתאימה לאוכלוסייה החרדית.</w:t>
      </w:r>
    </w:p>
    <w:p w14:paraId="249CF31F" w14:textId="77777777" w:rsidR="00ED63E1" w:rsidRDefault="00ED63E1" w:rsidP="0046415D">
      <w:pPr>
        <w:pStyle w:val="717"/>
        <w:rPr>
          <w:rtl/>
        </w:rPr>
      </w:pPr>
      <w:r w:rsidRPr="00162560">
        <w:rPr>
          <w:rStyle w:val="717Char"/>
          <w:rFonts w:hint="cs"/>
          <w:rtl/>
        </w:rPr>
        <w:t>אשדוד:</w:t>
      </w:r>
      <w:r>
        <w:rPr>
          <w:rFonts w:hint="cs"/>
          <w:rtl/>
        </w:rPr>
        <w:t xml:space="preserve"> כאמור, אשדוד אינה יישוב הטרוגני. אולם בהסכם הגג עם עיריית אשדוד משנת 2016 נקבע כי במסגרת כלל התוכניות יוקצו יח"ד למגזר החרדי, כפי שיוסכם בין הצדדים ובהתאם להחלטה לגבי האוכלוסייה החרדית. לדברי משרד הבינוי, נוכח האמור תוכננו 2,000 יח"ד לאוכלוסייה החרדית בשכונת קריית חלוצים בעיר מתוך 7,000 יחה"ד המתוכננות בשכונה. להערכת משרד הבינוי מדצמבר 2020, התוכנית תאושר בסוף שנת 2021</w:t>
      </w:r>
      <w:r>
        <w:rPr>
          <w:vertAlign w:val="superscript"/>
          <w:rtl/>
        </w:rPr>
        <w:footnoteReference w:id="62"/>
      </w:r>
      <w:r>
        <w:rPr>
          <w:rFonts w:hint="cs"/>
          <w:rtl/>
        </w:rPr>
        <w:t>.</w:t>
      </w:r>
    </w:p>
    <w:p w14:paraId="73411820" w14:textId="77777777" w:rsidR="00ED63E1" w:rsidRDefault="00ED63E1" w:rsidP="00162560">
      <w:pPr>
        <w:pStyle w:val="71f4"/>
        <w:rPr>
          <w:rtl/>
        </w:rPr>
      </w:pPr>
      <w:r>
        <w:rPr>
          <w:rFonts w:hint="cs"/>
          <w:rtl/>
        </w:rPr>
        <w:t xml:space="preserve">עוד מסר משרד הבינוי למשרד מבקר המדינה באפריל 2021 כי הוא ניסה לקדם הקמת שכונות חרדיות ביישובים הטרוגניים נוספים שלגביהם נחתם הסכם גג (ובהם מגדל העמק, קריית אתא, ובאר שבע), אך הדבר לא צלח. </w:t>
      </w:r>
    </w:p>
    <w:p w14:paraId="08545C74" w14:textId="241AAE1B" w:rsidR="00ED63E1" w:rsidRDefault="00ED63E1" w:rsidP="00162560">
      <w:pPr>
        <w:pStyle w:val="71f"/>
        <w:rPr>
          <w:rtl/>
        </w:rPr>
      </w:pPr>
      <w:r>
        <w:rPr>
          <w:rFonts w:hint="cs"/>
          <w:rtl/>
        </w:rPr>
        <w:t>מהאמור עולה כי על אף הצורך בהקמת 200,000 יח"ד לאוכלוסייה החרדית בשנים 2016 - 2035, נכון למועד סיום הביקורת עדיין לא שווקה שכונה חרדית בשום עיר הטרוגנית שלגביה נחתם הסכם גג, וכי בשלוש רשויות נמצאות בשלבי תכנון שונים שכונות המיועדות לאוכלוסייה החרדית - בהיקף של כ-2,350 יח"ד ברמלה ונתיבות, וכן בעכו כחלק מהתוכנית "שערי עכו" הכוללת כ-8,000 יח"ד לכלל האוכלוסייה. במועד סיום הביקורת תוכניות אלו טרם קודמו לכדי שיווק.</w:t>
      </w:r>
    </w:p>
    <w:p w14:paraId="4B773CE8" w14:textId="1BF4F3D2" w:rsidR="00366FDA" w:rsidRDefault="00ED63E1" w:rsidP="00366FDA">
      <w:pPr>
        <w:pStyle w:val="71f"/>
        <w:rPr>
          <w:rtl/>
        </w:rPr>
      </w:pPr>
      <w:r>
        <w:rPr>
          <w:rFonts w:hint="cs"/>
          <w:rtl/>
        </w:rPr>
        <w:t>על משרד הבינוי ורמ"י לקדם שיווק יח"ד לאוכלוסייה החרדית בכלל הרשויות המקומיות הרלוונטיות שעימן נחתמו הסכמי גג, בהתאם לאמור בהחלטת הממשלה לגבי הדיור לאוכלוסייה החרדית.</w:t>
      </w:r>
    </w:p>
    <w:p w14:paraId="213A7067" w14:textId="77777777" w:rsidR="00366FDA" w:rsidRDefault="00366FDA">
      <w:pPr>
        <w:bidi w:val="0"/>
        <w:spacing w:after="200" w:line="276" w:lineRule="auto"/>
        <w:rPr>
          <w:rFonts w:ascii="Tahoma" w:hAnsi="Tahoma" w:cs="Tahoma"/>
          <w:b/>
          <w:bCs/>
          <w:color w:val="0D0D0D" w:themeColor="text1" w:themeTint="F2"/>
          <w:sz w:val="18"/>
          <w:szCs w:val="18"/>
          <w:rtl/>
        </w:rPr>
      </w:pPr>
      <w:r>
        <w:rPr>
          <w:b/>
          <w:bCs/>
          <w:rtl/>
        </w:rPr>
        <w:br w:type="page"/>
      </w:r>
    </w:p>
    <w:p w14:paraId="1196D695" w14:textId="1F3A78D6" w:rsidR="00ED63E1" w:rsidRPr="00603127" w:rsidRDefault="00ED63E1" w:rsidP="00603127">
      <w:pPr>
        <w:pStyle w:val="714"/>
        <w:rPr>
          <w:b/>
          <w:bCs/>
          <w:rtl/>
        </w:rPr>
      </w:pPr>
      <w:r w:rsidRPr="00603127">
        <w:rPr>
          <w:rFonts w:hint="cs"/>
          <w:b/>
          <w:bCs/>
          <w:rtl/>
        </w:rPr>
        <w:lastRenderedPageBreak/>
        <w:t>גיבוש מערכת תמריצים שתאפשר לכלול שכונות חרדיות בהסכמי גג</w:t>
      </w:r>
    </w:p>
    <w:p w14:paraId="02BA95CC" w14:textId="77777777" w:rsidR="00ED63E1" w:rsidRDefault="00ED63E1" w:rsidP="00603127">
      <w:pPr>
        <w:pStyle w:val="71f4"/>
        <w:rPr>
          <w:rtl/>
        </w:rPr>
      </w:pPr>
      <w:r>
        <w:rPr>
          <w:rFonts w:hint="cs"/>
          <w:rtl/>
        </w:rPr>
        <w:t xml:space="preserve">כאמור, הממשלה קבעה כי מנכ"ל משרד הבינוי, בתיאום עם יו"ר מטה הדיור והממונה על התקציבים במשרד האוצר, יגבש מערכת תמריצים הולמת שתאפשר לכלול בהסכמי גג שכונות לאוכלוסייה החרדית. </w:t>
      </w:r>
    </w:p>
    <w:p w14:paraId="78201D11" w14:textId="77777777" w:rsidR="00ED63E1" w:rsidRDefault="00ED63E1" w:rsidP="00603127">
      <w:pPr>
        <w:pStyle w:val="71f4"/>
        <w:rPr>
          <w:rtl/>
        </w:rPr>
      </w:pPr>
      <w:r>
        <w:rPr>
          <w:rFonts w:hint="cs"/>
          <w:rtl/>
        </w:rPr>
        <w:t>משרד הבינוי מסר למשרד מבקר המדינה באפריל 2021 כי הוא גיבש הצעה למערכת תמריצים כאמור, אולם אגף תקציבים לא הסכים להצעה של המשרד. עוד מסר המשרד כי נבחנות אפשרויות אחרות לתמרוץ, אולם נכון לאפריל 2021 מדובר בשלבים ראשוניים של התהליך.</w:t>
      </w:r>
    </w:p>
    <w:p w14:paraId="64D06286" w14:textId="77777777" w:rsidR="00ED63E1" w:rsidRDefault="00ED63E1" w:rsidP="00603127">
      <w:pPr>
        <w:pStyle w:val="71f"/>
        <w:rPr>
          <w:rtl/>
        </w:rPr>
      </w:pPr>
      <w:r>
        <w:rPr>
          <w:rFonts w:hint="cs"/>
          <w:rtl/>
        </w:rPr>
        <w:t xml:space="preserve">מן האמור עולה כי במועד סיום הביקורת, יותר מארבע שנים לאחר שהתקבלה החלטת הממשלה לגבי הדיור לאוכלוסייה החרדית, טרם גיבשו משרד הבינוי ואגף תקציבים מערכת תמריצים שתאפשר לכלול במסגרת הסכמי הגג גם שכונות לאוכלוסייה החרדית. </w:t>
      </w:r>
    </w:p>
    <w:p w14:paraId="786D92F6" w14:textId="77777777" w:rsidR="00ED63E1" w:rsidRDefault="00ED63E1" w:rsidP="00603127">
      <w:pPr>
        <w:pStyle w:val="71f"/>
        <w:rPr>
          <w:rtl/>
        </w:rPr>
      </w:pPr>
      <w:r>
        <w:rPr>
          <w:rFonts w:hint="cs"/>
          <w:rtl/>
        </w:rPr>
        <w:t xml:space="preserve">על משרד הבינוי ואגף תקציבים להשלים גיבוש של מערכת תמריצים שתאפשר לתמרץ רשויות מקומיות של יישובים הטרוגניים שחתומים על הסכם גג לשלב בהם שכונות לאוכלוסייה החרדית, בהתאם לאמור בהחלטת הממשלה לגבי הדיור לאוכלוסייה החרדית. </w:t>
      </w:r>
    </w:p>
    <w:p w14:paraId="4280ED90" w14:textId="74774ECC" w:rsidR="00ED63E1" w:rsidRDefault="00ED63E1" w:rsidP="00603127">
      <w:pPr>
        <w:pStyle w:val="71f4"/>
        <w:rPr>
          <w:szCs w:val="20"/>
          <w:rtl/>
        </w:rPr>
      </w:pPr>
      <w:r w:rsidRPr="000A5E6A">
        <w:rPr>
          <w:rFonts w:hint="cs"/>
          <w:rtl/>
        </w:rPr>
        <w:t>משרד הבינוי מסר בתשובתו כי הוא מאמץ את ההמלצה להשלים עם משרד האוצר את גיבושה של מערכת תמריצים לרשויות מקומיות של יישובים הטרוגניים, כדי לשלב בהן שכונות לאוכלוסייה החרדית.</w:t>
      </w:r>
    </w:p>
    <w:p w14:paraId="4DB1029B" w14:textId="77777777" w:rsidR="00ED63E1" w:rsidRPr="00246E35" w:rsidRDefault="00ED63E1" w:rsidP="00246E35">
      <w:pPr>
        <w:pStyle w:val="714"/>
        <w:rPr>
          <w:b/>
          <w:bCs/>
          <w:rtl/>
        </w:rPr>
      </w:pPr>
      <w:r w:rsidRPr="00246E35">
        <w:rPr>
          <w:rFonts w:hint="cs"/>
          <w:b/>
          <w:bCs/>
          <w:rtl/>
        </w:rPr>
        <w:t>חתימת הסכם גג עם רשות מקומית חרדית - רכסים</w:t>
      </w:r>
    </w:p>
    <w:p w14:paraId="7DB183F3" w14:textId="77777777" w:rsidR="00ED63E1" w:rsidRDefault="00ED63E1" w:rsidP="00246E35">
      <w:pPr>
        <w:pStyle w:val="71f4"/>
        <w:rPr>
          <w:rtl/>
        </w:rPr>
      </w:pPr>
      <w:r>
        <w:rPr>
          <w:rFonts w:hint="cs"/>
          <w:rtl/>
        </w:rPr>
        <w:t>לדברי משרד הבינוי, בשנים האחרונות התקיימו מגעים לחתימה על הסכם גג עם הרשות המקומית רכסים, שבשנת 2017 מנתה כ-12,000 תושבים, כ-82% מהם חרדים</w:t>
      </w:r>
      <w:r>
        <w:rPr>
          <w:vertAlign w:val="superscript"/>
          <w:rtl/>
        </w:rPr>
        <w:footnoteReference w:id="63"/>
      </w:r>
      <w:r>
        <w:rPr>
          <w:rFonts w:hint="cs"/>
          <w:rtl/>
        </w:rPr>
        <w:t>. המשרד מינה צוות לבחינת ניסוח סופי של הסכם הגג, והוא צפוי לסיים את עבודתו בשנת 2021.</w:t>
      </w:r>
    </w:p>
    <w:p w14:paraId="4B1C91EB" w14:textId="77777777" w:rsidR="00ED63E1" w:rsidRDefault="00ED63E1" w:rsidP="00246E35">
      <w:pPr>
        <w:pStyle w:val="71f4"/>
        <w:rPr>
          <w:rtl/>
        </w:rPr>
      </w:pPr>
      <w:r w:rsidRPr="000A5E6A">
        <w:rPr>
          <w:rFonts w:hint="cs"/>
          <w:rtl/>
        </w:rPr>
        <w:t>המועצה המקומית רכסים מסרה בתשובתה מיוני 2021 כי טיוטת הסכם עם ההמלצות שלה הועברה למשרד הבינוי במרץ 2021, וכי היא ערוכה לפעול למימוש ההסכם אם יתקבלו המלצותיה.</w:t>
      </w:r>
    </w:p>
    <w:p w14:paraId="5DF08AC3" w14:textId="77777777" w:rsidR="00ED63E1" w:rsidRDefault="00ED63E1" w:rsidP="00246E35">
      <w:pPr>
        <w:pStyle w:val="71f5"/>
        <w:rPr>
          <w:rtl/>
        </w:rPr>
      </w:pPr>
      <w:r>
        <w:rPr>
          <w:rFonts w:hint="cs"/>
          <w:rtl/>
        </w:rPr>
        <w:t xml:space="preserve">מומלץ כי משרד הבינוי ישלים את החתימה על הסכם הגג עם רכסים כדי לקדם בינוי של יח"ד לאוכלוסייה החרדית ביישוב, וכי הוא יבחן את האפשרות לקידום הסכמי גג נוספים על מנת לעמוד ביעדי הממשלה בכל הנוגע לשיווק יח"ד לאוכלוסייה החרדית. </w:t>
      </w:r>
    </w:p>
    <w:p w14:paraId="70083D71" w14:textId="77777777" w:rsidR="00ED63E1" w:rsidRDefault="00ED63E1" w:rsidP="00ED63E1">
      <w:pPr>
        <w:rPr>
          <w:rtl/>
        </w:rPr>
      </w:pPr>
    </w:p>
    <w:p w14:paraId="007627D8" w14:textId="77777777" w:rsidR="00F33E9D" w:rsidRDefault="00F33E9D" w:rsidP="00F33E9D">
      <w:pPr>
        <w:pStyle w:val="7120"/>
        <w:rPr>
          <w:rtl/>
        </w:rPr>
      </w:pPr>
      <w:r>
        <w:rPr>
          <w:rFonts w:hint="cs"/>
          <w:rtl/>
        </w:rPr>
        <w:lastRenderedPageBreak/>
        <w:t xml:space="preserve">קצב שיווק הקרקעות למגורים </w:t>
      </w:r>
    </w:p>
    <w:p w14:paraId="5D636D8A" w14:textId="77777777" w:rsidR="00F33E9D" w:rsidRDefault="00F33E9D" w:rsidP="00F33E9D">
      <w:pPr>
        <w:pStyle w:val="7190"/>
        <w:rPr>
          <w:rtl/>
        </w:rPr>
      </w:pPr>
      <w:r>
        <w:rPr>
          <w:rFonts w:hint="cs"/>
          <w:rtl/>
        </w:rPr>
        <w:t>שרשרת הייצור של יחה"ד נחלקת לכמה תהליכים עיקריים: הראשון, התכנון הסטטוטורי, ובכלל זה הכנת התוכנית המפורטת על ידי הגוף היוזם את התכנון ואישור תוכנית מפורטת שהיא הבסיס למתן היתרי בנייה; לאחר אישור התוכנית המפורטת במוסדות התכנון ניתן להתחיל בפיתוח הקרקע, לרבות הקמת התשתיות הנדרשות ומבני הציבור, ובשיווק הקרקע, וזאת כדי לממש את התוכנית</w:t>
      </w:r>
      <w:r>
        <w:rPr>
          <w:rStyle w:val="a9"/>
          <w:rtl/>
        </w:rPr>
        <w:footnoteReference w:id="64"/>
      </w:r>
      <w:r>
        <w:rPr>
          <w:rFonts w:hint="cs"/>
          <w:rtl/>
        </w:rPr>
        <w:t xml:space="preserve">. </w:t>
      </w:r>
    </w:p>
    <w:p w14:paraId="019CD7F9" w14:textId="77777777" w:rsidR="00F33E9D" w:rsidRDefault="00F33E9D" w:rsidP="00F33E9D">
      <w:pPr>
        <w:pStyle w:val="7190"/>
        <w:rPr>
          <w:rtl/>
        </w:rPr>
      </w:pPr>
      <w:r>
        <w:rPr>
          <w:rFonts w:hint="cs"/>
          <w:rtl/>
        </w:rPr>
        <w:t>לפי הנתונים העדכניים ליוני 2020 לגבי הרשויות המקומיות שחתמו על הסכם עם משרד הבינוי ולפי הנתונים העדכניים לדצמבר 2020 לגבי הרשויות שחתמו על הסכם גג עם רמ"י (להלן בפרק זה - הנתונים העדכניים), במסגרת הסכמי הגג שווקו בהצלחה</w:t>
      </w:r>
      <w:r>
        <w:rPr>
          <w:rStyle w:val="a9"/>
          <w:rtl/>
        </w:rPr>
        <w:footnoteReference w:id="65"/>
      </w:r>
      <w:r>
        <w:rPr>
          <w:rFonts w:hint="cs"/>
          <w:rtl/>
        </w:rPr>
        <w:t xml:space="preserve"> קרקעות שלפי התוכניות שחלו עליהן ניתן היה לבנות בהן כ-80,000 יח"ד (כ-18%) מכ-441,000 יחה"ד שבתוכניות הכלולות בהסכמי הגג. </w:t>
      </w:r>
    </w:p>
    <w:p w14:paraId="607F8A91" w14:textId="77777777" w:rsidR="00F33E9D" w:rsidRDefault="00F33E9D" w:rsidP="00F33E9D">
      <w:pPr>
        <w:pStyle w:val="7190"/>
        <w:rPr>
          <w:b/>
          <w:bCs/>
          <w:rtl/>
        </w:rPr>
      </w:pPr>
      <w:r>
        <w:rPr>
          <w:rFonts w:hint="cs"/>
          <w:rtl/>
        </w:rPr>
        <w:t>לפי החלטת הממשלה על הסכמי הגג, קצב השיווק נקבע על 2,000 יח"ד בשנה בכל אחת מהרשויות</w:t>
      </w:r>
      <w:r>
        <w:rPr>
          <w:rStyle w:val="a9"/>
          <w:rtl/>
        </w:rPr>
        <w:footnoteReference w:id="66"/>
      </w:r>
      <w:r>
        <w:rPr>
          <w:rFonts w:hint="cs"/>
          <w:rtl/>
        </w:rPr>
        <w:t>. כלומר, נכון למחצית השנייה של שנת 2020 היו אמורות להיות משווקות קרקעות שלפי התוכניות החלות עליהן ניתן לבנות בהן כ-241,000 יח"ד, וזאת לפי קצב השיווק כאמור</w:t>
      </w:r>
      <w:r>
        <w:rPr>
          <w:rStyle w:val="a9"/>
          <w:rtl/>
        </w:rPr>
        <w:footnoteReference w:id="67"/>
      </w:r>
      <w:r>
        <w:rPr>
          <w:rFonts w:hint="cs"/>
          <w:rtl/>
        </w:rPr>
        <w:t xml:space="preserve">. </w:t>
      </w:r>
    </w:p>
    <w:p w14:paraId="7BB9371B" w14:textId="77777777" w:rsidR="00F33E9D" w:rsidRDefault="00F33E9D" w:rsidP="00F33E9D">
      <w:pPr>
        <w:pStyle w:val="71f5"/>
        <w:rPr>
          <w:rtl/>
        </w:rPr>
      </w:pPr>
      <w:r>
        <w:rPr>
          <w:rFonts w:hint="cs"/>
          <w:rtl/>
        </w:rPr>
        <w:t xml:space="preserve">נמצא כי בפועל שווקו בהצלחה קרקעות לבניית כ-80,000 יח"ד, שהן כ-33% מהקרקעות שהיו משווקות לו נעשה השיווק בהתאם לקצב השיווק שנקבע, מבחינת מספר יח"ד שניתן לבנות בהן. </w:t>
      </w:r>
    </w:p>
    <w:p w14:paraId="60842D10" w14:textId="77777777" w:rsidR="00F33E9D" w:rsidRDefault="00F33E9D" w:rsidP="00F33E9D">
      <w:pPr>
        <w:pStyle w:val="7190"/>
        <w:rPr>
          <w:rtl/>
        </w:rPr>
      </w:pPr>
      <w:r>
        <w:rPr>
          <w:rFonts w:hint="cs"/>
          <w:rtl/>
        </w:rPr>
        <w:t xml:space="preserve">בתרשים 8 להלן יפורט שיעור השיווק בהצלחה של קרקעות למגורים (ביח"ד) יחסית לקצב השיווק שנקבע בהחלטת הממשלה בכל אחת מהרשויות המקומיות, לפי הנתונים העדכניים: </w:t>
      </w:r>
    </w:p>
    <w:p w14:paraId="2AE6F5CF" w14:textId="77777777" w:rsidR="00F33E9D" w:rsidRDefault="00F33E9D">
      <w:pPr>
        <w:bidi w:val="0"/>
        <w:spacing w:after="200" w:line="276" w:lineRule="auto"/>
        <w:rPr>
          <w:rFonts w:ascii="Tahoma" w:eastAsiaTheme="minorEastAsia" w:hAnsi="Tahoma" w:cs="Tahoma"/>
          <w:color w:val="0D0D0D" w:themeColor="text1" w:themeTint="F2"/>
          <w:szCs w:val="20"/>
        </w:rPr>
      </w:pPr>
      <w:r>
        <w:rPr>
          <w:b/>
          <w:bCs/>
          <w:rtl/>
        </w:rPr>
        <w:br w:type="page"/>
      </w:r>
    </w:p>
    <w:p w14:paraId="259C52BA" w14:textId="76593FE3" w:rsidR="00F33E9D" w:rsidRDefault="00F33E9D" w:rsidP="008F3FA2">
      <w:pPr>
        <w:pStyle w:val="71b"/>
        <w:spacing w:after="0"/>
        <w:rPr>
          <w:sz w:val="22"/>
          <w:szCs w:val="22"/>
          <w:rtl/>
        </w:rPr>
      </w:pPr>
      <w:r w:rsidRPr="00F33E9D">
        <w:rPr>
          <w:rFonts w:hint="cs"/>
          <w:b w:val="0"/>
          <w:bCs w:val="0"/>
          <w:rtl/>
        </w:rPr>
        <w:lastRenderedPageBreak/>
        <w:t>תרשים 8:</w:t>
      </w:r>
      <w:r>
        <w:rPr>
          <w:rFonts w:hint="cs"/>
          <w:rtl/>
        </w:rPr>
        <w:t xml:space="preserve"> שיעור השיווק בהצלחה של קרקעות למגורים (ביח"ד) יחסית לקצב השיווק שנקבע בהחלטת הממשלה בכל אחת מהרשויות המקומיות, לפי הנתונים העדכניים</w:t>
      </w:r>
      <w:r>
        <w:rPr>
          <w:rFonts w:hint="cs"/>
          <w:sz w:val="22"/>
          <w:szCs w:val="22"/>
          <w:rtl/>
        </w:rPr>
        <w:t xml:space="preserve"> </w:t>
      </w:r>
    </w:p>
    <w:p w14:paraId="791E6BF4" w14:textId="46499018" w:rsidR="00F33E9D" w:rsidRDefault="0096256C" w:rsidP="00F33E9D">
      <w:pPr>
        <w:pStyle w:val="7190"/>
        <w:jc w:val="center"/>
        <w:rPr>
          <w:rtl/>
        </w:rPr>
      </w:pPr>
      <w:r>
        <w:rPr>
          <w:noProof/>
          <w:rtl/>
          <w:lang w:val="he-IL"/>
        </w:rPr>
        <w:drawing>
          <wp:anchor distT="0" distB="0" distL="114300" distR="114300" simplePos="0" relativeHeight="252136960" behindDoc="0" locked="0" layoutInCell="1" allowOverlap="1" wp14:anchorId="396DCC36" wp14:editId="737BCE38">
            <wp:simplePos x="0" y="0"/>
            <wp:positionH relativeFrom="column">
              <wp:posOffset>144780</wp:posOffset>
            </wp:positionH>
            <wp:positionV relativeFrom="paragraph">
              <wp:posOffset>311785</wp:posOffset>
            </wp:positionV>
            <wp:extent cx="4408228" cy="5760000"/>
            <wp:effectExtent l="0" t="0" r="0" b="0"/>
            <wp:wrapSquare wrapText="bothSides"/>
            <wp:docPr id="3788740" name="Picture 378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0" name="Picture 378874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08228" cy="5760000"/>
                    </a:xfrm>
                    <a:prstGeom prst="rect">
                      <a:avLst/>
                    </a:prstGeom>
                  </pic:spPr>
                </pic:pic>
              </a:graphicData>
            </a:graphic>
            <wp14:sizeRelH relativeFrom="margin">
              <wp14:pctWidth>0</wp14:pctWidth>
            </wp14:sizeRelH>
            <wp14:sizeRelV relativeFrom="margin">
              <wp14:pctHeight>0</wp14:pctHeight>
            </wp14:sizeRelV>
          </wp:anchor>
        </w:drawing>
      </w:r>
      <w:r w:rsidR="00F33E9D">
        <w:rPr>
          <w:rFonts w:hint="cs"/>
          <w:rtl/>
        </w:rPr>
        <w:t>(</w:t>
      </w:r>
      <w:r w:rsidR="00F33E9D" w:rsidRPr="000A5E6A">
        <w:rPr>
          <w:rtl/>
        </w:rPr>
        <w:t>מספר יח"ד בסוגריים מציין את מספר יח"ד הנכללות בהסכם</w:t>
      </w:r>
      <w:r w:rsidR="00F33E9D">
        <w:rPr>
          <w:rFonts w:hint="cs"/>
          <w:rtl/>
        </w:rPr>
        <w:t>)</w:t>
      </w:r>
    </w:p>
    <w:p w14:paraId="3DAFA50E" w14:textId="53ABEB33" w:rsidR="00F33E9D" w:rsidRDefault="00F33E9D" w:rsidP="009E20A9">
      <w:pPr>
        <w:pStyle w:val="71d"/>
        <w:rPr>
          <w:rtl/>
        </w:rPr>
      </w:pPr>
      <w:r>
        <w:rPr>
          <w:rFonts w:hint="cs"/>
          <w:rtl/>
        </w:rPr>
        <w:t>על פי נתוני רמ"י ומשרד הבינוי, בעיבוד משרד מבקר המדינה</w:t>
      </w:r>
      <w:r w:rsidR="009E20A9">
        <w:rPr>
          <w:rFonts w:hint="cs"/>
          <w:rtl/>
        </w:rPr>
        <w:t>.</w:t>
      </w:r>
    </w:p>
    <w:p w14:paraId="5FBF3BB2" w14:textId="77777777" w:rsidR="00F33E9D" w:rsidRDefault="00F33E9D" w:rsidP="009E20A9">
      <w:pPr>
        <w:pStyle w:val="71f5"/>
        <w:rPr>
          <w:rtl/>
        </w:rPr>
      </w:pPr>
      <w:r>
        <w:rPr>
          <w:rFonts w:hint="cs"/>
          <w:rtl/>
        </w:rPr>
        <w:lastRenderedPageBreak/>
        <w:t>מהתרשים עולה כי שיעור העמידה בקצב השיווק היה בין 0% ביהוד, ברמת גן ובקריית אתא, שחתמו על הסכמי הגג בשנים 2019 ו-2020, ובאשדוד שחתמה על הסכם הגג בשנת 2017, לכ-95% באשקלון, שחתמה על הסכם הגג בשנת 2015.</w:t>
      </w:r>
    </w:p>
    <w:p w14:paraId="3BBA31FF" w14:textId="77777777" w:rsidR="00F33E9D" w:rsidRDefault="00F33E9D" w:rsidP="009E20A9">
      <w:pPr>
        <w:pStyle w:val="7190"/>
        <w:rPr>
          <w:rtl/>
        </w:rPr>
      </w:pPr>
      <w:r>
        <w:rPr>
          <w:rFonts w:hint="cs"/>
          <w:rtl/>
        </w:rPr>
        <w:t>בתרשים 9 להלן יפורט שיעור השיווק בהצלחה של קרקעות למגורים (ביח"ד) במסגרת הסכמי הגג לפי קצב השיווק, בכל אחד ממחוזות משרד הפנים, לפי הנתונים העדכניים:</w:t>
      </w:r>
    </w:p>
    <w:p w14:paraId="78A08310" w14:textId="77777777" w:rsidR="00F33E9D" w:rsidRDefault="00F33E9D" w:rsidP="009E20A9">
      <w:pPr>
        <w:pStyle w:val="71b"/>
        <w:rPr>
          <w:rtl/>
        </w:rPr>
      </w:pPr>
      <w:r w:rsidRPr="009E20A9">
        <w:rPr>
          <w:rFonts w:hint="cs"/>
          <w:b w:val="0"/>
          <w:bCs w:val="0"/>
          <w:rtl/>
        </w:rPr>
        <w:t>תרשים 9:</w:t>
      </w:r>
      <w:r>
        <w:rPr>
          <w:rFonts w:hint="cs"/>
          <w:rtl/>
        </w:rPr>
        <w:t xml:space="preserve"> שיעור השיווק בהצלחה של קרקעות למגורים (ביח"ד) במסגרת הסכמי הגג לפי קצב השיווק בכל אחד ממחוזות משרד הפנים, לפי הנתונים העדכניים</w:t>
      </w:r>
    </w:p>
    <w:p w14:paraId="40D0EEEE" w14:textId="3E239BC3" w:rsidR="00F33E9D" w:rsidRDefault="00821EE2" w:rsidP="00F33E9D">
      <w:pPr>
        <w:jc w:val="center"/>
        <w:rPr>
          <w:b/>
          <w:bCs/>
          <w:rtl/>
        </w:rPr>
      </w:pPr>
      <w:r>
        <w:rPr>
          <w:b/>
          <w:bCs/>
          <w:noProof/>
          <w:rtl/>
          <w:lang w:val="he-IL"/>
        </w:rPr>
        <w:drawing>
          <wp:inline distT="0" distB="0" distL="0" distR="0" wp14:anchorId="771B5B28" wp14:editId="6534968E">
            <wp:extent cx="4679950" cy="256032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6" cstate="print">
                      <a:extLst>
                        <a:ext uri="{28A0092B-C50C-407E-A947-70E740481C1C}">
                          <a14:useLocalDpi xmlns:a14="http://schemas.microsoft.com/office/drawing/2010/main" val="0"/>
                        </a:ext>
                      </a:extLst>
                    </a:blip>
                    <a:srcRect t="6431" b="7138"/>
                    <a:stretch/>
                  </pic:blipFill>
                  <pic:spPr bwMode="auto">
                    <a:xfrm>
                      <a:off x="0" y="0"/>
                      <a:ext cx="4679950" cy="2560320"/>
                    </a:xfrm>
                    <a:prstGeom prst="rect">
                      <a:avLst/>
                    </a:prstGeom>
                    <a:ln>
                      <a:noFill/>
                    </a:ln>
                    <a:extLst>
                      <a:ext uri="{53640926-AAD7-44D8-BBD7-CCE9431645EC}">
                        <a14:shadowObscured xmlns:a14="http://schemas.microsoft.com/office/drawing/2010/main"/>
                      </a:ext>
                    </a:extLst>
                  </pic:spPr>
                </pic:pic>
              </a:graphicData>
            </a:graphic>
          </wp:inline>
        </w:drawing>
      </w:r>
    </w:p>
    <w:p w14:paraId="2A6AEC84" w14:textId="0E1E34A6" w:rsidR="00F33E9D" w:rsidRDefault="00F33E9D" w:rsidP="00821EE2">
      <w:pPr>
        <w:pStyle w:val="71d"/>
        <w:spacing w:before="0"/>
        <w:rPr>
          <w:rtl/>
        </w:rPr>
      </w:pPr>
      <w:r>
        <w:rPr>
          <w:rFonts w:hint="cs"/>
          <w:rtl/>
        </w:rPr>
        <w:t>על פי נתוני רמ"י ומשרד הבינוי, בעיבוד משרד מבקר המדינה</w:t>
      </w:r>
      <w:r w:rsidR="009E20A9">
        <w:rPr>
          <w:rFonts w:hint="cs"/>
          <w:rtl/>
        </w:rPr>
        <w:t>.</w:t>
      </w:r>
    </w:p>
    <w:p w14:paraId="1C74D074" w14:textId="77777777" w:rsidR="00F33E9D" w:rsidRDefault="00F33E9D" w:rsidP="009E20A9">
      <w:pPr>
        <w:pStyle w:val="71f5"/>
        <w:rPr>
          <w:rtl/>
        </w:rPr>
      </w:pPr>
      <w:r>
        <w:rPr>
          <w:rFonts w:hint="cs"/>
          <w:rtl/>
        </w:rPr>
        <w:t xml:space="preserve">מהתרשים עולה כי במחוזות תל אביב, חיפה, צפון ומרכז (21 רשויות מקומיות) שיעור השיווק בהצלחה של קרקעות למגורים היה קטן מהשיעור הממוצע של השיווק בהצלחה (33%); במחוזות דרום וירושלים (11 רשויות מקומיות בסה"כ) שיעור השיווק בהצלחה של קרקעות למגורים היה גדול מהממוצע. במחוז ירושלים שיעור השיווק בהצלחה היה הגדול ביותר (62%), אך גם הוא לא השיג את קצב השיווק. </w:t>
      </w:r>
    </w:p>
    <w:p w14:paraId="30E4D6AB" w14:textId="4A3B09CC" w:rsidR="00F33E9D" w:rsidRDefault="00F33E9D" w:rsidP="009E20A9">
      <w:pPr>
        <w:pStyle w:val="7190"/>
        <w:rPr>
          <w:rtl/>
        </w:rPr>
      </w:pPr>
      <w:r>
        <w:rPr>
          <w:rFonts w:hint="cs"/>
          <w:rtl/>
        </w:rPr>
        <w:t xml:space="preserve">הפער בין היקפי השיווק בהצלחה של קרקעות למגורים לבין קצב השיווק עלול להיווצר עקב כמה גורמים העשויים לעכב את השיווק בשלבי התכנון, הפיתוח או השיווק, כמפורט להלן: </w:t>
      </w:r>
    </w:p>
    <w:p w14:paraId="55F3B96A" w14:textId="77777777" w:rsidR="00113693" w:rsidRDefault="00113693" w:rsidP="009E20A9">
      <w:pPr>
        <w:pStyle w:val="7190"/>
        <w:rPr>
          <w:rtl/>
        </w:rPr>
      </w:pPr>
    </w:p>
    <w:p w14:paraId="35DF9250" w14:textId="77777777" w:rsidR="008F72E9" w:rsidRDefault="008F72E9" w:rsidP="00113693">
      <w:pPr>
        <w:pStyle w:val="71512"/>
        <w:rPr>
          <w:rtl/>
        </w:rPr>
      </w:pPr>
    </w:p>
    <w:p w14:paraId="2ABAED59" w14:textId="5CFCC8C6" w:rsidR="00F33E9D" w:rsidRDefault="00F33E9D" w:rsidP="00113693">
      <w:pPr>
        <w:pStyle w:val="71512"/>
        <w:rPr>
          <w:rtl/>
        </w:rPr>
      </w:pPr>
      <w:r>
        <w:rPr>
          <w:rFonts w:hint="cs"/>
          <w:rtl/>
        </w:rPr>
        <w:lastRenderedPageBreak/>
        <w:t xml:space="preserve">עיכובים בשלב תכנון הקרקע </w:t>
      </w:r>
    </w:p>
    <w:p w14:paraId="3382FC0D" w14:textId="77777777" w:rsidR="00F33E9D" w:rsidRDefault="00F33E9D" w:rsidP="00113693">
      <w:pPr>
        <w:pStyle w:val="7190"/>
        <w:rPr>
          <w:rtl/>
        </w:rPr>
      </w:pPr>
      <w:r>
        <w:rPr>
          <w:rFonts w:hint="cs"/>
          <w:rtl/>
        </w:rPr>
        <w:t>כאמור, לפי החלטת הממשלה על הסכמי הגג, ההסכמים יכללו תוכניות מאושרות ותוכניות שמוסדות התכנון צפויים לאשר בתוך 18 חודשים ממועד חתימת ההסכם (להלן - מועד האישור המיועד). אישור התוכניות במוסדות התכנון הוא תנאי מקדים להתחלת עבודות הפיתוח והשיווק של הקרקעות. בין גופי השלטון שיוזמים ומבצעים תכנון של קרקעות למגורים נמנים רמ"י, משרד הבינוי והרשויות המקומיות.</w:t>
      </w:r>
    </w:p>
    <w:p w14:paraId="49EB124A" w14:textId="21DEFCF3" w:rsidR="00F33E9D" w:rsidRDefault="00F33E9D" w:rsidP="00113693">
      <w:pPr>
        <w:pStyle w:val="71f5"/>
        <w:rPr>
          <w:rtl/>
        </w:rPr>
      </w:pPr>
      <w:r>
        <w:rPr>
          <w:rFonts w:hint="cs"/>
          <w:rtl/>
        </w:rPr>
        <w:t xml:space="preserve">בביקורת עלה כי לפי הנתונים העדכניים לתחילת דצמבר 2020, 49 תוכניות שנכללו </w:t>
      </w:r>
      <w:r w:rsidR="00113693">
        <w:rPr>
          <w:rFonts w:hint="cs"/>
          <w:rtl/>
        </w:rPr>
        <w:t xml:space="preserve">                    </w:t>
      </w:r>
      <w:r>
        <w:rPr>
          <w:rFonts w:hint="cs"/>
          <w:rtl/>
        </w:rPr>
        <w:t>ב-16</w:t>
      </w:r>
      <w:r w:rsidRPr="00113693">
        <w:rPr>
          <w:rStyle w:val="a9"/>
          <w:rtl/>
        </w:rPr>
        <w:footnoteReference w:id="68"/>
      </w:r>
      <w:r>
        <w:rPr>
          <w:rFonts w:hint="cs"/>
          <w:rtl/>
        </w:rPr>
        <w:t xml:space="preserve"> הסכמי הגג ולא היו מאושרות במועד החתימה על ההסכמים (להלן - תוכניות שאינן מאושרות), שכללו כ-98,000 יח"ד, טרם אושרו עד מועד האישור המיועד (להלן - תוכניות מעוכבות), כשתוכניות אלה נמצאו בשלבי תכנון שונים, לרבות בשלב הכנת התוכנית טרם הגשתה למוסדות התכנון; עוד עלה כי פרק הזמן שעבר ממועד האישור המיועד עד תחילת דצמבר 2020 היה בין חודשים ספורים לבין חמש שנים ויותר, ובממוצע 29 חודשים, ומשך זמן זה עשוי להתארך עוד. לגבי ארבע מהתוכניות שכללו יחד כ-6,300 יח"ד החליטה רמ"י שלא לקדמן כלל, בין היתר בעקבות בקשת הרשות המקומית שלא לקדם את התכנון ועקב הימצאות עתיקות בשטח התוכנית. להלן בתרשים 10 תוצג התפלגות מספר יחה"ד הכלולות בתוכניות מעוכבות ושיעורן של מספר יחה"ד מכלל יחה"ד בתוכניות מעוכבות בחלוקה לפי משך הזמן שחלף מהמועד המיועד לאישורן, נכון לדצמבר 2020.</w:t>
      </w:r>
    </w:p>
    <w:p w14:paraId="037E4695" w14:textId="77777777" w:rsidR="00F33E9D" w:rsidRDefault="00F33E9D" w:rsidP="00113693">
      <w:pPr>
        <w:pStyle w:val="71b"/>
        <w:rPr>
          <w:rtl/>
        </w:rPr>
      </w:pPr>
      <w:r w:rsidRPr="00113693">
        <w:rPr>
          <w:rFonts w:hint="cs"/>
          <w:b w:val="0"/>
          <w:bCs w:val="0"/>
          <w:rtl/>
        </w:rPr>
        <w:lastRenderedPageBreak/>
        <w:t>תרשים 10:</w:t>
      </w:r>
      <w:r>
        <w:rPr>
          <w:rFonts w:hint="cs"/>
          <w:rtl/>
        </w:rPr>
        <w:t xml:space="preserve"> התפלגות מספר יחה"ד הכלולות בתוכניות מעוכבות ושיעורן של מספר יחה"ד מכלל יחה"ד בתוכניות מעוכבות בחלוקה, לפי משך הזמן שחלף מהמועד המיועד לאישורן, נכון לדצמבר 2020</w:t>
      </w:r>
    </w:p>
    <w:p w14:paraId="5BFCAA01" w14:textId="63ECFB30" w:rsidR="00F33E9D" w:rsidRDefault="00CF0D09" w:rsidP="00F33E9D">
      <w:pPr>
        <w:jc w:val="center"/>
        <w:rPr>
          <w:b/>
          <w:bCs/>
          <w:rtl/>
        </w:rPr>
      </w:pPr>
      <w:r>
        <w:rPr>
          <w:b/>
          <w:bCs/>
          <w:noProof/>
          <w:rtl/>
          <w:lang w:val="he-IL"/>
        </w:rPr>
        <w:drawing>
          <wp:inline distT="0" distB="0" distL="0" distR="0" wp14:anchorId="156D5434" wp14:editId="7B6D4DD5">
            <wp:extent cx="3684270" cy="2697187"/>
            <wp:effectExtent l="0" t="0" r="0" b="8255"/>
            <wp:docPr id="3788747" name="Picture 378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7" name="Picture 3788747"/>
                    <pic:cNvPicPr/>
                  </pic:nvPicPr>
                  <pic:blipFill rotWithShape="1">
                    <a:blip r:embed="rId47" cstate="print">
                      <a:extLst>
                        <a:ext uri="{28A0092B-C50C-407E-A947-70E740481C1C}">
                          <a14:useLocalDpi xmlns:a14="http://schemas.microsoft.com/office/drawing/2010/main" val="0"/>
                        </a:ext>
                      </a:extLst>
                    </a:blip>
                    <a:srcRect t="11144" b="9972"/>
                    <a:stretch/>
                  </pic:blipFill>
                  <pic:spPr bwMode="auto">
                    <a:xfrm>
                      <a:off x="0" y="0"/>
                      <a:ext cx="3685039" cy="2697750"/>
                    </a:xfrm>
                    <a:prstGeom prst="rect">
                      <a:avLst/>
                    </a:prstGeom>
                    <a:ln>
                      <a:noFill/>
                    </a:ln>
                    <a:extLst>
                      <a:ext uri="{53640926-AAD7-44D8-BBD7-CCE9431645EC}">
                        <a14:shadowObscured xmlns:a14="http://schemas.microsoft.com/office/drawing/2010/main"/>
                      </a:ext>
                    </a:extLst>
                  </pic:spPr>
                </pic:pic>
              </a:graphicData>
            </a:graphic>
          </wp:inline>
        </w:drawing>
      </w:r>
    </w:p>
    <w:p w14:paraId="78AAD44A" w14:textId="029ABB11" w:rsidR="00F33E9D" w:rsidRDefault="00F33E9D" w:rsidP="00CF0D09">
      <w:pPr>
        <w:pStyle w:val="71d"/>
        <w:spacing w:before="0"/>
        <w:rPr>
          <w:rtl/>
        </w:rPr>
      </w:pPr>
      <w:r>
        <w:rPr>
          <w:rFonts w:hint="cs"/>
          <w:rtl/>
        </w:rPr>
        <w:t>על פי נתוני רמ"י ומשרד הבינוי, בעיבוד משרד מבקר המדינה</w:t>
      </w:r>
      <w:r w:rsidR="00113693">
        <w:rPr>
          <w:rFonts w:hint="cs"/>
          <w:rtl/>
        </w:rPr>
        <w:t>.</w:t>
      </w:r>
    </w:p>
    <w:p w14:paraId="0FCC77AE" w14:textId="77777777" w:rsidR="00F33E9D" w:rsidRDefault="00F33E9D" w:rsidP="00113693">
      <w:pPr>
        <w:pStyle w:val="71f5"/>
        <w:rPr>
          <w:rtl/>
        </w:rPr>
      </w:pPr>
      <w:r>
        <w:rPr>
          <w:rFonts w:hint="cs"/>
          <w:rtl/>
        </w:rPr>
        <w:t xml:space="preserve">מהתרשים עולה כי לגבי כמחצית (49%) מכ-98,000 יחה"ד בתוכניות המעוכבות נמשך העיכוב יותר משנתיים, והעיכוב לגבי 68% מהן נמשך יותר משלוש שנים. </w:t>
      </w:r>
    </w:p>
    <w:p w14:paraId="5E89C8A9" w14:textId="77777777" w:rsidR="00F33E9D" w:rsidRDefault="00F33E9D" w:rsidP="00113693">
      <w:pPr>
        <w:pStyle w:val="7190"/>
        <w:rPr>
          <w:rtl/>
        </w:rPr>
      </w:pPr>
      <w:r>
        <w:rPr>
          <w:rFonts w:hint="cs"/>
          <w:rtl/>
        </w:rPr>
        <w:t>רמ"י ומשרד הבינוי מסרו למשרד מבקר המדינה כי עיכוב בקידום תוכנית נגרם, בין היתר, ממחלוקות לגבי אישור התוכניות שהתקיימו בעניינן הליכים משפטיים; מאי-הסדרת התניות לקידום הכנת התוכנית ומהתנגדות של רשויות מקומיות לקדם תכנון שטחים בתחום שיפוטן. להלן כמה דוגמאות:</w:t>
      </w:r>
    </w:p>
    <w:p w14:paraId="4DBD2D5D" w14:textId="77777777" w:rsidR="00F33E9D" w:rsidRDefault="00F33E9D" w:rsidP="00235FD7">
      <w:pPr>
        <w:pStyle w:val="714"/>
        <w:numPr>
          <w:ilvl w:val="0"/>
          <w:numId w:val="22"/>
        </w:numPr>
        <w:rPr>
          <w:rtl/>
        </w:rPr>
      </w:pPr>
      <w:r w:rsidRPr="00E305F8">
        <w:rPr>
          <w:rStyle w:val="717Char0"/>
          <w:rFonts w:hint="cs"/>
          <w:rtl/>
          <w:lang w:eastAsia="he-IL"/>
        </w:rPr>
        <w:t>הסכם הגג עם נהרייה:</w:t>
      </w:r>
      <w:r>
        <w:rPr>
          <w:rFonts w:hint="cs"/>
        </w:rPr>
        <w:t xml:space="preserve"> </w:t>
      </w:r>
      <w:r>
        <w:rPr>
          <w:rFonts w:hint="cs"/>
          <w:rtl/>
        </w:rPr>
        <w:t xml:space="preserve">בהסכם הגג שחתם משרד הבינוי עם נהרייה באוקטובר 2017 נכללה תוכנית לא מאושרת שכללה כ-1,400 יח"ד במתחם המכונה "סער 2". אולם תכנון המתחם התעכב בין היתר בשל סוגיות הנוגעות למחלוקות עם יישובים סמוכים בנוגע לקרקע. בדצמבר 2020 - יותר משלוש שנים לאחר שנחתם הסכם הגג - התוכנית עדיין בתהליכי תכנון וטרם הוגשה למוסדות התכנון לאישור סטטוטורי. משרד הבינוי מסר למשרד מבקר המדינה כי ספק אם התוכנית תאושר לפני שנת 2023, קרי שש שנים לאחר מועד החתימה על הסכם הגג. </w:t>
      </w:r>
    </w:p>
    <w:p w14:paraId="36D2CAA4" w14:textId="77777777" w:rsidR="00F33E9D" w:rsidRDefault="00F33E9D" w:rsidP="00E305F8">
      <w:pPr>
        <w:pStyle w:val="714"/>
        <w:rPr>
          <w:rtl/>
        </w:rPr>
      </w:pPr>
      <w:r w:rsidRPr="00E305F8">
        <w:rPr>
          <w:rStyle w:val="717Char0"/>
          <w:rFonts w:hint="cs"/>
          <w:rtl/>
          <w:lang w:eastAsia="he-IL"/>
        </w:rPr>
        <w:t>הסכם הגג עם טירת כרמל:</w:t>
      </w:r>
      <w:r>
        <w:rPr>
          <w:rFonts w:hint="cs"/>
          <w:rtl/>
        </w:rPr>
        <w:t xml:space="preserve"> בהסכם הגג שחתם משרד הבינוי עם טירת כרמל בספטמבר 2016, נכללה תוכנית לא מאושרת שכונתה "מתחם תע"ש", שתכנונה נמצא באחריות רמ"י וצפויה הייתה לכלול 5,000 יח"ד</w:t>
      </w:r>
      <w:r>
        <w:rPr>
          <w:rFonts w:hint="cs"/>
          <w:color w:val="000000" w:themeColor="text1"/>
          <w:sz w:val="24"/>
          <w:rtl/>
        </w:rPr>
        <w:t xml:space="preserve"> (כ-53%) מכ-9,500 יחה"ד הכלולות בתוכניות שבהסכם הגג. בהסכם נכתב כי התוכנית נמצאת בשלב התכנון, וכי המועד </w:t>
      </w:r>
      <w:r>
        <w:rPr>
          <w:rFonts w:hint="cs"/>
          <w:color w:val="000000" w:themeColor="text1"/>
          <w:sz w:val="24"/>
          <w:rtl/>
        </w:rPr>
        <w:lastRenderedPageBreak/>
        <w:t>הצפוי לאישורה הוא שנת 2018.</w:t>
      </w:r>
      <w:r>
        <w:rPr>
          <w:rFonts w:hint="cs"/>
          <w:rtl/>
        </w:rPr>
        <w:t xml:space="preserve"> יצוין כי ללא הכללת התוכנית בהסכם הגג הרשות המקומית לא הייתה עומדת בתנאי הסף לחתימה על הסכם הגג ולפיו ייכללו בתוכניות 5,000 יח"ד לפחות. </w:t>
      </w:r>
      <w:r>
        <w:rPr>
          <w:rFonts w:hint="cs"/>
          <w:color w:val="000000" w:themeColor="text1"/>
          <w:sz w:val="24"/>
          <w:rtl/>
        </w:rPr>
        <w:t>בפברואר 2021, יותר מארבע שנים לאחר שנחתם הסכם הגג, התוכנית עדיין בתהליכי תכנון ברמ"י, והיא טרם הובאה לאישור סטטוטורי של מוסדות התכנון.</w:t>
      </w:r>
      <w:r>
        <w:rPr>
          <w:rFonts w:hint="cs"/>
          <w:rtl/>
        </w:rPr>
        <w:t xml:space="preserve"> יצוין כי גורמי המקצוע ברמ"י מסרו למשרד מבקר המדינה כי להערכתם היישום המלא של התוכנית, לרבות הפיתוח והשיווק של הקרקעות בה, תלוי בהשלמת צעדים נוספים, ובהם: פינוי מחנה צבאי הנמצא בשטח התוכנית והשלמת הטיפול בזיהומי מים וקרקע בשטח התוכנית. יצוין כי ללא שיווק הקרקעות ב"מתחם תע"ש" לא ניתן יהיה לעמוד בקצב השיווק בטירת כרמל, שלפי הנתונים העדכניים היה 29%, כמפורט לעיל.</w:t>
      </w:r>
    </w:p>
    <w:p w14:paraId="633EB34E" w14:textId="77777777" w:rsidR="00F33E9D" w:rsidRDefault="00F33E9D" w:rsidP="00E305F8">
      <w:pPr>
        <w:pStyle w:val="714"/>
        <w:rPr>
          <w:rtl/>
        </w:rPr>
      </w:pPr>
      <w:r w:rsidRPr="00E305F8">
        <w:rPr>
          <w:rStyle w:val="717Char0"/>
          <w:rFonts w:hint="cs"/>
          <w:rtl/>
          <w:lang w:eastAsia="he-IL"/>
        </w:rPr>
        <w:t>הסכם הגג עם הרצלייה:</w:t>
      </w:r>
      <w:r>
        <w:rPr>
          <w:rFonts w:hint="cs"/>
          <w:rtl/>
        </w:rPr>
        <w:t xml:space="preserve"> בהסכם הגג שחתמה רמ"י עם הרצלייה בינואר 2016 נכללה תוכנית לא מאושרת שכללה כ-2,700 יח"ד במתחם המכונה "אפולוניה"</w:t>
      </w:r>
      <w:r>
        <w:rPr>
          <w:rStyle w:val="a9"/>
          <w:rtl/>
        </w:rPr>
        <w:footnoteReference w:id="69"/>
      </w:r>
      <w:r>
        <w:rPr>
          <w:rFonts w:hint="cs"/>
          <w:rtl/>
        </w:rPr>
        <w:t>. באוגוסט 2016 אישרה הוועדה הארצית לתכנון ולבנייה של מתחמים מועדפים לדיור (להלן - הוותמ"ל)</w:t>
      </w:r>
      <w:r>
        <w:rPr>
          <w:rStyle w:val="a9"/>
          <w:rtl/>
        </w:rPr>
        <w:footnoteReference w:id="70"/>
      </w:r>
      <w:r>
        <w:rPr>
          <w:rFonts w:hint="cs"/>
          <w:rtl/>
        </w:rPr>
        <w:t xml:space="preserve"> את התוכנית. לאחר אישור התוכנית בוותמ"ל הגישו גופים התומכים בהגנה על הסביבה, עיריית הרצלייה, בעלים של קרקעות בתחום התוכנית ואחרים עתירות נגד הוותמ"ל וגופים אחרים לביטול אישור התוכנית, בין היתר בנימוק שהתוכנית אושרה לפני שבוצע סקר סיכונים סביבתי בנוגע למתחם, הכולל קרקעות ומי תהום מזוהמים. במאי 2021, כארבע וחצי שנים לאחר אישור התוכנית ויותר מחמש שנים לאחר שנחתם הסכם הגג, פסק בית המשפט העליון כי יש לבטל את החלטות הוותמ"ל להפקיד ולאשר את תוכנית "אפולוניה", והורה על החזרת הדיון בנושא למוסד התכנון המוסמך לצורך דיון מחדש בשאלת הפקדת התוכנית</w:t>
      </w:r>
      <w:r>
        <w:rPr>
          <w:rStyle w:val="a9"/>
          <w:rtl/>
        </w:rPr>
        <w:footnoteReference w:id="71"/>
      </w:r>
      <w:r>
        <w:rPr>
          <w:rFonts w:hint="cs"/>
          <w:rtl/>
        </w:rPr>
        <w:t xml:space="preserve">. </w:t>
      </w:r>
    </w:p>
    <w:p w14:paraId="5CE6657B" w14:textId="49CF4493" w:rsidR="00F33E9D" w:rsidRDefault="00F33E9D" w:rsidP="00DC104F">
      <w:pPr>
        <w:pStyle w:val="7190"/>
        <w:rPr>
          <w:rtl/>
        </w:rPr>
      </w:pPr>
      <w:r>
        <w:rPr>
          <w:rFonts w:hint="cs"/>
          <w:rtl/>
        </w:rPr>
        <w:t>להלן בלוח 3 ריכוז נתונים עיקריים לגבי התוכניות המעוכבות שהובאו בדוגמאות לעיל:</w:t>
      </w:r>
    </w:p>
    <w:p w14:paraId="01283E63" w14:textId="61D57F1E" w:rsidR="00F33E9D" w:rsidRDefault="00F33E9D" w:rsidP="00DC104F">
      <w:pPr>
        <w:pStyle w:val="71b"/>
        <w:rPr>
          <w:rtl/>
        </w:rPr>
      </w:pPr>
      <w:r w:rsidRPr="00DC104F">
        <w:rPr>
          <w:rFonts w:hint="cs"/>
          <w:b w:val="0"/>
          <w:bCs w:val="0"/>
          <w:rtl/>
        </w:rPr>
        <w:t>לוח 3:</w:t>
      </w:r>
      <w:r>
        <w:rPr>
          <w:rFonts w:hint="cs"/>
          <w:rtl/>
        </w:rPr>
        <w:t xml:space="preserve"> ריכוז נתונים עיקריים לגבי התוכניות המעוכבות שפורטו </w:t>
      </w:r>
      <w:r w:rsidR="00DC104F">
        <w:rPr>
          <w:rFonts w:hint="cs"/>
          <w:rtl/>
        </w:rPr>
        <w:t xml:space="preserve">                   </w:t>
      </w:r>
      <w:r>
        <w:rPr>
          <w:rFonts w:hint="cs"/>
          <w:rtl/>
        </w:rPr>
        <w:t>בדוגמאות לעיל</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05"/>
        <w:gridCol w:w="1605"/>
        <w:gridCol w:w="1701"/>
        <w:gridCol w:w="2113"/>
      </w:tblGrid>
      <w:tr w:rsidR="00F33E9D" w:rsidRPr="00DC104F" w14:paraId="4188435A" w14:textId="77777777" w:rsidTr="00591DE4">
        <w:trPr>
          <w:trHeight w:val="718"/>
          <w:tblHeader/>
          <w:jc w:val="center"/>
        </w:trPr>
        <w:tc>
          <w:tcPr>
            <w:tcW w:w="1805" w:type="dxa"/>
            <w:tcBorders>
              <w:bottom w:val="nil"/>
            </w:tcBorders>
            <w:shd w:val="clear" w:color="auto" w:fill="C6DCE4"/>
            <w:hideMark/>
          </w:tcPr>
          <w:p w14:paraId="65006D4A" w14:textId="3414F165" w:rsidR="00F33E9D" w:rsidRPr="00DC104F" w:rsidRDefault="00F33E9D" w:rsidP="00DC104F">
            <w:pPr>
              <w:pStyle w:val="71R"/>
              <w:rPr>
                <w:b/>
                <w:bCs/>
                <w:rtl/>
              </w:rPr>
            </w:pPr>
            <w:r w:rsidRPr="00DC104F">
              <w:rPr>
                <w:rFonts w:hint="cs"/>
                <w:b/>
                <w:bCs/>
                <w:rtl/>
              </w:rPr>
              <w:t>הרשות המקומית</w:t>
            </w:r>
            <w:r w:rsidR="00DC104F" w:rsidRPr="00DC104F">
              <w:rPr>
                <w:rFonts w:hint="cs"/>
                <w:b/>
                <w:bCs/>
                <w:rtl/>
              </w:rPr>
              <w:t xml:space="preserve"> </w:t>
            </w:r>
            <w:r w:rsidRPr="00DC104F">
              <w:rPr>
                <w:rFonts w:hint="cs"/>
                <w:b/>
                <w:bCs/>
                <w:rtl/>
              </w:rPr>
              <w:t>(מועד החתימה)</w:t>
            </w:r>
          </w:p>
        </w:tc>
        <w:tc>
          <w:tcPr>
            <w:tcW w:w="1605" w:type="dxa"/>
            <w:tcBorders>
              <w:bottom w:val="nil"/>
            </w:tcBorders>
            <w:shd w:val="clear" w:color="auto" w:fill="C6DCE4"/>
            <w:hideMark/>
          </w:tcPr>
          <w:p w14:paraId="73011C17" w14:textId="4CA5CEF6" w:rsidR="00F33E9D" w:rsidRPr="00DC104F" w:rsidRDefault="00F33E9D" w:rsidP="00DC104F">
            <w:pPr>
              <w:pStyle w:val="71R"/>
              <w:rPr>
                <w:b/>
                <w:bCs/>
                <w:rtl/>
              </w:rPr>
            </w:pPr>
            <w:r w:rsidRPr="00DC104F">
              <w:rPr>
                <w:rFonts w:hint="cs"/>
                <w:b/>
                <w:bCs/>
                <w:rtl/>
              </w:rPr>
              <w:t>נהרייה</w:t>
            </w:r>
            <w:r w:rsidR="00DC104F" w:rsidRPr="00DC104F">
              <w:rPr>
                <w:rFonts w:hint="cs"/>
                <w:b/>
                <w:bCs/>
                <w:rtl/>
              </w:rPr>
              <w:t xml:space="preserve">           </w:t>
            </w:r>
            <w:r w:rsidRPr="00DC104F">
              <w:rPr>
                <w:rFonts w:hint="cs"/>
                <w:b/>
                <w:bCs/>
                <w:rtl/>
              </w:rPr>
              <w:t>(אוקטובר 2017)</w:t>
            </w:r>
          </w:p>
        </w:tc>
        <w:tc>
          <w:tcPr>
            <w:tcW w:w="1701" w:type="dxa"/>
            <w:tcBorders>
              <w:bottom w:val="nil"/>
            </w:tcBorders>
            <w:shd w:val="clear" w:color="auto" w:fill="C6DCE4"/>
            <w:hideMark/>
          </w:tcPr>
          <w:p w14:paraId="60006363" w14:textId="15571244" w:rsidR="00F33E9D" w:rsidRPr="00DC104F" w:rsidRDefault="00F33E9D" w:rsidP="00DC104F">
            <w:pPr>
              <w:pStyle w:val="71R"/>
              <w:rPr>
                <w:b/>
                <w:bCs/>
                <w:rtl/>
              </w:rPr>
            </w:pPr>
            <w:r w:rsidRPr="00DC104F">
              <w:rPr>
                <w:rFonts w:hint="cs"/>
                <w:b/>
                <w:bCs/>
                <w:rtl/>
              </w:rPr>
              <w:t>טירת כרמל</w:t>
            </w:r>
            <w:r w:rsidR="00DC104F" w:rsidRPr="00DC104F">
              <w:rPr>
                <w:rFonts w:hint="cs"/>
                <w:b/>
                <w:bCs/>
                <w:rtl/>
              </w:rPr>
              <w:t xml:space="preserve">   </w:t>
            </w:r>
            <w:r w:rsidRPr="00DC104F">
              <w:rPr>
                <w:rFonts w:hint="cs"/>
                <w:b/>
                <w:bCs/>
                <w:rtl/>
              </w:rPr>
              <w:t>(ספטמבר 2016)</w:t>
            </w:r>
          </w:p>
        </w:tc>
        <w:tc>
          <w:tcPr>
            <w:tcW w:w="2113" w:type="dxa"/>
            <w:tcBorders>
              <w:bottom w:val="nil"/>
            </w:tcBorders>
            <w:shd w:val="clear" w:color="auto" w:fill="C6DCE4"/>
            <w:hideMark/>
          </w:tcPr>
          <w:p w14:paraId="165121BE" w14:textId="5717408D" w:rsidR="00F33E9D" w:rsidRPr="00DC104F" w:rsidRDefault="00F33E9D" w:rsidP="00DC104F">
            <w:pPr>
              <w:pStyle w:val="71R"/>
              <w:rPr>
                <w:b/>
                <w:bCs/>
                <w:rtl/>
              </w:rPr>
            </w:pPr>
            <w:r w:rsidRPr="00DC104F">
              <w:rPr>
                <w:rFonts w:hint="cs"/>
                <w:b/>
                <w:bCs/>
                <w:rtl/>
              </w:rPr>
              <w:t>הרצלייה</w:t>
            </w:r>
            <w:r w:rsidR="00DC104F" w:rsidRPr="00DC104F">
              <w:rPr>
                <w:rFonts w:hint="cs"/>
                <w:b/>
                <w:bCs/>
                <w:rtl/>
              </w:rPr>
              <w:t xml:space="preserve">                </w:t>
            </w:r>
            <w:r w:rsidRPr="00DC104F">
              <w:rPr>
                <w:rFonts w:hint="cs"/>
                <w:b/>
                <w:bCs/>
                <w:rtl/>
              </w:rPr>
              <w:t>(ינואר 2016)</w:t>
            </w:r>
          </w:p>
        </w:tc>
      </w:tr>
      <w:tr w:rsidR="00F33E9D" w14:paraId="4DB48B3A" w14:textId="77777777" w:rsidTr="00591DE4">
        <w:trPr>
          <w:trHeight w:val="718"/>
          <w:jc w:val="center"/>
        </w:trPr>
        <w:tc>
          <w:tcPr>
            <w:tcW w:w="1805" w:type="dxa"/>
            <w:tcBorders>
              <w:bottom w:val="nil"/>
            </w:tcBorders>
            <w:shd w:val="clear" w:color="auto" w:fill="DBE8EE"/>
            <w:hideMark/>
          </w:tcPr>
          <w:p w14:paraId="238C988E" w14:textId="77777777" w:rsidR="00F33E9D" w:rsidRDefault="00F33E9D" w:rsidP="00DC104F">
            <w:pPr>
              <w:pStyle w:val="71R"/>
              <w:rPr>
                <w:rtl/>
              </w:rPr>
            </w:pPr>
            <w:r>
              <w:rPr>
                <w:rFonts w:hint="cs"/>
                <w:rtl/>
              </w:rPr>
              <w:t>מספר יחה"ד הכלולות בהסכם</w:t>
            </w:r>
            <w:r w:rsidRPr="00DC104F">
              <w:rPr>
                <w:rStyle w:val="a9"/>
                <w:szCs w:val="20"/>
                <w:rtl/>
              </w:rPr>
              <w:footnoteReference w:id="72"/>
            </w:r>
          </w:p>
        </w:tc>
        <w:tc>
          <w:tcPr>
            <w:tcW w:w="1605" w:type="dxa"/>
            <w:tcBorders>
              <w:bottom w:val="nil"/>
            </w:tcBorders>
            <w:shd w:val="clear" w:color="auto" w:fill="DBE8EE"/>
            <w:hideMark/>
          </w:tcPr>
          <w:p w14:paraId="63C556A7" w14:textId="77777777" w:rsidR="00F33E9D" w:rsidRDefault="00F33E9D" w:rsidP="00DC104F">
            <w:pPr>
              <w:pStyle w:val="71R"/>
              <w:rPr>
                <w:rtl/>
              </w:rPr>
            </w:pPr>
            <w:r>
              <w:rPr>
                <w:rFonts w:hint="cs"/>
                <w:rtl/>
              </w:rPr>
              <w:t>10,151</w:t>
            </w:r>
          </w:p>
        </w:tc>
        <w:tc>
          <w:tcPr>
            <w:tcW w:w="1701" w:type="dxa"/>
            <w:tcBorders>
              <w:bottom w:val="nil"/>
            </w:tcBorders>
            <w:shd w:val="clear" w:color="auto" w:fill="DBE8EE"/>
            <w:hideMark/>
          </w:tcPr>
          <w:p w14:paraId="249A210E" w14:textId="77777777" w:rsidR="00F33E9D" w:rsidRDefault="00F33E9D" w:rsidP="00DC104F">
            <w:pPr>
              <w:pStyle w:val="71R"/>
              <w:rPr>
                <w:rtl/>
              </w:rPr>
            </w:pPr>
            <w:r>
              <w:rPr>
                <w:rFonts w:hint="cs"/>
                <w:rtl/>
              </w:rPr>
              <w:t>9,539</w:t>
            </w:r>
          </w:p>
        </w:tc>
        <w:tc>
          <w:tcPr>
            <w:tcW w:w="2113" w:type="dxa"/>
            <w:tcBorders>
              <w:bottom w:val="nil"/>
            </w:tcBorders>
            <w:shd w:val="clear" w:color="auto" w:fill="DBE8EE"/>
            <w:hideMark/>
          </w:tcPr>
          <w:p w14:paraId="47F2EE80" w14:textId="77777777" w:rsidR="00F33E9D" w:rsidRDefault="00F33E9D" w:rsidP="00DC104F">
            <w:pPr>
              <w:pStyle w:val="71R"/>
              <w:rPr>
                <w:rtl/>
              </w:rPr>
            </w:pPr>
            <w:r>
              <w:rPr>
                <w:rFonts w:hint="cs"/>
                <w:rtl/>
              </w:rPr>
              <w:t>7,443</w:t>
            </w:r>
          </w:p>
        </w:tc>
      </w:tr>
      <w:tr w:rsidR="00DC104F" w14:paraId="6AD3E63C" w14:textId="77777777" w:rsidTr="00591DE4">
        <w:trPr>
          <w:trHeight w:val="957"/>
          <w:jc w:val="center"/>
        </w:trPr>
        <w:tc>
          <w:tcPr>
            <w:tcW w:w="1805" w:type="dxa"/>
            <w:shd w:val="clear" w:color="auto" w:fill="ECF4F5"/>
            <w:hideMark/>
          </w:tcPr>
          <w:p w14:paraId="224E0B09" w14:textId="77777777" w:rsidR="00F33E9D" w:rsidRDefault="00F33E9D" w:rsidP="00DC104F">
            <w:pPr>
              <w:pStyle w:val="71R"/>
              <w:rPr>
                <w:rtl/>
              </w:rPr>
            </w:pPr>
            <w:r>
              <w:rPr>
                <w:rFonts w:hint="cs"/>
                <w:rtl/>
              </w:rPr>
              <w:t>מספר יחה"ד המעוכבות בתוכנית כמפורט לעיל</w:t>
            </w:r>
          </w:p>
        </w:tc>
        <w:tc>
          <w:tcPr>
            <w:tcW w:w="1605" w:type="dxa"/>
            <w:shd w:val="clear" w:color="auto" w:fill="ECF4F5"/>
            <w:hideMark/>
          </w:tcPr>
          <w:p w14:paraId="4A628E2D" w14:textId="0043186A" w:rsidR="00F33E9D" w:rsidRDefault="00F33E9D" w:rsidP="0026140B">
            <w:pPr>
              <w:pStyle w:val="71R"/>
              <w:rPr>
                <w:rtl/>
              </w:rPr>
            </w:pPr>
            <w:r>
              <w:rPr>
                <w:rFonts w:hint="cs"/>
                <w:rtl/>
              </w:rPr>
              <w:t>1,440</w:t>
            </w:r>
            <w:r w:rsidR="0026140B">
              <w:rPr>
                <w:rFonts w:hint="cs"/>
                <w:rtl/>
              </w:rPr>
              <w:t xml:space="preserve">                          </w:t>
            </w:r>
            <w:r>
              <w:rPr>
                <w:rFonts w:hint="cs"/>
                <w:rtl/>
              </w:rPr>
              <w:t>(סער 2)</w:t>
            </w:r>
          </w:p>
        </w:tc>
        <w:tc>
          <w:tcPr>
            <w:tcW w:w="1701" w:type="dxa"/>
            <w:shd w:val="clear" w:color="auto" w:fill="ECF4F5"/>
            <w:hideMark/>
          </w:tcPr>
          <w:p w14:paraId="7513C374" w14:textId="6C945096" w:rsidR="00F33E9D" w:rsidRDefault="00F33E9D" w:rsidP="0026140B">
            <w:pPr>
              <w:pStyle w:val="71R"/>
              <w:rPr>
                <w:rtl/>
              </w:rPr>
            </w:pPr>
            <w:r>
              <w:rPr>
                <w:rFonts w:hint="cs"/>
                <w:rtl/>
              </w:rPr>
              <w:t>5,000</w:t>
            </w:r>
            <w:r w:rsidR="0026140B">
              <w:rPr>
                <w:rFonts w:hint="cs"/>
                <w:rtl/>
              </w:rPr>
              <w:t xml:space="preserve">                 </w:t>
            </w:r>
            <w:r>
              <w:rPr>
                <w:rFonts w:hint="cs"/>
                <w:rtl/>
              </w:rPr>
              <w:t>(מתחם תע"ש)</w:t>
            </w:r>
          </w:p>
        </w:tc>
        <w:tc>
          <w:tcPr>
            <w:tcW w:w="2113" w:type="dxa"/>
            <w:shd w:val="clear" w:color="auto" w:fill="ECF4F5"/>
            <w:hideMark/>
          </w:tcPr>
          <w:p w14:paraId="75C39263" w14:textId="4D034787" w:rsidR="00F33E9D" w:rsidRDefault="00F33E9D" w:rsidP="0026140B">
            <w:pPr>
              <w:pStyle w:val="71R"/>
              <w:rPr>
                <w:rtl/>
              </w:rPr>
            </w:pPr>
            <w:r>
              <w:rPr>
                <w:rFonts w:hint="cs"/>
                <w:rtl/>
              </w:rPr>
              <w:t>2,687</w:t>
            </w:r>
            <w:r w:rsidR="00591DE4">
              <w:rPr>
                <w:rtl/>
              </w:rPr>
              <w:br/>
            </w:r>
            <w:r>
              <w:rPr>
                <w:rFonts w:hint="cs"/>
                <w:rtl/>
              </w:rPr>
              <w:t>(אפולוניה)</w:t>
            </w:r>
          </w:p>
        </w:tc>
      </w:tr>
      <w:tr w:rsidR="00F33E9D" w14:paraId="10038C71" w14:textId="77777777" w:rsidTr="00591DE4">
        <w:trPr>
          <w:trHeight w:val="957"/>
          <w:jc w:val="center"/>
        </w:trPr>
        <w:tc>
          <w:tcPr>
            <w:tcW w:w="1805" w:type="dxa"/>
            <w:tcBorders>
              <w:bottom w:val="nil"/>
            </w:tcBorders>
            <w:shd w:val="clear" w:color="auto" w:fill="DBE8EE"/>
            <w:hideMark/>
          </w:tcPr>
          <w:p w14:paraId="5E3478D1" w14:textId="77777777" w:rsidR="00F33E9D" w:rsidRDefault="00F33E9D" w:rsidP="00DC104F">
            <w:pPr>
              <w:pStyle w:val="71R"/>
              <w:rPr>
                <w:rtl/>
              </w:rPr>
            </w:pPr>
            <w:r>
              <w:rPr>
                <w:rFonts w:hint="cs"/>
                <w:rtl/>
              </w:rPr>
              <w:lastRenderedPageBreak/>
              <w:t>צפי להשלמת תכנון התוכנית כמפורט לעיל לפי ההסכם</w:t>
            </w:r>
          </w:p>
        </w:tc>
        <w:tc>
          <w:tcPr>
            <w:tcW w:w="1605" w:type="dxa"/>
            <w:tcBorders>
              <w:bottom w:val="nil"/>
            </w:tcBorders>
            <w:shd w:val="clear" w:color="auto" w:fill="DBE8EE"/>
            <w:hideMark/>
          </w:tcPr>
          <w:p w14:paraId="1E0BCEDB" w14:textId="77777777" w:rsidR="00F33E9D" w:rsidRDefault="00F33E9D" w:rsidP="00DC104F">
            <w:pPr>
              <w:pStyle w:val="71R"/>
              <w:rPr>
                <w:rtl/>
              </w:rPr>
            </w:pPr>
            <w:r>
              <w:rPr>
                <w:rFonts w:hint="cs"/>
                <w:rtl/>
              </w:rPr>
              <w:t>12/2019</w:t>
            </w:r>
          </w:p>
        </w:tc>
        <w:tc>
          <w:tcPr>
            <w:tcW w:w="1701" w:type="dxa"/>
            <w:tcBorders>
              <w:bottom w:val="nil"/>
            </w:tcBorders>
            <w:shd w:val="clear" w:color="auto" w:fill="DBE8EE"/>
            <w:hideMark/>
          </w:tcPr>
          <w:p w14:paraId="460B74BC" w14:textId="77777777" w:rsidR="00F33E9D" w:rsidRDefault="00F33E9D" w:rsidP="00DC104F">
            <w:pPr>
              <w:pStyle w:val="71R"/>
              <w:rPr>
                <w:rtl/>
              </w:rPr>
            </w:pPr>
            <w:r>
              <w:rPr>
                <w:rFonts w:hint="cs"/>
                <w:rtl/>
              </w:rPr>
              <w:t>2018</w:t>
            </w:r>
          </w:p>
        </w:tc>
        <w:tc>
          <w:tcPr>
            <w:tcW w:w="2113" w:type="dxa"/>
            <w:tcBorders>
              <w:bottom w:val="nil"/>
            </w:tcBorders>
            <w:shd w:val="clear" w:color="auto" w:fill="DBE8EE"/>
            <w:hideMark/>
          </w:tcPr>
          <w:p w14:paraId="408A2D95" w14:textId="77777777" w:rsidR="00F33E9D" w:rsidRDefault="00F33E9D" w:rsidP="00DC104F">
            <w:pPr>
              <w:pStyle w:val="71R"/>
              <w:rPr>
                <w:rtl/>
              </w:rPr>
            </w:pPr>
            <w:r>
              <w:rPr>
                <w:rFonts w:hint="cs"/>
                <w:rtl/>
              </w:rPr>
              <w:t>2017</w:t>
            </w:r>
          </w:p>
        </w:tc>
      </w:tr>
      <w:tr w:rsidR="00DC104F" w14:paraId="7E03FEEF" w14:textId="77777777" w:rsidTr="00591DE4">
        <w:trPr>
          <w:trHeight w:val="1247"/>
          <w:jc w:val="center"/>
        </w:trPr>
        <w:tc>
          <w:tcPr>
            <w:tcW w:w="1805" w:type="dxa"/>
            <w:shd w:val="clear" w:color="auto" w:fill="ECF4F5"/>
            <w:hideMark/>
          </w:tcPr>
          <w:p w14:paraId="732F8052" w14:textId="77777777" w:rsidR="00F33E9D" w:rsidRDefault="00F33E9D" w:rsidP="00DC104F">
            <w:pPr>
              <w:pStyle w:val="71R"/>
              <w:rPr>
                <w:rtl/>
              </w:rPr>
            </w:pPr>
            <w:r>
              <w:rPr>
                <w:rFonts w:hint="cs"/>
                <w:rtl/>
              </w:rPr>
              <w:t>צפי לסיום העיכוב לגבי התוכנית כפי שנמסר למשרד מבקר המדינה בתחילת שנת 2021</w:t>
            </w:r>
          </w:p>
        </w:tc>
        <w:tc>
          <w:tcPr>
            <w:tcW w:w="1605" w:type="dxa"/>
            <w:shd w:val="clear" w:color="auto" w:fill="ECF4F5"/>
            <w:hideMark/>
          </w:tcPr>
          <w:p w14:paraId="005ACF9D" w14:textId="77777777" w:rsidR="00F33E9D" w:rsidRDefault="00F33E9D" w:rsidP="00DC104F">
            <w:pPr>
              <w:pStyle w:val="71R"/>
              <w:rPr>
                <w:rtl/>
              </w:rPr>
            </w:pPr>
            <w:r>
              <w:rPr>
                <w:rFonts w:hint="cs"/>
                <w:rtl/>
              </w:rPr>
              <w:t>שנת 2023 - אישור התוכנית</w:t>
            </w:r>
          </w:p>
        </w:tc>
        <w:tc>
          <w:tcPr>
            <w:tcW w:w="1701" w:type="dxa"/>
            <w:shd w:val="clear" w:color="auto" w:fill="ECF4F5"/>
            <w:hideMark/>
          </w:tcPr>
          <w:p w14:paraId="36DB7D66" w14:textId="77777777" w:rsidR="00F33E9D" w:rsidRDefault="00F33E9D" w:rsidP="00DC104F">
            <w:pPr>
              <w:pStyle w:val="71R"/>
              <w:rPr>
                <w:rtl/>
              </w:rPr>
            </w:pPr>
            <w:r>
              <w:rPr>
                <w:rFonts w:hint="cs"/>
                <w:rtl/>
              </w:rPr>
              <w:t>אין צפי</w:t>
            </w:r>
          </w:p>
        </w:tc>
        <w:tc>
          <w:tcPr>
            <w:tcW w:w="2113" w:type="dxa"/>
            <w:shd w:val="clear" w:color="auto" w:fill="ECF4F5"/>
            <w:hideMark/>
          </w:tcPr>
          <w:p w14:paraId="1D6670D9" w14:textId="77777777" w:rsidR="00F33E9D" w:rsidRDefault="00F33E9D" w:rsidP="00DC104F">
            <w:pPr>
              <w:pStyle w:val="71R"/>
              <w:rPr>
                <w:rtl/>
              </w:rPr>
            </w:pPr>
            <w:r>
              <w:rPr>
                <w:rFonts w:hint="cs"/>
                <w:rtl/>
              </w:rPr>
              <w:t>אין צפי. בית המשפט ביטל את אישור התוכנית במאי 2021 והורה על החזרת התוכנית לדיון במוסדות התכנון</w:t>
            </w:r>
          </w:p>
        </w:tc>
      </w:tr>
    </w:tbl>
    <w:p w14:paraId="7A580950" w14:textId="77777777" w:rsidR="00F33E9D" w:rsidRDefault="00F33E9D" w:rsidP="00DC104F">
      <w:pPr>
        <w:pStyle w:val="71d"/>
        <w:rPr>
          <w:rtl/>
        </w:rPr>
      </w:pPr>
      <w:r>
        <w:rPr>
          <w:rFonts w:hint="cs"/>
          <w:rtl/>
        </w:rPr>
        <w:t>על פי נתוני רמ"י ומשרד הבינוי, בעיבוד משרד מבקר המדינה</w:t>
      </w:r>
    </w:p>
    <w:p w14:paraId="6AE21A74" w14:textId="77777777" w:rsidR="00F33E9D" w:rsidRDefault="00F33E9D" w:rsidP="00DC104F">
      <w:pPr>
        <w:pStyle w:val="71f5"/>
        <w:rPr>
          <w:rtl/>
        </w:rPr>
      </w:pPr>
      <w:r>
        <w:rPr>
          <w:rFonts w:hint="cs"/>
          <w:rtl/>
        </w:rPr>
        <w:t xml:space="preserve">מהאמור לעיל עולה כי אף שלפי החלטת הממשלה על הסכמי הגג ניתן היה לכלול בהסכמים גם תוכניות שאינן מאושרות אך כאלה שצפויות היו להיות מאושרות על ידי מוסדות התכנון בתוך 18 חודשים ממועד חתימת ההסכם, הרי שלפי הנתונים העדכניים לדצמבר 2020 תוכניות הכוללות כ-98,000 יח"ד לא אושרו במסגרת פרק הזמן האמור - לגבי חלקן מדובר בעיכוב של כמה שנים. עיכוב ניכר באישור תוכנית עלול לפגוע ביכולת העמידה בקצב השיווק שנקבע בהחלטת הממשלה על הסכמי הגג. </w:t>
      </w:r>
    </w:p>
    <w:p w14:paraId="312F61EE" w14:textId="77777777" w:rsidR="00F33E9D" w:rsidRDefault="00F33E9D" w:rsidP="00DC104F">
      <w:pPr>
        <w:pStyle w:val="71f5"/>
        <w:rPr>
          <w:rtl/>
        </w:rPr>
      </w:pPr>
      <w:r>
        <w:rPr>
          <w:rFonts w:hint="cs"/>
          <w:rtl/>
        </w:rPr>
        <w:t>מומלץ כי רמ"י ומשרד הבינוי, לפי העניין, יפעלו בשיתוף הרשויות המקומיות הרלוונטיות לגיבוש תוכניות חלופיות לתוכניות שבוטלו או יבוטלו באותן רשויות.</w:t>
      </w:r>
    </w:p>
    <w:p w14:paraId="232126B0" w14:textId="77777777" w:rsidR="00F33E9D" w:rsidRDefault="00F33E9D" w:rsidP="00923724">
      <w:pPr>
        <w:pStyle w:val="7190"/>
        <w:spacing w:after="120"/>
        <w:rPr>
          <w:rtl/>
        </w:rPr>
      </w:pPr>
      <w:r w:rsidRPr="00825B93">
        <w:rPr>
          <w:rFonts w:hint="cs"/>
          <w:rtl/>
        </w:rPr>
        <w:t>רמ״י מסרה בתשובתה כי היא בוחנת את הדרכים האפשריות כדי לאתר חלופות לתוכניות מעוכבות.</w:t>
      </w:r>
      <w:r>
        <w:rPr>
          <w:rFonts w:hint="cs"/>
          <w:rtl/>
        </w:rPr>
        <w:t xml:space="preserve"> </w:t>
      </w:r>
    </w:p>
    <w:p w14:paraId="49D5EA42" w14:textId="77777777" w:rsidR="00F33E9D" w:rsidRDefault="00F33E9D" w:rsidP="00923724">
      <w:pPr>
        <w:pStyle w:val="7111"/>
        <w:rPr>
          <w:rtl/>
        </w:rPr>
      </w:pPr>
    </w:p>
    <w:p w14:paraId="2E88B8EC" w14:textId="77777777" w:rsidR="00F33E9D" w:rsidRDefault="00F33E9D" w:rsidP="006C02AC">
      <w:pPr>
        <w:pStyle w:val="71512"/>
        <w:rPr>
          <w:rtl/>
        </w:rPr>
      </w:pPr>
      <w:r>
        <w:rPr>
          <w:rFonts w:hint="cs"/>
          <w:rtl/>
        </w:rPr>
        <w:t>עיכובים בשלב פיתוח הקרקע</w:t>
      </w:r>
    </w:p>
    <w:p w14:paraId="65716707" w14:textId="77777777" w:rsidR="00F33E9D" w:rsidRDefault="00F33E9D" w:rsidP="006C02AC">
      <w:pPr>
        <w:pStyle w:val="7190"/>
        <w:rPr>
          <w:rtl/>
        </w:rPr>
      </w:pPr>
      <w:r>
        <w:rPr>
          <w:rFonts w:hint="cs"/>
          <w:rtl/>
        </w:rPr>
        <w:t xml:space="preserve">פיתוח הקרקע הוא תהליך עתיר משאבים, בעיקר בהיבט התקציבי. עבודות הפיתוח מערבות גופים רבים האחראים לתכנון, לביצוע ולתקצוב של התשתיות הדרושות, ובכלל זה תשתיות תחבורה, תשתיות מים וניקוז, מתקני טיהור שפכים וחיבור לחשמל. נוסף על התשתיות, לשם מתן מענה לצרכים בתחום הדיור נדרשת לעיתים קרובות בניית מוסדות ציבור וכיתות לימוד, בהתאם לקריטריונים שקבעו משרדי הממשלה הרלוונטיים. </w:t>
      </w:r>
    </w:p>
    <w:p w14:paraId="3BF89961" w14:textId="77777777" w:rsidR="00F33E9D" w:rsidRDefault="00F33E9D" w:rsidP="006C02AC">
      <w:pPr>
        <w:pStyle w:val="7190"/>
        <w:rPr>
          <w:rtl/>
        </w:rPr>
      </w:pPr>
      <w:r>
        <w:rPr>
          <w:rFonts w:hint="cs"/>
          <w:rtl/>
        </w:rPr>
        <w:t>לפי 25 מ-32 הסכמי הגג שנחתמו עד סוף שנת 2020 (כ-80%) הרשות המקומית אחראית לפתח את הקרקע שבתחומה מבוצע הפרויקט, באמצעות התקשרות במכרזים עם גופים מבצעים, ובשבע</w:t>
      </w:r>
      <w:r>
        <w:rPr>
          <w:rStyle w:val="a9"/>
          <w:rtl/>
        </w:rPr>
        <w:footnoteReference w:id="73"/>
      </w:r>
      <w:r>
        <w:rPr>
          <w:rFonts w:hint="cs"/>
          <w:rtl/>
        </w:rPr>
        <w:t xml:space="preserve"> מהרשויות שחתומות על הסכם עם משרד הבינוי, המשרד אחראי לפתח את הקרקע. </w:t>
      </w:r>
      <w:r>
        <w:rPr>
          <w:rFonts w:hint="cs"/>
          <w:rtl/>
        </w:rPr>
        <w:lastRenderedPageBreak/>
        <w:t>פיתוח הקרקע במסגרת תוכנית מאושרת דורש פעמים רבות מעורבות של גופים רבים. זאת הן לצורך פינוי הקרקע מתשתיות קיימות והעתקתן לקרקע חלופית כתנאי מקדים להקמת תשתיות חדשות, והן בשלב הקמת התשתיות שבמהלכו כל גוף אמור לבצע את המוטל עליו בתחומו, למשל, לטפל בתשתיות החשמל, המים, האנרגייה והתחבורה. לעיתים מדובר בתהליכים מורכבים מהבחינה ההנדסית או בתהליכים שעלותם גבוהה.</w:t>
      </w:r>
    </w:p>
    <w:p w14:paraId="4B278572" w14:textId="77777777" w:rsidR="00F33E9D" w:rsidRDefault="00F33E9D" w:rsidP="006C02AC">
      <w:pPr>
        <w:pStyle w:val="7190"/>
        <w:rPr>
          <w:rtl/>
        </w:rPr>
      </w:pPr>
      <w:r>
        <w:rPr>
          <w:rFonts w:hint="cs"/>
          <w:rtl/>
        </w:rPr>
        <w:t xml:space="preserve">בביקורת נמצא כי יש תוכניות שנכללו בהסכמי הגג שבשלב פיתוח הקרקעות בתחום שיפוטן התעוררו בעניינן קשיים שגרמו לעיכוב הפיתוח. להלן דוגמה: </w:t>
      </w:r>
    </w:p>
    <w:p w14:paraId="512A2977" w14:textId="72923A0B" w:rsidR="00F33E9D" w:rsidRDefault="00F33E9D" w:rsidP="006C02AC">
      <w:pPr>
        <w:pStyle w:val="7190"/>
        <w:rPr>
          <w:sz w:val="24"/>
          <w:rtl/>
        </w:rPr>
      </w:pPr>
      <w:r w:rsidRPr="006C02AC">
        <w:rPr>
          <w:rStyle w:val="717Char0"/>
          <w:rFonts w:hint="cs"/>
          <w:rtl/>
        </w:rPr>
        <w:t>הסכם הגג עם יבנה, תוכנית "שורק" (יבנה מזרח, תמ"ל 1049):</w:t>
      </w:r>
      <w:r>
        <w:rPr>
          <w:rFonts w:hint="cs"/>
          <w:sz w:val="24"/>
          <w:rtl/>
        </w:rPr>
        <w:t xml:space="preserve"> הסכם הגג בין רמ"י ליבנה שנחתם באוגוסט 2016 כלל ארבע תוכניות ובהן 12,700 יח"ד. התוכנית המרכזית שנכללה בהסכם היא תוכנית "שורק" שחלה על קרקעות במזרח יבנה, מזרחית לכביש 42 ולמסילת רכבת, שיוצרים חיץ בין הקרקעות שבתוכנית למרקם העירוני הקיים. התוכנית הייתה בתהליכי תכנון, ולפי המפורט בהסכם אמורה הייתה לכלול 10,000 יח"ד</w:t>
      </w:r>
      <w:r>
        <w:rPr>
          <w:rStyle w:val="a9"/>
          <w:sz w:val="24"/>
          <w:rtl/>
        </w:rPr>
        <w:footnoteReference w:id="74"/>
      </w:r>
      <w:r>
        <w:rPr>
          <w:rFonts w:hint="cs"/>
          <w:sz w:val="24"/>
          <w:rtl/>
        </w:rPr>
        <w:t>. במרץ 2019 אושרה תוכנית "שורק" בהיקף של כ-12,500 יח"ד וכן שטחי מסחר ותעסוקה, מוסדות ציבור ושטחי ציבור פתוחים (להלן - הרובע העתידי). כדי לחבר את הרובע העתידי למרקם העירוני הקיים ולהתגבר על החיץ הנוצר עקב תשתיות התחבורה כאמור, נקבע כי תשתיות התחבורה יימצאו במפלס תחתון, ומעליהם ייבנה שטח מקורה שיחבר את שני חלקי העיר במפלס הקרקע. נקבע כי השטח המקורה יכלול בין היתר מבנה תחנת רכבת, ומבני תעסוקה. על פי התוכנית קבלת היתר בנייה תותנה בין היתר בביצוע פרויקט תחבורתי לגבי כביש 42, בשיקוע מסילת</w:t>
      </w:r>
      <w:r>
        <w:rPr>
          <w:rFonts w:hint="cs"/>
          <w:sz w:val="24"/>
        </w:rPr>
        <w:t xml:space="preserve"> </w:t>
      </w:r>
      <w:r>
        <w:rPr>
          <w:rFonts w:hint="cs"/>
          <w:sz w:val="24"/>
          <w:rtl/>
        </w:rPr>
        <w:t xml:space="preserve">הרכבת ובבניית שני מחלפים על כביש 410. </w:t>
      </w:r>
      <w:r>
        <w:rPr>
          <w:rFonts w:hint="cs"/>
          <w:rtl/>
        </w:rPr>
        <w:t xml:space="preserve">כמו כן, כדי שניתן יהיה להקים את התשתיות לפי התוכנית נדרש בין היתר להעתיק תשתיות קיימות של חשמל, מים ואנרגייה למקום חלופי. </w:t>
      </w:r>
      <w:r>
        <w:rPr>
          <w:rFonts w:hint="cs"/>
          <w:sz w:val="24"/>
          <w:rtl/>
        </w:rPr>
        <w:t xml:space="preserve">נכון לפברואר 2021, </w:t>
      </w:r>
      <w:r>
        <w:rPr>
          <w:rFonts w:hint="cs"/>
          <w:rtl/>
        </w:rPr>
        <w:t xml:space="preserve">העלות של תכנון המטלה התחבורתית וביצועה בתוספת עלות העתקת התשתיות נאמדה </w:t>
      </w:r>
      <w:r w:rsidR="006C02AC">
        <w:rPr>
          <w:rFonts w:hint="cs"/>
          <w:rtl/>
        </w:rPr>
        <w:t xml:space="preserve">                </w:t>
      </w:r>
      <w:r>
        <w:rPr>
          <w:rFonts w:hint="cs"/>
          <w:rtl/>
        </w:rPr>
        <w:t>בכ-1.5 מיליארד ש"ח</w:t>
      </w:r>
      <w:r>
        <w:rPr>
          <w:rFonts w:hint="cs"/>
          <w:sz w:val="24"/>
          <w:rtl/>
        </w:rPr>
        <w:t xml:space="preserve">. </w:t>
      </w:r>
      <w:r w:rsidRPr="00825B93">
        <w:rPr>
          <w:rFonts w:hint="cs"/>
          <w:sz w:val="24"/>
          <w:rtl/>
        </w:rPr>
        <w:t>יצוין כי לפי התוכנית, רשאית הוועדה המקומית לתת היתרי בנייה של עד 2,500 יח"ד, אם יינתנו לגבי אותן יח"ד פתרונות תשתיתיים זמניים טרם ביצוע הקירוי כאמור.</w:t>
      </w:r>
      <w:r>
        <w:rPr>
          <w:rFonts w:hint="cs"/>
          <w:sz w:val="24"/>
          <w:rtl/>
        </w:rPr>
        <w:t xml:space="preserve"> </w:t>
      </w:r>
    </w:p>
    <w:p w14:paraId="4ABDB8EF" w14:textId="77777777" w:rsidR="006C02AC" w:rsidRDefault="006C02AC" w:rsidP="00F33E9D">
      <w:pPr>
        <w:jc w:val="center"/>
        <w:rPr>
          <w:b/>
          <w:bCs/>
          <w:sz w:val="24"/>
          <w:rtl/>
        </w:rPr>
      </w:pPr>
    </w:p>
    <w:p w14:paraId="3C538BA3" w14:textId="77777777" w:rsidR="006C02AC" w:rsidRDefault="006C02AC" w:rsidP="00F33E9D">
      <w:pPr>
        <w:jc w:val="center"/>
        <w:rPr>
          <w:b/>
          <w:bCs/>
          <w:sz w:val="24"/>
          <w:rtl/>
        </w:rPr>
      </w:pPr>
    </w:p>
    <w:p w14:paraId="75715DFE" w14:textId="335C8447" w:rsidR="00F33E9D" w:rsidRDefault="00CF0D09" w:rsidP="00996E4D">
      <w:pPr>
        <w:pStyle w:val="71b"/>
        <w:rPr>
          <w:rtl/>
        </w:rPr>
      </w:pPr>
      <w:r>
        <w:rPr>
          <w:noProof/>
        </w:rPr>
        <w:lastRenderedPageBreak/>
        <w:drawing>
          <wp:anchor distT="0" distB="0" distL="114300" distR="114300" simplePos="0" relativeHeight="252120576" behindDoc="0" locked="0" layoutInCell="1" allowOverlap="1" wp14:anchorId="4F5699AB" wp14:editId="2C51D166">
            <wp:simplePos x="0" y="0"/>
            <wp:positionH relativeFrom="column">
              <wp:posOffset>-7620</wp:posOffset>
            </wp:positionH>
            <wp:positionV relativeFrom="paragraph">
              <wp:posOffset>265430</wp:posOffset>
            </wp:positionV>
            <wp:extent cx="4679315" cy="2544445"/>
            <wp:effectExtent l="0" t="0" r="6985" b="8255"/>
            <wp:wrapSquare wrapText="bothSides"/>
            <wp:docPr id="4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4765" name="תמונה 4"/>
                    <pic:cNvPicPr>
                      <a:picLocks noChangeAspect="1" noChangeArrowheads="1"/>
                    </pic:cNvPicPr>
                  </pic:nvPicPr>
                  <pic:blipFill rotWithShape="1">
                    <a:blip r:embed="rId48">
                      <a:extLst>
                        <a:ext uri="{28A0092B-C50C-407E-A947-70E740481C1C}">
                          <a14:useLocalDpi xmlns:a14="http://schemas.microsoft.com/office/drawing/2010/main" val="0"/>
                        </a:ext>
                      </a:extLst>
                    </a:blip>
                    <a:srcRect t="2288" b="2193"/>
                    <a:stretch/>
                  </pic:blipFill>
                  <pic:spPr bwMode="auto">
                    <a:xfrm>
                      <a:off x="0" y="0"/>
                      <a:ext cx="4679315" cy="2544445"/>
                    </a:xfrm>
                    <a:prstGeom prst="rect">
                      <a:avLst/>
                    </a:prstGeom>
                    <a:noFill/>
                    <a:ln>
                      <a:noFill/>
                    </a:ln>
                    <a:extLst>
                      <a:ext uri="{53640926-AAD7-44D8-BBD7-CCE9431645EC}">
                        <a14:shadowObscured xmlns:a14="http://schemas.microsoft.com/office/drawing/2010/main"/>
                      </a:ext>
                    </a:extLst>
                  </pic:spPr>
                </pic:pic>
              </a:graphicData>
            </a:graphic>
          </wp:anchor>
        </w:drawing>
      </w:r>
      <w:r w:rsidR="00F33E9D" w:rsidRPr="00996E4D">
        <w:rPr>
          <w:rFonts w:hint="cs"/>
          <w:b w:val="0"/>
          <w:bCs w:val="0"/>
          <w:rtl/>
        </w:rPr>
        <w:t>תרשים 11:</w:t>
      </w:r>
      <w:r w:rsidR="00F33E9D">
        <w:rPr>
          <w:rFonts w:hint="cs"/>
          <w:rtl/>
        </w:rPr>
        <w:t xml:space="preserve"> תוכנית תמ"ל 1049 - יבנה מזרח - שורק</w:t>
      </w:r>
    </w:p>
    <w:p w14:paraId="58D9EFF8" w14:textId="02F2C751" w:rsidR="00F33E9D" w:rsidRDefault="00F33E9D" w:rsidP="00996E4D">
      <w:pPr>
        <w:pStyle w:val="71d"/>
        <w:rPr>
          <w:rtl/>
        </w:rPr>
      </w:pPr>
      <w:r>
        <w:rPr>
          <w:rFonts w:hint="cs"/>
          <w:rtl/>
        </w:rPr>
        <w:t>מתוך סקירה של רמ"י</w:t>
      </w:r>
      <w:r w:rsidR="00996E4D">
        <w:rPr>
          <w:rFonts w:hint="cs"/>
          <w:rtl/>
        </w:rPr>
        <w:t>.</w:t>
      </w:r>
    </w:p>
    <w:p w14:paraId="648DE747" w14:textId="77777777" w:rsidR="00F33E9D" w:rsidRDefault="00F33E9D" w:rsidP="00996E4D">
      <w:pPr>
        <w:pStyle w:val="7190"/>
        <w:rPr>
          <w:rtl/>
        </w:rPr>
      </w:pPr>
      <w:r>
        <w:rPr>
          <w:rFonts w:hint="cs"/>
          <w:rtl/>
        </w:rPr>
        <w:t xml:space="preserve">בביקורת עלה כי התקיימו דיונים בין רמ"י, חברת רכבת ישראל בע"מ (להלן - חברת הרכבת) ומשרדי התחבורה והאוצר בדבר האופן שבו יש לפתח את התשתיות התחבורתיות. על מנת לקדם את פיתוח הפרויקט התקיימו דיונים בנושא גם בראשות סמנכ"ל תשתיות ופיתוח במשרד התחבורה ובהשתתפות נציגי הגופים האמורים. חברת הרכבת טענה בין היתר כי התנאים התחבורתיים שנקבעו בתוכנית אינם מאפשרים ליישם מרכיבים בתוכנית הפיתוח הרב-שנתית שלה בלוחות הזמנים שנקבעו בתוכנית הפיתוח, ולפיה יש לבצע את הכפלת המסילה עד סוף שנת 2024. </w:t>
      </w:r>
    </w:p>
    <w:p w14:paraId="7F6D3DCE" w14:textId="77777777" w:rsidR="00F33E9D" w:rsidRDefault="00F33E9D" w:rsidP="00996E4D">
      <w:pPr>
        <w:pStyle w:val="7190"/>
        <w:rPr>
          <w:rtl/>
        </w:rPr>
      </w:pPr>
      <w:r w:rsidRPr="00825B93">
        <w:rPr>
          <w:rFonts w:hint="cs"/>
          <w:rtl/>
        </w:rPr>
        <w:t>רמ"י מסרה בתשובתה כי תוכנית יבנה מזרח היא תוכנית מורכבת. רמ"י הוסיפה כי עבודות למתן פתרונות זמניים לגבי התשתיות הנדרשות כיום (יולי 2021) מצויות בתהליך ביצוע, כדי לאפשר מתן היתרי בנייה ל-2,500 יח"ד, בהתאם לתוכנית. עוד מסרה רמ"י כי במאי 2021 היא פרסמה מודעה על כוונתה לפרסם חוברת מכרז לשיווק קרקעות במסגרת התוכנית לבניית 2,500 יח״ד, וכי החוברת תפורסם בהקדם האפשרי לאחר אישור תקציב הפרויקט בוות"פ. רמ"י גם ציינה כי להערכתה הזהירה, תחל בניית יח"ד בתוך שלוש עד ארבע שנים (בשנים 2024 - 2025).</w:t>
      </w:r>
      <w:r>
        <w:rPr>
          <w:rFonts w:hint="cs"/>
          <w:rtl/>
        </w:rPr>
        <w:t xml:space="preserve"> </w:t>
      </w:r>
    </w:p>
    <w:p w14:paraId="315C6B2C" w14:textId="77777777" w:rsidR="00F33E9D" w:rsidRDefault="00F33E9D" w:rsidP="00996E4D">
      <w:pPr>
        <w:pStyle w:val="7190"/>
        <w:rPr>
          <w:rtl/>
        </w:rPr>
      </w:pPr>
      <w:r w:rsidRPr="00825B93">
        <w:rPr>
          <w:rFonts w:hint="cs"/>
          <w:rtl/>
        </w:rPr>
        <w:t>חברת הרכבת מסרה בתשובתה למשרד מבקר המדינה מיולי 2021 כי היא מסייעת לרמ"י בתכנון ובביצוע של שיקוע המסילה.</w:t>
      </w:r>
    </w:p>
    <w:p w14:paraId="25F61BCD" w14:textId="77777777" w:rsidR="00F33E9D" w:rsidRDefault="00F33E9D" w:rsidP="00996E4D">
      <w:pPr>
        <w:pStyle w:val="71f5"/>
        <w:rPr>
          <w:rtl/>
        </w:rPr>
      </w:pPr>
      <w:r>
        <w:rPr>
          <w:rFonts w:hint="cs"/>
          <w:rtl/>
        </w:rPr>
        <w:lastRenderedPageBreak/>
        <w:t xml:space="preserve">יוצא כי כחמש שנים לאחר שנחתם הסכם הגג עם יבנה, הקרקעות הכלולות בתוכנית "שורק" - התוכנית העיקרית שנכללה בהסכם, הכוללת 12,500 יח"ד - טרם שווקו. גם לאחר שתשווק רמ"י קרקעות לבניית 2,500 יח"ד, הבנייה עליהן תחל בשנים 2024 - 2025 - כפי שעולה מתשובתה של רמ"י למשרד מבקר המדינה, ולגבי 80% מהקרקעות הכלולות בתוכנית לבניית 10,000 יח"ד, טרם נקבע מועד לשיווקן. למעשה, בדצמבר 2020 היה שיעור השיווק בהצלחה בהסכם גג יבנה לעומת קצב השיווק 26% בלבד, ובמועד סיום הביקורת לא נותרו קרקעות זמינות לשיווק בהיקף שיאפשר עמידה בקצב השיווק שנקבע. </w:t>
      </w:r>
    </w:p>
    <w:p w14:paraId="6D9543B6" w14:textId="77777777" w:rsidR="00F33E9D" w:rsidRDefault="00F33E9D" w:rsidP="00F33E9D">
      <w:pPr>
        <w:rPr>
          <w:bCs/>
          <w:rtl/>
        </w:rPr>
      </w:pPr>
    </w:p>
    <w:p w14:paraId="12539ED2" w14:textId="77777777" w:rsidR="00F33E9D" w:rsidRDefault="00F33E9D" w:rsidP="008968C1">
      <w:pPr>
        <w:pStyle w:val="71512"/>
        <w:rPr>
          <w:rtl/>
        </w:rPr>
      </w:pPr>
      <w:r>
        <w:rPr>
          <w:rFonts w:hint="cs"/>
          <w:rtl/>
        </w:rPr>
        <w:t xml:space="preserve">עיכובים בשלב שיווק הקרקע </w:t>
      </w:r>
    </w:p>
    <w:p w14:paraId="0C51C1F2" w14:textId="77777777" w:rsidR="00F33E9D" w:rsidRDefault="00F33E9D" w:rsidP="008968C1">
      <w:pPr>
        <w:pStyle w:val="7190"/>
        <w:rPr>
          <w:rtl/>
        </w:rPr>
      </w:pPr>
      <w:r>
        <w:rPr>
          <w:rFonts w:hint="cs"/>
          <w:rtl/>
        </w:rPr>
        <w:t>רמ"י ומשרד הבינוי משווקים את הקרקעות לבניית יח"ד שעליהן חלות התוכניות הכלולות בהסכמי הגג. שיווק קרקע למגורים מבוצע, ככלל, באמצעות מכרז, באופן המאפשר לכל אדם הזדמנות שווה להשתתף במכרז ולזכות בו</w:t>
      </w:r>
      <w:r>
        <w:rPr>
          <w:rStyle w:val="a9"/>
          <w:rFonts w:ascii="Arial" w:eastAsia="Times New Roman" w:hAnsi="Arial"/>
          <w:color w:val="000000"/>
          <w:sz w:val="24"/>
          <w:rtl/>
        </w:rPr>
        <w:footnoteReference w:id="75"/>
      </w:r>
      <w:r>
        <w:rPr>
          <w:rFonts w:hint="cs"/>
          <w:rtl/>
        </w:rPr>
        <w:t xml:space="preserve">. </w:t>
      </w:r>
    </w:p>
    <w:p w14:paraId="4600E03A" w14:textId="77777777" w:rsidR="00F33E9D" w:rsidRDefault="00F33E9D" w:rsidP="008968C1">
      <w:pPr>
        <w:pStyle w:val="7190"/>
        <w:rPr>
          <w:rtl/>
        </w:rPr>
      </w:pPr>
      <w:r>
        <w:rPr>
          <w:rFonts w:hint="cs"/>
          <w:rtl/>
        </w:rPr>
        <w:t>משרד מבקר המדינה בדק את סטטוס שיווקי הקרקעות לבניית יח"ד במסגרת התוכניות הכלולות בהסכמי הגג של שש רשויות מקומיות - אשקלון, בית שמש, ירושלים, מגדל העמק, עפולה וקריית גת. להלן בתרשים 12 יפורט שיעור השיווק בהצלחה מכלל השיווקים (ביח"ד) בכל אחת משש הרשויות האמורות, לפי הנתונים העדכניים לינואר 2021</w:t>
      </w:r>
      <w:r>
        <w:rPr>
          <w:rStyle w:val="a9"/>
          <w:rtl/>
        </w:rPr>
        <w:footnoteReference w:id="76"/>
      </w:r>
      <w:r>
        <w:rPr>
          <w:rFonts w:hint="cs"/>
          <w:rtl/>
        </w:rPr>
        <w:t>.</w:t>
      </w:r>
    </w:p>
    <w:p w14:paraId="2301E63E" w14:textId="77777777" w:rsidR="008B606C" w:rsidRDefault="008B606C">
      <w:pPr>
        <w:bidi w:val="0"/>
        <w:spacing w:after="200" w:line="276" w:lineRule="auto"/>
        <w:rPr>
          <w:rFonts w:ascii="Tahoma" w:eastAsiaTheme="minorEastAsia" w:hAnsi="Tahoma" w:cs="Tahoma"/>
          <w:color w:val="0D0D0D" w:themeColor="text1" w:themeTint="F2"/>
          <w:szCs w:val="20"/>
          <w:rtl/>
        </w:rPr>
      </w:pPr>
      <w:r>
        <w:rPr>
          <w:b/>
          <w:bCs/>
          <w:rtl/>
        </w:rPr>
        <w:br w:type="page"/>
      </w:r>
    </w:p>
    <w:p w14:paraId="5F6F4B3F" w14:textId="7FBEB1D3" w:rsidR="00F33E9D" w:rsidRDefault="00F33E9D" w:rsidP="008968C1">
      <w:pPr>
        <w:pStyle w:val="71b"/>
        <w:spacing w:after="120"/>
        <w:rPr>
          <w:rtl/>
        </w:rPr>
      </w:pPr>
      <w:r w:rsidRPr="008968C1">
        <w:rPr>
          <w:rFonts w:hint="cs"/>
          <w:b w:val="0"/>
          <w:bCs w:val="0"/>
          <w:rtl/>
        </w:rPr>
        <w:lastRenderedPageBreak/>
        <w:t>תרשים 12:</w:t>
      </w:r>
      <w:r>
        <w:rPr>
          <w:rFonts w:hint="cs"/>
          <w:rtl/>
        </w:rPr>
        <w:t xml:space="preserve"> שיעור השיווק בהצלחה מכלל השיווקים (ביח"ד) בשש רשויות מקומיות שחתומות על הסכם גג, לפי הנתונים העדכניים לינואר 2021 </w:t>
      </w:r>
    </w:p>
    <w:p w14:paraId="4BA6A5C0" w14:textId="062A2438" w:rsidR="00F33E9D" w:rsidRDefault="006B3753" w:rsidP="008968C1">
      <w:pPr>
        <w:pStyle w:val="7190"/>
        <w:jc w:val="center"/>
        <w:rPr>
          <w:rtl/>
        </w:rPr>
      </w:pPr>
      <w:r>
        <w:rPr>
          <w:noProof/>
          <w:rtl/>
          <w:lang w:val="he-IL"/>
        </w:rPr>
        <w:drawing>
          <wp:anchor distT="0" distB="0" distL="114300" distR="114300" simplePos="0" relativeHeight="252121600" behindDoc="0" locked="0" layoutInCell="1" allowOverlap="1" wp14:anchorId="4ECE36AB" wp14:editId="462969A5">
            <wp:simplePos x="0" y="0"/>
            <wp:positionH relativeFrom="column">
              <wp:posOffset>-7620</wp:posOffset>
            </wp:positionH>
            <wp:positionV relativeFrom="paragraph">
              <wp:posOffset>209550</wp:posOffset>
            </wp:positionV>
            <wp:extent cx="4679950" cy="2407920"/>
            <wp:effectExtent l="0" t="0" r="6350" b="0"/>
            <wp:wrapSquare wrapText="bothSides"/>
            <wp:docPr id="3788759" name="Picture 378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9" name="Picture 3788759"/>
                    <pic:cNvPicPr/>
                  </pic:nvPicPr>
                  <pic:blipFill rotWithShape="1">
                    <a:blip r:embed="rId49" cstate="print">
                      <a:extLst>
                        <a:ext uri="{28A0092B-C50C-407E-A947-70E740481C1C}">
                          <a14:useLocalDpi xmlns:a14="http://schemas.microsoft.com/office/drawing/2010/main" val="0"/>
                        </a:ext>
                      </a:extLst>
                    </a:blip>
                    <a:srcRect b="11732"/>
                    <a:stretch/>
                  </pic:blipFill>
                  <pic:spPr bwMode="auto">
                    <a:xfrm>
                      <a:off x="0" y="0"/>
                      <a:ext cx="4679950" cy="2407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3E9D" w:rsidRPr="00825B93">
        <w:rPr>
          <w:rFonts w:hint="cs"/>
          <w:rtl/>
        </w:rPr>
        <w:t>(</w:t>
      </w:r>
      <w:r w:rsidR="00F33E9D" w:rsidRPr="00825B93">
        <w:rPr>
          <w:rtl/>
        </w:rPr>
        <w:t>מספר יח"ד בסוגריים מציין את מספר כלל השיווקים בעיר</w:t>
      </w:r>
      <w:r w:rsidR="00F33E9D" w:rsidRPr="00825B93">
        <w:rPr>
          <w:rFonts w:hint="cs"/>
          <w:rtl/>
        </w:rPr>
        <w:t>)</w:t>
      </w:r>
    </w:p>
    <w:p w14:paraId="79D26810" w14:textId="3FECBEB6" w:rsidR="00F33E9D" w:rsidRDefault="00F33E9D" w:rsidP="00D53A8F">
      <w:pPr>
        <w:pStyle w:val="71d"/>
        <w:spacing w:before="360"/>
        <w:rPr>
          <w:rtl/>
        </w:rPr>
      </w:pPr>
      <w:r>
        <w:rPr>
          <w:rFonts w:hint="cs"/>
          <w:rtl/>
        </w:rPr>
        <w:t>נתוני רמ"י ומשרד הבינוי בעיבוד משרד מבקר המדינה</w:t>
      </w:r>
      <w:r w:rsidR="00D53A8F">
        <w:rPr>
          <w:rFonts w:hint="cs"/>
          <w:rtl/>
        </w:rPr>
        <w:t>.</w:t>
      </w:r>
    </w:p>
    <w:p w14:paraId="4F7FCD48" w14:textId="77777777" w:rsidR="00F33E9D" w:rsidRDefault="00F33E9D" w:rsidP="00A052BE">
      <w:pPr>
        <w:pStyle w:val="71f5"/>
        <w:rPr>
          <w:rtl/>
        </w:rPr>
      </w:pPr>
      <w:r>
        <w:rPr>
          <w:rFonts w:hint="cs"/>
          <w:rtl/>
        </w:rPr>
        <w:t xml:space="preserve">מהתרשים עולה כי שיעור השיווק בהצלחה היה בין כ-30% בעפולה לכמעט 100% בקריית גת. </w:t>
      </w:r>
    </w:p>
    <w:p w14:paraId="3146EACC" w14:textId="77777777" w:rsidR="00F33E9D" w:rsidRDefault="00F33E9D" w:rsidP="00A052BE">
      <w:pPr>
        <w:pStyle w:val="7190"/>
        <w:rPr>
          <w:sz w:val="24"/>
          <w:rtl/>
        </w:rPr>
      </w:pPr>
      <w:r>
        <w:rPr>
          <w:rFonts w:hint="cs"/>
          <w:rtl/>
        </w:rPr>
        <w:t>להערכת גורמי המקצוע ברמ"י, לעיתים שיווקי הקרקע ביישובים האמורים נכשלים משום שלהערכת היזמים במועד שבו פורסם הפרויקט לא הייתה לו כדאיות כלכלית. ככלל, כאשר שיווק קרקע אינו מצליח, רמ"י ומשרד הבינוי, לפי העניין, מפרסמים מכרז חדש לאותה קרקע, לעיתים תוך שינוי תנאי המכרז ולעיתים באותם תנאים.</w:t>
      </w:r>
    </w:p>
    <w:p w14:paraId="0A74758B" w14:textId="77777777" w:rsidR="00F33E9D" w:rsidRDefault="00F33E9D" w:rsidP="00A052BE">
      <w:pPr>
        <w:pStyle w:val="7190"/>
        <w:rPr>
          <w:rtl/>
        </w:rPr>
      </w:pPr>
      <w:r>
        <w:rPr>
          <w:rFonts w:hint="cs"/>
          <w:rtl/>
        </w:rPr>
        <w:t>בדוח מבקר המדינה משנת 2020</w:t>
      </w:r>
      <w:r>
        <w:rPr>
          <w:rFonts w:ascii="Arial" w:eastAsia="Times New Roman" w:hAnsi="Arial"/>
          <w:color w:val="000000"/>
          <w:vertAlign w:val="superscript"/>
          <w:rtl/>
        </w:rPr>
        <w:footnoteReference w:id="77"/>
      </w:r>
      <w:r>
        <w:rPr>
          <w:rFonts w:hint="cs"/>
          <w:rtl/>
        </w:rPr>
        <w:t xml:space="preserve"> צוין לגבי תהליך הפקת הלקחים שביצעו רמ"י ומשרד הבינוי בנוגע למכרזים שנכשלו, שנבדק במסגרת אותו דוח, כי לרוב התהליך עסק בבחינת הכדאיות הכלכלית ליזמים במכרזים שנכשלו. לפיכך ההמלצות שניתנו בעקבות התהליך התמקדו בדרך כלל במציאת דרכים לשיפור האטרקטיביות הכלכלית של המכרז, למשל באמצעות הפחתה נוספת של מחיר הקרקע או סבסוד עלויות הפיתוח. עוד צוין בדוח כי שני הגופים לא קבעו כללים להליך מובנה של הפקת לקחים ולא תמיד הקפידו על תיעוד ההליך שבוצע וכי מדובר בתהליך הפקת לקחים חסר, שכן לא נבחנו בו היבטים אחרים שיש בהם כדי להשפיע על כישלון השיווק, כגון היבטים הנוגעים למצבו התכנוני של הפרויקט או להיצע ולביקוש באזור השיווק, ובכלל זה מלאי הדירות שנבנו על מקרקעי ישראל ועל קרקעות בבעלות פרטית. </w:t>
      </w:r>
    </w:p>
    <w:p w14:paraId="6B91463F" w14:textId="77777777" w:rsidR="00F33E9D" w:rsidRDefault="00F33E9D" w:rsidP="00A052BE">
      <w:pPr>
        <w:pStyle w:val="71f5"/>
        <w:rPr>
          <w:rtl/>
        </w:rPr>
      </w:pPr>
      <w:r>
        <w:rPr>
          <w:rFonts w:hint="cs"/>
          <w:rtl/>
        </w:rPr>
        <w:lastRenderedPageBreak/>
        <w:t>בביקורת עלה כי בשש הרשויות שנבדקו שווקו בהצלחה קרקעות שניתן לפי התוכניות שחלו עליהן לבנות כ-24,000 יח"ד מתוך קרקעות לכ-29,500 יח"ד שנעשה ניסיון לשווקן (כ-81%). אשר לקרקעות ששיווקן לא צלח - כ-19% מהקרקעות שכללו תוכניות לבניית כ-5,500 יח"ד - רמ"י או משרד הבינוי, לפי העניין, הציעו אותן ליזמים, לאחר שהתכנון הושלם ונפתרו הסוגיות הנוגעות לפיתוח הקרקע באופן שמאפשר את שיווקן, אולם שום גורם לא הגיש הצעה לרכוש את הזכויות בהן. יוצא כי הבנייה של יח"ד על קרקעות אלה מתעכבת.</w:t>
      </w:r>
    </w:p>
    <w:p w14:paraId="3562569F" w14:textId="71D9B067" w:rsidR="00F33E9D" w:rsidRDefault="00F33E9D" w:rsidP="00A052BE">
      <w:pPr>
        <w:pStyle w:val="7190"/>
        <w:rPr>
          <w:b/>
          <w:bCs/>
          <w:rtl/>
        </w:rPr>
      </w:pPr>
      <w:r w:rsidRPr="00086CD2">
        <w:rPr>
          <w:rFonts w:hint="cs"/>
          <w:rtl/>
        </w:rPr>
        <w:t>רמ"י מסרה בתשובתה כי היא שיווקה קרקעות לבניית יח"ד בהיקף ניכר, אולם לחלקן לא היה ביקוש, והן יוצעו לשיווק חדש עד שיימצא להן רוכש. עוד מסרה רמ"י כי היענות לשיווק אינה דבר התלוי בה.</w:t>
      </w:r>
      <w:r>
        <w:rPr>
          <w:rFonts w:hint="cs"/>
          <w:sz w:val="24"/>
          <w:rtl/>
        </w:rPr>
        <w:t xml:space="preserve"> </w:t>
      </w:r>
    </w:p>
    <w:p w14:paraId="47515834" w14:textId="77777777" w:rsidR="00A052BE" w:rsidRDefault="00A052BE" w:rsidP="00A052BE">
      <w:pPr>
        <w:pStyle w:val="7190"/>
        <w:rPr>
          <w:b/>
          <w:bCs/>
          <w:rtl/>
        </w:rPr>
      </w:pPr>
    </w:p>
    <w:p w14:paraId="1731609C" w14:textId="77777777" w:rsidR="00F33E9D" w:rsidRDefault="00F33E9D" w:rsidP="00A052BE">
      <w:pPr>
        <w:pStyle w:val="71414"/>
        <w:rPr>
          <w:rtl/>
        </w:rPr>
      </w:pPr>
      <w:r>
        <w:rPr>
          <w:rFonts w:hint="cs"/>
          <w:rtl/>
        </w:rPr>
        <w:t>הדיווח על יישום החלטת הממשלה על הסכמי הגג</w:t>
      </w:r>
    </w:p>
    <w:p w14:paraId="1F92DBE5" w14:textId="77777777" w:rsidR="00F33E9D" w:rsidRDefault="00F33E9D" w:rsidP="00441AFC">
      <w:pPr>
        <w:pStyle w:val="71512"/>
        <w:rPr>
          <w:rtl/>
        </w:rPr>
      </w:pPr>
      <w:r>
        <w:rPr>
          <w:rFonts w:hint="cs"/>
          <w:rtl/>
        </w:rPr>
        <w:t xml:space="preserve">דיווח לממשלה </w:t>
      </w:r>
    </w:p>
    <w:p w14:paraId="155644AD" w14:textId="77777777" w:rsidR="00F33E9D" w:rsidRDefault="00F33E9D" w:rsidP="00441AFC">
      <w:pPr>
        <w:pStyle w:val="7190"/>
        <w:rPr>
          <w:rtl/>
        </w:rPr>
      </w:pPr>
      <w:r>
        <w:rPr>
          <w:rFonts w:hint="cs"/>
          <w:rtl/>
        </w:rPr>
        <w:t>הממשלה הכירה בחשיבות קבלת דיווח על ביצוע החלטותיה, בפרט לגבי ההחלטות הביצועיות או הניהוליות אשר מניעות תהליכי עבודה ומאפשרות מעקב אחר ביצוען. נוכח זאת, תקנון עבודת הממשלה קובע מנגנון מעקב ודיווח לגבי החלטות שעל פי מהותן טעונות מעקב. לפי הנקבע בתקנון לגבי החלטות מסוג זה, "הממשלה תקבע בהחלטתה את השר או השרים שיהיו אחראים למעקב אחר ביצועה... [ו]המנהל הכללי של המשרד שבראשו עומד שר האחראי על מעקב אחר ביצוע החלטה ידווח למנהל הכללי של משרד ראש הממשלה על יישום ההחלטה"</w:t>
      </w:r>
      <w:r>
        <w:rPr>
          <w:rStyle w:val="a9"/>
          <w:rtl/>
        </w:rPr>
        <w:footnoteReference w:id="78"/>
      </w:r>
      <w:r>
        <w:rPr>
          <w:rFonts w:hint="cs"/>
          <w:rtl/>
        </w:rPr>
        <w:t>. למשל, בהחלטת הממשלה על התוכנית האסטרטגית נקבע כי אחת לשנה ימסרו ראש מטה הדיור ומנהלת מינהל התכנון עדכון לקבינט הדיור בדבר העמידה ביעדים שהוגדרו בהחלטה</w:t>
      </w:r>
      <w:r>
        <w:rPr>
          <w:rStyle w:val="a9"/>
          <w:rtl/>
        </w:rPr>
        <w:footnoteReference w:id="79"/>
      </w:r>
      <w:r>
        <w:rPr>
          <w:rFonts w:hint="cs"/>
          <w:rtl/>
        </w:rPr>
        <w:t>.</w:t>
      </w:r>
    </w:p>
    <w:p w14:paraId="64D2F7A7" w14:textId="77777777" w:rsidR="00F33E9D" w:rsidRDefault="00F33E9D" w:rsidP="00441AFC">
      <w:pPr>
        <w:pStyle w:val="71f5"/>
        <w:rPr>
          <w:rtl/>
        </w:rPr>
      </w:pPr>
      <w:r>
        <w:rPr>
          <w:rFonts w:hint="cs"/>
          <w:rtl/>
        </w:rPr>
        <w:t>בהחלטת הממשלה על הסכמי הגג נקבע כי "ביצוע ויישום ההסכמים יפוקח ויבוקר על ידי רמ"י או משרד הבינוי, לפי העניין, בהתאם לכללים המקובלים". ואולם לא נקבע בהחלטה מנגנון למסירת דיווח לממשלה או לקבינט הדיור על אופן יישום ההחלטה.</w:t>
      </w:r>
    </w:p>
    <w:p w14:paraId="4DCD919C" w14:textId="77777777" w:rsidR="00F33E9D" w:rsidRDefault="00F33E9D" w:rsidP="00441AFC">
      <w:pPr>
        <w:pStyle w:val="7190"/>
        <w:rPr>
          <w:rtl/>
        </w:rPr>
      </w:pPr>
      <w:r>
        <w:rPr>
          <w:rFonts w:hint="cs"/>
          <w:rtl/>
        </w:rPr>
        <w:t>יצוין כי בדוח המעקב השנתי שפרסם משרד ראש הממשלה על ביצוע החלטות הממשלה בשנים 2015 - 2018</w:t>
      </w:r>
      <w:r>
        <w:rPr>
          <w:rStyle w:val="a9"/>
          <w:rtl/>
        </w:rPr>
        <w:footnoteReference w:id="80"/>
      </w:r>
      <w:r>
        <w:rPr>
          <w:rFonts w:hint="cs"/>
          <w:rtl/>
        </w:rPr>
        <w:t>, המרכז את דיווחי משרדי הממשלה על כל הסעיפים למעקב בהחלטות שהתקבלו, לא נכלל עדכון סטטוס יישום ההחלטה על הסכמי גג</w:t>
      </w:r>
      <w:r>
        <w:rPr>
          <w:rStyle w:val="a9"/>
          <w:rtl/>
        </w:rPr>
        <w:footnoteReference w:id="81"/>
      </w:r>
      <w:r>
        <w:rPr>
          <w:rFonts w:hint="cs"/>
          <w:rtl/>
        </w:rPr>
        <w:t>.</w:t>
      </w:r>
    </w:p>
    <w:p w14:paraId="608D4771" w14:textId="77777777" w:rsidR="00F33E9D" w:rsidRDefault="00F33E9D" w:rsidP="00441AFC">
      <w:pPr>
        <w:pStyle w:val="7190"/>
        <w:rPr>
          <w:rtl/>
        </w:rPr>
      </w:pPr>
      <w:r w:rsidRPr="00086CD2">
        <w:rPr>
          <w:rFonts w:hint="cs"/>
          <w:rtl/>
        </w:rPr>
        <w:lastRenderedPageBreak/>
        <w:t>מזכירות הממשלה מסרה בתשובתה מאוגוסט 2021 כי לשיטתה, נקבע בהחלטת הממשלה על הסכמי הגג שרמ"י ומשרד הבינוי, לפי העניין, יהיו גורמי הביצוע של ההחלטה ומבצעי המעקב אחר יישומה, וכי תכלית המעקב אחר ביצוע החלטות הממשלה היא לוודא כי הן מיושמות כהלכה. עוד מסרה מזכירות הממשלה כי כמפורט בדוח זה, הממשלה עדכנה את החלטתה על הסכמי הגג כמה פעמים במשך השנים, דבר המצביע על מעורבותה בכל הקשור ליישום החלטת הממשלה, וכי ב-8.8.21 הקימה הממשלה ועדת שרים לענייני דיור ותחבורה בראשות שר הבינוי והשיכון, אשר בין היתר תשמש גורם עוקב ומקדם לגבי כל נושא מצוקת הדיור.</w:t>
      </w:r>
    </w:p>
    <w:p w14:paraId="7991DAC2" w14:textId="77777777" w:rsidR="00F33E9D" w:rsidRDefault="00F33E9D" w:rsidP="00441AFC">
      <w:pPr>
        <w:pStyle w:val="71f5"/>
        <w:rPr>
          <w:rtl/>
        </w:rPr>
      </w:pPr>
      <w:r>
        <w:rPr>
          <w:rFonts w:hint="cs"/>
          <w:rtl/>
        </w:rPr>
        <w:t xml:space="preserve">מומלץ ששר הבינוי והשיכון (להלן - שר הבינוי), בתפקידו כיו"ר ועדת השרים לענייני דיור ותחבורה, יכנס את הוועדה כדי לבחון את האפשרות לקבוע מנגנון דיווח לוועדה או לממשלה על יישום החלטת הממשלה על הסכמי הגג, תוך מיקוד הדיווח בקצב השיווק של הקרקעות למגורים. </w:t>
      </w:r>
    </w:p>
    <w:p w14:paraId="6B824A72" w14:textId="77777777" w:rsidR="00F33E9D" w:rsidRDefault="00F33E9D" w:rsidP="00F33E9D">
      <w:pPr>
        <w:rPr>
          <w:rtl/>
        </w:rPr>
      </w:pPr>
    </w:p>
    <w:p w14:paraId="006EEEEE" w14:textId="77777777" w:rsidR="00F33E9D" w:rsidRDefault="00F33E9D" w:rsidP="00441AFC">
      <w:pPr>
        <w:pStyle w:val="71512"/>
        <w:rPr>
          <w:rtl/>
        </w:rPr>
      </w:pPr>
      <w:r>
        <w:rPr>
          <w:rFonts w:hint="cs"/>
          <w:rtl/>
        </w:rPr>
        <w:t xml:space="preserve">דיווח למועצה </w:t>
      </w:r>
    </w:p>
    <w:p w14:paraId="76C1827B" w14:textId="77777777" w:rsidR="00F33E9D" w:rsidRDefault="00F33E9D" w:rsidP="00441AFC">
      <w:pPr>
        <w:pStyle w:val="7190"/>
        <w:rPr>
          <w:rtl/>
        </w:rPr>
      </w:pPr>
      <w:r>
        <w:rPr>
          <w:rFonts w:hint="cs"/>
          <w:rtl/>
        </w:rPr>
        <w:t>החלטות המועצה משמשות תשתית נורמטיבית מרכזית לפעילות רמ"י בכל הנוגע לניהול מקרקעין - לרבות הקניית זכויות במקרקעין, תכנונם, פיתוחם ושמירה עליהם. לפי חוק רשות מקרקעי ישראל, התש"ך-1960, על המועצה לפקח על פעולות רמ"י. אחד מאמצעי הפיקוח הוא דוח שנתי שמגישה רמ"י למועצה בדבר הפעולות שנקטה בתחומי אחריותה</w:t>
      </w:r>
      <w:r>
        <w:rPr>
          <w:rStyle w:val="a9"/>
          <w:rtl/>
        </w:rPr>
        <w:footnoteReference w:id="82"/>
      </w:r>
      <w:r>
        <w:rPr>
          <w:rFonts w:hint="cs"/>
          <w:rtl/>
        </w:rPr>
        <w:t xml:space="preserve">. </w:t>
      </w:r>
    </w:p>
    <w:p w14:paraId="376F8E74" w14:textId="77777777" w:rsidR="00F33E9D" w:rsidRDefault="00F33E9D" w:rsidP="00441AFC">
      <w:pPr>
        <w:pStyle w:val="7190"/>
        <w:rPr>
          <w:rtl/>
        </w:rPr>
      </w:pPr>
      <w:r>
        <w:rPr>
          <w:rFonts w:hint="cs"/>
          <w:rtl/>
        </w:rPr>
        <w:t xml:space="preserve">כאמור לעיל, בהתאם להחלטות הממשלה על הסכמי גג קיבלה המועצה החלטות ובהן פירטה את העקרונות לחתימה על הסכמי הגג עם הרשויות המקומיות וכן החלטות שונות הקובעות את התנאים להקצאת תקציבים ייעודיים לרשות מקומית החתומה על הסכם גג. </w:t>
      </w:r>
    </w:p>
    <w:p w14:paraId="451A6A57" w14:textId="77777777" w:rsidR="00F33E9D" w:rsidRDefault="00F33E9D" w:rsidP="00441AFC">
      <w:pPr>
        <w:pStyle w:val="7190"/>
        <w:rPr>
          <w:rtl/>
        </w:rPr>
      </w:pPr>
      <w:r>
        <w:rPr>
          <w:rFonts w:hint="cs"/>
          <w:rtl/>
        </w:rPr>
        <w:t xml:space="preserve">היות שרמ"י או משרד הבינוי חותמים על הסכמי גג משנת 2013, מצופה היה כי המועצה תדון מפעם לפעם באופן היישום של הסכמי הגג, ובפרט בחסמים בשלבי התכנון, השיווק והפיתוח כמפורט לעיל. יש לכך משנה תוקף לנוכח העובדה ששיעור השיווק בהצלחה היה כ-33% ביחס למספר יחה"ד שצפוי היה שישווקו בהתאם להחלטת הממשלה על הסכמי הגג ולהחלטת המועצה בעניין. בהתאמה, היה מצופה כי הדוחות השנתיים שמגישה רמ"י למועצה יכללו בין היתר פירוט לגבי מידת העמידה של רמ"י בקצב השיווק ולגבי החסמים ביישום הסכמי הגג. </w:t>
      </w:r>
    </w:p>
    <w:p w14:paraId="235356CB" w14:textId="77777777" w:rsidR="00F33E9D" w:rsidRDefault="00F33E9D" w:rsidP="00441AFC">
      <w:pPr>
        <w:pStyle w:val="71f5"/>
        <w:rPr>
          <w:rtl/>
        </w:rPr>
      </w:pPr>
      <w:r>
        <w:rPr>
          <w:rFonts w:hint="cs"/>
          <w:rtl/>
        </w:rPr>
        <w:lastRenderedPageBreak/>
        <w:t>בביקורת עלה כי בשנים 2013 - 2020 לא דנה המועצה בנושא אי-העמידה בקצב השיווק בהתאם להסכמי הגג ובחסמים המונעים את העמידה בו. כמו כן עלה כי הדוחות השנתיים לשנים 2013 - 2019 שהגישה רמ"י למועצה</w:t>
      </w:r>
      <w:r w:rsidRPr="00441AFC">
        <w:rPr>
          <w:rStyle w:val="a9"/>
          <w:rtl/>
        </w:rPr>
        <w:footnoteReference w:id="83"/>
      </w:r>
      <w:r w:rsidRPr="00441AFC">
        <w:rPr>
          <w:rFonts w:hint="cs"/>
          <w:rtl/>
        </w:rPr>
        <w:t xml:space="preserve"> </w:t>
      </w:r>
      <w:r>
        <w:rPr>
          <w:rFonts w:hint="cs"/>
          <w:rtl/>
        </w:rPr>
        <w:t xml:space="preserve">כללו דיווח על הסכמי הגג שנחתמו בשנים הרלוונטיות, ולעיתים הם כללו פירוט של מספר יחה"ד ששווקו ודיווח על הסכמים שצפויים להיחתם. אולם לא היה בהם דיווח על החסמים ביישום ההסכם או על הפער בין השיווק בפועל לבין השיווק לפי קצב השיווק שנקבע. </w:t>
      </w:r>
    </w:p>
    <w:p w14:paraId="528768DB" w14:textId="77777777" w:rsidR="00F33E9D" w:rsidRDefault="00F33E9D" w:rsidP="00441AFC">
      <w:pPr>
        <w:pStyle w:val="7190"/>
        <w:rPr>
          <w:b/>
          <w:bCs/>
          <w:rtl/>
        </w:rPr>
      </w:pPr>
      <w:r w:rsidRPr="008F5794">
        <w:rPr>
          <w:rFonts w:hint="cs"/>
          <w:rtl/>
        </w:rPr>
        <w:t>רמ"י מסרה בתשובתה כי בדוח השנתי יש התייחסות לנושאים הנוגעים להסכמי הגג, למשל, נתונים על קידום תכנון, פיתוח ושיווק. רמ"י הוסיפה כי חברי המועצה חשופים למידע נרחב ומפורט הכלול בדוחות הכספיים של הממשלה, ובכלל זה של רמ״י, המפורסמים על ידי החשב הכללי וכוללים פירוט נרחב לגבי הסכמי הגג. עוד מסרה רמ"י כי היא מקיימת מעקב שוטף אחר יישום הסכמי הגג ונותנת לכך ביטוי גם בדוחות המונחים לפני הממשלה.</w:t>
      </w:r>
      <w:r w:rsidRPr="008F5794">
        <w:rPr>
          <w:rFonts w:hint="cs"/>
          <w:sz w:val="24"/>
          <w:rtl/>
        </w:rPr>
        <w:t xml:space="preserve"> רמ"י הוסיפה כי במשך השנים פעלו כמה פורומים לדיון ומעקב אחר חסמים לשיווק ופיתוח, בהשתתפות כלל הגורמים הממשלתיים הנוגעים בדבר.</w:t>
      </w:r>
    </w:p>
    <w:p w14:paraId="1C8A349C" w14:textId="77777777" w:rsidR="00F33E9D" w:rsidRDefault="00F33E9D" w:rsidP="00441AFC">
      <w:pPr>
        <w:pStyle w:val="71f5"/>
        <w:rPr>
          <w:rtl/>
        </w:rPr>
      </w:pPr>
      <w:r>
        <w:rPr>
          <w:rFonts w:hint="cs"/>
          <w:rtl/>
        </w:rPr>
        <w:t xml:space="preserve">מומלץ שרמ"י תכלול בדוח השנתי למועצה נתונים ומידע מקיפים בנוגע לחסמים המונעים עמידה בקצב השיווק לגבי הסכמי הגג. עוד מומלץ שיו"ר המועצה, דהיינו שר הבינוי, יכנס את המועצה לדיון תקופתי בעניין יישום הסכמי הגג, תוך התמקדות בנושא קצב השיווק של הקרקעות למגורים במסגרת הסכמי הגג ובנושא החסמים לשיווקן. </w:t>
      </w:r>
    </w:p>
    <w:p w14:paraId="7D1111EB" w14:textId="77777777" w:rsidR="00F33E9D" w:rsidRDefault="00F33E9D" w:rsidP="00441AFC">
      <w:pPr>
        <w:pStyle w:val="71f8"/>
        <w:rPr>
          <w:rtl/>
        </w:rPr>
      </w:pPr>
      <w:r>
        <w:rPr>
          <w:rFonts w:hint="cs"/>
          <w:rtl/>
        </w:rPr>
        <w:t>✰</w:t>
      </w:r>
    </w:p>
    <w:p w14:paraId="2053BB40" w14:textId="77777777" w:rsidR="00F33E9D" w:rsidRPr="00720BB7" w:rsidRDefault="00F33E9D" w:rsidP="00441AFC">
      <w:pPr>
        <w:pStyle w:val="71f5"/>
        <w:rPr>
          <w:rtl/>
        </w:rPr>
      </w:pPr>
      <w:r w:rsidRPr="00720BB7">
        <w:rPr>
          <w:rFonts w:hint="cs"/>
          <w:noProof/>
          <w:rtl/>
        </w:rPr>
        <w:t>החלטת הממשלה</w:t>
      </w:r>
      <w:r w:rsidRPr="00720BB7">
        <w:rPr>
          <w:noProof/>
          <w:rtl/>
        </w:rPr>
        <w:t xml:space="preserve"> </w:t>
      </w:r>
      <w:r w:rsidRPr="00720BB7">
        <w:rPr>
          <w:rFonts w:hint="cs"/>
          <w:noProof/>
          <w:rtl/>
        </w:rPr>
        <w:t xml:space="preserve">על הסכמי הגג, שבמסגרתה ננקטו פעולות והושקעו משאבים </w:t>
      </w:r>
      <w:r w:rsidRPr="00720BB7">
        <w:rPr>
          <w:noProof/>
          <w:rtl/>
        </w:rPr>
        <w:t>כדי להתמודד עם משבר הדיור</w:t>
      </w:r>
      <w:r>
        <w:rPr>
          <w:rFonts w:hint="cs"/>
          <w:noProof/>
          <w:rtl/>
        </w:rPr>
        <w:t>,</w:t>
      </w:r>
      <w:r w:rsidRPr="00720BB7">
        <w:rPr>
          <w:noProof/>
          <w:rtl/>
        </w:rPr>
        <w:t xml:space="preserve"> </w:t>
      </w:r>
      <w:r w:rsidRPr="00720BB7">
        <w:rPr>
          <w:rFonts w:hint="cs"/>
          <w:noProof/>
          <w:rtl/>
        </w:rPr>
        <w:t xml:space="preserve">הייתה </w:t>
      </w:r>
      <w:r w:rsidRPr="00720BB7">
        <w:rPr>
          <w:noProof/>
          <w:rtl/>
        </w:rPr>
        <w:t xml:space="preserve">יוזמה </w:t>
      </w:r>
      <w:r w:rsidRPr="00720BB7">
        <w:rPr>
          <w:rFonts w:hint="cs"/>
          <w:noProof/>
          <w:rtl/>
        </w:rPr>
        <w:t>נדרשת ו</w:t>
      </w:r>
      <w:r w:rsidRPr="00720BB7">
        <w:rPr>
          <w:noProof/>
          <w:rtl/>
        </w:rPr>
        <w:t>חשובה נוכח ה</w:t>
      </w:r>
      <w:r w:rsidRPr="00720BB7">
        <w:rPr>
          <w:rFonts w:hint="cs"/>
          <w:noProof/>
          <w:rtl/>
        </w:rPr>
        <w:t>ת</w:t>
      </w:r>
      <w:r w:rsidRPr="00720BB7">
        <w:rPr>
          <w:noProof/>
          <w:rtl/>
        </w:rPr>
        <w:t>משכות המשבר</w:t>
      </w:r>
      <w:r w:rsidRPr="00720BB7">
        <w:rPr>
          <w:rFonts w:hint="cs"/>
          <w:noProof/>
          <w:rtl/>
        </w:rPr>
        <w:t>.</w:t>
      </w:r>
    </w:p>
    <w:p w14:paraId="7B746A6F" w14:textId="77777777" w:rsidR="00F33E9D" w:rsidRDefault="00F33E9D" w:rsidP="00441AFC">
      <w:pPr>
        <w:pStyle w:val="71f5"/>
        <w:rPr>
          <w:rtl/>
        </w:rPr>
      </w:pPr>
      <w:r w:rsidRPr="002204EF">
        <w:rPr>
          <w:rFonts w:hint="cs"/>
          <w:rtl/>
        </w:rPr>
        <w:t xml:space="preserve">הסכמי הגג נועדו ליצור "ארגז כלים" המאפשר שיתוף פעולה בין משרדי הממשלה </w:t>
      </w:r>
      <w:r>
        <w:rPr>
          <w:rFonts w:hint="cs"/>
          <w:rtl/>
        </w:rPr>
        <w:t xml:space="preserve">כדי להאיץ את קצב שיווק הקרקעות לבניית יח"ד וכפועל יוצא מכך להאיץ את בנייתן. אולם מהאמור לעיל עולה כי קשיים וחסמים שונים לאורך שלבי התכנון, הפיתוח והשיווק מקשים את העמידה בקצב השיווק שנקבע בהחלטת הממשלה על הסכמי הגג, דהיינו שיווק קרקע לבניית 2,000 יח"ד בשנה בכל אחת מהרשויות המקומיות החתומות על הסכמי הגג. בפועל עד סוף שנת 2020 שווקו קרקעות שניתן לבנות עליהן כ-80,000 (33%) מ-241,000 יחה"ד שהיו אמורות להיות משווקות לפי קצב השיווק שנקבע. בכך לא תוגשם היכולת של הממשלה לתת מענה לצורכי הדיור במדינה בהיקף של כ-1.5 מיליון יח"ד בשנים 2017 - 2040, </w:t>
      </w:r>
      <w:r w:rsidRPr="00FA3BA4">
        <w:rPr>
          <w:rFonts w:hint="eastAsia"/>
          <w:rtl/>
        </w:rPr>
        <w:t>הצר</w:t>
      </w:r>
      <w:r>
        <w:rPr>
          <w:rFonts w:hint="cs"/>
          <w:rtl/>
        </w:rPr>
        <w:t>כים</w:t>
      </w:r>
      <w:r w:rsidRPr="00FA3BA4">
        <w:rPr>
          <w:rtl/>
        </w:rPr>
        <w:t xml:space="preserve"> </w:t>
      </w:r>
      <w:r>
        <w:rPr>
          <w:rFonts w:hint="cs"/>
          <w:rtl/>
        </w:rPr>
        <w:t>שציינה</w:t>
      </w:r>
      <w:r w:rsidRPr="00FA3BA4">
        <w:rPr>
          <w:rtl/>
        </w:rPr>
        <w:t xml:space="preserve"> </w:t>
      </w:r>
      <w:r w:rsidRPr="00FA3BA4">
        <w:rPr>
          <w:rFonts w:hint="eastAsia"/>
          <w:rtl/>
        </w:rPr>
        <w:t>הממשלה</w:t>
      </w:r>
      <w:r w:rsidRPr="00FA3BA4">
        <w:rPr>
          <w:rtl/>
        </w:rPr>
        <w:t xml:space="preserve"> </w:t>
      </w:r>
      <w:r w:rsidRPr="00FA3BA4">
        <w:rPr>
          <w:rFonts w:hint="eastAsia"/>
          <w:rtl/>
        </w:rPr>
        <w:t>בהחלטתה</w:t>
      </w:r>
      <w:r w:rsidRPr="00FA3BA4">
        <w:rPr>
          <w:rtl/>
        </w:rPr>
        <w:t xml:space="preserve"> </w:t>
      </w:r>
      <w:r w:rsidRPr="00FA3BA4">
        <w:rPr>
          <w:rFonts w:hint="eastAsia"/>
          <w:rtl/>
        </w:rPr>
        <w:t>ע</w:t>
      </w:r>
      <w:r w:rsidRPr="00FA3BA4">
        <w:rPr>
          <w:rFonts w:hint="cs"/>
          <w:rtl/>
        </w:rPr>
        <w:t>ל התוכנית האסטרטגית.</w:t>
      </w:r>
    </w:p>
    <w:p w14:paraId="50FC07D4" w14:textId="77777777" w:rsidR="00F33E9D" w:rsidRDefault="00F33E9D" w:rsidP="00DB499A">
      <w:pPr>
        <w:pStyle w:val="7190"/>
        <w:rPr>
          <w:b/>
          <w:bCs/>
          <w:rtl/>
        </w:rPr>
      </w:pPr>
      <w:r w:rsidRPr="008F5794">
        <w:rPr>
          <w:rFonts w:hint="cs"/>
          <w:rtl/>
        </w:rPr>
        <w:lastRenderedPageBreak/>
        <w:t xml:space="preserve">רמ"י מסרה בתשובתה כי </w:t>
      </w:r>
      <w:r w:rsidRPr="008F5794">
        <w:rPr>
          <w:rtl/>
        </w:rPr>
        <w:t xml:space="preserve">אכן קיים פער בין </w:t>
      </w:r>
      <w:r w:rsidRPr="008F5794">
        <w:rPr>
          <w:rFonts w:hint="cs"/>
          <w:rtl/>
        </w:rPr>
        <w:t>מספר</w:t>
      </w:r>
      <w:r w:rsidRPr="008F5794">
        <w:rPr>
          <w:rtl/>
        </w:rPr>
        <w:t xml:space="preserve"> יח</w:t>
      </w:r>
      <w:r w:rsidRPr="008F5794">
        <w:rPr>
          <w:rFonts w:hint="cs"/>
          <w:rtl/>
        </w:rPr>
        <w:t>"ד</w:t>
      </w:r>
      <w:r w:rsidRPr="008F5794">
        <w:rPr>
          <w:rtl/>
        </w:rPr>
        <w:t xml:space="preserve"> אשר היו מיועדות לשיווק במסגרת הסכמי הגג ובין </w:t>
      </w:r>
      <w:r w:rsidRPr="008F5794">
        <w:rPr>
          <w:rFonts w:hint="cs"/>
          <w:rtl/>
        </w:rPr>
        <w:t>מספר</w:t>
      </w:r>
      <w:r w:rsidRPr="008F5794">
        <w:rPr>
          <w:rtl/>
        </w:rPr>
        <w:t xml:space="preserve"> יח</w:t>
      </w:r>
      <w:r w:rsidRPr="008F5794">
        <w:rPr>
          <w:rFonts w:hint="cs"/>
          <w:rtl/>
        </w:rPr>
        <w:t>"ד</w:t>
      </w:r>
      <w:r w:rsidRPr="008F5794">
        <w:rPr>
          <w:rtl/>
        </w:rPr>
        <w:t xml:space="preserve"> אשר שווק</w:t>
      </w:r>
      <w:r w:rsidRPr="008F5794">
        <w:rPr>
          <w:rFonts w:hint="cs"/>
          <w:rtl/>
        </w:rPr>
        <w:t>ו</w:t>
      </w:r>
      <w:r w:rsidRPr="008F5794">
        <w:rPr>
          <w:rtl/>
        </w:rPr>
        <w:t xml:space="preserve"> בפועל</w:t>
      </w:r>
      <w:r w:rsidRPr="008F5794">
        <w:rPr>
          <w:rFonts w:hint="cs"/>
          <w:rtl/>
        </w:rPr>
        <w:t>,</w:t>
      </w:r>
      <w:r w:rsidRPr="008F5794">
        <w:rPr>
          <w:rtl/>
        </w:rPr>
        <w:t xml:space="preserve"> </w:t>
      </w:r>
      <w:r w:rsidRPr="008F5794">
        <w:rPr>
          <w:rFonts w:hint="cs"/>
          <w:rtl/>
        </w:rPr>
        <w:t>והסיבה ל</w:t>
      </w:r>
      <w:r w:rsidRPr="008F5794">
        <w:rPr>
          <w:rtl/>
        </w:rPr>
        <w:t xml:space="preserve">פער זה </w:t>
      </w:r>
      <w:r w:rsidRPr="008F5794">
        <w:rPr>
          <w:rFonts w:hint="cs"/>
          <w:rtl/>
        </w:rPr>
        <w:t xml:space="preserve">היא </w:t>
      </w:r>
      <w:r w:rsidRPr="008F5794">
        <w:rPr>
          <w:rtl/>
        </w:rPr>
        <w:t>חסמים רבים אש</w:t>
      </w:r>
      <w:r w:rsidRPr="008F5794">
        <w:rPr>
          <w:rFonts w:hint="cs"/>
          <w:rtl/>
        </w:rPr>
        <w:t>ר</w:t>
      </w:r>
      <w:r w:rsidRPr="008F5794">
        <w:rPr>
          <w:rtl/>
        </w:rPr>
        <w:t xml:space="preserve"> ר</w:t>
      </w:r>
      <w:r w:rsidRPr="008F5794">
        <w:rPr>
          <w:rFonts w:hint="cs"/>
          <w:rtl/>
        </w:rPr>
        <w:t>מ"י</w:t>
      </w:r>
      <w:r w:rsidRPr="008F5794">
        <w:rPr>
          <w:rtl/>
        </w:rPr>
        <w:t xml:space="preserve"> פועלת כל העת </w:t>
      </w:r>
      <w:r w:rsidRPr="008F5794">
        <w:rPr>
          <w:rFonts w:hint="cs"/>
          <w:rtl/>
        </w:rPr>
        <w:t>ל</w:t>
      </w:r>
      <w:r w:rsidRPr="008F5794">
        <w:rPr>
          <w:rtl/>
        </w:rPr>
        <w:t>הסרתם.</w:t>
      </w:r>
      <w:r w:rsidRPr="008F5794">
        <w:rPr>
          <w:rFonts w:hint="cs"/>
          <w:rtl/>
        </w:rPr>
        <w:t xml:space="preserve"> עוד מסרה רמ"י כי קיימים </w:t>
      </w:r>
      <w:r w:rsidRPr="008F5794">
        <w:rPr>
          <w:rtl/>
        </w:rPr>
        <w:t xml:space="preserve">חסמים רבים </w:t>
      </w:r>
      <w:r w:rsidRPr="008F5794">
        <w:rPr>
          <w:rFonts w:hint="cs"/>
          <w:rtl/>
        </w:rPr>
        <w:t>ב</w:t>
      </w:r>
      <w:r w:rsidRPr="008F5794">
        <w:rPr>
          <w:rtl/>
        </w:rPr>
        <w:t>שלבי התכנון</w:t>
      </w:r>
      <w:r w:rsidRPr="008F5794">
        <w:rPr>
          <w:rFonts w:hint="cs"/>
          <w:rtl/>
        </w:rPr>
        <w:t xml:space="preserve"> וה</w:t>
      </w:r>
      <w:r w:rsidRPr="008F5794">
        <w:rPr>
          <w:rtl/>
        </w:rPr>
        <w:t>פיתוח</w:t>
      </w:r>
      <w:r w:rsidRPr="008F5794">
        <w:rPr>
          <w:rFonts w:hint="cs"/>
          <w:rtl/>
        </w:rPr>
        <w:t>, ויש</w:t>
      </w:r>
      <w:r w:rsidRPr="008F5794">
        <w:rPr>
          <w:rtl/>
        </w:rPr>
        <w:t xml:space="preserve"> עיכובים בשלב שיווק הקרקע.</w:t>
      </w:r>
      <w:r w:rsidRPr="008F5794">
        <w:rPr>
          <w:rFonts w:hint="cs"/>
          <w:rtl/>
        </w:rPr>
        <w:t xml:space="preserve"> רמ"י הוסיפה כי</w:t>
      </w:r>
      <w:r w:rsidRPr="008F5794">
        <w:rPr>
          <w:rtl/>
        </w:rPr>
        <w:t xml:space="preserve"> פעמים רבות לשם מימוש הת</w:t>
      </w:r>
      <w:r w:rsidRPr="008F5794">
        <w:rPr>
          <w:rFonts w:hint="cs"/>
          <w:rtl/>
        </w:rPr>
        <w:t>ו</w:t>
      </w:r>
      <w:r w:rsidRPr="008F5794">
        <w:rPr>
          <w:rtl/>
        </w:rPr>
        <w:t>כנית ושיווק</w:t>
      </w:r>
      <w:r w:rsidRPr="008F5794">
        <w:rPr>
          <w:rFonts w:hint="cs"/>
          <w:rtl/>
        </w:rPr>
        <w:t xml:space="preserve"> הקרקע</w:t>
      </w:r>
      <w:r w:rsidRPr="008F5794">
        <w:rPr>
          <w:rtl/>
        </w:rPr>
        <w:t xml:space="preserve"> יש ל</w:t>
      </w:r>
      <w:r w:rsidRPr="008F5794">
        <w:rPr>
          <w:rFonts w:hint="cs"/>
          <w:rtl/>
        </w:rPr>
        <w:t>תת</w:t>
      </w:r>
      <w:r w:rsidRPr="008F5794">
        <w:rPr>
          <w:rtl/>
        </w:rPr>
        <w:t xml:space="preserve"> מענה לחסמים שונים אשר </w:t>
      </w:r>
      <w:r w:rsidRPr="008F5794">
        <w:rPr>
          <w:rFonts w:hint="cs"/>
          <w:rtl/>
        </w:rPr>
        <w:t>היא</w:t>
      </w:r>
      <w:r w:rsidRPr="008F5794">
        <w:rPr>
          <w:rtl/>
        </w:rPr>
        <w:t xml:space="preserve"> אינה רשאית ל</w:t>
      </w:r>
      <w:r w:rsidRPr="008F5794">
        <w:rPr>
          <w:rFonts w:hint="cs"/>
          <w:rtl/>
        </w:rPr>
        <w:t xml:space="preserve">שאת במימון הכרוך בהסרתם </w:t>
      </w:r>
      <w:r w:rsidRPr="008F5794">
        <w:rPr>
          <w:rtl/>
        </w:rPr>
        <w:t>על פי הכללים התקציבי</w:t>
      </w:r>
      <w:r w:rsidRPr="008F5794">
        <w:rPr>
          <w:rFonts w:hint="cs"/>
          <w:rtl/>
        </w:rPr>
        <w:t>י</w:t>
      </w:r>
      <w:r w:rsidRPr="008F5794">
        <w:rPr>
          <w:rtl/>
        </w:rPr>
        <w:t>ם החלים עליה</w:t>
      </w:r>
      <w:r w:rsidRPr="008F5794">
        <w:rPr>
          <w:rFonts w:hint="cs"/>
          <w:rtl/>
        </w:rPr>
        <w:t xml:space="preserve">, וכי </w:t>
      </w:r>
      <w:r w:rsidRPr="008F5794">
        <w:rPr>
          <w:rtl/>
        </w:rPr>
        <w:t>חסמים אלו וה</w:t>
      </w:r>
      <w:r w:rsidRPr="008F5794">
        <w:rPr>
          <w:rFonts w:hint="cs"/>
          <w:rtl/>
        </w:rPr>
        <w:t>י</w:t>
      </w:r>
      <w:r w:rsidRPr="008F5794">
        <w:rPr>
          <w:rtl/>
        </w:rPr>
        <w:t xml:space="preserve">עדר הגמישות התקציבית </w:t>
      </w:r>
      <w:r w:rsidRPr="008F5794">
        <w:rPr>
          <w:rFonts w:hint="cs"/>
          <w:rtl/>
        </w:rPr>
        <w:t xml:space="preserve">שנדרשת לה </w:t>
      </w:r>
      <w:r w:rsidRPr="008F5794">
        <w:rPr>
          <w:rtl/>
        </w:rPr>
        <w:t>לשם הסרת חסמים מייד</w:t>
      </w:r>
      <w:r w:rsidRPr="008F5794">
        <w:rPr>
          <w:rFonts w:hint="cs"/>
          <w:rtl/>
        </w:rPr>
        <w:t>י</w:t>
      </w:r>
      <w:r w:rsidRPr="008F5794">
        <w:rPr>
          <w:rtl/>
        </w:rPr>
        <w:t xml:space="preserve">ים המונעים </w:t>
      </w:r>
      <w:r w:rsidRPr="008F5794">
        <w:rPr>
          <w:rFonts w:hint="cs"/>
          <w:rtl/>
        </w:rPr>
        <w:t xml:space="preserve">את </w:t>
      </w:r>
      <w:r w:rsidRPr="008F5794">
        <w:rPr>
          <w:rtl/>
        </w:rPr>
        <w:t>שיווק</w:t>
      </w:r>
      <w:r w:rsidRPr="008F5794">
        <w:rPr>
          <w:rFonts w:hint="cs"/>
          <w:rtl/>
        </w:rPr>
        <w:t>ה של הקרקע</w:t>
      </w:r>
      <w:r w:rsidRPr="008F5794">
        <w:rPr>
          <w:rtl/>
        </w:rPr>
        <w:t xml:space="preserve"> הם הטעם העיקרי לפער המצוין </w:t>
      </w:r>
      <w:r w:rsidRPr="008F5794">
        <w:rPr>
          <w:rFonts w:hint="cs"/>
          <w:rtl/>
        </w:rPr>
        <w:t>בדוח זה בעניין קצב השיווק.</w:t>
      </w:r>
      <w:r>
        <w:rPr>
          <w:rFonts w:hint="cs"/>
          <w:rtl/>
        </w:rPr>
        <w:t xml:space="preserve"> </w:t>
      </w:r>
    </w:p>
    <w:p w14:paraId="794B2F15" w14:textId="77777777" w:rsidR="00F33E9D" w:rsidRDefault="00F33E9D" w:rsidP="00DB499A">
      <w:pPr>
        <w:pStyle w:val="7190"/>
        <w:rPr>
          <w:bCs/>
          <w:rtl/>
        </w:rPr>
      </w:pPr>
      <w:r w:rsidRPr="008F5794">
        <w:rPr>
          <w:rFonts w:ascii="Arial" w:eastAsia="Times New Roman" w:hAnsi="Arial" w:hint="eastAsia"/>
          <w:color w:val="000000"/>
          <w:rtl/>
        </w:rPr>
        <w:t>משרד</w:t>
      </w:r>
      <w:r w:rsidRPr="008F5794">
        <w:rPr>
          <w:rFonts w:ascii="Arial" w:eastAsia="Times New Roman" w:hAnsi="Arial" w:hint="cs"/>
          <w:color w:val="000000"/>
          <w:rtl/>
        </w:rPr>
        <w:t xml:space="preserve"> </w:t>
      </w:r>
      <w:r w:rsidRPr="008F5794">
        <w:rPr>
          <w:rFonts w:ascii="Arial" w:eastAsia="Times New Roman" w:hAnsi="Arial" w:hint="eastAsia"/>
          <w:color w:val="000000"/>
          <w:rtl/>
        </w:rPr>
        <w:t>הבינוי</w:t>
      </w:r>
      <w:r w:rsidRPr="008F5794">
        <w:rPr>
          <w:rFonts w:ascii="Arial" w:eastAsia="Times New Roman" w:hAnsi="Arial" w:hint="cs"/>
          <w:color w:val="000000"/>
          <w:rtl/>
        </w:rPr>
        <w:t xml:space="preserve"> מסר בתשובתו כי הוא </w:t>
      </w:r>
      <w:r w:rsidRPr="008F5794">
        <w:rPr>
          <w:rFonts w:ascii="Arial" w:eastAsia="Times New Roman" w:hAnsi="Arial" w:hint="eastAsia"/>
          <w:color w:val="000000"/>
          <w:rtl/>
        </w:rPr>
        <w:t>עוקב</w:t>
      </w:r>
      <w:r w:rsidRPr="008F5794">
        <w:rPr>
          <w:rFonts w:ascii="Arial" w:eastAsia="Times New Roman" w:hAnsi="Arial"/>
          <w:color w:val="000000"/>
          <w:rtl/>
        </w:rPr>
        <w:t xml:space="preserve"> </w:t>
      </w:r>
      <w:r w:rsidRPr="008F5794">
        <w:rPr>
          <w:rFonts w:ascii="Arial" w:eastAsia="Times New Roman" w:hAnsi="Arial" w:hint="eastAsia"/>
          <w:color w:val="000000"/>
          <w:rtl/>
        </w:rPr>
        <w:t>בהתמדה</w:t>
      </w:r>
      <w:r w:rsidRPr="008F5794">
        <w:rPr>
          <w:rFonts w:ascii="Arial" w:eastAsia="Times New Roman" w:hAnsi="Arial"/>
          <w:color w:val="000000"/>
          <w:rtl/>
        </w:rPr>
        <w:t xml:space="preserve"> </w:t>
      </w:r>
      <w:r w:rsidRPr="008F5794">
        <w:rPr>
          <w:rFonts w:ascii="Arial" w:eastAsia="Times New Roman" w:hAnsi="Arial" w:hint="eastAsia"/>
          <w:color w:val="000000"/>
          <w:rtl/>
        </w:rPr>
        <w:t>אחרי</w:t>
      </w:r>
      <w:r w:rsidRPr="008F5794">
        <w:rPr>
          <w:rFonts w:ascii="Arial" w:eastAsia="Times New Roman" w:hAnsi="Arial"/>
          <w:color w:val="000000"/>
          <w:rtl/>
        </w:rPr>
        <w:t xml:space="preserve"> </w:t>
      </w:r>
      <w:r w:rsidRPr="008F5794">
        <w:rPr>
          <w:rFonts w:ascii="Arial" w:eastAsia="Times New Roman" w:hAnsi="Arial" w:hint="eastAsia"/>
          <w:color w:val="000000"/>
          <w:rtl/>
        </w:rPr>
        <w:t>קצב</w:t>
      </w:r>
      <w:r w:rsidRPr="008F5794">
        <w:rPr>
          <w:rFonts w:ascii="Arial" w:eastAsia="Times New Roman" w:hAnsi="Arial"/>
          <w:color w:val="000000"/>
          <w:rtl/>
        </w:rPr>
        <w:t xml:space="preserve"> </w:t>
      </w:r>
      <w:r w:rsidRPr="008F5794">
        <w:rPr>
          <w:rFonts w:ascii="Arial" w:eastAsia="Times New Roman" w:hAnsi="Arial" w:hint="eastAsia"/>
          <w:color w:val="000000"/>
          <w:rtl/>
        </w:rPr>
        <w:t>שיווק</w:t>
      </w:r>
      <w:r w:rsidRPr="008F5794">
        <w:rPr>
          <w:rFonts w:ascii="Arial" w:eastAsia="Times New Roman" w:hAnsi="Arial"/>
          <w:color w:val="000000"/>
          <w:rtl/>
        </w:rPr>
        <w:t xml:space="preserve"> </w:t>
      </w:r>
      <w:r w:rsidRPr="008F5794">
        <w:rPr>
          <w:rFonts w:ascii="Arial" w:eastAsia="Times New Roman" w:hAnsi="Arial" w:hint="eastAsia"/>
          <w:color w:val="000000"/>
          <w:rtl/>
        </w:rPr>
        <w:t>יח״ד</w:t>
      </w:r>
      <w:r w:rsidRPr="008F5794">
        <w:rPr>
          <w:rFonts w:ascii="Arial" w:eastAsia="Times New Roman" w:hAnsi="Arial"/>
          <w:color w:val="000000"/>
          <w:rtl/>
        </w:rPr>
        <w:t xml:space="preserve"> </w:t>
      </w:r>
      <w:r w:rsidRPr="008F5794">
        <w:rPr>
          <w:rFonts w:ascii="Arial" w:eastAsia="Times New Roman" w:hAnsi="Arial" w:hint="cs"/>
          <w:color w:val="000000"/>
          <w:rtl/>
        </w:rPr>
        <w:t xml:space="preserve">על פי </w:t>
      </w:r>
      <w:r w:rsidRPr="008F5794">
        <w:rPr>
          <w:rFonts w:ascii="Arial" w:eastAsia="Times New Roman" w:hAnsi="Arial" w:hint="eastAsia"/>
          <w:color w:val="000000"/>
          <w:rtl/>
        </w:rPr>
        <w:t>הסכמי</w:t>
      </w:r>
      <w:r w:rsidRPr="008F5794">
        <w:rPr>
          <w:rFonts w:ascii="Arial" w:eastAsia="Times New Roman" w:hAnsi="Arial"/>
          <w:color w:val="000000"/>
          <w:rtl/>
        </w:rPr>
        <w:t xml:space="preserve"> </w:t>
      </w:r>
      <w:r w:rsidRPr="008F5794">
        <w:rPr>
          <w:rFonts w:ascii="Arial" w:eastAsia="Times New Roman" w:hAnsi="Arial" w:hint="eastAsia"/>
          <w:color w:val="000000"/>
          <w:rtl/>
        </w:rPr>
        <w:t>הגג</w:t>
      </w:r>
      <w:r w:rsidRPr="008F5794">
        <w:rPr>
          <w:rFonts w:ascii="Arial" w:eastAsia="Times New Roman" w:hAnsi="Arial" w:hint="cs"/>
          <w:color w:val="000000"/>
          <w:rtl/>
        </w:rPr>
        <w:t>, וכי הוא</w:t>
      </w:r>
      <w:r w:rsidRPr="008F5794">
        <w:rPr>
          <w:rFonts w:ascii="Arial" w:eastAsia="Times New Roman" w:hAnsi="Arial"/>
          <w:color w:val="000000"/>
          <w:rtl/>
        </w:rPr>
        <w:t xml:space="preserve"> </w:t>
      </w:r>
      <w:r w:rsidRPr="008F5794">
        <w:rPr>
          <w:rFonts w:ascii="Arial" w:eastAsia="Times New Roman" w:hAnsi="Arial" w:hint="eastAsia"/>
          <w:color w:val="000000"/>
          <w:rtl/>
        </w:rPr>
        <w:t>משקיע</w:t>
      </w:r>
      <w:r w:rsidRPr="008F5794">
        <w:rPr>
          <w:rFonts w:ascii="Arial" w:eastAsia="Times New Roman" w:hAnsi="Arial"/>
          <w:color w:val="000000"/>
          <w:rtl/>
        </w:rPr>
        <w:t xml:space="preserve"> </w:t>
      </w:r>
      <w:r w:rsidRPr="008F5794">
        <w:rPr>
          <w:rFonts w:ascii="Arial" w:eastAsia="Times New Roman" w:hAnsi="Arial" w:hint="eastAsia"/>
          <w:color w:val="000000"/>
          <w:rtl/>
        </w:rPr>
        <w:t>מאמצים</w:t>
      </w:r>
      <w:r w:rsidRPr="008F5794">
        <w:rPr>
          <w:rFonts w:ascii="Arial" w:eastAsia="Times New Roman" w:hAnsi="Arial"/>
          <w:color w:val="000000"/>
          <w:rtl/>
        </w:rPr>
        <w:t xml:space="preserve"> </w:t>
      </w:r>
      <w:r w:rsidRPr="008F5794">
        <w:rPr>
          <w:rFonts w:ascii="Arial" w:eastAsia="Times New Roman" w:hAnsi="Arial" w:hint="cs"/>
          <w:color w:val="000000"/>
          <w:rtl/>
        </w:rPr>
        <w:t>רבים</w:t>
      </w:r>
      <w:r w:rsidRPr="008F5794">
        <w:rPr>
          <w:rFonts w:ascii="Arial" w:eastAsia="Times New Roman" w:hAnsi="Arial"/>
          <w:color w:val="000000"/>
          <w:rtl/>
        </w:rPr>
        <w:t xml:space="preserve"> </w:t>
      </w:r>
      <w:r w:rsidRPr="008F5794">
        <w:rPr>
          <w:rFonts w:ascii="Arial" w:eastAsia="Times New Roman" w:hAnsi="Arial" w:hint="eastAsia"/>
          <w:color w:val="000000"/>
          <w:rtl/>
        </w:rPr>
        <w:t>בהסרת</w:t>
      </w:r>
      <w:r w:rsidRPr="008F5794">
        <w:rPr>
          <w:rFonts w:ascii="Arial" w:eastAsia="Times New Roman" w:hAnsi="Arial"/>
          <w:color w:val="000000"/>
          <w:rtl/>
        </w:rPr>
        <w:t xml:space="preserve"> </w:t>
      </w:r>
      <w:r w:rsidRPr="008F5794">
        <w:rPr>
          <w:rFonts w:ascii="Arial" w:eastAsia="Times New Roman" w:hAnsi="Arial" w:hint="eastAsia"/>
          <w:color w:val="000000"/>
          <w:rtl/>
        </w:rPr>
        <w:t>חסמים</w:t>
      </w:r>
      <w:r w:rsidRPr="008F5794">
        <w:rPr>
          <w:rFonts w:ascii="Arial" w:eastAsia="Times New Roman" w:hAnsi="Arial"/>
          <w:color w:val="000000"/>
          <w:rtl/>
        </w:rPr>
        <w:t xml:space="preserve"> </w:t>
      </w:r>
      <w:r w:rsidRPr="008F5794">
        <w:rPr>
          <w:rFonts w:ascii="Arial" w:eastAsia="Times New Roman" w:hAnsi="Arial" w:hint="eastAsia"/>
          <w:color w:val="000000"/>
          <w:rtl/>
        </w:rPr>
        <w:t>באמצעות</w:t>
      </w:r>
      <w:r w:rsidRPr="008F5794">
        <w:rPr>
          <w:rFonts w:ascii="Arial" w:eastAsia="Times New Roman" w:hAnsi="Arial"/>
          <w:color w:val="000000"/>
          <w:rtl/>
        </w:rPr>
        <w:t xml:space="preserve"> </w:t>
      </w:r>
      <w:r w:rsidRPr="008F5794">
        <w:rPr>
          <w:rFonts w:ascii="Arial" w:eastAsia="Times New Roman" w:hAnsi="Arial" w:hint="eastAsia"/>
          <w:color w:val="000000"/>
          <w:rtl/>
        </w:rPr>
        <w:t>תיאום</w:t>
      </w:r>
      <w:r w:rsidRPr="008F5794">
        <w:rPr>
          <w:rFonts w:ascii="Arial" w:eastAsia="Times New Roman" w:hAnsi="Arial"/>
          <w:color w:val="000000"/>
          <w:rtl/>
        </w:rPr>
        <w:t xml:space="preserve"> </w:t>
      </w:r>
      <w:r w:rsidRPr="008F5794">
        <w:rPr>
          <w:rFonts w:ascii="Arial" w:eastAsia="Times New Roman" w:hAnsi="Arial" w:hint="eastAsia"/>
          <w:color w:val="000000"/>
          <w:rtl/>
        </w:rPr>
        <w:t>שוטף</w:t>
      </w:r>
      <w:r w:rsidRPr="008F5794">
        <w:rPr>
          <w:rFonts w:ascii="Arial" w:eastAsia="Times New Roman" w:hAnsi="Arial"/>
          <w:color w:val="000000"/>
          <w:rtl/>
        </w:rPr>
        <w:t xml:space="preserve"> </w:t>
      </w:r>
      <w:r w:rsidRPr="008F5794">
        <w:rPr>
          <w:rFonts w:ascii="Arial" w:eastAsia="Times New Roman" w:hAnsi="Arial" w:hint="cs"/>
          <w:color w:val="000000"/>
          <w:rtl/>
        </w:rPr>
        <w:t>עם</w:t>
      </w:r>
      <w:r w:rsidRPr="008F5794">
        <w:rPr>
          <w:rFonts w:ascii="Arial" w:eastAsia="Times New Roman" w:hAnsi="Arial"/>
          <w:color w:val="000000"/>
          <w:rtl/>
        </w:rPr>
        <w:t xml:space="preserve"> </w:t>
      </w:r>
      <w:r w:rsidRPr="008F5794">
        <w:rPr>
          <w:rFonts w:ascii="Arial" w:eastAsia="Times New Roman" w:hAnsi="Arial" w:hint="eastAsia"/>
          <w:color w:val="000000"/>
          <w:rtl/>
        </w:rPr>
        <w:t>משרדי</w:t>
      </w:r>
      <w:r w:rsidRPr="008F5794">
        <w:rPr>
          <w:rFonts w:ascii="Arial" w:eastAsia="Times New Roman" w:hAnsi="Arial"/>
          <w:color w:val="000000"/>
          <w:rtl/>
        </w:rPr>
        <w:t xml:space="preserve"> </w:t>
      </w:r>
      <w:r w:rsidRPr="008F5794">
        <w:rPr>
          <w:rFonts w:ascii="Arial" w:eastAsia="Times New Roman" w:hAnsi="Arial" w:hint="eastAsia"/>
          <w:color w:val="000000"/>
          <w:rtl/>
        </w:rPr>
        <w:t>ממשלה</w:t>
      </w:r>
      <w:r w:rsidRPr="008F5794">
        <w:rPr>
          <w:rFonts w:ascii="Arial" w:eastAsia="Times New Roman" w:hAnsi="Arial"/>
          <w:color w:val="000000"/>
          <w:rtl/>
        </w:rPr>
        <w:t xml:space="preserve"> </w:t>
      </w:r>
      <w:r w:rsidRPr="008F5794">
        <w:rPr>
          <w:rFonts w:ascii="Arial" w:eastAsia="Times New Roman" w:hAnsi="Arial" w:hint="eastAsia"/>
          <w:color w:val="000000"/>
          <w:rtl/>
        </w:rPr>
        <w:t>אחרים</w:t>
      </w:r>
      <w:r w:rsidRPr="008F5794">
        <w:rPr>
          <w:rFonts w:ascii="Arial" w:eastAsia="Times New Roman" w:hAnsi="Arial"/>
          <w:color w:val="000000"/>
          <w:rtl/>
        </w:rPr>
        <w:t xml:space="preserve"> </w:t>
      </w:r>
      <w:r w:rsidRPr="008F5794">
        <w:rPr>
          <w:rFonts w:ascii="Arial" w:eastAsia="Times New Roman" w:hAnsi="Arial" w:hint="eastAsia"/>
          <w:color w:val="000000"/>
          <w:rtl/>
        </w:rPr>
        <w:t>ורשויות</w:t>
      </w:r>
      <w:r w:rsidRPr="008F5794">
        <w:rPr>
          <w:rFonts w:ascii="Arial" w:eastAsia="Times New Roman" w:hAnsi="Arial"/>
          <w:color w:val="000000"/>
          <w:rtl/>
        </w:rPr>
        <w:t xml:space="preserve"> </w:t>
      </w:r>
      <w:r w:rsidRPr="008F5794">
        <w:rPr>
          <w:rFonts w:ascii="Arial" w:eastAsia="Times New Roman" w:hAnsi="Arial" w:hint="eastAsia"/>
          <w:color w:val="000000"/>
          <w:rtl/>
        </w:rPr>
        <w:t>שונות</w:t>
      </w:r>
      <w:r w:rsidRPr="008F5794">
        <w:rPr>
          <w:rFonts w:ascii="Arial" w:eastAsia="Times New Roman" w:hAnsi="Arial" w:hint="cs"/>
          <w:color w:val="000000"/>
          <w:rtl/>
        </w:rPr>
        <w:t>.</w:t>
      </w:r>
      <w:r w:rsidRPr="008F5794">
        <w:rPr>
          <w:rFonts w:ascii="Arial" w:eastAsia="Times New Roman" w:hAnsi="Arial"/>
          <w:color w:val="000000"/>
          <w:rtl/>
        </w:rPr>
        <w:t xml:space="preserve"> </w:t>
      </w:r>
      <w:r w:rsidRPr="008F5794">
        <w:rPr>
          <w:rFonts w:ascii="Arial" w:eastAsia="Times New Roman" w:hAnsi="Arial" w:hint="cs"/>
          <w:color w:val="000000"/>
          <w:rtl/>
        </w:rPr>
        <w:t>ו</w:t>
      </w:r>
      <w:r w:rsidRPr="008F5794">
        <w:rPr>
          <w:rFonts w:ascii="Arial" w:eastAsia="Times New Roman" w:hAnsi="Arial" w:hint="eastAsia"/>
          <w:color w:val="000000"/>
          <w:rtl/>
        </w:rPr>
        <w:t>אולם</w:t>
      </w:r>
      <w:r w:rsidRPr="008F5794">
        <w:rPr>
          <w:rFonts w:ascii="Arial" w:eastAsia="Times New Roman" w:hAnsi="Arial"/>
          <w:color w:val="000000"/>
          <w:rtl/>
        </w:rPr>
        <w:t xml:space="preserve"> </w:t>
      </w:r>
      <w:r w:rsidRPr="008F5794">
        <w:rPr>
          <w:rFonts w:ascii="Arial" w:eastAsia="Times New Roman" w:hAnsi="Arial" w:hint="cs"/>
          <w:color w:val="000000"/>
          <w:rtl/>
        </w:rPr>
        <w:t>הטיפול ב</w:t>
      </w:r>
      <w:r w:rsidRPr="008F5794">
        <w:rPr>
          <w:rFonts w:ascii="Arial" w:eastAsia="Times New Roman" w:hAnsi="Arial" w:hint="eastAsia"/>
          <w:color w:val="000000"/>
          <w:rtl/>
        </w:rPr>
        <w:t>חסמים</w:t>
      </w:r>
      <w:r w:rsidRPr="008F5794">
        <w:rPr>
          <w:rFonts w:ascii="Arial" w:eastAsia="Times New Roman" w:hAnsi="Arial"/>
          <w:color w:val="000000"/>
          <w:rtl/>
        </w:rPr>
        <w:t xml:space="preserve"> </w:t>
      </w:r>
      <w:r w:rsidRPr="008F5794">
        <w:rPr>
          <w:rFonts w:ascii="Arial" w:eastAsia="Times New Roman" w:hAnsi="Arial" w:hint="eastAsia"/>
          <w:color w:val="000000"/>
          <w:rtl/>
        </w:rPr>
        <w:t>רבים</w:t>
      </w:r>
      <w:r w:rsidRPr="008F5794">
        <w:rPr>
          <w:rFonts w:ascii="Arial" w:eastAsia="Times New Roman" w:hAnsi="Arial"/>
          <w:color w:val="000000"/>
          <w:rtl/>
        </w:rPr>
        <w:t xml:space="preserve"> </w:t>
      </w:r>
      <w:r w:rsidRPr="008F5794">
        <w:rPr>
          <w:rFonts w:ascii="Arial" w:eastAsia="Times New Roman" w:hAnsi="Arial" w:hint="eastAsia"/>
          <w:color w:val="000000"/>
          <w:rtl/>
        </w:rPr>
        <w:t>הכלולים</w:t>
      </w:r>
      <w:r w:rsidRPr="008F5794">
        <w:rPr>
          <w:rFonts w:ascii="Arial" w:eastAsia="Times New Roman" w:hAnsi="Arial"/>
          <w:color w:val="000000"/>
          <w:rtl/>
        </w:rPr>
        <w:t xml:space="preserve"> </w:t>
      </w:r>
      <w:r w:rsidRPr="008F5794">
        <w:rPr>
          <w:rFonts w:ascii="Arial" w:eastAsia="Times New Roman" w:hAnsi="Arial" w:hint="eastAsia"/>
          <w:color w:val="000000"/>
          <w:rtl/>
        </w:rPr>
        <w:t>כהתניות</w:t>
      </w:r>
      <w:r w:rsidRPr="008F5794">
        <w:rPr>
          <w:rFonts w:ascii="Arial" w:eastAsia="Times New Roman" w:hAnsi="Arial"/>
          <w:color w:val="000000"/>
          <w:rtl/>
        </w:rPr>
        <w:t xml:space="preserve"> </w:t>
      </w:r>
      <w:r w:rsidRPr="008F5794">
        <w:rPr>
          <w:rFonts w:ascii="Arial" w:eastAsia="Times New Roman" w:hAnsi="Arial" w:hint="eastAsia"/>
          <w:color w:val="000000"/>
          <w:rtl/>
        </w:rPr>
        <w:t>לבנייה</w:t>
      </w:r>
      <w:r w:rsidRPr="008F5794">
        <w:rPr>
          <w:rFonts w:ascii="Arial" w:eastAsia="Times New Roman" w:hAnsi="Arial"/>
          <w:color w:val="000000"/>
          <w:rtl/>
        </w:rPr>
        <w:t xml:space="preserve"> </w:t>
      </w:r>
      <w:r w:rsidRPr="008F5794">
        <w:rPr>
          <w:rFonts w:ascii="Arial" w:eastAsia="Times New Roman" w:hAnsi="Arial" w:hint="eastAsia"/>
          <w:color w:val="000000"/>
          <w:rtl/>
        </w:rPr>
        <w:t>אינ</w:t>
      </w:r>
      <w:r w:rsidRPr="008F5794">
        <w:rPr>
          <w:rFonts w:ascii="Arial" w:eastAsia="Times New Roman" w:hAnsi="Arial" w:hint="cs"/>
          <w:color w:val="000000"/>
          <w:rtl/>
        </w:rPr>
        <w:t>ו</w:t>
      </w:r>
      <w:r w:rsidRPr="008F5794">
        <w:rPr>
          <w:rFonts w:ascii="Arial" w:eastAsia="Times New Roman" w:hAnsi="Arial"/>
          <w:color w:val="000000"/>
          <w:rtl/>
        </w:rPr>
        <w:t xml:space="preserve"> </w:t>
      </w:r>
      <w:r w:rsidRPr="008F5794">
        <w:rPr>
          <w:rFonts w:ascii="Arial" w:eastAsia="Times New Roman" w:hAnsi="Arial" w:hint="eastAsia"/>
          <w:color w:val="000000"/>
          <w:rtl/>
        </w:rPr>
        <w:t>בסמכות</w:t>
      </w:r>
      <w:r w:rsidRPr="008F5794">
        <w:rPr>
          <w:rFonts w:ascii="Arial" w:eastAsia="Times New Roman" w:hAnsi="Arial"/>
          <w:color w:val="000000"/>
          <w:rtl/>
        </w:rPr>
        <w:t xml:space="preserve"> </w:t>
      </w:r>
      <w:r w:rsidRPr="008F5794">
        <w:rPr>
          <w:rFonts w:ascii="Arial" w:eastAsia="Times New Roman" w:hAnsi="Arial" w:hint="eastAsia"/>
          <w:color w:val="000000"/>
          <w:rtl/>
        </w:rPr>
        <w:t>המשרד</w:t>
      </w:r>
      <w:r w:rsidRPr="008F5794">
        <w:rPr>
          <w:rFonts w:ascii="Arial" w:eastAsia="Times New Roman" w:hAnsi="Arial" w:hint="cs"/>
          <w:color w:val="000000"/>
          <w:rtl/>
        </w:rPr>
        <w:t>,</w:t>
      </w:r>
      <w:r w:rsidRPr="008F5794">
        <w:rPr>
          <w:rFonts w:ascii="Arial" w:eastAsia="Times New Roman" w:hAnsi="Arial"/>
          <w:color w:val="000000"/>
          <w:rtl/>
        </w:rPr>
        <w:t xml:space="preserve"> </w:t>
      </w:r>
      <w:r w:rsidRPr="008F5794">
        <w:rPr>
          <w:rFonts w:ascii="Arial" w:eastAsia="Times New Roman" w:hAnsi="Arial" w:hint="cs"/>
          <w:color w:val="000000"/>
          <w:rtl/>
        </w:rPr>
        <w:t>ו</w:t>
      </w:r>
      <w:r w:rsidRPr="008F5794">
        <w:rPr>
          <w:rFonts w:ascii="Arial" w:eastAsia="Times New Roman" w:hAnsi="Arial" w:hint="eastAsia"/>
          <w:color w:val="000000"/>
          <w:rtl/>
        </w:rPr>
        <w:t>הטיפול</w:t>
      </w:r>
      <w:r w:rsidRPr="008F5794">
        <w:rPr>
          <w:rFonts w:ascii="Arial" w:eastAsia="Times New Roman" w:hAnsi="Arial"/>
          <w:color w:val="000000"/>
          <w:rtl/>
        </w:rPr>
        <w:t xml:space="preserve"> </w:t>
      </w:r>
      <w:r w:rsidRPr="008F5794">
        <w:rPr>
          <w:rFonts w:ascii="Arial" w:eastAsia="Times New Roman" w:hAnsi="Arial" w:hint="cs"/>
          <w:color w:val="000000"/>
          <w:rtl/>
        </w:rPr>
        <w:t>בהם</w:t>
      </w:r>
      <w:r w:rsidRPr="008F5794">
        <w:rPr>
          <w:rFonts w:ascii="Arial" w:eastAsia="Times New Roman" w:hAnsi="Arial"/>
          <w:color w:val="000000"/>
          <w:rtl/>
        </w:rPr>
        <w:t xml:space="preserve"> </w:t>
      </w:r>
      <w:r w:rsidRPr="008F5794">
        <w:rPr>
          <w:rFonts w:ascii="Arial" w:eastAsia="Times New Roman" w:hAnsi="Arial" w:hint="eastAsia"/>
          <w:color w:val="000000"/>
          <w:rtl/>
        </w:rPr>
        <w:t>נפגע</w:t>
      </w:r>
      <w:r w:rsidRPr="008F5794">
        <w:rPr>
          <w:rFonts w:ascii="Arial" w:eastAsia="Times New Roman" w:hAnsi="Arial"/>
          <w:color w:val="000000"/>
          <w:rtl/>
        </w:rPr>
        <w:t xml:space="preserve"> </w:t>
      </w:r>
      <w:r w:rsidRPr="008F5794">
        <w:rPr>
          <w:rFonts w:ascii="Arial" w:eastAsia="Times New Roman" w:hAnsi="Arial" w:hint="cs"/>
          <w:color w:val="000000"/>
          <w:rtl/>
        </w:rPr>
        <w:t>במידה ניכרת</w:t>
      </w:r>
      <w:r w:rsidRPr="008F5794">
        <w:rPr>
          <w:rFonts w:ascii="Arial" w:eastAsia="Times New Roman" w:hAnsi="Arial"/>
          <w:color w:val="000000"/>
          <w:rtl/>
        </w:rPr>
        <w:t xml:space="preserve"> </w:t>
      </w:r>
      <w:r w:rsidRPr="008F5794">
        <w:rPr>
          <w:rFonts w:ascii="Arial" w:eastAsia="Times New Roman" w:hAnsi="Arial" w:hint="eastAsia"/>
          <w:color w:val="000000"/>
          <w:rtl/>
        </w:rPr>
        <w:t>בשנים</w:t>
      </w:r>
      <w:r w:rsidRPr="008F5794">
        <w:rPr>
          <w:rFonts w:ascii="Arial" w:eastAsia="Times New Roman" w:hAnsi="Arial"/>
          <w:color w:val="000000"/>
          <w:rtl/>
        </w:rPr>
        <w:t xml:space="preserve"> </w:t>
      </w:r>
      <w:r w:rsidRPr="008F5794">
        <w:rPr>
          <w:rFonts w:ascii="Arial" w:eastAsia="Times New Roman" w:hAnsi="Arial" w:hint="cs"/>
          <w:color w:val="000000"/>
          <w:rtl/>
        </w:rPr>
        <w:t>2020 - 2021</w:t>
      </w:r>
      <w:r w:rsidRPr="008F5794">
        <w:rPr>
          <w:rFonts w:ascii="Arial" w:eastAsia="Times New Roman" w:hAnsi="Arial"/>
          <w:color w:val="000000"/>
          <w:rtl/>
        </w:rPr>
        <w:t xml:space="preserve"> </w:t>
      </w:r>
      <w:r w:rsidRPr="008F5794">
        <w:rPr>
          <w:rFonts w:ascii="Arial" w:eastAsia="Times New Roman" w:hAnsi="Arial" w:hint="eastAsia"/>
          <w:color w:val="000000"/>
          <w:rtl/>
        </w:rPr>
        <w:t>בהיעדר</w:t>
      </w:r>
      <w:r w:rsidRPr="008F5794">
        <w:rPr>
          <w:rFonts w:ascii="Arial" w:eastAsia="Times New Roman" w:hAnsi="Arial"/>
          <w:color w:val="000000"/>
          <w:rtl/>
        </w:rPr>
        <w:t xml:space="preserve"> </w:t>
      </w:r>
      <w:r w:rsidRPr="008F5794">
        <w:rPr>
          <w:rFonts w:ascii="Arial" w:eastAsia="Times New Roman" w:hAnsi="Arial" w:hint="eastAsia"/>
          <w:color w:val="000000"/>
          <w:rtl/>
        </w:rPr>
        <w:t>תקציב</w:t>
      </w:r>
      <w:r w:rsidRPr="008F5794">
        <w:rPr>
          <w:rFonts w:ascii="Arial" w:eastAsia="Times New Roman" w:hAnsi="Arial"/>
          <w:color w:val="000000"/>
          <w:rtl/>
        </w:rPr>
        <w:t xml:space="preserve"> </w:t>
      </w:r>
      <w:r w:rsidRPr="008F5794">
        <w:rPr>
          <w:rFonts w:ascii="Arial" w:eastAsia="Times New Roman" w:hAnsi="Arial" w:hint="eastAsia"/>
          <w:color w:val="000000"/>
          <w:rtl/>
        </w:rPr>
        <w:t>מדינה</w:t>
      </w:r>
      <w:r w:rsidRPr="008F5794">
        <w:rPr>
          <w:rFonts w:ascii="Arial" w:eastAsia="Times New Roman" w:hAnsi="Arial"/>
          <w:color w:val="000000"/>
          <w:rtl/>
        </w:rPr>
        <w:t xml:space="preserve"> </w:t>
      </w:r>
      <w:r w:rsidRPr="008F5794">
        <w:rPr>
          <w:rFonts w:ascii="Arial" w:eastAsia="Times New Roman" w:hAnsi="Arial" w:hint="eastAsia"/>
          <w:color w:val="000000"/>
          <w:rtl/>
        </w:rPr>
        <w:t>מאושר</w:t>
      </w:r>
      <w:r w:rsidRPr="008F5794">
        <w:rPr>
          <w:rFonts w:ascii="Arial" w:eastAsia="Times New Roman" w:hAnsi="Arial"/>
          <w:color w:val="000000"/>
          <w:rtl/>
        </w:rPr>
        <w:t>.</w:t>
      </w:r>
      <w:r w:rsidRPr="008F5794">
        <w:rPr>
          <w:rFonts w:hint="cs"/>
          <w:rtl/>
        </w:rPr>
        <w:t xml:space="preserve"> </w:t>
      </w:r>
      <w:r w:rsidRPr="008F5794">
        <w:rPr>
          <w:rFonts w:ascii="Arial" w:eastAsia="Times New Roman" w:hAnsi="Arial" w:hint="cs"/>
          <w:color w:val="000000"/>
          <w:rtl/>
        </w:rPr>
        <w:t xml:space="preserve">עוד מסר משרד הבינוי כי </w:t>
      </w:r>
      <w:r w:rsidRPr="008F5794">
        <w:rPr>
          <w:rFonts w:ascii="Arial" w:eastAsia="Times New Roman" w:hAnsi="Arial" w:hint="eastAsia"/>
          <w:color w:val="000000"/>
          <w:rtl/>
        </w:rPr>
        <w:t>התגייסות</w:t>
      </w:r>
      <w:r w:rsidRPr="008F5794">
        <w:rPr>
          <w:rFonts w:ascii="Arial" w:eastAsia="Times New Roman" w:hAnsi="Arial"/>
          <w:color w:val="000000"/>
          <w:rtl/>
        </w:rPr>
        <w:t xml:space="preserve"> </w:t>
      </w:r>
      <w:r w:rsidRPr="008F5794">
        <w:rPr>
          <w:rFonts w:ascii="Arial" w:eastAsia="Times New Roman" w:hAnsi="Arial" w:hint="eastAsia"/>
          <w:color w:val="000000"/>
          <w:rtl/>
        </w:rPr>
        <w:t>משרדי</w:t>
      </w:r>
      <w:r w:rsidRPr="008F5794">
        <w:rPr>
          <w:rFonts w:ascii="Arial" w:eastAsia="Times New Roman" w:hAnsi="Arial"/>
          <w:color w:val="000000"/>
          <w:rtl/>
        </w:rPr>
        <w:t xml:space="preserve"> </w:t>
      </w:r>
      <w:r w:rsidRPr="008F5794">
        <w:rPr>
          <w:rFonts w:ascii="Arial" w:eastAsia="Times New Roman" w:hAnsi="Arial" w:hint="eastAsia"/>
          <w:color w:val="000000"/>
          <w:rtl/>
        </w:rPr>
        <w:t>הממשלה</w:t>
      </w:r>
      <w:r w:rsidRPr="008F5794">
        <w:rPr>
          <w:rFonts w:ascii="Arial" w:eastAsia="Times New Roman" w:hAnsi="Arial"/>
          <w:color w:val="000000"/>
          <w:rtl/>
        </w:rPr>
        <w:t xml:space="preserve"> </w:t>
      </w:r>
      <w:r w:rsidRPr="008F5794">
        <w:rPr>
          <w:rFonts w:ascii="Arial" w:eastAsia="Times New Roman" w:hAnsi="Arial" w:hint="eastAsia"/>
          <w:color w:val="000000"/>
          <w:rtl/>
        </w:rPr>
        <w:t>ו</w:t>
      </w:r>
      <w:r w:rsidRPr="008F5794">
        <w:rPr>
          <w:rFonts w:ascii="Arial" w:eastAsia="Times New Roman" w:hAnsi="Arial" w:hint="cs"/>
          <w:color w:val="000000"/>
          <w:rtl/>
        </w:rPr>
        <w:t>הגופים הרלוונטיים ל</w:t>
      </w:r>
      <w:r w:rsidRPr="008F5794">
        <w:rPr>
          <w:rFonts w:ascii="Arial" w:eastAsia="Times New Roman" w:hAnsi="Arial" w:hint="eastAsia"/>
          <w:color w:val="000000"/>
          <w:rtl/>
        </w:rPr>
        <w:t>הסרת</w:t>
      </w:r>
      <w:r w:rsidRPr="008F5794">
        <w:rPr>
          <w:rFonts w:ascii="Arial" w:eastAsia="Times New Roman" w:hAnsi="Arial"/>
          <w:color w:val="000000"/>
          <w:rtl/>
        </w:rPr>
        <w:t xml:space="preserve"> </w:t>
      </w:r>
      <w:r w:rsidRPr="008F5794">
        <w:rPr>
          <w:rFonts w:ascii="Arial" w:eastAsia="Times New Roman" w:hAnsi="Arial" w:hint="eastAsia"/>
          <w:color w:val="000000"/>
          <w:rtl/>
        </w:rPr>
        <w:t>החסמים</w:t>
      </w:r>
      <w:r w:rsidRPr="008F5794">
        <w:rPr>
          <w:rFonts w:ascii="Arial" w:eastAsia="Times New Roman" w:hAnsi="Arial"/>
          <w:color w:val="000000"/>
          <w:rtl/>
        </w:rPr>
        <w:t xml:space="preserve"> </w:t>
      </w:r>
      <w:r w:rsidRPr="008F5794">
        <w:rPr>
          <w:rFonts w:ascii="Arial" w:eastAsia="Times New Roman" w:hAnsi="Arial" w:hint="eastAsia"/>
          <w:color w:val="000000"/>
          <w:rtl/>
        </w:rPr>
        <w:t>המונעים</w:t>
      </w:r>
      <w:r w:rsidRPr="008F5794">
        <w:rPr>
          <w:rFonts w:ascii="Arial" w:eastAsia="Times New Roman" w:hAnsi="Arial"/>
          <w:color w:val="000000"/>
          <w:rtl/>
        </w:rPr>
        <w:t xml:space="preserve"> </w:t>
      </w:r>
      <w:r w:rsidRPr="008F5794">
        <w:rPr>
          <w:rFonts w:ascii="Arial" w:eastAsia="Times New Roman" w:hAnsi="Arial" w:hint="eastAsia"/>
          <w:color w:val="000000"/>
          <w:rtl/>
        </w:rPr>
        <w:t>את</w:t>
      </w:r>
      <w:r w:rsidRPr="008F5794">
        <w:rPr>
          <w:rFonts w:ascii="Arial" w:eastAsia="Times New Roman" w:hAnsi="Arial"/>
          <w:color w:val="000000"/>
          <w:rtl/>
        </w:rPr>
        <w:t xml:space="preserve"> </w:t>
      </w:r>
      <w:r w:rsidRPr="008F5794">
        <w:rPr>
          <w:rFonts w:ascii="Arial" w:eastAsia="Times New Roman" w:hAnsi="Arial" w:hint="cs"/>
          <w:color w:val="000000"/>
          <w:rtl/>
        </w:rPr>
        <w:t>ה</w:t>
      </w:r>
      <w:r w:rsidRPr="008F5794">
        <w:rPr>
          <w:rFonts w:ascii="Arial" w:eastAsia="Times New Roman" w:hAnsi="Arial" w:hint="eastAsia"/>
          <w:color w:val="000000"/>
          <w:rtl/>
        </w:rPr>
        <w:t>קידום</w:t>
      </w:r>
      <w:r w:rsidRPr="008F5794">
        <w:rPr>
          <w:rFonts w:ascii="Arial" w:eastAsia="Times New Roman" w:hAnsi="Arial"/>
          <w:color w:val="000000"/>
          <w:rtl/>
        </w:rPr>
        <w:t xml:space="preserve"> </w:t>
      </w:r>
      <w:r w:rsidRPr="008F5794">
        <w:rPr>
          <w:rFonts w:ascii="Arial" w:eastAsia="Times New Roman" w:hAnsi="Arial" w:hint="eastAsia"/>
          <w:color w:val="000000"/>
          <w:rtl/>
        </w:rPr>
        <w:t>ו</w:t>
      </w:r>
      <w:r w:rsidRPr="008F5794">
        <w:rPr>
          <w:rFonts w:ascii="Arial" w:eastAsia="Times New Roman" w:hAnsi="Arial" w:hint="cs"/>
          <w:color w:val="000000"/>
          <w:rtl/>
        </w:rPr>
        <w:t>ה</w:t>
      </w:r>
      <w:r w:rsidRPr="008F5794">
        <w:rPr>
          <w:rFonts w:ascii="Arial" w:eastAsia="Times New Roman" w:hAnsi="Arial" w:hint="eastAsia"/>
          <w:color w:val="000000"/>
          <w:rtl/>
        </w:rPr>
        <w:t>שיווק</w:t>
      </w:r>
      <w:r w:rsidRPr="008F5794">
        <w:rPr>
          <w:rFonts w:ascii="Arial" w:eastAsia="Times New Roman" w:hAnsi="Arial"/>
          <w:color w:val="000000"/>
          <w:rtl/>
        </w:rPr>
        <w:t xml:space="preserve"> </w:t>
      </w:r>
      <w:r w:rsidRPr="008F5794">
        <w:rPr>
          <w:rFonts w:ascii="Arial" w:eastAsia="Times New Roman" w:hAnsi="Arial" w:hint="cs"/>
          <w:color w:val="000000"/>
          <w:rtl/>
        </w:rPr>
        <w:t xml:space="preserve">של </w:t>
      </w:r>
      <w:r w:rsidRPr="008F5794">
        <w:rPr>
          <w:rFonts w:ascii="Arial" w:eastAsia="Times New Roman" w:hAnsi="Arial" w:hint="eastAsia"/>
          <w:color w:val="000000"/>
          <w:rtl/>
        </w:rPr>
        <w:t>הפרויקטים</w:t>
      </w:r>
      <w:r w:rsidRPr="008F5794">
        <w:rPr>
          <w:rFonts w:ascii="Arial" w:eastAsia="Times New Roman" w:hAnsi="Arial"/>
          <w:color w:val="000000"/>
          <w:rtl/>
        </w:rPr>
        <w:t xml:space="preserve"> </w:t>
      </w:r>
      <w:r w:rsidRPr="008F5794">
        <w:rPr>
          <w:rFonts w:ascii="Arial" w:eastAsia="Times New Roman" w:hAnsi="Arial" w:hint="eastAsia"/>
          <w:color w:val="000000"/>
          <w:rtl/>
        </w:rPr>
        <w:t>תסייע</w:t>
      </w:r>
      <w:r w:rsidRPr="008F5794">
        <w:rPr>
          <w:rFonts w:ascii="Arial" w:eastAsia="Times New Roman" w:hAnsi="Arial"/>
          <w:color w:val="000000"/>
          <w:rtl/>
        </w:rPr>
        <w:t xml:space="preserve"> </w:t>
      </w:r>
      <w:r w:rsidRPr="008F5794">
        <w:rPr>
          <w:rFonts w:ascii="Arial" w:eastAsia="Times New Roman" w:hAnsi="Arial" w:hint="eastAsia"/>
          <w:color w:val="000000"/>
          <w:rtl/>
        </w:rPr>
        <w:t>למאמצים</w:t>
      </w:r>
      <w:r w:rsidRPr="008F5794">
        <w:rPr>
          <w:rFonts w:ascii="Arial" w:eastAsia="Times New Roman" w:hAnsi="Arial"/>
          <w:color w:val="000000"/>
          <w:rtl/>
        </w:rPr>
        <w:t xml:space="preserve"> </w:t>
      </w:r>
      <w:r w:rsidRPr="008F5794">
        <w:rPr>
          <w:rFonts w:ascii="Arial" w:eastAsia="Times New Roman" w:hAnsi="Arial" w:hint="eastAsia"/>
          <w:color w:val="000000"/>
          <w:rtl/>
        </w:rPr>
        <w:t>של</w:t>
      </w:r>
      <w:r w:rsidRPr="008F5794">
        <w:rPr>
          <w:rFonts w:ascii="Arial" w:eastAsia="Times New Roman" w:hAnsi="Arial"/>
          <w:color w:val="000000"/>
          <w:rtl/>
        </w:rPr>
        <w:t xml:space="preserve"> </w:t>
      </w:r>
      <w:r w:rsidRPr="008F5794">
        <w:rPr>
          <w:rFonts w:ascii="Arial" w:eastAsia="Times New Roman" w:hAnsi="Arial" w:hint="eastAsia"/>
          <w:color w:val="000000"/>
          <w:rtl/>
        </w:rPr>
        <w:t>משרד</w:t>
      </w:r>
      <w:r w:rsidRPr="008F5794">
        <w:rPr>
          <w:rFonts w:ascii="Arial" w:eastAsia="Times New Roman" w:hAnsi="Arial" w:hint="cs"/>
          <w:color w:val="000000"/>
          <w:rtl/>
        </w:rPr>
        <w:t xml:space="preserve"> הבינוי</w:t>
      </w:r>
      <w:r w:rsidRPr="008F5794">
        <w:rPr>
          <w:rFonts w:ascii="Arial" w:eastAsia="Times New Roman" w:hAnsi="Arial"/>
          <w:color w:val="000000"/>
          <w:rtl/>
        </w:rPr>
        <w:t xml:space="preserve"> </w:t>
      </w:r>
      <w:r w:rsidRPr="008F5794">
        <w:rPr>
          <w:rFonts w:ascii="Arial" w:eastAsia="Times New Roman" w:hAnsi="Arial" w:hint="eastAsia"/>
          <w:color w:val="000000"/>
          <w:rtl/>
        </w:rPr>
        <w:t>ושל</w:t>
      </w:r>
      <w:r w:rsidRPr="008F5794">
        <w:rPr>
          <w:rFonts w:ascii="Arial" w:eastAsia="Times New Roman" w:hAnsi="Arial"/>
          <w:color w:val="000000"/>
          <w:rtl/>
        </w:rPr>
        <w:t xml:space="preserve"> </w:t>
      </w:r>
      <w:r w:rsidRPr="008F5794">
        <w:rPr>
          <w:rFonts w:ascii="Arial" w:eastAsia="Times New Roman" w:hAnsi="Arial" w:hint="eastAsia"/>
          <w:color w:val="000000"/>
          <w:rtl/>
        </w:rPr>
        <w:t>רמ״י</w:t>
      </w:r>
      <w:r w:rsidRPr="008F5794">
        <w:rPr>
          <w:rFonts w:ascii="Arial" w:eastAsia="Times New Roman" w:hAnsi="Arial"/>
          <w:color w:val="000000"/>
          <w:rtl/>
        </w:rPr>
        <w:t xml:space="preserve"> </w:t>
      </w:r>
      <w:r w:rsidRPr="008F5794">
        <w:rPr>
          <w:rFonts w:ascii="Arial" w:eastAsia="Times New Roman" w:hAnsi="Arial" w:hint="eastAsia"/>
          <w:color w:val="000000"/>
          <w:rtl/>
        </w:rPr>
        <w:t>לתת</w:t>
      </w:r>
      <w:r w:rsidRPr="008F5794">
        <w:rPr>
          <w:rFonts w:ascii="Arial" w:eastAsia="Times New Roman" w:hAnsi="Arial"/>
          <w:color w:val="000000"/>
          <w:rtl/>
        </w:rPr>
        <w:t xml:space="preserve"> </w:t>
      </w:r>
      <w:r w:rsidRPr="008F5794">
        <w:rPr>
          <w:rFonts w:ascii="Arial" w:eastAsia="Times New Roman" w:hAnsi="Arial" w:hint="cs"/>
          <w:color w:val="000000"/>
          <w:rtl/>
        </w:rPr>
        <w:t>את ה</w:t>
      </w:r>
      <w:r w:rsidRPr="008F5794">
        <w:rPr>
          <w:rFonts w:ascii="Arial" w:eastAsia="Times New Roman" w:hAnsi="Arial" w:hint="eastAsia"/>
          <w:color w:val="000000"/>
          <w:rtl/>
        </w:rPr>
        <w:t>מענה</w:t>
      </w:r>
      <w:r w:rsidRPr="008F5794">
        <w:rPr>
          <w:rFonts w:ascii="Arial" w:eastAsia="Times New Roman" w:hAnsi="Arial" w:hint="cs"/>
          <w:color w:val="000000"/>
          <w:rtl/>
        </w:rPr>
        <w:t xml:space="preserve"> הנדרש</w:t>
      </w:r>
      <w:r w:rsidRPr="008F5794">
        <w:rPr>
          <w:rFonts w:ascii="Arial" w:eastAsia="Times New Roman" w:hAnsi="Arial"/>
          <w:color w:val="000000"/>
          <w:rtl/>
        </w:rPr>
        <w:t>.</w:t>
      </w:r>
    </w:p>
    <w:p w14:paraId="22716A14" w14:textId="77777777" w:rsidR="00F33E9D" w:rsidRPr="009B0FCF" w:rsidRDefault="00F33E9D" w:rsidP="00DB499A">
      <w:pPr>
        <w:pStyle w:val="71f5"/>
        <w:rPr>
          <w:rtl/>
        </w:rPr>
      </w:pPr>
      <w:r w:rsidRPr="009A7BED">
        <w:rPr>
          <w:rFonts w:hint="cs"/>
          <w:rtl/>
        </w:rPr>
        <w:t xml:space="preserve">מומלץ כי רמ"י ומשרד הבינוי </w:t>
      </w:r>
      <w:r w:rsidRPr="009A7BED">
        <w:rPr>
          <w:rtl/>
        </w:rPr>
        <w:t xml:space="preserve">יעקבו אחר </w:t>
      </w:r>
      <w:r>
        <w:rPr>
          <w:rFonts w:hint="cs"/>
          <w:rtl/>
        </w:rPr>
        <w:t xml:space="preserve">מידת </w:t>
      </w:r>
      <w:r w:rsidRPr="009A7BED">
        <w:rPr>
          <w:rFonts w:hint="eastAsia"/>
          <w:rtl/>
        </w:rPr>
        <w:t>העמידה</w:t>
      </w:r>
      <w:r w:rsidRPr="009A7BED">
        <w:rPr>
          <w:rtl/>
        </w:rPr>
        <w:t xml:space="preserve"> בקצב </w:t>
      </w:r>
      <w:r w:rsidRPr="009A7BED">
        <w:rPr>
          <w:rFonts w:hint="eastAsia"/>
          <w:rtl/>
        </w:rPr>
        <w:t>שיווק</w:t>
      </w:r>
      <w:r w:rsidRPr="009A7BED">
        <w:rPr>
          <w:rtl/>
        </w:rPr>
        <w:t xml:space="preserve"> </w:t>
      </w:r>
      <w:r w:rsidRPr="009A7BED">
        <w:rPr>
          <w:rFonts w:hint="eastAsia"/>
          <w:rtl/>
        </w:rPr>
        <w:t>יח</w:t>
      </w:r>
      <w:r>
        <w:rPr>
          <w:rFonts w:hint="cs"/>
          <w:rtl/>
        </w:rPr>
        <w:t>ה</w:t>
      </w:r>
      <w:r w:rsidRPr="009A7BED">
        <w:rPr>
          <w:rtl/>
        </w:rPr>
        <w:t xml:space="preserve">"ד </w:t>
      </w:r>
      <w:r w:rsidRPr="009A7BED">
        <w:rPr>
          <w:rFonts w:hint="eastAsia"/>
          <w:rtl/>
        </w:rPr>
        <w:t>בהתאם</w:t>
      </w:r>
      <w:r w:rsidRPr="009A7BED">
        <w:rPr>
          <w:rtl/>
        </w:rPr>
        <w:t xml:space="preserve"> להחלטת הממשלה על הסכמי הגג,</w:t>
      </w:r>
      <w:r w:rsidRPr="009A7BED">
        <w:rPr>
          <w:rFonts w:hint="cs"/>
          <w:rtl/>
        </w:rPr>
        <w:t xml:space="preserve"> יקיימו במשותף עבודת מטה לצורך מיפוי החסמים והקשיים בכל אחד משלבי מימוש הסכמי הגג ויפעלו יחד לגיבוש הצעות להסרת אותם חסמים ו</w:t>
      </w:r>
      <w:r>
        <w:rPr>
          <w:rFonts w:hint="cs"/>
          <w:rtl/>
        </w:rPr>
        <w:t>ל</w:t>
      </w:r>
      <w:r w:rsidRPr="009A7BED">
        <w:rPr>
          <w:rFonts w:hint="cs"/>
          <w:rtl/>
        </w:rPr>
        <w:t>התגברות על אותם קשיים. מומלץ כי בתהליך זה ישותפו נציגי הגורמים הרלוונטיים לנושא, לרבות משרדי הממשלה והחברות הממשלתיות שנדרשת מעורבותן</w:t>
      </w:r>
      <w:r>
        <w:rPr>
          <w:rFonts w:hint="cs"/>
          <w:rtl/>
        </w:rPr>
        <w:t xml:space="preserve"> בכך</w:t>
      </w:r>
      <w:r w:rsidRPr="009A7BED">
        <w:rPr>
          <w:rFonts w:hint="cs"/>
          <w:rtl/>
        </w:rPr>
        <w:t xml:space="preserve"> ונציגי השלטון המקומי. מומלץ כי תוצרי התהליך יוצגו לשר הבינוי, יידונו במועצה ובמידת הצורך יגובשו פתרונות חלופיים לקידום יעדי הממשלה </w:t>
      </w:r>
      <w:r>
        <w:rPr>
          <w:rFonts w:hint="cs"/>
          <w:rtl/>
        </w:rPr>
        <w:t>למתן מענה ל</w:t>
      </w:r>
      <w:r w:rsidRPr="009A7BED">
        <w:rPr>
          <w:rFonts w:hint="cs"/>
          <w:rtl/>
        </w:rPr>
        <w:t>צ</w:t>
      </w:r>
      <w:r>
        <w:rPr>
          <w:rFonts w:hint="cs"/>
          <w:rtl/>
        </w:rPr>
        <w:t>ו</w:t>
      </w:r>
      <w:r w:rsidRPr="009A7BED">
        <w:rPr>
          <w:rFonts w:hint="cs"/>
          <w:rtl/>
        </w:rPr>
        <w:t>רכי הדיור.</w:t>
      </w:r>
      <w:r>
        <w:rPr>
          <w:rFonts w:hint="cs"/>
          <w:rtl/>
        </w:rPr>
        <w:t xml:space="preserve"> </w:t>
      </w:r>
    </w:p>
    <w:p w14:paraId="197E6E18" w14:textId="010FE441" w:rsidR="00F33E9D" w:rsidRDefault="00F33E9D" w:rsidP="00C94D7A">
      <w:pPr>
        <w:pStyle w:val="71f5"/>
        <w:rPr>
          <w:rtl/>
        </w:rPr>
      </w:pPr>
      <w:r w:rsidRPr="009A7BED">
        <w:rPr>
          <w:rFonts w:hint="eastAsia"/>
          <w:rtl/>
        </w:rPr>
        <w:t>מומלץ</w:t>
      </w:r>
      <w:r w:rsidRPr="009A7BED">
        <w:rPr>
          <w:rtl/>
        </w:rPr>
        <w:t xml:space="preserve"> </w:t>
      </w:r>
      <w:r w:rsidRPr="009A7BED">
        <w:rPr>
          <w:rFonts w:hint="eastAsia"/>
          <w:rtl/>
        </w:rPr>
        <w:t>גם</w:t>
      </w:r>
      <w:r w:rsidRPr="009A7BED">
        <w:rPr>
          <w:rtl/>
        </w:rPr>
        <w:t xml:space="preserve"> </w:t>
      </w:r>
      <w:r w:rsidRPr="009A7BED">
        <w:rPr>
          <w:rFonts w:hint="eastAsia"/>
          <w:rtl/>
        </w:rPr>
        <w:t>כי</w:t>
      </w:r>
      <w:r w:rsidRPr="009A7BED">
        <w:rPr>
          <w:rtl/>
        </w:rPr>
        <w:t xml:space="preserve"> </w:t>
      </w:r>
      <w:r w:rsidRPr="009A7BED">
        <w:rPr>
          <w:rFonts w:hint="eastAsia"/>
          <w:rtl/>
        </w:rPr>
        <w:t>במסגרת</w:t>
      </w:r>
      <w:r w:rsidRPr="009A7BED">
        <w:rPr>
          <w:rtl/>
        </w:rPr>
        <w:t xml:space="preserve"> </w:t>
      </w:r>
      <w:r w:rsidRPr="009A7BED">
        <w:rPr>
          <w:rFonts w:hint="eastAsia"/>
          <w:rtl/>
        </w:rPr>
        <w:t>תהליך</w:t>
      </w:r>
      <w:r w:rsidRPr="009A7BED">
        <w:rPr>
          <w:rtl/>
        </w:rPr>
        <w:t xml:space="preserve"> </w:t>
      </w:r>
      <w:r w:rsidRPr="009A7BED">
        <w:rPr>
          <w:rFonts w:hint="eastAsia"/>
          <w:rtl/>
        </w:rPr>
        <w:t>קבלת</w:t>
      </w:r>
      <w:r w:rsidRPr="009A7BED">
        <w:rPr>
          <w:rtl/>
        </w:rPr>
        <w:t xml:space="preserve"> </w:t>
      </w:r>
      <w:r>
        <w:rPr>
          <w:rFonts w:hint="cs"/>
          <w:rtl/>
        </w:rPr>
        <w:t>ההחלטות</w:t>
      </w:r>
      <w:r w:rsidRPr="009A7BED">
        <w:rPr>
          <w:rtl/>
        </w:rPr>
        <w:t xml:space="preserve"> </w:t>
      </w:r>
      <w:r w:rsidRPr="009A7BED">
        <w:rPr>
          <w:rFonts w:hint="eastAsia"/>
          <w:rtl/>
        </w:rPr>
        <w:t>בעניין</w:t>
      </w:r>
      <w:r w:rsidRPr="009A7BED">
        <w:rPr>
          <w:rtl/>
        </w:rPr>
        <w:t xml:space="preserve"> </w:t>
      </w:r>
      <w:r w:rsidRPr="009A7BED">
        <w:rPr>
          <w:rFonts w:hint="eastAsia"/>
          <w:rtl/>
        </w:rPr>
        <w:t>היקף</w:t>
      </w:r>
      <w:r w:rsidRPr="009A7BED">
        <w:rPr>
          <w:rtl/>
        </w:rPr>
        <w:t xml:space="preserve"> </w:t>
      </w:r>
      <w:r w:rsidRPr="009A7BED">
        <w:rPr>
          <w:rFonts w:hint="eastAsia"/>
          <w:rtl/>
        </w:rPr>
        <w:t>יח</w:t>
      </w:r>
      <w:r w:rsidRPr="009A7BED">
        <w:rPr>
          <w:rtl/>
        </w:rPr>
        <w:t xml:space="preserve">"ד </w:t>
      </w:r>
      <w:r w:rsidRPr="009A7BED">
        <w:rPr>
          <w:rFonts w:hint="eastAsia"/>
          <w:rtl/>
        </w:rPr>
        <w:t>שיש</w:t>
      </w:r>
      <w:r w:rsidRPr="009A7BED">
        <w:rPr>
          <w:rtl/>
        </w:rPr>
        <w:t xml:space="preserve"> </w:t>
      </w:r>
      <w:r w:rsidRPr="009A7BED">
        <w:rPr>
          <w:rFonts w:hint="eastAsia"/>
          <w:rtl/>
        </w:rPr>
        <w:t>לקדם</w:t>
      </w:r>
      <w:r w:rsidRPr="009A7BED">
        <w:rPr>
          <w:rtl/>
        </w:rPr>
        <w:t xml:space="preserve"> </w:t>
      </w:r>
      <w:r w:rsidRPr="009A7BED">
        <w:rPr>
          <w:rFonts w:hint="eastAsia"/>
          <w:rtl/>
        </w:rPr>
        <w:t>בכל</w:t>
      </w:r>
      <w:r w:rsidRPr="009A7BED">
        <w:rPr>
          <w:rtl/>
        </w:rPr>
        <w:t xml:space="preserve"> </w:t>
      </w:r>
      <w:r w:rsidRPr="009A7BED">
        <w:rPr>
          <w:rFonts w:hint="eastAsia"/>
          <w:rtl/>
        </w:rPr>
        <w:t>רשות</w:t>
      </w:r>
      <w:r w:rsidRPr="009A7BED">
        <w:rPr>
          <w:rtl/>
        </w:rPr>
        <w:t xml:space="preserve"> </w:t>
      </w:r>
      <w:r>
        <w:rPr>
          <w:rFonts w:hint="cs"/>
          <w:rtl/>
        </w:rPr>
        <w:t>ינותחו</w:t>
      </w:r>
      <w:r w:rsidRPr="009A7BED">
        <w:rPr>
          <w:rtl/>
        </w:rPr>
        <w:t xml:space="preserve"> </w:t>
      </w:r>
      <w:r w:rsidRPr="009A7BED">
        <w:rPr>
          <w:rFonts w:hint="eastAsia"/>
          <w:rtl/>
        </w:rPr>
        <w:t>עלויות</w:t>
      </w:r>
      <w:r w:rsidRPr="009A7BED">
        <w:rPr>
          <w:rtl/>
        </w:rPr>
        <w:t xml:space="preserve"> </w:t>
      </w:r>
      <w:r w:rsidRPr="009A7BED">
        <w:rPr>
          <w:rFonts w:hint="eastAsia"/>
          <w:rtl/>
        </w:rPr>
        <w:t>הפיתוח</w:t>
      </w:r>
      <w:r w:rsidRPr="009A7BED">
        <w:rPr>
          <w:rtl/>
        </w:rPr>
        <w:t xml:space="preserve"> </w:t>
      </w:r>
      <w:r w:rsidRPr="009A7BED">
        <w:rPr>
          <w:rFonts w:hint="eastAsia"/>
          <w:rtl/>
        </w:rPr>
        <w:t>ושווי</w:t>
      </w:r>
      <w:r w:rsidRPr="009A7BED">
        <w:rPr>
          <w:rtl/>
        </w:rPr>
        <w:t xml:space="preserve"> </w:t>
      </w:r>
      <w:r w:rsidRPr="009A7BED">
        <w:rPr>
          <w:rFonts w:hint="eastAsia"/>
          <w:rtl/>
        </w:rPr>
        <w:t>הקרקעות</w:t>
      </w:r>
      <w:r w:rsidRPr="009A7BED">
        <w:rPr>
          <w:rtl/>
        </w:rPr>
        <w:t xml:space="preserve"> </w:t>
      </w:r>
      <w:r w:rsidRPr="009A7BED">
        <w:rPr>
          <w:rFonts w:hint="eastAsia"/>
          <w:rtl/>
        </w:rPr>
        <w:t>ותיבחן</w:t>
      </w:r>
      <w:r w:rsidRPr="009A7BED">
        <w:rPr>
          <w:rtl/>
        </w:rPr>
        <w:t xml:space="preserve"> </w:t>
      </w:r>
      <w:r w:rsidRPr="009A7BED">
        <w:rPr>
          <w:rFonts w:hint="eastAsia"/>
          <w:rtl/>
        </w:rPr>
        <w:t>האפשרות</w:t>
      </w:r>
      <w:r w:rsidRPr="009A7BED">
        <w:rPr>
          <w:rtl/>
        </w:rPr>
        <w:t xml:space="preserve"> </w:t>
      </w:r>
      <w:r w:rsidRPr="009A7BED">
        <w:rPr>
          <w:rFonts w:hint="eastAsia"/>
          <w:rtl/>
        </w:rPr>
        <w:t>לקביעת</w:t>
      </w:r>
      <w:r w:rsidRPr="009A7BED">
        <w:rPr>
          <w:rtl/>
        </w:rPr>
        <w:t xml:space="preserve"> </w:t>
      </w:r>
      <w:r w:rsidRPr="009A7BED">
        <w:rPr>
          <w:rFonts w:hint="eastAsia"/>
          <w:rtl/>
        </w:rPr>
        <w:t>עלות</w:t>
      </w:r>
      <w:r w:rsidRPr="009A7BED">
        <w:rPr>
          <w:rtl/>
        </w:rPr>
        <w:t xml:space="preserve"> </w:t>
      </w:r>
      <w:r w:rsidRPr="009A7BED">
        <w:rPr>
          <w:rFonts w:hint="eastAsia"/>
          <w:rtl/>
        </w:rPr>
        <w:t>בסיס</w:t>
      </w:r>
      <w:r w:rsidRPr="009A7BED">
        <w:rPr>
          <w:rtl/>
        </w:rPr>
        <w:t xml:space="preserve"> </w:t>
      </w:r>
      <w:r w:rsidRPr="009A7BED">
        <w:rPr>
          <w:rFonts w:hint="eastAsia"/>
          <w:rtl/>
        </w:rPr>
        <w:t>לפיתוח</w:t>
      </w:r>
      <w:r w:rsidRPr="009A7BED">
        <w:rPr>
          <w:rtl/>
        </w:rPr>
        <w:t xml:space="preserve"> </w:t>
      </w:r>
      <w:r>
        <w:rPr>
          <w:rFonts w:hint="cs"/>
          <w:rtl/>
        </w:rPr>
        <w:t>בין היתר בהתבסס על</w:t>
      </w:r>
      <w:r w:rsidRPr="009A7BED">
        <w:rPr>
          <w:rtl/>
        </w:rPr>
        <w:t xml:space="preserve"> </w:t>
      </w:r>
      <w:r w:rsidRPr="009A7BED">
        <w:rPr>
          <w:rFonts w:hint="eastAsia"/>
          <w:rtl/>
        </w:rPr>
        <w:t>מקדמים</w:t>
      </w:r>
      <w:r w:rsidRPr="009A7BED">
        <w:rPr>
          <w:rtl/>
        </w:rPr>
        <w:t xml:space="preserve"> </w:t>
      </w:r>
      <w:r>
        <w:rPr>
          <w:rFonts w:hint="cs"/>
          <w:rtl/>
        </w:rPr>
        <w:t>הנוגעים ל</w:t>
      </w:r>
      <w:r w:rsidRPr="009A7BED">
        <w:rPr>
          <w:rFonts w:hint="eastAsia"/>
          <w:rtl/>
        </w:rPr>
        <w:t>תנאי</w:t>
      </w:r>
      <w:r w:rsidRPr="009A7BED">
        <w:rPr>
          <w:rtl/>
        </w:rPr>
        <w:t xml:space="preserve"> </w:t>
      </w:r>
      <w:r w:rsidRPr="009A7BED">
        <w:rPr>
          <w:rFonts w:hint="eastAsia"/>
          <w:rtl/>
        </w:rPr>
        <w:t>הקרקע</w:t>
      </w:r>
      <w:r w:rsidRPr="009A7BED">
        <w:rPr>
          <w:rtl/>
        </w:rPr>
        <w:t xml:space="preserve"> </w:t>
      </w:r>
      <w:r w:rsidRPr="009A7BED">
        <w:rPr>
          <w:rFonts w:hint="eastAsia"/>
          <w:rtl/>
        </w:rPr>
        <w:t>ו</w:t>
      </w:r>
      <w:r>
        <w:rPr>
          <w:rFonts w:hint="cs"/>
          <w:rtl/>
        </w:rPr>
        <w:t xml:space="preserve">על </w:t>
      </w:r>
      <w:r w:rsidRPr="009A7BED">
        <w:rPr>
          <w:rFonts w:hint="eastAsia"/>
          <w:rtl/>
        </w:rPr>
        <w:t>משתנים</w:t>
      </w:r>
      <w:r w:rsidRPr="009A7BED">
        <w:rPr>
          <w:rtl/>
        </w:rPr>
        <w:t xml:space="preserve"> </w:t>
      </w:r>
      <w:r w:rsidRPr="009A7BED">
        <w:rPr>
          <w:rFonts w:hint="eastAsia"/>
          <w:rtl/>
        </w:rPr>
        <w:t>רלוונטיים</w:t>
      </w:r>
      <w:r w:rsidRPr="009A7BED">
        <w:rPr>
          <w:rtl/>
        </w:rPr>
        <w:t xml:space="preserve"> </w:t>
      </w:r>
      <w:r w:rsidRPr="009A7BED">
        <w:rPr>
          <w:rFonts w:hint="eastAsia"/>
          <w:rtl/>
        </w:rPr>
        <w:t>אחרים</w:t>
      </w:r>
      <w:r w:rsidRPr="009A7BED">
        <w:rPr>
          <w:rtl/>
        </w:rPr>
        <w:t>.</w:t>
      </w:r>
    </w:p>
    <w:p w14:paraId="32545209" w14:textId="77777777" w:rsidR="00B91329" w:rsidRDefault="00B91329" w:rsidP="00B91329">
      <w:pPr>
        <w:pStyle w:val="7120"/>
        <w:rPr>
          <w:rtl/>
        </w:rPr>
      </w:pPr>
    </w:p>
    <w:p w14:paraId="7DAF4B29" w14:textId="77777777" w:rsidR="00B91329" w:rsidRDefault="00B91329">
      <w:pPr>
        <w:bidi w:val="0"/>
        <w:spacing w:after="200" w:line="276" w:lineRule="auto"/>
        <w:rPr>
          <w:rFonts w:ascii="Tahoma" w:hAnsi="Tahoma" w:cs="Tahoma"/>
          <w:b/>
          <w:bCs/>
          <w:color w:val="00305F"/>
          <w:sz w:val="40"/>
          <w:szCs w:val="34"/>
          <w:rtl/>
        </w:rPr>
      </w:pPr>
      <w:r>
        <w:rPr>
          <w:rtl/>
        </w:rPr>
        <w:br w:type="page"/>
      </w:r>
    </w:p>
    <w:p w14:paraId="1AED7C78" w14:textId="67DBFE15" w:rsidR="000A4591" w:rsidRDefault="000A4591" w:rsidP="00B91329">
      <w:pPr>
        <w:pStyle w:val="7120"/>
        <w:rPr>
          <w:rtl/>
        </w:rPr>
      </w:pPr>
      <w:r>
        <w:rPr>
          <w:rFonts w:hint="cs"/>
          <w:rtl/>
        </w:rPr>
        <w:lastRenderedPageBreak/>
        <w:t>ההשפעות של הסכמי הגג על מצבן הפיננסי של הרשויות המקומיות</w:t>
      </w:r>
    </w:p>
    <w:p w14:paraId="046A4297" w14:textId="77777777" w:rsidR="000A4591" w:rsidRDefault="000A4591" w:rsidP="00B91329">
      <w:pPr>
        <w:pStyle w:val="7190"/>
        <w:rPr>
          <w:rtl/>
        </w:rPr>
      </w:pPr>
      <w:r>
        <w:rPr>
          <w:rFonts w:hint="cs"/>
          <w:rtl/>
        </w:rPr>
        <w:t xml:space="preserve">ככלל, בהסכמי הגג נכלל גם שיווק של קרקעות המיועדות לבניית מבנים המשמשים למסחר ולתעסוקה (להלן - קרקעות למסחר ותעסוקה), ובכך יכול להינתן מענה לצורכי התושבים בתחום זה, בד בבד עם הגדלתם של מקורות ההכנסה של הרשויות המקומיות מארנונה על מבנים אלה. </w:t>
      </w:r>
    </w:p>
    <w:p w14:paraId="5B3EBF31" w14:textId="77777777" w:rsidR="000A4591" w:rsidRDefault="000A4591" w:rsidP="00B91329">
      <w:pPr>
        <w:pStyle w:val="7190"/>
        <w:rPr>
          <w:rtl/>
        </w:rPr>
      </w:pPr>
      <w:r>
        <w:rPr>
          <w:rFonts w:hint="cs"/>
          <w:rtl/>
        </w:rPr>
        <w:t>לפי דוח בנק ישראל משנת 2018</w:t>
      </w:r>
      <w:r>
        <w:rPr>
          <w:rStyle w:val="a9"/>
          <w:rtl/>
        </w:rPr>
        <w:footnoteReference w:id="84"/>
      </w:r>
      <w:r>
        <w:rPr>
          <w:rFonts w:hint="cs"/>
          <w:rtl/>
        </w:rPr>
        <w:t>, הרשויות המקומיות מעוניינות למשוך לתחומיהן עסקים רבים ככל האפשר ואינן ששות לפתח קרקעות למגורים, בין היתר בגלל היבטים הקשורים למבנה המיסוי המוניציפלי: המרכיב</w:t>
      </w:r>
      <w:r w:rsidRPr="0015409E">
        <w:rPr>
          <w:rtl/>
        </w:rPr>
        <w:t xml:space="preserve"> העיקרי בהכנסות העצמיות</w:t>
      </w:r>
      <w:r>
        <w:rPr>
          <w:rFonts w:hint="cs"/>
          <w:rtl/>
        </w:rPr>
        <w:t xml:space="preserve"> של הרשות</w:t>
      </w:r>
      <w:r>
        <w:rPr>
          <w:rStyle w:val="a9"/>
          <w:rtl/>
        </w:rPr>
        <w:footnoteReference w:id="85"/>
      </w:r>
      <w:r>
        <w:rPr>
          <w:rFonts w:hint="cs"/>
          <w:rtl/>
        </w:rPr>
        <w:t xml:space="preserve"> הוא</w:t>
      </w:r>
      <w:r w:rsidRPr="0015409E">
        <w:rPr>
          <w:rtl/>
        </w:rPr>
        <w:t xml:space="preserve"> תשלומי הארנונה.</w:t>
      </w:r>
      <w:r>
        <w:rPr>
          <w:rFonts w:hint="cs"/>
          <w:rtl/>
        </w:rPr>
        <w:t xml:space="preserve"> סכום הארנונה המוטלת על יח"ד קטן מזה המוטל על נכסים המשמשים למסחר ותעסוקה (להלן - ארנונה עסקית)</w:t>
      </w:r>
      <w:r>
        <w:rPr>
          <w:rStyle w:val="a9"/>
          <w:sz w:val="24"/>
          <w:rtl/>
        </w:rPr>
        <w:footnoteReference w:id="86"/>
      </w:r>
      <w:r>
        <w:rPr>
          <w:rFonts w:hint="cs"/>
          <w:rtl/>
        </w:rPr>
        <w:t xml:space="preserve"> באותו השטח, וסכום הארנונה הממוצע המוטלת על יח"ד קטן מההוצאה של הרשות בגין אותה יח"ד והדיירים בה, בין היתר בגין שירותים כמו חינוך, רווחה, תרבות, תחבורה ותברואה שמקבלים התושבים מהרשות המקומית. כמו כן, מהבחינה הפיננסית יש עדיפות לארנונה מעסקים, שכן </w:t>
      </w:r>
      <w:r w:rsidRPr="0015409E">
        <w:rPr>
          <w:rtl/>
        </w:rPr>
        <w:t>כ־20% מהתושבים זכאים לפטור או להנחה בארנונה</w:t>
      </w:r>
      <w:r>
        <w:rPr>
          <w:rFonts w:hint="cs"/>
          <w:rtl/>
        </w:rPr>
        <w:t xml:space="preserve"> למגורים</w:t>
      </w:r>
      <w:r>
        <w:rPr>
          <w:rStyle w:val="a9"/>
          <w:rtl/>
        </w:rPr>
        <w:footnoteReference w:id="87"/>
      </w:r>
      <w:r w:rsidRPr="0015409E">
        <w:rPr>
          <w:rtl/>
        </w:rPr>
        <w:t xml:space="preserve">, </w:t>
      </w:r>
      <w:r>
        <w:rPr>
          <w:rFonts w:hint="cs"/>
          <w:rtl/>
        </w:rPr>
        <w:t xml:space="preserve">ולא כך </w:t>
      </w:r>
      <w:r>
        <w:rPr>
          <w:rtl/>
        </w:rPr>
        <w:t>בארנונ</w:t>
      </w:r>
      <w:r>
        <w:rPr>
          <w:rFonts w:hint="cs"/>
          <w:rtl/>
        </w:rPr>
        <w:t>ה עסקית, ובפועל ש</w:t>
      </w:r>
      <w:r w:rsidRPr="0015409E">
        <w:rPr>
          <w:rtl/>
        </w:rPr>
        <w:t xml:space="preserve">יעורי הגבייה של הארנונה העסקית </w:t>
      </w:r>
      <w:r>
        <w:rPr>
          <w:rFonts w:hint="cs"/>
          <w:rtl/>
        </w:rPr>
        <w:t>גדולים</w:t>
      </w:r>
      <w:r w:rsidRPr="0015409E">
        <w:rPr>
          <w:rtl/>
        </w:rPr>
        <w:t xml:space="preserve"> מאלה של הארנונה למגורים. </w:t>
      </w:r>
      <w:r>
        <w:rPr>
          <w:rFonts w:hint="cs"/>
          <w:rtl/>
        </w:rPr>
        <w:t>מאחר ש</w:t>
      </w:r>
      <w:r w:rsidRPr="0015409E">
        <w:rPr>
          <w:rtl/>
        </w:rPr>
        <w:t xml:space="preserve">עסקים אינם צורכים את מרבית השירותים המוניציפליים אך משלמים ארנונה גבוהה יחסית, הם </w:t>
      </w:r>
      <w:r>
        <w:rPr>
          <w:rFonts w:hint="cs"/>
          <w:rtl/>
        </w:rPr>
        <w:t>מאפשרים</w:t>
      </w:r>
      <w:r w:rsidRPr="0015409E">
        <w:rPr>
          <w:rtl/>
        </w:rPr>
        <w:t xml:space="preserve"> ״סבסוד צולב״ של השירותים הניתנים למשקי הבית. </w:t>
      </w:r>
    </w:p>
    <w:p w14:paraId="69B4A17D" w14:textId="1D267183" w:rsidR="000A4591" w:rsidRPr="002C6E61" w:rsidRDefault="000A4591" w:rsidP="00B91329">
      <w:pPr>
        <w:pStyle w:val="7190"/>
        <w:rPr>
          <w:rtl/>
        </w:rPr>
      </w:pPr>
      <w:r>
        <w:rPr>
          <w:rFonts w:hint="cs"/>
          <w:rtl/>
        </w:rPr>
        <w:t xml:space="preserve">לפי הערכה של </w:t>
      </w:r>
      <w:r w:rsidRPr="002C6E61">
        <w:rPr>
          <w:rtl/>
        </w:rPr>
        <w:t>משרד הפנים</w:t>
      </w:r>
      <w:r>
        <w:rPr>
          <w:rFonts w:hint="cs"/>
          <w:rtl/>
        </w:rPr>
        <w:t xml:space="preserve"> משנת 2020, </w:t>
      </w:r>
      <w:r w:rsidRPr="002C6E61">
        <w:rPr>
          <w:rtl/>
        </w:rPr>
        <w:t xml:space="preserve">ההכנסה הממוצעת </w:t>
      </w:r>
      <w:r>
        <w:rPr>
          <w:rFonts w:hint="cs"/>
          <w:rtl/>
        </w:rPr>
        <w:t xml:space="preserve">השוטפת </w:t>
      </w:r>
      <w:r w:rsidRPr="002C6E61">
        <w:rPr>
          <w:rtl/>
        </w:rPr>
        <w:t>של הרשות המקומית מ</w:t>
      </w:r>
      <w:r>
        <w:rPr>
          <w:rFonts w:hint="cs"/>
          <w:rtl/>
        </w:rPr>
        <w:t xml:space="preserve">ארנונה המוטלת על </w:t>
      </w:r>
      <w:r w:rsidRPr="002C6E61">
        <w:rPr>
          <w:rtl/>
        </w:rPr>
        <w:t>כל יח"ד מסתכמת ב</w:t>
      </w:r>
      <w:r>
        <w:rPr>
          <w:rFonts w:hint="cs"/>
          <w:rtl/>
        </w:rPr>
        <w:t>כ</w:t>
      </w:r>
      <w:r w:rsidRPr="002C6E61">
        <w:rPr>
          <w:rtl/>
        </w:rPr>
        <w:t>-</w:t>
      </w:r>
      <w:r>
        <w:rPr>
          <w:rFonts w:hint="cs"/>
          <w:rtl/>
        </w:rPr>
        <w:t>5,200</w:t>
      </w:r>
      <w:r w:rsidRPr="002C6E61">
        <w:rPr>
          <w:rtl/>
        </w:rPr>
        <w:t xml:space="preserve"> </w:t>
      </w:r>
      <w:r>
        <w:rPr>
          <w:rFonts w:hint="cs"/>
          <w:rtl/>
        </w:rPr>
        <w:t>ש"ח</w:t>
      </w:r>
      <w:r w:rsidRPr="002C6E61">
        <w:rPr>
          <w:rtl/>
        </w:rPr>
        <w:t xml:space="preserve"> לשנה</w:t>
      </w:r>
      <w:r>
        <w:rPr>
          <w:rFonts w:hint="cs"/>
          <w:rtl/>
        </w:rPr>
        <w:t>,</w:t>
      </w:r>
      <w:r w:rsidRPr="002C6E61">
        <w:rPr>
          <w:rtl/>
        </w:rPr>
        <w:t xml:space="preserve"> </w:t>
      </w:r>
      <w:r>
        <w:rPr>
          <w:rFonts w:hint="cs"/>
          <w:rtl/>
        </w:rPr>
        <w:t>ולעומת זאת</w:t>
      </w:r>
      <w:r w:rsidRPr="002C6E61">
        <w:rPr>
          <w:rtl/>
        </w:rPr>
        <w:t xml:space="preserve"> ההוצאה הממוצעת </w:t>
      </w:r>
      <w:r>
        <w:rPr>
          <w:rFonts w:hint="cs"/>
          <w:rtl/>
        </w:rPr>
        <w:t xml:space="preserve">השוטפת </w:t>
      </w:r>
      <w:r w:rsidRPr="002C6E61">
        <w:rPr>
          <w:rtl/>
        </w:rPr>
        <w:t xml:space="preserve">של הרשות המקומית </w:t>
      </w:r>
      <w:r>
        <w:rPr>
          <w:rFonts w:hint="cs"/>
          <w:rtl/>
        </w:rPr>
        <w:t>בגין</w:t>
      </w:r>
      <w:r w:rsidRPr="002C6E61">
        <w:rPr>
          <w:rtl/>
        </w:rPr>
        <w:t xml:space="preserve"> </w:t>
      </w:r>
      <w:r>
        <w:rPr>
          <w:rFonts w:hint="cs"/>
          <w:rtl/>
        </w:rPr>
        <w:t xml:space="preserve">השירותים שהיא מספקת לתושבי כל </w:t>
      </w:r>
      <w:r w:rsidRPr="002C6E61">
        <w:rPr>
          <w:rtl/>
        </w:rPr>
        <w:t xml:space="preserve">יח"ד היא </w:t>
      </w:r>
      <w:r>
        <w:rPr>
          <w:rFonts w:hint="cs"/>
          <w:rtl/>
        </w:rPr>
        <w:t xml:space="preserve">כ-8,500 </w:t>
      </w:r>
      <w:r w:rsidRPr="002C6E61">
        <w:rPr>
          <w:rtl/>
        </w:rPr>
        <w:t xml:space="preserve">ש"ח לשנה; כלומר לרשות המקומית נוצר </w:t>
      </w:r>
      <w:r>
        <w:rPr>
          <w:rFonts w:hint="cs"/>
          <w:rtl/>
        </w:rPr>
        <w:t xml:space="preserve">בממוצע </w:t>
      </w:r>
      <w:r w:rsidRPr="002C6E61">
        <w:rPr>
          <w:rtl/>
        </w:rPr>
        <w:t>גירעון</w:t>
      </w:r>
      <w:r>
        <w:rPr>
          <w:rFonts w:hint="cs"/>
          <w:rtl/>
        </w:rPr>
        <w:t xml:space="preserve"> שנתי</w:t>
      </w:r>
      <w:r w:rsidRPr="002C6E61">
        <w:rPr>
          <w:rtl/>
        </w:rPr>
        <w:t xml:space="preserve"> בסך </w:t>
      </w:r>
      <w:r>
        <w:rPr>
          <w:rFonts w:hint="cs"/>
          <w:rtl/>
        </w:rPr>
        <w:t>כ-3,300</w:t>
      </w:r>
      <w:r w:rsidRPr="002C6E61">
        <w:rPr>
          <w:rtl/>
        </w:rPr>
        <w:t xml:space="preserve"> </w:t>
      </w:r>
      <w:r>
        <w:rPr>
          <w:rFonts w:hint="cs"/>
          <w:rtl/>
        </w:rPr>
        <w:t>ש"ח</w:t>
      </w:r>
      <w:r w:rsidRPr="002C6E61">
        <w:rPr>
          <w:rtl/>
        </w:rPr>
        <w:t xml:space="preserve"> בממוצע </w:t>
      </w:r>
      <w:r>
        <w:rPr>
          <w:rFonts w:hint="cs"/>
          <w:rtl/>
        </w:rPr>
        <w:t xml:space="preserve">בגין </w:t>
      </w:r>
      <w:r w:rsidRPr="002C6E61">
        <w:rPr>
          <w:rtl/>
        </w:rPr>
        <w:t>כל יח"ד שנבנית בתחומה</w:t>
      </w:r>
      <w:r>
        <w:rPr>
          <w:rStyle w:val="a9"/>
          <w:rtl/>
        </w:rPr>
        <w:footnoteReference w:id="88"/>
      </w:r>
      <w:r w:rsidRPr="002C6E61">
        <w:rPr>
          <w:rtl/>
        </w:rPr>
        <w:t>.</w:t>
      </w:r>
      <w:r>
        <w:rPr>
          <w:rFonts w:hint="cs"/>
          <w:rtl/>
        </w:rPr>
        <w:t xml:space="preserve"> </w:t>
      </w:r>
    </w:p>
    <w:p w14:paraId="217C0EF9" w14:textId="77777777" w:rsidR="000A4591" w:rsidRDefault="000A4591" w:rsidP="00B91329">
      <w:pPr>
        <w:pStyle w:val="7190"/>
        <w:rPr>
          <w:rtl/>
        </w:rPr>
      </w:pPr>
      <w:r>
        <w:rPr>
          <w:rFonts w:hint="cs"/>
          <w:rtl/>
        </w:rPr>
        <w:t>לפי דוח בנק ישראל משנת 2018</w:t>
      </w:r>
      <w:r>
        <w:rPr>
          <w:rStyle w:val="a9"/>
          <w:rtl/>
        </w:rPr>
        <w:footnoteReference w:id="89"/>
      </w:r>
      <w:r>
        <w:rPr>
          <w:rFonts w:hint="cs"/>
          <w:rtl/>
        </w:rPr>
        <w:t xml:space="preserve">, </w:t>
      </w:r>
      <w:r w:rsidRPr="00BE2999">
        <w:rPr>
          <w:rtl/>
        </w:rPr>
        <w:t>הסכמי</w:t>
      </w:r>
      <w:r>
        <w:rPr>
          <w:rtl/>
        </w:rPr>
        <w:t xml:space="preserve"> הגג עם הרשויות המקומיות נועד</w:t>
      </w:r>
      <w:r>
        <w:rPr>
          <w:rFonts w:hint="cs"/>
          <w:rtl/>
        </w:rPr>
        <w:t>ו</w:t>
      </w:r>
      <w:r w:rsidRPr="00BE2999">
        <w:rPr>
          <w:rtl/>
        </w:rPr>
        <w:t xml:space="preserve"> </w:t>
      </w:r>
      <w:r>
        <w:rPr>
          <w:rFonts w:hint="cs"/>
          <w:rtl/>
        </w:rPr>
        <w:t>להביא להגדלת</w:t>
      </w:r>
      <w:r w:rsidRPr="00BE2999">
        <w:rPr>
          <w:rtl/>
        </w:rPr>
        <w:t xml:space="preserve"> ההיצע בשוק הדיור באמצעות </w:t>
      </w:r>
      <w:r>
        <w:rPr>
          <w:rFonts w:hint="cs"/>
          <w:rtl/>
        </w:rPr>
        <w:t>הפחתת</w:t>
      </w:r>
      <w:r w:rsidRPr="00BE2999">
        <w:rPr>
          <w:rtl/>
        </w:rPr>
        <w:t xml:space="preserve"> התמריץ השלילי שיש לרשויות להגדיל </w:t>
      </w:r>
      <w:r>
        <w:rPr>
          <w:rFonts w:hint="cs"/>
          <w:rtl/>
        </w:rPr>
        <w:t>את מספר יחה"ד</w:t>
      </w:r>
      <w:r w:rsidRPr="00BE2999">
        <w:rPr>
          <w:rtl/>
        </w:rPr>
        <w:t xml:space="preserve"> בשטחן.</w:t>
      </w:r>
      <w:r>
        <w:rPr>
          <w:rFonts w:hint="cs"/>
          <w:rtl/>
        </w:rPr>
        <w:t xml:space="preserve"> </w:t>
      </w:r>
      <w:r w:rsidRPr="001B3F67">
        <w:rPr>
          <w:rtl/>
        </w:rPr>
        <w:t>הסכמי</w:t>
      </w:r>
      <w:r>
        <w:rPr>
          <w:rFonts w:hint="cs"/>
          <w:rtl/>
        </w:rPr>
        <w:t>ם</w:t>
      </w:r>
      <w:r w:rsidRPr="001B3F67">
        <w:rPr>
          <w:rtl/>
        </w:rPr>
        <w:t xml:space="preserve"> </w:t>
      </w:r>
      <w:r>
        <w:rPr>
          <w:rFonts w:hint="cs"/>
          <w:rtl/>
        </w:rPr>
        <w:t>אל</w:t>
      </w:r>
      <w:r w:rsidRPr="001B3F67">
        <w:rPr>
          <w:rtl/>
        </w:rPr>
        <w:t>ה מיטיבים עם הרשויות המקומיות בשלב הראשון, ו</w:t>
      </w:r>
      <w:r>
        <w:rPr>
          <w:rFonts w:hint="cs"/>
          <w:rtl/>
        </w:rPr>
        <w:t>לא זו בלבד ש</w:t>
      </w:r>
      <w:r w:rsidRPr="001B3F67">
        <w:rPr>
          <w:rtl/>
        </w:rPr>
        <w:t>הם מאפשרים</w:t>
      </w:r>
      <w:r>
        <w:rPr>
          <w:rFonts w:hint="cs"/>
          <w:rtl/>
        </w:rPr>
        <w:t xml:space="preserve"> להן</w:t>
      </w:r>
      <w:r w:rsidRPr="001B3F67">
        <w:rPr>
          <w:rtl/>
        </w:rPr>
        <w:t xml:space="preserve"> לבנות את התשתיות לשכונות חדשות</w:t>
      </w:r>
      <w:r>
        <w:rPr>
          <w:rFonts w:hint="cs"/>
          <w:rtl/>
        </w:rPr>
        <w:t>,</w:t>
      </w:r>
      <w:r w:rsidRPr="001B3F67">
        <w:rPr>
          <w:rtl/>
        </w:rPr>
        <w:t xml:space="preserve"> אלא </w:t>
      </w:r>
      <w:r>
        <w:rPr>
          <w:rFonts w:hint="cs"/>
          <w:rtl/>
        </w:rPr>
        <w:t xml:space="preserve">שהם </w:t>
      </w:r>
      <w:r w:rsidRPr="001B3F67">
        <w:rPr>
          <w:rtl/>
        </w:rPr>
        <w:t xml:space="preserve">גם </w:t>
      </w:r>
      <w:r>
        <w:rPr>
          <w:rFonts w:hint="cs"/>
          <w:rtl/>
        </w:rPr>
        <w:t xml:space="preserve">מאפשרים להן </w:t>
      </w:r>
      <w:r w:rsidRPr="001B3F67">
        <w:rPr>
          <w:rtl/>
        </w:rPr>
        <w:t xml:space="preserve">לפתח </w:t>
      </w:r>
      <w:r w:rsidRPr="001B3F67">
        <w:rPr>
          <w:rtl/>
        </w:rPr>
        <w:lastRenderedPageBreak/>
        <w:t xml:space="preserve">ולחדש את התשתיות בשכונות הוותיקות. אך </w:t>
      </w:r>
      <w:r>
        <w:rPr>
          <w:rFonts w:hint="cs"/>
          <w:rtl/>
        </w:rPr>
        <w:t xml:space="preserve">מנגד, בנייתן של יח"ד חדשות רבות </w:t>
      </w:r>
      <w:r w:rsidRPr="001B3F67">
        <w:rPr>
          <w:rtl/>
        </w:rPr>
        <w:t>עלול</w:t>
      </w:r>
      <w:r>
        <w:rPr>
          <w:rFonts w:hint="cs"/>
          <w:rtl/>
        </w:rPr>
        <w:t>ה</w:t>
      </w:r>
      <w:r w:rsidRPr="001B3F67">
        <w:rPr>
          <w:rtl/>
        </w:rPr>
        <w:t xml:space="preserve"> </w:t>
      </w:r>
      <w:r>
        <w:rPr>
          <w:rFonts w:hint="cs"/>
          <w:rtl/>
        </w:rPr>
        <w:t>להציב לפני הרשות</w:t>
      </w:r>
      <w:r w:rsidRPr="001B3F67">
        <w:rPr>
          <w:rtl/>
        </w:rPr>
        <w:t xml:space="preserve"> </w:t>
      </w:r>
      <w:r>
        <w:rPr>
          <w:rFonts w:hint="cs"/>
          <w:rtl/>
        </w:rPr>
        <w:t>קושי תקציבי בעת אכלוס</w:t>
      </w:r>
      <w:r w:rsidRPr="001B3F67">
        <w:rPr>
          <w:rtl/>
        </w:rPr>
        <w:t xml:space="preserve"> השכונות החדשות</w:t>
      </w:r>
      <w:r>
        <w:rPr>
          <w:rFonts w:hint="cs"/>
          <w:rtl/>
        </w:rPr>
        <w:t>,</w:t>
      </w:r>
      <w:r w:rsidRPr="001B3F67">
        <w:rPr>
          <w:rtl/>
        </w:rPr>
        <w:t xml:space="preserve"> </w:t>
      </w:r>
      <w:r>
        <w:rPr>
          <w:rFonts w:hint="cs"/>
          <w:rtl/>
        </w:rPr>
        <w:t>שכן</w:t>
      </w:r>
      <w:r w:rsidRPr="001B3F67">
        <w:rPr>
          <w:rtl/>
        </w:rPr>
        <w:t xml:space="preserve"> הרשות </w:t>
      </w:r>
      <w:r>
        <w:rPr>
          <w:rFonts w:hint="cs"/>
          <w:rtl/>
        </w:rPr>
        <w:t>צריכה</w:t>
      </w:r>
      <w:r w:rsidRPr="001B3F67">
        <w:rPr>
          <w:rtl/>
        </w:rPr>
        <w:t xml:space="preserve"> לספק שירותים</w:t>
      </w:r>
      <w:r>
        <w:rPr>
          <w:rFonts w:hint="cs"/>
          <w:rtl/>
        </w:rPr>
        <w:t xml:space="preserve"> מוניציפליים</w:t>
      </w:r>
      <w:r w:rsidRPr="001B3F67">
        <w:rPr>
          <w:rtl/>
        </w:rPr>
        <w:t xml:space="preserve"> למשקי הבית </w:t>
      </w:r>
      <w:r>
        <w:rPr>
          <w:rFonts w:hint="cs"/>
          <w:rtl/>
        </w:rPr>
        <w:t>הרבים ש</w:t>
      </w:r>
      <w:r w:rsidRPr="001B3F67">
        <w:rPr>
          <w:rtl/>
        </w:rPr>
        <w:t>נוספים</w:t>
      </w:r>
      <w:r>
        <w:rPr>
          <w:rFonts w:hint="cs"/>
          <w:rtl/>
        </w:rPr>
        <w:t xml:space="preserve"> בפרק זמן קצר יחסית</w:t>
      </w:r>
      <w:r w:rsidRPr="001B3F67">
        <w:rPr>
          <w:rtl/>
        </w:rPr>
        <w:t>, אך תוספת ההכנסות מהא</w:t>
      </w:r>
      <w:r>
        <w:rPr>
          <w:rFonts w:hint="cs"/>
          <w:rtl/>
        </w:rPr>
        <w:t>רנ</w:t>
      </w:r>
      <w:r w:rsidRPr="001B3F67">
        <w:rPr>
          <w:rtl/>
        </w:rPr>
        <w:t xml:space="preserve">ונה למגורים </w:t>
      </w:r>
      <w:r>
        <w:rPr>
          <w:rFonts w:hint="cs"/>
          <w:rtl/>
        </w:rPr>
        <w:t>אינה</w:t>
      </w:r>
      <w:r w:rsidRPr="001B3F67">
        <w:rPr>
          <w:rtl/>
        </w:rPr>
        <w:t xml:space="preserve"> </w:t>
      </w:r>
      <w:r>
        <w:rPr>
          <w:rFonts w:hint="cs"/>
          <w:rtl/>
        </w:rPr>
        <w:t>מ</w:t>
      </w:r>
      <w:r w:rsidRPr="001B3F67">
        <w:rPr>
          <w:rtl/>
        </w:rPr>
        <w:t xml:space="preserve">כסה את תוספת ההוצאות הנחוצה להספקת השירותים ברמה הקיימת. כדי </w:t>
      </w:r>
      <w:r>
        <w:rPr>
          <w:rFonts w:hint="cs"/>
          <w:rtl/>
        </w:rPr>
        <w:t>שתוכל הרשות המקומית</w:t>
      </w:r>
      <w:r w:rsidRPr="001B3F67">
        <w:rPr>
          <w:rtl/>
        </w:rPr>
        <w:t xml:space="preserve"> לספק </w:t>
      </w:r>
      <w:r>
        <w:rPr>
          <w:rFonts w:hint="cs"/>
          <w:rtl/>
        </w:rPr>
        <w:t>שירותים הולמים</w:t>
      </w:r>
      <w:r w:rsidRPr="001B3F67">
        <w:rPr>
          <w:rtl/>
        </w:rPr>
        <w:t xml:space="preserve"> </w:t>
      </w:r>
      <w:r>
        <w:rPr>
          <w:rFonts w:hint="cs"/>
          <w:rtl/>
        </w:rPr>
        <w:t xml:space="preserve">יש לה עניין </w:t>
      </w:r>
      <w:r w:rsidRPr="001B3F67">
        <w:rPr>
          <w:rtl/>
        </w:rPr>
        <w:t xml:space="preserve">להוסיף שטחי משרדים ומסחר </w:t>
      </w:r>
      <w:r>
        <w:rPr>
          <w:rFonts w:hint="cs"/>
          <w:rtl/>
        </w:rPr>
        <w:t>כדי</w:t>
      </w:r>
      <w:r w:rsidRPr="001B3F67">
        <w:rPr>
          <w:rtl/>
        </w:rPr>
        <w:t xml:space="preserve"> </w:t>
      </w:r>
      <w:r>
        <w:rPr>
          <w:rFonts w:hint="cs"/>
          <w:rtl/>
        </w:rPr>
        <w:t>להגדיל את הכנסתה מארנונה</w:t>
      </w:r>
      <w:r w:rsidRPr="001B3F67">
        <w:rPr>
          <w:rtl/>
        </w:rPr>
        <w:t xml:space="preserve">. </w:t>
      </w:r>
    </w:p>
    <w:p w14:paraId="3C42AF38" w14:textId="77777777" w:rsidR="000A4591" w:rsidRDefault="000A4591" w:rsidP="00B91329">
      <w:pPr>
        <w:pStyle w:val="7190"/>
        <w:rPr>
          <w:rtl/>
        </w:rPr>
      </w:pPr>
      <w:r>
        <w:rPr>
          <w:rFonts w:hint="cs"/>
          <w:rtl/>
        </w:rPr>
        <w:t>עוד צוין בדוח בנק ישראל כי ב</w:t>
      </w:r>
      <w:r w:rsidRPr="00BA11EC">
        <w:rPr>
          <w:rtl/>
        </w:rPr>
        <w:t xml:space="preserve">יישובים רבים </w:t>
      </w:r>
      <w:r>
        <w:rPr>
          <w:rFonts w:hint="cs"/>
          <w:rtl/>
        </w:rPr>
        <w:t>שלגביהם נחתמו הסכמי גג</w:t>
      </w:r>
      <w:r w:rsidRPr="001B3F67">
        <w:rPr>
          <w:rtl/>
        </w:rPr>
        <w:t xml:space="preserve"> </w:t>
      </w:r>
      <w:r w:rsidRPr="00BA11EC">
        <w:rPr>
          <w:rtl/>
        </w:rPr>
        <w:t>אי</w:t>
      </w:r>
      <w:r>
        <w:rPr>
          <w:rFonts w:hint="cs"/>
          <w:rtl/>
        </w:rPr>
        <w:t xml:space="preserve"> א</w:t>
      </w:r>
      <w:r w:rsidRPr="00BA11EC">
        <w:rPr>
          <w:rtl/>
        </w:rPr>
        <w:t>פשר להגדיל את שטחי המשרדים והמסחר באופן פרופורציונ</w:t>
      </w:r>
      <w:r>
        <w:rPr>
          <w:rFonts w:hint="cs"/>
          <w:rtl/>
        </w:rPr>
        <w:t>ל</w:t>
      </w:r>
      <w:r w:rsidRPr="00BA11EC">
        <w:rPr>
          <w:rtl/>
        </w:rPr>
        <w:t>י</w:t>
      </w:r>
      <w:r>
        <w:rPr>
          <w:rFonts w:hint="cs"/>
          <w:rtl/>
        </w:rPr>
        <w:t xml:space="preserve"> למספר יח"ד שצפוי להתווסף ליישובים אלה,</w:t>
      </w:r>
      <w:r w:rsidRPr="00BA11EC">
        <w:rPr>
          <w:rtl/>
        </w:rPr>
        <w:t xml:space="preserve"> </w:t>
      </w:r>
      <w:r>
        <w:rPr>
          <w:rFonts w:hint="cs"/>
          <w:rtl/>
        </w:rPr>
        <w:t xml:space="preserve">בין היתר </w:t>
      </w:r>
      <w:r w:rsidRPr="00BA11EC">
        <w:rPr>
          <w:rtl/>
        </w:rPr>
        <w:t xml:space="preserve">מפני </w:t>
      </w:r>
      <w:r>
        <w:rPr>
          <w:rFonts w:hint="cs"/>
          <w:rtl/>
        </w:rPr>
        <w:t>שאותם יישובים</w:t>
      </w:r>
      <w:r w:rsidRPr="00BA11EC">
        <w:rPr>
          <w:rtl/>
        </w:rPr>
        <w:t xml:space="preserve"> קרובים ליישובים מרכזיים וגדולים יותר</w:t>
      </w:r>
      <w:r>
        <w:rPr>
          <w:rFonts w:hint="cs"/>
          <w:rtl/>
        </w:rPr>
        <w:t xml:space="preserve"> שבהם נמצאים מרכזי מסחר ותעסוקה מבוססים עם התשתיות הנדרשות, הנותנים מענה לצורכי האוכלוסייה בסביבתם, לדוגמה: </w:t>
      </w:r>
      <w:r w:rsidRPr="002D70DF">
        <w:rPr>
          <w:rtl/>
        </w:rPr>
        <w:t>טירת כרמל סמוכה לחיפה</w:t>
      </w:r>
      <w:r>
        <w:rPr>
          <w:rFonts w:hint="cs"/>
          <w:rtl/>
        </w:rPr>
        <w:t>;</w:t>
      </w:r>
      <w:r w:rsidRPr="002D70DF">
        <w:rPr>
          <w:rtl/>
        </w:rPr>
        <w:t xml:space="preserve"> יבנה לרחובות</w:t>
      </w:r>
      <w:r>
        <w:rPr>
          <w:rFonts w:hint="cs"/>
          <w:rtl/>
        </w:rPr>
        <w:t>;</w:t>
      </w:r>
      <w:r w:rsidRPr="002D70DF">
        <w:rPr>
          <w:rtl/>
        </w:rPr>
        <w:t xml:space="preserve"> ראש העין לפתח תקווה</w:t>
      </w:r>
      <w:r>
        <w:rPr>
          <w:rFonts w:hint="cs"/>
          <w:rtl/>
        </w:rPr>
        <w:t>;</w:t>
      </w:r>
      <w:r w:rsidRPr="002D70DF">
        <w:rPr>
          <w:rtl/>
        </w:rPr>
        <w:t xml:space="preserve"> ואופקים ונתיבות לבאר שבע.</w:t>
      </w:r>
      <w:r w:rsidRPr="00BA11EC">
        <w:rPr>
          <w:rtl/>
        </w:rPr>
        <w:t xml:space="preserve"> </w:t>
      </w:r>
      <w:r>
        <w:rPr>
          <w:rFonts w:hint="cs"/>
          <w:rtl/>
        </w:rPr>
        <w:t>קושי זה התעורר ביתר שאת כאשר נחתמו</w:t>
      </w:r>
      <w:r w:rsidRPr="00BA11EC">
        <w:rPr>
          <w:rtl/>
        </w:rPr>
        <w:t xml:space="preserve"> הסכמי גג עם כמה יישובים סמוכים</w:t>
      </w:r>
      <w:r>
        <w:rPr>
          <w:rFonts w:hint="cs"/>
          <w:rtl/>
        </w:rPr>
        <w:t xml:space="preserve"> - </w:t>
      </w:r>
      <w:r w:rsidRPr="00BA11EC">
        <w:rPr>
          <w:rtl/>
        </w:rPr>
        <w:t>באר יעקב, רמלה, לוד וראשון לציון. א</w:t>
      </w:r>
      <w:r>
        <w:rPr>
          <w:rFonts w:hint="cs"/>
          <w:rtl/>
        </w:rPr>
        <w:t>ו</w:t>
      </w:r>
      <w:r w:rsidRPr="00BA11EC">
        <w:rPr>
          <w:rtl/>
        </w:rPr>
        <w:t xml:space="preserve">מנם מרבית הסכמי הגג כוללים גם </w:t>
      </w:r>
      <w:r>
        <w:rPr>
          <w:rFonts w:hint="cs"/>
          <w:rtl/>
        </w:rPr>
        <w:t>תוכניות ל</w:t>
      </w:r>
      <w:r w:rsidRPr="00BA11EC">
        <w:rPr>
          <w:rtl/>
        </w:rPr>
        <w:t xml:space="preserve">תוספת שטחי מסחר ותעסוקה, אך </w:t>
      </w:r>
      <w:r>
        <w:rPr>
          <w:rFonts w:hint="cs"/>
          <w:rtl/>
        </w:rPr>
        <w:t xml:space="preserve">בדוח האמור עלתה השאלה אם יש היתכנות למימושם </w:t>
      </w:r>
      <w:r w:rsidRPr="00BA11EC">
        <w:rPr>
          <w:rtl/>
        </w:rPr>
        <w:t xml:space="preserve">מבחינת הביקוש העתידי לשטחים אלה. </w:t>
      </w:r>
    </w:p>
    <w:p w14:paraId="3634823F" w14:textId="77777777" w:rsidR="000A4591" w:rsidRDefault="000A4591" w:rsidP="00B91329">
      <w:pPr>
        <w:pStyle w:val="7190"/>
        <w:rPr>
          <w:rtl/>
        </w:rPr>
      </w:pPr>
      <w:r>
        <w:rPr>
          <w:rFonts w:hint="cs"/>
          <w:rtl/>
        </w:rPr>
        <w:t>דוח של משרד הפנים מספטמבר 2020 העריך את ההשפעות החזויות של הפיתוח המואץ למגורים ברשויות מקומיות שונות, לרבות באמצעות הסכמי גג, על החוסן הכלכלי של אותן רשויות בהתחשב בצפי האכלוס של יח"ד לעומת צפי המימוש של שטחי מסחר ותעסוקה, בהתאם למודל חיזוי שפיתח משרד הפנים</w:t>
      </w:r>
      <w:r>
        <w:rPr>
          <w:rStyle w:val="a9"/>
          <w:rtl/>
        </w:rPr>
        <w:footnoteReference w:id="90"/>
      </w:r>
      <w:r>
        <w:rPr>
          <w:rFonts w:hint="cs"/>
          <w:rtl/>
        </w:rPr>
        <w:t xml:space="preserve">. </w:t>
      </w:r>
    </w:p>
    <w:p w14:paraId="110D3548" w14:textId="6C42B5A7" w:rsidR="000A4591" w:rsidRPr="006240D6" w:rsidRDefault="000A4591" w:rsidP="00235FD7">
      <w:pPr>
        <w:pStyle w:val="71f5"/>
        <w:rPr>
          <w:rtl/>
        </w:rPr>
      </w:pPr>
      <w:r w:rsidRPr="006240D6">
        <w:rPr>
          <w:rFonts w:hint="eastAsia"/>
          <w:rtl/>
        </w:rPr>
        <w:t>מדוח</w:t>
      </w:r>
      <w:r w:rsidRPr="006240D6">
        <w:rPr>
          <w:rtl/>
        </w:rPr>
        <w:t xml:space="preserve"> </w:t>
      </w:r>
      <w:r w:rsidRPr="006240D6">
        <w:rPr>
          <w:rFonts w:hint="eastAsia"/>
          <w:rtl/>
        </w:rPr>
        <w:t>משרד</w:t>
      </w:r>
      <w:r w:rsidRPr="006240D6">
        <w:rPr>
          <w:rtl/>
        </w:rPr>
        <w:t xml:space="preserve"> הפנים </w:t>
      </w:r>
      <w:r w:rsidRPr="006240D6">
        <w:rPr>
          <w:rFonts w:hint="eastAsia"/>
          <w:rtl/>
        </w:rPr>
        <w:t>מספטמבר</w:t>
      </w:r>
      <w:r w:rsidRPr="006240D6">
        <w:rPr>
          <w:rtl/>
        </w:rPr>
        <w:t xml:space="preserve"> 2020 </w:t>
      </w:r>
      <w:r w:rsidRPr="006240D6">
        <w:rPr>
          <w:rFonts w:hint="eastAsia"/>
          <w:rtl/>
        </w:rPr>
        <w:t>עולה</w:t>
      </w:r>
      <w:r w:rsidRPr="006240D6">
        <w:rPr>
          <w:rtl/>
        </w:rPr>
        <w:t xml:space="preserve"> כי</w:t>
      </w:r>
      <w:r>
        <w:rPr>
          <w:rFonts w:hint="cs"/>
          <w:rtl/>
        </w:rPr>
        <w:t xml:space="preserve"> בהתאם למודל החיזוי כאמור</w:t>
      </w:r>
      <w:r w:rsidRPr="006240D6">
        <w:rPr>
          <w:rtl/>
        </w:rPr>
        <w:t xml:space="preserve"> 24 (75%) </w:t>
      </w:r>
      <w:r w:rsidR="00235FD7">
        <w:rPr>
          <w:rFonts w:hint="cs"/>
          <w:rtl/>
        </w:rPr>
        <w:t xml:space="preserve">                 </w:t>
      </w:r>
      <w:r w:rsidRPr="006240D6">
        <w:rPr>
          <w:rtl/>
        </w:rPr>
        <w:t>מ</w:t>
      </w:r>
      <w:r>
        <w:rPr>
          <w:rFonts w:hint="cs"/>
          <w:rtl/>
        </w:rPr>
        <w:t xml:space="preserve">-32 </w:t>
      </w:r>
      <w:r w:rsidRPr="006240D6">
        <w:rPr>
          <w:rtl/>
        </w:rPr>
        <w:t>הרשויות המקומיות החתומות על הסכמי גג צפויות לי</w:t>
      </w:r>
      <w:r w:rsidRPr="006240D6">
        <w:rPr>
          <w:rFonts w:hint="eastAsia"/>
          <w:rtl/>
        </w:rPr>
        <w:t>ר</w:t>
      </w:r>
      <w:r w:rsidRPr="006240D6">
        <w:rPr>
          <w:rtl/>
        </w:rPr>
        <w:t xml:space="preserve">ידה </w:t>
      </w:r>
      <w:r w:rsidRPr="006240D6">
        <w:rPr>
          <w:rFonts w:hint="eastAsia"/>
          <w:rtl/>
        </w:rPr>
        <w:t>ביכולתן</w:t>
      </w:r>
      <w:r w:rsidRPr="006240D6">
        <w:rPr>
          <w:rtl/>
        </w:rPr>
        <w:t xml:space="preserve"> ה</w:t>
      </w:r>
      <w:r w:rsidRPr="006240D6">
        <w:rPr>
          <w:rFonts w:hint="eastAsia"/>
          <w:rtl/>
        </w:rPr>
        <w:t>כ</w:t>
      </w:r>
      <w:r w:rsidRPr="006240D6">
        <w:rPr>
          <w:rtl/>
        </w:rPr>
        <w:t xml:space="preserve">ספית לספק </w:t>
      </w:r>
      <w:r>
        <w:rPr>
          <w:rFonts w:hint="cs"/>
          <w:rtl/>
        </w:rPr>
        <w:t xml:space="preserve">את </w:t>
      </w:r>
      <w:r w:rsidRPr="006240D6">
        <w:rPr>
          <w:rFonts w:hint="eastAsia"/>
          <w:rtl/>
        </w:rPr>
        <w:t>רמת</w:t>
      </w:r>
      <w:r w:rsidRPr="006240D6">
        <w:rPr>
          <w:rtl/>
        </w:rPr>
        <w:t xml:space="preserve"> השי</w:t>
      </w:r>
      <w:r w:rsidRPr="006240D6">
        <w:rPr>
          <w:rFonts w:hint="eastAsia"/>
          <w:rtl/>
        </w:rPr>
        <w:t>ר</w:t>
      </w:r>
      <w:r w:rsidRPr="006240D6">
        <w:rPr>
          <w:rtl/>
        </w:rPr>
        <w:t xml:space="preserve">ות לתושב </w:t>
      </w:r>
      <w:r>
        <w:rPr>
          <w:rFonts w:hint="cs"/>
          <w:rtl/>
        </w:rPr>
        <w:t xml:space="preserve">בעקבות </w:t>
      </w:r>
      <w:r w:rsidRPr="006240D6">
        <w:rPr>
          <w:rtl/>
        </w:rPr>
        <w:t>תוספת יחידות הדיור ו</w:t>
      </w:r>
      <w:r>
        <w:rPr>
          <w:rFonts w:hint="cs"/>
          <w:rtl/>
        </w:rPr>
        <w:t>ב</w:t>
      </w:r>
      <w:r w:rsidRPr="006240D6">
        <w:rPr>
          <w:rtl/>
        </w:rPr>
        <w:t xml:space="preserve">היעדר תוספת מספיקה של ארנונה עסקית עקב מימוש שטחי מסחר ותעסוקה בהיקף </w:t>
      </w:r>
      <w:r>
        <w:rPr>
          <w:rFonts w:hint="cs"/>
          <w:rtl/>
        </w:rPr>
        <w:t>קטן מהנדרש</w:t>
      </w:r>
      <w:r w:rsidRPr="00235FD7">
        <w:rPr>
          <w:rStyle w:val="a9"/>
          <w:rtl/>
        </w:rPr>
        <w:footnoteReference w:id="91"/>
      </w:r>
      <w:r w:rsidRPr="00235FD7">
        <w:rPr>
          <w:rtl/>
        </w:rPr>
        <w:t>.</w:t>
      </w:r>
      <w:r w:rsidRPr="006240D6">
        <w:rPr>
          <w:rtl/>
        </w:rPr>
        <w:t xml:space="preserve"> </w:t>
      </w:r>
      <w:r w:rsidRPr="006240D6">
        <w:rPr>
          <w:rFonts w:hint="eastAsia"/>
          <w:rtl/>
        </w:rPr>
        <w:t>עוד</w:t>
      </w:r>
      <w:r>
        <w:rPr>
          <w:rFonts w:hint="cs"/>
          <w:rtl/>
        </w:rPr>
        <w:t xml:space="preserve"> עולה מהדוח כי </w:t>
      </w:r>
      <w:r w:rsidRPr="006240D6">
        <w:rPr>
          <w:rtl/>
        </w:rPr>
        <w:t>סי</w:t>
      </w:r>
      <w:r w:rsidRPr="006240D6">
        <w:rPr>
          <w:rFonts w:hint="eastAsia"/>
          <w:rtl/>
        </w:rPr>
        <w:t>כ</w:t>
      </w:r>
      <w:r w:rsidRPr="006240D6">
        <w:rPr>
          <w:rtl/>
        </w:rPr>
        <w:t>ום הע</w:t>
      </w:r>
      <w:r w:rsidRPr="006240D6">
        <w:rPr>
          <w:rFonts w:hint="eastAsia"/>
          <w:rtl/>
        </w:rPr>
        <w:t>רך</w:t>
      </w:r>
      <w:r w:rsidRPr="006240D6">
        <w:rPr>
          <w:rtl/>
        </w:rPr>
        <w:t xml:space="preserve"> ה</w:t>
      </w:r>
      <w:r w:rsidRPr="006240D6">
        <w:rPr>
          <w:rFonts w:hint="eastAsia"/>
          <w:rtl/>
        </w:rPr>
        <w:t>כספי</w:t>
      </w:r>
      <w:r w:rsidRPr="006240D6">
        <w:rPr>
          <w:rtl/>
        </w:rPr>
        <w:t xml:space="preserve"> של </w:t>
      </w:r>
      <w:r w:rsidRPr="006240D6">
        <w:rPr>
          <w:rFonts w:hint="eastAsia"/>
          <w:rtl/>
        </w:rPr>
        <w:t>תוספת</w:t>
      </w:r>
      <w:r w:rsidRPr="006240D6">
        <w:rPr>
          <w:rtl/>
        </w:rPr>
        <w:t xml:space="preserve"> העלויות השנתית לתקצי</w:t>
      </w:r>
      <w:r w:rsidRPr="006240D6">
        <w:rPr>
          <w:rFonts w:hint="eastAsia"/>
          <w:rtl/>
        </w:rPr>
        <w:t>ב</w:t>
      </w:r>
      <w:r w:rsidRPr="006240D6">
        <w:rPr>
          <w:rtl/>
        </w:rPr>
        <w:t xml:space="preserve"> הרגיל של 26 </w:t>
      </w:r>
      <w:r w:rsidRPr="006240D6">
        <w:rPr>
          <w:rFonts w:hint="eastAsia"/>
          <w:rtl/>
        </w:rPr>
        <w:t>מ</w:t>
      </w:r>
      <w:r w:rsidRPr="006240D6">
        <w:rPr>
          <w:rtl/>
        </w:rPr>
        <w:t>הרשויות המקומיות שחתמו על הסכם גג</w:t>
      </w:r>
      <w:r w:rsidRPr="00235FD7">
        <w:rPr>
          <w:rStyle w:val="a9"/>
          <w:rtl/>
        </w:rPr>
        <w:footnoteReference w:id="92"/>
      </w:r>
      <w:r w:rsidRPr="006240D6">
        <w:rPr>
          <w:rtl/>
        </w:rPr>
        <w:t xml:space="preserve">, </w:t>
      </w:r>
      <w:r w:rsidRPr="006240D6">
        <w:rPr>
          <w:rFonts w:hint="eastAsia"/>
          <w:rtl/>
        </w:rPr>
        <w:t>ש</w:t>
      </w:r>
      <w:r w:rsidRPr="006240D6">
        <w:rPr>
          <w:rtl/>
        </w:rPr>
        <w:t>אינן מ</w:t>
      </w:r>
      <w:r w:rsidRPr="006240D6">
        <w:rPr>
          <w:rFonts w:hint="eastAsia"/>
          <w:rtl/>
        </w:rPr>
        <w:t>כ</w:t>
      </w:r>
      <w:r w:rsidRPr="006240D6">
        <w:rPr>
          <w:rtl/>
        </w:rPr>
        <w:t>ו</w:t>
      </w:r>
      <w:r w:rsidRPr="006240D6">
        <w:rPr>
          <w:rFonts w:hint="eastAsia"/>
          <w:rtl/>
        </w:rPr>
        <w:t>סו</w:t>
      </w:r>
      <w:r w:rsidRPr="006240D6">
        <w:rPr>
          <w:rtl/>
        </w:rPr>
        <w:t>ת מתוספת שטחי תע</w:t>
      </w:r>
      <w:r w:rsidRPr="006240D6">
        <w:rPr>
          <w:rFonts w:hint="eastAsia"/>
          <w:rtl/>
        </w:rPr>
        <w:t>סו</w:t>
      </w:r>
      <w:r w:rsidRPr="006240D6">
        <w:rPr>
          <w:rtl/>
        </w:rPr>
        <w:t xml:space="preserve">קה, </w:t>
      </w:r>
      <w:r>
        <w:rPr>
          <w:rFonts w:hint="cs"/>
          <w:rtl/>
        </w:rPr>
        <w:t xml:space="preserve">הוא </w:t>
      </w:r>
      <w:r w:rsidRPr="006240D6">
        <w:rPr>
          <w:rFonts w:hint="eastAsia"/>
          <w:rtl/>
        </w:rPr>
        <w:t>כ</w:t>
      </w:r>
      <w:r w:rsidRPr="006240D6">
        <w:rPr>
          <w:rtl/>
        </w:rPr>
        <w:t xml:space="preserve">-329 </w:t>
      </w:r>
      <w:r w:rsidRPr="006240D6">
        <w:rPr>
          <w:rFonts w:hint="eastAsia"/>
          <w:rtl/>
        </w:rPr>
        <w:t>מיליון</w:t>
      </w:r>
      <w:r w:rsidRPr="006240D6">
        <w:rPr>
          <w:rtl/>
        </w:rPr>
        <w:t xml:space="preserve"> </w:t>
      </w:r>
      <w:r w:rsidRPr="006240D6">
        <w:rPr>
          <w:rFonts w:hint="eastAsia"/>
          <w:rtl/>
        </w:rPr>
        <w:t>ש</w:t>
      </w:r>
      <w:r w:rsidRPr="006240D6">
        <w:rPr>
          <w:rtl/>
        </w:rPr>
        <w:t xml:space="preserve">"ח </w:t>
      </w:r>
      <w:r w:rsidRPr="006240D6">
        <w:rPr>
          <w:rFonts w:hint="eastAsia"/>
          <w:rtl/>
        </w:rPr>
        <w:t>בטווח</w:t>
      </w:r>
      <w:r w:rsidRPr="006240D6">
        <w:rPr>
          <w:rtl/>
        </w:rPr>
        <w:t xml:space="preserve"> </w:t>
      </w:r>
      <w:r>
        <w:rPr>
          <w:rFonts w:hint="cs"/>
          <w:rtl/>
        </w:rPr>
        <w:t xml:space="preserve">של </w:t>
      </w:r>
      <w:r w:rsidRPr="006240D6">
        <w:rPr>
          <w:rFonts w:hint="eastAsia"/>
          <w:rtl/>
        </w:rPr>
        <w:t>חמש</w:t>
      </w:r>
      <w:r w:rsidRPr="006240D6">
        <w:rPr>
          <w:rtl/>
        </w:rPr>
        <w:t xml:space="preserve"> השנים </w:t>
      </w:r>
      <w:r>
        <w:rPr>
          <w:rFonts w:hint="cs"/>
          <w:rtl/>
        </w:rPr>
        <w:t>שבהן עסק</w:t>
      </w:r>
      <w:r w:rsidRPr="006240D6">
        <w:rPr>
          <w:rtl/>
        </w:rPr>
        <w:t xml:space="preserve"> הדוח (2020 - 2024), </w:t>
      </w:r>
      <w:r>
        <w:rPr>
          <w:rFonts w:hint="cs"/>
          <w:rtl/>
        </w:rPr>
        <w:t xml:space="preserve">שהוא </w:t>
      </w:r>
      <w:r w:rsidRPr="006240D6">
        <w:rPr>
          <w:rtl/>
        </w:rPr>
        <w:t xml:space="preserve">שווה ערך למימוש היקף של </w:t>
      </w:r>
      <w:r w:rsidRPr="006240D6">
        <w:rPr>
          <w:rFonts w:hint="eastAsia"/>
          <w:rtl/>
        </w:rPr>
        <w:t>כ</w:t>
      </w:r>
      <w:r w:rsidRPr="006240D6">
        <w:rPr>
          <w:rtl/>
        </w:rPr>
        <w:t xml:space="preserve">-2.9 מיליון </w:t>
      </w:r>
      <w:r w:rsidRPr="006240D6">
        <w:rPr>
          <w:rFonts w:hint="eastAsia"/>
          <w:rtl/>
        </w:rPr>
        <w:t>מ</w:t>
      </w:r>
      <w:r w:rsidRPr="006240D6">
        <w:rPr>
          <w:rtl/>
        </w:rPr>
        <w:t>״ר שטחי תעסוקה הנדרשים ל</w:t>
      </w:r>
      <w:r w:rsidRPr="006240D6">
        <w:rPr>
          <w:rFonts w:hint="eastAsia"/>
          <w:rtl/>
        </w:rPr>
        <w:t>כיסוי</w:t>
      </w:r>
      <w:r w:rsidRPr="006240D6">
        <w:rPr>
          <w:rtl/>
        </w:rPr>
        <w:t xml:space="preserve"> תוספת עלויות ל</w:t>
      </w:r>
      <w:r w:rsidRPr="006240D6">
        <w:rPr>
          <w:rFonts w:hint="eastAsia"/>
          <w:rtl/>
        </w:rPr>
        <w:t>כ</w:t>
      </w:r>
      <w:r w:rsidRPr="006240D6">
        <w:rPr>
          <w:rtl/>
        </w:rPr>
        <w:t xml:space="preserve">לל הרשויות </w:t>
      </w:r>
      <w:r>
        <w:rPr>
          <w:rFonts w:hint="cs"/>
          <w:rtl/>
        </w:rPr>
        <w:t>שעליהן נסב ה</w:t>
      </w:r>
      <w:r w:rsidRPr="006240D6">
        <w:rPr>
          <w:rFonts w:hint="eastAsia"/>
          <w:rtl/>
        </w:rPr>
        <w:t>דוח</w:t>
      </w:r>
      <w:r w:rsidRPr="006240D6">
        <w:rPr>
          <w:rtl/>
        </w:rPr>
        <w:t>.</w:t>
      </w:r>
    </w:p>
    <w:p w14:paraId="42C1CA79" w14:textId="77777777" w:rsidR="000A4591" w:rsidRDefault="000A4591" w:rsidP="000A4591">
      <w:pPr>
        <w:rPr>
          <w:rtl/>
        </w:rPr>
      </w:pPr>
    </w:p>
    <w:p w14:paraId="1F814A18" w14:textId="77777777" w:rsidR="000A4591" w:rsidRPr="001D6800" w:rsidRDefault="000A4591" w:rsidP="00BB51E9">
      <w:pPr>
        <w:pStyle w:val="71414"/>
        <w:rPr>
          <w:u w:val="single"/>
          <w:rtl/>
        </w:rPr>
      </w:pPr>
      <w:r>
        <w:rPr>
          <w:rFonts w:hint="cs"/>
          <w:rtl/>
        </w:rPr>
        <w:lastRenderedPageBreak/>
        <w:t>שיווק שטחי מסחר ותעסוקה במסגרת הסכמי הגג</w:t>
      </w:r>
    </w:p>
    <w:p w14:paraId="418404CD" w14:textId="77777777" w:rsidR="000A4591" w:rsidRDefault="000A4591" w:rsidP="00BB51E9">
      <w:pPr>
        <w:pStyle w:val="7190"/>
        <w:rPr>
          <w:rtl/>
        </w:rPr>
      </w:pPr>
      <w:r w:rsidRPr="001B720E">
        <w:rPr>
          <w:rFonts w:hint="cs"/>
          <w:rtl/>
        </w:rPr>
        <w:t>בהחלטת הממשלה על הסכמי הגג נקבע</w:t>
      </w:r>
      <w:r w:rsidRPr="00E27BA6">
        <w:rPr>
          <w:rFonts w:hint="cs"/>
          <w:rtl/>
        </w:rPr>
        <w:t xml:space="preserve"> </w:t>
      </w:r>
      <w:r>
        <w:rPr>
          <w:rFonts w:hint="cs"/>
          <w:rtl/>
        </w:rPr>
        <w:t>קצב</w:t>
      </w:r>
      <w:r w:rsidRPr="00E27BA6">
        <w:rPr>
          <w:rFonts w:hint="cs"/>
          <w:rtl/>
        </w:rPr>
        <w:t xml:space="preserve"> השיווק לקרקעות למגורים בלבד -</w:t>
      </w:r>
      <w:r>
        <w:rPr>
          <w:rFonts w:hint="cs"/>
          <w:rtl/>
        </w:rPr>
        <w:t xml:space="preserve"> שיווק קרקע לבניית 2,000 יח"ד בשנה - ולא נקבע קצב שיווק הקרקעות למסחר ותעסוקה. אולם כאמור מאחר ששיווק קרקעות למסחר ותעסוקה חשוב לשמירה על חוסנה הפיננסי של הרשות המקומית, יש לצפות כי קצב שיווק הקרקעות למגורים יהיה בהלימה לקצב השיווק של הקרקעות למסחר ותעסוקה במסגרת הסכמי הגג.</w:t>
      </w:r>
    </w:p>
    <w:p w14:paraId="55F1B433" w14:textId="77777777" w:rsidR="000A4591" w:rsidRDefault="000A4591" w:rsidP="00BB51E9">
      <w:pPr>
        <w:pStyle w:val="71f5"/>
        <w:rPr>
          <w:sz w:val="24"/>
          <w:rtl/>
        </w:rPr>
      </w:pPr>
      <w:r w:rsidRPr="00E1385B">
        <w:rPr>
          <w:rtl/>
        </w:rPr>
        <w:t xml:space="preserve">בפועל, עד </w:t>
      </w:r>
      <w:r w:rsidRPr="00E1385B">
        <w:rPr>
          <w:rFonts w:hint="eastAsia"/>
          <w:rtl/>
        </w:rPr>
        <w:t>יוני</w:t>
      </w:r>
      <w:r w:rsidRPr="00E1385B">
        <w:rPr>
          <w:rtl/>
        </w:rPr>
        <w:t xml:space="preserve"> 2020 </w:t>
      </w:r>
      <w:r w:rsidRPr="00E1385B">
        <w:rPr>
          <w:rFonts w:hint="eastAsia"/>
          <w:rtl/>
        </w:rPr>
        <w:t>שווקו</w:t>
      </w:r>
      <w:r w:rsidRPr="00E1385B">
        <w:rPr>
          <w:rtl/>
        </w:rPr>
        <w:t xml:space="preserve"> </w:t>
      </w:r>
      <w:r w:rsidRPr="00E1385B">
        <w:rPr>
          <w:rFonts w:hint="eastAsia"/>
          <w:rtl/>
        </w:rPr>
        <w:t>בהצלחה</w:t>
      </w:r>
      <w:r w:rsidRPr="00E1385B">
        <w:rPr>
          <w:rtl/>
        </w:rPr>
        <w:t xml:space="preserve"> </w:t>
      </w:r>
      <w:r>
        <w:rPr>
          <w:rFonts w:hint="cs"/>
          <w:rtl/>
        </w:rPr>
        <w:t xml:space="preserve">רק </w:t>
      </w:r>
      <w:r w:rsidRPr="00E1385B">
        <w:rPr>
          <w:rFonts w:hint="eastAsia"/>
          <w:rtl/>
        </w:rPr>
        <w:t>כ</w:t>
      </w:r>
      <w:r w:rsidRPr="00E1385B">
        <w:rPr>
          <w:rtl/>
        </w:rPr>
        <w:t>-7% מ</w:t>
      </w:r>
      <w:r>
        <w:rPr>
          <w:rFonts w:hint="cs"/>
          <w:rtl/>
        </w:rPr>
        <w:t>ה</w:t>
      </w:r>
      <w:r w:rsidRPr="00E1385B">
        <w:rPr>
          <w:rFonts w:hint="eastAsia"/>
          <w:rtl/>
        </w:rPr>
        <w:t>קרקעות</w:t>
      </w:r>
      <w:r>
        <w:rPr>
          <w:rFonts w:hint="cs"/>
          <w:rtl/>
        </w:rPr>
        <w:t xml:space="preserve"> למסחר ותעסוקה</w:t>
      </w:r>
      <w:r w:rsidRPr="00E1385B">
        <w:rPr>
          <w:rtl/>
        </w:rPr>
        <w:t xml:space="preserve"> שנ</w:t>
      </w:r>
      <w:r w:rsidRPr="00E1385B">
        <w:rPr>
          <w:rFonts w:hint="eastAsia"/>
          <w:rtl/>
        </w:rPr>
        <w:t>כללו</w:t>
      </w:r>
      <w:r w:rsidRPr="00E1385B">
        <w:rPr>
          <w:rtl/>
        </w:rPr>
        <w:t xml:space="preserve"> </w:t>
      </w:r>
      <w:r w:rsidRPr="00E1385B">
        <w:rPr>
          <w:rFonts w:hint="eastAsia"/>
          <w:rtl/>
        </w:rPr>
        <w:t>בתוכניות</w:t>
      </w:r>
      <w:r w:rsidRPr="00E1385B">
        <w:rPr>
          <w:rtl/>
        </w:rPr>
        <w:t xml:space="preserve"> </w:t>
      </w:r>
      <w:r w:rsidRPr="00E1385B">
        <w:rPr>
          <w:rFonts w:hint="eastAsia"/>
          <w:rtl/>
        </w:rPr>
        <w:t>ש</w:t>
      </w:r>
      <w:r w:rsidRPr="00E1385B">
        <w:rPr>
          <w:rtl/>
        </w:rPr>
        <w:t xml:space="preserve">בהסכמי הגג, </w:t>
      </w:r>
      <w:r w:rsidRPr="00E1385B">
        <w:rPr>
          <w:rFonts w:hint="eastAsia"/>
          <w:rtl/>
        </w:rPr>
        <w:t>במונחי</w:t>
      </w:r>
      <w:r w:rsidRPr="00E1385B">
        <w:rPr>
          <w:rtl/>
        </w:rPr>
        <w:t xml:space="preserve"> מ"ר בנוי</w:t>
      </w:r>
      <w:r>
        <w:rPr>
          <w:rFonts w:hint="cs"/>
          <w:sz w:val="24"/>
          <w:rtl/>
        </w:rPr>
        <w:t>.</w:t>
      </w:r>
    </w:p>
    <w:p w14:paraId="34559403" w14:textId="77777777" w:rsidR="000A4591" w:rsidRDefault="000A4591" w:rsidP="00BB51E9">
      <w:pPr>
        <w:pStyle w:val="7190"/>
        <w:rPr>
          <w:rtl/>
        </w:rPr>
      </w:pPr>
      <w:r w:rsidRPr="008F5794">
        <w:rPr>
          <w:rFonts w:hint="cs"/>
          <w:rtl/>
        </w:rPr>
        <w:t xml:space="preserve">רמ"י מסרה בתשובתה כי היא </w:t>
      </w:r>
      <w:r w:rsidRPr="008F5794">
        <w:rPr>
          <w:rtl/>
        </w:rPr>
        <w:t>פועלת לשיווק כלל שטחי המסחר והתעסוקה הזמינים בכפוף לאישור</w:t>
      </w:r>
      <w:r w:rsidRPr="008F5794">
        <w:rPr>
          <w:rFonts w:hint="cs"/>
          <w:rtl/>
        </w:rPr>
        <w:t>ם</w:t>
      </w:r>
      <w:r w:rsidRPr="008F5794">
        <w:rPr>
          <w:rtl/>
        </w:rPr>
        <w:t xml:space="preserve"> הסטטוטורי וזמינות</w:t>
      </w:r>
      <w:r w:rsidRPr="008F5794">
        <w:rPr>
          <w:rFonts w:hint="cs"/>
          <w:rtl/>
        </w:rPr>
        <w:t>ם</w:t>
      </w:r>
      <w:r w:rsidRPr="008F5794">
        <w:rPr>
          <w:rtl/>
        </w:rPr>
        <w:t xml:space="preserve"> למימוש על פי </w:t>
      </w:r>
      <w:r w:rsidRPr="008F5794">
        <w:rPr>
          <w:rFonts w:hint="cs"/>
          <w:rtl/>
        </w:rPr>
        <w:t>ה</w:t>
      </w:r>
      <w:r w:rsidRPr="008F5794">
        <w:rPr>
          <w:rtl/>
        </w:rPr>
        <w:t>ת</w:t>
      </w:r>
      <w:r w:rsidRPr="008F5794">
        <w:rPr>
          <w:rFonts w:hint="cs"/>
          <w:rtl/>
        </w:rPr>
        <w:t>ו</w:t>
      </w:r>
      <w:r w:rsidRPr="008F5794">
        <w:rPr>
          <w:rtl/>
        </w:rPr>
        <w:t>כניות שבתוקף.</w:t>
      </w:r>
      <w:r w:rsidRPr="00592851">
        <w:rPr>
          <w:rtl/>
        </w:rPr>
        <w:t xml:space="preserve"> </w:t>
      </w:r>
    </w:p>
    <w:p w14:paraId="161C162B" w14:textId="77777777" w:rsidR="000A4591" w:rsidRDefault="000A4591" w:rsidP="00BB51E9">
      <w:pPr>
        <w:pStyle w:val="7190"/>
        <w:rPr>
          <w:rtl/>
        </w:rPr>
      </w:pPr>
      <w:r>
        <w:rPr>
          <w:rFonts w:hint="cs"/>
          <w:rtl/>
        </w:rPr>
        <w:t>משרד מבקר המדינה בדק את שיעור השיווק של קרקעות למגורים לעומת שיעור השיווק של קרקעות למסחר ותעסוקה ב-25 רשויות מקומיות שחתמו על הסכמי גג עד סוף שנת 2017, קרי הסכמים שניתן היה לצפות כי במועד הבדיקה (יוני 2020) - שנתיים וחצי לאחר החתימה - יהיו בשלבי יישום מתקדמים יחסית. בתרשים 13</w:t>
      </w:r>
      <w:r w:rsidRPr="005412F3">
        <w:rPr>
          <w:rFonts w:hint="cs"/>
          <w:rtl/>
        </w:rPr>
        <w:t xml:space="preserve"> </w:t>
      </w:r>
      <w:r>
        <w:rPr>
          <w:rFonts w:hint="cs"/>
          <w:rtl/>
        </w:rPr>
        <w:t xml:space="preserve">להלן מוצג שיעור הקרקעות למגורים ששווקו </w:t>
      </w:r>
      <w:r w:rsidRPr="003125AE">
        <w:rPr>
          <w:rFonts w:hint="cs"/>
          <w:rtl/>
        </w:rPr>
        <w:t>בהצלחה</w:t>
      </w:r>
      <w:r>
        <w:rPr>
          <w:rFonts w:hint="cs"/>
          <w:rtl/>
        </w:rPr>
        <w:t xml:space="preserve"> (לפי מס' יח"ד) מתוך הקרקעות הנכללות בתוכניות שבהסכם ובהתאם להן</w:t>
      </w:r>
      <w:r>
        <w:rPr>
          <w:rStyle w:val="a9"/>
          <w:sz w:val="24"/>
          <w:rtl/>
        </w:rPr>
        <w:footnoteReference w:id="93"/>
      </w:r>
      <w:r>
        <w:rPr>
          <w:rFonts w:hint="cs"/>
          <w:rtl/>
        </w:rPr>
        <w:t xml:space="preserve"> לעומת שיעור הקרקעות למסחר ותעסוקה ששווקו </w:t>
      </w:r>
      <w:r w:rsidRPr="003125AE">
        <w:rPr>
          <w:rFonts w:hint="cs"/>
          <w:rtl/>
        </w:rPr>
        <w:t>בהצלחה</w:t>
      </w:r>
      <w:r>
        <w:rPr>
          <w:rFonts w:hint="cs"/>
          <w:rtl/>
        </w:rPr>
        <w:t xml:space="preserve"> (לפי מ"ר של שטח בנוי בהתאם לתוכניות) מתוך כלל הקרקעות למסחר ותעסוקה הנכללות בתוכניות שבהסכם, לפי הנתונים לשנת 2020:</w:t>
      </w:r>
    </w:p>
    <w:p w14:paraId="4A3BAE59" w14:textId="2A17531D" w:rsidR="000A4591" w:rsidRDefault="00853BE2" w:rsidP="00BB51E9">
      <w:pPr>
        <w:pStyle w:val="71b"/>
        <w:rPr>
          <w:noProof/>
          <w:rtl/>
        </w:rPr>
      </w:pPr>
      <w:r>
        <w:rPr>
          <w:noProof/>
          <w:rtl/>
          <w:lang w:val="he-IL"/>
        </w:rPr>
        <w:lastRenderedPageBreak/>
        <w:drawing>
          <wp:anchor distT="0" distB="0" distL="114300" distR="114300" simplePos="0" relativeHeight="252137984" behindDoc="0" locked="0" layoutInCell="1" allowOverlap="1" wp14:anchorId="593B666C" wp14:editId="4CE12EFF">
            <wp:simplePos x="0" y="0"/>
            <wp:positionH relativeFrom="column">
              <wp:posOffset>475615</wp:posOffset>
            </wp:positionH>
            <wp:positionV relativeFrom="paragraph">
              <wp:posOffset>579120</wp:posOffset>
            </wp:positionV>
            <wp:extent cx="3672000" cy="6092320"/>
            <wp:effectExtent l="0" t="0" r="5080" b="3810"/>
            <wp:wrapSquare wrapText="bothSides"/>
            <wp:docPr id="3788748" name="Picture 378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8" name="Picture 378874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72000" cy="6092320"/>
                    </a:xfrm>
                    <a:prstGeom prst="rect">
                      <a:avLst/>
                    </a:prstGeom>
                  </pic:spPr>
                </pic:pic>
              </a:graphicData>
            </a:graphic>
            <wp14:sizeRelH relativeFrom="margin">
              <wp14:pctWidth>0</wp14:pctWidth>
            </wp14:sizeRelH>
            <wp14:sizeRelV relativeFrom="margin">
              <wp14:pctHeight>0</wp14:pctHeight>
            </wp14:sizeRelV>
          </wp:anchor>
        </w:drawing>
      </w:r>
      <w:r w:rsidR="000A4591" w:rsidRPr="00BB51E9">
        <w:rPr>
          <w:rFonts w:hint="cs"/>
          <w:b w:val="0"/>
          <w:bCs w:val="0"/>
          <w:noProof/>
          <w:rtl/>
        </w:rPr>
        <w:t>תרשים 13:</w:t>
      </w:r>
      <w:r w:rsidR="000A4591" w:rsidRPr="00A613D9">
        <w:rPr>
          <w:rFonts w:hint="cs"/>
          <w:noProof/>
          <w:rtl/>
        </w:rPr>
        <w:t xml:space="preserve"> שיעור שיווק קרקע ליח"ד </w:t>
      </w:r>
      <w:r w:rsidR="000A4591">
        <w:rPr>
          <w:rFonts w:hint="cs"/>
          <w:noProof/>
          <w:rtl/>
        </w:rPr>
        <w:t>לעומת</w:t>
      </w:r>
      <w:r w:rsidR="000A4591" w:rsidRPr="00A613D9">
        <w:rPr>
          <w:rFonts w:hint="cs"/>
          <w:noProof/>
          <w:rtl/>
        </w:rPr>
        <w:t xml:space="preserve"> שיעור השיווק של קרקעות למסחר ותעסוקה ברשויות מקומיות שחתמו על הסכם הגג עד סוף 2017</w:t>
      </w:r>
      <w:r w:rsidR="000A4591">
        <w:rPr>
          <w:rFonts w:hint="cs"/>
          <w:noProof/>
          <w:rtl/>
        </w:rPr>
        <w:t>, לפי נתונים מעודכנים לשנת 2020</w:t>
      </w:r>
    </w:p>
    <w:p w14:paraId="6A6546E7" w14:textId="1F055194" w:rsidR="009609B3" w:rsidRPr="00A613D9" w:rsidRDefault="009609B3" w:rsidP="00BB51E9">
      <w:pPr>
        <w:pStyle w:val="71b"/>
        <w:rPr>
          <w:noProof/>
          <w:rtl/>
        </w:rPr>
      </w:pPr>
    </w:p>
    <w:p w14:paraId="532CD6EF" w14:textId="77777777" w:rsidR="009609B3" w:rsidRDefault="009609B3" w:rsidP="00BB51E9">
      <w:pPr>
        <w:pStyle w:val="71d"/>
        <w:rPr>
          <w:rtl/>
        </w:rPr>
      </w:pPr>
    </w:p>
    <w:p w14:paraId="4AFC687E" w14:textId="77777777" w:rsidR="009609B3" w:rsidRDefault="009609B3" w:rsidP="00BB51E9">
      <w:pPr>
        <w:pStyle w:val="71d"/>
        <w:rPr>
          <w:rtl/>
        </w:rPr>
      </w:pPr>
    </w:p>
    <w:p w14:paraId="7E45D9FA" w14:textId="77777777" w:rsidR="009609B3" w:rsidRDefault="009609B3" w:rsidP="00BB51E9">
      <w:pPr>
        <w:pStyle w:val="71d"/>
        <w:rPr>
          <w:rtl/>
        </w:rPr>
      </w:pPr>
    </w:p>
    <w:p w14:paraId="16C317CF" w14:textId="77777777" w:rsidR="009609B3" w:rsidRDefault="009609B3" w:rsidP="00BB51E9">
      <w:pPr>
        <w:pStyle w:val="71d"/>
        <w:rPr>
          <w:rtl/>
        </w:rPr>
      </w:pPr>
    </w:p>
    <w:p w14:paraId="09C26B87" w14:textId="77777777" w:rsidR="009609B3" w:rsidRDefault="009609B3" w:rsidP="00BB51E9">
      <w:pPr>
        <w:pStyle w:val="71d"/>
        <w:rPr>
          <w:rtl/>
        </w:rPr>
      </w:pPr>
    </w:p>
    <w:p w14:paraId="6357BEBC" w14:textId="77777777" w:rsidR="009609B3" w:rsidRDefault="009609B3" w:rsidP="00BB51E9">
      <w:pPr>
        <w:pStyle w:val="71d"/>
        <w:rPr>
          <w:rtl/>
        </w:rPr>
      </w:pPr>
    </w:p>
    <w:p w14:paraId="1A12D75D" w14:textId="77777777" w:rsidR="009609B3" w:rsidRDefault="009609B3" w:rsidP="00BB51E9">
      <w:pPr>
        <w:pStyle w:val="71d"/>
        <w:rPr>
          <w:rtl/>
        </w:rPr>
      </w:pPr>
    </w:p>
    <w:p w14:paraId="36DCEF93" w14:textId="77777777" w:rsidR="009609B3" w:rsidRDefault="009609B3" w:rsidP="00BB51E9">
      <w:pPr>
        <w:pStyle w:val="71d"/>
        <w:rPr>
          <w:rtl/>
        </w:rPr>
      </w:pPr>
    </w:p>
    <w:p w14:paraId="259C79FD" w14:textId="77777777" w:rsidR="009609B3" w:rsidRDefault="009609B3" w:rsidP="00BB51E9">
      <w:pPr>
        <w:pStyle w:val="71d"/>
        <w:rPr>
          <w:rtl/>
        </w:rPr>
      </w:pPr>
    </w:p>
    <w:p w14:paraId="58C53A8B" w14:textId="77777777" w:rsidR="009609B3" w:rsidRDefault="009609B3" w:rsidP="00BB51E9">
      <w:pPr>
        <w:pStyle w:val="71d"/>
        <w:rPr>
          <w:rtl/>
        </w:rPr>
      </w:pPr>
    </w:p>
    <w:p w14:paraId="0C23E5EA" w14:textId="77777777" w:rsidR="009609B3" w:rsidRDefault="009609B3" w:rsidP="00BB51E9">
      <w:pPr>
        <w:pStyle w:val="71d"/>
        <w:rPr>
          <w:rtl/>
        </w:rPr>
      </w:pPr>
    </w:p>
    <w:p w14:paraId="78D984CC" w14:textId="77777777" w:rsidR="009609B3" w:rsidRDefault="009609B3" w:rsidP="00BB51E9">
      <w:pPr>
        <w:pStyle w:val="71d"/>
        <w:rPr>
          <w:rtl/>
        </w:rPr>
      </w:pPr>
    </w:p>
    <w:p w14:paraId="66BE7DD8" w14:textId="77777777" w:rsidR="009609B3" w:rsidRDefault="009609B3" w:rsidP="00BB51E9">
      <w:pPr>
        <w:pStyle w:val="71d"/>
        <w:rPr>
          <w:rtl/>
        </w:rPr>
      </w:pPr>
    </w:p>
    <w:p w14:paraId="41DA436E" w14:textId="77777777" w:rsidR="009609B3" w:rsidRDefault="009609B3" w:rsidP="00BB51E9">
      <w:pPr>
        <w:pStyle w:val="71d"/>
        <w:rPr>
          <w:rtl/>
        </w:rPr>
      </w:pPr>
    </w:p>
    <w:p w14:paraId="2671CD30" w14:textId="77777777" w:rsidR="009609B3" w:rsidRDefault="009609B3" w:rsidP="00BB51E9">
      <w:pPr>
        <w:pStyle w:val="71d"/>
        <w:rPr>
          <w:rtl/>
        </w:rPr>
      </w:pPr>
    </w:p>
    <w:p w14:paraId="0D701A9D" w14:textId="77777777" w:rsidR="009609B3" w:rsidRDefault="009609B3" w:rsidP="00BB51E9">
      <w:pPr>
        <w:pStyle w:val="71d"/>
        <w:rPr>
          <w:rtl/>
        </w:rPr>
      </w:pPr>
    </w:p>
    <w:p w14:paraId="0D07FBAE" w14:textId="77777777" w:rsidR="009609B3" w:rsidRDefault="009609B3" w:rsidP="00BB51E9">
      <w:pPr>
        <w:pStyle w:val="71d"/>
        <w:rPr>
          <w:rtl/>
        </w:rPr>
      </w:pPr>
    </w:p>
    <w:p w14:paraId="1FEEDEB2" w14:textId="77777777" w:rsidR="009609B3" w:rsidRDefault="009609B3" w:rsidP="00BB51E9">
      <w:pPr>
        <w:pStyle w:val="71d"/>
        <w:rPr>
          <w:rtl/>
        </w:rPr>
      </w:pPr>
    </w:p>
    <w:p w14:paraId="03B778C0" w14:textId="29E2173A" w:rsidR="000A4591" w:rsidRDefault="000A4591" w:rsidP="00BB51E9">
      <w:pPr>
        <w:pStyle w:val="71d"/>
        <w:rPr>
          <w:rtl/>
        </w:rPr>
      </w:pPr>
      <w:r>
        <w:rPr>
          <w:rFonts w:hint="cs"/>
          <w:rtl/>
        </w:rPr>
        <w:t xml:space="preserve">על פי </w:t>
      </w:r>
      <w:r w:rsidRPr="00BE3538">
        <w:rPr>
          <w:rFonts w:hint="cs"/>
          <w:rtl/>
        </w:rPr>
        <w:t>נתוני רמ"י</w:t>
      </w:r>
      <w:r>
        <w:rPr>
          <w:rFonts w:hint="cs"/>
          <w:rtl/>
        </w:rPr>
        <w:t>,</w:t>
      </w:r>
      <w:r w:rsidRPr="00BE3538">
        <w:rPr>
          <w:rFonts w:hint="cs"/>
          <w:rtl/>
        </w:rPr>
        <w:t xml:space="preserve"> בעיבוד משרד מבקר המדינה.</w:t>
      </w:r>
    </w:p>
    <w:p w14:paraId="09935ACC" w14:textId="77777777" w:rsidR="000A4591" w:rsidRPr="00655CF5" w:rsidRDefault="000A4591" w:rsidP="00BB51E9">
      <w:pPr>
        <w:pStyle w:val="71b"/>
        <w:rPr>
          <w:rtl/>
        </w:rPr>
      </w:pPr>
      <w:r w:rsidRPr="00BB51E9">
        <w:rPr>
          <w:b w:val="0"/>
          <w:bCs w:val="0"/>
          <w:rtl/>
        </w:rPr>
        <w:lastRenderedPageBreak/>
        <w:t>תרשים</w:t>
      </w:r>
      <w:r w:rsidRPr="00BB51E9">
        <w:rPr>
          <w:rFonts w:hint="cs"/>
          <w:b w:val="0"/>
          <w:bCs w:val="0"/>
          <w:rtl/>
        </w:rPr>
        <w:t xml:space="preserve"> 14</w:t>
      </w:r>
      <w:r w:rsidRPr="00BB51E9">
        <w:rPr>
          <w:b w:val="0"/>
          <w:bCs w:val="0"/>
          <w:rtl/>
        </w:rPr>
        <w:t>:</w:t>
      </w:r>
      <w:r w:rsidRPr="008F3D96">
        <w:rPr>
          <w:rtl/>
        </w:rPr>
        <w:t xml:space="preserve"> </w:t>
      </w:r>
      <w:r>
        <w:rPr>
          <w:rFonts w:hint="cs"/>
          <w:rtl/>
        </w:rPr>
        <w:t>ה</w:t>
      </w:r>
      <w:r w:rsidRPr="008F3D96">
        <w:rPr>
          <w:rtl/>
        </w:rPr>
        <w:t xml:space="preserve">שיעור </w:t>
      </w:r>
      <w:r>
        <w:rPr>
          <w:rFonts w:hint="cs"/>
          <w:rtl/>
        </w:rPr>
        <w:t>הממוצע של ה</w:t>
      </w:r>
      <w:r w:rsidRPr="008F3D96">
        <w:rPr>
          <w:rtl/>
        </w:rPr>
        <w:t>שיווק בהצלחה של שטחי מסחר ותעסוקה ל</w:t>
      </w:r>
      <w:r>
        <w:rPr>
          <w:rFonts w:hint="cs"/>
          <w:rtl/>
        </w:rPr>
        <w:t>פי ה</w:t>
      </w:r>
      <w:r w:rsidRPr="008F3D96">
        <w:rPr>
          <w:rtl/>
        </w:rPr>
        <w:t>אשכול החברתי</w:t>
      </w:r>
      <w:r>
        <w:rPr>
          <w:rFonts w:hint="cs"/>
          <w:rtl/>
        </w:rPr>
        <w:t>-</w:t>
      </w:r>
      <w:r w:rsidRPr="008F3D96">
        <w:rPr>
          <w:rtl/>
        </w:rPr>
        <w:t>כלכלי של הרשויות</w:t>
      </w:r>
    </w:p>
    <w:p w14:paraId="750EE7B3" w14:textId="46F645D8" w:rsidR="000A4591" w:rsidRPr="000826C2" w:rsidRDefault="00E30B49" w:rsidP="000A4591">
      <w:pPr>
        <w:rPr>
          <w:rtl/>
        </w:rPr>
      </w:pPr>
      <w:r>
        <w:rPr>
          <w:noProof/>
          <w:rtl/>
          <w:lang w:val="he-IL"/>
        </w:rPr>
        <w:drawing>
          <wp:inline distT="0" distB="0" distL="0" distR="0" wp14:anchorId="70E2452F" wp14:editId="2AB175D4">
            <wp:extent cx="4679950" cy="2194560"/>
            <wp:effectExtent l="0" t="0" r="6350" b="0"/>
            <wp:docPr id="3788761" name="Picture 37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1" name="Picture 3788761"/>
                    <pic:cNvPicPr/>
                  </pic:nvPicPr>
                  <pic:blipFill rotWithShape="1">
                    <a:blip r:embed="rId51" cstate="print">
                      <a:extLst>
                        <a:ext uri="{28A0092B-C50C-407E-A947-70E740481C1C}">
                          <a14:useLocalDpi xmlns:a14="http://schemas.microsoft.com/office/drawing/2010/main" val="0"/>
                        </a:ext>
                      </a:extLst>
                    </a:blip>
                    <a:srcRect t="6646" b="13614"/>
                    <a:stretch/>
                  </pic:blipFill>
                  <pic:spPr bwMode="auto">
                    <a:xfrm>
                      <a:off x="0" y="0"/>
                      <a:ext cx="4679950" cy="2194560"/>
                    </a:xfrm>
                    <a:prstGeom prst="rect">
                      <a:avLst/>
                    </a:prstGeom>
                    <a:ln>
                      <a:noFill/>
                    </a:ln>
                    <a:extLst>
                      <a:ext uri="{53640926-AAD7-44D8-BBD7-CCE9431645EC}">
                        <a14:shadowObscured xmlns:a14="http://schemas.microsoft.com/office/drawing/2010/main"/>
                      </a:ext>
                    </a:extLst>
                  </pic:spPr>
                </pic:pic>
              </a:graphicData>
            </a:graphic>
          </wp:inline>
        </w:drawing>
      </w:r>
    </w:p>
    <w:p w14:paraId="57DBA294" w14:textId="77777777" w:rsidR="000A4591" w:rsidRPr="004A1C84" w:rsidRDefault="000A4591" w:rsidP="00E30B49">
      <w:pPr>
        <w:pStyle w:val="71d"/>
        <w:spacing w:before="0"/>
        <w:rPr>
          <w:rtl/>
        </w:rPr>
      </w:pPr>
      <w:r>
        <w:rPr>
          <w:rFonts w:hint="cs"/>
          <w:rtl/>
        </w:rPr>
        <w:t xml:space="preserve">על פי </w:t>
      </w:r>
      <w:r w:rsidRPr="004A1C84">
        <w:rPr>
          <w:rtl/>
        </w:rPr>
        <w:t xml:space="preserve">נתוני רמ"י </w:t>
      </w:r>
      <w:r w:rsidRPr="004A1C84">
        <w:rPr>
          <w:rFonts w:hint="cs"/>
          <w:rtl/>
        </w:rPr>
        <w:t>והלמ"ס</w:t>
      </w:r>
      <w:r>
        <w:rPr>
          <w:rFonts w:hint="cs"/>
          <w:rtl/>
        </w:rPr>
        <w:t>,</w:t>
      </w:r>
      <w:r w:rsidRPr="004A1C84">
        <w:rPr>
          <w:rFonts w:hint="cs"/>
          <w:rtl/>
        </w:rPr>
        <w:t xml:space="preserve"> </w:t>
      </w:r>
      <w:r w:rsidRPr="004A1C84">
        <w:rPr>
          <w:rtl/>
        </w:rPr>
        <w:t>בעיבוד משרד מבקר המדינה.</w:t>
      </w:r>
    </w:p>
    <w:p w14:paraId="2E5A9649" w14:textId="37CA801C" w:rsidR="000A4591" w:rsidRDefault="000A4591" w:rsidP="009B7DF1">
      <w:pPr>
        <w:pStyle w:val="7190"/>
        <w:rPr>
          <w:szCs w:val="20"/>
        </w:rPr>
      </w:pPr>
      <w:r>
        <w:rPr>
          <w:rFonts w:hint="cs"/>
          <w:rtl/>
        </w:rPr>
        <w:t>מהתרשים עולה כי ב-11 הרשויות המדורגות באשכול חברתי כלכלי</w:t>
      </w:r>
      <w:r>
        <w:rPr>
          <w:rStyle w:val="a9"/>
          <w:rtl/>
        </w:rPr>
        <w:footnoteReference w:id="94"/>
      </w:r>
      <w:r>
        <w:rPr>
          <w:rFonts w:hint="cs"/>
          <w:rtl/>
        </w:rPr>
        <w:t xml:space="preserve"> 1 עד 3 ובאשכול חברתי כלכלי 7 עד 10 היה </w:t>
      </w:r>
      <w:r w:rsidRPr="00655CF5">
        <w:rPr>
          <w:rtl/>
        </w:rPr>
        <w:t xml:space="preserve">שיעור </w:t>
      </w:r>
      <w:r>
        <w:rPr>
          <w:rFonts w:hint="cs"/>
          <w:rtl/>
        </w:rPr>
        <w:t>ה</w:t>
      </w:r>
      <w:r w:rsidRPr="00655CF5">
        <w:rPr>
          <w:rtl/>
        </w:rPr>
        <w:t xml:space="preserve">שיווק בהצלחה </w:t>
      </w:r>
      <w:r>
        <w:rPr>
          <w:rFonts w:hint="cs"/>
          <w:rtl/>
        </w:rPr>
        <w:t>ה</w:t>
      </w:r>
      <w:r w:rsidRPr="000D229C">
        <w:rPr>
          <w:rtl/>
        </w:rPr>
        <w:t>ממוצע</w:t>
      </w:r>
      <w:r w:rsidRPr="00FA000B">
        <w:rPr>
          <w:rtl/>
        </w:rPr>
        <w:t xml:space="preserve"> </w:t>
      </w:r>
      <w:r w:rsidRPr="00655CF5">
        <w:rPr>
          <w:rtl/>
        </w:rPr>
        <w:t>של שטחי מסחר ותעסוקה</w:t>
      </w:r>
      <w:r>
        <w:rPr>
          <w:rFonts w:hint="cs"/>
          <w:rtl/>
        </w:rPr>
        <w:t xml:space="preserve"> בין 19% </w:t>
      </w:r>
      <w:r w:rsidR="009B7DF1">
        <w:rPr>
          <w:rFonts w:hint="cs"/>
          <w:rtl/>
        </w:rPr>
        <w:t xml:space="preserve">               </w:t>
      </w:r>
      <w:r>
        <w:rPr>
          <w:rFonts w:hint="cs"/>
          <w:rtl/>
        </w:rPr>
        <w:t xml:space="preserve">ל-24%. לעומת זאת, ברשויות המדורגות באשכול חברתי כלכלי 4 עד 6 </w:t>
      </w:r>
      <w:r w:rsidRPr="00FA000B">
        <w:rPr>
          <w:rtl/>
        </w:rPr>
        <w:t xml:space="preserve">שיעור השיווק בהצלחה הממוצע של שטחי מסחר ותעסוקה </w:t>
      </w:r>
      <w:r>
        <w:rPr>
          <w:rFonts w:hint="cs"/>
          <w:rtl/>
        </w:rPr>
        <w:t>היה 5% בלבד.</w:t>
      </w:r>
    </w:p>
    <w:p w14:paraId="29E68B1D" w14:textId="77777777" w:rsidR="000A4591" w:rsidRDefault="000A4591" w:rsidP="009B7DF1">
      <w:pPr>
        <w:pStyle w:val="71f5"/>
        <w:rPr>
          <w:highlight w:val="yellow"/>
          <w:rtl/>
        </w:rPr>
      </w:pPr>
      <w:r w:rsidRPr="001659B5">
        <w:rPr>
          <w:rFonts w:hint="cs"/>
          <w:rtl/>
        </w:rPr>
        <w:t>מהנתונים עולה כי</w:t>
      </w:r>
      <w:r>
        <w:rPr>
          <w:rFonts w:hint="cs"/>
          <w:rtl/>
        </w:rPr>
        <w:t xml:space="preserve"> שווקו כ-1.3 מיליון מ"ר (כ-7%) מכלל 17.6 מיליון מ"ר של שטחי מסחר ותעסוקה הנכללים בתוכניות שבהסכמי הגג. עוד עולה כי</w:t>
      </w:r>
      <w:r w:rsidRPr="001659B5">
        <w:rPr>
          <w:rFonts w:hint="cs"/>
          <w:rtl/>
        </w:rPr>
        <w:t xml:space="preserve"> </w:t>
      </w:r>
      <w:r>
        <w:rPr>
          <w:rFonts w:hint="cs"/>
          <w:rtl/>
        </w:rPr>
        <w:t>ב-13 (</w:t>
      </w:r>
      <w:r w:rsidRPr="001659B5">
        <w:rPr>
          <w:rFonts w:hint="cs"/>
          <w:rtl/>
        </w:rPr>
        <w:t>כ-52%</w:t>
      </w:r>
      <w:r>
        <w:rPr>
          <w:rFonts w:hint="cs"/>
          <w:rtl/>
        </w:rPr>
        <w:t>)</w:t>
      </w:r>
      <w:r w:rsidRPr="001659B5">
        <w:rPr>
          <w:rFonts w:hint="cs"/>
          <w:rtl/>
        </w:rPr>
        <w:t xml:space="preserve"> מ</w:t>
      </w:r>
      <w:r>
        <w:rPr>
          <w:rFonts w:hint="cs"/>
          <w:rtl/>
        </w:rPr>
        <w:t xml:space="preserve">-25 </w:t>
      </w:r>
      <w:r w:rsidRPr="001659B5">
        <w:rPr>
          <w:rFonts w:hint="cs"/>
          <w:rtl/>
        </w:rPr>
        <w:t>הרשויות שחתמו על הסכמי הגג עד סוף</w:t>
      </w:r>
      <w:r>
        <w:rPr>
          <w:rFonts w:hint="cs"/>
          <w:rtl/>
        </w:rPr>
        <w:t xml:space="preserve"> שנת</w:t>
      </w:r>
      <w:r w:rsidRPr="001659B5">
        <w:rPr>
          <w:rFonts w:hint="cs"/>
          <w:rtl/>
        </w:rPr>
        <w:t xml:space="preserve"> 2017</w:t>
      </w:r>
      <w:r>
        <w:rPr>
          <w:rFonts w:hint="cs"/>
          <w:rtl/>
        </w:rPr>
        <w:t>,</w:t>
      </w:r>
      <w:r w:rsidRPr="001659B5">
        <w:rPr>
          <w:rFonts w:hint="cs"/>
          <w:rtl/>
        </w:rPr>
        <w:t xml:space="preserve"> שיעור הקרקעות למגורים ששווקו בהצלחה (לפי מס' יח"ד) </w:t>
      </w:r>
      <w:r>
        <w:rPr>
          <w:rFonts w:hint="cs"/>
          <w:rtl/>
        </w:rPr>
        <w:t>מכלל</w:t>
      </w:r>
      <w:r w:rsidRPr="001659B5">
        <w:rPr>
          <w:rFonts w:hint="cs"/>
          <w:rtl/>
        </w:rPr>
        <w:t xml:space="preserve"> הקרקעות הנכללות בתוכניות שבהסכם</w:t>
      </w:r>
      <w:r w:rsidRPr="001659B5">
        <w:rPr>
          <w:rtl/>
        </w:rPr>
        <w:t xml:space="preserve"> היה </w:t>
      </w:r>
      <w:r>
        <w:rPr>
          <w:rFonts w:hint="cs"/>
          <w:rtl/>
        </w:rPr>
        <w:t>גדול</w:t>
      </w:r>
      <w:r w:rsidRPr="001659B5">
        <w:rPr>
          <w:rFonts w:hint="cs"/>
          <w:rtl/>
        </w:rPr>
        <w:t xml:space="preserve"> בכ-10% ויותר</w:t>
      </w:r>
      <w:r w:rsidRPr="001659B5">
        <w:rPr>
          <w:rtl/>
        </w:rPr>
        <w:t xml:space="preserve"> </w:t>
      </w:r>
      <w:r w:rsidRPr="001659B5">
        <w:rPr>
          <w:rFonts w:hint="cs"/>
          <w:rtl/>
        </w:rPr>
        <w:t xml:space="preserve">משיעור הקרקעות למסחר ותעסוקה ששווקו בהצלחה (לפי מ"ר של שטח בנוי </w:t>
      </w:r>
      <w:r>
        <w:rPr>
          <w:rFonts w:hint="cs"/>
          <w:rtl/>
        </w:rPr>
        <w:t>בהתאם ל</w:t>
      </w:r>
      <w:r w:rsidRPr="001659B5">
        <w:rPr>
          <w:rFonts w:hint="cs"/>
          <w:rtl/>
        </w:rPr>
        <w:t xml:space="preserve">תוכניות) מתוך </w:t>
      </w:r>
      <w:r>
        <w:rPr>
          <w:rFonts w:hint="cs"/>
          <w:rtl/>
        </w:rPr>
        <w:t>כלל</w:t>
      </w:r>
      <w:r w:rsidRPr="001659B5">
        <w:rPr>
          <w:rFonts w:hint="cs"/>
          <w:rtl/>
        </w:rPr>
        <w:t xml:space="preserve"> הקרקעות למסחר ותעסוקה הנכללות בתוכניות שבהסכם</w:t>
      </w:r>
      <w:r w:rsidRPr="009B7DF1">
        <w:rPr>
          <w:rStyle w:val="a9"/>
          <w:sz w:val="24"/>
          <w:rtl/>
        </w:rPr>
        <w:footnoteReference w:id="95"/>
      </w:r>
      <w:r w:rsidRPr="00871BDF">
        <w:rPr>
          <w:rFonts w:hint="cs"/>
          <w:rtl/>
        </w:rPr>
        <w:t>. לעומת זאת, ב-</w:t>
      </w:r>
      <w:r>
        <w:rPr>
          <w:rFonts w:hint="cs"/>
          <w:rtl/>
        </w:rPr>
        <w:t>5 (</w:t>
      </w:r>
      <w:r w:rsidRPr="00871BDF">
        <w:rPr>
          <w:rFonts w:hint="cs"/>
          <w:rtl/>
        </w:rPr>
        <w:t>20%</w:t>
      </w:r>
      <w:r>
        <w:rPr>
          <w:rFonts w:hint="cs"/>
          <w:rtl/>
        </w:rPr>
        <w:t>)</w:t>
      </w:r>
      <w:r w:rsidRPr="00871BDF">
        <w:rPr>
          <w:rFonts w:hint="cs"/>
          <w:rtl/>
        </w:rPr>
        <w:t xml:space="preserve"> מהרשויות</w:t>
      </w:r>
      <w:r>
        <w:rPr>
          <w:rFonts w:hint="cs"/>
          <w:rtl/>
        </w:rPr>
        <w:t xml:space="preserve"> </w:t>
      </w:r>
      <w:r w:rsidRPr="00871BDF">
        <w:rPr>
          <w:rFonts w:hint="cs"/>
          <w:rtl/>
        </w:rPr>
        <w:t xml:space="preserve">שיעור הקרקעות למסחר ותעסוקה ששווקו בהצלחה (לפי מ"ר של שטח בנוי לפי התוכניות) מתוך </w:t>
      </w:r>
      <w:r>
        <w:rPr>
          <w:rFonts w:hint="cs"/>
          <w:rtl/>
        </w:rPr>
        <w:t>כלל</w:t>
      </w:r>
      <w:r w:rsidRPr="00871BDF">
        <w:rPr>
          <w:rFonts w:hint="cs"/>
          <w:rtl/>
        </w:rPr>
        <w:t xml:space="preserve"> הקרקעות למסחר ותעסוקה הנכללות בתוכניות שבהסכם היה </w:t>
      </w:r>
      <w:r>
        <w:rPr>
          <w:rFonts w:hint="cs"/>
          <w:rtl/>
        </w:rPr>
        <w:t>גדול</w:t>
      </w:r>
      <w:r w:rsidRPr="00871BDF">
        <w:rPr>
          <w:rFonts w:hint="cs"/>
          <w:rtl/>
        </w:rPr>
        <w:t xml:space="preserve"> משיעור הקרקעות למגורים ששווקו בהצלחה (לפי מס' יח"ד) מתוך הקרקעות הנכללות בתוכניות שבהסכם</w:t>
      </w:r>
      <w:r w:rsidRPr="009B7DF1">
        <w:rPr>
          <w:rStyle w:val="a9"/>
          <w:sz w:val="24"/>
          <w:rtl/>
        </w:rPr>
        <w:footnoteReference w:id="96"/>
      </w:r>
      <w:r w:rsidRPr="009B7DF1">
        <w:rPr>
          <w:rFonts w:hint="cs"/>
          <w:rtl/>
        </w:rPr>
        <w:t>.</w:t>
      </w:r>
      <w:r w:rsidRPr="001659B5">
        <w:rPr>
          <w:rtl/>
        </w:rPr>
        <w:t xml:space="preserve"> </w:t>
      </w:r>
    </w:p>
    <w:p w14:paraId="4B6318D3" w14:textId="77777777" w:rsidR="000A4591" w:rsidRDefault="000A4591" w:rsidP="00B849F7">
      <w:pPr>
        <w:pStyle w:val="71f5"/>
        <w:ind w:right="284"/>
        <w:rPr>
          <w:rtl/>
        </w:rPr>
      </w:pPr>
      <w:r>
        <w:rPr>
          <w:rFonts w:hint="cs"/>
          <w:rtl/>
        </w:rPr>
        <w:lastRenderedPageBreak/>
        <w:t xml:space="preserve">עקב ההסתמכות של הרשויות במידה רבה על ההכנסות הצפויות להן מגביית ארנונה עסקית, הדבר </w:t>
      </w:r>
      <w:r w:rsidRPr="00D33EC3">
        <w:rPr>
          <w:rFonts w:hint="cs"/>
          <w:rtl/>
        </w:rPr>
        <w:t xml:space="preserve">עלול לפגוע </w:t>
      </w:r>
      <w:r>
        <w:rPr>
          <w:rFonts w:hint="cs"/>
          <w:rtl/>
        </w:rPr>
        <w:t>במצבן</w:t>
      </w:r>
      <w:r w:rsidRPr="00D33EC3">
        <w:rPr>
          <w:rFonts w:hint="cs"/>
          <w:rtl/>
        </w:rPr>
        <w:t xml:space="preserve"> הפיננסי </w:t>
      </w:r>
      <w:r>
        <w:rPr>
          <w:rFonts w:hint="cs"/>
          <w:rtl/>
        </w:rPr>
        <w:t xml:space="preserve">של הרשויות </w:t>
      </w:r>
      <w:r w:rsidRPr="002E3620">
        <w:rPr>
          <w:rFonts w:hint="cs"/>
          <w:rtl/>
        </w:rPr>
        <w:t xml:space="preserve">עקב הצורך לממן מתן שירותים </w:t>
      </w:r>
      <w:r w:rsidRPr="00DE7495">
        <w:rPr>
          <w:rFonts w:hint="cs"/>
          <w:rtl/>
        </w:rPr>
        <w:t>לאוכלוסיות גדולות שיתווספו בלי שיהיו להן מקורות הכנסה נוספים מארנונה עסקית</w:t>
      </w:r>
      <w:r>
        <w:rPr>
          <w:rFonts w:hint="cs"/>
          <w:rtl/>
        </w:rPr>
        <w:t>,</w:t>
      </w:r>
      <w:r w:rsidRPr="00DE7495">
        <w:rPr>
          <w:rFonts w:hint="cs"/>
          <w:rtl/>
        </w:rPr>
        <w:t xml:space="preserve"> ו</w:t>
      </w:r>
      <w:r>
        <w:rPr>
          <w:rFonts w:hint="cs"/>
          <w:rtl/>
        </w:rPr>
        <w:t xml:space="preserve">אף עלול לפגוע </w:t>
      </w:r>
      <w:r w:rsidRPr="00DE7495">
        <w:rPr>
          <w:rFonts w:hint="cs"/>
          <w:rtl/>
        </w:rPr>
        <w:t>ביכולתן לספק לתושביהן שירותים ברמה נאותה. לפי המודל של משרד הפנים לגבי 9 (</w:t>
      </w:r>
      <w:r>
        <w:rPr>
          <w:rFonts w:hint="cs"/>
          <w:rtl/>
        </w:rPr>
        <w:t>69</w:t>
      </w:r>
      <w:r w:rsidRPr="00DE7495">
        <w:rPr>
          <w:rFonts w:hint="cs"/>
          <w:rtl/>
        </w:rPr>
        <w:t>%)</w:t>
      </w:r>
      <w:r>
        <w:rPr>
          <w:rFonts w:hint="cs"/>
          <w:rtl/>
        </w:rPr>
        <w:t xml:space="preserve"> מ-13 </w:t>
      </w:r>
      <w:r w:rsidRPr="00DE7495">
        <w:rPr>
          <w:rFonts w:hint="cs"/>
          <w:rtl/>
        </w:rPr>
        <w:t xml:space="preserve">הרשויות </w:t>
      </w:r>
      <w:r>
        <w:rPr>
          <w:rFonts w:hint="cs"/>
          <w:rtl/>
        </w:rPr>
        <w:t>האמורות</w:t>
      </w:r>
      <w:r>
        <w:rPr>
          <w:rStyle w:val="a9"/>
          <w:rtl/>
        </w:rPr>
        <w:footnoteReference w:id="97"/>
      </w:r>
      <w:r>
        <w:rPr>
          <w:rFonts w:hint="cs"/>
          <w:rtl/>
        </w:rPr>
        <w:t xml:space="preserve"> שהאוכלוסייה בהן מדורגת במדד החברתי-כלכלי 3 - 7, </w:t>
      </w:r>
      <w:r w:rsidRPr="00DE7495">
        <w:rPr>
          <w:rFonts w:hint="cs"/>
          <w:rtl/>
        </w:rPr>
        <w:t>צפוי</w:t>
      </w:r>
      <w:r>
        <w:rPr>
          <w:rFonts w:hint="cs"/>
          <w:rtl/>
        </w:rPr>
        <w:t xml:space="preserve"> </w:t>
      </w:r>
      <w:r w:rsidRPr="00E05377">
        <w:rPr>
          <w:rtl/>
        </w:rPr>
        <w:t xml:space="preserve">כי בתוך חמש שנים לא תכוסה </w:t>
      </w:r>
      <w:r>
        <w:rPr>
          <w:rFonts w:hint="cs"/>
          <w:rtl/>
        </w:rPr>
        <w:t xml:space="preserve">ההוצאה בגין </w:t>
      </w:r>
      <w:r w:rsidRPr="00E05377">
        <w:rPr>
          <w:rtl/>
        </w:rPr>
        <w:t>תוספת יח"ד בהיקף שנתי של</w:t>
      </w:r>
      <w:r>
        <w:rPr>
          <w:rFonts w:hint="cs"/>
          <w:rtl/>
        </w:rPr>
        <w:t xml:space="preserve"> כ-135</w:t>
      </w:r>
      <w:r w:rsidRPr="00E05377">
        <w:rPr>
          <w:rtl/>
        </w:rPr>
        <w:t xml:space="preserve"> מ</w:t>
      </w:r>
      <w:r>
        <w:rPr>
          <w:rFonts w:hint="cs"/>
          <w:rtl/>
        </w:rPr>
        <w:t xml:space="preserve">יליון </w:t>
      </w:r>
      <w:r w:rsidRPr="00E05377">
        <w:rPr>
          <w:rtl/>
        </w:rPr>
        <w:t xml:space="preserve">ש"ח </w:t>
      </w:r>
      <w:r>
        <w:rPr>
          <w:rFonts w:hint="cs"/>
          <w:rtl/>
        </w:rPr>
        <w:t>וצפוי כי תיפגע יכולתן של</w:t>
      </w:r>
      <w:r w:rsidRPr="00E05377">
        <w:rPr>
          <w:rtl/>
        </w:rPr>
        <w:t xml:space="preserve"> הרשו</w:t>
      </w:r>
      <w:r>
        <w:rPr>
          <w:rFonts w:hint="cs"/>
          <w:rtl/>
        </w:rPr>
        <w:t>יו</w:t>
      </w:r>
      <w:r w:rsidRPr="00E05377">
        <w:rPr>
          <w:rtl/>
        </w:rPr>
        <w:t>ת</w:t>
      </w:r>
      <w:r>
        <w:rPr>
          <w:rFonts w:hint="cs"/>
          <w:rtl/>
        </w:rPr>
        <w:t xml:space="preserve"> </w:t>
      </w:r>
      <w:r w:rsidRPr="00E05377">
        <w:rPr>
          <w:rtl/>
        </w:rPr>
        <w:t>לספק שירות לתושב</w:t>
      </w:r>
      <w:r>
        <w:rPr>
          <w:rFonts w:hint="cs"/>
          <w:rtl/>
        </w:rPr>
        <w:t>,</w:t>
      </w:r>
      <w:r w:rsidRPr="0090478A">
        <w:rPr>
          <w:rFonts w:hint="cs"/>
          <w:rtl/>
        </w:rPr>
        <w:t xml:space="preserve"> </w:t>
      </w:r>
      <w:r>
        <w:rPr>
          <w:rFonts w:hint="cs"/>
          <w:rtl/>
        </w:rPr>
        <w:t xml:space="preserve">כאמור. </w:t>
      </w:r>
    </w:p>
    <w:p w14:paraId="577A4DFA" w14:textId="77777777" w:rsidR="000A4591" w:rsidRDefault="000A4591" w:rsidP="000A4591">
      <w:pPr>
        <w:rPr>
          <w:rtl/>
        </w:rPr>
      </w:pPr>
    </w:p>
    <w:p w14:paraId="0A0E4FA8" w14:textId="77777777" w:rsidR="000A4591" w:rsidRDefault="000A4591" w:rsidP="009B7DF1">
      <w:pPr>
        <w:pStyle w:val="71414"/>
        <w:rPr>
          <w:rtl/>
        </w:rPr>
      </w:pPr>
      <w:r w:rsidRPr="00DF1826">
        <w:rPr>
          <w:rtl/>
        </w:rPr>
        <w:t xml:space="preserve">מנגנון תמרוץ </w:t>
      </w:r>
      <w:r>
        <w:rPr>
          <w:rFonts w:hint="cs"/>
          <w:rtl/>
        </w:rPr>
        <w:t>לשיווק ולמימוש של קרקעות למסחר ולתעסוקה</w:t>
      </w:r>
    </w:p>
    <w:p w14:paraId="7F863ED1" w14:textId="77777777" w:rsidR="000A4591" w:rsidRDefault="000A4591" w:rsidP="00B849F7">
      <w:pPr>
        <w:pStyle w:val="7190"/>
        <w:rPr>
          <w:rtl/>
        </w:rPr>
      </w:pPr>
      <w:r>
        <w:rPr>
          <w:rFonts w:hint="cs"/>
          <w:rtl/>
        </w:rPr>
        <w:t>כדי לעודד שיווק של קרקעות למסחר ולתעסוקה ומימושן, החליטה הממשלה באפריל 2014</w:t>
      </w:r>
      <w:r>
        <w:rPr>
          <w:rStyle w:val="a9"/>
          <w:rtl/>
        </w:rPr>
        <w:footnoteReference w:id="98"/>
      </w:r>
      <w:r>
        <w:rPr>
          <w:rFonts w:hint="cs"/>
          <w:rtl/>
        </w:rPr>
        <w:t xml:space="preserve"> כי ברשויות מקומיות - לרבות כאלה החתומות על הסכמי גג - העומדות בתנאים שנקבעו בהחלטה</w:t>
      </w:r>
      <w:r>
        <w:rPr>
          <w:rStyle w:val="a9"/>
          <w:rtl/>
        </w:rPr>
        <w:footnoteReference w:id="99"/>
      </w:r>
      <w:r>
        <w:rPr>
          <w:rFonts w:hint="cs"/>
          <w:rtl/>
        </w:rPr>
        <w:t xml:space="preserve">, יקבל היזם שהוקצתה לו קרקע למסחר ולתעסוקה סבסוד מהמדינה בגין </w:t>
      </w:r>
      <w:r w:rsidRPr="00317F11">
        <w:rPr>
          <w:rFonts w:hint="cs"/>
          <w:rtl/>
        </w:rPr>
        <w:t>עלויות הפיתוח</w:t>
      </w:r>
      <w:r w:rsidRPr="00317F11">
        <w:rPr>
          <w:rtl/>
        </w:rPr>
        <w:t xml:space="preserve"> בשיעור </w:t>
      </w:r>
      <w:r>
        <w:rPr>
          <w:rFonts w:hint="cs"/>
          <w:rtl/>
        </w:rPr>
        <w:t>של עד</w:t>
      </w:r>
      <w:r w:rsidRPr="00317F11">
        <w:rPr>
          <w:rtl/>
        </w:rPr>
        <w:t xml:space="preserve"> 50% מעלויות הפיתוח של הקרקע.</w:t>
      </w:r>
      <w:r w:rsidRPr="00317F11">
        <w:rPr>
          <w:rFonts w:hint="cs"/>
          <w:rtl/>
        </w:rPr>
        <w:t xml:space="preserve"> עוד נקבע כ</w:t>
      </w:r>
      <w:r>
        <w:rPr>
          <w:rFonts w:hint="cs"/>
          <w:rtl/>
        </w:rPr>
        <w:t xml:space="preserve">י לשם כך </w:t>
      </w:r>
      <w:r>
        <w:rPr>
          <w:rtl/>
        </w:rPr>
        <w:t xml:space="preserve">יוקצו </w:t>
      </w:r>
      <w:r>
        <w:rPr>
          <w:rFonts w:hint="cs"/>
          <w:rtl/>
        </w:rPr>
        <w:t xml:space="preserve">לכלל הרשויות </w:t>
      </w:r>
      <w:r>
        <w:rPr>
          <w:rtl/>
        </w:rPr>
        <w:t xml:space="preserve">עד 50 מיליון </w:t>
      </w:r>
      <w:r>
        <w:rPr>
          <w:rFonts w:hint="cs"/>
          <w:rtl/>
        </w:rPr>
        <w:t>ש"ח</w:t>
      </w:r>
      <w:r>
        <w:rPr>
          <w:rtl/>
        </w:rPr>
        <w:t xml:space="preserve"> לשנה בשנים 2016</w:t>
      </w:r>
      <w:r>
        <w:rPr>
          <w:rFonts w:hint="cs"/>
          <w:rtl/>
        </w:rPr>
        <w:t xml:space="preserve"> </w:t>
      </w:r>
      <w:r>
        <w:rPr>
          <w:rtl/>
        </w:rPr>
        <w:t>-</w:t>
      </w:r>
      <w:r>
        <w:rPr>
          <w:rFonts w:hint="cs"/>
          <w:rtl/>
        </w:rPr>
        <w:t xml:space="preserve"> </w:t>
      </w:r>
      <w:r>
        <w:rPr>
          <w:rtl/>
        </w:rPr>
        <w:t>2020</w:t>
      </w:r>
      <w:r>
        <w:rPr>
          <w:rFonts w:hint="cs"/>
          <w:rtl/>
        </w:rPr>
        <w:t>, ובסה"כ עד 250 מיליון ש"ח</w:t>
      </w:r>
      <w:r>
        <w:rPr>
          <w:rtl/>
        </w:rPr>
        <w:t xml:space="preserve">, </w:t>
      </w:r>
      <w:r>
        <w:rPr>
          <w:rFonts w:hint="cs"/>
          <w:rtl/>
        </w:rPr>
        <w:t xml:space="preserve">בגין </w:t>
      </w:r>
      <w:r>
        <w:rPr>
          <w:rtl/>
        </w:rPr>
        <w:t xml:space="preserve">קרקעות שישווקו בשנים </w:t>
      </w:r>
      <w:r>
        <w:rPr>
          <w:rFonts w:hint="cs"/>
          <w:rtl/>
        </w:rPr>
        <w:t>2014 - 2018.</w:t>
      </w:r>
    </w:p>
    <w:p w14:paraId="0984BE32" w14:textId="77777777" w:rsidR="000A4591" w:rsidRDefault="000A4591" w:rsidP="00B849F7">
      <w:pPr>
        <w:pStyle w:val="71f5"/>
        <w:rPr>
          <w:rtl/>
        </w:rPr>
      </w:pPr>
      <w:r w:rsidRPr="00DA7BC1">
        <w:rPr>
          <w:rFonts w:hint="cs"/>
          <w:rtl/>
        </w:rPr>
        <w:t xml:space="preserve">בביקורת עלה כי </w:t>
      </w:r>
      <w:r>
        <w:rPr>
          <w:rFonts w:hint="cs"/>
          <w:rtl/>
        </w:rPr>
        <w:t xml:space="preserve">לא מומשה </w:t>
      </w:r>
      <w:r w:rsidRPr="00DA7BC1">
        <w:rPr>
          <w:rFonts w:hint="cs"/>
          <w:rtl/>
        </w:rPr>
        <w:t>החלטת הממשלה לעידוד שיווק ומימוש</w:t>
      </w:r>
      <w:r>
        <w:rPr>
          <w:rFonts w:hint="cs"/>
          <w:rtl/>
        </w:rPr>
        <w:t xml:space="preserve"> של</w:t>
      </w:r>
      <w:r w:rsidRPr="00DA7BC1">
        <w:rPr>
          <w:rFonts w:hint="cs"/>
          <w:rtl/>
        </w:rPr>
        <w:t xml:space="preserve"> קרקעות</w:t>
      </w:r>
      <w:r>
        <w:rPr>
          <w:rFonts w:hint="cs"/>
          <w:rtl/>
        </w:rPr>
        <w:t xml:space="preserve"> למסחר</w:t>
      </w:r>
      <w:r w:rsidRPr="00DA7BC1">
        <w:rPr>
          <w:rFonts w:hint="cs"/>
          <w:rtl/>
        </w:rPr>
        <w:t xml:space="preserve"> </w:t>
      </w:r>
      <w:r>
        <w:rPr>
          <w:rFonts w:hint="cs"/>
          <w:rtl/>
        </w:rPr>
        <w:t>ו</w:t>
      </w:r>
      <w:r w:rsidRPr="00DA7BC1">
        <w:rPr>
          <w:rFonts w:hint="cs"/>
          <w:rtl/>
        </w:rPr>
        <w:t>לתעסוקה</w:t>
      </w:r>
      <w:r>
        <w:rPr>
          <w:rFonts w:hint="cs"/>
          <w:rtl/>
        </w:rPr>
        <w:t xml:space="preserve">, וכי </w:t>
      </w:r>
      <w:r w:rsidRPr="00DA7BC1">
        <w:rPr>
          <w:rFonts w:hint="cs"/>
          <w:rtl/>
        </w:rPr>
        <w:t xml:space="preserve">לא הוקצה </w:t>
      </w:r>
      <w:r>
        <w:rPr>
          <w:rFonts w:hint="cs"/>
          <w:rtl/>
        </w:rPr>
        <w:t>ה</w:t>
      </w:r>
      <w:r w:rsidRPr="00DA7BC1">
        <w:rPr>
          <w:rFonts w:hint="cs"/>
          <w:rtl/>
        </w:rPr>
        <w:t xml:space="preserve">תקציב </w:t>
      </w:r>
      <w:r>
        <w:rPr>
          <w:rFonts w:hint="cs"/>
          <w:rtl/>
        </w:rPr>
        <w:t xml:space="preserve">שנקבע כי יוקצה </w:t>
      </w:r>
      <w:r w:rsidRPr="00DA7BC1">
        <w:rPr>
          <w:rFonts w:hint="cs"/>
          <w:rtl/>
        </w:rPr>
        <w:t xml:space="preserve">לסבסוד עלויות הפיתוח </w:t>
      </w:r>
      <w:r>
        <w:rPr>
          <w:rFonts w:hint="cs"/>
          <w:rtl/>
        </w:rPr>
        <w:t xml:space="preserve">של קרקעות אלה בשום שנה </w:t>
      </w:r>
      <w:r w:rsidRPr="00DA7BC1">
        <w:rPr>
          <w:rFonts w:hint="cs"/>
          <w:rtl/>
        </w:rPr>
        <w:t>מהשנים 2016</w:t>
      </w:r>
      <w:r>
        <w:rPr>
          <w:rFonts w:hint="cs"/>
          <w:rtl/>
        </w:rPr>
        <w:t xml:space="preserve"> </w:t>
      </w:r>
      <w:r w:rsidRPr="00DA7BC1">
        <w:rPr>
          <w:rFonts w:hint="cs"/>
          <w:rtl/>
        </w:rPr>
        <w:t>-</w:t>
      </w:r>
      <w:r>
        <w:rPr>
          <w:rFonts w:hint="cs"/>
          <w:rtl/>
        </w:rPr>
        <w:t xml:space="preserve"> </w:t>
      </w:r>
      <w:r w:rsidRPr="00DA7BC1">
        <w:rPr>
          <w:rFonts w:hint="cs"/>
          <w:rtl/>
        </w:rPr>
        <w:t>2020.</w:t>
      </w:r>
      <w:r>
        <w:rPr>
          <w:rFonts w:hint="cs"/>
          <w:rtl/>
        </w:rPr>
        <w:t xml:space="preserve"> מכאן עולה כי אף שהממשלה ייחסה חשיבות לעידוד השיווק והמימוש של שטחי תעסוקה ומסחר ברשויות מקומיות, לרבות כאלה החתומות על הסכמי גג, שבהן הדבר נדרש במיוחד, בפועל הדבר לא נעשה.</w:t>
      </w:r>
    </w:p>
    <w:p w14:paraId="44812AFA" w14:textId="77777777" w:rsidR="000A4591" w:rsidRDefault="000A4591" w:rsidP="000A4591">
      <w:pPr>
        <w:jc w:val="center"/>
        <w:rPr>
          <w:b/>
          <w:bCs/>
          <w:rtl/>
        </w:rPr>
      </w:pPr>
    </w:p>
    <w:p w14:paraId="2A5A961C" w14:textId="77777777" w:rsidR="000A4591" w:rsidRDefault="000A4591" w:rsidP="000A4591">
      <w:pPr>
        <w:jc w:val="center"/>
        <w:rPr>
          <w:b/>
          <w:bCs/>
          <w:rtl/>
        </w:rPr>
      </w:pPr>
      <w:r w:rsidRPr="00050A1E">
        <w:rPr>
          <w:rFonts w:cs="Arial"/>
          <w:noProof/>
          <w:rtl/>
        </w:rPr>
        <w:lastRenderedPageBreak/>
        <w:drawing>
          <wp:inline distT="0" distB="0" distL="0" distR="0" wp14:anchorId="203BCBAF" wp14:editId="3101BF88">
            <wp:extent cx="3022600" cy="2844800"/>
            <wp:effectExtent l="0" t="0" r="6350" b="0"/>
            <wp:docPr id="3788745" name="תמונה 34" descr="C:\Users\limor_or\Desktop\Infographics\71ג-ד\הסכמי גג\budget and Development c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15474" name="Picture 1" descr="C:\Users\limor_or\Desktop\Infographics\71ג-ד\הסכמי גג\budget and Development costs.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022600" cy="2844800"/>
                    </a:xfrm>
                    <a:prstGeom prst="rect">
                      <a:avLst/>
                    </a:prstGeom>
                    <a:noFill/>
                    <a:ln>
                      <a:noFill/>
                    </a:ln>
                  </pic:spPr>
                </pic:pic>
              </a:graphicData>
            </a:graphic>
          </wp:inline>
        </w:drawing>
      </w:r>
    </w:p>
    <w:p w14:paraId="703D691D" w14:textId="77777777" w:rsidR="000A4591" w:rsidRDefault="000A4591" w:rsidP="000A4591">
      <w:pPr>
        <w:jc w:val="center"/>
        <w:rPr>
          <w:b/>
          <w:bCs/>
          <w:rtl/>
        </w:rPr>
      </w:pPr>
    </w:p>
    <w:p w14:paraId="51878A4D" w14:textId="4676C169" w:rsidR="000A4591" w:rsidRDefault="000A4591" w:rsidP="000F7658">
      <w:pPr>
        <w:pStyle w:val="7190"/>
        <w:rPr>
          <w:rtl/>
        </w:rPr>
      </w:pPr>
      <w:r>
        <w:rPr>
          <w:rFonts w:hint="cs"/>
          <w:rtl/>
        </w:rPr>
        <w:t xml:space="preserve">משרד הבינוי מסר למשרד מבקר המדינה כי יישום החלטת הממשלה היה באחריותו, וכי בחינה שביצע בנושא </w:t>
      </w:r>
      <w:r>
        <w:rPr>
          <w:rtl/>
        </w:rPr>
        <w:t>העלתה כי תנאי הסף</w:t>
      </w:r>
      <w:r>
        <w:rPr>
          <w:rFonts w:hint="cs"/>
          <w:rtl/>
        </w:rPr>
        <w:t xml:space="preserve"> </w:t>
      </w:r>
      <w:r>
        <w:rPr>
          <w:rtl/>
        </w:rPr>
        <w:t>שנקבעו בהחלטה</w:t>
      </w:r>
      <w:r w:rsidR="00E704B8">
        <w:rPr>
          <w:rFonts w:hint="cs"/>
          <w:rtl/>
        </w:rPr>
        <w:t xml:space="preserve"> </w:t>
      </w:r>
      <w:r>
        <w:rPr>
          <w:rtl/>
        </w:rPr>
        <w:t>אינ</w:t>
      </w:r>
      <w:r>
        <w:rPr>
          <w:rFonts w:hint="cs"/>
          <w:rtl/>
        </w:rPr>
        <w:t>ם</w:t>
      </w:r>
      <w:r>
        <w:rPr>
          <w:rtl/>
        </w:rPr>
        <w:t xml:space="preserve"> מאפשר</w:t>
      </w:r>
      <w:r>
        <w:rPr>
          <w:rFonts w:hint="cs"/>
          <w:rtl/>
        </w:rPr>
        <w:t>ים</w:t>
      </w:r>
      <w:r>
        <w:rPr>
          <w:rtl/>
        </w:rPr>
        <w:t xml:space="preserve"> לרשויות </w:t>
      </w:r>
      <w:r>
        <w:rPr>
          <w:rFonts w:hint="cs"/>
          <w:rtl/>
        </w:rPr>
        <w:t xml:space="preserve">מקומיות </w:t>
      </w:r>
      <w:r>
        <w:rPr>
          <w:rtl/>
        </w:rPr>
        <w:t>רבות לעמוד בה</w:t>
      </w:r>
      <w:r>
        <w:rPr>
          <w:rFonts w:hint="cs"/>
          <w:rtl/>
        </w:rPr>
        <w:t>ם</w:t>
      </w:r>
      <w:r>
        <w:rPr>
          <w:rtl/>
        </w:rPr>
        <w:t xml:space="preserve">, והמעטות </w:t>
      </w:r>
      <w:r>
        <w:rPr>
          <w:rFonts w:hint="cs"/>
          <w:rtl/>
        </w:rPr>
        <w:t>שעמדו בהם ה</w:t>
      </w:r>
      <w:r>
        <w:rPr>
          <w:rtl/>
        </w:rPr>
        <w:t>ן דווקא רשויות חזקות</w:t>
      </w:r>
      <w:r>
        <w:rPr>
          <w:rFonts w:hint="cs"/>
          <w:rtl/>
        </w:rPr>
        <w:t xml:space="preserve">, </w:t>
      </w:r>
      <w:r>
        <w:rPr>
          <w:rtl/>
        </w:rPr>
        <w:t>ש</w:t>
      </w:r>
      <w:r>
        <w:rPr>
          <w:rFonts w:hint="cs"/>
          <w:rtl/>
        </w:rPr>
        <w:t>לא נדרש בהן</w:t>
      </w:r>
      <w:r>
        <w:rPr>
          <w:rtl/>
        </w:rPr>
        <w:t xml:space="preserve"> </w:t>
      </w:r>
      <w:r>
        <w:rPr>
          <w:rFonts w:hint="cs"/>
          <w:rtl/>
        </w:rPr>
        <w:t>ה</w:t>
      </w:r>
      <w:r>
        <w:rPr>
          <w:rtl/>
        </w:rPr>
        <w:t>סבסוד</w:t>
      </w:r>
      <w:r>
        <w:rPr>
          <w:rFonts w:hint="cs"/>
          <w:rtl/>
        </w:rPr>
        <w:t>; לעומת זאת</w:t>
      </w:r>
      <w:r>
        <w:rPr>
          <w:rtl/>
        </w:rPr>
        <w:t xml:space="preserve"> רשויות </w:t>
      </w:r>
      <w:r>
        <w:rPr>
          <w:rFonts w:hint="cs"/>
          <w:rtl/>
        </w:rPr>
        <w:t>שבהן נדרש הס</w:t>
      </w:r>
      <w:r>
        <w:rPr>
          <w:rtl/>
        </w:rPr>
        <w:t>בסוד</w:t>
      </w:r>
      <w:r>
        <w:rPr>
          <w:rFonts w:hint="cs"/>
          <w:rtl/>
        </w:rPr>
        <w:t>,</w:t>
      </w:r>
      <w:r>
        <w:rPr>
          <w:rtl/>
        </w:rPr>
        <w:t xml:space="preserve"> אינ</w:t>
      </w:r>
      <w:r>
        <w:rPr>
          <w:rFonts w:hint="cs"/>
          <w:rtl/>
        </w:rPr>
        <w:t>ן</w:t>
      </w:r>
      <w:r>
        <w:rPr>
          <w:rtl/>
        </w:rPr>
        <w:t xml:space="preserve"> עומדת בתנאי הסף ולכן אי</w:t>
      </w:r>
      <w:r>
        <w:rPr>
          <w:rFonts w:hint="cs"/>
          <w:rtl/>
        </w:rPr>
        <w:t>ן</w:t>
      </w:r>
      <w:r>
        <w:rPr>
          <w:rtl/>
        </w:rPr>
        <w:t xml:space="preserve"> זכא</w:t>
      </w:r>
      <w:r>
        <w:rPr>
          <w:rFonts w:hint="cs"/>
          <w:rtl/>
        </w:rPr>
        <w:t>ו</w:t>
      </w:r>
      <w:r>
        <w:rPr>
          <w:rtl/>
        </w:rPr>
        <w:t>ת לסבסוד</w:t>
      </w:r>
      <w:r>
        <w:rPr>
          <w:rFonts w:hint="cs"/>
          <w:rtl/>
        </w:rPr>
        <w:t xml:space="preserve"> בשטחן</w:t>
      </w:r>
      <w:r>
        <w:rPr>
          <w:rtl/>
        </w:rPr>
        <w:t>.</w:t>
      </w:r>
      <w:r>
        <w:rPr>
          <w:rFonts w:hint="cs"/>
          <w:rtl/>
        </w:rPr>
        <w:t xml:space="preserve"> עוד מסר משרד הבינוי כי הוא פנה למשרד האוצר בניסיון </w:t>
      </w:r>
      <w:r>
        <w:rPr>
          <w:rtl/>
        </w:rPr>
        <w:t xml:space="preserve">לשנות את </w:t>
      </w:r>
      <w:r>
        <w:rPr>
          <w:rFonts w:hint="cs"/>
          <w:rtl/>
        </w:rPr>
        <w:t>התנאים לסבסוד, אולם ניסיון זה לא צלח.</w:t>
      </w:r>
    </w:p>
    <w:p w14:paraId="1F7126EC" w14:textId="77777777" w:rsidR="000A4591" w:rsidRDefault="000A4591" w:rsidP="000F7658">
      <w:pPr>
        <w:pStyle w:val="7190"/>
        <w:rPr>
          <w:rtl/>
        </w:rPr>
      </w:pPr>
      <w:r w:rsidRPr="008F5794">
        <w:rPr>
          <w:rFonts w:hint="cs"/>
          <w:rtl/>
        </w:rPr>
        <w:t xml:space="preserve">אגף החשכ"ל מסר בתשובתו למשרד מבקר המדינה מיולי 2021 </w:t>
      </w:r>
      <w:r>
        <w:rPr>
          <w:rFonts w:hint="cs"/>
          <w:rtl/>
        </w:rPr>
        <w:t xml:space="preserve">(להלן - תשובת אגף החשכ"ל) </w:t>
      </w:r>
      <w:r w:rsidRPr="008F5794">
        <w:rPr>
          <w:rFonts w:hint="cs"/>
          <w:rtl/>
        </w:rPr>
        <w:t xml:space="preserve">כי </w:t>
      </w:r>
      <w:r w:rsidRPr="008F5794">
        <w:rPr>
          <w:rtl/>
        </w:rPr>
        <w:t>מלבד מנגנון סבסוד עלויות הפיתוח שנזכר בהחלטה</w:t>
      </w:r>
      <w:r w:rsidRPr="008F5794">
        <w:rPr>
          <w:rFonts w:hint="cs"/>
          <w:rtl/>
        </w:rPr>
        <w:t>,</w:t>
      </w:r>
      <w:r w:rsidRPr="008F5794">
        <w:rPr>
          <w:rtl/>
        </w:rPr>
        <w:t xml:space="preserve"> </w:t>
      </w:r>
      <w:r w:rsidRPr="008F5794">
        <w:rPr>
          <w:rFonts w:hint="cs"/>
          <w:rtl/>
        </w:rPr>
        <w:t>ה</w:t>
      </w:r>
      <w:r w:rsidRPr="008F5794">
        <w:rPr>
          <w:rtl/>
        </w:rPr>
        <w:t>ממשל</w:t>
      </w:r>
      <w:r w:rsidRPr="008F5794">
        <w:rPr>
          <w:rFonts w:hint="cs"/>
          <w:rtl/>
        </w:rPr>
        <w:t>ה</w:t>
      </w:r>
      <w:r w:rsidRPr="008F5794">
        <w:rPr>
          <w:rtl/>
        </w:rPr>
        <w:t xml:space="preserve"> תומכת בפיתוח תעסוקה ותעשייה במגוון דרכים ייעודי</w:t>
      </w:r>
      <w:r w:rsidRPr="008F5794">
        <w:rPr>
          <w:rFonts w:hint="cs"/>
          <w:rtl/>
        </w:rPr>
        <w:t>ות</w:t>
      </w:r>
      <w:r w:rsidRPr="008F5794">
        <w:rPr>
          <w:rtl/>
        </w:rPr>
        <w:t xml:space="preserve"> אחר</w:t>
      </w:r>
      <w:r w:rsidRPr="008F5794">
        <w:rPr>
          <w:rFonts w:hint="cs"/>
          <w:rtl/>
        </w:rPr>
        <w:t>ות</w:t>
      </w:r>
      <w:r w:rsidRPr="008F5794">
        <w:rPr>
          <w:rtl/>
        </w:rPr>
        <w:t xml:space="preserve">, כגון מתן עידוד ותמריצים לביצוע השקעות הון </w:t>
      </w:r>
      <w:r w:rsidRPr="008F5794">
        <w:rPr>
          <w:rFonts w:hint="cs"/>
          <w:rtl/>
        </w:rPr>
        <w:t xml:space="preserve">ומתן </w:t>
      </w:r>
      <w:r w:rsidRPr="008F5794">
        <w:rPr>
          <w:rtl/>
        </w:rPr>
        <w:t>הטבות מס.</w:t>
      </w:r>
      <w:r w:rsidRPr="00C82C17">
        <w:rPr>
          <w:rtl/>
        </w:rPr>
        <w:t xml:space="preserve"> </w:t>
      </w:r>
    </w:p>
    <w:p w14:paraId="32DE964E" w14:textId="77777777" w:rsidR="000A4591" w:rsidRDefault="000A4591" w:rsidP="000F7658">
      <w:pPr>
        <w:pStyle w:val="71f5"/>
        <w:rPr>
          <w:rtl/>
        </w:rPr>
      </w:pPr>
      <w:r>
        <w:rPr>
          <w:rFonts w:hint="cs"/>
          <w:rtl/>
        </w:rPr>
        <w:t>מומלץ כי</w:t>
      </w:r>
      <w:r w:rsidRPr="00316225">
        <w:rPr>
          <w:rtl/>
        </w:rPr>
        <w:t xml:space="preserve"> משרד</w:t>
      </w:r>
      <w:r>
        <w:rPr>
          <w:rFonts w:hint="cs"/>
          <w:rtl/>
        </w:rPr>
        <w:t>י</w:t>
      </w:r>
      <w:r w:rsidRPr="00316225">
        <w:rPr>
          <w:rtl/>
        </w:rPr>
        <w:t xml:space="preserve"> הבינוי </w:t>
      </w:r>
      <w:r>
        <w:rPr>
          <w:rFonts w:hint="cs"/>
          <w:rtl/>
        </w:rPr>
        <w:t>ו</w:t>
      </w:r>
      <w:r w:rsidRPr="00316225">
        <w:rPr>
          <w:rtl/>
        </w:rPr>
        <w:t>האוצר</w:t>
      </w:r>
      <w:r>
        <w:rPr>
          <w:rFonts w:hint="cs"/>
          <w:rtl/>
        </w:rPr>
        <w:t>, בשיתוף גורמים רלוונטיים נוספים, לרבות רמ"י ומשרד הפנים, י</w:t>
      </w:r>
      <w:r w:rsidRPr="00316225">
        <w:rPr>
          <w:rtl/>
        </w:rPr>
        <w:t>בח</w:t>
      </w:r>
      <w:r>
        <w:rPr>
          <w:rFonts w:hint="cs"/>
          <w:rtl/>
        </w:rPr>
        <w:t>נו</w:t>
      </w:r>
      <w:r w:rsidRPr="00316225">
        <w:rPr>
          <w:rtl/>
        </w:rPr>
        <w:t xml:space="preserve"> </w:t>
      </w:r>
      <w:r>
        <w:rPr>
          <w:rFonts w:hint="cs"/>
          <w:rtl/>
        </w:rPr>
        <w:t xml:space="preserve">יחד </w:t>
      </w:r>
      <w:r w:rsidRPr="00316225">
        <w:rPr>
          <w:rtl/>
        </w:rPr>
        <w:t xml:space="preserve">את </w:t>
      </w:r>
      <w:r>
        <w:rPr>
          <w:rFonts w:hint="cs"/>
          <w:rtl/>
        </w:rPr>
        <w:t>התנאים שנ</w:t>
      </w:r>
      <w:r w:rsidRPr="00316225">
        <w:rPr>
          <w:rtl/>
        </w:rPr>
        <w:t>קבע</w:t>
      </w:r>
      <w:r>
        <w:rPr>
          <w:rFonts w:hint="cs"/>
          <w:rtl/>
        </w:rPr>
        <w:t>ו</w:t>
      </w:r>
      <w:r w:rsidRPr="00316225">
        <w:rPr>
          <w:rtl/>
        </w:rPr>
        <w:t xml:space="preserve"> </w:t>
      </w:r>
      <w:r>
        <w:rPr>
          <w:rFonts w:hint="cs"/>
          <w:rtl/>
        </w:rPr>
        <w:t>ל</w:t>
      </w:r>
      <w:r w:rsidRPr="00316225">
        <w:rPr>
          <w:rtl/>
        </w:rPr>
        <w:t xml:space="preserve">סבסוד עלויות הפיתוח </w:t>
      </w:r>
      <w:r>
        <w:rPr>
          <w:rFonts w:hint="cs"/>
          <w:rtl/>
        </w:rPr>
        <w:t>של</w:t>
      </w:r>
      <w:r w:rsidRPr="00316225">
        <w:rPr>
          <w:rtl/>
        </w:rPr>
        <w:t xml:space="preserve"> </w:t>
      </w:r>
      <w:r w:rsidRPr="00316225">
        <w:rPr>
          <w:rFonts w:hint="eastAsia"/>
          <w:rtl/>
        </w:rPr>
        <w:t>קרקעות</w:t>
      </w:r>
      <w:r w:rsidRPr="00316225">
        <w:rPr>
          <w:rtl/>
        </w:rPr>
        <w:t xml:space="preserve"> למסחר ותעסוקה</w:t>
      </w:r>
      <w:r>
        <w:rPr>
          <w:rFonts w:hint="cs"/>
          <w:rtl/>
        </w:rPr>
        <w:t>. במסגרת זו מומלץ לבחון אם יש מקום לעדכנם באופן שיאפשר לעודד שיווק ומימוש של קרקעות אלה ברשויות מקומיות הזקוקות לכך לנוכח מצבן הפיננסי, בהתאם למטרה שלשמה הוחלט להקצות את התקציב.</w:t>
      </w:r>
    </w:p>
    <w:p w14:paraId="45690A20" w14:textId="77777777" w:rsidR="000A4591" w:rsidRPr="00371221" w:rsidRDefault="000A4591" w:rsidP="000F7658">
      <w:pPr>
        <w:pStyle w:val="71f8"/>
        <w:rPr>
          <w:rFonts w:ascii="Arial" w:hAnsi="Arial" w:cs="Arial"/>
          <w:rtl/>
        </w:rPr>
      </w:pPr>
      <w:r>
        <w:rPr>
          <w:rFonts w:hint="cs"/>
          <w:rtl/>
        </w:rPr>
        <w:t>✰</w:t>
      </w:r>
    </w:p>
    <w:p w14:paraId="1108B018" w14:textId="77777777" w:rsidR="000A4591" w:rsidRDefault="000A4591" w:rsidP="000F7658">
      <w:pPr>
        <w:pStyle w:val="71f5"/>
        <w:rPr>
          <w:rtl/>
        </w:rPr>
      </w:pPr>
      <w:r>
        <w:rPr>
          <w:rFonts w:hint="cs"/>
          <w:rtl/>
        </w:rPr>
        <w:lastRenderedPageBreak/>
        <w:t xml:space="preserve">הסכמי הגג הם במהותם הסכמי פיתוח ושיווק, ואינם מביאים בחשבון את ההשפעות האפשריות של הפיתוח המואץ של הרשות המקומית על חוסנה של הרשות שחתומה על ההסכם. מכלל האמור לעיל, עולה כי ב-9 מ- 13 הרשויות המקומיות החתומות על הסכם גג </w:t>
      </w:r>
      <w:r>
        <w:rPr>
          <w:rFonts w:hint="cs"/>
          <w:sz w:val="24"/>
          <w:rtl/>
        </w:rPr>
        <w:t xml:space="preserve">שהאוכלוסייה בהן מדורגת במדד החברתי-כלכלי 3 - 7 </w:t>
      </w:r>
      <w:r>
        <w:rPr>
          <w:rFonts w:hint="cs"/>
          <w:rtl/>
        </w:rPr>
        <w:t xml:space="preserve">עלולה </w:t>
      </w:r>
      <w:r w:rsidRPr="00086E7A">
        <w:rPr>
          <w:rtl/>
        </w:rPr>
        <w:t xml:space="preserve">תוספת </w:t>
      </w:r>
      <w:r>
        <w:rPr>
          <w:rFonts w:hint="cs"/>
          <w:rtl/>
        </w:rPr>
        <w:t>יח"ד רבות ללא תוספת מספקת של מקורות הכנסה נוספים</w:t>
      </w:r>
      <w:r w:rsidRPr="00316225">
        <w:rPr>
          <w:rFonts w:hint="cs"/>
          <w:rtl/>
        </w:rPr>
        <w:t>, ובפרט ארנונה עסקית</w:t>
      </w:r>
      <w:r>
        <w:rPr>
          <w:rFonts w:hint="cs"/>
          <w:rtl/>
        </w:rPr>
        <w:t>, לפגוע הן במצבן הפיננסי והן ב</w:t>
      </w:r>
      <w:r w:rsidRPr="00086E7A">
        <w:rPr>
          <w:rtl/>
        </w:rPr>
        <w:t>יכולתן לספק</w:t>
      </w:r>
      <w:r>
        <w:rPr>
          <w:rFonts w:hint="cs"/>
          <w:rtl/>
        </w:rPr>
        <w:t xml:space="preserve"> את</w:t>
      </w:r>
      <w:r w:rsidRPr="00086E7A">
        <w:rPr>
          <w:rtl/>
        </w:rPr>
        <w:t xml:space="preserve"> רמת השירות</w:t>
      </w:r>
      <w:r>
        <w:rPr>
          <w:rFonts w:hint="cs"/>
          <w:rtl/>
        </w:rPr>
        <w:t>ים</w:t>
      </w:r>
      <w:r w:rsidRPr="00086E7A">
        <w:rPr>
          <w:rtl/>
        </w:rPr>
        <w:t xml:space="preserve"> </w:t>
      </w:r>
      <w:r>
        <w:rPr>
          <w:rFonts w:hint="cs"/>
          <w:rtl/>
        </w:rPr>
        <w:t xml:space="preserve">הקיימת </w:t>
      </w:r>
      <w:r w:rsidRPr="00086E7A">
        <w:rPr>
          <w:rtl/>
        </w:rPr>
        <w:t>לתושב</w:t>
      </w:r>
      <w:r>
        <w:rPr>
          <w:rFonts w:hint="cs"/>
          <w:rtl/>
        </w:rPr>
        <w:t>ים</w:t>
      </w:r>
      <w:r w:rsidRPr="00316225">
        <w:rPr>
          <w:rFonts w:hint="cs"/>
          <w:rtl/>
        </w:rPr>
        <w:t>.</w:t>
      </w:r>
      <w:r>
        <w:rPr>
          <w:rFonts w:hint="cs"/>
          <w:rtl/>
        </w:rPr>
        <w:t xml:space="preserve"> כמו כן, כאמור </w:t>
      </w:r>
      <w:r w:rsidRPr="00316225">
        <w:rPr>
          <w:rFonts w:hint="cs"/>
          <w:rtl/>
        </w:rPr>
        <w:t xml:space="preserve">החלטת הממשלה לעידוד השיווק והמימוש של שטחי </w:t>
      </w:r>
      <w:r>
        <w:rPr>
          <w:rFonts w:hint="cs"/>
          <w:rtl/>
        </w:rPr>
        <w:t>מסחר ו</w:t>
      </w:r>
      <w:r w:rsidRPr="00316225">
        <w:rPr>
          <w:rFonts w:hint="cs"/>
          <w:rtl/>
        </w:rPr>
        <w:t xml:space="preserve">תעסוקה </w:t>
      </w:r>
      <w:r>
        <w:rPr>
          <w:rFonts w:hint="cs"/>
          <w:rtl/>
        </w:rPr>
        <w:t xml:space="preserve">לשנים 2016 - 2020 בהיקף של עד 250 מיליון ש"ח </w:t>
      </w:r>
      <w:r w:rsidRPr="00316225">
        <w:rPr>
          <w:rFonts w:hint="cs"/>
          <w:rtl/>
        </w:rPr>
        <w:t>לא מומשה.</w:t>
      </w:r>
    </w:p>
    <w:p w14:paraId="77D2FBC3" w14:textId="77777777" w:rsidR="000A4591" w:rsidRPr="00546A56" w:rsidRDefault="000A4591" w:rsidP="000F7658">
      <w:pPr>
        <w:pStyle w:val="71f5"/>
        <w:rPr>
          <w:rtl/>
        </w:rPr>
      </w:pPr>
      <w:r>
        <w:rPr>
          <w:rFonts w:hint="cs"/>
          <w:sz w:val="24"/>
          <w:rtl/>
        </w:rPr>
        <w:t>לנוכח האמור לעיל מומלץ כי משרד הבינוי, רמ"י ומשרד האוצר בשיתוף עם משרד הפנים יבחנו</w:t>
      </w:r>
      <w:r w:rsidRPr="008F0048">
        <w:rPr>
          <w:rFonts w:hint="cs"/>
          <w:sz w:val="24"/>
          <w:rtl/>
        </w:rPr>
        <w:t xml:space="preserve"> </w:t>
      </w:r>
      <w:r>
        <w:rPr>
          <w:rFonts w:hint="cs"/>
          <w:sz w:val="24"/>
          <w:rtl/>
        </w:rPr>
        <w:t>באופן פרטני את ההשפעות של מימוש הסכמי גג על מצבה הפיננסי של כל אחת מהרשויות ועל יכולתה לספק לתושבים את השירותים המוניציפליים ברמה נאותה, ובכלל זה הם יבחנו את ההיתכנות של השיווק והמימוש של הקרקעות למסחר ולתעסוקה ואת היכולת להסתמך על ההכנסה מארנונה עסקית בגינן. בהתאם לממצאי הבחינה מומלץ כי יגבשו את המענה שיידרש לרשות לנוכח הפגיעה האפשרית במצבה הפיננסי בעקבות מימוש הסכם הגג, כמפורט לעיל.</w:t>
      </w:r>
    </w:p>
    <w:p w14:paraId="57112AF0" w14:textId="77777777" w:rsidR="000A4591" w:rsidRDefault="000A4591" w:rsidP="000F7658">
      <w:pPr>
        <w:pStyle w:val="71f5"/>
        <w:rPr>
          <w:rtl/>
        </w:rPr>
      </w:pPr>
      <w:r>
        <w:rPr>
          <w:rFonts w:hint="cs"/>
          <w:sz w:val="24"/>
          <w:rtl/>
        </w:rPr>
        <w:t xml:space="preserve">עוד מומלץ כי משרדי הפנים והאוצר, בשיתוף עם הרשויות המקומיות, יבחנו את הצרכים הפיננסיים של הרשויות המקומיות שחתומות על הסכם גג, שמקורם במימוש ההסכם ונדרשים להן במסגרת התקציב השוטף לצורך אספקת השירותים המוניציפליים לתושבים ברמה נאותה, ובהתאם לכך יבחנו את האפשרות לגבש מענים עבור רשויות הזקוקות לכך לנוכח האמור לעיל, אם אכן יעלה כי הדבר נדרש. כמו כן מומלץ כי הגורמים האמורים יבחנו בשיתוף עם משרד הבינוי ורמ"י מנגנונים לקידום השיווק והמימוש של קרקעות למסחר ותעסוקה בשטח רשויות אלה כדי להגדיל את הכנסתן מארנונה עסקית. </w:t>
      </w:r>
      <w:r>
        <w:rPr>
          <w:rFonts w:hint="cs"/>
          <w:rtl/>
        </w:rPr>
        <w:t>נוסף על כך מומלץ כי משרד הבינוי ורמ"י יגבשו יעדים לשיווק קרקעות למסחר ותעסוקה בכלל הרשויות אשר התקשרו בהסכמי הגג.</w:t>
      </w:r>
    </w:p>
    <w:p w14:paraId="199681DB" w14:textId="77777777" w:rsidR="000A4591" w:rsidRDefault="000A4591" w:rsidP="00157A78">
      <w:pPr>
        <w:pStyle w:val="7190"/>
        <w:rPr>
          <w:rtl/>
        </w:rPr>
      </w:pPr>
      <w:r w:rsidRPr="008F5794">
        <w:rPr>
          <w:rFonts w:hint="cs"/>
          <w:rtl/>
        </w:rPr>
        <w:t xml:space="preserve">רמ"י מסרה בתשובתה כי </w:t>
      </w:r>
      <w:r w:rsidRPr="008F5794">
        <w:rPr>
          <w:rtl/>
        </w:rPr>
        <w:t xml:space="preserve">אין ספק </w:t>
      </w:r>
      <w:r w:rsidRPr="008F5794">
        <w:rPr>
          <w:rFonts w:hint="cs"/>
          <w:rtl/>
        </w:rPr>
        <w:t>של</w:t>
      </w:r>
      <w:r w:rsidRPr="008F5794">
        <w:rPr>
          <w:rtl/>
        </w:rPr>
        <w:t>גידול באוכלוסיית ה</w:t>
      </w:r>
      <w:r w:rsidRPr="008F5794">
        <w:rPr>
          <w:rFonts w:hint="cs"/>
          <w:rtl/>
        </w:rPr>
        <w:t>יישובים יש השפעות</w:t>
      </w:r>
      <w:r w:rsidRPr="008F5794">
        <w:rPr>
          <w:rtl/>
        </w:rPr>
        <w:t xml:space="preserve"> כלכליות על הרשו</w:t>
      </w:r>
      <w:r w:rsidRPr="008F5794">
        <w:rPr>
          <w:rFonts w:hint="cs"/>
          <w:rtl/>
        </w:rPr>
        <w:t>יו</w:t>
      </w:r>
      <w:r w:rsidRPr="008F5794">
        <w:rPr>
          <w:rtl/>
        </w:rPr>
        <w:t>ת המקומי</w:t>
      </w:r>
      <w:r w:rsidRPr="008F5794">
        <w:rPr>
          <w:rFonts w:hint="cs"/>
          <w:rtl/>
        </w:rPr>
        <w:t>ו</w:t>
      </w:r>
      <w:r w:rsidRPr="008F5794">
        <w:rPr>
          <w:rtl/>
        </w:rPr>
        <w:t xml:space="preserve">ת </w:t>
      </w:r>
      <w:r w:rsidRPr="008F5794">
        <w:rPr>
          <w:rFonts w:hint="cs"/>
          <w:rtl/>
        </w:rPr>
        <w:t xml:space="preserve">שלהם, </w:t>
      </w:r>
      <w:r w:rsidRPr="008F5794">
        <w:rPr>
          <w:rtl/>
        </w:rPr>
        <w:t>ונדרשת פעולה שלובה של משרדי הממשלה האחרים</w:t>
      </w:r>
      <w:r w:rsidRPr="008F5794">
        <w:rPr>
          <w:rFonts w:hint="cs"/>
          <w:rtl/>
        </w:rPr>
        <w:t xml:space="preserve">. רמ"י הוסיפה כי </w:t>
      </w:r>
      <w:r w:rsidRPr="008F5794">
        <w:rPr>
          <w:rtl/>
        </w:rPr>
        <w:t>תרומתה בהיבט זה ה</w:t>
      </w:r>
      <w:r w:rsidRPr="008F5794">
        <w:rPr>
          <w:rFonts w:hint="cs"/>
          <w:rtl/>
        </w:rPr>
        <w:t>יא</w:t>
      </w:r>
      <w:r w:rsidRPr="008F5794">
        <w:rPr>
          <w:rtl/>
        </w:rPr>
        <w:t xml:space="preserve"> בעיקר בשיווק קרקעות למטרות תעסוקה</w:t>
      </w:r>
      <w:r w:rsidRPr="008F5794">
        <w:rPr>
          <w:rFonts w:hint="cs"/>
          <w:rtl/>
        </w:rPr>
        <w:t>,</w:t>
      </w:r>
      <w:r w:rsidRPr="008F5794">
        <w:rPr>
          <w:rtl/>
        </w:rPr>
        <w:t xml:space="preserve"> ו</w:t>
      </w:r>
      <w:r w:rsidRPr="008F5794">
        <w:rPr>
          <w:rFonts w:hint="cs"/>
          <w:rtl/>
        </w:rPr>
        <w:t>כי</w:t>
      </w:r>
      <w:r w:rsidRPr="008F5794">
        <w:rPr>
          <w:rtl/>
        </w:rPr>
        <w:t xml:space="preserve"> </w:t>
      </w:r>
      <w:r w:rsidRPr="008F5794">
        <w:rPr>
          <w:rFonts w:hint="cs"/>
          <w:rtl/>
        </w:rPr>
        <w:t xml:space="preserve">היא </w:t>
      </w:r>
      <w:r w:rsidRPr="008F5794">
        <w:rPr>
          <w:rtl/>
        </w:rPr>
        <w:t xml:space="preserve">פועלת ביתר שאת בחודשים האחרונים </w:t>
      </w:r>
      <w:r w:rsidRPr="008F5794">
        <w:rPr>
          <w:rFonts w:hint="cs"/>
          <w:rtl/>
        </w:rPr>
        <w:t xml:space="preserve">(יולי 2021) </w:t>
      </w:r>
      <w:r w:rsidRPr="008F5794">
        <w:rPr>
          <w:rtl/>
        </w:rPr>
        <w:t xml:space="preserve">להגדיל את </w:t>
      </w:r>
      <w:r w:rsidRPr="008F5794">
        <w:rPr>
          <w:rFonts w:hint="cs"/>
          <w:rtl/>
        </w:rPr>
        <w:t>כמות</w:t>
      </w:r>
      <w:r w:rsidRPr="008F5794">
        <w:rPr>
          <w:rtl/>
        </w:rPr>
        <w:t xml:space="preserve"> הקרקעות המשווקות למטרה ז</w:t>
      </w:r>
      <w:r w:rsidRPr="008F5794">
        <w:rPr>
          <w:rFonts w:hint="cs"/>
          <w:rtl/>
        </w:rPr>
        <w:t>ו</w:t>
      </w:r>
      <w:r w:rsidRPr="008F5794">
        <w:rPr>
          <w:rtl/>
        </w:rPr>
        <w:t xml:space="preserve"> כאמצעי משלים לשיווק </w:t>
      </w:r>
      <w:r w:rsidRPr="008F5794">
        <w:rPr>
          <w:rFonts w:hint="cs"/>
          <w:rtl/>
        </w:rPr>
        <w:t xml:space="preserve">קרקע לבניית </w:t>
      </w:r>
      <w:r w:rsidRPr="008F5794">
        <w:rPr>
          <w:rtl/>
        </w:rPr>
        <w:t>י</w:t>
      </w:r>
      <w:r w:rsidRPr="008F5794">
        <w:rPr>
          <w:rFonts w:hint="cs"/>
          <w:rtl/>
        </w:rPr>
        <w:t>ח"ד</w:t>
      </w:r>
      <w:r w:rsidRPr="008F5794">
        <w:rPr>
          <w:rtl/>
        </w:rPr>
        <w:t xml:space="preserve">. </w:t>
      </w:r>
      <w:r w:rsidRPr="008F5794">
        <w:rPr>
          <w:rFonts w:hint="eastAsia"/>
          <w:rtl/>
        </w:rPr>
        <w:t>רמ</w:t>
      </w:r>
      <w:r w:rsidRPr="008F5794">
        <w:rPr>
          <w:rtl/>
        </w:rPr>
        <w:t xml:space="preserve">"י </w:t>
      </w:r>
      <w:r w:rsidRPr="008F5794">
        <w:rPr>
          <w:rFonts w:hint="cs"/>
          <w:rtl/>
        </w:rPr>
        <w:t xml:space="preserve">ציינה </w:t>
      </w:r>
      <w:r w:rsidRPr="008F5794">
        <w:rPr>
          <w:rtl/>
        </w:rPr>
        <w:t xml:space="preserve">כי </w:t>
      </w:r>
      <w:r w:rsidRPr="008F5794">
        <w:rPr>
          <w:rFonts w:hint="eastAsia"/>
          <w:rtl/>
        </w:rPr>
        <w:t>היא</w:t>
      </w:r>
      <w:r w:rsidRPr="008F5794">
        <w:rPr>
          <w:rtl/>
        </w:rPr>
        <w:t xml:space="preserve"> ומשרד הפנים החלו לאחרונה בדיונים </w:t>
      </w:r>
      <w:r w:rsidRPr="008F5794">
        <w:rPr>
          <w:rFonts w:hint="cs"/>
          <w:rtl/>
        </w:rPr>
        <w:t>כדי</w:t>
      </w:r>
      <w:r w:rsidRPr="008F5794">
        <w:rPr>
          <w:rtl/>
        </w:rPr>
        <w:t xml:space="preserve"> ליישם שיתופי פעולה וכלים משותפים לסיוע לרשויות </w:t>
      </w:r>
      <w:r w:rsidRPr="008F5794">
        <w:rPr>
          <w:rFonts w:hint="cs"/>
          <w:rtl/>
        </w:rPr>
        <w:t xml:space="preserve">המקומיות </w:t>
      </w:r>
      <w:r w:rsidRPr="008F5794">
        <w:rPr>
          <w:rFonts w:hint="eastAsia"/>
          <w:rtl/>
        </w:rPr>
        <w:t>החתומות</w:t>
      </w:r>
      <w:r w:rsidRPr="008F5794">
        <w:rPr>
          <w:rtl/>
        </w:rPr>
        <w:t xml:space="preserve"> על הסכמי </w:t>
      </w:r>
      <w:r w:rsidRPr="008F5794">
        <w:rPr>
          <w:rFonts w:hint="cs"/>
          <w:rtl/>
        </w:rPr>
        <w:t>ה</w:t>
      </w:r>
      <w:r w:rsidRPr="008F5794">
        <w:rPr>
          <w:rtl/>
        </w:rPr>
        <w:t>גג.</w:t>
      </w:r>
    </w:p>
    <w:p w14:paraId="30DD3803" w14:textId="77777777" w:rsidR="000A4591" w:rsidRDefault="000A4591" w:rsidP="00157A78">
      <w:pPr>
        <w:pStyle w:val="7190"/>
        <w:rPr>
          <w:rtl/>
        </w:rPr>
      </w:pPr>
      <w:r w:rsidRPr="008F5794">
        <w:rPr>
          <w:rFonts w:hint="cs"/>
          <w:rtl/>
        </w:rPr>
        <w:t xml:space="preserve">משרד הבינוי מסר בתשובתו כי הוא </w:t>
      </w:r>
      <w:r w:rsidRPr="008F5794">
        <w:rPr>
          <w:rtl/>
        </w:rPr>
        <w:t xml:space="preserve">מקבל חלקית את ההמלצה </w:t>
      </w:r>
      <w:r w:rsidRPr="008F5794">
        <w:rPr>
          <w:rFonts w:hint="cs"/>
          <w:rtl/>
        </w:rPr>
        <w:t>לבחון</w:t>
      </w:r>
      <w:r w:rsidRPr="008F5794">
        <w:rPr>
          <w:rtl/>
        </w:rPr>
        <w:t xml:space="preserve"> </w:t>
      </w:r>
      <w:r w:rsidRPr="008F5794">
        <w:rPr>
          <w:rFonts w:hint="cs"/>
          <w:rtl/>
        </w:rPr>
        <w:t>את</w:t>
      </w:r>
      <w:r w:rsidRPr="008F5794">
        <w:rPr>
          <w:rtl/>
        </w:rPr>
        <w:t xml:space="preserve"> מצבן הפיננסי של הרשויות </w:t>
      </w:r>
      <w:r w:rsidRPr="008F5794">
        <w:rPr>
          <w:rFonts w:hint="cs"/>
          <w:rtl/>
        </w:rPr>
        <w:t xml:space="preserve">המקומיות החתומות על </w:t>
      </w:r>
      <w:r w:rsidRPr="008F5794">
        <w:rPr>
          <w:rtl/>
        </w:rPr>
        <w:t>הסכמי הגג</w:t>
      </w:r>
      <w:r w:rsidRPr="008F5794">
        <w:rPr>
          <w:rFonts w:hint="cs"/>
          <w:rtl/>
        </w:rPr>
        <w:t>,</w:t>
      </w:r>
      <w:r w:rsidRPr="008F5794">
        <w:rPr>
          <w:rtl/>
        </w:rPr>
        <w:t xml:space="preserve"> </w:t>
      </w:r>
      <w:r w:rsidRPr="008F5794">
        <w:rPr>
          <w:rFonts w:hint="cs"/>
          <w:rtl/>
        </w:rPr>
        <w:t xml:space="preserve">וכי </w:t>
      </w:r>
      <w:r w:rsidRPr="008F5794">
        <w:rPr>
          <w:rtl/>
        </w:rPr>
        <w:t xml:space="preserve">גם כיום </w:t>
      </w:r>
      <w:r w:rsidRPr="008F5794">
        <w:rPr>
          <w:rFonts w:hint="cs"/>
          <w:rtl/>
        </w:rPr>
        <w:t>(יולי 2021) הוא</w:t>
      </w:r>
      <w:r w:rsidRPr="008F5794">
        <w:rPr>
          <w:rtl/>
        </w:rPr>
        <w:t xml:space="preserve"> עוש</w:t>
      </w:r>
      <w:r w:rsidRPr="008F5794">
        <w:rPr>
          <w:rFonts w:hint="cs"/>
          <w:rtl/>
        </w:rPr>
        <w:t>ה</w:t>
      </w:r>
      <w:r w:rsidRPr="008F5794">
        <w:rPr>
          <w:rtl/>
        </w:rPr>
        <w:t xml:space="preserve"> את כל המאמצים האפשריים לקדם שיווק מתחמי תעסוקה ותעשייה ב</w:t>
      </w:r>
      <w:r w:rsidRPr="008F5794">
        <w:rPr>
          <w:rFonts w:hint="cs"/>
          <w:rtl/>
        </w:rPr>
        <w:t xml:space="preserve">שטחי השיפוט של </w:t>
      </w:r>
      <w:r w:rsidRPr="008F5794">
        <w:rPr>
          <w:rtl/>
        </w:rPr>
        <w:t>רשויות</w:t>
      </w:r>
      <w:r w:rsidRPr="008F5794">
        <w:rPr>
          <w:rFonts w:hint="cs"/>
          <w:rtl/>
        </w:rPr>
        <w:t xml:space="preserve"> אלה, כדי</w:t>
      </w:r>
      <w:r w:rsidRPr="008F5794">
        <w:rPr>
          <w:rtl/>
        </w:rPr>
        <w:t xml:space="preserve"> ליצור מקורות הכנסה מארנונה עסקית.</w:t>
      </w:r>
    </w:p>
    <w:p w14:paraId="158285AD" w14:textId="77777777" w:rsidR="00157A78" w:rsidRDefault="000A4591" w:rsidP="00157A78">
      <w:pPr>
        <w:pStyle w:val="7190"/>
        <w:rPr>
          <w:rtl/>
        </w:rPr>
      </w:pPr>
      <w:r w:rsidRPr="008F5794">
        <w:rPr>
          <w:rFonts w:hint="cs"/>
          <w:rtl/>
        </w:rPr>
        <w:t xml:space="preserve">אגף תקציבים מסר בתשובתו כי </w:t>
      </w:r>
      <w:r w:rsidRPr="008F5794">
        <w:rPr>
          <w:rtl/>
        </w:rPr>
        <w:t xml:space="preserve">היצע שטחי המסחר </w:t>
      </w:r>
      <w:r w:rsidRPr="008F5794">
        <w:rPr>
          <w:rFonts w:hint="cs"/>
          <w:rtl/>
        </w:rPr>
        <w:t xml:space="preserve">והתעסוקה </w:t>
      </w:r>
      <w:r w:rsidRPr="008F5794">
        <w:rPr>
          <w:rtl/>
        </w:rPr>
        <w:t>בישראל עולה על הביקוש</w:t>
      </w:r>
      <w:r w:rsidRPr="008F5794">
        <w:rPr>
          <w:rFonts w:hint="cs"/>
          <w:rtl/>
        </w:rPr>
        <w:t>; כי ה</w:t>
      </w:r>
      <w:r w:rsidRPr="008F5794">
        <w:rPr>
          <w:rtl/>
        </w:rPr>
        <w:t>הסתמכות</w:t>
      </w:r>
      <w:r w:rsidRPr="008F5794">
        <w:rPr>
          <w:rFonts w:hint="cs"/>
          <w:rtl/>
        </w:rPr>
        <w:t xml:space="preserve"> של הרשויות המקומיות על ארנונה עסקית</w:t>
      </w:r>
      <w:r w:rsidRPr="008F5794">
        <w:rPr>
          <w:rtl/>
        </w:rPr>
        <w:t xml:space="preserve"> כמקור הכנסה </w:t>
      </w:r>
      <w:r w:rsidRPr="008F5794">
        <w:rPr>
          <w:rFonts w:hint="cs"/>
          <w:rtl/>
        </w:rPr>
        <w:t xml:space="preserve">עיקרי </w:t>
      </w:r>
      <w:r w:rsidRPr="008F5794">
        <w:rPr>
          <w:rtl/>
        </w:rPr>
        <w:t xml:space="preserve">אינה מבטיחה </w:t>
      </w:r>
      <w:r w:rsidRPr="008F5794">
        <w:rPr>
          <w:rFonts w:hint="cs"/>
          <w:rtl/>
        </w:rPr>
        <w:t xml:space="preserve">את </w:t>
      </w:r>
      <w:r w:rsidRPr="008F5794">
        <w:rPr>
          <w:rtl/>
        </w:rPr>
        <w:t>יציבות</w:t>
      </w:r>
      <w:r w:rsidRPr="008F5794">
        <w:rPr>
          <w:rFonts w:hint="cs"/>
          <w:rtl/>
        </w:rPr>
        <w:t>ן</w:t>
      </w:r>
      <w:r w:rsidRPr="008F5794">
        <w:rPr>
          <w:rtl/>
        </w:rPr>
        <w:t xml:space="preserve"> </w:t>
      </w:r>
      <w:r w:rsidRPr="008F5794">
        <w:rPr>
          <w:rFonts w:hint="cs"/>
          <w:rtl/>
        </w:rPr>
        <w:t>ה</w:t>
      </w:r>
      <w:r w:rsidRPr="008F5794">
        <w:rPr>
          <w:rtl/>
        </w:rPr>
        <w:t>פיננסית</w:t>
      </w:r>
      <w:r w:rsidRPr="008F5794">
        <w:rPr>
          <w:rFonts w:hint="cs"/>
          <w:rtl/>
        </w:rPr>
        <w:t>; וכי</w:t>
      </w:r>
      <w:r w:rsidRPr="008F5794">
        <w:rPr>
          <w:rtl/>
        </w:rPr>
        <w:t xml:space="preserve"> יש דרכים </w:t>
      </w:r>
      <w:r w:rsidRPr="008F5794">
        <w:rPr>
          <w:rFonts w:hint="cs"/>
          <w:rtl/>
        </w:rPr>
        <w:t>אחרות</w:t>
      </w:r>
      <w:r w:rsidRPr="008F5794">
        <w:rPr>
          <w:rtl/>
        </w:rPr>
        <w:t xml:space="preserve"> להגדיל את הכנסותיה של הרשות</w:t>
      </w:r>
      <w:r w:rsidRPr="008F5794">
        <w:rPr>
          <w:rFonts w:hint="cs"/>
          <w:rtl/>
        </w:rPr>
        <w:t>,</w:t>
      </w:r>
      <w:r w:rsidRPr="008F5794">
        <w:rPr>
          <w:rtl/>
        </w:rPr>
        <w:t xml:space="preserve"> כמו העלאת תעריפי הארנונה </w:t>
      </w:r>
      <w:r w:rsidRPr="008F5794">
        <w:rPr>
          <w:rFonts w:hint="cs"/>
          <w:rtl/>
        </w:rPr>
        <w:t>למגורים ב</w:t>
      </w:r>
      <w:r w:rsidRPr="008F5794">
        <w:rPr>
          <w:rtl/>
        </w:rPr>
        <w:t>שכונות חדשות</w:t>
      </w:r>
      <w:r w:rsidRPr="008F5794">
        <w:rPr>
          <w:rFonts w:hint="cs"/>
          <w:rtl/>
        </w:rPr>
        <w:t xml:space="preserve"> ש</w:t>
      </w:r>
      <w:r w:rsidRPr="008F5794">
        <w:rPr>
          <w:rtl/>
        </w:rPr>
        <w:t>בהן רמת החיים גבוהה יותר</w:t>
      </w:r>
      <w:r w:rsidRPr="008F5794">
        <w:rPr>
          <w:rFonts w:hint="cs"/>
          <w:rtl/>
        </w:rPr>
        <w:t xml:space="preserve"> אולם </w:t>
      </w:r>
      <w:r w:rsidRPr="008F5794">
        <w:rPr>
          <w:rtl/>
        </w:rPr>
        <w:t>תעריפי</w:t>
      </w:r>
      <w:r w:rsidRPr="008F5794">
        <w:rPr>
          <w:rFonts w:hint="cs"/>
          <w:rtl/>
        </w:rPr>
        <w:t xml:space="preserve"> הארנונה </w:t>
      </w:r>
      <w:r w:rsidRPr="008F5794">
        <w:rPr>
          <w:rFonts w:hint="cs"/>
          <w:rtl/>
        </w:rPr>
        <w:lastRenderedPageBreak/>
        <w:t xml:space="preserve">למגורים בהן אינם </w:t>
      </w:r>
      <w:r w:rsidRPr="008F5794">
        <w:rPr>
          <w:rtl/>
        </w:rPr>
        <w:t>משקפים זאת</w:t>
      </w:r>
      <w:r w:rsidRPr="008F5794">
        <w:rPr>
          <w:rFonts w:hint="cs"/>
          <w:rtl/>
        </w:rPr>
        <w:t xml:space="preserve">, </w:t>
      </w:r>
      <w:r w:rsidRPr="008F5794">
        <w:rPr>
          <w:rtl/>
        </w:rPr>
        <w:t>מיצוי תהליכי הגבייה</w:t>
      </w:r>
      <w:r w:rsidRPr="008F5794">
        <w:rPr>
          <w:rFonts w:hint="cs"/>
          <w:rtl/>
        </w:rPr>
        <w:t xml:space="preserve"> ופיתוח מקורות</w:t>
      </w:r>
      <w:r w:rsidRPr="008F5794">
        <w:rPr>
          <w:rtl/>
        </w:rPr>
        <w:t xml:space="preserve"> הכנס</w:t>
      </w:r>
      <w:r w:rsidRPr="008F5794">
        <w:rPr>
          <w:rFonts w:hint="cs"/>
          <w:rtl/>
        </w:rPr>
        <w:t>ה</w:t>
      </w:r>
      <w:r w:rsidRPr="008F5794">
        <w:rPr>
          <w:rtl/>
        </w:rPr>
        <w:t xml:space="preserve"> נוספ</w:t>
      </w:r>
      <w:r w:rsidRPr="008F5794">
        <w:rPr>
          <w:rFonts w:hint="cs"/>
          <w:rtl/>
        </w:rPr>
        <w:t xml:space="preserve">ים, לרבות </w:t>
      </w:r>
      <w:r w:rsidRPr="008F5794">
        <w:rPr>
          <w:rtl/>
        </w:rPr>
        <w:t>השכרת מבנים</w:t>
      </w:r>
      <w:r w:rsidRPr="008F5794">
        <w:rPr>
          <w:rFonts w:hint="cs"/>
          <w:rtl/>
        </w:rPr>
        <w:t xml:space="preserve">. עוד מסר אגף תקציבים כי </w:t>
      </w:r>
      <w:r w:rsidRPr="008F5794">
        <w:rPr>
          <w:rtl/>
        </w:rPr>
        <w:t>קיים עיוות בתמרי</w:t>
      </w:r>
      <w:r w:rsidRPr="008F5794">
        <w:rPr>
          <w:rFonts w:hint="cs"/>
          <w:rtl/>
        </w:rPr>
        <w:t>ץ</w:t>
      </w:r>
      <w:r w:rsidRPr="008F5794">
        <w:rPr>
          <w:rtl/>
        </w:rPr>
        <w:t xml:space="preserve"> </w:t>
      </w:r>
      <w:r w:rsidRPr="008F5794">
        <w:rPr>
          <w:rFonts w:hint="cs"/>
          <w:rtl/>
        </w:rPr>
        <w:t xml:space="preserve">של </w:t>
      </w:r>
      <w:r w:rsidRPr="008F5794">
        <w:rPr>
          <w:rtl/>
        </w:rPr>
        <w:t xml:space="preserve">הרשויות המקומיות </w:t>
      </w:r>
      <w:r w:rsidRPr="008F5794">
        <w:rPr>
          <w:rFonts w:hint="cs"/>
          <w:rtl/>
        </w:rPr>
        <w:t>לקלוט יח"ד בשטחי שיפוטן,</w:t>
      </w:r>
      <w:r w:rsidRPr="008F5794">
        <w:rPr>
          <w:rtl/>
        </w:rPr>
        <w:t xml:space="preserve"> לעומת שטחי </w:t>
      </w:r>
      <w:r w:rsidRPr="008F5794">
        <w:rPr>
          <w:rFonts w:hint="cs"/>
          <w:rtl/>
        </w:rPr>
        <w:t>מסחר ו</w:t>
      </w:r>
      <w:r w:rsidRPr="008F5794">
        <w:rPr>
          <w:rtl/>
        </w:rPr>
        <w:t>תעסוקה</w:t>
      </w:r>
      <w:r w:rsidRPr="008F5794">
        <w:rPr>
          <w:rFonts w:hint="cs"/>
          <w:rtl/>
        </w:rPr>
        <w:t>,</w:t>
      </w:r>
      <w:r w:rsidRPr="008F5794">
        <w:rPr>
          <w:rtl/>
        </w:rPr>
        <w:t xml:space="preserve"> </w:t>
      </w:r>
      <w:r w:rsidRPr="008F5794">
        <w:rPr>
          <w:rFonts w:hint="cs"/>
          <w:rtl/>
        </w:rPr>
        <w:t xml:space="preserve">עקב </w:t>
      </w:r>
      <w:r w:rsidRPr="008F5794">
        <w:rPr>
          <w:rtl/>
        </w:rPr>
        <w:t>כשל בתעריפי הארנונה</w:t>
      </w:r>
      <w:r w:rsidRPr="008F5794">
        <w:rPr>
          <w:rFonts w:hint="cs"/>
          <w:rtl/>
        </w:rPr>
        <w:t>,</w:t>
      </w:r>
      <w:r w:rsidRPr="008F5794">
        <w:rPr>
          <w:rtl/>
        </w:rPr>
        <w:t xml:space="preserve"> ו</w:t>
      </w:r>
      <w:r w:rsidRPr="008F5794">
        <w:rPr>
          <w:rFonts w:hint="cs"/>
          <w:rtl/>
        </w:rPr>
        <w:t xml:space="preserve">על כן </w:t>
      </w:r>
      <w:r w:rsidRPr="008F5794">
        <w:rPr>
          <w:rtl/>
        </w:rPr>
        <w:t>יש לפעול לשינוי מבנה התמריצים ב</w:t>
      </w:r>
      <w:r w:rsidRPr="008F5794">
        <w:rPr>
          <w:rFonts w:hint="cs"/>
          <w:rtl/>
        </w:rPr>
        <w:t>כל הנוגע ל</w:t>
      </w:r>
      <w:r w:rsidRPr="008F5794">
        <w:rPr>
          <w:rtl/>
        </w:rPr>
        <w:t xml:space="preserve">תמהיל תעריפי הארנונה שגובות הרשויות המקומיות (צמצום הפער בין הארנונה למגורים </w:t>
      </w:r>
      <w:r w:rsidRPr="008F5794">
        <w:rPr>
          <w:rFonts w:hint="cs"/>
          <w:rtl/>
        </w:rPr>
        <w:t>ל</w:t>
      </w:r>
      <w:r w:rsidRPr="008F5794">
        <w:rPr>
          <w:rtl/>
        </w:rPr>
        <w:t xml:space="preserve">בין הארנונה משטחי </w:t>
      </w:r>
      <w:r w:rsidRPr="008F5794">
        <w:rPr>
          <w:rFonts w:hint="cs"/>
          <w:rtl/>
        </w:rPr>
        <w:t>המסחר וה</w:t>
      </w:r>
      <w:r w:rsidRPr="008F5794">
        <w:rPr>
          <w:rtl/>
        </w:rPr>
        <w:t>תעסוקה).</w:t>
      </w:r>
    </w:p>
    <w:p w14:paraId="5C00820D" w14:textId="263334EF" w:rsidR="000A4591" w:rsidRDefault="000A4591" w:rsidP="00157A78">
      <w:pPr>
        <w:pStyle w:val="7190"/>
        <w:rPr>
          <w:rtl/>
        </w:rPr>
      </w:pPr>
      <w:r>
        <w:rPr>
          <w:rtl/>
        </w:rPr>
        <w:t xml:space="preserve"> </w:t>
      </w:r>
    </w:p>
    <w:p w14:paraId="1A8A17F3" w14:textId="77777777" w:rsidR="000A4591" w:rsidRPr="0022629D" w:rsidRDefault="000A4591" w:rsidP="00157A78">
      <w:pPr>
        <w:pStyle w:val="7120"/>
        <w:rPr>
          <w:rtl/>
        </w:rPr>
      </w:pPr>
      <w:r w:rsidRPr="0022629D">
        <w:rPr>
          <w:rFonts w:hint="cs"/>
          <w:rtl/>
        </w:rPr>
        <w:t>משך המגעים והשקיפות לגבי הסכמי הגג</w:t>
      </w:r>
    </w:p>
    <w:p w14:paraId="384BFA92" w14:textId="77777777" w:rsidR="000A4591" w:rsidRPr="0022629D" w:rsidRDefault="000A4591" w:rsidP="00157A78">
      <w:pPr>
        <w:pStyle w:val="714"/>
        <w:numPr>
          <w:ilvl w:val="0"/>
          <w:numId w:val="25"/>
        </w:numPr>
        <w:rPr>
          <w:rtl/>
        </w:rPr>
      </w:pPr>
      <w:r w:rsidRPr="0022629D">
        <w:rPr>
          <w:rFonts w:hint="cs"/>
          <w:rtl/>
        </w:rPr>
        <w:t>חתימה על הסכם גג ראשיתה בניהול משא ומתן בין הרשות המקומית למשרד הבינוי או רמ"י</w:t>
      </w:r>
      <w:r>
        <w:rPr>
          <w:rFonts w:hint="cs"/>
          <w:rtl/>
        </w:rPr>
        <w:t>,</w:t>
      </w:r>
      <w:r w:rsidRPr="0022629D">
        <w:rPr>
          <w:rFonts w:hint="cs"/>
          <w:rtl/>
        </w:rPr>
        <w:t xml:space="preserve"> בין היתר לצורך סיכום התוכניות ותשתיות-העל שי</w:t>
      </w:r>
      <w:r>
        <w:rPr>
          <w:rFonts w:hint="cs"/>
          <w:rtl/>
        </w:rPr>
        <w:t>י</w:t>
      </w:r>
      <w:r w:rsidRPr="0022629D">
        <w:rPr>
          <w:rFonts w:hint="cs"/>
          <w:rtl/>
        </w:rPr>
        <w:t xml:space="preserve">כללו בהסכם. אי לכך, </w:t>
      </w:r>
      <w:r>
        <w:rPr>
          <w:rFonts w:hint="cs"/>
          <w:rtl/>
        </w:rPr>
        <w:t>חשוב ביותר כי</w:t>
      </w:r>
      <w:r w:rsidRPr="0022629D">
        <w:rPr>
          <w:rFonts w:hint="cs"/>
          <w:rtl/>
        </w:rPr>
        <w:t xml:space="preserve"> המגעים </w:t>
      </w:r>
      <w:r w:rsidRPr="0022629D">
        <w:rPr>
          <w:rtl/>
        </w:rPr>
        <w:t xml:space="preserve">בין השלטון המרכזי </w:t>
      </w:r>
      <w:r w:rsidRPr="0022629D">
        <w:rPr>
          <w:rFonts w:hint="cs"/>
          <w:rtl/>
        </w:rPr>
        <w:t>ל</w:t>
      </w:r>
      <w:r w:rsidRPr="0022629D">
        <w:rPr>
          <w:rtl/>
        </w:rPr>
        <w:t xml:space="preserve">בין הרשות המקומית </w:t>
      </w:r>
      <w:r>
        <w:rPr>
          <w:rFonts w:hint="cs"/>
          <w:rtl/>
        </w:rPr>
        <w:t xml:space="preserve">יבשילו במהירות </w:t>
      </w:r>
      <w:r w:rsidRPr="0022629D">
        <w:rPr>
          <w:rFonts w:hint="cs"/>
          <w:rtl/>
        </w:rPr>
        <w:t xml:space="preserve">לחתימה על הסכם גג </w:t>
      </w:r>
      <w:r w:rsidRPr="0022629D">
        <w:rPr>
          <w:rtl/>
        </w:rPr>
        <w:t xml:space="preserve">מיטבי </w:t>
      </w:r>
      <w:r w:rsidRPr="0022629D">
        <w:rPr>
          <w:rFonts w:hint="cs"/>
          <w:rtl/>
        </w:rPr>
        <w:t>כדי שניתן יהיה לבנות יח"ד</w:t>
      </w:r>
      <w:r w:rsidRPr="0022629D">
        <w:rPr>
          <w:rtl/>
        </w:rPr>
        <w:t xml:space="preserve"> בהיקף נרחב </w:t>
      </w:r>
      <w:r>
        <w:rPr>
          <w:rFonts w:hint="cs"/>
          <w:rtl/>
        </w:rPr>
        <w:t>ובהקדם האפשרי</w:t>
      </w:r>
      <w:r w:rsidRPr="0022629D">
        <w:rPr>
          <w:rFonts w:hint="cs"/>
          <w:rtl/>
        </w:rPr>
        <w:t xml:space="preserve"> בהתאם ליעדים שקבעה הממשלה, תוך הבטחת </w:t>
      </w:r>
      <w:r>
        <w:rPr>
          <w:rFonts w:hint="cs"/>
          <w:rtl/>
        </w:rPr>
        <w:t>ביצועה</w:t>
      </w:r>
      <w:r w:rsidRPr="0022629D">
        <w:rPr>
          <w:rFonts w:hint="cs"/>
          <w:rtl/>
        </w:rPr>
        <w:t xml:space="preserve"> של עבודת מטה יסודית לצורך הקמת התשתיות הנדרשות לתושבים הקיימים והעתידיים ביישוב ו</w:t>
      </w:r>
      <w:r w:rsidRPr="0022629D">
        <w:rPr>
          <w:rtl/>
        </w:rPr>
        <w:t xml:space="preserve">שמירה על </w:t>
      </w:r>
      <w:r w:rsidRPr="0022629D">
        <w:rPr>
          <w:rFonts w:hint="cs"/>
          <w:rtl/>
        </w:rPr>
        <w:t xml:space="preserve">היכולת של הרשות המקומית לספק את רמת </w:t>
      </w:r>
      <w:r w:rsidRPr="0022629D">
        <w:rPr>
          <w:rtl/>
        </w:rPr>
        <w:t>השירותים</w:t>
      </w:r>
      <w:r w:rsidRPr="0022629D">
        <w:rPr>
          <w:rFonts w:hint="cs"/>
          <w:rtl/>
        </w:rPr>
        <w:t xml:space="preserve"> הנדרשת</w:t>
      </w:r>
      <w:r w:rsidRPr="0022629D">
        <w:rPr>
          <w:rtl/>
        </w:rPr>
        <w:t>.</w:t>
      </w:r>
    </w:p>
    <w:p w14:paraId="6F6AC7DD" w14:textId="77777777" w:rsidR="000A4591" w:rsidRPr="0022629D" w:rsidRDefault="000A4591" w:rsidP="00157A78">
      <w:pPr>
        <w:pStyle w:val="71f4"/>
        <w:rPr>
          <w:rtl/>
        </w:rPr>
      </w:pPr>
      <w:r w:rsidRPr="0022629D">
        <w:rPr>
          <w:rFonts w:hint="cs"/>
          <w:rtl/>
        </w:rPr>
        <w:t xml:space="preserve">בביקורת נבדקו משכי </w:t>
      </w:r>
      <w:r>
        <w:rPr>
          <w:rFonts w:hint="cs"/>
          <w:rtl/>
        </w:rPr>
        <w:t>המשא ומתן</w:t>
      </w:r>
      <w:r w:rsidRPr="0022629D">
        <w:rPr>
          <w:rFonts w:hint="cs"/>
          <w:rtl/>
        </w:rPr>
        <w:t xml:space="preserve"> (החל </w:t>
      </w:r>
      <w:r>
        <w:rPr>
          <w:rFonts w:hint="cs"/>
          <w:rtl/>
        </w:rPr>
        <w:t>ב</w:t>
      </w:r>
      <w:r w:rsidRPr="0022629D">
        <w:rPr>
          <w:rFonts w:hint="cs"/>
          <w:rtl/>
        </w:rPr>
        <w:t>ראשיתם של המגעים בין הגופים ועד מועד החתימה), שהתקיימו בנוגע ל-23</w:t>
      </w:r>
      <w:r>
        <w:rPr>
          <w:rFonts w:hint="cs"/>
          <w:rtl/>
        </w:rPr>
        <w:t xml:space="preserve"> </w:t>
      </w:r>
      <w:r w:rsidRPr="0022629D">
        <w:rPr>
          <w:rFonts w:hint="cs"/>
          <w:rtl/>
        </w:rPr>
        <w:t>(כ-70%</w:t>
      </w:r>
      <w:r>
        <w:rPr>
          <w:rFonts w:hint="cs"/>
          <w:rtl/>
        </w:rPr>
        <w:t xml:space="preserve">) </w:t>
      </w:r>
      <w:r w:rsidRPr="0022629D">
        <w:rPr>
          <w:rFonts w:hint="cs"/>
          <w:rtl/>
        </w:rPr>
        <w:t xml:space="preserve">מהסכמי הגג </w:t>
      </w:r>
      <w:r w:rsidRPr="008632D3">
        <w:rPr>
          <w:rFonts w:hint="cs"/>
          <w:rtl/>
        </w:rPr>
        <w:t xml:space="preserve">שלגביהם התקבל </w:t>
      </w:r>
      <w:r w:rsidRPr="00686577">
        <w:rPr>
          <w:rFonts w:hint="cs"/>
          <w:rtl/>
        </w:rPr>
        <w:t xml:space="preserve">מידע </w:t>
      </w:r>
      <w:r w:rsidRPr="00686577">
        <w:rPr>
          <w:rFonts w:hint="eastAsia"/>
          <w:rtl/>
        </w:rPr>
        <w:t>בנושא</w:t>
      </w:r>
      <w:r>
        <w:rPr>
          <w:rFonts w:hint="cs"/>
          <w:rtl/>
        </w:rPr>
        <w:t xml:space="preserve"> ממשרד הבינוי, מרמ"י ומכמה רשויות מקומיות.</w:t>
      </w:r>
      <w:r w:rsidRPr="0022629D">
        <w:rPr>
          <w:rFonts w:hint="cs"/>
          <w:rtl/>
        </w:rPr>
        <w:t xml:space="preserve"> להלן </w:t>
      </w:r>
      <w:r>
        <w:rPr>
          <w:rFonts w:hint="cs"/>
          <w:rtl/>
        </w:rPr>
        <w:t>בתרשים 15 יוצג משך המגעים בין הרשויות המקומיות לרמ"י או למשרד הבינוי, לקראת החתימה על הסכמי הגג (בחודשים בקירוב):</w:t>
      </w:r>
      <w:r w:rsidRPr="0022629D">
        <w:rPr>
          <w:rFonts w:hint="cs"/>
          <w:rtl/>
        </w:rPr>
        <w:t xml:space="preserve"> </w:t>
      </w:r>
    </w:p>
    <w:p w14:paraId="1C40D04B" w14:textId="6F04A841" w:rsidR="000A4591" w:rsidRDefault="00C21954" w:rsidP="00157A78">
      <w:pPr>
        <w:pStyle w:val="71b"/>
        <w:rPr>
          <w:rtl/>
        </w:rPr>
      </w:pPr>
      <w:r>
        <w:rPr>
          <w:noProof/>
          <w:rtl/>
          <w:lang w:val="he-IL"/>
        </w:rPr>
        <w:lastRenderedPageBreak/>
        <w:drawing>
          <wp:anchor distT="0" distB="0" distL="114300" distR="114300" simplePos="0" relativeHeight="252149248" behindDoc="0" locked="0" layoutInCell="1" allowOverlap="1" wp14:anchorId="16D60C40" wp14:editId="61ADA773">
            <wp:simplePos x="0" y="0"/>
            <wp:positionH relativeFrom="column">
              <wp:posOffset>86995</wp:posOffset>
            </wp:positionH>
            <wp:positionV relativeFrom="paragraph">
              <wp:posOffset>414020</wp:posOffset>
            </wp:positionV>
            <wp:extent cx="4456663" cy="2700000"/>
            <wp:effectExtent l="0" t="0" r="127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56663" cy="2700000"/>
                    </a:xfrm>
                    <a:prstGeom prst="rect">
                      <a:avLst/>
                    </a:prstGeom>
                  </pic:spPr>
                </pic:pic>
              </a:graphicData>
            </a:graphic>
            <wp14:sizeRelH relativeFrom="margin">
              <wp14:pctWidth>0</wp14:pctWidth>
            </wp14:sizeRelH>
            <wp14:sizeRelV relativeFrom="margin">
              <wp14:pctHeight>0</wp14:pctHeight>
            </wp14:sizeRelV>
          </wp:anchor>
        </w:drawing>
      </w:r>
      <w:r w:rsidR="000A4591" w:rsidRPr="00157A78">
        <w:rPr>
          <w:rFonts w:hint="cs"/>
          <w:b w:val="0"/>
          <w:bCs w:val="0"/>
          <w:rtl/>
        </w:rPr>
        <w:t>תרשים 15:</w:t>
      </w:r>
      <w:r w:rsidR="000A4591" w:rsidRPr="0022629D">
        <w:rPr>
          <w:rFonts w:hint="cs"/>
          <w:rtl/>
        </w:rPr>
        <w:t xml:space="preserve"> משך המגעים בין רשויות מקומיות לרמ"י או למשרד הבינוי ל</w:t>
      </w:r>
      <w:r w:rsidR="000A4591">
        <w:rPr>
          <w:rFonts w:hint="cs"/>
          <w:rtl/>
        </w:rPr>
        <w:t xml:space="preserve">קראת </w:t>
      </w:r>
      <w:r w:rsidR="000A4591" w:rsidRPr="0022629D">
        <w:rPr>
          <w:rFonts w:hint="cs"/>
          <w:rtl/>
        </w:rPr>
        <w:t>חתימת הסכם גג</w:t>
      </w:r>
      <w:r w:rsidR="000A4591">
        <w:rPr>
          <w:rFonts w:hint="cs"/>
          <w:rtl/>
        </w:rPr>
        <w:t xml:space="preserve"> </w:t>
      </w:r>
      <w:r w:rsidR="000A4591" w:rsidRPr="0022629D">
        <w:rPr>
          <w:rFonts w:hint="cs"/>
          <w:rtl/>
        </w:rPr>
        <w:t>(בחודשים בקירוב)</w:t>
      </w:r>
    </w:p>
    <w:p w14:paraId="4206DFDF" w14:textId="6961FBC5" w:rsidR="00C21954" w:rsidRDefault="00C21954" w:rsidP="00157A78">
      <w:pPr>
        <w:pStyle w:val="71b"/>
        <w:rPr>
          <w:rtl/>
        </w:rPr>
      </w:pPr>
    </w:p>
    <w:p w14:paraId="4FA961BB" w14:textId="0B3EEAFD" w:rsidR="000A4591" w:rsidRPr="002E03AE" w:rsidRDefault="000A4591" w:rsidP="00157A78">
      <w:pPr>
        <w:pStyle w:val="71d"/>
        <w:rPr>
          <w:rtl/>
        </w:rPr>
      </w:pPr>
      <w:r>
        <w:rPr>
          <w:rFonts w:hint="cs"/>
          <w:rtl/>
        </w:rPr>
        <w:t xml:space="preserve">על פי </w:t>
      </w:r>
      <w:r w:rsidRPr="002E03AE">
        <w:rPr>
          <w:rFonts w:hint="eastAsia"/>
          <w:rtl/>
        </w:rPr>
        <w:t>נתוני</w:t>
      </w:r>
      <w:r w:rsidRPr="002E03AE">
        <w:rPr>
          <w:rtl/>
        </w:rPr>
        <w:t xml:space="preserve"> </w:t>
      </w:r>
      <w:r w:rsidRPr="002E03AE">
        <w:rPr>
          <w:rFonts w:hint="eastAsia"/>
          <w:rtl/>
        </w:rPr>
        <w:t>משרד</w:t>
      </w:r>
      <w:r w:rsidRPr="002E03AE">
        <w:rPr>
          <w:rtl/>
        </w:rPr>
        <w:t xml:space="preserve"> </w:t>
      </w:r>
      <w:r w:rsidRPr="002E03AE">
        <w:rPr>
          <w:rFonts w:hint="eastAsia"/>
          <w:rtl/>
        </w:rPr>
        <w:t>הבינוי</w:t>
      </w:r>
      <w:r w:rsidRPr="002E03AE">
        <w:rPr>
          <w:rtl/>
        </w:rPr>
        <w:t xml:space="preserve">, </w:t>
      </w:r>
      <w:r w:rsidRPr="002E03AE">
        <w:rPr>
          <w:rFonts w:hint="eastAsia"/>
          <w:rtl/>
        </w:rPr>
        <w:t>רמ</w:t>
      </w:r>
      <w:r w:rsidRPr="002E03AE">
        <w:rPr>
          <w:rtl/>
        </w:rPr>
        <w:t xml:space="preserve">"י </w:t>
      </w:r>
      <w:r w:rsidRPr="002E03AE">
        <w:rPr>
          <w:rFonts w:hint="eastAsia"/>
          <w:rtl/>
        </w:rPr>
        <w:t>ורשויות</w:t>
      </w:r>
      <w:r w:rsidRPr="002E03AE">
        <w:rPr>
          <w:rtl/>
        </w:rPr>
        <w:t xml:space="preserve"> </w:t>
      </w:r>
      <w:r w:rsidRPr="002E03AE">
        <w:rPr>
          <w:rFonts w:hint="eastAsia"/>
          <w:rtl/>
        </w:rPr>
        <w:t>מקומיות</w:t>
      </w:r>
      <w:r>
        <w:rPr>
          <w:rFonts w:hint="cs"/>
          <w:rtl/>
        </w:rPr>
        <w:t>,</w:t>
      </w:r>
      <w:r w:rsidRPr="002E03AE">
        <w:rPr>
          <w:rtl/>
        </w:rPr>
        <w:t xml:space="preserve"> </w:t>
      </w:r>
      <w:r w:rsidRPr="002E03AE">
        <w:rPr>
          <w:rFonts w:hint="eastAsia"/>
          <w:rtl/>
        </w:rPr>
        <w:t>בעיבוד</w:t>
      </w:r>
      <w:r w:rsidRPr="002E03AE">
        <w:rPr>
          <w:rtl/>
        </w:rPr>
        <w:t xml:space="preserve"> </w:t>
      </w:r>
      <w:r w:rsidRPr="002E03AE">
        <w:rPr>
          <w:rFonts w:hint="eastAsia"/>
          <w:rtl/>
        </w:rPr>
        <w:t>משרד</w:t>
      </w:r>
      <w:r w:rsidRPr="002E03AE">
        <w:rPr>
          <w:rtl/>
        </w:rPr>
        <w:t xml:space="preserve"> </w:t>
      </w:r>
      <w:r w:rsidRPr="002E03AE">
        <w:rPr>
          <w:rFonts w:hint="eastAsia"/>
          <w:rtl/>
        </w:rPr>
        <w:t>מבקר</w:t>
      </w:r>
      <w:r w:rsidRPr="002E03AE">
        <w:rPr>
          <w:rtl/>
        </w:rPr>
        <w:t xml:space="preserve"> </w:t>
      </w:r>
      <w:r w:rsidRPr="002E03AE">
        <w:rPr>
          <w:rFonts w:hint="eastAsia"/>
          <w:rtl/>
        </w:rPr>
        <w:t>המדינה</w:t>
      </w:r>
      <w:r w:rsidRPr="002E03AE">
        <w:rPr>
          <w:rtl/>
        </w:rPr>
        <w:t>.</w:t>
      </w:r>
    </w:p>
    <w:p w14:paraId="006758BD" w14:textId="5C5DD86E" w:rsidR="000A4591" w:rsidRPr="00F0596F" w:rsidRDefault="000A4591" w:rsidP="00A74B11">
      <w:pPr>
        <w:pStyle w:val="71f"/>
        <w:rPr>
          <w:rtl/>
        </w:rPr>
      </w:pPr>
      <w:r w:rsidRPr="00F0596F">
        <w:rPr>
          <w:rFonts w:hint="eastAsia"/>
          <w:rtl/>
        </w:rPr>
        <w:t>מהתרשים</w:t>
      </w:r>
      <w:r w:rsidRPr="00F0596F">
        <w:rPr>
          <w:rtl/>
        </w:rPr>
        <w:t xml:space="preserve"> עולה כי משך המגעים</w:t>
      </w:r>
      <w:r>
        <w:rPr>
          <w:rFonts w:hint="cs"/>
          <w:rtl/>
        </w:rPr>
        <w:t xml:space="preserve"> הממוצע</w:t>
      </w:r>
      <w:r w:rsidRPr="00F0596F">
        <w:rPr>
          <w:rtl/>
        </w:rPr>
        <w:t xml:space="preserve"> לחתימה על הסכם </w:t>
      </w:r>
      <w:r>
        <w:rPr>
          <w:rFonts w:hint="cs"/>
          <w:rtl/>
        </w:rPr>
        <w:t>היה</w:t>
      </w:r>
      <w:r w:rsidRPr="00F0596F">
        <w:rPr>
          <w:rtl/>
        </w:rPr>
        <w:t xml:space="preserve"> כ-20 חודשים</w:t>
      </w:r>
      <w:r>
        <w:rPr>
          <w:rFonts w:hint="cs"/>
          <w:rtl/>
        </w:rPr>
        <w:t>,</w:t>
      </w:r>
      <w:r w:rsidRPr="00F0596F">
        <w:rPr>
          <w:rtl/>
        </w:rPr>
        <w:t xml:space="preserve"> והוא נמשך בין שישה חודשים (</w:t>
      </w:r>
      <w:r>
        <w:rPr>
          <w:rFonts w:hint="cs"/>
          <w:rtl/>
        </w:rPr>
        <w:t>ב</w:t>
      </w:r>
      <w:r w:rsidRPr="00F0596F">
        <w:rPr>
          <w:rtl/>
        </w:rPr>
        <w:t>מגדל העמק ו</w:t>
      </w:r>
      <w:r>
        <w:rPr>
          <w:rFonts w:hint="cs"/>
          <w:rtl/>
        </w:rPr>
        <w:t>ב</w:t>
      </w:r>
      <w:r w:rsidRPr="00F0596F">
        <w:rPr>
          <w:rtl/>
        </w:rPr>
        <w:t xml:space="preserve">ראש העין) ל-57 חודשים - כחמש שנים (קריית </w:t>
      </w:r>
      <w:r w:rsidRPr="00F0596F">
        <w:rPr>
          <w:rFonts w:hint="eastAsia"/>
          <w:rtl/>
        </w:rPr>
        <w:t>אתא</w:t>
      </w:r>
      <w:r w:rsidRPr="00F0596F">
        <w:rPr>
          <w:rtl/>
        </w:rPr>
        <w:t xml:space="preserve">). </w:t>
      </w:r>
    </w:p>
    <w:p w14:paraId="526CD3BF" w14:textId="77777777" w:rsidR="000A4591" w:rsidRPr="0022629D" w:rsidRDefault="000A4591" w:rsidP="00A74B11">
      <w:pPr>
        <w:pStyle w:val="71f"/>
        <w:rPr>
          <w:rtl/>
        </w:rPr>
      </w:pPr>
      <w:r w:rsidRPr="0022629D">
        <w:rPr>
          <w:rFonts w:hint="eastAsia"/>
          <w:rtl/>
        </w:rPr>
        <w:t>נוכח</w:t>
      </w:r>
      <w:r w:rsidRPr="0022629D">
        <w:rPr>
          <w:rtl/>
        </w:rPr>
        <w:t xml:space="preserve"> </w:t>
      </w:r>
      <w:r w:rsidRPr="0022629D">
        <w:rPr>
          <w:rFonts w:hint="eastAsia"/>
          <w:rtl/>
        </w:rPr>
        <w:t>ה</w:t>
      </w:r>
      <w:r w:rsidRPr="0022629D">
        <w:rPr>
          <w:rFonts w:hint="cs"/>
          <w:rtl/>
        </w:rPr>
        <w:t>הבדלים</w:t>
      </w:r>
      <w:r w:rsidRPr="00DF047C">
        <w:rPr>
          <w:rFonts w:hint="cs"/>
          <w:rtl/>
        </w:rPr>
        <w:t xml:space="preserve"> </w:t>
      </w:r>
      <w:r>
        <w:rPr>
          <w:rFonts w:hint="cs"/>
          <w:rtl/>
        </w:rPr>
        <w:t>שעלו מן הנתונים</w:t>
      </w:r>
      <w:r w:rsidRPr="0022629D">
        <w:rPr>
          <w:rFonts w:hint="cs"/>
          <w:rtl/>
        </w:rPr>
        <w:t xml:space="preserve"> </w:t>
      </w:r>
      <w:r w:rsidRPr="0022629D">
        <w:rPr>
          <w:rFonts w:hint="eastAsia"/>
          <w:rtl/>
        </w:rPr>
        <w:t>במש</w:t>
      </w:r>
      <w:r>
        <w:rPr>
          <w:rFonts w:hint="cs"/>
          <w:rtl/>
        </w:rPr>
        <w:t>כי</w:t>
      </w:r>
      <w:r w:rsidRPr="0022629D">
        <w:rPr>
          <w:rtl/>
        </w:rPr>
        <w:t xml:space="preserve"> </w:t>
      </w:r>
      <w:r w:rsidRPr="0022629D">
        <w:rPr>
          <w:rFonts w:hint="eastAsia"/>
          <w:rtl/>
        </w:rPr>
        <w:t>המשא</w:t>
      </w:r>
      <w:r w:rsidRPr="0022629D">
        <w:rPr>
          <w:rtl/>
        </w:rPr>
        <w:t xml:space="preserve"> </w:t>
      </w:r>
      <w:r w:rsidRPr="0022629D">
        <w:rPr>
          <w:rFonts w:hint="eastAsia"/>
          <w:rtl/>
        </w:rPr>
        <w:t>ומתן</w:t>
      </w:r>
      <w:r w:rsidRPr="0022629D">
        <w:rPr>
          <w:rtl/>
        </w:rPr>
        <w:t xml:space="preserve"> </w:t>
      </w:r>
      <w:r w:rsidRPr="0022629D">
        <w:rPr>
          <w:rFonts w:hint="eastAsia"/>
          <w:rtl/>
        </w:rPr>
        <w:t>בין</w:t>
      </w:r>
      <w:r w:rsidRPr="0022629D">
        <w:rPr>
          <w:rtl/>
        </w:rPr>
        <w:t xml:space="preserve"> </w:t>
      </w:r>
      <w:r w:rsidRPr="0022629D">
        <w:rPr>
          <w:rFonts w:hint="eastAsia"/>
          <w:rtl/>
        </w:rPr>
        <w:t>הרשויות</w:t>
      </w:r>
      <w:r w:rsidRPr="0022629D">
        <w:rPr>
          <w:rtl/>
        </w:rPr>
        <w:t xml:space="preserve"> </w:t>
      </w:r>
      <w:r w:rsidRPr="0022629D">
        <w:rPr>
          <w:rFonts w:hint="eastAsia"/>
          <w:rtl/>
        </w:rPr>
        <w:t>המקומיות</w:t>
      </w:r>
      <w:r w:rsidRPr="0022629D">
        <w:rPr>
          <w:rtl/>
        </w:rPr>
        <w:t xml:space="preserve"> </w:t>
      </w:r>
      <w:r w:rsidRPr="0022629D">
        <w:rPr>
          <w:rFonts w:hint="eastAsia"/>
          <w:rtl/>
        </w:rPr>
        <w:t>השונות</w:t>
      </w:r>
      <w:r w:rsidRPr="0022629D">
        <w:rPr>
          <w:rtl/>
        </w:rPr>
        <w:t xml:space="preserve">, מומלץ כי </w:t>
      </w:r>
      <w:r w:rsidRPr="0022629D">
        <w:rPr>
          <w:rFonts w:hint="eastAsia"/>
          <w:rtl/>
        </w:rPr>
        <w:t>משרד</w:t>
      </w:r>
      <w:r w:rsidRPr="0022629D">
        <w:rPr>
          <w:rtl/>
        </w:rPr>
        <w:t xml:space="preserve"> </w:t>
      </w:r>
      <w:r w:rsidRPr="0022629D">
        <w:rPr>
          <w:rFonts w:hint="eastAsia"/>
          <w:rtl/>
        </w:rPr>
        <w:t>הבינוי</w:t>
      </w:r>
      <w:r w:rsidRPr="0022629D">
        <w:rPr>
          <w:rtl/>
        </w:rPr>
        <w:t xml:space="preserve"> </w:t>
      </w:r>
      <w:r w:rsidRPr="0022629D">
        <w:rPr>
          <w:rFonts w:hint="eastAsia"/>
          <w:rtl/>
        </w:rPr>
        <w:t>ורמ</w:t>
      </w:r>
      <w:r w:rsidRPr="0022629D">
        <w:rPr>
          <w:rtl/>
        </w:rPr>
        <w:t xml:space="preserve">"י יבחנו את </w:t>
      </w:r>
      <w:r w:rsidRPr="0022629D">
        <w:rPr>
          <w:rFonts w:hint="eastAsia"/>
          <w:rtl/>
        </w:rPr>
        <w:t>תהלי</w:t>
      </w:r>
      <w:r>
        <w:rPr>
          <w:rFonts w:hint="cs"/>
          <w:rtl/>
        </w:rPr>
        <w:t>כי</w:t>
      </w:r>
      <w:r w:rsidRPr="0022629D">
        <w:rPr>
          <w:rtl/>
        </w:rPr>
        <w:t xml:space="preserve"> </w:t>
      </w:r>
      <w:r w:rsidRPr="0022629D">
        <w:rPr>
          <w:rFonts w:hint="eastAsia"/>
          <w:rtl/>
        </w:rPr>
        <w:t>ניהול</w:t>
      </w:r>
      <w:r w:rsidRPr="0022629D">
        <w:rPr>
          <w:rtl/>
        </w:rPr>
        <w:t xml:space="preserve"> </w:t>
      </w:r>
      <w:r w:rsidRPr="0022629D">
        <w:rPr>
          <w:rFonts w:hint="eastAsia"/>
          <w:rtl/>
        </w:rPr>
        <w:t>המשא</w:t>
      </w:r>
      <w:r w:rsidRPr="0022629D">
        <w:rPr>
          <w:rtl/>
        </w:rPr>
        <w:t xml:space="preserve"> </w:t>
      </w:r>
      <w:r w:rsidRPr="0022629D">
        <w:rPr>
          <w:rFonts w:hint="eastAsia"/>
          <w:rtl/>
        </w:rPr>
        <w:t>ומתן</w:t>
      </w:r>
      <w:r w:rsidRPr="0022629D">
        <w:rPr>
          <w:rtl/>
        </w:rPr>
        <w:t xml:space="preserve"> </w:t>
      </w:r>
      <w:r>
        <w:rPr>
          <w:rFonts w:hint="cs"/>
          <w:rtl/>
        </w:rPr>
        <w:t xml:space="preserve">שהתקיימו </w:t>
      </w:r>
      <w:r w:rsidRPr="0022629D">
        <w:rPr>
          <w:rFonts w:hint="cs"/>
          <w:rtl/>
        </w:rPr>
        <w:t>עם</w:t>
      </w:r>
      <w:r w:rsidRPr="0022629D">
        <w:rPr>
          <w:rtl/>
        </w:rPr>
        <w:t xml:space="preserve"> </w:t>
      </w:r>
      <w:r w:rsidRPr="0022629D">
        <w:rPr>
          <w:rFonts w:hint="eastAsia"/>
          <w:rtl/>
        </w:rPr>
        <w:t>הרשויות</w:t>
      </w:r>
      <w:r w:rsidRPr="0022629D">
        <w:rPr>
          <w:rtl/>
        </w:rPr>
        <w:t xml:space="preserve"> </w:t>
      </w:r>
      <w:r w:rsidRPr="0022629D">
        <w:rPr>
          <w:rFonts w:hint="cs"/>
          <w:rtl/>
        </w:rPr>
        <w:t xml:space="preserve">ויקיימו תהליך הפקת לקחים </w:t>
      </w:r>
      <w:r>
        <w:rPr>
          <w:rFonts w:hint="cs"/>
          <w:rtl/>
        </w:rPr>
        <w:t>כדי</w:t>
      </w:r>
      <w:r w:rsidRPr="0022629D">
        <w:rPr>
          <w:rFonts w:hint="cs"/>
          <w:rtl/>
        </w:rPr>
        <w:t xml:space="preserve"> לבחון</w:t>
      </w:r>
      <w:r>
        <w:rPr>
          <w:rFonts w:hint="cs"/>
          <w:rtl/>
        </w:rPr>
        <w:t xml:space="preserve"> </w:t>
      </w:r>
      <w:r w:rsidRPr="0022629D">
        <w:rPr>
          <w:rFonts w:hint="cs"/>
          <w:rtl/>
        </w:rPr>
        <w:t xml:space="preserve">אם </w:t>
      </w:r>
      <w:r>
        <w:rPr>
          <w:rFonts w:hint="cs"/>
          <w:rtl/>
        </w:rPr>
        <w:t xml:space="preserve">בעתיד יתאפשר </w:t>
      </w:r>
      <w:r w:rsidRPr="0022629D">
        <w:rPr>
          <w:rFonts w:hint="cs"/>
          <w:rtl/>
        </w:rPr>
        <w:t>לקצר את משכו בלי לפגוע בטיב עבודת המטה לחתימה על ההסכם</w:t>
      </w:r>
      <w:r w:rsidRPr="0022629D">
        <w:rPr>
          <w:rtl/>
        </w:rPr>
        <w:t>.</w:t>
      </w:r>
    </w:p>
    <w:p w14:paraId="1BE19B7B" w14:textId="77777777" w:rsidR="000A4591" w:rsidRPr="0022629D" w:rsidRDefault="000A4591" w:rsidP="00A74B11">
      <w:pPr>
        <w:pStyle w:val="714"/>
        <w:rPr>
          <w:rtl/>
        </w:rPr>
      </w:pPr>
      <w:r>
        <w:rPr>
          <w:rFonts w:hint="cs"/>
          <w:rtl/>
        </w:rPr>
        <w:t>חשוב</w:t>
      </w:r>
      <w:r w:rsidRPr="0022629D">
        <w:rPr>
          <w:rFonts w:hint="cs"/>
          <w:rtl/>
        </w:rPr>
        <w:t xml:space="preserve"> שרשויות המדינה יפרסמו לציבור מידע אשר ניתן לפרסמו לפי כל דין. </w:t>
      </w:r>
      <w:r w:rsidRPr="0022629D">
        <w:rPr>
          <w:rtl/>
        </w:rPr>
        <w:t xml:space="preserve">שקיפות הממשל מגבירה את אחריות הממשל לפעולותיו </w:t>
      </w:r>
      <w:r w:rsidRPr="0022629D">
        <w:rPr>
          <w:rFonts w:hint="cs"/>
          <w:rtl/>
        </w:rPr>
        <w:t xml:space="preserve">וכן </w:t>
      </w:r>
      <w:r w:rsidRPr="0022629D">
        <w:rPr>
          <w:rtl/>
        </w:rPr>
        <w:t>מאפשר</w:t>
      </w:r>
      <w:r w:rsidRPr="0022629D">
        <w:rPr>
          <w:rFonts w:hint="cs"/>
          <w:rtl/>
        </w:rPr>
        <w:t>ת</w:t>
      </w:r>
      <w:r w:rsidRPr="0022629D">
        <w:rPr>
          <w:rtl/>
        </w:rPr>
        <w:t xml:space="preserve"> לציבור להיות מעורב</w:t>
      </w:r>
      <w:r>
        <w:rPr>
          <w:rFonts w:hint="cs"/>
          <w:rtl/>
        </w:rPr>
        <w:t xml:space="preserve"> בנושא</w:t>
      </w:r>
      <w:r w:rsidRPr="0022629D">
        <w:rPr>
          <w:rtl/>
        </w:rPr>
        <w:t xml:space="preserve"> ולהפיק תועלות כלכליות ואחרות מן המידע הממשלתי</w:t>
      </w:r>
      <w:r>
        <w:rPr>
          <w:vertAlign w:val="superscript"/>
          <w:rtl/>
        </w:rPr>
        <w:footnoteReference w:id="100"/>
      </w:r>
      <w:r w:rsidRPr="0022629D">
        <w:rPr>
          <w:rFonts w:hint="cs"/>
          <w:rtl/>
        </w:rPr>
        <w:t>.</w:t>
      </w:r>
    </w:p>
    <w:p w14:paraId="2C874900" w14:textId="77777777" w:rsidR="000A4591" w:rsidRPr="0022629D" w:rsidRDefault="000A4591" w:rsidP="00A74B11">
      <w:pPr>
        <w:pStyle w:val="71f4"/>
        <w:rPr>
          <w:rtl/>
        </w:rPr>
      </w:pPr>
      <w:r>
        <w:rPr>
          <w:rFonts w:hint="cs"/>
          <w:rtl/>
        </w:rPr>
        <w:t>לנוכח זאת חשוב</w:t>
      </w:r>
      <w:r w:rsidRPr="0022629D">
        <w:rPr>
          <w:rFonts w:hint="cs"/>
          <w:rtl/>
        </w:rPr>
        <w:t xml:space="preserve"> שרמ"י ומשרד הבינוי יפרסמו לציבור באמצעות אתר האינטרנט</w:t>
      </w:r>
      <w:r>
        <w:rPr>
          <w:rFonts w:hint="cs"/>
          <w:rtl/>
        </w:rPr>
        <w:t xml:space="preserve"> (המרשתת)</w:t>
      </w:r>
      <w:r w:rsidRPr="0022629D">
        <w:rPr>
          <w:rFonts w:hint="cs"/>
          <w:rtl/>
        </w:rPr>
        <w:t xml:space="preserve"> שלהם את נוסחם המלא של הסכמי הגג, לרבות הנספחים שבהם מפורטים פרטים מהותיים של ההסכם,</w:t>
      </w:r>
      <w:r>
        <w:rPr>
          <w:rFonts w:hint="cs"/>
          <w:rtl/>
        </w:rPr>
        <w:t xml:space="preserve"> כמו</w:t>
      </w:r>
      <w:r w:rsidRPr="0022629D">
        <w:rPr>
          <w:rFonts w:hint="cs"/>
          <w:rtl/>
        </w:rPr>
        <w:t xml:space="preserve"> רשימת התשתיות הצמודות ותשתיות</w:t>
      </w:r>
      <w:r>
        <w:rPr>
          <w:rFonts w:hint="cs"/>
          <w:rtl/>
        </w:rPr>
        <w:t>-</w:t>
      </w:r>
      <w:r w:rsidRPr="0022629D">
        <w:rPr>
          <w:rFonts w:hint="cs"/>
          <w:rtl/>
        </w:rPr>
        <w:t>העל הנכללות בהסכם ופירוט</w:t>
      </w:r>
      <w:r>
        <w:rPr>
          <w:rFonts w:hint="cs"/>
          <w:rtl/>
        </w:rPr>
        <w:t xml:space="preserve"> של</w:t>
      </w:r>
      <w:r w:rsidRPr="0022629D">
        <w:rPr>
          <w:rFonts w:hint="cs"/>
          <w:rtl/>
        </w:rPr>
        <w:t xml:space="preserve"> העבודות הנכללות בתקציב "ישן מול חדש". </w:t>
      </w:r>
      <w:r>
        <w:rPr>
          <w:rFonts w:hint="cs"/>
          <w:rtl/>
        </w:rPr>
        <w:t>הדבר חשוב גם משום שכך ה</w:t>
      </w:r>
      <w:r w:rsidRPr="0022629D">
        <w:rPr>
          <w:rFonts w:hint="cs"/>
          <w:rtl/>
        </w:rPr>
        <w:t xml:space="preserve">רשויות המקומיות המנהלות מגעים </w:t>
      </w:r>
      <w:r>
        <w:rPr>
          <w:rFonts w:hint="cs"/>
          <w:rtl/>
        </w:rPr>
        <w:t>עם</w:t>
      </w:r>
      <w:r w:rsidRPr="0022629D">
        <w:rPr>
          <w:rFonts w:hint="cs"/>
          <w:rtl/>
        </w:rPr>
        <w:t xml:space="preserve"> רמ"י או משרד הבינוי</w:t>
      </w:r>
      <w:r>
        <w:rPr>
          <w:rFonts w:hint="cs"/>
          <w:rtl/>
        </w:rPr>
        <w:t>,</w:t>
      </w:r>
      <w:r w:rsidRPr="0022629D">
        <w:rPr>
          <w:rFonts w:hint="cs"/>
          <w:rtl/>
        </w:rPr>
        <w:t xml:space="preserve"> </w:t>
      </w:r>
      <w:r>
        <w:rPr>
          <w:rFonts w:hint="cs"/>
          <w:rtl/>
        </w:rPr>
        <w:t xml:space="preserve">במסגרת </w:t>
      </w:r>
      <w:r w:rsidRPr="0022629D">
        <w:rPr>
          <w:rFonts w:hint="cs"/>
          <w:rtl/>
        </w:rPr>
        <w:t xml:space="preserve">חתימת </w:t>
      </w:r>
      <w:r w:rsidRPr="0022629D">
        <w:rPr>
          <w:rFonts w:hint="cs"/>
          <w:rtl/>
        </w:rPr>
        <w:lastRenderedPageBreak/>
        <w:t>הסכם גג</w:t>
      </w:r>
      <w:r>
        <w:rPr>
          <w:rFonts w:hint="cs"/>
          <w:rtl/>
        </w:rPr>
        <w:t>,</w:t>
      </w:r>
      <w:r w:rsidRPr="0022629D">
        <w:rPr>
          <w:rFonts w:hint="cs"/>
          <w:rtl/>
        </w:rPr>
        <w:t xml:space="preserve"> יוכלו לדעת מה נכלל בהסכמים קודמים</w:t>
      </w:r>
      <w:r>
        <w:rPr>
          <w:rFonts w:hint="cs"/>
          <w:rtl/>
        </w:rPr>
        <w:t>,</w:t>
      </w:r>
      <w:r w:rsidRPr="0022629D">
        <w:rPr>
          <w:rFonts w:hint="cs"/>
          <w:rtl/>
        </w:rPr>
        <w:t xml:space="preserve"> בין היתר כדי </w:t>
      </w:r>
      <w:r>
        <w:rPr>
          <w:rFonts w:hint="cs"/>
          <w:rtl/>
        </w:rPr>
        <w:t>להקנות להן מידע בנוגע לאפשרויות העומדות לרשותן במסגרת ההסכם</w:t>
      </w:r>
      <w:r w:rsidRPr="0022629D">
        <w:rPr>
          <w:rFonts w:hint="cs"/>
          <w:rtl/>
        </w:rPr>
        <w:t xml:space="preserve"> ואולי בכך אף לקצר את משך המשא ומתן.</w:t>
      </w:r>
    </w:p>
    <w:p w14:paraId="224B50E3" w14:textId="77777777" w:rsidR="000A4591" w:rsidRPr="0022629D" w:rsidRDefault="000A4591" w:rsidP="005E1075">
      <w:pPr>
        <w:pStyle w:val="71f"/>
        <w:rPr>
          <w:rtl/>
        </w:rPr>
      </w:pPr>
      <w:r w:rsidRPr="0022629D">
        <w:rPr>
          <w:rFonts w:hint="cs"/>
          <w:rtl/>
        </w:rPr>
        <w:t>בביקורת עלה כי</w:t>
      </w:r>
      <w:r>
        <w:rPr>
          <w:rFonts w:hint="cs"/>
          <w:rtl/>
        </w:rPr>
        <w:t xml:space="preserve"> במועד הבדיקה (דצמבר 2020), </w:t>
      </w:r>
      <w:r w:rsidRPr="0022629D">
        <w:rPr>
          <w:rFonts w:hint="cs"/>
          <w:rtl/>
        </w:rPr>
        <w:t>משרד הבינוי פרסם באתר ה</w:t>
      </w:r>
      <w:r>
        <w:rPr>
          <w:rFonts w:hint="cs"/>
          <w:rtl/>
        </w:rPr>
        <w:t>מרשתת</w:t>
      </w:r>
      <w:r w:rsidRPr="0022629D">
        <w:rPr>
          <w:rFonts w:hint="cs"/>
          <w:rtl/>
        </w:rPr>
        <w:t xml:space="preserve"> שלו 11 </w:t>
      </w:r>
      <w:r>
        <w:rPr>
          <w:rFonts w:hint="cs"/>
          <w:rtl/>
        </w:rPr>
        <w:t>מ-</w:t>
      </w:r>
      <w:r w:rsidRPr="0022629D">
        <w:rPr>
          <w:rFonts w:hint="cs"/>
          <w:rtl/>
        </w:rPr>
        <w:t xml:space="preserve">12 </w:t>
      </w:r>
      <w:r w:rsidRPr="00B0253F">
        <w:rPr>
          <w:rFonts w:hint="cs"/>
          <w:rtl/>
        </w:rPr>
        <w:t xml:space="preserve">ההסכמים שהוא חתום עליהם, לרבות הנספחים. ההסכם היחיד שלא פרסם היה ההסכם עם עיריית לוד, אולם הסכם זה פורסם באתר המרשתת של העירייה במלואו, לרבות הנספחים. </w:t>
      </w:r>
      <w:r w:rsidRPr="00B0253F">
        <w:rPr>
          <w:rFonts w:hint="eastAsia"/>
          <w:rtl/>
        </w:rPr>
        <w:t>יצויין</w:t>
      </w:r>
      <w:r w:rsidRPr="00B0253F">
        <w:rPr>
          <w:rtl/>
        </w:rPr>
        <w:t xml:space="preserve"> כי עם השלמת הביקורת משרד הבינוי פרסם את ההסכם המלא עם עירית </w:t>
      </w:r>
      <w:r w:rsidRPr="00B0253F">
        <w:rPr>
          <w:rFonts w:hint="eastAsia"/>
          <w:rtl/>
        </w:rPr>
        <w:t>לוד</w:t>
      </w:r>
      <w:r w:rsidRPr="00B0253F">
        <w:rPr>
          <w:rtl/>
        </w:rPr>
        <w:t>.</w:t>
      </w:r>
    </w:p>
    <w:p w14:paraId="2453D9E5" w14:textId="77777777" w:rsidR="000A4591" w:rsidRDefault="000A4591" w:rsidP="005E1075">
      <w:pPr>
        <w:pStyle w:val="71f"/>
        <w:rPr>
          <w:rtl/>
        </w:rPr>
      </w:pPr>
      <w:r w:rsidRPr="0022629D">
        <w:rPr>
          <w:rFonts w:hint="cs"/>
          <w:rtl/>
        </w:rPr>
        <w:t xml:space="preserve">לגבי רמ"י </w:t>
      </w:r>
      <w:r w:rsidRPr="0022629D">
        <w:rPr>
          <w:rFonts w:hint="eastAsia"/>
          <w:rtl/>
        </w:rPr>
        <w:t>עלה</w:t>
      </w:r>
      <w:r w:rsidRPr="0022629D">
        <w:rPr>
          <w:rtl/>
        </w:rPr>
        <w:t xml:space="preserve"> </w:t>
      </w:r>
      <w:r w:rsidRPr="0022629D">
        <w:rPr>
          <w:rFonts w:hint="cs"/>
          <w:rtl/>
        </w:rPr>
        <w:t xml:space="preserve">כי </w:t>
      </w:r>
      <w:r>
        <w:rPr>
          <w:rFonts w:hint="cs"/>
          <w:rtl/>
        </w:rPr>
        <w:t>במועד סיום הביקורת שלושה (15%)</w:t>
      </w:r>
      <w:r w:rsidRPr="0022629D">
        <w:rPr>
          <w:rFonts w:hint="cs"/>
          <w:rtl/>
        </w:rPr>
        <w:t xml:space="preserve"> </w:t>
      </w:r>
      <w:r>
        <w:rPr>
          <w:rFonts w:hint="cs"/>
          <w:rtl/>
        </w:rPr>
        <w:t>מ-</w:t>
      </w:r>
      <w:r w:rsidRPr="0022629D">
        <w:rPr>
          <w:rFonts w:hint="cs"/>
          <w:rtl/>
        </w:rPr>
        <w:t xml:space="preserve">20 ההסכמים שהיא חתומה </w:t>
      </w:r>
      <w:r>
        <w:rPr>
          <w:rFonts w:hint="cs"/>
          <w:rtl/>
        </w:rPr>
        <w:t>עליהם לא פורסמו</w:t>
      </w:r>
      <w:r w:rsidRPr="0022629D">
        <w:rPr>
          <w:rFonts w:hint="cs"/>
          <w:rtl/>
        </w:rPr>
        <w:t xml:space="preserve"> כלל באתר </w:t>
      </w:r>
      <w:r>
        <w:rPr>
          <w:rFonts w:hint="cs"/>
          <w:rtl/>
        </w:rPr>
        <w:t>המרשתת</w:t>
      </w:r>
      <w:r w:rsidRPr="0022629D">
        <w:rPr>
          <w:rFonts w:hint="cs"/>
          <w:rtl/>
        </w:rPr>
        <w:t xml:space="preserve"> שלה</w:t>
      </w:r>
      <w:r>
        <w:rPr>
          <w:vertAlign w:val="superscript"/>
          <w:rtl/>
        </w:rPr>
        <w:footnoteReference w:id="101"/>
      </w:r>
      <w:r w:rsidRPr="0022629D">
        <w:rPr>
          <w:rFonts w:hint="cs"/>
          <w:rtl/>
        </w:rPr>
        <w:t xml:space="preserve">; </w:t>
      </w:r>
      <w:r>
        <w:rPr>
          <w:rFonts w:hint="cs"/>
          <w:rtl/>
        </w:rPr>
        <w:t>כי</w:t>
      </w:r>
      <w:r w:rsidRPr="0022629D">
        <w:rPr>
          <w:rFonts w:hint="cs"/>
          <w:rtl/>
        </w:rPr>
        <w:t xml:space="preserve"> 14 (70%) </w:t>
      </w:r>
      <w:r>
        <w:rPr>
          <w:rFonts w:hint="cs"/>
          <w:rtl/>
        </w:rPr>
        <w:t xml:space="preserve">מההסכמים פורסמו בלא נספחיהם, </w:t>
      </w:r>
      <w:r w:rsidRPr="0022629D">
        <w:rPr>
          <w:rFonts w:hint="cs"/>
          <w:rtl/>
        </w:rPr>
        <w:t>אף שהנספחים הם חלק מהותי מההסכם</w:t>
      </w:r>
      <w:r>
        <w:rPr>
          <w:vertAlign w:val="superscript"/>
          <w:rtl/>
        </w:rPr>
        <w:footnoteReference w:id="102"/>
      </w:r>
      <w:r w:rsidRPr="0022629D">
        <w:rPr>
          <w:rtl/>
        </w:rPr>
        <w:t>;</w:t>
      </w:r>
      <w:r w:rsidRPr="0022629D">
        <w:rPr>
          <w:rFonts w:hint="cs"/>
          <w:rtl/>
        </w:rPr>
        <w:t xml:space="preserve"> ו</w:t>
      </w:r>
      <w:r w:rsidRPr="0022629D">
        <w:rPr>
          <w:rFonts w:hint="eastAsia"/>
          <w:rtl/>
        </w:rPr>
        <w:t>רק</w:t>
      </w:r>
      <w:r w:rsidRPr="0022629D">
        <w:rPr>
          <w:rtl/>
        </w:rPr>
        <w:t xml:space="preserve"> </w:t>
      </w:r>
      <w:r w:rsidRPr="0022629D">
        <w:rPr>
          <w:rFonts w:hint="cs"/>
          <w:rtl/>
        </w:rPr>
        <w:t xml:space="preserve">שלושה (15%) </w:t>
      </w:r>
      <w:r>
        <w:rPr>
          <w:rFonts w:hint="cs"/>
          <w:rtl/>
        </w:rPr>
        <w:t>מההסכמים</w:t>
      </w:r>
      <w:r w:rsidRPr="0022629D">
        <w:rPr>
          <w:rFonts w:hint="cs"/>
          <w:rtl/>
        </w:rPr>
        <w:t xml:space="preserve"> </w:t>
      </w:r>
      <w:r>
        <w:rPr>
          <w:rFonts w:hint="cs"/>
          <w:rtl/>
        </w:rPr>
        <w:t>פורסמו</w:t>
      </w:r>
      <w:r w:rsidRPr="0022629D">
        <w:rPr>
          <w:rFonts w:hint="cs"/>
          <w:rtl/>
        </w:rPr>
        <w:t xml:space="preserve"> במלואם, </w:t>
      </w:r>
      <w:r>
        <w:rPr>
          <w:rFonts w:hint="cs"/>
          <w:rtl/>
        </w:rPr>
        <w:t>בצירוף</w:t>
      </w:r>
      <w:r w:rsidRPr="0022629D">
        <w:rPr>
          <w:rFonts w:hint="cs"/>
          <w:rtl/>
        </w:rPr>
        <w:t xml:space="preserve"> הנספחים</w:t>
      </w:r>
      <w:r>
        <w:rPr>
          <w:vertAlign w:val="superscript"/>
          <w:rtl/>
        </w:rPr>
        <w:footnoteReference w:id="103"/>
      </w:r>
      <w:r w:rsidRPr="0022629D">
        <w:rPr>
          <w:rtl/>
        </w:rPr>
        <w:t xml:space="preserve">. </w:t>
      </w:r>
      <w:r w:rsidRPr="0022629D">
        <w:rPr>
          <w:rFonts w:hint="eastAsia"/>
          <w:rtl/>
        </w:rPr>
        <w:t>נוסף</w:t>
      </w:r>
      <w:r w:rsidRPr="0022629D">
        <w:rPr>
          <w:rtl/>
        </w:rPr>
        <w:t xml:space="preserve"> </w:t>
      </w:r>
      <w:r w:rsidRPr="0022629D">
        <w:rPr>
          <w:rFonts w:hint="eastAsia"/>
          <w:rtl/>
        </w:rPr>
        <w:t>על</w:t>
      </w:r>
      <w:r w:rsidRPr="0022629D">
        <w:rPr>
          <w:rtl/>
        </w:rPr>
        <w:t xml:space="preserve"> </w:t>
      </w:r>
      <w:r w:rsidRPr="0022629D">
        <w:rPr>
          <w:rFonts w:hint="eastAsia"/>
          <w:rtl/>
        </w:rPr>
        <w:t>כך</w:t>
      </w:r>
      <w:r w:rsidRPr="0022629D">
        <w:rPr>
          <w:rtl/>
        </w:rPr>
        <w:t xml:space="preserve"> </w:t>
      </w:r>
      <w:r w:rsidRPr="0022629D">
        <w:rPr>
          <w:rFonts w:hint="cs"/>
          <w:rtl/>
        </w:rPr>
        <w:t xml:space="preserve">רמ"י </w:t>
      </w:r>
      <w:r>
        <w:rPr>
          <w:rFonts w:hint="cs"/>
          <w:rtl/>
        </w:rPr>
        <w:t xml:space="preserve">פרסמה </w:t>
      </w:r>
      <w:r w:rsidRPr="0022629D">
        <w:rPr>
          <w:rFonts w:hint="eastAsia"/>
          <w:rtl/>
        </w:rPr>
        <w:t>עשרה</w:t>
      </w:r>
      <w:r w:rsidRPr="0022629D">
        <w:rPr>
          <w:rtl/>
        </w:rPr>
        <w:t xml:space="preserve"> </w:t>
      </w:r>
      <w:r w:rsidRPr="0022629D">
        <w:rPr>
          <w:rFonts w:hint="eastAsia"/>
          <w:rtl/>
        </w:rPr>
        <w:t>הסכמים</w:t>
      </w:r>
      <w:r w:rsidRPr="0022629D">
        <w:rPr>
          <w:rtl/>
        </w:rPr>
        <w:t xml:space="preserve"> </w:t>
      </w:r>
      <w:r w:rsidRPr="0022629D">
        <w:rPr>
          <w:rFonts w:hint="eastAsia"/>
          <w:rtl/>
        </w:rPr>
        <w:t>שמשרד</w:t>
      </w:r>
      <w:r w:rsidRPr="0022629D">
        <w:rPr>
          <w:rtl/>
        </w:rPr>
        <w:t xml:space="preserve"> </w:t>
      </w:r>
      <w:r w:rsidRPr="0022629D">
        <w:rPr>
          <w:rFonts w:hint="eastAsia"/>
          <w:rtl/>
        </w:rPr>
        <w:t>הבינוי</w:t>
      </w:r>
      <w:r w:rsidRPr="0022629D">
        <w:rPr>
          <w:rtl/>
        </w:rPr>
        <w:t xml:space="preserve"> </w:t>
      </w:r>
      <w:r w:rsidRPr="0022629D">
        <w:rPr>
          <w:rFonts w:hint="cs"/>
          <w:rtl/>
        </w:rPr>
        <w:t>חתום עליהם</w:t>
      </w:r>
      <w:r w:rsidRPr="0022629D">
        <w:rPr>
          <w:rtl/>
        </w:rPr>
        <w:t xml:space="preserve">, </w:t>
      </w:r>
      <w:r>
        <w:rPr>
          <w:rFonts w:hint="cs"/>
          <w:rtl/>
        </w:rPr>
        <w:t>בצירוף</w:t>
      </w:r>
      <w:r w:rsidRPr="0022629D">
        <w:rPr>
          <w:rtl/>
        </w:rPr>
        <w:t xml:space="preserve"> </w:t>
      </w:r>
      <w:r w:rsidRPr="0022629D">
        <w:rPr>
          <w:rFonts w:hint="eastAsia"/>
          <w:rtl/>
        </w:rPr>
        <w:t>הנספחים</w:t>
      </w:r>
      <w:r>
        <w:rPr>
          <w:vertAlign w:val="superscript"/>
          <w:rtl/>
        </w:rPr>
        <w:footnoteReference w:id="104"/>
      </w:r>
      <w:r w:rsidRPr="0022629D">
        <w:rPr>
          <w:rtl/>
        </w:rPr>
        <w:t>.</w:t>
      </w:r>
    </w:p>
    <w:p w14:paraId="4AA0BE00" w14:textId="77777777" w:rsidR="000A4591" w:rsidRDefault="000A4591" w:rsidP="005E1075">
      <w:pPr>
        <w:pStyle w:val="71f"/>
        <w:rPr>
          <w:rtl/>
        </w:rPr>
      </w:pPr>
      <w:r w:rsidRPr="0022629D">
        <w:rPr>
          <w:rFonts w:hint="cs"/>
          <w:rtl/>
        </w:rPr>
        <w:t xml:space="preserve">מומלץ כי משרד הבינוי ורמ"י יפרסמו באתרי </w:t>
      </w:r>
      <w:r>
        <w:rPr>
          <w:rFonts w:hint="cs"/>
          <w:rtl/>
        </w:rPr>
        <w:t>המרשתת</w:t>
      </w:r>
      <w:r w:rsidRPr="0022629D">
        <w:rPr>
          <w:rFonts w:hint="cs"/>
          <w:rtl/>
        </w:rPr>
        <w:t xml:space="preserve"> שלהם את כלל הסכמי הגג שהם חתומים עליהם במלואם</w:t>
      </w:r>
      <w:r>
        <w:rPr>
          <w:rFonts w:hint="cs"/>
          <w:rtl/>
        </w:rPr>
        <w:t xml:space="preserve"> או שהם יחתמו עליהם בעתיד</w:t>
      </w:r>
      <w:r w:rsidRPr="0022629D">
        <w:rPr>
          <w:rFonts w:hint="cs"/>
          <w:rtl/>
        </w:rPr>
        <w:t xml:space="preserve">, </w:t>
      </w:r>
      <w:r>
        <w:rPr>
          <w:rFonts w:hint="cs"/>
          <w:rtl/>
        </w:rPr>
        <w:t>לרבות את</w:t>
      </w:r>
      <w:r w:rsidRPr="0022629D">
        <w:rPr>
          <w:rFonts w:hint="cs"/>
          <w:rtl/>
        </w:rPr>
        <w:t xml:space="preserve"> הנספחים, כדי לאפשר לציבור בכללותו ולרשויות מקומיות אחרות לקבל את המידע המלא לגבי ההסכמים.</w:t>
      </w:r>
    </w:p>
    <w:p w14:paraId="5BB761BA" w14:textId="1226588B" w:rsidR="000A4591" w:rsidRDefault="000A4591" w:rsidP="005E1075">
      <w:pPr>
        <w:pStyle w:val="71f4"/>
        <w:rPr>
          <w:b/>
          <w:bCs/>
          <w:rtl/>
        </w:rPr>
      </w:pPr>
      <w:r w:rsidRPr="00263A61">
        <w:rPr>
          <w:rFonts w:hint="cs"/>
          <w:rtl/>
        </w:rPr>
        <w:t>רמ"י מסרה בתשובתה כי נכון ליולי 2021, כל ההסכמים פורסמו באתר המרשתת החדש שלה</w:t>
      </w:r>
      <w:r>
        <w:rPr>
          <w:rFonts w:hint="cs"/>
          <w:rtl/>
        </w:rPr>
        <w:t xml:space="preserve">, ובתשובה מספטמבר 2021 הוסיפה כי </w:t>
      </w:r>
      <w:r w:rsidRPr="00F14E38">
        <w:rPr>
          <w:rtl/>
        </w:rPr>
        <w:t>בכוונת</w:t>
      </w:r>
      <w:r>
        <w:rPr>
          <w:rFonts w:hint="cs"/>
          <w:rtl/>
        </w:rPr>
        <w:t>ה</w:t>
      </w:r>
      <w:r w:rsidRPr="00F14E38">
        <w:rPr>
          <w:rtl/>
        </w:rPr>
        <w:t xml:space="preserve"> לפרסם </w:t>
      </w:r>
      <w:r>
        <w:rPr>
          <w:rFonts w:hint="cs"/>
          <w:rtl/>
        </w:rPr>
        <w:t xml:space="preserve">באתר </w:t>
      </w:r>
      <w:r w:rsidRPr="00F14E38">
        <w:rPr>
          <w:rtl/>
        </w:rPr>
        <w:t>את כלל ה</w:t>
      </w:r>
      <w:r>
        <w:rPr>
          <w:rFonts w:hint="cs"/>
          <w:rtl/>
        </w:rPr>
        <w:t>ה</w:t>
      </w:r>
      <w:r w:rsidRPr="00F14E38">
        <w:rPr>
          <w:rtl/>
        </w:rPr>
        <w:t>סכמי</w:t>
      </w:r>
      <w:r>
        <w:rPr>
          <w:rFonts w:hint="cs"/>
          <w:rtl/>
        </w:rPr>
        <w:t>ם</w:t>
      </w:r>
      <w:r w:rsidRPr="00F14E38">
        <w:rPr>
          <w:rtl/>
        </w:rPr>
        <w:t xml:space="preserve"> </w:t>
      </w:r>
      <w:r>
        <w:rPr>
          <w:rFonts w:hint="cs"/>
          <w:rtl/>
        </w:rPr>
        <w:t>ו</w:t>
      </w:r>
      <w:r w:rsidRPr="00F14E38">
        <w:rPr>
          <w:rtl/>
        </w:rPr>
        <w:t>נספחיהם</w:t>
      </w:r>
      <w:r w:rsidRPr="00263A61">
        <w:rPr>
          <w:rFonts w:hint="cs"/>
          <w:rtl/>
        </w:rPr>
        <w:t xml:space="preserve">. </w:t>
      </w:r>
    </w:p>
    <w:p w14:paraId="641F775A" w14:textId="77777777" w:rsidR="00EF0F1E" w:rsidRPr="0016652C" w:rsidRDefault="00EF0F1E" w:rsidP="005E1075">
      <w:pPr>
        <w:pStyle w:val="71f4"/>
        <w:rPr>
          <w:b/>
          <w:bCs/>
          <w:rtl/>
        </w:rPr>
      </w:pPr>
    </w:p>
    <w:p w14:paraId="4B34D1F3" w14:textId="77777777" w:rsidR="000A4591" w:rsidRPr="0022629D" w:rsidRDefault="000A4591" w:rsidP="00EF0F1E">
      <w:pPr>
        <w:pStyle w:val="7120"/>
        <w:rPr>
          <w:rtl/>
        </w:rPr>
      </w:pPr>
      <w:r w:rsidRPr="0022629D">
        <w:rPr>
          <w:rFonts w:hint="cs"/>
          <w:rtl/>
        </w:rPr>
        <w:t>היתרי בנייה במסגרת הסכמי הגג</w:t>
      </w:r>
    </w:p>
    <w:p w14:paraId="48B9BC34" w14:textId="77777777" w:rsidR="000A4591" w:rsidRPr="0022629D" w:rsidRDefault="000A4591" w:rsidP="002E0285">
      <w:pPr>
        <w:pStyle w:val="7190"/>
        <w:rPr>
          <w:rtl/>
        </w:rPr>
      </w:pPr>
      <w:r w:rsidRPr="0022629D">
        <w:rPr>
          <w:rFonts w:hint="cs"/>
          <w:rtl/>
        </w:rPr>
        <w:t>הממשלה קבעה בהחלט</w:t>
      </w:r>
      <w:r>
        <w:rPr>
          <w:rFonts w:hint="cs"/>
          <w:rtl/>
        </w:rPr>
        <w:t>ת</w:t>
      </w:r>
      <w:r w:rsidRPr="0022629D">
        <w:rPr>
          <w:rFonts w:hint="cs"/>
          <w:rtl/>
        </w:rPr>
        <w:t xml:space="preserve">ה </w:t>
      </w:r>
      <w:r>
        <w:rPr>
          <w:rFonts w:hint="cs"/>
          <w:rtl/>
        </w:rPr>
        <w:t xml:space="preserve">על </w:t>
      </w:r>
      <w:r w:rsidRPr="0022629D">
        <w:rPr>
          <w:rFonts w:hint="cs"/>
          <w:rtl/>
        </w:rPr>
        <w:t>הסכמי הגג כי "</w:t>
      </w:r>
      <w:r w:rsidRPr="0022629D">
        <w:rPr>
          <w:rtl/>
        </w:rPr>
        <w:t>רשות הרישוי המקומית תתחייב להיות ערוכה מקצועית לאשר בקשות להיתרי בניה בתוך 90 יום ממועד הגשת</w:t>
      </w:r>
      <w:r w:rsidRPr="0022629D">
        <w:rPr>
          <w:rFonts w:hint="cs"/>
          <w:rtl/>
        </w:rPr>
        <w:t xml:space="preserve"> ה</w:t>
      </w:r>
      <w:r w:rsidRPr="0022629D">
        <w:rPr>
          <w:rtl/>
        </w:rPr>
        <w:t>בקשה</w:t>
      </w:r>
      <w:r w:rsidRPr="0022629D">
        <w:rPr>
          <w:rFonts w:hint="cs"/>
          <w:rtl/>
        </w:rPr>
        <w:t>"</w:t>
      </w:r>
      <w:r w:rsidRPr="0022629D">
        <w:rPr>
          <w:rtl/>
        </w:rPr>
        <w:t>.</w:t>
      </w:r>
      <w:r w:rsidRPr="0022629D">
        <w:rPr>
          <w:rFonts w:hint="cs"/>
          <w:rtl/>
        </w:rPr>
        <w:t xml:space="preserve"> כמו כן נקבע ככלל בהסכמי הגג כי הרשות המקומית</w:t>
      </w:r>
      <w:r w:rsidRPr="0022629D">
        <w:rPr>
          <w:rtl/>
        </w:rPr>
        <w:t xml:space="preserve"> מתחייבת להוציא היתרי בנ</w:t>
      </w:r>
      <w:r>
        <w:rPr>
          <w:rFonts w:hint="cs"/>
          <w:rtl/>
        </w:rPr>
        <w:t>י</w:t>
      </w:r>
      <w:r w:rsidRPr="0022629D">
        <w:rPr>
          <w:rtl/>
        </w:rPr>
        <w:t>יה מוקדם ככל הניתן</w:t>
      </w:r>
      <w:r w:rsidRPr="0022629D">
        <w:rPr>
          <w:rFonts w:hint="cs"/>
          <w:rtl/>
        </w:rPr>
        <w:t xml:space="preserve"> </w:t>
      </w:r>
      <w:r w:rsidRPr="0022629D">
        <w:rPr>
          <w:rtl/>
        </w:rPr>
        <w:t>ולא יאוחר מ-90 ימים ממועד הגשת הבקשות להיתרים, לפי העני</w:t>
      </w:r>
      <w:r w:rsidRPr="0022629D">
        <w:rPr>
          <w:rFonts w:hint="cs"/>
          <w:rtl/>
        </w:rPr>
        <w:t>י</w:t>
      </w:r>
      <w:r w:rsidRPr="0022629D">
        <w:rPr>
          <w:rtl/>
        </w:rPr>
        <w:t>ן, ובלבד שהבקשה להיתר</w:t>
      </w:r>
      <w:r w:rsidRPr="0022629D">
        <w:rPr>
          <w:rFonts w:hint="cs"/>
          <w:rtl/>
        </w:rPr>
        <w:t xml:space="preserve"> </w:t>
      </w:r>
      <w:r w:rsidRPr="0022629D">
        <w:rPr>
          <w:rtl/>
        </w:rPr>
        <w:t xml:space="preserve">הוגשה כנדרש על פי דין וצורפו לה כל המסמכים הנדרשים </w:t>
      </w:r>
      <w:r>
        <w:rPr>
          <w:rFonts w:hint="cs"/>
          <w:rtl/>
        </w:rPr>
        <w:t>על פי</w:t>
      </w:r>
      <w:r w:rsidRPr="0022629D">
        <w:rPr>
          <w:rtl/>
        </w:rPr>
        <w:t xml:space="preserve"> דין</w:t>
      </w:r>
      <w:r w:rsidRPr="0022629D">
        <w:rPr>
          <w:rFonts w:hint="cs"/>
          <w:rtl/>
        </w:rPr>
        <w:t xml:space="preserve">. </w:t>
      </w:r>
    </w:p>
    <w:p w14:paraId="1875FB39" w14:textId="02304AF5" w:rsidR="000A4591" w:rsidRPr="0022629D" w:rsidRDefault="000A4591" w:rsidP="000A4591">
      <w:pPr>
        <w:ind w:left="-567"/>
        <w:rPr>
          <w:szCs w:val="20"/>
          <w:rtl/>
        </w:rPr>
      </w:pPr>
    </w:p>
    <w:p w14:paraId="01337581" w14:textId="77777777" w:rsidR="000A4591" w:rsidRPr="0022629D" w:rsidRDefault="000A4591" w:rsidP="00EF0F1E">
      <w:pPr>
        <w:pStyle w:val="7190"/>
        <w:rPr>
          <w:rtl/>
        </w:rPr>
      </w:pPr>
      <w:r w:rsidRPr="0022629D">
        <w:rPr>
          <w:rFonts w:hint="cs"/>
          <w:rtl/>
        </w:rPr>
        <w:t xml:space="preserve">משרד מבקר המדינה בדק את </w:t>
      </w:r>
      <w:r>
        <w:rPr>
          <w:rFonts w:hint="cs"/>
          <w:rtl/>
        </w:rPr>
        <w:t>מספר</w:t>
      </w:r>
      <w:r w:rsidRPr="0022629D">
        <w:rPr>
          <w:rFonts w:hint="cs"/>
          <w:rtl/>
        </w:rPr>
        <w:t xml:space="preserve"> היתרי הבנייה שהונפקו ואת משך </w:t>
      </w:r>
      <w:r>
        <w:rPr>
          <w:rFonts w:hint="cs"/>
          <w:rtl/>
        </w:rPr>
        <w:t>הזמן</w:t>
      </w:r>
      <w:r w:rsidRPr="0022629D">
        <w:rPr>
          <w:rFonts w:hint="cs"/>
          <w:rtl/>
        </w:rPr>
        <w:t xml:space="preserve"> הממוצע </w:t>
      </w:r>
      <w:r>
        <w:rPr>
          <w:rFonts w:hint="cs"/>
          <w:rtl/>
        </w:rPr>
        <w:t xml:space="preserve">למתן היתר בנייה </w:t>
      </w:r>
      <w:r w:rsidRPr="0022629D">
        <w:rPr>
          <w:rFonts w:hint="cs"/>
          <w:rtl/>
        </w:rPr>
        <w:t xml:space="preserve">לגבי תוכניות הכלולות בהסכמי הגג ב-11 רשויות מקומיות שנבחרו </w:t>
      </w:r>
      <w:r>
        <w:rPr>
          <w:rFonts w:hint="cs"/>
          <w:rtl/>
        </w:rPr>
        <w:t>ב</w:t>
      </w:r>
      <w:r w:rsidRPr="0022629D">
        <w:rPr>
          <w:rFonts w:hint="cs"/>
          <w:rtl/>
        </w:rPr>
        <w:t>אקראי</w:t>
      </w:r>
      <w:r>
        <w:rPr>
          <w:rStyle w:val="a9"/>
          <w:rtl/>
        </w:rPr>
        <w:footnoteReference w:id="105"/>
      </w:r>
      <w:r w:rsidRPr="0022629D">
        <w:rPr>
          <w:rFonts w:hint="cs"/>
          <w:rtl/>
        </w:rPr>
        <w:t>.</w:t>
      </w:r>
    </w:p>
    <w:p w14:paraId="7069E3A3" w14:textId="77777777" w:rsidR="000A4591" w:rsidRPr="0022629D" w:rsidRDefault="000A4591" w:rsidP="00EF0F1E">
      <w:pPr>
        <w:pStyle w:val="7190"/>
        <w:rPr>
          <w:rtl/>
        </w:rPr>
      </w:pPr>
      <w:r w:rsidRPr="0022629D">
        <w:rPr>
          <w:rFonts w:hint="cs"/>
          <w:rtl/>
        </w:rPr>
        <w:t xml:space="preserve">תרשים </w:t>
      </w:r>
      <w:r>
        <w:rPr>
          <w:rFonts w:hint="cs"/>
          <w:rtl/>
        </w:rPr>
        <w:t>16</w:t>
      </w:r>
      <w:r w:rsidRPr="0022629D">
        <w:rPr>
          <w:rFonts w:hint="cs"/>
          <w:rtl/>
        </w:rPr>
        <w:t xml:space="preserve"> להלן מציג את</w:t>
      </w:r>
      <w:r>
        <w:rPr>
          <w:rFonts w:hint="cs"/>
          <w:rtl/>
        </w:rPr>
        <w:t xml:space="preserve"> מספר</w:t>
      </w:r>
      <w:r w:rsidRPr="0022629D">
        <w:rPr>
          <w:rFonts w:hint="cs"/>
          <w:rtl/>
        </w:rPr>
        <w:t xml:space="preserve"> יח</w:t>
      </w:r>
      <w:r>
        <w:rPr>
          <w:rFonts w:hint="cs"/>
          <w:rtl/>
        </w:rPr>
        <w:t>ה"ד</w:t>
      </w:r>
      <w:r w:rsidRPr="0022629D">
        <w:rPr>
          <w:rFonts w:hint="cs"/>
          <w:rtl/>
        </w:rPr>
        <w:t xml:space="preserve"> ש</w:t>
      </w:r>
      <w:r>
        <w:rPr>
          <w:rFonts w:hint="cs"/>
          <w:rtl/>
        </w:rPr>
        <w:t xml:space="preserve">כל אחת מ-11 הרשויות המקומיות הנפיקה להן היתרי </w:t>
      </w:r>
      <w:r w:rsidRPr="0022629D">
        <w:rPr>
          <w:rFonts w:hint="cs"/>
          <w:rtl/>
        </w:rPr>
        <w:t>בנייה</w:t>
      </w:r>
      <w:r>
        <w:rPr>
          <w:rFonts w:hint="cs"/>
          <w:rtl/>
        </w:rPr>
        <w:t xml:space="preserve"> </w:t>
      </w:r>
      <w:r w:rsidRPr="0022629D">
        <w:rPr>
          <w:rFonts w:hint="cs"/>
          <w:rtl/>
        </w:rPr>
        <w:t>נכון לסוף</w:t>
      </w:r>
      <w:r>
        <w:rPr>
          <w:rFonts w:hint="cs"/>
          <w:rtl/>
        </w:rPr>
        <w:t xml:space="preserve"> שנת</w:t>
      </w:r>
      <w:r w:rsidRPr="0022629D">
        <w:rPr>
          <w:rFonts w:hint="cs"/>
          <w:rtl/>
        </w:rPr>
        <w:t xml:space="preserve"> 2020</w:t>
      </w:r>
      <w:r>
        <w:rPr>
          <w:rFonts w:hint="cs"/>
          <w:rtl/>
        </w:rPr>
        <w:t xml:space="preserve"> ואת מועד החתימה על ההסכם של כל רשות</w:t>
      </w:r>
      <w:r w:rsidRPr="0022629D">
        <w:rPr>
          <w:rFonts w:hint="cs"/>
          <w:rtl/>
        </w:rPr>
        <w:t>:</w:t>
      </w:r>
    </w:p>
    <w:p w14:paraId="0FC0D7E1" w14:textId="19B1AA36" w:rsidR="00A80100" w:rsidRPr="00A80100" w:rsidRDefault="00A80100" w:rsidP="00A80100">
      <w:pPr>
        <w:pStyle w:val="71b"/>
        <w:rPr>
          <w:rtl/>
        </w:rPr>
      </w:pPr>
      <w:r>
        <w:rPr>
          <w:noProof/>
          <w:rtl/>
          <w:lang w:val="he-IL"/>
        </w:rPr>
        <w:drawing>
          <wp:anchor distT="0" distB="0" distL="114300" distR="114300" simplePos="0" relativeHeight="252140032" behindDoc="0" locked="0" layoutInCell="1" allowOverlap="1" wp14:anchorId="13571367" wp14:editId="5C5CE395">
            <wp:simplePos x="0" y="0"/>
            <wp:positionH relativeFrom="column">
              <wp:posOffset>-11430</wp:posOffset>
            </wp:positionH>
            <wp:positionV relativeFrom="paragraph">
              <wp:posOffset>538480</wp:posOffset>
            </wp:positionV>
            <wp:extent cx="4679950" cy="2609850"/>
            <wp:effectExtent l="0" t="0" r="6350" b="0"/>
            <wp:wrapSquare wrapText="bothSides"/>
            <wp:docPr id="3788750" name="Picture 378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0" name="Picture 3788750"/>
                    <pic:cNvPicPr/>
                  </pic:nvPicPr>
                  <pic:blipFill rotWithShape="1">
                    <a:blip r:embed="rId54" cstate="print">
                      <a:extLst>
                        <a:ext uri="{28A0092B-C50C-407E-A947-70E740481C1C}">
                          <a14:useLocalDpi xmlns:a14="http://schemas.microsoft.com/office/drawing/2010/main" val="0"/>
                        </a:ext>
                      </a:extLst>
                    </a:blip>
                    <a:srcRect b="-2417"/>
                    <a:stretch/>
                  </pic:blipFill>
                  <pic:spPr bwMode="auto">
                    <a:xfrm>
                      <a:off x="0" y="0"/>
                      <a:ext cx="4679950" cy="2609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4591" w:rsidRPr="00A80100">
        <w:rPr>
          <w:rFonts w:hint="cs"/>
          <w:rtl/>
        </w:rPr>
        <w:t xml:space="preserve">תרשים 16: מספר יחה"ד שהונפקו להן היתרי הבנייה ע"י הרשויות המקומיות, נכון לסוף שנת 2020, </w:t>
      </w:r>
      <w:r w:rsidRPr="00A80100">
        <w:rPr>
          <w:rtl/>
        </w:rPr>
        <w:t>ומועד החתימה על ההסכם של כל רשות</w:t>
      </w:r>
    </w:p>
    <w:p w14:paraId="7DA4E8F0" w14:textId="77777777" w:rsidR="000A4591" w:rsidRDefault="000A4591" w:rsidP="00A80100">
      <w:pPr>
        <w:pStyle w:val="71d"/>
        <w:spacing w:before="240"/>
        <w:rPr>
          <w:rtl/>
        </w:rPr>
      </w:pPr>
      <w:r>
        <w:rPr>
          <w:rFonts w:hint="cs"/>
          <w:rtl/>
        </w:rPr>
        <w:t xml:space="preserve">על פי </w:t>
      </w:r>
      <w:r w:rsidRPr="00F72973">
        <w:rPr>
          <w:rFonts w:hint="cs"/>
          <w:rtl/>
        </w:rPr>
        <w:t xml:space="preserve">נתוני משרד הבינוי </w:t>
      </w:r>
      <w:r>
        <w:rPr>
          <w:rFonts w:hint="cs"/>
          <w:rtl/>
        </w:rPr>
        <w:t xml:space="preserve">והרשויות המקומיות, </w:t>
      </w:r>
      <w:r w:rsidRPr="00F72973">
        <w:rPr>
          <w:rFonts w:hint="cs"/>
          <w:rtl/>
        </w:rPr>
        <w:t>בעיבוד משרד מבקר המדינה</w:t>
      </w:r>
      <w:r>
        <w:rPr>
          <w:rFonts w:hint="cs"/>
          <w:rtl/>
        </w:rPr>
        <w:t>.</w:t>
      </w:r>
    </w:p>
    <w:p w14:paraId="3D631BBC" w14:textId="77777777" w:rsidR="000A4591" w:rsidRPr="0022629D" w:rsidRDefault="000A4591" w:rsidP="00EF0F1E">
      <w:pPr>
        <w:pStyle w:val="7190"/>
        <w:rPr>
          <w:rtl/>
        </w:rPr>
      </w:pPr>
      <w:r w:rsidRPr="0022629D">
        <w:rPr>
          <w:rFonts w:hint="cs"/>
          <w:rtl/>
        </w:rPr>
        <w:t>מהתרשים עולה כי ב-11 הרשויות הונפקו היתרי בנייה לכ-</w:t>
      </w:r>
      <w:r>
        <w:rPr>
          <w:rFonts w:hint="cs"/>
          <w:rtl/>
        </w:rPr>
        <w:t>30,000</w:t>
      </w:r>
      <w:r w:rsidRPr="0022629D">
        <w:rPr>
          <w:rFonts w:hint="cs"/>
          <w:rtl/>
        </w:rPr>
        <w:t xml:space="preserve"> יח"ד נכון לסוף</w:t>
      </w:r>
      <w:r>
        <w:rPr>
          <w:rFonts w:hint="cs"/>
          <w:rtl/>
        </w:rPr>
        <w:t xml:space="preserve"> שנת</w:t>
      </w:r>
      <w:r w:rsidRPr="0022629D">
        <w:rPr>
          <w:rFonts w:hint="cs"/>
          <w:rtl/>
        </w:rPr>
        <w:t xml:space="preserve"> 2020</w:t>
      </w:r>
      <w:r>
        <w:rPr>
          <w:rFonts w:hint="cs"/>
          <w:rtl/>
        </w:rPr>
        <w:t xml:space="preserve"> - מספר ההיתרים הנמוך היה </w:t>
      </w:r>
      <w:r w:rsidRPr="0022629D">
        <w:rPr>
          <w:rFonts w:hint="cs"/>
          <w:rtl/>
        </w:rPr>
        <w:t xml:space="preserve">כ-840 יח"ד </w:t>
      </w:r>
      <w:r>
        <w:rPr>
          <w:rFonts w:hint="cs"/>
          <w:rtl/>
        </w:rPr>
        <w:t>(</w:t>
      </w:r>
      <w:r w:rsidRPr="0022629D">
        <w:rPr>
          <w:rFonts w:hint="cs"/>
          <w:rtl/>
        </w:rPr>
        <w:t>בבאר יעקב</w:t>
      </w:r>
      <w:r>
        <w:rPr>
          <w:rFonts w:hint="cs"/>
          <w:rtl/>
        </w:rPr>
        <w:t>)</w:t>
      </w:r>
      <w:r w:rsidRPr="0022629D">
        <w:rPr>
          <w:rFonts w:hint="cs"/>
          <w:rtl/>
        </w:rPr>
        <w:t xml:space="preserve"> </w:t>
      </w:r>
      <w:r>
        <w:rPr>
          <w:rFonts w:hint="cs"/>
          <w:rtl/>
        </w:rPr>
        <w:t>ומספרם המרבי היה</w:t>
      </w:r>
      <w:r w:rsidRPr="0022629D">
        <w:rPr>
          <w:rFonts w:hint="cs"/>
          <w:rtl/>
        </w:rPr>
        <w:t xml:space="preserve"> כ-8,600 יח"ד </w:t>
      </w:r>
      <w:r>
        <w:rPr>
          <w:rFonts w:hint="cs"/>
          <w:rtl/>
        </w:rPr>
        <w:t>(</w:t>
      </w:r>
      <w:r w:rsidRPr="0022629D">
        <w:rPr>
          <w:rFonts w:hint="cs"/>
          <w:rtl/>
        </w:rPr>
        <w:t>בראש העין</w:t>
      </w:r>
      <w:r>
        <w:rPr>
          <w:rFonts w:hint="cs"/>
          <w:rtl/>
        </w:rPr>
        <w:t>),</w:t>
      </w:r>
      <w:r w:rsidRPr="0022629D">
        <w:rPr>
          <w:rFonts w:hint="cs"/>
          <w:rtl/>
        </w:rPr>
        <w:t xml:space="preserve"> ובממוצע</w:t>
      </w:r>
      <w:r>
        <w:rPr>
          <w:rFonts w:hint="cs"/>
          <w:rtl/>
        </w:rPr>
        <w:t xml:space="preserve"> -</w:t>
      </w:r>
      <w:r w:rsidRPr="0022629D">
        <w:rPr>
          <w:rFonts w:hint="cs"/>
          <w:rtl/>
        </w:rPr>
        <w:t xml:space="preserve"> כ-</w:t>
      </w:r>
      <w:r>
        <w:rPr>
          <w:rFonts w:hint="cs"/>
          <w:rtl/>
        </w:rPr>
        <w:t>2,700</w:t>
      </w:r>
      <w:r w:rsidRPr="0022629D">
        <w:rPr>
          <w:rFonts w:hint="cs"/>
          <w:rtl/>
        </w:rPr>
        <w:t xml:space="preserve"> יח"ד לרשות.</w:t>
      </w:r>
    </w:p>
    <w:p w14:paraId="120F97BA" w14:textId="77777777" w:rsidR="000A4591" w:rsidRDefault="000A4591" w:rsidP="00EF0F1E">
      <w:pPr>
        <w:pStyle w:val="7190"/>
        <w:rPr>
          <w:rtl/>
        </w:rPr>
      </w:pPr>
      <w:r w:rsidRPr="0022629D">
        <w:rPr>
          <w:rFonts w:hint="cs"/>
          <w:rtl/>
        </w:rPr>
        <w:t>בתרשים</w:t>
      </w:r>
      <w:r>
        <w:rPr>
          <w:rFonts w:hint="cs"/>
          <w:rtl/>
        </w:rPr>
        <w:t xml:space="preserve"> 17 </w:t>
      </w:r>
      <w:r w:rsidRPr="0022629D">
        <w:rPr>
          <w:rFonts w:hint="cs"/>
          <w:rtl/>
        </w:rPr>
        <w:t xml:space="preserve">להלן פירוט שיעור היתרי הבנייה שהונפקו </w:t>
      </w:r>
      <w:r>
        <w:rPr>
          <w:rFonts w:hint="cs"/>
          <w:rtl/>
        </w:rPr>
        <w:t>יחסית למספרן הכולל של</w:t>
      </w:r>
      <w:r w:rsidRPr="0022629D">
        <w:rPr>
          <w:rFonts w:hint="cs"/>
          <w:rtl/>
        </w:rPr>
        <w:t xml:space="preserve"> יחה"ד הכלולות בתוכניות שב</w:t>
      </w:r>
      <w:r>
        <w:rPr>
          <w:rFonts w:hint="cs"/>
          <w:rtl/>
        </w:rPr>
        <w:t xml:space="preserve">-11 </w:t>
      </w:r>
      <w:r w:rsidRPr="0022629D">
        <w:rPr>
          <w:rFonts w:hint="cs"/>
          <w:rtl/>
        </w:rPr>
        <w:t>הסכמי הגג עם אותן רשויות, לפי הנתונים העדכניים לסוף</w:t>
      </w:r>
      <w:r>
        <w:rPr>
          <w:rFonts w:hint="cs"/>
          <w:rtl/>
        </w:rPr>
        <w:t xml:space="preserve"> שנת </w:t>
      </w:r>
      <w:r w:rsidRPr="0022629D">
        <w:rPr>
          <w:rFonts w:hint="cs"/>
          <w:rtl/>
        </w:rPr>
        <w:t>2020:</w:t>
      </w:r>
    </w:p>
    <w:p w14:paraId="5C37B0C3" w14:textId="77777777" w:rsidR="00EF0F1E" w:rsidRDefault="00EF0F1E">
      <w:pPr>
        <w:bidi w:val="0"/>
        <w:spacing w:after="200" w:line="276" w:lineRule="auto"/>
        <w:rPr>
          <w:b/>
          <w:bCs/>
          <w:rtl/>
        </w:rPr>
      </w:pPr>
      <w:r>
        <w:rPr>
          <w:b/>
          <w:bCs/>
          <w:rtl/>
        </w:rPr>
        <w:br w:type="page"/>
      </w:r>
    </w:p>
    <w:p w14:paraId="59C96359" w14:textId="3B4E16EF" w:rsidR="000A4591" w:rsidRDefault="007E1204" w:rsidP="004741B7">
      <w:pPr>
        <w:pStyle w:val="71b"/>
        <w:rPr>
          <w:rtl/>
        </w:rPr>
      </w:pPr>
      <w:r>
        <w:rPr>
          <w:noProof/>
          <w:rtl/>
          <w:lang w:val="he-IL"/>
        </w:rPr>
        <w:lastRenderedPageBreak/>
        <w:drawing>
          <wp:anchor distT="0" distB="0" distL="114300" distR="114300" simplePos="0" relativeHeight="252124672" behindDoc="0" locked="0" layoutInCell="1" allowOverlap="1" wp14:anchorId="390E6FAE" wp14:editId="623831DF">
            <wp:simplePos x="0" y="0"/>
            <wp:positionH relativeFrom="column">
              <wp:posOffset>-15240</wp:posOffset>
            </wp:positionH>
            <wp:positionV relativeFrom="paragraph">
              <wp:posOffset>372110</wp:posOffset>
            </wp:positionV>
            <wp:extent cx="4679950" cy="2494280"/>
            <wp:effectExtent l="0" t="0" r="6350" b="1270"/>
            <wp:wrapSquare wrapText="bothSides"/>
            <wp:docPr id="3788764" name="Picture 378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4" name="Picture 3788764"/>
                    <pic:cNvPicPr/>
                  </pic:nvPicPr>
                  <pic:blipFill rotWithShape="1">
                    <a:blip r:embed="rId55" cstate="print">
                      <a:extLst>
                        <a:ext uri="{28A0092B-C50C-407E-A947-70E740481C1C}">
                          <a14:useLocalDpi xmlns:a14="http://schemas.microsoft.com/office/drawing/2010/main" val="0"/>
                        </a:ext>
                      </a:extLst>
                    </a:blip>
                    <a:srcRect t="8905"/>
                    <a:stretch/>
                  </pic:blipFill>
                  <pic:spPr bwMode="auto">
                    <a:xfrm>
                      <a:off x="0" y="0"/>
                      <a:ext cx="4679950" cy="2494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4591" w:rsidRPr="004741B7">
        <w:rPr>
          <w:rFonts w:hint="cs"/>
          <w:b w:val="0"/>
          <w:bCs w:val="0"/>
          <w:rtl/>
        </w:rPr>
        <w:t>תרשים 17:</w:t>
      </w:r>
      <w:r w:rsidR="000A4591" w:rsidRPr="0022629D">
        <w:rPr>
          <w:rFonts w:hint="cs"/>
          <w:rtl/>
        </w:rPr>
        <w:t xml:space="preserve"> שיעור היתרי בנייה ליח"ד </w:t>
      </w:r>
      <w:r w:rsidR="000A4591">
        <w:rPr>
          <w:rFonts w:hint="cs"/>
          <w:rtl/>
        </w:rPr>
        <w:t>מכלל</w:t>
      </w:r>
      <w:r w:rsidR="000A4591" w:rsidRPr="0022629D">
        <w:rPr>
          <w:rFonts w:hint="cs"/>
          <w:rtl/>
        </w:rPr>
        <w:t xml:space="preserve"> יח"ד הכלולות בתוכניות שב</w:t>
      </w:r>
      <w:r w:rsidR="000A4591">
        <w:rPr>
          <w:rFonts w:hint="cs"/>
          <w:rtl/>
        </w:rPr>
        <w:t>-11 מה</w:t>
      </w:r>
      <w:r w:rsidR="000A4591" w:rsidRPr="0022629D">
        <w:rPr>
          <w:rFonts w:hint="cs"/>
          <w:rtl/>
        </w:rPr>
        <w:t>הסכמים</w:t>
      </w:r>
      <w:r w:rsidR="000A4591" w:rsidRPr="00406B75">
        <w:rPr>
          <w:rFonts w:hint="cs"/>
          <w:rtl/>
        </w:rPr>
        <w:t>, נכון לסוף שנת 2020</w:t>
      </w:r>
    </w:p>
    <w:p w14:paraId="61B00BDC" w14:textId="77777777" w:rsidR="000A4591" w:rsidRDefault="000A4591" w:rsidP="004741B7">
      <w:pPr>
        <w:pStyle w:val="71d"/>
        <w:rPr>
          <w:rtl/>
        </w:rPr>
      </w:pPr>
      <w:r>
        <w:rPr>
          <w:rFonts w:hint="cs"/>
          <w:rtl/>
        </w:rPr>
        <w:t xml:space="preserve">על פי </w:t>
      </w:r>
      <w:r w:rsidRPr="0008063A">
        <w:rPr>
          <w:rFonts w:hint="cs"/>
          <w:rtl/>
        </w:rPr>
        <w:t xml:space="preserve">נתוני משרד הבינוי </w:t>
      </w:r>
      <w:r>
        <w:rPr>
          <w:rFonts w:hint="cs"/>
          <w:rtl/>
        </w:rPr>
        <w:t xml:space="preserve">והרשויות המקומיות, </w:t>
      </w:r>
      <w:r w:rsidRPr="0008063A">
        <w:rPr>
          <w:rFonts w:hint="cs"/>
          <w:rtl/>
        </w:rPr>
        <w:t>בעיבוד משרד מבקר המדינה</w:t>
      </w:r>
      <w:r>
        <w:rPr>
          <w:rFonts w:hint="cs"/>
          <w:rtl/>
        </w:rPr>
        <w:t>.</w:t>
      </w:r>
    </w:p>
    <w:p w14:paraId="2C1AAD40" w14:textId="77777777" w:rsidR="000A4591" w:rsidRPr="005A2A97" w:rsidRDefault="000A4591" w:rsidP="004741B7">
      <w:pPr>
        <w:pStyle w:val="71f5"/>
        <w:rPr>
          <w:rFonts w:eastAsiaTheme="majorEastAsia"/>
          <w:rtl/>
        </w:rPr>
      </w:pPr>
      <w:r w:rsidRPr="005A2A97">
        <w:rPr>
          <w:rFonts w:eastAsiaTheme="majorEastAsia" w:hint="eastAsia"/>
          <w:rtl/>
        </w:rPr>
        <w:t>מהתרשים</w:t>
      </w:r>
      <w:r w:rsidRPr="005A2A97">
        <w:rPr>
          <w:rFonts w:eastAsiaTheme="majorEastAsia"/>
          <w:rtl/>
        </w:rPr>
        <w:t xml:space="preserve"> עולה כי שיעור היתרי הבנייה </w:t>
      </w:r>
      <w:r>
        <w:rPr>
          <w:rFonts w:eastAsiaTheme="majorEastAsia" w:hint="cs"/>
          <w:rtl/>
        </w:rPr>
        <w:t>מכלל</w:t>
      </w:r>
      <w:r w:rsidRPr="005A2A97">
        <w:rPr>
          <w:rFonts w:eastAsiaTheme="majorEastAsia"/>
          <w:rtl/>
        </w:rPr>
        <w:t xml:space="preserve"> </w:t>
      </w:r>
      <w:r w:rsidRPr="005A2A97">
        <w:rPr>
          <w:rFonts w:eastAsiaTheme="majorEastAsia" w:hint="eastAsia"/>
          <w:rtl/>
        </w:rPr>
        <w:t>יחה</w:t>
      </w:r>
      <w:r w:rsidRPr="005A2A97">
        <w:rPr>
          <w:rFonts w:eastAsiaTheme="majorEastAsia"/>
          <w:rtl/>
        </w:rPr>
        <w:t xml:space="preserve">"ד הכלולות בתוכניות שבהסכמים </w:t>
      </w:r>
      <w:r>
        <w:rPr>
          <w:rFonts w:eastAsiaTheme="majorEastAsia" w:hint="cs"/>
          <w:rtl/>
        </w:rPr>
        <w:t>היה</w:t>
      </w:r>
      <w:r w:rsidRPr="005A2A97">
        <w:rPr>
          <w:rFonts w:eastAsiaTheme="majorEastAsia"/>
          <w:rtl/>
        </w:rPr>
        <w:t xml:space="preserve"> בין 7% בבאר יעקב ל</w:t>
      </w:r>
      <w:r>
        <w:rPr>
          <w:rFonts w:eastAsiaTheme="majorEastAsia" w:hint="cs"/>
          <w:rtl/>
        </w:rPr>
        <w:t>-</w:t>
      </w:r>
      <w:r w:rsidRPr="005A2A97">
        <w:rPr>
          <w:rFonts w:eastAsiaTheme="majorEastAsia"/>
          <w:rtl/>
        </w:rPr>
        <w:t xml:space="preserve">58% בראש העין, שהיא </w:t>
      </w:r>
      <w:r>
        <w:rPr>
          <w:rFonts w:eastAsiaTheme="majorEastAsia" w:hint="cs"/>
          <w:rtl/>
        </w:rPr>
        <w:t>אחת</w:t>
      </w:r>
      <w:r w:rsidRPr="005A2A97">
        <w:rPr>
          <w:rFonts w:eastAsiaTheme="majorEastAsia"/>
          <w:rtl/>
        </w:rPr>
        <w:t xml:space="preserve"> הרשויות הראשונות שחתמו על הסכם גג. בממוצע הונפקו היתרי בנייה עבור 23% </w:t>
      </w:r>
      <w:r>
        <w:rPr>
          <w:rFonts w:eastAsiaTheme="majorEastAsia" w:hint="cs"/>
          <w:rtl/>
        </w:rPr>
        <w:t>מכלל</w:t>
      </w:r>
      <w:r w:rsidRPr="005A2A97">
        <w:rPr>
          <w:rFonts w:eastAsiaTheme="majorEastAsia"/>
          <w:rtl/>
        </w:rPr>
        <w:t xml:space="preserve"> </w:t>
      </w:r>
      <w:r w:rsidRPr="005A2A97">
        <w:rPr>
          <w:rFonts w:eastAsiaTheme="majorEastAsia" w:hint="eastAsia"/>
          <w:rtl/>
        </w:rPr>
        <w:t>יחה</w:t>
      </w:r>
      <w:r w:rsidRPr="005A2A97">
        <w:rPr>
          <w:rFonts w:eastAsiaTheme="majorEastAsia"/>
          <w:rtl/>
        </w:rPr>
        <w:t xml:space="preserve">"ד הנכללות בתוכניות </w:t>
      </w:r>
      <w:r>
        <w:rPr>
          <w:rFonts w:eastAsiaTheme="majorEastAsia" w:hint="cs"/>
          <w:rtl/>
        </w:rPr>
        <w:t>ש</w:t>
      </w:r>
      <w:r w:rsidRPr="005A2A97">
        <w:rPr>
          <w:rFonts w:eastAsiaTheme="majorEastAsia"/>
          <w:rtl/>
        </w:rPr>
        <w:t>בהסכמי גג של רשויות אלה.</w:t>
      </w:r>
    </w:p>
    <w:p w14:paraId="7C245E1C" w14:textId="77777777" w:rsidR="00CD5795" w:rsidRDefault="00CD5795" w:rsidP="000A4591">
      <w:pPr>
        <w:keepNext/>
        <w:keepLines/>
        <w:spacing w:before="120"/>
        <w:outlineLvl w:val="3"/>
        <w:rPr>
          <w:rStyle w:val="41"/>
          <w:rtl/>
        </w:rPr>
      </w:pPr>
    </w:p>
    <w:p w14:paraId="29274E61" w14:textId="4558D65C" w:rsidR="000A4591" w:rsidRPr="00CD5795" w:rsidRDefault="000A4591" w:rsidP="00CD5795">
      <w:pPr>
        <w:pStyle w:val="71414"/>
        <w:rPr>
          <w:rtl/>
        </w:rPr>
      </w:pPr>
      <w:r w:rsidRPr="00CD5795">
        <w:rPr>
          <w:rStyle w:val="41"/>
          <w:rFonts w:hint="cs"/>
          <w:bCs/>
          <w:szCs w:val="28"/>
          <w:rtl/>
        </w:rPr>
        <w:t xml:space="preserve">משך הזמן ממועד הגשת הבקשה להיתר בנייה ועד מתן ההיתר </w:t>
      </w:r>
    </w:p>
    <w:p w14:paraId="084CE6CA" w14:textId="77777777" w:rsidR="000A4591" w:rsidRDefault="000A4591" w:rsidP="00CD5795">
      <w:pPr>
        <w:pStyle w:val="7190"/>
        <w:rPr>
          <w:rtl/>
        </w:rPr>
      </w:pPr>
      <w:r w:rsidRPr="0022629D">
        <w:rPr>
          <w:rFonts w:hint="cs"/>
          <w:rtl/>
        </w:rPr>
        <w:t xml:space="preserve">הליכי הרישוי נחלקים לשני תהליכים עיקריים - קבלת מידע הנדרש להיתר והגשת הבקשה להיתר והכרעה לגביה. בחוק התכנון </w:t>
      </w:r>
      <w:r>
        <w:rPr>
          <w:rFonts w:hint="cs"/>
          <w:rtl/>
        </w:rPr>
        <w:t xml:space="preserve">והבניה, התשכ"ה-1965, </w:t>
      </w:r>
      <w:r w:rsidRPr="0022629D">
        <w:rPr>
          <w:rFonts w:hint="cs"/>
          <w:rtl/>
        </w:rPr>
        <w:t xml:space="preserve">נקבעו מועדים להשלמתם של חלק מהשלבים. לאורך כל התהליך יש ממשק של הרשות המנפיקה את ההיתר עם מגישי הבקשה ועורכיה, הנדרשים לעיתים לתקן את הבקשה או להשלים מסמכים ואישורים. השלבים שבאחריות מגיש הבקשה ועורכיה אינם קצובים בזמן. יצוין כי מלבד רשות הרישוי והוועדה המקומית, מעורבים בתהליכי הרישוי גורמים נוספים רבים - גורמים שמוסרים מידע, גורמים שאישורם נדרש, או שיש לתאם איתם את עבודות הבנייה ולקבל את חוות דעתם. ניתן למנות </w:t>
      </w:r>
      <w:r w:rsidRPr="0022629D">
        <w:rPr>
          <w:rFonts w:hint="cs"/>
          <w:rtl/>
        </w:rPr>
        <w:lastRenderedPageBreak/>
        <w:t xml:space="preserve">לפחות 15 גורמים מאשרים ומייעצים; מדובר במגוון גופים </w:t>
      </w:r>
      <w:r>
        <w:rPr>
          <w:rFonts w:hint="cs"/>
          <w:rtl/>
        </w:rPr>
        <w:t>הפועלים בנפרד</w:t>
      </w:r>
      <w:r w:rsidRPr="0022629D">
        <w:rPr>
          <w:rFonts w:hint="cs"/>
          <w:rtl/>
        </w:rPr>
        <w:t xml:space="preserve"> </w:t>
      </w:r>
      <w:r>
        <w:rPr>
          <w:rFonts w:hint="cs"/>
          <w:rtl/>
        </w:rPr>
        <w:t>ו</w:t>
      </w:r>
      <w:r w:rsidRPr="0022629D">
        <w:rPr>
          <w:rFonts w:hint="cs"/>
          <w:rtl/>
        </w:rPr>
        <w:t>פזורים במקומות שונים. עם זאת, לא בכל הבקשות נדרש לערב את כולם</w:t>
      </w:r>
      <w:r>
        <w:rPr>
          <w:vertAlign w:val="superscript"/>
          <w:rtl/>
        </w:rPr>
        <w:footnoteReference w:id="106"/>
      </w:r>
      <w:r w:rsidRPr="0022629D">
        <w:rPr>
          <w:rFonts w:hint="cs"/>
          <w:rtl/>
        </w:rPr>
        <w:t xml:space="preserve">. </w:t>
      </w:r>
    </w:p>
    <w:p w14:paraId="405AE57D" w14:textId="77777777" w:rsidR="000A4591" w:rsidRPr="0022629D" w:rsidRDefault="000A4591" w:rsidP="00CD5795">
      <w:pPr>
        <w:pStyle w:val="7190"/>
        <w:rPr>
          <w:rtl/>
        </w:rPr>
      </w:pPr>
      <w:r w:rsidRPr="0022629D">
        <w:rPr>
          <w:rFonts w:hint="cs"/>
          <w:rtl/>
        </w:rPr>
        <w:t xml:space="preserve">להלן בתרשים </w:t>
      </w:r>
      <w:r>
        <w:rPr>
          <w:rFonts w:hint="cs"/>
          <w:rtl/>
        </w:rPr>
        <w:t>18 יוצג מ</w:t>
      </w:r>
      <w:r w:rsidRPr="0022629D">
        <w:rPr>
          <w:rFonts w:hint="cs"/>
          <w:rtl/>
        </w:rPr>
        <w:t xml:space="preserve">שך </w:t>
      </w:r>
      <w:r>
        <w:rPr>
          <w:rFonts w:hint="cs"/>
          <w:rtl/>
        </w:rPr>
        <w:t>הזמן</w:t>
      </w:r>
      <w:r w:rsidRPr="0022629D">
        <w:rPr>
          <w:rFonts w:hint="cs"/>
          <w:rtl/>
        </w:rPr>
        <w:t xml:space="preserve"> הממוצע ממועד הגשת הבקשה להיתר ועד מתן ההיתר (להלן - משך ה</w:t>
      </w:r>
      <w:r>
        <w:rPr>
          <w:rFonts w:hint="cs"/>
          <w:rtl/>
        </w:rPr>
        <w:t>זמן</w:t>
      </w:r>
      <w:r w:rsidRPr="0022629D">
        <w:rPr>
          <w:rFonts w:hint="cs"/>
          <w:rtl/>
        </w:rPr>
        <w:t xml:space="preserve"> </w:t>
      </w:r>
      <w:r>
        <w:rPr>
          <w:rFonts w:hint="cs"/>
          <w:rtl/>
        </w:rPr>
        <w:t>למתן</w:t>
      </w:r>
      <w:r w:rsidRPr="0022629D">
        <w:rPr>
          <w:rFonts w:hint="cs"/>
          <w:rtl/>
        </w:rPr>
        <w:t xml:space="preserve"> היתר) </w:t>
      </w:r>
      <w:r>
        <w:rPr>
          <w:rFonts w:hint="cs"/>
          <w:rtl/>
        </w:rPr>
        <w:t xml:space="preserve">לגבי </w:t>
      </w:r>
      <w:r w:rsidRPr="0022629D">
        <w:rPr>
          <w:rFonts w:hint="cs"/>
          <w:rtl/>
        </w:rPr>
        <w:t xml:space="preserve">קרקעות ששווקו במסגרת </w:t>
      </w:r>
      <w:r>
        <w:rPr>
          <w:rFonts w:hint="cs"/>
          <w:rtl/>
        </w:rPr>
        <w:t>התוכניות הכלולות ב</w:t>
      </w:r>
      <w:r w:rsidRPr="0022629D">
        <w:rPr>
          <w:rFonts w:hint="cs"/>
          <w:rtl/>
        </w:rPr>
        <w:t xml:space="preserve">הסכמי הגג בכל אחת </w:t>
      </w:r>
      <w:r>
        <w:rPr>
          <w:rFonts w:hint="cs"/>
          <w:rtl/>
        </w:rPr>
        <w:t>מעשר</w:t>
      </w:r>
      <w:r w:rsidRPr="0022629D">
        <w:rPr>
          <w:rFonts w:hint="cs"/>
          <w:rtl/>
        </w:rPr>
        <w:t xml:space="preserve"> הרשויות המקומיות</w:t>
      </w:r>
      <w:r>
        <w:rPr>
          <w:vertAlign w:val="superscript"/>
          <w:rtl/>
        </w:rPr>
        <w:footnoteReference w:id="107"/>
      </w:r>
      <w:r w:rsidRPr="0022629D">
        <w:rPr>
          <w:rFonts w:hint="cs"/>
          <w:rtl/>
        </w:rPr>
        <w:t xml:space="preserve"> שלגביהן התקבל המידע:</w:t>
      </w:r>
    </w:p>
    <w:p w14:paraId="22D19A49" w14:textId="0F6AD162" w:rsidR="000A4591" w:rsidRPr="0022629D" w:rsidRDefault="00912AC0" w:rsidP="00CD5795">
      <w:pPr>
        <w:pStyle w:val="71b"/>
        <w:rPr>
          <w:rtl/>
        </w:rPr>
      </w:pPr>
      <w:r>
        <w:rPr>
          <w:rFonts w:hint="cs"/>
          <w:noProof/>
          <w:rtl/>
          <w:lang w:val="he-IL"/>
        </w:rPr>
        <w:drawing>
          <wp:anchor distT="0" distB="0" distL="114300" distR="114300" simplePos="0" relativeHeight="252125696" behindDoc="0" locked="0" layoutInCell="1" allowOverlap="1" wp14:anchorId="7C315619" wp14:editId="412D9DA7">
            <wp:simplePos x="0" y="0"/>
            <wp:positionH relativeFrom="column">
              <wp:posOffset>-7620</wp:posOffset>
            </wp:positionH>
            <wp:positionV relativeFrom="paragraph">
              <wp:posOffset>339090</wp:posOffset>
            </wp:positionV>
            <wp:extent cx="4679950" cy="3893820"/>
            <wp:effectExtent l="0" t="0" r="6350" b="0"/>
            <wp:wrapSquare wrapText="bothSides"/>
            <wp:docPr id="3788765" name="Picture 37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5" name="Picture 3788765"/>
                    <pic:cNvPicPr/>
                  </pic:nvPicPr>
                  <pic:blipFill rotWithShape="1">
                    <a:blip r:embed="rId56" cstate="print">
                      <a:extLst>
                        <a:ext uri="{28A0092B-C50C-407E-A947-70E740481C1C}">
                          <a14:useLocalDpi xmlns:a14="http://schemas.microsoft.com/office/drawing/2010/main" val="0"/>
                        </a:ext>
                      </a:extLst>
                    </a:blip>
                    <a:srcRect t="2397" b="3410"/>
                    <a:stretch/>
                  </pic:blipFill>
                  <pic:spPr bwMode="auto">
                    <a:xfrm>
                      <a:off x="0" y="0"/>
                      <a:ext cx="4679950" cy="3893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4591" w:rsidRPr="00CD5795">
        <w:rPr>
          <w:rFonts w:hint="cs"/>
          <w:b w:val="0"/>
          <w:bCs w:val="0"/>
          <w:rtl/>
        </w:rPr>
        <w:t>תרשים 18:</w:t>
      </w:r>
      <w:r w:rsidR="000A4591" w:rsidRPr="0022629D">
        <w:rPr>
          <w:rFonts w:hint="cs"/>
          <w:rtl/>
        </w:rPr>
        <w:t xml:space="preserve"> משך </w:t>
      </w:r>
      <w:r w:rsidR="000A4591">
        <w:rPr>
          <w:rFonts w:hint="cs"/>
          <w:rtl/>
        </w:rPr>
        <w:t xml:space="preserve">הזמן </w:t>
      </w:r>
      <w:r w:rsidR="000A4591" w:rsidRPr="0022629D">
        <w:rPr>
          <w:rFonts w:hint="cs"/>
          <w:rtl/>
        </w:rPr>
        <w:t xml:space="preserve">הממוצע </w:t>
      </w:r>
      <w:r w:rsidR="000A4591">
        <w:rPr>
          <w:rFonts w:hint="cs"/>
          <w:rtl/>
        </w:rPr>
        <w:t>למתן</w:t>
      </w:r>
      <w:r w:rsidR="000A4591" w:rsidRPr="0022629D">
        <w:rPr>
          <w:rFonts w:hint="cs"/>
          <w:rtl/>
        </w:rPr>
        <w:t xml:space="preserve"> היתר (בימים)</w:t>
      </w:r>
    </w:p>
    <w:p w14:paraId="74BCF593" w14:textId="7C5C7B66" w:rsidR="000A4591" w:rsidRDefault="000A4591" w:rsidP="00CD5795">
      <w:pPr>
        <w:pStyle w:val="71d"/>
        <w:rPr>
          <w:rtl/>
        </w:rPr>
      </w:pPr>
      <w:r>
        <w:rPr>
          <w:rFonts w:hint="cs"/>
          <w:rtl/>
        </w:rPr>
        <w:t xml:space="preserve">על פי </w:t>
      </w:r>
      <w:r w:rsidRPr="009A5B3F">
        <w:rPr>
          <w:rFonts w:hint="cs"/>
          <w:rtl/>
        </w:rPr>
        <w:t>נתוני הרשויות מקומיות ומשרד הבינוי</w:t>
      </w:r>
      <w:r>
        <w:rPr>
          <w:rFonts w:hint="cs"/>
          <w:rtl/>
        </w:rPr>
        <w:t>,</w:t>
      </w:r>
      <w:r w:rsidRPr="009A5B3F">
        <w:rPr>
          <w:rFonts w:hint="cs"/>
          <w:rtl/>
        </w:rPr>
        <w:t xml:space="preserve"> בעיבוד משרד מבקר המדינה</w:t>
      </w:r>
      <w:r w:rsidR="00CD5795">
        <w:rPr>
          <w:rFonts w:hint="cs"/>
          <w:rtl/>
        </w:rPr>
        <w:t>.</w:t>
      </w:r>
    </w:p>
    <w:p w14:paraId="1E41B2C4" w14:textId="77777777" w:rsidR="000A4591" w:rsidRDefault="000A4591" w:rsidP="00CD5795">
      <w:pPr>
        <w:pStyle w:val="71f5"/>
        <w:rPr>
          <w:rtl/>
        </w:rPr>
      </w:pPr>
      <w:r w:rsidRPr="006240D6">
        <w:rPr>
          <w:rFonts w:hint="eastAsia"/>
          <w:rtl/>
        </w:rPr>
        <w:lastRenderedPageBreak/>
        <w:t>מהתרשים</w:t>
      </w:r>
      <w:r w:rsidRPr="006240D6">
        <w:rPr>
          <w:rtl/>
        </w:rPr>
        <w:t xml:space="preserve"> עולה כי משך </w:t>
      </w:r>
      <w:r>
        <w:rPr>
          <w:rFonts w:hint="cs"/>
          <w:rtl/>
        </w:rPr>
        <w:t>הזמן הממוצע למתן</w:t>
      </w:r>
      <w:r w:rsidRPr="006240D6">
        <w:rPr>
          <w:rtl/>
        </w:rPr>
        <w:t xml:space="preserve"> היתר היה בין 132 יום בנתיבות ל-</w:t>
      </w:r>
      <w:r>
        <w:rPr>
          <w:rFonts w:hint="cs"/>
          <w:rtl/>
        </w:rPr>
        <w:t>504</w:t>
      </w:r>
      <w:r w:rsidRPr="006240D6">
        <w:rPr>
          <w:rtl/>
        </w:rPr>
        <w:t xml:space="preserve"> יום ב</w:t>
      </w:r>
      <w:r>
        <w:rPr>
          <w:rFonts w:hint="cs"/>
          <w:rtl/>
        </w:rPr>
        <w:t>נתניה</w:t>
      </w:r>
      <w:r w:rsidRPr="006240D6">
        <w:rPr>
          <w:rtl/>
        </w:rPr>
        <w:t xml:space="preserve">, ובממוצע </w:t>
      </w:r>
      <w:r>
        <w:rPr>
          <w:rFonts w:hint="cs"/>
          <w:rtl/>
        </w:rPr>
        <w:t>309</w:t>
      </w:r>
      <w:r w:rsidRPr="006240D6">
        <w:rPr>
          <w:rtl/>
        </w:rPr>
        <w:t xml:space="preserve"> יום. יודגש כי משך </w:t>
      </w:r>
      <w:r>
        <w:rPr>
          <w:rFonts w:hint="cs"/>
          <w:rtl/>
        </w:rPr>
        <w:t>הזמן</w:t>
      </w:r>
      <w:r w:rsidRPr="006240D6">
        <w:rPr>
          <w:rtl/>
        </w:rPr>
        <w:t xml:space="preserve"> </w:t>
      </w:r>
      <w:r>
        <w:rPr>
          <w:rFonts w:hint="cs"/>
          <w:rtl/>
        </w:rPr>
        <w:t>למתן היתר</w:t>
      </w:r>
      <w:r w:rsidRPr="006240D6">
        <w:rPr>
          <w:rtl/>
        </w:rPr>
        <w:t xml:space="preserve"> תלוי בנסיבות שונות ובגורמים שונים, לרבות </w:t>
      </w:r>
      <w:r>
        <w:rPr>
          <w:rFonts w:hint="cs"/>
          <w:rtl/>
        </w:rPr>
        <w:t>ב</w:t>
      </w:r>
      <w:r w:rsidRPr="006240D6">
        <w:rPr>
          <w:rtl/>
        </w:rPr>
        <w:t>מגישי הבקשה ו</w:t>
      </w:r>
      <w:r>
        <w:rPr>
          <w:rFonts w:hint="cs"/>
          <w:rtl/>
        </w:rPr>
        <w:t>ב</w:t>
      </w:r>
      <w:r w:rsidRPr="006240D6">
        <w:rPr>
          <w:rtl/>
        </w:rPr>
        <w:t>עורכיה</w:t>
      </w:r>
      <w:r>
        <w:rPr>
          <w:rFonts w:hint="cs"/>
          <w:rtl/>
        </w:rPr>
        <w:t>,</w:t>
      </w:r>
      <w:r w:rsidRPr="006240D6">
        <w:rPr>
          <w:rtl/>
        </w:rPr>
        <w:t xml:space="preserve"> </w:t>
      </w:r>
      <w:r>
        <w:rPr>
          <w:rFonts w:hint="cs"/>
          <w:rtl/>
        </w:rPr>
        <w:t>ובכלל זה בנסיבות</w:t>
      </w:r>
      <w:r w:rsidRPr="006240D6">
        <w:rPr>
          <w:rtl/>
        </w:rPr>
        <w:t xml:space="preserve"> שאינן בשליטת הרשות המקומית</w:t>
      </w:r>
      <w:r>
        <w:rPr>
          <w:rFonts w:hint="cs"/>
          <w:rtl/>
        </w:rPr>
        <w:t xml:space="preserve"> או מוסד התכנון הרלוונטי</w:t>
      </w:r>
      <w:r w:rsidRPr="006240D6">
        <w:rPr>
          <w:rtl/>
        </w:rPr>
        <w:t xml:space="preserve">. </w:t>
      </w:r>
    </w:p>
    <w:p w14:paraId="48A70A8C" w14:textId="77777777" w:rsidR="000A4591" w:rsidRPr="00C97581" w:rsidRDefault="000A4591" w:rsidP="004455B7">
      <w:pPr>
        <w:pStyle w:val="7190"/>
        <w:rPr>
          <w:rtl/>
        </w:rPr>
      </w:pPr>
      <w:r w:rsidRPr="00C97581">
        <w:rPr>
          <w:rtl/>
          <w:lang w:eastAsia="he-IL"/>
        </w:rPr>
        <w:t>עיריית נתניה מסרה בתשובתה מיולי 2021 כי משך הזמן הממוצע הנוגע לה נבע מכך ש</w:t>
      </w:r>
      <w:r w:rsidRPr="00C97581">
        <w:rPr>
          <w:rFonts w:hint="cs"/>
          <w:rtl/>
          <w:lang w:eastAsia="he-IL"/>
        </w:rPr>
        <w:t xml:space="preserve">לגבי </w:t>
      </w:r>
      <w:r w:rsidRPr="00C97581">
        <w:rPr>
          <w:rtl/>
          <w:lang w:eastAsia="he-IL"/>
        </w:rPr>
        <w:t xml:space="preserve">אחת מחמש הבקשות שנכללו בחישוב התקיים הליך ממושך </w:t>
      </w:r>
      <w:r>
        <w:rPr>
          <w:rFonts w:hint="cs"/>
          <w:rtl/>
          <w:lang w:eastAsia="he-IL"/>
        </w:rPr>
        <w:t>שכלל</w:t>
      </w:r>
      <w:r w:rsidRPr="00C97581">
        <w:rPr>
          <w:rtl/>
          <w:lang w:eastAsia="he-IL"/>
        </w:rPr>
        <w:t xml:space="preserve"> </w:t>
      </w:r>
      <w:r>
        <w:rPr>
          <w:rFonts w:hint="cs"/>
          <w:rtl/>
          <w:lang w:eastAsia="he-IL"/>
        </w:rPr>
        <w:t xml:space="preserve">הליך </w:t>
      </w:r>
      <w:r w:rsidRPr="00C97581">
        <w:rPr>
          <w:rtl/>
          <w:lang w:eastAsia="he-IL"/>
        </w:rPr>
        <w:t xml:space="preserve">ערר </w:t>
      </w:r>
      <w:r w:rsidRPr="00C97581">
        <w:rPr>
          <w:rFonts w:hint="cs"/>
          <w:rtl/>
          <w:lang w:eastAsia="he-IL"/>
        </w:rPr>
        <w:t>והגשת</w:t>
      </w:r>
      <w:r w:rsidRPr="00C97581">
        <w:rPr>
          <w:rtl/>
          <w:lang w:eastAsia="he-IL"/>
        </w:rPr>
        <w:t xml:space="preserve"> תוכניות מתוקנות </w:t>
      </w:r>
      <w:r w:rsidRPr="00C97581">
        <w:rPr>
          <w:rFonts w:hint="cs"/>
          <w:rtl/>
          <w:lang w:eastAsia="he-IL"/>
        </w:rPr>
        <w:t>שנה</w:t>
      </w:r>
      <w:r>
        <w:rPr>
          <w:rFonts w:hint="cs"/>
          <w:rtl/>
          <w:lang w:eastAsia="he-IL"/>
        </w:rPr>
        <w:t xml:space="preserve"> </w:t>
      </w:r>
      <w:r w:rsidRPr="00C97581">
        <w:rPr>
          <w:rFonts w:hint="cs"/>
          <w:rtl/>
          <w:lang w:eastAsia="he-IL"/>
        </w:rPr>
        <w:t xml:space="preserve">וארבעה חודשים </w:t>
      </w:r>
      <w:r w:rsidRPr="00C97581">
        <w:rPr>
          <w:rtl/>
          <w:lang w:eastAsia="he-IL"/>
        </w:rPr>
        <w:t>לאחר</w:t>
      </w:r>
      <w:r>
        <w:rPr>
          <w:rFonts w:hint="cs"/>
          <w:rtl/>
          <w:lang w:eastAsia="he-IL"/>
        </w:rPr>
        <w:t>יו</w:t>
      </w:r>
      <w:r w:rsidRPr="00C97581">
        <w:rPr>
          <w:rtl/>
          <w:lang w:eastAsia="he-IL"/>
        </w:rPr>
        <w:t>. עיריית הרצליה מסרה בתשובתה מיולי 2021 כי כל הבקשות להיתרים כללו הקלות</w:t>
      </w:r>
      <w:r w:rsidRPr="00C97581">
        <w:rPr>
          <w:rFonts w:hint="cs"/>
          <w:rtl/>
          <w:lang w:eastAsia="he-IL"/>
        </w:rPr>
        <w:t>,</w:t>
      </w:r>
      <w:r w:rsidRPr="00C97581">
        <w:rPr>
          <w:rtl/>
          <w:lang w:eastAsia="he-IL"/>
        </w:rPr>
        <w:t xml:space="preserve"> </w:t>
      </w:r>
      <w:r w:rsidRPr="00C97581">
        <w:rPr>
          <w:rFonts w:hint="cs"/>
          <w:rtl/>
          <w:lang w:eastAsia="he-IL"/>
        </w:rPr>
        <w:t>ש</w:t>
      </w:r>
      <w:r w:rsidRPr="00C97581">
        <w:rPr>
          <w:rtl/>
          <w:lang w:eastAsia="he-IL"/>
        </w:rPr>
        <w:t xml:space="preserve">הטיפול בהן </w:t>
      </w:r>
      <w:r w:rsidRPr="00C97581">
        <w:rPr>
          <w:rFonts w:hint="cs"/>
          <w:rtl/>
          <w:lang w:eastAsia="he-IL"/>
        </w:rPr>
        <w:t xml:space="preserve">נמשך באופן </w:t>
      </w:r>
      <w:r>
        <w:rPr>
          <w:rFonts w:hint="cs"/>
          <w:rtl/>
          <w:lang w:eastAsia="he-IL"/>
        </w:rPr>
        <w:t xml:space="preserve">אינהרנטי </w:t>
      </w:r>
      <w:r w:rsidRPr="00C97581">
        <w:rPr>
          <w:rFonts w:hint="cs"/>
          <w:rtl/>
          <w:lang w:eastAsia="he-IL"/>
        </w:rPr>
        <w:t xml:space="preserve">זמן רב </w:t>
      </w:r>
      <w:r w:rsidRPr="00C97581">
        <w:rPr>
          <w:rtl/>
          <w:lang w:eastAsia="he-IL"/>
        </w:rPr>
        <w:t>יותר.</w:t>
      </w:r>
    </w:p>
    <w:p w14:paraId="4DDD34EF" w14:textId="77777777" w:rsidR="000A4591" w:rsidRPr="006240D6" w:rsidRDefault="000A4591" w:rsidP="004455B7">
      <w:pPr>
        <w:pStyle w:val="71f5"/>
        <w:rPr>
          <w:rtl/>
        </w:rPr>
      </w:pPr>
      <w:r>
        <w:rPr>
          <w:rFonts w:hint="cs"/>
          <w:rtl/>
        </w:rPr>
        <w:t>עולה כי משך הזמן למתן היתרי בנייה בעשר הרשויות המקומיות שנבדקו היה ארוך מ-90 יום כפי שנקבע בהסכם הגג.</w:t>
      </w:r>
    </w:p>
    <w:p w14:paraId="0EE73C05" w14:textId="77777777" w:rsidR="00A03270" w:rsidRDefault="00A03270" w:rsidP="00A03270">
      <w:pPr>
        <w:pStyle w:val="71512"/>
        <w:rPr>
          <w:rtl/>
        </w:rPr>
      </w:pPr>
    </w:p>
    <w:p w14:paraId="2ECC9CCF" w14:textId="3352E9FC" w:rsidR="000A4591" w:rsidRPr="0022629D" w:rsidRDefault="000A4591" w:rsidP="00A03270">
      <w:pPr>
        <w:pStyle w:val="71512"/>
        <w:rPr>
          <w:rtl/>
        </w:rPr>
      </w:pPr>
      <w:r w:rsidRPr="0022629D">
        <w:rPr>
          <w:rtl/>
        </w:rPr>
        <w:t xml:space="preserve">מנגנון </w:t>
      </w:r>
      <w:r>
        <w:rPr>
          <w:rFonts w:hint="cs"/>
          <w:rtl/>
        </w:rPr>
        <w:t>ל</w:t>
      </w:r>
      <w:r w:rsidRPr="0022629D">
        <w:rPr>
          <w:rtl/>
        </w:rPr>
        <w:t>תמרוץ רשויות מקומיות למתן היתרי בניה</w:t>
      </w:r>
    </w:p>
    <w:p w14:paraId="2B52F9B1" w14:textId="77777777" w:rsidR="000A4591" w:rsidRDefault="000A4591" w:rsidP="00A03270">
      <w:pPr>
        <w:pStyle w:val="714"/>
        <w:numPr>
          <w:ilvl w:val="0"/>
          <w:numId w:val="26"/>
        </w:numPr>
        <w:rPr>
          <w:rtl/>
        </w:rPr>
      </w:pPr>
      <w:r w:rsidRPr="0022629D">
        <w:rPr>
          <w:rFonts w:hint="cs"/>
          <w:rtl/>
        </w:rPr>
        <w:t>באפריל 2014 החליטה הממשלה</w:t>
      </w:r>
      <w:r>
        <w:rPr>
          <w:vertAlign w:val="superscript"/>
          <w:rtl/>
        </w:rPr>
        <w:footnoteReference w:id="108"/>
      </w:r>
      <w:r w:rsidRPr="0022629D">
        <w:rPr>
          <w:rFonts w:hint="cs"/>
          <w:rtl/>
        </w:rPr>
        <w:t xml:space="preserve"> על הפעלת מנגנון לתמרוץ הרשויות המקומיות להוצאת </w:t>
      </w:r>
      <w:r w:rsidRPr="0022629D">
        <w:rPr>
          <w:rtl/>
        </w:rPr>
        <w:t>היתרי בנייה ליח</w:t>
      </w:r>
      <w:r w:rsidRPr="0022629D">
        <w:rPr>
          <w:rFonts w:hint="cs"/>
          <w:rtl/>
        </w:rPr>
        <w:t>"ד. לפי ההחלטה</w:t>
      </w:r>
      <w:r>
        <w:rPr>
          <w:rFonts w:hint="cs"/>
          <w:rtl/>
        </w:rPr>
        <w:t>,</w:t>
      </w:r>
      <w:r w:rsidRPr="0022629D">
        <w:rPr>
          <w:rFonts w:hint="cs"/>
          <w:rtl/>
        </w:rPr>
        <w:t xml:space="preserve"> </w:t>
      </w:r>
      <w:r w:rsidRPr="0022629D">
        <w:rPr>
          <w:rtl/>
        </w:rPr>
        <w:t xml:space="preserve">רשויות מקומיות יזכו למענק בעד </w:t>
      </w:r>
      <w:r>
        <w:rPr>
          <w:rFonts w:hint="cs"/>
          <w:rtl/>
        </w:rPr>
        <w:t xml:space="preserve">הנפקת </w:t>
      </w:r>
      <w:r w:rsidRPr="0022629D">
        <w:rPr>
          <w:rtl/>
        </w:rPr>
        <w:t>היתרי ב</w:t>
      </w:r>
      <w:r w:rsidRPr="0022629D">
        <w:rPr>
          <w:rFonts w:hint="cs"/>
          <w:rtl/>
        </w:rPr>
        <w:t xml:space="preserve">נייה </w:t>
      </w:r>
      <w:r>
        <w:rPr>
          <w:rFonts w:hint="cs"/>
          <w:rtl/>
        </w:rPr>
        <w:t>ל</w:t>
      </w:r>
      <w:r w:rsidRPr="0022629D">
        <w:rPr>
          <w:rFonts w:hint="cs"/>
          <w:rtl/>
        </w:rPr>
        <w:t>יח"ד</w:t>
      </w:r>
      <w:r w:rsidRPr="0022629D">
        <w:rPr>
          <w:rtl/>
        </w:rPr>
        <w:t xml:space="preserve"> בשטחן</w:t>
      </w:r>
      <w:r>
        <w:rPr>
          <w:rFonts w:hint="cs"/>
          <w:rtl/>
        </w:rPr>
        <w:t>,</w:t>
      </w:r>
      <w:r w:rsidRPr="0022629D">
        <w:rPr>
          <w:rtl/>
        </w:rPr>
        <w:t xml:space="preserve"> אם </w:t>
      </w:r>
      <w:r>
        <w:rPr>
          <w:rFonts w:hint="cs"/>
          <w:rtl/>
        </w:rPr>
        <w:t>הנפיקו היתרים ל-200 יח"ד לפחות באותה שנה וחל גידול של 10% לפחות במספר יחה"ד שניתנו היתרים לבנייתן לעומת שנים קודמות</w:t>
      </w:r>
      <w:r w:rsidRPr="0022629D">
        <w:rPr>
          <w:rFonts w:hint="cs"/>
          <w:rtl/>
        </w:rPr>
        <w:t xml:space="preserve">. </w:t>
      </w:r>
      <w:r>
        <w:rPr>
          <w:rFonts w:hint="cs"/>
          <w:rtl/>
        </w:rPr>
        <w:t>ב</w:t>
      </w:r>
      <w:r w:rsidRPr="0022629D">
        <w:rPr>
          <w:rFonts w:hint="cs"/>
          <w:rtl/>
        </w:rPr>
        <w:t xml:space="preserve">החלטה גם </w:t>
      </w:r>
      <w:r>
        <w:rPr>
          <w:rFonts w:hint="cs"/>
          <w:rtl/>
        </w:rPr>
        <w:t>נקבע</w:t>
      </w:r>
      <w:r w:rsidRPr="0022629D">
        <w:rPr>
          <w:rFonts w:hint="cs"/>
          <w:rtl/>
        </w:rPr>
        <w:t xml:space="preserve"> </w:t>
      </w:r>
      <w:r>
        <w:rPr>
          <w:rFonts w:hint="cs"/>
          <w:rtl/>
        </w:rPr>
        <w:t>בנוגע ל</w:t>
      </w:r>
      <w:r w:rsidRPr="0022629D">
        <w:rPr>
          <w:rFonts w:hint="cs"/>
          <w:rtl/>
        </w:rPr>
        <w:t>רשויות מקומיות החתומות על הסכמי גג כי גם אם</w:t>
      </w:r>
      <w:r>
        <w:rPr>
          <w:rFonts w:hint="cs"/>
          <w:rtl/>
        </w:rPr>
        <w:t xml:space="preserve"> הן</w:t>
      </w:r>
      <w:r w:rsidRPr="0022629D">
        <w:rPr>
          <w:rFonts w:hint="cs"/>
          <w:rtl/>
        </w:rPr>
        <w:t xml:space="preserve"> לא יהיו זכאיות </w:t>
      </w:r>
      <w:r>
        <w:rPr>
          <w:rFonts w:hint="cs"/>
          <w:rtl/>
        </w:rPr>
        <w:t>ל</w:t>
      </w:r>
      <w:r w:rsidRPr="0022629D">
        <w:rPr>
          <w:rFonts w:hint="cs"/>
          <w:rtl/>
        </w:rPr>
        <w:t xml:space="preserve">מענק בגין יח"ד לפי התנאים שנקבעו לגבי כלל הרשויות, הן </w:t>
      </w:r>
      <w:r>
        <w:rPr>
          <w:rFonts w:hint="cs"/>
          <w:rtl/>
        </w:rPr>
        <w:t>יהיו</w:t>
      </w:r>
      <w:r w:rsidRPr="0022629D">
        <w:rPr>
          <w:rFonts w:hint="cs"/>
          <w:rtl/>
        </w:rPr>
        <w:t xml:space="preserve"> זכאיות </w:t>
      </w:r>
      <w:r>
        <w:rPr>
          <w:rFonts w:hint="cs"/>
          <w:rtl/>
        </w:rPr>
        <w:t>ל</w:t>
      </w:r>
      <w:r w:rsidRPr="0022629D">
        <w:rPr>
          <w:rFonts w:hint="cs"/>
          <w:rtl/>
        </w:rPr>
        <w:t xml:space="preserve">מענק עבור כל יח"ד שלגביה </w:t>
      </w:r>
      <w:r>
        <w:rPr>
          <w:rFonts w:hint="cs"/>
          <w:rtl/>
        </w:rPr>
        <w:t>הנפיקו</w:t>
      </w:r>
      <w:r w:rsidRPr="0022629D">
        <w:rPr>
          <w:rFonts w:hint="cs"/>
          <w:rtl/>
        </w:rPr>
        <w:t xml:space="preserve"> היתר</w:t>
      </w:r>
      <w:r>
        <w:rPr>
          <w:rFonts w:hint="cs"/>
          <w:rtl/>
        </w:rPr>
        <w:t>,</w:t>
      </w:r>
      <w:r w:rsidRPr="0022629D">
        <w:rPr>
          <w:rFonts w:hint="cs"/>
          <w:rtl/>
        </w:rPr>
        <w:t xml:space="preserve"> בהתקיים התנאים המפורטים בהחלטה</w:t>
      </w:r>
      <w:r>
        <w:rPr>
          <w:rStyle w:val="a9"/>
          <w:rtl/>
        </w:rPr>
        <w:footnoteReference w:id="109"/>
      </w:r>
      <w:r>
        <w:rPr>
          <w:rFonts w:hint="cs"/>
          <w:rtl/>
        </w:rPr>
        <w:t>, וזאת לגבי היתרים שהונפקו עד שנת 2017</w:t>
      </w:r>
      <w:r w:rsidRPr="0022629D">
        <w:rPr>
          <w:rFonts w:hint="cs"/>
          <w:rtl/>
        </w:rPr>
        <w:t>.</w:t>
      </w:r>
      <w:r>
        <w:rPr>
          <w:rFonts w:hint="cs"/>
          <w:rtl/>
        </w:rPr>
        <w:t xml:space="preserve"> </w:t>
      </w:r>
    </w:p>
    <w:p w14:paraId="59F741A6" w14:textId="77777777" w:rsidR="000A4591" w:rsidRPr="0022629D" w:rsidRDefault="000A4591" w:rsidP="00A03270">
      <w:pPr>
        <w:pStyle w:val="71f4"/>
        <w:rPr>
          <w:rtl/>
        </w:rPr>
      </w:pPr>
      <w:r w:rsidRPr="0022629D">
        <w:rPr>
          <w:rFonts w:hint="cs"/>
          <w:rtl/>
        </w:rPr>
        <w:t xml:space="preserve">משרד הפנים הוא האחראי </w:t>
      </w:r>
      <w:r>
        <w:rPr>
          <w:rFonts w:hint="cs"/>
          <w:rtl/>
        </w:rPr>
        <w:t>לחלוקת</w:t>
      </w:r>
      <w:r w:rsidRPr="0022629D">
        <w:rPr>
          <w:rFonts w:hint="cs"/>
          <w:rtl/>
        </w:rPr>
        <w:t xml:space="preserve"> המענקים לרשויות המקומיות הזכאיות</w:t>
      </w:r>
      <w:r>
        <w:rPr>
          <w:rFonts w:hint="cs"/>
          <w:rtl/>
        </w:rPr>
        <w:t xml:space="preserve"> לכך</w:t>
      </w:r>
      <w:r w:rsidRPr="0022629D">
        <w:rPr>
          <w:rFonts w:hint="cs"/>
          <w:rtl/>
        </w:rPr>
        <w:t xml:space="preserve">. </w:t>
      </w:r>
      <w:r>
        <w:rPr>
          <w:rFonts w:hint="cs"/>
          <w:rtl/>
        </w:rPr>
        <w:t xml:space="preserve">מכוח החלטת הממשלה חילק משרד הפנים עד שנת 2018 מענקים בסך של כ-490 מיליון ש"ח, כ-287 מיליון ש"ח מהם לרשויות המקומיות החתומות על הסכם גג. </w:t>
      </w:r>
      <w:r w:rsidRPr="0022629D">
        <w:rPr>
          <w:rFonts w:hint="cs"/>
          <w:rtl/>
        </w:rPr>
        <w:t xml:space="preserve">להלן בתרשים </w:t>
      </w:r>
      <w:r>
        <w:rPr>
          <w:rFonts w:hint="cs"/>
          <w:rtl/>
        </w:rPr>
        <w:t>19</w:t>
      </w:r>
      <w:r w:rsidRPr="0022629D">
        <w:rPr>
          <w:rFonts w:hint="cs"/>
          <w:rtl/>
        </w:rPr>
        <w:t xml:space="preserve"> </w:t>
      </w:r>
      <w:r>
        <w:rPr>
          <w:rFonts w:hint="cs"/>
          <w:rtl/>
        </w:rPr>
        <w:t>יפורט סכום</w:t>
      </w:r>
      <w:r w:rsidRPr="0022629D">
        <w:rPr>
          <w:rFonts w:hint="cs"/>
          <w:rtl/>
        </w:rPr>
        <w:t xml:space="preserve"> המענקים שקיבלה </w:t>
      </w:r>
      <w:r>
        <w:rPr>
          <w:rFonts w:hint="cs"/>
          <w:rtl/>
        </w:rPr>
        <w:t xml:space="preserve">מכוח החלטת הממשלה עד שנת 2018 </w:t>
      </w:r>
      <w:r w:rsidRPr="0022629D">
        <w:rPr>
          <w:rFonts w:hint="cs"/>
          <w:rtl/>
        </w:rPr>
        <w:t>כל אחת מהרשויות המקומיות החתומות על הסכמי גג</w:t>
      </w:r>
      <w:r>
        <w:rPr>
          <w:rFonts w:hint="cs"/>
          <w:rtl/>
        </w:rPr>
        <w:t xml:space="preserve"> בעד היתרי בנייה שהנפיקה</w:t>
      </w:r>
      <w:r>
        <w:rPr>
          <w:rStyle w:val="a9"/>
          <w:rtl/>
        </w:rPr>
        <w:footnoteReference w:id="110"/>
      </w:r>
      <w:r>
        <w:rPr>
          <w:rFonts w:hint="cs"/>
          <w:rtl/>
        </w:rPr>
        <w:t>.</w:t>
      </w:r>
      <w:r w:rsidRPr="0022629D">
        <w:rPr>
          <w:rFonts w:hint="cs"/>
          <w:rtl/>
        </w:rPr>
        <w:t xml:space="preserve"> </w:t>
      </w:r>
    </w:p>
    <w:p w14:paraId="6EB3A729" w14:textId="77777777" w:rsidR="00A03270" w:rsidRDefault="00A03270">
      <w:pPr>
        <w:bidi w:val="0"/>
        <w:spacing w:after="200" w:line="276" w:lineRule="auto"/>
        <w:rPr>
          <w:b/>
          <w:bCs/>
          <w:rtl/>
        </w:rPr>
      </w:pPr>
      <w:r>
        <w:rPr>
          <w:b/>
          <w:bCs/>
          <w:rtl/>
        </w:rPr>
        <w:br w:type="page"/>
      </w:r>
    </w:p>
    <w:p w14:paraId="4311039B" w14:textId="140227FF" w:rsidR="000A4591" w:rsidRDefault="00F43E8C" w:rsidP="00A03270">
      <w:pPr>
        <w:pStyle w:val="71b"/>
        <w:rPr>
          <w:rtl/>
        </w:rPr>
      </w:pPr>
      <w:r>
        <w:rPr>
          <w:b w:val="0"/>
          <w:bCs w:val="0"/>
          <w:noProof/>
          <w:rtl/>
          <w:lang w:val="he-IL"/>
        </w:rPr>
        <w:lastRenderedPageBreak/>
        <w:drawing>
          <wp:anchor distT="0" distB="0" distL="114300" distR="114300" simplePos="0" relativeHeight="252126720" behindDoc="0" locked="0" layoutInCell="1" allowOverlap="1" wp14:anchorId="5A1DEC5A" wp14:editId="0ADE4CEA">
            <wp:simplePos x="0" y="0"/>
            <wp:positionH relativeFrom="column">
              <wp:posOffset>259080</wp:posOffset>
            </wp:positionH>
            <wp:positionV relativeFrom="paragraph">
              <wp:posOffset>436880</wp:posOffset>
            </wp:positionV>
            <wp:extent cx="4119647" cy="6156000"/>
            <wp:effectExtent l="0" t="0" r="0" b="0"/>
            <wp:wrapSquare wrapText="bothSides"/>
            <wp:docPr id="3788766" name="Picture 378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6" name="Picture 378876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19647" cy="6156000"/>
                    </a:xfrm>
                    <a:prstGeom prst="rect">
                      <a:avLst/>
                    </a:prstGeom>
                  </pic:spPr>
                </pic:pic>
              </a:graphicData>
            </a:graphic>
            <wp14:sizeRelH relativeFrom="margin">
              <wp14:pctWidth>0</wp14:pctWidth>
            </wp14:sizeRelH>
            <wp14:sizeRelV relativeFrom="margin">
              <wp14:pctHeight>0</wp14:pctHeight>
            </wp14:sizeRelV>
          </wp:anchor>
        </w:drawing>
      </w:r>
      <w:r w:rsidR="000A4591" w:rsidRPr="00A03270">
        <w:rPr>
          <w:rFonts w:hint="cs"/>
          <w:b w:val="0"/>
          <w:bCs w:val="0"/>
          <w:rtl/>
        </w:rPr>
        <w:t>תרשים 19:</w:t>
      </w:r>
      <w:r w:rsidR="000A4591" w:rsidRPr="0022629D">
        <w:rPr>
          <w:rFonts w:hint="cs"/>
          <w:rtl/>
        </w:rPr>
        <w:t xml:space="preserve"> </w:t>
      </w:r>
      <w:r w:rsidR="000A4591">
        <w:rPr>
          <w:rFonts w:hint="cs"/>
          <w:rtl/>
        </w:rPr>
        <w:t>סכום</w:t>
      </w:r>
      <w:r w:rsidR="000A4591" w:rsidRPr="00C32E12">
        <w:rPr>
          <w:rtl/>
        </w:rPr>
        <w:t xml:space="preserve"> המענקים שקיבלה כל אחת מהרשויות המקומיות החתומות על הסכמי גג </w:t>
      </w:r>
      <w:r w:rsidR="000A4591">
        <w:rPr>
          <w:rFonts w:hint="cs"/>
          <w:rtl/>
        </w:rPr>
        <w:t>עד שנת 2018 בעד</w:t>
      </w:r>
      <w:r w:rsidR="000A4591" w:rsidRPr="00C32E12">
        <w:rPr>
          <w:rtl/>
        </w:rPr>
        <w:t xml:space="preserve"> היתרי בנייה שהנפיקה </w:t>
      </w:r>
      <w:r w:rsidR="000A4591" w:rsidRPr="0022629D">
        <w:rPr>
          <w:rFonts w:hint="cs"/>
          <w:rtl/>
        </w:rPr>
        <w:t>(במיליוני ש"ח)</w:t>
      </w:r>
    </w:p>
    <w:p w14:paraId="48E009A5" w14:textId="53DED386" w:rsidR="000A4591" w:rsidRDefault="000A4591" w:rsidP="00C87E51">
      <w:pPr>
        <w:pStyle w:val="71d"/>
        <w:rPr>
          <w:rtl/>
        </w:rPr>
      </w:pPr>
      <w:r>
        <w:rPr>
          <w:rFonts w:hint="cs"/>
          <w:rtl/>
        </w:rPr>
        <w:t xml:space="preserve">על פי </w:t>
      </w:r>
      <w:r w:rsidRPr="00FD4D31">
        <w:rPr>
          <w:rFonts w:hint="eastAsia"/>
          <w:rtl/>
        </w:rPr>
        <w:t>נתוני</w:t>
      </w:r>
      <w:r w:rsidRPr="00FD4D31">
        <w:rPr>
          <w:rtl/>
        </w:rPr>
        <w:t xml:space="preserve"> </w:t>
      </w:r>
      <w:r w:rsidRPr="00FD4D31">
        <w:rPr>
          <w:rFonts w:hint="eastAsia"/>
          <w:rtl/>
        </w:rPr>
        <w:t>משרד</w:t>
      </w:r>
      <w:r w:rsidRPr="00FD4D31">
        <w:rPr>
          <w:rtl/>
        </w:rPr>
        <w:t xml:space="preserve"> </w:t>
      </w:r>
      <w:r w:rsidRPr="00FD4D31">
        <w:rPr>
          <w:rFonts w:hint="eastAsia"/>
          <w:rtl/>
        </w:rPr>
        <w:t>הפנים</w:t>
      </w:r>
      <w:r w:rsidRPr="00FD4D31">
        <w:rPr>
          <w:rtl/>
        </w:rPr>
        <w:t xml:space="preserve"> </w:t>
      </w:r>
      <w:r w:rsidRPr="00FD4D31">
        <w:rPr>
          <w:rFonts w:hint="eastAsia"/>
          <w:rtl/>
        </w:rPr>
        <w:t>בעיבוד</w:t>
      </w:r>
      <w:r w:rsidRPr="00FD4D31">
        <w:rPr>
          <w:rtl/>
        </w:rPr>
        <w:t xml:space="preserve"> </w:t>
      </w:r>
      <w:r w:rsidRPr="00FD4D31">
        <w:rPr>
          <w:rFonts w:hint="eastAsia"/>
          <w:rtl/>
        </w:rPr>
        <w:t>משרד</w:t>
      </w:r>
      <w:r w:rsidRPr="00FD4D31">
        <w:rPr>
          <w:rtl/>
        </w:rPr>
        <w:t xml:space="preserve"> </w:t>
      </w:r>
      <w:r w:rsidRPr="00FD4D31">
        <w:rPr>
          <w:rFonts w:hint="eastAsia"/>
          <w:rtl/>
        </w:rPr>
        <w:t>מבקר</w:t>
      </w:r>
      <w:r w:rsidRPr="00FD4D31">
        <w:rPr>
          <w:rtl/>
        </w:rPr>
        <w:t xml:space="preserve"> </w:t>
      </w:r>
      <w:r w:rsidRPr="00FD4D31">
        <w:rPr>
          <w:rFonts w:hint="eastAsia"/>
          <w:rtl/>
        </w:rPr>
        <w:t>המדינה</w:t>
      </w:r>
      <w:r w:rsidRPr="00FD4D31">
        <w:rPr>
          <w:rtl/>
        </w:rPr>
        <w:t>.</w:t>
      </w:r>
    </w:p>
    <w:p w14:paraId="634BAA03" w14:textId="77777777" w:rsidR="000A4591" w:rsidRDefault="000A4591" w:rsidP="00C87E51">
      <w:pPr>
        <w:pStyle w:val="71f"/>
        <w:rPr>
          <w:rtl/>
        </w:rPr>
      </w:pPr>
      <w:r w:rsidRPr="005A2A97">
        <w:rPr>
          <w:rFonts w:hint="eastAsia"/>
          <w:rtl/>
        </w:rPr>
        <w:lastRenderedPageBreak/>
        <w:t>מהתרשים</w:t>
      </w:r>
      <w:r w:rsidRPr="005A2A97">
        <w:rPr>
          <w:rtl/>
        </w:rPr>
        <w:t xml:space="preserve"> עולה כי </w:t>
      </w:r>
      <w:r>
        <w:rPr>
          <w:rFonts w:hint="cs"/>
          <w:rtl/>
        </w:rPr>
        <w:t xml:space="preserve">עד שנת 2018 </w:t>
      </w:r>
      <w:r w:rsidRPr="005A2A97">
        <w:rPr>
          <w:rtl/>
        </w:rPr>
        <w:t xml:space="preserve">משרד הפנים חילק לרשויות המקומיות החתומות על הסכם גג מענקים </w:t>
      </w:r>
      <w:r w:rsidRPr="005A2A97">
        <w:rPr>
          <w:rFonts w:hint="eastAsia"/>
          <w:rtl/>
        </w:rPr>
        <w:t>לתמרוץ</w:t>
      </w:r>
      <w:r w:rsidRPr="005A2A97">
        <w:rPr>
          <w:rtl/>
        </w:rPr>
        <w:t xml:space="preserve"> הנפקת היתרי בנייה בסך של עד כ-62 מיליון ש"ח </w:t>
      </w:r>
      <w:r>
        <w:rPr>
          <w:rFonts w:hint="cs"/>
          <w:rtl/>
        </w:rPr>
        <w:t xml:space="preserve">לרשות מקומית </w:t>
      </w:r>
      <w:r w:rsidRPr="005A2A97">
        <w:rPr>
          <w:rtl/>
        </w:rPr>
        <w:t>(</w:t>
      </w:r>
      <w:r>
        <w:rPr>
          <w:rFonts w:hint="cs"/>
          <w:rtl/>
        </w:rPr>
        <w:t>ב</w:t>
      </w:r>
      <w:r w:rsidRPr="005A2A97">
        <w:rPr>
          <w:rtl/>
        </w:rPr>
        <w:t xml:space="preserve">ראש העין). </w:t>
      </w:r>
    </w:p>
    <w:p w14:paraId="15C69DA1" w14:textId="77777777" w:rsidR="000A4591" w:rsidRPr="00E0662F" w:rsidRDefault="000A4591" w:rsidP="00C87E51">
      <w:pPr>
        <w:pStyle w:val="714"/>
        <w:rPr>
          <w:rtl/>
        </w:rPr>
      </w:pPr>
      <w:r w:rsidRPr="00E0662F">
        <w:rPr>
          <w:rtl/>
        </w:rPr>
        <w:t xml:space="preserve">בהמשך להחלטת הממשלה כאמור, גיבש משרד הפנים "תוכנית לתמרוץ רשויות למתן היתרי בנייה ליחידות דיור" לגבי היתרים שהונפקו בשנים 2018 </w:t>
      </w:r>
      <w:r>
        <w:rPr>
          <w:rFonts w:hint="cs"/>
          <w:rtl/>
        </w:rPr>
        <w:t>ו-</w:t>
      </w:r>
      <w:r w:rsidRPr="00E0662F">
        <w:rPr>
          <w:rtl/>
        </w:rPr>
        <w:t>2019</w:t>
      </w:r>
      <w:r>
        <w:rPr>
          <w:rFonts w:hint="cs"/>
          <w:rtl/>
        </w:rPr>
        <w:t xml:space="preserve"> </w:t>
      </w:r>
      <w:r w:rsidRPr="00E0662F">
        <w:rPr>
          <w:rtl/>
        </w:rPr>
        <w:t>(להלן - התוכנית של משרד הפנים)</w:t>
      </w:r>
      <w:r>
        <w:rPr>
          <w:rStyle w:val="a9"/>
          <w:rtl/>
        </w:rPr>
        <w:footnoteReference w:id="111"/>
      </w:r>
      <w:r w:rsidRPr="00E0662F">
        <w:rPr>
          <w:rtl/>
        </w:rPr>
        <w:t>.</w:t>
      </w:r>
      <w:r>
        <w:rPr>
          <w:rtl/>
        </w:rPr>
        <w:t xml:space="preserve"> לפי התוכנית, </w:t>
      </w:r>
      <w:r w:rsidRPr="00E0662F">
        <w:rPr>
          <w:rtl/>
        </w:rPr>
        <w:t xml:space="preserve">משרד הפנים </w:t>
      </w:r>
      <w:r>
        <w:rPr>
          <w:rFonts w:hint="cs"/>
          <w:rtl/>
        </w:rPr>
        <w:t xml:space="preserve">חילק לכלל הרשויות </w:t>
      </w:r>
      <w:r w:rsidRPr="00E0662F">
        <w:rPr>
          <w:rtl/>
        </w:rPr>
        <w:t xml:space="preserve">מענקים לפי עקרונות דומים לאלו שנקבעו בהחלטת הממשלה האמורה לגבי הרשויות, קרי בהתאם למספר היתרי הבנייה שהנפיקה הרשות המקומית (להלן - מענק היתרי בנייה). </w:t>
      </w:r>
      <w:r>
        <w:rPr>
          <w:rFonts w:hint="cs"/>
          <w:rtl/>
        </w:rPr>
        <w:t xml:space="preserve">בשנים 2019 ו-2020 חילק משרד הפנים </w:t>
      </w:r>
      <w:r w:rsidRPr="00E0662F">
        <w:rPr>
          <w:rtl/>
        </w:rPr>
        <w:t xml:space="preserve">מענקי היתרי הבנייה </w:t>
      </w:r>
      <w:r>
        <w:rPr>
          <w:rFonts w:hint="cs"/>
          <w:rtl/>
        </w:rPr>
        <w:t xml:space="preserve">בסך </w:t>
      </w:r>
      <w:r w:rsidRPr="00E0662F">
        <w:rPr>
          <w:rtl/>
        </w:rPr>
        <w:t xml:space="preserve">111 מיליון ש"ח ו-81 מיליון ש"ח בהתאמה, ובסה"כ 192 מיליון ש"ח, </w:t>
      </w:r>
      <w:r>
        <w:rPr>
          <w:rFonts w:hint="cs"/>
          <w:rtl/>
        </w:rPr>
        <w:t>ומכלל זה</w:t>
      </w:r>
      <w:r w:rsidRPr="00E0662F">
        <w:rPr>
          <w:rtl/>
        </w:rPr>
        <w:t xml:space="preserve"> קיבלו הרשויות המקומיות החתומות על הסכמי הגג </w:t>
      </w:r>
      <w:r>
        <w:rPr>
          <w:rFonts w:hint="cs"/>
          <w:rtl/>
        </w:rPr>
        <w:t xml:space="preserve">מענקים בסך </w:t>
      </w:r>
      <w:r w:rsidRPr="00E0662F">
        <w:rPr>
          <w:rtl/>
        </w:rPr>
        <w:t>כ-140 מיליון ש"ח.</w:t>
      </w:r>
    </w:p>
    <w:p w14:paraId="4EE6A892" w14:textId="77777777" w:rsidR="000A4591" w:rsidRDefault="000A4591" w:rsidP="00C87E51">
      <w:pPr>
        <w:pStyle w:val="71f4"/>
        <w:rPr>
          <w:rtl/>
        </w:rPr>
      </w:pPr>
      <w:r>
        <w:rPr>
          <w:rFonts w:hint="cs"/>
          <w:rtl/>
        </w:rPr>
        <w:t>אשר לרשויות מקומיות שחתמו על הסכם הגג, בתוכנית של משרד הפנים נקבע כי מעבר לזכותן לקבל מענק בדומה לכלל הרשויות כאמור, הן יקבלו "מענק תמרוץ היתרי בנייה לרשויות שחתמו על הסכמי גג". אולם בתוכנית נקבע כי המענקים יינתנו לרשויות לא בעד היתרי בנייה שהן הנפיקו, בדומה לתנאים שנקבעו בהחלטת הממשלה כאמור, אלא בהתאם לגידול שחל באוכלוסייה באותן רשויות, וזאת ללא</w:t>
      </w:r>
      <w:r w:rsidRPr="00FD4D31">
        <w:rPr>
          <w:rFonts w:hint="cs"/>
          <w:rtl/>
        </w:rPr>
        <w:t xml:space="preserve"> תלות במספר היתרי הבנייה ש</w:t>
      </w:r>
      <w:r>
        <w:rPr>
          <w:rFonts w:hint="cs"/>
          <w:rtl/>
        </w:rPr>
        <w:t>הנפיקו</w:t>
      </w:r>
      <w:r w:rsidRPr="00FD4D31">
        <w:rPr>
          <w:rFonts w:hint="cs"/>
          <w:rtl/>
        </w:rPr>
        <w:t xml:space="preserve"> בשנים האמורות</w:t>
      </w:r>
      <w:r>
        <w:rPr>
          <w:rFonts w:hint="cs"/>
          <w:rtl/>
        </w:rPr>
        <w:t xml:space="preserve"> </w:t>
      </w:r>
      <w:r w:rsidRPr="00FD4D31">
        <w:rPr>
          <w:rFonts w:hint="cs"/>
          <w:rtl/>
        </w:rPr>
        <w:t xml:space="preserve">(להלן - מענק הסכמי גג). </w:t>
      </w:r>
      <w:r>
        <w:rPr>
          <w:rFonts w:hint="cs"/>
          <w:rtl/>
        </w:rPr>
        <w:t xml:space="preserve">מענקי הסכמי הגג שקיבלו רשויות אלה בשנים 2019 ו-2020 היו 75 מיליון ש"ח ו-54 מיליון ש"ח בהתאמה, ובסה"כ 129 מיליון ש"ח. </w:t>
      </w:r>
      <w:r w:rsidRPr="00FD4D31">
        <w:rPr>
          <w:rFonts w:hint="cs"/>
          <w:rtl/>
        </w:rPr>
        <w:t xml:space="preserve">למשל, רשות מקומית שחתמה על הסכם גג שאוכלוסייתה גדלה משנת 2016 עד שנת 2019 בשיעור מסוים קיבלה </w:t>
      </w:r>
      <w:r>
        <w:rPr>
          <w:rFonts w:hint="cs"/>
          <w:rtl/>
        </w:rPr>
        <w:t>עבור</w:t>
      </w:r>
      <w:r w:rsidRPr="00FD4D31">
        <w:rPr>
          <w:rFonts w:hint="cs"/>
          <w:rtl/>
        </w:rPr>
        <w:t xml:space="preserve"> שנת 2019 מענק </w:t>
      </w:r>
      <w:r>
        <w:rPr>
          <w:rFonts w:hint="cs"/>
          <w:rtl/>
        </w:rPr>
        <w:t>שחושב בהתאם ל</w:t>
      </w:r>
      <w:r w:rsidRPr="00FD4D31">
        <w:rPr>
          <w:rFonts w:hint="cs"/>
          <w:rtl/>
        </w:rPr>
        <w:t>אותו שיעור גידול ו</w:t>
      </w:r>
      <w:r>
        <w:rPr>
          <w:rFonts w:hint="cs"/>
          <w:rtl/>
        </w:rPr>
        <w:t>ל</w:t>
      </w:r>
      <w:r w:rsidRPr="00FD4D31">
        <w:rPr>
          <w:rFonts w:hint="cs"/>
          <w:rtl/>
        </w:rPr>
        <w:t xml:space="preserve">מספר התושבים שנוספו </w:t>
      </w:r>
      <w:r>
        <w:rPr>
          <w:rFonts w:hint="cs"/>
          <w:rtl/>
        </w:rPr>
        <w:t>ל</w:t>
      </w:r>
      <w:r w:rsidRPr="00FD4D31">
        <w:rPr>
          <w:rFonts w:hint="cs"/>
          <w:rtl/>
        </w:rPr>
        <w:t>רשות</w:t>
      </w:r>
      <w:r>
        <w:rPr>
          <w:rFonts w:hint="cs"/>
          <w:rtl/>
        </w:rPr>
        <w:t xml:space="preserve"> ולא בהתאם למספר היתרי הבנייה שהנפיקה. יצוין כי התקציב למימוש התוכנית של משרד הפנים התקבל ממשרד האוצר בהתאם לסיכום בינו לבין משרד הפנים, ואמות המידה לחלוקת המענקים לא נקבעו לפי החלטת הממשלה האמורה. </w:t>
      </w:r>
    </w:p>
    <w:p w14:paraId="35A66B19" w14:textId="77777777" w:rsidR="000A4591" w:rsidRPr="000C5FF9" w:rsidRDefault="000A4591" w:rsidP="00C87E51">
      <w:pPr>
        <w:pStyle w:val="71f"/>
        <w:rPr>
          <w:rtl/>
        </w:rPr>
      </w:pPr>
      <w:r w:rsidRPr="000C5FF9">
        <w:rPr>
          <w:rFonts w:hint="cs"/>
          <w:rtl/>
        </w:rPr>
        <w:t xml:space="preserve">יוצא </w:t>
      </w:r>
      <w:r>
        <w:rPr>
          <w:rFonts w:hint="cs"/>
          <w:rtl/>
        </w:rPr>
        <w:t>שמענק הסכמי הגג בעלות של 129 מיליון ש"ח שניתן בשנים 2019 - 2020 לרשויות החתומות על הסכמי הגג היה לפי אמת מידה הנוגעת לגידול בהיקף האוכלוסייה ברשות ולא לפי</w:t>
      </w:r>
      <w:r w:rsidRPr="000C5FF9">
        <w:rPr>
          <w:rFonts w:hint="cs"/>
          <w:rtl/>
        </w:rPr>
        <w:t xml:space="preserve"> </w:t>
      </w:r>
      <w:r>
        <w:rPr>
          <w:rFonts w:hint="cs"/>
          <w:rtl/>
        </w:rPr>
        <w:t>מספר</w:t>
      </w:r>
      <w:r w:rsidRPr="000C5FF9">
        <w:rPr>
          <w:rFonts w:hint="cs"/>
          <w:rtl/>
        </w:rPr>
        <w:t xml:space="preserve"> היתרי בנייה</w:t>
      </w:r>
      <w:r>
        <w:rPr>
          <w:rFonts w:hint="cs"/>
          <w:rtl/>
        </w:rPr>
        <w:t xml:space="preserve"> שהנפיקה הרשות,</w:t>
      </w:r>
      <w:r w:rsidRPr="000C5FF9">
        <w:rPr>
          <w:rFonts w:hint="cs"/>
          <w:rtl/>
        </w:rPr>
        <w:t xml:space="preserve"> </w:t>
      </w:r>
      <w:r>
        <w:rPr>
          <w:rFonts w:hint="cs"/>
          <w:rtl/>
        </w:rPr>
        <w:t xml:space="preserve">אף </w:t>
      </w:r>
      <w:r w:rsidRPr="000C5FF9">
        <w:rPr>
          <w:rFonts w:hint="cs"/>
          <w:rtl/>
        </w:rPr>
        <w:t xml:space="preserve">שהתוכנית של משרד הפנים </w:t>
      </w:r>
      <w:r>
        <w:rPr>
          <w:rFonts w:hint="cs"/>
          <w:rtl/>
        </w:rPr>
        <w:t xml:space="preserve">הייתה </w:t>
      </w:r>
      <w:r w:rsidRPr="000C5FF9">
        <w:rPr>
          <w:rFonts w:hint="cs"/>
          <w:rtl/>
        </w:rPr>
        <w:t>"תוכנית לתמרוץ רשויות למתן היתרי בנייה ליחידות דיור"</w:t>
      </w:r>
      <w:r>
        <w:rPr>
          <w:rFonts w:hint="cs"/>
          <w:rtl/>
        </w:rPr>
        <w:t>. עקב כך המענק לא שימש תמריץ להנפקת היתרי בנייה עבור רשויות אלה.</w:t>
      </w:r>
    </w:p>
    <w:p w14:paraId="373FCF1E" w14:textId="77777777" w:rsidR="000A4591" w:rsidRDefault="000A4591" w:rsidP="00C87E51">
      <w:pPr>
        <w:pStyle w:val="71f4"/>
        <w:rPr>
          <w:rtl/>
        </w:rPr>
      </w:pPr>
      <w:r>
        <w:rPr>
          <w:rFonts w:hint="cs"/>
          <w:rtl/>
        </w:rPr>
        <w:t xml:space="preserve">בתרשים 20 להלן מוצגים סכומי המענקים שחילק משרד הפנים לרשויות המקומיות החתומות על הסכמי גג מכוח התוכנית של משרד הפנים בשנים 2019 ו-2020, לפי מענקים רגילים ומענקי הסכמי גג: </w:t>
      </w:r>
    </w:p>
    <w:p w14:paraId="723EBA26" w14:textId="6BF57369" w:rsidR="000A4591" w:rsidRDefault="000A4591" w:rsidP="00EC0CCA">
      <w:pPr>
        <w:pStyle w:val="71b"/>
        <w:rPr>
          <w:rtl/>
        </w:rPr>
      </w:pPr>
      <w:r w:rsidRPr="00EC0CCA">
        <w:rPr>
          <w:rFonts w:hint="cs"/>
          <w:b w:val="0"/>
          <w:bCs w:val="0"/>
          <w:rtl/>
        </w:rPr>
        <w:lastRenderedPageBreak/>
        <w:t>תרשים 20:</w:t>
      </w:r>
      <w:r w:rsidRPr="00173984">
        <w:rPr>
          <w:rFonts w:hint="cs"/>
          <w:rtl/>
        </w:rPr>
        <w:t xml:space="preserve"> </w:t>
      </w:r>
      <w:r w:rsidRPr="002661DE">
        <w:rPr>
          <w:rtl/>
        </w:rPr>
        <w:t xml:space="preserve">סכומי המענקים שחילק משרד הפנים לרשויות המקומיות החתומות על הסכמי גג מכוח התוכנית של משרד הפנים </w:t>
      </w:r>
      <w:r>
        <w:rPr>
          <w:rFonts w:hint="cs"/>
          <w:rtl/>
        </w:rPr>
        <w:t>ב</w:t>
      </w:r>
      <w:r w:rsidRPr="002661DE">
        <w:rPr>
          <w:rtl/>
        </w:rPr>
        <w:t>שנים 2019</w:t>
      </w:r>
      <w:r>
        <w:rPr>
          <w:rFonts w:hint="cs"/>
          <w:rtl/>
        </w:rPr>
        <w:t xml:space="preserve"> </w:t>
      </w:r>
      <w:r w:rsidR="00EC0CCA">
        <w:rPr>
          <w:rFonts w:hint="cs"/>
          <w:rtl/>
        </w:rPr>
        <w:t xml:space="preserve">                         </w:t>
      </w:r>
      <w:r>
        <w:rPr>
          <w:rFonts w:hint="cs"/>
          <w:rtl/>
        </w:rPr>
        <w:t>ו-2020,</w:t>
      </w:r>
      <w:r w:rsidRPr="002661DE">
        <w:rPr>
          <w:rtl/>
        </w:rPr>
        <w:t xml:space="preserve"> לפי מענקים רגילים ומענקי הסכמי גג</w:t>
      </w:r>
      <w:r w:rsidRPr="002661DE">
        <w:rPr>
          <w:rFonts w:hint="cs"/>
          <w:rtl/>
        </w:rPr>
        <w:t xml:space="preserve"> </w:t>
      </w:r>
      <w:r w:rsidRPr="00173984">
        <w:rPr>
          <w:rFonts w:hint="cs"/>
          <w:rtl/>
        </w:rPr>
        <w:t>(במיליוני ש"ח)</w:t>
      </w:r>
    </w:p>
    <w:p w14:paraId="5125BE77" w14:textId="425965C0" w:rsidR="00EC75A0" w:rsidRDefault="0018561F" w:rsidP="00EC0CCA">
      <w:pPr>
        <w:pStyle w:val="71b"/>
        <w:rPr>
          <w:rtl/>
        </w:rPr>
      </w:pPr>
      <w:r>
        <w:rPr>
          <w:noProof/>
          <w:rtl/>
          <w:lang w:val="he-IL"/>
        </w:rPr>
        <w:drawing>
          <wp:anchor distT="0" distB="0" distL="114300" distR="114300" simplePos="0" relativeHeight="252141056" behindDoc="0" locked="0" layoutInCell="1" allowOverlap="1" wp14:anchorId="38CAE385" wp14:editId="19906B12">
            <wp:simplePos x="0" y="0"/>
            <wp:positionH relativeFrom="column">
              <wp:posOffset>391795</wp:posOffset>
            </wp:positionH>
            <wp:positionV relativeFrom="paragraph">
              <wp:posOffset>21590</wp:posOffset>
            </wp:positionV>
            <wp:extent cx="3780000" cy="5995665"/>
            <wp:effectExtent l="0" t="0" r="0" b="5715"/>
            <wp:wrapNone/>
            <wp:docPr id="3788751" name="Picture 378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1" name="Picture 378875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80000" cy="5995665"/>
                    </a:xfrm>
                    <a:prstGeom prst="rect">
                      <a:avLst/>
                    </a:prstGeom>
                  </pic:spPr>
                </pic:pic>
              </a:graphicData>
            </a:graphic>
            <wp14:sizeRelH relativeFrom="margin">
              <wp14:pctWidth>0</wp14:pctWidth>
            </wp14:sizeRelH>
            <wp14:sizeRelV relativeFrom="margin">
              <wp14:pctHeight>0</wp14:pctHeight>
            </wp14:sizeRelV>
          </wp:anchor>
        </w:drawing>
      </w:r>
    </w:p>
    <w:p w14:paraId="32D4E847" w14:textId="1257BE63" w:rsidR="00EC75A0" w:rsidRDefault="00EC75A0" w:rsidP="00ED0B3C">
      <w:pPr>
        <w:pStyle w:val="71d"/>
        <w:rPr>
          <w:rtl/>
        </w:rPr>
      </w:pPr>
    </w:p>
    <w:p w14:paraId="1D3DE597" w14:textId="7D7A9557" w:rsidR="00EC75A0" w:rsidRDefault="00EC75A0" w:rsidP="00ED0B3C">
      <w:pPr>
        <w:pStyle w:val="71d"/>
        <w:rPr>
          <w:rtl/>
        </w:rPr>
      </w:pPr>
    </w:p>
    <w:p w14:paraId="39C8ABC4" w14:textId="77777777" w:rsidR="00EC75A0" w:rsidRDefault="00EC75A0" w:rsidP="00ED0B3C">
      <w:pPr>
        <w:pStyle w:val="71d"/>
        <w:rPr>
          <w:rtl/>
        </w:rPr>
      </w:pPr>
    </w:p>
    <w:p w14:paraId="55162D48" w14:textId="77777777" w:rsidR="00EC75A0" w:rsidRDefault="00EC75A0" w:rsidP="00ED0B3C">
      <w:pPr>
        <w:pStyle w:val="71d"/>
        <w:rPr>
          <w:rtl/>
        </w:rPr>
      </w:pPr>
    </w:p>
    <w:p w14:paraId="38FECD62" w14:textId="77777777" w:rsidR="00EC75A0" w:rsidRDefault="00EC75A0" w:rsidP="00ED0B3C">
      <w:pPr>
        <w:pStyle w:val="71d"/>
        <w:rPr>
          <w:rtl/>
        </w:rPr>
      </w:pPr>
    </w:p>
    <w:p w14:paraId="58DFB19D" w14:textId="77777777" w:rsidR="00EC75A0" w:rsidRDefault="00EC75A0" w:rsidP="00ED0B3C">
      <w:pPr>
        <w:pStyle w:val="71d"/>
        <w:rPr>
          <w:rtl/>
        </w:rPr>
      </w:pPr>
    </w:p>
    <w:p w14:paraId="59F71BEB" w14:textId="77777777" w:rsidR="00EC75A0" w:rsidRDefault="00EC75A0" w:rsidP="00ED0B3C">
      <w:pPr>
        <w:pStyle w:val="71d"/>
        <w:rPr>
          <w:rtl/>
        </w:rPr>
      </w:pPr>
    </w:p>
    <w:p w14:paraId="5454F12D" w14:textId="77777777" w:rsidR="00EC75A0" w:rsidRDefault="00EC75A0" w:rsidP="00ED0B3C">
      <w:pPr>
        <w:pStyle w:val="71d"/>
        <w:rPr>
          <w:rtl/>
        </w:rPr>
      </w:pPr>
    </w:p>
    <w:p w14:paraId="187F9029" w14:textId="77777777" w:rsidR="00EC75A0" w:rsidRDefault="00EC75A0" w:rsidP="00ED0B3C">
      <w:pPr>
        <w:pStyle w:val="71d"/>
        <w:rPr>
          <w:rtl/>
        </w:rPr>
      </w:pPr>
    </w:p>
    <w:p w14:paraId="17338DE9" w14:textId="77777777" w:rsidR="00EC75A0" w:rsidRDefault="00EC75A0" w:rsidP="00ED0B3C">
      <w:pPr>
        <w:pStyle w:val="71d"/>
        <w:rPr>
          <w:rtl/>
        </w:rPr>
      </w:pPr>
    </w:p>
    <w:p w14:paraId="07110A2E" w14:textId="77777777" w:rsidR="00EC75A0" w:rsidRDefault="00EC75A0" w:rsidP="00ED0B3C">
      <w:pPr>
        <w:pStyle w:val="71d"/>
        <w:rPr>
          <w:rtl/>
        </w:rPr>
      </w:pPr>
    </w:p>
    <w:p w14:paraId="6DE4735E" w14:textId="77777777" w:rsidR="00EC75A0" w:rsidRDefault="00EC75A0" w:rsidP="00ED0B3C">
      <w:pPr>
        <w:pStyle w:val="71d"/>
        <w:rPr>
          <w:rtl/>
        </w:rPr>
      </w:pPr>
    </w:p>
    <w:p w14:paraId="38328F2B" w14:textId="77777777" w:rsidR="00EC75A0" w:rsidRDefault="00EC75A0" w:rsidP="00ED0B3C">
      <w:pPr>
        <w:pStyle w:val="71d"/>
        <w:rPr>
          <w:rtl/>
        </w:rPr>
      </w:pPr>
    </w:p>
    <w:p w14:paraId="6E7D3518" w14:textId="77777777" w:rsidR="00EC75A0" w:rsidRDefault="00EC75A0" w:rsidP="00ED0B3C">
      <w:pPr>
        <w:pStyle w:val="71d"/>
        <w:rPr>
          <w:rtl/>
        </w:rPr>
      </w:pPr>
    </w:p>
    <w:p w14:paraId="2042DAFC" w14:textId="77777777" w:rsidR="00EC75A0" w:rsidRDefault="00EC75A0" w:rsidP="00ED0B3C">
      <w:pPr>
        <w:pStyle w:val="71d"/>
        <w:rPr>
          <w:rtl/>
        </w:rPr>
      </w:pPr>
    </w:p>
    <w:p w14:paraId="546FC3D1" w14:textId="77777777" w:rsidR="00EC75A0" w:rsidRDefault="00EC75A0" w:rsidP="00ED0B3C">
      <w:pPr>
        <w:pStyle w:val="71d"/>
        <w:rPr>
          <w:rtl/>
        </w:rPr>
      </w:pPr>
    </w:p>
    <w:p w14:paraId="57D86223" w14:textId="77777777" w:rsidR="00EC75A0" w:rsidRDefault="00EC75A0" w:rsidP="00ED0B3C">
      <w:pPr>
        <w:pStyle w:val="71d"/>
        <w:rPr>
          <w:rtl/>
        </w:rPr>
      </w:pPr>
    </w:p>
    <w:p w14:paraId="7861194C" w14:textId="77777777" w:rsidR="00EC75A0" w:rsidRDefault="00EC75A0" w:rsidP="00ED0B3C">
      <w:pPr>
        <w:pStyle w:val="71d"/>
        <w:rPr>
          <w:rtl/>
        </w:rPr>
      </w:pPr>
    </w:p>
    <w:p w14:paraId="7C29DCAF" w14:textId="2339B853" w:rsidR="000A4591" w:rsidRDefault="000A4591" w:rsidP="00ED0B3C">
      <w:pPr>
        <w:pStyle w:val="71d"/>
        <w:rPr>
          <w:rtl/>
        </w:rPr>
      </w:pPr>
      <w:r>
        <w:rPr>
          <w:rFonts w:hint="cs"/>
          <w:rtl/>
        </w:rPr>
        <w:t xml:space="preserve">על פי </w:t>
      </w:r>
      <w:r w:rsidRPr="00F05F31">
        <w:rPr>
          <w:rFonts w:hint="cs"/>
          <w:rtl/>
        </w:rPr>
        <w:t>נתוני משרד הפנים בעיבוד משרד מבקר המדינה.</w:t>
      </w:r>
    </w:p>
    <w:p w14:paraId="53D68D48" w14:textId="77777777" w:rsidR="000A4591" w:rsidRDefault="000A4591" w:rsidP="00ED0B3C">
      <w:pPr>
        <w:pStyle w:val="71f5"/>
        <w:rPr>
          <w:rtl/>
        </w:rPr>
      </w:pPr>
      <w:r w:rsidRPr="00D8370A">
        <w:rPr>
          <w:rFonts w:hint="eastAsia"/>
          <w:rtl/>
        </w:rPr>
        <w:lastRenderedPageBreak/>
        <w:t>מהתרשים</w:t>
      </w:r>
      <w:r w:rsidRPr="00D8370A">
        <w:rPr>
          <w:rtl/>
        </w:rPr>
        <w:t xml:space="preserve"> </w:t>
      </w:r>
      <w:r w:rsidRPr="00D8370A">
        <w:rPr>
          <w:rFonts w:hint="eastAsia"/>
          <w:rtl/>
        </w:rPr>
        <w:t>עולה</w:t>
      </w:r>
      <w:r w:rsidRPr="00D8370A">
        <w:rPr>
          <w:rtl/>
        </w:rPr>
        <w:t xml:space="preserve"> </w:t>
      </w:r>
      <w:r w:rsidRPr="00D8370A">
        <w:rPr>
          <w:rFonts w:hint="eastAsia"/>
          <w:rtl/>
        </w:rPr>
        <w:t>כי</w:t>
      </w:r>
      <w:r w:rsidRPr="00D8370A">
        <w:rPr>
          <w:rtl/>
        </w:rPr>
        <w:t xml:space="preserve"> </w:t>
      </w:r>
      <w:r w:rsidRPr="00D8370A">
        <w:rPr>
          <w:rFonts w:hint="eastAsia"/>
          <w:rtl/>
        </w:rPr>
        <w:t>מכוח</w:t>
      </w:r>
      <w:r w:rsidRPr="00D8370A">
        <w:rPr>
          <w:rtl/>
        </w:rPr>
        <w:t xml:space="preserve"> </w:t>
      </w:r>
      <w:r w:rsidRPr="00D8370A">
        <w:rPr>
          <w:rFonts w:hint="eastAsia"/>
          <w:rtl/>
        </w:rPr>
        <w:t>התוכנית</w:t>
      </w:r>
      <w:r w:rsidRPr="00D8370A">
        <w:rPr>
          <w:rtl/>
        </w:rPr>
        <w:t xml:space="preserve"> </w:t>
      </w:r>
      <w:r w:rsidRPr="00D8370A">
        <w:rPr>
          <w:rFonts w:hint="eastAsia"/>
          <w:rtl/>
        </w:rPr>
        <w:t>של</w:t>
      </w:r>
      <w:r w:rsidRPr="00D8370A">
        <w:rPr>
          <w:rtl/>
        </w:rPr>
        <w:t xml:space="preserve"> </w:t>
      </w:r>
      <w:r w:rsidRPr="00D8370A">
        <w:rPr>
          <w:rFonts w:hint="eastAsia"/>
          <w:rtl/>
        </w:rPr>
        <w:t>משרד</w:t>
      </w:r>
      <w:r w:rsidRPr="00D8370A">
        <w:rPr>
          <w:rtl/>
        </w:rPr>
        <w:t xml:space="preserve"> </w:t>
      </w:r>
      <w:r w:rsidRPr="00D8370A">
        <w:rPr>
          <w:rFonts w:hint="eastAsia"/>
          <w:rtl/>
        </w:rPr>
        <w:t>הפנים</w:t>
      </w:r>
      <w:r w:rsidRPr="00D8370A">
        <w:rPr>
          <w:rtl/>
        </w:rPr>
        <w:t xml:space="preserve"> </w:t>
      </w:r>
      <w:r w:rsidRPr="00D8370A">
        <w:rPr>
          <w:rFonts w:hint="eastAsia"/>
          <w:rtl/>
        </w:rPr>
        <w:t>הוא</w:t>
      </w:r>
      <w:r w:rsidRPr="00D8370A">
        <w:rPr>
          <w:rtl/>
        </w:rPr>
        <w:t xml:space="preserve"> </w:t>
      </w:r>
      <w:r w:rsidRPr="00D8370A">
        <w:rPr>
          <w:rFonts w:hint="eastAsia"/>
          <w:rtl/>
        </w:rPr>
        <w:t>חילק</w:t>
      </w:r>
      <w:r w:rsidRPr="00D8370A">
        <w:rPr>
          <w:rtl/>
        </w:rPr>
        <w:t xml:space="preserve"> </w:t>
      </w:r>
      <w:r w:rsidRPr="00D8370A">
        <w:rPr>
          <w:rFonts w:hint="eastAsia"/>
          <w:rtl/>
        </w:rPr>
        <w:t>לרשויות</w:t>
      </w:r>
      <w:r w:rsidRPr="00D8370A">
        <w:rPr>
          <w:rtl/>
        </w:rPr>
        <w:t xml:space="preserve"> </w:t>
      </w:r>
      <w:r w:rsidRPr="00D8370A">
        <w:rPr>
          <w:rFonts w:hint="eastAsia"/>
          <w:rtl/>
        </w:rPr>
        <w:t>המקומיות</w:t>
      </w:r>
      <w:r w:rsidRPr="00D8370A">
        <w:rPr>
          <w:rtl/>
        </w:rPr>
        <w:t xml:space="preserve"> </w:t>
      </w:r>
      <w:r w:rsidRPr="00D8370A">
        <w:rPr>
          <w:rFonts w:hint="eastAsia"/>
          <w:rtl/>
        </w:rPr>
        <w:t>החתומות</w:t>
      </w:r>
      <w:r w:rsidRPr="00D8370A">
        <w:rPr>
          <w:rtl/>
        </w:rPr>
        <w:t xml:space="preserve"> </w:t>
      </w:r>
      <w:r w:rsidRPr="00D8370A">
        <w:rPr>
          <w:rFonts w:hint="eastAsia"/>
          <w:rtl/>
        </w:rPr>
        <w:t>על</w:t>
      </w:r>
      <w:r w:rsidRPr="00D8370A">
        <w:rPr>
          <w:rtl/>
        </w:rPr>
        <w:t xml:space="preserve"> </w:t>
      </w:r>
      <w:r w:rsidRPr="00D8370A">
        <w:rPr>
          <w:rFonts w:hint="eastAsia"/>
          <w:rtl/>
        </w:rPr>
        <w:t>הסכם</w:t>
      </w:r>
      <w:r w:rsidRPr="00D8370A">
        <w:rPr>
          <w:rtl/>
        </w:rPr>
        <w:t xml:space="preserve"> </w:t>
      </w:r>
      <w:r w:rsidRPr="00D8370A">
        <w:rPr>
          <w:rFonts w:hint="eastAsia"/>
          <w:rtl/>
        </w:rPr>
        <w:t>גג</w:t>
      </w:r>
      <w:r w:rsidRPr="00D8370A">
        <w:rPr>
          <w:rtl/>
        </w:rPr>
        <w:t xml:space="preserve"> </w:t>
      </w:r>
      <w:r w:rsidRPr="00D8370A">
        <w:rPr>
          <w:rFonts w:hint="eastAsia"/>
          <w:rtl/>
        </w:rPr>
        <w:t>מענקים</w:t>
      </w:r>
      <w:r w:rsidRPr="00D8370A">
        <w:rPr>
          <w:rtl/>
        </w:rPr>
        <w:t xml:space="preserve"> </w:t>
      </w:r>
      <w:r w:rsidRPr="00D8370A">
        <w:rPr>
          <w:rFonts w:hint="eastAsia"/>
          <w:rtl/>
        </w:rPr>
        <w:t>בסך</w:t>
      </w:r>
      <w:r w:rsidRPr="00D8370A">
        <w:rPr>
          <w:rtl/>
        </w:rPr>
        <w:t xml:space="preserve"> </w:t>
      </w:r>
      <w:r w:rsidRPr="00D8370A">
        <w:rPr>
          <w:rFonts w:hint="eastAsia"/>
          <w:rtl/>
        </w:rPr>
        <w:t>של</w:t>
      </w:r>
      <w:r w:rsidRPr="00D8370A">
        <w:rPr>
          <w:rtl/>
        </w:rPr>
        <w:t xml:space="preserve"> </w:t>
      </w:r>
      <w:r>
        <w:rPr>
          <w:rFonts w:hint="cs"/>
          <w:rtl/>
        </w:rPr>
        <w:t xml:space="preserve">כ-0.5 </w:t>
      </w:r>
      <w:r w:rsidRPr="00D8370A">
        <w:rPr>
          <w:rFonts w:hint="eastAsia"/>
          <w:rtl/>
        </w:rPr>
        <w:t>מיליון</w:t>
      </w:r>
      <w:r w:rsidRPr="00D8370A">
        <w:rPr>
          <w:rtl/>
        </w:rPr>
        <w:t xml:space="preserve"> </w:t>
      </w:r>
      <w:r w:rsidRPr="00D8370A">
        <w:rPr>
          <w:rFonts w:hint="eastAsia"/>
          <w:rtl/>
        </w:rPr>
        <w:t>ש</w:t>
      </w:r>
      <w:r w:rsidRPr="00D8370A">
        <w:rPr>
          <w:rtl/>
        </w:rPr>
        <w:t>"ח (</w:t>
      </w:r>
      <w:r>
        <w:rPr>
          <w:rFonts w:hint="cs"/>
          <w:rtl/>
        </w:rPr>
        <w:t>ל</w:t>
      </w:r>
      <w:r w:rsidRPr="00D8370A">
        <w:rPr>
          <w:rtl/>
        </w:rPr>
        <w:t xml:space="preserve">יהוד) </w:t>
      </w:r>
      <w:r w:rsidRPr="00D8370A">
        <w:rPr>
          <w:rFonts w:hint="eastAsia"/>
          <w:rtl/>
        </w:rPr>
        <w:t>עד</w:t>
      </w:r>
      <w:r w:rsidRPr="00D8370A">
        <w:rPr>
          <w:rtl/>
        </w:rPr>
        <w:t xml:space="preserve"> </w:t>
      </w:r>
      <w:r w:rsidRPr="00D8370A">
        <w:rPr>
          <w:rFonts w:hint="eastAsia"/>
          <w:rtl/>
        </w:rPr>
        <w:t>כ</w:t>
      </w:r>
      <w:r w:rsidRPr="00D8370A">
        <w:rPr>
          <w:rtl/>
        </w:rPr>
        <w:t xml:space="preserve">-38 </w:t>
      </w:r>
      <w:r w:rsidRPr="00D8370A">
        <w:rPr>
          <w:rFonts w:hint="eastAsia"/>
          <w:rtl/>
        </w:rPr>
        <w:t>מיליון</w:t>
      </w:r>
      <w:r w:rsidRPr="00D8370A">
        <w:rPr>
          <w:rtl/>
        </w:rPr>
        <w:t xml:space="preserve"> </w:t>
      </w:r>
      <w:r w:rsidRPr="00D8370A">
        <w:rPr>
          <w:rFonts w:hint="eastAsia"/>
          <w:rtl/>
        </w:rPr>
        <w:t>ש</w:t>
      </w:r>
      <w:r w:rsidRPr="00D8370A">
        <w:rPr>
          <w:rtl/>
        </w:rPr>
        <w:t>"ח (</w:t>
      </w:r>
      <w:r>
        <w:rPr>
          <w:rFonts w:hint="cs"/>
          <w:rtl/>
        </w:rPr>
        <w:t>לבית שמש</w:t>
      </w:r>
      <w:r w:rsidRPr="00D8370A">
        <w:rPr>
          <w:rtl/>
        </w:rPr>
        <w:t>)</w:t>
      </w:r>
      <w:r>
        <w:rPr>
          <w:rFonts w:hint="cs"/>
          <w:rtl/>
        </w:rPr>
        <w:t>.</w:t>
      </w:r>
    </w:p>
    <w:p w14:paraId="5FF6866A" w14:textId="77777777" w:rsidR="000A4591" w:rsidRDefault="000A4591" w:rsidP="00ED0B3C">
      <w:pPr>
        <w:pStyle w:val="71f5"/>
        <w:ind w:right="284"/>
        <w:rPr>
          <w:rtl/>
        </w:rPr>
      </w:pPr>
      <w:r w:rsidRPr="00153479">
        <w:rPr>
          <w:rFonts w:hint="cs"/>
          <w:rtl/>
        </w:rPr>
        <w:t xml:space="preserve">בביקורת עלה גם שהתוכנית של משרד הפנים </w:t>
      </w:r>
      <w:r>
        <w:rPr>
          <w:rFonts w:hint="cs"/>
          <w:rtl/>
        </w:rPr>
        <w:t>ב</w:t>
      </w:r>
      <w:r w:rsidRPr="00153479">
        <w:rPr>
          <w:rFonts w:hint="cs"/>
          <w:rtl/>
        </w:rPr>
        <w:t xml:space="preserve">כל אחת מהשנים 2019 </w:t>
      </w:r>
      <w:r>
        <w:rPr>
          <w:rFonts w:hint="cs"/>
          <w:rtl/>
        </w:rPr>
        <w:t xml:space="preserve">ו-2020 </w:t>
      </w:r>
      <w:r w:rsidRPr="00153479">
        <w:rPr>
          <w:rFonts w:hint="cs"/>
          <w:rtl/>
        </w:rPr>
        <w:t>אושרה בסוף השנה (</w:t>
      </w:r>
      <w:r>
        <w:rPr>
          <w:rFonts w:hint="cs"/>
          <w:rtl/>
        </w:rPr>
        <w:t>בדצמבר</w:t>
      </w:r>
      <w:r w:rsidRPr="00153479">
        <w:rPr>
          <w:rFonts w:hint="cs"/>
          <w:rtl/>
        </w:rPr>
        <w:t xml:space="preserve"> </w:t>
      </w:r>
      <w:r>
        <w:rPr>
          <w:rFonts w:hint="cs"/>
          <w:rtl/>
        </w:rPr>
        <w:t xml:space="preserve">2019 </w:t>
      </w:r>
      <w:r w:rsidRPr="00153479">
        <w:rPr>
          <w:rFonts w:hint="cs"/>
          <w:rtl/>
        </w:rPr>
        <w:t>ו</w:t>
      </w:r>
      <w:r>
        <w:rPr>
          <w:rFonts w:hint="cs"/>
          <w:rtl/>
        </w:rPr>
        <w:t>ב</w:t>
      </w:r>
      <w:r w:rsidRPr="00153479">
        <w:rPr>
          <w:rFonts w:hint="cs"/>
          <w:rtl/>
        </w:rPr>
        <w:t>דצמבר</w:t>
      </w:r>
      <w:r>
        <w:rPr>
          <w:rFonts w:hint="cs"/>
          <w:rtl/>
        </w:rPr>
        <w:t xml:space="preserve"> 2020,</w:t>
      </w:r>
      <w:r w:rsidRPr="00153479">
        <w:rPr>
          <w:rFonts w:hint="cs"/>
          <w:rtl/>
        </w:rPr>
        <w:t xml:space="preserve"> בהתאמה), </w:t>
      </w:r>
      <w:r>
        <w:rPr>
          <w:rFonts w:hint="cs"/>
          <w:rtl/>
        </w:rPr>
        <w:t>ו</w:t>
      </w:r>
      <w:r w:rsidRPr="00153479">
        <w:rPr>
          <w:rFonts w:hint="cs"/>
          <w:rtl/>
        </w:rPr>
        <w:t xml:space="preserve">למעשה הרשויות המקומיות ידעו על </w:t>
      </w:r>
      <w:r>
        <w:rPr>
          <w:rFonts w:hint="cs"/>
          <w:rtl/>
        </w:rPr>
        <w:t>אישור התוכנית בדבר סכום</w:t>
      </w:r>
      <w:r w:rsidRPr="00153479">
        <w:rPr>
          <w:rFonts w:hint="cs"/>
          <w:rtl/>
        </w:rPr>
        <w:t xml:space="preserve"> המענקים והתנאים לקבל</w:t>
      </w:r>
      <w:r>
        <w:rPr>
          <w:rFonts w:hint="cs"/>
          <w:rtl/>
        </w:rPr>
        <w:t>ת</w:t>
      </w:r>
      <w:r w:rsidRPr="00153479">
        <w:rPr>
          <w:rFonts w:hint="cs"/>
          <w:rtl/>
        </w:rPr>
        <w:t xml:space="preserve">ם בתום השנה </w:t>
      </w:r>
      <w:r>
        <w:rPr>
          <w:rFonts w:hint="cs"/>
          <w:rtl/>
        </w:rPr>
        <w:t>שלאחר השנה שבעדה</w:t>
      </w:r>
      <w:r w:rsidRPr="00153479">
        <w:rPr>
          <w:rFonts w:hint="cs"/>
          <w:rtl/>
        </w:rPr>
        <w:t xml:space="preserve"> קיבלו את המענק. </w:t>
      </w:r>
      <w:r>
        <w:rPr>
          <w:rFonts w:hint="cs"/>
          <w:rtl/>
        </w:rPr>
        <w:t>יוצא אפוא ש</w:t>
      </w:r>
      <w:r w:rsidRPr="00153479">
        <w:rPr>
          <w:rFonts w:hint="cs"/>
          <w:rtl/>
        </w:rPr>
        <w:t xml:space="preserve">הרשויות </w:t>
      </w:r>
      <w:r>
        <w:rPr>
          <w:rFonts w:hint="cs"/>
          <w:rtl/>
        </w:rPr>
        <w:t xml:space="preserve">המקומיות </w:t>
      </w:r>
      <w:r w:rsidRPr="00153479">
        <w:rPr>
          <w:rFonts w:hint="cs"/>
          <w:rtl/>
        </w:rPr>
        <w:t>לא ידעו על</w:t>
      </w:r>
      <w:r>
        <w:rPr>
          <w:rFonts w:hint="cs"/>
          <w:rtl/>
        </w:rPr>
        <w:t xml:space="preserve"> התוכנית של משרד הפנים </w:t>
      </w:r>
      <w:r w:rsidRPr="001659B5">
        <w:rPr>
          <w:rFonts w:hint="cs"/>
          <w:rtl/>
        </w:rPr>
        <w:t>במועד הרלוונטי ל</w:t>
      </w:r>
      <w:r>
        <w:rPr>
          <w:rFonts w:hint="cs"/>
          <w:rtl/>
        </w:rPr>
        <w:t>הנפקת</w:t>
      </w:r>
      <w:r w:rsidRPr="001659B5">
        <w:rPr>
          <w:rFonts w:hint="cs"/>
          <w:rtl/>
        </w:rPr>
        <w:t xml:space="preserve"> ההיתרים </w:t>
      </w:r>
      <w:r>
        <w:rPr>
          <w:rFonts w:hint="cs"/>
          <w:rtl/>
        </w:rPr>
        <w:t>שבעדם</w:t>
      </w:r>
      <w:r w:rsidRPr="001659B5">
        <w:rPr>
          <w:rFonts w:hint="cs"/>
          <w:rtl/>
        </w:rPr>
        <w:t xml:space="preserve"> ניתנו המענקים, </w:t>
      </w:r>
      <w:r>
        <w:rPr>
          <w:rFonts w:hint="cs"/>
          <w:rtl/>
        </w:rPr>
        <w:t>ומכאן שלמעשה הם לא שימשו עבורן</w:t>
      </w:r>
      <w:r w:rsidRPr="001659B5">
        <w:rPr>
          <w:rFonts w:hint="cs"/>
          <w:rtl/>
        </w:rPr>
        <w:t xml:space="preserve"> תמריץ </w:t>
      </w:r>
      <w:r>
        <w:rPr>
          <w:rFonts w:hint="cs"/>
          <w:rtl/>
        </w:rPr>
        <w:t>להנפקת היתרי בנייה</w:t>
      </w:r>
      <w:r w:rsidRPr="001659B5">
        <w:rPr>
          <w:rFonts w:hint="cs"/>
          <w:rtl/>
        </w:rPr>
        <w:t>.</w:t>
      </w:r>
      <w:r>
        <w:t xml:space="preserve"> </w:t>
      </w:r>
    </w:p>
    <w:p w14:paraId="0C17E832" w14:textId="77777777" w:rsidR="000A4591" w:rsidRPr="00022D9A" w:rsidRDefault="000A4591" w:rsidP="00ED0B3C">
      <w:pPr>
        <w:pStyle w:val="7190"/>
        <w:rPr>
          <w:rtl/>
        </w:rPr>
      </w:pPr>
      <w:r w:rsidRPr="00263A61">
        <w:rPr>
          <w:rFonts w:hint="cs"/>
          <w:rtl/>
        </w:rPr>
        <w:t xml:space="preserve">משרד הפנים מסר בתשובתו למשרד מבקר המדינה מיולי 2021 כי </w:t>
      </w:r>
      <w:r w:rsidRPr="00263A61">
        <w:rPr>
          <w:rtl/>
        </w:rPr>
        <w:t>הער</w:t>
      </w:r>
      <w:r w:rsidRPr="00263A61">
        <w:rPr>
          <w:rFonts w:hint="cs"/>
          <w:rtl/>
        </w:rPr>
        <w:t>ת משרד מבקר המדינה</w:t>
      </w:r>
      <w:r w:rsidRPr="00263A61">
        <w:rPr>
          <w:rtl/>
        </w:rPr>
        <w:t xml:space="preserve"> </w:t>
      </w:r>
      <w:r w:rsidRPr="00263A61">
        <w:rPr>
          <w:rFonts w:hint="cs"/>
          <w:rtl/>
        </w:rPr>
        <w:t xml:space="preserve">ולפיה </w:t>
      </w:r>
      <w:r w:rsidRPr="00263A61">
        <w:rPr>
          <w:rtl/>
        </w:rPr>
        <w:t xml:space="preserve">הרשויות המקומיות ידעו על </w:t>
      </w:r>
      <w:r w:rsidRPr="00263A61">
        <w:rPr>
          <w:rFonts w:hint="cs"/>
          <w:rtl/>
        </w:rPr>
        <w:t>סכום</w:t>
      </w:r>
      <w:r w:rsidRPr="00263A61">
        <w:rPr>
          <w:rtl/>
        </w:rPr>
        <w:t xml:space="preserve"> המענקים והתנאים לקבלתם </w:t>
      </w:r>
      <w:r w:rsidRPr="00263A61">
        <w:rPr>
          <w:rFonts w:hint="cs"/>
          <w:rtl/>
        </w:rPr>
        <w:t xml:space="preserve">רק </w:t>
      </w:r>
      <w:r w:rsidRPr="00263A61">
        <w:rPr>
          <w:rtl/>
        </w:rPr>
        <w:t>בתום השנה שלאחר השנה שבעדה קיבלו את המענק</w:t>
      </w:r>
      <w:r w:rsidRPr="00263A61">
        <w:rPr>
          <w:rFonts w:hint="cs"/>
          <w:rtl/>
        </w:rPr>
        <w:t xml:space="preserve"> - היא </w:t>
      </w:r>
      <w:r w:rsidRPr="00263A61">
        <w:rPr>
          <w:rtl/>
        </w:rPr>
        <w:t>במקום</w:t>
      </w:r>
      <w:r w:rsidRPr="00263A61">
        <w:rPr>
          <w:rFonts w:hint="cs"/>
          <w:rtl/>
        </w:rPr>
        <w:t>,</w:t>
      </w:r>
      <w:r w:rsidRPr="00263A61">
        <w:rPr>
          <w:rtl/>
        </w:rPr>
        <w:t xml:space="preserve"> אך ה</w:t>
      </w:r>
      <w:r w:rsidRPr="00263A61">
        <w:rPr>
          <w:rFonts w:hint="cs"/>
          <w:rtl/>
        </w:rPr>
        <w:t xml:space="preserve">סיבה לכך הייתה </w:t>
      </w:r>
      <w:r w:rsidRPr="00263A61">
        <w:rPr>
          <w:rtl/>
        </w:rPr>
        <w:t>מועד אישור התקציב</w:t>
      </w:r>
      <w:r w:rsidRPr="00263A61">
        <w:rPr>
          <w:rFonts w:hint="cs"/>
          <w:rtl/>
        </w:rPr>
        <w:t xml:space="preserve"> בשנים אלה.</w:t>
      </w:r>
      <w:r w:rsidRPr="00263A61">
        <w:rPr>
          <w:rtl/>
        </w:rPr>
        <w:t xml:space="preserve"> </w:t>
      </w:r>
      <w:r w:rsidRPr="00263A61">
        <w:rPr>
          <w:rFonts w:hint="cs"/>
          <w:rtl/>
        </w:rPr>
        <w:t xml:space="preserve">עוד מסר משרד הפנים כי </w:t>
      </w:r>
      <w:r w:rsidRPr="00263A61">
        <w:rPr>
          <w:rtl/>
        </w:rPr>
        <w:t xml:space="preserve">נוסחת חישוב המענק המסתמכת על הגברת קצב הוצאת </w:t>
      </w:r>
      <w:r w:rsidRPr="00263A61">
        <w:rPr>
          <w:rFonts w:hint="cs"/>
          <w:rtl/>
        </w:rPr>
        <w:t>ה</w:t>
      </w:r>
      <w:r w:rsidRPr="00263A61">
        <w:rPr>
          <w:rtl/>
        </w:rPr>
        <w:t>היתרים ל</w:t>
      </w:r>
      <w:r w:rsidRPr="00263A61">
        <w:rPr>
          <w:rFonts w:hint="cs"/>
          <w:rtl/>
        </w:rPr>
        <w:t>עומת ה</w:t>
      </w:r>
      <w:r w:rsidRPr="00263A61">
        <w:rPr>
          <w:rtl/>
        </w:rPr>
        <w:t xml:space="preserve">שנים </w:t>
      </w:r>
      <w:r w:rsidRPr="00263A61">
        <w:rPr>
          <w:rFonts w:hint="cs"/>
          <w:rtl/>
        </w:rPr>
        <w:t>ה</w:t>
      </w:r>
      <w:r w:rsidRPr="00263A61">
        <w:rPr>
          <w:rtl/>
        </w:rPr>
        <w:t xml:space="preserve">קודמות מקפחת רשויות שקצב הוצאת </w:t>
      </w:r>
      <w:r w:rsidRPr="00263A61">
        <w:rPr>
          <w:rFonts w:hint="cs"/>
          <w:rtl/>
        </w:rPr>
        <w:t>ה</w:t>
      </w:r>
      <w:r w:rsidRPr="00263A61">
        <w:rPr>
          <w:rtl/>
        </w:rPr>
        <w:t xml:space="preserve">היתרים </w:t>
      </w:r>
      <w:r w:rsidRPr="00263A61">
        <w:rPr>
          <w:rFonts w:hint="cs"/>
          <w:rtl/>
        </w:rPr>
        <w:t xml:space="preserve">אצלן </w:t>
      </w:r>
      <w:r w:rsidRPr="00263A61">
        <w:rPr>
          <w:rtl/>
        </w:rPr>
        <w:t>גבוה</w:t>
      </w:r>
      <w:r w:rsidRPr="00263A61">
        <w:rPr>
          <w:rFonts w:hint="cs"/>
          <w:rtl/>
        </w:rPr>
        <w:t>,</w:t>
      </w:r>
      <w:r w:rsidRPr="00263A61">
        <w:rPr>
          <w:rtl/>
        </w:rPr>
        <w:t xml:space="preserve"> מאחר </w:t>
      </w:r>
      <w:r w:rsidRPr="00263A61">
        <w:rPr>
          <w:rFonts w:hint="cs"/>
          <w:rtl/>
        </w:rPr>
        <w:t xml:space="preserve">שלצורך קביעת סכום המענק </w:t>
      </w:r>
      <w:r w:rsidRPr="00263A61">
        <w:rPr>
          <w:rtl/>
        </w:rPr>
        <w:t xml:space="preserve">ההשוואה </w:t>
      </w:r>
      <w:r w:rsidRPr="00263A61">
        <w:rPr>
          <w:rFonts w:hint="cs"/>
          <w:rtl/>
        </w:rPr>
        <w:t xml:space="preserve">היא </w:t>
      </w:r>
      <w:r w:rsidRPr="00263A61">
        <w:rPr>
          <w:rtl/>
        </w:rPr>
        <w:t xml:space="preserve">לקצב הוצאת ההיתרים </w:t>
      </w:r>
      <w:r w:rsidRPr="00263A61">
        <w:rPr>
          <w:rFonts w:hint="cs"/>
          <w:rtl/>
        </w:rPr>
        <w:t>ב</w:t>
      </w:r>
      <w:r w:rsidRPr="00263A61">
        <w:rPr>
          <w:rtl/>
        </w:rPr>
        <w:t xml:space="preserve">שנים </w:t>
      </w:r>
      <w:r w:rsidRPr="00263A61">
        <w:rPr>
          <w:rFonts w:hint="cs"/>
          <w:rtl/>
        </w:rPr>
        <w:t>הקודמות</w:t>
      </w:r>
      <w:r w:rsidRPr="00263A61">
        <w:rPr>
          <w:rtl/>
        </w:rPr>
        <w:t xml:space="preserve">, ומאחר </w:t>
      </w:r>
      <w:r w:rsidRPr="00263A61">
        <w:rPr>
          <w:rFonts w:hint="cs"/>
          <w:rtl/>
        </w:rPr>
        <w:t>ש</w:t>
      </w:r>
      <w:r w:rsidRPr="00263A61">
        <w:rPr>
          <w:rtl/>
        </w:rPr>
        <w:t xml:space="preserve">הוא כבר </w:t>
      </w:r>
      <w:r w:rsidRPr="00263A61">
        <w:rPr>
          <w:rFonts w:hint="cs"/>
          <w:rtl/>
        </w:rPr>
        <w:t>היה</w:t>
      </w:r>
      <w:r w:rsidRPr="00263A61">
        <w:rPr>
          <w:rtl/>
        </w:rPr>
        <w:t xml:space="preserve"> גבוה, ה</w:t>
      </w:r>
      <w:r w:rsidRPr="00263A61">
        <w:rPr>
          <w:rFonts w:hint="cs"/>
          <w:rtl/>
        </w:rPr>
        <w:t>מענק</w:t>
      </w:r>
      <w:r w:rsidRPr="00263A61">
        <w:rPr>
          <w:rtl/>
        </w:rPr>
        <w:t xml:space="preserve"> </w:t>
      </w:r>
      <w:r w:rsidRPr="00263A61">
        <w:rPr>
          <w:rFonts w:hint="cs"/>
          <w:rtl/>
        </w:rPr>
        <w:t>יהיה נמוך יותר</w:t>
      </w:r>
      <w:r w:rsidRPr="00263A61">
        <w:rPr>
          <w:rtl/>
        </w:rPr>
        <w:t>.</w:t>
      </w:r>
      <w:r w:rsidRPr="00263A61">
        <w:rPr>
          <w:rFonts w:hint="cs"/>
          <w:rtl/>
        </w:rPr>
        <w:t xml:space="preserve"> משרד הפנים הוסיף ש</w:t>
      </w:r>
      <w:r w:rsidRPr="00263A61">
        <w:rPr>
          <w:rtl/>
        </w:rPr>
        <w:t xml:space="preserve">מענקים </w:t>
      </w:r>
      <w:r w:rsidRPr="00263A61">
        <w:rPr>
          <w:rFonts w:hint="cs"/>
          <w:rtl/>
        </w:rPr>
        <w:t xml:space="preserve">בעלי אופי </w:t>
      </w:r>
      <w:r w:rsidRPr="00263A61">
        <w:rPr>
          <w:rtl/>
        </w:rPr>
        <w:t>חד</w:t>
      </w:r>
      <w:r w:rsidRPr="00263A61">
        <w:rPr>
          <w:rFonts w:hint="cs"/>
          <w:rtl/>
        </w:rPr>
        <w:t>-</w:t>
      </w:r>
      <w:r w:rsidRPr="00263A61">
        <w:rPr>
          <w:rtl/>
        </w:rPr>
        <w:t>פעמי לתמרוץ הוצאת היתרי בני</w:t>
      </w:r>
      <w:r w:rsidRPr="00263A61">
        <w:rPr>
          <w:rFonts w:hint="cs"/>
          <w:rtl/>
        </w:rPr>
        <w:t>י</w:t>
      </w:r>
      <w:r w:rsidRPr="00263A61">
        <w:rPr>
          <w:rtl/>
        </w:rPr>
        <w:t xml:space="preserve">ה </w:t>
      </w:r>
      <w:r w:rsidRPr="00263A61">
        <w:rPr>
          <w:rFonts w:hint="cs"/>
          <w:rtl/>
        </w:rPr>
        <w:t>אינם נותנים את המענה</w:t>
      </w:r>
      <w:r w:rsidRPr="00263A61">
        <w:rPr>
          <w:rtl/>
        </w:rPr>
        <w:t xml:space="preserve"> </w:t>
      </w:r>
      <w:r w:rsidRPr="00263A61">
        <w:rPr>
          <w:rFonts w:hint="cs"/>
          <w:rtl/>
        </w:rPr>
        <w:t>ה</w:t>
      </w:r>
      <w:r w:rsidRPr="00263A61">
        <w:rPr>
          <w:rtl/>
        </w:rPr>
        <w:t xml:space="preserve">מלא לפערים </w:t>
      </w:r>
      <w:r w:rsidRPr="00263A61">
        <w:rPr>
          <w:rFonts w:hint="cs"/>
          <w:rtl/>
        </w:rPr>
        <w:t xml:space="preserve">הנוצרים במצב הכספי של הרשויות </w:t>
      </w:r>
      <w:r w:rsidRPr="00263A61">
        <w:rPr>
          <w:rtl/>
        </w:rPr>
        <w:t xml:space="preserve">נוכח קצב </w:t>
      </w:r>
      <w:r w:rsidRPr="00263A61">
        <w:rPr>
          <w:rFonts w:hint="cs"/>
          <w:rtl/>
        </w:rPr>
        <w:t>שאינו מספק</w:t>
      </w:r>
      <w:r w:rsidRPr="00263A61">
        <w:rPr>
          <w:rtl/>
        </w:rPr>
        <w:t xml:space="preserve"> </w:t>
      </w:r>
      <w:r w:rsidRPr="00263A61">
        <w:rPr>
          <w:rFonts w:hint="cs"/>
          <w:rtl/>
        </w:rPr>
        <w:t>ל</w:t>
      </w:r>
      <w:r w:rsidRPr="00263A61">
        <w:rPr>
          <w:rtl/>
        </w:rPr>
        <w:t>מימוש שטחים לתעסוקה</w:t>
      </w:r>
      <w:r w:rsidRPr="00263A61">
        <w:rPr>
          <w:rFonts w:hint="cs"/>
          <w:rtl/>
        </w:rPr>
        <w:t>.</w:t>
      </w:r>
    </w:p>
    <w:p w14:paraId="30973A2E" w14:textId="77777777" w:rsidR="000A4591" w:rsidRDefault="000A4591" w:rsidP="00ED0B3C">
      <w:pPr>
        <w:pStyle w:val="71f5"/>
        <w:rPr>
          <w:rtl/>
        </w:rPr>
      </w:pPr>
      <w:r w:rsidRPr="0022629D">
        <w:rPr>
          <w:rFonts w:hint="cs"/>
          <w:rtl/>
        </w:rPr>
        <w:t xml:space="preserve">מומלץ כי </w:t>
      </w:r>
      <w:r>
        <w:rPr>
          <w:rFonts w:hint="cs"/>
          <w:rtl/>
        </w:rPr>
        <w:t xml:space="preserve">אם </w:t>
      </w:r>
      <w:r w:rsidRPr="0022629D">
        <w:rPr>
          <w:rFonts w:hint="cs"/>
          <w:rtl/>
        </w:rPr>
        <w:t>משרד</w:t>
      </w:r>
      <w:r>
        <w:rPr>
          <w:rFonts w:hint="cs"/>
          <w:rtl/>
        </w:rPr>
        <w:t>י</w:t>
      </w:r>
      <w:r w:rsidRPr="0022629D">
        <w:rPr>
          <w:rFonts w:hint="cs"/>
          <w:rtl/>
        </w:rPr>
        <w:t xml:space="preserve"> הפנים</w:t>
      </w:r>
      <w:r>
        <w:rPr>
          <w:rFonts w:hint="cs"/>
          <w:rtl/>
        </w:rPr>
        <w:t xml:space="preserve"> והאוצר</w:t>
      </w:r>
      <w:r w:rsidRPr="0022629D">
        <w:rPr>
          <w:rFonts w:hint="cs"/>
          <w:rtl/>
        </w:rPr>
        <w:t xml:space="preserve"> </w:t>
      </w:r>
      <w:r>
        <w:rPr>
          <w:rFonts w:hint="cs"/>
          <w:rtl/>
        </w:rPr>
        <w:t xml:space="preserve">יחליטו להמשיך לחלק מענקים לרשויות המקומיות לצורך תמרוץ הנפקת היתרי בנייה, הם </w:t>
      </w:r>
      <w:r w:rsidRPr="0022629D">
        <w:rPr>
          <w:rFonts w:hint="cs"/>
          <w:rtl/>
        </w:rPr>
        <w:t>יבח</w:t>
      </w:r>
      <w:r>
        <w:rPr>
          <w:rFonts w:hint="cs"/>
          <w:rtl/>
        </w:rPr>
        <w:t>נו</w:t>
      </w:r>
      <w:r w:rsidRPr="0022629D">
        <w:rPr>
          <w:rFonts w:hint="cs"/>
          <w:rtl/>
        </w:rPr>
        <w:t xml:space="preserve"> את </w:t>
      </w:r>
      <w:r>
        <w:rPr>
          <w:rFonts w:hint="cs"/>
          <w:rtl/>
        </w:rPr>
        <w:t>ה</w:t>
      </w:r>
      <w:r w:rsidRPr="0022629D">
        <w:rPr>
          <w:rFonts w:hint="cs"/>
          <w:rtl/>
        </w:rPr>
        <w:t xml:space="preserve">תנאים </w:t>
      </w:r>
      <w:r>
        <w:rPr>
          <w:rFonts w:hint="cs"/>
          <w:rtl/>
        </w:rPr>
        <w:t>לקבלתם ויקדימו את מועד פרסומם, באופן שמענקים אלה ישמשו עבור הרשויות המקומיות תמריץ להנפקת היתרי בנייה</w:t>
      </w:r>
      <w:r w:rsidRPr="0022629D">
        <w:rPr>
          <w:rFonts w:hint="cs"/>
          <w:rtl/>
        </w:rPr>
        <w:t>.</w:t>
      </w:r>
      <w:r>
        <w:rPr>
          <w:rFonts w:hint="cs"/>
          <w:rtl/>
        </w:rPr>
        <w:t xml:space="preserve"> זאת </w:t>
      </w:r>
      <w:r w:rsidRPr="001659B5">
        <w:rPr>
          <w:rFonts w:hint="cs"/>
          <w:rtl/>
        </w:rPr>
        <w:t xml:space="preserve">בפרט נוכח </w:t>
      </w:r>
      <w:r>
        <w:rPr>
          <w:rFonts w:hint="cs"/>
          <w:rtl/>
        </w:rPr>
        <w:t>הממצאים על מספר</w:t>
      </w:r>
      <w:r w:rsidRPr="001659B5">
        <w:rPr>
          <w:rFonts w:hint="cs"/>
          <w:rtl/>
        </w:rPr>
        <w:t xml:space="preserve"> היתרי הבנייה</w:t>
      </w:r>
      <w:r>
        <w:rPr>
          <w:rFonts w:hint="cs"/>
          <w:rtl/>
        </w:rPr>
        <w:t xml:space="preserve"> שמנפיקות הרשויות ועל הזמן הנדרש להן להפקת ההיתרים</w:t>
      </w:r>
      <w:r w:rsidRPr="001659B5">
        <w:rPr>
          <w:rFonts w:hint="cs"/>
          <w:rtl/>
        </w:rPr>
        <w:t>, כמפורט לעיל.</w:t>
      </w:r>
    </w:p>
    <w:p w14:paraId="6E506E16" w14:textId="47DDD569" w:rsidR="000A4591" w:rsidRDefault="000A4591" w:rsidP="00ED0B3C">
      <w:pPr>
        <w:pStyle w:val="7190"/>
        <w:rPr>
          <w:rtl/>
        </w:rPr>
      </w:pPr>
      <w:r w:rsidRPr="00263A61">
        <w:rPr>
          <w:rFonts w:hint="cs"/>
          <w:rtl/>
        </w:rPr>
        <w:t>אגף תקציבים מסר בתשובתו כי בחינה כאמור התקיימה במועד מתן התשובה (יולי 2021).</w:t>
      </w:r>
    </w:p>
    <w:p w14:paraId="245105AC" w14:textId="77777777" w:rsidR="00ED0B3C" w:rsidRPr="00DB0510" w:rsidRDefault="00ED0B3C" w:rsidP="00ED0B3C">
      <w:pPr>
        <w:pStyle w:val="7190"/>
        <w:rPr>
          <w:rtl/>
        </w:rPr>
      </w:pPr>
    </w:p>
    <w:p w14:paraId="6920E59D" w14:textId="77777777" w:rsidR="003B317B" w:rsidRDefault="003B317B">
      <w:pPr>
        <w:bidi w:val="0"/>
        <w:spacing w:after="200" w:line="276" w:lineRule="auto"/>
        <w:rPr>
          <w:rFonts w:ascii="Tahoma" w:hAnsi="Tahoma" w:cs="Tahoma"/>
          <w:b/>
          <w:bCs/>
          <w:color w:val="00305F"/>
          <w:sz w:val="40"/>
          <w:szCs w:val="34"/>
          <w:rtl/>
        </w:rPr>
      </w:pPr>
      <w:r>
        <w:rPr>
          <w:rtl/>
        </w:rPr>
        <w:br w:type="page"/>
      </w:r>
    </w:p>
    <w:p w14:paraId="1E9C3D1A" w14:textId="2E1EA807" w:rsidR="000A4591" w:rsidRDefault="000A4591" w:rsidP="00ED0B3C">
      <w:pPr>
        <w:pStyle w:val="7120"/>
      </w:pPr>
      <w:r>
        <w:rPr>
          <w:rFonts w:hint="cs"/>
          <w:rtl/>
        </w:rPr>
        <w:lastRenderedPageBreak/>
        <w:t xml:space="preserve">מנגנונים להפחתת עלויות הפיתוח </w:t>
      </w:r>
    </w:p>
    <w:p w14:paraId="4E002F70" w14:textId="77777777" w:rsidR="000A4591" w:rsidRDefault="000A4591" w:rsidP="00FA429E">
      <w:pPr>
        <w:pStyle w:val="7190"/>
        <w:rPr>
          <w:rtl/>
        </w:rPr>
      </w:pPr>
      <w:r w:rsidRPr="001B720E">
        <w:rPr>
          <w:rFonts w:hint="cs"/>
          <w:rtl/>
        </w:rPr>
        <w:t>בהחלטה על הסכמי הגג קבעה הממשלה כי</w:t>
      </w:r>
      <w:r w:rsidRPr="00A6578C">
        <w:rPr>
          <w:rFonts w:hint="cs"/>
          <w:rtl/>
        </w:rPr>
        <w:t xml:space="preserve"> </w:t>
      </w:r>
      <w:r>
        <w:rPr>
          <w:rFonts w:hint="cs"/>
          <w:rtl/>
        </w:rPr>
        <w:t xml:space="preserve">רמ"י </w:t>
      </w:r>
      <w:r w:rsidRPr="00A664D9">
        <w:rPr>
          <w:rtl/>
        </w:rPr>
        <w:t>או משרד הבינוי, לפי</w:t>
      </w:r>
      <w:r>
        <w:rPr>
          <w:rtl/>
        </w:rPr>
        <w:t xml:space="preserve"> העניין</w:t>
      </w:r>
      <w:r>
        <w:rPr>
          <w:rFonts w:hint="cs"/>
          <w:rtl/>
        </w:rPr>
        <w:t>, הם שיבצעו בקרה ופיקוח על ה</w:t>
      </w:r>
      <w:r w:rsidRPr="00A664D9">
        <w:rPr>
          <w:rtl/>
        </w:rPr>
        <w:t>ביצוע ו</w:t>
      </w:r>
      <w:r>
        <w:rPr>
          <w:rFonts w:hint="cs"/>
          <w:rtl/>
        </w:rPr>
        <w:t>ה</w:t>
      </w:r>
      <w:r w:rsidRPr="00A664D9">
        <w:rPr>
          <w:rtl/>
        </w:rPr>
        <w:t>יישום</w:t>
      </w:r>
      <w:r>
        <w:rPr>
          <w:rFonts w:hint="cs"/>
          <w:rtl/>
        </w:rPr>
        <w:t xml:space="preserve"> של</w:t>
      </w:r>
      <w:r w:rsidRPr="00A664D9">
        <w:rPr>
          <w:rtl/>
        </w:rPr>
        <w:t xml:space="preserve"> ההסכמים</w:t>
      </w:r>
      <w:r>
        <w:rPr>
          <w:rFonts w:hint="cs"/>
          <w:rtl/>
        </w:rPr>
        <w:t>.</w:t>
      </w:r>
    </w:p>
    <w:p w14:paraId="4C61525F" w14:textId="77777777" w:rsidR="000A4591" w:rsidRDefault="000A4591" w:rsidP="00FA429E">
      <w:pPr>
        <w:pStyle w:val="7190"/>
        <w:rPr>
          <w:rtl/>
        </w:rPr>
      </w:pPr>
      <w:r>
        <w:rPr>
          <w:rFonts w:hint="cs"/>
          <w:rtl/>
        </w:rPr>
        <w:t>במקרים שבהם הרשות המקומית מפתחת את הקרקע עומדים לרשותה שני מנגנונים להפחתת עלויות הפיתוח של הפרויקטים במסגרת הסכמי הגג עוד בשלב התכנון המפורט וקודם לביצוע העבודות -</w:t>
      </w:r>
      <w:r>
        <w:t xml:space="preserve"> </w:t>
      </w:r>
      <w:r>
        <w:rPr>
          <w:rFonts w:hint="cs"/>
          <w:rtl/>
        </w:rPr>
        <w:t xml:space="preserve">מנגנון בקרה ומנגנון מכרזי. </w:t>
      </w:r>
    </w:p>
    <w:p w14:paraId="7859B7AD" w14:textId="77777777" w:rsidR="000A4591" w:rsidRPr="00FA429E" w:rsidRDefault="000A4591" w:rsidP="00FA429E">
      <w:pPr>
        <w:pStyle w:val="7170"/>
        <w:bidi/>
        <w:rPr>
          <w:rtl/>
        </w:rPr>
      </w:pPr>
      <w:r w:rsidRPr="00FA429E">
        <w:rPr>
          <w:rStyle w:val="719"/>
          <w:rFonts w:eastAsiaTheme="minorHAnsi" w:hint="cs"/>
          <w:bCs/>
          <w:spacing w:val="0"/>
          <w:rtl/>
        </w:rPr>
        <w:t>בקרה על התכנון המפורט לפיתוח הקרקע</w:t>
      </w:r>
    </w:p>
    <w:p w14:paraId="24E85D6A" w14:textId="73AF4533" w:rsidR="000A4591" w:rsidRDefault="000A4591" w:rsidP="00E5686B">
      <w:pPr>
        <w:pStyle w:val="7190"/>
        <w:rPr>
          <w:rtl/>
        </w:rPr>
      </w:pPr>
      <w:r w:rsidRPr="00E534F4">
        <w:rPr>
          <w:rFonts w:hint="cs"/>
          <w:rtl/>
        </w:rPr>
        <w:t>בשלב</w:t>
      </w:r>
      <w:r>
        <w:rPr>
          <w:rFonts w:hint="cs"/>
          <w:rtl/>
        </w:rPr>
        <w:t xml:space="preserve"> הראשון מבצעת הרשות המקומית תכנון מפורט לפיתוח הקרקע הכולל את הפן ההנדסי של הפיתוח וכן אומדן של עלויות הפיתוח. התכנון המפורט מועבר לבדיקה של רמ"י או משרד הבינוי, לפי העניין, הנעזרים לשם כך בחברות בקרה במיקור חוץ. הבדיקה מתבצעת תוך שיתוף של הרשות המקומית, ובמסגרתה נבדקים ההיבטים ההנדסיים והכספיים של התכנון, ולעיתים קרובות בשלב זה מבוצע שינוי בתכנון שהציעה הרשות המקומית בשני ההיבטים. לאחר </w:t>
      </w:r>
      <w:r w:rsidRPr="0039075D">
        <w:rPr>
          <w:rFonts w:hint="cs"/>
          <w:rtl/>
        </w:rPr>
        <w:t xml:space="preserve">הבדיקה ומתן האישור לתכנון המפורט ע"י רמ"י או משרד הבינוי מועבר התכנון </w:t>
      </w:r>
      <w:r>
        <w:rPr>
          <w:rFonts w:hint="cs"/>
          <w:rtl/>
        </w:rPr>
        <w:t>ל</w:t>
      </w:r>
      <w:r w:rsidRPr="0039075D">
        <w:rPr>
          <w:rFonts w:hint="cs"/>
          <w:rtl/>
        </w:rPr>
        <w:t>וות"פ</w:t>
      </w:r>
      <w:r>
        <w:rPr>
          <w:rStyle w:val="a9"/>
          <w:rtl/>
        </w:rPr>
        <w:footnoteReference w:id="112"/>
      </w:r>
      <w:r w:rsidRPr="0039075D">
        <w:rPr>
          <w:rFonts w:hint="cs"/>
          <w:rtl/>
        </w:rPr>
        <w:t xml:space="preserve">, </w:t>
      </w:r>
      <w:r>
        <w:rPr>
          <w:rFonts w:hint="cs"/>
          <w:rtl/>
        </w:rPr>
        <w:t xml:space="preserve">כדי </w:t>
      </w:r>
      <w:r w:rsidR="00883D47" w:rsidRPr="00883D47">
        <w:rPr>
          <w:rtl/>
        </w:rPr>
        <w:t>שתבחן</w:t>
      </w:r>
      <w:r>
        <w:rPr>
          <w:rFonts w:hint="cs"/>
          <w:rtl/>
        </w:rPr>
        <w:t xml:space="preserve"> אם לאשרו, ואם מתקבל האישור יכולה הרשות המקומית להתחיל בפיתוח הקרקע. </w:t>
      </w:r>
    </w:p>
    <w:p w14:paraId="1CC6FB7B" w14:textId="5C2FDD43" w:rsidR="000A4591" w:rsidRDefault="000A4591" w:rsidP="00E5686B">
      <w:pPr>
        <w:pStyle w:val="7190"/>
        <w:rPr>
          <w:rtl/>
        </w:rPr>
      </w:pPr>
      <w:r>
        <w:rPr>
          <w:rFonts w:hint="cs"/>
          <w:rtl/>
        </w:rPr>
        <w:t xml:space="preserve">משרד מבקר המדינה בדק אם הופחתו עלויות הפיתוח לעומת אומדן עלויות הפיתוח שחושב במסגרת הבקרה בשבעה פרויקטים </w:t>
      </w:r>
      <w:r w:rsidRPr="007671C3">
        <w:rPr>
          <w:rFonts w:hint="cs"/>
          <w:rtl/>
        </w:rPr>
        <w:t>שביצעה רמ"י באמצעות חברת הבקרה מטעמה</w:t>
      </w:r>
      <w:r>
        <w:rPr>
          <w:rFonts w:hint="cs"/>
          <w:rtl/>
        </w:rPr>
        <w:t>. להלן בלוח 4 יפורט אומדן העלויות שהגישו הרשויות לעומת האומדן שאושר בוות"פ לאחר ביצוע הבקרה וההפחתה שבוצעה בעקבות כך:</w:t>
      </w:r>
    </w:p>
    <w:p w14:paraId="33484B27" w14:textId="77777777" w:rsidR="003B317B" w:rsidRDefault="003B317B" w:rsidP="00E5686B">
      <w:pPr>
        <w:pStyle w:val="7190"/>
        <w:rPr>
          <w:rtl/>
        </w:rPr>
      </w:pPr>
    </w:p>
    <w:p w14:paraId="5A23619E" w14:textId="77777777" w:rsidR="000A4591" w:rsidRDefault="000A4591" w:rsidP="00E5686B">
      <w:pPr>
        <w:pStyle w:val="71b"/>
        <w:rPr>
          <w:rtl/>
        </w:rPr>
      </w:pPr>
      <w:r w:rsidRPr="00E5686B">
        <w:rPr>
          <w:rFonts w:hint="cs"/>
          <w:b w:val="0"/>
          <w:bCs w:val="0"/>
          <w:rtl/>
        </w:rPr>
        <w:lastRenderedPageBreak/>
        <w:t>לוח 4:</w:t>
      </w:r>
      <w:r w:rsidRPr="003A23E4">
        <w:rPr>
          <w:rFonts w:hint="cs"/>
          <w:rtl/>
        </w:rPr>
        <w:t xml:space="preserve"> בקרה על אומדן עלויות פיתוח</w:t>
      </w:r>
      <w:r>
        <w:rPr>
          <w:rFonts w:hint="cs"/>
          <w:rtl/>
        </w:rPr>
        <w:t xml:space="preserve"> -</w:t>
      </w:r>
      <w:r w:rsidRPr="003A23E4">
        <w:rPr>
          <w:rFonts w:hint="cs"/>
          <w:rtl/>
        </w:rPr>
        <w:t xml:space="preserve"> </w:t>
      </w:r>
      <w:r>
        <w:rPr>
          <w:rFonts w:hint="cs"/>
          <w:rtl/>
        </w:rPr>
        <w:t>ה</w:t>
      </w:r>
      <w:r w:rsidRPr="003A23E4">
        <w:rPr>
          <w:rFonts w:hint="cs"/>
          <w:rtl/>
        </w:rPr>
        <w:t xml:space="preserve">סכום </w:t>
      </w:r>
      <w:r>
        <w:rPr>
          <w:rFonts w:hint="cs"/>
          <w:rtl/>
        </w:rPr>
        <w:t xml:space="preserve">שהגישו הרשויות </w:t>
      </w:r>
      <w:r w:rsidRPr="003A23E4">
        <w:rPr>
          <w:rFonts w:hint="cs"/>
          <w:rtl/>
        </w:rPr>
        <w:t xml:space="preserve">לעומת </w:t>
      </w:r>
      <w:r>
        <w:rPr>
          <w:rFonts w:hint="cs"/>
          <w:rtl/>
        </w:rPr>
        <w:t>הסכום שאישרה הוות"פ</w:t>
      </w:r>
    </w:p>
    <w:tbl>
      <w:tblPr>
        <w:bidiVisual/>
        <w:tblW w:w="7511" w:type="dxa"/>
        <w:tblInd w:w="601" w:type="dxa"/>
        <w:tblBorders>
          <w:left w:val="single" w:sz="4" w:space="0" w:color="auto"/>
          <w:right w:val="single" w:sz="4" w:space="0" w:color="auto"/>
          <w:insideV w:val="single" w:sz="4" w:space="0" w:color="auto"/>
        </w:tblBorders>
        <w:tblLook w:val="04A0" w:firstRow="1" w:lastRow="0" w:firstColumn="1" w:lastColumn="0" w:noHBand="0" w:noVBand="1"/>
      </w:tblPr>
      <w:tblGrid>
        <w:gridCol w:w="1002"/>
        <w:gridCol w:w="1559"/>
        <w:gridCol w:w="1134"/>
        <w:gridCol w:w="983"/>
        <w:gridCol w:w="947"/>
        <w:gridCol w:w="943"/>
        <w:gridCol w:w="943"/>
      </w:tblGrid>
      <w:tr w:rsidR="00BC0BC4" w:rsidRPr="00E5686B" w14:paraId="292253D3" w14:textId="77777777" w:rsidTr="00033418">
        <w:trPr>
          <w:trHeight w:val="1785"/>
          <w:tblHeader/>
        </w:trPr>
        <w:tc>
          <w:tcPr>
            <w:tcW w:w="1002" w:type="dxa"/>
            <w:tcBorders>
              <w:bottom w:val="nil"/>
            </w:tcBorders>
            <w:shd w:val="clear" w:color="auto" w:fill="C6DCE4"/>
            <w:hideMark/>
          </w:tcPr>
          <w:p w14:paraId="27ECECBF" w14:textId="77777777" w:rsidR="000A4591" w:rsidRPr="00E5686B" w:rsidRDefault="000A4591" w:rsidP="00E5686B">
            <w:pPr>
              <w:pStyle w:val="71R"/>
              <w:rPr>
                <w:rFonts w:eastAsia="Times New Roman"/>
                <w:b/>
                <w:bCs/>
              </w:rPr>
            </w:pPr>
            <w:r w:rsidRPr="00E5686B">
              <w:rPr>
                <w:rFonts w:eastAsia="Times New Roman" w:hint="cs"/>
                <w:b/>
                <w:bCs/>
                <w:rtl/>
              </w:rPr>
              <w:t>הרשות המקומית</w:t>
            </w:r>
          </w:p>
        </w:tc>
        <w:tc>
          <w:tcPr>
            <w:tcW w:w="1559" w:type="dxa"/>
            <w:tcBorders>
              <w:bottom w:val="nil"/>
            </w:tcBorders>
            <w:shd w:val="clear" w:color="auto" w:fill="C6DCE4"/>
            <w:hideMark/>
          </w:tcPr>
          <w:p w14:paraId="4743159B" w14:textId="77777777" w:rsidR="000A4591" w:rsidRPr="00E5686B" w:rsidRDefault="000A4591" w:rsidP="00E5686B">
            <w:pPr>
              <w:pStyle w:val="71R"/>
              <w:rPr>
                <w:rFonts w:eastAsia="Times New Roman"/>
                <w:b/>
                <w:bCs/>
                <w:rtl/>
              </w:rPr>
            </w:pPr>
            <w:r w:rsidRPr="00E5686B">
              <w:rPr>
                <w:rFonts w:eastAsia="Times New Roman" w:hint="eastAsia"/>
                <w:b/>
                <w:bCs/>
                <w:rtl/>
              </w:rPr>
              <w:t>שם</w:t>
            </w:r>
            <w:r w:rsidRPr="00E5686B">
              <w:rPr>
                <w:rFonts w:eastAsia="Times New Roman"/>
                <w:b/>
                <w:bCs/>
                <w:rtl/>
              </w:rPr>
              <w:t xml:space="preserve"> </w:t>
            </w:r>
            <w:r w:rsidRPr="00E5686B">
              <w:rPr>
                <w:rFonts w:eastAsia="Times New Roman" w:hint="eastAsia"/>
                <w:b/>
                <w:bCs/>
                <w:rtl/>
              </w:rPr>
              <w:t>הפרויקט</w:t>
            </w:r>
          </w:p>
        </w:tc>
        <w:tc>
          <w:tcPr>
            <w:tcW w:w="1134" w:type="dxa"/>
            <w:tcBorders>
              <w:bottom w:val="nil"/>
            </w:tcBorders>
            <w:shd w:val="clear" w:color="auto" w:fill="C6DCE4"/>
            <w:hideMark/>
          </w:tcPr>
          <w:p w14:paraId="73A0BA51" w14:textId="77777777" w:rsidR="000A4591" w:rsidRPr="00E5686B" w:rsidRDefault="000A4591" w:rsidP="00E5686B">
            <w:pPr>
              <w:pStyle w:val="71R"/>
              <w:rPr>
                <w:rFonts w:eastAsia="Times New Roman"/>
                <w:b/>
                <w:bCs/>
                <w:rtl/>
              </w:rPr>
            </w:pPr>
            <w:r w:rsidRPr="00E5686B">
              <w:rPr>
                <w:rFonts w:eastAsia="Times New Roman" w:hint="eastAsia"/>
                <w:b/>
                <w:bCs/>
                <w:rtl/>
              </w:rPr>
              <w:t>מועד</w:t>
            </w:r>
            <w:r w:rsidRPr="00E5686B">
              <w:rPr>
                <w:rFonts w:eastAsia="Times New Roman"/>
                <w:b/>
                <w:bCs/>
                <w:rtl/>
              </w:rPr>
              <w:t xml:space="preserve"> אישור </w:t>
            </w:r>
            <w:r w:rsidRPr="00E5686B">
              <w:rPr>
                <w:rFonts w:eastAsia="Times New Roman" w:hint="eastAsia"/>
                <w:b/>
                <w:bCs/>
                <w:rtl/>
              </w:rPr>
              <w:t>הוות</w:t>
            </w:r>
            <w:r w:rsidRPr="00E5686B">
              <w:rPr>
                <w:rFonts w:eastAsia="Times New Roman"/>
                <w:b/>
                <w:bCs/>
                <w:rtl/>
              </w:rPr>
              <w:t>"פ</w:t>
            </w:r>
          </w:p>
        </w:tc>
        <w:tc>
          <w:tcPr>
            <w:tcW w:w="983" w:type="dxa"/>
            <w:tcBorders>
              <w:bottom w:val="nil"/>
            </w:tcBorders>
            <w:shd w:val="clear" w:color="auto" w:fill="C6DCE4"/>
            <w:hideMark/>
          </w:tcPr>
          <w:p w14:paraId="78189B8D" w14:textId="77777777" w:rsidR="000A4591" w:rsidRPr="00E5686B" w:rsidRDefault="000A4591" w:rsidP="00E5686B">
            <w:pPr>
              <w:pStyle w:val="71R"/>
              <w:rPr>
                <w:rFonts w:eastAsia="Times New Roman"/>
                <w:b/>
                <w:bCs/>
                <w:rtl/>
              </w:rPr>
            </w:pPr>
            <w:r w:rsidRPr="00E5686B">
              <w:rPr>
                <w:rFonts w:eastAsia="Times New Roman" w:hint="eastAsia"/>
                <w:b/>
                <w:bCs/>
                <w:rtl/>
              </w:rPr>
              <w:t>אומדן</w:t>
            </w:r>
            <w:r w:rsidRPr="00E5686B">
              <w:rPr>
                <w:rFonts w:eastAsia="Times New Roman"/>
                <w:b/>
                <w:bCs/>
                <w:rtl/>
              </w:rPr>
              <w:t xml:space="preserve"> </w:t>
            </w:r>
            <w:r w:rsidRPr="00E5686B">
              <w:rPr>
                <w:rFonts w:eastAsia="Times New Roman" w:hint="eastAsia"/>
                <w:b/>
                <w:bCs/>
                <w:rtl/>
              </w:rPr>
              <w:t>העלויות</w:t>
            </w:r>
            <w:r w:rsidRPr="00E5686B">
              <w:rPr>
                <w:rFonts w:eastAsia="Times New Roman"/>
                <w:b/>
                <w:bCs/>
                <w:rtl/>
              </w:rPr>
              <w:t xml:space="preserve"> </w:t>
            </w:r>
            <w:r w:rsidRPr="00E5686B">
              <w:rPr>
                <w:rFonts w:eastAsia="Times New Roman" w:hint="eastAsia"/>
                <w:b/>
                <w:bCs/>
                <w:rtl/>
              </w:rPr>
              <w:t>שהגישה</w:t>
            </w:r>
            <w:r w:rsidRPr="00E5686B">
              <w:rPr>
                <w:rFonts w:eastAsia="Times New Roman"/>
                <w:b/>
                <w:bCs/>
                <w:rtl/>
              </w:rPr>
              <w:t xml:space="preserve"> </w:t>
            </w:r>
            <w:r w:rsidRPr="00E5686B">
              <w:rPr>
                <w:rFonts w:eastAsia="Times New Roman" w:hint="eastAsia"/>
                <w:b/>
                <w:bCs/>
                <w:rtl/>
              </w:rPr>
              <w:t>הרשות</w:t>
            </w:r>
            <w:r w:rsidRPr="00E5686B">
              <w:rPr>
                <w:rFonts w:eastAsia="Times New Roman"/>
                <w:b/>
                <w:bCs/>
                <w:rtl/>
              </w:rPr>
              <w:t xml:space="preserve"> </w:t>
            </w:r>
            <w:r w:rsidRPr="00E5686B">
              <w:rPr>
                <w:rFonts w:eastAsia="Times New Roman" w:hint="eastAsia"/>
                <w:b/>
                <w:bCs/>
                <w:rtl/>
              </w:rPr>
              <w:t>המקומית</w:t>
            </w:r>
            <w:r w:rsidRPr="00E5686B">
              <w:rPr>
                <w:rFonts w:eastAsia="Times New Roman"/>
                <w:b/>
                <w:bCs/>
                <w:rtl/>
              </w:rPr>
              <w:t xml:space="preserve"> (במיליוני </w:t>
            </w:r>
            <w:r w:rsidRPr="00E5686B">
              <w:rPr>
                <w:rFonts w:eastAsia="Times New Roman" w:hint="eastAsia"/>
                <w:b/>
                <w:bCs/>
                <w:rtl/>
              </w:rPr>
              <w:t>ש</w:t>
            </w:r>
            <w:r w:rsidRPr="00E5686B">
              <w:rPr>
                <w:rFonts w:eastAsia="Times New Roman"/>
                <w:b/>
                <w:bCs/>
                <w:rtl/>
              </w:rPr>
              <w:t>"ח)</w:t>
            </w:r>
          </w:p>
        </w:tc>
        <w:tc>
          <w:tcPr>
            <w:tcW w:w="947" w:type="dxa"/>
            <w:tcBorders>
              <w:bottom w:val="nil"/>
            </w:tcBorders>
            <w:shd w:val="clear" w:color="auto" w:fill="C6DCE4"/>
            <w:hideMark/>
          </w:tcPr>
          <w:p w14:paraId="6314603D" w14:textId="77777777" w:rsidR="000A4591" w:rsidRPr="00E5686B" w:rsidRDefault="000A4591" w:rsidP="00E5686B">
            <w:pPr>
              <w:pStyle w:val="71R"/>
              <w:rPr>
                <w:rFonts w:eastAsia="Times New Roman"/>
                <w:b/>
                <w:bCs/>
                <w:rtl/>
              </w:rPr>
            </w:pPr>
            <w:r w:rsidRPr="00E5686B">
              <w:rPr>
                <w:rFonts w:eastAsia="Times New Roman" w:hint="eastAsia"/>
                <w:b/>
                <w:bCs/>
                <w:rtl/>
              </w:rPr>
              <w:t>אומדן</w:t>
            </w:r>
            <w:r w:rsidRPr="00E5686B">
              <w:rPr>
                <w:rFonts w:eastAsia="Times New Roman"/>
                <w:b/>
                <w:bCs/>
                <w:rtl/>
              </w:rPr>
              <w:t xml:space="preserve"> העלויות שאושר </w:t>
            </w:r>
            <w:r w:rsidRPr="00E5686B">
              <w:rPr>
                <w:rFonts w:eastAsia="Times New Roman" w:hint="eastAsia"/>
                <w:b/>
                <w:bCs/>
                <w:rtl/>
              </w:rPr>
              <w:t>בוות</w:t>
            </w:r>
            <w:r w:rsidRPr="00E5686B">
              <w:rPr>
                <w:rFonts w:eastAsia="Times New Roman"/>
                <w:b/>
                <w:bCs/>
                <w:rtl/>
              </w:rPr>
              <w:t>"פ (במיליוני ש"ח)</w:t>
            </w:r>
          </w:p>
        </w:tc>
        <w:tc>
          <w:tcPr>
            <w:tcW w:w="943" w:type="dxa"/>
            <w:tcBorders>
              <w:bottom w:val="nil"/>
            </w:tcBorders>
            <w:shd w:val="clear" w:color="auto" w:fill="C6DCE4"/>
            <w:hideMark/>
          </w:tcPr>
          <w:p w14:paraId="1FBCF348" w14:textId="77777777" w:rsidR="000A4591" w:rsidRPr="00E5686B" w:rsidRDefault="000A4591" w:rsidP="00E5686B">
            <w:pPr>
              <w:pStyle w:val="71R"/>
              <w:rPr>
                <w:rFonts w:eastAsia="Times New Roman"/>
                <w:b/>
                <w:bCs/>
                <w:rtl/>
              </w:rPr>
            </w:pPr>
            <w:r w:rsidRPr="00E5686B">
              <w:rPr>
                <w:rFonts w:eastAsia="Times New Roman" w:hint="cs"/>
                <w:b/>
                <w:bCs/>
                <w:rtl/>
              </w:rPr>
              <w:t xml:space="preserve">ההפחתה </w:t>
            </w:r>
            <w:r w:rsidRPr="00E5686B">
              <w:rPr>
                <w:rFonts w:eastAsia="Times New Roman" w:hint="eastAsia"/>
                <w:b/>
                <w:bCs/>
                <w:rtl/>
              </w:rPr>
              <w:t>בעלויות</w:t>
            </w:r>
            <w:r w:rsidRPr="00E5686B">
              <w:rPr>
                <w:rFonts w:eastAsia="Times New Roman"/>
                <w:b/>
                <w:bCs/>
                <w:rtl/>
              </w:rPr>
              <w:t xml:space="preserve"> (במיליוני </w:t>
            </w:r>
            <w:r w:rsidRPr="00E5686B">
              <w:rPr>
                <w:rFonts w:eastAsia="Times New Roman" w:hint="eastAsia"/>
                <w:b/>
                <w:bCs/>
                <w:rtl/>
              </w:rPr>
              <w:t>ש</w:t>
            </w:r>
            <w:r w:rsidRPr="00E5686B">
              <w:rPr>
                <w:rFonts w:eastAsia="Times New Roman"/>
                <w:b/>
                <w:bCs/>
                <w:rtl/>
              </w:rPr>
              <w:t>"ח)</w:t>
            </w:r>
          </w:p>
        </w:tc>
        <w:tc>
          <w:tcPr>
            <w:tcW w:w="943" w:type="dxa"/>
            <w:tcBorders>
              <w:bottom w:val="nil"/>
            </w:tcBorders>
            <w:shd w:val="clear" w:color="auto" w:fill="C6DCE4"/>
            <w:hideMark/>
          </w:tcPr>
          <w:p w14:paraId="2ECDD2F2" w14:textId="77777777" w:rsidR="000A4591" w:rsidRPr="00E5686B" w:rsidRDefault="000A4591" w:rsidP="00E5686B">
            <w:pPr>
              <w:pStyle w:val="71R"/>
              <w:rPr>
                <w:rFonts w:eastAsia="Times New Roman"/>
                <w:b/>
                <w:bCs/>
                <w:rtl/>
              </w:rPr>
            </w:pPr>
            <w:r w:rsidRPr="00E5686B">
              <w:rPr>
                <w:rFonts w:eastAsia="Times New Roman" w:hint="eastAsia"/>
                <w:b/>
                <w:bCs/>
                <w:rtl/>
              </w:rPr>
              <w:t>שיעור</w:t>
            </w:r>
            <w:r w:rsidRPr="00E5686B">
              <w:rPr>
                <w:rFonts w:eastAsia="Times New Roman"/>
                <w:b/>
                <w:bCs/>
                <w:rtl/>
              </w:rPr>
              <w:t xml:space="preserve"> </w:t>
            </w:r>
            <w:r w:rsidRPr="00E5686B">
              <w:rPr>
                <w:rFonts w:eastAsia="Times New Roman" w:hint="eastAsia"/>
                <w:b/>
                <w:bCs/>
                <w:rtl/>
              </w:rPr>
              <w:t>ה</w:t>
            </w:r>
            <w:r w:rsidRPr="00E5686B">
              <w:rPr>
                <w:rFonts w:eastAsia="Times New Roman" w:hint="cs"/>
                <w:b/>
                <w:bCs/>
                <w:rtl/>
              </w:rPr>
              <w:t>הפחתה</w:t>
            </w:r>
          </w:p>
        </w:tc>
      </w:tr>
      <w:tr w:rsidR="00BC0BC4" w14:paraId="74CB2DA8" w14:textId="77777777" w:rsidTr="00033418">
        <w:trPr>
          <w:trHeight w:val="285"/>
          <w:tblHeader/>
        </w:trPr>
        <w:tc>
          <w:tcPr>
            <w:tcW w:w="1002" w:type="dxa"/>
            <w:tcBorders>
              <w:bottom w:val="nil"/>
            </w:tcBorders>
            <w:shd w:val="clear" w:color="auto" w:fill="DBE8EE"/>
            <w:noWrap/>
            <w:hideMark/>
          </w:tcPr>
          <w:p w14:paraId="24F68B30" w14:textId="77777777" w:rsidR="000A4591" w:rsidRPr="003526F1" w:rsidRDefault="000A4591" w:rsidP="006A5BCC">
            <w:pPr>
              <w:pStyle w:val="71R"/>
              <w:rPr>
                <w:rFonts w:eastAsia="Times New Roman"/>
                <w:rtl/>
              </w:rPr>
            </w:pPr>
            <w:r w:rsidRPr="003526F1">
              <w:rPr>
                <w:rFonts w:eastAsia="Times New Roman" w:hint="eastAsia"/>
                <w:rtl/>
              </w:rPr>
              <w:t>רמלה</w:t>
            </w:r>
          </w:p>
        </w:tc>
        <w:tc>
          <w:tcPr>
            <w:tcW w:w="1559" w:type="dxa"/>
            <w:tcBorders>
              <w:bottom w:val="nil"/>
            </w:tcBorders>
            <w:shd w:val="clear" w:color="auto" w:fill="DBE8EE"/>
            <w:noWrap/>
            <w:hideMark/>
          </w:tcPr>
          <w:p w14:paraId="2146797F" w14:textId="77777777" w:rsidR="000A4591" w:rsidRPr="003526F1" w:rsidRDefault="000A4591" w:rsidP="006A5BCC">
            <w:pPr>
              <w:pStyle w:val="71R"/>
              <w:rPr>
                <w:rFonts w:eastAsia="Times New Roman"/>
                <w:rtl/>
              </w:rPr>
            </w:pPr>
            <w:r w:rsidRPr="003526F1">
              <w:rPr>
                <w:rFonts w:eastAsia="Times New Roman" w:hint="eastAsia"/>
                <w:rtl/>
              </w:rPr>
              <w:t>רמלה</w:t>
            </w:r>
            <w:r w:rsidRPr="003526F1">
              <w:rPr>
                <w:rFonts w:eastAsia="Times New Roman"/>
                <w:rtl/>
              </w:rPr>
              <w:t xml:space="preserve"> </w:t>
            </w:r>
            <w:r w:rsidRPr="003526F1">
              <w:rPr>
                <w:rFonts w:eastAsia="Times New Roman" w:hint="eastAsia"/>
                <w:rtl/>
              </w:rPr>
              <w:t>מערב</w:t>
            </w:r>
          </w:p>
        </w:tc>
        <w:tc>
          <w:tcPr>
            <w:tcW w:w="1134" w:type="dxa"/>
            <w:tcBorders>
              <w:bottom w:val="nil"/>
            </w:tcBorders>
            <w:shd w:val="clear" w:color="auto" w:fill="DBE8EE"/>
            <w:noWrap/>
            <w:hideMark/>
          </w:tcPr>
          <w:p w14:paraId="27AFB470" w14:textId="77777777" w:rsidR="000A4591" w:rsidRPr="003526F1" w:rsidRDefault="000A4591" w:rsidP="006A5BCC">
            <w:pPr>
              <w:pStyle w:val="71R"/>
              <w:rPr>
                <w:rFonts w:eastAsia="Times New Roman"/>
                <w:rtl/>
              </w:rPr>
            </w:pPr>
            <w:r w:rsidRPr="003526F1">
              <w:rPr>
                <w:rFonts w:eastAsia="Times New Roman" w:hint="eastAsia"/>
                <w:rtl/>
              </w:rPr>
              <w:t>מאי</w:t>
            </w:r>
            <w:r w:rsidRPr="003526F1">
              <w:rPr>
                <w:rFonts w:eastAsia="Times New Roman"/>
                <w:rtl/>
              </w:rPr>
              <w:t xml:space="preserve"> 2016</w:t>
            </w:r>
          </w:p>
        </w:tc>
        <w:tc>
          <w:tcPr>
            <w:tcW w:w="983" w:type="dxa"/>
            <w:tcBorders>
              <w:bottom w:val="nil"/>
            </w:tcBorders>
            <w:shd w:val="clear" w:color="auto" w:fill="DBE8EE"/>
            <w:noWrap/>
            <w:hideMark/>
          </w:tcPr>
          <w:p w14:paraId="1AA9E21D" w14:textId="77777777" w:rsidR="000A4591" w:rsidRPr="003526F1" w:rsidRDefault="000A4591" w:rsidP="006A5BCC">
            <w:pPr>
              <w:pStyle w:val="71R"/>
              <w:rPr>
                <w:rFonts w:eastAsia="Times New Roman" w:cs="Times New Roman"/>
                <w:rtl/>
              </w:rPr>
            </w:pPr>
            <w:r w:rsidRPr="003526F1">
              <w:rPr>
                <w:rFonts w:eastAsia="Times New Roman" w:cs="Times New Roman"/>
              </w:rPr>
              <w:t>390</w:t>
            </w:r>
          </w:p>
        </w:tc>
        <w:tc>
          <w:tcPr>
            <w:tcW w:w="947" w:type="dxa"/>
            <w:tcBorders>
              <w:bottom w:val="nil"/>
            </w:tcBorders>
            <w:shd w:val="clear" w:color="auto" w:fill="DBE8EE"/>
            <w:noWrap/>
            <w:hideMark/>
          </w:tcPr>
          <w:p w14:paraId="02543992" w14:textId="77777777" w:rsidR="000A4591" w:rsidRPr="003526F1" w:rsidRDefault="000A4591" w:rsidP="006A5BCC">
            <w:pPr>
              <w:pStyle w:val="71R"/>
              <w:rPr>
                <w:rFonts w:eastAsia="Times New Roman" w:cs="Times New Roman"/>
                <w:rtl/>
              </w:rPr>
            </w:pPr>
            <w:r w:rsidRPr="003526F1">
              <w:rPr>
                <w:rFonts w:eastAsia="Times New Roman" w:cs="Times New Roman"/>
              </w:rPr>
              <w:t>330</w:t>
            </w:r>
          </w:p>
        </w:tc>
        <w:tc>
          <w:tcPr>
            <w:tcW w:w="943" w:type="dxa"/>
            <w:tcBorders>
              <w:bottom w:val="nil"/>
            </w:tcBorders>
            <w:shd w:val="clear" w:color="auto" w:fill="DBE8EE"/>
            <w:noWrap/>
            <w:hideMark/>
          </w:tcPr>
          <w:p w14:paraId="74315101" w14:textId="77777777" w:rsidR="000A4591" w:rsidRPr="003526F1" w:rsidRDefault="000A4591" w:rsidP="006A5BCC">
            <w:pPr>
              <w:pStyle w:val="71R"/>
              <w:rPr>
                <w:rFonts w:eastAsia="Times New Roman" w:cs="Times New Roman"/>
                <w:rtl/>
              </w:rPr>
            </w:pPr>
            <w:r w:rsidRPr="003526F1">
              <w:rPr>
                <w:rFonts w:eastAsia="Times New Roman" w:cs="Times New Roman"/>
              </w:rPr>
              <w:t>60</w:t>
            </w:r>
          </w:p>
        </w:tc>
        <w:tc>
          <w:tcPr>
            <w:tcW w:w="943" w:type="dxa"/>
            <w:tcBorders>
              <w:bottom w:val="nil"/>
            </w:tcBorders>
            <w:shd w:val="clear" w:color="auto" w:fill="DBE8EE"/>
            <w:noWrap/>
            <w:hideMark/>
          </w:tcPr>
          <w:p w14:paraId="22FD91B2" w14:textId="77777777" w:rsidR="000A4591" w:rsidRPr="003526F1" w:rsidRDefault="000A4591" w:rsidP="006A5BCC">
            <w:pPr>
              <w:pStyle w:val="71R"/>
              <w:rPr>
                <w:rFonts w:eastAsia="Times New Roman"/>
                <w:rtl/>
              </w:rPr>
            </w:pPr>
            <w:r w:rsidRPr="003526F1">
              <w:rPr>
                <w:rFonts w:eastAsia="Times New Roman"/>
                <w:rtl/>
              </w:rPr>
              <w:t>15%</w:t>
            </w:r>
          </w:p>
        </w:tc>
      </w:tr>
      <w:tr w:rsidR="006A5BCC" w14:paraId="6FD8DC31" w14:textId="77777777" w:rsidTr="00033418">
        <w:trPr>
          <w:trHeight w:val="285"/>
          <w:tblHeader/>
        </w:trPr>
        <w:tc>
          <w:tcPr>
            <w:tcW w:w="1002" w:type="dxa"/>
            <w:shd w:val="clear" w:color="auto" w:fill="ECF4F5"/>
            <w:noWrap/>
            <w:hideMark/>
          </w:tcPr>
          <w:p w14:paraId="31A377A0" w14:textId="77777777" w:rsidR="000A4591" w:rsidRPr="003526F1" w:rsidRDefault="000A4591" w:rsidP="006A5BCC">
            <w:pPr>
              <w:pStyle w:val="71R"/>
              <w:rPr>
                <w:rFonts w:eastAsia="Times New Roman"/>
                <w:rtl/>
              </w:rPr>
            </w:pPr>
            <w:r w:rsidRPr="003526F1">
              <w:rPr>
                <w:rFonts w:eastAsia="Times New Roman" w:hint="eastAsia"/>
                <w:rtl/>
              </w:rPr>
              <w:t>יבנה</w:t>
            </w:r>
          </w:p>
        </w:tc>
        <w:tc>
          <w:tcPr>
            <w:tcW w:w="1559" w:type="dxa"/>
            <w:shd w:val="clear" w:color="auto" w:fill="ECF4F5"/>
            <w:noWrap/>
            <w:hideMark/>
          </w:tcPr>
          <w:p w14:paraId="6730F6AF" w14:textId="77777777" w:rsidR="000A4591" w:rsidRPr="003526F1" w:rsidRDefault="000A4591" w:rsidP="006A5BCC">
            <w:pPr>
              <w:pStyle w:val="71R"/>
              <w:rPr>
                <w:rFonts w:eastAsia="Times New Roman"/>
                <w:rtl/>
              </w:rPr>
            </w:pPr>
            <w:r w:rsidRPr="003526F1">
              <w:rPr>
                <w:rFonts w:eastAsia="Times New Roman" w:hint="eastAsia"/>
                <w:rtl/>
              </w:rPr>
              <w:t>שכונת</w:t>
            </w:r>
            <w:r w:rsidRPr="003526F1">
              <w:rPr>
                <w:rFonts w:eastAsia="Times New Roman"/>
                <w:rtl/>
              </w:rPr>
              <w:t xml:space="preserve"> </w:t>
            </w:r>
            <w:r w:rsidRPr="003526F1">
              <w:rPr>
                <w:rFonts w:eastAsia="Times New Roman" w:hint="eastAsia"/>
                <w:rtl/>
              </w:rPr>
              <w:t>נאות</w:t>
            </w:r>
            <w:r w:rsidRPr="003526F1">
              <w:rPr>
                <w:rFonts w:eastAsia="Times New Roman"/>
                <w:rtl/>
              </w:rPr>
              <w:t xml:space="preserve"> </w:t>
            </w:r>
            <w:r w:rsidRPr="003526F1">
              <w:rPr>
                <w:rFonts w:eastAsia="Times New Roman" w:hint="eastAsia"/>
                <w:rtl/>
              </w:rPr>
              <w:t>שמיר</w:t>
            </w:r>
          </w:p>
        </w:tc>
        <w:tc>
          <w:tcPr>
            <w:tcW w:w="1134" w:type="dxa"/>
            <w:shd w:val="clear" w:color="auto" w:fill="ECF4F5"/>
            <w:noWrap/>
            <w:hideMark/>
          </w:tcPr>
          <w:p w14:paraId="5C74954D" w14:textId="77777777" w:rsidR="000A4591" w:rsidRPr="003526F1" w:rsidRDefault="000A4591" w:rsidP="006A5BCC">
            <w:pPr>
              <w:pStyle w:val="71R"/>
              <w:rPr>
                <w:rFonts w:eastAsia="Times New Roman"/>
                <w:rtl/>
              </w:rPr>
            </w:pPr>
            <w:r w:rsidRPr="003526F1">
              <w:rPr>
                <w:rFonts w:eastAsia="Times New Roman" w:hint="eastAsia"/>
                <w:rtl/>
              </w:rPr>
              <w:t>נובמבר</w:t>
            </w:r>
            <w:r w:rsidRPr="003526F1">
              <w:rPr>
                <w:rFonts w:eastAsia="Times New Roman"/>
                <w:rtl/>
              </w:rPr>
              <w:t xml:space="preserve"> 2016</w:t>
            </w:r>
          </w:p>
        </w:tc>
        <w:tc>
          <w:tcPr>
            <w:tcW w:w="983" w:type="dxa"/>
            <w:shd w:val="clear" w:color="auto" w:fill="ECF4F5"/>
            <w:noWrap/>
            <w:hideMark/>
          </w:tcPr>
          <w:p w14:paraId="7F90A33B" w14:textId="77777777" w:rsidR="000A4591" w:rsidRPr="003526F1" w:rsidRDefault="000A4591" w:rsidP="006A5BCC">
            <w:pPr>
              <w:pStyle w:val="71R"/>
              <w:rPr>
                <w:rFonts w:eastAsia="Times New Roman" w:cs="Times New Roman"/>
                <w:rtl/>
              </w:rPr>
            </w:pPr>
            <w:r w:rsidRPr="003526F1">
              <w:rPr>
                <w:rFonts w:eastAsia="Times New Roman" w:cs="Times New Roman"/>
              </w:rPr>
              <w:t>901</w:t>
            </w:r>
          </w:p>
        </w:tc>
        <w:tc>
          <w:tcPr>
            <w:tcW w:w="947" w:type="dxa"/>
            <w:shd w:val="clear" w:color="auto" w:fill="ECF4F5"/>
            <w:noWrap/>
            <w:hideMark/>
          </w:tcPr>
          <w:p w14:paraId="6AD2FCBA" w14:textId="77777777" w:rsidR="000A4591" w:rsidRPr="003526F1" w:rsidRDefault="000A4591" w:rsidP="006A5BCC">
            <w:pPr>
              <w:pStyle w:val="71R"/>
              <w:rPr>
                <w:rFonts w:eastAsia="Times New Roman" w:cs="Times New Roman"/>
                <w:rtl/>
              </w:rPr>
            </w:pPr>
            <w:r w:rsidRPr="003526F1">
              <w:rPr>
                <w:rFonts w:eastAsia="Times New Roman" w:cs="Times New Roman"/>
              </w:rPr>
              <w:t>439</w:t>
            </w:r>
          </w:p>
        </w:tc>
        <w:tc>
          <w:tcPr>
            <w:tcW w:w="943" w:type="dxa"/>
            <w:shd w:val="clear" w:color="auto" w:fill="ECF4F5"/>
            <w:noWrap/>
            <w:hideMark/>
          </w:tcPr>
          <w:p w14:paraId="3B3653CC" w14:textId="77777777" w:rsidR="000A4591" w:rsidRPr="003526F1" w:rsidRDefault="000A4591" w:rsidP="006A5BCC">
            <w:pPr>
              <w:pStyle w:val="71R"/>
              <w:rPr>
                <w:rFonts w:eastAsia="Times New Roman" w:cs="Times New Roman"/>
                <w:rtl/>
              </w:rPr>
            </w:pPr>
            <w:r w:rsidRPr="003526F1">
              <w:rPr>
                <w:rFonts w:eastAsia="Times New Roman" w:cs="Times New Roman"/>
              </w:rPr>
              <w:t>462</w:t>
            </w:r>
          </w:p>
        </w:tc>
        <w:tc>
          <w:tcPr>
            <w:tcW w:w="943" w:type="dxa"/>
            <w:shd w:val="clear" w:color="auto" w:fill="ECF4F5"/>
            <w:noWrap/>
            <w:hideMark/>
          </w:tcPr>
          <w:p w14:paraId="2E398610" w14:textId="77777777" w:rsidR="000A4591" w:rsidRPr="003526F1" w:rsidRDefault="000A4591" w:rsidP="006A5BCC">
            <w:pPr>
              <w:pStyle w:val="71R"/>
              <w:rPr>
                <w:rFonts w:eastAsia="Times New Roman"/>
                <w:rtl/>
              </w:rPr>
            </w:pPr>
            <w:r w:rsidRPr="003526F1">
              <w:rPr>
                <w:rFonts w:eastAsia="Times New Roman"/>
                <w:rtl/>
              </w:rPr>
              <w:t>51%</w:t>
            </w:r>
          </w:p>
        </w:tc>
      </w:tr>
      <w:tr w:rsidR="00BC0BC4" w14:paraId="317E2CDE" w14:textId="77777777" w:rsidTr="00033418">
        <w:trPr>
          <w:trHeight w:val="285"/>
          <w:tblHeader/>
        </w:trPr>
        <w:tc>
          <w:tcPr>
            <w:tcW w:w="1002" w:type="dxa"/>
            <w:tcBorders>
              <w:bottom w:val="nil"/>
            </w:tcBorders>
            <w:shd w:val="clear" w:color="auto" w:fill="DBE8EE"/>
            <w:noWrap/>
            <w:hideMark/>
          </w:tcPr>
          <w:p w14:paraId="6D842F78" w14:textId="77777777" w:rsidR="000A4591" w:rsidRPr="003526F1" w:rsidRDefault="000A4591" w:rsidP="006A5BCC">
            <w:pPr>
              <w:pStyle w:val="71R"/>
              <w:rPr>
                <w:rFonts w:eastAsia="Times New Roman"/>
                <w:rtl/>
              </w:rPr>
            </w:pPr>
            <w:r w:rsidRPr="003526F1">
              <w:rPr>
                <w:rFonts w:eastAsia="Times New Roman" w:hint="eastAsia"/>
                <w:rtl/>
              </w:rPr>
              <w:t>אשקלון</w:t>
            </w:r>
            <w:r w:rsidRPr="003526F1">
              <w:rPr>
                <w:rFonts w:eastAsia="Times New Roman"/>
                <w:rtl/>
              </w:rPr>
              <w:t xml:space="preserve"> </w:t>
            </w:r>
          </w:p>
        </w:tc>
        <w:tc>
          <w:tcPr>
            <w:tcW w:w="1559" w:type="dxa"/>
            <w:tcBorders>
              <w:bottom w:val="nil"/>
            </w:tcBorders>
            <w:shd w:val="clear" w:color="auto" w:fill="DBE8EE"/>
            <w:noWrap/>
            <w:hideMark/>
          </w:tcPr>
          <w:p w14:paraId="031E0F8D" w14:textId="77777777" w:rsidR="000A4591" w:rsidRPr="003526F1" w:rsidRDefault="000A4591" w:rsidP="006A5BCC">
            <w:pPr>
              <w:pStyle w:val="71R"/>
              <w:rPr>
                <w:rFonts w:eastAsia="Times New Roman"/>
                <w:rtl/>
              </w:rPr>
            </w:pPr>
            <w:r w:rsidRPr="003526F1">
              <w:rPr>
                <w:rFonts w:eastAsia="Times New Roman" w:hint="eastAsia"/>
                <w:rtl/>
              </w:rPr>
              <w:t>עיר</w:t>
            </w:r>
            <w:r w:rsidRPr="003526F1">
              <w:rPr>
                <w:rFonts w:eastAsia="Times New Roman"/>
                <w:rtl/>
              </w:rPr>
              <w:t xml:space="preserve"> </w:t>
            </w:r>
            <w:r w:rsidRPr="003526F1">
              <w:rPr>
                <w:rFonts w:eastAsia="Times New Roman" w:hint="eastAsia"/>
                <w:rtl/>
              </w:rPr>
              <w:t>היין</w:t>
            </w:r>
          </w:p>
        </w:tc>
        <w:tc>
          <w:tcPr>
            <w:tcW w:w="1134" w:type="dxa"/>
            <w:tcBorders>
              <w:bottom w:val="nil"/>
            </w:tcBorders>
            <w:shd w:val="clear" w:color="auto" w:fill="DBE8EE"/>
            <w:noWrap/>
            <w:hideMark/>
          </w:tcPr>
          <w:p w14:paraId="33473890" w14:textId="77777777" w:rsidR="000A4591" w:rsidRPr="003526F1" w:rsidRDefault="000A4591" w:rsidP="006A5BCC">
            <w:pPr>
              <w:pStyle w:val="71R"/>
              <w:rPr>
                <w:rFonts w:eastAsia="Times New Roman"/>
                <w:rtl/>
              </w:rPr>
            </w:pPr>
            <w:r w:rsidRPr="003526F1">
              <w:rPr>
                <w:rFonts w:eastAsia="Times New Roman"/>
                <w:rtl/>
              </w:rPr>
              <w:t>נובמבר 2016</w:t>
            </w:r>
          </w:p>
        </w:tc>
        <w:tc>
          <w:tcPr>
            <w:tcW w:w="983" w:type="dxa"/>
            <w:tcBorders>
              <w:bottom w:val="nil"/>
            </w:tcBorders>
            <w:shd w:val="clear" w:color="auto" w:fill="DBE8EE"/>
            <w:noWrap/>
            <w:hideMark/>
          </w:tcPr>
          <w:p w14:paraId="4E51C9D3" w14:textId="77777777" w:rsidR="000A4591" w:rsidRPr="004E3DD2" w:rsidRDefault="000A4591" w:rsidP="006A5BCC">
            <w:pPr>
              <w:pStyle w:val="71R"/>
              <w:rPr>
                <w:rFonts w:eastAsia="Times New Roman"/>
                <w:rtl/>
              </w:rPr>
            </w:pPr>
            <w:r w:rsidRPr="004E3DD2">
              <w:rPr>
                <w:rFonts w:eastAsia="Times New Roman"/>
                <w:rtl/>
              </w:rPr>
              <w:t>1,676</w:t>
            </w:r>
          </w:p>
        </w:tc>
        <w:tc>
          <w:tcPr>
            <w:tcW w:w="947" w:type="dxa"/>
            <w:tcBorders>
              <w:bottom w:val="nil"/>
            </w:tcBorders>
            <w:shd w:val="clear" w:color="auto" w:fill="DBE8EE"/>
            <w:noWrap/>
            <w:hideMark/>
          </w:tcPr>
          <w:p w14:paraId="32B88882" w14:textId="77777777" w:rsidR="000A4591" w:rsidRPr="004E3DD2" w:rsidRDefault="000A4591" w:rsidP="006A5BCC">
            <w:pPr>
              <w:pStyle w:val="71R"/>
              <w:rPr>
                <w:rFonts w:eastAsia="Times New Roman"/>
                <w:rtl/>
              </w:rPr>
            </w:pPr>
            <w:r w:rsidRPr="004E3DD2">
              <w:rPr>
                <w:rFonts w:eastAsia="Times New Roman"/>
                <w:rtl/>
              </w:rPr>
              <w:t>1,311</w:t>
            </w:r>
          </w:p>
        </w:tc>
        <w:tc>
          <w:tcPr>
            <w:tcW w:w="943" w:type="dxa"/>
            <w:tcBorders>
              <w:bottom w:val="nil"/>
            </w:tcBorders>
            <w:shd w:val="clear" w:color="auto" w:fill="DBE8EE"/>
            <w:noWrap/>
            <w:hideMark/>
          </w:tcPr>
          <w:p w14:paraId="6C59A96F" w14:textId="77777777" w:rsidR="000A4591" w:rsidRPr="004E3DD2" w:rsidRDefault="000A4591" w:rsidP="006A5BCC">
            <w:pPr>
              <w:pStyle w:val="71R"/>
              <w:rPr>
                <w:rFonts w:eastAsia="Times New Roman"/>
                <w:rtl/>
              </w:rPr>
            </w:pPr>
            <w:r w:rsidRPr="004E3DD2">
              <w:rPr>
                <w:rFonts w:eastAsia="Times New Roman"/>
                <w:rtl/>
              </w:rPr>
              <w:t>365</w:t>
            </w:r>
          </w:p>
        </w:tc>
        <w:tc>
          <w:tcPr>
            <w:tcW w:w="943" w:type="dxa"/>
            <w:tcBorders>
              <w:bottom w:val="nil"/>
            </w:tcBorders>
            <w:shd w:val="clear" w:color="auto" w:fill="DBE8EE"/>
            <w:noWrap/>
            <w:hideMark/>
          </w:tcPr>
          <w:p w14:paraId="46C5E8BB" w14:textId="77777777" w:rsidR="000A4591" w:rsidRPr="003526F1" w:rsidRDefault="000A4591" w:rsidP="006A5BCC">
            <w:pPr>
              <w:pStyle w:val="71R"/>
              <w:rPr>
                <w:rFonts w:eastAsia="Times New Roman"/>
                <w:rtl/>
              </w:rPr>
            </w:pPr>
            <w:r w:rsidRPr="003526F1">
              <w:rPr>
                <w:rFonts w:eastAsia="Times New Roman"/>
                <w:rtl/>
              </w:rPr>
              <w:t>22%</w:t>
            </w:r>
          </w:p>
        </w:tc>
      </w:tr>
      <w:tr w:rsidR="006A5BCC" w14:paraId="2300B5FC" w14:textId="77777777" w:rsidTr="00033418">
        <w:trPr>
          <w:trHeight w:val="285"/>
          <w:tblHeader/>
        </w:trPr>
        <w:tc>
          <w:tcPr>
            <w:tcW w:w="1002" w:type="dxa"/>
            <w:shd w:val="clear" w:color="auto" w:fill="ECF4F5"/>
            <w:noWrap/>
            <w:hideMark/>
          </w:tcPr>
          <w:p w14:paraId="508C1FCF" w14:textId="77777777" w:rsidR="000A4591" w:rsidRPr="003526F1" w:rsidRDefault="000A4591" w:rsidP="006A5BCC">
            <w:pPr>
              <w:pStyle w:val="71R"/>
              <w:rPr>
                <w:rFonts w:eastAsia="Times New Roman"/>
                <w:rtl/>
              </w:rPr>
            </w:pPr>
            <w:r w:rsidRPr="003526F1">
              <w:rPr>
                <w:rFonts w:eastAsia="Times New Roman" w:hint="eastAsia"/>
                <w:rtl/>
              </w:rPr>
              <w:t>מודיעין</w:t>
            </w:r>
          </w:p>
        </w:tc>
        <w:tc>
          <w:tcPr>
            <w:tcW w:w="1559" w:type="dxa"/>
            <w:shd w:val="clear" w:color="auto" w:fill="ECF4F5"/>
            <w:noWrap/>
            <w:hideMark/>
          </w:tcPr>
          <w:p w14:paraId="2AAD15E7" w14:textId="77777777" w:rsidR="000A4591" w:rsidRPr="003526F1" w:rsidRDefault="000A4591" w:rsidP="006A5BCC">
            <w:pPr>
              <w:pStyle w:val="71R"/>
              <w:rPr>
                <w:rFonts w:eastAsia="Times New Roman"/>
                <w:rtl/>
              </w:rPr>
            </w:pPr>
            <w:r w:rsidRPr="003526F1">
              <w:rPr>
                <w:rFonts w:eastAsia="Times New Roman" w:hint="eastAsia"/>
                <w:rtl/>
              </w:rPr>
              <w:t>שכונת</w:t>
            </w:r>
            <w:r w:rsidRPr="003526F1">
              <w:rPr>
                <w:rFonts w:eastAsia="Times New Roman"/>
                <w:rtl/>
              </w:rPr>
              <w:t xml:space="preserve"> </w:t>
            </w:r>
            <w:r w:rsidRPr="003526F1">
              <w:rPr>
                <w:rFonts w:eastAsia="Times New Roman" w:hint="eastAsia"/>
                <w:rtl/>
              </w:rPr>
              <w:t>מורשת</w:t>
            </w:r>
          </w:p>
        </w:tc>
        <w:tc>
          <w:tcPr>
            <w:tcW w:w="1134" w:type="dxa"/>
            <w:shd w:val="clear" w:color="auto" w:fill="ECF4F5"/>
            <w:noWrap/>
            <w:hideMark/>
          </w:tcPr>
          <w:p w14:paraId="4D2E0041" w14:textId="77777777" w:rsidR="000A4591" w:rsidRPr="003526F1" w:rsidRDefault="000A4591" w:rsidP="006A5BCC">
            <w:pPr>
              <w:pStyle w:val="71R"/>
              <w:rPr>
                <w:rFonts w:eastAsia="Times New Roman"/>
                <w:rtl/>
              </w:rPr>
            </w:pPr>
            <w:r w:rsidRPr="003526F1">
              <w:rPr>
                <w:rFonts w:eastAsia="Times New Roman" w:hint="eastAsia"/>
                <w:rtl/>
              </w:rPr>
              <w:t>דצמבר</w:t>
            </w:r>
            <w:r w:rsidRPr="003526F1">
              <w:rPr>
                <w:rFonts w:eastAsia="Times New Roman"/>
                <w:rtl/>
              </w:rPr>
              <w:t xml:space="preserve"> 2016</w:t>
            </w:r>
          </w:p>
        </w:tc>
        <w:tc>
          <w:tcPr>
            <w:tcW w:w="983" w:type="dxa"/>
            <w:shd w:val="clear" w:color="auto" w:fill="ECF4F5"/>
            <w:noWrap/>
            <w:hideMark/>
          </w:tcPr>
          <w:p w14:paraId="78CCA66F" w14:textId="77777777" w:rsidR="000A4591" w:rsidRPr="003526F1" w:rsidRDefault="000A4591" w:rsidP="006A5BCC">
            <w:pPr>
              <w:pStyle w:val="71R"/>
              <w:rPr>
                <w:rFonts w:eastAsia="Times New Roman" w:cs="Times New Roman"/>
                <w:rtl/>
              </w:rPr>
            </w:pPr>
            <w:r w:rsidRPr="003526F1">
              <w:rPr>
                <w:rFonts w:eastAsia="Times New Roman" w:cs="Times New Roman"/>
              </w:rPr>
              <w:t>932</w:t>
            </w:r>
          </w:p>
        </w:tc>
        <w:tc>
          <w:tcPr>
            <w:tcW w:w="947" w:type="dxa"/>
            <w:shd w:val="clear" w:color="auto" w:fill="ECF4F5"/>
            <w:noWrap/>
            <w:hideMark/>
          </w:tcPr>
          <w:p w14:paraId="5E19F4F2" w14:textId="77777777" w:rsidR="000A4591" w:rsidRPr="003526F1" w:rsidRDefault="000A4591" w:rsidP="006A5BCC">
            <w:pPr>
              <w:pStyle w:val="71R"/>
              <w:rPr>
                <w:rFonts w:eastAsia="Times New Roman" w:cs="Times New Roman"/>
                <w:rtl/>
              </w:rPr>
            </w:pPr>
            <w:r w:rsidRPr="003526F1">
              <w:rPr>
                <w:rFonts w:eastAsia="Times New Roman" w:cs="Times New Roman"/>
              </w:rPr>
              <w:t>579</w:t>
            </w:r>
          </w:p>
        </w:tc>
        <w:tc>
          <w:tcPr>
            <w:tcW w:w="943" w:type="dxa"/>
            <w:shd w:val="clear" w:color="auto" w:fill="ECF4F5"/>
            <w:noWrap/>
            <w:hideMark/>
          </w:tcPr>
          <w:p w14:paraId="24D6D53D" w14:textId="77777777" w:rsidR="000A4591" w:rsidRPr="003526F1" w:rsidRDefault="000A4591" w:rsidP="006A5BCC">
            <w:pPr>
              <w:pStyle w:val="71R"/>
              <w:rPr>
                <w:rFonts w:eastAsia="Times New Roman" w:cs="Times New Roman"/>
                <w:rtl/>
              </w:rPr>
            </w:pPr>
            <w:r>
              <w:rPr>
                <w:rFonts w:eastAsia="Times New Roman" w:cs="Times New Roman"/>
              </w:rPr>
              <w:t>353</w:t>
            </w:r>
          </w:p>
        </w:tc>
        <w:tc>
          <w:tcPr>
            <w:tcW w:w="943" w:type="dxa"/>
            <w:shd w:val="clear" w:color="auto" w:fill="ECF4F5"/>
            <w:noWrap/>
            <w:hideMark/>
          </w:tcPr>
          <w:p w14:paraId="60BF3929" w14:textId="77777777" w:rsidR="000A4591" w:rsidRPr="003526F1" w:rsidRDefault="000A4591" w:rsidP="006A5BCC">
            <w:pPr>
              <w:pStyle w:val="71R"/>
              <w:rPr>
                <w:rFonts w:eastAsia="Times New Roman"/>
                <w:rtl/>
              </w:rPr>
            </w:pPr>
            <w:r w:rsidRPr="003526F1">
              <w:rPr>
                <w:rFonts w:eastAsia="Times New Roman"/>
                <w:rtl/>
              </w:rPr>
              <w:t>38%</w:t>
            </w:r>
          </w:p>
        </w:tc>
      </w:tr>
      <w:tr w:rsidR="00BC0BC4" w14:paraId="6CC79E7F" w14:textId="77777777" w:rsidTr="00033418">
        <w:trPr>
          <w:trHeight w:val="285"/>
          <w:tblHeader/>
        </w:trPr>
        <w:tc>
          <w:tcPr>
            <w:tcW w:w="1002" w:type="dxa"/>
            <w:tcBorders>
              <w:bottom w:val="nil"/>
            </w:tcBorders>
            <w:shd w:val="clear" w:color="auto" w:fill="DBE8EE"/>
            <w:noWrap/>
            <w:hideMark/>
          </w:tcPr>
          <w:p w14:paraId="6D524116" w14:textId="77777777" w:rsidR="000A4591" w:rsidRPr="003526F1" w:rsidRDefault="000A4591" w:rsidP="006A5BCC">
            <w:pPr>
              <w:pStyle w:val="71R"/>
              <w:rPr>
                <w:rFonts w:eastAsia="Times New Roman"/>
                <w:rtl/>
              </w:rPr>
            </w:pPr>
            <w:r w:rsidRPr="003526F1">
              <w:rPr>
                <w:rFonts w:eastAsia="Times New Roman" w:hint="eastAsia"/>
                <w:rtl/>
              </w:rPr>
              <w:t>אופקים</w:t>
            </w:r>
          </w:p>
        </w:tc>
        <w:tc>
          <w:tcPr>
            <w:tcW w:w="1559" w:type="dxa"/>
            <w:tcBorders>
              <w:bottom w:val="nil"/>
            </w:tcBorders>
            <w:shd w:val="clear" w:color="auto" w:fill="DBE8EE"/>
            <w:noWrap/>
            <w:hideMark/>
          </w:tcPr>
          <w:p w14:paraId="0797E035" w14:textId="77777777" w:rsidR="000A4591" w:rsidRPr="003526F1" w:rsidRDefault="000A4591" w:rsidP="006A5BCC">
            <w:pPr>
              <w:pStyle w:val="71R"/>
              <w:rPr>
                <w:rFonts w:eastAsia="Times New Roman"/>
                <w:rtl/>
              </w:rPr>
            </w:pPr>
            <w:r w:rsidRPr="003526F1">
              <w:rPr>
                <w:rFonts w:eastAsia="Times New Roman" w:hint="eastAsia"/>
                <w:rtl/>
              </w:rPr>
              <w:t>אפיקי</w:t>
            </w:r>
            <w:r w:rsidRPr="003526F1">
              <w:rPr>
                <w:rFonts w:eastAsia="Times New Roman"/>
                <w:rtl/>
              </w:rPr>
              <w:t xml:space="preserve"> </w:t>
            </w:r>
            <w:r w:rsidRPr="003526F1">
              <w:rPr>
                <w:rFonts w:eastAsia="Times New Roman" w:hint="eastAsia"/>
                <w:rtl/>
              </w:rPr>
              <w:t>נחל</w:t>
            </w:r>
          </w:p>
        </w:tc>
        <w:tc>
          <w:tcPr>
            <w:tcW w:w="1134" w:type="dxa"/>
            <w:tcBorders>
              <w:bottom w:val="nil"/>
            </w:tcBorders>
            <w:shd w:val="clear" w:color="auto" w:fill="DBE8EE"/>
            <w:noWrap/>
            <w:hideMark/>
          </w:tcPr>
          <w:p w14:paraId="6881046E" w14:textId="77777777" w:rsidR="000A4591" w:rsidRPr="003526F1" w:rsidRDefault="000A4591" w:rsidP="006A5BCC">
            <w:pPr>
              <w:pStyle w:val="71R"/>
              <w:rPr>
                <w:rFonts w:eastAsia="Times New Roman"/>
                <w:rtl/>
              </w:rPr>
            </w:pPr>
            <w:r w:rsidRPr="003526F1">
              <w:rPr>
                <w:rFonts w:eastAsia="Times New Roman" w:hint="eastAsia"/>
                <w:rtl/>
              </w:rPr>
              <w:t>נובמבר</w:t>
            </w:r>
            <w:r w:rsidRPr="003526F1">
              <w:rPr>
                <w:rFonts w:eastAsia="Times New Roman"/>
                <w:rtl/>
              </w:rPr>
              <w:t xml:space="preserve"> 2019</w:t>
            </w:r>
          </w:p>
        </w:tc>
        <w:tc>
          <w:tcPr>
            <w:tcW w:w="983" w:type="dxa"/>
            <w:tcBorders>
              <w:bottom w:val="nil"/>
            </w:tcBorders>
            <w:shd w:val="clear" w:color="auto" w:fill="DBE8EE"/>
            <w:noWrap/>
            <w:hideMark/>
          </w:tcPr>
          <w:p w14:paraId="3893CC20" w14:textId="77777777" w:rsidR="000A4591" w:rsidRPr="003526F1" w:rsidRDefault="000A4591" w:rsidP="006A5BCC">
            <w:pPr>
              <w:pStyle w:val="71R"/>
              <w:rPr>
                <w:rFonts w:eastAsia="Times New Roman" w:cs="Times New Roman"/>
                <w:rtl/>
              </w:rPr>
            </w:pPr>
            <w:r w:rsidRPr="003526F1">
              <w:rPr>
                <w:rFonts w:eastAsia="Times New Roman" w:cs="Times New Roman"/>
              </w:rPr>
              <w:t>1,513</w:t>
            </w:r>
          </w:p>
        </w:tc>
        <w:tc>
          <w:tcPr>
            <w:tcW w:w="947" w:type="dxa"/>
            <w:tcBorders>
              <w:bottom w:val="nil"/>
            </w:tcBorders>
            <w:shd w:val="clear" w:color="auto" w:fill="DBE8EE"/>
            <w:noWrap/>
            <w:hideMark/>
          </w:tcPr>
          <w:p w14:paraId="190AAB23" w14:textId="77777777" w:rsidR="000A4591" w:rsidRPr="003526F1" w:rsidRDefault="000A4591" w:rsidP="006A5BCC">
            <w:pPr>
              <w:pStyle w:val="71R"/>
              <w:rPr>
                <w:rFonts w:eastAsia="Times New Roman" w:cs="Times New Roman"/>
                <w:rtl/>
              </w:rPr>
            </w:pPr>
            <w:r w:rsidRPr="003526F1">
              <w:rPr>
                <w:rFonts w:eastAsia="Times New Roman" w:cs="Times New Roman"/>
              </w:rPr>
              <w:t>1,189</w:t>
            </w:r>
          </w:p>
        </w:tc>
        <w:tc>
          <w:tcPr>
            <w:tcW w:w="943" w:type="dxa"/>
            <w:tcBorders>
              <w:bottom w:val="nil"/>
            </w:tcBorders>
            <w:shd w:val="clear" w:color="auto" w:fill="DBE8EE"/>
            <w:noWrap/>
            <w:hideMark/>
          </w:tcPr>
          <w:p w14:paraId="49542A71" w14:textId="77777777" w:rsidR="000A4591" w:rsidRPr="003526F1" w:rsidRDefault="000A4591" w:rsidP="006A5BCC">
            <w:pPr>
              <w:pStyle w:val="71R"/>
              <w:rPr>
                <w:rFonts w:eastAsia="Times New Roman" w:cs="Times New Roman"/>
              </w:rPr>
            </w:pPr>
            <w:r w:rsidRPr="003526F1">
              <w:rPr>
                <w:rFonts w:eastAsia="Times New Roman" w:cs="Times New Roman"/>
              </w:rPr>
              <w:t>324</w:t>
            </w:r>
          </w:p>
        </w:tc>
        <w:tc>
          <w:tcPr>
            <w:tcW w:w="943" w:type="dxa"/>
            <w:tcBorders>
              <w:bottom w:val="nil"/>
            </w:tcBorders>
            <w:shd w:val="clear" w:color="auto" w:fill="DBE8EE"/>
            <w:noWrap/>
            <w:hideMark/>
          </w:tcPr>
          <w:p w14:paraId="3CED0AE4" w14:textId="77777777" w:rsidR="000A4591" w:rsidRPr="003526F1" w:rsidRDefault="000A4591" w:rsidP="006A5BCC">
            <w:pPr>
              <w:pStyle w:val="71R"/>
              <w:rPr>
                <w:rFonts w:eastAsia="Times New Roman"/>
                <w:rtl/>
              </w:rPr>
            </w:pPr>
            <w:r w:rsidRPr="003526F1">
              <w:rPr>
                <w:rFonts w:eastAsia="Times New Roman"/>
                <w:rtl/>
              </w:rPr>
              <w:t>21%</w:t>
            </w:r>
          </w:p>
        </w:tc>
      </w:tr>
      <w:tr w:rsidR="006A5BCC" w14:paraId="11811670" w14:textId="77777777" w:rsidTr="00033418">
        <w:trPr>
          <w:trHeight w:val="285"/>
          <w:tblHeader/>
        </w:trPr>
        <w:tc>
          <w:tcPr>
            <w:tcW w:w="1002" w:type="dxa"/>
            <w:shd w:val="clear" w:color="auto" w:fill="ECF4F5"/>
            <w:noWrap/>
            <w:hideMark/>
          </w:tcPr>
          <w:p w14:paraId="41186DE4" w14:textId="77777777" w:rsidR="000A4591" w:rsidRPr="003526F1" w:rsidRDefault="000A4591" w:rsidP="006A5BCC">
            <w:pPr>
              <w:pStyle w:val="71R"/>
              <w:rPr>
                <w:rFonts w:eastAsia="Times New Roman"/>
                <w:rtl/>
              </w:rPr>
            </w:pPr>
            <w:r w:rsidRPr="003526F1">
              <w:rPr>
                <w:rFonts w:eastAsia="Times New Roman" w:hint="eastAsia"/>
                <w:rtl/>
              </w:rPr>
              <w:t>רמת</w:t>
            </w:r>
            <w:r w:rsidRPr="003526F1">
              <w:rPr>
                <w:rFonts w:eastAsia="Times New Roman"/>
                <w:rtl/>
              </w:rPr>
              <w:t xml:space="preserve"> </w:t>
            </w:r>
            <w:r w:rsidRPr="003526F1">
              <w:rPr>
                <w:rFonts w:eastAsia="Times New Roman" w:hint="eastAsia"/>
                <w:rtl/>
              </w:rPr>
              <w:t>גן</w:t>
            </w:r>
          </w:p>
        </w:tc>
        <w:tc>
          <w:tcPr>
            <w:tcW w:w="1559" w:type="dxa"/>
            <w:shd w:val="clear" w:color="auto" w:fill="ECF4F5"/>
            <w:noWrap/>
            <w:hideMark/>
          </w:tcPr>
          <w:p w14:paraId="613C9220" w14:textId="77777777" w:rsidR="000A4591" w:rsidRPr="003526F1" w:rsidRDefault="000A4591" w:rsidP="006A5BCC">
            <w:pPr>
              <w:pStyle w:val="71R"/>
              <w:rPr>
                <w:rFonts w:eastAsia="Times New Roman"/>
                <w:rtl/>
              </w:rPr>
            </w:pPr>
            <w:r w:rsidRPr="003526F1">
              <w:rPr>
                <w:rFonts w:eastAsia="Times New Roman" w:hint="eastAsia"/>
                <w:rtl/>
              </w:rPr>
              <w:t>תמ</w:t>
            </w:r>
            <w:r w:rsidRPr="003526F1">
              <w:rPr>
                <w:rFonts w:eastAsia="Times New Roman"/>
                <w:rtl/>
              </w:rPr>
              <w:t>"ל 1023</w:t>
            </w:r>
          </w:p>
        </w:tc>
        <w:tc>
          <w:tcPr>
            <w:tcW w:w="1134" w:type="dxa"/>
            <w:shd w:val="clear" w:color="auto" w:fill="ECF4F5"/>
            <w:noWrap/>
            <w:hideMark/>
          </w:tcPr>
          <w:p w14:paraId="6BBECEB5" w14:textId="77777777" w:rsidR="000A4591" w:rsidRPr="003526F1" w:rsidRDefault="000A4591" w:rsidP="006A5BCC">
            <w:pPr>
              <w:pStyle w:val="71R"/>
              <w:rPr>
                <w:rFonts w:eastAsia="Times New Roman"/>
                <w:rtl/>
              </w:rPr>
            </w:pPr>
            <w:r w:rsidRPr="003526F1">
              <w:rPr>
                <w:rFonts w:eastAsia="Times New Roman" w:hint="eastAsia"/>
                <w:rtl/>
              </w:rPr>
              <w:t>דצמבר</w:t>
            </w:r>
            <w:r w:rsidRPr="003526F1">
              <w:rPr>
                <w:rFonts w:eastAsia="Times New Roman"/>
                <w:rtl/>
              </w:rPr>
              <w:t xml:space="preserve"> 2019</w:t>
            </w:r>
          </w:p>
        </w:tc>
        <w:tc>
          <w:tcPr>
            <w:tcW w:w="983" w:type="dxa"/>
            <w:shd w:val="clear" w:color="auto" w:fill="ECF4F5"/>
            <w:noWrap/>
            <w:hideMark/>
          </w:tcPr>
          <w:p w14:paraId="120CE3FA" w14:textId="77777777" w:rsidR="000A4591" w:rsidRPr="003526F1" w:rsidRDefault="000A4591" w:rsidP="006A5BCC">
            <w:pPr>
              <w:pStyle w:val="71R"/>
              <w:rPr>
                <w:rFonts w:eastAsia="Times New Roman" w:cs="Times New Roman"/>
                <w:rtl/>
              </w:rPr>
            </w:pPr>
            <w:r w:rsidRPr="003526F1">
              <w:rPr>
                <w:rFonts w:eastAsia="Times New Roman" w:cs="Times New Roman"/>
              </w:rPr>
              <w:t>292</w:t>
            </w:r>
          </w:p>
        </w:tc>
        <w:tc>
          <w:tcPr>
            <w:tcW w:w="947" w:type="dxa"/>
            <w:shd w:val="clear" w:color="auto" w:fill="ECF4F5"/>
            <w:noWrap/>
            <w:hideMark/>
          </w:tcPr>
          <w:p w14:paraId="1392A8CB" w14:textId="77777777" w:rsidR="000A4591" w:rsidRPr="003526F1" w:rsidRDefault="000A4591" w:rsidP="006A5BCC">
            <w:pPr>
              <w:pStyle w:val="71R"/>
              <w:rPr>
                <w:rFonts w:eastAsia="Times New Roman" w:cs="Times New Roman"/>
                <w:rtl/>
              </w:rPr>
            </w:pPr>
            <w:r w:rsidRPr="003526F1">
              <w:rPr>
                <w:rFonts w:eastAsia="Times New Roman" w:cs="Times New Roman"/>
              </w:rPr>
              <w:t>205</w:t>
            </w:r>
          </w:p>
        </w:tc>
        <w:tc>
          <w:tcPr>
            <w:tcW w:w="943" w:type="dxa"/>
            <w:shd w:val="clear" w:color="auto" w:fill="ECF4F5"/>
            <w:noWrap/>
            <w:hideMark/>
          </w:tcPr>
          <w:p w14:paraId="7C622558" w14:textId="77777777" w:rsidR="000A4591" w:rsidRPr="003526F1" w:rsidRDefault="000A4591" w:rsidP="006A5BCC">
            <w:pPr>
              <w:pStyle w:val="71R"/>
              <w:rPr>
                <w:rFonts w:eastAsia="Times New Roman" w:cs="Times New Roman"/>
                <w:rtl/>
              </w:rPr>
            </w:pPr>
            <w:r w:rsidRPr="003526F1">
              <w:rPr>
                <w:rFonts w:eastAsia="Times New Roman" w:cs="Times New Roman"/>
              </w:rPr>
              <w:t>87</w:t>
            </w:r>
          </w:p>
        </w:tc>
        <w:tc>
          <w:tcPr>
            <w:tcW w:w="943" w:type="dxa"/>
            <w:shd w:val="clear" w:color="auto" w:fill="ECF4F5"/>
            <w:noWrap/>
            <w:hideMark/>
          </w:tcPr>
          <w:p w14:paraId="5C3FAA9C" w14:textId="77777777" w:rsidR="000A4591" w:rsidRPr="003526F1" w:rsidRDefault="000A4591" w:rsidP="006A5BCC">
            <w:pPr>
              <w:pStyle w:val="71R"/>
              <w:rPr>
                <w:rFonts w:eastAsia="Times New Roman"/>
                <w:rtl/>
              </w:rPr>
            </w:pPr>
            <w:r w:rsidRPr="003526F1">
              <w:rPr>
                <w:rFonts w:eastAsia="Times New Roman"/>
                <w:rtl/>
              </w:rPr>
              <w:t>30%</w:t>
            </w:r>
          </w:p>
        </w:tc>
      </w:tr>
      <w:tr w:rsidR="00BC0BC4" w14:paraId="5951B0DC" w14:textId="77777777" w:rsidTr="00033418">
        <w:trPr>
          <w:trHeight w:val="285"/>
          <w:tblHeader/>
        </w:trPr>
        <w:tc>
          <w:tcPr>
            <w:tcW w:w="1002" w:type="dxa"/>
            <w:tcBorders>
              <w:bottom w:val="nil"/>
            </w:tcBorders>
            <w:shd w:val="clear" w:color="auto" w:fill="DBE8EE"/>
            <w:noWrap/>
            <w:hideMark/>
          </w:tcPr>
          <w:p w14:paraId="20469284" w14:textId="77777777" w:rsidR="000A4591" w:rsidRPr="003526F1" w:rsidRDefault="000A4591" w:rsidP="006A5BCC">
            <w:pPr>
              <w:pStyle w:val="71R"/>
              <w:rPr>
                <w:rFonts w:eastAsia="Times New Roman"/>
                <w:rtl/>
              </w:rPr>
            </w:pPr>
            <w:r w:rsidRPr="003526F1">
              <w:rPr>
                <w:rFonts w:eastAsia="Times New Roman" w:hint="eastAsia"/>
                <w:rtl/>
              </w:rPr>
              <w:t>אילת</w:t>
            </w:r>
          </w:p>
        </w:tc>
        <w:tc>
          <w:tcPr>
            <w:tcW w:w="1559" w:type="dxa"/>
            <w:tcBorders>
              <w:bottom w:val="nil"/>
            </w:tcBorders>
            <w:shd w:val="clear" w:color="auto" w:fill="DBE8EE"/>
            <w:noWrap/>
            <w:hideMark/>
          </w:tcPr>
          <w:p w14:paraId="4E6FA4E6" w14:textId="77777777" w:rsidR="000A4591" w:rsidRPr="003526F1" w:rsidRDefault="000A4591" w:rsidP="006A5BCC">
            <w:pPr>
              <w:pStyle w:val="71R"/>
              <w:rPr>
                <w:rFonts w:eastAsia="Times New Roman"/>
                <w:rtl/>
              </w:rPr>
            </w:pPr>
            <w:r w:rsidRPr="003526F1">
              <w:rPr>
                <w:rFonts w:eastAsia="Times New Roman" w:hint="eastAsia"/>
                <w:rtl/>
              </w:rPr>
              <w:t>שדה</w:t>
            </w:r>
            <w:r w:rsidRPr="003526F1">
              <w:rPr>
                <w:rFonts w:eastAsia="Times New Roman"/>
                <w:rtl/>
              </w:rPr>
              <w:t xml:space="preserve"> </w:t>
            </w:r>
            <w:r w:rsidRPr="003526F1">
              <w:rPr>
                <w:rFonts w:eastAsia="Times New Roman" w:hint="eastAsia"/>
                <w:rtl/>
              </w:rPr>
              <w:t>תעופה</w:t>
            </w:r>
            <w:r w:rsidRPr="003526F1">
              <w:rPr>
                <w:rFonts w:eastAsia="Times New Roman"/>
                <w:rtl/>
              </w:rPr>
              <w:t xml:space="preserve"> </w:t>
            </w:r>
            <w:r w:rsidRPr="003526F1">
              <w:rPr>
                <w:rFonts w:eastAsia="Times New Roman" w:hint="eastAsia"/>
                <w:rtl/>
              </w:rPr>
              <w:t>מתפנה</w:t>
            </w:r>
          </w:p>
        </w:tc>
        <w:tc>
          <w:tcPr>
            <w:tcW w:w="1134" w:type="dxa"/>
            <w:tcBorders>
              <w:bottom w:val="nil"/>
            </w:tcBorders>
            <w:shd w:val="clear" w:color="auto" w:fill="DBE8EE"/>
            <w:noWrap/>
            <w:hideMark/>
          </w:tcPr>
          <w:p w14:paraId="2C15E851" w14:textId="77777777" w:rsidR="000A4591" w:rsidRPr="003526F1" w:rsidRDefault="000A4591" w:rsidP="006A5BCC">
            <w:pPr>
              <w:pStyle w:val="71R"/>
              <w:rPr>
                <w:rFonts w:eastAsia="Times New Roman"/>
                <w:rtl/>
              </w:rPr>
            </w:pPr>
            <w:r w:rsidRPr="003526F1">
              <w:rPr>
                <w:rFonts w:eastAsia="Times New Roman" w:hint="eastAsia"/>
                <w:rtl/>
              </w:rPr>
              <w:t>אפריל</w:t>
            </w:r>
            <w:r w:rsidRPr="003526F1">
              <w:rPr>
                <w:rFonts w:eastAsia="Times New Roman"/>
                <w:rtl/>
              </w:rPr>
              <w:t xml:space="preserve"> 2020</w:t>
            </w:r>
          </w:p>
        </w:tc>
        <w:tc>
          <w:tcPr>
            <w:tcW w:w="983" w:type="dxa"/>
            <w:tcBorders>
              <w:bottom w:val="nil"/>
            </w:tcBorders>
            <w:shd w:val="clear" w:color="auto" w:fill="DBE8EE"/>
            <w:noWrap/>
            <w:hideMark/>
          </w:tcPr>
          <w:p w14:paraId="5F7E4051" w14:textId="77777777" w:rsidR="000A4591" w:rsidRPr="003526F1" w:rsidRDefault="000A4591" w:rsidP="006A5BCC">
            <w:pPr>
              <w:pStyle w:val="71R"/>
              <w:rPr>
                <w:rFonts w:eastAsia="Times New Roman" w:cs="Times New Roman"/>
                <w:rtl/>
              </w:rPr>
            </w:pPr>
            <w:r w:rsidRPr="003526F1">
              <w:rPr>
                <w:rFonts w:eastAsia="Times New Roman" w:cs="Times New Roman"/>
              </w:rPr>
              <w:t>287</w:t>
            </w:r>
          </w:p>
        </w:tc>
        <w:tc>
          <w:tcPr>
            <w:tcW w:w="947" w:type="dxa"/>
            <w:tcBorders>
              <w:bottom w:val="nil"/>
            </w:tcBorders>
            <w:shd w:val="clear" w:color="auto" w:fill="DBE8EE"/>
            <w:noWrap/>
            <w:hideMark/>
          </w:tcPr>
          <w:p w14:paraId="09765BEA" w14:textId="77777777" w:rsidR="000A4591" w:rsidRPr="003526F1" w:rsidRDefault="000A4591" w:rsidP="006A5BCC">
            <w:pPr>
              <w:pStyle w:val="71R"/>
              <w:rPr>
                <w:rFonts w:eastAsia="Times New Roman" w:cs="Times New Roman"/>
                <w:rtl/>
              </w:rPr>
            </w:pPr>
            <w:r w:rsidRPr="003526F1">
              <w:rPr>
                <w:rFonts w:eastAsia="Times New Roman" w:cs="Times New Roman"/>
              </w:rPr>
              <w:t>190</w:t>
            </w:r>
          </w:p>
        </w:tc>
        <w:tc>
          <w:tcPr>
            <w:tcW w:w="943" w:type="dxa"/>
            <w:tcBorders>
              <w:bottom w:val="nil"/>
            </w:tcBorders>
            <w:shd w:val="clear" w:color="auto" w:fill="DBE8EE"/>
            <w:noWrap/>
            <w:hideMark/>
          </w:tcPr>
          <w:p w14:paraId="1CB0D67C" w14:textId="77777777" w:rsidR="000A4591" w:rsidRPr="003526F1" w:rsidRDefault="000A4591" w:rsidP="006A5BCC">
            <w:pPr>
              <w:pStyle w:val="71R"/>
              <w:rPr>
                <w:rFonts w:eastAsia="Times New Roman" w:cs="Times New Roman"/>
                <w:rtl/>
              </w:rPr>
            </w:pPr>
            <w:r w:rsidRPr="003526F1">
              <w:rPr>
                <w:rFonts w:eastAsia="Times New Roman" w:cs="Times New Roman"/>
              </w:rPr>
              <w:t>97</w:t>
            </w:r>
          </w:p>
        </w:tc>
        <w:tc>
          <w:tcPr>
            <w:tcW w:w="943" w:type="dxa"/>
            <w:tcBorders>
              <w:bottom w:val="nil"/>
            </w:tcBorders>
            <w:shd w:val="clear" w:color="auto" w:fill="DBE8EE"/>
            <w:noWrap/>
            <w:hideMark/>
          </w:tcPr>
          <w:p w14:paraId="4721088C" w14:textId="77777777" w:rsidR="000A4591" w:rsidRPr="003526F1" w:rsidRDefault="000A4591" w:rsidP="006A5BCC">
            <w:pPr>
              <w:pStyle w:val="71R"/>
              <w:rPr>
                <w:rFonts w:eastAsia="Times New Roman"/>
                <w:rtl/>
              </w:rPr>
            </w:pPr>
            <w:r w:rsidRPr="003526F1">
              <w:rPr>
                <w:rFonts w:eastAsia="Times New Roman"/>
                <w:rtl/>
              </w:rPr>
              <w:t>34%</w:t>
            </w:r>
          </w:p>
        </w:tc>
      </w:tr>
      <w:tr w:rsidR="006A5BCC" w14:paraId="4F8EA4F1" w14:textId="77777777" w:rsidTr="00033418">
        <w:trPr>
          <w:trHeight w:val="300"/>
          <w:tblHeader/>
        </w:trPr>
        <w:tc>
          <w:tcPr>
            <w:tcW w:w="1002" w:type="dxa"/>
            <w:tcBorders>
              <w:bottom w:val="nil"/>
            </w:tcBorders>
            <w:shd w:val="clear" w:color="auto" w:fill="ECF4F5"/>
            <w:noWrap/>
            <w:hideMark/>
          </w:tcPr>
          <w:p w14:paraId="2DFAC522" w14:textId="77777777" w:rsidR="000A4591" w:rsidRPr="003526F1" w:rsidRDefault="000A4591" w:rsidP="006A5BCC">
            <w:pPr>
              <w:pStyle w:val="71R"/>
              <w:rPr>
                <w:rFonts w:eastAsia="Times New Roman"/>
                <w:rtl/>
              </w:rPr>
            </w:pPr>
            <w:r w:rsidRPr="003526F1">
              <w:rPr>
                <w:rFonts w:eastAsia="Times New Roman" w:hint="eastAsia"/>
                <w:rtl/>
              </w:rPr>
              <w:t>נתניה</w:t>
            </w:r>
          </w:p>
        </w:tc>
        <w:tc>
          <w:tcPr>
            <w:tcW w:w="1559" w:type="dxa"/>
            <w:tcBorders>
              <w:bottom w:val="nil"/>
            </w:tcBorders>
            <w:shd w:val="clear" w:color="auto" w:fill="ECF4F5"/>
            <w:noWrap/>
            <w:hideMark/>
          </w:tcPr>
          <w:p w14:paraId="086981B2" w14:textId="77777777" w:rsidR="000A4591" w:rsidRPr="003526F1" w:rsidRDefault="000A4591" w:rsidP="006A5BCC">
            <w:pPr>
              <w:pStyle w:val="71R"/>
              <w:rPr>
                <w:rFonts w:eastAsia="Times New Roman"/>
                <w:rtl/>
              </w:rPr>
            </w:pPr>
            <w:r w:rsidRPr="003526F1">
              <w:rPr>
                <w:rFonts w:eastAsia="Times New Roman" w:hint="eastAsia"/>
                <w:rtl/>
              </w:rPr>
              <w:t>נת</w:t>
            </w:r>
            <w:r w:rsidRPr="003526F1">
              <w:rPr>
                <w:rFonts w:eastAsia="Times New Roman"/>
                <w:rtl/>
              </w:rPr>
              <w:t xml:space="preserve"> 620</w:t>
            </w:r>
          </w:p>
        </w:tc>
        <w:tc>
          <w:tcPr>
            <w:tcW w:w="1134" w:type="dxa"/>
            <w:tcBorders>
              <w:bottom w:val="nil"/>
            </w:tcBorders>
            <w:shd w:val="clear" w:color="auto" w:fill="ECF4F5"/>
            <w:noWrap/>
            <w:hideMark/>
          </w:tcPr>
          <w:p w14:paraId="52A1430F" w14:textId="77777777" w:rsidR="000A4591" w:rsidRPr="003526F1" w:rsidRDefault="000A4591" w:rsidP="006A5BCC">
            <w:pPr>
              <w:pStyle w:val="71R"/>
              <w:rPr>
                <w:rFonts w:eastAsia="Times New Roman"/>
                <w:rtl/>
              </w:rPr>
            </w:pPr>
            <w:r w:rsidRPr="003526F1">
              <w:rPr>
                <w:rFonts w:eastAsia="Times New Roman" w:hint="eastAsia"/>
                <w:rtl/>
              </w:rPr>
              <w:t>אפריל</w:t>
            </w:r>
            <w:r w:rsidRPr="003526F1">
              <w:rPr>
                <w:rFonts w:eastAsia="Times New Roman"/>
                <w:rtl/>
              </w:rPr>
              <w:t xml:space="preserve"> 2020</w:t>
            </w:r>
          </w:p>
        </w:tc>
        <w:tc>
          <w:tcPr>
            <w:tcW w:w="983" w:type="dxa"/>
            <w:tcBorders>
              <w:bottom w:val="nil"/>
            </w:tcBorders>
            <w:shd w:val="clear" w:color="auto" w:fill="ECF4F5"/>
            <w:noWrap/>
            <w:hideMark/>
          </w:tcPr>
          <w:p w14:paraId="0F967589" w14:textId="77777777" w:rsidR="000A4591" w:rsidRPr="003526F1" w:rsidRDefault="000A4591" w:rsidP="006A5BCC">
            <w:pPr>
              <w:pStyle w:val="71R"/>
              <w:rPr>
                <w:rFonts w:eastAsia="Times New Roman" w:cs="Times New Roman"/>
                <w:rtl/>
              </w:rPr>
            </w:pPr>
            <w:r w:rsidRPr="003526F1">
              <w:rPr>
                <w:rFonts w:eastAsia="Times New Roman" w:cs="Times New Roman"/>
              </w:rPr>
              <w:t>506</w:t>
            </w:r>
          </w:p>
        </w:tc>
        <w:tc>
          <w:tcPr>
            <w:tcW w:w="947" w:type="dxa"/>
            <w:tcBorders>
              <w:bottom w:val="nil"/>
            </w:tcBorders>
            <w:shd w:val="clear" w:color="auto" w:fill="ECF4F5"/>
            <w:noWrap/>
            <w:hideMark/>
          </w:tcPr>
          <w:p w14:paraId="1A27CF81" w14:textId="77777777" w:rsidR="000A4591" w:rsidRPr="003526F1" w:rsidRDefault="000A4591" w:rsidP="006A5BCC">
            <w:pPr>
              <w:pStyle w:val="71R"/>
              <w:rPr>
                <w:rFonts w:eastAsia="Times New Roman" w:cs="Times New Roman"/>
                <w:rtl/>
              </w:rPr>
            </w:pPr>
            <w:r w:rsidRPr="003526F1">
              <w:rPr>
                <w:rFonts w:eastAsia="Times New Roman" w:cs="Times New Roman"/>
              </w:rPr>
              <w:t>303</w:t>
            </w:r>
          </w:p>
        </w:tc>
        <w:tc>
          <w:tcPr>
            <w:tcW w:w="943" w:type="dxa"/>
            <w:tcBorders>
              <w:bottom w:val="nil"/>
            </w:tcBorders>
            <w:shd w:val="clear" w:color="auto" w:fill="ECF4F5"/>
            <w:noWrap/>
            <w:hideMark/>
          </w:tcPr>
          <w:p w14:paraId="04504D53" w14:textId="77777777" w:rsidR="000A4591" w:rsidRPr="003526F1" w:rsidRDefault="000A4591" w:rsidP="006A5BCC">
            <w:pPr>
              <w:pStyle w:val="71R"/>
              <w:rPr>
                <w:rFonts w:eastAsia="Times New Roman" w:cs="Times New Roman"/>
                <w:rtl/>
              </w:rPr>
            </w:pPr>
            <w:r w:rsidRPr="003526F1">
              <w:rPr>
                <w:rFonts w:eastAsia="Times New Roman" w:cs="Times New Roman"/>
              </w:rPr>
              <w:t>203</w:t>
            </w:r>
          </w:p>
        </w:tc>
        <w:tc>
          <w:tcPr>
            <w:tcW w:w="943" w:type="dxa"/>
            <w:tcBorders>
              <w:bottom w:val="nil"/>
            </w:tcBorders>
            <w:shd w:val="clear" w:color="auto" w:fill="ECF4F5"/>
            <w:noWrap/>
            <w:hideMark/>
          </w:tcPr>
          <w:p w14:paraId="17B32B3E" w14:textId="77777777" w:rsidR="000A4591" w:rsidRPr="003526F1" w:rsidRDefault="000A4591" w:rsidP="006A5BCC">
            <w:pPr>
              <w:pStyle w:val="71R"/>
              <w:rPr>
                <w:rFonts w:eastAsia="Times New Roman"/>
                <w:rtl/>
              </w:rPr>
            </w:pPr>
            <w:r w:rsidRPr="003526F1">
              <w:rPr>
                <w:rFonts w:eastAsia="Times New Roman"/>
                <w:rtl/>
              </w:rPr>
              <w:t>40%</w:t>
            </w:r>
          </w:p>
        </w:tc>
      </w:tr>
      <w:tr w:rsidR="006A5BCC" w:rsidRPr="006A5BCC" w14:paraId="76AD87DD" w14:textId="77777777" w:rsidTr="00033418">
        <w:trPr>
          <w:trHeight w:val="300"/>
          <w:tblHeader/>
        </w:trPr>
        <w:tc>
          <w:tcPr>
            <w:tcW w:w="1002" w:type="dxa"/>
            <w:shd w:val="clear" w:color="auto" w:fill="C6DCE4"/>
            <w:noWrap/>
            <w:hideMark/>
          </w:tcPr>
          <w:p w14:paraId="2E5A8CF7" w14:textId="77777777" w:rsidR="000A4591" w:rsidRPr="006A5BCC" w:rsidRDefault="000A4591" w:rsidP="006A5BCC">
            <w:pPr>
              <w:pStyle w:val="71R"/>
              <w:rPr>
                <w:rFonts w:eastAsia="Times New Roman"/>
                <w:b/>
                <w:bCs/>
                <w:rtl/>
              </w:rPr>
            </w:pPr>
            <w:r w:rsidRPr="006A5BCC">
              <w:rPr>
                <w:rFonts w:eastAsia="Times New Roman" w:hint="eastAsia"/>
                <w:b/>
                <w:bCs/>
                <w:rtl/>
              </w:rPr>
              <w:t>סה</w:t>
            </w:r>
            <w:r w:rsidRPr="006A5BCC">
              <w:rPr>
                <w:rFonts w:eastAsia="Times New Roman"/>
                <w:b/>
                <w:bCs/>
                <w:rtl/>
              </w:rPr>
              <w:t>"כ</w:t>
            </w:r>
          </w:p>
        </w:tc>
        <w:tc>
          <w:tcPr>
            <w:tcW w:w="1559" w:type="dxa"/>
            <w:shd w:val="clear" w:color="auto" w:fill="C6DCE4"/>
            <w:noWrap/>
            <w:hideMark/>
          </w:tcPr>
          <w:p w14:paraId="62DEAA48" w14:textId="77777777" w:rsidR="000A4591" w:rsidRPr="006A5BCC" w:rsidRDefault="000A4591" w:rsidP="006A5BCC">
            <w:pPr>
              <w:pStyle w:val="71R"/>
              <w:rPr>
                <w:rFonts w:eastAsia="Times New Roman" w:cs="Arial"/>
                <w:b/>
                <w:bCs/>
                <w:rtl/>
              </w:rPr>
            </w:pPr>
            <w:r w:rsidRPr="006A5BCC">
              <w:rPr>
                <w:rFonts w:eastAsia="Times New Roman" w:cs="Arial"/>
                <w:b/>
                <w:bCs/>
              </w:rPr>
              <w:t> </w:t>
            </w:r>
          </w:p>
        </w:tc>
        <w:tc>
          <w:tcPr>
            <w:tcW w:w="1134" w:type="dxa"/>
            <w:shd w:val="clear" w:color="auto" w:fill="C6DCE4"/>
            <w:noWrap/>
            <w:hideMark/>
          </w:tcPr>
          <w:p w14:paraId="13378219" w14:textId="77777777" w:rsidR="000A4591" w:rsidRPr="006A5BCC" w:rsidRDefault="000A4591" w:rsidP="006A5BCC">
            <w:pPr>
              <w:pStyle w:val="71R"/>
              <w:rPr>
                <w:rFonts w:eastAsia="Times New Roman" w:cs="Arial"/>
                <w:b/>
                <w:bCs/>
              </w:rPr>
            </w:pPr>
            <w:r w:rsidRPr="006A5BCC">
              <w:rPr>
                <w:rFonts w:eastAsia="Times New Roman" w:cs="Arial"/>
                <w:b/>
                <w:bCs/>
              </w:rPr>
              <w:t> </w:t>
            </w:r>
          </w:p>
        </w:tc>
        <w:tc>
          <w:tcPr>
            <w:tcW w:w="983" w:type="dxa"/>
            <w:shd w:val="clear" w:color="auto" w:fill="C6DCE4"/>
            <w:noWrap/>
            <w:hideMark/>
          </w:tcPr>
          <w:p w14:paraId="5386A8CF" w14:textId="77777777" w:rsidR="000A4591" w:rsidRPr="004E3DD2" w:rsidRDefault="000A4591" w:rsidP="006A5BCC">
            <w:pPr>
              <w:pStyle w:val="71R"/>
              <w:rPr>
                <w:rFonts w:eastAsia="Times New Roman"/>
                <w:b/>
                <w:bCs/>
              </w:rPr>
            </w:pPr>
            <w:r w:rsidRPr="004E3DD2">
              <w:rPr>
                <w:rFonts w:eastAsia="Times New Roman"/>
                <w:b/>
                <w:bCs/>
                <w:rtl/>
              </w:rPr>
              <w:t>6,497</w:t>
            </w:r>
          </w:p>
        </w:tc>
        <w:tc>
          <w:tcPr>
            <w:tcW w:w="947" w:type="dxa"/>
            <w:shd w:val="clear" w:color="auto" w:fill="C6DCE4"/>
            <w:noWrap/>
            <w:hideMark/>
          </w:tcPr>
          <w:p w14:paraId="70070216" w14:textId="77777777" w:rsidR="000A4591" w:rsidRPr="004E3DD2" w:rsidRDefault="000A4591" w:rsidP="006A5BCC">
            <w:pPr>
              <w:pStyle w:val="71R"/>
              <w:rPr>
                <w:rFonts w:eastAsia="Times New Roman"/>
                <w:b/>
                <w:bCs/>
                <w:rtl/>
              </w:rPr>
            </w:pPr>
            <w:r w:rsidRPr="004E3DD2">
              <w:rPr>
                <w:rFonts w:eastAsia="Times New Roman"/>
                <w:b/>
                <w:bCs/>
                <w:rtl/>
              </w:rPr>
              <w:t>4,546</w:t>
            </w:r>
          </w:p>
        </w:tc>
        <w:tc>
          <w:tcPr>
            <w:tcW w:w="943" w:type="dxa"/>
            <w:shd w:val="clear" w:color="auto" w:fill="C6DCE4"/>
            <w:noWrap/>
            <w:hideMark/>
          </w:tcPr>
          <w:p w14:paraId="57E7ED9E" w14:textId="77777777" w:rsidR="000A4591" w:rsidRPr="004E3DD2" w:rsidRDefault="000A4591" w:rsidP="006A5BCC">
            <w:pPr>
              <w:pStyle w:val="71R"/>
              <w:rPr>
                <w:rFonts w:eastAsia="Times New Roman"/>
                <w:b/>
                <w:bCs/>
                <w:rtl/>
              </w:rPr>
            </w:pPr>
            <w:r w:rsidRPr="004E3DD2">
              <w:rPr>
                <w:rFonts w:eastAsia="Times New Roman"/>
                <w:b/>
                <w:bCs/>
                <w:rtl/>
              </w:rPr>
              <w:t>1,951</w:t>
            </w:r>
          </w:p>
        </w:tc>
        <w:tc>
          <w:tcPr>
            <w:tcW w:w="943" w:type="dxa"/>
            <w:shd w:val="clear" w:color="auto" w:fill="C6DCE4"/>
            <w:noWrap/>
            <w:hideMark/>
          </w:tcPr>
          <w:p w14:paraId="7793A854" w14:textId="77777777" w:rsidR="000A4591" w:rsidRPr="004E3DD2" w:rsidRDefault="000A4591" w:rsidP="006A5BCC">
            <w:pPr>
              <w:pStyle w:val="71R"/>
              <w:rPr>
                <w:rFonts w:eastAsia="Times New Roman"/>
                <w:b/>
                <w:bCs/>
                <w:rtl/>
              </w:rPr>
            </w:pPr>
            <w:r w:rsidRPr="004E3DD2">
              <w:rPr>
                <w:rFonts w:eastAsia="Times New Roman"/>
                <w:b/>
                <w:bCs/>
                <w:rtl/>
              </w:rPr>
              <w:t>30%</w:t>
            </w:r>
          </w:p>
        </w:tc>
      </w:tr>
    </w:tbl>
    <w:p w14:paraId="7A42121B" w14:textId="04CD85FB" w:rsidR="000A4591" w:rsidRPr="00F05F31" w:rsidRDefault="000A4591" w:rsidP="00BC0BC4">
      <w:pPr>
        <w:pStyle w:val="71d"/>
        <w:rPr>
          <w:rtl/>
        </w:rPr>
      </w:pPr>
      <w:r>
        <w:rPr>
          <w:rFonts w:hint="cs"/>
          <w:rtl/>
        </w:rPr>
        <w:t xml:space="preserve">על פי </w:t>
      </w:r>
      <w:r w:rsidRPr="00F05F31">
        <w:rPr>
          <w:rFonts w:hint="cs"/>
          <w:rtl/>
        </w:rPr>
        <w:t>נתוני רמ"י</w:t>
      </w:r>
      <w:r>
        <w:rPr>
          <w:rFonts w:hint="cs"/>
          <w:rtl/>
        </w:rPr>
        <w:t>,</w:t>
      </w:r>
      <w:r w:rsidRPr="00F05F31">
        <w:rPr>
          <w:rFonts w:hint="cs"/>
          <w:rtl/>
        </w:rPr>
        <w:t xml:space="preserve"> בעיבוד משרד מבקר המדינה</w:t>
      </w:r>
      <w:r w:rsidR="00BC0BC4">
        <w:rPr>
          <w:rFonts w:hint="cs"/>
          <w:rtl/>
        </w:rPr>
        <w:t>.</w:t>
      </w:r>
    </w:p>
    <w:p w14:paraId="2BDD3B14" w14:textId="77777777" w:rsidR="000A4591" w:rsidRDefault="000A4591" w:rsidP="00BC0BC4">
      <w:pPr>
        <w:pStyle w:val="71f5"/>
        <w:rPr>
          <w:rtl/>
        </w:rPr>
      </w:pPr>
      <w:r w:rsidRPr="001E5C9E">
        <w:rPr>
          <w:rFonts w:hint="eastAsia"/>
          <w:rtl/>
        </w:rPr>
        <w:t>מהלוח</w:t>
      </w:r>
      <w:r w:rsidRPr="001E5C9E">
        <w:rPr>
          <w:rtl/>
        </w:rPr>
        <w:t xml:space="preserve"> </w:t>
      </w:r>
      <w:r w:rsidRPr="001E5C9E">
        <w:rPr>
          <w:rFonts w:hint="eastAsia"/>
          <w:rtl/>
        </w:rPr>
        <w:t>עולה</w:t>
      </w:r>
      <w:r w:rsidRPr="001E5C9E">
        <w:rPr>
          <w:rtl/>
        </w:rPr>
        <w:t xml:space="preserve"> כי בעקבות הבקרה </w:t>
      </w:r>
      <w:r>
        <w:rPr>
          <w:rFonts w:hint="cs"/>
          <w:rtl/>
        </w:rPr>
        <w:t>שביצעה</w:t>
      </w:r>
      <w:r w:rsidRPr="001E5C9E">
        <w:rPr>
          <w:rtl/>
        </w:rPr>
        <w:t xml:space="preserve"> </w:t>
      </w:r>
      <w:r w:rsidRPr="001E5C9E">
        <w:rPr>
          <w:rFonts w:hint="eastAsia"/>
          <w:rtl/>
        </w:rPr>
        <w:t>רמ</w:t>
      </w:r>
      <w:r w:rsidRPr="001E5C9E">
        <w:rPr>
          <w:rtl/>
        </w:rPr>
        <w:t>"י על שבע</w:t>
      </w:r>
      <w:r>
        <w:rPr>
          <w:rFonts w:hint="cs"/>
          <w:rtl/>
        </w:rPr>
        <w:t>ת</w:t>
      </w:r>
      <w:r w:rsidRPr="001E5C9E">
        <w:rPr>
          <w:rtl/>
        </w:rPr>
        <w:t xml:space="preserve"> התכנונים המפורטים לביצוע שהגישו הרשויות המקומיות שנבדקו, </w:t>
      </w:r>
      <w:r>
        <w:rPr>
          <w:rFonts w:hint="cs"/>
          <w:rtl/>
        </w:rPr>
        <w:t>הופחתו כשני</w:t>
      </w:r>
      <w:r w:rsidRPr="001E5C9E">
        <w:rPr>
          <w:rtl/>
        </w:rPr>
        <w:t xml:space="preserve"> מיליארד ש"ח </w:t>
      </w:r>
      <w:r>
        <w:rPr>
          <w:rFonts w:hint="cs"/>
          <w:rtl/>
        </w:rPr>
        <w:t>(</w:t>
      </w:r>
      <w:r w:rsidRPr="001E5C9E">
        <w:rPr>
          <w:rtl/>
        </w:rPr>
        <w:t>כ-</w:t>
      </w:r>
      <w:r>
        <w:rPr>
          <w:rFonts w:hint="cs"/>
          <w:rtl/>
        </w:rPr>
        <w:t>30</w:t>
      </w:r>
      <w:r w:rsidRPr="001E5C9E">
        <w:rPr>
          <w:rtl/>
        </w:rPr>
        <w:t>%</w:t>
      </w:r>
      <w:r>
        <w:rPr>
          <w:rFonts w:hint="cs"/>
          <w:rtl/>
        </w:rPr>
        <w:t>)</w:t>
      </w:r>
      <w:r w:rsidRPr="001E5C9E">
        <w:rPr>
          <w:rtl/>
        </w:rPr>
        <w:t xml:space="preserve"> מהסכומים שנכללו בתכנונים של הרשויות המקומיות באותם שבעה פרויקטים</w:t>
      </w:r>
      <w:r>
        <w:rPr>
          <w:rFonts w:hint="cs"/>
          <w:rtl/>
        </w:rPr>
        <w:t xml:space="preserve">. </w:t>
      </w:r>
    </w:p>
    <w:p w14:paraId="12B5B7B8" w14:textId="0E9F9094" w:rsidR="000A4591" w:rsidRDefault="000A4591" w:rsidP="00033418">
      <w:pPr>
        <w:pStyle w:val="71f5"/>
      </w:pPr>
      <w:r>
        <w:rPr>
          <w:rFonts w:hint="cs"/>
          <w:rtl/>
        </w:rPr>
        <w:t xml:space="preserve">יצוין כי </w:t>
      </w:r>
      <w:r w:rsidRPr="00A9131D">
        <w:rPr>
          <w:rFonts w:hint="cs"/>
          <w:rtl/>
        </w:rPr>
        <w:t>ב</w:t>
      </w:r>
      <w:r>
        <w:rPr>
          <w:rFonts w:hint="cs"/>
          <w:rtl/>
        </w:rPr>
        <w:t xml:space="preserve">פרויקט </w:t>
      </w:r>
      <w:r w:rsidRPr="00A9131D">
        <w:rPr>
          <w:rFonts w:hint="cs"/>
          <w:rtl/>
        </w:rPr>
        <w:t>שב</w:t>
      </w:r>
      <w:r>
        <w:rPr>
          <w:rFonts w:hint="cs"/>
          <w:rtl/>
        </w:rPr>
        <w:t xml:space="preserve">עיר </w:t>
      </w:r>
      <w:r w:rsidRPr="00A9131D">
        <w:rPr>
          <w:rFonts w:hint="cs"/>
          <w:rtl/>
        </w:rPr>
        <w:t>יבנה שיעור ה</w:t>
      </w:r>
      <w:r>
        <w:rPr>
          <w:rFonts w:hint="cs"/>
          <w:rtl/>
        </w:rPr>
        <w:t>הפחתה</w:t>
      </w:r>
      <w:r w:rsidRPr="00A9131D">
        <w:rPr>
          <w:rFonts w:hint="cs"/>
          <w:rtl/>
        </w:rPr>
        <w:t xml:space="preserve"> היה </w:t>
      </w:r>
      <w:r>
        <w:rPr>
          <w:rFonts w:hint="cs"/>
          <w:rtl/>
        </w:rPr>
        <w:t>הגדול</w:t>
      </w:r>
      <w:r w:rsidRPr="00A9131D">
        <w:rPr>
          <w:rFonts w:hint="cs"/>
          <w:rtl/>
        </w:rPr>
        <w:t xml:space="preserve"> ביותר - 51%. </w:t>
      </w:r>
      <w:r>
        <w:rPr>
          <w:rFonts w:hint="cs"/>
          <w:rtl/>
        </w:rPr>
        <w:t xml:space="preserve">הפחתת עלויותיו של פרויקט זה הושגה, </w:t>
      </w:r>
      <w:r w:rsidRPr="00A9131D">
        <w:rPr>
          <w:rFonts w:hint="cs"/>
          <w:rtl/>
        </w:rPr>
        <w:t>בין היתר</w:t>
      </w:r>
      <w:r>
        <w:rPr>
          <w:rFonts w:hint="cs"/>
          <w:rtl/>
        </w:rPr>
        <w:t>,</w:t>
      </w:r>
      <w:r w:rsidRPr="00A9131D">
        <w:rPr>
          <w:rFonts w:hint="cs"/>
          <w:rtl/>
        </w:rPr>
        <w:t xml:space="preserve"> ב</w:t>
      </w:r>
      <w:r>
        <w:rPr>
          <w:rFonts w:hint="cs"/>
          <w:rtl/>
        </w:rPr>
        <w:t xml:space="preserve">זכות הפחתת </w:t>
      </w:r>
      <w:r w:rsidRPr="00A9131D">
        <w:rPr>
          <w:rFonts w:hint="cs"/>
          <w:rtl/>
        </w:rPr>
        <w:t>עלויות</w:t>
      </w:r>
      <w:r>
        <w:rPr>
          <w:rFonts w:hint="cs"/>
          <w:rtl/>
        </w:rPr>
        <w:t xml:space="preserve"> הפיתוח של הרכיבים האלה</w:t>
      </w:r>
      <w:r w:rsidRPr="00A9131D">
        <w:rPr>
          <w:rFonts w:hint="cs"/>
          <w:rtl/>
        </w:rPr>
        <w:t xml:space="preserve">: </w:t>
      </w:r>
      <w:r>
        <w:rPr>
          <w:rFonts w:hint="cs"/>
          <w:rtl/>
        </w:rPr>
        <w:t xml:space="preserve">הפחתה </w:t>
      </w:r>
      <w:r w:rsidRPr="00A9131D">
        <w:rPr>
          <w:rFonts w:hint="cs"/>
          <w:rtl/>
        </w:rPr>
        <w:t xml:space="preserve">בסך של כ-34 מיליון ש"ח </w:t>
      </w:r>
      <w:r>
        <w:rPr>
          <w:rFonts w:hint="cs"/>
          <w:rtl/>
        </w:rPr>
        <w:t xml:space="preserve">בעלויות של </w:t>
      </w:r>
      <w:r w:rsidRPr="00A9131D">
        <w:rPr>
          <w:rFonts w:hint="cs"/>
          <w:rtl/>
        </w:rPr>
        <w:t xml:space="preserve">פיתוח שטחים ציבוריים פתוחים (שצ"פים), </w:t>
      </w:r>
      <w:r>
        <w:rPr>
          <w:rFonts w:hint="cs"/>
          <w:rtl/>
        </w:rPr>
        <w:t xml:space="preserve">של </w:t>
      </w:r>
      <w:r w:rsidRPr="00A9131D">
        <w:rPr>
          <w:rFonts w:hint="cs"/>
          <w:rtl/>
        </w:rPr>
        <w:t>גינון ו</w:t>
      </w:r>
      <w:r>
        <w:rPr>
          <w:rFonts w:hint="cs"/>
          <w:rtl/>
        </w:rPr>
        <w:t xml:space="preserve">של </w:t>
      </w:r>
      <w:r w:rsidRPr="00A9131D">
        <w:rPr>
          <w:rFonts w:hint="cs"/>
          <w:rtl/>
        </w:rPr>
        <w:t xml:space="preserve">השקיה; </w:t>
      </w:r>
      <w:r>
        <w:rPr>
          <w:rFonts w:hint="cs"/>
          <w:rtl/>
        </w:rPr>
        <w:t xml:space="preserve">הפחתה </w:t>
      </w:r>
      <w:r w:rsidRPr="00A9131D">
        <w:rPr>
          <w:rFonts w:hint="cs"/>
          <w:rtl/>
        </w:rPr>
        <w:t>בסך של כ-</w:t>
      </w:r>
      <w:r>
        <w:rPr>
          <w:rFonts w:hint="cs"/>
          <w:rtl/>
        </w:rPr>
        <w:t>12</w:t>
      </w:r>
      <w:r w:rsidRPr="00A9131D">
        <w:rPr>
          <w:rFonts w:hint="cs"/>
          <w:rtl/>
        </w:rPr>
        <w:t xml:space="preserve"> מיליון ש"ח </w:t>
      </w:r>
      <w:r>
        <w:rPr>
          <w:rFonts w:hint="cs"/>
          <w:rtl/>
        </w:rPr>
        <w:t xml:space="preserve">בעלויות </w:t>
      </w:r>
      <w:r w:rsidRPr="00A9131D">
        <w:rPr>
          <w:rFonts w:hint="cs"/>
          <w:rtl/>
        </w:rPr>
        <w:t>תאורה; בסך של כ-</w:t>
      </w:r>
      <w:r>
        <w:rPr>
          <w:rFonts w:hint="cs"/>
          <w:rtl/>
        </w:rPr>
        <w:t>15</w:t>
      </w:r>
      <w:r w:rsidRPr="00A9131D">
        <w:rPr>
          <w:rFonts w:hint="cs"/>
          <w:rtl/>
        </w:rPr>
        <w:t xml:space="preserve"> מיליון ש"ח </w:t>
      </w:r>
      <w:r>
        <w:rPr>
          <w:rFonts w:hint="cs"/>
          <w:rtl/>
        </w:rPr>
        <w:t xml:space="preserve">בעלויות של </w:t>
      </w:r>
      <w:r w:rsidRPr="00A9131D">
        <w:rPr>
          <w:rFonts w:hint="cs"/>
          <w:rtl/>
        </w:rPr>
        <w:t>תשתיות למערכת פינוי פסולת פניאומטית</w:t>
      </w:r>
      <w:r>
        <w:rPr>
          <w:rFonts w:hint="cs"/>
          <w:rtl/>
        </w:rPr>
        <w:t>;</w:t>
      </w:r>
      <w:r w:rsidRPr="00A9131D">
        <w:rPr>
          <w:rFonts w:hint="cs"/>
          <w:rtl/>
        </w:rPr>
        <w:t xml:space="preserve"> ו</w:t>
      </w:r>
      <w:r>
        <w:rPr>
          <w:rFonts w:hint="cs"/>
          <w:rtl/>
        </w:rPr>
        <w:t xml:space="preserve">הפחתה </w:t>
      </w:r>
      <w:r w:rsidRPr="00A9131D">
        <w:rPr>
          <w:rFonts w:hint="cs"/>
          <w:rtl/>
        </w:rPr>
        <w:t xml:space="preserve">בסך של </w:t>
      </w:r>
      <w:r w:rsidR="003B317B">
        <w:rPr>
          <w:rFonts w:hint="cs"/>
          <w:rtl/>
        </w:rPr>
        <w:t xml:space="preserve">            </w:t>
      </w:r>
      <w:r w:rsidRPr="00A9131D">
        <w:rPr>
          <w:rFonts w:hint="cs"/>
          <w:rtl/>
        </w:rPr>
        <w:t>כ-</w:t>
      </w:r>
      <w:r>
        <w:rPr>
          <w:rFonts w:hint="cs"/>
          <w:rtl/>
        </w:rPr>
        <w:t xml:space="preserve">13 </w:t>
      </w:r>
      <w:r w:rsidRPr="00A9131D">
        <w:rPr>
          <w:rFonts w:hint="cs"/>
          <w:rtl/>
        </w:rPr>
        <w:t xml:space="preserve">מיליון ש"ח </w:t>
      </w:r>
      <w:r>
        <w:rPr>
          <w:rFonts w:hint="cs"/>
          <w:rtl/>
        </w:rPr>
        <w:t xml:space="preserve">בעלויות </w:t>
      </w:r>
      <w:r w:rsidRPr="00A9131D">
        <w:rPr>
          <w:rFonts w:hint="cs"/>
          <w:rtl/>
        </w:rPr>
        <w:t xml:space="preserve">הפיתוח של פארק </w:t>
      </w:r>
      <w:r>
        <w:rPr>
          <w:rFonts w:hint="cs"/>
          <w:rtl/>
        </w:rPr>
        <w:t>ציבורי</w:t>
      </w:r>
      <w:r w:rsidRPr="00A9131D">
        <w:rPr>
          <w:rFonts w:hint="cs"/>
          <w:rtl/>
        </w:rPr>
        <w:t>.</w:t>
      </w:r>
    </w:p>
    <w:p w14:paraId="55AC8F89" w14:textId="77777777" w:rsidR="000A4591" w:rsidRDefault="000A4591" w:rsidP="007D38B9">
      <w:pPr>
        <w:pStyle w:val="71f5"/>
        <w:ind w:right="284"/>
        <w:rPr>
          <w:rtl/>
        </w:rPr>
      </w:pPr>
      <w:r>
        <w:rPr>
          <w:rFonts w:hint="cs"/>
          <w:rtl/>
        </w:rPr>
        <w:lastRenderedPageBreak/>
        <w:t>מומלץ כי רמ"י תגבש עבור כלל הרשויות הנחיות לתכנון מפורט של פיתוח ואומדני עלויות במסגרת הסכמי הגג ובדרך זו תייעל את ממשקי הבקרה בינה ובין הרשויות המקומיות ואת משכי הזמן לאישור התכנון המפורט ותאפשר חיסכון ב</w:t>
      </w:r>
      <w:r w:rsidRPr="00F043A8">
        <w:rPr>
          <w:rFonts w:hint="eastAsia"/>
          <w:rtl/>
        </w:rPr>
        <w:t>עלויות</w:t>
      </w:r>
      <w:r w:rsidRPr="00F043A8">
        <w:rPr>
          <w:rtl/>
        </w:rPr>
        <w:t xml:space="preserve"> </w:t>
      </w:r>
      <w:r>
        <w:rPr>
          <w:rFonts w:hint="cs"/>
          <w:rtl/>
        </w:rPr>
        <w:t>ה</w:t>
      </w:r>
      <w:r w:rsidRPr="00F043A8">
        <w:rPr>
          <w:rtl/>
        </w:rPr>
        <w:t xml:space="preserve">תכנון </w:t>
      </w:r>
      <w:r w:rsidRPr="00F043A8">
        <w:rPr>
          <w:rFonts w:hint="eastAsia"/>
          <w:rtl/>
        </w:rPr>
        <w:t>של</w:t>
      </w:r>
      <w:r w:rsidRPr="00F043A8">
        <w:rPr>
          <w:rtl/>
        </w:rPr>
        <w:t xml:space="preserve"> פרויקטים </w:t>
      </w:r>
      <w:r>
        <w:rPr>
          <w:rFonts w:hint="cs"/>
          <w:rtl/>
        </w:rPr>
        <w:t>ש</w:t>
      </w:r>
      <w:r w:rsidRPr="00F043A8">
        <w:rPr>
          <w:rFonts w:hint="eastAsia"/>
          <w:rtl/>
        </w:rPr>
        <w:t>הוות</w:t>
      </w:r>
      <w:r w:rsidRPr="00F043A8">
        <w:rPr>
          <w:rtl/>
        </w:rPr>
        <w:t>"פ</w:t>
      </w:r>
      <w:r>
        <w:rPr>
          <w:rFonts w:hint="cs"/>
          <w:rtl/>
        </w:rPr>
        <w:t xml:space="preserve"> אינו מכיר בהם</w:t>
      </w:r>
      <w:r w:rsidRPr="00F043A8">
        <w:rPr>
          <w:rtl/>
        </w:rPr>
        <w:t>.</w:t>
      </w:r>
    </w:p>
    <w:p w14:paraId="749CFDAF" w14:textId="77777777" w:rsidR="008F29CE" w:rsidRDefault="000A4591" w:rsidP="008F29CE">
      <w:pPr>
        <w:pStyle w:val="7190"/>
        <w:rPr>
          <w:rtl/>
        </w:rPr>
      </w:pPr>
      <w:r w:rsidRPr="00263A61">
        <w:rPr>
          <w:rFonts w:hint="cs"/>
          <w:rtl/>
        </w:rPr>
        <w:t xml:space="preserve">אגף החשכ"ל מסר בתשובתו כי </w:t>
      </w:r>
      <w:r w:rsidRPr="00263A61">
        <w:rPr>
          <w:rtl/>
        </w:rPr>
        <w:t xml:space="preserve">משרד האוצר פועל באופן עקבי עם שאר הגורמים הרלוונטיים, כדי לשמור על קווים מנחים אחידים ככל הניתן בכל הקשור </w:t>
      </w:r>
      <w:r w:rsidRPr="00263A61">
        <w:rPr>
          <w:rFonts w:hint="cs"/>
          <w:rtl/>
        </w:rPr>
        <w:t>ל</w:t>
      </w:r>
      <w:r w:rsidRPr="00263A61">
        <w:rPr>
          <w:rtl/>
        </w:rPr>
        <w:t xml:space="preserve">הוצאות הפיתוח, אולם עקב ההבדלים בין הרשויות המקומיות </w:t>
      </w:r>
      <w:r w:rsidRPr="00263A61">
        <w:rPr>
          <w:rFonts w:hint="cs"/>
          <w:rtl/>
        </w:rPr>
        <w:t>השונות ב</w:t>
      </w:r>
      <w:r w:rsidRPr="00263A61">
        <w:rPr>
          <w:rtl/>
        </w:rPr>
        <w:t xml:space="preserve">מצאי התשתיות הקיים, </w:t>
      </w:r>
      <w:r w:rsidRPr="00263A61">
        <w:rPr>
          <w:rFonts w:hint="cs"/>
          <w:rtl/>
        </w:rPr>
        <w:t>ב</w:t>
      </w:r>
      <w:r w:rsidRPr="00263A61">
        <w:rPr>
          <w:rtl/>
        </w:rPr>
        <w:t xml:space="preserve">צורכי הפיתוח החדש, </w:t>
      </w:r>
      <w:r w:rsidRPr="00263A61">
        <w:rPr>
          <w:rFonts w:hint="cs"/>
          <w:rtl/>
        </w:rPr>
        <w:t>ב</w:t>
      </w:r>
      <w:r w:rsidRPr="00263A61">
        <w:rPr>
          <w:rtl/>
        </w:rPr>
        <w:t xml:space="preserve">השפעות של שיפועים ותוואי השטח </w:t>
      </w:r>
      <w:r w:rsidRPr="00263A61">
        <w:rPr>
          <w:rFonts w:hint="cs"/>
          <w:rtl/>
        </w:rPr>
        <w:t>וכיוצא בזה,</w:t>
      </w:r>
      <w:r w:rsidRPr="00263A61">
        <w:rPr>
          <w:rtl/>
        </w:rPr>
        <w:t xml:space="preserve"> קיים קושי בקביעת הנחיות אחידות בתחום הפיתוח ואומדני עלויות הפיתוח. </w:t>
      </w:r>
      <w:r w:rsidRPr="00263A61">
        <w:rPr>
          <w:rFonts w:hint="cs"/>
          <w:rtl/>
        </w:rPr>
        <w:t xml:space="preserve">עוד מסר אגף החשכ"ל כי </w:t>
      </w:r>
      <w:r w:rsidRPr="00263A61">
        <w:rPr>
          <w:rtl/>
        </w:rPr>
        <w:t>כל הצעה לקביעת כללים להעמסת הוצאות פיתוח כפופה לאישור הו</w:t>
      </w:r>
      <w:r w:rsidRPr="00263A61">
        <w:rPr>
          <w:rFonts w:hint="cs"/>
          <w:rtl/>
        </w:rPr>
        <w:t>ו</w:t>
      </w:r>
      <w:r w:rsidRPr="00263A61">
        <w:rPr>
          <w:rtl/>
        </w:rPr>
        <w:t>ת״פ</w:t>
      </w:r>
      <w:r w:rsidRPr="00263A61">
        <w:rPr>
          <w:rFonts w:hint="cs"/>
          <w:rtl/>
        </w:rPr>
        <w:t>.</w:t>
      </w:r>
    </w:p>
    <w:p w14:paraId="4909B031" w14:textId="0B346896" w:rsidR="000A4591" w:rsidRPr="00A9131D" w:rsidRDefault="000A4591" w:rsidP="008F29CE">
      <w:pPr>
        <w:pStyle w:val="7190"/>
        <w:rPr>
          <w:b/>
          <w:bCs/>
          <w:rtl/>
        </w:rPr>
      </w:pPr>
      <w:r>
        <w:rPr>
          <w:rFonts w:hint="cs"/>
          <w:rtl/>
        </w:rPr>
        <w:t xml:space="preserve"> </w:t>
      </w:r>
    </w:p>
    <w:p w14:paraId="42042E77" w14:textId="77777777" w:rsidR="000A4591" w:rsidRDefault="000A4591" w:rsidP="008F29CE">
      <w:pPr>
        <w:pStyle w:val="71512"/>
        <w:rPr>
          <w:rtl/>
        </w:rPr>
      </w:pPr>
      <w:r>
        <w:rPr>
          <w:rFonts w:hint="cs"/>
          <w:rtl/>
        </w:rPr>
        <w:t>השגת חיסכון בעלויות הפיתוח באמצעות מכרז</w:t>
      </w:r>
    </w:p>
    <w:p w14:paraId="357753E9" w14:textId="77777777" w:rsidR="000A4591" w:rsidRDefault="000A4591" w:rsidP="008F29CE">
      <w:pPr>
        <w:pStyle w:val="7190"/>
        <w:rPr>
          <w:rtl/>
        </w:rPr>
      </w:pPr>
      <w:r>
        <w:rPr>
          <w:rFonts w:hint="cs"/>
          <w:rtl/>
        </w:rPr>
        <w:t xml:space="preserve">ככלל, </w:t>
      </w:r>
      <w:r w:rsidRPr="00EE3876">
        <w:rPr>
          <w:rtl/>
        </w:rPr>
        <w:t xml:space="preserve">לפי הקבוע בהסכמי הגג, </w:t>
      </w:r>
      <w:r>
        <w:rPr>
          <w:rFonts w:hint="cs"/>
          <w:rtl/>
        </w:rPr>
        <w:t>לאחר אישור הוות"פ, הרשות המקומית מתקשרת עם קבלנים לביצוע עבודות הפיתוח לאחר ביצוע מכרז, וכך נעשה שימוש גם במנגנון השוק לצורך השגת החיסכון. קודם ל</w:t>
      </w:r>
      <w:r w:rsidRPr="00142255">
        <w:rPr>
          <w:rtl/>
        </w:rPr>
        <w:t xml:space="preserve">פרסום </w:t>
      </w:r>
      <w:r>
        <w:rPr>
          <w:rFonts w:hint="cs"/>
          <w:rtl/>
        </w:rPr>
        <w:t>ה</w:t>
      </w:r>
      <w:r w:rsidRPr="00142255">
        <w:rPr>
          <w:rtl/>
        </w:rPr>
        <w:t xml:space="preserve">מכרז </w:t>
      </w:r>
      <w:r>
        <w:rPr>
          <w:rFonts w:hint="cs"/>
          <w:rtl/>
        </w:rPr>
        <w:t>פונה הרשות המקומית</w:t>
      </w:r>
      <w:r w:rsidRPr="00142255">
        <w:rPr>
          <w:rtl/>
        </w:rPr>
        <w:t xml:space="preserve"> למשרד</w:t>
      </w:r>
      <w:r>
        <w:rPr>
          <w:rFonts w:hint="cs"/>
          <w:rtl/>
        </w:rPr>
        <w:t xml:space="preserve"> הבינוי או לרמ"י</w:t>
      </w:r>
      <w:r w:rsidRPr="00142255">
        <w:rPr>
          <w:rtl/>
        </w:rPr>
        <w:t xml:space="preserve"> לצורך קבלת אישור תקציבי להתקשרות כאמור</w:t>
      </w:r>
      <w:r>
        <w:rPr>
          <w:rFonts w:hint="cs"/>
          <w:rtl/>
        </w:rPr>
        <w:t>,</w:t>
      </w:r>
      <w:r w:rsidRPr="00142255">
        <w:rPr>
          <w:rtl/>
        </w:rPr>
        <w:t xml:space="preserve"> וכן לצורך אישור תנאי הסף של אותו מכרז. </w:t>
      </w:r>
      <w:r>
        <w:rPr>
          <w:rFonts w:hint="cs"/>
          <w:rtl/>
        </w:rPr>
        <w:t>כמו כן, נציג של משרד הבינוי או רמ"י</w:t>
      </w:r>
      <w:r w:rsidRPr="00D4287D">
        <w:rPr>
          <w:rtl/>
        </w:rPr>
        <w:t xml:space="preserve">, </w:t>
      </w:r>
      <w:r>
        <w:rPr>
          <w:rFonts w:hint="cs"/>
          <w:rtl/>
        </w:rPr>
        <w:t>מ</w:t>
      </w:r>
      <w:r w:rsidRPr="00D4287D">
        <w:rPr>
          <w:rtl/>
        </w:rPr>
        <w:t>שמש משקי</w:t>
      </w:r>
      <w:r>
        <w:rPr>
          <w:rFonts w:hint="cs"/>
          <w:rtl/>
        </w:rPr>
        <w:t>ף</w:t>
      </w:r>
      <w:r w:rsidRPr="00D4287D">
        <w:rPr>
          <w:rtl/>
        </w:rPr>
        <w:t xml:space="preserve"> בוועדת המכרזים מטעם ה</w:t>
      </w:r>
      <w:r>
        <w:rPr>
          <w:rFonts w:hint="cs"/>
          <w:rtl/>
        </w:rPr>
        <w:t>רשות המקומית.</w:t>
      </w:r>
    </w:p>
    <w:p w14:paraId="13A2790C" w14:textId="77777777" w:rsidR="000A4591" w:rsidRDefault="000A4591" w:rsidP="008F29CE">
      <w:pPr>
        <w:pStyle w:val="7190"/>
        <w:rPr>
          <w:rtl/>
        </w:rPr>
      </w:pPr>
      <w:r>
        <w:rPr>
          <w:rFonts w:hint="cs"/>
          <w:rtl/>
        </w:rPr>
        <w:t xml:space="preserve">בכל המכרזים שנבדקו הרשות המקומית פרסמה מכרזים בשיטת "בהנחה מאומדן", ובה </w:t>
      </w:r>
      <w:r w:rsidRPr="004A24F6">
        <w:rPr>
          <w:rtl/>
        </w:rPr>
        <w:t xml:space="preserve">מתחרים המציעים על שיעור ההנחה </w:t>
      </w:r>
      <w:r>
        <w:rPr>
          <w:rFonts w:hint="cs"/>
          <w:rtl/>
        </w:rPr>
        <w:t>יחסית ל</w:t>
      </w:r>
      <w:r w:rsidRPr="004A24F6">
        <w:rPr>
          <w:rtl/>
        </w:rPr>
        <w:t>אומדן שבכתב הכמויות</w:t>
      </w:r>
      <w:r>
        <w:rPr>
          <w:rFonts w:hint="cs"/>
          <w:rtl/>
        </w:rPr>
        <w:t xml:space="preserve"> הנכלל במכרז, באופן שבהצעה הזוכה תתומחר העבודה בהנחה הגדולה ביותר יחסית לאומדן שאושר בוות"פ. יצוין כי ככלל במסגרת כל פרויקט מפורסמים כמה מכרזים לביצועו בהתאם לסוג העבודה ולשלב שבו נמצא הפרויקט, למשל מכרז לפריצת דרכים ועבודות עפר ומכרז לביצוע עבודות תשתית וריבוד.</w:t>
      </w:r>
    </w:p>
    <w:p w14:paraId="3DD768E5" w14:textId="77777777" w:rsidR="000A4591" w:rsidRDefault="000A4591" w:rsidP="008F29CE">
      <w:pPr>
        <w:pStyle w:val="7190"/>
        <w:rPr>
          <w:rtl/>
        </w:rPr>
      </w:pPr>
      <w:r>
        <w:rPr>
          <w:rFonts w:hint="cs"/>
          <w:rtl/>
        </w:rPr>
        <w:t>להלן בלוח 5 יוצגו מספר מכרזים שפרסמו רשויות מקומיות לביצוע עבודות פיתוח בפרויקטים שבתחום שיפוטן:</w:t>
      </w:r>
    </w:p>
    <w:p w14:paraId="0BDFE519" w14:textId="77777777" w:rsidR="000A4591" w:rsidRDefault="000A4591" w:rsidP="000A4591">
      <w:pPr>
        <w:jc w:val="center"/>
        <w:rPr>
          <w:b/>
          <w:bCs/>
          <w:rtl/>
        </w:rPr>
      </w:pPr>
    </w:p>
    <w:p w14:paraId="2764A3A2" w14:textId="77777777" w:rsidR="000A4591" w:rsidRPr="007C504F" w:rsidRDefault="000A4591" w:rsidP="00B02873">
      <w:pPr>
        <w:pStyle w:val="71b"/>
        <w:rPr>
          <w:rtl/>
        </w:rPr>
      </w:pPr>
      <w:r w:rsidRPr="00B02873">
        <w:rPr>
          <w:rFonts w:hint="cs"/>
          <w:b w:val="0"/>
          <w:bCs w:val="0"/>
          <w:rtl/>
        </w:rPr>
        <w:lastRenderedPageBreak/>
        <w:t>לוח 5:</w:t>
      </w:r>
      <w:r w:rsidRPr="007C504F">
        <w:rPr>
          <w:rFonts w:hint="cs"/>
          <w:rtl/>
        </w:rPr>
        <w:t xml:space="preserve"> מכרזים שפרסמו רשויות מקומיות לביצוע עבודות פיתוח בפרויקטים שבתחו</w:t>
      </w:r>
      <w:r>
        <w:rPr>
          <w:rFonts w:hint="cs"/>
          <w:rtl/>
        </w:rPr>
        <w:t>ם שיפוטן</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078"/>
        <w:gridCol w:w="1974"/>
        <w:gridCol w:w="1077"/>
        <w:gridCol w:w="1077"/>
        <w:gridCol w:w="1077"/>
        <w:gridCol w:w="1077"/>
      </w:tblGrid>
      <w:tr w:rsidR="000A4591" w:rsidRPr="000A744B" w14:paraId="52B0A76F" w14:textId="77777777" w:rsidTr="00B12F67">
        <w:trPr>
          <w:cantSplit/>
          <w:trHeight w:val="1403"/>
          <w:tblHeader/>
          <w:jc w:val="right"/>
        </w:trPr>
        <w:tc>
          <w:tcPr>
            <w:tcW w:w="1078" w:type="dxa"/>
            <w:shd w:val="clear" w:color="auto" w:fill="C6DCE4"/>
            <w:hideMark/>
          </w:tcPr>
          <w:p w14:paraId="5190F50B" w14:textId="77777777" w:rsidR="000A4591" w:rsidRPr="000A744B" w:rsidRDefault="000A4591" w:rsidP="00B02873">
            <w:pPr>
              <w:pStyle w:val="71R"/>
              <w:spacing w:before="0"/>
              <w:rPr>
                <w:b/>
                <w:bCs/>
              </w:rPr>
            </w:pPr>
            <w:r w:rsidRPr="000A744B">
              <w:rPr>
                <w:rFonts w:hint="cs"/>
                <w:b/>
                <w:bCs/>
                <w:rtl/>
              </w:rPr>
              <w:t>הרשות המקומית</w:t>
            </w:r>
          </w:p>
        </w:tc>
        <w:tc>
          <w:tcPr>
            <w:tcW w:w="1974" w:type="dxa"/>
            <w:shd w:val="clear" w:color="auto" w:fill="C6DCE4"/>
            <w:hideMark/>
          </w:tcPr>
          <w:p w14:paraId="41157599" w14:textId="77777777" w:rsidR="000A4591" w:rsidRPr="000A744B" w:rsidRDefault="000A4591" w:rsidP="00B02873">
            <w:pPr>
              <w:pStyle w:val="71R"/>
              <w:spacing w:before="0"/>
              <w:rPr>
                <w:b/>
                <w:bCs/>
                <w:rtl/>
              </w:rPr>
            </w:pPr>
            <w:r w:rsidRPr="000A744B">
              <w:rPr>
                <w:rFonts w:hint="cs"/>
                <w:b/>
                <w:bCs/>
                <w:rtl/>
              </w:rPr>
              <w:t>ה</w:t>
            </w:r>
            <w:r w:rsidRPr="000A744B">
              <w:rPr>
                <w:rFonts w:hint="eastAsia"/>
                <w:b/>
                <w:bCs/>
                <w:rtl/>
              </w:rPr>
              <w:t>פרויקט</w:t>
            </w:r>
          </w:p>
        </w:tc>
        <w:tc>
          <w:tcPr>
            <w:tcW w:w="1077" w:type="dxa"/>
            <w:shd w:val="clear" w:color="auto" w:fill="C6DCE4"/>
            <w:hideMark/>
          </w:tcPr>
          <w:p w14:paraId="6F4D36CF" w14:textId="77777777" w:rsidR="000A4591" w:rsidRPr="000A744B" w:rsidRDefault="000A4591" w:rsidP="00B02873">
            <w:pPr>
              <w:pStyle w:val="71R"/>
              <w:spacing w:before="0"/>
              <w:rPr>
                <w:b/>
                <w:bCs/>
                <w:rtl/>
              </w:rPr>
            </w:pPr>
            <w:r w:rsidRPr="000A744B">
              <w:rPr>
                <w:rFonts w:hint="eastAsia"/>
                <w:b/>
                <w:bCs/>
                <w:rtl/>
              </w:rPr>
              <w:t>אומדן</w:t>
            </w:r>
            <w:r w:rsidRPr="000A744B">
              <w:rPr>
                <w:b/>
                <w:bCs/>
                <w:rtl/>
              </w:rPr>
              <w:t xml:space="preserve"> עלויות שאושר </w:t>
            </w:r>
            <w:r w:rsidRPr="000A744B">
              <w:rPr>
                <w:rFonts w:hint="eastAsia"/>
                <w:b/>
                <w:bCs/>
                <w:rtl/>
              </w:rPr>
              <w:t>בוות</w:t>
            </w:r>
            <w:r w:rsidRPr="000A744B">
              <w:rPr>
                <w:b/>
                <w:bCs/>
                <w:rtl/>
              </w:rPr>
              <w:t>"פ (</w:t>
            </w:r>
            <w:r w:rsidRPr="000A744B">
              <w:rPr>
                <w:rFonts w:hint="eastAsia"/>
                <w:b/>
                <w:bCs/>
                <w:rtl/>
              </w:rPr>
              <w:t>במיליוני</w:t>
            </w:r>
            <w:r w:rsidRPr="000A744B">
              <w:rPr>
                <w:b/>
                <w:bCs/>
                <w:rtl/>
              </w:rPr>
              <w:t xml:space="preserve"> ש"ח)</w:t>
            </w:r>
          </w:p>
        </w:tc>
        <w:tc>
          <w:tcPr>
            <w:tcW w:w="1077" w:type="dxa"/>
            <w:shd w:val="clear" w:color="auto" w:fill="C6DCE4"/>
            <w:hideMark/>
          </w:tcPr>
          <w:p w14:paraId="003CA74D" w14:textId="77777777" w:rsidR="000A4591" w:rsidRPr="000A744B" w:rsidRDefault="000A4591" w:rsidP="00B02873">
            <w:pPr>
              <w:pStyle w:val="71R"/>
              <w:spacing w:before="0"/>
              <w:rPr>
                <w:b/>
                <w:bCs/>
                <w:rtl/>
              </w:rPr>
            </w:pPr>
            <w:r w:rsidRPr="000A744B">
              <w:rPr>
                <w:rFonts w:hint="cs"/>
                <w:b/>
                <w:bCs/>
                <w:rtl/>
              </w:rPr>
              <w:t>ה</w:t>
            </w:r>
            <w:r w:rsidRPr="000A744B">
              <w:rPr>
                <w:rFonts w:hint="eastAsia"/>
                <w:b/>
                <w:bCs/>
                <w:rtl/>
              </w:rPr>
              <w:t>מחיר</w:t>
            </w:r>
            <w:r w:rsidRPr="000A744B">
              <w:rPr>
                <w:b/>
                <w:bCs/>
                <w:rtl/>
              </w:rPr>
              <w:t xml:space="preserve"> </w:t>
            </w:r>
            <w:r w:rsidRPr="000A744B">
              <w:rPr>
                <w:rFonts w:hint="cs"/>
                <w:b/>
                <w:bCs/>
                <w:rtl/>
              </w:rPr>
              <w:t>ה</w:t>
            </w:r>
            <w:r w:rsidRPr="000A744B">
              <w:rPr>
                <w:rFonts w:hint="eastAsia"/>
                <w:b/>
                <w:bCs/>
                <w:rtl/>
              </w:rPr>
              <w:t>סופי</w:t>
            </w:r>
            <w:r w:rsidRPr="000A744B">
              <w:rPr>
                <w:b/>
                <w:bCs/>
                <w:rtl/>
              </w:rPr>
              <w:t xml:space="preserve"> </w:t>
            </w:r>
            <w:r w:rsidRPr="000A744B">
              <w:rPr>
                <w:rFonts w:hint="eastAsia"/>
                <w:b/>
                <w:bCs/>
                <w:rtl/>
              </w:rPr>
              <w:t>במכרז</w:t>
            </w:r>
            <w:r w:rsidRPr="000A744B">
              <w:rPr>
                <w:rFonts w:hint="cs"/>
                <w:b/>
                <w:bCs/>
                <w:rtl/>
              </w:rPr>
              <w:t xml:space="preserve"> (במיליוני ש"ח)</w:t>
            </w:r>
          </w:p>
        </w:tc>
        <w:tc>
          <w:tcPr>
            <w:tcW w:w="1077" w:type="dxa"/>
            <w:shd w:val="clear" w:color="auto" w:fill="C6DCE4"/>
            <w:hideMark/>
          </w:tcPr>
          <w:p w14:paraId="31EAF171" w14:textId="77777777" w:rsidR="000A4591" w:rsidRPr="000A744B" w:rsidRDefault="000A4591" w:rsidP="00B02873">
            <w:pPr>
              <w:pStyle w:val="71R"/>
              <w:spacing w:before="0"/>
              <w:rPr>
                <w:b/>
                <w:bCs/>
                <w:rtl/>
              </w:rPr>
            </w:pPr>
            <w:r w:rsidRPr="000A744B">
              <w:rPr>
                <w:rFonts w:hint="cs"/>
                <w:b/>
                <w:bCs/>
                <w:rtl/>
              </w:rPr>
              <w:t>ה</w:t>
            </w:r>
            <w:r w:rsidRPr="000A744B">
              <w:rPr>
                <w:rFonts w:hint="eastAsia"/>
                <w:b/>
                <w:bCs/>
                <w:rtl/>
              </w:rPr>
              <w:t>חיסכון</w:t>
            </w:r>
            <w:r w:rsidRPr="000A744B">
              <w:rPr>
                <w:b/>
                <w:bCs/>
                <w:rtl/>
              </w:rPr>
              <w:t xml:space="preserve"> </w:t>
            </w:r>
            <w:r w:rsidRPr="000A744B">
              <w:rPr>
                <w:rFonts w:hint="eastAsia"/>
                <w:b/>
                <w:bCs/>
                <w:rtl/>
              </w:rPr>
              <w:t>בעלויות</w:t>
            </w:r>
            <w:r w:rsidRPr="000A744B">
              <w:rPr>
                <w:b/>
                <w:bCs/>
                <w:rtl/>
              </w:rPr>
              <w:t xml:space="preserve"> (</w:t>
            </w:r>
            <w:r w:rsidRPr="000A744B">
              <w:rPr>
                <w:rFonts w:hint="eastAsia"/>
                <w:b/>
                <w:bCs/>
                <w:rtl/>
              </w:rPr>
              <w:t>במיליוני</w:t>
            </w:r>
            <w:r w:rsidRPr="000A744B">
              <w:rPr>
                <w:b/>
                <w:bCs/>
                <w:rtl/>
              </w:rPr>
              <w:t xml:space="preserve"> ש"ח)</w:t>
            </w:r>
          </w:p>
        </w:tc>
        <w:tc>
          <w:tcPr>
            <w:tcW w:w="1077" w:type="dxa"/>
            <w:shd w:val="clear" w:color="auto" w:fill="C6DCE4"/>
            <w:hideMark/>
          </w:tcPr>
          <w:p w14:paraId="1D3D45EF" w14:textId="77777777" w:rsidR="000A4591" w:rsidRPr="000A744B" w:rsidRDefault="000A4591" w:rsidP="00B02873">
            <w:pPr>
              <w:pStyle w:val="71R"/>
              <w:spacing w:before="0"/>
              <w:rPr>
                <w:b/>
                <w:bCs/>
                <w:rtl/>
              </w:rPr>
            </w:pPr>
            <w:r w:rsidRPr="000A744B">
              <w:rPr>
                <w:rFonts w:hint="eastAsia"/>
                <w:b/>
                <w:bCs/>
                <w:rtl/>
              </w:rPr>
              <w:t>שיעור</w:t>
            </w:r>
            <w:r w:rsidRPr="000A744B">
              <w:rPr>
                <w:b/>
                <w:bCs/>
                <w:rtl/>
              </w:rPr>
              <w:t xml:space="preserve"> </w:t>
            </w:r>
            <w:r w:rsidRPr="000A744B">
              <w:rPr>
                <w:rFonts w:hint="eastAsia"/>
                <w:b/>
                <w:bCs/>
                <w:rtl/>
              </w:rPr>
              <w:t>החיסכון</w:t>
            </w:r>
          </w:p>
        </w:tc>
      </w:tr>
      <w:tr w:rsidR="00721E89" w14:paraId="00DD44BD" w14:textId="77777777" w:rsidTr="00B12F67">
        <w:trPr>
          <w:cantSplit/>
          <w:trHeight w:val="300"/>
          <w:tblHeader/>
          <w:jc w:val="right"/>
        </w:trPr>
        <w:tc>
          <w:tcPr>
            <w:tcW w:w="1078" w:type="dxa"/>
            <w:vMerge w:val="restart"/>
            <w:shd w:val="clear" w:color="auto" w:fill="DBE8EE"/>
            <w:noWrap/>
          </w:tcPr>
          <w:p w14:paraId="6DFD7CF3" w14:textId="430F461D" w:rsidR="00721E89" w:rsidRPr="00721E89" w:rsidRDefault="00721E89" w:rsidP="00E15F40">
            <w:pPr>
              <w:pStyle w:val="71R"/>
              <w:spacing w:before="0" w:after="0"/>
              <w:rPr>
                <w:b/>
                <w:bCs/>
                <w:rtl/>
              </w:rPr>
            </w:pPr>
            <w:r w:rsidRPr="00721E89">
              <w:rPr>
                <w:rFonts w:hint="eastAsia"/>
                <w:b/>
                <w:bCs/>
                <w:rtl/>
              </w:rPr>
              <w:t>רמלה</w:t>
            </w:r>
          </w:p>
        </w:tc>
        <w:tc>
          <w:tcPr>
            <w:tcW w:w="6282" w:type="dxa"/>
            <w:gridSpan w:val="5"/>
            <w:shd w:val="clear" w:color="auto" w:fill="DBE8EE"/>
            <w:noWrap/>
          </w:tcPr>
          <w:p w14:paraId="5243749B" w14:textId="52CCE8DB" w:rsidR="00721E89" w:rsidRPr="00721E89" w:rsidRDefault="00721E89" w:rsidP="00E15F40">
            <w:pPr>
              <w:pStyle w:val="71R"/>
              <w:spacing w:before="0"/>
              <w:rPr>
                <w:b/>
                <w:bCs/>
                <w:rtl/>
              </w:rPr>
            </w:pPr>
            <w:r w:rsidRPr="00721E89">
              <w:rPr>
                <w:rFonts w:hint="eastAsia"/>
                <w:b/>
                <w:bCs/>
                <w:rtl/>
              </w:rPr>
              <w:t>רמלה</w:t>
            </w:r>
            <w:r w:rsidRPr="00721E89">
              <w:rPr>
                <w:b/>
                <w:bCs/>
                <w:rtl/>
              </w:rPr>
              <w:t xml:space="preserve"> </w:t>
            </w:r>
            <w:r w:rsidRPr="00721E89">
              <w:rPr>
                <w:rFonts w:hint="eastAsia"/>
                <w:b/>
                <w:bCs/>
                <w:rtl/>
              </w:rPr>
              <w:t>מערב</w:t>
            </w:r>
          </w:p>
        </w:tc>
      </w:tr>
      <w:tr w:rsidR="00721E89" w14:paraId="4C3EE3D8" w14:textId="77777777" w:rsidTr="00B12F67">
        <w:trPr>
          <w:cantSplit/>
          <w:trHeight w:val="300"/>
          <w:tblHeader/>
          <w:jc w:val="right"/>
        </w:trPr>
        <w:tc>
          <w:tcPr>
            <w:tcW w:w="1078" w:type="dxa"/>
            <w:vMerge/>
            <w:shd w:val="clear" w:color="auto" w:fill="DBE8EE"/>
            <w:noWrap/>
          </w:tcPr>
          <w:p w14:paraId="11D3B510" w14:textId="77777777" w:rsidR="00721E89" w:rsidRPr="00721E89" w:rsidRDefault="00721E89" w:rsidP="00BE64FF">
            <w:pPr>
              <w:pStyle w:val="71R"/>
              <w:spacing w:before="0"/>
              <w:rPr>
                <w:b/>
                <w:bCs/>
                <w:rtl/>
              </w:rPr>
            </w:pPr>
          </w:p>
        </w:tc>
        <w:tc>
          <w:tcPr>
            <w:tcW w:w="1974" w:type="dxa"/>
            <w:shd w:val="clear" w:color="auto" w:fill="DBE8EE"/>
            <w:noWrap/>
          </w:tcPr>
          <w:p w14:paraId="01D5EF0C" w14:textId="327E6CD0" w:rsidR="00721E89" w:rsidRPr="00A710FF" w:rsidRDefault="00721E89" w:rsidP="00BE64FF">
            <w:pPr>
              <w:pStyle w:val="71R"/>
              <w:spacing w:before="0"/>
              <w:rPr>
                <w:rtl/>
              </w:rPr>
            </w:pPr>
            <w:r w:rsidRPr="00A710FF">
              <w:rPr>
                <w:rFonts w:hint="eastAsia"/>
                <w:rtl/>
              </w:rPr>
              <w:t>עבודות</w:t>
            </w:r>
            <w:r w:rsidRPr="00A710FF">
              <w:rPr>
                <w:rtl/>
              </w:rPr>
              <w:t xml:space="preserve"> עפר, כבישים ופיתוח שטחים ציבוריים</w:t>
            </w:r>
          </w:p>
        </w:tc>
        <w:tc>
          <w:tcPr>
            <w:tcW w:w="1077" w:type="dxa"/>
            <w:shd w:val="clear" w:color="auto" w:fill="DBE8EE"/>
            <w:noWrap/>
          </w:tcPr>
          <w:p w14:paraId="074056BC" w14:textId="1AD8DC1C" w:rsidR="00721E89" w:rsidRPr="00A710FF" w:rsidRDefault="00721E89" w:rsidP="00BE64FF">
            <w:pPr>
              <w:pStyle w:val="71R"/>
              <w:spacing w:before="0"/>
              <w:rPr>
                <w:rtl/>
              </w:rPr>
            </w:pPr>
            <w:r w:rsidRPr="00A710FF">
              <w:rPr>
                <w:rtl/>
              </w:rPr>
              <w:t>32</w:t>
            </w:r>
          </w:p>
        </w:tc>
        <w:tc>
          <w:tcPr>
            <w:tcW w:w="1077" w:type="dxa"/>
            <w:shd w:val="clear" w:color="auto" w:fill="DBE8EE"/>
            <w:noWrap/>
          </w:tcPr>
          <w:p w14:paraId="4A4C26B1" w14:textId="0C80D89F" w:rsidR="00721E89" w:rsidRPr="00A710FF" w:rsidRDefault="00721E89" w:rsidP="00BE64FF">
            <w:pPr>
              <w:pStyle w:val="71R"/>
              <w:spacing w:before="0"/>
              <w:rPr>
                <w:rtl/>
              </w:rPr>
            </w:pPr>
            <w:r w:rsidRPr="00A710FF">
              <w:rPr>
                <w:rtl/>
              </w:rPr>
              <w:t>25</w:t>
            </w:r>
          </w:p>
        </w:tc>
        <w:tc>
          <w:tcPr>
            <w:tcW w:w="1077" w:type="dxa"/>
            <w:shd w:val="clear" w:color="auto" w:fill="DBE8EE"/>
            <w:noWrap/>
          </w:tcPr>
          <w:p w14:paraId="66752E34" w14:textId="4602F2F3" w:rsidR="00721E89" w:rsidRPr="00A710FF" w:rsidRDefault="00721E89" w:rsidP="00BE64FF">
            <w:pPr>
              <w:pStyle w:val="71R"/>
              <w:spacing w:before="0"/>
              <w:rPr>
                <w:rtl/>
              </w:rPr>
            </w:pPr>
            <w:r w:rsidRPr="00A710FF">
              <w:rPr>
                <w:rtl/>
              </w:rPr>
              <w:t>7</w:t>
            </w:r>
          </w:p>
        </w:tc>
        <w:tc>
          <w:tcPr>
            <w:tcW w:w="1077" w:type="dxa"/>
            <w:shd w:val="clear" w:color="auto" w:fill="DBE8EE"/>
            <w:noWrap/>
          </w:tcPr>
          <w:p w14:paraId="387A709C" w14:textId="7A2F2E0A" w:rsidR="00721E89" w:rsidRDefault="00721E89" w:rsidP="00BE64FF">
            <w:pPr>
              <w:pStyle w:val="71R"/>
              <w:spacing w:before="0"/>
              <w:rPr>
                <w:rtl/>
              </w:rPr>
            </w:pPr>
            <w:r w:rsidRPr="00A710FF">
              <w:rPr>
                <w:rtl/>
              </w:rPr>
              <w:t>22%</w:t>
            </w:r>
          </w:p>
        </w:tc>
      </w:tr>
      <w:tr w:rsidR="00721E89" w14:paraId="4F4F6025" w14:textId="77777777" w:rsidTr="00B12F67">
        <w:trPr>
          <w:cantSplit/>
          <w:trHeight w:val="300"/>
          <w:tblHeader/>
          <w:jc w:val="right"/>
        </w:trPr>
        <w:tc>
          <w:tcPr>
            <w:tcW w:w="1078" w:type="dxa"/>
            <w:vMerge/>
            <w:shd w:val="clear" w:color="auto" w:fill="DBE8EE"/>
            <w:noWrap/>
          </w:tcPr>
          <w:p w14:paraId="1A2F01FD" w14:textId="77777777" w:rsidR="00721E89" w:rsidRPr="00721E89" w:rsidRDefault="00721E89" w:rsidP="00721E89">
            <w:pPr>
              <w:pStyle w:val="71R"/>
              <w:spacing w:before="0"/>
              <w:rPr>
                <w:b/>
                <w:bCs/>
                <w:rtl/>
              </w:rPr>
            </w:pPr>
          </w:p>
        </w:tc>
        <w:tc>
          <w:tcPr>
            <w:tcW w:w="1974" w:type="dxa"/>
            <w:shd w:val="clear" w:color="auto" w:fill="DBE8EE"/>
            <w:noWrap/>
          </w:tcPr>
          <w:p w14:paraId="186BFAFE" w14:textId="38B7B8A8" w:rsidR="00721E89" w:rsidRPr="00A710FF" w:rsidRDefault="00721E89" w:rsidP="00721E89">
            <w:pPr>
              <w:pStyle w:val="71R"/>
              <w:spacing w:before="0"/>
              <w:rPr>
                <w:rtl/>
              </w:rPr>
            </w:pPr>
            <w:r w:rsidRPr="00A710FF">
              <w:rPr>
                <w:rFonts w:hint="eastAsia"/>
                <w:rtl/>
              </w:rPr>
              <w:t>מכרז</w:t>
            </w:r>
            <w:r w:rsidRPr="00A710FF">
              <w:rPr>
                <w:rtl/>
              </w:rPr>
              <w:t xml:space="preserve"> השלמת הפיתוח</w:t>
            </w:r>
          </w:p>
        </w:tc>
        <w:tc>
          <w:tcPr>
            <w:tcW w:w="1077" w:type="dxa"/>
            <w:shd w:val="clear" w:color="auto" w:fill="DBE8EE"/>
            <w:noWrap/>
          </w:tcPr>
          <w:p w14:paraId="01888F9C" w14:textId="4BF9F1CD" w:rsidR="00721E89" w:rsidRPr="00A710FF" w:rsidRDefault="00721E89" w:rsidP="00721E89">
            <w:pPr>
              <w:pStyle w:val="71R"/>
              <w:spacing w:before="0"/>
              <w:rPr>
                <w:rtl/>
              </w:rPr>
            </w:pPr>
            <w:r w:rsidRPr="00A710FF">
              <w:rPr>
                <w:rtl/>
              </w:rPr>
              <w:t>62</w:t>
            </w:r>
          </w:p>
        </w:tc>
        <w:tc>
          <w:tcPr>
            <w:tcW w:w="1077" w:type="dxa"/>
            <w:shd w:val="clear" w:color="auto" w:fill="DBE8EE"/>
            <w:noWrap/>
          </w:tcPr>
          <w:p w14:paraId="6EFA0306" w14:textId="4EBE138C" w:rsidR="00721E89" w:rsidRPr="00A710FF" w:rsidRDefault="00721E89" w:rsidP="00721E89">
            <w:pPr>
              <w:pStyle w:val="71R"/>
              <w:spacing w:before="0"/>
              <w:rPr>
                <w:rtl/>
              </w:rPr>
            </w:pPr>
            <w:r w:rsidRPr="00A710FF">
              <w:rPr>
                <w:rtl/>
              </w:rPr>
              <w:t>57</w:t>
            </w:r>
          </w:p>
        </w:tc>
        <w:tc>
          <w:tcPr>
            <w:tcW w:w="1077" w:type="dxa"/>
            <w:shd w:val="clear" w:color="auto" w:fill="DBE8EE"/>
            <w:noWrap/>
          </w:tcPr>
          <w:p w14:paraId="0852F598" w14:textId="6D00C609" w:rsidR="00721E89" w:rsidRPr="00A710FF" w:rsidRDefault="00721E89" w:rsidP="00721E89">
            <w:pPr>
              <w:pStyle w:val="71R"/>
              <w:spacing w:before="0"/>
              <w:rPr>
                <w:rtl/>
              </w:rPr>
            </w:pPr>
            <w:r w:rsidRPr="00A710FF">
              <w:rPr>
                <w:rtl/>
              </w:rPr>
              <w:t>5</w:t>
            </w:r>
          </w:p>
        </w:tc>
        <w:tc>
          <w:tcPr>
            <w:tcW w:w="1077" w:type="dxa"/>
            <w:shd w:val="clear" w:color="auto" w:fill="DBE8EE"/>
            <w:noWrap/>
          </w:tcPr>
          <w:p w14:paraId="71A48356" w14:textId="51BA41DA" w:rsidR="00721E89" w:rsidRPr="00A710FF" w:rsidRDefault="00721E89" w:rsidP="00721E89">
            <w:pPr>
              <w:pStyle w:val="71R"/>
              <w:spacing w:before="0"/>
              <w:rPr>
                <w:rtl/>
              </w:rPr>
            </w:pPr>
            <w:r>
              <w:rPr>
                <w:rFonts w:hint="cs"/>
                <w:rtl/>
              </w:rPr>
              <w:t>8%</w:t>
            </w:r>
          </w:p>
        </w:tc>
      </w:tr>
      <w:tr w:rsidR="00721E89" w14:paraId="77F58CAE" w14:textId="77777777" w:rsidTr="00B12F67">
        <w:trPr>
          <w:cantSplit/>
          <w:trHeight w:val="300"/>
          <w:tblHeader/>
          <w:jc w:val="right"/>
        </w:trPr>
        <w:tc>
          <w:tcPr>
            <w:tcW w:w="1078" w:type="dxa"/>
            <w:vMerge w:val="restart"/>
            <w:shd w:val="clear" w:color="auto" w:fill="ECF4F5"/>
            <w:noWrap/>
          </w:tcPr>
          <w:p w14:paraId="33B9A6F8" w14:textId="00835E27" w:rsidR="00721E89" w:rsidRPr="00721E89" w:rsidRDefault="00721E89" w:rsidP="00A95BB1">
            <w:pPr>
              <w:pStyle w:val="71R"/>
              <w:spacing w:before="0"/>
              <w:rPr>
                <w:b/>
                <w:bCs/>
                <w:rtl/>
              </w:rPr>
            </w:pPr>
            <w:r w:rsidRPr="00721E89">
              <w:rPr>
                <w:rFonts w:hint="cs"/>
                <w:b/>
                <w:bCs/>
                <w:rtl/>
              </w:rPr>
              <w:t>מודיעין</w:t>
            </w:r>
          </w:p>
        </w:tc>
        <w:tc>
          <w:tcPr>
            <w:tcW w:w="1974" w:type="dxa"/>
            <w:shd w:val="clear" w:color="auto" w:fill="ECF4F5"/>
            <w:noWrap/>
          </w:tcPr>
          <w:p w14:paraId="744745F1" w14:textId="377066D6" w:rsidR="00721E89" w:rsidRPr="00A710FF" w:rsidRDefault="00721E89" w:rsidP="00B02873">
            <w:pPr>
              <w:pStyle w:val="71R"/>
              <w:spacing w:before="0"/>
              <w:rPr>
                <w:rtl/>
              </w:rPr>
            </w:pPr>
            <w:r w:rsidRPr="00721E89">
              <w:rPr>
                <w:rFonts w:hint="eastAsia"/>
                <w:b/>
                <w:bCs/>
                <w:rtl/>
              </w:rPr>
              <w:t>שכונת</w:t>
            </w:r>
            <w:r w:rsidRPr="00721E89">
              <w:rPr>
                <w:b/>
                <w:bCs/>
                <w:rtl/>
              </w:rPr>
              <w:t xml:space="preserve"> </w:t>
            </w:r>
            <w:r w:rsidRPr="00721E89">
              <w:rPr>
                <w:rFonts w:hint="eastAsia"/>
                <w:b/>
                <w:bCs/>
                <w:rtl/>
              </w:rPr>
              <w:t>מורשת</w:t>
            </w:r>
          </w:p>
        </w:tc>
        <w:tc>
          <w:tcPr>
            <w:tcW w:w="1077" w:type="dxa"/>
            <w:shd w:val="clear" w:color="auto" w:fill="ECF4F5"/>
            <w:noWrap/>
          </w:tcPr>
          <w:p w14:paraId="6D532430" w14:textId="4397768C" w:rsidR="00721E89" w:rsidRPr="00A710FF" w:rsidRDefault="00721E89" w:rsidP="00A95BB1">
            <w:pPr>
              <w:pStyle w:val="71R"/>
              <w:spacing w:before="0"/>
              <w:rPr>
                <w:rtl/>
              </w:rPr>
            </w:pPr>
          </w:p>
        </w:tc>
        <w:tc>
          <w:tcPr>
            <w:tcW w:w="1077" w:type="dxa"/>
            <w:shd w:val="clear" w:color="auto" w:fill="ECF4F5"/>
            <w:noWrap/>
          </w:tcPr>
          <w:p w14:paraId="29A0262C" w14:textId="54E72C33" w:rsidR="00721E89" w:rsidRPr="00A710FF" w:rsidRDefault="00721E89" w:rsidP="00A95BB1">
            <w:pPr>
              <w:pStyle w:val="71R"/>
              <w:spacing w:before="0"/>
            </w:pPr>
          </w:p>
        </w:tc>
        <w:tc>
          <w:tcPr>
            <w:tcW w:w="1077" w:type="dxa"/>
            <w:shd w:val="clear" w:color="auto" w:fill="ECF4F5"/>
            <w:noWrap/>
          </w:tcPr>
          <w:p w14:paraId="7FE52CA3" w14:textId="0566D432" w:rsidR="00721E89" w:rsidRPr="00A710FF" w:rsidRDefault="00721E89" w:rsidP="00A95BB1">
            <w:pPr>
              <w:pStyle w:val="71R"/>
              <w:spacing w:before="0"/>
            </w:pPr>
          </w:p>
        </w:tc>
        <w:tc>
          <w:tcPr>
            <w:tcW w:w="1077" w:type="dxa"/>
            <w:shd w:val="clear" w:color="auto" w:fill="ECF4F5"/>
            <w:noWrap/>
          </w:tcPr>
          <w:p w14:paraId="15EE746F" w14:textId="568D4A43" w:rsidR="00721E89" w:rsidRPr="00A710FF" w:rsidRDefault="00721E89" w:rsidP="00A95BB1">
            <w:pPr>
              <w:pStyle w:val="71R"/>
              <w:spacing w:before="0"/>
            </w:pPr>
          </w:p>
        </w:tc>
      </w:tr>
      <w:tr w:rsidR="00A95BB1" w14:paraId="18264CD0" w14:textId="77777777" w:rsidTr="00B12F67">
        <w:trPr>
          <w:cantSplit/>
          <w:trHeight w:val="600"/>
          <w:tblHeader/>
          <w:jc w:val="right"/>
        </w:trPr>
        <w:tc>
          <w:tcPr>
            <w:tcW w:w="1078" w:type="dxa"/>
            <w:vMerge/>
            <w:shd w:val="clear" w:color="auto" w:fill="ECF4F5"/>
            <w:hideMark/>
          </w:tcPr>
          <w:p w14:paraId="1FF95036" w14:textId="77777777" w:rsidR="00A95BB1" w:rsidRPr="00721E89" w:rsidRDefault="00A95BB1" w:rsidP="00B02873">
            <w:pPr>
              <w:pStyle w:val="71R"/>
              <w:spacing w:before="0"/>
              <w:rPr>
                <w:b/>
                <w:bCs/>
              </w:rPr>
            </w:pPr>
          </w:p>
        </w:tc>
        <w:tc>
          <w:tcPr>
            <w:tcW w:w="1974" w:type="dxa"/>
            <w:shd w:val="clear" w:color="auto" w:fill="ECF4F5"/>
            <w:hideMark/>
          </w:tcPr>
          <w:p w14:paraId="3A86E43C" w14:textId="77777777" w:rsidR="00A95BB1" w:rsidRPr="00A710FF" w:rsidRDefault="00A95BB1" w:rsidP="00B02873">
            <w:pPr>
              <w:pStyle w:val="71R"/>
              <w:spacing w:before="0"/>
            </w:pPr>
            <w:r w:rsidRPr="00A710FF">
              <w:rPr>
                <w:rFonts w:hint="eastAsia"/>
                <w:rtl/>
              </w:rPr>
              <w:t>חוזה</w:t>
            </w:r>
            <w:r>
              <w:rPr>
                <w:rFonts w:hint="cs"/>
                <w:rtl/>
              </w:rPr>
              <w:t xml:space="preserve"> </w:t>
            </w:r>
            <w:r w:rsidRPr="00A710FF">
              <w:rPr>
                <w:rtl/>
              </w:rPr>
              <w:t>פריצת דרכים ועבודות עפר</w:t>
            </w:r>
          </w:p>
        </w:tc>
        <w:tc>
          <w:tcPr>
            <w:tcW w:w="1077" w:type="dxa"/>
            <w:shd w:val="clear" w:color="auto" w:fill="ECF4F5"/>
            <w:noWrap/>
            <w:hideMark/>
          </w:tcPr>
          <w:p w14:paraId="63EEA99C" w14:textId="77777777" w:rsidR="00A95BB1" w:rsidRPr="00A710FF" w:rsidRDefault="00A95BB1" w:rsidP="00B02873">
            <w:pPr>
              <w:pStyle w:val="71R"/>
              <w:spacing w:before="0"/>
              <w:rPr>
                <w:rtl/>
              </w:rPr>
            </w:pPr>
            <w:r w:rsidRPr="00A710FF">
              <w:rPr>
                <w:rtl/>
              </w:rPr>
              <w:t>38</w:t>
            </w:r>
          </w:p>
        </w:tc>
        <w:tc>
          <w:tcPr>
            <w:tcW w:w="1077" w:type="dxa"/>
            <w:shd w:val="clear" w:color="auto" w:fill="ECF4F5"/>
            <w:noWrap/>
            <w:hideMark/>
          </w:tcPr>
          <w:p w14:paraId="55EDC161" w14:textId="77777777" w:rsidR="00A95BB1" w:rsidRPr="00A710FF" w:rsidRDefault="00A95BB1" w:rsidP="00B02873">
            <w:pPr>
              <w:pStyle w:val="71R"/>
              <w:spacing w:before="0"/>
              <w:rPr>
                <w:rtl/>
              </w:rPr>
            </w:pPr>
            <w:r w:rsidRPr="00A710FF">
              <w:rPr>
                <w:rtl/>
              </w:rPr>
              <w:t>32</w:t>
            </w:r>
          </w:p>
        </w:tc>
        <w:tc>
          <w:tcPr>
            <w:tcW w:w="1077" w:type="dxa"/>
            <w:shd w:val="clear" w:color="auto" w:fill="ECF4F5"/>
            <w:noWrap/>
            <w:hideMark/>
          </w:tcPr>
          <w:p w14:paraId="1D207BCF" w14:textId="77777777" w:rsidR="00A95BB1" w:rsidRPr="00A710FF" w:rsidRDefault="00A95BB1" w:rsidP="00B02873">
            <w:pPr>
              <w:pStyle w:val="71R"/>
              <w:spacing w:before="0"/>
              <w:rPr>
                <w:rtl/>
              </w:rPr>
            </w:pPr>
            <w:r w:rsidRPr="00A710FF">
              <w:rPr>
                <w:rtl/>
              </w:rPr>
              <w:t>6</w:t>
            </w:r>
          </w:p>
        </w:tc>
        <w:tc>
          <w:tcPr>
            <w:tcW w:w="1077" w:type="dxa"/>
            <w:shd w:val="clear" w:color="auto" w:fill="ECF4F5"/>
            <w:noWrap/>
            <w:hideMark/>
          </w:tcPr>
          <w:p w14:paraId="023A7850" w14:textId="77777777" w:rsidR="00A95BB1" w:rsidRPr="00A710FF" w:rsidRDefault="00A95BB1" w:rsidP="00B02873">
            <w:pPr>
              <w:pStyle w:val="71R"/>
              <w:spacing w:before="0"/>
              <w:rPr>
                <w:rtl/>
              </w:rPr>
            </w:pPr>
            <w:r>
              <w:rPr>
                <w:rFonts w:hint="cs"/>
                <w:rtl/>
              </w:rPr>
              <w:t>16</w:t>
            </w:r>
            <w:r w:rsidRPr="00A710FF">
              <w:rPr>
                <w:rtl/>
              </w:rPr>
              <w:t>%</w:t>
            </w:r>
          </w:p>
        </w:tc>
      </w:tr>
      <w:tr w:rsidR="00A95BB1" w14:paraId="0D9673A0" w14:textId="77777777" w:rsidTr="00B12F67">
        <w:trPr>
          <w:cantSplit/>
          <w:trHeight w:val="514"/>
          <w:tblHeader/>
          <w:jc w:val="right"/>
        </w:trPr>
        <w:tc>
          <w:tcPr>
            <w:tcW w:w="1078" w:type="dxa"/>
            <w:vMerge/>
            <w:shd w:val="clear" w:color="auto" w:fill="ECF4F5"/>
            <w:hideMark/>
          </w:tcPr>
          <w:p w14:paraId="105D8070" w14:textId="77777777" w:rsidR="00A95BB1" w:rsidRPr="00721E89" w:rsidRDefault="00A95BB1" w:rsidP="00B02873">
            <w:pPr>
              <w:pStyle w:val="71R"/>
              <w:spacing w:before="0"/>
              <w:rPr>
                <w:b/>
                <w:bCs/>
              </w:rPr>
            </w:pPr>
          </w:p>
        </w:tc>
        <w:tc>
          <w:tcPr>
            <w:tcW w:w="1974" w:type="dxa"/>
            <w:shd w:val="clear" w:color="auto" w:fill="ECF4F5"/>
            <w:hideMark/>
          </w:tcPr>
          <w:p w14:paraId="6E150DFE" w14:textId="77777777" w:rsidR="00A95BB1" w:rsidRPr="00A710FF" w:rsidRDefault="00A95BB1" w:rsidP="00B02873">
            <w:pPr>
              <w:pStyle w:val="71R"/>
              <w:spacing w:before="0"/>
              <w:rPr>
                <w:rtl/>
              </w:rPr>
            </w:pPr>
            <w:r w:rsidRPr="00A710FF">
              <w:rPr>
                <w:rFonts w:hint="eastAsia"/>
                <w:rtl/>
              </w:rPr>
              <w:t>חוזה</w:t>
            </w:r>
            <w:r w:rsidRPr="00A710FF">
              <w:rPr>
                <w:rtl/>
              </w:rPr>
              <w:t xml:space="preserve"> תשתיות תת"ק, ריבוד ראשון ותאורה כולל</w:t>
            </w:r>
          </w:p>
        </w:tc>
        <w:tc>
          <w:tcPr>
            <w:tcW w:w="1077" w:type="dxa"/>
            <w:shd w:val="clear" w:color="auto" w:fill="ECF4F5"/>
            <w:noWrap/>
            <w:hideMark/>
          </w:tcPr>
          <w:p w14:paraId="38C6CA27" w14:textId="77777777" w:rsidR="00A95BB1" w:rsidRPr="00A710FF" w:rsidRDefault="00A95BB1" w:rsidP="00B02873">
            <w:pPr>
              <w:pStyle w:val="71R"/>
              <w:spacing w:before="0"/>
              <w:rPr>
                <w:rtl/>
              </w:rPr>
            </w:pPr>
            <w:r w:rsidRPr="00A710FF">
              <w:rPr>
                <w:rtl/>
              </w:rPr>
              <w:t>33</w:t>
            </w:r>
          </w:p>
        </w:tc>
        <w:tc>
          <w:tcPr>
            <w:tcW w:w="1077" w:type="dxa"/>
            <w:shd w:val="clear" w:color="auto" w:fill="ECF4F5"/>
            <w:noWrap/>
            <w:hideMark/>
          </w:tcPr>
          <w:p w14:paraId="3D45FDD4" w14:textId="77777777" w:rsidR="00A95BB1" w:rsidRPr="00A710FF" w:rsidRDefault="00A95BB1" w:rsidP="00B02873">
            <w:pPr>
              <w:pStyle w:val="71R"/>
              <w:spacing w:before="0"/>
              <w:rPr>
                <w:rtl/>
              </w:rPr>
            </w:pPr>
            <w:r w:rsidRPr="00A710FF">
              <w:rPr>
                <w:rtl/>
              </w:rPr>
              <w:t>26</w:t>
            </w:r>
          </w:p>
        </w:tc>
        <w:tc>
          <w:tcPr>
            <w:tcW w:w="1077" w:type="dxa"/>
            <w:shd w:val="clear" w:color="auto" w:fill="ECF4F5"/>
            <w:noWrap/>
            <w:hideMark/>
          </w:tcPr>
          <w:p w14:paraId="412788AE" w14:textId="77777777" w:rsidR="00A95BB1" w:rsidRPr="00A710FF" w:rsidRDefault="00A95BB1" w:rsidP="00B02873">
            <w:pPr>
              <w:pStyle w:val="71R"/>
              <w:spacing w:before="0"/>
              <w:rPr>
                <w:rtl/>
              </w:rPr>
            </w:pPr>
            <w:r w:rsidRPr="00A710FF">
              <w:rPr>
                <w:rtl/>
              </w:rPr>
              <w:t>7</w:t>
            </w:r>
          </w:p>
        </w:tc>
        <w:tc>
          <w:tcPr>
            <w:tcW w:w="1077" w:type="dxa"/>
            <w:shd w:val="clear" w:color="auto" w:fill="ECF4F5"/>
            <w:noWrap/>
            <w:hideMark/>
          </w:tcPr>
          <w:p w14:paraId="24B34CCF" w14:textId="77777777" w:rsidR="00A95BB1" w:rsidRPr="00A710FF" w:rsidRDefault="00A95BB1" w:rsidP="00B02873">
            <w:pPr>
              <w:pStyle w:val="71R"/>
              <w:spacing w:before="0"/>
              <w:rPr>
                <w:rtl/>
              </w:rPr>
            </w:pPr>
            <w:r w:rsidRPr="00A710FF">
              <w:rPr>
                <w:rtl/>
              </w:rPr>
              <w:t>21%</w:t>
            </w:r>
          </w:p>
        </w:tc>
      </w:tr>
      <w:tr w:rsidR="00A95BB1" w14:paraId="027CCC0C" w14:textId="77777777" w:rsidTr="00B12F67">
        <w:trPr>
          <w:cantSplit/>
          <w:trHeight w:val="615"/>
          <w:tblHeader/>
          <w:jc w:val="right"/>
        </w:trPr>
        <w:tc>
          <w:tcPr>
            <w:tcW w:w="1078" w:type="dxa"/>
            <w:vMerge/>
            <w:shd w:val="clear" w:color="auto" w:fill="ECF4F5"/>
            <w:hideMark/>
          </w:tcPr>
          <w:p w14:paraId="5FDE6D1B" w14:textId="77777777" w:rsidR="00A95BB1" w:rsidRPr="00721E89" w:rsidRDefault="00A95BB1" w:rsidP="00B02873">
            <w:pPr>
              <w:pStyle w:val="71R"/>
              <w:spacing w:before="0"/>
              <w:rPr>
                <w:b/>
                <w:bCs/>
              </w:rPr>
            </w:pPr>
          </w:p>
        </w:tc>
        <w:tc>
          <w:tcPr>
            <w:tcW w:w="1974" w:type="dxa"/>
            <w:shd w:val="clear" w:color="auto" w:fill="ECF4F5"/>
            <w:hideMark/>
          </w:tcPr>
          <w:p w14:paraId="730C968C" w14:textId="77777777" w:rsidR="00A95BB1" w:rsidRPr="00A710FF" w:rsidRDefault="00A95BB1" w:rsidP="00B02873">
            <w:pPr>
              <w:pStyle w:val="71R"/>
              <w:spacing w:before="0"/>
              <w:rPr>
                <w:rtl/>
              </w:rPr>
            </w:pPr>
            <w:r w:rsidRPr="00A710FF">
              <w:rPr>
                <w:rFonts w:hint="eastAsia"/>
                <w:rtl/>
              </w:rPr>
              <w:t>מכרז</w:t>
            </w:r>
            <w:r w:rsidRPr="00A710FF">
              <w:rPr>
                <w:rtl/>
              </w:rPr>
              <w:t xml:space="preserve"> </w:t>
            </w:r>
            <w:r>
              <w:rPr>
                <w:rFonts w:hint="cs"/>
                <w:rtl/>
              </w:rPr>
              <w:t>ל</w:t>
            </w:r>
            <w:r w:rsidRPr="00A710FF">
              <w:rPr>
                <w:rtl/>
              </w:rPr>
              <w:t>השלמת עבודות עפר וקירות תומכים</w:t>
            </w:r>
          </w:p>
        </w:tc>
        <w:tc>
          <w:tcPr>
            <w:tcW w:w="1077" w:type="dxa"/>
            <w:shd w:val="clear" w:color="auto" w:fill="ECF4F5"/>
            <w:noWrap/>
            <w:hideMark/>
          </w:tcPr>
          <w:p w14:paraId="44F86EB9" w14:textId="77777777" w:rsidR="00A95BB1" w:rsidRPr="00A710FF" w:rsidRDefault="00A95BB1" w:rsidP="00B02873">
            <w:pPr>
              <w:pStyle w:val="71R"/>
              <w:spacing w:before="0"/>
              <w:rPr>
                <w:rtl/>
              </w:rPr>
            </w:pPr>
            <w:r w:rsidRPr="00A710FF">
              <w:rPr>
                <w:rtl/>
              </w:rPr>
              <w:t>27</w:t>
            </w:r>
          </w:p>
        </w:tc>
        <w:tc>
          <w:tcPr>
            <w:tcW w:w="1077" w:type="dxa"/>
            <w:shd w:val="clear" w:color="auto" w:fill="ECF4F5"/>
            <w:noWrap/>
            <w:hideMark/>
          </w:tcPr>
          <w:p w14:paraId="09BC7E69" w14:textId="77777777" w:rsidR="00A95BB1" w:rsidRPr="00A710FF" w:rsidRDefault="00A95BB1" w:rsidP="00B02873">
            <w:pPr>
              <w:pStyle w:val="71R"/>
              <w:spacing w:before="0"/>
              <w:rPr>
                <w:rtl/>
              </w:rPr>
            </w:pPr>
            <w:r w:rsidRPr="00A710FF">
              <w:rPr>
                <w:rtl/>
              </w:rPr>
              <w:t>24</w:t>
            </w:r>
          </w:p>
        </w:tc>
        <w:tc>
          <w:tcPr>
            <w:tcW w:w="1077" w:type="dxa"/>
            <w:shd w:val="clear" w:color="auto" w:fill="ECF4F5"/>
            <w:noWrap/>
            <w:hideMark/>
          </w:tcPr>
          <w:p w14:paraId="1F4A3566" w14:textId="77777777" w:rsidR="00A95BB1" w:rsidRPr="00A710FF" w:rsidRDefault="00A95BB1" w:rsidP="00B02873">
            <w:pPr>
              <w:pStyle w:val="71R"/>
              <w:spacing w:before="0"/>
              <w:rPr>
                <w:rtl/>
              </w:rPr>
            </w:pPr>
            <w:r w:rsidRPr="00A710FF">
              <w:rPr>
                <w:rtl/>
              </w:rPr>
              <w:t>3</w:t>
            </w:r>
          </w:p>
        </w:tc>
        <w:tc>
          <w:tcPr>
            <w:tcW w:w="1077" w:type="dxa"/>
            <w:shd w:val="clear" w:color="auto" w:fill="ECF4F5"/>
            <w:noWrap/>
            <w:hideMark/>
          </w:tcPr>
          <w:p w14:paraId="7CEF46D1" w14:textId="77777777" w:rsidR="00A95BB1" w:rsidRPr="00A710FF" w:rsidRDefault="00A95BB1" w:rsidP="00B02873">
            <w:pPr>
              <w:pStyle w:val="71R"/>
              <w:spacing w:before="0"/>
              <w:rPr>
                <w:rtl/>
              </w:rPr>
            </w:pPr>
            <w:r w:rsidRPr="00A710FF">
              <w:rPr>
                <w:rtl/>
              </w:rPr>
              <w:t>11%</w:t>
            </w:r>
          </w:p>
        </w:tc>
      </w:tr>
      <w:tr w:rsidR="00BE64FF" w14:paraId="2E0AF100" w14:textId="77777777" w:rsidTr="00B12F67">
        <w:trPr>
          <w:cantSplit/>
          <w:trHeight w:val="285"/>
          <w:tblHeader/>
          <w:jc w:val="right"/>
        </w:trPr>
        <w:tc>
          <w:tcPr>
            <w:tcW w:w="1078" w:type="dxa"/>
            <w:vMerge w:val="restart"/>
            <w:shd w:val="clear" w:color="auto" w:fill="DBE8EE"/>
            <w:noWrap/>
            <w:hideMark/>
          </w:tcPr>
          <w:p w14:paraId="08AC8F40" w14:textId="77777777" w:rsidR="00BE64FF" w:rsidRPr="00721E89" w:rsidRDefault="00BE64FF" w:rsidP="00B02873">
            <w:pPr>
              <w:pStyle w:val="71R"/>
              <w:spacing w:before="0"/>
              <w:rPr>
                <w:b/>
                <w:bCs/>
                <w:rtl/>
              </w:rPr>
            </w:pPr>
            <w:r w:rsidRPr="00721E89">
              <w:rPr>
                <w:rFonts w:hint="eastAsia"/>
                <w:b/>
                <w:bCs/>
                <w:rtl/>
              </w:rPr>
              <w:t>אשקלון</w:t>
            </w:r>
          </w:p>
        </w:tc>
        <w:tc>
          <w:tcPr>
            <w:tcW w:w="6282" w:type="dxa"/>
            <w:gridSpan w:val="5"/>
            <w:shd w:val="clear" w:color="auto" w:fill="DBE8EE"/>
            <w:noWrap/>
            <w:hideMark/>
          </w:tcPr>
          <w:p w14:paraId="28DC7F43" w14:textId="407825F7" w:rsidR="00BE64FF" w:rsidRPr="00721E89" w:rsidRDefault="00BE64FF" w:rsidP="00B02873">
            <w:pPr>
              <w:pStyle w:val="71R"/>
              <w:spacing w:before="0"/>
              <w:rPr>
                <w:b/>
                <w:bCs/>
                <w:rtl/>
              </w:rPr>
            </w:pPr>
            <w:r w:rsidRPr="00721E89">
              <w:rPr>
                <w:rFonts w:hint="eastAsia"/>
                <w:b/>
                <w:bCs/>
                <w:rtl/>
              </w:rPr>
              <w:t>עיר</w:t>
            </w:r>
            <w:r w:rsidRPr="00721E89">
              <w:rPr>
                <w:b/>
                <w:bCs/>
                <w:rtl/>
              </w:rPr>
              <w:t xml:space="preserve"> </w:t>
            </w:r>
            <w:r w:rsidRPr="00721E89">
              <w:rPr>
                <w:rFonts w:hint="eastAsia"/>
                <w:b/>
                <w:bCs/>
                <w:rtl/>
              </w:rPr>
              <w:t>היין</w:t>
            </w:r>
          </w:p>
        </w:tc>
      </w:tr>
      <w:tr w:rsidR="000A4591" w14:paraId="398FDC4F" w14:textId="77777777" w:rsidTr="00B12F67">
        <w:trPr>
          <w:cantSplit/>
          <w:trHeight w:val="300"/>
          <w:tblHeader/>
          <w:jc w:val="right"/>
        </w:trPr>
        <w:tc>
          <w:tcPr>
            <w:tcW w:w="1078" w:type="dxa"/>
            <w:vMerge/>
            <w:shd w:val="clear" w:color="auto" w:fill="DBE8EE"/>
            <w:hideMark/>
          </w:tcPr>
          <w:p w14:paraId="74CC67A9" w14:textId="77777777" w:rsidR="000A4591" w:rsidRPr="00721E89" w:rsidRDefault="000A4591" w:rsidP="00B02873">
            <w:pPr>
              <w:pStyle w:val="71R"/>
              <w:spacing w:before="0"/>
              <w:rPr>
                <w:b/>
                <w:bCs/>
              </w:rPr>
            </w:pPr>
          </w:p>
        </w:tc>
        <w:tc>
          <w:tcPr>
            <w:tcW w:w="1974" w:type="dxa"/>
            <w:shd w:val="clear" w:color="auto" w:fill="DBE8EE"/>
            <w:noWrap/>
            <w:hideMark/>
          </w:tcPr>
          <w:p w14:paraId="60B1B65A" w14:textId="77777777" w:rsidR="000A4591" w:rsidRPr="00A710FF" w:rsidRDefault="000A4591" w:rsidP="00B02873">
            <w:pPr>
              <w:pStyle w:val="71R"/>
              <w:spacing w:before="0"/>
              <w:rPr>
                <w:rtl/>
              </w:rPr>
            </w:pPr>
            <w:r w:rsidRPr="00A710FF">
              <w:rPr>
                <w:rFonts w:hint="eastAsia"/>
                <w:rtl/>
              </w:rPr>
              <w:t>עבודות</w:t>
            </w:r>
            <w:r w:rsidRPr="00A710FF">
              <w:rPr>
                <w:rtl/>
              </w:rPr>
              <w:t xml:space="preserve"> </w:t>
            </w:r>
            <w:r w:rsidRPr="00A710FF">
              <w:rPr>
                <w:rFonts w:hint="eastAsia"/>
                <w:rtl/>
              </w:rPr>
              <w:t>עפר</w:t>
            </w:r>
          </w:p>
        </w:tc>
        <w:tc>
          <w:tcPr>
            <w:tcW w:w="1077" w:type="dxa"/>
            <w:shd w:val="clear" w:color="auto" w:fill="DBE8EE"/>
            <w:noWrap/>
            <w:hideMark/>
          </w:tcPr>
          <w:p w14:paraId="1CAD938F" w14:textId="77777777" w:rsidR="000A4591" w:rsidRPr="00A710FF" w:rsidRDefault="000A4591" w:rsidP="00B02873">
            <w:pPr>
              <w:pStyle w:val="71R"/>
              <w:spacing w:before="0"/>
              <w:rPr>
                <w:rtl/>
              </w:rPr>
            </w:pPr>
            <w:r w:rsidRPr="00A710FF">
              <w:rPr>
                <w:rtl/>
              </w:rPr>
              <w:t>102</w:t>
            </w:r>
          </w:p>
        </w:tc>
        <w:tc>
          <w:tcPr>
            <w:tcW w:w="1077" w:type="dxa"/>
            <w:shd w:val="clear" w:color="auto" w:fill="DBE8EE"/>
            <w:noWrap/>
            <w:hideMark/>
          </w:tcPr>
          <w:p w14:paraId="4A0287E6" w14:textId="77777777" w:rsidR="000A4591" w:rsidRPr="00A710FF" w:rsidRDefault="000A4591" w:rsidP="00B02873">
            <w:pPr>
              <w:pStyle w:val="71R"/>
              <w:spacing w:before="0"/>
              <w:rPr>
                <w:rtl/>
              </w:rPr>
            </w:pPr>
            <w:r w:rsidRPr="00A710FF">
              <w:rPr>
                <w:rtl/>
              </w:rPr>
              <w:t>49</w:t>
            </w:r>
          </w:p>
        </w:tc>
        <w:tc>
          <w:tcPr>
            <w:tcW w:w="1077" w:type="dxa"/>
            <w:shd w:val="clear" w:color="auto" w:fill="DBE8EE"/>
            <w:noWrap/>
            <w:hideMark/>
          </w:tcPr>
          <w:p w14:paraId="5E24702C" w14:textId="77777777" w:rsidR="000A4591" w:rsidRPr="00A710FF" w:rsidRDefault="000A4591" w:rsidP="00B02873">
            <w:pPr>
              <w:pStyle w:val="71R"/>
              <w:spacing w:before="0"/>
              <w:rPr>
                <w:rtl/>
              </w:rPr>
            </w:pPr>
            <w:r w:rsidRPr="00A710FF">
              <w:rPr>
                <w:rtl/>
              </w:rPr>
              <w:t>53</w:t>
            </w:r>
          </w:p>
        </w:tc>
        <w:tc>
          <w:tcPr>
            <w:tcW w:w="1077" w:type="dxa"/>
            <w:shd w:val="clear" w:color="auto" w:fill="DBE8EE"/>
            <w:noWrap/>
            <w:hideMark/>
          </w:tcPr>
          <w:p w14:paraId="36F03E39" w14:textId="77777777" w:rsidR="000A4591" w:rsidRPr="00A710FF" w:rsidRDefault="000A4591" w:rsidP="00B02873">
            <w:pPr>
              <w:pStyle w:val="71R"/>
              <w:spacing w:before="0"/>
              <w:rPr>
                <w:rtl/>
              </w:rPr>
            </w:pPr>
            <w:r w:rsidRPr="00A710FF">
              <w:rPr>
                <w:rtl/>
              </w:rPr>
              <w:t>52%</w:t>
            </w:r>
          </w:p>
        </w:tc>
      </w:tr>
      <w:tr w:rsidR="000A4591" w14:paraId="787D477F" w14:textId="77777777" w:rsidTr="00B12F67">
        <w:trPr>
          <w:cantSplit/>
          <w:trHeight w:val="70"/>
          <w:tblHeader/>
          <w:jc w:val="right"/>
        </w:trPr>
        <w:tc>
          <w:tcPr>
            <w:tcW w:w="1078" w:type="dxa"/>
            <w:vMerge/>
            <w:shd w:val="clear" w:color="auto" w:fill="DBE8EE"/>
            <w:hideMark/>
          </w:tcPr>
          <w:p w14:paraId="5F03A71A" w14:textId="77777777" w:rsidR="000A4591" w:rsidRPr="00721E89" w:rsidRDefault="000A4591" w:rsidP="00B02873">
            <w:pPr>
              <w:pStyle w:val="71R"/>
              <w:spacing w:before="0"/>
              <w:rPr>
                <w:b/>
                <w:bCs/>
              </w:rPr>
            </w:pPr>
          </w:p>
        </w:tc>
        <w:tc>
          <w:tcPr>
            <w:tcW w:w="1974" w:type="dxa"/>
            <w:shd w:val="clear" w:color="auto" w:fill="DBE8EE"/>
            <w:hideMark/>
          </w:tcPr>
          <w:p w14:paraId="2A2E7992" w14:textId="77777777" w:rsidR="000A4591" w:rsidRPr="00A710FF" w:rsidRDefault="000A4591" w:rsidP="00B02873">
            <w:pPr>
              <w:pStyle w:val="71R"/>
              <w:spacing w:before="0"/>
              <w:rPr>
                <w:rtl/>
              </w:rPr>
            </w:pPr>
            <w:r w:rsidRPr="00A710FF">
              <w:rPr>
                <w:rtl/>
              </w:rPr>
              <w:t>תשתיות צמודות שלב א'</w:t>
            </w:r>
          </w:p>
        </w:tc>
        <w:tc>
          <w:tcPr>
            <w:tcW w:w="1077" w:type="dxa"/>
            <w:shd w:val="clear" w:color="auto" w:fill="DBE8EE"/>
            <w:noWrap/>
            <w:hideMark/>
          </w:tcPr>
          <w:p w14:paraId="53FAA9CF" w14:textId="77777777" w:rsidR="000A4591" w:rsidRPr="00A710FF" w:rsidRDefault="000A4591" w:rsidP="00B02873">
            <w:pPr>
              <w:pStyle w:val="71R"/>
              <w:spacing w:before="0"/>
              <w:rPr>
                <w:rtl/>
              </w:rPr>
            </w:pPr>
            <w:r w:rsidRPr="00A710FF">
              <w:rPr>
                <w:rtl/>
              </w:rPr>
              <w:t>102</w:t>
            </w:r>
          </w:p>
        </w:tc>
        <w:tc>
          <w:tcPr>
            <w:tcW w:w="1077" w:type="dxa"/>
            <w:shd w:val="clear" w:color="auto" w:fill="DBE8EE"/>
            <w:noWrap/>
            <w:hideMark/>
          </w:tcPr>
          <w:p w14:paraId="525146E2" w14:textId="77777777" w:rsidR="000A4591" w:rsidRPr="00A710FF" w:rsidRDefault="000A4591" w:rsidP="00B02873">
            <w:pPr>
              <w:pStyle w:val="71R"/>
              <w:spacing w:before="0"/>
              <w:rPr>
                <w:rtl/>
              </w:rPr>
            </w:pPr>
            <w:r w:rsidRPr="00A710FF">
              <w:rPr>
                <w:rtl/>
              </w:rPr>
              <w:t>97</w:t>
            </w:r>
          </w:p>
        </w:tc>
        <w:tc>
          <w:tcPr>
            <w:tcW w:w="1077" w:type="dxa"/>
            <w:shd w:val="clear" w:color="auto" w:fill="DBE8EE"/>
            <w:noWrap/>
            <w:hideMark/>
          </w:tcPr>
          <w:p w14:paraId="13194065" w14:textId="77777777" w:rsidR="000A4591" w:rsidRPr="00A710FF" w:rsidRDefault="000A4591" w:rsidP="00B02873">
            <w:pPr>
              <w:pStyle w:val="71R"/>
              <w:spacing w:before="0"/>
              <w:rPr>
                <w:rtl/>
              </w:rPr>
            </w:pPr>
            <w:r w:rsidRPr="00A710FF">
              <w:rPr>
                <w:rtl/>
              </w:rPr>
              <w:t>5</w:t>
            </w:r>
          </w:p>
        </w:tc>
        <w:tc>
          <w:tcPr>
            <w:tcW w:w="1077" w:type="dxa"/>
            <w:shd w:val="clear" w:color="auto" w:fill="DBE8EE"/>
            <w:noWrap/>
            <w:hideMark/>
          </w:tcPr>
          <w:p w14:paraId="4AC81292" w14:textId="77777777" w:rsidR="000A4591" w:rsidRPr="00A710FF" w:rsidRDefault="000A4591" w:rsidP="00B02873">
            <w:pPr>
              <w:pStyle w:val="71R"/>
              <w:spacing w:before="0"/>
              <w:rPr>
                <w:rtl/>
              </w:rPr>
            </w:pPr>
            <w:r w:rsidRPr="00A710FF">
              <w:rPr>
                <w:rtl/>
              </w:rPr>
              <w:t>5%</w:t>
            </w:r>
          </w:p>
        </w:tc>
      </w:tr>
      <w:tr w:rsidR="000A4591" w14:paraId="70240172" w14:textId="77777777" w:rsidTr="00B12F67">
        <w:trPr>
          <w:cantSplit/>
          <w:trHeight w:val="315"/>
          <w:tblHeader/>
          <w:jc w:val="right"/>
        </w:trPr>
        <w:tc>
          <w:tcPr>
            <w:tcW w:w="1078" w:type="dxa"/>
            <w:vMerge/>
            <w:shd w:val="clear" w:color="auto" w:fill="DBE8EE"/>
            <w:hideMark/>
          </w:tcPr>
          <w:p w14:paraId="792CD8E1" w14:textId="77777777" w:rsidR="000A4591" w:rsidRPr="00721E89" w:rsidRDefault="000A4591" w:rsidP="00B02873">
            <w:pPr>
              <w:pStyle w:val="71R"/>
              <w:spacing w:before="0"/>
              <w:rPr>
                <w:b/>
                <w:bCs/>
              </w:rPr>
            </w:pPr>
          </w:p>
        </w:tc>
        <w:tc>
          <w:tcPr>
            <w:tcW w:w="1974" w:type="dxa"/>
            <w:shd w:val="clear" w:color="auto" w:fill="DBE8EE"/>
            <w:noWrap/>
            <w:hideMark/>
          </w:tcPr>
          <w:p w14:paraId="488938C8" w14:textId="77777777" w:rsidR="000A4591" w:rsidRPr="00A710FF" w:rsidRDefault="000A4591" w:rsidP="00B02873">
            <w:pPr>
              <w:pStyle w:val="71R"/>
              <w:spacing w:before="0"/>
              <w:rPr>
                <w:rtl/>
              </w:rPr>
            </w:pPr>
            <w:r w:rsidRPr="00A710FF">
              <w:rPr>
                <w:rFonts w:hint="eastAsia"/>
                <w:rtl/>
              </w:rPr>
              <w:t>תשתיות</w:t>
            </w:r>
            <w:r w:rsidRPr="00A710FF">
              <w:rPr>
                <w:rtl/>
              </w:rPr>
              <w:t xml:space="preserve"> צמודות חלק ב'</w:t>
            </w:r>
          </w:p>
        </w:tc>
        <w:tc>
          <w:tcPr>
            <w:tcW w:w="1077" w:type="dxa"/>
            <w:shd w:val="clear" w:color="auto" w:fill="DBE8EE"/>
            <w:noWrap/>
            <w:hideMark/>
          </w:tcPr>
          <w:p w14:paraId="53543309" w14:textId="77777777" w:rsidR="000A4591" w:rsidRPr="00A710FF" w:rsidRDefault="000A4591" w:rsidP="00B02873">
            <w:pPr>
              <w:pStyle w:val="71R"/>
              <w:spacing w:before="0"/>
              <w:rPr>
                <w:rtl/>
              </w:rPr>
            </w:pPr>
            <w:r w:rsidRPr="00A710FF">
              <w:rPr>
                <w:rtl/>
              </w:rPr>
              <w:t>65</w:t>
            </w:r>
          </w:p>
        </w:tc>
        <w:tc>
          <w:tcPr>
            <w:tcW w:w="1077" w:type="dxa"/>
            <w:shd w:val="clear" w:color="auto" w:fill="DBE8EE"/>
            <w:noWrap/>
            <w:hideMark/>
          </w:tcPr>
          <w:p w14:paraId="6036CD10" w14:textId="77777777" w:rsidR="000A4591" w:rsidRPr="00A710FF" w:rsidRDefault="000A4591" w:rsidP="00B02873">
            <w:pPr>
              <w:pStyle w:val="71R"/>
              <w:spacing w:before="0"/>
              <w:rPr>
                <w:rtl/>
              </w:rPr>
            </w:pPr>
            <w:r w:rsidRPr="00A710FF">
              <w:rPr>
                <w:rtl/>
              </w:rPr>
              <w:t>51</w:t>
            </w:r>
          </w:p>
        </w:tc>
        <w:tc>
          <w:tcPr>
            <w:tcW w:w="1077" w:type="dxa"/>
            <w:shd w:val="clear" w:color="auto" w:fill="DBE8EE"/>
            <w:noWrap/>
            <w:hideMark/>
          </w:tcPr>
          <w:p w14:paraId="3165D520" w14:textId="77777777" w:rsidR="000A4591" w:rsidRPr="00A710FF" w:rsidRDefault="000A4591" w:rsidP="00B02873">
            <w:pPr>
              <w:pStyle w:val="71R"/>
              <w:spacing w:before="0"/>
              <w:rPr>
                <w:rtl/>
              </w:rPr>
            </w:pPr>
            <w:r w:rsidRPr="00A710FF">
              <w:rPr>
                <w:rtl/>
              </w:rPr>
              <w:t>14</w:t>
            </w:r>
          </w:p>
        </w:tc>
        <w:tc>
          <w:tcPr>
            <w:tcW w:w="1077" w:type="dxa"/>
            <w:shd w:val="clear" w:color="auto" w:fill="DBE8EE"/>
            <w:noWrap/>
            <w:hideMark/>
          </w:tcPr>
          <w:p w14:paraId="2AADFF33" w14:textId="77777777" w:rsidR="000A4591" w:rsidRPr="00A710FF" w:rsidRDefault="000A4591" w:rsidP="00B02873">
            <w:pPr>
              <w:pStyle w:val="71R"/>
              <w:spacing w:before="0"/>
              <w:rPr>
                <w:rtl/>
              </w:rPr>
            </w:pPr>
            <w:r w:rsidRPr="00A710FF">
              <w:rPr>
                <w:rtl/>
              </w:rPr>
              <w:t>22%</w:t>
            </w:r>
          </w:p>
        </w:tc>
      </w:tr>
      <w:tr w:rsidR="000A4591" w14:paraId="5A59FB3F" w14:textId="77777777" w:rsidTr="00B12F67">
        <w:trPr>
          <w:cantSplit/>
          <w:trHeight w:val="285"/>
          <w:tblHeader/>
          <w:jc w:val="right"/>
        </w:trPr>
        <w:tc>
          <w:tcPr>
            <w:tcW w:w="1078" w:type="dxa"/>
            <w:vMerge w:val="restart"/>
            <w:shd w:val="clear" w:color="auto" w:fill="ECF4F5"/>
            <w:noWrap/>
            <w:hideMark/>
          </w:tcPr>
          <w:p w14:paraId="30585BEA" w14:textId="77777777" w:rsidR="000A4591" w:rsidRPr="00721E89" w:rsidRDefault="000A4591" w:rsidP="00B02873">
            <w:pPr>
              <w:pStyle w:val="71R"/>
              <w:spacing w:before="0"/>
              <w:rPr>
                <w:b/>
                <w:bCs/>
                <w:rtl/>
              </w:rPr>
            </w:pPr>
            <w:r w:rsidRPr="00721E89">
              <w:rPr>
                <w:rFonts w:hint="eastAsia"/>
                <w:b/>
                <w:bCs/>
                <w:rtl/>
              </w:rPr>
              <w:t>רמת</w:t>
            </w:r>
            <w:r w:rsidRPr="00721E89">
              <w:rPr>
                <w:b/>
                <w:bCs/>
                <w:rtl/>
              </w:rPr>
              <w:t xml:space="preserve"> </w:t>
            </w:r>
            <w:r w:rsidRPr="00721E89">
              <w:rPr>
                <w:rFonts w:hint="eastAsia"/>
                <w:b/>
                <w:bCs/>
                <w:rtl/>
              </w:rPr>
              <w:t>גן</w:t>
            </w:r>
          </w:p>
        </w:tc>
        <w:tc>
          <w:tcPr>
            <w:tcW w:w="1974" w:type="dxa"/>
            <w:shd w:val="clear" w:color="auto" w:fill="ECF4F5"/>
            <w:hideMark/>
          </w:tcPr>
          <w:p w14:paraId="48CAF041" w14:textId="77777777" w:rsidR="000A4591" w:rsidRPr="00A404C1" w:rsidRDefault="000A4591" w:rsidP="00B02873">
            <w:pPr>
              <w:pStyle w:val="71R"/>
              <w:spacing w:before="0"/>
              <w:rPr>
                <w:b/>
                <w:bCs/>
                <w:rtl/>
              </w:rPr>
            </w:pPr>
            <w:r w:rsidRPr="00A404C1">
              <w:rPr>
                <w:rFonts w:hint="eastAsia"/>
                <w:b/>
                <w:bCs/>
                <w:rtl/>
              </w:rPr>
              <w:t>תמ</w:t>
            </w:r>
            <w:r w:rsidRPr="00A404C1">
              <w:rPr>
                <w:b/>
                <w:bCs/>
                <w:rtl/>
              </w:rPr>
              <w:t>"ל 1023</w:t>
            </w:r>
          </w:p>
        </w:tc>
        <w:tc>
          <w:tcPr>
            <w:tcW w:w="4308" w:type="dxa"/>
            <w:gridSpan w:val="4"/>
            <w:shd w:val="clear" w:color="auto" w:fill="ECF4F5"/>
            <w:noWrap/>
            <w:hideMark/>
          </w:tcPr>
          <w:p w14:paraId="2C6FDC0F" w14:textId="77777777" w:rsidR="000A4591" w:rsidRPr="00A710FF" w:rsidRDefault="000A4591" w:rsidP="00B02873">
            <w:pPr>
              <w:pStyle w:val="71R"/>
              <w:spacing w:before="0"/>
              <w:rPr>
                <w:rtl/>
              </w:rPr>
            </w:pPr>
          </w:p>
        </w:tc>
      </w:tr>
      <w:tr w:rsidR="000A4591" w14:paraId="3FBFEEC8" w14:textId="77777777" w:rsidTr="00B12F67">
        <w:trPr>
          <w:cantSplit/>
          <w:trHeight w:val="406"/>
          <w:tblHeader/>
          <w:jc w:val="right"/>
        </w:trPr>
        <w:tc>
          <w:tcPr>
            <w:tcW w:w="1078" w:type="dxa"/>
            <w:vMerge/>
            <w:shd w:val="clear" w:color="auto" w:fill="ECF4F5"/>
            <w:hideMark/>
          </w:tcPr>
          <w:p w14:paraId="49088AE2" w14:textId="77777777" w:rsidR="000A4591" w:rsidRPr="00721E89" w:rsidRDefault="000A4591" w:rsidP="00B02873">
            <w:pPr>
              <w:pStyle w:val="71R"/>
              <w:spacing w:before="0"/>
              <w:rPr>
                <w:b/>
                <w:bCs/>
              </w:rPr>
            </w:pPr>
          </w:p>
        </w:tc>
        <w:tc>
          <w:tcPr>
            <w:tcW w:w="1974" w:type="dxa"/>
            <w:shd w:val="clear" w:color="auto" w:fill="ECF4F5"/>
            <w:hideMark/>
          </w:tcPr>
          <w:p w14:paraId="67C4E8A0" w14:textId="77777777" w:rsidR="000A4591" w:rsidRPr="00A710FF" w:rsidRDefault="000A4591" w:rsidP="00B02873">
            <w:pPr>
              <w:pStyle w:val="71R"/>
              <w:spacing w:before="0"/>
              <w:rPr>
                <w:rtl/>
              </w:rPr>
            </w:pPr>
            <w:r w:rsidRPr="00A710FF">
              <w:rPr>
                <w:rFonts w:hint="eastAsia"/>
                <w:rtl/>
              </w:rPr>
              <w:t>עבודות</w:t>
            </w:r>
            <w:r w:rsidRPr="00A710FF">
              <w:rPr>
                <w:rtl/>
              </w:rPr>
              <w:t xml:space="preserve"> </w:t>
            </w:r>
            <w:r w:rsidRPr="00A710FF">
              <w:rPr>
                <w:rFonts w:hint="eastAsia"/>
                <w:rtl/>
              </w:rPr>
              <w:t>עפר</w:t>
            </w:r>
            <w:r w:rsidRPr="00A710FF">
              <w:rPr>
                <w:rtl/>
              </w:rPr>
              <w:t xml:space="preserve">, </w:t>
            </w:r>
            <w:r w:rsidRPr="00A710FF">
              <w:rPr>
                <w:rFonts w:hint="eastAsia"/>
                <w:rtl/>
              </w:rPr>
              <w:t>הכנה</w:t>
            </w:r>
            <w:r w:rsidRPr="00A710FF">
              <w:rPr>
                <w:rtl/>
              </w:rPr>
              <w:t xml:space="preserve"> </w:t>
            </w:r>
            <w:r w:rsidRPr="00A710FF">
              <w:rPr>
                <w:rFonts w:hint="eastAsia"/>
                <w:rtl/>
              </w:rPr>
              <w:t>וניקוז</w:t>
            </w:r>
          </w:p>
        </w:tc>
        <w:tc>
          <w:tcPr>
            <w:tcW w:w="1077" w:type="dxa"/>
            <w:shd w:val="clear" w:color="auto" w:fill="ECF4F5"/>
            <w:noWrap/>
            <w:hideMark/>
          </w:tcPr>
          <w:p w14:paraId="081D2AE1" w14:textId="77777777" w:rsidR="000A4591" w:rsidRPr="00A710FF" w:rsidRDefault="000A4591" w:rsidP="00B02873">
            <w:pPr>
              <w:pStyle w:val="71R"/>
              <w:spacing w:before="0"/>
              <w:rPr>
                <w:rtl/>
              </w:rPr>
            </w:pPr>
            <w:r w:rsidRPr="00A710FF">
              <w:rPr>
                <w:rtl/>
              </w:rPr>
              <w:t>18</w:t>
            </w:r>
          </w:p>
        </w:tc>
        <w:tc>
          <w:tcPr>
            <w:tcW w:w="1077" w:type="dxa"/>
            <w:shd w:val="clear" w:color="auto" w:fill="ECF4F5"/>
            <w:noWrap/>
            <w:hideMark/>
          </w:tcPr>
          <w:p w14:paraId="6202AAAA" w14:textId="77777777" w:rsidR="000A4591" w:rsidRPr="00A710FF" w:rsidRDefault="000A4591" w:rsidP="00B02873">
            <w:pPr>
              <w:pStyle w:val="71R"/>
              <w:spacing w:before="0"/>
              <w:rPr>
                <w:rtl/>
              </w:rPr>
            </w:pPr>
            <w:r w:rsidRPr="00A710FF">
              <w:rPr>
                <w:rtl/>
              </w:rPr>
              <w:t>10</w:t>
            </w:r>
          </w:p>
        </w:tc>
        <w:tc>
          <w:tcPr>
            <w:tcW w:w="1077" w:type="dxa"/>
            <w:shd w:val="clear" w:color="auto" w:fill="ECF4F5"/>
            <w:noWrap/>
            <w:hideMark/>
          </w:tcPr>
          <w:p w14:paraId="1B5A2D0D" w14:textId="77777777" w:rsidR="000A4591" w:rsidRPr="00A710FF" w:rsidRDefault="000A4591" w:rsidP="00B02873">
            <w:pPr>
              <w:pStyle w:val="71R"/>
              <w:spacing w:before="0"/>
              <w:rPr>
                <w:rtl/>
              </w:rPr>
            </w:pPr>
            <w:r w:rsidRPr="00A710FF">
              <w:rPr>
                <w:rtl/>
              </w:rPr>
              <w:t>8</w:t>
            </w:r>
          </w:p>
        </w:tc>
        <w:tc>
          <w:tcPr>
            <w:tcW w:w="1077" w:type="dxa"/>
            <w:shd w:val="clear" w:color="auto" w:fill="ECF4F5"/>
            <w:noWrap/>
            <w:hideMark/>
          </w:tcPr>
          <w:p w14:paraId="6D7F17C6" w14:textId="77777777" w:rsidR="000A4591" w:rsidRPr="00A710FF" w:rsidRDefault="000A4591" w:rsidP="00B02873">
            <w:pPr>
              <w:pStyle w:val="71R"/>
              <w:spacing w:before="0"/>
              <w:rPr>
                <w:rtl/>
              </w:rPr>
            </w:pPr>
            <w:r w:rsidRPr="00A710FF">
              <w:rPr>
                <w:rtl/>
              </w:rPr>
              <w:t>44%</w:t>
            </w:r>
          </w:p>
        </w:tc>
      </w:tr>
      <w:tr w:rsidR="00BE64FF" w14:paraId="30A004F0" w14:textId="77777777" w:rsidTr="00B12F67">
        <w:trPr>
          <w:cantSplit/>
          <w:trHeight w:val="285"/>
          <w:tblHeader/>
          <w:jc w:val="right"/>
        </w:trPr>
        <w:tc>
          <w:tcPr>
            <w:tcW w:w="1078" w:type="dxa"/>
            <w:vMerge w:val="restart"/>
            <w:shd w:val="clear" w:color="auto" w:fill="DBE8EE"/>
            <w:noWrap/>
            <w:hideMark/>
          </w:tcPr>
          <w:p w14:paraId="41383F34" w14:textId="77777777" w:rsidR="00BE64FF" w:rsidRPr="00721E89" w:rsidRDefault="00BE64FF" w:rsidP="00B02873">
            <w:pPr>
              <w:pStyle w:val="71R"/>
              <w:spacing w:before="0"/>
              <w:rPr>
                <w:b/>
                <w:bCs/>
                <w:rtl/>
              </w:rPr>
            </w:pPr>
            <w:r w:rsidRPr="00721E89">
              <w:rPr>
                <w:rFonts w:hint="eastAsia"/>
                <w:b/>
                <w:bCs/>
                <w:rtl/>
              </w:rPr>
              <w:t>אופקים</w:t>
            </w:r>
          </w:p>
        </w:tc>
        <w:tc>
          <w:tcPr>
            <w:tcW w:w="6282" w:type="dxa"/>
            <w:gridSpan w:val="5"/>
            <w:shd w:val="clear" w:color="auto" w:fill="DBE8EE"/>
            <w:noWrap/>
            <w:hideMark/>
          </w:tcPr>
          <w:p w14:paraId="4030F126" w14:textId="0260F2CE" w:rsidR="00BE64FF" w:rsidRPr="00A404C1" w:rsidRDefault="00BE64FF" w:rsidP="00B02873">
            <w:pPr>
              <w:pStyle w:val="71R"/>
              <w:spacing w:before="0"/>
              <w:rPr>
                <w:b/>
                <w:bCs/>
                <w:rtl/>
              </w:rPr>
            </w:pPr>
            <w:r w:rsidRPr="00A404C1">
              <w:rPr>
                <w:rFonts w:hint="eastAsia"/>
                <w:b/>
                <w:bCs/>
                <w:rtl/>
              </w:rPr>
              <w:t>אפיקי</w:t>
            </w:r>
            <w:r w:rsidRPr="00A404C1">
              <w:rPr>
                <w:b/>
                <w:bCs/>
                <w:rtl/>
              </w:rPr>
              <w:t xml:space="preserve"> </w:t>
            </w:r>
            <w:r w:rsidRPr="00A404C1">
              <w:rPr>
                <w:rFonts w:hint="eastAsia"/>
                <w:b/>
                <w:bCs/>
                <w:rtl/>
              </w:rPr>
              <w:t>נחל</w:t>
            </w:r>
          </w:p>
        </w:tc>
      </w:tr>
      <w:tr w:rsidR="000A4591" w14:paraId="6112772A" w14:textId="77777777" w:rsidTr="00B12F67">
        <w:trPr>
          <w:cantSplit/>
          <w:trHeight w:val="836"/>
          <w:tblHeader/>
          <w:jc w:val="right"/>
        </w:trPr>
        <w:tc>
          <w:tcPr>
            <w:tcW w:w="1078" w:type="dxa"/>
            <w:vMerge/>
            <w:shd w:val="clear" w:color="auto" w:fill="DBE8EE"/>
            <w:hideMark/>
          </w:tcPr>
          <w:p w14:paraId="05EA45A1" w14:textId="77777777" w:rsidR="000A4591" w:rsidRPr="00A710FF" w:rsidRDefault="000A4591" w:rsidP="00B02873">
            <w:pPr>
              <w:pStyle w:val="71R"/>
              <w:spacing w:before="0"/>
            </w:pPr>
          </w:p>
        </w:tc>
        <w:tc>
          <w:tcPr>
            <w:tcW w:w="1974" w:type="dxa"/>
            <w:shd w:val="clear" w:color="auto" w:fill="DBE8EE"/>
            <w:hideMark/>
          </w:tcPr>
          <w:p w14:paraId="077DEE2F" w14:textId="77777777" w:rsidR="000A4591" w:rsidRPr="00A710FF" w:rsidRDefault="000A4591" w:rsidP="00B02873">
            <w:pPr>
              <w:pStyle w:val="71R"/>
              <w:spacing w:before="0"/>
              <w:rPr>
                <w:rtl/>
              </w:rPr>
            </w:pPr>
            <w:r w:rsidRPr="00A710FF">
              <w:rPr>
                <w:rFonts w:hint="eastAsia"/>
                <w:rtl/>
              </w:rPr>
              <w:t>תשתיות</w:t>
            </w:r>
            <w:r w:rsidRPr="00A710FF">
              <w:rPr>
                <w:rtl/>
              </w:rPr>
              <w:t xml:space="preserve"> </w:t>
            </w:r>
            <w:r w:rsidRPr="00A710FF">
              <w:rPr>
                <w:rFonts w:hint="eastAsia"/>
                <w:rtl/>
              </w:rPr>
              <w:t>צמודות</w:t>
            </w:r>
            <w:r w:rsidRPr="00A710FF">
              <w:rPr>
                <w:rtl/>
              </w:rPr>
              <w:t xml:space="preserve">, </w:t>
            </w:r>
            <w:r w:rsidRPr="00A710FF">
              <w:rPr>
                <w:rFonts w:hint="eastAsia"/>
                <w:rtl/>
              </w:rPr>
              <w:t>ראש</w:t>
            </w:r>
            <w:r w:rsidRPr="00A710FF">
              <w:rPr>
                <w:rtl/>
              </w:rPr>
              <w:t xml:space="preserve"> </w:t>
            </w:r>
            <w:r w:rsidRPr="00A710FF">
              <w:rPr>
                <w:rFonts w:hint="eastAsia"/>
                <w:rtl/>
              </w:rPr>
              <w:t>שטח</w:t>
            </w:r>
            <w:r w:rsidRPr="00A710FF">
              <w:rPr>
                <w:rtl/>
              </w:rPr>
              <w:t xml:space="preserve">, </w:t>
            </w:r>
            <w:r w:rsidRPr="00A710FF">
              <w:rPr>
                <w:rFonts w:hint="eastAsia"/>
                <w:rtl/>
              </w:rPr>
              <w:t>ריתוך</w:t>
            </w:r>
            <w:r w:rsidRPr="00A710FF">
              <w:rPr>
                <w:rtl/>
              </w:rPr>
              <w:t xml:space="preserve"> </w:t>
            </w:r>
            <w:r w:rsidRPr="00A710FF">
              <w:rPr>
                <w:rFonts w:hint="eastAsia"/>
                <w:rtl/>
              </w:rPr>
              <w:t>והנחת</w:t>
            </w:r>
            <w:r w:rsidRPr="00A710FF">
              <w:rPr>
                <w:rtl/>
              </w:rPr>
              <w:t xml:space="preserve"> </w:t>
            </w:r>
            <w:r w:rsidRPr="00A710FF">
              <w:rPr>
                <w:rFonts w:hint="eastAsia"/>
                <w:rtl/>
              </w:rPr>
              <w:t>צנרת</w:t>
            </w:r>
            <w:r w:rsidRPr="00A710FF">
              <w:rPr>
                <w:rtl/>
              </w:rPr>
              <w:t xml:space="preserve"> </w:t>
            </w:r>
            <w:r w:rsidRPr="00A710FF">
              <w:rPr>
                <w:rFonts w:hint="eastAsia"/>
                <w:rtl/>
              </w:rPr>
              <w:t>לגז</w:t>
            </w:r>
            <w:r w:rsidRPr="00A710FF">
              <w:rPr>
                <w:rtl/>
              </w:rPr>
              <w:t xml:space="preserve"> </w:t>
            </w:r>
            <w:r w:rsidRPr="00A710FF">
              <w:rPr>
                <w:rFonts w:hint="eastAsia"/>
                <w:rtl/>
              </w:rPr>
              <w:t>טבעי</w:t>
            </w:r>
            <w:r w:rsidRPr="00A710FF">
              <w:rPr>
                <w:rtl/>
              </w:rPr>
              <w:t xml:space="preserve"> </w:t>
            </w:r>
            <w:r w:rsidRPr="00A710FF">
              <w:rPr>
                <w:rFonts w:hint="eastAsia"/>
                <w:rtl/>
              </w:rPr>
              <w:t>והקמת</w:t>
            </w:r>
            <w:r w:rsidRPr="00A710FF">
              <w:rPr>
                <w:rtl/>
              </w:rPr>
              <w:t xml:space="preserve"> </w:t>
            </w:r>
            <w:r w:rsidRPr="00A710FF">
              <w:rPr>
                <w:rFonts w:hint="eastAsia"/>
                <w:rtl/>
              </w:rPr>
              <w:t>גשר</w:t>
            </w:r>
            <w:r w:rsidRPr="00A710FF">
              <w:rPr>
                <w:rtl/>
              </w:rPr>
              <w:t xml:space="preserve"> </w:t>
            </w:r>
            <w:r w:rsidRPr="00A710FF">
              <w:rPr>
                <w:rFonts w:hint="eastAsia"/>
                <w:rtl/>
              </w:rPr>
              <w:t>כלי</w:t>
            </w:r>
            <w:r w:rsidRPr="00A710FF">
              <w:rPr>
                <w:rtl/>
              </w:rPr>
              <w:t xml:space="preserve"> </w:t>
            </w:r>
            <w:r w:rsidRPr="00A710FF">
              <w:rPr>
                <w:rFonts w:hint="eastAsia"/>
                <w:rtl/>
              </w:rPr>
              <w:t>רכב</w:t>
            </w:r>
          </w:p>
        </w:tc>
        <w:tc>
          <w:tcPr>
            <w:tcW w:w="1077" w:type="dxa"/>
            <w:shd w:val="clear" w:color="auto" w:fill="DBE8EE"/>
            <w:noWrap/>
            <w:hideMark/>
          </w:tcPr>
          <w:p w14:paraId="05273980" w14:textId="77777777" w:rsidR="000A4591" w:rsidRPr="00A710FF" w:rsidRDefault="000A4591" w:rsidP="00B02873">
            <w:pPr>
              <w:pStyle w:val="71R"/>
              <w:spacing w:before="0"/>
              <w:rPr>
                <w:rtl/>
              </w:rPr>
            </w:pPr>
            <w:r w:rsidRPr="00A710FF">
              <w:rPr>
                <w:rtl/>
              </w:rPr>
              <w:t>142</w:t>
            </w:r>
          </w:p>
        </w:tc>
        <w:tc>
          <w:tcPr>
            <w:tcW w:w="1077" w:type="dxa"/>
            <w:shd w:val="clear" w:color="auto" w:fill="DBE8EE"/>
            <w:noWrap/>
            <w:hideMark/>
          </w:tcPr>
          <w:p w14:paraId="4CD58E5C" w14:textId="77777777" w:rsidR="000A4591" w:rsidRPr="00A710FF" w:rsidRDefault="000A4591" w:rsidP="00B02873">
            <w:pPr>
              <w:pStyle w:val="71R"/>
              <w:spacing w:before="0"/>
              <w:rPr>
                <w:rtl/>
              </w:rPr>
            </w:pPr>
            <w:r w:rsidRPr="00A710FF">
              <w:rPr>
                <w:rtl/>
              </w:rPr>
              <w:t>98</w:t>
            </w:r>
          </w:p>
        </w:tc>
        <w:tc>
          <w:tcPr>
            <w:tcW w:w="1077" w:type="dxa"/>
            <w:shd w:val="clear" w:color="auto" w:fill="DBE8EE"/>
            <w:noWrap/>
            <w:hideMark/>
          </w:tcPr>
          <w:p w14:paraId="37C3355E" w14:textId="77777777" w:rsidR="000A4591" w:rsidRPr="00A710FF" w:rsidRDefault="000A4591" w:rsidP="00B02873">
            <w:pPr>
              <w:pStyle w:val="71R"/>
              <w:spacing w:before="0"/>
              <w:rPr>
                <w:rtl/>
              </w:rPr>
            </w:pPr>
            <w:r w:rsidRPr="00A710FF">
              <w:rPr>
                <w:rtl/>
              </w:rPr>
              <w:t>44</w:t>
            </w:r>
          </w:p>
        </w:tc>
        <w:tc>
          <w:tcPr>
            <w:tcW w:w="1077" w:type="dxa"/>
            <w:shd w:val="clear" w:color="auto" w:fill="DBE8EE"/>
            <w:noWrap/>
            <w:hideMark/>
          </w:tcPr>
          <w:p w14:paraId="56E317BC" w14:textId="77777777" w:rsidR="000A4591" w:rsidRPr="00A710FF" w:rsidRDefault="000A4591" w:rsidP="00B02873">
            <w:pPr>
              <w:pStyle w:val="71R"/>
              <w:spacing w:before="0"/>
              <w:rPr>
                <w:rtl/>
              </w:rPr>
            </w:pPr>
            <w:r w:rsidRPr="00A710FF">
              <w:rPr>
                <w:rtl/>
              </w:rPr>
              <w:t>31%</w:t>
            </w:r>
          </w:p>
        </w:tc>
      </w:tr>
      <w:tr w:rsidR="000A4591" w:rsidRPr="00A91547" w14:paraId="63852A13" w14:textId="77777777" w:rsidTr="00B12F67">
        <w:trPr>
          <w:cantSplit/>
          <w:trHeight w:val="300"/>
          <w:tblHeader/>
          <w:jc w:val="right"/>
        </w:trPr>
        <w:tc>
          <w:tcPr>
            <w:tcW w:w="1078" w:type="dxa"/>
            <w:shd w:val="clear" w:color="auto" w:fill="C6DCE4"/>
            <w:noWrap/>
            <w:hideMark/>
          </w:tcPr>
          <w:p w14:paraId="1C72675E" w14:textId="77777777" w:rsidR="000A4591" w:rsidRPr="00A91547" w:rsidRDefault="000A4591" w:rsidP="00B02873">
            <w:pPr>
              <w:pStyle w:val="71R"/>
              <w:spacing w:before="0"/>
              <w:rPr>
                <w:b/>
                <w:bCs/>
                <w:rtl/>
              </w:rPr>
            </w:pPr>
            <w:r w:rsidRPr="00A91547">
              <w:rPr>
                <w:rFonts w:hint="eastAsia"/>
                <w:b/>
                <w:bCs/>
                <w:rtl/>
              </w:rPr>
              <w:t>סה</w:t>
            </w:r>
            <w:r w:rsidRPr="00A91547">
              <w:rPr>
                <w:b/>
                <w:bCs/>
                <w:rtl/>
              </w:rPr>
              <w:t>"כ</w:t>
            </w:r>
          </w:p>
        </w:tc>
        <w:tc>
          <w:tcPr>
            <w:tcW w:w="1974" w:type="dxa"/>
            <w:shd w:val="clear" w:color="auto" w:fill="C6DCE4"/>
            <w:noWrap/>
            <w:hideMark/>
          </w:tcPr>
          <w:p w14:paraId="6BF44435" w14:textId="77777777" w:rsidR="000A4591" w:rsidRPr="00A91547" w:rsidRDefault="000A4591" w:rsidP="00B02873">
            <w:pPr>
              <w:pStyle w:val="71R"/>
              <w:spacing w:before="0"/>
              <w:rPr>
                <w:b/>
                <w:bCs/>
                <w:rtl/>
              </w:rPr>
            </w:pPr>
          </w:p>
        </w:tc>
        <w:tc>
          <w:tcPr>
            <w:tcW w:w="1077" w:type="dxa"/>
            <w:shd w:val="clear" w:color="auto" w:fill="C6DCE4"/>
            <w:noWrap/>
            <w:hideMark/>
          </w:tcPr>
          <w:p w14:paraId="14E994E6" w14:textId="77777777" w:rsidR="000A4591" w:rsidRPr="00A91547" w:rsidRDefault="000A4591" w:rsidP="00B02873">
            <w:pPr>
              <w:pStyle w:val="71R"/>
              <w:spacing w:before="0"/>
              <w:rPr>
                <w:b/>
                <w:bCs/>
              </w:rPr>
            </w:pPr>
            <w:r w:rsidRPr="00A91547">
              <w:rPr>
                <w:rFonts w:hint="cs"/>
                <w:b/>
                <w:bCs/>
                <w:rtl/>
              </w:rPr>
              <w:t>621</w:t>
            </w:r>
          </w:p>
        </w:tc>
        <w:tc>
          <w:tcPr>
            <w:tcW w:w="1077" w:type="dxa"/>
            <w:shd w:val="clear" w:color="auto" w:fill="C6DCE4"/>
            <w:noWrap/>
            <w:hideMark/>
          </w:tcPr>
          <w:p w14:paraId="600207E8" w14:textId="77777777" w:rsidR="000A4591" w:rsidRPr="00A91547" w:rsidRDefault="000A4591" w:rsidP="00B02873">
            <w:pPr>
              <w:pStyle w:val="71R"/>
              <w:spacing w:before="0"/>
              <w:rPr>
                <w:b/>
                <w:bCs/>
                <w:rtl/>
              </w:rPr>
            </w:pPr>
            <w:r w:rsidRPr="00A91547">
              <w:rPr>
                <w:b/>
                <w:bCs/>
                <w:rtl/>
              </w:rPr>
              <w:t>469</w:t>
            </w:r>
          </w:p>
        </w:tc>
        <w:tc>
          <w:tcPr>
            <w:tcW w:w="1077" w:type="dxa"/>
            <w:shd w:val="clear" w:color="auto" w:fill="C6DCE4"/>
            <w:noWrap/>
            <w:hideMark/>
          </w:tcPr>
          <w:p w14:paraId="48F62CA4" w14:textId="77777777" w:rsidR="000A4591" w:rsidRPr="00A91547" w:rsidRDefault="000A4591" w:rsidP="00B02873">
            <w:pPr>
              <w:pStyle w:val="71R"/>
              <w:spacing w:before="0"/>
              <w:rPr>
                <w:b/>
                <w:bCs/>
                <w:rtl/>
              </w:rPr>
            </w:pPr>
            <w:r w:rsidRPr="00A91547">
              <w:rPr>
                <w:rFonts w:hint="cs"/>
                <w:b/>
                <w:bCs/>
                <w:rtl/>
              </w:rPr>
              <w:t>152</w:t>
            </w:r>
          </w:p>
        </w:tc>
        <w:tc>
          <w:tcPr>
            <w:tcW w:w="1077" w:type="dxa"/>
            <w:shd w:val="clear" w:color="auto" w:fill="C6DCE4"/>
            <w:noWrap/>
            <w:hideMark/>
          </w:tcPr>
          <w:p w14:paraId="271B75DB" w14:textId="77777777" w:rsidR="000A4591" w:rsidRPr="00A91547" w:rsidRDefault="000A4591" w:rsidP="00B02873">
            <w:pPr>
              <w:pStyle w:val="71R"/>
              <w:spacing w:before="0"/>
              <w:rPr>
                <w:b/>
                <w:bCs/>
                <w:rtl/>
              </w:rPr>
            </w:pPr>
            <w:r w:rsidRPr="00A91547">
              <w:rPr>
                <w:rFonts w:hint="cs"/>
                <w:b/>
                <w:bCs/>
                <w:rtl/>
              </w:rPr>
              <w:t>24</w:t>
            </w:r>
            <w:r w:rsidRPr="00A91547">
              <w:rPr>
                <w:b/>
                <w:bCs/>
                <w:rtl/>
              </w:rPr>
              <w:t>%</w:t>
            </w:r>
          </w:p>
        </w:tc>
      </w:tr>
    </w:tbl>
    <w:p w14:paraId="06ABFABD" w14:textId="0BAD9F89" w:rsidR="000A4591" w:rsidRPr="00A057D2" w:rsidRDefault="000A4591" w:rsidP="00BE64FF">
      <w:pPr>
        <w:pStyle w:val="71d"/>
        <w:rPr>
          <w:rtl/>
        </w:rPr>
      </w:pPr>
      <w:r>
        <w:rPr>
          <w:rFonts w:hint="cs"/>
          <w:rtl/>
        </w:rPr>
        <w:t xml:space="preserve">על פי </w:t>
      </w:r>
      <w:r w:rsidRPr="00A057D2">
        <w:rPr>
          <w:rFonts w:hint="cs"/>
          <w:rtl/>
        </w:rPr>
        <w:t>נתוני רמ"י בעיבוד משרד מבקר המדינה</w:t>
      </w:r>
      <w:r w:rsidR="00B02873">
        <w:rPr>
          <w:rFonts w:hint="cs"/>
          <w:rtl/>
        </w:rPr>
        <w:t>.</w:t>
      </w:r>
    </w:p>
    <w:p w14:paraId="4C4B134E" w14:textId="77777777" w:rsidR="000A4591" w:rsidRPr="00CE22C4" w:rsidRDefault="000A4591" w:rsidP="00BA5F6A">
      <w:pPr>
        <w:pStyle w:val="71f5"/>
        <w:rPr>
          <w:rFonts w:eastAsia="Calibri"/>
          <w:rtl/>
        </w:rPr>
      </w:pPr>
      <w:r w:rsidRPr="00EA1326">
        <w:rPr>
          <w:rFonts w:eastAsia="Calibri" w:hint="cs"/>
          <w:rtl/>
        </w:rPr>
        <w:lastRenderedPageBreak/>
        <w:t>מהלוח עולה כי בעשרת המכרזים האמורים הושג חיסכון מצטבר של כ-</w:t>
      </w:r>
      <w:r>
        <w:rPr>
          <w:rFonts w:eastAsia="Calibri" w:hint="cs"/>
          <w:rtl/>
        </w:rPr>
        <w:t>152</w:t>
      </w:r>
      <w:r w:rsidRPr="00EA1326">
        <w:rPr>
          <w:rFonts w:eastAsia="Calibri" w:hint="cs"/>
          <w:rtl/>
        </w:rPr>
        <w:t xml:space="preserve"> מיליון ש"ח (כ-</w:t>
      </w:r>
      <w:r>
        <w:rPr>
          <w:rFonts w:eastAsia="Calibri" w:hint="cs"/>
          <w:rtl/>
        </w:rPr>
        <w:t>24</w:t>
      </w:r>
      <w:r w:rsidRPr="00EA1326">
        <w:rPr>
          <w:rFonts w:eastAsia="Calibri" w:hint="cs"/>
          <w:rtl/>
        </w:rPr>
        <w:t xml:space="preserve">%) מאומדן העלויות של העבודות בזכות הליכי המכרז. </w:t>
      </w:r>
    </w:p>
    <w:p w14:paraId="1B32DD56" w14:textId="77777777" w:rsidR="000A4591" w:rsidRDefault="000A4591" w:rsidP="00BA5F6A">
      <w:pPr>
        <w:pStyle w:val="71f5"/>
        <w:rPr>
          <w:rtl/>
        </w:rPr>
      </w:pPr>
      <w:r w:rsidRPr="00D558BA">
        <w:rPr>
          <w:rFonts w:hint="cs"/>
          <w:rtl/>
        </w:rPr>
        <w:t>מהאמור לעיל עולה כי ה</w:t>
      </w:r>
      <w:r w:rsidRPr="00D558BA">
        <w:rPr>
          <w:rtl/>
        </w:rPr>
        <w:t>בקרה על התכנון המפורט לפיתוח הקרקע</w:t>
      </w:r>
      <w:r w:rsidRPr="00D558BA">
        <w:rPr>
          <w:rFonts w:hint="cs"/>
          <w:rtl/>
        </w:rPr>
        <w:t xml:space="preserve"> וקיומו של מכרז מפחיתים בשיעור</w:t>
      </w:r>
      <w:r>
        <w:rPr>
          <w:rFonts w:hint="cs"/>
          <w:rtl/>
        </w:rPr>
        <w:t xml:space="preserve"> ניכר</w:t>
      </w:r>
      <w:r w:rsidRPr="00D558BA">
        <w:rPr>
          <w:rFonts w:hint="cs"/>
          <w:rtl/>
        </w:rPr>
        <w:t xml:space="preserve"> את עלות הביצוע של עבודות הפיתוח </w:t>
      </w:r>
      <w:r>
        <w:rPr>
          <w:rFonts w:hint="cs"/>
          <w:rtl/>
        </w:rPr>
        <w:t>יחסית</w:t>
      </w:r>
      <w:r w:rsidRPr="00D558BA">
        <w:rPr>
          <w:rFonts w:hint="cs"/>
          <w:rtl/>
        </w:rPr>
        <w:t xml:space="preserve"> ל</w:t>
      </w:r>
      <w:r>
        <w:rPr>
          <w:rFonts w:hint="cs"/>
          <w:rtl/>
        </w:rPr>
        <w:t>אומדן העלויות שהציגה</w:t>
      </w:r>
      <w:r w:rsidRPr="00D558BA">
        <w:rPr>
          <w:rFonts w:hint="cs"/>
          <w:rtl/>
        </w:rPr>
        <w:t xml:space="preserve"> הרשות המקומית.</w:t>
      </w:r>
    </w:p>
    <w:p w14:paraId="0EAD3B08" w14:textId="77777777" w:rsidR="000A4591" w:rsidRDefault="000A4591" w:rsidP="00BA5F6A">
      <w:pPr>
        <w:pStyle w:val="71f5"/>
        <w:rPr>
          <w:rtl/>
        </w:rPr>
      </w:pPr>
      <w:r>
        <w:rPr>
          <w:rFonts w:hint="cs"/>
          <w:rtl/>
        </w:rPr>
        <w:t xml:space="preserve">נוכח העלויות הניכרות של עבודות פיתוח </w:t>
      </w:r>
      <w:r w:rsidRPr="00D558BA">
        <w:rPr>
          <w:rFonts w:hint="cs"/>
          <w:rtl/>
        </w:rPr>
        <w:t xml:space="preserve">מומלץ כי רמ"י ומשרד הבינוי </w:t>
      </w:r>
      <w:r>
        <w:rPr>
          <w:rFonts w:hint="cs"/>
          <w:rtl/>
        </w:rPr>
        <w:t>יפיקו</w:t>
      </w:r>
      <w:r w:rsidRPr="00D558BA">
        <w:rPr>
          <w:rFonts w:hint="cs"/>
          <w:rtl/>
        </w:rPr>
        <w:t xml:space="preserve"> לקחים מתהליכי הבקרה ופרסום המכרזים לביצוע העבודות </w:t>
      </w:r>
      <w:r>
        <w:rPr>
          <w:rFonts w:hint="cs"/>
          <w:rtl/>
        </w:rPr>
        <w:t>כדי</w:t>
      </w:r>
      <w:r w:rsidRPr="00D558BA">
        <w:rPr>
          <w:rFonts w:hint="cs"/>
          <w:rtl/>
        </w:rPr>
        <w:t xml:space="preserve"> </w:t>
      </w:r>
      <w:r>
        <w:rPr>
          <w:rFonts w:hint="cs"/>
          <w:rtl/>
        </w:rPr>
        <w:t>להגדיל את</w:t>
      </w:r>
      <w:r w:rsidRPr="00D558BA">
        <w:rPr>
          <w:rFonts w:hint="cs"/>
          <w:rtl/>
        </w:rPr>
        <w:t xml:space="preserve"> החיסכון בעלויות הפיתוח</w:t>
      </w:r>
      <w:r>
        <w:rPr>
          <w:rFonts w:hint="cs"/>
          <w:rtl/>
        </w:rPr>
        <w:t xml:space="preserve"> ויישמו אותם בפרויקטים עתידיים.</w:t>
      </w:r>
    </w:p>
    <w:p w14:paraId="6F121FF1" w14:textId="4B6AF4BB" w:rsidR="000A4591" w:rsidRDefault="000A4591" w:rsidP="00BA5F6A">
      <w:pPr>
        <w:pStyle w:val="7190"/>
        <w:rPr>
          <w:b/>
          <w:bCs/>
          <w:rtl/>
        </w:rPr>
      </w:pPr>
      <w:r w:rsidRPr="00C22F0B">
        <w:rPr>
          <w:rFonts w:hint="cs"/>
          <w:rtl/>
        </w:rPr>
        <w:t xml:space="preserve">רמ"י מסרה בתשובתה כי </w:t>
      </w:r>
      <w:r w:rsidRPr="00C22F0B">
        <w:rPr>
          <w:rtl/>
        </w:rPr>
        <w:t>בדיונים ב</w:t>
      </w:r>
      <w:r w:rsidRPr="00C22F0B">
        <w:rPr>
          <w:rFonts w:hint="cs"/>
          <w:rtl/>
        </w:rPr>
        <w:t>ו</w:t>
      </w:r>
      <w:r w:rsidRPr="00C22F0B">
        <w:rPr>
          <w:rtl/>
        </w:rPr>
        <w:t>ות״פ הופקו לקחים מתהליכי הבקרה ופרסום המכרזים לביצוע עבודות הפיתוח</w:t>
      </w:r>
      <w:r w:rsidRPr="00C22F0B">
        <w:rPr>
          <w:rFonts w:hint="cs"/>
          <w:rtl/>
        </w:rPr>
        <w:t>,</w:t>
      </w:r>
      <w:r w:rsidRPr="00C22F0B">
        <w:rPr>
          <w:rtl/>
        </w:rPr>
        <w:t xml:space="preserve"> </w:t>
      </w:r>
      <w:r w:rsidRPr="00C22F0B">
        <w:rPr>
          <w:rFonts w:hint="cs"/>
          <w:rtl/>
        </w:rPr>
        <w:t>וכי מת</w:t>
      </w:r>
      <w:r w:rsidRPr="00C22F0B">
        <w:rPr>
          <w:rtl/>
        </w:rPr>
        <w:t xml:space="preserve">קיים </w:t>
      </w:r>
      <w:r w:rsidRPr="00C22F0B">
        <w:rPr>
          <w:rFonts w:hint="cs"/>
          <w:rtl/>
        </w:rPr>
        <w:t xml:space="preserve">שיתוף פעולה </w:t>
      </w:r>
      <w:r w:rsidRPr="00C22F0B">
        <w:rPr>
          <w:rtl/>
        </w:rPr>
        <w:t xml:space="preserve">פורה בין המשרדים השונים במסגרת </w:t>
      </w:r>
      <w:r>
        <w:rPr>
          <w:rFonts w:hint="cs"/>
          <w:rtl/>
        </w:rPr>
        <w:t>הוות"פ</w:t>
      </w:r>
      <w:r w:rsidRPr="00C22F0B">
        <w:rPr>
          <w:rFonts w:hint="cs"/>
          <w:rtl/>
        </w:rPr>
        <w:t>,</w:t>
      </w:r>
      <w:r w:rsidRPr="00C22F0B">
        <w:rPr>
          <w:rtl/>
        </w:rPr>
        <w:t xml:space="preserve"> </w:t>
      </w:r>
      <w:r w:rsidRPr="00C22F0B">
        <w:rPr>
          <w:rFonts w:hint="cs"/>
          <w:rtl/>
        </w:rPr>
        <w:t>ב</w:t>
      </w:r>
      <w:r w:rsidRPr="00C22F0B">
        <w:rPr>
          <w:rtl/>
        </w:rPr>
        <w:t>מטרה לקדם נ</w:t>
      </w:r>
      <w:r w:rsidRPr="00C22F0B">
        <w:rPr>
          <w:rFonts w:hint="cs"/>
          <w:rtl/>
        </w:rPr>
        <w:t>ו</w:t>
      </w:r>
      <w:r w:rsidRPr="00C22F0B">
        <w:rPr>
          <w:rtl/>
        </w:rPr>
        <w:t>הלי עבודה אחודים וסדורים</w:t>
      </w:r>
      <w:r w:rsidRPr="00C22F0B">
        <w:rPr>
          <w:rFonts w:hint="cs"/>
          <w:rtl/>
        </w:rPr>
        <w:t>. רמ"י הוסיפה כי נכון ליולי 2021, נוהלי עבודה אלה</w:t>
      </w:r>
      <w:r w:rsidRPr="00C22F0B">
        <w:rPr>
          <w:rtl/>
        </w:rPr>
        <w:t xml:space="preserve"> מצויים בשלבי סיום לקראת אישור.</w:t>
      </w:r>
    </w:p>
    <w:p w14:paraId="613B8725" w14:textId="77777777" w:rsidR="00BA5F6A" w:rsidRDefault="00BA5F6A" w:rsidP="00BA5F6A">
      <w:pPr>
        <w:pStyle w:val="7190"/>
        <w:rPr>
          <w:b/>
          <w:bCs/>
          <w:rtl/>
        </w:rPr>
      </w:pPr>
    </w:p>
    <w:p w14:paraId="7DBD1A3C" w14:textId="77777777" w:rsidR="000A4591" w:rsidRPr="005C540C" w:rsidRDefault="000A4591" w:rsidP="00BA5F6A">
      <w:pPr>
        <w:pStyle w:val="71316"/>
        <w:rPr>
          <w:rtl/>
        </w:rPr>
      </w:pPr>
      <w:r w:rsidRPr="005C540C">
        <w:rPr>
          <w:rFonts w:hint="cs"/>
          <w:rtl/>
        </w:rPr>
        <w:t>קדם</w:t>
      </w:r>
      <w:r>
        <w:rPr>
          <w:rFonts w:hint="cs"/>
          <w:rtl/>
        </w:rPr>
        <w:t>-</w:t>
      </w:r>
      <w:r w:rsidRPr="005C540C">
        <w:rPr>
          <w:rFonts w:hint="cs"/>
          <w:rtl/>
        </w:rPr>
        <w:t>מימון</w:t>
      </w:r>
    </w:p>
    <w:p w14:paraId="72581716" w14:textId="77777777" w:rsidR="000A4591" w:rsidRPr="005C540C" w:rsidRDefault="000A4591" w:rsidP="00BA5F6A">
      <w:pPr>
        <w:pStyle w:val="7190"/>
        <w:rPr>
          <w:rtl/>
        </w:rPr>
      </w:pPr>
      <w:r w:rsidRPr="005C540C">
        <w:rPr>
          <w:rFonts w:hint="cs"/>
          <w:rtl/>
        </w:rPr>
        <w:t>בהחלטות מועצת מקרקעי</w:t>
      </w:r>
      <w:r w:rsidRPr="005C540C">
        <w:rPr>
          <w:rtl/>
        </w:rPr>
        <w:t xml:space="preserve"> </w:t>
      </w:r>
      <w:r w:rsidRPr="005C540C">
        <w:rPr>
          <w:rFonts w:hint="cs"/>
          <w:rtl/>
        </w:rPr>
        <w:t xml:space="preserve">ישראל נקבע כי </w:t>
      </w:r>
      <w:r w:rsidRPr="005C540C">
        <w:rPr>
          <w:rtl/>
        </w:rPr>
        <w:t>רשויות מקומיות אשר תומכות בשיווק</w:t>
      </w:r>
      <w:r>
        <w:rPr>
          <w:rFonts w:hint="cs"/>
          <w:rtl/>
        </w:rPr>
        <w:t xml:space="preserve"> של קרקע</w:t>
      </w:r>
      <w:r w:rsidRPr="005C540C">
        <w:rPr>
          <w:rtl/>
        </w:rPr>
        <w:t xml:space="preserve"> ויש צפי לשיווק </w:t>
      </w:r>
      <w:r>
        <w:rPr>
          <w:rFonts w:hint="cs"/>
          <w:rtl/>
        </w:rPr>
        <w:t>הקרקע בתוך</w:t>
      </w:r>
      <w:r w:rsidRPr="005C540C">
        <w:rPr>
          <w:rtl/>
        </w:rPr>
        <w:t xml:space="preserve"> שנה מיום אישור התוכנית, יוכלו לקבל קדם</w:t>
      </w:r>
      <w:r>
        <w:rPr>
          <w:rFonts w:hint="cs"/>
          <w:rtl/>
        </w:rPr>
        <w:t>-</w:t>
      </w:r>
      <w:r w:rsidRPr="005C540C">
        <w:rPr>
          <w:rtl/>
        </w:rPr>
        <w:t>מימון</w:t>
      </w:r>
      <w:r w:rsidRPr="005C540C">
        <w:rPr>
          <w:rFonts w:hint="cs"/>
          <w:rtl/>
        </w:rPr>
        <w:t xml:space="preserve"> </w:t>
      </w:r>
      <w:r w:rsidRPr="005C540C">
        <w:rPr>
          <w:rtl/>
        </w:rPr>
        <w:t>לצורך</w:t>
      </w:r>
      <w:r w:rsidRPr="005C540C">
        <w:rPr>
          <w:rFonts w:hint="cs"/>
          <w:rtl/>
        </w:rPr>
        <w:t xml:space="preserve"> </w:t>
      </w:r>
      <w:r w:rsidRPr="005C540C">
        <w:rPr>
          <w:rtl/>
        </w:rPr>
        <w:t>ביצוע כלל המטלות</w:t>
      </w:r>
      <w:r w:rsidRPr="005C540C">
        <w:rPr>
          <w:rFonts w:hint="cs"/>
          <w:rtl/>
        </w:rPr>
        <w:t>, ובהן</w:t>
      </w:r>
      <w:r>
        <w:rPr>
          <w:rFonts w:hint="cs"/>
          <w:sz w:val="24"/>
          <w:rtl/>
        </w:rPr>
        <w:t xml:space="preserve"> </w:t>
      </w:r>
      <w:r w:rsidRPr="005C540C">
        <w:rPr>
          <w:sz w:val="24"/>
          <w:rtl/>
        </w:rPr>
        <w:t xml:space="preserve">ביצוע עבודות התכנון בקרקע, </w:t>
      </w:r>
      <w:r>
        <w:rPr>
          <w:rFonts w:hint="cs"/>
          <w:sz w:val="24"/>
          <w:rtl/>
        </w:rPr>
        <w:t>ביצוע</w:t>
      </w:r>
      <w:r w:rsidRPr="005C540C">
        <w:rPr>
          <w:sz w:val="24"/>
          <w:rtl/>
        </w:rPr>
        <w:t xml:space="preserve"> אומדנים לעלויות הפיתוח,</w:t>
      </w:r>
      <w:r>
        <w:rPr>
          <w:rFonts w:hint="cs"/>
          <w:sz w:val="24"/>
          <w:rtl/>
        </w:rPr>
        <w:t xml:space="preserve"> ו</w:t>
      </w:r>
      <w:r w:rsidRPr="005C540C">
        <w:rPr>
          <w:sz w:val="24"/>
          <w:rtl/>
        </w:rPr>
        <w:t>ביצוע</w:t>
      </w:r>
      <w:r>
        <w:rPr>
          <w:rFonts w:hint="cs"/>
          <w:sz w:val="24"/>
          <w:rtl/>
        </w:rPr>
        <w:t xml:space="preserve"> של</w:t>
      </w:r>
      <w:r w:rsidRPr="005C540C">
        <w:rPr>
          <w:sz w:val="24"/>
          <w:rtl/>
        </w:rPr>
        <w:t xml:space="preserve"> תשתיות</w:t>
      </w:r>
      <w:r>
        <w:rPr>
          <w:rFonts w:hint="cs"/>
          <w:sz w:val="24"/>
          <w:rtl/>
        </w:rPr>
        <w:t>-</w:t>
      </w:r>
      <w:r w:rsidRPr="005C540C">
        <w:rPr>
          <w:sz w:val="24"/>
          <w:rtl/>
        </w:rPr>
        <w:t>על ו</w:t>
      </w:r>
      <w:r>
        <w:rPr>
          <w:rFonts w:hint="cs"/>
          <w:sz w:val="24"/>
          <w:rtl/>
        </w:rPr>
        <w:t xml:space="preserve">של </w:t>
      </w:r>
      <w:r w:rsidRPr="005C540C">
        <w:rPr>
          <w:sz w:val="24"/>
          <w:rtl/>
        </w:rPr>
        <w:t xml:space="preserve">תשתיות צמודות </w:t>
      </w:r>
      <w:r>
        <w:rPr>
          <w:rFonts w:hint="cs"/>
          <w:sz w:val="24"/>
          <w:rtl/>
        </w:rPr>
        <w:t>וכן קדם-מימון עבור</w:t>
      </w:r>
      <w:r w:rsidRPr="005C540C">
        <w:rPr>
          <w:sz w:val="24"/>
          <w:rtl/>
        </w:rPr>
        <w:t xml:space="preserve"> תקורות הרשות המקומית </w:t>
      </w:r>
      <w:r>
        <w:rPr>
          <w:rFonts w:hint="cs"/>
          <w:sz w:val="24"/>
          <w:rtl/>
        </w:rPr>
        <w:t>שמקורן בביצוע אותן עבודות</w:t>
      </w:r>
      <w:r w:rsidRPr="005C540C">
        <w:rPr>
          <w:rFonts w:hint="cs"/>
          <w:rtl/>
        </w:rPr>
        <w:t>,</w:t>
      </w:r>
      <w:r w:rsidRPr="005C540C">
        <w:rPr>
          <w:rtl/>
        </w:rPr>
        <w:t xml:space="preserve"> </w:t>
      </w:r>
      <w:r>
        <w:rPr>
          <w:rFonts w:hint="cs"/>
          <w:rtl/>
        </w:rPr>
        <w:t>כל אלה</w:t>
      </w:r>
      <w:r w:rsidRPr="005C540C">
        <w:rPr>
          <w:rFonts w:hint="cs"/>
          <w:rtl/>
        </w:rPr>
        <w:t xml:space="preserve"> בכפוף </w:t>
      </w:r>
      <w:r w:rsidRPr="005C540C">
        <w:rPr>
          <w:rtl/>
        </w:rPr>
        <w:t>לאישור ה</w:t>
      </w:r>
      <w:r w:rsidRPr="005C540C">
        <w:rPr>
          <w:rFonts w:hint="cs"/>
          <w:rtl/>
        </w:rPr>
        <w:t>וות"פ</w:t>
      </w:r>
      <w:r>
        <w:rPr>
          <w:vertAlign w:val="superscript"/>
          <w:rtl/>
        </w:rPr>
        <w:footnoteReference w:id="113"/>
      </w:r>
      <w:r w:rsidRPr="005C540C">
        <w:rPr>
          <w:rFonts w:hint="cs"/>
          <w:rtl/>
        </w:rPr>
        <w:t>. מכוח החלטות אלה ניתן להקצות קדם</w:t>
      </w:r>
      <w:r>
        <w:rPr>
          <w:rFonts w:hint="cs"/>
          <w:rtl/>
        </w:rPr>
        <w:t>-</w:t>
      </w:r>
      <w:r w:rsidRPr="005C540C">
        <w:rPr>
          <w:rFonts w:hint="cs"/>
          <w:rtl/>
        </w:rPr>
        <w:t>מימון גם במסגרת הסכם גג, כאשר מתמלאים התנאים לכך. התשלום המועבר כקדם</w:t>
      </w:r>
      <w:r>
        <w:rPr>
          <w:rFonts w:hint="cs"/>
          <w:rtl/>
        </w:rPr>
        <w:t>-</w:t>
      </w:r>
      <w:r w:rsidRPr="005C540C">
        <w:rPr>
          <w:rFonts w:hint="cs"/>
          <w:rtl/>
        </w:rPr>
        <w:t xml:space="preserve">מימון הוא למעשה מקדמה על חשבון תשלומי הפיתוח שגובה רמ"י מהיזמים שהקרקע מוקצית להם בעת השיווק. </w:t>
      </w:r>
    </w:p>
    <w:p w14:paraId="512E405C" w14:textId="77777777" w:rsidR="000A4591" w:rsidRPr="005C540C" w:rsidRDefault="000A4591" w:rsidP="00BA5F6A">
      <w:pPr>
        <w:pStyle w:val="7190"/>
        <w:rPr>
          <w:rtl/>
        </w:rPr>
      </w:pPr>
      <w:r w:rsidRPr="005C540C">
        <w:rPr>
          <w:rFonts w:hint="cs"/>
          <w:rtl/>
        </w:rPr>
        <w:t xml:space="preserve">ככלל, הרשויות המקומיות כגורם שאחראי </w:t>
      </w:r>
      <w:r>
        <w:rPr>
          <w:rFonts w:hint="cs"/>
          <w:rtl/>
        </w:rPr>
        <w:t>ל</w:t>
      </w:r>
      <w:r w:rsidRPr="005C540C">
        <w:rPr>
          <w:rFonts w:hint="cs"/>
          <w:rtl/>
        </w:rPr>
        <w:t>תכנון ו</w:t>
      </w:r>
      <w:r>
        <w:rPr>
          <w:rFonts w:hint="cs"/>
          <w:rtl/>
        </w:rPr>
        <w:t>ל</w:t>
      </w:r>
      <w:r w:rsidRPr="005C540C">
        <w:rPr>
          <w:rFonts w:hint="cs"/>
          <w:rtl/>
        </w:rPr>
        <w:t xml:space="preserve">פיתוח </w:t>
      </w:r>
      <w:r>
        <w:rPr>
          <w:rFonts w:hint="cs"/>
          <w:rtl/>
        </w:rPr>
        <w:t xml:space="preserve">בתחום שיפוטן </w:t>
      </w:r>
      <w:r w:rsidRPr="005C540C">
        <w:rPr>
          <w:rFonts w:hint="cs"/>
          <w:rtl/>
        </w:rPr>
        <w:t xml:space="preserve">מגישות את הבקשות </w:t>
      </w:r>
      <w:r w:rsidRPr="005C540C">
        <w:rPr>
          <w:rtl/>
        </w:rPr>
        <w:t xml:space="preserve">לקבלת קדמי המימון לרמ"י או </w:t>
      </w:r>
      <w:r>
        <w:rPr>
          <w:rFonts w:hint="cs"/>
          <w:rtl/>
        </w:rPr>
        <w:t>ל</w:t>
      </w:r>
      <w:r w:rsidRPr="005C540C">
        <w:rPr>
          <w:rtl/>
        </w:rPr>
        <w:t>משרד הבינוי לפי העניין</w:t>
      </w:r>
      <w:r w:rsidRPr="005C540C">
        <w:rPr>
          <w:rFonts w:hint="cs"/>
          <w:rtl/>
        </w:rPr>
        <w:t>, והן מועברות</w:t>
      </w:r>
      <w:r>
        <w:rPr>
          <w:rFonts w:hint="cs"/>
          <w:rtl/>
        </w:rPr>
        <w:t xml:space="preserve"> לוות"פ,</w:t>
      </w:r>
      <w:r w:rsidRPr="005C540C">
        <w:rPr>
          <w:rFonts w:hint="cs"/>
          <w:rtl/>
        </w:rPr>
        <w:t xml:space="preserve"> </w:t>
      </w:r>
      <w:r>
        <w:rPr>
          <w:rFonts w:hint="cs"/>
          <w:rtl/>
        </w:rPr>
        <w:t>כדי שתדון בהן ותקבע אם לאשרן</w:t>
      </w:r>
      <w:r w:rsidRPr="005C540C">
        <w:rPr>
          <w:rFonts w:hint="cs"/>
          <w:sz w:val="24"/>
          <w:rtl/>
        </w:rPr>
        <w:t>.</w:t>
      </w:r>
      <w:r w:rsidRPr="005C540C">
        <w:rPr>
          <w:sz w:val="24"/>
          <w:rtl/>
        </w:rPr>
        <w:t xml:space="preserve"> </w:t>
      </w:r>
      <w:r w:rsidRPr="005C540C">
        <w:rPr>
          <w:rFonts w:hint="cs"/>
          <w:rtl/>
        </w:rPr>
        <w:t xml:space="preserve">בהסכמים שבהם האחריות לתכנון והפיתוח היא </w:t>
      </w:r>
      <w:r>
        <w:rPr>
          <w:rFonts w:hint="cs"/>
          <w:rtl/>
        </w:rPr>
        <w:t>בידי</w:t>
      </w:r>
      <w:r w:rsidRPr="005C540C">
        <w:rPr>
          <w:rFonts w:hint="cs"/>
          <w:rtl/>
        </w:rPr>
        <w:t xml:space="preserve"> משרד הבינוי, המשרד הוא זה שמגיש את הבקשה לקדם</w:t>
      </w:r>
      <w:r>
        <w:rPr>
          <w:rFonts w:hint="cs"/>
          <w:rtl/>
        </w:rPr>
        <w:t>-</w:t>
      </w:r>
      <w:r w:rsidRPr="005C540C">
        <w:rPr>
          <w:rFonts w:hint="cs"/>
          <w:rtl/>
        </w:rPr>
        <w:t>המימון.</w:t>
      </w:r>
    </w:p>
    <w:p w14:paraId="0CCDD8C3" w14:textId="77777777" w:rsidR="000A4591" w:rsidRPr="005C540C" w:rsidRDefault="000A4591" w:rsidP="00BA5F6A">
      <w:pPr>
        <w:pStyle w:val="7190"/>
        <w:rPr>
          <w:rtl/>
        </w:rPr>
      </w:pPr>
      <w:r w:rsidRPr="005C540C">
        <w:rPr>
          <w:rFonts w:hint="cs"/>
          <w:rtl/>
        </w:rPr>
        <w:t xml:space="preserve">עד </w:t>
      </w:r>
      <w:r>
        <w:rPr>
          <w:rFonts w:hint="cs"/>
          <w:rtl/>
        </w:rPr>
        <w:t>שנת 2020</w:t>
      </w:r>
      <w:r w:rsidRPr="005C540C">
        <w:rPr>
          <w:rFonts w:hint="cs"/>
          <w:rtl/>
        </w:rPr>
        <w:t xml:space="preserve"> אישרה הוות"פ קדמי מימון בסך של </w:t>
      </w:r>
      <w:r>
        <w:rPr>
          <w:rFonts w:hint="cs"/>
          <w:rtl/>
        </w:rPr>
        <w:t>כ-4</w:t>
      </w:r>
      <w:r w:rsidRPr="005C540C">
        <w:rPr>
          <w:rFonts w:hint="cs"/>
          <w:rtl/>
        </w:rPr>
        <w:t xml:space="preserve"> מיליארד ש"</w:t>
      </w:r>
      <w:r>
        <w:rPr>
          <w:rFonts w:hint="cs"/>
          <w:rtl/>
        </w:rPr>
        <w:t xml:space="preserve">ח במסגרת הסכמי הגג. להלן בתרשים 21 </w:t>
      </w:r>
      <w:r w:rsidRPr="005C540C">
        <w:rPr>
          <w:rFonts w:hint="cs"/>
          <w:rtl/>
        </w:rPr>
        <w:t xml:space="preserve">מפורטים </w:t>
      </w:r>
      <w:r>
        <w:rPr>
          <w:rFonts w:hint="cs"/>
          <w:rtl/>
        </w:rPr>
        <w:t>סכומי</w:t>
      </w:r>
      <w:r w:rsidRPr="005C540C">
        <w:rPr>
          <w:rFonts w:hint="cs"/>
          <w:rtl/>
        </w:rPr>
        <w:t xml:space="preserve"> קדם</w:t>
      </w:r>
      <w:r>
        <w:rPr>
          <w:rFonts w:hint="cs"/>
          <w:rtl/>
        </w:rPr>
        <w:t>-</w:t>
      </w:r>
      <w:r w:rsidRPr="005C540C">
        <w:rPr>
          <w:rFonts w:hint="cs"/>
          <w:rtl/>
        </w:rPr>
        <w:t>המימון שאושרו במסגרת הסכמי הגג עד</w:t>
      </w:r>
      <w:r>
        <w:rPr>
          <w:rFonts w:hint="cs"/>
          <w:rtl/>
        </w:rPr>
        <w:t xml:space="preserve"> שנת</w:t>
      </w:r>
      <w:r w:rsidRPr="005C540C">
        <w:rPr>
          <w:rFonts w:hint="cs"/>
          <w:rtl/>
        </w:rPr>
        <w:t xml:space="preserve"> 2020 בכל אחד מהסכמי הגג</w:t>
      </w:r>
      <w:r>
        <w:rPr>
          <w:rStyle w:val="a9"/>
          <w:rtl/>
        </w:rPr>
        <w:footnoteReference w:id="114"/>
      </w:r>
      <w:r w:rsidRPr="005C540C">
        <w:rPr>
          <w:rFonts w:hint="cs"/>
          <w:rtl/>
        </w:rPr>
        <w:t xml:space="preserve">: </w:t>
      </w:r>
    </w:p>
    <w:p w14:paraId="61807CF0" w14:textId="45477708" w:rsidR="000A4591" w:rsidRDefault="002919FA" w:rsidP="00BA5F6A">
      <w:pPr>
        <w:pStyle w:val="71b"/>
        <w:rPr>
          <w:rFonts w:eastAsia="Times New Roman"/>
          <w:rtl/>
          <w:lang w:eastAsia="he-IL"/>
        </w:rPr>
      </w:pPr>
      <w:r>
        <w:rPr>
          <w:rFonts w:eastAsia="Times New Roman"/>
          <w:noProof/>
          <w:rtl/>
          <w:lang w:val="he-IL" w:eastAsia="he-IL"/>
        </w:rPr>
        <w:lastRenderedPageBreak/>
        <w:drawing>
          <wp:anchor distT="0" distB="0" distL="114300" distR="114300" simplePos="0" relativeHeight="252148224" behindDoc="0" locked="0" layoutInCell="1" allowOverlap="1" wp14:anchorId="2BC63EF1" wp14:editId="4A0D8DFB">
            <wp:simplePos x="0" y="0"/>
            <wp:positionH relativeFrom="column">
              <wp:posOffset>220980</wp:posOffset>
            </wp:positionH>
            <wp:positionV relativeFrom="paragraph">
              <wp:posOffset>425450</wp:posOffset>
            </wp:positionV>
            <wp:extent cx="4212000" cy="6413799"/>
            <wp:effectExtent l="0" t="0" r="0" b="6350"/>
            <wp:wrapNone/>
            <wp:docPr id="3788736" name="Picture 378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6" name="Picture 378873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12000" cy="6413799"/>
                    </a:xfrm>
                    <a:prstGeom prst="rect">
                      <a:avLst/>
                    </a:prstGeom>
                  </pic:spPr>
                </pic:pic>
              </a:graphicData>
            </a:graphic>
            <wp14:sizeRelH relativeFrom="margin">
              <wp14:pctWidth>0</wp14:pctWidth>
            </wp14:sizeRelH>
            <wp14:sizeRelV relativeFrom="margin">
              <wp14:pctHeight>0</wp14:pctHeight>
            </wp14:sizeRelV>
          </wp:anchor>
        </w:drawing>
      </w:r>
      <w:r w:rsidR="000A4591" w:rsidRPr="00BA5F6A">
        <w:rPr>
          <w:rFonts w:eastAsia="Times New Roman" w:hint="cs"/>
          <w:b w:val="0"/>
          <w:bCs w:val="0"/>
          <w:rtl/>
          <w:lang w:eastAsia="he-IL"/>
        </w:rPr>
        <w:t>תרשים 21:</w:t>
      </w:r>
      <w:r w:rsidR="000A4591" w:rsidRPr="005C540C">
        <w:rPr>
          <w:rFonts w:eastAsia="Times New Roman" w:hint="cs"/>
          <w:rtl/>
          <w:lang w:eastAsia="he-IL"/>
        </w:rPr>
        <w:t xml:space="preserve"> סכומי קדם</w:t>
      </w:r>
      <w:r w:rsidR="000A4591">
        <w:rPr>
          <w:rFonts w:eastAsia="Times New Roman" w:hint="cs"/>
          <w:rtl/>
          <w:lang w:eastAsia="he-IL"/>
        </w:rPr>
        <w:t>-</w:t>
      </w:r>
      <w:r w:rsidR="000A4591" w:rsidRPr="005C540C">
        <w:rPr>
          <w:rFonts w:eastAsia="Times New Roman" w:hint="cs"/>
          <w:rtl/>
          <w:lang w:eastAsia="he-IL"/>
        </w:rPr>
        <w:t>המימון שאושר</w:t>
      </w:r>
      <w:r w:rsidR="000A4591">
        <w:rPr>
          <w:rFonts w:eastAsia="Times New Roman" w:hint="cs"/>
          <w:rtl/>
          <w:lang w:eastAsia="he-IL"/>
        </w:rPr>
        <w:t>ו</w:t>
      </w:r>
      <w:r w:rsidR="000A4591" w:rsidRPr="005C540C">
        <w:rPr>
          <w:rFonts w:eastAsia="Times New Roman" w:hint="cs"/>
          <w:rtl/>
          <w:lang w:eastAsia="he-IL"/>
        </w:rPr>
        <w:t xml:space="preserve"> לרשויות המקומיות במיליוני ש"ח</w:t>
      </w:r>
      <w:r w:rsidR="000A4591">
        <w:rPr>
          <w:rFonts w:eastAsia="Times New Roman" w:hint="cs"/>
          <w:rtl/>
          <w:lang w:eastAsia="he-IL"/>
        </w:rPr>
        <w:t xml:space="preserve"> לשנת</w:t>
      </w:r>
      <w:r w:rsidR="000A4591" w:rsidRPr="005C540C">
        <w:rPr>
          <w:rFonts w:eastAsia="Times New Roman" w:hint="cs"/>
          <w:rtl/>
          <w:lang w:eastAsia="he-IL"/>
        </w:rPr>
        <w:t xml:space="preserve"> 2020</w:t>
      </w:r>
    </w:p>
    <w:p w14:paraId="18ADF83F" w14:textId="6E517020" w:rsidR="002919FA" w:rsidRDefault="002919FA" w:rsidP="00BA5F6A">
      <w:pPr>
        <w:pStyle w:val="71b"/>
        <w:rPr>
          <w:rFonts w:eastAsia="Times New Roman"/>
          <w:rtl/>
          <w:lang w:eastAsia="he-IL"/>
        </w:rPr>
      </w:pPr>
    </w:p>
    <w:p w14:paraId="6AA4457F" w14:textId="77777777" w:rsidR="002919FA" w:rsidRDefault="002919FA" w:rsidP="00513969">
      <w:pPr>
        <w:pStyle w:val="71d"/>
        <w:rPr>
          <w:rtl/>
        </w:rPr>
      </w:pPr>
    </w:p>
    <w:p w14:paraId="30799714" w14:textId="77777777" w:rsidR="002919FA" w:rsidRDefault="002919FA" w:rsidP="00513969">
      <w:pPr>
        <w:pStyle w:val="71d"/>
        <w:rPr>
          <w:rtl/>
        </w:rPr>
      </w:pPr>
    </w:p>
    <w:p w14:paraId="4277B578" w14:textId="77777777" w:rsidR="002919FA" w:rsidRDefault="002919FA" w:rsidP="00513969">
      <w:pPr>
        <w:pStyle w:val="71d"/>
        <w:rPr>
          <w:rtl/>
        </w:rPr>
      </w:pPr>
    </w:p>
    <w:p w14:paraId="2589E69E" w14:textId="77777777" w:rsidR="002919FA" w:rsidRDefault="002919FA" w:rsidP="00513969">
      <w:pPr>
        <w:pStyle w:val="71d"/>
        <w:rPr>
          <w:rtl/>
        </w:rPr>
      </w:pPr>
    </w:p>
    <w:p w14:paraId="42CC759D" w14:textId="77777777" w:rsidR="002919FA" w:rsidRDefault="002919FA" w:rsidP="00513969">
      <w:pPr>
        <w:pStyle w:val="71d"/>
        <w:rPr>
          <w:rtl/>
        </w:rPr>
      </w:pPr>
    </w:p>
    <w:p w14:paraId="0AFEBD89" w14:textId="77777777" w:rsidR="002919FA" w:rsidRDefault="002919FA" w:rsidP="00513969">
      <w:pPr>
        <w:pStyle w:val="71d"/>
        <w:rPr>
          <w:rtl/>
        </w:rPr>
      </w:pPr>
    </w:p>
    <w:p w14:paraId="1E3936BF" w14:textId="77777777" w:rsidR="002919FA" w:rsidRDefault="002919FA" w:rsidP="00513969">
      <w:pPr>
        <w:pStyle w:val="71d"/>
        <w:rPr>
          <w:rtl/>
        </w:rPr>
      </w:pPr>
    </w:p>
    <w:p w14:paraId="6061FAB6" w14:textId="77777777" w:rsidR="002919FA" w:rsidRDefault="002919FA" w:rsidP="00513969">
      <w:pPr>
        <w:pStyle w:val="71d"/>
        <w:rPr>
          <w:rtl/>
        </w:rPr>
      </w:pPr>
    </w:p>
    <w:p w14:paraId="7628D24F" w14:textId="77777777" w:rsidR="002919FA" w:rsidRDefault="002919FA" w:rsidP="00513969">
      <w:pPr>
        <w:pStyle w:val="71d"/>
        <w:rPr>
          <w:rtl/>
        </w:rPr>
      </w:pPr>
    </w:p>
    <w:p w14:paraId="3B2F82BC" w14:textId="77777777" w:rsidR="002919FA" w:rsidRDefault="002919FA" w:rsidP="00513969">
      <w:pPr>
        <w:pStyle w:val="71d"/>
        <w:rPr>
          <w:rtl/>
        </w:rPr>
      </w:pPr>
    </w:p>
    <w:p w14:paraId="15DA1648" w14:textId="77777777" w:rsidR="002919FA" w:rsidRDefault="002919FA" w:rsidP="00513969">
      <w:pPr>
        <w:pStyle w:val="71d"/>
        <w:rPr>
          <w:rtl/>
        </w:rPr>
      </w:pPr>
    </w:p>
    <w:p w14:paraId="065E08E1" w14:textId="77777777" w:rsidR="002919FA" w:rsidRDefault="002919FA" w:rsidP="00513969">
      <w:pPr>
        <w:pStyle w:val="71d"/>
        <w:rPr>
          <w:rtl/>
        </w:rPr>
      </w:pPr>
    </w:p>
    <w:p w14:paraId="3FDB75D2" w14:textId="77777777" w:rsidR="002919FA" w:rsidRDefault="002919FA" w:rsidP="00513969">
      <w:pPr>
        <w:pStyle w:val="71d"/>
        <w:rPr>
          <w:rtl/>
        </w:rPr>
      </w:pPr>
    </w:p>
    <w:p w14:paraId="015252D0" w14:textId="77777777" w:rsidR="002919FA" w:rsidRDefault="002919FA" w:rsidP="00513969">
      <w:pPr>
        <w:pStyle w:val="71d"/>
        <w:rPr>
          <w:rtl/>
        </w:rPr>
      </w:pPr>
    </w:p>
    <w:p w14:paraId="79DD6678" w14:textId="77777777" w:rsidR="002919FA" w:rsidRDefault="002919FA" w:rsidP="00513969">
      <w:pPr>
        <w:pStyle w:val="71d"/>
        <w:rPr>
          <w:rtl/>
        </w:rPr>
      </w:pPr>
    </w:p>
    <w:p w14:paraId="4A2DFBBD" w14:textId="77777777" w:rsidR="002919FA" w:rsidRDefault="002919FA" w:rsidP="00513969">
      <w:pPr>
        <w:pStyle w:val="71d"/>
        <w:rPr>
          <w:rtl/>
        </w:rPr>
      </w:pPr>
    </w:p>
    <w:p w14:paraId="32A54FC3" w14:textId="77777777" w:rsidR="002919FA" w:rsidRDefault="002919FA" w:rsidP="00513969">
      <w:pPr>
        <w:pStyle w:val="71d"/>
        <w:rPr>
          <w:rtl/>
        </w:rPr>
      </w:pPr>
    </w:p>
    <w:p w14:paraId="78D78EC4" w14:textId="77777777" w:rsidR="002919FA" w:rsidRDefault="002919FA" w:rsidP="00513969">
      <w:pPr>
        <w:pStyle w:val="71d"/>
        <w:rPr>
          <w:rtl/>
        </w:rPr>
      </w:pPr>
    </w:p>
    <w:p w14:paraId="58A4841C" w14:textId="77777777" w:rsidR="002919FA" w:rsidRDefault="002919FA" w:rsidP="00513969">
      <w:pPr>
        <w:pStyle w:val="71d"/>
        <w:rPr>
          <w:rtl/>
        </w:rPr>
      </w:pPr>
    </w:p>
    <w:p w14:paraId="3A82E083" w14:textId="4DD3FD2D" w:rsidR="000A4591" w:rsidRDefault="000A4591" w:rsidP="00513969">
      <w:pPr>
        <w:pStyle w:val="71d"/>
        <w:rPr>
          <w:rtl/>
        </w:rPr>
      </w:pPr>
      <w:r>
        <w:rPr>
          <w:rFonts w:hint="cs"/>
          <w:rtl/>
        </w:rPr>
        <w:t xml:space="preserve">על פי </w:t>
      </w:r>
      <w:r w:rsidRPr="005C540C">
        <w:rPr>
          <w:rFonts w:hint="cs"/>
          <w:rtl/>
        </w:rPr>
        <w:t>נתוני רמ"י ומשרד הבינוי</w:t>
      </w:r>
      <w:r>
        <w:rPr>
          <w:rFonts w:hint="cs"/>
          <w:rtl/>
        </w:rPr>
        <w:t>,</w:t>
      </w:r>
      <w:r w:rsidRPr="005C540C">
        <w:rPr>
          <w:rFonts w:hint="cs"/>
          <w:rtl/>
        </w:rPr>
        <w:t xml:space="preserve"> בעיבוד משרד מבקר המדינה</w:t>
      </w:r>
      <w:r w:rsidR="00513969">
        <w:rPr>
          <w:rFonts w:hint="cs"/>
          <w:rtl/>
        </w:rPr>
        <w:t>.</w:t>
      </w:r>
    </w:p>
    <w:p w14:paraId="792B32AC" w14:textId="77777777" w:rsidR="000A4591" w:rsidRPr="00EC4CE0" w:rsidRDefault="000A4591" w:rsidP="00513969">
      <w:pPr>
        <w:pStyle w:val="71f5"/>
        <w:rPr>
          <w:rtl/>
        </w:rPr>
      </w:pPr>
      <w:r w:rsidRPr="00C444E8">
        <w:rPr>
          <w:rFonts w:hint="cs"/>
          <w:rtl/>
        </w:rPr>
        <w:lastRenderedPageBreak/>
        <w:t xml:space="preserve">כפי שעולה מהתרשים, </w:t>
      </w:r>
      <w:r>
        <w:rPr>
          <w:rFonts w:hint="cs"/>
          <w:rtl/>
        </w:rPr>
        <w:t xml:space="preserve">קיימים פערים גדולים בין סכומי קדם-המימון שאושרו לרשויות השונות </w:t>
      </w:r>
      <w:r w:rsidRPr="00C444E8">
        <w:rPr>
          <w:rFonts w:hint="cs"/>
          <w:rtl/>
        </w:rPr>
        <w:t>עד</w:t>
      </w:r>
      <w:r>
        <w:rPr>
          <w:rFonts w:hint="cs"/>
          <w:rtl/>
        </w:rPr>
        <w:t xml:space="preserve"> שנת</w:t>
      </w:r>
      <w:r w:rsidRPr="00C444E8">
        <w:rPr>
          <w:rFonts w:hint="cs"/>
          <w:rtl/>
        </w:rPr>
        <w:t xml:space="preserve"> 2020 </w:t>
      </w:r>
      <w:r>
        <w:rPr>
          <w:rFonts w:hint="cs"/>
          <w:rtl/>
        </w:rPr>
        <w:t>- בין 2</w:t>
      </w:r>
      <w:r w:rsidRPr="00C444E8">
        <w:rPr>
          <w:rFonts w:hint="cs"/>
          <w:rtl/>
        </w:rPr>
        <w:t xml:space="preserve"> מיליון ש"ח </w:t>
      </w:r>
      <w:r>
        <w:rPr>
          <w:rFonts w:hint="cs"/>
          <w:rtl/>
        </w:rPr>
        <w:t>ב</w:t>
      </w:r>
      <w:r w:rsidRPr="00C444E8">
        <w:rPr>
          <w:rFonts w:hint="cs"/>
          <w:rtl/>
        </w:rPr>
        <w:t xml:space="preserve">מגדל העמק </w:t>
      </w:r>
      <w:r>
        <w:rPr>
          <w:rFonts w:hint="cs"/>
          <w:rtl/>
        </w:rPr>
        <w:t xml:space="preserve">ו-8 מיליון ש"ח בדימונה </w:t>
      </w:r>
      <w:r w:rsidRPr="00C444E8">
        <w:rPr>
          <w:rFonts w:hint="cs"/>
          <w:rtl/>
        </w:rPr>
        <w:t xml:space="preserve">ל-597 מיליון ש"ח </w:t>
      </w:r>
      <w:r>
        <w:rPr>
          <w:rFonts w:hint="cs"/>
          <w:rtl/>
        </w:rPr>
        <w:t>ב</w:t>
      </w:r>
      <w:r w:rsidRPr="00C444E8">
        <w:rPr>
          <w:rFonts w:hint="cs"/>
          <w:rtl/>
        </w:rPr>
        <w:t>קריית ביאליק</w:t>
      </w:r>
      <w:r>
        <w:rPr>
          <w:rFonts w:hint="cs"/>
          <w:rtl/>
        </w:rPr>
        <w:t xml:space="preserve"> ו-431 מיליון ש"ח לאשקלון -</w:t>
      </w:r>
      <w:r w:rsidRPr="00C444E8">
        <w:rPr>
          <w:rFonts w:hint="cs"/>
          <w:rtl/>
        </w:rPr>
        <w:t xml:space="preserve"> ובממוצע 124 מיליון ש"ח. </w:t>
      </w:r>
      <w:r>
        <w:rPr>
          <w:rFonts w:hint="cs"/>
          <w:rtl/>
        </w:rPr>
        <w:t>יצוין כי סכום קדם-המימון שניתן לקריית ביאליק היה חריג - לטענת</w:t>
      </w:r>
      <w:r w:rsidRPr="00EC4CE0">
        <w:rPr>
          <w:rFonts w:hint="cs"/>
          <w:rtl/>
        </w:rPr>
        <w:t xml:space="preserve"> רמ"י, </w:t>
      </w:r>
      <w:r w:rsidRPr="00EC4CE0">
        <w:rPr>
          <w:rtl/>
        </w:rPr>
        <w:t>קד</w:t>
      </w:r>
      <w:r w:rsidRPr="00EC4CE0">
        <w:rPr>
          <w:rFonts w:hint="cs"/>
          <w:rtl/>
        </w:rPr>
        <w:t>ם</w:t>
      </w:r>
      <w:r>
        <w:rPr>
          <w:rFonts w:hint="cs"/>
          <w:rtl/>
        </w:rPr>
        <w:t>-</w:t>
      </w:r>
      <w:r w:rsidRPr="00EC4CE0">
        <w:rPr>
          <w:rtl/>
        </w:rPr>
        <w:t xml:space="preserve">המימון </w:t>
      </w:r>
      <w:r>
        <w:rPr>
          <w:rFonts w:hint="cs"/>
          <w:rtl/>
        </w:rPr>
        <w:t>שניתן ל</w:t>
      </w:r>
      <w:r w:rsidRPr="00EC4CE0">
        <w:rPr>
          <w:rFonts w:hint="cs"/>
          <w:rtl/>
        </w:rPr>
        <w:t xml:space="preserve">קריית ביאליק </w:t>
      </w:r>
      <w:r>
        <w:rPr>
          <w:rFonts w:hint="cs"/>
          <w:rtl/>
        </w:rPr>
        <w:t>נועד לממן</w:t>
      </w:r>
      <w:r w:rsidRPr="00EC4CE0">
        <w:rPr>
          <w:rtl/>
        </w:rPr>
        <w:t xml:space="preserve"> עבודות תשתית לקידום זמינות הקרקע על מנת לאפשר שיווק ופיתוח</w:t>
      </w:r>
      <w:r>
        <w:rPr>
          <w:rFonts w:hint="cs"/>
          <w:rtl/>
        </w:rPr>
        <w:t xml:space="preserve"> של הקרקע</w:t>
      </w:r>
      <w:r w:rsidRPr="00EC4CE0">
        <w:rPr>
          <w:rFonts w:hint="cs"/>
          <w:rtl/>
        </w:rPr>
        <w:t xml:space="preserve">. </w:t>
      </w:r>
      <w:r w:rsidRPr="00EC4CE0">
        <w:rPr>
          <w:rtl/>
        </w:rPr>
        <w:t xml:space="preserve">מדובר בפרויקט מורכב הנדסית, שנמצא באזור </w:t>
      </w:r>
      <w:r>
        <w:rPr>
          <w:rFonts w:hint="cs"/>
          <w:rtl/>
        </w:rPr>
        <w:t>עם קרקע ביצתית</w:t>
      </w:r>
      <w:r w:rsidRPr="00EC4CE0">
        <w:rPr>
          <w:rFonts w:hint="cs"/>
          <w:rtl/>
        </w:rPr>
        <w:t xml:space="preserve">. </w:t>
      </w:r>
      <w:r>
        <w:rPr>
          <w:rFonts w:hint="cs"/>
          <w:rtl/>
        </w:rPr>
        <w:t>לכן עוד קודם ל</w:t>
      </w:r>
      <w:r w:rsidRPr="00EC4CE0">
        <w:rPr>
          <w:rtl/>
        </w:rPr>
        <w:t>ש</w:t>
      </w:r>
      <w:r>
        <w:rPr>
          <w:rFonts w:hint="cs"/>
          <w:rtl/>
        </w:rPr>
        <w:t>י</w:t>
      </w:r>
      <w:r w:rsidRPr="00EC4CE0">
        <w:rPr>
          <w:rtl/>
        </w:rPr>
        <w:t xml:space="preserve">ווק </w:t>
      </w:r>
      <w:r>
        <w:rPr>
          <w:rFonts w:hint="cs"/>
          <w:rtl/>
        </w:rPr>
        <w:t>הקרקע</w:t>
      </w:r>
      <w:r w:rsidRPr="00EC4CE0">
        <w:rPr>
          <w:rtl/>
        </w:rPr>
        <w:t xml:space="preserve"> נדרש </w:t>
      </w:r>
      <w:r w:rsidRPr="00EC4CE0">
        <w:rPr>
          <w:rFonts w:hint="cs"/>
          <w:rtl/>
        </w:rPr>
        <w:t xml:space="preserve">היה </w:t>
      </w:r>
      <w:r w:rsidRPr="00EC4CE0">
        <w:rPr>
          <w:rtl/>
        </w:rPr>
        <w:t xml:space="preserve">לבצע עבודות פיתוח מקדימות מורכבות </w:t>
      </w:r>
      <w:r>
        <w:rPr>
          <w:rFonts w:hint="cs"/>
          <w:rtl/>
        </w:rPr>
        <w:t>ויקרות</w:t>
      </w:r>
      <w:r w:rsidRPr="00EC4CE0">
        <w:rPr>
          <w:rFonts w:hint="cs"/>
          <w:rtl/>
        </w:rPr>
        <w:t xml:space="preserve">, ובהן </w:t>
      </w:r>
      <w:r w:rsidRPr="00EC4CE0">
        <w:rPr>
          <w:rtl/>
        </w:rPr>
        <w:t xml:space="preserve">עבודות </w:t>
      </w:r>
      <w:r w:rsidRPr="00EC4CE0">
        <w:rPr>
          <w:rFonts w:hint="cs"/>
          <w:rtl/>
        </w:rPr>
        <w:t xml:space="preserve">להכשרת הקרקע בעלות של </w:t>
      </w:r>
      <w:r w:rsidRPr="00EC4CE0">
        <w:rPr>
          <w:rtl/>
        </w:rPr>
        <w:t xml:space="preserve">200 </w:t>
      </w:r>
      <w:r w:rsidRPr="00EC4CE0">
        <w:rPr>
          <w:rFonts w:hint="cs"/>
          <w:rtl/>
        </w:rPr>
        <w:t>מיליון ש"ח והטמנת קווי</w:t>
      </w:r>
      <w:r w:rsidRPr="00EC4CE0">
        <w:rPr>
          <w:rtl/>
        </w:rPr>
        <w:t xml:space="preserve"> מתח עליון ב</w:t>
      </w:r>
      <w:r w:rsidRPr="00EC4CE0">
        <w:rPr>
          <w:rFonts w:hint="cs"/>
          <w:rtl/>
        </w:rPr>
        <w:t xml:space="preserve">עלות של </w:t>
      </w:r>
      <w:r w:rsidRPr="00EC4CE0">
        <w:rPr>
          <w:rtl/>
        </w:rPr>
        <w:t xml:space="preserve">100 </w:t>
      </w:r>
      <w:r w:rsidRPr="00EC4CE0">
        <w:rPr>
          <w:rFonts w:hint="cs"/>
          <w:rtl/>
        </w:rPr>
        <w:t>מיליון ש"ח</w:t>
      </w:r>
      <w:r w:rsidRPr="00EC4CE0">
        <w:t>.</w:t>
      </w:r>
    </w:p>
    <w:p w14:paraId="0CD49484" w14:textId="77777777" w:rsidR="000A4591" w:rsidRDefault="000A4591" w:rsidP="00513969">
      <w:pPr>
        <w:pStyle w:val="7190"/>
        <w:rPr>
          <w:rtl/>
        </w:rPr>
      </w:pPr>
      <w:r>
        <w:rPr>
          <w:rFonts w:hint="cs"/>
          <w:rtl/>
        </w:rPr>
        <w:t>להלן בתרשים 22 מוצג שיעור קדם-המימון שאושר עד שנת 2020 לכל רשות מקומית מסך אומדן עלויות הפיתוח הכלול בהסכם הגג שנחתם איתה</w:t>
      </w:r>
      <w:r>
        <w:rPr>
          <w:rStyle w:val="a9"/>
          <w:rtl/>
        </w:rPr>
        <w:footnoteReference w:id="115"/>
      </w:r>
      <w:r>
        <w:rPr>
          <w:rFonts w:hint="cs"/>
          <w:rtl/>
        </w:rPr>
        <w:t>:</w:t>
      </w:r>
    </w:p>
    <w:p w14:paraId="75F6CD90" w14:textId="77777777" w:rsidR="00513969" w:rsidRDefault="00513969">
      <w:pPr>
        <w:bidi w:val="0"/>
        <w:spacing w:after="200" w:line="276" w:lineRule="auto"/>
        <w:rPr>
          <w:rFonts w:ascii="Tahoma" w:eastAsiaTheme="minorEastAsia" w:hAnsi="Tahoma" w:cs="Tahoma"/>
          <w:color w:val="0D0D0D" w:themeColor="text1" w:themeTint="F2"/>
          <w:szCs w:val="20"/>
          <w:rtl/>
        </w:rPr>
      </w:pPr>
      <w:r>
        <w:rPr>
          <w:b/>
          <w:bCs/>
          <w:rtl/>
        </w:rPr>
        <w:br w:type="page"/>
      </w:r>
    </w:p>
    <w:p w14:paraId="646194EF" w14:textId="12C1DE31" w:rsidR="00DD0099" w:rsidRDefault="00093E4E" w:rsidP="00513969">
      <w:pPr>
        <w:pStyle w:val="71b"/>
        <w:rPr>
          <w:rtl/>
        </w:rPr>
      </w:pPr>
      <w:r>
        <w:rPr>
          <w:noProof/>
          <w:rtl/>
          <w:lang w:val="he-IL"/>
        </w:rPr>
        <w:lastRenderedPageBreak/>
        <w:drawing>
          <wp:anchor distT="0" distB="0" distL="114300" distR="114300" simplePos="0" relativeHeight="252145152" behindDoc="0" locked="0" layoutInCell="1" allowOverlap="1" wp14:anchorId="764E1461" wp14:editId="6664D86A">
            <wp:simplePos x="0" y="0"/>
            <wp:positionH relativeFrom="column">
              <wp:posOffset>36830</wp:posOffset>
            </wp:positionH>
            <wp:positionV relativeFrom="paragraph">
              <wp:posOffset>455930</wp:posOffset>
            </wp:positionV>
            <wp:extent cx="4607560" cy="6433185"/>
            <wp:effectExtent l="0" t="0" r="254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07560" cy="6433185"/>
                    </a:xfrm>
                    <a:prstGeom prst="rect">
                      <a:avLst/>
                    </a:prstGeom>
                  </pic:spPr>
                </pic:pic>
              </a:graphicData>
            </a:graphic>
            <wp14:sizeRelH relativeFrom="margin">
              <wp14:pctWidth>0</wp14:pctWidth>
            </wp14:sizeRelH>
            <wp14:sizeRelV relativeFrom="margin">
              <wp14:pctHeight>0</wp14:pctHeight>
            </wp14:sizeRelV>
          </wp:anchor>
        </w:drawing>
      </w:r>
      <w:r w:rsidR="000A4591" w:rsidRPr="00513969">
        <w:rPr>
          <w:rFonts w:hint="cs"/>
          <w:b w:val="0"/>
          <w:bCs w:val="0"/>
          <w:rtl/>
        </w:rPr>
        <w:t>תרשים 22:</w:t>
      </w:r>
      <w:r w:rsidR="000A4591" w:rsidRPr="00467CBF">
        <w:rPr>
          <w:rFonts w:hint="cs"/>
          <w:rtl/>
        </w:rPr>
        <w:t xml:space="preserve"> </w:t>
      </w:r>
      <w:r w:rsidR="000A4591" w:rsidRPr="009F6B56">
        <w:rPr>
          <w:rFonts w:hint="cs"/>
          <w:rtl/>
        </w:rPr>
        <w:t>שיעור קדם-המימון שאושר עד שנת 2020 לכל רשות מקומית מסך אומדן עלויות הפיתוח הכלול בהסכם הגג שנחתם איתה</w:t>
      </w:r>
    </w:p>
    <w:p w14:paraId="6C8038D9" w14:textId="049E79E9" w:rsidR="000A4591" w:rsidRDefault="000A4591" w:rsidP="00513969">
      <w:pPr>
        <w:pStyle w:val="71d"/>
        <w:rPr>
          <w:rtl/>
        </w:rPr>
      </w:pPr>
      <w:r>
        <w:rPr>
          <w:rFonts w:hint="cs"/>
          <w:rtl/>
        </w:rPr>
        <w:t xml:space="preserve">על פי </w:t>
      </w:r>
      <w:r w:rsidRPr="007C504F">
        <w:rPr>
          <w:rFonts w:hint="cs"/>
          <w:rtl/>
        </w:rPr>
        <w:t>נתוני רמ"י ומשרד הבינוי</w:t>
      </w:r>
      <w:r>
        <w:rPr>
          <w:rFonts w:hint="cs"/>
          <w:rtl/>
        </w:rPr>
        <w:t>,</w:t>
      </w:r>
      <w:r w:rsidRPr="007C504F">
        <w:rPr>
          <w:rFonts w:hint="cs"/>
          <w:rtl/>
        </w:rPr>
        <w:t xml:space="preserve"> בעיבוד משרד מבקר המדינה</w:t>
      </w:r>
      <w:r w:rsidR="00513969">
        <w:rPr>
          <w:rFonts w:hint="cs"/>
          <w:rtl/>
        </w:rPr>
        <w:t>.</w:t>
      </w:r>
    </w:p>
    <w:p w14:paraId="0E11CA4E" w14:textId="374DBDBF" w:rsidR="000A4591" w:rsidRDefault="000A4591" w:rsidP="000A4591">
      <w:pPr>
        <w:pStyle w:val="afffb"/>
        <w:rPr>
          <w:rtl/>
        </w:rPr>
      </w:pPr>
    </w:p>
    <w:p w14:paraId="5B8AD459" w14:textId="77777777" w:rsidR="000A4591" w:rsidRDefault="000A4591" w:rsidP="005E78C5">
      <w:pPr>
        <w:pStyle w:val="71f5"/>
        <w:rPr>
          <w:rtl/>
        </w:rPr>
      </w:pPr>
      <w:r w:rsidRPr="00C444E8">
        <w:rPr>
          <w:rFonts w:hint="eastAsia"/>
          <w:rtl/>
        </w:rPr>
        <w:t>מהתרשים</w:t>
      </w:r>
      <w:r w:rsidRPr="00C444E8">
        <w:rPr>
          <w:rtl/>
        </w:rPr>
        <w:t xml:space="preserve"> עולה כי שיעור קדם המימון שאישר</w:t>
      </w:r>
      <w:r>
        <w:rPr>
          <w:rFonts w:hint="cs"/>
          <w:rtl/>
        </w:rPr>
        <w:t>ה</w:t>
      </w:r>
      <w:r w:rsidRPr="00C444E8">
        <w:rPr>
          <w:rtl/>
        </w:rPr>
        <w:t xml:space="preserve"> </w:t>
      </w:r>
      <w:r w:rsidRPr="00C444E8">
        <w:rPr>
          <w:rFonts w:hint="eastAsia"/>
          <w:rtl/>
        </w:rPr>
        <w:t>הוות</w:t>
      </w:r>
      <w:r w:rsidRPr="00C444E8">
        <w:rPr>
          <w:rtl/>
        </w:rPr>
        <w:t>"פ לרשויות המקומיות מסך אומדן עלויות הפיתוח הוא בין 0.2% לדימונה ומגדל העמק ועד 52% לקריית ביאליק, ובממוצע 7%. ע</w:t>
      </w:r>
      <w:r w:rsidRPr="00C444E8">
        <w:rPr>
          <w:rFonts w:hint="eastAsia"/>
          <w:rtl/>
        </w:rPr>
        <w:t>ולה</w:t>
      </w:r>
      <w:r w:rsidRPr="00C444E8">
        <w:rPr>
          <w:rtl/>
        </w:rPr>
        <w:t xml:space="preserve"> גם שלמעט קריית ביאליק ש</w:t>
      </w:r>
      <w:r>
        <w:rPr>
          <w:rFonts w:hint="cs"/>
          <w:rtl/>
        </w:rPr>
        <w:t xml:space="preserve">לגביה ניתן </w:t>
      </w:r>
      <w:r w:rsidRPr="00C444E8">
        <w:rPr>
          <w:rtl/>
        </w:rPr>
        <w:t>קדם</w:t>
      </w:r>
      <w:r>
        <w:rPr>
          <w:rFonts w:hint="cs"/>
          <w:rtl/>
        </w:rPr>
        <w:t>-</w:t>
      </w:r>
      <w:r w:rsidRPr="00C444E8">
        <w:rPr>
          <w:rtl/>
        </w:rPr>
        <w:t>מימון בשיעור של 52%</w:t>
      </w:r>
      <w:r>
        <w:rPr>
          <w:rFonts w:hint="cs"/>
          <w:rtl/>
        </w:rPr>
        <w:t>,</w:t>
      </w:r>
      <w:r w:rsidRPr="00C444E8">
        <w:rPr>
          <w:rtl/>
        </w:rPr>
        <w:t xml:space="preserve"> </w:t>
      </w:r>
      <w:r>
        <w:rPr>
          <w:rFonts w:hint="cs"/>
          <w:rtl/>
        </w:rPr>
        <w:t xml:space="preserve">לגבי </w:t>
      </w:r>
      <w:r w:rsidRPr="00C444E8">
        <w:rPr>
          <w:rtl/>
        </w:rPr>
        <w:t xml:space="preserve">כל יתר הרשויות המקומיות </w:t>
      </w:r>
      <w:r>
        <w:rPr>
          <w:rFonts w:hint="cs"/>
          <w:rtl/>
        </w:rPr>
        <w:t>ניתן</w:t>
      </w:r>
      <w:r w:rsidRPr="00C444E8">
        <w:rPr>
          <w:rtl/>
        </w:rPr>
        <w:t xml:space="preserve"> </w:t>
      </w:r>
      <w:r>
        <w:rPr>
          <w:rFonts w:hint="cs"/>
          <w:rtl/>
        </w:rPr>
        <w:t xml:space="preserve">קדם-מימון בשיעור של 14% </w:t>
      </w:r>
      <w:r w:rsidRPr="00C444E8">
        <w:rPr>
          <w:rtl/>
        </w:rPr>
        <w:t>לכל היותר (</w:t>
      </w:r>
      <w:r>
        <w:rPr>
          <w:rFonts w:hint="cs"/>
          <w:rtl/>
        </w:rPr>
        <w:t>ב</w:t>
      </w:r>
      <w:r w:rsidRPr="00C444E8">
        <w:rPr>
          <w:rtl/>
        </w:rPr>
        <w:t>הרצלי</w:t>
      </w:r>
      <w:r>
        <w:rPr>
          <w:rFonts w:hint="cs"/>
          <w:rtl/>
        </w:rPr>
        <w:t>י</w:t>
      </w:r>
      <w:r w:rsidRPr="00C444E8">
        <w:rPr>
          <w:rtl/>
        </w:rPr>
        <w:t>ה) ובממוצע ללא קריית ביאליק מדובר בקדם</w:t>
      </w:r>
      <w:r>
        <w:rPr>
          <w:rFonts w:hint="cs"/>
          <w:rtl/>
        </w:rPr>
        <w:t>-</w:t>
      </w:r>
      <w:r w:rsidRPr="00C444E8">
        <w:rPr>
          <w:rtl/>
        </w:rPr>
        <w:t>מימון בשיעור של 5.4%.</w:t>
      </w:r>
    </w:p>
    <w:p w14:paraId="6160ABF9" w14:textId="77777777" w:rsidR="000A4591" w:rsidRDefault="000A4591" w:rsidP="005E78C5">
      <w:pPr>
        <w:pStyle w:val="71f5"/>
        <w:rPr>
          <w:b/>
          <w:rtl/>
        </w:rPr>
      </w:pPr>
      <w:r w:rsidRPr="00070BEE">
        <w:rPr>
          <w:rFonts w:hint="cs"/>
          <w:b/>
          <w:rtl/>
        </w:rPr>
        <w:t xml:space="preserve">מומלץ כי רמ"י ומשרד הבינוי, בשיתוף משרד האוצר, </w:t>
      </w:r>
      <w:r>
        <w:rPr>
          <w:rFonts w:hint="cs"/>
          <w:b/>
          <w:rtl/>
        </w:rPr>
        <w:t xml:space="preserve">יבחנו מעת לעת </w:t>
      </w:r>
      <w:r w:rsidRPr="00070BEE">
        <w:rPr>
          <w:rFonts w:hint="cs"/>
          <w:b/>
          <w:rtl/>
        </w:rPr>
        <w:t>את השימוש במנגנון קדם</w:t>
      </w:r>
      <w:r>
        <w:rPr>
          <w:rFonts w:hint="cs"/>
          <w:b/>
          <w:rtl/>
        </w:rPr>
        <w:t>-</w:t>
      </w:r>
      <w:r w:rsidRPr="00070BEE">
        <w:rPr>
          <w:rFonts w:hint="cs"/>
          <w:b/>
          <w:rtl/>
        </w:rPr>
        <w:t xml:space="preserve">המימון, בהתאם להחלטת מועצת מקרקעי ישראל בעניין, </w:t>
      </w:r>
      <w:r>
        <w:rPr>
          <w:rFonts w:hint="cs"/>
          <w:b/>
          <w:rtl/>
        </w:rPr>
        <w:t>ויפעלו לטייבו, לפי הצורך, לשם</w:t>
      </w:r>
      <w:r w:rsidRPr="00070BEE">
        <w:rPr>
          <w:rFonts w:hint="cs"/>
          <w:b/>
          <w:rtl/>
        </w:rPr>
        <w:t xml:space="preserve"> מימוש מהיר </w:t>
      </w:r>
      <w:r>
        <w:rPr>
          <w:rFonts w:hint="cs"/>
          <w:b/>
          <w:rtl/>
        </w:rPr>
        <w:t xml:space="preserve">ויעיל </w:t>
      </w:r>
      <w:r w:rsidRPr="00070BEE">
        <w:rPr>
          <w:rFonts w:hint="cs"/>
          <w:b/>
          <w:rtl/>
        </w:rPr>
        <w:t>ככל הניתן של הסכמי הגג.</w:t>
      </w:r>
      <w:r>
        <w:rPr>
          <w:rFonts w:hint="cs"/>
          <w:b/>
          <w:rtl/>
        </w:rPr>
        <w:t xml:space="preserve"> עוד מומלץ כי המועצה תבחן מדי שנה את יישום החלטתה בדבר קדם-המימון על ידי רמ"י.</w:t>
      </w:r>
    </w:p>
    <w:p w14:paraId="5A1C92F7" w14:textId="77777777" w:rsidR="000A4591" w:rsidRDefault="000A4591" w:rsidP="005E78C5">
      <w:pPr>
        <w:pStyle w:val="7190"/>
        <w:rPr>
          <w:rtl/>
        </w:rPr>
      </w:pPr>
      <w:r w:rsidRPr="00476D6D">
        <w:rPr>
          <w:rFonts w:hint="cs"/>
          <w:rtl/>
        </w:rPr>
        <w:t xml:space="preserve">רמ"י מסרה בתשובתה כי </w:t>
      </w:r>
      <w:r>
        <w:rPr>
          <w:rFonts w:hint="cs"/>
          <w:rtl/>
        </w:rPr>
        <w:t>היא</w:t>
      </w:r>
      <w:r w:rsidRPr="00476D6D">
        <w:rPr>
          <w:rtl/>
        </w:rPr>
        <w:t xml:space="preserve"> בוחנת מעת לעת</w:t>
      </w:r>
      <w:r>
        <w:rPr>
          <w:rFonts w:hint="cs"/>
          <w:rtl/>
        </w:rPr>
        <w:t xml:space="preserve"> </w:t>
      </w:r>
      <w:r w:rsidRPr="00476D6D">
        <w:rPr>
          <w:rtl/>
        </w:rPr>
        <w:t>את השינויים הנדרשים בתהליכי עבודה</w:t>
      </w:r>
      <w:r>
        <w:rPr>
          <w:rFonts w:hint="cs"/>
          <w:rtl/>
        </w:rPr>
        <w:t>,</w:t>
      </w:r>
      <w:r w:rsidRPr="00476D6D">
        <w:rPr>
          <w:rtl/>
        </w:rPr>
        <w:t xml:space="preserve"> ובכלל זאת ביצוע קדמי</w:t>
      </w:r>
      <w:r>
        <w:rPr>
          <w:rFonts w:hint="cs"/>
          <w:rtl/>
        </w:rPr>
        <w:t>-ה</w:t>
      </w:r>
      <w:r w:rsidRPr="00476D6D">
        <w:rPr>
          <w:rtl/>
        </w:rPr>
        <w:t>מימון לפרויקטים.</w:t>
      </w:r>
    </w:p>
    <w:p w14:paraId="2B2F47BA" w14:textId="77777777" w:rsidR="000A4591" w:rsidRDefault="000A4591" w:rsidP="005E78C5">
      <w:pPr>
        <w:pStyle w:val="7190"/>
        <w:rPr>
          <w:rtl/>
        </w:rPr>
      </w:pPr>
      <w:r>
        <w:rPr>
          <w:rFonts w:hint="cs"/>
          <w:rtl/>
        </w:rPr>
        <w:t xml:space="preserve">אגף החשכ"ל מסר בתשובתו כי </w:t>
      </w:r>
      <w:r w:rsidRPr="00626047">
        <w:rPr>
          <w:rtl/>
        </w:rPr>
        <w:t>קדם</w:t>
      </w:r>
      <w:r>
        <w:rPr>
          <w:rFonts w:hint="cs"/>
          <w:rtl/>
        </w:rPr>
        <w:t>-</w:t>
      </w:r>
      <w:r w:rsidRPr="00626047">
        <w:rPr>
          <w:rtl/>
        </w:rPr>
        <w:t xml:space="preserve">מימון הוא כלי שנעשה בו שימוש בכפוף להחלטות פרטניות ובהתאם לשיקולים מקצועיים </w:t>
      </w:r>
      <w:r>
        <w:rPr>
          <w:rFonts w:hint="cs"/>
          <w:rtl/>
        </w:rPr>
        <w:t>ה</w:t>
      </w:r>
      <w:r w:rsidRPr="00626047">
        <w:rPr>
          <w:rtl/>
        </w:rPr>
        <w:t>מצריכים</w:t>
      </w:r>
      <w:r>
        <w:rPr>
          <w:rFonts w:hint="cs"/>
          <w:rtl/>
        </w:rPr>
        <w:t xml:space="preserve"> שימוש בו</w:t>
      </w:r>
      <w:r w:rsidRPr="00626047">
        <w:rPr>
          <w:rtl/>
        </w:rPr>
        <w:t xml:space="preserve">. </w:t>
      </w:r>
      <w:r>
        <w:rPr>
          <w:rFonts w:hint="cs"/>
          <w:rtl/>
        </w:rPr>
        <w:t xml:space="preserve">עוד מסר אגף החשכ"ל כי </w:t>
      </w:r>
      <w:r w:rsidRPr="00626047">
        <w:rPr>
          <w:rtl/>
        </w:rPr>
        <w:t>מנגנוני קדם</w:t>
      </w:r>
      <w:r>
        <w:rPr>
          <w:rFonts w:hint="cs"/>
          <w:rtl/>
        </w:rPr>
        <w:t>-</w:t>
      </w:r>
      <w:r w:rsidRPr="00626047">
        <w:rPr>
          <w:rtl/>
        </w:rPr>
        <w:t>המימון בר</w:t>
      </w:r>
      <w:r>
        <w:rPr>
          <w:rFonts w:hint="cs"/>
          <w:rtl/>
        </w:rPr>
        <w:t>מ"י</w:t>
      </w:r>
      <w:r w:rsidRPr="00626047">
        <w:rPr>
          <w:rtl/>
        </w:rPr>
        <w:t xml:space="preserve"> עברו תהליך טיוב ומבוקרים ברמה גבוהה</w:t>
      </w:r>
      <w:r>
        <w:rPr>
          <w:rFonts w:hint="cs"/>
          <w:rtl/>
        </w:rPr>
        <w:t xml:space="preserve">; </w:t>
      </w:r>
      <w:r w:rsidRPr="00626047">
        <w:rPr>
          <w:rtl/>
        </w:rPr>
        <w:t>כי במ</w:t>
      </w:r>
      <w:r>
        <w:rPr>
          <w:rFonts w:hint="cs"/>
          <w:rtl/>
        </w:rPr>
        <w:t>שרד הבינוי</w:t>
      </w:r>
      <w:r w:rsidRPr="00626047">
        <w:rPr>
          <w:rtl/>
        </w:rPr>
        <w:t xml:space="preserve"> מתקיימת בקרה מעמיקה בנושא קדמי</w:t>
      </w:r>
      <w:r>
        <w:rPr>
          <w:rFonts w:hint="cs"/>
          <w:rtl/>
        </w:rPr>
        <w:t>-ה</w:t>
      </w:r>
      <w:r w:rsidRPr="00626047">
        <w:rPr>
          <w:rtl/>
        </w:rPr>
        <w:t>מימון</w:t>
      </w:r>
      <w:r>
        <w:rPr>
          <w:rFonts w:hint="cs"/>
          <w:rtl/>
        </w:rPr>
        <w:t>;</w:t>
      </w:r>
      <w:r w:rsidRPr="00626047">
        <w:rPr>
          <w:rtl/>
        </w:rPr>
        <w:t xml:space="preserve"> ו</w:t>
      </w:r>
      <w:r>
        <w:rPr>
          <w:rFonts w:hint="cs"/>
          <w:rtl/>
        </w:rPr>
        <w:t xml:space="preserve">כי </w:t>
      </w:r>
      <w:r w:rsidRPr="00626047">
        <w:rPr>
          <w:rtl/>
        </w:rPr>
        <w:t xml:space="preserve">נבחנת אוטומציה מלאה של התהליך. </w:t>
      </w:r>
    </w:p>
    <w:p w14:paraId="4B5513EC" w14:textId="77777777" w:rsidR="000A4591" w:rsidRDefault="000A4591" w:rsidP="005E78C5">
      <w:pPr>
        <w:pStyle w:val="7190"/>
        <w:rPr>
          <w:rtl/>
        </w:rPr>
      </w:pPr>
      <w:r w:rsidRPr="00887A9E">
        <w:rPr>
          <w:rFonts w:hint="cs"/>
          <w:rtl/>
        </w:rPr>
        <w:t>אגף תקציבים מסר בתשובתו כי</w:t>
      </w:r>
      <w:r w:rsidRPr="00887A9E">
        <w:rPr>
          <w:rtl/>
        </w:rPr>
        <w:t xml:space="preserve"> קדמי</w:t>
      </w:r>
      <w:r w:rsidRPr="00887A9E">
        <w:rPr>
          <w:rFonts w:hint="cs"/>
          <w:rtl/>
        </w:rPr>
        <w:t>-ה</w:t>
      </w:r>
      <w:r w:rsidRPr="00887A9E">
        <w:rPr>
          <w:rtl/>
        </w:rPr>
        <w:t>מימון נבחנים באופן פרטני במסגרת דיוני ה</w:t>
      </w:r>
      <w:r>
        <w:rPr>
          <w:rFonts w:hint="cs"/>
          <w:rtl/>
        </w:rPr>
        <w:t>ו</w:t>
      </w:r>
      <w:r w:rsidRPr="00887A9E">
        <w:rPr>
          <w:rtl/>
        </w:rPr>
        <w:t>ות״פ</w:t>
      </w:r>
      <w:r>
        <w:rPr>
          <w:rFonts w:hint="cs"/>
          <w:rtl/>
        </w:rPr>
        <w:t>.</w:t>
      </w:r>
      <w:r w:rsidRPr="00887A9E">
        <w:rPr>
          <w:rtl/>
        </w:rPr>
        <w:t xml:space="preserve"> </w:t>
      </w:r>
    </w:p>
    <w:p w14:paraId="79E779FB" w14:textId="77777777" w:rsidR="00AB0851" w:rsidRDefault="00AB0851">
      <w:pPr>
        <w:bidi w:val="0"/>
        <w:spacing w:after="200" w:line="276" w:lineRule="auto"/>
        <w:rPr>
          <w:rFonts w:eastAsiaTheme="majorEastAsia"/>
          <w:bCs/>
          <w:szCs w:val="28"/>
          <w:u w:val="single"/>
          <w:rtl/>
        </w:rPr>
      </w:pPr>
      <w:r>
        <w:rPr>
          <w:rtl/>
        </w:rPr>
        <w:br w:type="page"/>
      </w:r>
    </w:p>
    <w:p w14:paraId="19EA1FA0" w14:textId="4B96F951" w:rsidR="000A4591" w:rsidRPr="008E2486" w:rsidRDefault="000A4591" w:rsidP="00A448E5">
      <w:pPr>
        <w:pStyle w:val="71316"/>
        <w:rPr>
          <w:rtl/>
        </w:rPr>
      </w:pPr>
      <w:r w:rsidRPr="008E2486">
        <w:rPr>
          <w:rFonts w:hint="eastAsia"/>
          <w:rtl/>
        </w:rPr>
        <w:lastRenderedPageBreak/>
        <w:t>סיכום</w:t>
      </w:r>
    </w:p>
    <w:p w14:paraId="3DBFDFC3" w14:textId="172BB7E0" w:rsidR="000A4591" w:rsidRPr="008E2486" w:rsidRDefault="000A4591" w:rsidP="00A448E5">
      <w:pPr>
        <w:pStyle w:val="71f5"/>
        <w:rPr>
          <w:rtl/>
        </w:rPr>
      </w:pPr>
      <w:r w:rsidRPr="00973766">
        <w:rPr>
          <w:rtl/>
        </w:rPr>
        <w:t>מינואר 2008 עד דצמבר 2020 עלה מדד מחירי הדירות בכ-103% במונחים ריאליים</w:t>
      </w:r>
      <w:r>
        <w:rPr>
          <w:rFonts w:hint="cs"/>
          <w:rtl/>
        </w:rPr>
        <w:t>;</w:t>
      </w:r>
      <w:r w:rsidRPr="00973766">
        <w:rPr>
          <w:rtl/>
        </w:rPr>
        <w:t xml:space="preserve"> </w:t>
      </w:r>
      <w:r>
        <w:rPr>
          <w:rFonts w:hint="cs"/>
          <w:rtl/>
        </w:rPr>
        <w:t>ומ</w:t>
      </w:r>
      <w:r w:rsidRPr="00973766">
        <w:rPr>
          <w:rtl/>
        </w:rPr>
        <w:t>אוקטובר 2013, המועד שבו החליטה הממשלה על קידום החתימה על הסכמי גג עם הרשויות המקומיות</w:t>
      </w:r>
      <w:r>
        <w:rPr>
          <w:rFonts w:hint="cs"/>
          <w:rtl/>
        </w:rPr>
        <w:t>, עלה המדד בכ-34%.</w:t>
      </w:r>
      <w:r w:rsidRPr="00973766">
        <w:rPr>
          <w:rFonts w:hint="eastAsia"/>
          <w:rtl/>
        </w:rPr>
        <w:t xml:space="preserve"> </w:t>
      </w:r>
      <w:r w:rsidRPr="008E2486">
        <w:rPr>
          <w:rFonts w:hint="eastAsia"/>
          <w:rtl/>
        </w:rPr>
        <w:t>הסכמי</w:t>
      </w:r>
      <w:r w:rsidRPr="008E2486">
        <w:rPr>
          <w:rtl/>
        </w:rPr>
        <w:t xml:space="preserve"> הגג </w:t>
      </w:r>
      <w:r>
        <w:rPr>
          <w:rFonts w:hint="cs"/>
          <w:rtl/>
        </w:rPr>
        <w:t xml:space="preserve">שנחתמו בשנים האחרונות </w:t>
      </w:r>
      <w:r w:rsidRPr="008E2486">
        <w:rPr>
          <w:rFonts w:hint="eastAsia"/>
          <w:rtl/>
        </w:rPr>
        <w:t>הם</w:t>
      </w:r>
      <w:r w:rsidRPr="008E2486">
        <w:rPr>
          <w:rtl/>
        </w:rPr>
        <w:t xml:space="preserve"> הסכמי </w:t>
      </w:r>
      <w:r>
        <w:rPr>
          <w:rFonts w:hint="cs"/>
          <w:rtl/>
        </w:rPr>
        <w:t>שיווק ופיתוח קרקע מורכבים ו</w:t>
      </w:r>
      <w:r w:rsidRPr="008E2486">
        <w:rPr>
          <w:rFonts w:hint="eastAsia"/>
          <w:rtl/>
        </w:rPr>
        <w:t>עתירי</w:t>
      </w:r>
      <w:r w:rsidRPr="008E2486">
        <w:rPr>
          <w:rtl/>
        </w:rPr>
        <w:t xml:space="preserve"> </w:t>
      </w:r>
      <w:r w:rsidRPr="008E2486">
        <w:rPr>
          <w:rFonts w:hint="eastAsia"/>
          <w:rtl/>
        </w:rPr>
        <w:t>משאבים</w:t>
      </w:r>
      <w:r w:rsidRPr="008E2486">
        <w:rPr>
          <w:rtl/>
        </w:rPr>
        <w:t xml:space="preserve">, </w:t>
      </w:r>
      <w:r>
        <w:rPr>
          <w:rFonts w:hint="cs"/>
          <w:rtl/>
        </w:rPr>
        <w:t xml:space="preserve">שמסדירים </w:t>
      </w:r>
      <w:r w:rsidRPr="008E2486">
        <w:rPr>
          <w:rtl/>
        </w:rPr>
        <w:t>את ה</w:t>
      </w:r>
      <w:r>
        <w:rPr>
          <w:rFonts w:hint="cs"/>
          <w:rtl/>
        </w:rPr>
        <w:t>מסגרת</w:t>
      </w:r>
      <w:r w:rsidRPr="008E2486">
        <w:rPr>
          <w:rtl/>
        </w:rPr>
        <w:t xml:space="preserve"> העיקרית ל</w:t>
      </w:r>
      <w:r w:rsidRPr="008E2486">
        <w:rPr>
          <w:rFonts w:hint="eastAsia"/>
          <w:rtl/>
        </w:rPr>
        <w:t>פיתוח</w:t>
      </w:r>
      <w:r w:rsidRPr="008E2486">
        <w:rPr>
          <w:rtl/>
        </w:rPr>
        <w:t xml:space="preserve"> ו</w:t>
      </w:r>
      <w:r>
        <w:rPr>
          <w:rFonts w:hint="cs"/>
          <w:rtl/>
        </w:rPr>
        <w:t>ל</w:t>
      </w:r>
      <w:r w:rsidRPr="008E2486">
        <w:rPr>
          <w:rtl/>
        </w:rPr>
        <w:t xml:space="preserve">בנייה </w:t>
      </w:r>
      <w:r w:rsidRPr="008E2486">
        <w:rPr>
          <w:rFonts w:hint="eastAsia"/>
          <w:rtl/>
        </w:rPr>
        <w:t>למגורים</w:t>
      </w:r>
      <w:r w:rsidRPr="008E2486">
        <w:rPr>
          <w:rtl/>
        </w:rPr>
        <w:t xml:space="preserve"> בהיקפים נרחבים </w:t>
      </w:r>
      <w:r>
        <w:rPr>
          <w:rFonts w:hint="cs"/>
          <w:rtl/>
        </w:rPr>
        <w:t>ל</w:t>
      </w:r>
      <w:r w:rsidRPr="008E2486">
        <w:rPr>
          <w:rFonts w:hint="eastAsia"/>
          <w:rtl/>
        </w:rPr>
        <w:t>שנים</w:t>
      </w:r>
      <w:r w:rsidRPr="008E2486">
        <w:rPr>
          <w:rtl/>
        </w:rPr>
        <w:t xml:space="preserve"> </w:t>
      </w:r>
      <w:r w:rsidRPr="008E2486">
        <w:rPr>
          <w:rFonts w:hint="eastAsia"/>
          <w:rtl/>
        </w:rPr>
        <w:t>ה</w:t>
      </w:r>
      <w:r>
        <w:rPr>
          <w:rFonts w:hint="cs"/>
          <w:rtl/>
        </w:rPr>
        <w:t>קרובות</w:t>
      </w:r>
      <w:r w:rsidRPr="008E2486">
        <w:rPr>
          <w:rtl/>
        </w:rPr>
        <w:t xml:space="preserve">. </w:t>
      </w:r>
      <w:r w:rsidRPr="008E2486">
        <w:rPr>
          <w:rFonts w:hint="eastAsia"/>
          <w:rtl/>
        </w:rPr>
        <w:t>הסכמי</w:t>
      </w:r>
      <w:r w:rsidRPr="008E2486">
        <w:rPr>
          <w:rtl/>
        </w:rPr>
        <w:t xml:space="preserve"> </w:t>
      </w:r>
      <w:r w:rsidRPr="008E2486">
        <w:rPr>
          <w:rFonts w:hint="eastAsia"/>
          <w:rtl/>
        </w:rPr>
        <w:t>הגג</w:t>
      </w:r>
      <w:r w:rsidRPr="008E2486">
        <w:rPr>
          <w:rtl/>
        </w:rPr>
        <w:t xml:space="preserve"> </w:t>
      </w:r>
      <w:r>
        <w:rPr>
          <w:rFonts w:hint="cs"/>
          <w:rtl/>
        </w:rPr>
        <w:t xml:space="preserve">שנחתמו בשנים 2013 - 2020 </w:t>
      </w:r>
      <w:r w:rsidRPr="008E2486">
        <w:rPr>
          <w:rFonts w:hint="eastAsia"/>
          <w:rtl/>
        </w:rPr>
        <w:t>נועד</w:t>
      </w:r>
      <w:r>
        <w:rPr>
          <w:rFonts w:hint="cs"/>
          <w:rtl/>
        </w:rPr>
        <w:t xml:space="preserve">ו </w:t>
      </w:r>
      <w:r w:rsidRPr="008E2486">
        <w:rPr>
          <w:rFonts w:hint="eastAsia"/>
          <w:rtl/>
        </w:rPr>
        <w:t>ליצור</w:t>
      </w:r>
      <w:r w:rsidRPr="008E2486">
        <w:rPr>
          <w:rtl/>
        </w:rPr>
        <w:t xml:space="preserve"> "ארגז כלים" </w:t>
      </w:r>
      <w:r w:rsidRPr="008E2486">
        <w:rPr>
          <w:rFonts w:hint="eastAsia"/>
          <w:rtl/>
        </w:rPr>
        <w:t>לבניית</w:t>
      </w:r>
      <w:r w:rsidRPr="008E2486">
        <w:rPr>
          <w:rtl/>
        </w:rPr>
        <w:t xml:space="preserve"> יח"ד בהיקף </w:t>
      </w:r>
      <w:r w:rsidRPr="008E2486">
        <w:rPr>
          <w:rFonts w:hint="eastAsia"/>
          <w:rtl/>
        </w:rPr>
        <w:t>גדול</w:t>
      </w:r>
      <w:r w:rsidRPr="008E2486">
        <w:rPr>
          <w:rtl/>
        </w:rPr>
        <w:t xml:space="preserve"> </w:t>
      </w:r>
      <w:r>
        <w:rPr>
          <w:rFonts w:hint="cs"/>
          <w:rtl/>
        </w:rPr>
        <w:t>- תוכניות ל-</w:t>
      </w:r>
      <w:r w:rsidRPr="008E2486">
        <w:rPr>
          <w:rtl/>
        </w:rPr>
        <w:t>475,000 יח"ד עד סוף</w:t>
      </w:r>
      <w:r>
        <w:rPr>
          <w:rFonts w:hint="cs"/>
          <w:rtl/>
        </w:rPr>
        <w:t xml:space="preserve"> שנת</w:t>
      </w:r>
      <w:r w:rsidRPr="008E2486">
        <w:rPr>
          <w:rtl/>
        </w:rPr>
        <w:t xml:space="preserve"> 2020</w:t>
      </w:r>
      <w:r>
        <w:rPr>
          <w:rFonts w:hint="cs"/>
          <w:rtl/>
        </w:rPr>
        <w:t xml:space="preserve"> -</w:t>
      </w:r>
      <w:r w:rsidRPr="008E2486">
        <w:rPr>
          <w:rtl/>
        </w:rPr>
        <w:t xml:space="preserve"> </w:t>
      </w:r>
      <w:r w:rsidRPr="008E2486">
        <w:rPr>
          <w:rFonts w:hint="eastAsia"/>
          <w:rtl/>
        </w:rPr>
        <w:t>בקצב</w:t>
      </w:r>
      <w:r w:rsidRPr="008E2486">
        <w:rPr>
          <w:rtl/>
        </w:rPr>
        <w:t xml:space="preserve"> שיווק </w:t>
      </w:r>
      <w:r w:rsidRPr="008E2486">
        <w:rPr>
          <w:rFonts w:hint="eastAsia"/>
          <w:rtl/>
        </w:rPr>
        <w:t>של</w:t>
      </w:r>
      <w:r w:rsidRPr="008E2486">
        <w:rPr>
          <w:rtl/>
        </w:rPr>
        <w:t xml:space="preserve"> 2,000 </w:t>
      </w:r>
      <w:r w:rsidRPr="008E2486">
        <w:rPr>
          <w:rFonts w:hint="eastAsia"/>
          <w:rtl/>
        </w:rPr>
        <w:t>יח</w:t>
      </w:r>
      <w:r w:rsidRPr="008E2486">
        <w:rPr>
          <w:rtl/>
        </w:rPr>
        <w:t xml:space="preserve">"ד </w:t>
      </w:r>
      <w:r w:rsidRPr="008E2486">
        <w:rPr>
          <w:rFonts w:hint="eastAsia"/>
          <w:rtl/>
        </w:rPr>
        <w:t>בשנה</w:t>
      </w:r>
      <w:r w:rsidRPr="008E2486">
        <w:rPr>
          <w:rtl/>
        </w:rPr>
        <w:t xml:space="preserve"> בכל אחת מ</w:t>
      </w:r>
      <w:r>
        <w:rPr>
          <w:rFonts w:hint="cs"/>
          <w:rtl/>
        </w:rPr>
        <w:t xml:space="preserve">-32 </w:t>
      </w:r>
      <w:r w:rsidRPr="008E2486">
        <w:rPr>
          <w:rtl/>
        </w:rPr>
        <w:t>הרשויות שחתמ</w:t>
      </w:r>
      <w:r>
        <w:rPr>
          <w:rFonts w:hint="cs"/>
          <w:rtl/>
        </w:rPr>
        <w:t>ו</w:t>
      </w:r>
      <w:r w:rsidRPr="008E2486">
        <w:rPr>
          <w:rtl/>
        </w:rPr>
        <w:t xml:space="preserve"> </w:t>
      </w:r>
      <w:r>
        <w:rPr>
          <w:rFonts w:hint="cs"/>
          <w:rtl/>
        </w:rPr>
        <w:t xml:space="preserve">עד סוף 2020 </w:t>
      </w:r>
      <w:r w:rsidRPr="008E2486">
        <w:rPr>
          <w:rtl/>
        </w:rPr>
        <w:t>על הסכם גג</w:t>
      </w:r>
      <w:r>
        <w:rPr>
          <w:rFonts w:hint="cs"/>
          <w:rtl/>
        </w:rPr>
        <w:t>,</w:t>
      </w:r>
      <w:r w:rsidRPr="008E2486">
        <w:rPr>
          <w:rtl/>
        </w:rPr>
        <w:t xml:space="preserve"> </w:t>
      </w:r>
      <w:r w:rsidRPr="008E2486">
        <w:rPr>
          <w:rFonts w:hint="eastAsia"/>
          <w:rtl/>
        </w:rPr>
        <w:t>תוך</w:t>
      </w:r>
      <w:r w:rsidRPr="008E2486">
        <w:rPr>
          <w:rtl/>
        </w:rPr>
        <w:t xml:space="preserve"> </w:t>
      </w:r>
      <w:r>
        <w:rPr>
          <w:rFonts w:hint="cs"/>
          <w:rtl/>
        </w:rPr>
        <w:t>הפחתת</w:t>
      </w:r>
      <w:r w:rsidRPr="008E2486">
        <w:rPr>
          <w:rtl/>
        </w:rPr>
        <w:t xml:space="preserve"> התמריץ השלילי של </w:t>
      </w:r>
      <w:r w:rsidRPr="008E2486">
        <w:rPr>
          <w:rFonts w:hint="eastAsia"/>
          <w:rtl/>
        </w:rPr>
        <w:t>הרשויות</w:t>
      </w:r>
      <w:r w:rsidRPr="008E2486">
        <w:rPr>
          <w:rtl/>
        </w:rPr>
        <w:t xml:space="preserve"> </w:t>
      </w:r>
      <w:r w:rsidRPr="008E2486">
        <w:rPr>
          <w:rFonts w:hint="eastAsia"/>
          <w:rtl/>
        </w:rPr>
        <w:t>המקומיות</w:t>
      </w:r>
      <w:r w:rsidRPr="008E2486">
        <w:rPr>
          <w:rtl/>
        </w:rPr>
        <w:t xml:space="preserve"> </w:t>
      </w:r>
      <w:r w:rsidRPr="008E2486">
        <w:rPr>
          <w:rFonts w:hint="eastAsia"/>
          <w:rtl/>
        </w:rPr>
        <w:t>להגדיל</w:t>
      </w:r>
      <w:r w:rsidRPr="008E2486">
        <w:rPr>
          <w:rtl/>
        </w:rPr>
        <w:t xml:space="preserve"> את מספר יחה"ד בתחו</w:t>
      </w:r>
      <w:r>
        <w:rPr>
          <w:rFonts w:hint="cs"/>
          <w:rtl/>
        </w:rPr>
        <w:t xml:space="preserve">ם שיפוטן. </w:t>
      </w:r>
      <w:r w:rsidRPr="008E2486">
        <w:rPr>
          <w:rFonts w:hint="eastAsia"/>
          <w:rtl/>
        </w:rPr>
        <w:t>למעשה</w:t>
      </w:r>
      <w:r w:rsidRPr="008E2486">
        <w:rPr>
          <w:rtl/>
        </w:rPr>
        <w:t xml:space="preserve">, </w:t>
      </w:r>
      <w:r w:rsidRPr="008E2486">
        <w:rPr>
          <w:rFonts w:hint="eastAsia"/>
          <w:rtl/>
        </w:rPr>
        <w:t>ניתן</w:t>
      </w:r>
      <w:r w:rsidRPr="008E2486">
        <w:rPr>
          <w:rtl/>
        </w:rPr>
        <w:t xml:space="preserve"> </w:t>
      </w:r>
      <w:r w:rsidRPr="008E2486">
        <w:rPr>
          <w:rFonts w:hint="eastAsia"/>
          <w:rtl/>
        </w:rPr>
        <w:t>היה</w:t>
      </w:r>
      <w:r w:rsidRPr="008E2486">
        <w:rPr>
          <w:rtl/>
        </w:rPr>
        <w:t xml:space="preserve"> </w:t>
      </w:r>
      <w:r w:rsidRPr="008E2486">
        <w:rPr>
          <w:rFonts w:hint="eastAsia"/>
          <w:rtl/>
        </w:rPr>
        <w:t>לצפות</w:t>
      </w:r>
      <w:r>
        <w:rPr>
          <w:rFonts w:hint="cs"/>
          <w:rtl/>
        </w:rPr>
        <w:t xml:space="preserve"> </w:t>
      </w:r>
      <w:r w:rsidRPr="008E2486">
        <w:rPr>
          <w:rFonts w:hint="eastAsia"/>
          <w:rtl/>
        </w:rPr>
        <w:t>שהסכמי</w:t>
      </w:r>
      <w:r w:rsidRPr="008E2486">
        <w:rPr>
          <w:rtl/>
        </w:rPr>
        <w:t xml:space="preserve"> הגג </w:t>
      </w:r>
      <w:r w:rsidRPr="008E2486">
        <w:rPr>
          <w:rFonts w:hint="eastAsia"/>
          <w:rtl/>
        </w:rPr>
        <w:t>יהיו</w:t>
      </w:r>
      <w:r w:rsidRPr="008E2486">
        <w:rPr>
          <w:rtl/>
        </w:rPr>
        <w:t xml:space="preserve"> </w:t>
      </w:r>
      <w:r>
        <w:rPr>
          <w:rFonts w:hint="cs"/>
          <w:rtl/>
        </w:rPr>
        <w:t>אמצעי</w:t>
      </w:r>
      <w:r w:rsidRPr="008E2486">
        <w:rPr>
          <w:rtl/>
        </w:rPr>
        <w:t xml:space="preserve"> </w:t>
      </w:r>
      <w:r w:rsidRPr="008E2486">
        <w:rPr>
          <w:rFonts w:hint="eastAsia"/>
          <w:rtl/>
        </w:rPr>
        <w:t>מרכזי</w:t>
      </w:r>
      <w:r w:rsidRPr="008E2486">
        <w:rPr>
          <w:rtl/>
        </w:rPr>
        <w:t xml:space="preserve"> </w:t>
      </w:r>
      <w:r w:rsidRPr="008E2486">
        <w:rPr>
          <w:rFonts w:hint="eastAsia"/>
          <w:rtl/>
        </w:rPr>
        <w:t>במילוי</w:t>
      </w:r>
      <w:r w:rsidRPr="008E2486">
        <w:rPr>
          <w:rtl/>
        </w:rPr>
        <w:t xml:space="preserve"> </w:t>
      </w:r>
      <w:r w:rsidRPr="008E2486">
        <w:rPr>
          <w:rFonts w:hint="eastAsia"/>
          <w:rtl/>
        </w:rPr>
        <w:t>צורכי</w:t>
      </w:r>
      <w:r w:rsidRPr="008E2486">
        <w:rPr>
          <w:rtl/>
        </w:rPr>
        <w:t xml:space="preserve"> </w:t>
      </w:r>
      <w:r w:rsidRPr="008E2486">
        <w:rPr>
          <w:rFonts w:hint="eastAsia"/>
          <w:rtl/>
        </w:rPr>
        <w:t>הדיור</w:t>
      </w:r>
      <w:r w:rsidRPr="008E2486">
        <w:rPr>
          <w:rtl/>
        </w:rPr>
        <w:t xml:space="preserve"> </w:t>
      </w:r>
      <w:r w:rsidRPr="008E2486">
        <w:rPr>
          <w:rFonts w:hint="eastAsia"/>
          <w:rtl/>
        </w:rPr>
        <w:t>של</w:t>
      </w:r>
      <w:r w:rsidRPr="008E2486">
        <w:rPr>
          <w:rtl/>
        </w:rPr>
        <w:t xml:space="preserve"> </w:t>
      </w:r>
      <w:r w:rsidRPr="008E2486">
        <w:rPr>
          <w:rFonts w:hint="eastAsia"/>
          <w:rtl/>
        </w:rPr>
        <w:t>האוכלוסייה</w:t>
      </w:r>
      <w:r w:rsidRPr="008E2486">
        <w:rPr>
          <w:rtl/>
        </w:rPr>
        <w:t xml:space="preserve"> בישראל, </w:t>
      </w:r>
      <w:r w:rsidRPr="008E2486">
        <w:rPr>
          <w:rFonts w:hint="eastAsia"/>
          <w:rtl/>
        </w:rPr>
        <w:t>היות</w:t>
      </w:r>
      <w:r w:rsidRPr="008E2486">
        <w:rPr>
          <w:rtl/>
        </w:rPr>
        <w:t xml:space="preserve"> </w:t>
      </w:r>
      <w:r>
        <w:rPr>
          <w:rFonts w:hint="cs"/>
          <w:rtl/>
        </w:rPr>
        <w:t>ש</w:t>
      </w:r>
      <w:r w:rsidRPr="008E2486">
        <w:rPr>
          <w:rFonts w:hint="eastAsia"/>
          <w:rtl/>
        </w:rPr>
        <w:t>לפי</w:t>
      </w:r>
      <w:r w:rsidRPr="008E2486">
        <w:rPr>
          <w:rtl/>
        </w:rPr>
        <w:t xml:space="preserve"> התוכנית האסטרטגית </w:t>
      </w:r>
      <w:r w:rsidR="006F72A6" w:rsidRPr="006D783D">
        <w:rPr>
          <w:rtl/>
        </w:rPr>
        <w:t>לדיור</w:t>
      </w:r>
      <w:r w:rsidR="006F72A6">
        <w:rPr>
          <w:rFonts w:hint="cs"/>
          <w:rtl/>
        </w:rPr>
        <w:t xml:space="preserve"> </w:t>
      </w:r>
      <w:r w:rsidRPr="008E2486">
        <w:rPr>
          <w:rFonts w:hint="eastAsia"/>
          <w:rtl/>
        </w:rPr>
        <w:t>נדרש</w:t>
      </w:r>
      <w:r>
        <w:rPr>
          <w:rFonts w:hint="cs"/>
          <w:rtl/>
        </w:rPr>
        <w:t>ים</w:t>
      </w:r>
      <w:r w:rsidRPr="008E2486">
        <w:rPr>
          <w:rtl/>
        </w:rPr>
        <w:t xml:space="preserve"> </w:t>
      </w:r>
      <w:r>
        <w:rPr>
          <w:rFonts w:hint="cs"/>
          <w:rtl/>
        </w:rPr>
        <w:t xml:space="preserve">תכנונן של כ-2.6 מיליון יח"ד </w:t>
      </w:r>
      <w:r w:rsidRPr="009E6742">
        <w:rPr>
          <w:rFonts w:hint="cs"/>
          <w:rtl/>
        </w:rPr>
        <w:t xml:space="preserve">ובנייתן של </w:t>
      </w:r>
      <w:r w:rsidRPr="009E6742">
        <w:rPr>
          <w:rtl/>
        </w:rPr>
        <w:t>כ-1.5 מיליון</w:t>
      </w:r>
      <w:r w:rsidRPr="008E2486">
        <w:rPr>
          <w:rtl/>
        </w:rPr>
        <w:t xml:space="preserve"> יח"ד </w:t>
      </w:r>
      <w:r w:rsidRPr="008E2486">
        <w:rPr>
          <w:rFonts w:hint="eastAsia"/>
          <w:rtl/>
        </w:rPr>
        <w:t>עד</w:t>
      </w:r>
      <w:r w:rsidRPr="008E2486">
        <w:rPr>
          <w:rtl/>
        </w:rPr>
        <w:t xml:space="preserve"> לשנת 2040. </w:t>
      </w:r>
    </w:p>
    <w:p w14:paraId="3B7030E0" w14:textId="03738B5D" w:rsidR="000A4591" w:rsidRDefault="000A4591" w:rsidP="00A448E5">
      <w:pPr>
        <w:pStyle w:val="71f5"/>
        <w:rPr>
          <w:rtl/>
        </w:rPr>
      </w:pPr>
      <w:r w:rsidRPr="008E2486">
        <w:rPr>
          <w:rFonts w:hint="eastAsia"/>
          <w:rtl/>
        </w:rPr>
        <w:t>בביקורת</w:t>
      </w:r>
      <w:r w:rsidRPr="008E2486">
        <w:rPr>
          <w:rtl/>
        </w:rPr>
        <w:t xml:space="preserve"> עלה כי </w:t>
      </w:r>
      <w:r w:rsidRPr="008E2486">
        <w:rPr>
          <w:rFonts w:hint="eastAsia"/>
          <w:rtl/>
        </w:rPr>
        <w:t>קשיים</w:t>
      </w:r>
      <w:r w:rsidRPr="008E2486">
        <w:rPr>
          <w:rtl/>
        </w:rPr>
        <w:t xml:space="preserve"> וחסמים לאורך שלבי התכנון, הפיתוח והשיווק </w:t>
      </w:r>
      <w:r w:rsidRPr="008E2486">
        <w:rPr>
          <w:rFonts w:hint="eastAsia"/>
          <w:rtl/>
        </w:rPr>
        <w:t>מקשים</w:t>
      </w:r>
      <w:r w:rsidRPr="008E2486">
        <w:rPr>
          <w:rtl/>
        </w:rPr>
        <w:t xml:space="preserve"> </w:t>
      </w:r>
      <w:r w:rsidRPr="008E2486">
        <w:rPr>
          <w:rFonts w:hint="eastAsia"/>
          <w:rtl/>
        </w:rPr>
        <w:t>על</w:t>
      </w:r>
      <w:r w:rsidRPr="008E2486">
        <w:rPr>
          <w:rtl/>
        </w:rPr>
        <w:t xml:space="preserve"> </w:t>
      </w:r>
      <w:r>
        <w:rPr>
          <w:rFonts w:hint="cs"/>
          <w:rtl/>
        </w:rPr>
        <w:t xml:space="preserve">הרשויות לעמוד </w:t>
      </w:r>
      <w:r w:rsidRPr="008E2486">
        <w:rPr>
          <w:rFonts w:hint="eastAsia"/>
          <w:rtl/>
        </w:rPr>
        <w:t>בקצב</w:t>
      </w:r>
      <w:r w:rsidRPr="008E2486">
        <w:rPr>
          <w:rtl/>
        </w:rPr>
        <w:t xml:space="preserve"> </w:t>
      </w:r>
      <w:r w:rsidRPr="008E2486">
        <w:rPr>
          <w:rFonts w:hint="eastAsia"/>
          <w:rtl/>
        </w:rPr>
        <w:t>השיווק</w:t>
      </w:r>
      <w:r w:rsidRPr="008E2486">
        <w:rPr>
          <w:rtl/>
        </w:rPr>
        <w:t xml:space="preserve">, </w:t>
      </w:r>
      <w:r w:rsidRPr="008E2486">
        <w:rPr>
          <w:rFonts w:hint="eastAsia"/>
          <w:rtl/>
        </w:rPr>
        <w:t>ובפועל</w:t>
      </w:r>
      <w:r>
        <w:rPr>
          <w:rFonts w:hint="cs"/>
          <w:rtl/>
        </w:rPr>
        <w:t xml:space="preserve"> עד סוף שנת 2020 שווקו קרקעות בהיקף של </w:t>
      </w:r>
      <w:r w:rsidR="00A448E5">
        <w:rPr>
          <w:rFonts w:hint="cs"/>
          <w:rtl/>
        </w:rPr>
        <w:t xml:space="preserve">          </w:t>
      </w:r>
      <w:r>
        <w:rPr>
          <w:rFonts w:hint="cs"/>
          <w:rtl/>
        </w:rPr>
        <w:t>כ</w:t>
      </w:r>
      <w:r w:rsidRPr="00D565FD">
        <w:rPr>
          <w:rFonts w:hint="cs"/>
          <w:rtl/>
        </w:rPr>
        <w:t>-</w:t>
      </w:r>
      <w:r>
        <w:rPr>
          <w:rFonts w:hint="cs"/>
          <w:rtl/>
        </w:rPr>
        <w:t xml:space="preserve">80,000 יח"ד בכלל הרשויות, ששיעורן הממוצע כ-33% בלבד מההיקף הצפוי לפי קצב השיווק. עקב כך לא תוכל הממשלה לתת מענה לצורכי הדיור במדינה. עוד עלה כי עד סוף שנת 2020 שווקו שטחי תעסוקה בהיקף של כ-1.3 מיליון מ"ר מתוך סך כולל של </w:t>
      </w:r>
      <w:r w:rsidR="00A448E5">
        <w:rPr>
          <w:rFonts w:hint="cs"/>
          <w:rtl/>
        </w:rPr>
        <w:t xml:space="preserve">               </w:t>
      </w:r>
      <w:r>
        <w:rPr>
          <w:rFonts w:hint="cs"/>
          <w:rtl/>
        </w:rPr>
        <w:t xml:space="preserve">כ-17.6 מיליון מ"ר של שטחי התעסוקה שנכללו בתוכניות שבהסכמי הגג (ששיעורם </w:t>
      </w:r>
      <w:r w:rsidR="00153901">
        <w:rPr>
          <w:rFonts w:hint="cs"/>
          <w:rtl/>
        </w:rPr>
        <w:t xml:space="preserve">                 </w:t>
      </w:r>
      <w:r>
        <w:rPr>
          <w:rFonts w:hint="cs"/>
          <w:rtl/>
        </w:rPr>
        <w:t>כ-7% מכלל השטחים שנכללו בהסכמים). תוספת בנייה ניכרת של יח"ד ללא תוספת מספקת של מקורות הכנסה נוספים</w:t>
      </w:r>
      <w:r w:rsidRPr="00316225">
        <w:rPr>
          <w:rFonts w:hint="cs"/>
          <w:rtl/>
        </w:rPr>
        <w:t>, ובפרט ארנונה עסקית</w:t>
      </w:r>
      <w:r>
        <w:rPr>
          <w:rFonts w:hint="cs"/>
          <w:rtl/>
        </w:rPr>
        <w:t xml:space="preserve">, עלולה לפגוע ביכולתן של הרשויות </w:t>
      </w:r>
      <w:r w:rsidRPr="00086E7A">
        <w:rPr>
          <w:rtl/>
        </w:rPr>
        <w:t>לספק</w:t>
      </w:r>
      <w:r>
        <w:rPr>
          <w:rFonts w:hint="cs"/>
          <w:rtl/>
        </w:rPr>
        <w:t xml:space="preserve"> בעתיד </w:t>
      </w:r>
      <w:r w:rsidRPr="00086E7A">
        <w:rPr>
          <w:rtl/>
        </w:rPr>
        <w:t>שירות</w:t>
      </w:r>
      <w:r>
        <w:rPr>
          <w:rFonts w:hint="cs"/>
          <w:rtl/>
        </w:rPr>
        <w:t>ים</w:t>
      </w:r>
      <w:r w:rsidRPr="00086E7A">
        <w:rPr>
          <w:rtl/>
        </w:rPr>
        <w:t xml:space="preserve"> </w:t>
      </w:r>
      <w:r>
        <w:rPr>
          <w:rFonts w:hint="cs"/>
          <w:rtl/>
        </w:rPr>
        <w:t xml:space="preserve">ברמה נאותה </w:t>
      </w:r>
      <w:r w:rsidRPr="00086E7A">
        <w:rPr>
          <w:rtl/>
        </w:rPr>
        <w:t>לתושב</w:t>
      </w:r>
      <w:r>
        <w:rPr>
          <w:rFonts w:hint="cs"/>
          <w:rtl/>
        </w:rPr>
        <w:t>ים</w:t>
      </w:r>
      <w:r w:rsidRPr="00316225">
        <w:rPr>
          <w:rFonts w:hint="cs"/>
          <w:rtl/>
        </w:rPr>
        <w:t>.</w:t>
      </w:r>
      <w:r>
        <w:rPr>
          <w:rFonts w:hint="cs"/>
          <w:rtl/>
        </w:rPr>
        <w:t xml:space="preserve"> </w:t>
      </w:r>
    </w:p>
    <w:p w14:paraId="2E08F6C4" w14:textId="77777777" w:rsidR="000A4591" w:rsidRDefault="000A4591" w:rsidP="00A448E5">
      <w:pPr>
        <w:pStyle w:val="71f5"/>
        <w:rPr>
          <w:rtl/>
        </w:rPr>
      </w:pPr>
      <w:r w:rsidRPr="00D565FD">
        <w:rPr>
          <w:rFonts w:hint="eastAsia"/>
          <w:rtl/>
        </w:rPr>
        <w:t>נוכח</w:t>
      </w:r>
      <w:r w:rsidRPr="00D565FD">
        <w:rPr>
          <w:rtl/>
        </w:rPr>
        <w:t xml:space="preserve"> האמור לעיל, מומלץ כי </w:t>
      </w:r>
      <w:r w:rsidRPr="00D565FD">
        <w:rPr>
          <w:rFonts w:hint="eastAsia"/>
          <w:rtl/>
        </w:rPr>
        <w:t>רמ</w:t>
      </w:r>
      <w:r w:rsidRPr="00D565FD">
        <w:rPr>
          <w:rtl/>
        </w:rPr>
        <w:t xml:space="preserve">"י ומשרד הבינוי </w:t>
      </w:r>
      <w:r>
        <w:rPr>
          <w:rFonts w:hint="cs"/>
          <w:rtl/>
        </w:rPr>
        <w:t>יבצעו מעקב כדי לבחון אם הרשויות עומדות</w:t>
      </w:r>
      <w:r w:rsidRPr="00720BB7">
        <w:rPr>
          <w:rtl/>
        </w:rPr>
        <w:t xml:space="preserve"> בקצב </w:t>
      </w:r>
      <w:r w:rsidRPr="00720BB7">
        <w:rPr>
          <w:rFonts w:hint="eastAsia"/>
          <w:rtl/>
        </w:rPr>
        <w:t>שיווק</w:t>
      </w:r>
      <w:r w:rsidRPr="00720BB7">
        <w:rPr>
          <w:rtl/>
        </w:rPr>
        <w:t xml:space="preserve"> </w:t>
      </w:r>
      <w:r w:rsidRPr="00720BB7">
        <w:rPr>
          <w:rFonts w:hint="eastAsia"/>
          <w:rtl/>
        </w:rPr>
        <w:t>יח</w:t>
      </w:r>
      <w:r w:rsidRPr="00720BB7">
        <w:rPr>
          <w:rtl/>
        </w:rPr>
        <w:t xml:space="preserve">"ד </w:t>
      </w:r>
      <w:r>
        <w:rPr>
          <w:rFonts w:hint="cs"/>
          <w:rtl/>
        </w:rPr>
        <w:t>שנקבע ב</w:t>
      </w:r>
      <w:r w:rsidRPr="00720BB7">
        <w:rPr>
          <w:rtl/>
        </w:rPr>
        <w:t xml:space="preserve">החלטת הממשלה </w:t>
      </w:r>
      <w:r>
        <w:rPr>
          <w:rFonts w:hint="cs"/>
          <w:rtl/>
        </w:rPr>
        <w:t>על</w:t>
      </w:r>
      <w:r w:rsidRPr="00720BB7">
        <w:rPr>
          <w:rtl/>
        </w:rPr>
        <w:t xml:space="preserve"> הסכמי הגג,</w:t>
      </w:r>
      <w:r w:rsidRPr="00720BB7">
        <w:rPr>
          <w:rFonts w:hint="cs"/>
          <w:rtl/>
        </w:rPr>
        <w:t xml:space="preserve"> </w:t>
      </w:r>
      <w:r w:rsidRPr="00D565FD">
        <w:rPr>
          <w:rtl/>
        </w:rPr>
        <w:t>יקיימו במשותף עבודת מטה לצורך מיפוי החסמים והקשיים בכל אחד משלבי מימוש הסכמי הגג ויפעלו יחד לגיבוש הצעות להסרת אותם חסמים ו</w:t>
      </w:r>
      <w:r>
        <w:rPr>
          <w:rFonts w:hint="cs"/>
          <w:rtl/>
        </w:rPr>
        <w:t>ל</w:t>
      </w:r>
      <w:r w:rsidRPr="00D565FD">
        <w:rPr>
          <w:rtl/>
        </w:rPr>
        <w:t xml:space="preserve">התגברות על אותם קשיים. </w:t>
      </w:r>
      <w:r>
        <w:rPr>
          <w:rFonts w:hint="cs"/>
          <w:rtl/>
        </w:rPr>
        <w:t xml:space="preserve">עוד </w:t>
      </w:r>
      <w:r w:rsidRPr="00D565FD">
        <w:rPr>
          <w:rFonts w:hint="cs"/>
          <w:rtl/>
        </w:rPr>
        <w:t>מומלץ כי תוצרי התהליך יוצגו לשר הבינוי, יידונו במועצה ובמידת הצורך יגובשו פתרונות חלופיים לקידום יעדי הממשלה למתן פתרונות לצ</w:t>
      </w:r>
      <w:r>
        <w:rPr>
          <w:rFonts w:hint="cs"/>
          <w:rtl/>
        </w:rPr>
        <w:t>ו</w:t>
      </w:r>
      <w:r w:rsidRPr="00D565FD">
        <w:rPr>
          <w:rFonts w:hint="cs"/>
          <w:rtl/>
        </w:rPr>
        <w:t>רכי הדיור.</w:t>
      </w:r>
      <w:r>
        <w:rPr>
          <w:rFonts w:hint="cs"/>
          <w:sz w:val="24"/>
          <w:rtl/>
        </w:rPr>
        <w:t xml:space="preserve"> </w:t>
      </w:r>
    </w:p>
    <w:p w14:paraId="0743980C" w14:textId="77777777" w:rsidR="000A4591" w:rsidRPr="00401CCF" w:rsidRDefault="000A4591" w:rsidP="00A448E5">
      <w:pPr>
        <w:pStyle w:val="71f5"/>
        <w:rPr>
          <w:szCs w:val="20"/>
          <w:rtl/>
        </w:rPr>
      </w:pPr>
      <w:r w:rsidRPr="00D565FD">
        <w:rPr>
          <w:sz w:val="24"/>
          <w:rtl/>
        </w:rPr>
        <w:t xml:space="preserve">מומלץ </w:t>
      </w:r>
      <w:r>
        <w:rPr>
          <w:rFonts w:hint="cs"/>
          <w:sz w:val="24"/>
          <w:rtl/>
        </w:rPr>
        <w:t xml:space="preserve">גם </w:t>
      </w:r>
      <w:r w:rsidRPr="00D565FD">
        <w:rPr>
          <w:sz w:val="24"/>
          <w:rtl/>
        </w:rPr>
        <w:t xml:space="preserve">כי </w:t>
      </w:r>
      <w:r w:rsidRPr="00D565FD">
        <w:rPr>
          <w:rFonts w:hint="eastAsia"/>
          <w:sz w:val="24"/>
          <w:rtl/>
        </w:rPr>
        <w:t>משרד</w:t>
      </w:r>
      <w:r w:rsidRPr="00D565FD">
        <w:rPr>
          <w:sz w:val="24"/>
          <w:rtl/>
        </w:rPr>
        <w:t xml:space="preserve"> </w:t>
      </w:r>
      <w:r w:rsidRPr="00D565FD">
        <w:rPr>
          <w:rFonts w:hint="eastAsia"/>
          <w:sz w:val="24"/>
          <w:rtl/>
        </w:rPr>
        <w:t>הבינוי</w:t>
      </w:r>
      <w:r>
        <w:rPr>
          <w:rFonts w:hint="cs"/>
          <w:sz w:val="24"/>
          <w:rtl/>
        </w:rPr>
        <w:t>, רמ"י</w:t>
      </w:r>
      <w:r w:rsidRPr="00D565FD">
        <w:rPr>
          <w:sz w:val="24"/>
          <w:rtl/>
        </w:rPr>
        <w:t xml:space="preserve"> </w:t>
      </w:r>
      <w:r w:rsidRPr="00D565FD">
        <w:rPr>
          <w:rFonts w:hint="eastAsia"/>
          <w:sz w:val="24"/>
          <w:rtl/>
        </w:rPr>
        <w:t>ומשרד</w:t>
      </w:r>
      <w:r w:rsidRPr="00D565FD">
        <w:rPr>
          <w:sz w:val="24"/>
          <w:rtl/>
        </w:rPr>
        <w:t xml:space="preserve"> </w:t>
      </w:r>
      <w:r w:rsidRPr="00D565FD">
        <w:rPr>
          <w:rFonts w:hint="eastAsia"/>
          <w:sz w:val="24"/>
          <w:rtl/>
        </w:rPr>
        <w:t>האוצר</w:t>
      </w:r>
      <w:r w:rsidRPr="00D565FD">
        <w:rPr>
          <w:sz w:val="24"/>
          <w:rtl/>
        </w:rPr>
        <w:t xml:space="preserve"> </w:t>
      </w:r>
      <w:r w:rsidRPr="00D565FD">
        <w:rPr>
          <w:rFonts w:hint="eastAsia"/>
          <w:sz w:val="24"/>
          <w:rtl/>
        </w:rPr>
        <w:t>בשיתוף</w:t>
      </w:r>
      <w:r w:rsidRPr="00D565FD">
        <w:rPr>
          <w:sz w:val="24"/>
          <w:rtl/>
        </w:rPr>
        <w:t xml:space="preserve"> </w:t>
      </w:r>
      <w:r w:rsidRPr="00D565FD">
        <w:rPr>
          <w:rFonts w:hint="cs"/>
          <w:sz w:val="24"/>
          <w:rtl/>
        </w:rPr>
        <w:t>עם</w:t>
      </w:r>
      <w:r w:rsidRPr="00D565FD">
        <w:rPr>
          <w:sz w:val="24"/>
          <w:rtl/>
        </w:rPr>
        <w:t xml:space="preserve"> </w:t>
      </w:r>
      <w:r w:rsidRPr="00D565FD">
        <w:rPr>
          <w:rFonts w:hint="eastAsia"/>
          <w:sz w:val="24"/>
          <w:rtl/>
        </w:rPr>
        <w:t>משרד</w:t>
      </w:r>
      <w:r w:rsidRPr="00D565FD">
        <w:rPr>
          <w:sz w:val="24"/>
          <w:rtl/>
        </w:rPr>
        <w:t xml:space="preserve"> </w:t>
      </w:r>
      <w:r w:rsidRPr="00D565FD">
        <w:rPr>
          <w:rFonts w:hint="eastAsia"/>
          <w:sz w:val="24"/>
          <w:rtl/>
        </w:rPr>
        <w:t>הפנים</w:t>
      </w:r>
      <w:r w:rsidRPr="00D565FD">
        <w:rPr>
          <w:sz w:val="24"/>
          <w:rtl/>
        </w:rPr>
        <w:t xml:space="preserve"> </w:t>
      </w:r>
      <w:r w:rsidRPr="00D565FD">
        <w:rPr>
          <w:rFonts w:hint="cs"/>
          <w:sz w:val="24"/>
          <w:rtl/>
        </w:rPr>
        <w:t xml:space="preserve">יבחנו </w:t>
      </w:r>
      <w:r w:rsidRPr="00D565FD">
        <w:rPr>
          <w:rFonts w:hint="eastAsia"/>
          <w:sz w:val="24"/>
          <w:rtl/>
        </w:rPr>
        <w:t>באופן</w:t>
      </w:r>
      <w:r w:rsidRPr="00D565FD">
        <w:rPr>
          <w:sz w:val="24"/>
          <w:rtl/>
        </w:rPr>
        <w:t xml:space="preserve"> </w:t>
      </w:r>
      <w:r w:rsidRPr="00D565FD">
        <w:rPr>
          <w:rFonts w:hint="eastAsia"/>
          <w:sz w:val="24"/>
          <w:rtl/>
        </w:rPr>
        <w:t>פרטני</w:t>
      </w:r>
      <w:r w:rsidRPr="00D565FD">
        <w:rPr>
          <w:sz w:val="24"/>
          <w:rtl/>
        </w:rPr>
        <w:t xml:space="preserve"> </w:t>
      </w:r>
      <w:r w:rsidRPr="00D565FD">
        <w:rPr>
          <w:rFonts w:hint="cs"/>
          <w:sz w:val="24"/>
          <w:rtl/>
        </w:rPr>
        <w:t xml:space="preserve">את </w:t>
      </w:r>
      <w:r>
        <w:rPr>
          <w:rFonts w:hint="cs"/>
          <w:sz w:val="24"/>
          <w:rtl/>
        </w:rPr>
        <w:t>ההשפעות</w:t>
      </w:r>
      <w:r w:rsidRPr="00D565FD">
        <w:rPr>
          <w:sz w:val="24"/>
          <w:rtl/>
        </w:rPr>
        <w:t xml:space="preserve"> </w:t>
      </w:r>
      <w:r w:rsidRPr="00D565FD">
        <w:rPr>
          <w:rFonts w:hint="eastAsia"/>
          <w:sz w:val="24"/>
          <w:rtl/>
        </w:rPr>
        <w:t>של</w:t>
      </w:r>
      <w:r w:rsidRPr="00D565FD">
        <w:rPr>
          <w:sz w:val="24"/>
          <w:rtl/>
        </w:rPr>
        <w:t xml:space="preserve"> </w:t>
      </w:r>
      <w:r w:rsidRPr="00D565FD">
        <w:rPr>
          <w:rFonts w:hint="eastAsia"/>
          <w:sz w:val="24"/>
          <w:rtl/>
        </w:rPr>
        <w:t>מימוש</w:t>
      </w:r>
      <w:r w:rsidRPr="00D565FD">
        <w:rPr>
          <w:sz w:val="24"/>
          <w:rtl/>
        </w:rPr>
        <w:t xml:space="preserve"> </w:t>
      </w:r>
      <w:r w:rsidRPr="00D565FD">
        <w:rPr>
          <w:rFonts w:hint="cs"/>
          <w:sz w:val="24"/>
          <w:rtl/>
        </w:rPr>
        <w:t xml:space="preserve">הסכמי </w:t>
      </w:r>
      <w:r w:rsidRPr="004C1199">
        <w:rPr>
          <w:rFonts w:hint="cs"/>
          <w:sz w:val="24"/>
          <w:rtl/>
        </w:rPr>
        <w:t>הגג</w:t>
      </w:r>
      <w:r w:rsidRPr="004C1199">
        <w:rPr>
          <w:sz w:val="24"/>
          <w:rtl/>
        </w:rPr>
        <w:t xml:space="preserve"> </w:t>
      </w:r>
      <w:r w:rsidRPr="004C1199">
        <w:rPr>
          <w:rFonts w:hint="eastAsia"/>
          <w:sz w:val="24"/>
          <w:rtl/>
        </w:rPr>
        <w:t>על</w:t>
      </w:r>
      <w:r w:rsidRPr="004C1199">
        <w:rPr>
          <w:sz w:val="24"/>
          <w:rtl/>
        </w:rPr>
        <w:t xml:space="preserve"> </w:t>
      </w:r>
      <w:r w:rsidRPr="004C1199">
        <w:rPr>
          <w:rFonts w:hint="eastAsia"/>
          <w:sz w:val="24"/>
          <w:rtl/>
        </w:rPr>
        <w:t>מצבה</w:t>
      </w:r>
      <w:r w:rsidRPr="004C1199">
        <w:rPr>
          <w:sz w:val="24"/>
          <w:rtl/>
        </w:rPr>
        <w:t xml:space="preserve"> </w:t>
      </w:r>
      <w:r w:rsidRPr="004C1199">
        <w:rPr>
          <w:rFonts w:hint="eastAsia"/>
          <w:sz w:val="24"/>
          <w:rtl/>
        </w:rPr>
        <w:t>הפיננסי</w:t>
      </w:r>
      <w:r w:rsidRPr="004C1199">
        <w:rPr>
          <w:sz w:val="24"/>
          <w:rtl/>
        </w:rPr>
        <w:t xml:space="preserve"> </w:t>
      </w:r>
      <w:r w:rsidRPr="004C1199">
        <w:rPr>
          <w:rFonts w:hint="eastAsia"/>
          <w:sz w:val="24"/>
          <w:rtl/>
        </w:rPr>
        <w:t>של</w:t>
      </w:r>
      <w:r w:rsidRPr="004C1199">
        <w:rPr>
          <w:sz w:val="24"/>
          <w:rtl/>
        </w:rPr>
        <w:t xml:space="preserve"> </w:t>
      </w:r>
      <w:r w:rsidRPr="004C1199">
        <w:rPr>
          <w:rFonts w:hint="eastAsia"/>
          <w:sz w:val="24"/>
          <w:rtl/>
        </w:rPr>
        <w:t>הרשות</w:t>
      </w:r>
      <w:r w:rsidRPr="004C1199">
        <w:rPr>
          <w:sz w:val="24"/>
          <w:rtl/>
        </w:rPr>
        <w:t xml:space="preserve"> </w:t>
      </w:r>
      <w:r w:rsidRPr="004C1199">
        <w:rPr>
          <w:rFonts w:hint="eastAsia"/>
          <w:sz w:val="24"/>
          <w:rtl/>
        </w:rPr>
        <w:t>ו</w:t>
      </w:r>
      <w:r>
        <w:rPr>
          <w:rFonts w:hint="cs"/>
          <w:sz w:val="24"/>
          <w:rtl/>
        </w:rPr>
        <w:t xml:space="preserve">על </w:t>
      </w:r>
      <w:r w:rsidRPr="004C1199">
        <w:rPr>
          <w:rFonts w:hint="eastAsia"/>
          <w:sz w:val="24"/>
          <w:rtl/>
        </w:rPr>
        <w:t>יכולתה</w:t>
      </w:r>
      <w:r w:rsidRPr="004C1199">
        <w:rPr>
          <w:sz w:val="24"/>
          <w:rtl/>
        </w:rPr>
        <w:t xml:space="preserve"> </w:t>
      </w:r>
      <w:r w:rsidRPr="004C1199">
        <w:rPr>
          <w:rFonts w:hint="eastAsia"/>
          <w:sz w:val="24"/>
          <w:rtl/>
        </w:rPr>
        <w:t>לספק</w:t>
      </w:r>
      <w:r w:rsidRPr="004C1199">
        <w:rPr>
          <w:sz w:val="24"/>
          <w:rtl/>
        </w:rPr>
        <w:t xml:space="preserve"> </w:t>
      </w:r>
      <w:r w:rsidRPr="004C1199">
        <w:rPr>
          <w:rFonts w:hint="eastAsia"/>
          <w:sz w:val="24"/>
          <w:rtl/>
        </w:rPr>
        <w:t>לתושבים</w:t>
      </w:r>
      <w:r w:rsidRPr="004C1199">
        <w:rPr>
          <w:sz w:val="24"/>
          <w:rtl/>
        </w:rPr>
        <w:t xml:space="preserve"> </w:t>
      </w:r>
      <w:r w:rsidRPr="004C1199">
        <w:rPr>
          <w:rFonts w:hint="eastAsia"/>
          <w:sz w:val="24"/>
          <w:rtl/>
        </w:rPr>
        <w:t>את</w:t>
      </w:r>
      <w:r w:rsidRPr="004C1199">
        <w:rPr>
          <w:sz w:val="24"/>
          <w:rtl/>
        </w:rPr>
        <w:t xml:space="preserve"> </w:t>
      </w:r>
      <w:r w:rsidRPr="004C1199">
        <w:rPr>
          <w:rFonts w:hint="eastAsia"/>
          <w:sz w:val="24"/>
          <w:rtl/>
        </w:rPr>
        <w:t>השירותים</w:t>
      </w:r>
      <w:r w:rsidRPr="004C1199">
        <w:rPr>
          <w:sz w:val="24"/>
          <w:rtl/>
        </w:rPr>
        <w:t xml:space="preserve"> </w:t>
      </w:r>
      <w:r w:rsidRPr="004C1199">
        <w:rPr>
          <w:rFonts w:hint="eastAsia"/>
          <w:sz w:val="24"/>
          <w:rtl/>
        </w:rPr>
        <w:t>המוניציפליים</w:t>
      </w:r>
      <w:r w:rsidRPr="004C1199">
        <w:rPr>
          <w:sz w:val="24"/>
          <w:rtl/>
        </w:rPr>
        <w:t xml:space="preserve"> </w:t>
      </w:r>
      <w:r w:rsidRPr="004C1199">
        <w:rPr>
          <w:rFonts w:hint="eastAsia"/>
          <w:sz w:val="24"/>
          <w:rtl/>
        </w:rPr>
        <w:t>ברמה</w:t>
      </w:r>
      <w:r w:rsidRPr="004C1199">
        <w:rPr>
          <w:sz w:val="24"/>
          <w:rtl/>
        </w:rPr>
        <w:t xml:space="preserve"> </w:t>
      </w:r>
      <w:r w:rsidRPr="004C1199">
        <w:rPr>
          <w:rFonts w:hint="eastAsia"/>
          <w:sz w:val="24"/>
          <w:rtl/>
        </w:rPr>
        <w:t>נאותה</w:t>
      </w:r>
      <w:r w:rsidRPr="004C1199">
        <w:rPr>
          <w:sz w:val="24"/>
          <w:rtl/>
        </w:rPr>
        <w:t xml:space="preserve">, </w:t>
      </w:r>
      <w:r w:rsidRPr="004C1199">
        <w:rPr>
          <w:rFonts w:hint="cs"/>
          <w:sz w:val="24"/>
          <w:rtl/>
        </w:rPr>
        <w:t xml:space="preserve">ובהתאם </w:t>
      </w:r>
      <w:r>
        <w:rPr>
          <w:rFonts w:hint="cs"/>
          <w:sz w:val="24"/>
          <w:rtl/>
        </w:rPr>
        <w:t>לממצאי</w:t>
      </w:r>
      <w:r w:rsidRPr="004C1199">
        <w:rPr>
          <w:rFonts w:hint="cs"/>
          <w:sz w:val="24"/>
          <w:rtl/>
        </w:rPr>
        <w:t xml:space="preserve"> הבחינה מומלץ כי</w:t>
      </w:r>
      <w:r>
        <w:rPr>
          <w:rFonts w:hint="cs"/>
          <w:sz w:val="24"/>
          <w:rtl/>
        </w:rPr>
        <w:t xml:space="preserve"> הם</w:t>
      </w:r>
      <w:r w:rsidRPr="004C1199">
        <w:rPr>
          <w:rFonts w:hint="cs"/>
          <w:sz w:val="24"/>
          <w:rtl/>
        </w:rPr>
        <w:t xml:space="preserve"> </w:t>
      </w:r>
      <w:r w:rsidRPr="004C1199">
        <w:rPr>
          <w:rFonts w:hint="eastAsia"/>
          <w:sz w:val="24"/>
          <w:rtl/>
        </w:rPr>
        <w:t>יגבשו</w:t>
      </w:r>
      <w:r w:rsidRPr="004C1199">
        <w:rPr>
          <w:sz w:val="24"/>
          <w:rtl/>
        </w:rPr>
        <w:t xml:space="preserve"> </w:t>
      </w:r>
      <w:r w:rsidRPr="004C1199">
        <w:rPr>
          <w:rFonts w:hint="eastAsia"/>
          <w:sz w:val="24"/>
          <w:rtl/>
        </w:rPr>
        <w:t>את</w:t>
      </w:r>
      <w:r w:rsidRPr="004C1199">
        <w:rPr>
          <w:sz w:val="24"/>
          <w:rtl/>
        </w:rPr>
        <w:t xml:space="preserve"> </w:t>
      </w:r>
      <w:r w:rsidRPr="004C1199">
        <w:rPr>
          <w:rFonts w:hint="eastAsia"/>
          <w:sz w:val="24"/>
          <w:rtl/>
        </w:rPr>
        <w:t>המענה</w:t>
      </w:r>
      <w:r w:rsidRPr="004C1199">
        <w:rPr>
          <w:sz w:val="24"/>
          <w:rtl/>
        </w:rPr>
        <w:t xml:space="preserve"> </w:t>
      </w:r>
      <w:r w:rsidRPr="004C1199">
        <w:rPr>
          <w:rFonts w:hint="eastAsia"/>
          <w:sz w:val="24"/>
          <w:rtl/>
        </w:rPr>
        <w:t>שיידרש</w:t>
      </w:r>
      <w:r w:rsidRPr="004C1199">
        <w:rPr>
          <w:sz w:val="24"/>
          <w:rtl/>
        </w:rPr>
        <w:t xml:space="preserve"> </w:t>
      </w:r>
      <w:r w:rsidRPr="004C1199">
        <w:rPr>
          <w:rFonts w:hint="eastAsia"/>
          <w:sz w:val="24"/>
          <w:rtl/>
        </w:rPr>
        <w:t>ל</w:t>
      </w:r>
      <w:r w:rsidRPr="004C1199">
        <w:rPr>
          <w:rFonts w:hint="cs"/>
          <w:sz w:val="24"/>
          <w:rtl/>
        </w:rPr>
        <w:t>רשות</w:t>
      </w:r>
      <w:r w:rsidRPr="004C1199">
        <w:rPr>
          <w:sz w:val="24"/>
          <w:rtl/>
        </w:rPr>
        <w:t xml:space="preserve"> </w:t>
      </w:r>
      <w:r w:rsidRPr="004C1199">
        <w:rPr>
          <w:rFonts w:hint="eastAsia"/>
          <w:sz w:val="24"/>
          <w:rtl/>
        </w:rPr>
        <w:t>עקב</w:t>
      </w:r>
      <w:r w:rsidRPr="004C1199">
        <w:rPr>
          <w:sz w:val="24"/>
          <w:rtl/>
        </w:rPr>
        <w:t xml:space="preserve"> </w:t>
      </w:r>
      <w:r w:rsidRPr="004C1199">
        <w:rPr>
          <w:rFonts w:hint="eastAsia"/>
          <w:sz w:val="24"/>
          <w:rtl/>
        </w:rPr>
        <w:t>מימוש</w:t>
      </w:r>
      <w:r w:rsidRPr="004C1199">
        <w:rPr>
          <w:sz w:val="24"/>
          <w:rtl/>
        </w:rPr>
        <w:t xml:space="preserve"> </w:t>
      </w:r>
      <w:r w:rsidRPr="004C1199">
        <w:rPr>
          <w:rFonts w:hint="eastAsia"/>
          <w:sz w:val="24"/>
          <w:rtl/>
        </w:rPr>
        <w:t>הסכם</w:t>
      </w:r>
      <w:r w:rsidRPr="004C1199">
        <w:rPr>
          <w:sz w:val="24"/>
          <w:rtl/>
        </w:rPr>
        <w:t xml:space="preserve"> </w:t>
      </w:r>
      <w:r w:rsidRPr="004C1199">
        <w:rPr>
          <w:rFonts w:hint="eastAsia"/>
          <w:sz w:val="24"/>
          <w:rtl/>
        </w:rPr>
        <w:t>הגג</w:t>
      </w:r>
      <w:r w:rsidRPr="004C1199">
        <w:rPr>
          <w:sz w:val="24"/>
          <w:rtl/>
        </w:rPr>
        <w:t>.</w:t>
      </w:r>
      <w:r w:rsidRPr="004C1199">
        <w:rPr>
          <w:rFonts w:hint="cs"/>
          <w:sz w:val="24"/>
          <w:rtl/>
        </w:rPr>
        <w:t xml:space="preserve"> </w:t>
      </w:r>
      <w:r>
        <w:rPr>
          <w:rFonts w:hint="cs"/>
          <w:sz w:val="24"/>
          <w:rtl/>
        </w:rPr>
        <w:t xml:space="preserve">כמו </w:t>
      </w:r>
      <w:r w:rsidRPr="004C1199">
        <w:rPr>
          <w:rFonts w:hint="eastAsia"/>
          <w:sz w:val="24"/>
          <w:rtl/>
        </w:rPr>
        <w:t>כן</w:t>
      </w:r>
      <w:r w:rsidRPr="004C1199">
        <w:rPr>
          <w:sz w:val="24"/>
          <w:rtl/>
        </w:rPr>
        <w:t xml:space="preserve"> </w:t>
      </w:r>
      <w:r w:rsidRPr="004C1199">
        <w:rPr>
          <w:rFonts w:hint="eastAsia"/>
          <w:sz w:val="24"/>
          <w:rtl/>
        </w:rPr>
        <w:t>מומלץ</w:t>
      </w:r>
      <w:r w:rsidRPr="004C1199">
        <w:rPr>
          <w:sz w:val="24"/>
          <w:rtl/>
        </w:rPr>
        <w:t xml:space="preserve"> </w:t>
      </w:r>
      <w:r w:rsidRPr="004C1199">
        <w:rPr>
          <w:rFonts w:hint="eastAsia"/>
          <w:sz w:val="24"/>
          <w:rtl/>
        </w:rPr>
        <w:t>כי</w:t>
      </w:r>
      <w:r w:rsidRPr="004C1199">
        <w:rPr>
          <w:sz w:val="24"/>
          <w:rtl/>
        </w:rPr>
        <w:t xml:space="preserve"> </w:t>
      </w:r>
      <w:r w:rsidRPr="004C1199">
        <w:rPr>
          <w:rFonts w:hint="cs"/>
          <w:sz w:val="24"/>
          <w:rtl/>
        </w:rPr>
        <w:t xml:space="preserve">משרדי הפנים והאוצר, בשיתוף עם הרשויות המקומיות, משרד הבינוי ורמ"י, </w:t>
      </w:r>
      <w:r w:rsidRPr="004C1199">
        <w:rPr>
          <w:rFonts w:hint="eastAsia"/>
          <w:sz w:val="24"/>
          <w:rtl/>
        </w:rPr>
        <w:t>יבחנו</w:t>
      </w:r>
      <w:r w:rsidRPr="004C1199">
        <w:rPr>
          <w:sz w:val="24"/>
          <w:rtl/>
        </w:rPr>
        <w:t xml:space="preserve"> </w:t>
      </w:r>
      <w:r w:rsidRPr="004C1199">
        <w:rPr>
          <w:rFonts w:hint="cs"/>
          <w:sz w:val="24"/>
          <w:rtl/>
        </w:rPr>
        <w:t xml:space="preserve">מנגנונים לקידום </w:t>
      </w:r>
      <w:r>
        <w:rPr>
          <w:rFonts w:hint="cs"/>
          <w:sz w:val="24"/>
          <w:rtl/>
        </w:rPr>
        <w:t>ה</w:t>
      </w:r>
      <w:r w:rsidRPr="004C1199">
        <w:rPr>
          <w:rFonts w:hint="cs"/>
          <w:sz w:val="24"/>
          <w:rtl/>
        </w:rPr>
        <w:t>שיווק ו</w:t>
      </w:r>
      <w:r>
        <w:rPr>
          <w:rFonts w:hint="cs"/>
          <w:sz w:val="24"/>
          <w:rtl/>
        </w:rPr>
        <w:t>ה</w:t>
      </w:r>
      <w:r w:rsidRPr="004C1199">
        <w:rPr>
          <w:rFonts w:hint="cs"/>
          <w:sz w:val="24"/>
          <w:rtl/>
        </w:rPr>
        <w:t>מימוש</w:t>
      </w:r>
      <w:r>
        <w:rPr>
          <w:rFonts w:hint="cs"/>
          <w:sz w:val="24"/>
          <w:rtl/>
        </w:rPr>
        <w:t xml:space="preserve"> של</w:t>
      </w:r>
      <w:r w:rsidRPr="004C1199">
        <w:rPr>
          <w:rFonts w:hint="cs"/>
          <w:sz w:val="24"/>
          <w:rtl/>
        </w:rPr>
        <w:t xml:space="preserve"> קרקעות למסחר ו</w:t>
      </w:r>
      <w:r>
        <w:rPr>
          <w:rFonts w:hint="cs"/>
          <w:sz w:val="24"/>
          <w:rtl/>
        </w:rPr>
        <w:t>ל</w:t>
      </w:r>
      <w:r w:rsidRPr="004C1199">
        <w:rPr>
          <w:rFonts w:hint="cs"/>
          <w:sz w:val="24"/>
          <w:rtl/>
        </w:rPr>
        <w:t xml:space="preserve">תעסוקה בשטח </w:t>
      </w:r>
      <w:r>
        <w:rPr>
          <w:rFonts w:hint="cs"/>
          <w:sz w:val="24"/>
          <w:rtl/>
        </w:rPr>
        <w:t>ה</w:t>
      </w:r>
      <w:r w:rsidRPr="004C1199">
        <w:rPr>
          <w:rFonts w:hint="cs"/>
          <w:sz w:val="24"/>
          <w:rtl/>
        </w:rPr>
        <w:t xml:space="preserve">רשויות </w:t>
      </w:r>
      <w:r>
        <w:rPr>
          <w:rFonts w:hint="cs"/>
          <w:sz w:val="24"/>
          <w:rtl/>
        </w:rPr>
        <w:t>המקומיות הרלוונטיות</w:t>
      </w:r>
      <w:r w:rsidRPr="004C1199">
        <w:rPr>
          <w:rFonts w:hint="cs"/>
          <w:sz w:val="24"/>
          <w:rtl/>
        </w:rPr>
        <w:t xml:space="preserve"> כדי להגדיל את הכנסתן מארנונה </w:t>
      </w:r>
      <w:r w:rsidRPr="00DA0953">
        <w:rPr>
          <w:rFonts w:hint="cs"/>
          <w:rtl/>
        </w:rPr>
        <w:t>עסקית.</w:t>
      </w:r>
    </w:p>
    <w:p w14:paraId="6A6D04AD" w14:textId="73595249" w:rsidR="006661BA" w:rsidRDefault="006661BA" w:rsidP="006661BA">
      <w:pPr>
        <w:bidi w:val="0"/>
        <w:spacing w:after="200" w:line="276" w:lineRule="auto"/>
        <w:rPr>
          <w:rFonts w:ascii="Tahoma" w:hAnsi="Tahoma" w:cs="Tahoma"/>
          <w:color w:val="0D0D0D" w:themeColor="text1" w:themeTint="F2"/>
          <w:sz w:val="18"/>
          <w:szCs w:val="18"/>
        </w:rPr>
      </w:pPr>
    </w:p>
    <w:p w14:paraId="44B6BADF" w14:textId="312BDCB2" w:rsidR="006661BA" w:rsidRDefault="006661BA" w:rsidP="006661BA">
      <w:pPr>
        <w:bidi w:val="0"/>
        <w:spacing w:after="200" w:line="276" w:lineRule="auto"/>
        <w:rPr>
          <w:rFonts w:ascii="Tahoma" w:hAnsi="Tahoma" w:cs="Tahoma"/>
          <w:color w:val="0D0D0D" w:themeColor="text1" w:themeTint="F2"/>
          <w:sz w:val="18"/>
          <w:szCs w:val="18"/>
        </w:rPr>
      </w:pPr>
    </w:p>
    <w:p w14:paraId="7ABE70C7" w14:textId="17DD4906" w:rsidR="006661BA" w:rsidRDefault="00153901" w:rsidP="006661BA">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w:lastRenderedPageBreak/>
        <mc:AlternateContent>
          <mc:Choice Requires="wps">
            <w:drawing>
              <wp:anchor distT="0" distB="0" distL="114300" distR="114300" simplePos="0" relativeHeight="252130816" behindDoc="0" locked="0" layoutInCell="1" allowOverlap="1" wp14:anchorId="10367ACB" wp14:editId="2D305C83">
                <wp:simplePos x="0" y="0"/>
                <wp:positionH relativeFrom="column">
                  <wp:posOffset>-1394460</wp:posOffset>
                </wp:positionH>
                <wp:positionV relativeFrom="paragraph">
                  <wp:posOffset>-755650</wp:posOffset>
                </wp:positionV>
                <wp:extent cx="6225540" cy="922020"/>
                <wp:effectExtent l="0" t="0" r="3810" b="0"/>
                <wp:wrapNone/>
                <wp:docPr id="3788771" name="Rectangle 3788771"/>
                <wp:cNvGraphicFramePr/>
                <a:graphic xmlns:a="http://schemas.openxmlformats.org/drawingml/2006/main">
                  <a:graphicData uri="http://schemas.microsoft.com/office/word/2010/wordprocessingShape">
                    <wps:wsp>
                      <wps:cNvSpPr/>
                      <wps:spPr>
                        <a:xfrm>
                          <a:off x="0" y="0"/>
                          <a:ext cx="622554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485994C" id="Rectangle 3788771" o:spid="_x0000_s1026" style="position:absolute;left:0;text-align:left;margin-left:-109.8pt;margin-top:-59.5pt;width:490.2pt;height:72.6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" fillcolor="white [3212]" stroked="f" strokeweight="2pt"/>
            </w:pict>
          </mc:Fallback>
        </mc:AlternateContent>
      </w:r>
    </w:p>
    <w:p w14:paraId="5AD12DBF" w14:textId="25D4EB67" w:rsidR="006661BA" w:rsidRDefault="006661BA" w:rsidP="006661BA">
      <w:pPr>
        <w:bidi w:val="0"/>
        <w:spacing w:after="200" w:line="276" w:lineRule="auto"/>
        <w:rPr>
          <w:rFonts w:ascii="Tahoma" w:hAnsi="Tahoma" w:cs="Tahoma"/>
          <w:color w:val="0D0D0D" w:themeColor="text1" w:themeTint="F2"/>
          <w:sz w:val="18"/>
          <w:szCs w:val="18"/>
        </w:rPr>
      </w:pPr>
    </w:p>
    <w:p w14:paraId="7457A149" w14:textId="3332CD0D" w:rsidR="006661BA" w:rsidRDefault="006661BA" w:rsidP="006661BA">
      <w:pPr>
        <w:bidi w:val="0"/>
        <w:spacing w:after="200" w:line="276" w:lineRule="auto"/>
        <w:rPr>
          <w:rFonts w:ascii="Tahoma" w:hAnsi="Tahoma" w:cs="Tahoma"/>
          <w:color w:val="0D0D0D" w:themeColor="text1" w:themeTint="F2"/>
          <w:sz w:val="18"/>
          <w:szCs w:val="18"/>
        </w:rPr>
      </w:pPr>
    </w:p>
    <w:p w14:paraId="2989EAF0" w14:textId="6175365A" w:rsidR="006661BA" w:rsidRDefault="006661BA" w:rsidP="006661BA">
      <w:pPr>
        <w:bidi w:val="0"/>
        <w:spacing w:after="200" w:line="276" w:lineRule="auto"/>
        <w:rPr>
          <w:rFonts w:ascii="Tahoma" w:hAnsi="Tahoma" w:cs="Tahoma"/>
          <w:color w:val="0D0D0D" w:themeColor="text1" w:themeTint="F2"/>
          <w:sz w:val="18"/>
          <w:szCs w:val="18"/>
        </w:rPr>
      </w:pPr>
    </w:p>
    <w:p w14:paraId="3FAF6728" w14:textId="0B19969A" w:rsidR="006661BA" w:rsidRDefault="006661BA" w:rsidP="006661BA">
      <w:pPr>
        <w:bidi w:val="0"/>
        <w:spacing w:after="200" w:line="276" w:lineRule="auto"/>
        <w:rPr>
          <w:rFonts w:ascii="Tahoma" w:hAnsi="Tahoma" w:cs="Tahoma"/>
          <w:color w:val="0D0D0D" w:themeColor="text1" w:themeTint="F2"/>
          <w:sz w:val="18"/>
          <w:szCs w:val="18"/>
        </w:rPr>
      </w:pPr>
    </w:p>
    <w:p w14:paraId="13791FB3" w14:textId="4EF248A2" w:rsidR="006661BA" w:rsidRDefault="006661BA" w:rsidP="006661BA">
      <w:pPr>
        <w:bidi w:val="0"/>
        <w:spacing w:after="200" w:line="276" w:lineRule="auto"/>
        <w:rPr>
          <w:rFonts w:ascii="Tahoma" w:hAnsi="Tahoma" w:cs="Tahoma"/>
          <w:color w:val="0D0D0D" w:themeColor="text1" w:themeTint="F2"/>
          <w:sz w:val="18"/>
          <w:szCs w:val="18"/>
        </w:rPr>
      </w:pPr>
    </w:p>
    <w:p w14:paraId="2D6A8AE4" w14:textId="2D2F6B95" w:rsidR="006661BA" w:rsidRDefault="006661BA" w:rsidP="006661BA">
      <w:pPr>
        <w:bidi w:val="0"/>
        <w:spacing w:after="200" w:line="276" w:lineRule="auto"/>
        <w:rPr>
          <w:rFonts w:ascii="Tahoma" w:hAnsi="Tahoma" w:cs="Tahoma"/>
          <w:color w:val="0D0D0D" w:themeColor="text1" w:themeTint="F2"/>
          <w:sz w:val="18"/>
          <w:szCs w:val="18"/>
        </w:rPr>
      </w:pPr>
    </w:p>
    <w:p w14:paraId="39338422" w14:textId="50F41C23" w:rsidR="006661BA" w:rsidRDefault="006661BA" w:rsidP="006661BA">
      <w:pPr>
        <w:bidi w:val="0"/>
        <w:spacing w:after="200" w:line="276" w:lineRule="auto"/>
        <w:rPr>
          <w:rFonts w:ascii="Tahoma" w:hAnsi="Tahoma" w:cs="Tahoma"/>
          <w:color w:val="0D0D0D" w:themeColor="text1" w:themeTint="F2"/>
          <w:sz w:val="18"/>
          <w:szCs w:val="18"/>
        </w:rPr>
      </w:pPr>
    </w:p>
    <w:p w14:paraId="096E6BD6" w14:textId="36B500C5" w:rsidR="006661BA" w:rsidRDefault="006661BA" w:rsidP="006661BA">
      <w:pPr>
        <w:bidi w:val="0"/>
        <w:spacing w:after="200" w:line="276" w:lineRule="auto"/>
        <w:rPr>
          <w:rFonts w:ascii="Tahoma" w:hAnsi="Tahoma" w:cs="Tahoma"/>
          <w:color w:val="0D0D0D" w:themeColor="text1" w:themeTint="F2"/>
          <w:sz w:val="18"/>
          <w:szCs w:val="18"/>
        </w:rPr>
      </w:pPr>
    </w:p>
    <w:p w14:paraId="631F34CE" w14:textId="166BFA5D" w:rsidR="006661BA" w:rsidRDefault="006661BA" w:rsidP="006661BA">
      <w:pPr>
        <w:bidi w:val="0"/>
        <w:spacing w:after="200" w:line="276" w:lineRule="auto"/>
        <w:rPr>
          <w:rFonts w:ascii="Tahoma" w:hAnsi="Tahoma" w:cs="Tahoma"/>
          <w:color w:val="0D0D0D" w:themeColor="text1" w:themeTint="F2"/>
          <w:sz w:val="18"/>
          <w:szCs w:val="18"/>
        </w:rPr>
      </w:pPr>
    </w:p>
    <w:p w14:paraId="226451B1" w14:textId="0F6022FA" w:rsidR="006661BA" w:rsidRDefault="006661BA" w:rsidP="006661BA">
      <w:pPr>
        <w:bidi w:val="0"/>
        <w:spacing w:after="200" w:line="276" w:lineRule="auto"/>
        <w:rPr>
          <w:rFonts w:ascii="Tahoma" w:hAnsi="Tahoma" w:cs="Tahoma"/>
          <w:color w:val="0D0D0D" w:themeColor="text1" w:themeTint="F2"/>
          <w:sz w:val="18"/>
          <w:szCs w:val="18"/>
        </w:rPr>
      </w:pPr>
    </w:p>
    <w:p w14:paraId="4C8799E9" w14:textId="70CE525B" w:rsidR="006661BA" w:rsidRDefault="006661BA" w:rsidP="006661BA">
      <w:pPr>
        <w:bidi w:val="0"/>
        <w:spacing w:after="200" w:line="276" w:lineRule="auto"/>
        <w:rPr>
          <w:rFonts w:ascii="Tahoma" w:hAnsi="Tahoma" w:cs="Tahoma"/>
          <w:color w:val="0D0D0D" w:themeColor="text1" w:themeTint="F2"/>
          <w:sz w:val="18"/>
          <w:szCs w:val="18"/>
        </w:rPr>
      </w:pPr>
    </w:p>
    <w:p w14:paraId="6C093B33" w14:textId="3200D964" w:rsidR="006661BA" w:rsidRDefault="006661BA" w:rsidP="006661BA">
      <w:pPr>
        <w:bidi w:val="0"/>
        <w:spacing w:after="200" w:line="276" w:lineRule="auto"/>
        <w:rPr>
          <w:rFonts w:ascii="Tahoma" w:hAnsi="Tahoma" w:cs="Tahoma"/>
          <w:color w:val="0D0D0D" w:themeColor="text1" w:themeTint="F2"/>
          <w:sz w:val="18"/>
          <w:szCs w:val="18"/>
        </w:rPr>
      </w:pPr>
    </w:p>
    <w:p w14:paraId="28451BE9" w14:textId="53D1E5FA" w:rsidR="006661BA" w:rsidRDefault="004A7C8A" w:rsidP="006661BA">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mc:AlternateContent>
          <mc:Choice Requires="wps">
            <w:drawing>
              <wp:anchor distT="0" distB="0" distL="114300" distR="114300" simplePos="0" relativeHeight="252132864" behindDoc="0" locked="0" layoutInCell="1" allowOverlap="1" wp14:anchorId="4D0AF6C5" wp14:editId="7C6712F1">
                <wp:simplePos x="0" y="0"/>
                <wp:positionH relativeFrom="column">
                  <wp:posOffset>-792480</wp:posOffset>
                </wp:positionH>
                <wp:positionV relativeFrom="paragraph">
                  <wp:posOffset>3124200</wp:posOffset>
                </wp:positionV>
                <wp:extent cx="6225540" cy="922020"/>
                <wp:effectExtent l="0" t="0" r="3810" b="0"/>
                <wp:wrapNone/>
                <wp:docPr id="3788773" name="Rectangle 3788773"/>
                <wp:cNvGraphicFramePr/>
                <a:graphic xmlns:a="http://schemas.openxmlformats.org/drawingml/2006/main">
                  <a:graphicData uri="http://schemas.microsoft.com/office/word/2010/wordprocessingShape">
                    <wps:wsp>
                      <wps:cNvSpPr/>
                      <wps:spPr>
                        <a:xfrm>
                          <a:off x="0" y="0"/>
                          <a:ext cx="622554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8F0EB59" id="Rectangle 3788773" o:spid="_x0000_s1026" style="position:absolute;left:0;text-align:left;margin-left:-62.4pt;margin-top:246pt;width:490.2pt;height:72.6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" fillcolor="white [3212]" stroked="f" strokeweight="2pt"/>
            </w:pict>
          </mc:Fallback>
        </mc:AlternateContent>
      </w:r>
    </w:p>
    <w:sectPr w:rsidR="006661BA" w:rsidSect="007100F0">
      <w:headerReference w:type="default" r:id="rId61"/>
      <w:footerReference w:type="even" r:id="rId62"/>
      <w:footerReference w:type="default" r:id="rId6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40BD9" w14:textId="77777777" w:rsidR="00716C1C" w:rsidRDefault="00716C1C">
      <w:pPr>
        <w:spacing w:line="240" w:lineRule="auto"/>
      </w:pPr>
      <w:r>
        <w:separator/>
      </w:r>
    </w:p>
    <w:p w14:paraId="5127325D" w14:textId="77777777" w:rsidR="00716C1C" w:rsidRDefault="00716C1C"/>
    <w:p w14:paraId="67C3EBE8" w14:textId="77777777" w:rsidR="00716C1C" w:rsidRDefault="00716C1C"/>
  </w:endnote>
  <w:endnote w:type="continuationSeparator" w:id="0">
    <w:p w14:paraId="7F975AC2" w14:textId="77777777" w:rsidR="00716C1C" w:rsidRDefault="00716C1C">
      <w:pPr>
        <w:spacing w:line="240" w:lineRule="auto"/>
      </w:pPr>
      <w:r>
        <w:continuationSeparator/>
      </w:r>
    </w:p>
    <w:p w14:paraId="6C81B8D6" w14:textId="77777777" w:rsidR="00716C1C" w:rsidRDefault="00716C1C"/>
    <w:p w14:paraId="479CED64" w14:textId="77777777" w:rsidR="00716C1C" w:rsidRDefault="00716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F39A6" w14:textId="77777777" w:rsidR="00BC7416" w:rsidRDefault="00BC74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BC7416" w:rsidRDefault="00BC7416"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BC7416" w:rsidRPr="006668CA" w:rsidRDefault="00BC7416"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BA2A" w14:textId="77777777" w:rsidR="00BC7416" w:rsidRDefault="00BC741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BC7416" w:rsidRDefault="00BC7416" w:rsidP="00337C4E">
    <w:pPr>
      <w:pStyle w:val="a6"/>
      <w:spacing w:after="120" w:line="312" w:lineRule="auto"/>
      <w:ind w:left="-510"/>
      <w:jc w:val="left"/>
      <w:rPr>
        <w:rFonts w:ascii="Tahoma" w:hAnsi="Tahoma" w:cs="Tahoma"/>
        <w:sz w:val="18"/>
        <w:szCs w:val="18"/>
        <w:rtl/>
      </w:rPr>
    </w:pPr>
  </w:p>
  <w:p w14:paraId="55F954A2" w14:textId="626BB33D" w:rsidR="00BC7416" w:rsidRDefault="00BC7416" w:rsidP="003F3EF3">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BC7416" w:rsidRPr="00F94EB4" w:rsidRDefault="00BC7416"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593FE799" w:rsidR="00BC7416" w:rsidRDefault="00BC7416" w:rsidP="003F3EF3">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BC7416" w:rsidRDefault="00BC7416"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C7416" w:rsidRPr="00D15500" w:rsidRDefault="00BC7416"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BC7416" w:rsidRDefault="00BC7416" w:rsidP="00337C4E">
    <w:pPr>
      <w:pStyle w:val="a6"/>
      <w:spacing w:after="120" w:line="312" w:lineRule="auto"/>
      <w:ind w:left="-510"/>
      <w:jc w:val="left"/>
      <w:rPr>
        <w:rFonts w:ascii="Tahoma" w:hAnsi="Tahoma" w:cs="Tahoma"/>
        <w:sz w:val="18"/>
        <w:szCs w:val="18"/>
        <w:rtl/>
      </w:rPr>
    </w:pPr>
  </w:p>
  <w:p w14:paraId="70BAE3FC" w14:textId="10196563" w:rsidR="00BC7416" w:rsidRDefault="00BC7416" w:rsidP="003F3EF3">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BC7416" w:rsidRPr="00F94EB4" w:rsidRDefault="00BC7416" w:rsidP="00337C4E">
    <w:pPr>
      <w:pStyle w:val="a6"/>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22292CD6" w:rsidR="00BC7416" w:rsidRDefault="00BC7416" w:rsidP="003F3EF3">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BC7416" w:rsidRDefault="00BC7416"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3BADF" w14:textId="77777777" w:rsidR="00716C1C" w:rsidRDefault="00716C1C" w:rsidP="00C23CC9">
      <w:pPr>
        <w:spacing w:line="240" w:lineRule="auto"/>
      </w:pPr>
      <w:r>
        <w:separator/>
      </w:r>
    </w:p>
  </w:footnote>
  <w:footnote w:type="continuationSeparator" w:id="0">
    <w:p w14:paraId="42072E74" w14:textId="77777777" w:rsidR="00716C1C" w:rsidRDefault="00716C1C" w:rsidP="00C23CC9">
      <w:pPr>
        <w:spacing w:line="240" w:lineRule="auto"/>
      </w:pPr>
      <w:r>
        <w:continuationSeparator/>
      </w:r>
    </w:p>
  </w:footnote>
  <w:footnote w:type="continuationNotice" w:id="1">
    <w:p w14:paraId="66ABD152" w14:textId="77777777" w:rsidR="00716C1C" w:rsidRDefault="00716C1C">
      <w:pPr>
        <w:spacing w:line="240" w:lineRule="auto"/>
      </w:pPr>
    </w:p>
  </w:footnote>
  <w:footnote w:id="2">
    <w:p w14:paraId="5D8A7FA1" w14:textId="77777777" w:rsidR="00BC7416" w:rsidRDefault="00BC7416" w:rsidP="00735DAF">
      <w:pPr>
        <w:pStyle w:val="71a"/>
        <w:rPr>
          <w:rtl/>
        </w:rPr>
      </w:pPr>
      <w:r w:rsidRPr="00317A27">
        <w:footnoteRef/>
      </w:r>
      <w:r w:rsidRPr="00317A27">
        <w:rPr>
          <w:rFonts w:hint="cs"/>
          <w:rtl/>
        </w:rPr>
        <w:t xml:space="preserve"> </w:t>
      </w:r>
      <w:r>
        <w:rPr>
          <w:rFonts w:hint="cs"/>
          <w:rtl/>
        </w:rPr>
        <w:tab/>
        <w:t xml:space="preserve">נתוני הלשכה המרכזית לסטטיסטיקה בעיבוד משרד מבקר המדינה; הלשכה המרכזית לסטטיסטיקה, סדרה 120010, </w:t>
      </w:r>
      <w:r>
        <w:rPr>
          <w:rFonts w:hint="cs"/>
          <w:b/>
          <w:bCs/>
          <w:rtl/>
        </w:rPr>
        <w:t>מדד המחירים לצרכן - כללי</w:t>
      </w:r>
      <w:r>
        <w:rPr>
          <w:rFonts w:hint="cs"/>
          <w:rtl/>
        </w:rPr>
        <w:t xml:space="preserve">; סדרה 040010 - </w:t>
      </w:r>
      <w:r>
        <w:rPr>
          <w:rFonts w:hint="cs"/>
          <w:b/>
          <w:bCs/>
          <w:rtl/>
        </w:rPr>
        <w:t>מחירי דירות.</w:t>
      </w:r>
    </w:p>
  </w:footnote>
  <w:footnote w:id="3">
    <w:p w14:paraId="254F2F76" w14:textId="77777777" w:rsidR="00BC7416" w:rsidRDefault="00BC7416" w:rsidP="00735DAF">
      <w:pPr>
        <w:pStyle w:val="71a"/>
      </w:pPr>
      <w:r w:rsidRPr="00317A27">
        <w:footnoteRef/>
      </w:r>
      <w:r>
        <w:rPr>
          <w:rFonts w:hint="cs"/>
          <w:rtl/>
        </w:rPr>
        <w:t xml:space="preserve"> </w:t>
      </w:r>
      <w:r>
        <w:rPr>
          <w:rFonts w:hint="cs"/>
          <w:rtl/>
        </w:rPr>
        <w:tab/>
        <w:t xml:space="preserve">בנק ישראל, </w:t>
      </w:r>
      <w:r>
        <w:rPr>
          <w:rFonts w:hint="cs"/>
          <w:b/>
          <w:bCs/>
          <w:rtl/>
        </w:rPr>
        <w:t>דוח שנתי 2019</w:t>
      </w:r>
      <w:r>
        <w:rPr>
          <w:rFonts w:hint="cs"/>
          <w:rtl/>
        </w:rPr>
        <w:t xml:space="preserve"> (2020), עמ' 141. </w:t>
      </w:r>
    </w:p>
  </w:footnote>
  <w:footnote w:id="4">
    <w:p w14:paraId="69DC91E3" w14:textId="77777777" w:rsidR="00BC7416" w:rsidRDefault="00BC7416" w:rsidP="00735DAF">
      <w:pPr>
        <w:pStyle w:val="71a"/>
      </w:pPr>
      <w:r w:rsidRPr="00317A27">
        <w:footnoteRef/>
      </w:r>
      <w:r>
        <w:rPr>
          <w:rFonts w:hint="cs"/>
          <w:rtl/>
        </w:rPr>
        <w:t xml:space="preserve"> </w:t>
      </w:r>
      <w:r>
        <w:rPr>
          <w:rFonts w:hint="cs"/>
          <w:rtl/>
        </w:rPr>
        <w:tab/>
        <w:t>החלטת ממשלה 768 (9.10.13). לאחר מכן עדכנה הממשלה את ההחלטה כמה פעמים: החלטה 1535 (3.4.14); החלטה 1028 (21.1.16); החלטה 2337 (21.1.17); החלטה 2997 (31.8.17); החלטה 2998 (31.8.17); החלטה 3260 (15.12.17); והחלטה 4846 (30.1.20).</w:t>
      </w:r>
    </w:p>
  </w:footnote>
  <w:footnote w:id="5">
    <w:p w14:paraId="4DD5B15E" w14:textId="77777777" w:rsidR="00BC7416" w:rsidRDefault="00BC7416" w:rsidP="00735DAF">
      <w:pPr>
        <w:pStyle w:val="71a"/>
        <w:rPr>
          <w:rtl/>
        </w:rPr>
      </w:pPr>
      <w:r w:rsidRPr="00317A27">
        <w:footnoteRef/>
      </w:r>
      <w:r>
        <w:rPr>
          <w:rFonts w:hint="cs"/>
          <w:rtl/>
        </w:rPr>
        <w:t xml:space="preserve"> </w:t>
      </w:r>
      <w:r>
        <w:rPr>
          <w:rFonts w:hint="cs"/>
          <w:rtl/>
        </w:rPr>
        <w:tab/>
        <w:t>משרד הבינוי ממונה על ייזום וביצוע של מדיניות הממשלה בתחום הבנייה למגורים.</w:t>
      </w:r>
    </w:p>
  </w:footnote>
  <w:footnote w:id="6">
    <w:p w14:paraId="1A023F50" w14:textId="77777777" w:rsidR="00BC7416" w:rsidRDefault="00BC7416" w:rsidP="00735DAF">
      <w:pPr>
        <w:pStyle w:val="71a"/>
        <w:rPr>
          <w:rtl/>
        </w:rPr>
      </w:pPr>
      <w:r w:rsidRPr="00317A27">
        <w:footnoteRef/>
      </w:r>
      <w:r>
        <w:rPr>
          <w:rFonts w:hint="cs"/>
          <w:rtl/>
        </w:rPr>
        <w:t xml:space="preserve"> </w:t>
      </w:r>
      <w:r>
        <w:rPr>
          <w:rFonts w:hint="cs"/>
          <w:rtl/>
        </w:rPr>
        <w:tab/>
      </w:r>
      <w:r>
        <w:rPr>
          <w:rFonts w:ascii="David" w:hAnsi="David" w:hint="cs"/>
          <w:rtl/>
        </w:rPr>
        <w:t>רמ"י מנהלת כ-93% מהקרקעות במדינה</w:t>
      </w:r>
      <w:r>
        <w:rPr>
          <w:rFonts w:hint="cs"/>
          <w:rtl/>
        </w:rPr>
        <w:t>. לפי חוק רשות מקרקעי ישראל, התש"ך-1960, רמ"י מופקדת על ניהול המקרקעין השייכים למדינה, לרשות הפיתוח ולקרן קיימת לישראל.</w:t>
      </w:r>
    </w:p>
  </w:footnote>
  <w:footnote w:id="7">
    <w:p w14:paraId="6343A392" w14:textId="77777777" w:rsidR="00BC7416" w:rsidRDefault="00BC7416" w:rsidP="00735DAF">
      <w:pPr>
        <w:pStyle w:val="71a"/>
        <w:rPr>
          <w:rtl/>
        </w:rPr>
      </w:pPr>
      <w:r w:rsidRPr="00317A27">
        <w:footnoteRef/>
      </w:r>
      <w:r>
        <w:rPr>
          <w:rFonts w:hint="cs"/>
          <w:rtl/>
        </w:rPr>
        <w:t xml:space="preserve"> </w:t>
      </w:r>
      <w:r>
        <w:rPr>
          <w:rFonts w:hint="cs"/>
          <w:rtl/>
        </w:rPr>
        <w:tab/>
        <w:t>פרוטוקול של ישיבת ועדת שרים לענייני תכנון, בנייה, מקרקעין ודיור ב-29.9.13, עמ' 5.</w:t>
      </w:r>
    </w:p>
  </w:footnote>
  <w:footnote w:id="8">
    <w:p w14:paraId="34E70B21"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 xml:space="preserve">לפי חוק התכנון והבניה, התשכ"ה-1965. </w:t>
      </w:r>
    </w:p>
  </w:footnote>
  <w:footnote w:id="9">
    <w:p w14:paraId="1EA2CAD4" w14:textId="77777777" w:rsidR="00BC7416" w:rsidRPr="005833CD" w:rsidRDefault="00BC7416" w:rsidP="005833CD">
      <w:pPr>
        <w:pStyle w:val="71a"/>
      </w:pPr>
      <w:r w:rsidRPr="005833CD">
        <w:rPr>
          <w:rStyle w:val="a9"/>
          <w:vertAlign w:val="baseline"/>
        </w:rPr>
        <w:footnoteRef/>
      </w:r>
      <w:r w:rsidRPr="005833CD">
        <w:rPr>
          <w:rFonts w:hint="cs"/>
          <w:rtl/>
        </w:rPr>
        <w:t xml:space="preserve"> </w:t>
      </w:r>
      <w:r w:rsidRPr="005833CD">
        <w:rPr>
          <w:rFonts w:hint="cs"/>
          <w:rtl/>
        </w:rPr>
        <w:tab/>
        <w:t xml:space="preserve">ראו סעיף 2 להחלטת הממשלה על הסכמי הגג. </w:t>
      </w:r>
    </w:p>
  </w:footnote>
  <w:footnote w:id="10">
    <w:p w14:paraId="664BF8AF" w14:textId="77777777" w:rsidR="00BC7416" w:rsidRPr="005833CD" w:rsidRDefault="00BC7416" w:rsidP="005833CD">
      <w:pPr>
        <w:pStyle w:val="71a"/>
      </w:pPr>
      <w:r w:rsidRPr="005833CD">
        <w:rPr>
          <w:rStyle w:val="a9"/>
          <w:vertAlign w:val="baseline"/>
        </w:rPr>
        <w:footnoteRef/>
      </w:r>
      <w:r w:rsidRPr="005833CD">
        <w:rPr>
          <w:rFonts w:hint="cs"/>
          <w:rtl/>
        </w:rPr>
        <w:t xml:space="preserve"> </w:t>
      </w:r>
      <w:r w:rsidRPr="005833CD">
        <w:rPr>
          <w:rFonts w:hint="cs"/>
          <w:rtl/>
        </w:rPr>
        <w:tab/>
        <w:t>מועצת מקרקעי ישראל הוקמה על פי חוק רשות מקרקעי ישראל, התש"ך-1960</w:t>
      </w:r>
      <w:r w:rsidRPr="005833CD">
        <w:t>​</w:t>
      </w:r>
      <w:r w:rsidRPr="005833CD">
        <w:rPr>
          <w:rFonts w:hint="cs"/>
          <w:rtl/>
        </w:rPr>
        <w:t>. המועצה היא הקובעת את המדיניות הקרקעית שלפיה ינוהלו מקרקעי ישראל. היא מפקחת על פעולתה של רמ"י וקובעת אם לאשר את תקציבה.</w:t>
      </w:r>
    </w:p>
  </w:footnote>
  <w:footnote w:id="11">
    <w:p w14:paraId="0B905155"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 xml:space="preserve">ראו בפרק 3.5 לקובץ החלטות מועצת מקרקעי ישראל. </w:t>
      </w:r>
    </w:p>
  </w:footnote>
  <w:footnote w:id="12">
    <w:p w14:paraId="3A8CD1BE"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 xml:space="preserve">החלטת הממשלה 768 (9.10.13). </w:t>
      </w:r>
    </w:p>
  </w:footnote>
  <w:footnote w:id="13">
    <w:p w14:paraId="475731C7"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 xml:space="preserve">סעיפים 3.3 ו-3.4 לקובץ החלטות מועצת מקרקעי ישראל. </w:t>
      </w:r>
    </w:p>
  </w:footnote>
  <w:footnote w:id="14">
    <w:p w14:paraId="771D6B44"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החלטת הממשלה 1533 (3.4.14), אשר תוקנה לאחר כחצי שנה בהחלטה 2039 (1.10.14).כמו כן, תוקף המנגנון שנקבע בהחלטה 1533 הוארך בהחלטת ממשלה 2143 (8.12.16).</w:t>
      </w:r>
    </w:p>
  </w:footnote>
  <w:footnote w:id="15">
    <w:p w14:paraId="3EA916F3"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תשתיות-על - תשתיות המשרתות את כלל תחום התוכנית או את התוכניות שעליהן חל ההסכם, ולא מתחם מסוים בלבד בתחום התוכנית או התוכניות האמורות, לרבות דרכים ראשיות, מחלפים, מערכות מים וניקוז, מערכות ביוב אזוריות, תיעול ותחנות שאיבה; תשתיות צמודות - תשתיות הנמצאות בשטח התוכנית או התוכניות שעליהן חל ההסכם, ומשרתות את אותן תוכניות בלבד, לרבות מגרשים ציבוריים בתחום התוכנית, סלילת כבישים, מדרכות ושבילים, התקנה וחיבור של קווי ביוב למערכת האזורית, ניקוז ותיעול מים, קווי תאורה ופיתוח סביבתי משלים.</w:t>
      </w:r>
    </w:p>
  </w:footnote>
  <w:footnote w:id="16">
    <w:p w14:paraId="77E23CDE"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מוסדות החינוך כוללים את כל מוסדות החינוך מכל סוג ולכל אוכלוסיית יעד, אשר הקמתם מחויבת על פי פרוגרמות ותקנים של משרד החינוך.</w:t>
      </w:r>
    </w:p>
  </w:footnote>
  <w:footnote w:id="17">
    <w:p w14:paraId="3D4613A0" w14:textId="77777777" w:rsidR="00BC7416" w:rsidRPr="005833CD" w:rsidRDefault="00BC7416" w:rsidP="005833CD">
      <w:pPr>
        <w:pStyle w:val="71a"/>
        <w:rPr>
          <w:rtl/>
        </w:rPr>
      </w:pPr>
      <w:r w:rsidRPr="005833CD">
        <w:rPr>
          <w:rStyle w:val="a9"/>
          <w:vertAlign w:val="baseline"/>
        </w:rPr>
        <w:footnoteRef/>
      </w:r>
      <w:r w:rsidRPr="005833CD">
        <w:rPr>
          <w:rFonts w:hint="cs"/>
          <w:rtl/>
        </w:rPr>
        <w:t xml:space="preserve"> </w:t>
      </w:r>
      <w:r w:rsidRPr="005833CD">
        <w:rPr>
          <w:rFonts w:hint="cs"/>
          <w:rtl/>
        </w:rPr>
        <w:tab/>
        <w:t>למעט הסכמי גג שבמסגרתם נקבע שמשרד הבינוי אחראי לביצוע עבודות הפיתוח במקום הרשות המקומית. הסדר זה הוחל באלעד, בבית שמש, בדימונה, במגדל העמק, בנהרייה, בעכו, ובחלק מהמתחמים שבראש העין.</w:t>
      </w:r>
    </w:p>
  </w:footnote>
  <w:footnote w:id="18">
    <w:p w14:paraId="446BA815" w14:textId="77777777" w:rsidR="00BC7416" w:rsidRPr="005833CD" w:rsidRDefault="00BC7416" w:rsidP="005833CD">
      <w:pPr>
        <w:pStyle w:val="71a"/>
      </w:pPr>
      <w:r w:rsidRPr="005833CD">
        <w:rPr>
          <w:rStyle w:val="a9"/>
          <w:vertAlign w:val="baseline"/>
        </w:rPr>
        <w:footnoteRef/>
      </w:r>
      <w:r w:rsidRPr="005833CD">
        <w:rPr>
          <w:rFonts w:hint="cs"/>
          <w:rtl/>
        </w:rPr>
        <w:t xml:space="preserve"> </w:t>
      </w:r>
      <w:r w:rsidRPr="005833CD">
        <w:rPr>
          <w:rFonts w:hint="cs"/>
          <w:rtl/>
        </w:rPr>
        <w:tab/>
        <w:t>לפי הנתונים העדכניים ליוני 2020 לגבי הרשויות המקומיות שחתמו על הסכם עם משרד הבינוי, ולפי הנתונים העדכניים לדצמבר 2020 לגבי הרשויות שחתמו על הסכם גג עם רמ"י. כמפורט להלן, לגבי כל אחד מההסכמים, חושב קצב השיווק לפי 2,000 יח"ד לשנה, החל ממועד החתימה ועד המועד העדכני של הנתונים כאמור.</w:t>
      </w:r>
    </w:p>
  </w:footnote>
  <w:footnote w:id="19">
    <w:p w14:paraId="711C07FD" w14:textId="77777777" w:rsidR="00BC7416" w:rsidRPr="005833CD" w:rsidRDefault="00BC7416" w:rsidP="005833CD">
      <w:pPr>
        <w:pStyle w:val="71a"/>
      </w:pPr>
      <w:r w:rsidRPr="005833CD">
        <w:rPr>
          <w:rStyle w:val="a9"/>
          <w:vertAlign w:val="baseline"/>
        </w:rPr>
        <w:footnoteRef/>
      </w:r>
      <w:r w:rsidRPr="005833CD">
        <w:rPr>
          <w:rFonts w:hint="cs"/>
          <w:rtl/>
        </w:rPr>
        <w:t xml:space="preserve"> </w:t>
      </w:r>
      <w:r w:rsidRPr="005833CD">
        <w:rPr>
          <w:rFonts w:hint="cs"/>
          <w:rtl/>
        </w:rPr>
        <w:tab/>
        <w:t xml:space="preserve">לפי הנתונים העדכניים ליוני 2020. </w:t>
      </w:r>
    </w:p>
  </w:footnote>
  <w:footnote w:id="20">
    <w:p w14:paraId="5B6B775C" w14:textId="77777777" w:rsidR="00BC7416" w:rsidRPr="00474106" w:rsidRDefault="00BC7416" w:rsidP="00474106">
      <w:pPr>
        <w:pStyle w:val="71a"/>
        <w:rPr>
          <w:rtl/>
        </w:rPr>
      </w:pPr>
      <w:r w:rsidRPr="00474106">
        <w:rPr>
          <w:rStyle w:val="a9"/>
          <w:vertAlign w:val="baseline"/>
        </w:rPr>
        <w:footnoteRef/>
      </w:r>
      <w:r w:rsidRPr="00474106">
        <w:rPr>
          <w:rFonts w:hint="cs"/>
          <w:rtl/>
        </w:rPr>
        <w:t xml:space="preserve"> </w:t>
      </w:r>
      <w:r w:rsidRPr="00474106">
        <w:rPr>
          <w:rFonts w:hint="cs"/>
          <w:rtl/>
        </w:rPr>
        <w:tab/>
        <w:t>החלטת ממשלה 1535 (3.4.14), והחלטת ממשלה 4846 (30.1.20).</w:t>
      </w:r>
    </w:p>
  </w:footnote>
  <w:footnote w:id="21">
    <w:p w14:paraId="44CEE767" w14:textId="77777777" w:rsidR="00BC7416" w:rsidRPr="00474106" w:rsidRDefault="00BC7416" w:rsidP="00474106">
      <w:pPr>
        <w:pStyle w:val="71a"/>
        <w:rPr>
          <w:rtl/>
        </w:rPr>
      </w:pPr>
      <w:r w:rsidRPr="00474106">
        <w:rPr>
          <w:rStyle w:val="a9"/>
          <w:vertAlign w:val="baseline"/>
        </w:rPr>
        <w:footnoteRef/>
      </w:r>
      <w:r w:rsidRPr="00474106">
        <w:rPr>
          <w:rFonts w:hint="cs"/>
          <w:rtl/>
        </w:rPr>
        <w:t xml:space="preserve"> </w:t>
      </w:r>
      <w:r w:rsidRPr="00474106">
        <w:rPr>
          <w:rFonts w:hint="cs"/>
          <w:rtl/>
        </w:rPr>
        <w:tab/>
        <w:t xml:space="preserve">מטעמי קיצור, להלן בדוח זה "יהוד-מונוסון" תיקרא "יהוד" ו"מודיעין מכבים רעות" תיקרא "מודיעין". </w:t>
      </w:r>
    </w:p>
  </w:footnote>
  <w:footnote w:id="22">
    <w:p w14:paraId="5090323C" w14:textId="77777777" w:rsidR="00BC7416" w:rsidRPr="00474106" w:rsidRDefault="00BC7416" w:rsidP="00474106">
      <w:pPr>
        <w:pStyle w:val="71a"/>
        <w:rPr>
          <w:rtl/>
        </w:rPr>
      </w:pPr>
      <w:r w:rsidRPr="00474106">
        <w:rPr>
          <w:rStyle w:val="a9"/>
          <w:vertAlign w:val="baseline"/>
        </w:rPr>
        <w:footnoteRef/>
      </w:r>
      <w:r w:rsidRPr="00474106">
        <w:rPr>
          <w:rFonts w:hint="cs"/>
          <w:rtl/>
        </w:rPr>
        <w:t xml:space="preserve"> </w:t>
      </w:r>
      <w:r w:rsidRPr="00474106">
        <w:rPr>
          <w:rFonts w:hint="cs"/>
          <w:rtl/>
        </w:rPr>
        <w:tab/>
        <w:t xml:space="preserve">משרד הפנים, </w:t>
      </w:r>
      <w:r w:rsidRPr="00474106">
        <w:rPr>
          <w:rFonts w:hint="cs"/>
          <w:b/>
          <w:bCs/>
          <w:rtl/>
        </w:rPr>
        <w:t>הסכמי גג ברשויות מקומיות כהזדמנות לצמיחה</w:t>
      </w:r>
      <w:r w:rsidRPr="00474106">
        <w:rPr>
          <w:rFonts w:hint="cs"/>
          <w:rtl/>
        </w:rPr>
        <w:t xml:space="preserve"> (2018), עמ' 19.</w:t>
      </w:r>
    </w:p>
  </w:footnote>
  <w:footnote w:id="23">
    <w:p w14:paraId="1493FD08" w14:textId="77777777" w:rsidR="00BC7416" w:rsidRPr="004735CD" w:rsidRDefault="00BC7416" w:rsidP="004735CD">
      <w:pPr>
        <w:pStyle w:val="71a"/>
        <w:rPr>
          <w:rtl/>
        </w:rPr>
      </w:pPr>
      <w:r w:rsidRPr="004735CD">
        <w:rPr>
          <w:rStyle w:val="a9"/>
          <w:vertAlign w:val="baseline"/>
        </w:rPr>
        <w:footnoteRef/>
      </w:r>
      <w:r w:rsidRPr="004735CD">
        <w:rPr>
          <w:rFonts w:hint="cs"/>
          <w:rtl/>
        </w:rPr>
        <w:t xml:space="preserve"> </w:t>
      </w:r>
      <w:r w:rsidRPr="004735CD">
        <w:rPr>
          <w:rFonts w:hint="cs"/>
          <w:rtl/>
        </w:rPr>
        <w:tab/>
        <w:t>ככלל, במסגרת שיווק הקרקע ליזמים, התשלום שהמדינה מקבלת מהיזם בעד הקרקע כולל רכיב לכיסוי עלויות הפיתוח ורכיב עבור שווי הקרקע.</w:t>
      </w:r>
    </w:p>
  </w:footnote>
  <w:footnote w:id="24">
    <w:p w14:paraId="0C5ECD96" w14:textId="77777777" w:rsidR="00BC7416" w:rsidRPr="004735CD" w:rsidRDefault="00BC7416" w:rsidP="004735CD">
      <w:pPr>
        <w:pStyle w:val="71a"/>
        <w:rPr>
          <w:rtl/>
        </w:rPr>
      </w:pPr>
      <w:r w:rsidRPr="004735CD">
        <w:rPr>
          <w:rStyle w:val="a9"/>
          <w:vertAlign w:val="baseline"/>
        </w:rPr>
        <w:footnoteRef/>
      </w:r>
      <w:r w:rsidRPr="004735CD">
        <w:rPr>
          <w:rFonts w:hint="cs"/>
          <w:rtl/>
        </w:rPr>
        <w:t xml:space="preserve"> </w:t>
      </w:r>
      <w:r w:rsidRPr="004735CD">
        <w:rPr>
          <w:rFonts w:hint="cs"/>
          <w:rtl/>
        </w:rPr>
        <w:tab/>
        <w:t>סעיפים 3.3 ו-3.4 לקובץ ההחלטות של מועצת מקרקעי ישראל.</w:t>
      </w:r>
    </w:p>
  </w:footnote>
  <w:footnote w:id="25">
    <w:p w14:paraId="2C01B761" w14:textId="77777777" w:rsidR="00BC7416" w:rsidRPr="004735CD" w:rsidRDefault="00BC7416" w:rsidP="004735CD">
      <w:pPr>
        <w:pStyle w:val="71a"/>
      </w:pPr>
      <w:r w:rsidRPr="004735CD">
        <w:rPr>
          <w:rStyle w:val="a9"/>
          <w:vertAlign w:val="baseline"/>
        </w:rPr>
        <w:footnoteRef/>
      </w:r>
      <w:r w:rsidRPr="004735CD">
        <w:rPr>
          <w:rFonts w:hint="cs"/>
          <w:rtl/>
        </w:rPr>
        <w:t xml:space="preserve"> </w:t>
      </w:r>
      <w:r w:rsidRPr="004735CD">
        <w:rPr>
          <w:rFonts w:hint="cs"/>
          <w:rtl/>
        </w:rPr>
        <w:tab/>
        <w:t>בשנת 2016 גיבש אגף תקציבים במשרד האוצר תוכנית חמש-שנתית להקמת תשתיות התחבורה הדרושות להקמת מתחמי דיור חדשים, ולמימושה הקצה משרד האוצר תקציב של 5 מיליארד ש"ח, וזאת בהתאם לסיכום תקציבי לשנים 2017 ו-2018 בינו למשרד התחבורה. ההסדר התקציבי שקדם לו היה "נתיב לדירה" משנת 2014, שבמסגרתו הוקצה תקציב של כ-4 מיליארד ש"ח מתקציב רמ"י, משרד הבינוי ומשרד התחבורה לצורך הקמת תשתיות תחבורה בשנים 2014 - 2020, בכלל זה תשתיות תחבורה הכלולות בהסכמי הגג שנחתמו ביבנה, באשקלון ובהרצלייה.</w:t>
      </w:r>
    </w:p>
  </w:footnote>
  <w:footnote w:id="26">
    <w:p w14:paraId="58E4CD71" w14:textId="77777777" w:rsidR="00BC7416" w:rsidRPr="004735CD" w:rsidRDefault="00BC7416" w:rsidP="004735CD">
      <w:pPr>
        <w:pStyle w:val="71a"/>
        <w:rPr>
          <w:rtl/>
        </w:rPr>
      </w:pPr>
      <w:r w:rsidRPr="004735CD">
        <w:rPr>
          <w:rStyle w:val="a9"/>
          <w:vertAlign w:val="baseline"/>
        </w:rPr>
        <w:footnoteRef/>
      </w:r>
      <w:r w:rsidRPr="004735CD">
        <w:rPr>
          <w:rFonts w:hint="cs"/>
          <w:rtl/>
        </w:rPr>
        <w:t xml:space="preserve"> </w:t>
      </w:r>
      <w:r w:rsidRPr="004735CD">
        <w:rPr>
          <w:rFonts w:hint="cs"/>
          <w:rtl/>
        </w:rPr>
        <w:tab/>
        <w:t xml:space="preserve">החלטת הממשלה 125 (25.6.15). </w:t>
      </w:r>
    </w:p>
  </w:footnote>
  <w:footnote w:id="27">
    <w:p w14:paraId="5CAA53A5" w14:textId="77777777" w:rsidR="00BC7416" w:rsidRPr="004735CD" w:rsidRDefault="00BC7416" w:rsidP="004735CD">
      <w:pPr>
        <w:pStyle w:val="71a"/>
      </w:pPr>
      <w:r w:rsidRPr="004735CD">
        <w:rPr>
          <w:rStyle w:val="a9"/>
          <w:vertAlign w:val="baseline"/>
        </w:rPr>
        <w:footnoteRef/>
      </w:r>
      <w:r w:rsidRPr="004735CD">
        <w:rPr>
          <w:rFonts w:hint="cs"/>
          <w:rtl/>
        </w:rPr>
        <w:t xml:space="preserve"> </w:t>
      </w:r>
      <w:r w:rsidRPr="004735CD">
        <w:rPr>
          <w:rFonts w:hint="cs"/>
          <w:rtl/>
        </w:rPr>
        <w:tab/>
        <w:t>מטה הדיור הלאומי הוקם במסגרת החלטת הממשלה 16 (19.5.15) כגוף במשרד האוצר, כדי להבטיח את "יישום מדיניות הממשלה בתחום הדיור". בהחלטת הממשלה 35 (31.5.20) נקבע כי תחומי הפעילות של מטה הדיור שהוקם במשרד האוצר יועברו למשרד הבינוי (למעט כמה נושאים שבסמכות שר הפנים).</w:t>
      </w:r>
    </w:p>
  </w:footnote>
  <w:footnote w:id="28">
    <w:p w14:paraId="0D57DADA" w14:textId="77777777" w:rsidR="00BC7416" w:rsidRPr="004735CD" w:rsidRDefault="00BC7416" w:rsidP="004735CD">
      <w:pPr>
        <w:pStyle w:val="71a"/>
      </w:pPr>
      <w:r w:rsidRPr="004735CD">
        <w:rPr>
          <w:rStyle w:val="a9"/>
          <w:vertAlign w:val="baseline"/>
        </w:rPr>
        <w:footnoteRef/>
      </w:r>
      <w:r w:rsidRPr="004735CD">
        <w:rPr>
          <w:rFonts w:hint="cs"/>
          <w:rtl/>
        </w:rPr>
        <w:t xml:space="preserve"> </w:t>
      </w:r>
      <w:r w:rsidRPr="004735CD">
        <w:rPr>
          <w:rFonts w:hint="cs"/>
          <w:rtl/>
        </w:rPr>
        <w:tab/>
        <w:t>מנהל רמ"י או מי מטעמו, מנכ"ל משרד הבינוי או מי מטעמו, מנהלת מינהל התכנון או מי מטעמה (בהחלטת הממשלה 125 [25.6.15] הוחלט על העברת מינהל התכנון למשרד האוצר), נציג אגף תקציבים ונציג החשכ"ל במשרד האוצר.</w:t>
      </w:r>
    </w:p>
  </w:footnote>
  <w:footnote w:id="29">
    <w:p w14:paraId="7E73A4F9" w14:textId="77777777" w:rsidR="00BC7416" w:rsidRPr="004735CD" w:rsidRDefault="00BC7416" w:rsidP="004735CD">
      <w:pPr>
        <w:pStyle w:val="71a"/>
        <w:rPr>
          <w:rtl/>
        </w:rPr>
      </w:pPr>
      <w:r w:rsidRPr="004735CD">
        <w:rPr>
          <w:rStyle w:val="a9"/>
          <w:vertAlign w:val="baseline"/>
        </w:rPr>
        <w:footnoteRef/>
      </w:r>
      <w:r w:rsidRPr="004735CD">
        <w:rPr>
          <w:rFonts w:hint="cs"/>
          <w:rtl/>
        </w:rPr>
        <w:t xml:space="preserve"> </w:t>
      </w:r>
      <w:r w:rsidRPr="004735CD">
        <w:rPr>
          <w:rFonts w:hint="cs"/>
          <w:rtl/>
        </w:rPr>
        <w:tab/>
        <w:t xml:space="preserve">עלות הפיתוח הצפויה אינה כוללת עלויות שמממנים משרדי ממשלה אחרים, כמו המימון שמקצה משרד החינוך לבניית כיתות לימוד. </w:t>
      </w:r>
    </w:p>
  </w:footnote>
  <w:footnote w:id="30">
    <w:p w14:paraId="358CE51C" w14:textId="77777777" w:rsidR="00BC7416" w:rsidRPr="004735CD" w:rsidRDefault="00BC7416" w:rsidP="004735CD">
      <w:pPr>
        <w:pStyle w:val="71a"/>
        <w:rPr>
          <w:rtl/>
        </w:rPr>
      </w:pPr>
      <w:r w:rsidRPr="004735CD">
        <w:rPr>
          <w:rStyle w:val="a9"/>
          <w:vertAlign w:val="baseline"/>
        </w:rPr>
        <w:footnoteRef/>
      </w:r>
      <w:r w:rsidRPr="004735CD">
        <w:rPr>
          <w:rFonts w:hint="cs"/>
          <w:rtl/>
        </w:rPr>
        <w:t xml:space="preserve"> </w:t>
      </w:r>
      <w:r w:rsidRPr="004735CD">
        <w:rPr>
          <w:rFonts w:hint="cs"/>
          <w:rtl/>
        </w:rPr>
        <w:tab/>
        <w:t>לא כולל עלות התשתיות במסגרת הסכם הגג עם קריית אתא שנחתם בפברואר 2020, שכן לא התקבלו נתונים לגביו.</w:t>
      </w:r>
    </w:p>
  </w:footnote>
  <w:footnote w:id="31">
    <w:p w14:paraId="793E385D" w14:textId="1DA84D14" w:rsidR="00BC7416" w:rsidRPr="004735CD" w:rsidRDefault="00BC7416" w:rsidP="004735CD">
      <w:pPr>
        <w:pStyle w:val="71a"/>
      </w:pPr>
      <w:r w:rsidRPr="004735CD">
        <w:rPr>
          <w:rStyle w:val="a9"/>
          <w:vertAlign w:val="baseline"/>
        </w:rPr>
        <w:footnoteRef/>
      </w:r>
      <w:r w:rsidRPr="004735CD">
        <w:rPr>
          <w:rFonts w:hint="cs"/>
          <w:rtl/>
        </w:rPr>
        <w:t xml:space="preserve"> </w:t>
      </w:r>
      <w:r w:rsidRPr="004735CD">
        <w:rPr>
          <w:rFonts w:hint="cs"/>
          <w:rtl/>
        </w:rPr>
        <w:tab/>
        <w:t>פרט להסכם עם קריית אתא שנחתם בפברואר 2020, שכן לא התקבלו נתונים</w:t>
      </w:r>
      <w:r>
        <w:rPr>
          <w:rFonts w:hint="cs"/>
          <w:rtl/>
        </w:rPr>
        <w:t xml:space="preserve"> מלאים</w:t>
      </w:r>
      <w:r w:rsidRPr="004735CD">
        <w:rPr>
          <w:rFonts w:hint="cs"/>
          <w:rtl/>
        </w:rPr>
        <w:t xml:space="preserve"> לגביו. </w:t>
      </w:r>
    </w:p>
  </w:footnote>
  <w:footnote w:id="32">
    <w:p w14:paraId="703BBD86" w14:textId="77777777" w:rsidR="00BC7416" w:rsidRPr="00571F53" w:rsidRDefault="00BC7416" w:rsidP="00571F53">
      <w:pPr>
        <w:pStyle w:val="71a"/>
        <w:rPr>
          <w:rtl/>
        </w:rPr>
      </w:pPr>
      <w:r w:rsidRPr="00571F53">
        <w:rPr>
          <w:rStyle w:val="a9"/>
          <w:vertAlign w:val="baseline"/>
        </w:rPr>
        <w:footnoteRef/>
      </w:r>
      <w:r w:rsidRPr="00571F53">
        <w:rPr>
          <w:rFonts w:hint="cs"/>
          <w:rtl/>
        </w:rPr>
        <w:t xml:space="preserve"> </w:t>
      </w:r>
      <w:r w:rsidRPr="00571F53">
        <w:rPr>
          <w:rFonts w:hint="cs"/>
          <w:rtl/>
        </w:rPr>
        <w:tab/>
        <w:t>לעניין ייחוס עלויות הפיתוח ליח"ד, מספר יחה"ד כולל נתון "שווה ערך" של שטחי מסחר, מלונאות, דיור מוגן ותעסוקה הכלולים בהסכם. מאחר שחלק מעלויות הפיתוח משמשות לבניית תשתיות המשרתות גם את אותם שטחים, הם מומרים ל"יח"ד" לצורך חישוב עלות הפיתוח הרלוונטית לקרקעות אלה מתוך סך עלויות הפיתוח.</w:t>
      </w:r>
    </w:p>
  </w:footnote>
  <w:footnote w:id="33">
    <w:p w14:paraId="3EE2A921" w14:textId="77777777" w:rsidR="00BC7416" w:rsidRPr="00571F53" w:rsidRDefault="00BC7416" w:rsidP="00571F53">
      <w:pPr>
        <w:pStyle w:val="71a"/>
        <w:rPr>
          <w:rtl/>
        </w:rPr>
      </w:pPr>
      <w:r w:rsidRPr="00571F53">
        <w:rPr>
          <w:rStyle w:val="a9"/>
          <w:vertAlign w:val="baseline"/>
        </w:rPr>
        <w:footnoteRef/>
      </w:r>
      <w:r w:rsidRPr="00571F53">
        <w:rPr>
          <w:rFonts w:hint="cs"/>
          <w:rtl/>
        </w:rPr>
        <w:t xml:space="preserve"> </w:t>
      </w:r>
      <w:r w:rsidRPr="00571F53">
        <w:rPr>
          <w:rFonts w:hint="cs"/>
          <w:rtl/>
        </w:rPr>
        <w:tab/>
        <w:t>כולל "שווה ערך" ליח"ד ולפני אישור הקלות (הגדלת מספר יח"ד מעבר לקבוע בתוכנית) בוועדות התכנון, לפי חוק התכנון והבנייה, התשכ"ה-1965.</w:t>
      </w:r>
    </w:p>
  </w:footnote>
  <w:footnote w:id="34">
    <w:p w14:paraId="187F1CC0" w14:textId="77777777" w:rsidR="00BC7416" w:rsidRPr="00571F53" w:rsidRDefault="00BC7416" w:rsidP="00571F53">
      <w:pPr>
        <w:pStyle w:val="71a"/>
      </w:pPr>
      <w:r w:rsidRPr="00571F53">
        <w:rPr>
          <w:rStyle w:val="a9"/>
          <w:vertAlign w:val="baseline"/>
        </w:rPr>
        <w:footnoteRef/>
      </w:r>
      <w:r w:rsidRPr="00571F53">
        <w:rPr>
          <w:rFonts w:hint="cs"/>
          <w:rtl/>
        </w:rPr>
        <w:t xml:space="preserve"> </w:t>
      </w:r>
      <w:r w:rsidRPr="00571F53">
        <w:rPr>
          <w:rFonts w:hint="cs"/>
          <w:rtl/>
        </w:rPr>
        <w:tab/>
        <w:t>למעט הסכם-הגג עם קריית אתא שנחתם בפברואר 2020.</w:t>
      </w:r>
    </w:p>
  </w:footnote>
  <w:footnote w:id="35">
    <w:p w14:paraId="5F7EA958" w14:textId="77777777" w:rsidR="00BC7416" w:rsidRPr="00571F53" w:rsidRDefault="00BC7416" w:rsidP="00571F53">
      <w:pPr>
        <w:pStyle w:val="71a"/>
        <w:rPr>
          <w:rtl/>
        </w:rPr>
      </w:pPr>
      <w:r w:rsidRPr="00571F53">
        <w:rPr>
          <w:rStyle w:val="a9"/>
          <w:vertAlign w:val="baseline"/>
        </w:rPr>
        <w:footnoteRef/>
      </w:r>
      <w:r w:rsidRPr="00571F53">
        <w:rPr>
          <w:rFonts w:hint="cs"/>
          <w:rtl/>
        </w:rPr>
        <w:t xml:space="preserve"> </w:t>
      </w:r>
      <w:r w:rsidRPr="00571F53">
        <w:rPr>
          <w:rFonts w:hint="cs"/>
          <w:rtl/>
        </w:rPr>
        <w:tab/>
        <w:t>לפי משרד הבינוי, לגבי בית שמש עלות תשתיות-העל אינה מופרדת מעלויות הפיתוח, ולכן בנתון לגבי בית שמש אין הפרדה בין עלות התשתיות הצמודות לעלויות תשתיות-העל.</w:t>
      </w:r>
    </w:p>
  </w:footnote>
  <w:footnote w:id="36">
    <w:p w14:paraId="67F61AB4" w14:textId="77777777" w:rsidR="00BC7416" w:rsidRPr="005F3532" w:rsidRDefault="00BC7416" w:rsidP="005F3532">
      <w:pPr>
        <w:pStyle w:val="71a"/>
      </w:pPr>
      <w:r w:rsidRPr="005F3532">
        <w:rPr>
          <w:rStyle w:val="a9"/>
          <w:vertAlign w:val="baseline"/>
        </w:rPr>
        <w:footnoteRef/>
      </w:r>
      <w:r w:rsidRPr="005F3532">
        <w:rPr>
          <w:rFonts w:hint="cs"/>
          <w:rtl/>
        </w:rPr>
        <w:t xml:space="preserve"> </w:t>
      </w:r>
      <w:r w:rsidRPr="005F3532">
        <w:rPr>
          <w:rFonts w:hint="cs"/>
          <w:rtl/>
        </w:rPr>
        <w:tab/>
        <w:t xml:space="preserve">החלוקה היא לפי השתייכות היישובים למחוזות משרד הפנים. </w:t>
      </w:r>
    </w:p>
  </w:footnote>
  <w:footnote w:id="37">
    <w:p w14:paraId="676B5E7A" w14:textId="77777777" w:rsidR="00BC7416" w:rsidRPr="00FE7C73" w:rsidRDefault="00BC7416" w:rsidP="00FE7C73">
      <w:pPr>
        <w:pStyle w:val="71a"/>
        <w:rPr>
          <w:rtl/>
        </w:rPr>
      </w:pPr>
      <w:r w:rsidRPr="00FE7C73">
        <w:rPr>
          <w:rStyle w:val="a9"/>
          <w:vertAlign w:val="baseline"/>
        </w:rPr>
        <w:footnoteRef/>
      </w:r>
      <w:r w:rsidRPr="00FE7C73">
        <w:rPr>
          <w:rFonts w:hint="cs"/>
          <w:rtl/>
        </w:rPr>
        <w:t xml:space="preserve"> </w:t>
      </w:r>
      <w:r w:rsidRPr="00FE7C73">
        <w:rPr>
          <w:rFonts w:hint="cs"/>
          <w:rtl/>
        </w:rPr>
        <w:tab/>
        <w:t>המדד החברתי-כלכלי שמפרסמת הלמ"ס מדרג את היישובים השונים בהתאם לרמה החברתית-כלכלית של אוכלוסייתם. בין הנתונים שלפיהם נמדדת רמת החיים:</w:t>
      </w:r>
      <w:r w:rsidRPr="00FE7C73">
        <w:rPr>
          <w:rFonts w:hint="cs"/>
        </w:rPr>
        <w:t xml:space="preserve"> </w:t>
      </w:r>
      <w:r w:rsidRPr="00FE7C73">
        <w:rPr>
          <w:rFonts w:hint="cs"/>
          <w:rtl/>
        </w:rPr>
        <w:t xml:space="preserve">ההכנסות של משקי הבית ממגוון מקורות, ההוצאות של משקי הבית על מוצרים ושירותים, הבעלות של משקי הבית על מוצרים בני-קיימה וכן נתונים על דיור. </w:t>
      </w:r>
    </w:p>
  </w:footnote>
  <w:footnote w:id="38">
    <w:p w14:paraId="1D146E86" w14:textId="77777777" w:rsidR="00BC7416" w:rsidRPr="00FE7C73" w:rsidRDefault="00BC7416" w:rsidP="00FE7C73">
      <w:pPr>
        <w:pStyle w:val="71a"/>
      </w:pPr>
      <w:r w:rsidRPr="00FE7C73">
        <w:rPr>
          <w:rStyle w:val="a9"/>
          <w:vertAlign w:val="baseline"/>
        </w:rPr>
        <w:footnoteRef/>
      </w:r>
      <w:r w:rsidRPr="00FE7C73">
        <w:rPr>
          <w:rFonts w:hint="cs"/>
          <w:rtl/>
        </w:rPr>
        <w:t xml:space="preserve"> </w:t>
      </w:r>
      <w:r w:rsidRPr="00FE7C73">
        <w:rPr>
          <w:rFonts w:hint="cs"/>
          <w:rtl/>
        </w:rPr>
        <w:tab/>
        <w:t>המדד החברתי-כלכלי של כל רשות החתומה על הסכם גג נקבע על פי פרסום הלמ"ס בשנים 2015 או 2017 (הקרוב יותר לשנת החתימה).</w:t>
      </w:r>
    </w:p>
  </w:footnote>
  <w:footnote w:id="39">
    <w:p w14:paraId="31F72617" w14:textId="77777777" w:rsidR="00BC7416" w:rsidRPr="00CA3385" w:rsidRDefault="00BC7416" w:rsidP="00CA3385">
      <w:pPr>
        <w:pStyle w:val="71a"/>
      </w:pPr>
      <w:r w:rsidRPr="00CA3385">
        <w:rPr>
          <w:rStyle w:val="a9"/>
          <w:vertAlign w:val="baseline"/>
        </w:rPr>
        <w:footnoteRef/>
      </w:r>
      <w:r w:rsidRPr="00CA3385">
        <w:rPr>
          <w:rFonts w:hint="cs"/>
          <w:rtl/>
        </w:rPr>
        <w:t xml:space="preserve"> </w:t>
      </w:r>
      <w:r w:rsidRPr="00CA3385">
        <w:rPr>
          <w:rFonts w:hint="cs"/>
          <w:rtl/>
        </w:rPr>
        <w:tab/>
        <w:t>באר יעקב, הרצלייה, יבנה, נתניה, נתיבות, קריית ביאליק, ראש העין ורמלה.</w:t>
      </w:r>
    </w:p>
  </w:footnote>
  <w:footnote w:id="40">
    <w:p w14:paraId="717D0A75" w14:textId="77777777" w:rsidR="00BC7416" w:rsidRPr="00CA3385" w:rsidRDefault="00BC7416" w:rsidP="00CA3385">
      <w:pPr>
        <w:pStyle w:val="71a"/>
        <w:rPr>
          <w:rtl/>
        </w:rPr>
      </w:pPr>
      <w:r w:rsidRPr="00CA3385">
        <w:rPr>
          <w:rStyle w:val="a9"/>
          <w:vertAlign w:val="baseline"/>
        </w:rPr>
        <w:footnoteRef/>
      </w:r>
      <w:r w:rsidRPr="00CA3385">
        <w:rPr>
          <w:rFonts w:hint="cs"/>
          <w:rtl/>
        </w:rPr>
        <w:t xml:space="preserve"> </w:t>
      </w:r>
      <w:r w:rsidRPr="00CA3385">
        <w:rPr>
          <w:rFonts w:hint="cs"/>
          <w:rtl/>
        </w:rPr>
        <w:tab/>
        <w:t>מתוך המועצה הלאומית לכלכלה, "התוכנית האסטרטגית לדיור לשנים 2017 - 2040" (מאי 2017), עמ' 7. ראו גם החלטת ממשלה 5208 (4.11.12) והחלטת ממשלה 149 (25.6.15).</w:t>
      </w:r>
    </w:p>
  </w:footnote>
  <w:footnote w:id="41">
    <w:p w14:paraId="65071CFE" w14:textId="77777777" w:rsidR="00BC7416" w:rsidRPr="00CA3385" w:rsidRDefault="00BC7416" w:rsidP="00CA3385">
      <w:pPr>
        <w:pStyle w:val="71a"/>
        <w:rPr>
          <w:rtl/>
        </w:rPr>
      </w:pPr>
      <w:r w:rsidRPr="00CA3385">
        <w:rPr>
          <w:rStyle w:val="a9"/>
          <w:vertAlign w:val="baseline"/>
        </w:rPr>
        <w:footnoteRef/>
      </w:r>
      <w:r w:rsidRPr="00CA3385">
        <w:rPr>
          <w:rFonts w:hint="cs"/>
          <w:rtl/>
        </w:rPr>
        <w:t xml:space="preserve"> </w:t>
      </w:r>
      <w:r w:rsidRPr="00CA3385">
        <w:rPr>
          <w:rFonts w:hint="cs"/>
          <w:rtl/>
        </w:rPr>
        <w:tab/>
        <w:t>החלטת הממשלה 2457 (2.3.17).</w:t>
      </w:r>
    </w:p>
  </w:footnote>
  <w:footnote w:id="42">
    <w:p w14:paraId="5CF02B17" w14:textId="77777777" w:rsidR="00BC7416" w:rsidRPr="00CA3385" w:rsidRDefault="00BC7416" w:rsidP="00CA3385">
      <w:pPr>
        <w:pStyle w:val="71a"/>
      </w:pPr>
      <w:r w:rsidRPr="00CA3385">
        <w:rPr>
          <w:rStyle w:val="a9"/>
          <w:vertAlign w:val="baseline"/>
        </w:rPr>
        <w:footnoteRef/>
      </w:r>
      <w:r w:rsidRPr="00CA3385">
        <w:rPr>
          <w:rFonts w:hint="cs"/>
          <w:rtl/>
        </w:rPr>
        <w:t xml:space="preserve"> </w:t>
      </w:r>
      <w:r w:rsidRPr="00CA3385">
        <w:rPr>
          <w:rFonts w:hint="cs"/>
          <w:rtl/>
        </w:rPr>
        <w:tab/>
        <w:t>יעדים אלו נקבעו בהתאם לצורכי הדיור העתידיים החזויים, לפחת במערכת התכנון ולמשך שרשרת הייצור, ובהתחשב במחסור הנוכחי ובצורך במלאי תכנוני-אסטרטגי.</w:t>
      </w:r>
    </w:p>
  </w:footnote>
  <w:footnote w:id="43">
    <w:p w14:paraId="04B20400" w14:textId="77777777" w:rsidR="00BC7416" w:rsidRPr="00CA3385" w:rsidRDefault="00BC7416" w:rsidP="00CA3385">
      <w:pPr>
        <w:pStyle w:val="71a"/>
        <w:rPr>
          <w:rtl/>
        </w:rPr>
      </w:pPr>
      <w:r w:rsidRPr="00CA3385">
        <w:rPr>
          <w:rStyle w:val="a9"/>
          <w:vertAlign w:val="baseline"/>
        </w:rPr>
        <w:footnoteRef/>
      </w:r>
      <w:r w:rsidRPr="00CA3385">
        <w:rPr>
          <w:rFonts w:hint="cs"/>
          <w:rtl/>
        </w:rPr>
        <w:t xml:space="preserve"> </w:t>
      </w:r>
      <w:r w:rsidRPr="00CA3385">
        <w:rPr>
          <w:rFonts w:hint="cs"/>
          <w:rtl/>
        </w:rPr>
        <w:tab/>
        <w:t xml:space="preserve">לפי הלמ"ס בישראל יש ארבע </w:t>
      </w:r>
      <w:hyperlink r:id="rId1" w:history="1">
        <w:r w:rsidRPr="00CA3385">
          <w:rPr>
            <w:rStyle w:val="Hyperlink"/>
            <w:rFonts w:hint="cs"/>
            <w:color w:val="0D0D0D" w:themeColor="text1" w:themeTint="F2"/>
            <w:u w:val="none"/>
            <w:rtl/>
          </w:rPr>
          <w:t>מטרופולינים</w:t>
        </w:r>
      </w:hyperlink>
      <w:r w:rsidRPr="00CA3385">
        <w:rPr>
          <w:rFonts w:hint="cs"/>
          <w:rtl/>
        </w:rPr>
        <w:t>: תל אביב, ירושלים, חיפה ובאר שבע. לפי הלמ"ס, המטרופולין היא אזור עירוני הכולל כמה ערים ויישובים והיא בגדר ישות עירונית אחת מהבחינה התפקודית. מטרופולין היא ישות לתכנון עירוני ולקידום הפיתוח הכלכלי המקומי. בין היישובים במטרופולין מתקיימים קשרי גומלין רבים. כל מטרופולין יכולה לכלול כמה נפות - ראו להלן.</w:t>
      </w:r>
    </w:p>
  </w:footnote>
  <w:footnote w:id="44">
    <w:p w14:paraId="3C502408" w14:textId="77777777" w:rsidR="00BC7416" w:rsidRPr="00CA3385" w:rsidRDefault="00BC7416" w:rsidP="00CA3385">
      <w:pPr>
        <w:pStyle w:val="71a"/>
      </w:pPr>
      <w:r w:rsidRPr="00CA3385">
        <w:rPr>
          <w:rStyle w:val="a9"/>
          <w:vertAlign w:val="baseline"/>
        </w:rPr>
        <w:footnoteRef/>
      </w:r>
      <w:r w:rsidRPr="00CA3385">
        <w:rPr>
          <w:rFonts w:hint="cs"/>
          <w:rtl/>
        </w:rPr>
        <w:t xml:space="preserve"> </w:t>
      </w:r>
      <w:r w:rsidRPr="00CA3385">
        <w:rPr>
          <w:rFonts w:hint="cs"/>
          <w:rtl/>
        </w:rPr>
        <w:tab/>
        <w:t xml:space="preserve">לפי החלטת ממשלה, המדינה מחולקת בחלוקה מינהלית לשישה </w:t>
      </w:r>
      <w:hyperlink r:id="rId2" w:history="1">
        <w:r w:rsidRPr="00CA3385">
          <w:rPr>
            <w:rStyle w:val="Hyperlink"/>
            <w:rFonts w:hint="cs"/>
            <w:color w:val="0D0D0D" w:themeColor="text1" w:themeTint="F2"/>
            <w:u w:val="none"/>
            <w:rtl/>
          </w:rPr>
          <w:t>מחוזות</w:t>
        </w:r>
      </w:hyperlink>
      <w:r w:rsidRPr="00CA3385">
        <w:rPr>
          <w:rFonts w:hint="cs"/>
          <w:rtl/>
        </w:rPr>
        <w:t>: מחוז ירושלים, מחוז הצפון, מחוז חיפה, מחוז המרכז, מחוז תל אביב ומחוז הדרום. ששת המחוזות מחולקים ל-15 נפות.</w:t>
      </w:r>
    </w:p>
  </w:footnote>
  <w:footnote w:id="45">
    <w:p w14:paraId="69830AF0" w14:textId="77777777" w:rsidR="00BC7416" w:rsidRDefault="00BC7416" w:rsidP="00ED4B74">
      <w:pPr>
        <w:pStyle w:val="71a"/>
      </w:pPr>
      <w:r w:rsidRPr="00ED4B74">
        <w:footnoteRef/>
      </w:r>
      <w:r w:rsidRPr="00ED4B74">
        <w:rPr>
          <w:rFonts w:hint="cs"/>
          <w:rtl/>
        </w:rPr>
        <w:t xml:space="preserve"> </w:t>
      </w:r>
      <w:r>
        <w:rPr>
          <w:rFonts w:hint="cs"/>
          <w:rtl/>
        </w:rPr>
        <w:tab/>
        <w:t xml:space="preserve">השיוך המטרופוליני של היישובים מתבסס על נתוני אתר המפות של הלמ"ס, </w:t>
      </w:r>
      <w:r>
        <w:rPr>
          <w:rFonts w:hint="cs"/>
          <w:b/>
          <w:bCs/>
          <w:rtl/>
        </w:rPr>
        <w:t>פרופיל יישובים בישראל לשנת 2017</w:t>
      </w:r>
      <w:r>
        <w:rPr>
          <w:rFonts w:hint="cs"/>
          <w:rtl/>
        </w:rPr>
        <w:t xml:space="preserve">. </w:t>
      </w:r>
    </w:p>
  </w:footnote>
  <w:footnote w:id="46">
    <w:p w14:paraId="634796B1" w14:textId="77777777" w:rsidR="00BC7416" w:rsidRPr="00ED4B74" w:rsidRDefault="00BC7416" w:rsidP="00ED4B74">
      <w:pPr>
        <w:pStyle w:val="71a"/>
        <w:rPr>
          <w:rtl/>
        </w:rPr>
      </w:pPr>
      <w:r w:rsidRPr="00ED4B74">
        <w:rPr>
          <w:rStyle w:val="a9"/>
          <w:vertAlign w:val="baseline"/>
        </w:rPr>
        <w:footnoteRef/>
      </w:r>
      <w:r w:rsidRPr="00ED4B74">
        <w:rPr>
          <w:rFonts w:hint="cs"/>
          <w:rtl/>
        </w:rPr>
        <w:t xml:space="preserve"> </w:t>
      </w:r>
      <w:r w:rsidRPr="00ED4B74">
        <w:rPr>
          <w:rFonts w:hint="cs"/>
          <w:rtl/>
        </w:rPr>
        <w:tab/>
        <w:t xml:space="preserve">השיוך של היישובים לנפות מתבסס על נתוני אתר המפות של הלמ"ס, </w:t>
      </w:r>
      <w:r w:rsidRPr="00ED4B74">
        <w:rPr>
          <w:rFonts w:hint="cs"/>
          <w:b/>
          <w:bCs/>
          <w:rtl/>
        </w:rPr>
        <w:t>פרופיל יישובים בישראל לשנת 2017</w:t>
      </w:r>
      <w:r w:rsidRPr="00ED4B74">
        <w:rPr>
          <w:rFonts w:hint="cs"/>
          <w:rtl/>
        </w:rPr>
        <w:t>.</w:t>
      </w:r>
    </w:p>
  </w:footnote>
  <w:footnote w:id="47">
    <w:p w14:paraId="4C6CE7A8" w14:textId="77777777" w:rsidR="00BC7416" w:rsidRPr="00BC6538" w:rsidRDefault="00BC7416" w:rsidP="00BC6538">
      <w:pPr>
        <w:pStyle w:val="71a"/>
        <w:rPr>
          <w:rtl/>
        </w:rPr>
      </w:pPr>
      <w:r w:rsidRPr="00BC6538">
        <w:rPr>
          <w:rStyle w:val="a9"/>
          <w:vertAlign w:val="baseline"/>
        </w:rPr>
        <w:footnoteRef/>
      </w:r>
      <w:r w:rsidRPr="00BC6538">
        <w:rPr>
          <w:rFonts w:hint="cs"/>
          <w:rtl/>
        </w:rPr>
        <w:t xml:space="preserve"> </w:t>
      </w:r>
      <w:r w:rsidRPr="00BC6538">
        <w:rPr>
          <w:rFonts w:hint="cs"/>
          <w:rtl/>
        </w:rPr>
        <w:tab/>
        <w:t xml:space="preserve">צוות "אסטרטגיה דיור", </w:t>
      </w:r>
      <w:r w:rsidRPr="00BC6538">
        <w:rPr>
          <w:rFonts w:hint="cs"/>
          <w:b/>
          <w:bCs/>
          <w:rtl/>
        </w:rPr>
        <w:t>התוכנית האסטרטגית לדיור</w:t>
      </w:r>
      <w:r w:rsidRPr="00BC6538">
        <w:rPr>
          <w:rFonts w:hint="cs"/>
          <w:rtl/>
        </w:rPr>
        <w:t xml:space="preserve"> (2017), עמ' 23.</w:t>
      </w:r>
    </w:p>
  </w:footnote>
  <w:footnote w:id="48">
    <w:p w14:paraId="08FFEC54" w14:textId="77777777" w:rsidR="00BC7416" w:rsidRPr="00BC6538" w:rsidRDefault="00BC7416" w:rsidP="00BC6538">
      <w:pPr>
        <w:pStyle w:val="71a"/>
        <w:rPr>
          <w:rtl/>
        </w:rPr>
      </w:pPr>
      <w:r w:rsidRPr="00BC6538">
        <w:rPr>
          <w:rStyle w:val="a9"/>
          <w:vertAlign w:val="baseline"/>
        </w:rPr>
        <w:footnoteRef/>
      </w:r>
      <w:r w:rsidRPr="00BC6538">
        <w:rPr>
          <w:rFonts w:hint="cs"/>
          <w:rtl/>
        </w:rPr>
        <w:t xml:space="preserve"> </w:t>
      </w:r>
      <w:r w:rsidRPr="00BC6538">
        <w:rPr>
          <w:rFonts w:hint="cs"/>
          <w:rtl/>
        </w:rPr>
        <w:tab/>
        <w:t>אופקים, אלעד, אשדוד, אשקלון, באר יעקב, יבנה, יהוד, ירושלים, מגדל העמק, נהרייה, נתיבות, נתניה, עפולה, ראשון לציון, רמלה ורמת גן.</w:t>
      </w:r>
    </w:p>
  </w:footnote>
  <w:footnote w:id="49">
    <w:p w14:paraId="5D1A1341" w14:textId="77777777" w:rsidR="00BC7416" w:rsidRPr="00BC6538" w:rsidRDefault="00BC7416" w:rsidP="00BC6538">
      <w:pPr>
        <w:pStyle w:val="71a"/>
        <w:rPr>
          <w:rtl/>
        </w:rPr>
      </w:pPr>
      <w:r w:rsidRPr="00BC6538">
        <w:rPr>
          <w:rStyle w:val="a9"/>
          <w:vertAlign w:val="baseline"/>
        </w:rPr>
        <w:footnoteRef/>
      </w:r>
      <w:r w:rsidRPr="00BC6538">
        <w:rPr>
          <w:rFonts w:hint="cs"/>
          <w:rtl/>
        </w:rPr>
        <w:t xml:space="preserve"> </w:t>
      </w:r>
      <w:r w:rsidRPr="00BC6538">
        <w:rPr>
          <w:rFonts w:hint="cs"/>
          <w:rtl/>
        </w:rPr>
        <w:tab/>
        <w:t>קרקע הנדרשת כתוספת לתוכנית להתחדשות עירונית, כדי שהתוכנית תהיה כדאית מהבחינה הכלכלית.</w:t>
      </w:r>
    </w:p>
  </w:footnote>
  <w:footnote w:id="50">
    <w:p w14:paraId="4C617C0E" w14:textId="77777777" w:rsidR="00BC7416" w:rsidRPr="009E6E3F" w:rsidRDefault="00BC7416" w:rsidP="009E6E3F">
      <w:pPr>
        <w:pStyle w:val="71a"/>
      </w:pPr>
      <w:r w:rsidRPr="009E6E3F">
        <w:rPr>
          <w:rStyle w:val="a9"/>
          <w:vertAlign w:val="baseline"/>
        </w:rPr>
        <w:footnoteRef/>
      </w:r>
      <w:r w:rsidRPr="009E6E3F">
        <w:rPr>
          <w:rFonts w:hint="cs"/>
          <w:rtl/>
        </w:rPr>
        <w:t xml:space="preserve"> </w:t>
      </w:r>
      <w:r w:rsidRPr="009E6E3F">
        <w:rPr>
          <w:rFonts w:hint="cs"/>
          <w:rtl/>
        </w:rPr>
        <w:tab/>
        <w:t>החלטת המועצה 1519 (18.9.17).</w:t>
      </w:r>
    </w:p>
  </w:footnote>
  <w:footnote w:id="51">
    <w:p w14:paraId="52E0FDF3" w14:textId="77777777" w:rsidR="00BC7416" w:rsidRPr="009E6E3F" w:rsidRDefault="00BC7416" w:rsidP="009E6E3F">
      <w:pPr>
        <w:pStyle w:val="71a"/>
      </w:pPr>
      <w:r w:rsidRPr="009E6E3F">
        <w:rPr>
          <w:rStyle w:val="a9"/>
          <w:vertAlign w:val="baseline"/>
        </w:rPr>
        <w:footnoteRef/>
      </w:r>
      <w:r w:rsidRPr="009E6E3F">
        <w:rPr>
          <w:rFonts w:hint="cs"/>
          <w:rtl/>
        </w:rPr>
        <w:t xml:space="preserve"> </w:t>
      </w:r>
      <w:r w:rsidRPr="009E6E3F">
        <w:rPr>
          <w:rFonts w:hint="cs"/>
          <w:rtl/>
        </w:rPr>
        <w:tab/>
        <w:t xml:space="preserve">לפי החלטת המועצה, כדאיות כלכלית היא "סף הרווחיות המזערי המקובל במיזמי התחדשות עירונית המלווים על ידי הרשות להתחדשות עירונית ובהם לא נדרשים מגרשי השלמה". </w:t>
      </w:r>
    </w:p>
  </w:footnote>
  <w:footnote w:id="52">
    <w:p w14:paraId="1C7B3D74" w14:textId="77777777" w:rsidR="00BC7416" w:rsidRPr="009E6E3F" w:rsidRDefault="00BC7416" w:rsidP="009E6E3F">
      <w:pPr>
        <w:pStyle w:val="71a"/>
        <w:rPr>
          <w:rtl/>
        </w:rPr>
      </w:pPr>
      <w:r w:rsidRPr="009E6E3F">
        <w:rPr>
          <w:rStyle w:val="a9"/>
          <w:vertAlign w:val="baseline"/>
        </w:rPr>
        <w:footnoteRef/>
      </w:r>
      <w:r w:rsidRPr="009E6E3F">
        <w:rPr>
          <w:rFonts w:hint="cs"/>
          <w:rtl/>
        </w:rPr>
        <w:t xml:space="preserve"> </w:t>
      </w:r>
      <w:r w:rsidRPr="009E6E3F">
        <w:rPr>
          <w:rFonts w:hint="cs"/>
          <w:rtl/>
        </w:rPr>
        <w:tab/>
        <w:t>אופקים, אשקלון, אשדוד, באר יעקב, יבנה, יהוד, ירושלים, מגדל העמק, נהרייה, נתיבות, נתניה, רמלה ורמת גן.</w:t>
      </w:r>
    </w:p>
  </w:footnote>
  <w:footnote w:id="53">
    <w:p w14:paraId="3EF14D61" w14:textId="77777777" w:rsidR="00BC7416" w:rsidRPr="009E6E3F" w:rsidRDefault="00BC7416" w:rsidP="009E6E3F">
      <w:pPr>
        <w:pStyle w:val="71a"/>
      </w:pPr>
      <w:r w:rsidRPr="009E6E3F">
        <w:rPr>
          <w:rStyle w:val="a9"/>
          <w:vertAlign w:val="baseline"/>
        </w:rPr>
        <w:footnoteRef/>
      </w:r>
      <w:r w:rsidRPr="009E6E3F">
        <w:rPr>
          <w:rFonts w:hint="cs"/>
          <w:rtl/>
        </w:rPr>
        <w:t xml:space="preserve"> </w:t>
      </w:r>
      <w:r w:rsidRPr="009E6E3F">
        <w:rPr>
          <w:rFonts w:hint="cs"/>
          <w:rtl/>
        </w:rPr>
        <w:tab/>
        <w:t>אלעד ועפולה.</w:t>
      </w:r>
    </w:p>
  </w:footnote>
  <w:footnote w:id="54">
    <w:p w14:paraId="4A324B98" w14:textId="77777777" w:rsidR="00BC7416" w:rsidRPr="006909ED" w:rsidRDefault="00BC7416" w:rsidP="006909ED">
      <w:pPr>
        <w:pStyle w:val="71a"/>
        <w:rPr>
          <w:rtl/>
        </w:rPr>
      </w:pPr>
      <w:r w:rsidRPr="006909ED">
        <w:rPr>
          <w:rStyle w:val="a9"/>
          <w:vertAlign w:val="baseline"/>
        </w:rPr>
        <w:footnoteRef/>
      </w:r>
      <w:r w:rsidRPr="006909ED">
        <w:rPr>
          <w:rFonts w:hint="cs"/>
          <w:rtl/>
        </w:rPr>
        <w:t xml:space="preserve"> </w:t>
      </w:r>
      <w:r w:rsidRPr="006909ED">
        <w:rPr>
          <w:rFonts w:hint="cs"/>
          <w:rtl/>
        </w:rPr>
        <w:tab/>
        <w:t xml:space="preserve">לפי החלטת הממשלה 922 (30.12.15), יישובי המגזר הערבי הם יישובים שבהם שיעור האוכלוסייה הערבית הוא 80% לפחות מכלל האוכלוסייה. בסוף שנת 2019 מנתה אוכלוסיית המיעוטים כ-1.94 מיליון נפש, שיעור הערבים המוסלמים היה כ-83.5% מכלל המיעוטים, שיעור הערבים הנוצרים היה כ-9.1% מהם, ושיעור הדרוזים והצ'רקסים - כ-7.4% מהם. הלשכה המרכזית לסטטיסטיקה, </w:t>
      </w:r>
      <w:r w:rsidRPr="006909ED">
        <w:rPr>
          <w:rFonts w:hint="cs"/>
          <w:b/>
          <w:bCs/>
          <w:rtl/>
        </w:rPr>
        <w:t>השנתון הסטטיסטי לישראל 2020</w:t>
      </w:r>
      <w:r w:rsidRPr="006909ED">
        <w:rPr>
          <w:rFonts w:hint="cs"/>
          <w:rtl/>
        </w:rPr>
        <w:t xml:space="preserve"> יולי 2020 לוח 2.2, "אוכלוסייה, לפי דת".</w:t>
      </w:r>
    </w:p>
  </w:footnote>
  <w:footnote w:id="55">
    <w:p w14:paraId="068AD965" w14:textId="77777777" w:rsidR="00BC7416" w:rsidRPr="006909ED" w:rsidRDefault="00BC7416" w:rsidP="006909ED">
      <w:pPr>
        <w:pStyle w:val="71a"/>
        <w:rPr>
          <w:rtl/>
        </w:rPr>
      </w:pPr>
      <w:r w:rsidRPr="006909ED">
        <w:rPr>
          <w:rStyle w:val="a9"/>
          <w:vertAlign w:val="baseline"/>
        </w:rPr>
        <w:footnoteRef/>
      </w:r>
      <w:r w:rsidRPr="006909ED">
        <w:rPr>
          <w:rFonts w:hint="cs"/>
          <w:rtl/>
        </w:rPr>
        <w:t xml:space="preserve"> </w:t>
      </w:r>
      <w:r w:rsidRPr="006909ED">
        <w:rPr>
          <w:rFonts w:hint="cs"/>
          <w:rtl/>
        </w:rPr>
        <w:tab/>
        <w:t>החלטת הממשלה 922 (30.12.15).</w:t>
      </w:r>
    </w:p>
  </w:footnote>
  <w:footnote w:id="56">
    <w:p w14:paraId="17C29CA2" w14:textId="77777777" w:rsidR="00BC7416" w:rsidRPr="006909ED" w:rsidRDefault="00BC7416" w:rsidP="006909ED">
      <w:pPr>
        <w:pStyle w:val="71a"/>
      </w:pPr>
      <w:r w:rsidRPr="006909ED">
        <w:rPr>
          <w:rStyle w:val="a9"/>
          <w:vertAlign w:val="baseline"/>
        </w:rPr>
        <w:footnoteRef/>
      </w:r>
      <w:r w:rsidRPr="006909ED">
        <w:rPr>
          <w:rFonts w:hint="cs"/>
          <w:rtl/>
        </w:rPr>
        <w:t xml:space="preserve"> </w:t>
      </w:r>
      <w:r w:rsidRPr="006909ED">
        <w:rPr>
          <w:rFonts w:hint="cs"/>
          <w:rtl/>
        </w:rPr>
        <w:tab/>
        <w:t>סעיף 20 להחלטת הממשלה 922 (30.12.15).</w:t>
      </w:r>
    </w:p>
  </w:footnote>
  <w:footnote w:id="57">
    <w:p w14:paraId="1FFFBB62" w14:textId="77777777" w:rsidR="00BC7416" w:rsidRPr="006909ED" w:rsidRDefault="00BC7416" w:rsidP="006909ED">
      <w:pPr>
        <w:pStyle w:val="71a"/>
        <w:rPr>
          <w:rtl/>
        </w:rPr>
      </w:pPr>
      <w:r w:rsidRPr="006909ED">
        <w:rPr>
          <w:rStyle w:val="a9"/>
          <w:vertAlign w:val="baseline"/>
        </w:rPr>
        <w:footnoteRef/>
      </w:r>
      <w:r w:rsidRPr="006909ED">
        <w:rPr>
          <w:rtl/>
        </w:rPr>
        <w:t xml:space="preserve"> </w:t>
      </w:r>
      <w:r w:rsidRPr="006909ED">
        <w:rPr>
          <w:rtl/>
        </w:rPr>
        <w:tab/>
      </w:r>
      <w:r w:rsidRPr="006909ED">
        <w:rPr>
          <w:rFonts w:hint="cs"/>
          <w:rtl/>
        </w:rPr>
        <w:t xml:space="preserve">ראו מבקר המדינה, </w:t>
      </w:r>
      <w:r w:rsidRPr="006909ED">
        <w:rPr>
          <w:rFonts w:hint="cs"/>
          <w:b/>
          <w:bCs/>
          <w:rtl/>
        </w:rPr>
        <w:t>דוח שנתי 69ב</w:t>
      </w:r>
      <w:r w:rsidRPr="006909ED">
        <w:rPr>
          <w:rFonts w:hint="cs"/>
          <w:rtl/>
        </w:rPr>
        <w:t xml:space="preserve"> (2019), "פעולות הממשלה בנושא מצוקת הדיור ביישובי המיעוטים", עמ' 586.</w:t>
      </w:r>
    </w:p>
  </w:footnote>
  <w:footnote w:id="58">
    <w:p w14:paraId="30C471D9" w14:textId="77777777" w:rsidR="00BC7416" w:rsidRDefault="00BC7416" w:rsidP="006B2A1C">
      <w:pPr>
        <w:pStyle w:val="71f1"/>
        <w:rPr>
          <w:rtl/>
        </w:rPr>
      </w:pPr>
      <w:r w:rsidRPr="006B2A1C">
        <w:footnoteRef/>
      </w:r>
      <w:r w:rsidRPr="006B2A1C">
        <w:rPr>
          <w:rFonts w:hint="cs"/>
          <w:rtl/>
        </w:rPr>
        <w:t xml:space="preserve"> </w:t>
      </w:r>
      <w:r>
        <w:rPr>
          <w:rFonts w:hint="cs"/>
          <w:rtl/>
        </w:rPr>
        <w:tab/>
        <w:t>החלטת הממשלה 1823 (11.8.16).</w:t>
      </w:r>
    </w:p>
  </w:footnote>
  <w:footnote w:id="59">
    <w:p w14:paraId="7B50641A" w14:textId="77777777" w:rsidR="00BC7416" w:rsidRDefault="00BC7416" w:rsidP="006B2A1C">
      <w:pPr>
        <w:pStyle w:val="71a"/>
        <w:rPr>
          <w:rtl/>
        </w:rPr>
      </w:pPr>
      <w:r w:rsidRPr="006B2A1C">
        <w:footnoteRef/>
      </w:r>
      <w:r>
        <w:rPr>
          <w:rFonts w:hint="cs"/>
          <w:rtl/>
        </w:rPr>
        <w:t xml:space="preserve"> </w:t>
      </w:r>
      <w:r>
        <w:rPr>
          <w:rFonts w:hint="cs"/>
          <w:rtl/>
        </w:rPr>
        <w:tab/>
        <w:t xml:space="preserve">לפי אומדן עדכני משנת 2019 של המועצה הלאומית לכלכלה נדרשות 218,000 יח"ד לאוכלוסייה החרדית בתקופה זו. ראו משרד הבינוי, </w:t>
      </w:r>
      <w:r>
        <w:rPr>
          <w:rFonts w:hint="cs"/>
          <w:b/>
          <w:bCs/>
          <w:rtl/>
        </w:rPr>
        <w:t>תוכניות דיור ממשלתיות עבור המגזר החרדי, תמונת מצב, דצמבר 2019</w:t>
      </w:r>
      <w:r>
        <w:rPr>
          <w:rFonts w:hint="cs"/>
          <w:rtl/>
        </w:rPr>
        <w:t xml:space="preserve"> (פורסם בשנת 2019), עמ' 23.</w:t>
      </w:r>
    </w:p>
  </w:footnote>
  <w:footnote w:id="60">
    <w:p w14:paraId="561D2438" w14:textId="79A23CC6" w:rsidR="00BC7416" w:rsidRDefault="00BC7416" w:rsidP="006B2A1C">
      <w:pPr>
        <w:pStyle w:val="71a"/>
        <w:rPr>
          <w:rtl/>
        </w:rPr>
      </w:pPr>
      <w:r w:rsidRPr="006B2A1C">
        <w:footnoteRef/>
      </w:r>
      <w:r>
        <w:rPr>
          <w:rFonts w:hint="cs"/>
          <w:rtl/>
        </w:rPr>
        <w:t xml:space="preserve"> </w:t>
      </w:r>
      <w:r>
        <w:rPr>
          <w:rFonts w:hint="cs"/>
          <w:rtl/>
        </w:rPr>
        <w:tab/>
        <w:t xml:space="preserve">איתן רגב וגבריאל גורדון, </w:t>
      </w:r>
      <w:r>
        <w:rPr>
          <w:rFonts w:hint="cs"/>
          <w:b/>
          <w:bCs/>
          <w:rtl/>
        </w:rPr>
        <w:t>שוק הדיור החרדי ופרישתה הגאוגרפית של האוכלוסייה החרדית בישראל</w:t>
      </w:r>
      <w:r>
        <w:rPr>
          <w:rFonts w:hint="cs"/>
          <w:rtl/>
        </w:rPr>
        <w:t xml:space="preserve"> (2020), עמ' 28 - 29.</w:t>
      </w:r>
    </w:p>
  </w:footnote>
  <w:footnote w:id="61">
    <w:p w14:paraId="37034C0A" w14:textId="77777777" w:rsidR="00BC7416" w:rsidRPr="00162560" w:rsidRDefault="00BC7416" w:rsidP="00162560">
      <w:pPr>
        <w:pStyle w:val="71a"/>
        <w:rPr>
          <w:rtl/>
        </w:rPr>
      </w:pPr>
      <w:r w:rsidRPr="00162560">
        <w:rPr>
          <w:rStyle w:val="a9"/>
          <w:vertAlign w:val="baseline"/>
        </w:rPr>
        <w:footnoteRef/>
      </w:r>
      <w:r w:rsidRPr="00162560">
        <w:rPr>
          <w:rFonts w:hint="cs"/>
          <w:rtl/>
        </w:rPr>
        <w:t xml:space="preserve"> </w:t>
      </w:r>
      <w:r w:rsidRPr="00162560">
        <w:rPr>
          <w:rFonts w:hint="cs"/>
          <w:rtl/>
        </w:rPr>
        <w:tab/>
        <w:t xml:space="preserve">משרד הבינוי, </w:t>
      </w:r>
      <w:r w:rsidRPr="00162560">
        <w:rPr>
          <w:rFonts w:hint="cs"/>
          <w:b/>
          <w:bCs/>
          <w:rtl/>
        </w:rPr>
        <w:t>תוכניות דיור ממשלתיות עבור המגזר החרדי, תמונת מצב, דצמבר 2019</w:t>
      </w:r>
      <w:r w:rsidRPr="00162560">
        <w:rPr>
          <w:rFonts w:hint="cs"/>
          <w:rtl/>
        </w:rPr>
        <w:t xml:space="preserve"> (2019), עמ' 77.</w:t>
      </w:r>
    </w:p>
  </w:footnote>
  <w:footnote w:id="62">
    <w:p w14:paraId="649FDBBD" w14:textId="188FF805" w:rsidR="00BC7416" w:rsidRPr="00162560" w:rsidRDefault="00BC7416" w:rsidP="00162560">
      <w:pPr>
        <w:pStyle w:val="71a"/>
        <w:rPr>
          <w:rtl/>
        </w:rPr>
      </w:pPr>
      <w:r w:rsidRPr="00162560">
        <w:rPr>
          <w:rStyle w:val="a9"/>
          <w:vertAlign w:val="baseline"/>
        </w:rPr>
        <w:footnoteRef/>
      </w:r>
      <w:r w:rsidRPr="00162560">
        <w:rPr>
          <w:rFonts w:hint="cs"/>
          <w:rtl/>
        </w:rPr>
        <w:t xml:space="preserve"> </w:t>
      </w:r>
      <w:r w:rsidRPr="00162560">
        <w:rPr>
          <w:rFonts w:hint="cs"/>
          <w:rtl/>
        </w:rPr>
        <w:tab/>
      </w:r>
      <w:r>
        <w:rPr>
          <w:rFonts w:hint="cs"/>
          <w:rtl/>
        </w:rPr>
        <w:t xml:space="preserve">ראו: </w:t>
      </w:r>
      <w:r w:rsidRPr="00162560">
        <w:rPr>
          <w:rFonts w:hint="cs"/>
          <w:rtl/>
        </w:rPr>
        <w:t xml:space="preserve">משרד הבינוי, </w:t>
      </w:r>
      <w:r w:rsidRPr="00162560">
        <w:rPr>
          <w:rFonts w:hint="cs"/>
          <w:b/>
          <w:bCs/>
          <w:rtl/>
        </w:rPr>
        <w:t>תוכניות דיור ממשלתיות עבור המגזר החרדי, תמונת מצב, דצמבר 2019</w:t>
      </w:r>
      <w:r w:rsidRPr="00162560">
        <w:rPr>
          <w:rFonts w:hint="cs"/>
          <w:rtl/>
        </w:rPr>
        <w:t xml:space="preserve"> (2019), עמ' 76.</w:t>
      </w:r>
    </w:p>
    <w:p w14:paraId="63BDDDE4" w14:textId="77777777" w:rsidR="00BC7416" w:rsidRDefault="00BC7416" w:rsidP="00ED63E1">
      <w:pPr>
        <w:pStyle w:val="a8"/>
        <w:rPr>
          <w:rtl/>
        </w:rPr>
      </w:pPr>
    </w:p>
  </w:footnote>
  <w:footnote w:id="63">
    <w:p w14:paraId="05F653D1" w14:textId="062A4911" w:rsidR="00BC7416" w:rsidRPr="00246E35" w:rsidRDefault="00BC7416" w:rsidP="00F33E9D">
      <w:pPr>
        <w:pStyle w:val="71a"/>
        <w:rPr>
          <w:rtl/>
        </w:rPr>
      </w:pPr>
      <w:r w:rsidRPr="00246E35">
        <w:rPr>
          <w:rStyle w:val="a9"/>
          <w:vertAlign w:val="baseline"/>
        </w:rPr>
        <w:footnoteRef/>
      </w:r>
      <w:r w:rsidRPr="00246E35">
        <w:rPr>
          <w:rFonts w:hint="cs"/>
          <w:rtl/>
        </w:rPr>
        <w:t xml:space="preserve"> </w:t>
      </w:r>
      <w:r w:rsidRPr="00246E35">
        <w:rPr>
          <w:rFonts w:hint="cs"/>
          <w:rtl/>
        </w:rPr>
        <w:tab/>
        <w:t xml:space="preserve">ראו הערה </w:t>
      </w:r>
      <w:r>
        <w:rPr>
          <w:rFonts w:hint="cs"/>
          <w:rtl/>
        </w:rPr>
        <w:t>59</w:t>
      </w:r>
      <w:r w:rsidRPr="00246E35">
        <w:rPr>
          <w:rFonts w:hint="cs"/>
          <w:rtl/>
        </w:rPr>
        <w:t xml:space="preserve">. </w:t>
      </w:r>
    </w:p>
  </w:footnote>
  <w:footnote w:id="64">
    <w:p w14:paraId="19EAACAD" w14:textId="77777777" w:rsidR="00BC7416" w:rsidRDefault="00BC7416" w:rsidP="00F33E9D">
      <w:pPr>
        <w:pStyle w:val="71a"/>
        <w:rPr>
          <w:rtl/>
        </w:rPr>
      </w:pPr>
      <w:r w:rsidRPr="00F33E9D">
        <w:rPr>
          <w:rStyle w:val="a9"/>
          <w:vertAlign w:val="baseline"/>
        </w:rPr>
        <w:footnoteRef/>
      </w:r>
      <w:r w:rsidRPr="00F33E9D">
        <w:rPr>
          <w:rStyle w:val="a9"/>
          <w:rFonts w:hint="cs"/>
          <w:vertAlign w:val="baseline"/>
          <w:rtl/>
        </w:rPr>
        <w:t xml:space="preserve"> </w:t>
      </w:r>
      <w:r>
        <w:rPr>
          <w:rFonts w:hint="cs"/>
          <w:rtl/>
        </w:rPr>
        <w:tab/>
        <w:t xml:space="preserve">ראו מבקר המדינה, </w:t>
      </w:r>
      <w:r>
        <w:rPr>
          <w:rFonts w:hint="cs"/>
          <w:b/>
          <w:bCs/>
          <w:rtl/>
        </w:rPr>
        <w:t>דוח ביקורת מיוחד</w:t>
      </w:r>
      <w:r>
        <w:rPr>
          <w:rFonts w:hint="cs"/>
          <w:rtl/>
        </w:rPr>
        <w:t xml:space="preserve"> (2015),</w:t>
      </w:r>
      <w:r>
        <w:rPr>
          <w:rFonts w:hint="cs"/>
          <w:b/>
          <w:bCs/>
          <w:rtl/>
        </w:rPr>
        <w:t xml:space="preserve"> </w:t>
      </w:r>
      <w:r>
        <w:rPr>
          <w:rFonts w:hint="cs"/>
          <w:rtl/>
        </w:rPr>
        <w:t>"משבר הדיור", עמ' 123.</w:t>
      </w:r>
    </w:p>
  </w:footnote>
  <w:footnote w:id="65">
    <w:p w14:paraId="5AEF1DD2" w14:textId="77777777" w:rsidR="00BC7416" w:rsidRDefault="00BC7416" w:rsidP="00F33E9D">
      <w:pPr>
        <w:pStyle w:val="71a"/>
        <w:rPr>
          <w:rtl/>
        </w:rPr>
      </w:pPr>
      <w:r w:rsidRPr="00F33E9D">
        <w:rPr>
          <w:rStyle w:val="a9"/>
          <w:vertAlign w:val="baseline"/>
        </w:rPr>
        <w:footnoteRef/>
      </w:r>
      <w:r w:rsidRPr="00F33E9D">
        <w:rPr>
          <w:rStyle w:val="a9"/>
          <w:rFonts w:hint="cs"/>
          <w:vertAlign w:val="baseline"/>
          <w:rtl/>
        </w:rPr>
        <w:t xml:space="preserve"> </w:t>
      </w:r>
      <w:r>
        <w:rPr>
          <w:rFonts w:hint="cs"/>
          <w:rtl/>
        </w:rPr>
        <w:tab/>
        <w:t xml:space="preserve">הנתון נוגע לשיווקים שצלחו, כלומר פורסם מכרז ונחתמה עם יזם עסקה לבנייה של יח"ד על הקרקע בהתאם לתנאי המכרז. לעיתים מפורסם מכרז, אך בעקבות כך לא נחתמת עסקה, כלומר השיווק לא צלח. שיווקים שלא צלחו אינם כלולים בנתון זה. </w:t>
      </w:r>
    </w:p>
  </w:footnote>
  <w:footnote w:id="66">
    <w:p w14:paraId="2257EB3D" w14:textId="77777777" w:rsidR="00BC7416" w:rsidRDefault="00BC7416" w:rsidP="00F33E9D">
      <w:pPr>
        <w:pStyle w:val="71a"/>
      </w:pPr>
      <w:r w:rsidRPr="00F33E9D">
        <w:rPr>
          <w:rStyle w:val="a9"/>
          <w:vertAlign w:val="baseline"/>
        </w:rPr>
        <w:footnoteRef/>
      </w:r>
      <w:r>
        <w:rPr>
          <w:rFonts w:hint="cs"/>
          <w:rtl/>
        </w:rPr>
        <w:t xml:space="preserve"> </w:t>
      </w:r>
      <w:r>
        <w:rPr>
          <w:rFonts w:hint="cs"/>
          <w:rtl/>
        </w:rPr>
        <w:tab/>
        <w:t>ראו סעיף 2 להחלטת הממשלה על הסכמי הגג שכותרתו "קצב שיווק ולו"ז למתן היתרי בנייה".</w:t>
      </w:r>
    </w:p>
  </w:footnote>
  <w:footnote w:id="67">
    <w:p w14:paraId="21E856DB" w14:textId="77777777" w:rsidR="00BC7416" w:rsidRDefault="00BC7416" w:rsidP="00F33E9D">
      <w:pPr>
        <w:pStyle w:val="71a"/>
      </w:pPr>
      <w:r w:rsidRPr="00F33E9D">
        <w:rPr>
          <w:rStyle w:val="a9"/>
          <w:vertAlign w:val="baseline"/>
        </w:rPr>
        <w:footnoteRef/>
      </w:r>
      <w:r w:rsidRPr="00F33E9D">
        <w:rPr>
          <w:rStyle w:val="a9"/>
          <w:rFonts w:hint="cs"/>
          <w:vertAlign w:val="baseline"/>
          <w:rtl/>
        </w:rPr>
        <w:t xml:space="preserve"> </w:t>
      </w:r>
      <w:r>
        <w:rPr>
          <w:rFonts w:hint="cs"/>
          <w:rtl/>
        </w:rPr>
        <w:tab/>
        <w:t>לגבי כל אחד מההסכמים, חושב קצב השיווק לפי 2,000 יח"ד לשנה, החל ממועד החתימה ועד ל-30.6.20 בהסכמים עם משרד הבינוי ועד ל-31.12.20 בהסכמים עם רמ"י. השיווק חושב לפי קצב של 2,000 יח"ד לשנה, הן בהסכמים עם משרד הבינוי (התקפים ממועד החתימה ועד 30.6.20), והן בהסכמים עם רמ"י (ממועד החתימה ועד 31.12.20).</w:t>
      </w:r>
    </w:p>
  </w:footnote>
  <w:footnote w:id="68">
    <w:p w14:paraId="6958E546" w14:textId="77777777" w:rsidR="00BC7416" w:rsidRPr="00113693" w:rsidRDefault="00BC7416" w:rsidP="00113693">
      <w:pPr>
        <w:pStyle w:val="71a"/>
        <w:rPr>
          <w:rtl/>
        </w:rPr>
      </w:pPr>
      <w:r w:rsidRPr="00113693">
        <w:rPr>
          <w:rStyle w:val="a9"/>
          <w:vertAlign w:val="baseline"/>
        </w:rPr>
        <w:footnoteRef/>
      </w:r>
      <w:r w:rsidRPr="00113693">
        <w:rPr>
          <w:rFonts w:hint="cs"/>
          <w:rtl/>
        </w:rPr>
        <w:t xml:space="preserve"> </w:t>
      </w:r>
      <w:r w:rsidRPr="00113693">
        <w:rPr>
          <w:rFonts w:hint="cs"/>
          <w:rtl/>
        </w:rPr>
        <w:tab/>
        <w:t xml:space="preserve">הסכמי הגג שנחתמו עם אילת, אשדוד, אשקלון, בית שמש, חיפה, טירת כרמל, יבנה, לוד, מודיעין, נהרייה, נתניה, עכו, עפולה, קריית גת, ראשון לציון ורמלה. </w:t>
      </w:r>
    </w:p>
  </w:footnote>
  <w:footnote w:id="69">
    <w:p w14:paraId="1260A6D8" w14:textId="77777777" w:rsidR="00BC7416" w:rsidRPr="00FB7DA4" w:rsidRDefault="00BC7416" w:rsidP="00FB7DA4">
      <w:pPr>
        <w:pStyle w:val="71a"/>
        <w:rPr>
          <w:rtl/>
        </w:rPr>
      </w:pPr>
      <w:r w:rsidRPr="00FB7DA4">
        <w:rPr>
          <w:rStyle w:val="a9"/>
          <w:vertAlign w:val="baseline"/>
        </w:rPr>
        <w:footnoteRef/>
      </w:r>
      <w:r w:rsidRPr="00FB7DA4">
        <w:rPr>
          <w:rFonts w:hint="cs"/>
          <w:rtl/>
        </w:rPr>
        <w:t xml:space="preserve"> </w:t>
      </w:r>
      <w:r w:rsidRPr="00FB7DA4">
        <w:rPr>
          <w:rFonts w:hint="cs"/>
          <w:rtl/>
        </w:rPr>
        <w:tab/>
        <w:t>מדובר בכ-36% מכלל כ-7,400 יחה"ד שבהסכם הגג.</w:t>
      </w:r>
    </w:p>
  </w:footnote>
  <w:footnote w:id="70">
    <w:p w14:paraId="20ED5BFA" w14:textId="77777777" w:rsidR="00BC7416" w:rsidRPr="00FB7DA4" w:rsidRDefault="00BC7416" w:rsidP="00FB7DA4">
      <w:pPr>
        <w:pStyle w:val="71a"/>
      </w:pPr>
      <w:r w:rsidRPr="00FB7DA4">
        <w:rPr>
          <w:rStyle w:val="a9"/>
          <w:vertAlign w:val="baseline"/>
        </w:rPr>
        <w:footnoteRef/>
      </w:r>
      <w:r w:rsidRPr="00FB7DA4">
        <w:rPr>
          <w:rFonts w:hint="cs"/>
          <w:rtl/>
        </w:rPr>
        <w:t xml:space="preserve"> </w:t>
      </w:r>
      <w:r w:rsidRPr="00FB7DA4">
        <w:rPr>
          <w:rFonts w:hint="cs"/>
          <w:rtl/>
        </w:rPr>
        <w:tab/>
        <w:t>הוותמ"ל הוקמה בשנת 2014 מתוקף החוק לקידום הבנייה במתחמים מועדפים לדיור (הוראת שעה), התשע"ד-2014, בין היתר לשם הגדלת היצע יחידות הדיור במהירות.</w:t>
      </w:r>
    </w:p>
  </w:footnote>
  <w:footnote w:id="71">
    <w:p w14:paraId="4CEE3F71" w14:textId="77777777" w:rsidR="00BC7416" w:rsidRPr="00FB7DA4" w:rsidRDefault="00BC7416" w:rsidP="00FB7DA4">
      <w:pPr>
        <w:pStyle w:val="71a"/>
        <w:rPr>
          <w:rtl/>
        </w:rPr>
      </w:pPr>
      <w:r w:rsidRPr="00FB7DA4">
        <w:rPr>
          <w:rStyle w:val="a9"/>
          <w:vertAlign w:val="baseline"/>
        </w:rPr>
        <w:footnoteRef/>
      </w:r>
      <w:r w:rsidRPr="00FB7DA4">
        <w:rPr>
          <w:rFonts w:hint="cs"/>
          <w:rtl/>
        </w:rPr>
        <w:t xml:space="preserve"> </w:t>
      </w:r>
      <w:r w:rsidRPr="00FB7DA4">
        <w:rPr>
          <w:rFonts w:hint="cs"/>
          <w:rtl/>
        </w:rPr>
        <w:tab/>
        <w:t xml:space="preserve">דנ"ם 4753/19 </w:t>
      </w:r>
      <w:r w:rsidRPr="00FB7DA4">
        <w:rPr>
          <w:rFonts w:hint="cs"/>
          <w:b/>
          <w:bCs/>
          <w:rtl/>
        </w:rPr>
        <w:t>עיריית הרצלייה נ' הוועדה לתכנון מתחמים מועדפים לדיור</w:t>
      </w:r>
      <w:r w:rsidRPr="00FB7DA4">
        <w:rPr>
          <w:rFonts w:hint="cs"/>
          <w:rtl/>
        </w:rPr>
        <w:t xml:space="preserve"> (פורסם במאגר ממוחשב, 6.5.21).</w:t>
      </w:r>
    </w:p>
  </w:footnote>
  <w:footnote w:id="72">
    <w:p w14:paraId="6B049FAD" w14:textId="77777777" w:rsidR="00BC7416" w:rsidRPr="00DC104F" w:rsidRDefault="00BC7416" w:rsidP="00DC104F">
      <w:pPr>
        <w:pStyle w:val="71a"/>
        <w:rPr>
          <w:rtl/>
        </w:rPr>
      </w:pPr>
      <w:r w:rsidRPr="00DC104F">
        <w:rPr>
          <w:rStyle w:val="a9"/>
          <w:vertAlign w:val="baseline"/>
        </w:rPr>
        <w:footnoteRef/>
      </w:r>
      <w:r w:rsidRPr="00DC104F">
        <w:rPr>
          <w:rFonts w:hint="cs"/>
          <w:rtl/>
        </w:rPr>
        <w:t xml:space="preserve"> </w:t>
      </w:r>
      <w:r w:rsidRPr="00DC104F">
        <w:rPr>
          <w:rFonts w:hint="cs"/>
          <w:rtl/>
        </w:rPr>
        <w:tab/>
        <w:t xml:space="preserve">לרבות יח"ד לשיווק בקרקע שבבעלות המדינה ובקרקע פרטית, ובכלל זה דיון מוגן או דיור מיוחד. </w:t>
      </w:r>
    </w:p>
  </w:footnote>
  <w:footnote w:id="73">
    <w:p w14:paraId="2B6E9095" w14:textId="77777777" w:rsidR="00BC7416" w:rsidRPr="006C02AC" w:rsidRDefault="00BC7416" w:rsidP="006C02AC">
      <w:pPr>
        <w:pStyle w:val="71a"/>
        <w:rPr>
          <w:rtl/>
        </w:rPr>
      </w:pPr>
      <w:r w:rsidRPr="006C02AC">
        <w:rPr>
          <w:rStyle w:val="a9"/>
          <w:vertAlign w:val="baseline"/>
        </w:rPr>
        <w:footnoteRef/>
      </w:r>
      <w:r w:rsidRPr="006C02AC">
        <w:rPr>
          <w:rFonts w:hint="cs"/>
          <w:rtl/>
        </w:rPr>
        <w:t xml:space="preserve"> </w:t>
      </w:r>
      <w:r w:rsidRPr="006C02AC">
        <w:rPr>
          <w:rFonts w:hint="cs"/>
          <w:rtl/>
        </w:rPr>
        <w:tab/>
        <w:t xml:space="preserve">משרד הבינוי אחראי לפיתוח ברשויות אלעד, בית שמש, דימונה, מגדל העמק, נהרייה ועכו, וכן בחלק מהמתחמים שבראש העין. רמ"י אינה אחראית לפיתוח במסגרת הסכמי גג שהיא חתומה עליהם. </w:t>
      </w:r>
    </w:p>
  </w:footnote>
  <w:footnote w:id="74">
    <w:p w14:paraId="4BAD6AC9" w14:textId="77777777" w:rsidR="00BC7416" w:rsidRPr="006C02AC" w:rsidRDefault="00BC7416" w:rsidP="006C02AC">
      <w:pPr>
        <w:pStyle w:val="71a"/>
        <w:rPr>
          <w:rtl/>
        </w:rPr>
      </w:pPr>
      <w:r w:rsidRPr="006C02AC">
        <w:rPr>
          <w:rStyle w:val="a9"/>
          <w:vertAlign w:val="baseline"/>
        </w:rPr>
        <w:footnoteRef/>
      </w:r>
      <w:r w:rsidRPr="006C02AC">
        <w:rPr>
          <w:rFonts w:hint="cs"/>
          <w:rtl/>
        </w:rPr>
        <w:t xml:space="preserve"> </w:t>
      </w:r>
      <w:r w:rsidRPr="006C02AC">
        <w:rPr>
          <w:rFonts w:hint="cs"/>
          <w:rtl/>
        </w:rPr>
        <w:tab/>
        <w:t xml:space="preserve">בהסכם נכללו עוד שלוש תוכניות שכללו כ-2,700 יח"ד, מהן אחת מאושרת בהיקף של כ-2,300 יח"ד ("נאות שמיר") ושתי תוכניות לא מאושרות שכללו כ-400 יח"ד. </w:t>
      </w:r>
    </w:p>
  </w:footnote>
  <w:footnote w:id="75">
    <w:p w14:paraId="56E685DF" w14:textId="77777777" w:rsidR="00BC7416" w:rsidRPr="008968C1" w:rsidRDefault="00BC7416" w:rsidP="008968C1">
      <w:pPr>
        <w:pStyle w:val="71a"/>
        <w:rPr>
          <w:rtl/>
        </w:rPr>
      </w:pPr>
      <w:r w:rsidRPr="008968C1">
        <w:rPr>
          <w:rStyle w:val="a9"/>
          <w:vertAlign w:val="baseline"/>
        </w:rPr>
        <w:footnoteRef/>
      </w:r>
      <w:r w:rsidRPr="008968C1">
        <w:rPr>
          <w:rFonts w:hint="cs"/>
          <w:rtl/>
        </w:rPr>
        <w:t xml:space="preserve"> </w:t>
      </w:r>
      <w:r w:rsidRPr="008968C1">
        <w:rPr>
          <w:rFonts w:hint="cs"/>
          <w:rtl/>
        </w:rPr>
        <w:tab/>
        <w:t xml:space="preserve">על פי חוק חובת המכרזים, התשנ"ב-1992, ותקנות חובת המכרזים, התשנ"ג-1993, בנסיבות מיוחדות רמ"י פטורה מביצוע מכרז להקצאת קרקע המיועדת למגורים, לתעשייה או לתיירות. </w:t>
      </w:r>
    </w:p>
  </w:footnote>
  <w:footnote w:id="76">
    <w:p w14:paraId="64AAA895" w14:textId="77777777" w:rsidR="00BC7416" w:rsidRPr="008968C1" w:rsidRDefault="00BC7416" w:rsidP="008968C1">
      <w:pPr>
        <w:pStyle w:val="71a"/>
        <w:rPr>
          <w:rtl/>
        </w:rPr>
      </w:pPr>
      <w:r w:rsidRPr="008968C1">
        <w:rPr>
          <w:rStyle w:val="a9"/>
          <w:vertAlign w:val="baseline"/>
        </w:rPr>
        <w:footnoteRef/>
      </w:r>
      <w:r w:rsidRPr="008968C1">
        <w:rPr>
          <w:rFonts w:hint="cs"/>
          <w:rtl/>
        </w:rPr>
        <w:t xml:space="preserve"> </w:t>
      </w:r>
      <w:r w:rsidRPr="008968C1">
        <w:rPr>
          <w:rFonts w:hint="cs"/>
          <w:rtl/>
        </w:rPr>
        <w:tab/>
        <w:t xml:space="preserve">חלק מהקרקעות ששווקו בהצלחה היו קרקעות שניסיון קודם לשווקן לא צלח. </w:t>
      </w:r>
    </w:p>
  </w:footnote>
  <w:footnote w:id="77">
    <w:p w14:paraId="02123D8A" w14:textId="77777777" w:rsidR="00BC7416" w:rsidRPr="00A052BE" w:rsidRDefault="00BC7416" w:rsidP="00A052BE">
      <w:pPr>
        <w:pStyle w:val="71a"/>
      </w:pPr>
      <w:r w:rsidRPr="00A052BE">
        <w:rPr>
          <w:rStyle w:val="a9"/>
          <w:vertAlign w:val="baseline"/>
        </w:rPr>
        <w:footnoteRef/>
      </w:r>
      <w:r w:rsidRPr="00A052BE">
        <w:rPr>
          <w:rFonts w:hint="cs"/>
          <w:rtl/>
        </w:rPr>
        <w:t xml:space="preserve"> </w:t>
      </w:r>
      <w:r w:rsidRPr="00A052BE">
        <w:rPr>
          <w:rFonts w:hint="cs"/>
          <w:rtl/>
        </w:rPr>
        <w:tab/>
        <w:t xml:space="preserve">מבקר המדינה, </w:t>
      </w:r>
      <w:r w:rsidRPr="00A052BE">
        <w:rPr>
          <w:rFonts w:hint="cs"/>
          <w:b/>
          <w:bCs/>
          <w:rtl/>
        </w:rPr>
        <w:t>דוח שנתי 70א</w:t>
      </w:r>
      <w:r w:rsidRPr="00A052BE">
        <w:rPr>
          <w:rFonts w:hint="cs"/>
          <w:rtl/>
        </w:rPr>
        <w:t xml:space="preserve"> (2020), בפרק "היבטים בתוכנית הממשלתית לדיור 'מחיר למשתכן'", עמ' 735.</w:t>
      </w:r>
    </w:p>
  </w:footnote>
  <w:footnote w:id="78">
    <w:p w14:paraId="10CF8FB5" w14:textId="77777777" w:rsidR="00BC7416" w:rsidRDefault="00BC7416" w:rsidP="00441AFC">
      <w:pPr>
        <w:pStyle w:val="71a"/>
        <w:rPr>
          <w:rtl/>
        </w:rPr>
      </w:pPr>
      <w:r w:rsidRPr="00441AFC">
        <w:rPr>
          <w:rStyle w:val="a9"/>
          <w:vertAlign w:val="baseline"/>
        </w:rPr>
        <w:footnoteRef/>
      </w:r>
      <w:r w:rsidRPr="00441AFC">
        <w:rPr>
          <w:rStyle w:val="a9"/>
          <w:rFonts w:hint="cs"/>
          <w:vertAlign w:val="baseline"/>
          <w:rtl/>
        </w:rPr>
        <w:t xml:space="preserve"> </w:t>
      </w:r>
      <w:r>
        <w:rPr>
          <w:rFonts w:hint="cs"/>
          <w:rtl/>
        </w:rPr>
        <w:tab/>
        <w:t xml:space="preserve">מזכירות הממשלה, </w:t>
      </w:r>
      <w:r>
        <w:rPr>
          <w:rFonts w:hint="cs"/>
          <w:b/>
          <w:bCs/>
          <w:rtl/>
        </w:rPr>
        <w:t>התקנון לעבודת הממשלה</w:t>
      </w:r>
      <w:r>
        <w:rPr>
          <w:rFonts w:hint="cs"/>
          <w:rtl/>
        </w:rPr>
        <w:t>, אושר בהחלטה 13 של הממשלה ה- 33 (7.4.13), סעיף 88.</w:t>
      </w:r>
    </w:p>
  </w:footnote>
  <w:footnote w:id="79">
    <w:p w14:paraId="05C8CB8E" w14:textId="77777777" w:rsidR="00BC7416" w:rsidRDefault="00BC7416" w:rsidP="00441AFC">
      <w:pPr>
        <w:pStyle w:val="71a"/>
        <w:rPr>
          <w:rtl/>
        </w:rPr>
      </w:pPr>
      <w:r w:rsidRPr="00441AFC">
        <w:rPr>
          <w:rStyle w:val="a9"/>
          <w:vertAlign w:val="baseline"/>
        </w:rPr>
        <w:footnoteRef/>
      </w:r>
      <w:r w:rsidRPr="00441AFC">
        <w:rPr>
          <w:rStyle w:val="a9"/>
          <w:rFonts w:hint="cs"/>
          <w:vertAlign w:val="baseline"/>
          <w:rtl/>
        </w:rPr>
        <w:t xml:space="preserve"> </w:t>
      </w:r>
      <w:r>
        <w:rPr>
          <w:rFonts w:hint="cs"/>
          <w:rtl/>
        </w:rPr>
        <w:tab/>
        <w:t>סעיף 11 להחלטה על התוכנית האסטרטגית.</w:t>
      </w:r>
    </w:p>
  </w:footnote>
  <w:footnote w:id="80">
    <w:p w14:paraId="0335C4EE" w14:textId="77777777" w:rsidR="00BC7416" w:rsidRDefault="00BC7416" w:rsidP="00441AFC">
      <w:pPr>
        <w:pStyle w:val="71a"/>
        <w:rPr>
          <w:rtl/>
        </w:rPr>
      </w:pPr>
      <w:r w:rsidRPr="00441AFC">
        <w:rPr>
          <w:rStyle w:val="a9"/>
          <w:vertAlign w:val="baseline"/>
        </w:rPr>
        <w:footnoteRef/>
      </w:r>
      <w:r w:rsidRPr="00441AFC">
        <w:rPr>
          <w:rStyle w:val="a9"/>
          <w:rFonts w:hint="cs"/>
          <w:vertAlign w:val="baseline"/>
          <w:rtl/>
        </w:rPr>
        <w:t xml:space="preserve"> </w:t>
      </w:r>
      <w:r>
        <w:rPr>
          <w:rFonts w:hint="cs"/>
          <w:rtl/>
        </w:rPr>
        <w:tab/>
        <w:t>במועד סיום הביקורת, מאי 2021, טרם פורסם דוח מסכם בנושא הביצוע על החלטות ממשלה לשנים 2019 ו-2020.</w:t>
      </w:r>
    </w:p>
  </w:footnote>
  <w:footnote w:id="81">
    <w:p w14:paraId="40D096BB" w14:textId="77777777" w:rsidR="00BC7416" w:rsidRDefault="00BC7416" w:rsidP="00441AFC">
      <w:pPr>
        <w:pStyle w:val="71a"/>
        <w:rPr>
          <w:rtl/>
        </w:rPr>
      </w:pPr>
      <w:r w:rsidRPr="00441AFC">
        <w:rPr>
          <w:rStyle w:val="a9"/>
          <w:vertAlign w:val="baseline"/>
        </w:rPr>
        <w:footnoteRef/>
      </w:r>
      <w:r w:rsidRPr="00441AFC">
        <w:rPr>
          <w:rStyle w:val="a9"/>
          <w:rFonts w:hint="cs"/>
          <w:vertAlign w:val="baseline"/>
          <w:rtl/>
        </w:rPr>
        <w:t xml:space="preserve"> </w:t>
      </w:r>
      <w:r>
        <w:rPr>
          <w:rFonts w:hint="cs"/>
          <w:rtl/>
        </w:rPr>
        <w:tab/>
        <w:t xml:space="preserve">משרד ראש הממשלה, </w:t>
      </w:r>
      <w:r>
        <w:rPr>
          <w:rFonts w:hint="cs"/>
          <w:b/>
          <w:bCs/>
          <w:rtl/>
        </w:rPr>
        <w:t>דוח מסכם דיווחי ביצוע על החלטות ממשלה</w:t>
      </w:r>
      <w:r>
        <w:rPr>
          <w:rFonts w:hint="cs"/>
          <w:rtl/>
        </w:rPr>
        <w:t xml:space="preserve"> </w:t>
      </w:r>
      <w:r>
        <w:rPr>
          <w:rFonts w:hint="cs"/>
          <w:b/>
          <w:bCs/>
          <w:rtl/>
        </w:rPr>
        <w:t>לשנים 2015 - 2018</w:t>
      </w:r>
      <w:r>
        <w:rPr>
          <w:rFonts w:hint="cs"/>
          <w:rtl/>
        </w:rPr>
        <w:t xml:space="preserve"> (פורסם בשנת 2020). </w:t>
      </w:r>
    </w:p>
  </w:footnote>
  <w:footnote w:id="82">
    <w:p w14:paraId="1D336D96" w14:textId="77777777" w:rsidR="00BC7416" w:rsidRPr="00441AFC" w:rsidRDefault="00BC7416" w:rsidP="00441AFC">
      <w:pPr>
        <w:pStyle w:val="71a"/>
      </w:pPr>
      <w:r w:rsidRPr="00441AFC">
        <w:rPr>
          <w:rStyle w:val="a9"/>
          <w:vertAlign w:val="baseline"/>
        </w:rPr>
        <w:footnoteRef/>
      </w:r>
      <w:r w:rsidRPr="00441AFC">
        <w:rPr>
          <w:rFonts w:hint="cs"/>
          <w:rtl/>
        </w:rPr>
        <w:t xml:space="preserve"> </w:t>
      </w:r>
      <w:r w:rsidRPr="00441AFC">
        <w:rPr>
          <w:rFonts w:hint="cs"/>
          <w:rtl/>
        </w:rPr>
        <w:tab/>
        <w:t>סעיפים 3 ו-4 לחוק רשות מקרקעי ישראל, התש"ך-1960.</w:t>
      </w:r>
    </w:p>
  </w:footnote>
  <w:footnote w:id="83">
    <w:p w14:paraId="58FFE251" w14:textId="77777777" w:rsidR="00BC7416" w:rsidRDefault="00BC7416" w:rsidP="00800400">
      <w:pPr>
        <w:pStyle w:val="71a"/>
      </w:pPr>
      <w:r>
        <w:rPr>
          <w:rStyle w:val="a9"/>
        </w:rPr>
        <w:footnoteRef/>
      </w:r>
      <w:r>
        <w:rPr>
          <w:rFonts w:hint="cs"/>
          <w:rtl/>
        </w:rPr>
        <w:t xml:space="preserve"> </w:t>
      </w:r>
      <w:r>
        <w:rPr>
          <w:rFonts w:hint="cs"/>
          <w:rtl/>
        </w:rPr>
        <w:tab/>
        <w:t xml:space="preserve">ראו רשות מקרקעי ישראל, </w:t>
      </w:r>
      <w:r w:rsidRPr="00153B4E">
        <w:rPr>
          <w:rFonts w:hint="cs"/>
          <w:b/>
          <w:bCs/>
          <w:rtl/>
        </w:rPr>
        <w:t>דין וחשבון על פעולות רשות מקרקעי ישראל לשנת 2013</w:t>
      </w:r>
      <w:r>
        <w:rPr>
          <w:rFonts w:hint="cs"/>
          <w:rtl/>
        </w:rPr>
        <w:t xml:space="preserve"> (פורסם בשנת 2014), </w:t>
      </w:r>
      <w:r w:rsidRPr="00153B4E">
        <w:rPr>
          <w:rFonts w:hint="cs"/>
          <w:b/>
          <w:bCs/>
          <w:rtl/>
        </w:rPr>
        <w:t>דין וחשבון על פעולות רשות מקרקעי ישראל לשנת 2014</w:t>
      </w:r>
      <w:r>
        <w:rPr>
          <w:rFonts w:hint="cs"/>
          <w:rtl/>
        </w:rPr>
        <w:t xml:space="preserve"> (פורסם בשנת 2015), </w:t>
      </w:r>
      <w:r w:rsidRPr="00153B4E">
        <w:rPr>
          <w:rFonts w:hint="cs"/>
          <w:b/>
          <w:bCs/>
          <w:rtl/>
        </w:rPr>
        <w:t xml:space="preserve">דין וחשבון על פעולות רשות מקרקעי ישראל לשנת 2015 </w:t>
      </w:r>
      <w:r>
        <w:rPr>
          <w:rFonts w:hint="cs"/>
          <w:rtl/>
        </w:rPr>
        <w:t xml:space="preserve">(פורסם בשנת 2016), </w:t>
      </w:r>
      <w:r w:rsidRPr="00153B4E">
        <w:rPr>
          <w:rFonts w:hint="cs"/>
          <w:b/>
          <w:bCs/>
          <w:rtl/>
        </w:rPr>
        <w:t>דין וחשבון על פעולות רשות מקרקעי ישראל לשנת 2017</w:t>
      </w:r>
      <w:r>
        <w:rPr>
          <w:rFonts w:hint="cs"/>
          <w:rtl/>
        </w:rPr>
        <w:t xml:space="preserve"> (פורסם בשנת 2018), </w:t>
      </w:r>
      <w:r w:rsidRPr="00153B4E">
        <w:rPr>
          <w:rFonts w:hint="cs"/>
          <w:b/>
          <w:bCs/>
          <w:rtl/>
        </w:rPr>
        <w:t>דין וחשבון על פעולות רשות מקרקעי ישראל לשנת 2019</w:t>
      </w:r>
      <w:r>
        <w:rPr>
          <w:rFonts w:hint="cs"/>
          <w:rtl/>
        </w:rPr>
        <w:t xml:space="preserve"> (פורסם בשנת 2020). לא הוגש דוח לשנת 2016.</w:t>
      </w:r>
    </w:p>
  </w:footnote>
  <w:footnote w:id="84">
    <w:p w14:paraId="2408BD89" w14:textId="77777777" w:rsidR="00BC7416" w:rsidRDefault="00BC7416" w:rsidP="00B91329">
      <w:pPr>
        <w:pStyle w:val="71a"/>
        <w:rPr>
          <w:rtl/>
        </w:rPr>
      </w:pPr>
      <w:r w:rsidRPr="00B91329">
        <w:footnoteRef/>
      </w:r>
      <w:r w:rsidRPr="00B91329">
        <w:rPr>
          <w:rtl/>
        </w:rPr>
        <w:t xml:space="preserve"> </w:t>
      </w:r>
      <w:r>
        <w:rPr>
          <w:rtl/>
        </w:rPr>
        <w:tab/>
      </w:r>
      <w:r>
        <w:rPr>
          <w:rFonts w:hint="cs"/>
          <w:rtl/>
        </w:rPr>
        <w:t xml:space="preserve">בנק ישראל, </w:t>
      </w:r>
      <w:r w:rsidRPr="006D468E">
        <w:rPr>
          <w:rFonts w:hint="cs"/>
          <w:b/>
          <w:bCs/>
          <w:rtl/>
        </w:rPr>
        <w:t>דין וחשבון 2017</w:t>
      </w:r>
      <w:r>
        <w:rPr>
          <w:rFonts w:hint="cs"/>
          <w:rtl/>
        </w:rPr>
        <w:t xml:space="preserve"> (פורסם בשנת 2018), עמ' 231.</w:t>
      </w:r>
    </w:p>
  </w:footnote>
  <w:footnote w:id="85">
    <w:p w14:paraId="7E5BE7B0" w14:textId="77777777" w:rsidR="00BC7416" w:rsidRPr="00132667" w:rsidRDefault="00BC7416" w:rsidP="00B91329">
      <w:pPr>
        <w:pStyle w:val="71a"/>
      </w:pPr>
      <w:r w:rsidRPr="00B91329">
        <w:footnoteRef/>
      </w:r>
      <w:r>
        <w:rPr>
          <w:rtl/>
        </w:rPr>
        <w:t xml:space="preserve"> </w:t>
      </w:r>
      <w:r>
        <w:rPr>
          <w:rtl/>
        </w:rPr>
        <w:tab/>
      </w:r>
      <w:r>
        <w:rPr>
          <w:rFonts w:hint="cs"/>
          <w:rtl/>
        </w:rPr>
        <w:t>להבדיל מ</w:t>
      </w:r>
      <w:r>
        <w:rPr>
          <w:rtl/>
        </w:rPr>
        <w:t>הכנסות מהשתתפות ממשלתית</w:t>
      </w:r>
      <w:r>
        <w:rPr>
          <w:rFonts w:hint="cs"/>
          <w:rtl/>
        </w:rPr>
        <w:t>:</w:t>
      </w:r>
      <w:r w:rsidRPr="00132667">
        <w:rPr>
          <w:rtl/>
        </w:rPr>
        <w:t xml:space="preserve"> הכנסות שנועדו למימון שירותים ממלכתיים (חינוך ורווחה) וכן ממענק האיזון שמשרד הפנים מעניק לרשויות לפי קריטריונים מסוימים.</w:t>
      </w:r>
      <w:r>
        <w:rPr>
          <w:rFonts w:hint="cs"/>
          <w:rtl/>
        </w:rPr>
        <w:t xml:space="preserve"> ראו: בנק ישראל, </w:t>
      </w:r>
      <w:r w:rsidRPr="00132667">
        <w:rPr>
          <w:rFonts w:hint="cs"/>
          <w:b/>
          <w:bCs/>
          <w:rtl/>
        </w:rPr>
        <w:t>דין וחשבון 2017</w:t>
      </w:r>
      <w:r>
        <w:rPr>
          <w:rFonts w:hint="cs"/>
          <w:rtl/>
        </w:rPr>
        <w:t xml:space="preserve"> (2018), עמ' 231.</w:t>
      </w:r>
    </w:p>
  </w:footnote>
  <w:footnote w:id="86">
    <w:p w14:paraId="26D4509D" w14:textId="77777777" w:rsidR="00BC7416" w:rsidRDefault="00BC7416" w:rsidP="00B91329">
      <w:pPr>
        <w:pStyle w:val="71a"/>
        <w:rPr>
          <w:rtl/>
        </w:rPr>
      </w:pPr>
      <w:r w:rsidRPr="00B91329">
        <w:footnoteRef/>
      </w:r>
      <w:r>
        <w:rPr>
          <w:rtl/>
        </w:rPr>
        <w:t xml:space="preserve"> </w:t>
      </w:r>
      <w:r>
        <w:rPr>
          <w:rtl/>
        </w:rPr>
        <w:tab/>
      </w:r>
      <w:r w:rsidRPr="00283061">
        <w:rPr>
          <w:rtl/>
        </w:rPr>
        <w:t>תעריף המינימום כפול מ</w:t>
      </w:r>
      <w:r>
        <w:rPr>
          <w:rFonts w:hint="cs"/>
          <w:rtl/>
        </w:rPr>
        <w:t xml:space="preserve">תעריף </w:t>
      </w:r>
      <w:r w:rsidRPr="00283061">
        <w:rPr>
          <w:rtl/>
        </w:rPr>
        <w:t>המינימום למגורים ותער</w:t>
      </w:r>
      <w:r>
        <w:rPr>
          <w:rtl/>
        </w:rPr>
        <w:t>יף המקסימום גבוה מפי שלושה ממנו</w:t>
      </w:r>
      <w:r>
        <w:rPr>
          <w:rFonts w:hint="cs"/>
          <w:rtl/>
        </w:rPr>
        <w:t xml:space="preserve">. ראו בנק ישראל, </w:t>
      </w:r>
      <w:r w:rsidRPr="00132667">
        <w:rPr>
          <w:rFonts w:hint="cs"/>
          <w:b/>
          <w:bCs/>
          <w:rtl/>
        </w:rPr>
        <w:t>דין וחשבון 2017</w:t>
      </w:r>
      <w:r>
        <w:rPr>
          <w:rFonts w:hint="cs"/>
          <w:rtl/>
        </w:rPr>
        <w:t xml:space="preserve"> (פורסם בשנת 2018), עמ' 232.</w:t>
      </w:r>
    </w:p>
  </w:footnote>
  <w:footnote w:id="87">
    <w:p w14:paraId="3A254C4F" w14:textId="77777777" w:rsidR="00BC7416" w:rsidRDefault="00BC7416" w:rsidP="00B91329">
      <w:pPr>
        <w:pStyle w:val="71a"/>
        <w:rPr>
          <w:rtl/>
        </w:rPr>
      </w:pPr>
      <w:r w:rsidRPr="00B91329">
        <w:footnoteRef/>
      </w:r>
      <w:r>
        <w:rPr>
          <w:rtl/>
        </w:rPr>
        <w:t xml:space="preserve"> </w:t>
      </w:r>
      <w:r>
        <w:rPr>
          <w:rtl/>
        </w:rPr>
        <w:tab/>
        <w:t>ביניהם אזרחים ותיקים, נכים</w:t>
      </w:r>
      <w:r w:rsidRPr="003B2BD2">
        <w:rPr>
          <w:rtl/>
        </w:rPr>
        <w:t xml:space="preserve"> ומעוטי הכנסה</w:t>
      </w:r>
      <w:r>
        <w:rPr>
          <w:rFonts w:hint="cs"/>
          <w:rtl/>
        </w:rPr>
        <w:t>.</w:t>
      </w:r>
    </w:p>
  </w:footnote>
  <w:footnote w:id="88">
    <w:p w14:paraId="0275B21C" w14:textId="77777777" w:rsidR="00BC7416" w:rsidRDefault="00BC7416" w:rsidP="00B91329">
      <w:pPr>
        <w:pStyle w:val="71a"/>
        <w:rPr>
          <w:rtl/>
        </w:rPr>
      </w:pPr>
      <w:r w:rsidRPr="00B91329">
        <w:footnoteRef/>
      </w:r>
      <w:r>
        <w:rPr>
          <w:rtl/>
        </w:rPr>
        <w:t xml:space="preserve"> </w:t>
      </w:r>
      <w:r>
        <w:rPr>
          <w:rtl/>
        </w:rPr>
        <w:tab/>
      </w:r>
      <w:r>
        <w:rPr>
          <w:rFonts w:hint="cs"/>
          <w:rtl/>
        </w:rPr>
        <w:t>האמור נוגע לתקציב הרגיל המשמש למימון הפעילות השוטפת. התקציב</w:t>
      </w:r>
      <w:r w:rsidRPr="00D129BC">
        <w:rPr>
          <w:rtl/>
        </w:rPr>
        <w:t xml:space="preserve"> הבלתי רגיל </w:t>
      </w:r>
      <w:r>
        <w:rPr>
          <w:rFonts w:hint="cs"/>
          <w:rtl/>
        </w:rPr>
        <w:t xml:space="preserve">של הרשות </w:t>
      </w:r>
      <w:r w:rsidRPr="00D129BC">
        <w:rPr>
          <w:rtl/>
        </w:rPr>
        <w:t>מיועד לפיתוח (</w:t>
      </w:r>
      <w:r>
        <w:rPr>
          <w:rFonts w:hint="cs"/>
          <w:rtl/>
        </w:rPr>
        <w:t>למשל ל</w:t>
      </w:r>
      <w:r w:rsidRPr="00D129BC">
        <w:rPr>
          <w:rtl/>
        </w:rPr>
        <w:t>בניית תשתיות ו</w:t>
      </w:r>
      <w:r>
        <w:rPr>
          <w:rtl/>
        </w:rPr>
        <w:t>מבני ציבור) ול</w:t>
      </w:r>
      <w:r>
        <w:rPr>
          <w:rFonts w:hint="cs"/>
          <w:rtl/>
        </w:rPr>
        <w:t xml:space="preserve">מימון </w:t>
      </w:r>
      <w:r>
        <w:rPr>
          <w:rtl/>
        </w:rPr>
        <w:t>הוצאות חד־פעמיות</w:t>
      </w:r>
      <w:r>
        <w:rPr>
          <w:rFonts w:hint="cs"/>
          <w:rtl/>
        </w:rPr>
        <w:t xml:space="preserve">, ולכל תקציב יש את מקורות ההכנסה הבלעדיים לו. למשל, </w:t>
      </w:r>
      <w:r>
        <w:rPr>
          <w:rtl/>
        </w:rPr>
        <w:t>הכנסות הרשו</w:t>
      </w:r>
      <w:r w:rsidRPr="00D129BC">
        <w:rPr>
          <w:rtl/>
        </w:rPr>
        <w:t xml:space="preserve">ת מהיטל השבחה </w:t>
      </w:r>
      <w:r>
        <w:rPr>
          <w:rFonts w:hint="cs"/>
          <w:rtl/>
        </w:rPr>
        <w:t>משמשות מקור תקציבי רק</w:t>
      </w:r>
      <w:r w:rsidRPr="00D129BC">
        <w:rPr>
          <w:rtl/>
        </w:rPr>
        <w:t xml:space="preserve"> </w:t>
      </w:r>
      <w:r>
        <w:rPr>
          <w:rFonts w:hint="cs"/>
          <w:rtl/>
        </w:rPr>
        <w:t>ל</w:t>
      </w:r>
      <w:r w:rsidRPr="00D129BC">
        <w:rPr>
          <w:rtl/>
        </w:rPr>
        <w:t>תקציב הבלתי רגיל</w:t>
      </w:r>
      <w:r>
        <w:rPr>
          <w:rFonts w:hint="cs"/>
          <w:rtl/>
        </w:rPr>
        <w:t>,</w:t>
      </w:r>
      <w:r w:rsidRPr="00D129BC">
        <w:rPr>
          <w:rtl/>
        </w:rPr>
        <w:t xml:space="preserve"> </w:t>
      </w:r>
      <w:r>
        <w:rPr>
          <w:rFonts w:hint="cs"/>
          <w:rtl/>
        </w:rPr>
        <w:t xml:space="preserve">ואילו </w:t>
      </w:r>
      <w:r w:rsidRPr="00D129BC">
        <w:rPr>
          <w:rtl/>
        </w:rPr>
        <w:t xml:space="preserve">תקבולי הארנונה </w:t>
      </w:r>
      <w:r>
        <w:rPr>
          <w:rFonts w:hint="cs"/>
          <w:rtl/>
        </w:rPr>
        <w:t xml:space="preserve">משמשים </w:t>
      </w:r>
      <w:r w:rsidRPr="00D129BC">
        <w:rPr>
          <w:rtl/>
        </w:rPr>
        <w:t xml:space="preserve">רק </w:t>
      </w:r>
      <w:r>
        <w:rPr>
          <w:rFonts w:hint="cs"/>
          <w:rtl/>
        </w:rPr>
        <w:t>ל</w:t>
      </w:r>
      <w:r w:rsidRPr="00D129BC">
        <w:rPr>
          <w:rtl/>
        </w:rPr>
        <w:t>תקציב הרגיל.</w:t>
      </w:r>
      <w:r>
        <w:rPr>
          <w:rFonts w:hint="cs"/>
          <w:rtl/>
        </w:rPr>
        <w:t xml:space="preserve"> ראו בנק ישראל, </w:t>
      </w:r>
      <w:r w:rsidRPr="00C86D8E">
        <w:rPr>
          <w:rFonts w:hint="cs"/>
          <w:b/>
          <w:bCs/>
          <w:rtl/>
        </w:rPr>
        <w:t>דין וחשבון 20</w:t>
      </w:r>
      <w:r w:rsidRPr="00510476">
        <w:rPr>
          <w:rFonts w:hint="cs"/>
          <w:b/>
          <w:bCs/>
          <w:rtl/>
        </w:rPr>
        <w:t xml:space="preserve">17 </w:t>
      </w:r>
      <w:r>
        <w:rPr>
          <w:rFonts w:hint="cs"/>
          <w:rtl/>
        </w:rPr>
        <w:t xml:space="preserve">(פורסם בשנת 2018), </w:t>
      </w:r>
      <w:r w:rsidRPr="00DA7E34">
        <w:rPr>
          <w:rFonts w:hint="eastAsia"/>
          <w:rtl/>
        </w:rPr>
        <w:t>עמ</w:t>
      </w:r>
      <w:r w:rsidRPr="00DA7E34">
        <w:rPr>
          <w:rtl/>
        </w:rPr>
        <w:t>'</w:t>
      </w:r>
      <w:r>
        <w:rPr>
          <w:rFonts w:hint="cs"/>
          <w:rtl/>
        </w:rPr>
        <w:t xml:space="preserve"> </w:t>
      </w:r>
      <w:r w:rsidRPr="00B7087A">
        <w:rPr>
          <w:rFonts w:hint="cs"/>
          <w:rtl/>
        </w:rPr>
        <w:t>231</w:t>
      </w:r>
      <w:r>
        <w:rPr>
          <w:rFonts w:hint="cs"/>
          <w:rtl/>
        </w:rPr>
        <w:t>.</w:t>
      </w:r>
    </w:p>
  </w:footnote>
  <w:footnote w:id="89">
    <w:p w14:paraId="783E8D06" w14:textId="77777777" w:rsidR="00BC7416" w:rsidRPr="002A0449" w:rsidRDefault="00BC7416" w:rsidP="00B91329">
      <w:pPr>
        <w:pStyle w:val="71a"/>
        <w:rPr>
          <w:rtl/>
        </w:rPr>
      </w:pPr>
      <w:r w:rsidRPr="00955C7A">
        <w:rPr>
          <w:b/>
          <w:bCs/>
        </w:rPr>
        <w:footnoteRef/>
      </w:r>
      <w:r w:rsidRPr="00955C7A">
        <w:rPr>
          <w:b/>
          <w:bCs/>
          <w:rtl/>
        </w:rPr>
        <w:t xml:space="preserve"> </w:t>
      </w:r>
      <w:r>
        <w:rPr>
          <w:rtl/>
        </w:rPr>
        <w:tab/>
      </w:r>
      <w:r w:rsidRPr="002A0449">
        <w:rPr>
          <w:rtl/>
        </w:rPr>
        <w:t xml:space="preserve">בנק ישראל, </w:t>
      </w:r>
      <w:r w:rsidRPr="002A0449">
        <w:rPr>
          <w:b/>
          <w:bCs/>
          <w:rtl/>
        </w:rPr>
        <w:t>דין וחשבון 2017</w:t>
      </w:r>
      <w:r w:rsidRPr="002A0449">
        <w:rPr>
          <w:rtl/>
        </w:rPr>
        <w:t xml:space="preserve"> (</w:t>
      </w:r>
      <w:r w:rsidRPr="002A0449">
        <w:rPr>
          <w:rFonts w:hint="cs"/>
          <w:rtl/>
        </w:rPr>
        <w:t xml:space="preserve">פורסם בשנת </w:t>
      </w:r>
      <w:r w:rsidRPr="002A0449">
        <w:rPr>
          <w:rtl/>
        </w:rPr>
        <w:t>2018)</w:t>
      </w:r>
      <w:r w:rsidRPr="002A0449">
        <w:rPr>
          <w:rFonts w:hint="cs"/>
          <w:rtl/>
        </w:rPr>
        <w:t>,</w:t>
      </w:r>
      <w:r w:rsidRPr="002A0449">
        <w:rPr>
          <w:rtl/>
        </w:rPr>
        <w:t xml:space="preserve"> עמ' </w:t>
      </w:r>
      <w:r w:rsidRPr="002A0449">
        <w:rPr>
          <w:rFonts w:hint="cs"/>
          <w:rtl/>
        </w:rPr>
        <w:t>231.</w:t>
      </w:r>
    </w:p>
  </w:footnote>
  <w:footnote w:id="90">
    <w:p w14:paraId="12B50982" w14:textId="2DDAE713" w:rsidR="00BC7416" w:rsidRPr="002A0449" w:rsidRDefault="00BC7416" w:rsidP="00955C7A">
      <w:pPr>
        <w:pStyle w:val="71a"/>
        <w:rPr>
          <w:rtl/>
        </w:rPr>
      </w:pPr>
      <w:r w:rsidRPr="00955C7A">
        <w:footnoteRef/>
      </w:r>
      <w:r w:rsidRPr="002A0449">
        <w:rPr>
          <w:rtl/>
        </w:rPr>
        <w:t xml:space="preserve"> </w:t>
      </w:r>
      <w:r w:rsidRPr="002A0449">
        <w:rPr>
          <w:rtl/>
        </w:rPr>
        <w:tab/>
      </w:r>
      <w:r w:rsidRPr="002A0449">
        <w:rPr>
          <w:rFonts w:hint="eastAsia"/>
          <w:rtl/>
        </w:rPr>
        <w:t>המודל</w:t>
      </w:r>
      <w:r w:rsidRPr="002A0449">
        <w:rPr>
          <w:rtl/>
        </w:rPr>
        <w:t xml:space="preserve"> מתבסס על מספר ההיתרים שניתנו בפועל ב־4 השנים האחרונות ובשנה החמישית לתחשיב </w:t>
      </w:r>
      <w:r w:rsidRPr="002A0449">
        <w:rPr>
          <w:rFonts w:hint="cs"/>
          <w:rtl/>
        </w:rPr>
        <w:t xml:space="preserve">בהתבסס על </w:t>
      </w:r>
      <w:r w:rsidRPr="002A0449">
        <w:rPr>
          <w:rtl/>
        </w:rPr>
        <w:t xml:space="preserve">יעד </w:t>
      </w:r>
      <w:r w:rsidRPr="002A0449">
        <w:rPr>
          <w:rFonts w:hint="cs"/>
          <w:rtl/>
        </w:rPr>
        <w:t>השיווקים</w:t>
      </w:r>
      <w:r w:rsidRPr="002A0449">
        <w:rPr>
          <w:rtl/>
        </w:rPr>
        <w:t xml:space="preserve"> שנקבע בהסכם הגג</w:t>
      </w:r>
      <w:r w:rsidRPr="002A0449">
        <w:rPr>
          <w:rFonts w:hint="cs"/>
          <w:rtl/>
        </w:rPr>
        <w:t xml:space="preserve"> </w:t>
      </w:r>
      <w:r w:rsidRPr="002A0449">
        <w:rPr>
          <w:rtl/>
        </w:rPr>
        <w:t>(2,000 יח״ד</w:t>
      </w:r>
      <w:r w:rsidRPr="002A0449">
        <w:rPr>
          <w:rFonts w:hint="cs"/>
          <w:rtl/>
        </w:rPr>
        <w:t xml:space="preserve"> לשנה</w:t>
      </w:r>
      <w:r w:rsidRPr="002A0449">
        <w:rPr>
          <w:rtl/>
        </w:rPr>
        <w:t xml:space="preserve">). משרד הפנים, </w:t>
      </w:r>
      <w:r w:rsidRPr="002A0449">
        <w:rPr>
          <w:rFonts w:hint="eastAsia"/>
          <w:b/>
          <w:bCs/>
          <w:rtl/>
        </w:rPr>
        <w:t>דיור</w:t>
      </w:r>
      <w:r w:rsidRPr="002A0449">
        <w:rPr>
          <w:b/>
          <w:bCs/>
          <w:rtl/>
        </w:rPr>
        <w:t xml:space="preserve"> מואץ וחוסן </w:t>
      </w:r>
      <w:r w:rsidRPr="002A0449">
        <w:rPr>
          <w:rFonts w:hint="eastAsia"/>
          <w:b/>
          <w:bCs/>
          <w:rtl/>
        </w:rPr>
        <w:t>מוניצפלי</w:t>
      </w:r>
      <w:r w:rsidRPr="002A0449">
        <w:rPr>
          <w:rtl/>
        </w:rPr>
        <w:t xml:space="preserve">, (2020), </w:t>
      </w:r>
      <w:r w:rsidRPr="002A0449">
        <w:rPr>
          <w:rFonts w:hint="eastAsia"/>
          <w:rtl/>
        </w:rPr>
        <w:t>עמ</w:t>
      </w:r>
      <w:r w:rsidRPr="002A0449">
        <w:rPr>
          <w:rtl/>
        </w:rPr>
        <w:t>'</w:t>
      </w:r>
      <w:r>
        <w:rPr>
          <w:rtl/>
        </w:rPr>
        <w:br/>
      </w:r>
      <w:r w:rsidRPr="002A0449">
        <w:rPr>
          <w:rtl/>
        </w:rPr>
        <w:t>2 - 10, 18.</w:t>
      </w:r>
    </w:p>
  </w:footnote>
  <w:footnote w:id="91">
    <w:p w14:paraId="463A810A" w14:textId="77777777" w:rsidR="00BC7416" w:rsidRPr="002A0449" w:rsidRDefault="00BC7416" w:rsidP="00955C7A">
      <w:pPr>
        <w:pStyle w:val="71a"/>
        <w:rPr>
          <w:rtl/>
        </w:rPr>
      </w:pPr>
      <w:r w:rsidRPr="00955C7A">
        <w:footnoteRef/>
      </w:r>
      <w:r w:rsidRPr="002A0449">
        <w:rPr>
          <w:rtl/>
        </w:rPr>
        <w:t xml:space="preserve"> </w:t>
      </w:r>
      <w:r w:rsidRPr="002A0449">
        <w:rPr>
          <w:rtl/>
        </w:rPr>
        <w:tab/>
      </w:r>
      <w:r w:rsidRPr="002A0449">
        <w:rPr>
          <w:rFonts w:hint="cs"/>
          <w:rtl/>
        </w:rPr>
        <w:t xml:space="preserve">ראו גם בנק ישראל, </w:t>
      </w:r>
      <w:r w:rsidRPr="002A0449">
        <w:rPr>
          <w:b/>
          <w:bCs/>
          <w:rtl/>
        </w:rPr>
        <w:t>דין וחשבון 2017</w:t>
      </w:r>
      <w:r w:rsidRPr="002A0449">
        <w:rPr>
          <w:rtl/>
        </w:rPr>
        <w:t xml:space="preserve"> (</w:t>
      </w:r>
      <w:r w:rsidRPr="002A0449">
        <w:rPr>
          <w:rFonts w:hint="cs"/>
          <w:rtl/>
        </w:rPr>
        <w:t xml:space="preserve">פורסם בשנת </w:t>
      </w:r>
      <w:r w:rsidRPr="002A0449">
        <w:rPr>
          <w:rtl/>
        </w:rPr>
        <w:t xml:space="preserve">2018), עמ' </w:t>
      </w:r>
      <w:r w:rsidRPr="002A0449">
        <w:rPr>
          <w:rFonts w:hint="cs"/>
          <w:rtl/>
        </w:rPr>
        <w:t xml:space="preserve">231 - 234. </w:t>
      </w:r>
    </w:p>
  </w:footnote>
  <w:footnote w:id="92">
    <w:p w14:paraId="4D753B0B" w14:textId="77777777" w:rsidR="00BC7416" w:rsidRPr="007479FC" w:rsidRDefault="00BC7416" w:rsidP="00955C7A">
      <w:pPr>
        <w:pStyle w:val="71a"/>
      </w:pPr>
      <w:r w:rsidRPr="00955C7A">
        <w:footnoteRef/>
      </w:r>
      <w:r w:rsidRPr="002A0449">
        <w:rPr>
          <w:rtl/>
        </w:rPr>
        <w:t xml:space="preserve"> </w:t>
      </w:r>
      <w:r w:rsidRPr="002A0449">
        <w:rPr>
          <w:rtl/>
        </w:rPr>
        <w:tab/>
      </w:r>
      <w:r w:rsidRPr="002A0449">
        <w:rPr>
          <w:rFonts w:hint="cs"/>
          <w:rtl/>
        </w:rPr>
        <w:t>לגבי ה</w:t>
      </w:r>
      <w:r w:rsidRPr="002A0449">
        <w:rPr>
          <w:rtl/>
        </w:rPr>
        <w:t xml:space="preserve">רשויות </w:t>
      </w:r>
      <w:r w:rsidRPr="002A0449">
        <w:rPr>
          <w:rFonts w:hint="cs"/>
          <w:rtl/>
        </w:rPr>
        <w:t xml:space="preserve">באר יעקב, הרצלייה, חיפה, יהוד, מודיעין ורמת גן - לטענת משרד הפנים </w:t>
      </w:r>
      <w:r w:rsidRPr="002A0449">
        <w:rPr>
          <w:rtl/>
        </w:rPr>
        <w:t>לא הי</w:t>
      </w:r>
      <w:r w:rsidRPr="002A0449">
        <w:rPr>
          <w:rFonts w:hint="cs"/>
          <w:rtl/>
        </w:rPr>
        <w:t>ו</w:t>
      </w:r>
      <w:r w:rsidRPr="002A0449">
        <w:rPr>
          <w:rtl/>
        </w:rPr>
        <w:t xml:space="preserve"> </w:t>
      </w:r>
      <w:r w:rsidRPr="002A0449">
        <w:rPr>
          <w:rFonts w:hint="cs"/>
          <w:rtl/>
        </w:rPr>
        <w:t>לו די</w:t>
      </w:r>
      <w:r w:rsidRPr="002A0449">
        <w:rPr>
          <w:rtl/>
        </w:rPr>
        <w:t xml:space="preserve"> נתונים לצורך קביעת </w:t>
      </w:r>
      <w:r w:rsidRPr="002A0449">
        <w:rPr>
          <w:rFonts w:hint="cs"/>
          <w:rtl/>
        </w:rPr>
        <w:t>ה</w:t>
      </w:r>
      <w:r w:rsidRPr="002A0449">
        <w:rPr>
          <w:rtl/>
        </w:rPr>
        <w:t xml:space="preserve">שיעור </w:t>
      </w:r>
      <w:r w:rsidRPr="002A0449">
        <w:rPr>
          <w:rFonts w:hint="cs"/>
          <w:rtl/>
        </w:rPr>
        <w:t xml:space="preserve">הצפוי של </w:t>
      </w:r>
      <w:r w:rsidRPr="002A0449">
        <w:rPr>
          <w:rtl/>
        </w:rPr>
        <w:t>מימוש</w:t>
      </w:r>
      <w:r w:rsidRPr="002A0449">
        <w:rPr>
          <w:rFonts w:hint="cs"/>
          <w:rtl/>
        </w:rPr>
        <w:t xml:space="preserve"> שטחי התעסוקה והמסחר בשטחן,</w:t>
      </w:r>
      <w:r w:rsidRPr="002A0449">
        <w:rPr>
          <w:rtl/>
        </w:rPr>
        <w:t xml:space="preserve"> ולכן הן לא נכללו ב</w:t>
      </w:r>
      <w:r w:rsidRPr="002A0449">
        <w:rPr>
          <w:rFonts w:hint="cs"/>
          <w:rtl/>
        </w:rPr>
        <w:t>תחשיב האמור</w:t>
      </w:r>
      <w:r w:rsidRPr="002A0449">
        <w:rPr>
          <w:rtl/>
        </w:rPr>
        <w:t>.</w:t>
      </w:r>
    </w:p>
  </w:footnote>
  <w:footnote w:id="93">
    <w:p w14:paraId="2566E9BE" w14:textId="77777777" w:rsidR="00BC7416" w:rsidRPr="00BB51E9" w:rsidRDefault="00BC7416" w:rsidP="00BB51E9">
      <w:pPr>
        <w:pStyle w:val="71a"/>
        <w:rPr>
          <w:rtl/>
        </w:rPr>
      </w:pPr>
      <w:r w:rsidRPr="00BB51E9">
        <w:rPr>
          <w:rStyle w:val="a9"/>
          <w:vertAlign w:val="baseline"/>
        </w:rPr>
        <w:footnoteRef/>
      </w:r>
      <w:r w:rsidRPr="00BB51E9">
        <w:rPr>
          <w:rtl/>
        </w:rPr>
        <w:t xml:space="preserve"> </w:t>
      </w:r>
      <w:r w:rsidRPr="00BB51E9">
        <w:rPr>
          <w:rtl/>
        </w:rPr>
        <w:tab/>
        <w:t xml:space="preserve">יצוין כי </w:t>
      </w:r>
      <w:r w:rsidRPr="00BB51E9">
        <w:rPr>
          <w:rFonts w:hint="cs"/>
          <w:rtl/>
        </w:rPr>
        <w:t xml:space="preserve">בהתאם להחלטת הממשלה על הסכמי הגג, "הוועדה המקומית [הרלוונטית לרשות שחתמה על הסכם הגג] תביע תמיכה עקרונית לאישור הקלות לצורך הגדלת מספר יחידות הדיור...". בהתאם לכך, ככלל </w:t>
      </w:r>
      <w:r w:rsidRPr="00BB51E9">
        <w:rPr>
          <w:rtl/>
        </w:rPr>
        <w:t xml:space="preserve">מספר יחה"ד שנבנות </w:t>
      </w:r>
      <w:r w:rsidRPr="00BB51E9">
        <w:rPr>
          <w:rFonts w:hint="cs"/>
          <w:rtl/>
        </w:rPr>
        <w:t>גדול</w:t>
      </w:r>
      <w:r w:rsidRPr="00BB51E9">
        <w:rPr>
          <w:rtl/>
        </w:rPr>
        <w:t xml:space="preserve"> ממספרן בתוכני</w:t>
      </w:r>
      <w:r w:rsidRPr="00BB51E9">
        <w:rPr>
          <w:rFonts w:hint="cs"/>
          <w:rtl/>
        </w:rPr>
        <w:t>ו</w:t>
      </w:r>
      <w:r w:rsidRPr="00BB51E9">
        <w:rPr>
          <w:rtl/>
        </w:rPr>
        <w:t>ת</w:t>
      </w:r>
      <w:r w:rsidRPr="00BB51E9">
        <w:rPr>
          <w:rFonts w:hint="cs"/>
          <w:rtl/>
        </w:rPr>
        <w:t xml:space="preserve"> לנוכח הקלות שניתנו.</w:t>
      </w:r>
      <w:r w:rsidRPr="00BB51E9">
        <w:rPr>
          <w:rtl/>
        </w:rPr>
        <w:t xml:space="preserve"> </w:t>
      </w:r>
      <w:r w:rsidRPr="00BB51E9">
        <w:rPr>
          <w:rFonts w:hint="cs"/>
          <w:rtl/>
        </w:rPr>
        <w:t xml:space="preserve">עקב כך </w:t>
      </w:r>
      <w:r w:rsidRPr="00BB51E9">
        <w:rPr>
          <w:rtl/>
        </w:rPr>
        <w:t xml:space="preserve">הפער בין </w:t>
      </w:r>
      <w:r w:rsidRPr="00BB51E9">
        <w:rPr>
          <w:rFonts w:hint="cs"/>
          <w:rtl/>
        </w:rPr>
        <w:t xml:space="preserve">מספר יחה"ד שנבנו בפועל </w:t>
      </w:r>
      <w:r w:rsidRPr="00BB51E9">
        <w:rPr>
          <w:rtl/>
        </w:rPr>
        <w:t>ל</w:t>
      </w:r>
      <w:r w:rsidRPr="00BB51E9">
        <w:rPr>
          <w:rFonts w:hint="cs"/>
          <w:rtl/>
        </w:rPr>
        <w:t>בין</w:t>
      </w:r>
      <w:r w:rsidRPr="00BB51E9">
        <w:rPr>
          <w:rtl/>
        </w:rPr>
        <w:t xml:space="preserve"> </w:t>
      </w:r>
      <w:r w:rsidRPr="00BB51E9">
        <w:rPr>
          <w:rFonts w:hint="cs"/>
          <w:rtl/>
        </w:rPr>
        <w:t xml:space="preserve">שטחי </w:t>
      </w:r>
      <w:r w:rsidRPr="00BB51E9">
        <w:rPr>
          <w:rtl/>
        </w:rPr>
        <w:t xml:space="preserve">מסחר </w:t>
      </w:r>
      <w:r w:rsidRPr="00BB51E9">
        <w:rPr>
          <w:rFonts w:hint="cs"/>
          <w:rtl/>
        </w:rPr>
        <w:t xml:space="preserve">ותעסוקה במונחי מ"ר </w:t>
      </w:r>
      <w:r w:rsidRPr="00BB51E9">
        <w:rPr>
          <w:rtl/>
        </w:rPr>
        <w:t>גדול יותר</w:t>
      </w:r>
      <w:r w:rsidRPr="00BB51E9">
        <w:rPr>
          <w:rFonts w:hint="cs"/>
          <w:rtl/>
        </w:rPr>
        <w:t xml:space="preserve"> מאשר הפער בין מספר היחידות בפועל למספר התוכניות שנקבעו בתוכניות</w:t>
      </w:r>
      <w:r w:rsidRPr="00BB51E9">
        <w:rPr>
          <w:rtl/>
        </w:rPr>
        <w:t>.</w:t>
      </w:r>
    </w:p>
  </w:footnote>
  <w:footnote w:id="94">
    <w:p w14:paraId="7821E235" w14:textId="77777777" w:rsidR="00BC7416" w:rsidRPr="009B7DF1" w:rsidRDefault="00BC7416" w:rsidP="009B7DF1">
      <w:pPr>
        <w:pStyle w:val="71a"/>
        <w:rPr>
          <w:rtl/>
        </w:rPr>
      </w:pPr>
      <w:r w:rsidRPr="009B7DF1">
        <w:rPr>
          <w:rStyle w:val="a9"/>
          <w:vertAlign w:val="baseline"/>
        </w:rPr>
        <w:footnoteRef/>
      </w:r>
      <w:r w:rsidRPr="009B7DF1">
        <w:rPr>
          <w:rtl/>
        </w:rPr>
        <w:t xml:space="preserve"> </w:t>
      </w:r>
      <w:r w:rsidRPr="009B7DF1">
        <w:rPr>
          <w:rtl/>
        </w:rPr>
        <w:tab/>
        <w:t>הלשכה המרכזית לסטטיסטיקה מדרגת את היישובים בישראל בעשרה אשכולות לפי מצבם החברתי-כלכלי של תושביהם: מאשכול 1 הכולל את היישובים החלשים ביותר ועד לאשכול 10 הכולל את היישובים החזקים ביותר.</w:t>
      </w:r>
    </w:p>
  </w:footnote>
  <w:footnote w:id="95">
    <w:p w14:paraId="46EFF055" w14:textId="77777777" w:rsidR="00BC7416" w:rsidRPr="009B7DF1" w:rsidRDefault="00BC7416" w:rsidP="009B7DF1">
      <w:pPr>
        <w:pStyle w:val="71a"/>
        <w:rPr>
          <w:rtl/>
        </w:rPr>
      </w:pPr>
      <w:r w:rsidRPr="009B7DF1">
        <w:rPr>
          <w:rStyle w:val="a9"/>
          <w:vertAlign w:val="baseline"/>
        </w:rPr>
        <w:footnoteRef/>
      </w:r>
      <w:r w:rsidRPr="009B7DF1">
        <w:rPr>
          <w:rtl/>
        </w:rPr>
        <w:t xml:space="preserve"> </w:t>
      </w:r>
      <w:r w:rsidRPr="009B7DF1">
        <w:rPr>
          <w:rtl/>
        </w:rPr>
        <w:tab/>
      </w:r>
      <w:r w:rsidRPr="009B7DF1">
        <w:rPr>
          <w:rFonts w:hint="cs"/>
          <w:rtl/>
        </w:rPr>
        <w:t xml:space="preserve">ברשויות </w:t>
      </w:r>
      <w:r w:rsidRPr="009B7DF1">
        <w:rPr>
          <w:rtl/>
        </w:rPr>
        <w:t xml:space="preserve">אור יהודה, אשקלון, באר יעקב, באר שבע, יבנה, </w:t>
      </w:r>
      <w:r w:rsidRPr="009B7DF1">
        <w:rPr>
          <w:rFonts w:hint="cs"/>
          <w:rtl/>
        </w:rPr>
        <w:t>מגדל העמק, נהרייה, נתיבות,</w:t>
      </w:r>
      <w:r w:rsidRPr="009B7DF1">
        <w:rPr>
          <w:rtl/>
        </w:rPr>
        <w:t xml:space="preserve"> </w:t>
      </w:r>
      <w:r w:rsidRPr="009B7DF1">
        <w:rPr>
          <w:rFonts w:hint="cs"/>
          <w:rtl/>
        </w:rPr>
        <w:t xml:space="preserve">עכו, </w:t>
      </w:r>
      <w:r w:rsidRPr="009B7DF1">
        <w:rPr>
          <w:rtl/>
        </w:rPr>
        <w:t>קריית גת</w:t>
      </w:r>
      <w:r w:rsidRPr="009B7DF1">
        <w:rPr>
          <w:rFonts w:hint="cs"/>
          <w:rtl/>
        </w:rPr>
        <w:t>, ראש העין,</w:t>
      </w:r>
      <w:r w:rsidRPr="009B7DF1">
        <w:rPr>
          <w:rtl/>
        </w:rPr>
        <w:t xml:space="preserve"> ראשון לציון</w:t>
      </w:r>
      <w:r w:rsidRPr="009B7DF1">
        <w:rPr>
          <w:rFonts w:hint="cs"/>
          <w:rtl/>
        </w:rPr>
        <w:t xml:space="preserve"> ורמלה. </w:t>
      </w:r>
    </w:p>
  </w:footnote>
  <w:footnote w:id="96">
    <w:p w14:paraId="7DE3C810" w14:textId="77777777" w:rsidR="00BC7416" w:rsidRPr="009B7DF1" w:rsidRDefault="00BC7416" w:rsidP="009B7DF1">
      <w:pPr>
        <w:pStyle w:val="71a"/>
      </w:pPr>
      <w:r w:rsidRPr="009B7DF1">
        <w:rPr>
          <w:rStyle w:val="a9"/>
          <w:vertAlign w:val="baseline"/>
        </w:rPr>
        <w:footnoteRef/>
      </w:r>
      <w:r w:rsidRPr="009B7DF1">
        <w:rPr>
          <w:rtl/>
        </w:rPr>
        <w:t xml:space="preserve"> </w:t>
      </w:r>
      <w:r w:rsidRPr="009B7DF1">
        <w:rPr>
          <w:rtl/>
        </w:rPr>
        <w:tab/>
      </w:r>
      <w:r w:rsidRPr="009B7DF1">
        <w:rPr>
          <w:rFonts w:hint="cs"/>
          <w:rtl/>
        </w:rPr>
        <w:t>ברשויות טירת כרמל, קריית ביאליק, מודיעין, בית שמש והרצלייה.</w:t>
      </w:r>
    </w:p>
  </w:footnote>
  <w:footnote w:id="97">
    <w:p w14:paraId="267F1031" w14:textId="77777777" w:rsidR="00BC7416" w:rsidRPr="00B849F7" w:rsidRDefault="00BC7416" w:rsidP="00B849F7">
      <w:pPr>
        <w:pStyle w:val="71a"/>
        <w:rPr>
          <w:rtl/>
        </w:rPr>
      </w:pPr>
      <w:r w:rsidRPr="00B849F7">
        <w:rPr>
          <w:rStyle w:val="a9"/>
          <w:vertAlign w:val="baseline"/>
        </w:rPr>
        <w:footnoteRef/>
      </w:r>
      <w:r w:rsidRPr="00B849F7">
        <w:rPr>
          <w:rtl/>
        </w:rPr>
        <w:t xml:space="preserve"> </w:t>
      </w:r>
      <w:r w:rsidRPr="00B849F7">
        <w:rPr>
          <w:rtl/>
        </w:rPr>
        <w:tab/>
      </w:r>
      <w:r w:rsidRPr="00B849F7">
        <w:rPr>
          <w:rFonts w:hint="cs"/>
          <w:rtl/>
        </w:rPr>
        <w:t>באר יעקב, יבנה, מגדל העמק, נהרייה, נתיבות, עכו, קריית גת, ראש העין ורמלה.</w:t>
      </w:r>
    </w:p>
  </w:footnote>
  <w:footnote w:id="98">
    <w:p w14:paraId="739CDD5F" w14:textId="77777777" w:rsidR="00BC7416" w:rsidRPr="00B849F7" w:rsidRDefault="00BC7416" w:rsidP="00B849F7">
      <w:pPr>
        <w:pStyle w:val="71a"/>
        <w:rPr>
          <w:rtl/>
        </w:rPr>
      </w:pPr>
      <w:r w:rsidRPr="00B849F7">
        <w:rPr>
          <w:rStyle w:val="a9"/>
          <w:vertAlign w:val="baseline"/>
        </w:rPr>
        <w:footnoteRef/>
      </w:r>
      <w:r w:rsidRPr="00B849F7">
        <w:rPr>
          <w:rtl/>
        </w:rPr>
        <w:t xml:space="preserve"> </w:t>
      </w:r>
      <w:r w:rsidRPr="00B849F7">
        <w:rPr>
          <w:rtl/>
        </w:rPr>
        <w:tab/>
      </w:r>
      <w:r w:rsidRPr="00B849F7">
        <w:rPr>
          <w:rFonts w:hint="cs"/>
          <w:rtl/>
        </w:rPr>
        <w:t>החלטת הממשלה 1533 (3.4.14).</w:t>
      </w:r>
    </w:p>
  </w:footnote>
  <w:footnote w:id="99">
    <w:p w14:paraId="63E580D8" w14:textId="77777777" w:rsidR="00BC7416" w:rsidRPr="00B849F7" w:rsidRDefault="00BC7416" w:rsidP="00B849F7">
      <w:pPr>
        <w:pStyle w:val="71a"/>
        <w:rPr>
          <w:rtl/>
        </w:rPr>
      </w:pPr>
      <w:r w:rsidRPr="00B849F7">
        <w:rPr>
          <w:rStyle w:val="a9"/>
          <w:vertAlign w:val="baseline"/>
        </w:rPr>
        <w:footnoteRef/>
      </w:r>
      <w:r w:rsidRPr="00B849F7">
        <w:rPr>
          <w:rtl/>
        </w:rPr>
        <w:t xml:space="preserve"> </w:t>
      </w:r>
      <w:r w:rsidRPr="00B849F7">
        <w:rPr>
          <w:rtl/>
        </w:rPr>
        <w:tab/>
      </w:r>
      <w:r w:rsidRPr="00B849F7">
        <w:rPr>
          <w:rFonts w:hint="cs"/>
          <w:rtl/>
        </w:rPr>
        <w:t xml:space="preserve">רשות מקומית </w:t>
      </w:r>
      <w:r w:rsidRPr="00B849F7">
        <w:rPr>
          <w:rtl/>
        </w:rPr>
        <w:t xml:space="preserve">אשר חיוב הארנונה שלא למגורים בשטחה </w:t>
      </w:r>
      <w:r w:rsidRPr="00B849F7">
        <w:rPr>
          <w:rFonts w:hint="cs"/>
          <w:rtl/>
        </w:rPr>
        <w:t>קטן</w:t>
      </w:r>
      <w:r w:rsidRPr="00B849F7">
        <w:rPr>
          <w:rtl/>
        </w:rPr>
        <w:t xml:space="preserve"> מ־55% מסך חיובי הארנונה בשטחה</w:t>
      </w:r>
      <w:r w:rsidRPr="00B849F7">
        <w:rPr>
          <w:rFonts w:hint="cs"/>
          <w:rtl/>
        </w:rPr>
        <w:t>,</w:t>
      </w:r>
      <w:r w:rsidRPr="00B849F7">
        <w:rPr>
          <w:rtl/>
        </w:rPr>
        <w:t xml:space="preserve"> סך ההכנסות העצמיות </w:t>
      </w:r>
      <w:r w:rsidRPr="00B849F7">
        <w:rPr>
          <w:rFonts w:hint="cs"/>
          <w:rtl/>
        </w:rPr>
        <w:t xml:space="preserve">של </w:t>
      </w:r>
      <w:r w:rsidRPr="00B849F7">
        <w:rPr>
          <w:rtl/>
        </w:rPr>
        <w:t>תושב</w:t>
      </w:r>
      <w:r w:rsidRPr="00B849F7">
        <w:rPr>
          <w:rFonts w:hint="cs"/>
          <w:rtl/>
        </w:rPr>
        <w:t>יה</w:t>
      </w:r>
      <w:r w:rsidRPr="00B849F7">
        <w:rPr>
          <w:rtl/>
        </w:rPr>
        <w:t xml:space="preserve"> </w:t>
      </w:r>
      <w:r w:rsidRPr="00B849F7">
        <w:rPr>
          <w:rFonts w:hint="cs"/>
          <w:rtl/>
        </w:rPr>
        <w:t>קטן</w:t>
      </w:r>
      <w:r w:rsidRPr="00B849F7">
        <w:rPr>
          <w:rtl/>
        </w:rPr>
        <w:t xml:space="preserve"> מ־4,599 </w:t>
      </w:r>
      <w:r w:rsidRPr="00B849F7">
        <w:rPr>
          <w:rFonts w:hint="cs"/>
          <w:rtl/>
        </w:rPr>
        <w:t>ש"ח</w:t>
      </w:r>
      <w:r w:rsidRPr="00B849F7">
        <w:rPr>
          <w:rtl/>
        </w:rPr>
        <w:t xml:space="preserve">, </w:t>
      </w:r>
      <w:r w:rsidRPr="00B849F7">
        <w:rPr>
          <w:rFonts w:hint="cs"/>
          <w:rtl/>
        </w:rPr>
        <w:t>ומספר</w:t>
      </w:r>
      <w:r w:rsidRPr="00B849F7">
        <w:rPr>
          <w:rtl/>
        </w:rPr>
        <w:t xml:space="preserve"> יחידות הדיור במקרקעי ישראל הצפוי </w:t>
      </w:r>
      <w:r w:rsidRPr="00B849F7">
        <w:rPr>
          <w:rFonts w:hint="cs"/>
          <w:rtl/>
        </w:rPr>
        <w:t>להיות משווק ב</w:t>
      </w:r>
      <w:r w:rsidRPr="00B849F7">
        <w:rPr>
          <w:rtl/>
        </w:rPr>
        <w:t>שטח</w:t>
      </w:r>
      <w:r w:rsidRPr="00B849F7">
        <w:rPr>
          <w:rFonts w:hint="cs"/>
          <w:rtl/>
        </w:rPr>
        <w:t>ה</w:t>
      </w:r>
      <w:r w:rsidRPr="00B849F7">
        <w:rPr>
          <w:rtl/>
        </w:rPr>
        <w:t xml:space="preserve"> בשנים </w:t>
      </w:r>
      <w:r w:rsidRPr="00B849F7">
        <w:rPr>
          <w:rFonts w:hint="cs"/>
          <w:rtl/>
        </w:rPr>
        <w:t>2014 - 2016</w:t>
      </w:r>
      <w:r w:rsidRPr="00B849F7">
        <w:rPr>
          <w:rtl/>
        </w:rPr>
        <w:t xml:space="preserve"> </w:t>
      </w:r>
      <w:r w:rsidRPr="00B849F7">
        <w:rPr>
          <w:rFonts w:hint="cs"/>
          <w:rtl/>
        </w:rPr>
        <w:t>גדול מ-</w:t>
      </w:r>
      <w:r w:rsidRPr="00B849F7">
        <w:rPr>
          <w:rtl/>
        </w:rPr>
        <w:t>3,000</w:t>
      </w:r>
      <w:r w:rsidRPr="00B849F7">
        <w:rPr>
          <w:rFonts w:hint="cs"/>
          <w:rtl/>
        </w:rPr>
        <w:t>.</w:t>
      </w:r>
      <w:r w:rsidRPr="00B849F7">
        <w:rPr>
          <w:rtl/>
        </w:rPr>
        <w:t xml:space="preserve"> </w:t>
      </w:r>
    </w:p>
  </w:footnote>
  <w:footnote w:id="100">
    <w:p w14:paraId="0F708169" w14:textId="77777777" w:rsidR="00BC7416" w:rsidRPr="00A74B11" w:rsidRDefault="00BC7416" w:rsidP="00A74B11">
      <w:pPr>
        <w:pStyle w:val="71a"/>
      </w:pPr>
      <w:r w:rsidRPr="00A74B11">
        <w:rPr>
          <w:rStyle w:val="a9"/>
          <w:vertAlign w:val="baseline"/>
        </w:rPr>
        <w:footnoteRef/>
      </w:r>
      <w:r w:rsidRPr="00A74B11">
        <w:rPr>
          <w:rtl/>
        </w:rPr>
        <w:t xml:space="preserve"> </w:t>
      </w:r>
      <w:r w:rsidRPr="00A74B11">
        <w:rPr>
          <w:rtl/>
        </w:rPr>
        <w:tab/>
        <w:t xml:space="preserve">ראו מבקר המדינה, </w:t>
      </w:r>
      <w:r w:rsidRPr="00A74B11">
        <w:rPr>
          <w:b/>
          <w:bCs/>
          <w:rtl/>
        </w:rPr>
        <w:t xml:space="preserve">דוח שנתי </w:t>
      </w:r>
      <w:r w:rsidRPr="00A74B11">
        <w:rPr>
          <w:rFonts w:hint="cs"/>
          <w:b/>
          <w:bCs/>
          <w:rtl/>
        </w:rPr>
        <w:t>68ג</w:t>
      </w:r>
      <w:r w:rsidRPr="00A74B11">
        <w:rPr>
          <w:rFonts w:hint="cs"/>
          <w:rtl/>
        </w:rPr>
        <w:t xml:space="preserve"> </w:t>
      </w:r>
      <w:r w:rsidRPr="00A74B11">
        <w:rPr>
          <w:rtl/>
        </w:rPr>
        <w:t>(201</w:t>
      </w:r>
      <w:r w:rsidRPr="00A74B11">
        <w:rPr>
          <w:rFonts w:hint="cs"/>
          <w:rtl/>
        </w:rPr>
        <w:t>8</w:t>
      </w:r>
      <w:r w:rsidRPr="00A74B11">
        <w:rPr>
          <w:rtl/>
        </w:rPr>
        <w:t xml:space="preserve">), "שקיפות הממשל - פעולות לקידום הממשל הפתוח", עמ' </w:t>
      </w:r>
      <w:r w:rsidRPr="00A74B11">
        <w:rPr>
          <w:rFonts w:hint="cs"/>
          <w:rtl/>
        </w:rPr>
        <w:t>17</w:t>
      </w:r>
      <w:r w:rsidRPr="00A74B11">
        <w:rPr>
          <w:rtl/>
        </w:rPr>
        <w:t>.</w:t>
      </w:r>
    </w:p>
  </w:footnote>
  <w:footnote w:id="101">
    <w:p w14:paraId="6A2146EC" w14:textId="77777777" w:rsidR="00BC7416" w:rsidRPr="00EF0F1E" w:rsidRDefault="00BC7416" w:rsidP="00EF0F1E">
      <w:pPr>
        <w:pStyle w:val="71a"/>
      </w:pPr>
      <w:r w:rsidRPr="00EF0F1E">
        <w:rPr>
          <w:rStyle w:val="a9"/>
          <w:vertAlign w:val="baseline"/>
        </w:rPr>
        <w:footnoteRef/>
      </w:r>
      <w:r w:rsidRPr="00EF0F1E">
        <w:rPr>
          <w:rtl/>
        </w:rPr>
        <w:t xml:space="preserve"> </w:t>
      </w:r>
      <w:r w:rsidRPr="00EF0F1E">
        <w:rPr>
          <w:rtl/>
        </w:rPr>
        <w:tab/>
      </w:r>
      <w:r w:rsidRPr="00EF0F1E">
        <w:rPr>
          <w:rFonts w:hint="cs"/>
          <w:rtl/>
        </w:rPr>
        <w:t xml:space="preserve">ההסכמים עם יהוד, קריית אתא ורמת גן. </w:t>
      </w:r>
    </w:p>
  </w:footnote>
  <w:footnote w:id="102">
    <w:p w14:paraId="19AACB44" w14:textId="77777777" w:rsidR="00BC7416" w:rsidRPr="00EF0F1E" w:rsidRDefault="00BC7416" w:rsidP="00EF0F1E">
      <w:pPr>
        <w:pStyle w:val="71a"/>
        <w:rPr>
          <w:rtl/>
        </w:rPr>
      </w:pPr>
      <w:r w:rsidRPr="00EF0F1E">
        <w:rPr>
          <w:rStyle w:val="a9"/>
          <w:vertAlign w:val="baseline"/>
        </w:rPr>
        <w:footnoteRef/>
      </w:r>
      <w:r w:rsidRPr="00EF0F1E">
        <w:rPr>
          <w:rtl/>
        </w:rPr>
        <w:t xml:space="preserve"> </w:t>
      </w:r>
      <w:r w:rsidRPr="00EF0F1E">
        <w:rPr>
          <w:rtl/>
        </w:rPr>
        <w:tab/>
      </w:r>
      <w:r w:rsidRPr="00EF0F1E">
        <w:rPr>
          <w:rFonts w:hint="cs"/>
          <w:rtl/>
        </w:rPr>
        <w:t>ההסכמים עם אופקים, אור יהודה, אילת, אשקלון, באר יעקב, הרצלייה, חיפה, יבנה, נתיבות, נתניה, עפולה, קריית ביאליק, ראשון לציון ורמלה.</w:t>
      </w:r>
    </w:p>
  </w:footnote>
  <w:footnote w:id="103">
    <w:p w14:paraId="4844A906" w14:textId="77777777" w:rsidR="00BC7416" w:rsidRPr="00EF0F1E" w:rsidRDefault="00BC7416" w:rsidP="00EF0F1E">
      <w:pPr>
        <w:pStyle w:val="71a"/>
        <w:rPr>
          <w:rtl/>
        </w:rPr>
      </w:pPr>
      <w:r w:rsidRPr="00EF0F1E">
        <w:rPr>
          <w:rStyle w:val="a9"/>
          <w:vertAlign w:val="baseline"/>
        </w:rPr>
        <w:footnoteRef/>
      </w:r>
      <w:r w:rsidRPr="00EF0F1E">
        <w:rPr>
          <w:rtl/>
        </w:rPr>
        <w:t xml:space="preserve"> </w:t>
      </w:r>
      <w:r w:rsidRPr="00EF0F1E">
        <w:rPr>
          <w:rtl/>
        </w:rPr>
        <w:tab/>
      </w:r>
      <w:r w:rsidRPr="00EF0F1E">
        <w:rPr>
          <w:rFonts w:hint="cs"/>
          <w:rtl/>
        </w:rPr>
        <w:t>ההסכמים עם ירושלים, מודיעין וקריית גת.</w:t>
      </w:r>
    </w:p>
  </w:footnote>
  <w:footnote w:id="104">
    <w:p w14:paraId="0D15234C" w14:textId="77777777" w:rsidR="00BC7416" w:rsidRPr="00EF0F1E" w:rsidRDefault="00BC7416" w:rsidP="00EF0F1E">
      <w:pPr>
        <w:pStyle w:val="71a"/>
        <w:rPr>
          <w:rtl/>
        </w:rPr>
      </w:pPr>
      <w:r w:rsidRPr="00EF0F1E">
        <w:rPr>
          <w:rStyle w:val="a9"/>
          <w:vertAlign w:val="baseline"/>
        </w:rPr>
        <w:footnoteRef/>
      </w:r>
      <w:r w:rsidRPr="00EF0F1E">
        <w:rPr>
          <w:rtl/>
        </w:rPr>
        <w:t xml:space="preserve"> </w:t>
      </w:r>
      <w:r w:rsidRPr="00EF0F1E">
        <w:rPr>
          <w:rtl/>
        </w:rPr>
        <w:tab/>
      </w:r>
      <w:r w:rsidRPr="00EF0F1E">
        <w:rPr>
          <w:rFonts w:hint="cs"/>
          <w:rtl/>
        </w:rPr>
        <w:t>לגבי ההסכם עם לוד - באתר המרשתת של רמ"י מופיע קישור להסכם הגג, לרבות הנספחים, המתפרסם באתר המרשתת של עיריית לוד.</w:t>
      </w:r>
    </w:p>
  </w:footnote>
  <w:footnote w:id="105">
    <w:p w14:paraId="7EF7E576" w14:textId="2AD4FE83" w:rsidR="00BC7416" w:rsidRPr="00265FF4" w:rsidRDefault="00BC7416" w:rsidP="00265FF4">
      <w:pPr>
        <w:pStyle w:val="71a"/>
        <w:rPr>
          <w:rtl/>
        </w:rPr>
      </w:pPr>
      <w:r w:rsidRPr="00265FF4">
        <w:rPr>
          <w:rStyle w:val="a9"/>
          <w:vertAlign w:val="baseline"/>
        </w:rPr>
        <w:footnoteRef/>
      </w:r>
      <w:r w:rsidRPr="00265FF4">
        <w:rPr>
          <w:rtl/>
        </w:rPr>
        <w:t xml:space="preserve"> </w:t>
      </w:r>
      <w:r w:rsidRPr="00265FF4">
        <w:rPr>
          <w:rtl/>
        </w:rPr>
        <w:tab/>
      </w:r>
      <w:r w:rsidRPr="00265FF4">
        <w:rPr>
          <w:rFonts w:hint="cs"/>
          <w:rtl/>
        </w:rPr>
        <w:t>לעניין היתרי הבנייה ראו מבקר המדינה,</w:t>
      </w:r>
      <w:r w:rsidRPr="00265FF4">
        <w:rPr>
          <w:rtl/>
        </w:rPr>
        <w:t xml:space="preserve"> </w:t>
      </w:r>
      <w:r w:rsidRPr="00F57F36">
        <w:rPr>
          <w:b/>
          <w:bCs/>
          <w:rtl/>
        </w:rPr>
        <w:t>דוחות על הביקורת בשלטון המקומי</w:t>
      </w:r>
      <w:r>
        <w:rPr>
          <w:rFonts w:hint="cs"/>
          <w:rtl/>
        </w:rPr>
        <w:t xml:space="preserve"> </w:t>
      </w:r>
      <w:r w:rsidRPr="00265FF4">
        <w:rPr>
          <w:rtl/>
        </w:rPr>
        <w:t>(2021), בפרק "ייעול הליכי רישוי הבנייה" עמ' 989</w:t>
      </w:r>
      <w:r w:rsidRPr="00265FF4">
        <w:rPr>
          <w:rFonts w:hint="cs"/>
          <w:rtl/>
        </w:rPr>
        <w:t>.</w:t>
      </w:r>
    </w:p>
    <w:p w14:paraId="072ACB51" w14:textId="77777777" w:rsidR="00BC7416" w:rsidRPr="00265FF4" w:rsidRDefault="00BC7416" w:rsidP="00265FF4">
      <w:pPr>
        <w:pStyle w:val="71a"/>
        <w:rPr>
          <w:rtl/>
        </w:rPr>
      </w:pPr>
    </w:p>
  </w:footnote>
  <w:footnote w:id="106">
    <w:p w14:paraId="0FC6A830" w14:textId="77777777" w:rsidR="00BC7416" w:rsidRDefault="00BC7416" w:rsidP="00CD5795">
      <w:pPr>
        <w:pStyle w:val="71a"/>
      </w:pPr>
      <w:r w:rsidRPr="00CD5795">
        <w:footnoteRef/>
      </w:r>
      <w:r w:rsidRPr="00CD5795">
        <w:rPr>
          <w:rtl/>
        </w:rPr>
        <w:t xml:space="preserve"> </w:t>
      </w:r>
      <w:r>
        <w:rPr>
          <w:rtl/>
        </w:rPr>
        <w:tab/>
      </w:r>
      <w:r>
        <w:rPr>
          <w:rFonts w:hint="cs"/>
          <w:rtl/>
        </w:rPr>
        <w:t xml:space="preserve">מינהל התכנון, </w:t>
      </w:r>
      <w:r w:rsidRPr="000177A0">
        <w:rPr>
          <w:rFonts w:hint="eastAsia"/>
          <w:b/>
          <w:bCs/>
          <w:rtl/>
        </w:rPr>
        <w:t>מדריך</w:t>
      </w:r>
      <w:r w:rsidRPr="000177A0">
        <w:rPr>
          <w:b/>
          <w:bCs/>
          <w:rtl/>
        </w:rPr>
        <w:t xml:space="preserve"> </w:t>
      </w:r>
      <w:r w:rsidRPr="000177A0">
        <w:rPr>
          <w:rFonts w:hint="eastAsia"/>
          <w:b/>
          <w:bCs/>
          <w:rtl/>
        </w:rPr>
        <w:t>לעבודת</w:t>
      </w:r>
      <w:r w:rsidRPr="000177A0">
        <w:rPr>
          <w:b/>
          <w:bCs/>
          <w:rtl/>
        </w:rPr>
        <w:t xml:space="preserve"> </w:t>
      </w:r>
      <w:r w:rsidRPr="000177A0">
        <w:rPr>
          <w:rFonts w:hint="eastAsia"/>
          <w:b/>
          <w:bCs/>
          <w:rtl/>
        </w:rPr>
        <w:t>המידענים</w:t>
      </w:r>
      <w:r w:rsidRPr="000177A0">
        <w:rPr>
          <w:b/>
          <w:bCs/>
          <w:rtl/>
        </w:rPr>
        <w:t xml:space="preserve"> </w:t>
      </w:r>
      <w:r w:rsidRPr="000177A0">
        <w:rPr>
          <w:rFonts w:hint="eastAsia"/>
          <w:b/>
          <w:bCs/>
          <w:rtl/>
        </w:rPr>
        <w:t>מול</w:t>
      </w:r>
      <w:r w:rsidRPr="000177A0">
        <w:rPr>
          <w:b/>
          <w:bCs/>
          <w:rtl/>
        </w:rPr>
        <w:t xml:space="preserve"> </w:t>
      </w:r>
      <w:r w:rsidRPr="000177A0">
        <w:rPr>
          <w:rFonts w:hint="eastAsia"/>
          <w:b/>
          <w:bCs/>
          <w:rtl/>
        </w:rPr>
        <w:t>גורמים</w:t>
      </w:r>
      <w:r w:rsidRPr="000177A0">
        <w:rPr>
          <w:b/>
          <w:bCs/>
          <w:rtl/>
        </w:rPr>
        <w:t xml:space="preserve"> </w:t>
      </w:r>
      <w:r w:rsidRPr="000177A0">
        <w:rPr>
          <w:rFonts w:hint="eastAsia"/>
          <w:b/>
          <w:bCs/>
          <w:rtl/>
        </w:rPr>
        <w:t>מאשרים</w:t>
      </w:r>
      <w:r w:rsidRPr="000177A0">
        <w:rPr>
          <w:b/>
          <w:bCs/>
          <w:rtl/>
        </w:rPr>
        <w:t xml:space="preserve"> </w:t>
      </w:r>
      <w:r w:rsidRPr="000177A0">
        <w:rPr>
          <w:rFonts w:hint="eastAsia"/>
          <w:b/>
          <w:bCs/>
          <w:rtl/>
        </w:rPr>
        <w:t>וגורמים</w:t>
      </w:r>
      <w:r w:rsidRPr="000177A0">
        <w:rPr>
          <w:b/>
          <w:bCs/>
          <w:rtl/>
        </w:rPr>
        <w:t xml:space="preserve"> </w:t>
      </w:r>
      <w:r w:rsidRPr="000177A0">
        <w:rPr>
          <w:rFonts w:hint="eastAsia"/>
          <w:b/>
          <w:bCs/>
          <w:rtl/>
        </w:rPr>
        <w:t>מוסרי</w:t>
      </w:r>
      <w:r w:rsidRPr="000177A0">
        <w:rPr>
          <w:b/>
          <w:bCs/>
          <w:rtl/>
        </w:rPr>
        <w:t xml:space="preserve"> </w:t>
      </w:r>
      <w:r w:rsidRPr="000177A0">
        <w:rPr>
          <w:rFonts w:hint="eastAsia"/>
          <w:b/>
          <w:bCs/>
          <w:rtl/>
        </w:rPr>
        <w:t>מידע</w:t>
      </w:r>
      <w:r>
        <w:rPr>
          <w:rFonts w:hint="cs"/>
          <w:rtl/>
        </w:rPr>
        <w:t xml:space="preserve"> (אוגוסט 2019). במדריך נמנים 15 גורמים מייעצים ומאשרים, ובהם בין היתר הרשות הארצית לכבאות והצלה, פיקוד העורף, משרד הבריאות, המשרד להגנת הסביבה, משרד החקלאות ופיתוח הכפר, רשות הטבע והגנים, רשות העתיקות וחברת חשמל לישראל. </w:t>
      </w:r>
    </w:p>
  </w:footnote>
  <w:footnote w:id="107">
    <w:p w14:paraId="532EF109" w14:textId="77777777" w:rsidR="00BC7416" w:rsidRDefault="00BC7416" w:rsidP="00CD5795">
      <w:pPr>
        <w:pStyle w:val="71a"/>
        <w:rPr>
          <w:rtl/>
        </w:rPr>
      </w:pPr>
      <w:r w:rsidRPr="00CD5795">
        <w:footnoteRef/>
      </w:r>
      <w:r>
        <w:rPr>
          <w:rtl/>
        </w:rPr>
        <w:t xml:space="preserve"> </w:t>
      </w:r>
      <w:r>
        <w:rPr>
          <w:rtl/>
        </w:rPr>
        <w:tab/>
      </w:r>
      <w:r>
        <w:rPr>
          <w:rFonts w:hint="cs"/>
          <w:rtl/>
        </w:rPr>
        <w:t>לא התקבלו נתונים לגבי משך הזמן למתן היתר במועצה המקומית באר יעקב.</w:t>
      </w:r>
    </w:p>
  </w:footnote>
  <w:footnote w:id="108">
    <w:p w14:paraId="4AE1B791" w14:textId="77777777" w:rsidR="00BC7416" w:rsidRPr="00A03270" w:rsidRDefault="00BC7416" w:rsidP="00A03270">
      <w:pPr>
        <w:pStyle w:val="71a"/>
      </w:pPr>
      <w:r w:rsidRPr="00A03270">
        <w:rPr>
          <w:rStyle w:val="a9"/>
          <w:vertAlign w:val="baseline"/>
        </w:rPr>
        <w:footnoteRef/>
      </w:r>
      <w:r w:rsidRPr="00A03270">
        <w:rPr>
          <w:rtl/>
        </w:rPr>
        <w:t xml:space="preserve"> </w:t>
      </w:r>
      <w:r w:rsidRPr="00A03270">
        <w:rPr>
          <w:rtl/>
        </w:rPr>
        <w:tab/>
      </w:r>
      <w:r w:rsidRPr="00A03270">
        <w:rPr>
          <w:rFonts w:hint="cs"/>
          <w:rtl/>
        </w:rPr>
        <w:t>החלטת הממשלה 1533 (3.4.14); החלטת הממשלה 2039 (1.10.14), שתיקנה אותה; והחלטת הממשלה 2143 (8.12.16) שהאריכה את תוקף מנגנון התמרוץ שנקבע בהחלטה 1533 עד לסוף שנת 2018.</w:t>
      </w:r>
    </w:p>
  </w:footnote>
  <w:footnote w:id="109">
    <w:p w14:paraId="504C1296" w14:textId="77777777" w:rsidR="00BC7416" w:rsidRPr="00A03270" w:rsidRDefault="00BC7416" w:rsidP="00A03270">
      <w:pPr>
        <w:pStyle w:val="71a"/>
        <w:rPr>
          <w:rtl/>
        </w:rPr>
      </w:pPr>
      <w:r w:rsidRPr="00A03270">
        <w:rPr>
          <w:rStyle w:val="a9"/>
          <w:vertAlign w:val="baseline"/>
        </w:rPr>
        <w:footnoteRef/>
      </w:r>
      <w:r w:rsidRPr="00A03270">
        <w:rPr>
          <w:rtl/>
        </w:rPr>
        <w:t xml:space="preserve"> </w:t>
      </w:r>
      <w:r w:rsidRPr="00A03270">
        <w:rPr>
          <w:rtl/>
        </w:rPr>
        <w:tab/>
      </w:r>
      <w:r w:rsidRPr="00A03270">
        <w:rPr>
          <w:rFonts w:hint="cs"/>
          <w:rtl/>
        </w:rPr>
        <w:t>אם מספר יחה"ד שצפוי להיות משווק ברשות המקומית כולל את יחה"ד שיתווספו מכוח תקנות חוק התכנון והבניה, התשכ"ה-1965, במהלך התקופה הקובעת כפי שייקבע בהסכם הגג, גדול מ-10,000 וכן מספר יחה"ד שההסכם חל עליהן הוא יותר מ-150% ממספר משקי הבית שהיו בתחום הרשות המקומית בתום שנת הכספים 2012.</w:t>
      </w:r>
    </w:p>
  </w:footnote>
  <w:footnote w:id="110">
    <w:p w14:paraId="1171E753" w14:textId="77777777" w:rsidR="00BC7416" w:rsidRPr="00A03270" w:rsidRDefault="00BC7416" w:rsidP="00A03270">
      <w:pPr>
        <w:pStyle w:val="71a"/>
      </w:pPr>
      <w:r w:rsidRPr="00A03270">
        <w:rPr>
          <w:rStyle w:val="a9"/>
          <w:vertAlign w:val="baseline"/>
        </w:rPr>
        <w:footnoteRef/>
      </w:r>
      <w:r w:rsidRPr="00A03270">
        <w:rPr>
          <w:rtl/>
        </w:rPr>
        <w:t xml:space="preserve"> </w:t>
      </w:r>
      <w:r w:rsidRPr="00A03270">
        <w:rPr>
          <w:rtl/>
        </w:rPr>
        <w:tab/>
      </w:r>
      <w:r w:rsidRPr="00A03270">
        <w:rPr>
          <w:rFonts w:hint="cs"/>
          <w:rtl/>
        </w:rPr>
        <w:t>כולל בגין היתרי בנייה שהונפקו מכוח תוכניות שאינן כלולות בהסכמי הגג.</w:t>
      </w:r>
    </w:p>
  </w:footnote>
  <w:footnote w:id="111">
    <w:p w14:paraId="59C42508" w14:textId="77777777" w:rsidR="00BC7416" w:rsidRPr="00EC0CCA" w:rsidRDefault="00BC7416" w:rsidP="00EC0CCA">
      <w:pPr>
        <w:pStyle w:val="71a"/>
      </w:pPr>
      <w:r w:rsidRPr="00EC0CCA">
        <w:rPr>
          <w:rStyle w:val="a9"/>
          <w:vertAlign w:val="baseline"/>
        </w:rPr>
        <w:footnoteRef/>
      </w:r>
      <w:r w:rsidRPr="00EC0CCA">
        <w:rPr>
          <w:rtl/>
        </w:rPr>
        <w:t xml:space="preserve"> </w:t>
      </w:r>
      <w:r w:rsidRPr="00EC0CCA">
        <w:rPr>
          <w:rtl/>
        </w:rPr>
        <w:tab/>
        <w:t xml:space="preserve">המינהל לשלטון מקומי במשרד הפנים, </w:t>
      </w:r>
      <w:r w:rsidRPr="00EC0CCA">
        <w:rPr>
          <w:b/>
          <w:bCs/>
          <w:rtl/>
        </w:rPr>
        <w:t xml:space="preserve">תוכנית לתמרוץ רשויות למתן היתרי בנייה ליחידות דיור לשנת </w:t>
      </w:r>
      <w:r w:rsidRPr="00EC0CCA">
        <w:rPr>
          <w:rFonts w:hint="cs"/>
          <w:b/>
          <w:bCs/>
          <w:rtl/>
        </w:rPr>
        <w:t>2019</w:t>
      </w:r>
      <w:r w:rsidRPr="00EC0CCA">
        <w:rPr>
          <w:rtl/>
        </w:rPr>
        <w:t xml:space="preserve"> </w:t>
      </w:r>
      <w:r w:rsidRPr="00EC0CCA">
        <w:rPr>
          <w:rFonts w:hint="cs"/>
          <w:rtl/>
        </w:rPr>
        <w:t xml:space="preserve">(פורסם בשנת 2019); </w:t>
      </w:r>
      <w:r w:rsidRPr="00EC0CCA">
        <w:rPr>
          <w:rtl/>
        </w:rPr>
        <w:t xml:space="preserve">המינהל לשלטון מקומי במשרד הפנים, </w:t>
      </w:r>
      <w:r w:rsidRPr="00EC0CCA">
        <w:rPr>
          <w:b/>
          <w:bCs/>
          <w:rtl/>
        </w:rPr>
        <w:t>תוכנית לתמרוץ רשויות למתן היתרי בנייה ליחידות דיור לשנת 2020</w:t>
      </w:r>
      <w:r w:rsidRPr="00EC0CCA">
        <w:rPr>
          <w:rtl/>
        </w:rPr>
        <w:t xml:space="preserve"> </w:t>
      </w:r>
      <w:r w:rsidRPr="00EC0CCA">
        <w:rPr>
          <w:rFonts w:hint="cs"/>
          <w:rtl/>
        </w:rPr>
        <w:t>(פורסם בשנת 2020).</w:t>
      </w:r>
    </w:p>
  </w:footnote>
  <w:footnote w:id="112">
    <w:p w14:paraId="54CD817E" w14:textId="77777777" w:rsidR="00BC7416" w:rsidRPr="006A5BCC" w:rsidRDefault="00BC7416" w:rsidP="006A5BCC">
      <w:pPr>
        <w:pStyle w:val="71a"/>
        <w:rPr>
          <w:rtl/>
        </w:rPr>
      </w:pPr>
      <w:r w:rsidRPr="006A5BCC">
        <w:rPr>
          <w:rStyle w:val="a9"/>
          <w:vertAlign w:val="baseline"/>
        </w:rPr>
        <w:footnoteRef/>
      </w:r>
      <w:r w:rsidRPr="006A5BCC">
        <w:rPr>
          <w:rtl/>
        </w:rPr>
        <w:t xml:space="preserve"> </w:t>
      </w:r>
      <w:r w:rsidRPr="006A5BCC">
        <w:rPr>
          <w:rtl/>
        </w:rPr>
        <w:tab/>
      </w:r>
      <w:r w:rsidRPr="006A5BCC">
        <w:rPr>
          <w:rFonts w:hint="cs"/>
          <w:rtl/>
        </w:rPr>
        <w:t xml:space="preserve">החלטת המועצה </w:t>
      </w:r>
      <w:r w:rsidRPr="006A5BCC">
        <w:rPr>
          <w:rtl/>
        </w:rPr>
        <w:t xml:space="preserve">1429 </w:t>
      </w:r>
      <w:r w:rsidRPr="006A5BCC">
        <w:rPr>
          <w:rFonts w:hint="cs"/>
          <w:rtl/>
        </w:rPr>
        <w:t>(29.6.15).</w:t>
      </w:r>
    </w:p>
  </w:footnote>
  <w:footnote w:id="113">
    <w:p w14:paraId="6AED9397" w14:textId="77777777" w:rsidR="00BC7416" w:rsidRPr="00BA5F6A" w:rsidRDefault="00BC7416" w:rsidP="00BA5F6A">
      <w:pPr>
        <w:pStyle w:val="71a"/>
        <w:rPr>
          <w:rtl/>
        </w:rPr>
      </w:pPr>
      <w:r w:rsidRPr="00BA5F6A">
        <w:rPr>
          <w:rStyle w:val="a9"/>
          <w:vertAlign w:val="baseline"/>
        </w:rPr>
        <w:footnoteRef/>
      </w:r>
      <w:r w:rsidRPr="00BA5F6A">
        <w:rPr>
          <w:rtl/>
        </w:rPr>
        <w:t xml:space="preserve"> </w:t>
      </w:r>
      <w:r w:rsidRPr="00BA5F6A">
        <w:rPr>
          <w:rtl/>
        </w:rPr>
        <w:tab/>
      </w:r>
      <w:r w:rsidRPr="00BA5F6A">
        <w:rPr>
          <w:rFonts w:hint="cs"/>
          <w:rtl/>
        </w:rPr>
        <w:t xml:space="preserve">מועצת מקרקעי ישראל, </w:t>
      </w:r>
      <w:r w:rsidRPr="00BA5F6A">
        <w:rPr>
          <w:rFonts w:hint="eastAsia"/>
          <w:b/>
          <w:bCs/>
          <w:rtl/>
        </w:rPr>
        <w:t>קודקס</w:t>
      </w:r>
      <w:r w:rsidRPr="00BA5F6A">
        <w:rPr>
          <w:b/>
          <w:bCs/>
          <w:rtl/>
        </w:rPr>
        <w:t xml:space="preserve"> </w:t>
      </w:r>
      <w:r w:rsidRPr="00BA5F6A">
        <w:rPr>
          <w:rFonts w:hint="eastAsia"/>
          <w:b/>
          <w:bCs/>
          <w:rtl/>
        </w:rPr>
        <w:t>ההחלטות</w:t>
      </w:r>
      <w:r w:rsidRPr="00BA5F6A">
        <w:rPr>
          <w:rFonts w:hint="cs"/>
          <w:rtl/>
        </w:rPr>
        <w:t xml:space="preserve"> (2020), סעיף 3.3.8, 3.4.5 ו-3.5.3 עד 3.5.12.</w:t>
      </w:r>
    </w:p>
  </w:footnote>
  <w:footnote w:id="114">
    <w:p w14:paraId="3743F95F" w14:textId="77777777" w:rsidR="00BC7416" w:rsidRPr="00BA5F6A" w:rsidRDefault="00BC7416" w:rsidP="00BA5F6A">
      <w:pPr>
        <w:pStyle w:val="71a"/>
        <w:rPr>
          <w:rtl/>
        </w:rPr>
      </w:pPr>
      <w:r w:rsidRPr="00BA5F6A">
        <w:rPr>
          <w:rStyle w:val="a9"/>
          <w:vertAlign w:val="baseline"/>
        </w:rPr>
        <w:footnoteRef/>
      </w:r>
      <w:r w:rsidRPr="00BA5F6A">
        <w:rPr>
          <w:rtl/>
        </w:rPr>
        <w:t xml:space="preserve"> </w:t>
      </w:r>
      <w:r w:rsidRPr="00BA5F6A">
        <w:rPr>
          <w:rtl/>
        </w:rPr>
        <w:tab/>
      </w:r>
      <w:r w:rsidRPr="00BA5F6A">
        <w:rPr>
          <w:rFonts w:hint="cs"/>
          <w:rtl/>
        </w:rPr>
        <w:t>למעט ההסכם עם קריית אתא, שנחתם בפברואר 2020.</w:t>
      </w:r>
    </w:p>
  </w:footnote>
  <w:footnote w:id="115">
    <w:p w14:paraId="45C2928B" w14:textId="77777777" w:rsidR="00BC7416" w:rsidRPr="004D03B3" w:rsidRDefault="00BC7416" w:rsidP="004D03B3">
      <w:pPr>
        <w:pStyle w:val="71a"/>
      </w:pPr>
      <w:r w:rsidRPr="004D03B3">
        <w:rPr>
          <w:rStyle w:val="a9"/>
          <w:vertAlign w:val="baseline"/>
        </w:rPr>
        <w:footnoteRef/>
      </w:r>
      <w:r w:rsidRPr="004D03B3">
        <w:rPr>
          <w:rtl/>
        </w:rPr>
        <w:t xml:space="preserve"> </w:t>
      </w:r>
      <w:r w:rsidRPr="004D03B3">
        <w:rPr>
          <w:rtl/>
        </w:rPr>
        <w:tab/>
      </w:r>
      <w:r w:rsidRPr="004D03B3">
        <w:rPr>
          <w:rFonts w:hint="cs"/>
          <w:rtl/>
        </w:rPr>
        <w:t>למעט ההסכם עם קריית אתא שנחתם בפברואר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BC7416" w:rsidRDefault="00BC7416"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BC7416" w:rsidRDefault="00BC7416"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BC7416" w:rsidRDefault="00BC7416"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BC7416" w:rsidRDefault="00BC7416"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BC7416" w:rsidRDefault="00BC7416"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BC7416" w:rsidRDefault="00BC741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BC7416" w:rsidRDefault="00BC741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BC7416" w:rsidRDefault="00BC741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BC7416" w:rsidRPr="00DE3ECA" w:rsidRDefault="00BC7416"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BC7416" w:rsidRPr="00DE3ECA" w:rsidRDefault="00BC7416"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BC7416" w:rsidRPr="009B7D1B" w:rsidRDefault="00BC7416"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BC7416" w:rsidRPr="009B7D1B" w:rsidRDefault="00BC7416"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BC7416" w:rsidRDefault="00BC7416" w:rsidP="001526AC">
    <w:pPr>
      <w:pStyle w:val="a5"/>
      <w:tabs>
        <w:tab w:val="clear" w:pos="4153"/>
        <w:tab w:val="clear" w:pos="8306"/>
        <w:tab w:val="left" w:pos="493"/>
        <w:tab w:val="center" w:pos="4111"/>
        <w:tab w:val="right" w:pos="7478"/>
        <w:tab w:val="right" w:pos="8222"/>
      </w:tabs>
      <w:jc w:val="left"/>
      <w:rPr>
        <w:rtl/>
      </w:rPr>
    </w:pPr>
  </w:p>
  <w:p w14:paraId="1172F310" w14:textId="5FF71C21" w:rsidR="00BC7416" w:rsidRPr="001526AC" w:rsidRDefault="00BC741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5A4C657" w:rsidR="00BC7416" w:rsidRPr="00A4133B" w:rsidRDefault="00BC741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 xml:space="preserve">ביקורת מיוחד  </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5A4C657" w:rsidR="00BC7416" w:rsidRPr="00A4133B" w:rsidRDefault="00BC741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 xml:space="preserve">ביקורת מיוחד  </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666E" w14:textId="77777777" w:rsidR="00BC7416" w:rsidRDefault="00BC7416">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BC7416" w:rsidRDefault="00BC7416">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BC7416" w:rsidRPr="00DE3ECA" w:rsidRDefault="00BC7416"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BC7416" w:rsidRPr="00DE3ECA" w:rsidRDefault="00BC7416"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BC7416" w:rsidRDefault="00BC7416">
    <w:pPr>
      <w:pStyle w:val="a5"/>
      <w:rPr>
        <w:rtl/>
      </w:rPr>
    </w:pPr>
  </w:p>
  <w:p w14:paraId="09A29170" w14:textId="7ABB1ABE" w:rsidR="00BC7416" w:rsidRDefault="00BC7416">
    <w:pPr>
      <w:pStyle w:val="a5"/>
      <w:rPr>
        <w:rtl/>
      </w:rPr>
    </w:pPr>
  </w:p>
  <w:p w14:paraId="1CB0A19A" w14:textId="180241A0" w:rsidR="00BC7416" w:rsidRDefault="00BC741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BB88F00" w:rsidR="00BC7416" w:rsidRPr="004D562B" w:rsidRDefault="00BC7416" w:rsidP="00ED34B0">
                          <w:pPr>
                            <w:jc w:val="left"/>
                            <w:rPr>
                              <w:color w:val="0D0D0D"/>
                              <w:sz w:val="16"/>
                              <w:szCs w:val="16"/>
                            </w:rPr>
                          </w:pPr>
                          <w:r w:rsidRPr="00ED34B0">
                            <w:rPr>
                              <w:rFonts w:ascii="Tahoma" w:hAnsi="Tahoma" w:cs="Tahoma" w:hint="cs"/>
                              <w:color w:val="0D0D0D" w:themeColor="text1" w:themeTint="F2"/>
                              <w:sz w:val="16"/>
                              <w:szCs w:val="16"/>
                              <w:rtl/>
                            </w:rPr>
                            <w:t>היבטים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בהסכמי</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הגג</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שנחתמו</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עם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רשויות</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מקומיות</w:t>
                          </w:r>
                          <w:r>
                            <w:rPr>
                              <w:rFonts w:ascii="Tahoma" w:hAnsi="Tahoma" w:cs="Tahoma"/>
                              <w:b/>
                              <w:bCs/>
                              <w:sz w:val="40"/>
                              <w:szCs w:val="40"/>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7BB88F00" w:rsidR="00BC7416" w:rsidRPr="004D562B" w:rsidRDefault="00BC7416" w:rsidP="00ED34B0">
                    <w:pPr>
                      <w:jc w:val="left"/>
                      <w:rPr>
                        <w:color w:val="0D0D0D"/>
                        <w:sz w:val="16"/>
                        <w:szCs w:val="16"/>
                      </w:rPr>
                    </w:pPr>
                    <w:r w:rsidRPr="00ED34B0">
                      <w:rPr>
                        <w:rFonts w:ascii="Tahoma" w:hAnsi="Tahoma" w:cs="Tahoma" w:hint="cs"/>
                        <w:color w:val="0D0D0D" w:themeColor="text1" w:themeTint="F2"/>
                        <w:sz w:val="16"/>
                        <w:szCs w:val="16"/>
                        <w:rtl/>
                      </w:rPr>
                      <w:t>היבטים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בהסכמי</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הגג</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שנחתמו</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עם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רשויות</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מקומיות</w:t>
                    </w:r>
                    <w:r>
                      <w:rPr>
                        <w:rFonts w:ascii="Tahoma" w:hAnsi="Tahoma" w:cs="Tahoma"/>
                        <w:b/>
                        <w:bCs/>
                        <w:sz w:val="40"/>
                        <w:szCs w:val="40"/>
                        <w:rtl/>
                      </w:rPr>
                      <w:t xml:space="preserve"> </w:t>
                    </w:r>
                  </w:p>
                </w:txbxContent>
              </v:textbox>
              <w10:wrap type="square"/>
            </v:shape>
          </w:pict>
        </mc:Fallback>
      </mc:AlternateContent>
    </w:r>
  </w:p>
  <w:p w14:paraId="53F52C1C" w14:textId="15925381" w:rsidR="00BC7416" w:rsidRDefault="00BC7416"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C7416" w:rsidRPr="00D15500" w:rsidRDefault="00BC7416"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C7416" w:rsidRPr="005B4811" w:rsidRDefault="00BC741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BC7416" w:rsidRPr="005B4811" w:rsidRDefault="00BC741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C7416" w:rsidRPr="005B4811" w:rsidRDefault="00BC741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BC7416" w:rsidRPr="005B4811" w:rsidRDefault="00BC741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BC7416" w:rsidRDefault="00BC741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BC7416" w:rsidRPr="00DE3ECA" w:rsidRDefault="00BC7416"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38"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BC7416" w:rsidRPr="00DE3ECA" w:rsidRDefault="00BC7416"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7CF8FF3E" w:rsidR="00BC7416" w:rsidRPr="009B7D1B" w:rsidRDefault="00BC7416"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Pr="00F7314D">
                            <w:rPr>
                              <w:rFonts w:ascii="Tahoma" w:hAnsi="Tahoma" w:cs="Tahoma" w:hint="cs"/>
                              <w:b/>
                              <w:bCs/>
                              <w:rtl/>
                            </w:rPr>
                            <w:t xml:space="preserve">היבטים </w:t>
                          </w:r>
                          <w:r>
                            <w:rPr>
                              <w:rFonts w:ascii="Tahoma" w:hAnsi="Tahoma" w:cs="Tahoma" w:hint="cs"/>
                              <w:b/>
                              <w:bCs/>
                              <w:rtl/>
                            </w:rPr>
                            <w:t>בהסכמי הגג שנחתמו עם רשויות 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39"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7CF8FF3E" w:rsidR="00BC7416" w:rsidRPr="009B7D1B" w:rsidRDefault="00BC7416"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Pr="00F7314D">
                      <w:rPr>
                        <w:rFonts w:ascii="Tahoma" w:hAnsi="Tahoma" w:cs="Tahoma" w:hint="cs"/>
                        <w:b/>
                        <w:bCs/>
                        <w:rtl/>
                      </w:rPr>
                      <w:t xml:space="preserve">היבטים </w:t>
                    </w:r>
                    <w:r>
                      <w:rPr>
                        <w:rFonts w:ascii="Tahoma" w:hAnsi="Tahoma" w:cs="Tahoma" w:hint="cs"/>
                        <w:b/>
                        <w:bCs/>
                        <w:rtl/>
                      </w:rPr>
                      <w:t>בהסכמי הגג שנחתמו עם רשויות מקומיות</w:t>
                    </w:r>
                  </w:p>
                </w:txbxContent>
              </v:textbox>
              <w10:wrap type="square"/>
            </v:shape>
          </w:pict>
        </mc:Fallback>
      </mc:AlternateContent>
    </w:r>
  </w:p>
  <w:p w14:paraId="10D7D1FB" w14:textId="77777777" w:rsidR="00BC7416" w:rsidRDefault="00BC7416" w:rsidP="001526AC">
    <w:pPr>
      <w:pStyle w:val="a5"/>
      <w:tabs>
        <w:tab w:val="clear" w:pos="4153"/>
        <w:tab w:val="clear" w:pos="8306"/>
        <w:tab w:val="left" w:pos="493"/>
        <w:tab w:val="center" w:pos="4111"/>
        <w:tab w:val="right" w:pos="7478"/>
        <w:tab w:val="right" w:pos="8222"/>
      </w:tabs>
      <w:jc w:val="left"/>
      <w:rPr>
        <w:rtl/>
      </w:rPr>
    </w:pPr>
  </w:p>
  <w:p w14:paraId="429F3604" w14:textId="77777777" w:rsidR="00BC7416" w:rsidRDefault="00BC741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0CEC4BEB" w:rsidR="00BC7416" w:rsidRPr="00A4133B" w:rsidRDefault="00BC741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ביקורת מיוחד</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0"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0CEC4BEB" w:rsidR="00BC7416" w:rsidRPr="00A4133B" w:rsidRDefault="00BC7416"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ביקורת מיוחד</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BC7416" w:rsidRPr="001526AC" w:rsidRDefault="00BC7416"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BC7416" w:rsidRDefault="00BC741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BC7416" w:rsidRPr="00DE3ECA" w:rsidRDefault="00BC7416"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BC7416" w:rsidRPr="00DE3ECA" w:rsidRDefault="00BC7416"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BC7416" w:rsidRPr="009B7D1B" w:rsidRDefault="00BC7416"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BC7416" w:rsidRPr="009B7D1B" w:rsidRDefault="00BC7416"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BC7416" w:rsidRDefault="00BC7416" w:rsidP="001C5C9D">
    <w:pPr>
      <w:pStyle w:val="a5"/>
      <w:tabs>
        <w:tab w:val="clear" w:pos="4153"/>
        <w:tab w:val="clear" w:pos="8306"/>
        <w:tab w:val="left" w:pos="4530"/>
      </w:tabs>
      <w:jc w:val="left"/>
      <w:rPr>
        <w:rtl/>
      </w:rPr>
    </w:pPr>
    <w:r>
      <w:rPr>
        <w:rtl/>
      </w:rPr>
      <w:tab/>
    </w:r>
  </w:p>
  <w:p w14:paraId="53D931BB" w14:textId="77777777" w:rsidR="00BC7416" w:rsidRDefault="00BC7416"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BC7416" w:rsidRPr="004D562B" w:rsidRDefault="00BC7416"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BC7416" w:rsidRPr="004D562B" w:rsidRDefault="00BC7416"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BC7416" w:rsidRPr="001526AC" w:rsidRDefault="00BC7416" w:rsidP="001C5C9D">
    <w:pPr>
      <w:pStyle w:val="a5"/>
      <w:tabs>
        <w:tab w:val="clear" w:pos="4153"/>
        <w:tab w:val="clear" w:pos="8306"/>
        <w:tab w:val="center" w:pos="3685"/>
      </w:tabs>
      <w:jc w:val="left"/>
      <w:rPr>
        <w:rtl/>
      </w:rPr>
    </w:pP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BC7416" w:rsidRDefault="00BC741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62E04731">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BC7416" w:rsidRPr="00DE3ECA" w:rsidRDefault="00BC7416"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A6C6BF0" id="_x0000_t202" coordsize="21600,21600" o:spt="202" path="m,l,21600r21600,l21600,xe">
              <v:stroke joinstyle="miter"/>
              <v:path gradientshapeok="t" o:connecttype="rect"/>
            </v:shapetype>
            <v:shape id="Text Box 37" o:spid="_x0000_s1044"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46F259E5" w:rsidR="00BC7416" w:rsidRPr="009B7D1B" w:rsidRDefault="00BC7416"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7314D">
                            <w:rPr>
                              <w:rFonts w:ascii="Tahoma" w:hAnsi="Tahoma" w:cs="Tahoma" w:hint="cs"/>
                              <w:b/>
                              <w:bCs/>
                              <w:rtl/>
                            </w:rPr>
                            <w:t xml:space="preserve">היבטים </w:t>
                          </w:r>
                          <w:r>
                            <w:rPr>
                              <w:rFonts w:ascii="Tahoma" w:hAnsi="Tahoma" w:cs="Tahoma" w:hint="cs"/>
                              <w:b/>
                              <w:bCs/>
                              <w:rtl/>
                            </w:rPr>
                            <w:t>בהסכמי הגג שנחתמו עם רשויות 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91FD787" id="Text Box 39" o:spid="_x0000_s1045"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CiNIud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46F259E5"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314D" w:rsidRPr="00F7314D">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v:textbox>
              <w10:wrap type="square"/>
            </v:shape>
          </w:pict>
        </mc:Fallback>
      </mc:AlternateContent>
    </w:r>
  </w:p>
  <w:p w14:paraId="05587375" w14:textId="77777777" w:rsidR="00BC7416" w:rsidRDefault="00BC7416" w:rsidP="001C5C9D">
    <w:pPr>
      <w:pStyle w:val="a5"/>
      <w:tabs>
        <w:tab w:val="clear" w:pos="4153"/>
        <w:tab w:val="clear" w:pos="8306"/>
        <w:tab w:val="left" w:pos="4530"/>
      </w:tabs>
      <w:jc w:val="left"/>
      <w:rPr>
        <w:rtl/>
      </w:rPr>
    </w:pPr>
    <w:r>
      <w:rPr>
        <w:rtl/>
      </w:rPr>
      <w:tab/>
    </w:r>
  </w:p>
  <w:p w14:paraId="2D520BE6" w14:textId="61F8EC83" w:rsidR="00BC7416" w:rsidRDefault="00BC7416"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6E189AFF" w:rsidR="00BC7416" w:rsidRPr="004D562B" w:rsidRDefault="00BC7416"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w:t>
                          </w:r>
                          <w:r>
                            <w:rPr>
                              <w:rFonts w:ascii="Tahoma" w:hAnsi="Tahoma" w:cs="Tahoma" w:hint="cs"/>
                              <w:color w:val="0D0D0D"/>
                              <w:sz w:val="16"/>
                              <w:szCs w:val="16"/>
                              <w:rtl/>
                            </w:rPr>
                            <w:t>ביקורת מיוחד</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24D9524" id="_x0000_s1046"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KV/UC4CAABMBAAADgAAAAAAAAAAAAAAAAAuAgAA&#10;ZHJzL2Uyb0RvYy54bWxQSwECLQAUAAYACAAAACEA40qJTt8AAAAIAQAADwAAAAAAAAAAAAAAAACI&#10;BAAAZHJzL2Rvd25yZXYueG1sUEsFBgAAAAAEAAQA8wAAAJQFAAAAAA==&#10;" strokecolor="white [3212]">
              <v:textbox>
                <w:txbxContent>
                  <w:p w14:paraId="7C53E391" w14:textId="6E189AFF"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w:t>
                    </w:r>
                    <w:r w:rsidR="00DE7C9C">
                      <w:rPr>
                        <w:rFonts w:ascii="Tahoma" w:hAnsi="Tahoma" w:cs="Tahoma" w:hint="cs"/>
                        <w:color w:val="0D0D0D"/>
                        <w:sz w:val="16"/>
                        <w:szCs w:val="16"/>
                        <w:rtl/>
                      </w:rPr>
                      <w:t>ביקורת מיוחד</w:t>
                    </w:r>
                    <w:r w:rsidRPr="004D562B">
                      <w:rPr>
                        <w:rFonts w:ascii="Tahoma" w:hAnsi="Tahoma" w:cs="Tahoma" w:hint="cs"/>
                        <w:color w:val="0D0D0D"/>
                        <w:sz w:val="16"/>
                        <w:szCs w:val="16"/>
                        <w:rtl/>
                      </w:rPr>
                      <w:t xml:space="preserve">   |   התשפ"</w:t>
                    </w:r>
                    <w:r w:rsidR="00735DA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BC7416" w:rsidRDefault="00BC7416" w:rsidP="001C5C9D">
    <w:pPr>
      <w:pStyle w:val="a5"/>
      <w:tabs>
        <w:tab w:val="clear" w:pos="4153"/>
        <w:tab w:val="clear" w:pos="8306"/>
        <w:tab w:val="center" w:pos="3685"/>
      </w:tabs>
      <w:jc w:val="left"/>
      <w:rPr>
        <w:rtl/>
      </w:rPr>
    </w:pPr>
  </w:p>
  <w:p w14:paraId="3F9F3977" w14:textId="77777777" w:rsidR="00BC7416" w:rsidRPr="001526AC" w:rsidRDefault="00BC7416"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4FC3F99"/>
    <w:multiLevelType w:val="hybridMultilevel"/>
    <w:tmpl w:val="519C4DFE"/>
    <w:lvl w:ilvl="0" w:tplc="E402BAC8">
      <w:start w:val="1"/>
      <w:numFmt w:val="decimal"/>
      <w:lvlText w:val="%1."/>
      <w:lvlJc w:val="left"/>
      <w:pPr>
        <w:ind w:left="-207" w:hanging="360"/>
      </w:pPr>
      <w:rPr>
        <w:rFonts w:hint="default"/>
      </w:rPr>
    </w:lvl>
    <w:lvl w:ilvl="1" w:tplc="42983554" w:tentative="1">
      <w:start w:val="1"/>
      <w:numFmt w:val="lowerLetter"/>
      <w:lvlText w:val="%2."/>
      <w:lvlJc w:val="left"/>
      <w:pPr>
        <w:ind w:left="513" w:hanging="360"/>
      </w:pPr>
    </w:lvl>
    <w:lvl w:ilvl="2" w:tplc="52CCB540" w:tentative="1">
      <w:start w:val="1"/>
      <w:numFmt w:val="lowerRoman"/>
      <w:lvlText w:val="%3."/>
      <w:lvlJc w:val="right"/>
      <w:pPr>
        <w:ind w:left="1233" w:hanging="180"/>
      </w:pPr>
    </w:lvl>
    <w:lvl w:ilvl="3" w:tplc="D25232FA" w:tentative="1">
      <w:start w:val="1"/>
      <w:numFmt w:val="decimal"/>
      <w:lvlText w:val="%4."/>
      <w:lvlJc w:val="left"/>
      <w:pPr>
        <w:ind w:left="1953" w:hanging="360"/>
      </w:pPr>
    </w:lvl>
    <w:lvl w:ilvl="4" w:tplc="0428C408" w:tentative="1">
      <w:start w:val="1"/>
      <w:numFmt w:val="lowerLetter"/>
      <w:lvlText w:val="%5."/>
      <w:lvlJc w:val="left"/>
      <w:pPr>
        <w:ind w:left="2673" w:hanging="360"/>
      </w:pPr>
    </w:lvl>
    <w:lvl w:ilvl="5" w:tplc="2200B120" w:tentative="1">
      <w:start w:val="1"/>
      <w:numFmt w:val="lowerRoman"/>
      <w:lvlText w:val="%6."/>
      <w:lvlJc w:val="right"/>
      <w:pPr>
        <w:ind w:left="3393" w:hanging="180"/>
      </w:pPr>
    </w:lvl>
    <w:lvl w:ilvl="6" w:tplc="B5A4C566" w:tentative="1">
      <w:start w:val="1"/>
      <w:numFmt w:val="decimal"/>
      <w:lvlText w:val="%7."/>
      <w:lvlJc w:val="left"/>
      <w:pPr>
        <w:ind w:left="4113" w:hanging="360"/>
      </w:pPr>
    </w:lvl>
    <w:lvl w:ilvl="7" w:tplc="8D3E1714" w:tentative="1">
      <w:start w:val="1"/>
      <w:numFmt w:val="lowerLetter"/>
      <w:lvlText w:val="%8."/>
      <w:lvlJc w:val="left"/>
      <w:pPr>
        <w:ind w:left="4833" w:hanging="360"/>
      </w:pPr>
    </w:lvl>
    <w:lvl w:ilvl="8" w:tplc="A196A9D4" w:tentative="1">
      <w:start w:val="1"/>
      <w:numFmt w:val="lowerRoman"/>
      <w:lvlText w:val="%9."/>
      <w:lvlJc w:val="right"/>
      <w:pPr>
        <w:ind w:left="5553" w:hanging="180"/>
      </w:p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290171E"/>
    <w:multiLevelType w:val="hybridMultilevel"/>
    <w:tmpl w:val="03AEA446"/>
    <w:lvl w:ilvl="0" w:tplc="8D4E57D2">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CEA4926"/>
    <w:multiLevelType w:val="hybridMultilevel"/>
    <w:tmpl w:val="9B1E3716"/>
    <w:lvl w:ilvl="0" w:tplc="8690EBF4">
      <w:start w:val="1"/>
      <w:numFmt w:val="decimal"/>
      <w:lvlText w:val="%1."/>
      <w:lvlJc w:val="left"/>
      <w:pPr>
        <w:ind w:left="720" w:hanging="360"/>
      </w:pPr>
      <w:rPr>
        <w:rFonts w:hint="default"/>
      </w:rPr>
    </w:lvl>
    <w:lvl w:ilvl="1" w:tplc="B8564376" w:tentative="1">
      <w:start w:val="1"/>
      <w:numFmt w:val="lowerLetter"/>
      <w:lvlText w:val="%2."/>
      <w:lvlJc w:val="left"/>
      <w:pPr>
        <w:ind w:left="1440" w:hanging="360"/>
      </w:pPr>
    </w:lvl>
    <w:lvl w:ilvl="2" w:tplc="54222954" w:tentative="1">
      <w:start w:val="1"/>
      <w:numFmt w:val="lowerRoman"/>
      <w:lvlText w:val="%3."/>
      <w:lvlJc w:val="right"/>
      <w:pPr>
        <w:ind w:left="2160" w:hanging="180"/>
      </w:pPr>
    </w:lvl>
    <w:lvl w:ilvl="3" w:tplc="ED74FA06" w:tentative="1">
      <w:start w:val="1"/>
      <w:numFmt w:val="decimal"/>
      <w:lvlText w:val="%4."/>
      <w:lvlJc w:val="left"/>
      <w:pPr>
        <w:ind w:left="2880" w:hanging="360"/>
      </w:pPr>
    </w:lvl>
    <w:lvl w:ilvl="4" w:tplc="840EAC66" w:tentative="1">
      <w:start w:val="1"/>
      <w:numFmt w:val="lowerLetter"/>
      <w:lvlText w:val="%5."/>
      <w:lvlJc w:val="left"/>
      <w:pPr>
        <w:ind w:left="3600" w:hanging="360"/>
      </w:pPr>
    </w:lvl>
    <w:lvl w:ilvl="5" w:tplc="5674291A" w:tentative="1">
      <w:start w:val="1"/>
      <w:numFmt w:val="lowerRoman"/>
      <w:lvlText w:val="%6."/>
      <w:lvlJc w:val="right"/>
      <w:pPr>
        <w:ind w:left="4320" w:hanging="180"/>
      </w:pPr>
    </w:lvl>
    <w:lvl w:ilvl="6" w:tplc="45064D34" w:tentative="1">
      <w:start w:val="1"/>
      <w:numFmt w:val="decimal"/>
      <w:lvlText w:val="%7."/>
      <w:lvlJc w:val="left"/>
      <w:pPr>
        <w:ind w:left="5040" w:hanging="360"/>
      </w:pPr>
    </w:lvl>
    <w:lvl w:ilvl="7" w:tplc="1A464992" w:tentative="1">
      <w:start w:val="1"/>
      <w:numFmt w:val="lowerLetter"/>
      <w:lvlText w:val="%8."/>
      <w:lvlJc w:val="left"/>
      <w:pPr>
        <w:ind w:left="5760" w:hanging="360"/>
      </w:pPr>
    </w:lvl>
    <w:lvl w:ilvl="8" w:tplc="CB46D532" w:tentative="1">
      <w:start w:val="1"/>
      <w:numFmt w:val="lowerRoman"/>
      <w:lvlText w:val="%9."/>
      <w:lvlJc w:val="right"/>
      <w:pPr>
        <w:ind w:left="6480" w:hanging="180"/>
      </w:pPr>
    </w:lvl>
  </w:abstractNum>
  <w:abstractNum w:abstractNumId="16"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1"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6"/>
  </w:num>
  <w:num w:numId="2">
    <w:abstractNumId w:val="11"/>
  </w:num>
  <w:num w:numId="3">
    <w:abstractNumId w:val="19"/>
  </w:num>
  <w:num w:numId="4">
    <w:abstractNumId w:val="14"/>
  </w:num>
  <w:num w:numId="5">
    <w:abstractNumId w:val="8"/>
  </w:num>
  <w:num w:numId="6">
    <w:abstractNumId w:val="10"/>
  </w:num>
  <w:num w:numId="7">
    <w:abstractNumId w:val="21"/>
  </w:num>
  <w:num w:numId="8">
    <w:abstractNumId w:val="0"/>
  </w:num>
  <w:num w:numId="9">
    <w:abstractNumId w:val="12"/>
  </w:num>
  <w:num w:numId="10">
    <w:abstractNumId w:val="3"/>
  </w:num>
  <w:num w:numId="11">
    <w:abstractNumId w:val="17"/>
  </w:num>
  <w:num w:numId="12">
    <w:abstractNumId w:val="2"/>
  </w:num>
  <w:num w:numId="13">
    <w:abstractNumId w:val="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6"/>
  </w:num>
  <w:num w:numId="19">
    <w:abstractNumId w:val="18"/>
  </w:num>
  <w:num w:numId="20">
    <w:abstractNumId w:val="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num>
  <w:num w:numId="2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4481"/>
    <w:rsid w:val="0000520D"/>
    <w:rsid w:val="00005374"/>
    <w:rsid w:val="000054B7"/>
    <w:rsid w:val="00005B23"/>
    <w:rsid w:val="00005EE0"/>
    <w:rsid w:val="000064A5"/>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17A68"/>
    <w:rsid w:val="000206F1"/>
    <w:rsid w:val="00021298"/>
    <w:rsid w:val="00021ED5"/>
    <w:rsid w:val="00021FFB"/>
    <w:rsid w:val="000224FF"/>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BF6"/>
    <w:rsid w:val="00031C68"/>
    <w:rsid w:val="00031C69"/>
    <w:rsid w:val="00031CEB"/>
    <w:rsid w:val="00032932"/>
    <w:rsid w:val="00033418"/>
    <w:rsid w:val="000335B6"/>
    <w:rsid w:val="0003410F"/>
    <w:rsid w:val="00034497"/>
    <w:rsid w:val="0003494D"/>
    <w:rsid w:val="000351F1"/>
    <w:rsid w:val="00035688"/>
    <w:rsid w:val="00035B80"/>
    <w:rsid w:val="00035C03"/>
    <w:rsid w:val="000360F7"/>
    <w:rsid w:val="0003664B"/>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7A9"/>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1DBD"/>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4A4"/>
    <w:rsid w:val="0007762A"/>
    <w:rsid w:val="00077B79"/>
    <w:rsid w:val="00080072"/>
    <w:rsid w:val="000803F2"/>
    <w:rsid w:val="00081336"/>
    <w:rsid w:val="00081C24"/>
    <w:rsid w:val="00081D0E"/>
    <w:rsid w:val="000824F8"/>
    <w:rsid w:val="0008345D"/>
    <w:rsid w:val="00083692"/>
    <w:rsid w:val="000837F2"/>
    <w:rsid w:val="00083FD0"/>
    <w:rsid w:val="00084E3A"/>
    <w:rsid w:val="00085086"/>
    <w:rsid w:val="00085A22"/>
    <w:rsid w:val="00085A34"/>
    <w:rsid w:val="00085B99"/>
    <w:rsid w:val="000861BA"/>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965"/>
    <w:rsid w:val="00093E30"/>
    <w:rsid w:val="00093E4E"/>
    <w:rsid w:val="0009432F"/>
    <w:rsid w:val="00094B2A"/>
    <w:rsid w:val="00094D5D"/>
    <w:rsid w:val="00094F15"/>
    <w:rsid w:val="0009524E"/>
    <w:rsid w:val="00095449"/>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591"/>
    <w:rsid w:val="000A4686"/>
    <w:rsid w:val="000A4A21"/>
    <w:rsid w:val="000A4F3D"/>
    <w:rsid w:val="000A5140"/>
    <w:rsid w:val="000A529B"/>
    <w:rsid w:val="000A5356"/>
    <w:rsid w:val="000A567C"/>
    <w:rsid w:val="000A5B75"/>
    <w:rsid w:val="000A65A9"/>
    <w:rsid w:val="000A6748"/>
    <w:rsid w:val="000A69A7"/>
    <w:rsid w:val="000A744B"/>
    <w:rsid w:val="000A74C6"/>
    <w:rsid w:val="000B0929"/>
    <w:rsid w:val="000B1102"/>
    <w:rsid w:val="000B1376"/>
    <w:rsid w:val="000B150A"/>
    <w:rsid w:val="000B153C"/>
    <w:rsid w:val="000B1C94"/>
    <w:rsid w:val="000B2074"/>
    <w:rsid w:val="000B262D"/>
    <w:rsid w:val="000B2C5B"/>
    <w:rsid w:val="000B2D70"/>
    <w:rsid w:val="000B2DBE"/>
    <w:rsid w:val="000B3056"/>
    <w:rsid w:val="000B3553"/>
    <w:rsid w:val="000B3A23"/>
    <w:rsid w:val="000B4419"/>
    <w:rsid w:val="000B4F23"/>
    <w:rsid w:val="000B55BB"/>
    <w:rsid w:val="000B597C"/>
    <w:rsid w:val="000B6604"/>
    <w:rsid w:val="000B7912"/>
    <w:rsid w:val="000B7B95"/>
    <w:rsid w:val="000B7CF9"/>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769"/>
    <w:rsid w:val="000C5E23"/>
    <w:rsid w:val="000C5F85"/>
    <w:rsid w:val="000C694D"/>
    <w:rsid w:val="000C6AAF"/>
    <w:rsid w:val="000C7459"/>
    <w:rsid w:val="000C7652"/>
    <w:rsid w:val="000C77E7"/>
    <w:rsid w:val="000C7C9A"/>
    <w:rsid w:val="000D04B8"/>
    <w:rsid w:val="000D0837"/>
    <w:rsid w:val="000D09F1"/>
    <w:rsid w:val="000D0A53"/>
    <w:rsid w:val="000D11EB"/>
    <w:rsid w:val="000D13A8"/>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064"/>
    <w:rsid w:val="000E1306"/>
    <w:rsid w:val="000E199E"/>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0F52"/>
    <w:rsid w:val="000F158C"/>
    <w:rsid w:val="000F1DEA"/>
    <w:rsid w:val="000F2408"/>
    <w:rsid w:val="000F247B"/>
    <w:rsid w:val="000F2DBB"/>
    <w:rsid w:val="000F2E36"/>
    <w:rsid w:val="000F3700"/>
    <w:rsid w:val="000F437D"/>
    <w:rsid w:val="000F4578"/>
    <w:rsid w:val="000F4B6E"/>
    <w:rsid w:val="000F4C79"/>
    <w:rsid w:val="000F53C2"/>
    <w:rsid w:val="000F5EDB"/>
    <w:rsid w:val="000F60AB"/>
    <w:rsid w:val="000F62A9"/>
    <w:rsid w:val="000F6A6C"/>
    <w:rsid w:val="000F6F38"/>
    <w:rsid w:val="000F765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471"/>
    <w:rsid w:val="0011365B"/>
    <w:rsid w:val="00113693"/>
    <w:rsid w:val="00113C2F"/>
    <w:rsid w:val="00113D5F"/>
    <w:rsid w:val="00113E28"/>
    <w:rsid w:val="00114290"/>
    <w:rsid w:val="00114325"/>
    <w:rsid w:val="0011483D"/>
    <w:rsid w:val="00114C7A"/>
    <w:rsid w:val="00114E4E"/>
    <w:rsid w:val="00115432"/>
    <w:rsid w:val="001157CE"/>
    <w:rsid w:val="00115CA3"/>
    <w:rsid w:val="00115E66"/>
    <w:rsid w:val="001167C9"/>
    <w:rsid w:val="00116E1B"/>
    <w:rsid w:val="001172DF"/>
    <w:rsid w:val="00117408"/>
    <w:rsid w:val="001178DB"/>
    <w:rsid w:val="00117C0E"/>
    <w:rsid w:val="0012150C"/>
    <w:rsid w:val="00121682"/>
    <w:rsid w:val="00121EA1"/>
    <w:rsid w:val="0012279D"/>
    <w:rsid w:val="00123838"/>
    <w:rsid w:val="001239A8"/>
    <w:rsid w:val="001239E1"/>
    <w:rsid w:val="001243A4"/>
    <w:rsid w:val="001247BA"/>
    <w:rsid w:val="00124DC1"/>
    <w:rsid w:val="00125628"/>
    <w:rsid w:val="00125881"/>
    <w:rsid w:val="00126901"/>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44D"/>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A0C"/>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901"/>
    <w:rsid w:val="00153A60"/>
    <w:rsid w:val="00153B4E"/>
    <w:rsid w:val="00153D95"/>
    <w:rsid w:val="00154091"/>
    <w:rsid w:val="0015454A"/>
    <w:rsid w:val="00154682"/>
    <w:rsid w:val="00154827"/>
    <w:rsid w:val="00154F60"/>
    <w:rsid w:val="00155501"/>
    <w:rsid w:val="001560B9"/>
    <w:rsid w:val="00156CAA"/>
    <w:rsid w:val="00156DEF"/>
    <w:rsid w:val="0015702B"/>
    <w:rsid w:val="00157577"/>
    <w:rsid w:val="00157A78"/>
    <w:rsid w:val="00157D86"/>
    <w:rsid w:val="00160155"/>
    <w:rsid w:val="0016025B"/>
    <w:rsid w:val="0016031C"/>
    <w:rsid w:val="001603DA"/>
    <w:rsid w:val="00160E0E"/>
    <w:rsid w:val="00161124"/>
    <w:rsid w:val="00161278"/>
    <w:rsid w:val="00161717"/>
    <w:rsid w:val="00161927"/>
    <w:rsid w:val="0016192A"/>
    <w:rsid w:val="00161B5B"/>
    <w:rsid w:val="00161D5B"/>
    <w:rsid w:val="00161DA5"/>
    <w:rsid w:val="00162009"/>
    <w:rsid w:val="00162560"/>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77FCF"/>
    <w:rsid w:val="00180319"/>
    <w:rsid w:val="00180392"/>
    <w:rsid w:val="0018174D"/>
    <w:rsid w:val="00181A6A"/>
    <w:rsid w:val="00182133"/>
    <w:rsid w:val="001821A3"/>
    <w:rsid w:val="00182B04"/>
    <w:rsid w:val="00182CE6"/>
    <w:rsid w:val="00182DAD"/>
    <w:rsid w:val="00182DC0"/>
    <w:rsid w:val="00183085"/>
    <w:rsid w:val="001839FA"/>
    <w:rsid w:val="00183C70"/>
    <w:rsid w:val="00183DA7"/>
    <w:rsid w:val="00183DDC"/>
    <w:rsid w:val="00184867"/>
    <w:rsid w:val="0018505D"/>
    <w:rsid w:val="001850C6"/>
    <w:rsid w:val="0018561F"/>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E80"/>
    <w:rsid w:val="00192F16"/>
    <w:rsid w:val="00193071"/>
    <w:rsid w:val="0019399F"/>
    <w:rsid w:val="001940A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08D"/>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1456"/>
    <w:rsid w:val="001C1ECD"/>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9A5"/>
    <w:rsid w:val="001E1C40"/>
    <w:rsid w:val="001E1EC3"/>
    <w:rsid w:val="001E1FB9"/>
    <w:rsid w:val="001E1FD1"/>
    <w:rsid w:val="001E21D6"/>
    <w:rsid w:val="001E23E2"/>
    <w:rsid w:val="001E3778"/>
    <w:rsid w:val="001E3F7F"/>
    <w:rsid w:val="001E4300"/>
    <w:rsid w:val="001E475C"/>
    <w:rsid w:val="001E4A46"/>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503"/>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10"/>
    <w:rsid w:val="0020622C"/>
    <w:rsid w:val="002064F7"/>
    <w:rsid w:val="00206509"/>
    <w:rsid w:val="002068A4"/>
    <w:rsid w:val="00206BDB"/>
    <w:rsid w:val="00207A16"/>
    <w:rsid w:val="00210326"/>
    <w:rsid w:val="0021058F"/>
    <w:rsid w:val="00210E7C"/>
    <w:rsid w:val="0021135F"/>
    <w:rsid w:val="0021150C"/>
    <w:rsid w:val="00211938"/>
    <w:rsid w:val="00211E3E"/>
    <w:rsid w:val="002122F7"/>
    <w:rsid w:val="00212373"/>
    <w:rsid w:val="002127FD"/>
    <w:rsid w:val="00212850"/>
    <w:rsid w:val="00212A67"/>
    <w:rsid w:val="00212B04"/>
    <w:rsid w:val="00212EEA"/>
    <w:rsid w:val="002130B4"/>
    <w:rsid w:val="002133FC"/>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063"/>
    <w:rsid w:val="0023589B"/>
    <w:rsid w:val="00235AEE"/>
    <w:rsid w:val="00235D75"/>
    <w:rsid w:val="00235FD7"/>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6E35"/>
    <w:rsid w:val="002479F2"/>
    <w:rsid w:val="00247BC0"/>
    <w:rsid w:val="00247C83"/>
    <w:rsid w:val="00250370"/>
    <w:rsid w:val="002503D4"/>
    <w:rsid w:val="0025068A"/>
    <w:rsid w:val="00250751"/>
    <w:rsid w:val="00250A7F"/>
    <w:rsid w:val="00251026"/>
    <w:rsid w:val="002516DF"/>
    <w:rsid w:val="00251B50"/>
    <w:rsid w:val="0025204C"/>
    <w:rsid w:val="00252661"/>
    <w:rsid w:val="00253D03"/>
    <w:rsid w:val="00254CF4"/>
    <w:rsid w:val="00254EF4"/>
    <w:rsid w:val="00255877"/>
    <w:rsid w:val="00256FDC"/>
    <w:rsid w:val="0025701A"/>
    <w:rsid w:val="0025742B"/>
    <w:rsid w:val="002575ED"/>
    <w:rsid w:val="002576EB"/>
    <w:rsid w:val="00257BEB"/>
    <w:rsid w:val="00260BF5"/>
    <w:rsid w:val="00260D04"/>
    <w:rsid w:val="002610E0"/>
    <w:rsid w:val="0026130F"/>
    <w:rsid w:val="0026140B"/>
    <w:rsid w:val="0026179F"/>
    <w:rsid w:val="00261C84"/>
    <w:rsid w:val="002622D4"/>
    <w:rsid w:val="00262A9E"/>
    <w:rsid w:val="00263521"/>
    <w:rsid w:val="00263A1E"/>
    <w:rsid w:val="00263C2F"/>
    <w:rsid w:val="00263DB7"/>
    <w:rsid w:val="00264127"/>
    <w:rsid w:val="002643D4"/>
    <w:rsid w:val="00264CFB"/>
    <w:rsid w:val="00265428"/>
    <w:rsid w:val="002654D1"/>
    <w:rsid w:val="00265FF4"/>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77895"/>
    <w:rsid w:val="00281113"/>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D00"/>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19FA"/>
    <w:rsid w:val="002920D3"/>
    <w:rsid w:val="002927EE"/>
    <w:rsid w:val="00292A17"/>
    <w:rsid w:val="00292A58"/>
    <w:rsid w:val="00293D00"/>
    <w:rsid w:val="00293FC3"/>
    <w:rsid w:val="00294150"/>
    <w:rsid w:val="002941CD"/>
    <w:rsid w:val="00294251"/>
    <w:rsid w:val="00294784"/>
    <w:rsid w:val="00294AF0"/>
    <w:rsid w:val="00295F53"/>
    <w:rsid w:val="00296A9F"/>
    <w:rsid w:val="002970CC"/>
    <w:rsid w:val="00297B77"/>
    <w:rsid w:val="00297FD7"/>
    <w:rsid w:val="002A0167"/>
    <w:rsid w:val="002A04CC"/>
    <w:rsid w:val="002A1117"/>
    <w:rsid w:val="002A18D6"/>
    <w:rsid w:val="002A1FDA"/>
    <w:rsid w:val="002A2132"/>
    <w:rsid w:val="002A29AB"/>
    <w:rsid w:val="002A2C5A"/>
    <w:rsid w:val="002A2FA3"/>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7DE"/>
    <w:rsid w:val="002B08F4"/>
    <w:rsid w:val="002B0C29"/>
    <w:rsid w:val="002B10E8"/>
    <w:rsid w:val="002B1152"/>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6EB"/>
    <w:rsid w:val="002C0B9D"/>
    <w:rsid w:val="002C1103"/>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285"/>
    <w:rsid w:val="002E0A57"/>
    <w:rsid w:val="002E188D"/>
    <w:rsid w:val="002E1E1F"/>
    <w:rsid w:val="002E24BB"/>
    <w:rsid w:val="002E2DB0"/>
    <w:rsid w:val="002E3AA6"/>
    <w:rsid w:val="002E424B"/>
    <w:rsid w:val="002E4818"/>
    <w:rsid w:val="002E5757"/>
    <w:rsid w:val="002E5917"/>
    <w:rsid w:val="002E644F"/>
    <w:rsid w:val="002E6B3E"/>
    <w:rsid w:val="002E707E"/>
    <w:rsid w:val="002E70B8"/>
    <w:rsid w:val="002E7528"/>
    <w:rsid w:val="002E76D3"/>
    <w:rsid w:val="002E7821"/>
    <w:rsid w:val="002F06E7"/>
    <w:rsid w:val="002F1184"/>
    <w:rsid w:val="002F11D2"/>
    <w:rsid w:val="002F12B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2330"/>
    <w:rsid w:val="003123B4"/>
    <w:rsid w:val="00312EB1"/>
    <w:rsid w:val="0031327E"/>
    <w:rsid w:val="0031348B"/>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845"/>
    <w:rsid w:val="00333BC5"/>
    <w:rsid w:val="00334583"/>
    <w:rsid w:val="00334A65"/>
    <w:rsid w:val="00334AA4"/>
    <w:rsid w:val="00334CB7"/>
    <w:rsid w:val="00334D20"/>
    <w:rsid w:val="00335267"/>
    <w:rsid w:val="0033564C"/>
    <w:rsid w:val="003356A2"/>
    <w:rsid w:val="00335A0A"/>
    <w:rsid w:val="0033672B"/>
    <w:rsid w:val="0033676F"/>
    <w:rsid w:val="00336AE3"/>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612"/>
    <w:rsid w:val="0034761C"/>
    <w:rsid w:val="00347800"/>
    <w:rsid w:val="00347942"/>
    <w:rsid w:val="00347A15"/>
    <w:rsid w:val="00347ADC"/>
    <w:rsid w:val="003501EC"/>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45D"/>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13A"/>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6FDA"/>
    <w:rsid w:val="003674D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AE"/>
    <w:rsid w:val="0038136E"/>
    <w:rsid w:val="003818F7"/>
    <w:rsid w:val="00381983"/>
    <w:rsid w:val="00381A76"/>
    <w:rsid w:val="00381ACA"/>
    <w:rsid w:val="00382741"/>
    <w:rsid w:val="00382981"/>
    <w:rsid w:val="00383724"/>
    <w:rsid w:val="003839AA"/>
    <w:rsid w:val="003843E4"/>
    <w:rsid w:val="00384988"/>
    <w:rsid w:val="00384EDD"/>
    <w:rsid w:val="00385426"/>
    <w:rsid w:val="0038575C"/>
    <w:rsid w:val="00385A72"/>
    <w:rsid w:val="00385A9B"/>
    <w:rsid w:val="00385CBB"/>
    <w:rsid w:val="00385FBB"/>
    <w:rsid w:val="0038765E"/>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4B"/>
    <w:rsid w:val="003971AD"/>
    <w:rsid w:val="00397234"/>
    <w:rsid w:val="0039759A"/>
    <w:rsid w:val="00397B20"/>
    <w:rsid w:val="00397B41"/>
    <w:rsid w:val="00397C56"/>
    <w:rsid w:val="003A0054"/>
    <w:rsid w:val="003A042B"/>
    <w:rsid w:val="003A05D7"/>
    <w:rsid w:val="003A07CF"/>
    <w:rsid w:val="003A0852"/>
    <w:rsid w:val="003A08AE"/>
    <w:rsid w:val="003A20D0"/>
    <w:rsid w:val="003A26D2"/>
    <w:rsid w:val="003A30E1"/>
    <w:rsid w:val="003A3978"/>
    <w:rsid w:val="003A3D05"/>
    <w:rsid w:val="003A47A9"/>
    <w:rsid w:val="003A5847"/>
    <w:rsid w:val="003A613A"/>
    <w:rsid w:val="003A66EF"/>
    <w:rsid w:val="003A689D"/>
    <w:rsid w:val="003A7180"/>
    <w:rsid w:val="003A74D0"/>
    <w:rsid w:val="003A769E"/>
    <w:rsid w:val="003A780A"/>
    <w:rsid w:val="003B0B84"/>
    <w:rsid w:val="003B1053"/>
    <w:rsid w:val="003B12C7"/>
    <w:rsid w:val="003B163C"/>
    <w:rsid w:val="003B166B"/>
    <w:rsid w:val="003B1F61"/>
    <w:rsid w:val="003B1F62"/>
    <w:rsid w:val="003B1FF3"/>
    <w:rsid w:val="003B260D"/>
    <w:rsid w:val="003B30AD"/>
    <w:rsid w:val="003B317B"/>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D7AF5"/>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4D2"/>
    <w:rsid w:val="003F06E0"/>
    <w:rsid w:val="003F0C61"/>
    <w:rsid w:val="003F0D90"/>
    <w:rsid w:val="003F0E51"/>
    <w:rsid w:val="003F1342"/>
    <w:rsid w:val="003F14F0"/>
    <w:rsid w:val="003F2195"/>
    <w:rsid w:val="003F2708"/>
    <w:rsid w:val="003F2DBB"/>
    <w:rsid w:val="003F2EF4"/>
    <w:rsid w:val="003F2F7C"/>
    <w:rsid w:val="003F316F"/>
    <w:rsid w:val="003F3EF3"/>
    <w:rsid w:val="003F40CF"/>
    <w:rsid w:val="003F46AC"/>
    <w:rsid w:val="003F46FD"/>
    <w:rsid w:val="003F48CD"/>
    <w:rsid w:val="003F4A41"/>
    <w:rsid w:val="003F4B2F"/>
    <w:rsid w:val="003F5B6A"/>
    <w:rsid w:val="003F6451"/>
    <w:rsid w:val="003F6A36"/>
    <w:rsid w:val="003F6CB2"/>
    <w:rsid w:val="003F6D65"/>
    <w:rsid w:val="003F6F5D"/>
    <w:rsid w:val="003F782E"/>
    <w:rsid w:val="003F7B2B"/>
    <w:rsid w:val="003F7DB2"/>
    <w:rsid w:val="004002DD"/>
    <w:rsid w:val="0040036C"/>
    <w:rsid w:val="0040072A"/>
    <w:rsid w:val="00400D5E"/>
    <w:rsid w:val="004016AC"/>
    <w:rsid w:val="00401ED1"/>
    <w:rsid w:val="00402303"/>
    <w:rsid w:val="00402817"/>
    <w:rsid w:val="004029F9"/>
    <w:rsid w:val="00403CB0"/>
    <w:rsid w:val="00403EED"/>
    <w:rsid w:val="0040422D"/>
    <w:rsid w:val="004045D8"/>
    <w:rsid w:val="0040494A"/>
    <w:rsid w:val="00405277"/>
    <w:rsid w:val="004064E0"/>
    <w:rsid w:val="004067E1"/>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8A"/>
    <w:rsid w:val="004156B7"/>
    <w:rsid w:val="00416D06"/>
    <w:rsid w:val="00417266"/>
    <w:rsid w:val="00417275"/>
    <w:rsid w:val="004175BE"/>
    <w:rsid w:val="00417D4C"/>
    <w:rsid w:val="00417EE1"/>
    <w:rsid w:val="00420371"/>
    <w:rsid w:val="00420394"/>
    <w:rsid w:val="004204DC"/>
    <w:rsid w:val="004206BA"/>
    <w:rsid w:val="0042090E"/>
    <w:rsid w:val="0042091E"/>
    <w:rsid w:val="00420DB1"/>
    <w:rsid w:val="0042151A"/>
    <w:rsid w:val="00421D2C"/>
    <w:rsid w:val="0042232C"/>
    <w:rsid w:val="00422F06"/>
    <w:rsid w:val="00423618"/>
    <w:rsid w:val="00424789"/>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1AFC"/>
    <w:rsid w:val="00442197"/>
    <w:rsid w:val="004424B2"/>
    <w:rsid w:val="004428A8"/>
    <w:rsid w:val="00442E2D"/>
    <w:rsid w:val="00442EF9"/>
    <w:rsid w:val="0044305F"/>
    <w:rsid w:val="00443518"/>
    <w:rsid w:val="00443D1B"/>
    <w:rsid w:val="00443D1F"/>
    <w:rsid w:val="00443DD1"/>
    <w:rsid w:val="0044419E"/>
    <w:rsid w:val="00444597"/>
    <w:rsid w:val="00444919"/>
    <w:rsid w:val="00444C88"/>
    <w:rsid w:val="004453BB"/>
    <w:rsid w:val="00445522"/>
    <w:rsid w:val="004455B7"/>
    <w:rsid w:val="00445626"/>
    <w:rsid w:val="00445AA0"/>
    <w:rsid w:val="00445EB4"/>
    <w:rsid w:val="0044619B"/>
    <w:rsid w:val="004465C9"/>
    <w:rsid w:val="00446802"/>
    <w:rsid w:val="004470C5"/>
    <w:rsid w:val="004474BB"/>
    <w:rsid w:val="004475E5"/>
    <w:rsid w:val="0044775A"/>
    <w:rsid w:val="00447B5B"/>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7FE"/>
    <w:rsid w:val="00456A60"/>
    <w:rsid w:val="00456AD9"/>
    <w:rsid w:val="00456F88"/>
    <w:rsid w:val="004575EF"/>
    <w:rsid w:val="0045768C"/>
    <w:rsid w:val="00457CF6"/>
    <w:rsid w:val="00460118"/>
    <w:rsid w:val="00460179"/>
    <w:rsid w:val="00460B1C"/>
    <w:rsid w:val="00460F08"/>
    <w:rsid w:val="004610F2"/>
    <w:rsid w:val="004617CF"/>
    <w:rsid w:val="004618E5"/>
    <w:rsid w:val="004622BB"/>
    <w:rsid w:val="00462348"/>
    <w:rsid w:val="00463683"/>
    <w:rsid w:val="0046415D"/>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16"/>
    <w:rsid w:val="00471164"/>
    <w:rsid w:val="00471238"/>
    <w:rsid w:val="0047126F"/>
    <w:rsid w:val="00471AA2"/>
    <w:rsid w:val="00471E18"/>
    <w:rsid w:val="00471F92"/>
    <w:rsid w:val="00471FC6"/>
    <w:rsid w:val="0047228C"/>
    <w:rsid w:val="00472A3C"/>
    <w:rsid w:val="00472F56"/>
    <w:rsid w:val="004732FD"/>
    <w:rsid w:val="004735CD"/>
    <w:rsid w:val="004736FF"/>
    <w:rsid w:val="00473D67"/>
    <w:rsid w:val="00474106"/>
    <w:rsid w:val="004741B7"/>
    <w:rsid w:val="004743DF"/>
    <w:rsid w:val="00474661"/>
    <w:rsid w:val="00474EE3"/>
    <w:rsid w:val="00474EFE"/>
    <w:rsid w:val="00475095"/>
    <w:rsid w:val="00475A1C"/>
    <w:rsid w:val="0047620F"/>
    <w:rsid w:val="00476508"/>
    <w:rsid w:val="004767BA"/>
    <w:rsid w:val="004772EE"/>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A7C8A"/>
    <w:rsid w:val="004B09A3"/>
    <w:rsid w:val="004B117A"/>
    <w:rsid w:val="004B18AE"/>
    <w:rsid w:val="004B1BFA"/>
    <w:rsid w:val="004B21B0"/>
    <w:rsid w:val="004B2564"/>
    <w:rsid w:val="004B2751"/>
    <w:rsid w:val="004B2D77"/>
    <w:rsid w:val="004B2F85"/>
    <w:rsid w:val="004B3850"/>
    <w:rsid w:val="004B3C1D"/>
    <w:rsid w:val="004B42DF"/>
    <w:rsid w:val="004B4756"/>
    <w:rsid w:val="004B5F7A"/>
    <w:rsid w:val="004B6164"/>
    <w:rsid w:val="004B63AE"/>
    <w:rsid w:val="004B6754"/>
    <w:rsid w:val="004B7C1A"/>
    <w:rsid w:val="004C04A1"/>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165"/>
    <w:rsid w:val="004C766B"/>
    <w:rsid w:val="004C7A8F"/>
    <w:rsid w:val="004C7D9F"/>
    <w:rsid w:val="004D03B3"/>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DD2"/>
    <w:rsid w:val="004E3F72"/>
    <w:rsid w:val="004E46AF"/>
    <w:rsid w:val="004E4C18"/>
    <w:rsid w:val="004E51B2"/>
    <w:rsid w:val="004E5265"/>
    <w:rsid w:val="004E52EE"/>
    <w:rsid w:val="004E5E3F"/>
    <w:rsid w:val="004E614C"/>
    <w:rsid w:val="004E6717"/>
    <w:rsid w:val="004E6D72"/>
    <w:rsid w:val="004E7219"/>
    <w:rsid w:val="004E7332"/>
    <w:rsid w:val="004E7495"/>
    <w:rsid w:val="004E7674"/>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5EF5"/>
    <w:rsid w:val="004F679D"/>
    <w:rsid w:val="004F67EC"/>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4FC2"/>
    <w:rsid w:val="00505366"/>
    <w:rsid w:val="0050537A"/>
    <w:rsid w:val="00507685"/>
    <w:rsid w:val="0051015F"/>
    <w:rsid w:val="00510184"/>
    <w:rsid w:val="0051084F"/>
    <w:rsid w:val="00510973"/>
    <w:rsid w:val="00510A6C"/>
    <w:rsid w:val="00510D89"/>
    <w:rsid w:val="00511F6D"/>
    <w:rsid w:val="00512670"/>
    <w:rsid w:val="005130A4"/>
    <w:rsid w:val="0051326F"/>
    <w:rsid w:val="00513969"/>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17E6A"/>
    <w:rsid w:val="00517ECD"/>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3D5E"/>
    <w:rsid w:val="00524289"/>
    <w:rsid w:val="00524F47"/>
    <w:rsid w:val="005250BC"/>
    <w:rsid w:val="00525145"/>
    <w:rsid w:val="005254F8"/>
    <w:rsid w:val="005259CE"/>
    <w:rsid w:val="00525EDD"/>
    <w:rsid w:val="00526053"/>
    <w:rsid w:val="00526599"/>
    <w:rsid w:val="005265D4"/>
    <w:rsid w:val="00526812"/>
    <w:rsid w:val="0052721A"/>
    <w:rsid w:val="00527B92"/>
    <w:rsid w:val="00527F31"/>
    <w:rsid w:val="005300AC"/>
    <w:rsid w:val="00530147"/>
    <w:rsid w:val="0053022D"/>
    <w:rsid w:val="005308B4"/>
    <w:rsid w:val="005315AB"/>
    <w:rsid w:val="00531977"/>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010"/>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6FA"/>
    <w:rsid w:val="00557A6C"/>
    <w:rsid w:val="005608B2"/>
    <w:rsid w:val="0056099A"/>
    <w:rsid w:val="00560A43"/>
    <w:rsid w:val="00560B56"/>
    <w:rsid w:val="00561000"/>
    <w:rsid w:val="00561471"/>
    <w:rsid w:val="0056195C"/>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1F53"/>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6FEA"/>
    <w:rsid w:val="0057735C"/>
    <w:rsid w:val="00577BC4"/>
    <w:rsid w:val="00577C64"/>
    <w:rsid w:val="0058037E"/>
    <w:rsid w:val="00580508"/>
    <w:rsid w:val="005806F9"/>
    <w:rsid w:val="00580C5C"/>
    <w:rsid w:val="00580DA8"/>
    <w:rsid w:val="00580F79"/>
    <w:rsid w:val="0058142E"/>
    <w:rsid w:val="00581795"/>
    <w:rsid w:val="005817E6"/>
    <w:rsid w:val="005831F2"/>
    <w:rsid w:val="005833CD"/>
    <w:rsid w:val="00583B95"/>
    <w:rsid w:val="00583E34"/>
    <w:rsid w:val="00584FA4"/>
    <w:rsid w:val="005850FD"/>
    <w:rsid w:val="0058597D"/>
    <w:rsid w:val="00585BB5"/>
    <w:rsid w:val="00585F34"/>
    <w:rsid w:val="00586891"/>
    <w:rsid w:val="00586E4B"/>
    <w:rsid w:val="00587BE9"/>
    <w:rsid w:val="00587DC2"/>
    <w:rsid w:val="00590164"/>
    <w:rsid w:val="005906E5"/>
    <w:rsid w:val="00590A30"/>
    <w:rsid w:val="00590AE1"/>
    <w:rsid w:val="00590EBE"/>
    <w:rsid w:val="00590F6B"/>
    <w:rsid w:val="0059185F"/>
    <w:rsid w:val="00591DE4"/>
    <w:rsid w:val="00591F15"/>
    <w:rsid w:val="0059251E"/>
    <w:rsid w:val="00592ABD"/>
    <w:rsid w:val="00592EAA"/>
    <w:rsid w:val="00592EBE"/>
    <w:rsid w:val="00593050"/>
    <w:rsid w:val="00593685"/>
    <w:rsid w:val="0059372F"/>
    <w:rsid w:val="0059393A"/>
    <w:rsid w:val="0059466A"/>
    <w:rsid w:val="00594734"/>
    <w:rsid w:val="005947CE"/>
    <w:rsid w:val="00594F0E"/>
    <w:rsid w:val="00594FE6"/>
    <w:rsid w:val="005950C8"/>
    <w:rsid w:val="0059531A"/>
    <w:rsid w:val="0059595B"/>
    <w:rsid w:val="00595A3D"/>
    <w:rsid w:val="00595D44"/>
    <w:rsid w:val="0059614A"/>
    <w:rsid w:val="005963B4"/>
    <w:rsid w:val="00596A08"/>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420A"/>
    <w:rsid w:val="005A504A"/>
    <w:rsid w:val="005A57D6"/>
    <w:rsid w:val="005A5A70"/>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85C"/>
    <w:rsid w:val="005D089D"/>
    <w:rsid w:val="005D0E3A"/>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075"/>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C5"/>
    <w:rsid w:val="005E78E7"/>
    <w:rsid w:val="005E7D9E"/>
    <w:rsid w:val="005F00DC"/>
    <w:rsid w:val="005F01BE"/>
    <w:rsid w:val="005F0224"/>
    <w:rsid w:val="005F038B"/>
    <w:rsid w:val="005F03A8"/>
    <w:rsid w:val="005F0908"/>
    <w:rsid w:val="005F0B3C"/>
    <w:rsid w:val="005F0C6A"/>
    <w:rsid w:val="005F0E3E"/>
    <w:rsid w:val="005F121A"/>
    <w:rsid w:val="005F14B1"/>
    <w:rsid w:val="005F16C0"/>
    <w:rsid w:val="005F1C34"/>
    <w:rsid w:val="005F1D95"/>
    <w:rsid w:val="005F1FA4"/>
    <w:rsid w:val="005F2122"/>
    <w:rsid w:val="005F2129"/>
    <w:rsid w:val="005F22F1"/>
    <w:rsid w:val="005F2430"/>
    <w:rsid w:val="005F26A8"/>
    <w:rsid w:val="005F27EF"/>
    <w:rsid w:val="005F30B1"/>
    <w:rsid w:val="005F3434"/>
    <w:rsid w:val="005F3532"/>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CC7"/>
    <w:rsid w:val="00600F74"/>
    <w:rsid w:val="00601269"/>
    <w:rsid w:val="00601462"/>
    <w:rsid w:val="00601C2F"/>
    <w:rsid w:val="00601E17"/>
    <w:rsid w:val="00602BBC"/>
    <w:rsid w:val="00603127"/>
    <w:rsid w:val="0060328F"/>
    <w:rsid w:val="00603464"/>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6A"/>
    <w:rsid w:val="00617088"/>
    <w:rsid w:val="00617831"/>
    <w:rsid w:val="0062007E"/>
    <w:rsid w:val="00620205"/>
    <w:rsid w:val="006202CC"/>
    <w:rsid w:val="00620470"/>
    <w:rsid w:val="00620736"/>
    <w:rsid w:val="00620F37"/>
    <w:rsid w:val="006212E4"/>
    <w:rsid w:val="00621649"/>
    <w:rsid w:val="0062166D"/>
    <w:rsid w:val="00621811"/>
    <w:rsid w:val="00621C27"/>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946"/>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6FB5"/>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E52"/>
    <w:rsid w:val="00651FD1"/>
    <w:rsid w:val="006531CB"/>
    <w:rsid w:val="00653453"/>
    <w:rsid w:val="0065353C"/>
    <w:rsid w:val="00653803"/>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1BA"/>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350F"/>
    <w:rsid w:val="0067416C"/>
    <w:rsid w:val="006742C5"/>
    <w:rsid w:val="00674A96"/>
    <w:rsid w:val="00674D18"/>
    <w:rsid w:val="006750F1"/>
    <w:rsid w:val="00675104"/>
    <w:rsid w:val="00675A81"/>
    <w:rsid w:val="00676022"/>
    <w:rsid w:val="006763E5"/>
    <w:rsid w:val="0067643D"/>
    <w:rsid w:val="0067675D"/>
    <w:rsid w:val="00677A1C"/>
    <w:rsid w:val="00677C73"/>
    <w:rsid w:val="00677F7C"/>
    <w:rsid w:val="0068074C"/>
    <w:rsid w:val="00680C58"/>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450"/>
    <w:rsid w:val="0069093D"/>
    <w:rsid w:val="006909ED"/>
    <w:rsid w:val="00690E56"/>
    <w:rsid w:val="00690F46"/>
    <w:rsid w:val="00691B4D"/>
    <w:rsid w:val="0069225F"/>
    <w:rsid w:val="0069249C"/>
    <w:rsid w:val="00692613"/>
    <w:rsid w:val="006927F0"/>
    <w:rsid w:val="0069289E"/>
    <w:rsid w:val="00692D60"/>
    <w:rsid w:val="00692E52"/>
    <w:rsid w:val="0069335D"/>
    <w:rsid w:val="00693370"/>
    <w:rsid w:val="00694C3C"/>
    <w:rsid w:val="00694CA0"/>
    <w:rsid w:val="00695041"/>
    <w:rsid w:val="0069547B"/>
    <w:rsid w:val="00695F11"/>
    <w:rsid w:val="00696ADE"/>
    <w:rsid w:val="00696EBA"/>
    <w:rsid w:val="00697081"/>
    <w:rsid w:val="00697E8B"/>
    <w:rsid w:val="006A040F"/>
    <w:rsid w:val="006A0C13"/>
    <w:rsid w:val="006A1039"/>
    <w:rsid w:val="006A21AF"/>
    <w:rsid w:val="006A2D1D"/>
    <w:rsid w:val="006A3205"/>
    <w:rsid w:val="006A49AE"/>
    <w:rsid w:val="006A4C49"/>
    <w:rsid w:val="006A51C4"/>
    <w:rsid w:val="006A52FF"/>
    <w:rsid w:val="006A5A4C"/>
    <w:rsid w:val="006A5BC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1C"/>
    <w:rsid w:val="006B2A2F"/>
    <w:rsid w:val="006B2ABD"/>
    <w:rsid w:val="006B2E94"/>
    <w:rsid w:val="006B3753"/>
    <w:rsid w:val="006B3858"/>
    <w:rsid w:val="006B424E"/>
    <w:rsid w:val="006B4B5B"/>
    <w:rsid w:val="006B4D65"/>
    <w:rsid w:val="006B5363"/>
    <w:rsid w:val="006B56D9"/>
    <w:rsid w:val="006B5FBD"/>
    <w:rsid w:val="006B657B"/>
    <w:rsid w:val="006B6AFA"/>
    <w:rsid w:val="006B709C"/>
    <w:rsid w:val="006B7564"/>
    <w:rsid w:val="006B7AF5"/>
    <w:rsid w:val="006B7CB4"/>
    <w:rsid w:val="006C0000"/>
    <w:rsid w:val="006C01B3"/>
    <w:rsid w:val="006C02AC"/>
    <w:rsid w:val="006C0465"/>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154"/>
    <w:rsid w:val="006D5563"/>
    <w:rsid w:val="006D57BE"/>
    <w:rsid w:val="006D5CCE"/>
    <w:rsid w:val="006D6090"/>
    <w:rsid w:val="006D60EF"/>
    <w:rsid w:val="006D6131"/>
    <w:rsid w:val="006D66B2"/>
    <w:rsid w:val="006D6CC0"/>
    <w:rsid w:val="006D6DC4"/>
    <w:rsid w:val="006D73C8"/>
    <w:rsid w:val="006D76F3"/>
    <w:rsid w:val="006D783D"/>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5"/>
    <w:rsid w:val="006E6E66"/>
    <w:rsid w:val="006E7318"/>
    <w:rsid w:val="006E731A"/>
    <w:rsid w:val="006E787E"/>
    <w:rsid w:val="006F0215"/>
    <w:rsid w:val="006F0DA2"/>
    <w:rsid w:val="006F10E1"/>
    <w:rsid w:val="006F11DD"/>
    <w:rsid w:val="006F1422"/>
    <w:rsid w:val="006F161B"/>
    <w:rsid w:val="006F164A"/>
    <w:rsid w:val="006F19AA"/>
    <w:rsid w:val="006F19AB"/>
    <w:rsid w:val="006F26FB"/>
    <w:rsid w:val="006F281D"/>
    <w:rsid w:val="006F285F"/>
    <w:rsid w:val="006F2C77"/>
    <w:rsid w:val="006F2CF8"/>
    <w:rsid w:val="006F3142"/>
    <w:rsid w:val="006F347B"/>
    <w:rsid w:val="006F3536"/>
    <w:rsid w:val="006F3A6E"/>
    <w:rsid w:val="006F4275"/>
    <w:rsid w:val="006F4A1E"/>
    <w:rsid w:val="006F4F84"/>
    <w:rsid w:val="006F713A"/>
    <w:rsid w:val="006F72A6"/>
    <w:rsid w:val="006F72CF"/>
    <w:rsid w:val="006F78A5"/>
    <w:rsid w:val="006F792F"/>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5A3"/>
    <w:rsid w:val="007069D0"/>
    <w:rsid w:val="0070704B"/>
    <w:rsid w:val="007076D0"/>
    <w:rsid w:val="007100F0"/>
    <w:rsid w:val="00710AF8"/>
    <w:rsid w:val="00710BF9"/>
    <w:rsid w:val="00710F65"/>
    <w:rsid w:val="00711F40"/>
    <w:rsid w:val="007123F2"/>
    <w:rsid w:val="00712ACD"/>
    <w:rsid w:val="0071327A"/>
    <w:rsid w:val="00713714"/>
    <w:rsid w:val="0071397B"/>
    <w:rsid w:val="007139D1"/>
    <w:rsid w:val="00713E05"/>
    <w:rsid w:val="0071481E"/>
    <w:rsid w:val="007149F9"/>
    <w:rsid w:val="00715002"/>
    <w:rsid w:val="00715444"/>
    <w:rsid w:val="007158E1"/>
    <w:rsid w:val="00715E28"/>
    <w:rsid w:val="007163C0"/>
    <w:rsid w:val="00716B1B"/>
    <w:rsid w:val="00716C1C"/>
    <w:rsid w:val="00716D01"/>
    <w:rsid w:val="00717F08"/>
    <w:rsid w:val="007202FA"/>
    <w:rsid w:val="0072059F"/>
    <w:rsid w:val="00720648"/>
    <w:rsid w:val="00720B9C"/>
    <w:rsid w:val="00720C94"/>
    <w:rsid w:val="0072150C"/>
    <w:rsid w:val="0072168B"/>
    <w:rsid w:val="007217C3"/>
    <w:rsid w:val="0072199D"/>
    <w:rsid w:val="00721E89"/>
    <w:rsid w:val="0072219B"/>
    <w:rsid w:val="00722424"/>
    <w:rsid w:val="0072288D"/>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2BC"/>
    <w:rsid w:val="007343AE"/>
    <w:rsid w:val="007343B1"/>
    <w:rsid w:val="00734516"/>
    <w:rsid w:val="0073493B"/>
    <w:rsid w:val="00734D2F"/>
    <w:rsid w:val="00735043"/>
    <w:rsid w:val="007356CC"/>
    <w:rsid w:val="00735DAF"/>
    <w:rsid w:val="00736983"/>
    <w:rsid w:val="00736C98"/>
    <w:rsid w:val="00737520"/>
    <w:rsid w:val="007379AC"/>
    <w:rsid w:val="0074067F"/>
    <w:rsid w:val="007406F6"/>
    <w:rsid w:val="00740C3E"/>
    <w:rsid w:val="00740E0F"/>
    <w:rsid w:val="0074196F"/>
    <w:rsid w:val="00742601"/>
    <w:rsid w:val="00743384"/>
    <w:rsid w:val="00743463"/>
    <w:rsid w:val="0074347F"/>
    <w:rsid w:val="00743EA9"/>
    <w:rsid w:val="0074450C"/>
    <w:rsid w:val="00744632"/>
    <w:rsid w:val="00744779"/>
    <w:rsid w:val="00744A32"/>
    <w:rsid w:val="00744A94"/>
    <w:rsid w:val="00744C08"/>
    <w:rsid w:val="007452B3"/>
    <w:rsid w:val="007467DE"/>
    <w:rsid w:val="0074683C"/>
    <w:rsid w:val="00746F21"/>
    <w:rsid w:val="00746F99"/>
    <w:rsid w:val="00746FD3"/>
    <w:rsid w:val="00747095"/>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519"/>
    <w:rsid w:val="00760778"/>
    <w:rsid w:val="007609B5"/>
    <w:rsid w:val="00760B67"/>
    <w:rsid w:val="00760F3C"/>
    <w:rsid w:val="0076115B"/>
    <w:rsid w:val="007619E8"/>
    <w:rsid w:val="00761CE2"/>
    <w:rsid w:val="00761E1F"/>
    <w:rsid w:val="00761E43"/>
    <w:rsid w:val="00763CCF"/>
    <w:rsid w:val="00763E35"/>
    <w:rsid w:val="0076406C"/>
    <w:rsid w:val="007647A9"/>
    <w:rsid w:val="00764C13"/>
    <w:rsid w:val="007657FC"/>
    <w:rsid w:val="00765D28"/>
    <w:rsid w:val="0076677C"/>
    <w:rsid w:val="00766829"/>
    <w:rsid w:val="00766AB6"/>
    <w:rsid w:val="00766AEC"/>
    <w:rsid w:val="0076737F"/>
    <w:rsid w:val="00767B25"/>
    <w:rsid w:val="00770092"/>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9C9"/>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E78"/>
    <w:rsid w:val="007C00A3"/>
    <w:rsid w:val="007C0288"/>
    <w:rsid w:val="007C02D5"/>
    <w:rsid w:val="007C07F6"/>
    <w:rsid w:val="007C0832"/>
    <w:rsid w:val="007C096F"/>
    <w:rsid w:val="007C0AE2"/>
    <w:rsid w:val="007C1372"/>
    <w:rsid w:val="007C17FC"/>
    <w:rsid w:val="007C1C85"/>
    <w:rsid w:val="007C1F16"/>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0A2"/>
    <w:rsid w:val="007D15AE"/>
    <w:rsid w:val="007D16B5"/>
    <w:rsid w:val="007D189C"/>
    <w:rsid w:val="007D1D12"/>
    <w:rsid w:val="007D1D95"/>
    <w:rsid w:val="007D233B"/>
    <w:rsid w:val="007D29F6"/>
    <w:rsid w:val="007D2A91"/>
    <w:rsid w:val="007D337B"/>
    <w:rsid w:val="007D38B9"/>
    <w:rsid w:val="007D42D0"/>
    <w:rsid w:val="007D4382"/>
    <w:rsid w:val="007D4AC6"/>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04"/>
    <w:rsid w:val="007E128A"/>
    <w:rsid w:val="007E19A6"/>
    <w:rsid w:val="007E2853"/>
    <w:rsid w:val="007E3217"/>
    <w:rsid w:val="007E36FC"/>
    <w:rsid w:val="007E3828"/>
    <w:rsid w:val="007E3B77"/>
    <w:rsid w:val="007E3C92"/>
    <w:rsid w:val="007E405F"/>
    <w:rsid w:val="007E417C"/>
    <w:rsid w:val="007E4217"/>
    <w:rsid w:val="007E4980"/>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52B"/>
    <w:rsid w:val="007F4A1B"/>
    <w:rsid w:val="007F4AD9"/>
    <w:rsid w:val="007F4C7A"/>
    <w:rsid w:val="007F53B3"/>
    <w:rsid w:val="007F572D"/>
    <w:rsid w:val="007F5D02"/>
    <w:rsid w:val="007F6056"/>
    <w:rsid w:val="007F7FF2"/>
    <w:rsid w:val="00800050"/>
    <w:rsid w:val="00800400"/>
    <w:rsid w:val="00800889"/>
    <w:rsid w:val="00800A64"/>
    <w:rsid w:val="00800C46"/>
    <w:rsid w:val="0080175F"/>
    <w:rsid w:val="00801F46"/>
    <w:rsid w:val="00802129"/>
    <w:rsid w:val="008024D4"/>
    <w:rsid w:val="008026ED"/>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401"/>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1EE2"/>
    <w:rsid w:val="00822CBC"/>
    <w:rsid w:val="0082350D"/>
    <w:rsid w:val="00823E80"/>
    <w:rsid w:val="00824505"/>
    <w:rsid w:val="008246BA"/>
    <w:rsid w:val="00824AA0"/>
    <w:rsid w:val="00824B1A"/>
    <w:rsid w:val="00825A14"/>
    <w:rsid w:val="00825A1B"/>
    <w:rsid w:val="00825AAA"/>
    <w:rsid w:val="00826222"/>
    <w:rsid w:val="00827D4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37DC3"/>
    <w:rsid w:val="00840057"/>
    <w:rsid w:val="00842138"/>
    <w:rsid w:val="008424F5"/>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13D"/>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BE2"/>
    <w:rsid w:val="008547B9"/>
    <w:rsid w:val="00855F20"/>
    <w:rsid w:val="00856281"/>
    <w:rsid w:val="008565BC"/>
    <w:rsid w:val="00856648"/>
    <w:rsid w:val="0085672F"/>
    <w:rsid w:val="00856A67"/>
    <w:rsid w:val="00856B26"/>
    <w:rsid w:val="00856B71"/>
    <w:rsid w:val="00856C93"/>
    <w:rsid w:val="008573F9"/>
    <w:rsid w:val="00857B06"/>
    <w:rsid w:val="00857D59"/>
    <w:rsid w:val="00857E85"/>
    <w:rsid w:val="00861274"/>
    <w:rsid w:val="00861731"/>
    <w:rsid w:val="0086190F"/>
    <w:rsid w:val="0086219D"/>
    <w:rsid w:val="00862862"/>
    <w:rsid w:val="008628FE"/>
    <w:rsid w:val="00862BAF"/>
    <w:rsid w:val="00862D12"/>
    <w:rsid w:val="00863B4F"/>
    <w:rsid w:val="00863B93"/>
    <w:rsid w:val="00864147"/>
    <w:rsid w:val="008642D0"/>
    <w:rsid w:val="0086437F"/>
    <w:rsid w:val="00864795"/>
    <w:rsid w:val="00864DDA"/>
    <w:rsid w:val="00865207"/>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2A82"/>
    <w:rsid w:val="0087336E"/>
    <w:rsid w:val="008736E6"/>
    <w:rsid w:val="0087397A"/>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3D47"/>
    <w:rsid w:val="00884782"/>
    <w:rsid w:val="00884A24"/>
    <w:rsid w:val="00884B09"/>
    <w:rsid w:val="00885345"/>
    <w:rsid w:val="00885469"/>
    <w:rsid w:val="00885F99"/>
    <w:rsid w:val="008861A5"/>
    <w:rsid w:val="0088627E"/>
    <w:rsid w:val="008862D8"/>
    <w:rsid w:val="008865D6"/>
    <w:rsid w:val="008866AA"/>
    <w:rsid w:val="008866DF"/>
    <w:rsid w:val="00886AEF"/>
    <w:rsid w:val="00886BD1"/>
    <w:rsid w:val="00887178"/>
    <w:rsid w:val="00887446"/>
    <w:rsid w:val="0088747B"/>
    <w:rsid w:val="00887648"/>
    <w:rsid w:val="008879D3"/>
    <w:rsid w:val="00887EEB"/>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A9"/>
    <w:rsid w:val="00895AFB"/>
    <w:rsid w:val="00895BAB"/>
    <w:rsid w:val="00895CB8"/>
    <w:rsid w:val="00895E96"/>
    <w:rsid w:val="00896315"/>
    <w:rsid w:val="0089661E"/>
    <w:rsid w:val="008968C1"/>
    <w:rsid w:val="00896C38"/>
    <w:rsid w:val="0089704F"/>
    <w:rsid w:val="00897D19"/>
    <w:rsid w:val="00897F55"/>
    <w:rsid w:val="008A002D"/>
    <w:rsid w:val="008A056C"/>
    <w:rsid w:val="008A0AD9"/>
    <w:rsid w:val="008A0C03"/>
    <w:rsid w:val="008A0D84"/>
    <w:rsid w:val="008A12D8"/>
    <w:rsid w:val="008A14DB"/>
    <w:rsid w:val="008A1870"/>
    <w:rsid w:val="008A1A62"/>
    <w:rsid w:val="008A1C2B"/>
    <w:rsid w:val="008A1D01"/>
    <w:rsid w:val="008A1DEE"/>
    <w:rsid w:val="008A1FFE"/>
    <w:rsid w:val="008A21D4"/>
    <w:rsid w:val="008A2348"/>
    <w:rsid w:val="008A2757"/>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B6B"/>
    <w:rsid w:val="008B2C01"/>
    <w:rsid w:val="008B2E28"/>
    <w:rsid w:val="008B31F7"/>
    <w:rsid w:val="008B33C0"/>
    <w:rsid w:val="008B3522"/>
    <w:rsid w:val="008B3869"/>
    <w:rsid w:val="008B3D4A"/>
    <w:rsid w:val="008B4256"/>
    <w:rsid w:val="008B468D"/>
    <w:rsid w:val="008B4F41"/>
    <w:rsid w:val="008B5F0A"/>
    <w:rsid w:val="008B606C"/>
    <w:rsid w:val="008B6972"/>
    <w:rsid w:val="008B7D7C"/>
    <w:rsid w:val="008C05F1"/>
    <w:rsid w:val="008C07C7"/>
    <w:rsid w:val="008C097F"/>
    <w:rsid w:val="008C09EB"/>
    <w:rsid w:val="008C0B8B"/>
    <w:rsid w:val="008C0D7B"/>
    <w:rsid w:val="008C0E17"/>
    <w:rsid w:val="008C1006"/>
    <w:rsid w:val="008C1ED2"/>
    <w:rsid w:val="008C262B"/>
    <w:rsid w:val="008C2AB9"/>
    <w:rsid w:val="008C329B"/>
    <w:rsid w:val="008C3638"/>
    <w:rsid w:val="008C3DBB"/>
    <w:rsid w:val="008C4092"/>
    <w:rsid w:val="008C5036"/>
    <w:rsid w:val="008C5D99"/>
    <w:rsid w:val="008C61AE"/>
    <w:rsid w:val="008C6F75"/>
    <w:rsid w:val="008C7151"/>
    <w:rsid w:val="008C7200"/>
    <w:rsid w:val="008C7627"/>
    <w:rsid w:val="008C76D4"/>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62D"/>
    <w:rsid w:val="008E37C0"/>
    <w:rsid w:val="008E3CC4"/>
    <w:rsid w:val="008E3DDC"/>
    <w:rsid w:val="008E417F"/>
    <w:rsid w:val="008E4F24"/>
    <w:rsid w:val="008E515C"/>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9CE"/>
    <w:rsid w:val="008F2E02"/>
    <w:rsid w:val="008F3327"/>
    <w:rsid w:val="008F34AF"/>
    <w:rsid w:val="008F3549"/>
    <w:rsid w:val="008F39A8"/>
    <w:rsid w:val="008F3E23"/>
    <w:rsid w:val="008F3FA2"/>
    <w:rsid w:val="008F475E"/>
    <w:rsid w:val="008F49E7"/>
    <w:rsid w:val="008F4A43"/>
    <w:rsid w:val="008F4BA0"/>
    <w:rsid w:val="008F4C3B"/>
    <w:rsid w:val="008F4C62"/>
    <w:rsid w:val="008F4D58"/>
    <w:rsid w:val="008F4EBB"/>
    <w:rsid w:val="008F509D"/>
    <w:rsid w:val="008F5110"/>
    <w:rsid w:val="008F51BE"/>
    <w:rsid w:val="008F51FC"/>
    <w:rsid w:val="008F56EB"/>
    <w:rsid w:val="008F5B13"/>
    <w:rsid w:val="008F5BBE"/>
    <w:rsid w:val="008F6006"/>
    <w:rsid w:val="008F62CE"/>
    <w:rsid w:val="008F71B1"/>
    <w:rsid w:val="008F71BC"/>
    <w:rsid w:val="008F7246"/>
    <w:rsid w:val="008F726A"/>
    <w:rsid w:val="008F72E9"/>
    <w:rsid w:val="008F7CB8"/>
    <w:rsid w:val="008F7DE6"/>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3F6"/>
    <w:rsid w:val="009117BF"/>
    <w:rsid w:val="00911F9B"/>
    <w:rsid w:val="009120C5"/>
    <w:rsid w:val="00912796"/>
    <w:rsid w:val="0091281F"/>
    <w:rsid w:val="0091293D"/>
    <w:rsid w:val="00912AC0"/>
    <w:rsid w:val="00912CB8"/>
    <w:rsid w:val="009132FC"/>
    <w:rsid w:val="00913863"/>
    <w:rsid w:val="009138D6"/>
    <w:rsid w:val="00913B73"/>
    <w:rsid w:val="00913C62"/>
    <w:rsid w:val="009143C1"/>
    <w:rsid w:val="009147BA"/>
    <w:rsid w:val="00914E96"/>
    <w:rsid w:val="009155E5"/>
    <w:rsid w:val="0091566D"/>
    <w:rsid w:val="00915CB0"/>
    <w:rsid w:val="009160AC"/>
    <w:rsid w:val="009161AF"/>
    <w:rsid w:val="00916484"/>
    <w:rsid w:val="00916920"/>
    <w:rsid w:val="00916B7D"/>
    <w:rsid w:val="00916C19"/>
    <w:rsid w:val="00916F2F"/>
    <w:rsid w:val="00917575"/>
    <w:rsid w:val="009176BF"/>
    <w:rsid w:val="00917ABD"/>
    <w:rsid w:val="00920136"/>
    <w:rsid w:val="00920652"/>
    <w:rsid w:val="009209E3"/>
    <w:rsid w:val="00920AF2"/>
    <w:rsid w:val="009216EF"/>
    <w:rsid w:val="009216F3"/>
    <w:rsid w:val="00921847"/>
    <w:rsid w:val="00921D9A"/>
    <w:rsid w:val="00921EDE"/>
    <w:rsid w:val="0092228B"/>
    <w:rsid w:val="00923216"/>
    <w:rsid w:val="009234D0"/>
    <w:rsid w:val="00923724"/>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041"/>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47907"/>
    <w:rsid w:val="00950145"/>
    <w:rsid w:val="009505BB"/>
    <w:rsid w:val="0095094F"/>
    <w:rsid w:val="009510AD"/>
    <w:rsid w:val="009513BE"/>
    <w:rsid w:val="00951973"/>
    <w:rsid w:val="00951DAD"/>
    <w:rsid w:val="00951DBF"/>
    <w:rsid w:val="00951E28"/>
    <w:rsid w:val="00951EFA"/>
    <w:rsid w:val="00952259"/>
    <w:rsid w:val="0095242E"/>
    <w:rsid w:val="00952B7A"/>
    <w:rsid w:val="00953B97"/>
    <w:rsid w:val="00954408"/>
    <w:rsid w:val="00954D0E"/>
    <w:rsid w:val="00954EEC"/>
    <w:rsid w:val="00954FE1"/>
    <w:rsid w:val="0095542B"/>
    <w:rsid w:val="009556AE"/>
    <w:rsid w:val="00955C7A"/>
    <w:rsid w:val="00955DD9"/>
    <w:rsid w:val="009565BD"/>
    <w:rsid w:val="00956939"/>
    <w:rsid w:val="00956AAC"/>
    <w:rsid w:val="00956AB0"/>
    <w:rsid w:val="00956BC0"/>
    <w:rsid w:val="00956CA0"/>
    <w:rsid w:val="00956F8C"/>
    <w:rsid w:val="00957B14"/>
    <w:rsid w:val="00960311"/>
    <w:rsid w:val="009604D1"/>
    <w:rsid w:val="009609B3"/>
    <w:rsid w:val="00961878"/>
    <w:rsid w:val="00961DB0"/>
    <w:rsid w:val="00961EF6"/>
    <w:rsid w:val="009620E7"/>
    <w:rsid w:val="0096256C"/>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6714"/>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0A"/>
    <w:rsid w:val="009752C7"/>
    <w:rsid w:val="009759F2"/>
    <w:rsid w:val="00976190"/>
    <w:rsid w:val="00976469"/>
    <w:rsid w:val="00976532"/>
    <w:rsid w:val="0097654B"/>
    <w:rsid w:val="0097666A"/>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95E"/>
    <w:rsid w:val="00991B19"/>
    <w:rsid w:val="00991F23"/>
    <w:rsid w:val="00992605"/>
    <w:rsid w:val="00992CD6"/>
    <w:rsid w:val="00993599"/>
    <w:rsid w:val="00994CCA"/>
    <w:rsid w:val="009958AF"/>
    <w:rsid w:val="00996E4D"/>
    <w:rsid w:val="00996FFF"/>
    <w:rsid w:val="009974A8"/>
    <w:rsid w:val="009974E9"/>
    <w:rsid w:val="009975C9"/>
    <w:rsid w:val="009A0698"/>
    <w:rsid w:val="009A0A09"/>
    <w:rsid w:val="009A0DDD"/>
    <w:rsid w:val="009A1489"/>
    <w:rsid w:val="009A2195"/>
    <w:rsid w:val="009A245B"/>
    <w:rsid w:val="009A2516"/>
    <w:rsid w:val="009A25A6"/>
    <w:rsid w:val="009A28C7"/>
    <w:rsid w:val="009A2FAA"/>
    <w:rsid w:val="009A349F"/>
    <w:rsid w:val="009A3852"/>
    <w:rsid w:val="009A4788"/>
    <w:rsid w:val="009A4A6E"/>
    <w:rsid w:val="009A58FF"/>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636"/>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B7DF1"/>
    <w:rsid w:val="009C01B9"/>
    <w:rsid w:val="009C0342"/>
    <w:rsid w:val="009C0408"/>
    <w:rsid w:val="009C0AE9"/>
    <w:rsid w:val="009C0B5E"/>
    <w:rsid w:val="009C12CC"/>
    <w:rsid w:val="009C161A"/>
    <w:rsid w:val="009C1CFA"/>
    <w:rsid w:val="009C1E60"/>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0FC0"/>
    <w:rsid w:val="009D10F3"/>
    <w:rsid w:val="009D11AB"/>
    <w:rsid w:val="009D1575"/>
    <w:rsid w:val="009D1B21"/>
    <w:rsid w:val="009D1EB0"/>
    <w:rsid w:val="009D2A1F"/>
    <w:rsid w:val="009D2BAC"/>
    <w:rsid w:val="009D2C91"/>
    <w:rsid w:val="009D336C"/>
    <w:rsid w:val="009D378B"/>
    <w:rsid w:val="009D3B20"/>
    <w:rsid w:val="009D3F0D"/>
    <w:rsid w:val="009D41AC"/>
    <w:rsid w:val="009D465C"/>
    <w:rsid w:val="009D5139"/>
    <w:rsid w:val="009D55EE"/>
    <w:rsid w:val="009D564D"/>
    <w:rsid w:val="009D5843"/>
    <w:rsid w:val="009D5970"/>
    <w:rsid w:val="009D5C32"/>
    <w:rsid w:val="009D678B"/>
    <w:rsid w:val="009D7061"/>
    <w:rsid w:val="009D73F5"/>
    <w:rsid w:val="009D740A"/>
    <w:rsid w:val="009D7D93"/>
    <w:rsid w:val="009E040E"/>
    <w:rsid w:val="009E0531"/>
    <w:rsid w:val="009E15ED"/>
    <w:rsid w:val="009E1607"/>
    <w:rsid w:val="009E1A3F"/>
    <w:rsid w:val="009E1A92"/>
    <w:rsid w:val="009E1B99"/>
    <w:rsid w:val="009E20A9"/>
    <w:rsid w:val="009E21B7"/>
    <w:rsid w:val="009E2CF2"/>
    <w:rsid w:val="009E2EA7"/>
    <w:rsid w:val="009E312B"/>
    <w:rsid w:val="009E327E"/>
    <w:rsid w:val="009E3966"/>
    <w:rsid w:val="009E397E"/>
    <w:rsid w:val="009E41D0"/>
    <w:rsid w:val="009E4844"/>
    <w:rsid w:val="009E4CC2"/>
    <w:rsid w:val="009E564F"/>
    <w:rsid w:val="009E584F"/>
    <w:rsid w:val="009E6184"/>
    <w:rsid w:val="009E6333"/>
    <w:rsid w:val="009E655C"/>
    <w:rsid w:val="009E6E3F"/>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3FB4"/>
    <w:rsid w:val="009F42A9"/>
    <w:rsid w:val="009F4F93"/>
    <w:rsid w:val="009F556C"/>
    <w:rsid w:val="009F5DB9"/>
    <w:rsid w:val="009F63EE"/>
    <w:rsid w:val="009F711E"/>
    <w:rsid w:val="009F733A"/>
    <w:rsid w:val="009F7D1F"/>
    <w:rsid w:val="009F7F2B"/>
    <w:rsid w:val="00A0001D"/>
    <w:rsid w:val="00A00B1A"/>
    <w:rsid w:val="00A01037"/>
    <w:rsid w:val="00A0119C"/>
    <w:rsid w:val="00A017D4"/>
    <w:rsid w:val="00A01C9C"/>
    <w:rsid w:val="00A01F05"/>
    <w:rsid w:val="00A0287D"/>
    <w:rsid w:val="00A03267"/>
    <w:rsid w:val="00A03270"/>
    <w:rsid w:val="00A03332"/>
    <w:rsid w:val="00A0369C"/>
    <w:rsid w:val="00A03771"/>
    <w:rsid w:val="00A03AE1"/>
    <w:rsid w:val="00A04024"/>
    <w:rsid w:val="00A04595"/>
    <w:rsid w:val="00A052BE"/>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6B74"/>
    <w:rsid w:val="00A1708C"/>
    <w:rsid w:val="00A177A3"/>
    <w:rsid w:val="00A17907"/>
    <w:rsid w:val="00A2072F"/>
    <w:rsid w:val="00A20EFE"/>
    <w:rsid w:val="00A21315"/>
    <w:rsid w:val="00A21556"/>
    <w:rsid w:val="00A21903"/>
    <w:rsid w:val="00A22AF7"/>
    <w:rsid w:val="00A23211"/>
    <w:rsid w:val="00A2332C"/>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0DD1"/>
    <w:rsid w:val="00A3123A"/>
    <w:rsid w:val="00A3168A"/>
    <w:rsid w:val="00A31CD2"/>
    <w:rsid w:val="00A32EFA"/>
    <w:rsid w:val="00A335F7"/>
    <w:rsid w:val="00A33696"/>
    <w:rsid w:val="00A339B5"/>
    <w:rsid w:val="00A339FB"/>
    <w:rsid w:val="00A348FE"/>
    <w:rsid w:val="00A34ED9"/>
    <w:rsid w:val="00A354A4"/>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4C1"/>
    <w:rsid w:val="00A408EB"/>
    <w:rsid w:val="00A4109A"/>
    <w:rsid w:val="00A4133B"/>
    <w:rsid w:val="00A4189A"/>
    <w:rsid w:val="00A41A4E"/>
    <w:rsid w:val="00A41CA8"/>
    <w:rsid w:val="00A42565"/>
    <w:rsid w:val="00A42621"/>
    <w:rsid w:val="00A436D2"/>
    <w:rsid w:val="00A43752"/>
    <w:rsid w:val="00A4391C"/>
    <w:rsid w:val="00A443B8"/>
    <w:rsid w:val="00A44504"/>
    <w:rsid w:val="00A448E5"/>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328"/>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B4"/>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0F1C"/>
    <w:rsid w:val="00A712E0"/>
    <w:rsid w:val="00A7189A"/>
    <w:rsid w:val="00A71C9E"/>
    <w:rsid w:val="00A71DDE"/>
    <w:rsid w:val="00A7228B"/>
    <w:rsid w:val="00A7251C"/>
    <w:rsid w:val="00A72A7B"/>
    <w:rsid w:val="00A72B75"/>
    <w:rsid w:val="00A73038"/>
    <w:rsid w:val="00A7328F"/>
    <w:rsid w:val="00A73772"/>
    <w:rsid w:val="00A737C5"/>
    <w:rsid w:val="00A73F8D"/>
    <w:rsid w:val="00A7448A"/>
    <w:rsid w:val="00A749FD"/>
    <w:rsid w:val="00A74AB2"/>
    <w:rsid w:val="00A74B11"/>
    <w:rsid w:val="00A74B8A"/>
    <w:rsid w:val="00A74C77"/>
    <w:rsid w:val="00A74D94"/>
    <w:rsid w:val="00A75387"/>
    <w:rsid w:val="00A758BE"/>
    <w:rsid w:val="00A75C2A"/>
    <w:rsid w:val="00A7668A"/>
    <w:rsid w:val="00A76BC8"/>
    <w:rsid w:val="00A76C99"/>
    <w:rsid w:val="00A76F14"/>
    <w:rsid w:val="00A775D5"/>
    <w:rsid w:val="00A77BE2"/>
    <w:rsid w:val="00A800C8"/>
    <w:rsid w:val="00A80100"/>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0D56"/>
    <w:rsid w:val="00A91547"/>
    <w:rsid w:val="00A915F4"/>
    <w:rsid w:val="00A917A9"/>
    <w:rsid w:val="00A91C36"/>
    <w:rsid w:val="00A91D41"/>
    <w:rsid w:val="00A9255C"/>
    <w:rsid w:val="00A926F4"/>
    <w:rsid w:val="00A929F5"/>
    <w:rsid w:val="00A9331F"/>
    <w:rsid w:val="00A93F51"/>
    <w:rsid w:val="00A95BB1"/>
    <w:rsid w:val="00A96010"/>
    <w:rsid w:val="00A961B4"/>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851"/>
    <w:rsid w:val="00AB09EE"/>
    <w:rsid w:val="00AB19B4"/>
    <w:rsid w:val="00AB2400"/>
    <w:rsid w:val="00AB25DF"/>
    <w:rsid w:val="00AB2922"/>
    <w:rsid w:val="00AB52D8"/>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6EAF"/>
    <w:rsid w:val="00AC722F"/>
    <w:rsid w:val="00AC745C"/>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6222"/>
    <w:rsid w:val="00AD6306"/>
    <w:rsid w:val="00AD67DE"/>
    <w:rsid w:val="00AD7076"/>
    <w:rsid w:val="00AD739C"/>
    <w:rsid w:val="00AE0764"/>
    <w:rsid w:val="00AE0F10"/>
    <w:rsid w:val="00AE16D1"/>
    <w:rsid w:val="00AE1BC1"/>
    <w:rsid w:val="00AE1BD1"/>
    <w:rsid w:val="00AE1DBE"/>
    <w:rsid w:val="00AE2508"/>
    <w:rsid w:val="00AE276C"/>
    <w:rsid w:val="00AE3083"/>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2873"/>
    <w:rsid w:val="00B03343"/>
    <w:rsid w:val="00B039AB"/>
    <w:rsid w:val="00B039E9"/>
    <w:rsid w:val="00B03B7D"/>
    <w:rsid w:val="00B04DC3"/>
    <w:rsid w:val="00B04EDE"/>
    <w:rsid w:val="00B04EED"/>
    <w:rsid w:val="00B0529B"/>
    <w:rsid w:val="00B05E03"/>
    <w:rsid w:val="00B0644E"/>
    <w:rsid w:val="00B068DB"/>
    <w:rsid w:val="00B06FB9"/>
    <w:rsid w:val="00B1077D"/>
    <w:rsid w:val="00B10841"/>
    <w:rsid w:val="00B10B1F"/>
    <w:rsid w:val="00B11176"/>
    <w:rsid w:val="00B11B4E"/>
    <w:rsid w:val="00B123B7"/>
    <w:rsid w:val="00B12F6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DD"/>
    <w:rsid w:val="00B302FA"/>
    <w:rsid w:val="00B308E1"/>
    <w:rsid w:val="00B30A08"/>
    <w:rsid w:val="00B30BFF"/>
    <w:rsid w:val="00B30EC9"/>
    <w:rsid w:val="00B30FEF"/>
    <w:rsid w:val="00B3146C"/>
    <w:rsid w:val="00B316BA"/>
    <w:rsid w:val="00B31D3D"/>
    <w:rsid w:val="00B32623"/>
    <w:rsid w:val="00B331DC"/>
    <w:rsid w:val="00B3345A"/>
    <w:rsid w:val="00B33BCF"/>
    <w:rsid w:val="00B3444E"/>
    <w:rsid w:val="00B35546"/>
    <w:rsid w:val="00B3556A"/>
    <w:rsid w:val="00B35594"/>
    <w:rsid w:val="00B3580D"/>
    <w:rsid w:val="00B35A21"/>
    <w:rsid w:val="00B35E2D"/>
    <w:rsid w:val="00B360C3"/>
    <w:rsid w:val="00B36B6D"/>
    <w:rsid w:val="00B3756E"/>
    <w:rsid w:val="00B401AE"/>
    <w:rsid w:val="00B402BB"/>
    <w:rsid w:val="00B4124F"/>
    <w:rsid w:val="00B414AF"/>
    <w:rsid w:val="00B414BC"/>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353"/>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463"/>
    <w:rsid w:val="00B62189"/>
    <w:rsid w:val="00B627E7"/>
    <w:rsid w:val="00B6283F"/>
    <w:rsid w:val="00B62F33"/>
    <w:rsid w:val="00B630AC"/>
    <w:rsid w:val="00B63611"/>
    <w:rsid w:val="00B644F9"/>
    <w:rsid w:val="00B645DA"/>
    <w:rsid w:val="00B65066"/>
    <w:rsid w:val="00B6668D"/>
    <w:rsid w:val="00B666B9"/>
    <w:rsid w:val="00B66A94"/>
    <w:rsid w:val="00B66F81"/>
    <w:rsid w:val="00B67145"/>
    <w:rsid w:val="00B677F1"/>
    <w:rsid w:val="00B67914"/>
    <w:rsid w:val="00B67C8A"/>
    <w:rsid w:val="00B70767"/>
    <w:rsid w:val="00B707AF"/>
    <w:rsid w:val="00B70882"/>
    <w:rsid w:val="00B709B8"/>
    <w:rsid w:val="00B70CE8"/>
    <w:rsid w:val="00B712F7"/>
    <w:rsid w:val="00B71678"/>
    <w:rsid w:val="00B717DC"/>
    <w:rsid w:val="00B72D75"/>
    <w:rsid w:val="00B72F97"/>
    <w:rsid w:val="00B73165"/>
    <w:rsid w:val="00B73170"/>
    <w:rsid w:val="00B73C14"/>
    <w:rsid w:val="00B73C1B"/>
    <w:rsid w:val="00B741EF"/>
    <w:rsid w:val="00B742B8"/>
    <w:rsid w:val="00B743D3"/>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49F7"/>
    <w:rsid w:val="00B850CE"/>
    <w:rsid w:val="00B857BD"/>
    <w:rsid w:val="00B85BA3"/>
    <w:rsid w:val="00B862C0"/>
    <w:rsid w:val="00B863D9"/>
    <w:rsid w:val="00B864BA"/>
    <w:rsid w:val="00B86C03"/>
    <w:rsid w:val="00B86E98"/>
    <w:rsid w:val="00B87EBB"/>
    <w:rsid w:val="00B90192"/>
    <w:rsid w:val="00B90A49"/>
    <w:rsid w:val="00B90A64"/>
    <w:rsid w:val="00B90B9B"/>
    <w:rsid w:val="00B90BFA"/>
    <w:rsid w:val="00B90C7D"/>
    <w:rsid w:val="00B91329"/>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6A"/>
    <w:rsid w:val="00BA5FB5"/>
    <w:rsid w:val="00BA62FB"/>
    <w:rsid w:val="00BA6E60"/>
    <w:rsid w:val="00BA7003"/>
    <w:rsid w:val="00BA71ED"/>
    <w:rsid w:val="00BA7CBF"/>
    <w:rsid w:val="00BA7CCE"/>
    <w:rsid w:val="00BB034C"/>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1E9"/>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BC4"/>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38"/>
    <w:rsid w:val="00BC65A4"/>
    <w:rsid w:val="00BC65B2"/>
    <w:rsid w:val="00BC717C"/>
    <w:rsid w:val="00BC7416"/>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AFD"/>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DD8"/>
    <w:rsid w:val="00BE301A"/>
    <w:rsid w:val="00BE400A"/>
    <w:rsid w:val="00BE435E"/>
    <w:rsid w:val="00BE458A"/>
    <w:rsid w:val="00BE472A"/>
    <w:rsid w:val="00BE4BB9"/>
    <w:rsid w:val="00BE4BE8"/>
    <w:rsid w:val="00BE4E51"/>
    <w:rsid w:val="00BE57E3"/>
    <w:rsid w:val="00BE5D07"/>
    <w:rsid w:val="00BE61FC"/>
    <w:rsid w:val="00BE64FF"/>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919"/>
    <w:rsid w:val="00BF5BF6"/>
    <w:rsid w:val="00BF5E37"/>
    <w:rsid w:val="00BF5FE4"/>
    <w:rsid w:val="00BF6983"/>
    <w:rsid w:val="00BF70D4"/>
    <w:rsid w:val="00BF71E4"/>
    <w:rsid w:val="00BF75D7"/>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07F4B"/>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6AB"/>
    <w:rsid w:val="00C15A04"/>
    <w:rsid w:val="00C16153"/>
    <w:rsid w:val="00C1656A"/>
    <w:rsid w:val="00C166FD"/>
    <w:rsid w:val="00C16815"/>
    <w:rsid w:val="00C16951"/>
    <w:rsid w:val="00C16D70"/>
    <w:rsid w:val="00C17D4D"/>
    <w:rsid w:val="00C205F8"/>
    <w:rsid w:val="00C2100C"/>
    <w:rsid w:val="00C2106B"/>
    <w:rsid w:val="00C21175"/>
    <w:rsid w:val="00C21954"/>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5C77"/>
    <w:rsid w:val="00C2605E"/>
    <w:rsid w:val="00C26BA1"/>
    <w:rsid w:val="00C26EDD"/>
    <w:rsid w:val="00C27400"/>
    <w:rsid w:val="00C27BF6"/>
    <w:rsid w:val="00C27C80"/>
    <w:rsid w:val="00C30577"/>
    <w:rsid w:val="00C30B3D"/>
    <w:rsid w:val="00C30BEF"/>
    <w:rsid w:val="00C30DC6"/>
    <w:rsid w:val="00C30F76"/>
    <w:rsid w:val="00C314A5"/>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D22"/>
    <w:rsid w:val="00C37E3D"/>
    <w:rsid w:val="00C4041E"/>
    <w:rsid w:val="00C40C64"/>
    <w:rsid w:val="00C40E02"/>
    <w:rsid w:val="00C40F77"/>
    <w:rsid w:val="00C433C4"/>
    <w:rsid w:val="00C43FBA"/>
    <w:rsid w:val="00C441CC"/>
    <w:rsid w:val="00C44475"/>
    <w:rsid w:val="00C44E8D"/>
    <w:rsid w:val="00C44F87"/>
    <w:rsid w:val="00C451F2"/>
    <w:rsid w:val="00C45757"/>
    <w:rsid w:val="00C4609E"/>
    <w:rsid w:val="00C46807"/>
    <w:rsid w:val="00C473E9"/>
    <w:rsid w:val="00C47D44"/>
    <w:rsid w:val="00C47DE7"/>
    <w:rsid w:val="00C50675"/>
    <w:rsid w:val="00C506AC"/>
    <w:rsid w:val="00C50B1E"/>
    <w:rsid w:val="00C5186F"/>
    <w:rsid w:val="00C51C72"/>
    <w:rsid w:val="00C51CB1"/>
    <w:rsid w:val="00C521B4"/>
    <w:rsid w:val="00C52914"/>
    <w:rsid w:val="00C53964"/>
    <w:rsid w:val="00C544CC"/>
    <w:rsid w:val="00C546E7"/>
    <w:rsid w:val="00C55114"/>
    <w:rsid w:val="00C55963"/>
    <w:rsid w:val="00C56262"/>
    <w:rsid w:val="00C563B2"/>
    <w:rsid w:val="00C57198"/>
    <w:rsid w:val="00C5789E"/>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656"/>
    <w:rsid w:val="00C74AF1"/>
    <w:rsid w:val="00C74E4A"/>
    <w:rsid w:val="00C752C9"/>
    <w:rsid w:val="00C759F1"/>
    <w:rsid w:val="00C75A61"/>
    <w:rsid w:val="00C7613A"/>
    <w:rsid w:val="00C761B9"/>
    <w:rsid w:val="00C76D6F"/>
    <w:rsid w:val="00C77315"/>
    <w:rsid w:val="00C77AE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87E51"/>
    <w:rsid w:val="00C9091D"/>
    <w:rsid w:val="00C90FA2"/>
    <w:rsid w:val="00C911AE"/>
    <w:rsid w:val="00C91207"/>
    <w:rsid w:val="00C91868"/>
    <w:rsid w:val="00C91CA5"/>
    <w:rsid w:val="00C91D26"/>
    <w:rsid w:val="00C92267"/>
    <w:rsid w:val="00C94857"/>
    <w:rsid w:val="00C94D7A"/>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385"/>
    <w:rsid w:val="00CA389A"/>
    <w:rsid w:val="00CA3B08"/>
    <w:rsid w:val="00CA4064"/>
    <w:rsid w:val="00CA41D2"/>
    <w:rsid w:val="00CA4753"/>
    <w:rsid w:val="00CA4D91"/>
    <w:rsid w:val="00CA4F20"/>
    <w:rsid w:val="00CA5908"/>
    <w:rsid w:val="00CA5D21"/>
    <w:rsid w:val="00CA6512"/>
    <w:rsid w:val="00CA7915"/>
    <w:rsid w:val="00CA7A61"/>
    <w:rsid w:val="00CA7D02"/>
    <w:rsid w:val="00CA7F72"/>
    <w:rsid w:val="00CB0C16"/>
    <w:rsid w:val="00CB1327"/>
    <w:rsid w:val="00CB149F"/>
    <w:rsid w:val="00CB167D"/>
    <w:rsid w:val="00CB1EAE"/>
    <w:rsid w:val="00CB1F5B"/>
    <w:rsid w:val="00CB2147"/>
    <w:rsid w:val="00CB2164"/>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180"/>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62AC"/>
    <w:rsid w:val="00CC7253"/>
    <w:rsid w:val="00CC79A2"/>
    <w:rsid w:val="00CC7AD9"/>
    <w:rsid w:val="00CC7D66"/>
    <w:rsid w:val="00CD0153"/>
    <w:rsid w:val="00CD02C6"/>
    <w:rsid w:val="00CD092E"/>
    <w:rsid w:val="00CD0A13"/>
    <w:rsid w:val="00CD0A75"/>
    <w:rsid w:val="00CD11DE"/>
    <w:rsid w:val="00CD143E"/>
    <w:rsid w:val="00CD1963"/>
    <w:rsid w:val="00CD19CA"/>
    <w:rsid w:val="00CD1AC2"/>
    <w:rsid w:val="00CD1BC0"/>
    <w:rsid w:val="00CD3225"/>
    <w:rsid w:val="00CD34FD"/>
    <w:rsid w:val="00CD3E17"/>
    <w:rsid w:val="00CD3EFC"/>
    <w:rsid w:val="00CD4033"/>
    <w:rsid w:val="00CD467E"/>
    <w:rsid w:val="00CD4860"/>
    <w:rsid w:val="00CD4B86"/>
    <w:rsid w:val="00CD50A4"/>
    <w:rsid w:val="00CD51ED"/>
    <w:rsid w:val="00CD5795"/>
    <w:rsid w:val="00CD5CFC"/>
    <w:rsid w:val="00CD63B7"/>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8F4"/>
    <w:rsid w:val="00CE3ADA"/>
    <w:rsid w:val="00CE4025"/>
    <w:rsid w:val="00CE41CB"/>
    <w:rsid w:val="00CE42E6"/>
    <w:rsid w:val="00CE48D3"/>
    <w:rsid w:val="00CE498F"/>
    <w:rsid w:val="00CE4A8C"/>
    <w:rsid w:val="00CE4FB5"/>
    <w:rsid w:val="00CE5579"/>
    <w:rsid w:val="00CE5B42"/>
    <w:rsid w:val="00CE5D42"/>
    <w:rsid w:val="00CE5FE1"/>
    <w:rsid w:val="00CE6803"/>
    <w:rsid w:val="00CE6809"/>
    <w:rsid w:val="00CE6D99"/>
    <w:rsid w:val="00CE7351"/>
    <w:rsid w:val="00CF0777"/>
    <w:rsid w:val="00CF0BE8"/>
    <w:rsid w:val="00CF0D09"/>
    <w:rsid w:val="00CF0FF4"/>
    <w:rsid w:val="00CF1622"/>
    <w:rsid w:val="00CF1EB5"/>
    <w:rsid w:val="00CF26D0"/>
    <w:rsid w:val="00CF2899"/>
    <w:rsid w:val="00CF291D"/>
    <w:rsid w:val="00CF29D9"/>
    <w:rsid w:val="00CF34B4"/>
    <w:rsid w:val="00CF34DB"/>
    <w:rsid w:val="00CF3CAD"/>
    <w:rsid w:val="00CF3DED"/>
    <w:rsid w:val="00CF3E28"/>
    <w:rsid w:val="00CF425F"/>
    <w:rsid w:val="00CF4635"/>
    <w:rsid w:val="00CF46ED"/>
    <w:rsid w:val="00CF4D98"/>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930"/>
    <w:rsid w:val="00D03E3E"/>
    <w:rsid w:val="00D03F68"/>
    <w:rsid w:val="00D04BE1"/>
    <w:rsid w:val="00D04EC9"/>
    <w:rsid w:val="00D053C2"/>
    <w:rsid w:val="00D05E0E"/>
    <w:rsid w:val="00D06218"/>
    <w:rsid w:val="00D06AB8"/>
    <w:rsid w:val="00D07CAE"/>
    <w:rsid w:val="00D104AC"/>
    <w:rsid w:val="00D10566"/>
    <w:rsid w:val="00D11C6E"/>
    <w:rsid w:val="00D11D11"/>
    <w:rsid w:val="00D12AD5"/>
    <w:rsid w:val="00D138AB"/>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2B4"/>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1C9E"/>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917"/>
    <w:rsid w:val="00D53A8F"/>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60345"/>
    <w:rsid w:val="00D606FC"/>
    <w:rsid w:val="00D60AEC"/>
    <w:rsid w:val="00D60B6B"/>
    <w:rsid w:val="00D60D72"/>
    <w:rsid w:val="00D60D80"/>
    <w:rsid w:val="00D61918"/>
    <w:rsid w:val="00D62F54"/>
    <w:rsid w:val="00D63019"/>
    <w:rsid w:val="00D631BD"/>
    <w:rsid w:val="00D6341D"/>
    <w:rsid w:val="00D6357B"/>
    <w:rsid w:val="00D643D1"/>
    <w:rsid w:val="00D64502"/>
    <w:rsid w:val="00D64812"/>
    <w:rsid w:val="00D64E31"/>
    <w:rsid w:val="00D65360"/>
    <w:rsid w:val="00D65591"/>
    <w:rsid w:val="00D65604"/>
    <w:rsid w:val="00D656B6"/>
    <w:rsid w:val="00D65F9D"/>
    <w:rsid w:val="00D666E7"/>
    <w:rsid w:val="00D669D4"/>
    <w:rsid w:val="00D66C52"/>
    <w:rsid w:val="00D675FB"/>
    <w:rsid w:val="00D678F8"/>
    <w:rsid w:val="00D67C66"/>
    <w:rsid w:val="00D67E37"/>
    <w:rsid w:val="00D705C5"/>
    <w:rsid w:val="00D706C6"/>
    <w:rsid w:val="00D709FE"/>
    <w:rsid w:val="00D712E7"/>
    <w:rsid w:val="00D72173"/>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07"/>
    <w:rsid w:val="00D82459"/>
    <w:rsid w:val="00D82F54"/>
    <w:rsid w:val="00D83026"/>
    <w:rsid w:val="00D83045"/>
    <w:rsid w:val="00D8314F"/>
    <w:rsid w:val="00D83354"/>
    <w:rsid w:val="00D84118"/>
    <w:rsid w:val="00D84448"/>
    <w:rsid w:val="00D844D3"/>
    <w:rsid w:val="00D84567"/>
    <w:rsid w:val="00D85015"/>
    <w:rsid w:val="00D857E6"/>
    <w:rsid w:val="00D85809"/>
    <w:rsid w:val="00D85885"/>
    <w:rsid w:val="00D8653A"/>
    <w:rsid w:val="00D871CE"/>
    <w:rsid w:val="00D87542"/>
    <w:rsid w:val="00D87959"/>
    <w:rsid w:val="00D87D77"/>
    <w:rsid w:val="00D90174"/>
    <w:rsid w:val="00D906F0"/>
    <w:rsid w:val="00D9098E"/>
    <w:rsid w:val="00D916CC"/>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0EFA"/>
    <w:rsid w:val="00DB111E"/>
    <w:rsid w:val="00DB19F5"/>
    <w:rsid w:val="00DB2629"/>
    <w:rsid w:val="00DB2718"/>
    <w:rsid w:val="00DB2773"/>
    <w:rsid w:val="00DB27E9"/>
    <w:rsid w:val="00DB2A06"/>
    <w:rsid w:val="00DB383F"/>
    <w:rsid w:val="00DB3A50"/>
    <w:rsid w:val="00DB499A"/>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04F"/>
    <w:rsid w:val="00DC1303"/>
    <w:rsid w:val="00DC1403"/>
    <w:rsid w:val="00DC20FE"/>
    <w:rsid w:val="00DC2534"/>
    <w:rsid w:val="00DC36F1"/>
    <w:rsid w:val="00DC389B"/>
    <w:rsid w:val="00DC3904"/>
    <w:rsid w:val="00DC394C"/>
    <w:rsid w:val="00DC42A4"/>
    <w:rsid w:val="00DC42EA"/>
    <w:rsid w:val="00DC45E5"/>
    <w:rsid w:val="00DC4791"/>
    <w:rsid w:val="00DC4933"/>
    <w:rsid w:val="00DC558C"/>
    <w:rsid w:val="00DC5ED6"/>
    <w:rsid w:val="00DC6354"/>
    <w:rsid w:val="00DC6513"/>
    <w:rsid w:val="00DC693E"/>
    <w:rsid w:val="00DC7C31"/>
    <w:rsid w:val="00DD0099"/>
    <w:rsid w:val="00DD0448"/>
    <w:rsid w:val="00DD0C3F"/>
    <w:rsid w:val="00DD1C0D"/>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6636"/>
    <w:rsid w:val="00DE6A94"/>
    <w:rsid w:val="00DE6C5F"/>
    <w:rsid w:val="00DE70EA"/>
    <w:rsid w:val="00DE7C9C"/>
    <w:rsid w:val="00DF0175"/>
    <w:rsid w:val="00DF0B89"/>
    <w:rsid w:val="00DF0CFA"/>
    <w:rsid w:val="00DF0D09"/>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2F8"/>
    <w:rsid w:val="00E127B2"/>
    <w:rsid w:val="00E129D1"/>
    <w:rsid w:val="00E12B18"/>
    <w:rsid w:val="00E12F2F"/>
    <w:rsid w:val="00E12FBA"/>
    <w:rsid w:val="00E1319F"/>
    <w:rsid w:val="00E1323F"/>
    <w:rsid w:val="00E135BC"/>
    <w:rsid w:val="00E13A48"/>
    <w:rsid w:val="00E13FB6"/>
    <w:rsid w:val="00E14458"/>
    <w:rsid w:val="00E14ACF"/>
    <w:rsid w:val="00E14BAD"/>
    <w:rsid w:val="00E14D14"/>
    <w:rsid w:val="00E1580F"/>
    <w:rsid w:val="00E159EC"/>
    <w:rsid w:val="00E15C68"/>
    <w:rsid w:val="00E15F40"/>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5F8"/>
    <w:rsid w:val="00E3066D"/>
    <w:rsid w:val="00E30AF9"/>
    <w:rsid w:val="00E30B49"/>
    <w:rsid w:val="00E31781"/>
    <w:rsid w:val="00E31FB7"/>
    <w:rsid w:val="00E32363"/>
    <w:rsid w:val="00E32488"/>
    <w:rsid w:val="00E327E4"/>
    <w:rsid w:val="00E328FF"/>
    <w:rsid w:val="00E32E77"/>
    <w:rsid w:val="00E3333D"/>
    <w:rsid w:val="00E3344C"/>
    <w:rsid w:val="00E33575"/>
    <w:rsid w:val="00E34C86"/>
    <w:rsid w:val="00E34DB8"/>
    <w:rsid w:val="00E34FF6"/>
    <w:rsid w:val="00E35369"/>
    <w:rsid w:val="00E35682"/>
    <w:rsid w:val="00E35DF9"/>
    <w:rsid w:val="00E361F1"/>
    <w:rsid w:val="00E3649B"/>
    <w:rsid w:val="00E3697A"/>
    <w:rsid w:val="00E372F6"/>
    <w:rsid w:val="00E373C4"/>
    <w:rsid w:val="00E3745E"/>
    <w:rsid w:val="00E37A35"/>
    <w:rsid w:val="00E37B12"/>
    <w:rsid w:val="00E37BEF"/>
    <w:rsid w:val="00E37D65"/>
    <w:rsid w:val="00E406D1"/>
    <w:rsid w:val="00E40AAD"/>
    <w:rsid w:val="00E41042"/>
    <w:rsid w:val="00E41074"/>
    <w:rsid w:val="00E4127C"/>
    <w:rsid w:val="00E41929"/>
    <w:rsid w:val="00E41B14"/>
    <w:rsid w:val="00E41C5C"/>
    <w:rsid w:val="00E41DD4"/>
    <w:rsid w:val="00E4219A"/>
    <w:rsid w:val="00E424A0"/>
    <w:rsid w:val="00E425A3"/>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10"/>
    <w:rsid w:val="00E5332C"/>
    <w:rsid w:val="00E53353"/>
    <w:rsid w:val="00E535A6"/>
    <w:rsid w:val="00E53816"/>
    <w:rsid w:val="00E53C45"/>
    <w:rsid w:val="00E53CE0"/>
    <w:rsid w:val="00E53D67"/>
    <w:rsid w:val="00E53DA7"/>
    <w:rsid w:val="00E53DCB"/>
    <w:rsid w:val="00E53E2B"/>
    <w:rsid w:val="00E540FC"/>
    <w:rsid w:val="00E541C3"/>
    <w:rsid w:val="00E54C11"/>
    <w:rsid w:val="00E54E2F"/>
    <w:rsid w:val="00E54FBA"/>
    <w:rsid w:val="00E55DB0"/>
    <w:rsid w:val="00E5686B"/>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4B8"/>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145"/>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AF7"/>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48D"/>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0CCA"/>
    <w:rsid w:val="00EC13CB"/>
    <w:rsid w:val="00EC1828"/>
    <w:rsid w:val="00EC1B2E"/>
    <w:rsid w:val="00EC1BB6"/>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5A0"/>
    <w:rsid w:val="00EC760C"/>
    <w:rsid w:val="00EC7CED"/>
    <w:rsid w:val="00ED0541"/>
    <w:rsid w:val="00ED0A14"/>
    <w:rsid w:val="00ED0B3C"/>
    <w:rsid w:val="00ED0D39"/>
    <w:rsid w:val="00ED0E78"/>
    <w:rsid w:val="00ED0EA7"/>
    <w:rsid w:val="00ED172E"/>
    <w:rsid w:val="00ED19D4"/>
    <w:rsid w:val="00ED1F4F"/>
    <w:rsid w:val="00ED34B0"/>
    <w:rsid w:val="00ED353C"/>
    <w:rsid w:val="00ED3C66"/>
    <w:rsid w:val="00ED3E4C"/>
    <w:rsid w:val="00ED41B5"/>
    <w:rsid w:val="00ED41CA"/>
    <w:rsid w:val="00ED41DC"/>
    <w:rsid w:val="00ED42A0"/>
    <w:rsid w:val="00ED4B74"/>
    <w:rsid w:val="00ED5433"/>
    <w:rsid w:val="00ED63E1"/>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80C"/>
    <w:rsid w:val="00EE7919"/>
    <w:rsid w:val="00EE7B0C"/>
    <w:rsid w:val="00EE7D83"/>
    <w:rsid w:val="00EE7E8F"/>
    <w:rsid w:val="00EF0B16"/>
    <w:rsid w:val="00EF0DF3"/>
    <w:rsid w:val="00EF0F1E"/>
    <w:rsid w:val="00EF0FC1"/>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665"/>
    <w:rsid w:val="00F03FC4"/>
    <w:rsid w:val="00F04065"/>
    <w:rsid w:val="00F04BF2"/>
    <w:rsid w:val="00F04C67"/>
    <w:rsid w:val="00F05790"/>
    <w:rsid w:val="00F05CF9"/>
    <w:rsid w:val="00F06063"/>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636"/>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7AB"/>
    <w:rsid w:val="00F3192A"/>
    <w:rsid w:val="00F31E2D"/>
    <w:rsid w:val="00F322C3"/>
    <w:rsid w:val="00F3235E"/>
    <w:rsid w:val="00F32553"/>
    <w:rsid w:val="00F32690"/>
    <w:rsid w:val="00F327CE"/>
    <w:rsid w:val="00F329FB"/>
    <w:rsid w:val="00F32A45"/>
    <w:rsid w:val="00F332ED"/>
    <w:rsid w:val="00F33552"/>
    <w:rsid w:val="00F335AB"/>
    <w:rsid w:val="00F33832"/>
    <w:rsid w:val="00F33C8D"/>
    <w:rsid w:val="00F33E9D"/>
    <w:rsid w:val="00F34371"/>
    <w:rsid w:val="00F348D1"/>
    <w:rsid w:val="00F35955"/>
    <w:rsid w:val="00F35EA4"/>
    <w:rsid w:val="00F3669D"/>
    <w:rsid w:val="00F36C33"/>
    <w:rsid w:val="00F36F79"/>
    <w:rsid w:val="00F37660"/>
    <w:rsid w:val="00F378C1"/>
    <w:rsid w:val="00F40730"/>
    <w:rsid w:val="00F40CC5"/>
    <w:rsid w:val="00F40E48"/>
    <w:rsid w:val="00F410B5"/>
    <w:rsid w:val="00F41116"/>
    <w:rsid w:val="00F41836"/>
    <w:rsid w:val="00F41944"/>
    <w:rsid w:val="00F41AF4"/>
    <w:rsid w:val="00F41DE0"/>
    <w:rsid w:val="00F425B9"/>
    <w:rsid w:val="00F42FBC"/>
    <w:rsid w:val="00F4385E"/>
    <w:rsid w:val="00F43B0D"/>
    <w:rsid w:val="00F43BFB"/>
    <w:rsid w:val="00F43E8C"/>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262"/>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7D"/>
    <w:rsid w:val="00F53F3A"/>
    <w:rsid w:val="00F53F55"/>
    <w:rsid w:val="00F53FEE"/>
    <w:rsid w:val="00F549B3"/>
    <w:rsid w:val="00F54DAB"/>
    <w:rsid w:val="00F55370"/>
    <w:rsid w:val="00F553B5"/>
    <w:rsid w:val="00F5566C"/>
    <w:rsid w:val="00F559E8"/>
    <w:rsid w:val="00F55CC6"/>
    <w:rsid w:val="00F55CDC"/>
    <w:rsid w:val="00F56161"/>
    <w:rsid w:val="00F561CC"/>
    <w:rsid w:val="00F563CD"/>
    <w:rsid w:val="00F56862"/>
    <w:rsid w:val="00F56FE5"/>
    <w:rsid w:val="00F575AF"/>
    <w:rsid w:val="00F57925"/>
    <w:rsid w:val="00F57A83"/>
    <w:rsid w:val="00F57E37"/>
    <w:rsid w:val="00F57F36"/>
    <w:rsid w:val="00F604F4"/>
    <w:rsid w:val="00F60AFA"/>
    <w:rsid w:val="00F61098"/>
    <w:rsid w:val="00F618C1"/>
    <w:rsid w:val="00F618CF"/>
    <w:rsid w:val="00F619AB"/>
    <w:rsid w:val="00F62588"/>
    <w:rsid w:val="00F627EB"/>
    <w:rsid w:val="00F627FF"/>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4D"/>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533"/>
    <w:rsid w:val="00F93676"/>
    <w:rsid w:val="00F939EC"/>
    <w:rsid w:val="00F93A3D"/>
    <w:rsid w:val="00F93C72"/>
    <w:rsid w:val="00F93C99"/>
    <w:rsid w:val="00F93DCD"/>
    <w:rsid w:val="00F94009"/>
    <w:rsid w:val="00F9412A"/>
    <w:rsid w:val="00F943C0"/>
    <w:rsid w:val="00F94460"/>
    <w:rsid w:val="00F94631"/>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96A"/>
    <w:rsid w:val="00FA3A4D"/>
    <w:rsid w:val="00FA3F02"/>
    <w:rsid w:val="00FA4135"/>
    <w:rsid w:val="00FA41F1"/>
    <w:rsid w:val="00FA429E"/>
    <w:rsid w:val="00FA42BC"/>
    <w:rsid w:val="00FA45C2"/>
    <w:rsid w:val="00FA4635"/>
    <w:rsid w:val="00FA4E06"/>
    <w:rsid w:val="00FA509C"/>
    <w:rsid w:val="00FA5180"/>
    <w:rsid w:val="00FA55B2"/>
    <w:rsid w:val="00FA5C21"/>
    <w:rsid w:val="00FA5FCE"/>
    <w:rsid w:val="00FA66A6"/>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DA4"/>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6946"/>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6CEA"/>
    <w:rsid w:val="00FE70D5"/>
    <w:rsid w:val="00FE7127"/>
    <w:rsid w:val="00FE7C73"/>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723"/>
    <w:rsid w:val="00FF78BF"/>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2,Footnote Text - Sharp תו2,Footnote Text - Sharp Char תו2,Footnote Text - Sharp Char Char תו2,Footnote Text Char Char Char Char Char תו2,Footnote reference תו2,Sharp - Footnote Text תו1,fn תו1,single space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F5AE4"/>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F5AE4"/>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5F5AE4"/>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rPr>
      <w:color w:val="00305F"/>
      <w:szCs w:val="24"/>
    </w:rPr>
  </w:style>
  <w:style w:type="paragraph" w:customStyle="1" w:styleId="71ff2">
    <w:name w:val="71ג כותרת אחרי אות צבע לא מודגש"/>
    <w:basedOn w:val="717"/>
    <w:qFormat/>
    <w:rsid w:val="008E65C3"/>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1"/>
    <w:qFormat/>
    <w:rsid w:val="00F317AB"/>
    <w:pPr>
      <w:spacing w:before="360" w:after="240" w:line="440" w:lineRule="exact"/>
    </w:pPr>
    <w:rPr>
      <w:rFonts w:ascii="Tahoma" w:hAnsi="Tahoma" w:cs="Tahoma"/>
      <w:color w:val="00305F"/>
      <w:sz w:val="42"/>
      <w:szCs w:val="42"/>
      <w:u w:val="none"/>
    </w:rPr>
  </w:style>
  <w:style w:type="table" w:styleId="2-4">
    <w:name w:val="Grid Table 2 Accent 4"/>
    <w:basedOn w:val="a3"/>
    <w:uiPriority w:val="47"/>
    <w:rsid w:val="00D31C9E"/>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a1"/>
    <w:rsid w:val="00D31C9E"/>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a1"/>
    <w:rsid w:val="00D31C9E"/>
    <w:pPr>
      <w:spacing w:line="240" w:lineRule="auto"/>
      <w:ind w:left="720"/>
      <w:jc w:val="left"/>
    </w:pPr>
    <w:rPr>
      <w:rFonts w:ascii="Calibri" w:hAnsi="Calibri" w:cs="Times New Roman"/>
      <w:sz w:val="22"/>
      <w:szCs w:val="22"/>
    </w:rPr>
  </w:style>
  <w:style w:type="paragraph" w:customStyle="1" w:styleId="sig-1">
    <w:name w:val="sig-1"/>
    <w:basedOn w:val="a1"/>
    <w:rsid w:val="00D31C9E"/>
    <w:pPr>
      <w:bidi w:val="0"/>
      <w:spacing w:before="100" w:beforeAutospacing="1" w:after="100" w:afterAutospacing="1" w:line="240" w:lineRule="auto"/>
      <w:jc w:val="left"/>
    </w:pPr>
    <w:rPr>
      <w:rFonts w:eastAsia="Times New Roman" w:cs="Times New Roman"/>
      <w:sz w:val="24"/>
    </w:rPr>
  </w:style>
  <w:style w:type="paragraph" w:customStyle="1" w:styleId="N-1">
    <w:name w:val="N-1"/>
    <w:basedOn w:val="a1"/>
    <w:rsid w:val="00D31C9E"/>
    <w:pPr>
      <w:spacing w:after="120" w:line="240" w:lineRule="auto"/>
      <w:ind w:left="567"/>
      <w:jc w:val="left"/>
    </w:pPr>
    <w:rPr>
      <w:rFonts w:asciiTheme="minorHAnsi" w:eastAsia="Times New Roman" w:hAnsiTheme="minorHAnsi" w:cstheme="minorBidi"/>
      <w:spacing w:val="10"/>
      <w:sz w:val="21"/>
      <w:szCs w:val="21"/>
      <w:lang w:eastAsia="he-IL"/>
    </w:rPr>
  </w:style>
  <w:style w:type="paragraph" w:customStyle="1" w:styleId="ListParagraph1">
    <w:name w:val="List Paragraph1"/>
    <w:basedOn w:val="a1"/>
    <w:uiPriority w:val="34"/>
    <w:qFormat/>
    <w:rsid w:val="00D31C9E"/>
    <w:pPr>
      <w:spacing w:after="200" w:line="276" w:lineRule="auto"/>
      <w:ind w:left="720"/>
      <w:contextualSpacing/>
      <w:jc w:val="left"/>
    </w:pPr>
    <w:rPr>
      <w:rFonts w:ascii="Arial" w:eastAsia="Times New Roman" w:hAnsi="Arial" w:cstheme="minorBidi"/>
      <w:color w:val="000000"/>
      <w:sz w:val="22"/>
      <w:szCs w:val="22"/>
    </w:rPr>
  </w:style>
  <w:style w:type="paragraph" w:customStyle="1" w:styleId="N-2">
    <w:name w:val="N-2"/>
    <w:basedOn w:val="a1"/>
    <w:rsid w:val="00D31C9E"/>
    <w:pPr>
      <w:spacing w:line="240" w:lineRule="auto"/>
      <w:ind w:left="1247"/>
      <w:jc w:val="left"/>
    </w:pPr>
    <w:rPr>
      <w:rFonts w:eastAsia="Times New Roman"/>
      <w:spacing w:val="10"/>
      <w:lang w:eastAsia="he-IL"/>
    </w:rPr>
  </w:style>
  <w:style w:type="character" w:styleId="HTMLCite">
    <w:name w:val="HTML Cite"/>
    <w:basedOn w:val="a2"/>
    <w:uiPriority w:val="99"/>
    <w:semiHidden/>
    <w:unhideWhenUsed/>
    <w:rsid w:val="00D31C9E"/>
    <w:rPr>
      <w:i/>
      <w:iCs/>
    </w:rPr>
  </w:style>
  <w:style w:type="character" w:customStyle="1" w:styleId="dyjrff">
    <w:name w:val="dyjrff"/>
    <w:basedOn w:val="a2"/>
    <w:rsid w:val="00D31C9E"/>
  </w:style>
  <w:style w:type="paragraph" w:customStyle="1" w:styleId="71ff8">
    <w:name w:val="71ג הזחה ראשונה אותיות בסוגריים"/>
    <w:basedOn w:val="7190"/>
    <w:qFormat/>
    <w:rsid w:val="00004481"/>
    <w:pPr>
      <w:ind w:left="397" w:hanging="397"/>
    </w:pPr>
  </w:style>
  <w:style w:type="paragraph" w:customStyle="1" w:styleId="7172">
    <w:name w:val="71ג הזחה 7 של מספר בסוגריים"/>
    <w:basedOn w:val="711"/>
    <w:qFormat/>
    <w:rsid w:val="00004481"/>
    <w:pPr>
      <w:ind w:left="106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header" Target="header7.xm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s://www.cbs.gov.il/he/subjects/Pages/%D7%9E%D7%90%D7%A4%D7%99%D7%99%D7%A0%D7%99%D7%9D-%D7%92%D7%90%D7%95%D7%A4%D7%99%D7%96%D7%99%D7%99%D7%9D-%D7%94%D7%92%D7%93%D7%A8%D7%95%D7%AA-%D7%95%D7%94%D7%A1%D7%91%D7%A8%D7%99%D7%9D.aspx" TargetMode="External"/><Relationship Id="rId1" Type="http://schemas.openxmlformats.org/officeDocument/2006/relationships/hyperlink" Target="https://www.cbs.gov.il/he/mediarelease/pages/2014/%D7%9E%D7%98%D7%A8%D7%95%D7%A4%D7%95%D7%9C%D7%99%D7%A0%D7%99%D7%9D-%D7%91%D7%99%D7%A9%D7%A8%D7%90%D7%9C-%D7%94%D7%92%D7%93%D7%A8%D7%94-%D7%9E%D7%97%D7%95%D7%93%D7%A9%D7%AA-%D7%91%D7%A2%D7%A7%D7%91%D7%95%D7%AA-%D7%9E%D7%A4%D7%A7%D7%93-%D7%94%D7%90%D7%95%D7%9B%D7%9C%D7%95%D7%A1%D7%99%D7%9F-2008.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10AAC-9260-4E74-AFED-9A497E1AB7A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B4DEE51-C982-46EB-BAE9-5402583B0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4AB34-ADB3-4B96-8223-DA144D2A5A6E}">
  <ds:schemaRefs>
    <ds:schemaRef ds:uri="http://schemas.microsoft.com/sharepoint/v3/contenttype/forms"/>
  </ds:schemaRefs>
</ds:datastoreItem>
</file>

<file path=customXml/itemProps4.xml><?xml version="1.0" encoding="utf-8"?>
<ds:datastoreItem xmlns:ds="http://schemas.openxmlformats.org/officeDocument/2006/customXml" ds:itemID="{D4668E36-0D8B-497C-81E5-2481FF716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15</TotalTime>
  <Pages>82</Pages>
  <Words>16357</Words>
  <Characters>81785</Characters>
  <Application>Microsoft Office Word</Application>
  <DocSecurity>0</DocSecurity>
  <Lines>681</Lines>
  <Paragraphs>195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cp:revision>
  <cp:lastPrinted>2024-04-03T06:27:00Z</cp:lastPrinted>
  <dcterms:created xsi:type="dcterms:W3CDTF">2024-03-04T10:26:00Z</dcterms:created>
  <dcterms:modified xsi:type="dcterms:W3CDTF">2024-04-03T06:28:00Z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