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0368" behindDoc="1" locked="0" layoutInCell="1" allowOverlap="1" wp14:anchorId="4AB4C1EF" wp14:editId="06DA403F">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739F" id="Straight Connector 618" o:spid="_x0000_s1026" style="position:absolute;left:0;text-align:left;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6704" behindDoc="0" locked="0" layoutInCell="1" allowOverlap="1" wp14:anchorId="677A2A3F" wp14:editId="7DDF6BB4">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441" id="Rectangle 11" o:spid="_x0000_s1026" style="position:absolute;left:0;text-align:left;margin-left:-1194pt;margin-top:-466.05pt;width:1596pt;height:12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7F33C8C8">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00AA8C2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10E29"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5A893BC" w:rsidR="003C32FE" w:rsidRDefault="000A5A38"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088" behindDoc="0" locked="0" layoutInCell="1" allowOverlap="1" wp14:anchorId="7734C2EE" wp14:editId="7F618A38">
                <wp:simplePos x="0" y="0"/>
                <wp:positionH relativeFrom="column">
                  <wp:posOffset>3131820</wp:posOffset>
                </wp:positionH>
                <wp:positionV relativeFrom="paragraph">
                  <wp:posOffset>362585</wp:posOffset>
                </wp:positionV>
                <wp:extent cx="0" cy="23145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3145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01A98A" id="Straight Connector 5"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pt,28.55pt" to="246.6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" strokecolor="white [3212]" strokeweight="4pt"/>
            </w:pict>
          </mc:Fallback>
        </mc:AlternateContent>
      </w:r>
      <w:r w:rsidR="00372231">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53584DBA" wp14:editId="67FAE89E">
                <wp:simplePos x="0" y="0"/>
                <wp:positionH relativeFrom="column">
                  <wp:posOffset>-373380</wp:posOffset>
                </wp:positionH>
                <wp:positionV relativeFrom="paragraph">
                  <wp:posOffset>1648460</wp:posOffset>
                </wp:positionV>
                <wp:extent cx="330327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3032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E28E6" id="Straight Connector 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29.8pt" to="230.7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7728" behindDoc="0" locked="0" layoutInCell="1" allowOverlap="1" wp14:anchorId="0862BFB6" wp14:editId="6C823D53">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1507B7D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88005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413DA4D8" w:rsidR="00CB22A1" w:rsidRPr="00876ED9" w:rsidRDefault="00CE2BE0" w:rsidP="0052031E">
                            <w:pPr>
                              <w:ind w:left="2268"/>
                              <w:rPr>
                                <w:rFonts w:ascii="Tahoma" w:eastAsiaTheme="minorEastAsia" w:hAnsi="Tahoma" w:cs="Tahoma"/>
                                <w:color w:val="FFFFFF" w:themeColor="background1"/>
                                <w:sz w:val="28"/>
                                <w:szCs w:val="28"/>
                                <w:rtl/>
                              </w:rPr>
                            </w:pPr>
                            <w:r w:rsidRPr="00CE2BE0">
                              <w:rPr>
                                <w:rFonts w:ascii="Tahoma" w:eastAsiaTheme="minorEastAsia" w:hAnsi="Tahoma" w:cs="Tahoma"/>
                                <w:color w:val="FFFFFF" w:themeColor="background1"/>
                                <w:sz w:val="28"/>
                                <w:szCs w:val="28"/>
                                <w:rtl/>
                              </w:rPr>
                              <w:t>משרד התחבורה והבטיחות בדרכים</w:t>
                            </w:r>
                          </w:p>
                          <w:p w14:paraId="6697F098" w14:textId="45096E4F" w:rsidR="005C48B2" w:rsidRDefault="00CE2BE0" w:rsidP="00CD092E">
                            <w:pPr>
                              <w:spacing w:before="360" w:line="600" w:lineRule="exact"/>
                              <w:ind w:left="2268"/>
                              <w:jc w:val="left"/>
                              <w:rPr>
                                <w:rFonts w:ascii="Tahoma" w:hAnsi="Tahoma" w:cs="Tahoma"/>
                                <w:b/>
                                <w:bCs/>
                                <w:color w:val="FFFFFF" w:themeColor="background1"/>
                                <w:sz w:val="44"/>
                                <w:szCs w:val="44"/>
                                <w:rtl/>
                              </w:rPr>
                            </w:pPr>
                            <w:r w:rsidRPr="00CE2BE0">
                              <w:rPr>
                                <w:rFonts w:ascii="Tahoma" w:hAnsi="Tahoma" w:cs="Tahoma"/>
                                <w:b/>
                                <w:bCs/>
                                <w:color w:val="FFFFFF" w:themeColor="background1"/>
                                <w:sz w:val="44"/>
                                <w:szCs w:val="44"/>
                                <w:rtl/>
                              </w:rPr>
                              <w:t>הסכם</w:t>
                            </w:r>
                            <w:r w:rsidR="005127D1">
                              <w:rPr>
                                <w:rFonts w:ascii="Tahoma" w:hAnsi="Tahoma" w:cs="Tahoma" w:hint="cs"/>
                                <w:b/>
                                <w:bCs/>
                                <w:color w:val="FFFFFF" w:themeColor="background1"/>
                                <w:sz w:val="44"/>
                                <w:szCs w:val="44"/>
                                <w:rtl/>
                              </w:rPr>
                              <w:t xml:space="preserve"> </w:t>
                            </w:r>
                            <w:r w:rsidRPr="00CE2BE0">
                              <w:rPr>
                                <w:rFonts w:ascii="Tahoma" w:hAnsi="Tahoma" w:cs="Tahoma"/>
                                <w:b/>
                                <w:bCs/>
                                <w:color w:val="FFFFFF" w:themeColor="background1"/>
                                <w:sz w:val="44"/>
                                <w:szCs w:val="44"/>
                                <w:rtl/>
                              </w:rPr>
                              <w:t>ההפעלה עם אגד והשינוי המבני שלה</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1507B7D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88005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413DA4D8" w:rsidR="00CB22A1" w:rsidRPr="00876ED9" w:rsidRDefault="00CE2BE0" w:rsidP="0052031E">
                      <w:pPr>
                        <w:ind w:left="2268"/>
                        <w:rPr>
                          <w:rFonts w:ascii="Tahoma" w:eastAsiaTheme="minorEastAsia" w:hAnsi="Tahoma" w:cs="Tahoma"/>
                          <w:color w:val="FFFFFF" w:themeColor="background1"/>
                          <w:sz w:val="28"/>
                          <w:szCs w:val="28"/>
                          <w:rtl/>
                        </w:rPr>
                      </w:pPr>
                      <w:r w:rsidRPr="00CE2BE0">
                        <w:rPr>
                          <w:rFonts w:ascii="Tahoma" w:eastAsiaTheme="minorEastAsia" w:hAnsi="Tahoma" w:cs="Tahoma"/>
                          <w:color w:val="FFFFFF" w:themeColor="background1"/>
                          <w:sz w:val="28"/>
                          <w:szCs w:val="28"/>
                          <w:rtl/>
                        </w:rPr>
                        <w:t>משרד התחבורה והבטיחות בדרכים</w:t>
                      </w:r>
                    </w:p>
                    <w:p w14:paraId="6697F098" w14:textId="45096E4F" w:rsidR="005C48B2" w:rsidRDefault="00CE2BE0" w:rsidP="00CD092E">
                      <w:pPr>
                        <w:spacing w:before="360" w:line="600" w:lineRule="exact"/>
                        <w:ind w:left="2268"/>
                        <w:jc w:val="left"/>
                        <w:rPr>
                          <w:rFonts w:ascii="Tahoma" w:hAnsi="Tahoma" w:cs="Tahoma"/>
                          <w:b/>
                          <w:bCs/>
                          <w:color w:val="FFFFFF" w:themeColor="background1"/>
                          <w:sz w:val="44"/>
                          <w:szCs w:val="44"/>
                          <w:rtl/>
                        </w:rPr>
                      </w:pPr>
                      <w:r w:rsidRPr="00CE2BE0">
                        <w:rPr>
                          <w:rFonts w:ascii="Tahoma" w:hAnsi="Tahoma" w:cs="Tahoma"/>
                          <w:b/>
                          <w:bCs/>
                          <w:color w:val="FFFFFF" w:themeColor="background1"/>
                          <w:sz w:val="44"/>
                          <w:szCs w:val="44"/>
                          <w:rtl/>
                        </w:rPr>
                        <w:t>הסכם</w:t>
                      </w:r>
                      <w:r w:rsidR="005127D1">
                        <w:rPr>
                          <w:rFonts w:ascii="Tahoma" w:hAnsi="Tahoma" w:cs="Tahoma" w:hint="cs"/>
                          <w:b/>
                          <w:bCs/>
                          <w:color w:val="FFFFFF" w:themeColor="background1"/>
                          <w:sz w:val="44"/>
                          <w:szCs w:val="44"/>
                          <w:rtl/>
                        </w:rPr>
                        <w:t xml:space="preserve"> </w:t>
                      </w:r>
                      <w:r w:rsidRPr="00CE2BE0">
                        <w:rPr>
                          <w:rFonts w:ascii="Tahoma" w:hAnsi="Tahoma" w:cs="Tahoma"/>
                          <w:b/>
                          <w:bCs/>
                          <w:color w:val="FFFFFF" w:themeColor="background1"/>
                          <w:sz w:val="44"/>
                          <w:szCs w:val="44"/>
                          <w:rtl/>
                        </w:rPr>
                        <w:t>ההפעלה עם אגד והשינוי המבני שלה</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2064" behindDoc="0" locked="0" layoutInCell="1" allowOverlap="1" wp14:anchorId="0642EECC" wp14:editId="5B7780DA">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7360" behindDoc="0" locked="0" layoutInCell="1" allowOverlap="1" wp14:anchorId="62E8C69A" wp14:editId="12971406">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B5DA" id="Rectangle 24" o:spid="_x0000_s1026" style="position:absolute;left:0;text-align:left;margin-left:-115.65pt;margin-top:-93.1pt;width:598.55pt;height:12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7928FD1C" w:rsidR="00DC45E5" w:rsidRDefault="004E584A" w:rsidP="00366B78">
      <w:pPr>
        <w:pStyle w:val="7120"/>
        <w:rPr>
          <w:rtl/>
        </w:rPr>
      </w:pPr>
      <w:r w:rsidRPr="004E584A">
        <w:rPr>
          <w:rtl/>
        </w:rPr>
        <w:lastRenderedPageBreak/>
        <w:t>הסכם ההפעלה עם אגד והשינוי המבני שלה</w:t>
      </w:r>
    </w:p>
    <w:p w14:paraId="0165F9FB" w14:textId="77CA5111" w:rsidR="0027424D" w:rsidRPr="000D2FE7" w:rsidRDefault="00EB223C" w:rsidP="00C51CB1">
      <w:pPr>
        <w:pStyle w:val="af3"/>
        <w:rPr>
          <w:rtl/>
        </w:rPr>
      </w:pPr>
      <w:r>
        <w:rPr>
          <w:rtl/>
        </w:rPr>
        <w:drawing>
          <wp:anchor distT="0" distB="0" distL="114300" distR="114300" simplePos="0" relativeHeight="251675136" behindDoc="0" locked="0" layoutInCell="1" allowOverlap="1" wp14:anchorId="510ACD8F" wp14:editId="48E7E213">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6D0109D3" w:rsidR="00356F00" w:rsidRDefault="00356F00" w:rsidP="00FD0801">
      <w:pPr>
        <w:pStyle w:val="7190"/>
        <w:rPr>
          <w:rtl/>
        </w:rPr>
      </w:pPr>
    </w:p>
    <w:p w14:paraId="272D500D" w14:textId="548284CF" w:rsidR="00CB03DC" w:rsidRDefault="00372231" w:rsidP="00372231">
      <w:pPr>
        <w:pStyle w:val="7190"/>
        <w:rPr>
          <w:rtl/>
        </w:rPr>
      </w:pPr>
      <w:r w:rsidRPr="008D237D">
        <w:rPr>
          <w:rtl/>
        </w:rPr>
        <w:t>מרבית שירותי התחבורה הציבורית (תח"צ) בישראל מסופקים על ידי קווי שירות באוטובוסים - ענף שנשלט בעבר על ידי שני קואופרטיבים, אגד ודן. ביולי 2019 הפך קואופרטיב אגד לחברה פרטית - אגד חברה לתחבורה בע"מ (אגד). אגד מפעילה קווי שירות באוטובוסים מתוקף צווים, הסכמים ורישיונות שנתן לה משרד התחבורה והבטיחות בדרכים (משרד התחבורה או מת"ח), שהוא הגוף המאסדר של התח"צ. מתחילת שנות ה-2000 מקדמת הממשלה רפורמה שמטרתה לשפר את השירות הניתן לנוסעים בתח"צ, באמצעות הגברת התחרות בענף. במסגרת הרפורמה נחתמו במהלך השנים כמה הסכמים בין המדינה לבין אגד. מטרת ההסכמים הייתה לאפשר הוצאה מדורגת של קווי השירות לתחרות, וכן לאפשר לאגד תקופת התארגנות על מנת שתשפר את היערכותה לשינויים בענף. במסגרתם ההסכמים הממשלה מסבסדת מתקציב המדינה את עלויות התפעול העודפות של אגד ביחס למפעילים תחרותיים. בנובמבר 2018 חתמו המדינה ואגד על הסכם הפעלה, אשר הוחל רטרואקטיבית מתחילת 2016, והוא תקף עד סוף שנת 2029. ההסכם מטפל בסוגיות של קידום התחרותיות בענף, העלאת רמת השירות ותהליכי התייעלות באגד. לאגד מקנה ההסכם ארוך הטווח זמן ותמריצים להתייעלות ולהיערכות להתמודדות בתנאי תחרות. ההסכם כולל הוצאה של כ-27% מקווי אגד לתחרות במהלך תקופת ההסכם (ועם הוצאת יתרת הקווים בהתאם להסכם קודם - סך הכול 33%), והוצאת יתרת הקווים בסיום התקופה; וכן הסכמות לגבי פרישת עובדים ותיקים ויישום תהליכי התייעלות; הצבת מדדים לרמת שירות; הסדרת השימוש של מפעילים אחרים בתשתיות של אגד או אלה שבניהולה; שינוי אופן ההתאגדות ומבנה הבעלות, לרבות הפיכתה של אגד לחברה בע"מ; ותשלום של 25% משווי החברה למדינה</w:t>
      </w:r>
      <w:r w:rsidR="00FD0801" w:rsidRPr="00FD0801">
        <w:rPr>
          <w:rFonts w:hint="cs"/>
          <w:rtl/>
        </w:rPr>
        <w:t>.</w:t>
      </w:r>
      <w:r w:rsidR="000E7BE6" w:rsidRPr="00FD0801">
        <w:rPr>
          <w:rFonts w:hint="cs"/>
          <w:rtl/>
        </w:rPr>
        <w:t xml:space="preserve"> </w:t>
      </w:r>
    </w:p>
    <w:p w14:paraId="5F3673B3" w14:textId="6FA4D0DF" w:rsidR="00BD22B5" w:rsidRPr="00FD0801" w:rsidRDefault="00BD22B5" w:rsidP="005E31C4">
      <w:pPr>
        <w:pStyle w:val="7190"/>
        <w:rPr>
          <w:rtl/>
        </w:rPr>
      </w:pPr>
      <w:r w:rsidRPr="00FD0801">
        <w:rPr>
          <w:rtl/>
        </w:rPr>
        <w:t xml:space="preserve"> </w:t>
      </w: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965884">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93"/>
          <w:cols w:space="708"/>
          <w:bidi/>
          <w:rtlGutter/>
          <w:docGrid w:linePitch="360"/>
        </w:sectPr>
      </w:pPr>
    </w:p>
    <w:p w14:paraId="1078FD51" w14:textId="4914ADD9" w:rsidR="00FD0801" w:rsidRDefault="00F16943"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934208" behindDoc="0" locked="0" layoutInCell="1" allowOverlap="1" wp14:anchorId="4191FB12" wp14:editId="25C94C5E">
            <wp:simplePos x="0" y="0"/>
            <wp:positionH relativeFrom="column">
              <wp:posOffset>3320415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rsidR="00C30F76">
        <w:rPr>
          <w:b/>
          <w:bCs/>
          <w:noProof/>
          <w:color w:val="00305F"/>
          <w:sz w:val="22"/>
          <w:szCs w:val="22"/>
          <w:rtl/>
          <w:lang w:val="he-IL"/>
        </w:rPr>
        <w:t xml:space="preserve"> </w:t>
      </w:r>
    </w:p>
    <w:tbl>
      <w:tblPr>
        <w:tblStyle w:val="TableGrid"/>
        <w:bidiVisual/>
        <w:tblW w:w="7508" w:type="dxa"/>
        <w:tblInd w:w="3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276"/>
        <w:gridCol w:w="1902"/>
        <w:gridCol w:w="236"/>
        <w:gridCol w:w="1471"/>
        <w:gridCol w:w="283"/>
        <w:gridCol w:w="1700"/>
      </w:tblGrid>
      <w:tr w:rsidR="00F16943" w14:paraId="4B567624" w14:textId="77777777" w:rsidTr="004D57BD">
        <w:trPr>
          <w:trHeight w:val="113"/>
        </w:trPr>
        <w:tc>
          <w:tcPr>
            <w:tcW w:w="1640" w:type="dxa"/>
            <w:tcBorders>
              <w:bottom w:val="single" w:sz="12" w:space="0" w:color="auto"/>
            </w:tcBorders>
          </w:tcPr>
          <w:p w14:paraId="2998E0FC" w14:textId="2A154AC1" w:rsidR="0061409B" w:rsidRPr="0061409B" w:rsidRDefault="0061409B" w:rsidP="0061409B">
            <w:pPr>
              <w:spacing w:after="60" w:line="240" w:lineRule="auto"/>
              <w:rPr>
                <w:rFonts w:ascii="Tahoma" w:hAnsi="Tahoma" w:cs="Tahoma"/>
                <w:b/>
                <w:bCs/>
                <w:spacing w:val="-18"/>
                <w:sz w:val="36"/>
                <w:szCs w:val="36"/>
                <w:rtl/>
              </w:rPr>
            </w:pPr>
            <w:r w:rsidRPr="0061409B">
              <w:rPr>
                <w:rFonts w:ascii="Tahoma" w:hAnsi="Tahoma" w:cs="Tahoma"/>
                <w:b/>
                <w:bCs/>
                <w:spacing w:val="-18"/>
                <w:sz w:val="36"/>
                <w:szCs w:val="36"/>
                <w:rtl/>
              </w:rPr>
              <w:t xml:space="preserve">10.2 </w:t>
            </w:r>
            <w:r>
              <w:rPr>
                <w:rFonts w:ascii="Tahoma" w:hAnsi="Tahoma" w:cs="Tahoma" w:hint="cs"/>
                <w:b/>
                <w:bCs/>
                <w:spacing w:val="-18"/>
                <w:sz w:val="36"/>
                <w:szCs w:val="36"/>
                <w:rtl/>
              </w:rPr>
              <w:t xml:space="preserve">  </w:t>
            </w:r>
            <w:r w:rsidRPr="00E97A23">
              <w:rPr>
                <w:rFonts w:ascii="Tahoma" w:hAnsi="Tahoma" w:cs="Tahoma"/>
                <w:b/>
                <w:bCs/>
                <w:spacing w:val="-18"/>
                <w:sz w:val="24"/>
                <w:rtl/>
              </w:rPr>
              <w:t>מיליארד ש"ח</w:t>
            </w:r>
          </w:p>
        </w:tc>
        <w:tc>
          <w:tcPr>
            <w:tcW w:w="276" w:type="dxa"/>
          </w:tcPr>
          <w:p w14:paraId="68FBFD02" w14:textId="77777777" w:rsidR="0061409B" w:rsidRPr="00A62059" w:rsidRDefault="0061409B" w:rsidP="0061409B">
            <w:pPr>
              <w:spacing w:after="60" w:line="240" w:lineRule="auto"/>
              <w:rPr>
                <w:rFonts w:ascii="Tahoma" w:hAnsi="Tahoma" w:cs="Tahoma"/>
                <w:b/>
                <w:bCs/>
                <w:spacing w:val="-18"/>
                <w:sz w:val="36"/>
                <w:szCs w:val="36"/>
                <w:rtl/>
              </w:rPr>
            </w:pPr>
          </w:p>
        </w:tc>
        <w:tc>
          <w:tcPr>
            <w:tcW w:w="1902" w:type="dxa"/>
            <w:tcBorders>
              <w:bottom w:val="single" w:sz="12" w:space="0" w:color="auto"/>
            </w:tcBorders>
          </w:tcPr>
          <w:p w14:paraId="26263149" w14:textId="4FB5B93D" w:rsidR="0061409B" w:rsidRPr="00A62059" w:rsidRDefault="0061409B" w:rsidP="0061409B">
            <w:pPr>
              <w:spacing w:after="60" w:line="240" w:lineRule="auto"/>
              <w:rPr>
                <w:rFonts w:ascii="Tahoma" w:hAnsi="Tahoma" w:cs="Tahoma"/>
                <w:b/>
                <w:bCs/>
                <w:spacing w:val="-18"/>
                <w:sz w:val="36"/>
                <w:szCs w:val="36"/>
                <w:rtl/>
              </w:rPr>
            </w:pPr>
            <w:r w:rsidRPr="0061409B">
              <w:rPr>
                <w:rFonts w:ascii="Tahoma" w:hAnsi="Tahoma" w:cs="Tahoma"/>
                <w:b/>
                <w:bCs/>
                <w:spacing w:val="-18"/>
                <w:sz w:val="36"/>
                <w:szCs w:val="36"/>
                <w:rtl/>
              </w:rPr>
              <w:t xml:space="preserve">2.5 </w:t>
            </w:r>
            <w:r w:rsidR="00E97A23">
              <w:rPr>
                <w:rFonts w:ascii="Tahoma" w:hAnsi="Tahoma" w:cs="Tahoma" w:hint="cs"/>
                <w:b/>
                <w:bCs/>
                <w:spacing w:val="-18"/>
                <w:sz w:val="36"/>
                <w:szCs w:val="36"/>
                <w:rtl/>
              </w:rPr>
              <w:t xml:space="preserve">            </w:t>
            </w:r>
            <w:r w:rsidRPr="00E97A23">
              <w:rPr>
                <w:rFonts w:ascii="Tahoma" w:hAnsi="Tahoma" w:cs="Tahoma"/>
                <w:b/>
                <w:bCs/>
                <w:spacing w:val="-18"/>
                <w:sz w:val="24"/>
                <w:rtl/>
              </w:rPr>
              <w:t>מיליארד</w:t>
            </w:r>
            <w:r w:rsidR="00F16943" w:rsidRPr="00E97A23">
              <w:rPr>
                <w:rFonts w:ascii="Tahoma" w:hAnsi="Tahoma" w:cs="Tahoma" w:hint="cs"/>
                <w:b/>
                <w:bCs/>
                <w:spacing w:val="-18"/>
                <w:sz w:val="24"/>
                <w:rtl/>
              </w:rPr>
              <w:t xml:space="preserve"> </w:t>
            </w:r>
            <w:r w:rsidRPr="00E97A23">
              <w:rPr>
                <w:rFonts w:ascii="Tahoma" w:hAnsi="Tahoma" w:cs="Tahoma"/>
                <w:b/>
                <w:bCs/>
                <w:spacing w:val="-18"/>
                <w:sz w:val="24"/>
                <w:rtl/>
              </w:rPr>
              <w:t>ש"ח</w:t>
            </w:r>
          </w:p>
        </w:tc>
        <w:tc>
          <w:tcPr>
            <w:tcW w:w="236" w:type="dxa"/>
          </w:tcPr>
          <w:p w14:paraId="223D8527" w14:textId="77777777" w:rsidR="0061409B" w:rsidRPr="00A62059" w:rsidRDefault="0061409B" w:rsidP="0061409B">
            <w:pPr>
              <w:spacing w:after="60" w:line="240" w:lineRule="auto"/>
              <w:rPr>
                <w:rFonts w:ascii="Tahoma" w:hAnsi="Tahoma" w:cs="Tahoma"/>
                <w:b/>
                <w:bCs/>
                <w:spacing w:val="-18"/>
                <w:sz w:val="36"/>
                <w:szCs w:val="36"/>
                <w:rtl/>
              </w:rPr>
            </w:pPr>
          </w:p>
        </w:tc>
        <w:tc>
          <w:tcPr>
            <w:tcW w:w="1471" w:type="dxa"/>
            <w:tcBorders>
              <w:bottom w:val="single" w:sz="12" w:space="0" w:color="auto"/>
            </w:tcBorders>
          </w:tcPr>
          <w:p w14:paraId="2D29F585" w14:textId="0BD82365" w:rsidR="0061409B" w:rsidRPr="00A62059" w:rsidRDefault="0061409B" w:rsidP="0061409B">
            <w:pPr>
              <w:spacing w:after="60" w:line="240" w:lineRule="auto"/>
              <w:jc w:val="left"/>
              <w:rPr>
                <w:rFonts w:ascii="Tahoma" w:hAnsi="Tahoma" w:cs="Tahoma"/>
                <w:b/>
                <w:bCs/>
                <w:spacing w:val="-18"/>
                <w:sz w:val="36"/>
                <w:szCs w:val="36"/>
                <w:rtl/>
              </w:rPr>
            </w:pPr>
            <w:r w:rsidRPr="0061409B">
              <w:rPr>
                <w:rFonts w:ascii="Tahoma" w:hAnsi="Tahoma" w:cs="Tahoma"/>
                <w:b/>
                <w:bCs/>
                <w:spacing w:val="-18"/>
                <w:sz w:val="36"/>
                <w:szCs w:val="36"/>
                <w:rtl/>
              </w:rPr>
              <w:t>32%</w:t>
            </w:r>
          </w:p>
        </w:tc>
        <w:tc>
          <w:tcPr>
            <w:tcW w:w="283" w:type="dxa"/>
          </w:tcPr>
          <w:p w14:paraId="3DBCCCAD" w14:textId="77777777" w:rsidR="0061409B" w:rsidRPr="00A62059" w:rsidRDefault="0061409B" w:rsidP="0061409B">
            <w:pPr>
              <w:spacing w:after="60" w:line="240" w:lineRule="auto"/>
              <w:rPr>
                <w:rFonts w:ascii="Tahoma" w:hAnsi="Tahoma" w:cs="Tahoma"/>
                <w:b/>
                <w:bCs/>
                <w:spacing w:val="-18"/>
                <w:sz w:val="36"/>
                <w:szCs w:val="36"/>
                <w:rtl/>
              </w:rPr>
            </w:pPr>
          </w:p>
        </w:tc>
        <w:tc>
          <w:tcPr>
            <w:tcW w:w="1700" w:type="dxa"/>
            <w:tcBorders>
              <w:bottom w:val="single" w:sz="12" w:space="0" w:color="auto"/>
            </w:tcBorders>
            <w:vAlign w:val="center"/>
          </w:tcPr>
          <w:p w14:paraId="0F04EF21" w14:textId="6658E1A6" w:rsidR="0061409B" w:rsidRPr="0061409B" w:rsidRDefault="0061409B" w:rsidP="0061409B">
            <w:pPr>
              <w:spacing w:after="60" w:line="240" w:lineRule="auto"/>
              <w:jc w:val="left"/>
              <w:rPr>
                <w:rFonts w:ascii="Tahoma" w:hAnsi="Tahoma" w:cs="Tahoma"/>
                <w:b/>
                <w:bCs/>
                <w:spacing w:val="-18"/>
                <w:sz w:val="36"/>
                <w:szCs w:val="36"/>
                <w:rtl/>
              </w:rPr>
            </w:pPr>
            <w:r w:rsidRPr="0061409B">
              <w:rPr>
                <w:rFonts w:ascii="Tahoma" w:hAnsi="Tahoma" w:cs="Tahoma"/>
                <w:b/>
                <w:bCs/>
                <w:spacing w:val="-18"/>
                <w:sz w:val="36"/>
                <w:szCs w:val="36"/>
                <w:rtl/>
              </w:rPr>
              <w:t xml:space="preserve">1.3  </w:t>
            </w:r>
            <w:r w:rsidR="004D57BD">
              <w:rPr>
                <w:rFonts w:ascii="Tahoma" w:hAnsi="Tahoma" w:cs="Tahoma" w:hint="cs"/>
                <w:b/>
                <w:bCs/>
                <w:spacing w:val="-18"/>
                <w:sz w:val="24"/>
                <w:rtl/>
              </w:rPr>
              <w:t xml:space="preserve">        </w:t>
            </w:r>
            <w:r w:rsidRPr="00E97A23">
              <w:rPr>
                <w:rFonts w:ascii="Tahoma" w:hAnsi="Tahoma" w:cs="Tahoma"/>
                <w:b/>
                <w:bCs/>
                <w:spacing w:val="-18"/>
                <w:sz w:val="24"/>
                <w:rtl/>
              </w:rPr>
              <w:t>מיליארד ש"ח</w:t>
            </w:r>
          </w:p>
        </w:tc>
      </w:tr>
      <w:tr w:rsidR="00E97A23" w:rsidRPr="00B3146C" w14:paraId="1C35DB46" w14:textId="77777777" w:rsidTr="004D57BD">
        <w:trPr>
          <w:trHeight w:val="113"/>
        </w:trPr>
        <w:tc>
          <w:tcPr>
            <w:tcW w:w="1640" w:type="dxa"/>
            <w:tcBorders>
              <w:top w:val="single" w:sz="12" w:space="0" w:color="auto"/>
            </w:tcBorders>
          </w:tcPr>
          <w:p w14:paraId="4EFF22E9" w14:textId="24ED48BE" w:rsidR="0061409B" w:rsidRPr="00B3146C" w:rsidRDefault="0061409B" w:rsidP="0061409B">
            <w:pPr>
              <w:pStyle w:val="20211"/>
              <w:rPr>
                <w:rtl/>
              </w:rPr>
            </w:pPr>
            <w:r w:rsidRPr="008D237D">
              <w:rPr>
                <w:rtl/>
              </w:rPr>
              <w:t>עלות ההפעלה הכוללת של שירותי תח"צ באוטובוסים בשנת 2019</w:t>
            </w:r>
            <w:r w:rsidRPr="00B60ED9">
              <w:rPr>
                <w:rFonts w:hint="cs"/>
                <w:rtl/>
              </w:rPr>
              <w:t>.</w:t>
            </w:r>
          </w:p>
        </w:tc>
        <w:tc>
          <w:tcPr>
            <w:tcW w:w="276" w:type="dxa"/>
          </w:tcPr>
          <w:p w14:paraId="2CEB2AB3" w14:textId="77777777" w:rsidR="0061409B" w:rsidRPr="00B3146C" w:rsidRDefault="0061409B" w:rsidP="0061409B">
            <w:pPr>
              <w:pStyle w:val="20211"/>
              <w:rPr>
                <w:rtl/>
              </w:rPr>
            </w:pPr>
          </w:p>
        </w:tc>
        <w:tc>
          <w:tcPr>
            <w:tcW w:w="1902" w:type="dxa"/>
            <w:tcBorders>
              <w:top w:val="single" w:sz="12" w:space="0" w:color="auto"/>
            </w:tcBorders>
          </w:tcPr>
          <w:p w14:paraId="54D1D7A3" w14:textId="39C87E1D" w:rsidR="0061409B" w:rsidRPr="0061409B" w:rsidRDefault="0061409B" w:rsidP="0061409B">
            <w:pPr>
              <w:pStyle w:val="20211"/>
              <w:rPr>
                <w:rtl/>
              </w:rPr>
            </w:pPr>
            <w:r w:rsidRPr="008D237D">
              <w:rPr>
                <w:rtl/>
              </w:rPr>
              <w:t>עלות ההפעלה השנתית של אגד, כפי שנקבעה בהסכם (ללא השתתפות ברכש)</w:t>
            </w:r>
            <w:r>
              <w:rPr>
                <w:rFonts w:hint="cs"/>
                <w:rtl/>
              </w:rPr>
              <w:t>.</w:t>
            </w:r>
          </w:p>
        </w:tc>
        <w:tc>
          <w:tcPr>
            <w:tcW w:w="236" w:type="dxa"/>
          </w:tcPr>
          <w:p w14:paraId="114A746A" w14:textId="77777777" w:rsidR="0061409B" w:rsidRPr="00B3146C" w:rsidRDefault="0061409B" w:rsidP="0061409B">
            <w:pPr>
              <w:pStyle w:val="20211"/>
              <w:rPr>
                <w:rtl/>
              </w:rPr>
            </w:pPr>
          </w:p>
        </w:tc>
        <w:tc>
          <w:tcPr>
            <w:tcW w:w="1471" w:type="dxa"/>
            <w:tcBorders>
              <w:top w:val="single" w:sz="12" w:space="0" w:color="auto"/>
            </w:tcBorders>
          </w:tcPr>
          <w:p w14:paraId="7060C512" w14:textId="7E188C22" w:rsidR="0061409B" w:rsidRPr="00970B1D" w:rsidRDefault="0061409B" w:rsidP="0061409B">
            <w:pPr>
              <w:pStyle w:val="20211"/>
              <w:rPr>
                <w:rtl/>
              </w:rPr>
            </w:pPr>
            <w:r w:rsidRPr="008D237D">
              <w:rPr>
                <w:rtl/>
              </w:rPr>
              <w:t xml:space="preserve">חלקה של אגד </w:t>
            </w:r>
            <w:r>
              <w:rPr>
                <w:rFonts w:hint="cs"/>
                <w:rtl/>
              </w:rPr>
              <w:t xml:space="preserve">          </w:t>
            </w:r>
            <w:r w:rsidRPr="008D237D">
              <w:rPr>
                <w:rtl/>
              </w:rPr>
              <w:t>ב-2020 בענף התח"צ באוטובוסים, במונחי ק"מ נסועה, לעומת 75% טרום הרפורמה ולעומת יעד של 25% בתום תקופת ההסכם (סוף 2029)</w:t>
            </w:r>
            <w:r w:rsidRPr="00B60ED9">
              <w:rPr>
                <w:rFonts w:hint="cs"/>
                <w:rtl/>
              </w:rPr>
              <w:t>.</w:t>
            </w:r>
          </w:p>
        </w:tc>
        <w:tc>
          <w:tcPr>
            <w:tcW w:w="283" w:type="dxa"/>
          </w:tcPr>
          <w:p w14:paraId="4B753714" w14:textId="77777777" w:rsidR="0061409B" w:rsidRPr="00B3146C" w:rsidRDefault="0061409B" w:rsidP="0061409B">
            <w:pPr>
              <w:pStyle w:val="20211"/>
              <w:rPr>
                <w:rtl/>
              </w:rPr>
            </w:pPr>
          </w:p>
        </w:tc>
        <w:tc>
          <w:tcPr>
            <w:tcW w:w="1700" w:type="dxa"/>
            <w:tcBorders>
              <w:top w:val="single" w:sz="12" w:space="0" w:color="auto"/>
            </w:tcBorders>
          </w:tcPr>
          <w:p w14:paraId="6ACED7B3" w14:textId="5F3586B3" w:rsidR="0061409B" w:rsidRPr="00970B1D" w:rsidRDefault="0061409B" w:rsidP="00F16943">
            <w:pPr>
              <w:pStyle w:val="20211"/>
              <w:rPr>
                <w:rtl/>
              </w:rPr>
            </w:pPr>
            <w:r w:rsidRPr="008D237D">
              <w:rPr>
                <w:rtl/>
              </w:rPr>
              <w:t xml:space="preserve">שווי מוערך, נכון </w:t>
            </w:r>
            <w:r w:rsidR="004D57BD">
              <w:rPr>
                <w:rFonts w:hint="cs"/>
                <w:rtl/>
              </w:rPr>
              <w:t xml:space="preserve">              </w:t>
            </w:r>
            <w:r w:rsidRPr="008D237D">
              <w:rPr>
                <w:rtl/>
              </w:rPr>
              <w:t xml:space="preserve">ל- 2018, של מניות אגד שקיבלו חברי האגודה </w:t>
            </w:r>
            <w:r w:rsidRPr="00F16943">
              <w:rPr>
                <w:rtl/>
              </w:rPr>
              <w:t>השיתופית</w:t>
            </w:r>
            <w:r w:rsidRPr="008D237D">
              <w:rPr>
                <w:rtl/>
              </w:rPr>
              <w:t xml:space="preserve">  עם הפיכתה של אגד לחברה</w:t>
            </w:r>
            <w:r>
              <w:rPr>
                <w:rFonts w:hint="cs"/>
                <w:rtl/>
              </w:rPr>
              <w:t>.</w:t>
            </w:r>
          </w:p>
        </w:tc>
      </w:tr>
      <w:tr w:rsidR="00F16943" w:rsidRPr="0061409B" w14:paraId="341A27AA" w14:textId="77777777" w:rsidTr="004D57BD">
        <w:trPr>
          <w:trHeight w:val="113"/>
        </w:trPr>
        <w:tc>
          <w:tcPr>
            <w:tcW w:w="1640" w:type="dxa"/>
            <w:tcBorders>
              <w:bottom w:val="single" w:sz="12" w:space="0" w:color="auto"/>
            </w:tcBorders>
          </w:tcPr>
          <w:p w14:paraId="6260D9FB" w14:textId="61EBBADB" w:rsidR="0061409B" w:rsidRPr="00A62059" w:rsidRDefault="0061409B" w:rsidP="0061409B">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14 </w:t>
            </w:r>
            <w:r w:rsidRPr="00E97A23">
              <w:rPr>
                <w:rFonts w:ascii="Tahoma" w:hAnsi="Tahoma" w:cs="Tahoma" w:hint="cs"/>
                <w:b/>
                <w:bCs/>
                <w:spacing w:val="-18"/>
                <w:sz w:val="24"/>
                <w:rtl/>
              </w:rPr>
              <w:t>שנים</w:t>
            </w:r>
            <w:r w:rsidRPr="00A62059">
              <w:rPr>
                <w:rFonts w:ascii="Tahoma" w:hAnsi="Tahoma" w:cs="Tahoma" w:hint="cs"/>
                <w:b/>
                <w:bCs/>
                <w:spacing w:val="-18"/>
                <w:sz w:val="36"/>
                <w:szCs w:val="36"/>
                <w:rtl/>
              </w:rPr>
              <w:t xml:space="preserve"> </w:t>
            </w:r>
          </w:p>
        </w:tc>
        <w:tc>
          <w:tcPr>
            <w:tcW w:w="276" w:type="dxa"/>
          </w:tcPr>
          <w:p w14:paraId="38976580" w14:textId="77777777" w:rsidR="0061409B" w:rsidRPr="00A62059" w:rsidRDefault="0061409B" w:rsidP="0061409B">
            <w:pPr>
              <w:spacing w:after="60" w:line="240" w:lineRule="auto"/>
              <w:rPr>
                <w:rFonts w:ascii="Tahoma" w:hAnsi="Tahoma" w:cs="Tahoma"/>
                <w:b/>
                <w:bCs/>
                <w:spacing w:val="-18"/>
                <w:sz w:val="36"/>
                <w:szCs w:val="36"/>
                <w:rtl/>
              </w:rPr>
            </w:pPr>
          </w:p>
        </w:tc>
        <w:tc>
          <w:tcPr>
            <w:tcW w:w="1902" w:type="dxa"/>
            <w:tcBorders>
              <w:bottom w:val="single" w:sz="12" w:space="0" w:color="auto"/>
            </w:tcBorders>
          </w:tcPr>
          <w:p w14:paraId="43BE4E69" w14:textId="18298262" w:rsidR="0061409B" w:rsidRPr="00A62059" w:rsidRDefault="0061409B" w:rsidP="0061409B">
            <w:pPr>
              <w:spacing w:after="60" w:line="240" w:lineRule="auto"/>
              <w:rPr>
                <w:rFonts w:ascii="Tahoma" w:hAnsi="Tahoma" w:cs="Tahoma"/>
                <w:b/>
                <w:bCs/>
                <w:spacing w:val="-18"/>
                <w:sz w:val="36"/>
                <w:szCs w:val="36"/>
                <w:rtl/>
              </w:rPr>
            </w:pPr>
            <w:r w:rsidRPr="0061409B">
              <w:rPr>
                <w:rFonts w:ascii="Tahoma" w:hAnsi="Tahoma" w:cs="Tahoma"/>
                <w:b/>
                <w:bCs/>
                <w:spacing w:val="-18"/>
                <w:sz w:val="36"/>
                <w:szCs w:val="36"/>
                <w:rtl/>
              </w:rPr>
              <w:t>400</w:t>
            </w:r>
            <w:r w:rsidR="00E97A23">
              <w:rPr>
                <w:rFonts w:ascii="Tahoma" w:hAnsi="Tahoma" w:cs="Tahoma" w:hint="cs"/>
                <w:b/>
                <w:bCs/>
                <w:spacing w:val="-18"/>
                <w:sz w:val="24"/>
                <w:rtl/>
              </w:rPr>
              <w:t xml:space="preserve"> </w:t>
            </w:r>
            <w:r w:rsidRPr="0061409B">
              <w:rPr>
                <w:rFonts w:ascii="Tahoma" w:hAnsi="Tahoma" w:cs="Tahoma"/>
                <w:b/>
                <w:bCs/>
                <w:spacing w:val="-18"/>
                <w:sz w:val="24"/>
                <w:rtl/>
              </w:rPr>
              <w:t>עד</w:t>
            </w:r>
            <w:r w:rsidRPr="0061409B">
              <w:rPr>
                <w:rFonts w:ascii="Tahoma" w:hAnsi="Tahoma" w:cs="Tahoma"/>
                <w:b/>
                <w:bCs/>
                <w:spacing w:val="-18"/>
                <w:sz w:val="36"/>
                <w:szCs w:val="36"/>
                <w:rtl/>
              </w:rPr>
              <w:t xml:space="preserve"> 700 </w:t>
            </w:r>
            <w:r w:rsidRPr="0061409B">
              <w:rPr>
                <w:rFonts w:ascii="Tahoma" w:hAnsi="Tahoma" w:cs="Tahoma"/>
                <w:b/>
                <w:bCs/>
                <w:spacing w:val="-18"/>
                <w:sz w:val="24"/>
                <w:rtl/>
              </w:rPr>
              <w:t>מיליון ש"ח</w:t>
            </w:r>
          </w:p>
        </w:tc>
        <w:tc>
          <w:tcPr>
            <w:tcW w:w="236" w:type="dxa"/>
          </w:tcPr>
          <w:p w14:paraId="76D2ECA8" w14:textId="77777777" w:rsidR="0061409B" w:rsidRPr="00A62059" w:rsidRDefault="0061409B" w:rsidP="0061409B">
            <w:pPr>
              <w:spacing w:after="60" w:line="240" w:lineRule="auto"/>
              <w:rPr>
                <w:rFonts w:ascii="Tahoma" w:hAnsi="Tahoma" w:cs="Tahoma"/>
                <w:b/>
                <w:bCs/>
                <w:spacing w:val="-18"/>
                <w:sz w:val="36"/>
                <w:szCs w:val="36"/>
                <w:rtl/>
              </w:rPr>
            </w:pPr>
          </w:p>
        </w:tc>
        <w:tc>
          <w:tcPr>
            <w:tcW w:w="1471" w:type="dxa"/>
            <w:tcBorders>
              <w:bottom w:val="single" w:sz="12" w:space="0" w:color="auto"/>
            </w:tcBorders>
          </w:tcPr>
          <w:p w14:paraId="37269AD3" w14:textId="200A3E82" w:rsidR="0061409B" w:rsidRPr="00A62059" w:rsidRDefault="0061409B" w:rsidP="0061409B">
            <w:pPr>
              <w:spacing w:after="60" w:line="240" w:lineRule="auto"/>
              <w:rPr>
                <w:rFonts w:ascii="Tahoma" w:hAnsi="Tahoma" w:cs="Tahoma"/>
                <w:b/>
                <w:bCs/>
                <w:spacing w:val="-18"/>
                <w:sz w:val="36"/>
                <w:szCs w:val="36"/>
                <w:rtl/>
              </w:rPr>
            </w:pPr>
            <w:r w:rsidRPr="0061409B">
              <w:rPr>
                <w:rFonts w:ascii="Tahoma" w:hAnsi="Tahoma" w:cs="Tahoma" w:hint="cs"/>
                <w:b/>
                <w:bCs/>
                <w:spacing w:val="-18"/>
                <w:sz w:val="36"/>
                <w:szCs w:val="36"/>
                <w:rtl/>
              </w:rPr>
              <w:t>868</w:t>
            </w:r>
            <w:r w:rsidRPr="0061409B">
              <w:rPr>
                <w:rFonts w:ascii="Tahoma" w:hAnsi="Tahoma" w:cs="Tahoma"/>
                <w:b/>
                <w:bCs/>
                <w:spacing w:val="-18"/>
                <w:sz w:val="36"/>
                <w:szCs w:val="36"/>
                <w:rtl/>
              </w:rPr>
              <w:t xml:space="preserve"> </w:t>
            </w:r>
            <w:r w:rsidR="00E97A23">
              <w:rPr>
                <w:rFonts w:ascii="Tahoma" w:hAnsi="Tahoma" w:cs="Tahoma" w:hint="cs"/>
                <w:b/>
                <w:bCs/>
                <w:spacing w:val="-18"/>
                <w:sz w:val="36"/>
                <w:szCs w:val="36"/>
                <w:rtl/>
              </w:rPr>
              <w:t xml:space="preserve">             </w:t>
            </w:r>
            <w:r w:rsidRPr="00F16943">
              <w:rPr>
                <w:rFonts w:ascii="Tahoma" w:hAnsi="Tahoma" w:cs="Tahoma"/>
                <w:b/>
                <w:bCs/>
                <w:spacing w:val="-18"/>
                <w:sz w:val="24"/>
                <w:rtl/>
              </w:rPr>
              <w:t>מיליון ש"ח</w:t>
            </w:r>
          </w:p>
        </w:tc>
        <w:tc>
          <w:tcPr>
            <w:tcW w:w="283" w:type="dxa"/>
          </w:tcPr>
          <w:p w14:paraId="5F0E6937" w14:textId="77777777" w:rsidR="0061409B" w:rsidRPr="00A62059" w:rsidRDefault="0061409B" w:rsidP="0061409B">
            <w:pPr>
              <w:spacing w:after="60" w:line="240" w:lineRule="auto"/>
              <w:rPr>
                <w:rFonts w:ascii="Tahoma" w:hAnsi="Tahoma" w:cs="Tahoma"/>
                <w:b/>
                <w:bCs/>
                <w:spacing w:val="-18"/>
                <w:sz w:val="36"/>
                <w:szCs w:val="36"/>
                <w:rtl/>
              </w:rPr>
            </w:pPr>
          </w:p>
        </w:tc>
        <w:tc>
          <w:tcPr>
            <w:tcW w:w="1700" w:type="dxa"/>
            <w:tcBorders>
              <w:bottom w:val="single" w:sz="12" w:space="0" w:color="auto"/>
            </w:tcBorders>
          </w:tcPr>
          <w:p w14:paraId="46E757A5" w14:textId="7557F464" w:rsidR="0061409B" w:rsidRPr="00A62059" w:rsidRDefault="0061409B" w:rsidP="0061409B">
            <w:pPr>
              <w:spacing w:after="60" w:line="240" w:lineRule="auto"/>
              <w:rPr>
                <w:rFonts w:ascii="Tahoma" w:hAnsi="Tahoma" w:cs="Tahoma"/>
                <w:b/>
                <w:bCs/>
                <w:spacing w:val="-18"/>
                <w:sz w:val="36"/>
                <w:szCs w:val="36"/>
                <w:rtl/>
              </w:rPr>
            </w:pPr>
            <w:r w:rsidRPr="0061409B">
              <w:rPr>
                <w:rFonts w:ascii="Tahoma" w:hAnsi="Tahoma" w:cs="Tahoma"/>
                <w:b/>
                <w:bCs/>
                <w:spacing w:val="-18"/>
                <w:sz w:val="36"/>
                <w:szCs w:val="36"/>
                <w:rtl/>
              </w:rPr>
              <w:t xml:space="preserve">181 </w:t>
            </w:r>
            <w:r w:rsidR="00E97A23">
              <w:rPr>
                <w:rFonts w:ascii="Tahoma" w:hAnsi="Tahoma" w:cs="Tahoma" w:hint="cs"/>
                <w:b/>
                <w:bCs/>
                <w:spacing w:val="-18"/>
                <w:sz w:val="24"/>
                <w:rtl/>
              </w:rPr>
              <w:t xml:space="preserve">   </w:t>
            </w:r>
            <w:r w:rsidR="004D57BD">
              <w:rPr>
                <w:rFonts w:ascii="Tahoma" w:hAnsi="Tahoma" w:cs="Tahoma" w:hint="cs"/>
                <w:b/>
                <w:bCs/>
                <w:spacing w:val="-18"/>
                <w:sz w:val="24"/>
                <w:rtl/>
              </w:rPr>
              <w:t xml:space="preserve">        </w:t>
            </w:r>
            <w:r w:rsidRPr="00F16943">
              <w:rPr>
                <w:rFonts w:ascii="Tahoma" w:hAnsi="Tahoma" w:cs="Tahoma"/>
                <w:b/>
                <w:bCs/>
                <w:spacing w:val="-18"/>
                <w:sz w:val="24"/>
                <w:rtl/>
              </w:rPr>
              <w:t>מיליון ש"ח</w:t>
            </w:r>
          </w:p>
        </w:tc>
      </w:tr>
      <w:tr w:rsidR="00E97A23" w:rsidRPr="00B3146C" w14:paraId="45210DD1" w14:textId="77777777" w:rsidTr="004D57BD">
        <w:trPr>
          <w:trHeight w:val="113"/>
        </w:trPr>
        <w:tc>
          <w:tcPr>
            <w:tcW w:w="1640" w:type="dxa"/>
            <w:tcBorders>
              <w:top w:val="single" w:sz="12" w:space="0" w:color="auto"/>
            </w:tcBorders>
          </w:tcPr>
          <w:p w14:paraId="7603A44A" w14:textId="7971EFEF" w:rsidR="0061409B" w:rsidRPr="00970B1D" w:rsidRDefault="00F16943" w:rsidP="00F16943">
            <w:pPr>
              <w:pStyle w:val="20211"/>
              <w:rPr>
                <w:rtl/>
              </w:rPr>
            </w:pPr>
            <w:r w:rsidRPr="008D237D">
              <w:rPr>
                <w:rtl/>
              </w:rPr>
              <w:t>תקופת הסכם ההפעלה</w:t>
            </w:r>
            <w:r w:rsidR="0061409B" w:rsidRPr="00247C99">
              <w:rPr>
                <w:rtl/>
              </w:rPr>
              <w:t>.</w:t>
            </w:r>
          </w:p>
        </w:tc>
        <w:tc>
          <w:tcPr>
            <w:tcW w:w="276" w:type="dxa"/>
          </w:tcPr>
          <w:p w14:paraId="04C2A23F" w14:textId="77777777" w:rsidR="0061409B" w:rsidRPr="00B3146C" w:rsidRDefault="0061409B" w:rsidP="0061409B">
            <w:pPr>
              <w:pStyle w:val="20211"/>
              <w:rPr>
                <w:rtl/>
              </w:rPr>
            </w:pPr>
          </w:p>
        </w:tc>
        <w:tc>
          <w:tcPr>
            <w:tcW w:w="1902" w:type="dxa"/>
            <w:tcBorders>
              <w:top w:val="single" w:sz="12" w:space="0" w:color="auto"/>
            </w:tcBorders>
          </w:tcPr>
          <w:p w14:paraId="39D70C00" w14:textId="5D89DBAC" w:rsidR="0061409B" w:rsidRPr="00F16943" w:rsidRDefault="00F16943" w:rsidP="00F16943">
            <w:pPr>
              <w:pStyle w:val="20211"/>
              <w:rPr>
                <w:rtl/>
              </w:rPr>
            </w:pPr>
            <w:r w:rsidRPr="008D237D">
              <w:rPr>
                <w:rtl/>
              </w:rPr>
              <w:t>טווח האומדנים של הפער בין עלות ההפעלה השנתית של אגד הכוללת רכש אוטובוסים ופרישת עובדים ותיקים לבין המפעילים התחרותיים, והוא נובע גם ממאפייני האשכולות</w:t>
            </w:r>
            <w:r>
              <w:rPr>
                <w:rFonts w:hint="cs"/>
                <w:rtl/>
              </w:rPr>
              <w:t>.</w:t>
            </w:r>
          </w:p>
        </w:tc>
        <w:tc>
          <w:tcPr>
            <w:tcW w:w="236" w:type="dxa"/>
          </w:tcPr>
          <w:p w14:paraId="09F42FEC" w14:textId="77777777" w:rsidR="0061409B" w:rsidRPr="00B3146C" w:rsidRDefault="0061409B" w:rsidP="0061409B">
            <w:pPr>
              <w:pStyle w:val="20211"/>
              <w:rPr>
                <w:rtl/>
              </w:rPr>
            </w:pPr>
          </w:p>
        </w:tc>
        <w:tc>
          <w:tcPr>
            <w:tcW w:w="1471" w:type="dxa"/>
            <w:tcBorders>
              <w:top w:val="single" w:sz="12" w:space="0" w:color="auto"/>
            </w:tcBorders>
          </w:tcPr>
          <w:p w14:paraId="77DF34FE" w14:textId="4E1B70B7" w:rsidR="0061409B" w:rsidRPr="00F16943" w:rsidRDefault="00F16943" w:rsidP="00F16943">
            <w:pPr>
              <w:pStyle w:val="20211"/>
              <w:rPr>
                <w:rtl/>
              </w:rPr>
            </w:pPr>
            <w:r w:rsidRPr="008D237D">
              <w:rPr>
                <w:rtl/>
              </w:rPr>
              <w:t>חלקה של המדינה במימון עלויות הפרישה של עובדים ותיקים באגד בתקופת ההסכם</w:t>
            </w:r>
            <w:r>
              <w:rPr>
                <w:rFonts w:hint="cs"/>
                <w:rtl/>
              </w:rPr>
              <w:t>.</w:t>
            </w:r>
          </w:p>
        </w:tc>
        <w:tc>
          <w:tcPr>
            <w:tcW w:w="283" w:type="dxa"/>
          </w:tcPr>
          <w:p w14:paraId="4900E052" w14:textId="77777777" w:rsidR="0061409B" w:rsidRPr="00B3146C" w:rsidRDefault="0061409B" w:rsidP="0061409B">
            <w:pPr>
              <w:pStyle w:val="20211"/>
              <w:rPr>
                <w:rtl/>
              </w:rPr>
            </w:pPr>
          </w:p>
        </w:tc>
        <w:tc>
          <w:tcPr>
            <w:tcW w:w="1700" w:type="dxa"/>
            <w:tcBorders>
              <w:top w:val="single" w:sz="12" w:space="0" w:color="auto"/>
            </w:tcBorders>
          </w:tcPr>
          <w:p w14:paraId="41AA80EE" w14:textId="20317723" w:rsidR="0061409B" w:rsidRPr="00970B1D" w:rsidRDefault="00F16943" w:rsidP="00F16943">
            <w:pPr>
              <w:pStyle w:val="20211"/>
              <w:rPr>
                <w:rtl/>
              </w:rPr>
            </w:pPr>
            <w:r w:rsidRPr="008D237D">
              <w:rPr>
                <w:rtl/>
              </w:rPr>
              <w:t>ההשתתפות השנתית הממוצעת של המדינה בעלויות רכש אוטובוסים של אגד, 2016 - 2020</w:t>
            </w:r>
            <w:r w:rsidR="0061409B" w:rsidRPr="00B60ED9">
              <w:rPr>
                <w:rFonts w:hint="cs"/>
                <w:rtl/>
              </w:rPr>
              <w:t>.</w:t>
            </w:r>
          </w:p>
        </w:tc>
      </w:tr>
    </w:tbl>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3328" behindDoc="0" locked="0" layoutInCell="1" allowOverlap="1" wp14:anchorId="7839D982" wp14:editId="55190554">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A9B3C" id="Group 45" o:spid="_x0000_s1026" style="position:absolute;left:0;text-align:left;margin-left:-2.4pt;margin-top:3.75pt;width:372pt;height:3pt;z-index:25168332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2B32E49D" w14:textId="237D6BE1" w:rsidR="00AB4582" w:rsidRDefault="00BF7831" w:rsidP="004D57BD">
      <w:pPr>
        <w:pStyle w:val="71f3"/>
        <w:rPr>
          <w:rtl/>
        </w:rPr>
      </w:pPr>
      <w:r w:rsidRPr="00E406D1">
        <w:rPr>
          <w:noProof/>
        </w:rPr>
        <w:drawing>
          <wp:anchor distT="0" distB="0" distL="114300" distR="114300" simplePos="0" relativeHeight="251700736" behindDoc="0" locked="0" layoutInCell="1" allowOverlap="1" wp14:anchorId="0EA9C558" wp14:editId="3BEE4BD9">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7BD" w:rsidRPr="00A6079D">
        <w:rPr>
          <w:rtl/>
        </w:rPr>
        <w:t xml:space="preserve">בחודשים ספטמבר 2020 עד מאי 2021 בדק משרד מבקר המדינה את תהליך החתימה על הסכם ההפעלה בין המדינה לבין אגד, את יישומו ואת הפיקוח והבקרה של מת"ח על העמידה בתנאיו. כן </w:t>
      </w:r>
      <w:r w:rsidR="004D57BD" w:rsidRPr="004D57BD">
        <w:rPr>
          <w:rtl/>
        </w:rPr>
        <w:t>נבדקו</w:t>
      </w:r>
      <w:r w:rsidR="004D57BD" w:rsidRPr="00A6079D">
        <w:rPr>
          <w:rtl/>
        </w:rPr>
        <w:t xml:space="preserve"> ביצועיה הפיננסיים של אגד ויעילותה התפעולית. הביקורת נעשתה במשרד התחבורה ובאגד. בדיקות השלמה נעשו באגף התקציבים ובאגף החשב הכללי במשרד האוצר</w:t>
      </w:r>
      <w:r w:rsidR="00AB4582">
        <w:rPr>
          <w:rFonts w:hint="cs"/>
          <w:rtl/>
        </w:rPr>
        <w:t>.</w:t>
      </w:r>
    </w:p>
    <w:p w14:paraId="1DA04AF7" w14:textId="77777777" w:rsidR="004D57BD" w:rsidRDefault="004D57BD" w:rsidP="004D57BD">
      <w:pPr>
        <w:pStyle w:val="71f3"/>
        <w:rPr>
          <w:rtl/>
        </w:rPr>
      </w:pPr>
    </w:p>
    <w:p w14:paraId="3037171D" w14:textId="66D0CEBB" w:rsidR="0060683C" w:rsidRDefault="00666E99" w:rsidP="00666E99">
      <w:pPr>
        <w:pStyle w:val="7190"/>
        <w:rPr>
          <w:rtl/>
        </w:rPr>
      </w:pPr>
      <w:r w:rsidRPr="00362C00">
        <w:rPr>
          <w:noProof/>
          <w:rtl/>
        </w:rPr>
        <w:lastRenderedPageBreak/>
        <w:drawing>
          <wp:anchor distT="0" distB="0" distL="114300" distR="114300" simplePos="0" relativeHeight="251717120" behindDoc="0" locked="0" layoutInCell="1" allowOverlap="1" wp14:anchorId="596EA90B" wp14:editId="7397C8A7">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5312" behindDoc="0" locked="0" layoutInCell="1" allowOverlap="1" wp14:anchorId="0D187C07" wp14:editId="25FF6D5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6336" behindDoc="0" locked="0" layoutInCell="1" allowOverlap="1" wp14:anchorId="59406E43" wp14:editId="53117333">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E8612" id="Straight Connector 3" o:spid="_x0000_s1026" style="position:absolute;left:0;text-align:lef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7CBB4333" w:rsidR="005E36DC" w:rsidRPr="00BD6B3C" w:rsidRDefault="00807FA7" w:rsidP="00BD6B3C">
      <w:pPr>
        <w:pStyle w:val="71f3"/>
      </w:pPr>
      <w:r w:rsidRPr="00EB11B0">
        <w:rPr>
          <w:rStyle w:val="7195Char"/>
          <w:rFonts w:hint="cs"/>
          <w:bCs w:val="0"/>
          <w:szCs w:val="18"/>
          <w:rtl/>
          <w:lang w:val="en-US"/>
        </w:rPr>
        <w:drawing>
          <wp:anchor distT="0" distB="3600450" distL="114300" distR="114300" simplePos="0" relativeHeight="251877888" behindDoc="0" locked="0" layoutInCell="1" allowOverlap="1" wp14:anchorId="3B13BABC" wp14:editId="370DE926">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D6B3C" w:rsidRPr="00A6079D">
        <w:rPr>
          <w:b/>
          <w:bCs/>
          <w:rtl/>
        </w:rPr>
        <w:t>הוצאת קווי אגד לתחרות -</w:t>
      </w:r>
      <w:r w:rsidR="00BD6B3C" w:rsidRPr="00A6079D">
        <w:rPr>
          <w:rtl/>
        </w:rPr>
        <w:t xml:space="preserve"> משרד התחבורה עדיין לא הוציא לתחרות קווים שמפעילה אגד בהתאם להסכם ההפעלה, וקיים סיכון שלא יהיה ביכולתו להוציא לתחרות את כל קווי אגד עד המועד שנקבע, סוף 2029. עלה כי על מנת לעמוד ביעד החלטת הממשלה 4148 להוצאת כל קווי אגד לתחרות עד שנת 2030 יידרש משרד התחבורה לפרסם למעלה מ-20 מכרזים בשנים 2030-2027. בפועל מת"ח מפרסם בשנים האחרונות בין שניים לשלושה מכרזים בשנה</w:t>
      </w:r>
      <w:r w:rsidR="00BD6B3C">
        <w:rPr>
          <w:rFonts w:hint="cs"/>
          <w:rtl/>
        </w:rPr>
        <w:t>.</w:t>
      </w:r>
    </w:p>
    <w:p w14:paraId="7D68B5ED" w14:textId="54B10383" w:rsidR="00D40584" w:rsidRDefault="00D40584" w:rsidP="00BD6B3C">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296276F">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D6B3C" w:rsidRPr="00A6079D">
        <w:rPr>
          <w:b/>
          <w:bCs/>
          <w:rtl/>
        </w:rPr>
        <w:t>יעילותה התפעולית של אגד -</w:t>
      </w:r>
      <w:r w:rsidR="00BD6B3C" w:rsidRPr="00A6079D">
        <w:rPr>
          <w:rtl/>
        </w:rPr>
        <w:t xml:space="preserve"> אגד לא עמדה במלוא התחייבויותיה וביעדים שנקבעו לה בהסכמים קודמים. בתחילת 2019 היעילות התפעולית שלה עדיין הייתה נמוכה בהשוואה ליתר המפעילים, בעיקר בשל עלויות כוח אדם גבוהות ושימוש בצי רכב ישן, ועלויות ההפעלה שלה באשכולות עירוניים ובין עירוניים גבוהות. על פי הערכה של משרד מבקר המדינה, העלות לק"מ נסועה של אגד הייתה ב-2019 גבוהה בכ-30% בשירות העירוני ובכ-10% בשירות הבין-עירוני, לעומת מפעילים תחרותיים</w:t>
      </w:r>
      <w:r>
        <w:rPr>
          <w:rFonts w:hint="cs"/>
          <w:rtl/>
        </w:rPr>
        <w:t>.</w:t>
      </w:r>
    </w:p>
    <w:p w14:paraId="3C29828E" w14:textId="493A33C2" w:rsidR="00531C27" w:rsidRPr="00531C27" w:rsidRDefault="00807FA7" w:rsidP="00BD6B3C">
      <w:pPr>
        <w:pStyle w:val="71f3"/>
      </w:pPr>
      <w:r w:rsidRPr="006D32A1">
        <w:rPr>
          <w:rStyle w:val="7195Char"/>
          <w:rFonts w:hint="cs"/>
          <w:rtl/>
        </w:rPr>
        <w:drawing>
          <wp:anchor distT="0" distB="3600450" distL="114300" distR="114300" simplePos="0" relativeHeight="251879936" behindDoc="0" locked="0" layoutInCell="1" allowOverlap="1" wp14:anchorId="66CBD98E" wp14:editId="3573AC0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D6B3C" w:rsidRPr="00A6079D">
        <w:rPr>
          <w:b/>
          <w:bCs/>
          <w:rtl/>
        </w:rPr>
        <w:t>הביצועים הפיננסיים של אגד -</w:t>
      </w:r>
      <w:r w:rsidR="00BD6B3C" w:rsidRPr="00A6079D">
        <w:rPr>
          <w:rtl/>
        </w:rPr>
        <w:t xml:space="preserve"> בשנים 2016 - 2017, שבהן לא היה הסכם בתוקף בין אגד לבין המדינה, מרבית הביצועים הפיננסיים של החברה (רווחיות, איתנות פיננסית ונזילות) היו נמוכים מהממוצע הרב-שנתי. לדוגמה: חלה ירידה חדה ברווח התפעולי </w:t>
      </w:r>
      <w:r w:rsidR="00BD6B3C">
        <w:rPr>
          <w:rFonts w:hint="cs"/>
          <w:rtl/>
        </w:rPr>
        <w:t xml:space="preserve">           </w:t>
      </w:r>
      <w:r w:rsidR="00BD6B3C" w:rsidRPr="00A6079D">
        <w:rPr>
          <w:rtl/>
        </w:rPr>
        <w:t>וב-</w:t>
      </w:r>
      <w:bookmarkStart w:id="2" w:name="_Hlk78712565"/>
      <w:r w:rsidR="00BD6B3C" w:rsidRPr="00A6079D">
        <w:t>EBITDA</w:t>
      </w:r>
      <w:bookmarkEnd w:id="2"/>
      <w:r w:rsidR="00BD6B3C" w:rsidRPr="00A6079D">
        <w:rPr>
          <w:rtl/>
        </w:rPr>
        <w:t xml:space="preserve"> ; יחס החוב ל-</w:t>
      </w:r>
      <w:r w:rsidR="00BD6B3C" w:rsidRPr="00A6079D">
        <w:t>EBITDA</w:t>
      </w:r>
      <w:r w:rsidR="00BD6B3C" w:rsidRPr="00A6079D">
        <w:rPr>
          <w:rtl/>
        </w:rPr>
        <w:t xml:space="preserve"> ב-2016 היה גבוה פי 2.6 מהיחס ב-2010 ופי 3.2 מהיחס ב-2019; יחס הנזילות המיידית ב-2018 היה נמוך באופן חריג ביחס לממוצע בתקופה 2010 - 2019. על כן, אגד קיבלה תקבולים רטרואקטיביים מהמדינה במועד החתימה על הסכם ההפעלה</w:t>
      </w:r>
      <w:r w:rsidR="00531C27" w:rsidRPr="00531C27">
        <w:rPr>
          <w:rFonts w:hint="cs"/>
          <w:rtl/>
        </w:rPr>
        <w:t xml:space="preserve">. </w:t>
      </w:r>
    </w:p>
    <w:p w14:paraId="53DDBB75" w14:textId="12BE646F" w:rsidR="0025204C" w:rsidRPr="0025204C" w:rsidRDefault="00807FA7" w:rsidP="004A68EE">
      <w:pPr>
        <w:pStyle w:val="71f3"/>
        <w:rPr>
          <w:rtl/>
        </w:rPr>
      </w:pPr>
      <w:r w:rsidRPr="005E3B69">
        <w:rPr>
          <w:rStyle w:val="7195Char"/>
          <w:rFonts w:hint="cs"/>
          <w:rtl/>
        </w:rPr>
        <w:drawing>
          <wp:anchor distT="0" distB="3600450" distL="114300" distR="114300" simplePos="0" relativeHeight="251881984" behindDoc="0" locked="0" layoutInCell="1" allowOverlap="1" wp14:anchorId="2C51AA09" wp14:editId="319B9F8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A68EE" w:rsidRPr="00A6079D">
        <w:rPr>
          <w:b/>
          <w:bCs/>
          <w:rtl/>
        </w:rPr>
        <w:t xml:space="preserve">תחזית פיננסית ארוכת טווח של אגד - </w:t>
      </w:r>
      <w:r w:rsidR="004A68EE" w:rsidRPr="00A6079D">
        <w:rPr>
          <w:rtl/>
        </w:rPr>
        <w:t>אגד העבירה למשרד התחבורה תחזית לתקופת ההסכם ובה הציגה את תוואי ההתייעלות שלה ואת השפעות תוכנית ההתייעלות והוצאת הקווים לתחרות על רווחיותה ועל עלות ההפעלה שלה. עם זאת, התחזית לא הציגה את ההשפעות על הסעיפים המאזניים ועל תזרים המזומנים ולא כללה ניתוחי רגישות</w:t>
      </w:r>
      <w:r w:rsidR="0025204C" w:rsidRPr="0025204C">
        <w:rPr>
          <w:rFonts w:hint="cs"/>
          <w:rtl/>
        </w:rPr>
        <w:t xml:space="preserve">. </w:t>
      </w:r>
    </w:p>
    <w:p w14:paraId="00CD1110" w14:textId="08856180" w:rsidR="00807FA7" w:rsidRPr="004A68EE" w:rsidRDefault="00807FA7" w:rsidP="004A68EE">
      <w:pPr>
        <w:pStyle w:val="71f3"/>
        <w:rPr>
          <w:rtl/>
        </w:rPr>
      </w:pPr>
      <w:r w:rsidRPr="0069093D">
        <w:rPr>
          <w:rFonts w:hint="cs"/>
          <w:b/>
          <w:bCs/>
          <w:noProof/>
          <w:rtl/>
        </w:rPr>
        <w:drawing>
          <wp:anchor distT="0" distB="3600450" distL="114300" distR="114300" simplePos="0" relativeHeight="251883008" behindDoc="0" locked="0" layoutInCell="1" allowOverlap="1" wp14:anchorId="74BFE39F" wp14:editId="3A43B1BF">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A68EE" w:rsidRPr="00A6079D">
        <w:rPr>
          <w:b/>
          <w:bCs/>
          <w:rtl/>
        </w:rPr>
        <w:t>מעורבות משרדי התחבורה והאוצר בהכנת הערכת שווי של אגד -</w:t>
      </w:r>
      <w:r w:rsidR="004A68EE" w:rsidRPr="00A6079D">
        <w:rPr>
          <w:rtl/>
        </w:rPr>
        <w:t xml:space="preserve"> אף שהמדינה זכאית לתשלום בגין 25% מהזכויות באגד, משרדי התחבורה והאוצר לא היו מעורבים בהיערכות אגד לקראת הכנת הערכת השווי של החברה.</w:t>
      </w:r>
    </w:p>
    <w:p w14:paraId="4BDFBCEF" w14:textId="615FFD41" w:rsidR="004A68EE" w:rsidRDefault="00807FA7" w:rsidP="004A68EE">
      <w:pPr>
        <w:pStyle w:val="71f3"/>
        <w:rPr>
          <w:rtl/>
        </w:rPr>
      </w:pPr>
      <w:r w:rsidRPr="0069093D">
        <w:rPr>
          <w:rFonts w:hint="cs"/>
          <w:b/>
          <w:bCs/>
          <w:noProof/>
          <w:rtl/>
        </w:rPr>
        <w:drawing>
          <wp:anchor distT="0" distB="3600450" distL="114300" distR="114300" simplePos="0" relativeHeight="251885056" behindDoc="0" locked="0" layoutInCell="1" allowOverlap="1" wp14:anchorId="4F5FB196" wp14:editId="65185CF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A68EE" w:rsidRPr="00A6079D">
        <w:rPr>
          <w:b/>
          <w:bCs/>
          <w:rtl/>
        </w:rPr>
        <w:t xml:space="preserve">מימון ממשלתי לפרישת עובדים - </w:t>
      </w:r>
      <w:r w:rsidR="004A68EE" w:rsidRPr="00A6079D">
        <w:rPr>
          <w:rtl/>
        </w:rPr>
        <w:t xml:space="preserve">על פי הסכם ההפעלה, הממשלה משתתפת במימון </w:t>
      </w:r>
      <w:r w:rsidR="004A68EE" w:rsidRPr="004A68EE">
        <w:rPr>
          <w:rtl/>
        </w:rPr>
        <w:t>עלות</w:t>
      </w:r>
      <w:r w:rsidR="004A68EE" w:rsidRPr="00A6079D">
        <w:rPr>
          <w:rtl/>
        </w:rPr>
        <w:t xml:space="preserve"> פרישתם של עובדים אשר אמורים לפרוש לפנסיית חובה, והדבר מגלם הטבה נוספת לאגד שאיננה מהווה תמריץ להתייעלות החברה. חלקה של הממשלה במימון עלויות הפרישה הוא 868 מיליון ש"ח לאורך כל שנות ההסכם</w:t>
      </w:r>
      <w:r w:rsidR="004A68EE">
        <w:rPr>
          <w:rFonts w:hint="cs"/>
          <w:rtl/>
        </w:rPr>
        <w:t>.</w:t>
      </w:r>
    </w:p>
    <w:p w14:paraId="0DB3CD5B" w14:textId="394F6197" w:rsidR="00766AB6" w:rsidRDefault="00766AB6" w:rsidP="004A68EE">
      <w:pPr>
        <w:pStyle w:val="71f3"/>
        <w:rPr>
          <w:rtl/>
        </w:rPr>
      </w:pPr>
      <w:r w:rsidRPr="0069093D">
        <w:rPr>
          <w:rFonts w:hint="cs"/>
          <w:b/>
          <w:bCs/>
          <w:noProof/>
          <w:rtl/>
        </w:rPr>
        <w:drawing>
          <wp:anchor distT="0" distB="3600450" distL="114300" distR="114300" simplePos="0" relativeHeight="251984384" behindDoc="0" locked="0" layoutInCell="1" allowOverlap="1" wp14:anchorId="45D9C26C" wp14:editId="72B38BCE">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A68EE" w:rsidRPr="00212456">
        <w:rPr>
          <w:b/>
          <w:bCs/>
          <w:rtl/>
        </w:rPr>
        <w:t>הענקת מניות החברה ללא תשלום לחברי אגד -</w:t>
      </w:r>
      <w:r w:rsidR="004A68EE" w:rsidRPr="00212456">
        <w:rPr>
          <w:rtl/>
        </w:rPr>
        <w:t xml:space="preserve"> במועד אישור שינוי אופן ההתאגדות קיבלו חברי אגד התחייבות לתשלום מלוא שווי המניה שלהם באגודה וכן מניות בחברה בע"מ ללא תשלום. שווי מניות החברה מוערך בכ-1.3 מיליארד ש"ח על פי הערכת השווי של אגד נכון ל-2018. הדברים נעשו ללא מעורבותם של משרדי התחבורה והאוצר</w:t>
      </w:r>
      <w:r w:rsidRPr="0069093D">
        <w:rPr>
          <w:rFonts w:hint="cs"/>
          <w:rtl/>
        </w:rPr>
        <w:t>.</w:t>
      </w:r>
    </w:p>
    <w:p w14:paraId="1E254194" w14:textId="67E0EA83" w:rsidR="00766AB6" w:rsidRDefault="00766AB6" w:rsidP="004A68EE">
      <w:pPr>
        <w:pStyle w:val="71f3"/>
        <w:rPr>
          <w:rtl/>
        </w:rPr>
      </w:pPr>
      <w:r w:rsidRPr="0069093D">
        <w:rPr>
          <w:rFonts w:hint="cs"/>
          <w:b/>
          <w:bCs/>
          <w:noProof/>
          <w:rtl/>
        </w:rPr>
        <w:lastRenderedPageBreak/>
        <w:drawing>
          <wp:anchor distT="0" distB="3600450" distL="114300" distR="114300" simplePos="0" relativeHeight="251986432" behindDoc="0" locked="0" layoutInCell="1" allowOverlap="1" wp14:anchorId="16517DCB" wp14:editId="6D074562">
            <wp:simplePos x="0" y="0"/>
            <wp:positionH relativeFrom="column">
              <wp:posOffset>4518025</wp:posOffset>
            </wp:positionH>
            <wp:positionV relativeFrom="paragraph">
              <wp:posOffset>46990</wp:posOffset>
            </wp:positionV>
            <wp:extent cx="161925" cy="161925"/>
            <wp:effectExtent l="0" t="0" r="9525" b="9525"/>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A68EE" w:rsidRPr="00212456">
        <w:rPr>
          <w:b/>
          <w:bCs/>
          <w:rtl/>
        </w:rPr>
        <w:t>הסדרת השימוש במתקני תח"צ -</w:t>
      </w:r>
      <w:r w:rsidR="004A68EE" w:rsidRPr="00212456">
        <w:rPr>
          <w:rtl/>
        </w:rPr>
        <w:t xml:space="preserve"> מת"ח לא הנפיק רישיונות למתקנים תחבורתיים, אשר אמורים היו לכלול גם את התנאים להחזקת המתקנים ולהפעלתם, לרבות בנושא של שיתופיות בין מפעילים בשימוש בהם, אף שיש מחסור במתקנים אלה והם נחוצים להפעלת שירותי תח"צ</w:t>
      </w:r>
      <w:r w:rsidRPr="0069093D">
        <w:rPr>
          <w:rFonts w:hint="cs"/>
          <w:rtl/>
        </w:rPr>
        <w:t>.</w:t>
      </w:r>
    </w:p>
    <w:p w14:paraId="7F1A81DD" w14:textId="6CAF7FB1" w:rsidR="004A68EE" w:rsidRDefault="004A68EE" w:rsidP="004A68EE">
      <w:pPr>
        <w:pStyle w:val="71f3"/>
        <w:rPr>
          <w:rtl/>
        </w:rPr>
      </w:pPr>
      <w:r w:rsidRPr="0069093D">
        <w:rPr>
          <w:rFonts w:hint="cs"/>
          <w:b/>
          <w:bCs/>
          <w:noProof/>
          <w:rtl/>
        </w:rPr>
        <w:drawing>
          <wp:anchor distT="0" distB="3600450" distL="114300" distR="114300" simplePos="0" relativeHeight="252085760" behindDoc="0" locked="0" layoutInCell="1" allowOverlap="1" wp14:anchorId="36F501A2" wp14:editId="704C718D">
            <wp:simplePos x="0" y="0"/>
            <wp:positionH relativeFrom="column">
              <wp:posOffset>4518025</wp:posOffset>
            </wp:positionH>
            <wp:positionV relativeFrom="paragraph">
              <wp:posOffset>46990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12456">
        <w:rPr>
          <w:b/>
          <w:bCs/>
          <w:rtl/>
        </w:rPr>
        <w:t>בקרת משרד התחבורה על רמת השירות של אגד -</w:t>
      </w:r>
      <w:r w:rsidRPr="008D237D">
        <w:rPr>
          <w:sz w:val="22"/>
          <w:szCs w:val="22"/>
          <w:rtl/>
        </w:rPr>
        <w:t xml:space="preserve"> </w:t>
      </w:r>
      <w:r w:rsidRPr="00212456">
        <w:rPr>
          <w:rtl/>
        </w:rPr>
        <w:t>מת"ח מחשב למפעילים ציון למדידת רמת השירות שלהם, והוא משמש כאחד הקריטריונים לבחירת זוכים במכרזים. במשך שנים רבות אגד לא הייתה רשאית לגשת למכרזים להפעלת קווי שירות, ועל כן לא הייתה השפעה לציון הבקרה התפעולית על סיכוייה לזכות במכרזים עתידיים; לפיכך התמריץ שסיפק לה הציון לעמוד ברמת השירות שנקבעה לה היה חלש לעומת המפעילים התחרותיים. מצב זה נכון כל עוד אגד איננה רשאית לגשת למכרזים להפעלת קווי שירות. כמו כן, הבקרה של מת"ח על רמת השירות שאגד מספקת לאורך מסלול הנסיעה איננה מספקת. לדוגמה, בכ-30% מצי האוטובוסים הכללי בענף מופעלת מערכת לספירת נוסעים אשר מאפשרת בדיקה במהלך הנסיעה, אך מת"ח עדיין אינו משתמש בה לבקרה על הצפיפות באוטובוסים</w:t>
      </w:r>
      <w:r w:rsidRPr="0069093D">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19168" behindDoc="0" locked="0" layoutInCell="1" allowOverlap="1" wp14:anchorId="25B1C011" wp14:editId="4AFDC20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E62AD5C" w14:textId="73C71C80" w:rsidR="00847EF2" w:rsidRPr="00827B4D" w:rsidRDefault="00847EF2" w:rsidP="00847EF2">
      <w:pPr>
        <w:pStyle w:val="71f3"/>
        <w:rPr>
          <w:rtl/>
        </w:rPr>
      </w:pPr>
      <w:r w:rsidRPr="00827B4D">
        <w:rPr>
          <w:rtl/>
        </w:rPr>
        <w:t xml:space="preserve">מאז תחילת הרפורמה בענף התח"צ, במהלך שני העשורים האחרונים, נכנסו מפעילים חדשים לענף התח"צ באוטובוסים </w:t>
      </w:r>
      <w:r w:rsidR="00FC631D">
        <w:rPr>
          <w:rFonts w:hint="cs"/>
          <w:rtl/>
        </w:rPr>
        <w:t xml:space="preserve">והם </w:t>
      </w:r>
      <w:r w:rsidRPr="00827B4D">
        <w:rPr>
          <w:rtl/>
        </w:rPr>
        <w:t>מפעילים קווי שירות מתוקף זכייה בהליכים תחרותיים.</w:t>
      </w:r>
    </w:p>
    <w:p w14:paraId="7793C2AC" w14:textId="2AA19643" w:rsidR="00D40584" w:rsidRPr="00DA6466" w:rsidRDefault="00847EF2" w:rsidP="00847EF2">
      <w:pPr>
        <w:pStyle w:val="71f3"/>
      </w:pPr>
      <w:r w:rsidRPr="00827B4D">
        <w:rPr>
          <w:rtl/>
        </w:rPr>
        <w:t>אגד התייעלה במשך השנים בהיבטים מסוימים, בין היתר בעקבות הליכי פרישת עובדים ותיקים ושינוי תמהיל המועסקים בחברה, וכן עלייה בשיעור הנהגים בחברה וירידה בשיעור עובדי המנהלה</w:t>
      </w:r>
      <w:r w:rsidR="00D40584" w:rsidRPr="00DA6466">
        <w:rPr>
          <w:rtl/>
        </w:rPr>
        <w:t xml:space="preserve">. </w:t>
      </w:r>
    </w:p>
    <w:p w14:paraId="3BBE581A" w14:textId="61064AC9" w:rsidR="009D39AC" w:rsidRPr="009D39AC" w:rsidRDefault="00C248DB" w:rsidP="00BB42CF">
      <w:pPr>
        <w:pStyle w:val="71f3"/>
        <w:rPr>
          <w:rtl/>
        </w:rPr>
      </w:pPr>
      <w:r w:rsidRPr="003D472A">
        <w:rPr>
          <w:noProof/>
        </w:rPr>
        <w:drawing>
          <wp:anchor distT="0" distB="3600450" distL="114300" distR="114300" simplePos="0" relativeHeight="251752960" behindDoc="0" locked="0" layoutInCell="1" allowOverlap="1" wp14:anchorId="4F0667FA" wp14:editId="04086E84">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8864" behindDoc="0" locked="0" layoutInCell="1" allowOverlap="1" wp14:anchorId="4AF189CA" wp14:editId="528482B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D3EBF" id="Straight Connector 585" o:spid="_x0000_s1026" style="position:absolute;left:0;text-align:lef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7840" behindDoc="0" locked="0" layoutInCell="1" allowOverlap="1" wp14:anchorId="23E63B4F" wp14:editId="40985CC2">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BB42CF" w:rsidRPr="00827B4D">
        <w:rPr>
          <w:rtl/>
        </w:rPr>
        <w:t>מומלץ שמשרד התחבורה יכין מבעוד מועד תוכנית רב-שנתית הכוללת יעדים ואבני דרך להוצאת יתרת הקווים שמפעילה אגד לתחרות, על מנת למנוע המשך של מימון העלויות העודפות של אגד מתקציב המדינה</w:t>
      </w:r>
      <w:r w:rsidR="009D39AC">
        <w:rPr>
          <w:rFonts w:hint="cs"/>
          <w:rtl/>
        </w:rPr>
        <w:t>.</w:t>
      </w:r>
    </w:p>
    <w:p w14:paraId="0867A6B1" w14:textId="46C3F28E" w:rsidR="00BB42CF" w:rsidRDefault="000A1EE6" w:rsidP="00942B78">
      <w:pPr>
        <w:pStyle w:val="71f3"/>
        <w:rPr>
          <w:rtl/>
        </w:rPr>
      </w:pPr>
      <w:r w:rsidRPr="00577C64">
        <w:rPr>
          <w:noProof/>
        </w:rPr>
        <w:drawing>
          <wp:anchor distT="0" distB="3600450" distL="114300" distR="114300" simplePos="0" relativeHeight="251755008" behindDoc="0" locked="0" layoutInCell="1" allowOverlap="1" wp14:anchorId="6CC03CA8" wp14:editId="302B5EFC">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CF" w:rsidRPr="00827B4D">
        <w:rPr>
          <w:sz w:val="19"/>
          <w:szCs w:val="19"/>
          <w:rtl/>
        </w:rPr>
        <w:t>מומלץ כי מת"ח יעקוב באופן שוטף אחר פעילות אגד על מנת להבטיח את יישום הסכם ההפעלה, וימשיך לפתח אמצעי בקרה על עמידת מפעילי התח"צ בכלל הדרישות התפעוליות שנקבעו בהסכמים עימם</w:t>
      </w:r>
      <w:r w:rsidR="00BB42CF">
        <w:rPr>
          <w:rFonts w:hint="cs"/>
          <w:rtl/>
        </w:rPr>
        <w:t>.</w:t>
      </w:r>
    </w:p>
    <w:p w14:paraId="34366829" w14:textId="63122E2A" w:rsidR="000932F0" w:rsidRPr="000932F0" w:rsidRDefault="00351AD0" w:rsidP="00BB42CF">
      <w:pPr>
        <w:pStyle w:val="71f3"/>
      </w:pPr>
      <w:r w:rsidRPr="00003EBB">
        <w:rPr>
          <w:noProof/>
        </w:rPr>
        <w:drawing>
          <wp:anchor distT="0" distB="3600450" distL="114300" distR="114300" simplePos="0" relativeHeight="251757056" behindDoc="0" locked="0" layoutInCell="1" allowOverlap="1" wp14:anchorId="2D6437BC" wp14:editId="0AE7C197">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CF" w:rsidRPr="00827B4D">
        <w:rPr>
          <w:rtl/>
        </w:rPr>
        <w:t xml:space="preserve">מומלץ שאגד תרחיב את התחזית הפיננסית שהציגה למשרד התחבורה כך שתכלול גם היבטים מאזניים ותזרימיים וכן תרחישים שונים לגבי תחזית הפרישה והתחזית התפעולית ותאפשר להגדיר את הצעדים שיש לנקוט כדי שבסוף תקופת ההסכם מבנה ההוצאות של החברה יאפשר לה להתמודד בשוק התחרותי בלי להזדקק לכך שהמדינה תממן את עלויותיה העודפות. עוד מומלץ לאגד להציב יעדי התייעלות ולבנות תוכנית רב-שנתית לייצוב יחסי הכיסוי והמינוף הפיננסי שלה באופן שישפר את האיתנות הפיננסית ויאפשר היערכותה המלאה לתחרות. מומלץ כי משרד התחבורה יבחן את יעדי ההתייעלות </w:t>
      </w:r>
      <w:r w:rsidR="00BB42CF" w:rsidRPr="00827B4D">
        <w:rPr>
          <w:rtl/>
        </w:rPr>
        <w:lastRenderedPageBreak/>
        <w:t>שתגבש אגד ויבצע בקרה על מימושם, על מנת לוודא כי החברה תשפר את איתנותה הפיננסית ותיערך לתחרות</w:t>
      </w:r>
      <w:r w:rsidR="003D472A" w:rsidRPr="0051536E">
        <w:rPr>
          <w:rtl/>
        </w:rPr>
        <w:t>.</w:t>
      </w:r>
    </w:p>
    <w:p w14:paraId="3F10CC9C" w14:textId="60D11317" w:rsidR="00003EBB" w:rsidRPr="003D472A" w:rsidRDefault="00351AD0" w:rsidP="00BB42CF">
      <w:pPr>
        <w:pStyle w:val="71f3"/>
      </w:pPr>
      <w:r w:rsidRPr="00F94BC9">
        <w:rPr>
          <w:noProof/>
        </w:rPr>
        <w:drawing>
          <wp:anchor distT="0" distB="3600450" distL="114300" distR="114300" simplePos="0" relativeHeight="251759104" behindDoc="0" locked="0" layoutInCell="1" allowOverlap="1" wp14:anchorId="074940A4" wp14:editId="77FA81BD">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CF" w:rsidRPr="00827B4D">
        <w:rPr>
          <w:rtl/>
        </w:rPr>
        <w:t>מומלץ כי משרדי התחבורה והאוצר יבחנו את השלכותיה של הענקת מניות החברה ללא תשלום למייסדים על מצבה הפיננסי של אגד, ובשים לב לתשלומים שהעבירה המדינה לאגד, ויהיו מעורבים בתהליכים של שינויים במבנה ההתאגדות או במבנה הארגוני של אגד, על מנת לוודא כי לא ניתנת תמורה עודפת לחבריה ללא בחינת השלכותיה</w:t>
      </w:r>
      <w:r w:rsidR="003D472A" w:rsidRPr="008872B7">
        <w:rPr>
          <w:rtl/>
        </w:rPr>
        <w:t>.</w:t>
      </w:r>
    </w:p>
    <w:p w14:paraId="408E8A6A" w14:textId="3914D36B" w:rsidR="0098031E" w:rsidRDefault="00F94BC9" w:rsidP="00BB42CF">
      <w:pPr>
        <w:pStyle w:val="71f3"/>
        <w:rPr>
          <w:rtl/>
        </w:rPr>
      </w:pPr>
      <w:r w:rsidRPr="00003EBB">
        <w:rPr>
          <w:noProof/>
        </w:rPr>
        <w:drawing>
          <wp:anchor distT="0" distB="3600450" distL="114300" distR="114300" simplePos="0" relativeHeight="251761152" behindDoc="0" locked="0" layoutInCell="1" allowOverlap="1" wp14:anchorId="1CD9980E" wp14:editId="60501F3A">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CF" w:rsidRPr="00827B4D">
        <w:rPr>
          <w:rtl/>
        </w:rPr>
        <w:t>מומלץ כי מת"ח יבחן דרך פעולה למימוש סמכויותיו כדי לקדם שיתופיות בין המפעילים בשימוש במתקני התח"צ וייצור מנגנון פיקוח על ניהול המתקנים, על מנת לאפשר שימוש יעיל בהם באופן שיתמוך בתחרותיות. כמו כן מומלץ ש</w:t>
      </w:r>
      <w:r w:rsidR="00C419B1">
        <w:rPr>
          <w:rFonts w:hint="cs"/>
          <w:rtl/>
        </w:rPr>
        <w:t>ת</w:t>
      </w:r>
      <w:r w:rsidR="00BB42CF" w:rsidRPr="00827B4D">
        <w:rPr>
          <w:rtl/>
        </w:rPr>
        <w:t>בחן הסדרה של העברת ניהול המתקנים לידי גופים ציבוריים או רשויות מקומיות.</w:t>
      </w:r>
    </w:p>
    <w:bookmarkStart w:id="3" w:name="_Hlk77581359"/>
    <w:p w14:paraId="61053D19" w14:textId="5D973296" w:rsidR="00E6264C" w:rsidRDefault="00BA3183" w:rsidP="002D3AA4">
      <w:pPr>
        <w:spacing w:line="240" w:lineRule="auto"/>
        <w:ind w:left="-851" w:right="-567"/>
        <w:rPr>
          <w:rFonts w:ascii="Tahoma" w:hAnsi="Tahoma" w:cs="Tahoma"/>
          <w:rtl/>
        </w:rPr>
      </w:pPr>
      <w:r w:rsidRPr="00E6264C">
        <w:rPr>
          <w:noProof/>
          <w:szCs w:val="20"/>
          <w:rtl/>
        </w:rPr>
        <mc:AlternateContent>
          <mc:Choice Requires="wps">
            <w:drawing>
              <wp:anchor distT="0" distB="0" distL="114300" distR="114300" simplePos="0" relativeHeight="252078592" behindDoc="0" locked="0" layoutInCell="1" allowOverlap="1" wp14:anchorId="0D2327F7" wp14:editId="21C1D520">
                <wp:simplePos x="0" y="0"/>
                <wp:positionH relativeFrom="column">
                  <wp:posOffset>55245</wp:posOffset>
                </wp:positionH>
                <wp:positionV relativeFrom="paragraph">
                  <wp:posOffset>84455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40C3E585" w14:textId="3F5583B0" w:rsidR="00E6264C" w:rsidRPr="00A47335" w:rsidRDefault="00E6264C" w:rsidP="00E6264C">
                            <w:pPr>
                              <w:pStyle w:val="71fb"/>
                              <w:spacing w:before="0"/>
                              <w:rPr>
                                <w:b w:val="0"/>
                                <w:bCs/>
                              </w:rPr>
                            </w:pPr>
                            <w:r>
                              <w:rPr>
                                <w:rFonts w:hint="cs"/>
                                <w:b w:val="0"/>
                                <w:bCs/>
                                <w:rtl/>
                              </w:rPr>
                              <w:t>נ</w:t>
                            </w:r>
                            <w:r w:rsidR="000C0242">
                              <w:rPr>
                                <w:rFonts w:hint="cs"/>
                                <w:b w:val="0"/>
                                <w:bCs/>
                                <w:rtl/>
                              </w:rPr>
                              <w:t>תחי שוק בענף התח"צ באוטובוסים, לפי נסועה, 2020 (באחוזים)</w:t>
                            </w:r>
                            <w:r>
                              <w:rPr>
                                <w:rFonts w:hint="cs"/>
                                <w:b w:val="0"/>
                                <w:bCs/>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D2327F7" id="_x0000_s1029" type="#_x0000_t202" style="position:absolute;left:0;text-align:left;margin-left:4.35pt;margin-top:6.65pt;width:363.55pt;height:45.15pt;z-index:25207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" fillcolor="#f05260" stroked="f">
                <v:textbox>
                  <w:txbxContent>
                    <w:p w14:paraId="40C3E585" w14:textId="3F5583B0" w:rsidR="00E6264C" w:rsidRPr="00A47335" w:rsidRDefault="00E6264C" w:rsidP="00E6264C">
                      <w:pPr>
                        <w:pStyle w:val="71fb"/>
                        <w:spacing w:before="0"/>
                        <w:rPr>
                          <w:b w:val="0"/>
                          <w:bCs/>
                        </w:rPr>
                      </w:pPr>
                      <w:r>
                        <w:rPr>
                          <w:rFonts w:hint="cs"/>
                          <w:b w:val="0"/>
                          <w:bCs/>
                          <w:rtl/>
                        </w:rPr>
                        <w:t>נ</w:t>
                      </w:r>
                      <w:r w:rsidR="000C0242">
                        <w:rPr>
                          <w:rFonts w:hint="cs"/>
                          <w:b w:val="0"/>
                          <w:bCs/>
                          <w:rtl/>
                        </w:rPr>
                        <w:t>תחי שוק בענף התח"צ באוטובוסים, לפי נסועה, 2020 (באחוזים)</w:t>
                      </w:r>
                      <w:r>
                        <w:rPr>
                          <w:rFonts w:hint="cs"/>
                          <w:b w:val="0"/>
                          <w:bCs/>
                          <w:rtl/>
                        </w:rPr>
                        <w:t xml:space="preserve">                 </w:t>
                      </w:r>
                    </w:p>
                  </w:txbxContent>
                </v:textbox>
              </v:shape>
            </w:pict>
          </mc:Fallback>
        </mc:AlternateContent>
      </w:r>
      <w:r w:rsidR="00E6264C" w:rsidRPr="00E6264C">
        <w:rPr>
          <w:noProof/>
          <w:szCs w:val="20"/>
          <w:rtl/>
        </w:rPr>
        <w:drawing>
          <wp:anchor distT="0" distB="0" distL="114300" distR="114300" simplePos="0" relativeHeight="252077568" behindDoc="0" locked="0" layoutInCell="1" allowOverlap="1" wp14:anchorId="2877261C" wp14:editId="75031720">
            <wp:simplePos x="0" y="0"/>
            <wp:positionH relativeFrom="column">
              <wp:posOffset>-135379</wp:posOffset>
            </wp:positionH>
            <wp:positionV relativeFrom="paragraph">
              <wp:posOffset>-16510</wp:posOffset>
            </wp:positionV>
            <wp:extent cx="4877559"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82600" cy="924880"/>
                    </a:xfrm>
                    <a:prstGeom prst="rect">
                      <a:avLst/>
                    </a:prstGeom>
                  </pic:spPr>
                </pic:pic>
              </a:graphicData>
            </a:graphic>
            <wp14:sizeRelH relativeFrom="margin">
              <wp14:pctWidth>0</wp14:pctWidth>
            </wp14:sizeRelH>
          </wp:anchor>
        </w:drawing>
      </w:r>
    </w:p>
    <w:p w14:paraId="76B09819" w14:textId="6759BB8C" w:rsidR="00E6264C" w:rsidRDefault="00E6264C" w:rsidP="002D3AA4">
      <w:pPr>
        <w:spacing w:line="240" w:lineRule="auto"/>
        <w:ind w:left="-851" w:right="-567"/>
        <w:rPr>
          <w:rFonts w:ascii="Tahoma" w:hAnsi="Tahoma" w:cs="Tahoma"/>
          <w:rtl/>
        </w:rPr>
      </w:pPr>
    </w:p>
    <w:p w14:paraId="661B9531" w14:textId="55F493B4" w:rsidR="00E6264C" w:rsidRDefault="00E6264C" w:rsidP="002D3AA4">
      <w:pPr>
        <w:spacing w:line="240" w:lineRule="auto"/>
        <w:ind w:left="-851" w:right="-567"/>
        <w:rPr>
          <w:rFonts w:ascii="Tahoma" w:hAnsi="Tahoma" w:cs="Tahoma"/>
          <w:rtl/>
        </w:rPr>
      </w:pPr>
    </w:p>
    <w:p w14:paraId="27C88874" w14:textId="68B23EEB" w:rsidR="00E6264C" w:rsidRDefault="00E6264C" w:rsidP="002D3AA4">
      <w:pPr>
        <w:spacing w:line="240" w:lineRule="auto"/>
        <w:ind w:left="-851" w:right="-567"/>
        <w:rPr>
          <w:rFonts w:ascii="Tahoma" w:hAnsi="Tahoma" w:cs="Tahoma"/>
          <w:rtl/>
        </w:rPr>
      </w:pPr>
    </w:p>
    <w:bookmarkEnd w:id="3"/>
    <w:p w14:paraId="6A9D03C5" w14:textId="1924BC87" w:rsidR="00E6264C" w:rsidRDefault="00883FAB" w:rsidP="0098031E">
      <w:pPr>
        <w:spacing w:line="360" w:lineRule="auto"/>
        <w:rPr>
          <w:noProof/>
          <w:rtl/>
        </w:rPr>
      </w:pPr>
      <w:r>
        <w:rPr>
          <w:noProof/>
          <w:rtl/>
          <w:lang w:val="he-IL"/>
        </w:rPr>
        <w:drawing>
          <wp:anchor distT="0" distB="0" distL="114300" distR="114300" simplePos="0" relativeHeight="252086784" behindDoc="0" locked="0" layoutInCell="1" allowOverlap="1" wp14:anchorId="4D6E4496" wp14:editId="07DA3D34">
            <wp:simplePos x="0" y="0"/>
            <wp:positionH relativeFrom="column">
              <wp:posOffset>571500</wp:posOffset>
            </wp:positionH>
            <wp:positionV relativeFrom="paragraph">
              <wp:posOffset>90805</wp:posOffset>
            </wp:positionV>
            <wp:extent cx="3491230" cy="2242820"/>
            <wp:effectExtent l="0" t="0" r="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26" cstate="print">
                      <a:extLst>
                        <a:ext uri="{28A0092B-C50C-407E-A947-70E740481C1C}">
                          <a14:useLocalDpi xmlns:a14="http://schemas.microsoft.com/office/drawing/2010/main" val="0"/>
                        </a:ext>
                      </a:extLst>
                    </a:blip>
                    <a:srcRect t="14372" b="16939"/>
                    <a:stretch/>
                  </pic:blipFill>
                  <pic:spPr bwMode="auto">
                    <a:xfrm>
                      <a:off x="0" y="0"/>
                      <a:ext cx="3491230" cy="2242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EBA406" w14:textId="4A78041D" w:rsidR="0069134E" w:rsidRDefault="0069134E" w:rsidP="0069134E">
      <w:pPr>
        <w:pStyle w:val="71c"/>
        <w:spacing w:before="0" w:after="0"/>
        <w:rPr>
          <w:rtl/>
        </w:rPr>
      </w:pPr>
    </w:p>
    <w:p w14:paraId="7A6503D7" w14:textId="77777777" w:rsidR="0069134E" w:rsidRDefault="0069134E" w:rsidP="0069134E">
      <w:pPr>
        <w:pStyle w:val="71c"/>
        <w:spacing w:before="0" w:after="0"/>
        <w:rPr>
          <w:rtl/>
        </w:rPr>
      </w:pPr>
    </w:p>
    <w:p w14:paraId="19DB0158" w14:textId="27F3FE2A" w:rsidR="0069134E" w:rsidRDefault="0069134E" w:rsidP="0069134E">
      <w:pPr>
        <w:pStyle w:val="71c"/>
        <w:spacing w:before="0" w:after="0"/>
        <w:rPr>
          <w:rtl/>
        </w:rPr>
      </w:pPr>
    </w:p>
    <w:p w14:paraId="07F93ACE" w14:textId="7A460897" w:rsidR="0069134E" w:rsidRDefault="0069134E" w:rsidP="0069134E">
      <w:pPr>
        <w:pStyle w:val="71c"/>
        <w:spacing w:before="0" w:after="0"/>
        <w:rPr>
          <w:rtl/>
        </w:rPr>
      </w:pPr>
    </w:p>
    <w:p w14:paraId="78DA6814" w14:textId="151BE848" w:rsidR="0069134E" w:rsidRDefault="0069134E" w:rsidP="0069134E">
      <w:pPr>
        <w:pStyle w:val="71c"/>
        <w:spacing w:before="0" w:after="0"/>
        <w:rPr>
          <w:rtl/>
        </w:rPr>
      </w:pPr>
    </w:p>
    <w:p w14:paraId="0BAA05B9" w14:textId="77777777" w:rsidR="0069134E" w:rsidRDefault="0069134E" w:rsidP="0069134E">
      <w:pPr>
        <w:pStyle w:val="71c"/>
        <w:spacing w:before="0" w:after="0"/>
        <w:rPr>
          <w:rtl/>
        </w:rPr>
      </w:pPr>
    </w:p>
    <w:p w14:paraId="605847E7" w14:textId="77777777" w:rsidR="0069134E" w:rsidRDefault="0069134E" w:rsidP="0069134E">
      <w:pPr>
        <w:pStyle w:val="71c"/>
        <w:spacing w:before="0" w:after="0"/>
        <w:rPr>
          <w:rtl/>
        </w:rPr>
      </w:pPr>
    </w:p>
    <w:p w14:paraId="539E8932" w14:textId="77777777" w:rsidR="0069134E" w:rsidRDefault="0069134E" w:rsidP="0069134E">
      <w:pPr>
        <w:pStyle w:val="71c"/>
        <w:spacing w:before="0" w:after="0"/>
        <w:rPr>
          <w:rtl/>
        </w:rPr>
      </w:pPr>
    </w:p>
    <w:p w14:paraId="637DDA3C" w14:textId="77777777" w:rsidR="0069134E" w:rsidRDefault="0069134E" w:rsidP="0069134E">
      <w:pPr>
        <w:pStyle w:val="71c"/>
        <w:spacing w:before="0" w:after="0"/>
        <w:rPr>
          <w:rtl/>
        </w:rPr>
      </w:pPr>
    </w:p>
    <w:p w14:paraId="62219173" w14:textId="77777777" w:rsidR="0069134E" w:rsidRDefault="0069134E" w:rsidP="0069134E">
      <w:pPr>
        <w:pStyle w:val="71c"/>
        <w:spacing w:before="0" w:after="0"/>
        <w:rPr>
          <w:rtl/>
        </w:rPr>
      </w:pPr>
    </w:p>
    <w:p w14:paraId="7021F2DC" w14:textId="77777777" w:rsidR="0069134E" w:rsidRDefault="0069134E" w:rsidP="0069134E">
      <w:pPr>
        <w:pStyle w:val="71c"/>
        <w:spacing w:before="0" w:after="0"/>
        <w:rPr>
          <w:rtl/>
        </w:rPr>
      </w:pPr>
    </w:p>
    <w:p w14:paraId="74EE827E" w14:textId="77777777" w:rsidR="0069134E" w:rsidRDefault="0069134E" w:rsidP="0069134E">
      <w:pPr>
        <w:pStyle w:val="71c"/>
        <w:spacing w:before="0" w:after="0"/>
        <w:rPr>
          <w:rtl/>
        </w:rPr>
      </w:pPr>
    </w:p>
    <w:p w14:paraId="11041EAE" w14:textId="77777777" w:rsidR="0069134E" w:rsidRDefault="0069134E" w:rsidP="0069134E">
      <w:pPr>
        <w:pStyle w:val="71c"/>
        <w:spacing w:before="0" w:after="0"/>
        <w:rPr>
          <w:rtl/>
        </w:rPr>
      </w:pPr>
    </w:p>
    <w:p w14:paraId="08836368" w14:textId="0136FD45" w:rsidR="002D3AA4" w:rsidRDefault="00297613" w:rsidP="0069134E">
      <w:pPr>
        <w:pStyle w:val="71c"/>
        <w:spacing w:before="0" w:after="0"/>
        <w:rPr>
          <w:rtl/>
        </w:rPr>
      </w:pPr>
      <w:r w:rsidRPr="00297613">
        <w:rPr>
          <w:rtl/>
        </w:rPr>
        <w:t>על פי נתוני מת"ח, בעיבוד משרד מבקר המדינה.</w:t>
      </w:r>
    </w:p>
    <w:p w14:paraId="359EE9CD" w14:textId="2C7C3DFC" w:rsidR="00451300" w:rsidRDefault="00451300" w:rsidP="0069134E">
      <w:pPr>
        <w:pStyle w:val="71c"/>
        <w:spacing w:before="0" w:after="0"/>
        <w:rPr>
          <w:rtl/>
        </w:rPr>
      </w:pPr>
    </w:p>
    <w:p w14:paraId="3562A9B0" w14:textId="2514A72C" w:rsidR="00451300" w:rsidRDefault="00451300" w:rsidP="0069134E">
      <w:pPr>
        <w:pStyle w:val="71c"/>
        <w:spacing w:before="0" w:after="0"/>
        <w:rPr>
          <w:rtl/>
        </w:rPr>
      </w:pPr>
    </w:p>
    <w:p w14:paraId="245DFB7B" w14:textId="448575E0" w:rsidR="00451300" w:rsidRDefault="00451300" w:rsidP="0069134E">
      <w:pPr>
        <w:pStyle w:val="71c"/>
        <w:spacing w:before="0" w:after="0"/>
        <w:rPr>
          <w:rtl/>
        </w:rPr>
      </w:pPr>
    </w:p>
    <w:p w14:paraId="4F07E432" w14:textId="7CCA397D" w:rsidR="00451300" w:rsidRDefault="00451300" w:rsidP="0069134E">
      <w:pPr>
        <w:pStyle w:val="71c"/>
        <w:spacing w:before="0" w:after="0"/>
        <w:rPr>
          <w:rtl/>
        </w:rPr>
      </w:pPr>
    </w:p>
    <w:p w14:paraId="750C5CC1" w14:textId="764F4B20" w:rsidR="00451300" w:rsidRDefault="00451300" w:rsidP="0069134E">
      <w:pPr>
        <w:pStyle w:val="71c"/>
        <w:spacing w:before="0" w:after="0"/>
        <w:rPr>
          <w:rtl/>
        </w:rPr>
      </w:pPr>
    </w:p>
    <w:p w14:paraId="5B0203EF" w14:textId="775DC4A8" w:rsidR="00451300" w:rsidRDefault="00451300" w:rsidP="0069134E">
      <w:pPr>
        <w:pStyle w:val="71c"/>
        <w:spacing w:before="0" w:after="0"/>
        <w:rPr>
          <w:rtl/>
        </w:rPr>
      </w:pPr>
    </w:p>
    <w:p w14:paraId="634E6341" w14:textId="5142A920" w:rsidR="00451300" w:rsidRDefault="00451300" w:rsidP="0069134E">
      <w:pPr>
        <w:pStyle w:val="71c"/>
        <w:spacing w:before="0" w:after="0"/>
        <w:rPr>
          <w:rtl/>
        </w:rPr>
      </w:pPr>
    </w:p>
    <w:p w14:paraId="055F1BC7" w14:textId="2CB94B08" w:rsidR="00451300" w:rsidRDefault="00451300" w:rsidP="0069134E">
      <w:pPr>
        <w:pStyle w:val="71c"/>
        <w:spacing w:before="0" w:after="0"/>
        <w:rPr>
          <w:rtl/>
        </w:rPr>
      </w:pPr>
    </w:p>
    <w:p w14:paraId="5B802C0D" w14:textId="5F26C6C3" w:rsidR="00451300" w:rsidRDefault="00451300" w:rsidP="0069134E">
      <w:pPr>
        <w:pStyle w:val="71c"/>
        <w:spacing w:before="0" w:after="0"/>
        <w:rPr>
          <w:rtl/>
        </w:rPr>
      </w:pPr>
    </w:p>
    <w:p w14:paraId="6DA41116" w14:textId="77777777" w:rsidR="00451300" w:rsidRDefault="00451300" w:rsidP="0069134E">
      <w:pPr>
        <w:pStyle w:val="71c"/>
        <w:spacing w:before="0" w:after="0"/>
        <w:rPr>
          <w:rtl/>
        </w:rPr>
      </w:pPr>
    </w:p>
    <w:p w14:paraId="5924CCCB" w14:textId="364171D6" w:rsidR="00297613" w:rsidRDefault="0069134E" w:rsidP="00297613">
      <w:pPr>
        <w:pStyle w:val="71c"/>
        <w:rPr>
          <w:rtl/>
        </w:rPr>
      </w:pPr>
      <w:r w:rsidRPr="00DC53D2">
        <w:rPr>
          <w:noProof/>
          <w:rtl/>
        </w:rPr>
        <w:lastRenderedPageBreak/>
        <w:drawing>
          <wp:anchor distT="0" distB="0" distL="114300" distR="114300" simplePos="0" relativeHeight="252088832" behindDoc="0" locked="0" layoutInCell="1" allowOverlap="1" wp14:anchorId="04034E64" wp14:editId="5C05F63E">
            <wp:simplePos x="0" y="0"/>
            <wp:positionH relativeFrom="column">
              <wp:posOffset>-123825</wp:posOffset>
            </wp:positionH>
            <wp:positionV relativeFrom="paragraph">
              <wp:posOffset>20320</wp:posOffset>
            </wp:positionV>
            <wp:extent cx="4877435" cy="9239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77435" cy="923925"/>
                    </a:xfrm>
                    <a:prstGeom prst="rect">
                      <a:avLst/>
                    </a:prstGeom>
                  </pic:spPr>
                </pic:pic>
              </a:graphicData>
            </a:graphic>
            <wp14:sizeRelH relativeFrom="margin">
              <wp14:pctWidth>0</wp14:pctWidth>
            </wp14:sizeRelH>
          </wp:anchor>
        </w:drawing>
      </w:r>
      <w:r w:rsidR="00DC53D2" w:rsidRPr="00DC53D2">
        <w:rPr>
          <w:noProof/>
          <w:rtl/>
        </w:rPr>
        <mc:AlternateContent>
          <mc:Choice Requires="wps">
            <w:drawing>
              <wp:anchor distT="0" distB="0" distL="114300" distR="114300" simplePos="0" relativeHeight="252089856" behindDoc="0" locked="0" layoutInCell="1" allowOverlap="1" wp14:anchorId="5931A3B5" wp14:editId="38123998">
                <wp:simplePos x="0" y="0"/>
                <wp:positionH relativeFrom="column">
                  <wp:posOffset>53340</wp:posOffset>
                </wp:positionH>
                <wp:positionV relativeFrom="paragraph">
                  <wp:posOffset>100330</wp:posOffset>
                </wp:positionV>
                <wp:extent cx="4617085" cy="57340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39E7E62F" w14:textId="443B0C97" w:rsidR="00DC53D2" w:rsidRPr="00A47335" w:rsidRDefault="00DC53D2" w:rsidP="00DC53D2">
                            <w:pPr>
                              <w:pStyle w:val="71fb"/>
                              <w:spacing w:before="0"/>
                              <w:rPr>
                                <w:b w:val="0"/>
                                <w:bCs/>
                              </w:rPr>
                            </w:pPr>
                            <w:r>
                              <w:rPr>
                                <w:rFonts w:hint="cs"/>
                                <w:b w:val="0"/>
                                <w:bCs/>
                                <w:rtl/>
                              </w:rPr>
                              <w:t xml:space="preserve">הכנסותיה של אגד, 2010 </w:t>
                            </w:r>
                            <w:r>
                              <w:rPr>
                                <w:b w:val="0"/>
                                <w:bCs/>
                                <w:rtl/>
                              </w:rPr>
                              <w:t>–</w:t>
                            </w:r>
                            <w:r>
                              <w:rPr>
                                <w:rFonts w:hint="cs"/>
                                <w:b w:val="0"/>
                                <w:bCs/>
                                <w:rtl/>
                              </w:rPr>
                              <w:t xml:space="preserve"> 2020 (במיליוני ש"ח)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931A3B5" id="_x0000_s1030" type="#_x0000_t202" style="position:absolute;left:0;text-align:left;margin-left:4.2pt;margin-top:7.9pt;width:363.55pt;height:45.15pt;z-index:25208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" fillcolor="#f05260" stroked="f">
                <v:textbox>
                  <w:txbxContent>
                    <w:p w14:paraId="39E7E62F" w14:textId="443B0C97" w:rsidR="00DC53D2" w:rsidRPr="00A47335" w:rsidRDefault="00DC53D2" w:rsidP="00DC53D2">
                      <w:pPr>
                        <w:pStyle w:val="71fb"/>
                        <w:spacing w:before="0"/>
                        <w:rPr>
                          <w:b w:val="0"/>
                          <w:bCs/>
                        </w:rPr>
                      </w:pPr>
                      <w:r>
                        <w:rPr>
                          <w:rFonts w:hint="cs"/>
                          <w:b w:val="0"/>
                          <w:bCs/>
                          <w:rtl/>
                        </w:rPr>
                        <w:t xml:space="preserve">הכנסותיה של אגד, 2010 </w:t>
                      </w:r>
                      <w:r>
                        <w:rPr>
                          <w:b w:val="0"/>
                          <w:bCs/>
                          <w:rtl/>
                        </w:rPr>
                        <w:t>–</w:t>
                      </w:r>
                      <w:r>
                        <w:rPr>
                          <w:rFonts w:hint="cs"/>
                          <w:b w:val="0"/>
                          <w:bCs/>
                          <w:rtl/>
                        </w:rPr>
                        <w:t xml:space="preserve"> 2020 (במיליוני ש"ח)                </w:t>
                      </w:r>
                    </w:p>
                  </w:txbxContent>
                </v:textbox>
              </v:shape>
            </w:pict>
          </mc:Fallback>
        </mc:AlternateContent>
      </w:r>
    </w:p>
    <w:p w14:paraId="4315239A" w14:textId="67F051DA" w:rsidR="00297613" w:rsidRDefault="00297613" w:rsidP="00297613">
      <w:pPr>
        <w:pStyle w:val="71c"/>
        <w:rPr>
          <w:rtl/>
        </w:rPr>
      </w:pPr>
    </w:p>
    <w:p w14:paraId="31F7AC1F" w14:textId="1E2BC006" w:rsidR="00297613" w:rsidRDefault="00846889" w:rsidP="00297613">
      <w:pPr>
        <w:pStyle w:val="71c"/>
        <w:rPr>
          <w:rtl/>
        </w:rPr>
      </w:pPr>
      <w:r>
        <w:rPr>
          <w:noProof/>
        </w:rPr>
        <w:drawing>
          <wp:anchor distT="0" distB="0" distL="114300" distR="114300" simplePos="0" relativeHeight="252090880" behindDoc="0" locked="0" layoutInCell="1" allowOverlap="1" wp14:anchorId="6930DD23" wp14:editId="7CE8CA41">
            <wp:simplePos x="0" y="0"/>
            <wp:positionH relativeFrom="column">
              <wp:posOffset>331470</wp:posOffset>
            </wp:positionH>
            <wp:positionV relativeFrom="paragraph">
              <wp:posOffset>192405</wp:posOffset>
            </wp:positionV>
            <wp:extent cx="4067810" cy="4292600"/>
            <wp:effectExtent l="0" t="0" r="889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4067810" cy="429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123A5B" w14:textId="25AB4C56" w:rsidR="00846889" w:rsidRDefault="005F351B" w:rsidP="00846889">
      <w:pPr>
        <w:pStyle w:val="71c"/>
        <w:rPr>
          <w:rtl/>
        </w:rPr>
      </w:pPr>
      <w:r>
        <w:rPr>
          <w:b/>
          <w:bCs/>
          <w:noProof/>
          <w:sz w:val="32"/>
          <w:szCs w:val="32"/>
          <w:rtl/>
          <w:lang w:val="he-IL"/>
        </w:rPr>
        <mc:AlternateContent>
          <mc:Choice Requires="wpg">
            <w:drawing>
              <wp:anchor distT="0" distB="0" distL="114300" distR="114300" simplePos="0" relativeHeight="251897344" behindDoc="0" locked="0" layoutInCell="1" allowOverlap="1" wp14:anchorId="7CDD7FA0" wp14:editId="1A483BB0">
                <wp:simplePos x="0" y="0"/>
                <wp:positionH relativeFrom="margin">
                  <wp:posOffset>-5715</wp:posOffset>
                </wp:positionH>
                <wp:positionV relativeFrom="paragraph">
                  <wp:posOffset>4613275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A24AB5" id="Group 55" o:spid="_x0000_s1026" style="position:absolute;left:0;text-align:left;margin-left:-.45pt;margin-top:363.25pt;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r w:rsidR="00846889" w:rsidRPr="00A95620">
        <w:rPr>
          <w:rtl/>
        </w:rPr>
        <w:t xml:space="preserve">על פי נתוני מת"ח ואגד, בעיבוד משרד מבקר המדינה. </w:t>
      </w:r>
    </w:p>
    <w:p w14:paraId="5E9C70D4" w14:textId="7F217B3B" w:rsidR="00F27A70" w:rsidRDefault="00EC6229" w:rsidP="00DB5C61">
      <w:pPr>
        <w:pStyle w:val="7120"/>
        <w:spacing w:before="0"/>
        <w:rPr>
          <w:rtl/>
        </w:rPr>
      </w:pPr>
      <w:r w:rsidRPr="00EF3061">
        <w:rPr>
          <w:rFonts w:hint="cs"/>
          <w:rtl/>
        </w:rPr>
        <w:t>סיכום</w:t>
      </w:r>
    </w:p>
    <w:p w14:paraId="4581775A" w14:textId="12CCA10C" w:rsidR="005F351B" w:rsidRDefault="005F351B" w:rsidP="005F351B">
      <w:pPr>
        <w:pStyle w:val="7190"/>
        <w:rPr>
          <w:rtl/>
        </w:rPr>
      </w:pPr>
      <w:r w:rsidRPr="008D237D">
        <w:rPr>
          <w:rtl/>
        </w:rPr>
        <w:t xml:space="preserve">מתחילת שנות ה-2000 מקדמת הממשלה - באמצעות משרד התחבורה - רפורמה לשיפור שירותי התח"צ ולהגברת התחרות בענף. במועד סיום הביקורת אגד היא עדיין המפעיל הגדול בענף, ונתח השוק שלה במונחי נסועה עמד בשנת 2020 על 32%. אגד התייעלה בשנים האחרונות, אך בתחילת 2019 עלויות כוח האדם ועלויות תפעול קווי השירות שלה עדיין היו גבוהות בהשוואה למפעילים תחרותיים, והיא ממשיכה להיות תלויה בקבלת סובסידיה מהמדינה אשר מכסה גם את העלויות העודפות שלה. משרד מבקר המדינה ממליץ למשרד התחבורה להיערך מבעוד </w:t>
      </w:r>
      <w:r w:rsidRPr="008D237D">
        <w:rPr>
          <w:rtl/>
        </w:rPr>
        <w:lastRenderedPageBreak/>
        <w:t>מועד להוצאת יתרת הקווים שמפעילה אגד לתחרות, על מנת ליישם במלואה את הרפורמה בתח"צ בלוחות הזמנים שנקבעו. כמו כן על משרדי התחבורה והאוצר לעקוב אחרי עמידתה של אגד בהתחייבויותיה על פי הסכם ההפעלה, ובייחוד מבחינת רמת השירות שהיא מספקת לציבור הנוסעים והליכי התייעלותה. על אגד להיערך כך שבסוף תקופת ההסכם מבנה ההוצאות שלה יאפשר לה רווחיות הולמת ויכולת להתמודד בשוק התחרותי בלי להזדקק לכך שהמדינה תממן את עלויותיה העודפות</w:t>
      </w:r>
      <w:r>
        <w:rPr>
          <w:rFonts w:hint="cs"/>
          <w:rtl/>
        </w:rPr>
        <w:t>.</w:t>
      </w:r>
    </w:p>
    <w:p w14:paraId="7B1D2994" w14:textId="1E7D3C5D" w:rsidR="00BD2BBB" w:rsidRDefault="00BD2BBB" w:rsidP="005F351B">
      <w:pPr>
        <w:pStyle w:val="7190"/>
        <w:bidi w:val="0"/>
        <w:rPr>
          <w:rtl/>
        </w:rPr>
      </w:pPr>
      <w:r>
        <w:rPr>
          <w:rtl/>
        </w:rPr>
        <w:br w:type="page"/>
      </w:r>
    </w:p>
    <w:p w14:paraId="3789DA6F" w14:textId="77777777" w:rsidR="00722A20" w:rsidRDefault="00722A20" w:rsidP="00C246D0">
      <w:pPr>
        <w:pStyle w:val="71316"/>
        <w:rPr>
          <w:rtl/>
        </w:rPr>
        <w:sectPr w:rsidR="00722A20" w:rsidSect="007100F0">
          <w:headerReference w:type="default" r:id="rId28"/>
          <w:footerReference w:type="even" r:id="rId29"/>
          <w:footerReference w:type="default" r:id="rId30"/>
          <w:footnotePr>
            <w:numRestart w:val="eachSect"/>
          </w:footnotePr>
          <w:pgSz w:w="11906" w:h="16838" w:code="9"/>
          <w:pgMar w:top="3062" w:right="2268" w:bottom="2552" w:left="2268" w:header="1134" w:footer="1361" w:gutter="0"/>
          <w:cols w:space="708"/>
          <w:bidi/>
          <w:rtlGutter/>
          <w:docGrid w:linePitch="360"/>
        </w:sectPr>
      </w:pPr>
    </w:p>
    <w:p w14:paraId="3DE3DE6B" w14:textId="3CB020DC" w:rsidR="00E85BE4" w:rsidRDefault="00803484">
      <w:pPr>
        <w:bidi w:val="0"/>
        <w:spacing w:after="200" w:line="276" w:lineRule="auto"/>
        <w:rPr>
          <w:rFonts w:ascii="Tahoma" w:eastAsia="Times New Roman" w:hAnsi="Tahoma" w:cs="Tahoma"/>
          <w:color w:val="0D0D0D" w:themeColor="text1" w:themeTint="F2"/>
          <w:sz w:val="18"/>
          <w:szCs w:val="18"/>
          <w:rtl/>
          <w:lang w:eastAsia="he-IL"/>
        </w:rPr>
      </w:pPr>
      <w:r>
        <w:rPr>
          <w:rFonts w:ascii="Tahoma" w:eastAsia="Times New Roman" w:hAnsi="Tahoma" w:cs="Tahoma"/>
          <w:noProof/>
          <w:color w:val="0D0D0D" w:themeColor="text1" w:themeTint="F2"/>
          <w:sz w:val="18"/>
          <w:szCs w:val="18"/>
          <w:rtl/>
          <w:lang w:val="he-IL" w:eastAsia="he-IL"/>
        </w:rPr>
        <w:lastRenderedPageBreak/>
        <mc:AlternateContent>
          <mc:Choice Requires="wps">
            <w:drawing>
              <wp:anchor distT="0" distB="0" distL="114300" distR="114300" simplePos="0" relativeHeight="252091904" behindDoc="0" locked="0" layoutInCell="1" allowOverlap="1" wp14:anchorId="4BE975CE" wp14:editId="430BAE2B">
                <wp:simplePos x="0" y="0"/>
                <wp:positionH relativeFrom="column">
                  <wp:posOffset>-1392555</wp:posOffset>
                </wp:positionH>
                <wp:positionV relativeFrom="paragraph">
                  <wp:posOffset>-706120</wp:posOffset>
                </wp:positionV>
                <wp:extent cx="6229350" cy="1038225"/>
                <wp:effectExtent l="0" t="0" r="0" b="9525"/>
                <wp:wrapNone/>
                <wp:docPr id="6" name="Rectangle 6"/>
                <wp:cNvGraphicFramePr/>
                <a:graphic xmlns:a="http://schemas.openxmlformats.org/drawingml/2006/main">
                  <a:graphicData uri="http://schemas.microsoft.com/office/word/2010/wordprocessingShape">
                    <wps:wsp>
                      <wps:cNvSpPr/>
                      <wps:spPr>
                        <a:xfrm>
                          <a:off x="0" y="0"/>
                          <a:ext cx="6229350" cy="1038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A0DCE" id="Rectangle 6" o:spid="_x0000_s1026" style="position:absolute;left:0;text-align:left;margin-left:-109.65pt;margin-top:-55.6pt;width:490.5pt;height:81.7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" fillcolor="white [3212]" stroked="f" strokeweight="2pt"/>
            </w:pict>
          </mc:Fallback>
        </mc:AlternateContent>
      </w:r>
    </w:p>
    <w:p w14:paraId="7B248691" w14:textId="20064C6E" w:rsidR="00DA4076" w:rsidRPr="00974576" w:rsidRDefault="00803484" w:rsidP="00E85BE4">
      <w:pPr>
        <w:pStyle w:val="7190"/>
        <w:rPr>
          <w:rFonts w:hint="cs"/>
          <w:rtl/>
        </w:rPr>
      </w:pPr>
      <w:r>
        <w:rPr>
          <w:rFonts w:eastAsia="Times New Roman"/>
          <w:noProof/>
          <w:rtl/>
          <w:lang w:val="he-IL" w:eastAsia="he-IL"/>
        </w:rPr>
        <mc:AlternateContent>
          <mc:Choice Requires="wps">
            <w:drawing>
              <wp:anchor distT="0" distB="0" distL="114300" distR="114300" simplePos="0" relativeHeight="252093952" behindDoc="0" locked="0" layoutInCell="1" allowOverlap="1" wp14:anchorId="2CAED4F4" wp14:editId="5A27B565">
                <wp:simplePos x="0" y="0"/>
                <wp:positionH relativeFrom="column">
                  <wp:posOffset>1293494</wp:posOffset>
                </wp:positionH>
                <wp:positionV relativeFrom="paragraph">
                  <wp:posOffset>6494780</wp:posOffset>
                </wp:positionV>
                <wp:extent cx="4105275" cy="1038225"/>
                <wp:effectExtent l="0" t="0" r="9525" b="9525"/>
                <wp:wrapNone/>
                <wp:docPr id="9" name="Rectangle 9"/>
                <wp:cNvGraphicFramePr/>
                <a:graphic xmlns:a="http://schemas.openxmlformats.org/drawingml/2006/main">
                  <a:graphicData uri="http://schemas.microsoft.com/office/word/2010/wordprocessingShape">
                    <wps:wsp>
                      <wps:cNvSpPr/>
                      <wps:spPr>
                        <a:xfrm>
                          <a:off x="0" y="0"/>
                          <a:ext cx="4105275" cy="1038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EF564" id="Rectangle 9" o:spid="_x0000_s1026" style="position:absolute;left:0;text-align:left;margin-left:101.85pt;margin-top:511.4pt;width:323.25pt;height:81.7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" fillcolor="white [3212]" stroked="f" strokeweight="2pt"/>
            </w:pict>
          </mc:Fallback>
        </mc:AlternateContent>
      </w:r>
    </w:p>
    <w:sectPr w:rsidR="00DA4076" w:rsidRPr="00974576" w:rsidSect="007100F0">
      <w:headerReference w:type="default" r:id="rId31"/>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3C19F801" w:rsidR="00CB22A1" w:rsidRDefault="00CB22A1" w:rsidP="00DF2924">
    <w:pPr>
      <w:pStyle w:val="Footer"/>
      <w:spacing w:after="120" w:line="312" w:lineRule="auto"/>
      <w:ind w:left="-624"/>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4CEC1DA6" w:rsidR="00CB22A1" w:rsidRDefault="00CB22A1" w:rsidP="0093125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778032F4" w:rsidR="003F1342" w:rsidRDefault="003F1342" w:rsidP="0093125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0C62672E" w:rsidR="003F1342" w:rsidRDefault="003F1342" w:rsidP="005D45CA">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6BF9434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8800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6BF9434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8800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0373432" w:rsidR="00CB22A1" w:rsidRPr="004D562B" w:rsidRDefault="004E584A" w:rsidP="00502FAD">
                          <w:pPr>
                            <w:jc w:val="left"/>
                            <w:rPr>
                              <w:color w:val="0D0D0D"/>
                              <w:sz w:val="16"/>
                              <w:szCs w:val="16"/>
                            </w:rPr>
                          </w:pPr>
                          <w:r w:rsidRPr="004E584A">
                            <w:rPr>
                              <w:rFonts w:ascii="Tahoma" w:hAnsi="Tahoma" w:cs="Tahoma"/>
                              <w:color w:val="0D0D0D" w:themeColor="text1" w:themeTint="F2"/>
                              <w:sz w:val="16"/>
                              <w:szCs w:val="16"/>
                              <w:rtl/>
                            </w:rPr>
                            <w:t>הסכם ההפעלה עם אגד והשינוי המבני שלה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00373432" w:rsidR="00CB22A1" w:rsidRPr="004D562B" w:rsidRDefault="004E584A" w:rsidP="00502FAD">
                    <w:pPr>
                      <w:jc w:val="left"/>
                      <w:rPr>
                        <w:color w:val="0D0D0D"/>
                        <w:sz w:val="16"/>
                        <w:szCs w:val="16"/>
                      </w:rPr>
                    </w:pPr>
                    <w:r w:rsidRPr="004E584A">
                      <w:rPr>
                        <w:rFonts w:ascii="Tahoma" w:hAnsi="Tahoma" w:cs="Tahoma"/>
                        <w:color w:val="0D0D0D" w:themeColor="text1" w:themeTint="F2"/>
                        <w:sz w:val="16"/>
                        <w:szCs w:val="16"/>
                        <w:rtl/>
                      </w:rPr>
                      <w:t>הסכם ההפעלה עם אגד והשינוי המבני שלה</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39"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BnNmRdcAgAAwQ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738D531F" w:rsidR="00442EF9" w:rsidRPr="009B7D1B" w:rsidRDefault="00442EF9" w:rsidP="004E584A">
                          <w:pPr>
                            <w:pStyle w:val="Bodytext70"/>
                            <w:shd w:val="clear" w:color="auto" w:fill="003060"/>
                            <w:rPr>
                              <w:rFonts w:ascii="Tahoma" w:hAnsi="Tahoma" w:cs="Tahoma"/>
                              <w:sz w:val="24"/>
                              <w:szCs w:val="24"/>
                              <w:rtl/>
                            </w:rPr>
                          </w:pPr>
                          <w:r>
                            <w:rPr>
                              <w:rStyle w:val="Bodytext7NotBoldExact"/>
                              <w:rFonts w:hint="cs"/>
                              <w:rtl/>
                            </w:rPr>
                            <w:t>....</w:t>
                          </w:r>
                          <w:r w:rsidRPr="00032AED">
                            <w:rPr>
                              <w:rFonts w:hint="cs"/>
                              <w:rtl/>
                            </w:rPr>
                            <w:t>ה</w:t>
                          </w:r>
                          <w:r w:rsidRPr="00032AED">
                            <w:rPr>
                              <w:rFonts w:ascii="Tahoma" w:hAnsi="Tahoma" w:cs="Tahoma" w:hint="cs"/>
                              <w:b/>
                              <w:bCs/>
                              <w:rtl/>
                            </w:rPr>
                            <w:t xml:space="preserve">                                     </w:t>
                          </w:r>
                          <w:r w:rsidR="00032AED" w:rsidRPr="00032AED">
                            <w:rPr>
                              <w:rFonts w:ascii="Tahoma" w:hAnsi="Tahoma" w:cs="Tahoma" w:hint="cs"/>
                              <w:rtl/>
                            </w:rPr>
                            <w:t xml:space="preserve">תקציר </w:t>
                          </w:r>
                          <w:r w:rsidRPr="00032AED">
                            <w:rPr>
                              <w:rFonts w:ascii="Tahoma" w:hAnsi="Tahoma" w:cs="Tahoma" w:hint="cs"/>
                              <w:rtl/>
                            </w:rPr>
                            <w:t xml:space="preserve"> | </w:t>
                          </w:r>
                          <w:r w:rsidRPr="00032AED">
                            <w:rPr>
                              <w:rFonts w:ascii="Tahoma" w:hAnsi="Tahoma" w:cs="Tahoma" w:hint="cs"/>
                              <w:b/>
                              <w:bCs/>
                              <w:rtl/>
                            </w:rPr>
                            <w:t xml:space="preserve"> </w:t>
                          </w:r>
                          <w:r w:rsidR="004E584A" w:rsidRPr="00803484">
                            <w:rPr>
                              <w:rFonts w:ascii="Tahoma" w:hAnsi="Tahoma" w:cs="Tahoma"/>
                              <w:b/>
                              <w:bCs/>
                              <w:sz w:val="24"/>
                              <w:szCs w:val="24"/>
                              <w:rtl/>
                            </w:rPr>
                            <w:t>הסכם ההפעלה עם אגד והשינוי המבני שלה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91FD787" id="_x0000_t202" coordsize="21600,21600" o:spt="202" path="m,l,21600r21600,l21600,xe">
              <v:stroke joinstyle="miter"/>
              <v:path gradientshapeok="t" o:connecttype="rect"/>
            </v:shapetype>
            <v:shape id="Text Box 39" o:spid="_x0000_s1040"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xXGCvw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4EE6839C" w14:textId="738D531F" w:rsidR="00442EF9" w:rsidRPr="009B7D1B" w:rsidRDefault="00442EF9" w:rsidP="004E584A">
                    <w:pPr>
                      <w:pStyle w:val="Bodytext70"/>
                      <w:shd w:val="clear" w:color="auto" w:fill="003060"/>
                      <w:rPr>
                        <w:rFonts w:ascii="Tahoma" w:hAnsi="Tahoma" w:cs="Tahoma"/>
                        <w:sz w:val="24"/>
                        <w:szCs w:val="24"/>
                        <w:rtl/>
                      </w:rPr>
                    </w:pPr>
                    <w:r>
                      <w:rPr>
                        <w:rStyle w:val="Bodytext7NotBoldExact"/>
                        <w:rFonts w:hint="cs"/>
                        <w:rtl/>
                      </w:rPr>
                      <w:t>....</w:t>
                    </w:r>
                    <w:r w:rsidRPr="00032AED">
                      <w:rPr>
                        <w:rFonts w:hint="cs"/>
                        <w:rtl/>
                      </w:rPr>
                      <w:t>ה</w:t>
                    </w:r>
                    <w:r w:rsidRPr="00032AED">
                      <w:rPr>
                        <w:rFonts w:ascii="Tahoma" w:hAnsi="Tahoma" w:cs="Tahoma" w:hint="cs"/>
                        <w:b/>
                        <w:bCs/>
                        <w:rtl/>
                      </w:rPr>
                      <w:t xml:space="preserve">                                     </w:t>
                    </w:r>
                    <w:r w:rsidR="00032AED" w:rsidRPr="00032AED">
                      <w:rPr>
                        <w:rFonts w:ascii="Tahoma" w:hAnsi="Tahoma" w:cs="Tahoma" w:hint="cs"/>
                        <w:rtl/>
                      </w:rPr>
                      <w:t xml:space="preserve">תקציר </w:t>
                    </w:r>
                    <w:r w:rsidRPr="00032AED">
                      <w:rPr>
                        <w:rFonts w:ascii="Tahoma" w:hAnsi="Tahoma" w:cs="Tahoma" w:hint="cs"/>
                        <w:rtl/>
                      </w:rPr>
                      <w:t xml:space="preserve"> | </w:t>
                    </w:r>
                    <w:r w:rsidRPr="00032AED">
                      <w:rPr>
                        <w:rFonts w:ascii="Tahoma" w:hAnsi="Tahoma" w:cs="Tahoma" w:hint="cs"/>
                        <w:b/>
                        <w:bCs/>
                        <w:rtl/>
                      </w:rPr>
                      <w:t xml:space="preserve"> </w:t>
                    </w:r>
                    <w:r w:rsidR="004E584A" w:rsidRPr="00803484">
                      <w:rPr>
                        <w:rFonts w:ascii="Tahoma" w:hAnsi="Tahoma" w:cs="Tahoma"/>
                        <w:b/>
                        <w:bCs/>
                        <w:sz w:val="24"/>
                        <w:szCs w:val="24"/>
                        <w:rtl/>
                      </w:rPr>
                      <w:t>הסכם ההפעלה עם אגד והשינוי המבני שלה</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5626D186"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88005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9524" id="_x0000_t202" coordsize="21600,21600" o:spt="202" path="m,l,21600r21600,l21600,xe">
              <v:stroke joinstyle="miter"/>
              <v:path gradientshapeok="t" o:connecttype="rect"/>
            </v:shapetype>
            <v:shape id="_x0000_s1041"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sI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CXH4sILQIAAEwEAAAOAAAAAAAAAAAAAAAAAC4CAABk&#10;cnMvZTJvRG9jLnhtbFBLAQItABQABgAIAAAAIQDjSolO3wAAAAgBAAAPAAAAAAAAAAAAAAAAAIcE&#10;AABkcnMvZG93bnJldi54bWxQSwUGAAAAAAQABADzAAAAkwUAAAAA&#10;" strokecolor="white [3212]">
              <v:textbox>
                <w:txbxContent>
                  <w:p w14:paraId="7C53E391" w14:textId="5626D186"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w:t>
                    </w:r>
                    <w:r w:rsidR="00470C3F">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88005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C90" w14:textId="77777777" w:rsidR="00722A20" w:rsidRDefault="00722A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4800" behindDoc="1" locked="0" layoutInCell="1" allowOverlap="1" wp14:anchorId="7DF30CA0" wp14:editId="7038453E">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0CA0" id="_x0000_t202" coordsize="21600,21600" o:spt="202" path="m,l,21600r21600,l21600,xe">
              <v:stroke joinstyle="miter"/>
              <v:path gradientshapeok="t" o:connecttype="rect"/>
            </v:shapetype>
            <v:shape id="Text Box 609073482" o:spid="_x0000_s1042" type="#_x0000_t202" style="position:absolute;left:0;text-align:left;margin-left:-75.15pt;margin-top:-82.8pt;width:510.25pt;height:708.6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DL4y9GQCAADQBAAADgAAAAAAAAAAAAAAAAAuAgAA&#10;ZHJzL2Uyb0RvYy54bWxQSwECLQAUAAYACAAAACEAEql3oOIAAAAOAQAADwAAAAAAAAAAAAAAAAC+&#10;BAAAZHJzL2Rvd25yZXYueG1sUEsFBgAAAAAEAAQA8wAAAM0FAAAAAA==&#10;" filled="f" strokecolor="#a5a5a5 [2092]" strokeweight=".25pt">
              <v:stroke dashstyle="longDash"/>
              <v:textbo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1728" behindDoc="0" locked="0" layoutInCell="1" allowOverlap="1" wp14:anchorId="39C543C0" wp14:editId="5FC4E9B3">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B552DE1" w14:textId="19AEC9B8" w:rsidR="00722A20" w:rsidRPr="009B7D1B" w:rsidRDefault="00722A20" w:rsidP="004E584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4E584A" w:rsidRPr="004E584A">
                            <w:rPr>
                              <w:rFonts w:ascii="Tahoma" w:hAnsi="Tahoma" w:cs="Tahoma"/>
                              <w:b/>
                              <w:bCs/>
                              <w:rtl/>
                            </w:rPr>
                            <w:t>הסכם ההפעלה עם אגד והשינוי המבני שלה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39C543C0" id="Text Box 609073483" o:spid="_x0000_s1043" type="#_x0000_t202" style="position:absolute;left:0;text-align:left;margin-left:-54.9pt;margin-top:-46.95pt;width:23pt;height:62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3rb8rAkCAAAj&#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6B552DE1" w14:textId="19AEC9B8" w:rsidR="00722A20" w:rsidRPr="009B7D1B" w:rsidRDefault="00722A20" w:rsidP="004E584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4E584A" w:rsidRPr="004E584A">
                      <w:rPr>
                        <w:rFonts w:ascii="Tahoma" w:hAnsi="Tahoma" w:cs="Tahoma"/>
                        <w:b/>
                        <w:bCs/>
                        <w:rtl/>
                      </w:rPr>
                      <w:t>הסכם ההפעלה עם אגד והשינוי המבני שלה</w:t>
                    </w:r>
                  </w:p>
                </w:txbxContent>
              </v:textbox>
              <w10:wrap type="square"/>
            </v:shape>
          </w:pict>
        </mc:Fallback>
      </mc:AlternateContent>
    </w:r>
  </w:p>
  <w:p w14:paraId="13AEE13D" w14:textId="77777777" w:rsidR="00722A20" w:rsidRDefault="00722A20" w:rsidP="001C5C9D">
    <w:pPr>
      <w:pStyle w:val="Header"/>
      <w:tabs>
        <w:tab w:val="clear" w:pos="4153"/>
        <w:tab w:val="clear" w:pos="8306"/>
        <w:tab w:val="left" w:pos="4530"/>
      </w:tabs>
      <w:jc w:val="left"/>
      <w:rPr>
        <w:rtl/>
      </w:rPr>
    </w:pPr>
    <w:r>
      <w:rPr>
        <w:rtl/>
      </w:rPr>
      <w:tab/>
    </w:r>
  </w:p>
  <w:p w14:paraId="37039B3B" w14:textId="77777777" w:rsidR="00722A20" w:rsidRDefault="00722A2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22752" behindDoc="0" locked="0" layoutInCell="1" allowOverlap="1" wp14:anchorId="204666C6" wp14:editId="47E17F3D">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DCDF6B7" w14:textId="162C63BD"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88005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666C6" id="_x0000_t202" coordsize="21600,21600" o:spt="202" path="m,l,21600r21600,l21600,xe">
              <v:stroke joinstyle="miter"/>
              <v:path gradientshapeok="t" o:connecttype="rect"/>
            </v:shapetype>
            <v:shape id="_x0000_s1044" type="#_x0000_t202" style="position:absolute;left:0;text-align:left;margin-left:25.5pt;margin-top:28.35pt;width:254.25pt;height:20.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" strokecolor="white [3212]">
              <v:textbox>
                <w:txbxContent>
                  <w:p w14:paraId="3DCDF6B7" w14:textId="162C63BD"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88005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23776" behindDoc="0" locked="0" layoutInCell="1" allowOverlap="1" wp14:anchorId="30DB21AD" wp14:editId="61A7AD82">
          <wp:simplePos x="0" y="0"/>
          <wp:positionH relativeFrom="column">
            <wp:posOffset>-17780</wp:posOffset>
          </wp:positionH>
          <wp:positionV relativeFrom="paragraph">
            <wp:posOffset>380365</wp:posOffset>
          </wp:positionV>
          <wp:extent cx="343535" cy="240030"/>
          <wp:effectExtent l="0" t="0" r="0" b="7620"/>
          <wp:wrapSquare wrapText="bothSides"/>
          <wp:docPr id="609073486" name="Picture 60907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78B82EE3" wp14:editId="4CEBB26D">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FD85" id="Straight Connector 60907348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DLceAUGAgAAYAQAAA4A&#10;AAAAAAAAAAAAAAAALgIAAGRycy9lMm9Eb2MueG1sUEsBAi0AFAAGAAgAAAAhAPlhnpreAAAACwEA&#10;AA8AAAAAAAAAAAAAAAAAYAQAAGRycy9kb3ducmV2LnhtbFBLBQYAAAAABAAEAPMAAABrBQAAAAA=&#10;" strokecolor="#0d0d0d [3069]" strokeweight=".25pt"/>
          </w:pict>
        </mc:Fallback>
      </mc:AlternateContent>
    </w:r>
  </w:p>
  <w:p w14:paraId="2066F782" w14:textId="77777777" w:rsidR="00722A20" w:rsidRDefault="00722A20" w:rsidP="001C5C9D">
    <w:pPr>
      <w:pStyle w:val="Header"/>
      <w:tabs>
        <w:tab w:val="clear" w:pos="4153"/>
        <w:tab w:val="clear" w:pos="8306"/>
        <w:tab w:val="center" w:pos="3685"/>
      </w:tabs>
      <w:jc w:val="left"/>
      <w:rPr>
        <w:rtl/>
      </w:rPr>
    </w:pPr>
  </w:p>
  <w:p w14:paraId="2931FE3C" w14:textId="77777777" w:rsidR="00722A20" w:rsidRPr="001526AC" w:rsidRDefault="00722A2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1"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A8347844"/>
    <w:lvl w:ilvl="0" w:tplc="65281C08">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B4F34"/>
    <w:multiLevelType w:val="hybridMultilevel"/>
    <w:tmpl w:val="2E0AB62A"/>
    <w:lvl w:ilvl="0" w:tplc="24460D38">
      <w:start w:val="1"/>
      <w:numFmt w:val="decimal"/>
      <w:lvlText w:val="%1."/>
      <w:lvlJc w:val="left"/>
      <w:pPr>
        <w:ind w:left="720" w:hanging="360"/>
      </w:pPr>
      <w:rPr>
        <w:rFonts w:hint="default"/>
      </w:rPr>
    </w:lvl>
    <w:lvl w:ilvl="1" w:tplc="8D9C46C4" w:tentative="1">
      <w:start w:val="1"/>
      <w:numFmt w:val="lowerLetter"/>
      <w:lvlText w:val="%2."/>
      <w:lvlJc w:val="left"/>
      <w:pPr>
        <w:ind w:left="1440" w:hanging="360"/>
      </w:pPr>
    </w:lvl>
    <w:lvl w:ilvl="2" w:tplc="5B984ED6" w:tentative="1">
      <w:start w:val="1"/>
      <w:numFmt w:val="lowerRoman"/>
      <w:lvlText w:val="%3."/>
      <w:lvlJc w:val="right"/>
      <w:pPr>
        <w:ind w:left="2160" w:hanging="180"/>
      </w:pPr>
    </w:lvl>
    <w:lvl w:ilvl="3" w:tplc="CF3480F6" w:tentative="1">
      <w:start w:val="1"/>
      <w:numFmt w:val="decimal"/>
      <w:lvlText w:val="%4."/>
      <w:lvlJc w:val="left"/>
      <w:pPr>
        <w:ind w:left="2880" w:hanging="360"/>
      </w:pPr>
    </w:lvl>
    <w:lvl w:ilvl="4" w:tplc="D04C7F24" w:tentative="1">
      <w:start w:val="1"/>
      <w:numFmt w:val="lowerLetter"/>
      <w:lvlText w:val="%5."/>
      <w:lvlJc w:val="left"/>
      <w:pPr>
        <w:ind w:left="3600" w:hanging="360"/>
      </w:pPr>
    </w:lvl>
    <w:lvl w:ilvl="5" w:tplc="EB8E2634" w:tentative="1">
      <w:start w:val="1"/>
      <w:numFmt w:val="lowerRoman"/>
      <w:lvlText w:val="%6."/>
      <w:lvlJc w:val="right"/>
      <w:pPr>
        <w:ind w:left="4320" w:hanging="180"/>
      </w:pPr>
    </w:lvl>
    <w:lvl w:ilvl="6" w:tplc="FF2E46F8" w:tentative="1">
      <w:start w:val="1"/>
      <w:numFmt w:val="decimal"/>
      <w:lvlText w:val="%7."/>
      <w:lvlJc w:val="left"/>
      <w:pPr>
        <w:ind w:left="5040" w:hanging="360"/>
      </w:pPr>
    </w:lvl>
    <w:lvl w:ilvl="7" w:tplc="FB522D6E" w:tentative="1">
      <w:start w:val="1"/>
      <w:numFmt w:val="lowerLetter"/>
      <w:lvlText w:val="%8."/>
      <w:lvlJc w:val="left"/>
      <w:pPr>
        <w:ind w:left="5760" w:hanging="360"/>
      </w:pPr>
    </w:lvl>
    <w:lvl w:ilvl="8" w:tplc="516E7BD6" w:tentative="1">
      <w:start w:val="1"/>
      <w:numFmt w:val="lowerRoman"/>
      <w:lvlText w:val="%9."/>
      <w:lvlJc w:val="right"/>
      <w:pPr>
        <w:ind w:left="6480" w:hanging="180"/>
      </w:pPr>
    </w:lvl>
  </w:abstractNum>
  <w:abstractNum w:abstractNumId="10" w15:restartNumberingAfterBreak="0">
    <w:nsid w:val="37422F9F"/>
    <w:multiLevelType w:val="hybridMultilevel"/>
    <w:tmpl w:val="0C7AFAF6"/>
    <w:lvl w:ilvl="0" w:tplc="84809712">
      <w:start w:val="1"/>
      <w:numFmt w:val="bullet"/>
      <w:lvlText w:val=""/>
      <w:lvlJc w:val="left"/>
      <w:pPr>
        <w:ind w:left="360" w:hanging="360"/>
      </w:pPr>
      <w:rPr>
        <w:rFonts w:ascii="Symbol" w:hAnsi="Symbol" w:hint="default"/>
      </w:rPr>
    </w:lvl>
    <w:lvl w:ilvl="1" w:tplc="F6BAD5DE" w:tentative="1">
      <w:start w:val="1"/>
      <w:numFmt w:val="bullet"/>
      <w:lvlText w:val="o"/>
      <w:lvlJc w:val="left"/>
      <w:pPr>
        <w:ind w:left="1080" w:hanging="360"/>
      </w:pPr>
      <w:rPr>
        <w:rFonts w:ascii="Courier New" w:hAnsi="Courier New" w:cs="Courier New" w:hint="default"/>
      </w:rPr>
    </w:lvl>
    <w:lvl w:ilvl="2" w:tplc="31B65DE6" w:tentative="1">
      <w:start w:val="1"/>
      <w:numFmt w:val="bullet"/>
      <w:lvlText w:val=""/>
      <w:lvlJc w:val="left"/>
      <w:pPr>
        <w:ind w:left="1800" w:hanging="360"/>
      </w:pPr>
      <w:rPr>
        <w:rFonts w:ascii="Wingdings" w:hAnsi="Wingdings" w:hint="default"/>
      </w:rPr>
    </w:lvl>
    <w:lvl w:ilvl="3" w:tplc="9EA8161C" w:tentative="1">
      <w:start w:val="1"/>
      <w:numFmt w:val="bullet"/>
      <w:lvlText w:val=""/>
      <w:lvlJc w:val="left"/>
      <w:pPr>
        <w:ind w:left="2520" w:hanging="360"/>
      </w:pPr>
      <w:rPr>
        <w:rFonts w:ascii="Symbol" w:hAnsi="Symbol" w:hint="default"/>
      </w:rPr>
    </w:lvl>
    <w:lvl w:ilvl="4" w:tplc="85BC2094" w:tentative="1">
      <w:start w:val="1"/>
      <w:numFmt w:val="bullet"/>
      <w:lvlText w:val="o"/>
      <w:lvlJc w:val="left"/>
      <w:pPr>
        <w:ind w:left="3240" w:hanging="360"/>
      </w:pPr>
      <w:rPr>
        <w:rFonts w:ascii="Courier New" w:hAnsi="Courier New" w:cs="Courier New" w:hint="default"/>
      </w:rPr>
    </w:lvl>
    <w:lvl w:ilvl="5" w:tplc="4CA49AB4" w:tentative="1">
      <w:start w:val="1"/>
      <w:numFmt w:val="bullet"/>
      <w:lvlText w:val=""/>
      <w:lvlJc w:val="left"/>
      <w:pPr>
        <w:ind w:left="3960" w:hanging="360"/>
      </w:pPr>
      <w:rPr>
        <w:rFonts w:ascii="Wingdings" w:hAnsi="Wingdings" w:hint="default"/>
      </w:rPr>
    </w:lvl>
    <w:lvl w:ilvl="6" w:tplc="666E0B62" w:tentative="1">
      <w:start w:val="1"/>
      <w:numFmt w:val="bullet"/>
      <w:lvlText w:val=""/>
      <w:lvlJc w:val="left"/>
      <w:pPr>
        <w:ind w:left="4680" w:hanging="360"/>
      </w:pPr>
      <w:rPr>
        <w:rFonts w:ascii="Symbol" w:hAnsi="Symbol" w:hint="default"/>
      </w:rPr>
    </w:lvl>
    <w:lvl w:ilvl="7" w:tplc="1390C3A8" w:tentative="1">
      <w:start w:val="1"/>
      <w:numFmt w:val="bullet"/>
      <w:lvlText w:val="o"/>
      <w:lvlJc w:val="left"/>
      <w:pPr>
        <w:ind w:left="5400" w:hanging="360"/>
      </w:pPr>
      <w:rPr>
        <w:rFonts w:ascii="Courier New" w:hAnsi="Courier New" w:cs="Courier New" w:hint="default"/>
      </w:rPr>
    </w:lvl>
    <w:lvl w:ilvl="8" w:tplc="9E70AA64" w:tentative="1">
      <w:start w:val="1"/>
      <w:numFmt w:val="bullet"/>
      <w:lvlText w:val=""/>
      <w:lvlJc w:val="left"/>
      <w:pPr>
        <w:ind w:left="6120" w:hanging="360"/>
      </w:pPr>
      <w:rPr>
        <w:rFonts w:ascii="Wingdings" w:hAnsi="Wingdings"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271312E"/>
    <w:multiLevelType w:val="hybridMultilevel"/>
    <w:tmpl w:val="6DB2B9DC"/>
    <w:lvl w:ilvl="0" w:tplc="4F78FCA4">
      <w:start w:val="1"/>
      <w:numFmt w:val="bullet"/>
      <w:lvlText w:val=""/>
      <w:lvlJc w:val="left"/>
      <w:pPr>
        <w:ind w:left="227" w:hanging="227"/>
      </w:pPr>
      <w:rPr>
        <w:rFonts w:ascii="Symbol" w:hAnsi="Symbol" w:hint="default"/>
      </w:rPr>
    </w:lvl>
    <w:lvl w:ilvl="1" w:tplc="E48EAF84">
      <w:start w:val="1"/>
      <w:numFmt w:val="bullet"/>
      <w:lvlText w:val="o"/>
      <w:lvlJc w:val="left"/>
      <w:pPr>
        <w:ind w:left="1080" w:hanging="360"/>
      </w:pPr>
      <w:rPr>
        <w:rFonts w:ascii="Courier New" w:hAnsi="Courier New" w:cs="Courier New" w:hint="default"/>
      </w:rPr>
    </w:lvl>
    <w:lvl w:ilvl="2" w:tplc="E7621AEA" w:tentative="1">
      <w:start w:val="1"/>
      <w:numFmt w:val="bullet"/>
      <w:lvlText w:val=""/>
      <w:lvlJc w:val="left"/>
      <w:pPr>
        <w:ind w:left="1800" w:hanging="360"/>
      </w:pPr>
      <w:rPr>
        <w:rFonts w:ascii="Wingdings" w:hAnsi="Wingdings" w:hint="default"/>
      </w:rPr>
    </w:lvl>
    <w:lvl w:ilvl="3" w:tplc="EE6EB2DE">
      <w:start w:val="1"/>
      <w:numFmt w:val="bullet"/>
      <w:lvlText w:val=""/>
      <w:lvlJc w:val="left"/>
      <w:pPr>
        <w:ind w:left="2520" w:hanging="360"/>
      </w:pPr>
      <w:rPr>
        <w:rFonts w:ascii="Symbol" w:hAnsi="Symbol" w:hint="default"/>
      </w:rPr>
    </w:lvl>
    <w:lvl w:ilvl="4" w:tplc="77021474" w:tentative="1">
      <w:start w:val="1"/>
      <w:numFmt w:val="bullet"/>
      <w:lvlText w:val="o"/>
      <w:lvlJc w:val="left"/>
      <w:pPr>
        <w:ind w:left="3240" w:hanging="360"/>
      </w:pPr>
      <w:rPr>
        <w:rFonts w:ascii="Courier New" w:hAnsi="Courier New" w:cs="Courier New" w:hint="default"/>
      </w:rPr>
    </w:lvl>
    <w:lvl w:ilvl="5" w:tplc="0ED67210" w:tentative="1">
      <w:start w:val="1"/>
      <w:numFmt w:val="bullet"/>
      <w:lvlText w:val=""/>
      <w:lvlJc w:val="left"/>
      <w:pPr>
        <w:ind w:left="3960" w:hanging="360"/>
      </w:pPr>
      <w:rPr>
        <w:rFonts w:ascii="Wingdings" w:hAnsi="Wingdings" w:hint="default"/>
      </w:rPr>
    </w:lvl>
    <w:lvl w:ilvl="6" w:tplc="6E6C95B6" w:tentative="1">
      <w:start w:val="1"/>
      <w:numFmt w:val="bullet"/>
      <w:lvlText w:val=""/>
      <w:lvlJc w:val="left"/>
      <w:pPr>
        <w:ind w:left="4680" w:hanging="360"/>
      </w:pPr>
      <w:rPr>
        <w:rFonts w:ascii="Symbol" w:hAnsi="Symbol" w:hint="default"/>
      </w:rPr>
    </w:lvl>
    <w:lvl w:ilvl="7" w:tplc="F63A9972" w:tentative="1">
      <w:start w:val="1"/>
      <w:numFmt w:val="bullet"/>
      <w:lvlText w:val="o"/>
      <w:lvlJc w:val="left"/>
      <w:pPr>
        <w:ind w:left="5400" w:hanging="360"/>
      </w:pPr>
      <w:rPr>
        <w:rFonts w:ascii="Courier New" w:hAnsi="Courier New" w:cs="Courier New" w:hint="default"/>
      </w:rPr>
    </w:lvl>
    <w:lvl w:ilvl="8" w:tplc="1666C71E" w:tentative="1">
      <w:start w:val="1"/>
      <w:numFmt w:val="bullet"/>
      <w:lvlText w:val=""/>
      <w:lvlJc w:val="left"/>
      <w:pPr>
        <w:ind w:left="6120" w:hanging="360"/>
      </w:pPr>
      <w:rPr>
        <w:rFonts w:ascii="Wingdings" w:hAnsi="Wingdings" w:hint="default"/>
      </w:rPr>
    </w:lvl>
  </w:abstractNum>
  <w:abstractNum w:abstractNumId="14"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4BDF765D"/>
    <w:multiLevelType w:val="multilevel"/>
    <w:tmpl w:val="9A5AEE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56751009"/>
    <w:multiLevelType w:val="multilevel"/>
    <w:tmpl w:val="083AF83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5BB6"/>
    <w:multiLevelType w:val="hybridMultilevel"/>
    <w:tmpl w:val="E4DC5532"/>
    <w:lvl w:ilvl="0" w:tplc="B778F18C">
      <w:start w:val="1"/>
      <w:numFmt w:val="bullet"/>
      <w:pStyle w:val="7104BULLETS"/>
      <w:lvlText w:val="o"/>
      <w:lvlJc w:val="left"/>
      <w:pPr>
        <w:ind w:left="720" w:hanging="360"/>
      </w:pPr>
      <w:rPr>
        <w:rFonts w:ascii="Courier New" w:hAnsi="Courier New" w:cs="Courier New"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F5E94"/>
    <w:multiLevelType w:val="hybridMultilevel"/>
    <w:tmpl w:val="AD0ACC70"/>
    <w:lvl w:ilvl="0" w:tplc="173C9DFA">
      <w:start w:val="1"/>
      <w:numFmt w:val="bullet"/>
      <w:lvlText w:val=""/>
      <w:lvlJc w:val="left"/>
      <w:pPr>
        <w:ind w:left="360" w:hanging="360"/>
      </w:pPr>
      <w:rPr>
        <w:rFonts w:ascii="Symbol" w:hAnsi="Symbol" w:hint="default"/>
      </w:rPr>
    </w:lvl>
    <w:lvl w:ilvl="1" w:tplc="F4FE55A0">
      <w:start w:val="1"/>
      <w:numFmt w:val="bullet"/>
      <w:lvlText w:val="o"/>
      <w:lvlJc w:val="left"/>
      <w:pPr>
        <w:ind w:left="454" w:hanging="227"/>
      </w:pPr>
      <w:rPr>
        <w:rFonts w:ascii="Courier New" w:hAnsi="Courier New" w:hint="default"/>
      </w:rPr>
    </w:lvl>
    <w:lvl w:ilvl="2" w:tplc="49FE17EA" w:tentative="1">
      <w:start w:val="1"/>
      <w:numFmt w:val="bullet"/>
      <w:lvlText w:val=""/>
      <w:lvlJc w:val="left"/>
      <w:pPr>
        <w:ind w:left="1800" w:hanging="360"/>
      </w:pPr>
      <w:rPr>
        <w:rFonts w:ascii="Wingdings" w:hAnsi="Wingdings" w:hint="default"/>
      </w:rPr>
    </w:lvl>
    <w:lvl w:ilvl="3" w:tplc="E02C8F2C">
      <w:start w:val="1"/>
      <w:numFmt w:val="bullet"/>
      <w:lvlText w:val=""/>
      <w:lvlJc w:val="left"/>
      <w:pPr>
        <w:ind w:left="2520" w:hanging="360"/>
      </w:pPr>
      <w:rPr>
        <w:rFonts w:ascii="Symbol" w:hAnsi="Symbol" w:hint="default"/>
      </w:rPr>
    </w:lvl>
    <w:lvl w:ilvl="4" w:tplc="03FC3A02" w:tentative="1">
      <w:start w:val="1"/>
      <w:numFmt w:val="bullet"/>
      <w:lvlText w:val="o"/>
      <w:lvlJc w:val="left"/>
      <w:pPr>
        <w:ind w:left="3240" w:hanging="360"/>
      </w:pPr>
      <w:rPr>
        <w:rFonts w:ascii="Courier New" w:hAnsi="Courier New" w:cs="Courier New" w:hint="default"/>
      </w:rPr>
    </w:lvl>
    <w:lvl w:ilvl="5" w:tplc="B9FEED1A" w:tentative="1">
      <w:start w:val="1"/>
      <w:numFmt w:val="bullet"/>
      <w:lvlText w:val=""/>
      <w:lvlJc w:val="left"/>
      <w:pPr>
        <w:ind w:left="3960" w:hanging="360"/>
      </w:pPr>
      <w:rPr>
        <w:rFonts w:ascii="Wingdings" w:hAnsi="Wingdings" w:hint="default"/>
      </w:rPr>
    </w:lvl>
    <w:lvl w:ilvl="6" w:tplc="C1489A8A" w:tentative="1">
      <w:start w:val="1"/>
      <w:numFmt w:val="bullet"/>
      <w:lvlText w:val=""/>
      <w:lvlJc w:val="left"/>
      <w:pPr>
        <w:ind w:left="4680" w:hanging="360"/>
      </w:pPr>
      <w:rPr>
        <w:rFonts w:ascii="Symbol" w:hAnsi="Symbol" w:hint="default"/>
      </w:rPr>
    </w:lvl>
    <w:lvl w:ilvl="7" w:tplc="16B8CEB6" w:tentative="1">
      <w:start w:val="1"/>
      <w:numFmt w:val="bullet"/>
      <w:lvlText w:val="o"/>
      <w:lvlJc w:val="left"/>
      <w:pPr>
        <w:ind w:left="5400" w:hanging="360"/>
      </w:pPr>
      <w:rPr>
        <w:rFonts w:ascii="Courier New" w:hAnsi="Courier New" w:cs="Courier New" w:hint="default"/>
      </w:rPr>
    </w:lvl>
    <w:lvl w:ilvl="8" w:tplc="D47425DA" w:tentative="1">
      <w:start w:val="1"/>
      <w:numFmt w:val="bullet"/>
      <w:lvlText w:val=""/>
      <w:lvlJc w:val="left"/>
      <w:pPr>
        <w:ind w:left="6120" w:hanging="360"/>
      </w:pPr>
      <w:rPr>
        <w:rFonts w:ascii="Wingdings" w:hAnsi="Wingdings" w:hint="default"/>
      </w:rPr>
    </w:lvl>
  </w:abstractNum>
  <w:abstractNum w:abstractNumId="24" w15:restartNumberingAfterBreak="0">
    <w:nsid w:val="6CD6188B"/>
    <w:multiLevelType w:val="hybridMultilevel"/>
    <w:tmpl w:val="47C26FA2"/>
    <w:lvl w:ilvl="0" w:tplc="79481F3C">
      <w:start w:val="1"/>
      <w:numFmt w:val="bullet"/>
      <w:lvlText w:val=""/>
      <w:lvlJc w:val="left"/>
      <w:pPr>
        <w:ind w:left="227" w:hanging="227"/>
      </w:pPr>
      <w:rPr>
        <w:rFonts w:ascii="Symbol" w:hAnsi="Symbol" w:hint="default"/>
      </w:rPr>
    </w:lvl>
    <w:lvl w:ilvl="1" w:tplc="903E320A" w:tentative="1">
      <w:start w:val="1"/>
      <w:numFmt w:val="bullet"/>
      <w:lvlText w:val="o"/>
      <w:lvlJc w:val="left"/>
      <w:pPr>
        <w:ind w:left="1440" w:hanging="360"/>
      </w:pPr>
      <w:rPr>
        <w:rFonts w:ascii="Courier New" w:hAnsi="Courier New" w:cs="Courier New" w:hint="default"/>
      </w:rPr>
    </w:lvl>
    <w:lvl w:ilvl="2" w:tplc="262236D0" w:tentative="1">
      <w:start w:val="1"/>
      <w:numFmt w:val="bullet"/>
      <w:lvlText w:val=""/>
      <w:lvlJc w:val="left"/>
      <w:pPr>
        <w:ind w:left="2160" w:hanging="360"/>
      </w:pPr>
      <w:rPr>
        <w:rFonts w:ascii="Wingdings" w:hAnsi="Wingdings" w:hint="default"/>
      </w:rPr>
    </w:lvl>
    <w:lvl w:ilvl="3" w:tplc="22440030" w:tentative="1">
      <w:start w:val="1"/>
      <w:numFmt w:val="bullet"/>
      <w:lvlText w:val=""/>
      <w:lvlJc w:val="left"/>
      <w:pPr>
        <w:ind w:left="2880" w:hanging="360"/>
      </w:pPr>
      <w:rPr>
        <w:rFonts w:ascii="Symbol" w:hAnsi="Symbol" w:hint="default"/>
      </w:rPr>
    </w:lvl>
    <w:lvl w:ilvl="4" w:tplc="AAF2A34E" w:tentative="1">
      <w:start w:val="1"/>
      <w:numFmt w:val="bullet"/>
      <w:lvlText w:val="o"/>
      <w:lvlJc w:val="left"/>
      <w:pPr>
        <w:ind w:left="3600" w:hanging="360"/>
      </w:pPr>
      <w:rPr>
        <w:rFonts w:ascii="Courier New" w:hAnsi="Courier New" w:cs="Courier New" w:hint="default"/>
      </w:rPr>
    </w:lvl>
    <w:lvl w:ilvl="5" w:tplc="7F600EBE" w:tentative="1">
      <w:start w:val="1"/>
      <w:numFmt w:val="bullet"/>
      <w:lvlText w:val=""/>
      <w:lvlJc w:val="left"/>
      <w:pPr>
        <w:ind w:left="4320" w:hanging="360"/>
      </w:pPr>
      <w:rPr>
        <w:rFonts w:ascii="Wingdings" w:hAnsi="Wingdings" w:hint="default"/>
      </w:rPr>
    </w:lvl>
    <w:lvl w:ilvl="6" w:tplc="EF36919E" w:tentative="1">
      <w:start w:val="1"/>
      <w:numFmt w:val="bullet"/>
      <w:lvlText w:val=""/>
      <w:lvlJc w:val="left"/>
      <w:pPr>
        <w:ind w:left="5040" w:hanging="360"/>
      </w:pPr>
      <w:rPr>
        <w:rFonts w:ascii="Symbol" w:hAnsi="Symbol" w:hint="default"/>
      </w:rPr>
    </w:lvl>
    <w:lvl w:ilvl="7" w:tplc="CAE69162" w:tentative="1">
      <w:start w:val="1"/>
      <w:numFmt w:val="bullet"/>
      <w:lvlText w:val="o"/>
      <w:lvlJc w:val="left"/>
      <w:pPr>
        <w:ind w:left="5760" w:hanging="360"/>
      </w:pPr>
      <w:rPr>
        <w:rFonts w:ascii="Courier New" w:hAnsi="Courier New" w:cs="Courier New" w:hint="default"/>
      </w:rPr>
    </w:lvl>
    <w:lvl w:ilvl="8" w:tplc="E95AC226" w:tentative="1">
      <w:start w:val="1"/>
      <w:numFmt w:val="bullet"/>
      <w:lvlText w:val=""/>
      <w:lvlJc w:val="left"/>
      <w:pPr>
        <w:ind w:left="6480" w:hanging="360"/>
      </w:pPr>
      <w:rPr>
        <w:rFonts w:ascii="Wingdings" w:hAnsi="Wingdings" w:hint="default"/>
      </w:rPr>
    </w:lvl>
  </w:abstractNum>
  <w:abstractNum w:abstractNumId="2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7" w15:restartNumberingAfterBreak="0">
    <w:nsid w:val="7BE842B3"/>
    <w:multiLevelType w:val="multilevel"/>
    <w:tmpl w:val="0A0836A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12"/>
  </w:num>
  <w:num w:numId="3">
    <w:abstractNumId w:val="25"/>
  </w:num>
  <w:num w:numId="4">
    <w:abstractNumId w:val="19"/>
  </w:num>
  <w:num w:numId="5">
    <w:abstractNumId w:val="7"/>
  </w:num>
  <w:num w:numId="6">
    <w:abstractNumId w:val="11"/>
  </w:num>
  <w:num w:numId="7">
    <w:abstractNumId w:val="28"/>
  </w:num>
  <w:num w:numId="8">
    <w:abstractNumId w:val="0"/>
  </w:num>
  <w:num w:numId="9">
    <w:abstractNumId w:val="14"/>
  </w:num>
  <w:num w:numId="10">
    <w:abstractNumId w:val="3"/>
  </w:num>
  <w:num w:numId="11">
    <w:abstractNumId w:val="21"/>
  </w:num>
  <w:num w:numId="12">
    <w:abstractNumId w:val="2"/>
  </w:num>
  <w:num w:numId="13">
    <w:abstractNumId w:val="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num>
  <w:num w:numId="19">
    <w:abstractNumId w:val="22"/>
  </w:num>
  <w:num w:numId="20">
    <w:abstractNumId w:val="8"/>
  </w:num>
  <w:num w:numId="21">
    <w:abstractNumId w:val="13"/>
  </w:num>
  <w:num w:numId="22">
    <w:abstractNumId w:val="23"/>
  </w:num>
  <w:num w:numId="23">
    <w:abstractNumId w:val="16"/>
  </w:num>
  <w:num w:numId="24">
    <w:abstractNumId w:val="9"/>
  </w:num>
  <w:num w:numId="25">
    <w:abstractNumId w:val="10"/>
  </w:num>
  <w:num w:numId="26">
    <w:abstractNumId w:val="27"/>
  </w:num>
  <w:num w:numId="27">
    <w:abstractNumId w:val="15"/>
  </w:num>
  <w:num w:numId="28">
    <w:abstractNumId w:val="24"/>
  </w:num>
  <w:num w:numId="29">
    <w:abstractNumId w:val="2"/>
  </w:num>
  <w:num w:numId="30">
    <w:abstractNumId w:val="2"/>
  </w:num>
  <w:num w:numId="31">
    <w:abstractNumId w:val="2"/>
  </w:num>
  <w:num w:numId="32">
    <w:abstractNumId w:val="2"/>
  </w:num>
  <w:num w:numId="33">
    <w:abstractNumId w:val="2"/>
  </w:num>
  <w:num w:numId="34">
    <w:abstractNumId w:val="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71B"/>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B59"/>
    <w:rsid w:val="000073E5"/>
    <w:rsid w:val="000073F3"/>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5DE2"/>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2AED"/>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5A3F"/>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770"/>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BF5"/>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4F8"/>
    <w:rsid w:val="0008345D"/>
    <w:rsid w:val="00083692"/>
    <w:rsid w:val="000837F2"/>
    <w:rsid w:val="00083FD0"/>
    <w:rsid w:val="00084E3A"/>
    <w:rsid w:val="00085086"/>
    <w:rsid w:val="00085A22"/>
    <w:rsid w:val="00085B99"/>
    <w:rsid w:val="000861BA"/>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A38"/>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C0242"/>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FBD"/>
    <w:rsid w:val="000E218C"/>
    <w:rsid w:val="000E2359"/>
    <w:rsid w:val="000E23EA"/>
    <w:rsid w:val="000E2688"/>
    <w:rsid w:val="000E2715"/>
    <w:rsid w:val="000E2AA4"/>
    <w:rsid w:val="000E2B2C"/>
    <w:rsid w:val="000E2E81"/>
    <w:rsid w:val="000E3022"/>
    <w:rsid w:val="000E35A5"/>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1F7"/>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2150C"/>
    <w:rsid w:val="00121682"/>
    <w:rsid w:val="00121EA1"/>
    <w:rsid w:val="0012279D"/>
    <w:rsid w:val="001239A8"/>
    <w:rsid w:val="001239E1"/>
    <w:rsid w:val="001243A4"/>
    <w:rsid w:val="001247BA"/>
    <w:rsid w:val="00124DC1"/>
    <w:rsid w:val="00125628"/>
    <w:rsid w:val="00125881"/>
    <w:rsid w:val="0012626C"/>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67"/>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1E"/>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6E0E"/>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5BC7"/>
    <w:rsid w:val="00195EBA"/>
    <w:rsid w:val="001960B4"/>
    <w:rsid w:val="00196FD4"/>
    <w:rsid w:val="0019725C"/>
    <w:rsid w:val="0019758B"/>
    <w:rsid w:val="00197B6F"/>
    <w:rsid w:val="00197B8A"/>
    <w:rsid w:val="00197CC1"/>
    <w:rsid w:val="001A0135"/>
    <w:rsid w:val="001A018B"/>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C7B4B"/>
    <w:rsid w:val="001D0073"/>
    <w:rsid w:val="001D1192"/>
    <w:rsid w:val="001D1437"/>
    <w:rsid w:val="001D223A"/>
    <w:rsid w:val="001D2243"/>
    <w:rsid w:val="001D2716"/>
    <w:rsid w:val="001D2793"/>
    <w:rsid w:val="001D2878"/>
    <w:rsid w:val="001D2F2A"/>
    <w:rsid w:val="001D3679"/>
    <w:rsid w:val="001D3CC2"/>
    <w:rsid w:val="001D461F"/>
    <w:rsid w:val="001D46D3"/>
    <w:rsid w:val="001D496D"/>
    <w:rsid w:val="001D5FD1"/>
    <w:rsid w:val="001D6714"/>
    <w:rsid w:val="001D69D0"/>
    <w:rsid w:val="001D713E"/>
    <w:rsid w:val="001D77E6"/>
    <w:rsid w:val="001E0A7D"/>
    <w:rsid w:val="001E0D0D"/>
    <w:rsid w:val="001E17EB"/>
    <w:rsid w:val="001E1AB2"/>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029"/>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45D"/>
    <w:rsid w:val="00207A16"/>
    <w:rsid w:val="00210326"/>
    <w:rsid w:val="0021058F"/>
    <w:rsid w:val="00210E7C"/>
    <w:rsid w:val="0021135F"/>
    <w:rsid w:val="0021150C"/>
    <w:rsid w:val="00211938"/>
    <w:rsid w:val="002122F7"/>
    <w:rsid w:val="002127FD"/>
    <w:rsid w:val="00212850"/>
    <w:rsid w:val="00212B04"/>
    <w:rsid w:val="00212EEA"/>
    <w:rsid w:val="002130B4"/>
    <w:rsid w:val="0021348C"/>
    <w:rsid w:val="0021482E"/>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2AAD"/>
    <w:rsid w:val="00222FD7"/>
    <w:rsid w:val="0022360D"/>
    <w:rsid w:val="00223AB8"/>
    <w:rsid w:val="00224723"/>
    <w:rsid w:val="002248C1"/>
    <w:rsid w:val="00224C04"/>
    <w:rsid w:val="00224DC7"/>
    <w:rsid w:val="002251A4"/>
    <w:rsid w:val="00225489"/>
    <w:rsid w:val="00225718"/>
    <w:rsid w:val="00225CAE"/>
    <w:rsid w:val="0022685E"/>
    <w:rsid w:val="002269E5"/>
    <w:rsid w:val="0022705A"/>
    <w:rsid w:val="00227E88"/>
    <w:rsid w:val="0023004B"/>
    <w:rsid w:val="002301B6"/>
    <w:rsid w:val="0023027F"/>
    <w:rsid w:val="00230B94"/>
    <w:rsid w:val="0023127A"/>
    <w:rsid w:val="00231C3C"/>
    <w:rsid w:val="00231DC5"/>
    <w:rsid w:val="00232836"/>
    <w:rsid w:val="002338F8"/>
    <w:rsid w:val="00234167"/>
    <w:rsid w:val="0023471E"/>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ACC"/>
    <w:rsid w:val="00246CD7"/>
    <w:rsid w:val="002479F2"/>
    <w:rsid w:val="00247C83"/>
    <w:rsid w:val="00250370"/>
    <w:rsid w:val="002503D4"/>
    <w:rsid w:val="0025068A"/>
    <w:rsid w:val="00250751"/>
    <w:rsid w:val="00250A7F"/>
    <w:rsid w:val="00250E18"/>
    <w:rsid w:val="00251026"/>
    <w:rsid w:val="002516DF"/>
    <w:rsid w:val="00251B50"/>
    <w:rsid w:val="0025204C"/>
    <w:rsid w:val="002523D2"/>
    <w:rsid w:val="00253D03"/>
    <w:rsid w:val="00254CF4"/>
    <w:rsid w:val="00254EF4"/>
    <w:rsid w:val="0025537E"/>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1C"/>
    <w:rsid w:val="002913C8"/>
    <w:rsid w:val="00291775"/>
    <w:rsid w:val="002920D3"/>
    <w:rsid w:val="002927EE"/>
    <w:rsid w:val="00292A58"/>
    <w:rsid w:val="00293FC3"/>
    <w:rsid w:val="00294150"/>
    <w:rsid w:val="002941CD"/>
    <w:rsid w:val="00294251"/>
    <w:rsid w:val="00294784"/>
    <w:rsid w:val="00294AF0"/>
    <w:rsid w:val="00294B17"/>
    <w:rsid w:val="00296A9F"/>
    <w:rsid w:val="002970CC"/>
    <w:rsid w:val="00297613"/>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43F3"/>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64B"/>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0A88"/>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3FA8"/>
    <w:rsid w:val="00314BB0"/>
    <w:rsid w:val="003150C0"/>
    <w:rsid w:val="00315624"/>
    <w:rsid w:val="003157DD"/>
    <w:rsid w:val="00315BD6"/>
    <w:rsid w:val="00315CBA"/>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135"/>
    <w:rsid w:val="00324236"/>
    <w:rsid w:val="0032448C"/>
    <w:rsid w:val="00324BC1"/>
    <w:rsid w:val="00324C2A"/>
    <w:rsid w:val="00324F0D"/>
    <w:rsid w:val="003257C6"/>
    <w:rsid w:val="00325B14"/>
    <w:rsid w:val="00325CD8"/>
    <w:rsid w:val="00325F44"/>
    <w:rsid w:val="00326ABF"/>
    <w:rsid w:val="00326BDE"/>
    <w:rsid w:val="00326C7C"/>
    <w:rsid w:val="00326EF0"/>
    <w:rsid w:val="00326F6A"/>
    <w:rsid w:val="003271AB"/>
    <w:rsid w:val="00327593"/>
    <w:rsid w:val="0032765C"/>
    <w:rsid w:val="00327706"/>
    <w:rsid w:val="00327D99"/>
    <w:rsid w:val="003303FB"/>
    <w:rsid w:val="00330F01"/>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8BD"/>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325"/>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53"/>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231"/>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89A"/>
    <w:rsid w:val="00391943"/>
    <w:rsid w:val="00391D47"/>
    <w:rsid w:val="00391DC4"/>
    <w:rsid w:val="0039217E"/>
    <w:rsid w:val="00392578"/>
    <w:rsid w:val="003926A8"/>
    <w:rsid w:val="00392806"/>
    <w:rsid w:val="00392899"/>
    <w:rsid w:val="003929A4"/>
    <w:rsid w:val="00392CB6"/>
    <w:rsid w:val="00392CEC"/>
    <w:rsid w:val="00392E92"/>
    <w:rsid w:val="00392F5B"/>
    <w:rsid w:val="003933C1"/>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1BDC"/>
    <w:rsid w:val="003A20D0"/>
    <w:rsid w:val="003A26D2"/>
    <w:rsid w:val="003A30E1"/>
    <w:rsid w:val="003A3978"/>
    <w:rsid w:val="003A3D05"/>
    <w:rsid w:val="003A47A9"/>
    <w:rsid w:val="003A613A"/>
    <w:rsid w:val="003A66EF"/>
    <w:rsid w:val="003A689D"/>
    <w:rsid w:val="003A6911"/>
    <w:rsid w:val="003A7180"/>
    <w:rsid w:val="003A74D0"/>
    <w:rsid w:val="003A769E"/>
    <w:rsid w:val="003A780A"/>
    <w:rsid w:val="003B0B84"/>
    <w:rsid w:val="003B1053"/>
    <w:rsid w:val="003B12C7"/>
    <w:rsid w:val="003B163C"/>
    <w:rsid w:val="003B166B"/>
    <w:rsid w:val="003B1F61"/>
    <w:rsid w:val="003B1F62"/>
    <w:rsid w:val="003B2A51"/>
    <w:rsid w:val="003B30AD"/>
    <w:rsid w:val="003B32B8"/>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2280"/>
    <w:rsid w:val="003C2534"/>
    <w:rsid w:val="003C26AC"/>
    <w:rsid w:val="003C2831"/>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19B"/>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0FF1"/>
    <w:rsid w:val="003E159B"/>
    <w:rsid w:val="003E20EB"/>
    <w:rsid w:val="003E2333"/>
    <w:rsid w:val="003E248F"/>
    <w:rsid w:val="003E26E6"/>
    <w:rsid w:val="003E2F13"/>
    <w:rsid w:val="003E2F94"/>
    <w:rsid w:val="003E317A"/>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6CC"/>
    <w:rsid w:val="0040072A"/>
    <w:rsid w:val="00400D5E"/>
    <w:rsid w:val="00401ED1"/>
    <w:rsid w:val="00402087"/>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1B19"/>
    <w:rsid w:val="0041212D"/>
    <w:rsid w:val="0041284E"/>
    <w:rsid w:val="00412889"/>
    <w:rsid w:val="004128FA"/>
    <w:rsid w:val="004129C2"/>
    <w:rsid w:val="0041334C"/>
    <w:rsid w:val="00413464"/>
    <w:rsid w:val="00413826"/>
    <w:rsid w:val="00413EA8"/>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871"/>
    <w:rsid w:val="00425E72"/>
    <w:rsid w:val="00425E85"/>
    <w:rsid w:val="0042649D"/>
    <w:rsid w:val="00426862"/>
    <w:rsid w:val="00426CE7"/>
    <w:rsid w:val="00426D50"/>
    <w:rsid w:val="0042767C"/>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503E1"/>
    <w:rsid w:val="00451290"/>
    <w:rsid w:val="0045130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56B"/>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6FF"/>
    <w:rsid w:val="00473806"/>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0DA4"/>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8EE"/>
    <w:rsid w:val="004A6B9E"/>
    <w:rsid w:val="004A6C9C"/>
    <w:rsid w:val="004A6CC0"/>
    <w:rsid w:val="004A6FE6"/>
    <w:rsid w:val="004A7203"/>
    <w:rsid w:val="004A77C4"/>
    <w:rsid w:val="004A7847"/>
    <w:rsid w:val="004A78DC"/>
    <w:rsid w:val="004A7ABE"/>
    <w:rsid w:val="004B09A3"/>
    <w:rsid w:val="004B117A"/>
    <w:rsid w:val="004B18AE"/>
    <w:rsid w:val="004B21B0"/>
    <w:rsid w:val="004B2564"/>
    <w:rsid w:val="004B2751"/>
    <w:rsid w:val="004B2D77"/>
    <w:rsid w:val="004B2F85"/>
    <w:rsid w:val="004B3850"/>
    <w:rsid w:val="004B42DF"/>
    <w:rsid w:val="004B4756"/>
    <w:rsid w:val="004B4D95"/>
    <w:rsid w:val="004B5F7A"/>
    <w:rsid w:val="004B6164"/>
    <w:rsid w:val="004B63AE"/>
    <w:rsid w:val="004B6754"/>
    <w:rsid w:val="004B7C1A"/>
    <w:rsid w:val="004C048D"/>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7BD"/>
    <w:rsid w:val="004D581B"/>
    <w:rsid w:val="004D5AD1"/>
    <w:rsid w:val="004D5CF7"/>
    <w:rsid w:val="004D5E8D"/>
    <w:rsid w:val="004D629E"/>
    <w:rsid w:val="004D6F2B"/>
    <w:rsid w:val="004D708B"/>
    <w:rsid w:val="004D7A95"/>
    <w:rsid w:val="004D7ABD"/>
    <w:rsid w:val="004D7BF2"/>
    <w:rsid w:val="004D7F71"/>
    <w:rsid w:val="004E092A"/>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84A"/>
    <w:rsid w:val="004E5E3F"/>
    <w:rsid w:val="004E6717"/>
    <w:rsid w:val="004E6D72"/>
    <w:rsid w:val="004E7219"/>
    <w:rsid w:val="004E7332"/>
    <w:rsid w:val="004E7495"/>
    <w:rsid w:val="004E776C"/>
    <w:rsid w:val="004E7906"/>
    <w:rsid w:val="004E7F0D"/>
    <w:rsid w:val="004F01B0"/>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0786B"/>
    <w:rsid w:val="0051015F"/>
    <w:rsid w:val="00510184"/>
    <w:rsid w:val="0051084F"/>
    <w:rsid w:val="00510973"/>
    <w:rsid w:val="00510A6C"/>
    <w:rsid w:val="00510D89"/>
    <w:rsid w:val="00511F6D"/>
    <w:rsid w:val="00512670"/>
    <w:rsid w:val="005127D1"/>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3C2"/>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4F3"/>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36A9"/>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774"/>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7"/>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4C3"/>
    <w:rsid w:val="00557A6C"/>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C16"/>
    <w:rsid w:val="00583E34"/>
    <w:rsid w:val="00584FA4"/>
    <w:rsid w:val="005850FD"/>
    <w:rsid w:val="0058597D"/>
    <w:rsid w:val="00585BB5"/>
    <w:rsid w:val="00585F34"/>
    <w:rsid w:val="00586891"/>
    <w:rsid w:val="00586E4B"/>
    <w:rsid w:val="00587BE9"/>
    <w:rsid w:val="00587D4F"/>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790"/>
    <w:rsid w:val="005B1F44"/>
    <w:rsid w:val="005B20D0"/>
    <w:rsid w:val="005B256E"/>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1ED"/>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5CA"/>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1C4"/>
    <w:rsid w:val="005E36DC"/>
    <w:rsid w:val="005E3B69"/>
    <w:rsid w:val="005E3DDA"/>
    <w:rsid w:val="005E4642"/>
    <w:rsid w:val="005E46DC"/>
    <w:rsid w:val="005E4A51"/>
    <w:rsid w:val="005E4C95"/>
    <w:rsid w:val="005E58A5"/>
    <w:rsid w:val="005E5E61"/>
    <w:rsid w:val="005E6282"/>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611"/>
    <w:rsid w:val="005F27EF"/>
    <w:rsid w:val="005F30B1"/>
    <w:rsid w:val="005F3434"/>
    <w:rsid w:val="005F351B"/>
    <w:rsid w:val="005F3AEF"/>
    <w:rsid w:val="005F3C03"/>
    <w:rsid w:val="005F4123"/>
    <w:rsid w:val="005F4418"/>
    <w:rsid w:val="005F492A"/>
    <w:rsid w:val="005F49D2"/>
    <w:rsid w:val="005F4CED"/>
    <w:rsid w:val="005F5352"/>
    <w:rsid w:val="005F5527"/>
    <w:rsid w:val="005F6B5C"/>
    <w:rsid w:val="005F6D08"/>
    <w:rsid w:val="005F6F91"/>
    <w:rsid w:val="005F7147"/>
    <w:rsid w:val="005F7321"/>
    <w:rsid w:val="005F78F7"/>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09B"/>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343"/>
    <w:rsid w:val="00634521"/>
    <w:rsid w:val="0063468C"/>
    <w:rsid w:val="00634DAD"/>
    <w:rsid w:val="006356A3"/>
    <w:rsid w:val="006356C7"/>
    <w:rsid w:val="006358A5"/>
    <w:rsid w:val="006359D0"/>
    <w:rsid w:val="00635B2E"/>
    <w:rsid w:val="006364F7"/>
    <w:rsid w:val="006369B8"/>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4DC5"/>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224"/>
    <w:rsid w:val="006623BF"/>
    <w:rsid w:val="006624F0"/>
    <w:rsid w:val="0066294A"/>
    <w:rsid w:val="0066318C"/>
    <w:rsid w:val="00663346"/>
    <w:rsid w:val="006637B9"/>
    <w:rsid w:val="00663AAC"/>
    <w:rsid w:val="0066436D"/>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1B"/>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34E"/>
    <w:rsid w:val="00691B4D"/>
    <w:rsid w:val="0069225F"/>
    <w:rsid w:val="0069249C"/>
    <w:rsid w:val="00692613"/>
    <w:rsid w:val="006927F0"/>
    <w:rsid w:val="0069289E"/>
    <w:rsid w:val="00692D60"/>
    <w:rsid w:val="00692E52"/>
    <w:rsid w:val="0069335D"/>
    <w:rsid w:val="00693370"/>
    <w:rsid w:val="00694C3C"/>
    <w:rsid w:val="0069547B"/>
    <w:rsid w:val="00695F11"/>
    <w:rsid w:val="00696ADE"/>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B"/>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057"/>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A7D"/>
    <w:rsid w:val="00702E9B"/>
    <w:rsid w:val="0070320C"/>
    <w:rsid w:val="007033B5"/>
    <w:rsid w:val="00703549"/>
    <w:rsid w:val="00703BA7"/>
    <w:rsid w:val="00704670"/>
    <w:rsid w:val="00704BBF"/>
    <w:rsid w:val="00704E3E"/>
    <w:rsid w:val="0070503A"/>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1F7"/>
    <w:rsid w:val="0071481E"/>
    <w:rsid w:val="007149F9"/>
    <w:rsid w:val="00714EE2"/>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A20"/>
    <w:rsid w:val="00722DB4"/>
    <w:rsid w:val="00722DED"/>
    <w:rsid w:val="00722FD2"/>
    <w:rsid w:val="0072366D"/>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2D52"/>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1FF"/>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1E0F"/>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8A1"/>
    <w:rsid w:val="007B1F7F"/>
    <w:rsid w:val="007B21F2"/>
    <w:rsid w:val="007B2438"/>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CD4"/>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484"/>
    <w:rsid w:val="00803CE5"/>
    <w:rsid w:val="00804642"/>
    <w:rsid w:val="00804BEA"/>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39DD"/>
    <w:rsid w:val="008141D0"/>
    <w:rsid w:val="00814318"/>
    <w:rsid w:val="008148B4"/>
    <w:rsid w:val="0081495F"/>
    <w:rsid w:val="00815145"/>
    <w:rsid w:val="008153A7"/>
    <w:rsid w:val="0081585D"/>
    <w:rsid w:val="00815EB6"/>
    <w:rsid w:val="008162A9"/>
    <w:rsid w:val="0081653B"/>
    <w:rsid w:val="008166A5"/>
    <w:rsid w:val="008168F8"/>
    <w:rsid w:val="0081718B"/>
    <w:rsid w:val="00817ADC"/>
    <w:rsid w:val="00820031"/>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7F2"/>
    <w:rsid w:val="00831AF4"/>
    <w:rsid w:val="00831BC5"/>
    <w:rsid w:val="00831C86"/>
    <w:rsid w:val="00831FC6"/>
    <w:rsid w:val="00832211"/>
    <w:rsid w:val="008327D7"/>
    <w:rsid w:val="00832A1F"/>
    <w:rsid w:val="00832C2D"/>
    <w:rsid w:val="00832DA5"/>
    <w:rsid w:val="008332F5"/>
    <w:rsid w:val="008336FB"/>
    <w:rsid w:val="00833AB7"/>
    <w:rsid w:val="00833E19"/>
    <w:rsid w:val="00833FCD"/>
    <w:rsid w:val="008341EF"/>
    <w:rsid w:val="0083431E"/>
    <w:rsid w:val="00834535"/>
    <w:rsid w:val="00834E18"/>
    <w:rsid w:val="00834E9C"/>
    <w:rsid w:val="00835114"/>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997"/>
    <w:rsid w:val="00840057"/>
    <w:rsid w:val="008405EA"/>
    <w:rsid w:val="00842138"/>
    <w:rsid w:val="00842561"/>
    <w:rsid w:val="00842BBF"/>
    <w:rsid w:val="00842F70"/>
    <w:rsid w:val="00843263"/>
    <w:rsid w:val="00843348"/>
    <w:rsid w:val="008439F0"/>
    <w:rsid w:val="00843C79"/>
    <w:rsid w:val="00843FC6"/>
    <w:rsid w:val="00843FE7"/>
    <w:rsid w:val="00844367"/>
    <w:rsid w:val="0084467B"/>
    <w:rsid w:val="00844CA1"/>
    <w:rsid w:val="00844E79"/>
    <w:rsid w:val="00845656"/>
    <w:rsid w:val="00845894"/>
    <w:rsid w:val="008459A9"/>
    <w:rsid w:val="00845E79"/>
    <w:rsid w:val="00845E9A"/>
    <w:rsid w:val="00846299"/>
    <w:rsid w:val="0084668B"/>
    <w:rsid w:val="00846889"/>
    <w:rsid w:val="008474A5"/>
    <w:rsid w:val="008477E8"/>
    <w:rsid w:val="008478AA"/>
    <w:rsid w:val="00847B0A"/>
    <w:rsid w:val="00847B8A"/>
    <w:rsid w:val="00847C79"/>
    <w:rsid w:val="00847D4E"/>
    <w:rsid w:val="00847EF2"/>
    <w:rsid w:val="00850080"/>
    <w:rsid w:val="00850206"/>
    <w:rsid w:val="00850599"/>
    <w:rsid w:val="00850910"/>
    <w:rsid w:val="00850A20"/>
    <w:rsid w:val="00851014"/>
    <w:rsid w:val="00851076"/>
    <w:rsid w:val="008511EC"/>
    <w:rsid w:val="008517E7"/>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15A"/>
    <w:rsid w:val="0086524B"/>
    <w:rsid w:val="008654B5"/>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05F"/>
    <w:rsid w:val="008802A2"/>
    <w:rsid w:val="008804D7"/>
    <w:rsid w:val="008806EF"/>
    <w:rsid w:val="00880A80"/>
    <w:rsid w:val="00880CFA"/>
    <w:rsid w:val="00880F6F"/>
    <w:rsid w:val="00881072"/>
    <w:rsid w:val="008816A3"/>
    <w:rsid w:val="00881DF7"/>
    <w:rsid w:val="00882144"/>
    <w:rsid w:val="008829F7"/>
    <w:rsid w:val="00882CC6"/>
    <w:rsid w:val="00882E18"/>
    <w:rsid w:val="00882EB6"/>
    <w:rsid w:val="00883CF7"/>
    <w:rsid w:val="00883FAB"/>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93C"/>
    <w:rsid w:val="008D7D2D"/>
    <w:rsid w:val="008E0E74"/>
    <w:rsid w:val="008E0F0B"/>
    <w:rsid w:val="008E1159"/>
    <w:rsid w:val="008E1580"/>
    <w:rsid w:val="008E1A9C"/>
    <w:rsid w:val="008E20BE"/>
    <w:rsid w:val="008E20F1"/>
    <w:rsid w:val="008E2E59"/>
    <w:rsid w:val="008E2F17"/>
    <w:rsid w:val="008E30EF"/>
    <w:rsid w:val="008E3175"/>
    <w:rsid w:val="008E3245"/>
    <w:rsid w:val="008E32CE"/>
    <w:rsid w:val="008E34F5"/>
    <w:rsid w:val="008E362D"/>
    <w:rsid w:val="008E37C0"/>
    <w:rsid w:val="008E3B2A"/>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628"/>
    <w:rsid w:val="008F5B13"/>
    <w:rsid w:val="008F5BBE"/>
    <w:rsid w:val="008F6006"/>
    <w:rsid w:val="008F62CE"/>
    <w:rsid w:val="008F71B1"/>
    <w:rsid w:val="008F71BC"/>
    <w:rsid w:val="008F7246"/>
    <w:rsid w:val="008F726A"/>
    <w:rsid w:val="008F7DE6"/>
    <w:rsid w:val="0090057F"/>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3EDA"/>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2525"/>
    <w:rsid w:val="00923216"/>
    <w:rsid w:val="009234D0"/>
    <w:rsid w:val="00923A33"/>
    <w:rsid w:val="00923A7B"/>
    <w:rsid w:val="00923DB7"/>
    <w:rsid w:val="00926180"/>
    <w:rsid w:val="009261BF"/>
    <w:rsid w:val="009266A4"/>
    <w:rsid w:val="00926AD5"/>
    <w:rsid w:val="00926EC9"/>
    <w:rsid w:val="009272C6"/>
    <w:rsid w:val="0093107E"/>
    <w:rsid w:val="00931257"/>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E26"/>
    <w:rsid w:val="009462A7"/>
    <w:rsid w:val="009466A3"/>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3C7"/>
    <w:rsid w:val="00962780"/>
    <w:rsid w:val="00962B87"/>
    <w:rsid w:val="00962E13"/>
    <w:rsid w:val="00962FF1"/>
    <w:rsid w:val="009630CE"/>
    <w:rsid w:val="009641AD"/>
    <w:rsid w:val="009642EC"/>
    <w:rsid w:val="009647A2"/>
    <w:rsid w:val="00964E73"/>
    <w:rsid w:val="00965248"/>
    <w:rsid w:val="00965427"/>
    <w:rsid w:val="00965842"/>
    <w:rsid w:val="00965884"/>
    <w:rsid w:val="00965CE5"/>
    <w:rsid w:val="0096653F"/>
    <w:rsid w:val="009679D9"/>
    <w:rsid w:val="009703F8"/>
    <w:rsid w:val="0097067B"/>
    <w:rsid w:val="00970B1D"/>
    <w:rsid w:val="00971285"/>
    <w:rsid w:val="009712AE"/>
    <w:rsid w:val="0097174E"/>
    <w:rsid w:val="00971BE0"/>
    <w:rsid w:val="00971EFA"/>
    <w:rsid w:val="0097253D"/>
    <w:rsid w:val="009725A2"/>
    <w:rsid w:val="00972CE5"/>
    <w:rsid w:val="00973313"/>
    <w:rsid w:val="00973381"/>
    <w:rsid w:val="00973E62"/>
    <w:rsid w:val="00974576"/>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02F"/>
    <w:rsid w:val="009958AF"/>
    <w:rsid w:val="00996FFF"/>
    <w:rsid w:val="009974A8"/>
    <w:rsid w:val="009975C9"/>
    <w:rsid w:val="009A0A09"/>
    <w:rsid w:val="009A0DDD"/>
    <w:rsid w:val="009A1489"/>
    <w:rsid w:val="009A245B"/>
    <w:rsid w:val="009A2516"/>
    <w:rsid w:val="009A25A6"/>
    <w:rsid w:val="009A28C7"/>
    <w:rsid w:val="009A2FAA"/>
    <w:rsid w:val="009A309F"/>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3610"/>
    <w:rsid w:val="009B37D3"/>
    <w:rsid w:val="009B4C61"/>
    <w:rsid w:val="009B4C66"/>
    <w:rsid w:val="009B4CB0"/>
    <w:rsid w:val="009B4CE0"/>
    <w:rsid w:val="009B4EB8"/>
    <w:rsid w:val="009B54CF"/>
    <w:rsid w:val="009B5A8C"/>
    <w:rsid w:val="009B5C74"/>
    <w:rsid w:val="009B661E"/>
    <w:rsid w:val="009B68A4"/>
    <w:rsid w:val="009B6CF3"/>
    <w:rsid w:val="009B75B3"/>
    <w:rsid w:val="009B75F0"/>
    <w:rsid w:val="009B7D1B"/>
    <w:rsid w:val="009B7EA3"/>
    <w:rsid w:val="009C01B9"/>
    <w:rsid w:val="009C0342"/>
    <w:rsid w:val="009C0408"/>
    <w:rsid w:val="009C0B5E"/>
    <w:rsid w:val="009C12CC"/>
    <w:rsid w:val="009C161A"/>
    <w:rsid w:val="009C1885"/>
    <w:rsid w:val="009C1CFA"/>
    <w:rsid w:val="009C1E60"/>
    <w:rsid w:val="009C1F0A"/>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B21"/>
    <w:rsid w:val="009D1EB0"/>
    <w:rsid w:val="009D2A1F"/>
    <w:rsid w:val="009D2BAC"/>
    <w:rsid w:val="009D2C91"/>
    <w:rsid w:val="009D336C"/>
    <w:rsid w:val="009D378B"/>
    <w:rsid w:val="009D39AC"/>
    <w:rsid w:val="009D3B20"/>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B99"/>
    <w:rsid w:val="009E21B7"/>
    <w:rsid w:val="009E24F7"/>
    <w:rsid w:val="009E2CF2"/>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E78AD"/>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12F"/>
    <w:rsid w:val="00A12648"/>
    <w:rsid w:val="00A127BA"/>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55"/>
    <w:rsid w:val="00A54FE4"/>
    <w:rsid w:val="00A5541A"/>
    <w:rsid w:val="00A55BD7"/>
    <w:rsid w:val="00A56092"/>
    <w:rsid w:val="00A56419"/>
    <w:rsid w:val="00A567CB"/>
    <w:rsid w:val="00A56FA2"/>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5EEB"/>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5CE"/>
    <w:rsid w:val="00A83A27"/>
    <w:rsid w:val="00A83DEC"/>
    <w:rsid w:val="00A8428C"/>
    <w:rsid w:val="00A84364"/>
    <w:rsid w:val="00A84960"/>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150"/>
    <w:rsid w:val="00AA0B30"/>
    <w:rsid w:val="00AA0EFF"/>
    <w:rsid w:val="00AA0F61"/>
    <w:rsid w:val="00AA1258"/>
    <w:rsid w:val="00AA1265"/>
    <w:rsid w:val="00AA1D97"/>
    <w:rsid w:val="00AA1E6C"/>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1C5"/>
    <w:rsid w:val="00AA7425"/>
    <w:rsid w:val="00AA74C0"/>
    <w:rsid w:val="00AA7AB0"/>
    <w:rsid w:val="00AB0541"/>
    <w:rsid w:val="00AB09EE"/>
    <w:rsid w:val="00AB19B4"/>
    <w:rsid w:val="00AB2400"/>
    <w:rsid w:val="00AB25DF"/>
    <w:rsid w:val="00AB2922"/>
    <w:rsid w:val="00AB4582"/>
    <w:rsid w:val="00AB5377"/>
    <w:rsid w:val="00AB5B77"/>
    <w:rsid w:val="00AB5C1D"/>
    <w:rsid w:val="00AB5FC3"/>
    <w:rsid w:val="00AB7413"/>
    <w:rsid w:val="00AB7D08"/>
    <w:rsid w:val="00AB7F4B"/>
    <w:rsid w:val="00AB7F83"/>
    <w:rsid w:val="00AC0B81"/>
    <w:rsid w:val="00AC0FB2"/>
    <w:rsid w:val="00AC1BC9"/>
    <w:rsid w:val="00AC1D0A"/>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6222"/>
    <w:rsid w:val="00AD6306"/>
    <w:rsid w:val="00AD67DE"/>
    <w:rsid w:val="00AD7076"/>
    <w:rsid w:val="00AD739C"/>
    <w:rsid w:val="00AE0764"/>
    <w:rsid w:val="00AE0D8A"/>
    <w:rsid w:val="00AE0F10"/>
    <w:rsid w:val="00AE12DA"/>
    <w:rsid w:val="00AE16D1"/>
    <w:rsid w:val="00AE1BC1"/>
    <w:rsid w:val="00AE1BD1"/>
    <w:rsid w:val="00AE1DBE"/>
    <w:rsid w:val="00AE2508"/>
    <w:rsid w:val="00AE276C"/>
    <w:rsid w:val="00AE340A"/>
    <w:rsid w:val="00AE3545"/>
    <w:rsid w:val="00AE3870"/>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77D"/>
    <w:rsid w:val="00B10841"/>
    <w:rsid w:val="00B10B1F"/>
    <w:rsid w:val="00B11176"/>
    <w:rsid w:val="00B11414"/>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ABD"/>
    <w:rsid w:val="00B24BDA"/>
    <w:rsid w:val="00B250B5"/>
    <w:rsid w:val="00B25B42"/>
    <w:rsid w:val="00B263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DF1"/>
    <w:rsid w:val="00B4301A"/>
    <w:rsid w:val="00B43653"/>
    <w:rsid w:val="00B43B6A"/>
    <w:rsid w:val="00B43CE8"/>
    <w:rsid w:val="00B43FF7"/>
    <w:rsid w:val="00B4438B"/>
    <w:rsid w:val="00B453BE"/>
    <w:rsid w:val="00B45435"/>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D9C"/>
    <w:rsid w:val="00B80EF7"/>
    <w:rsid w:val="00B80F57"/>
    <w:rsid w:val="00B81548"/>
    <w:rsid w:val="00B81633"/>
    <w:rsid w:val="00B819CA"/>
    <w:rsid w:val="00B81EDF"/>
    <w:rsid w:val="00B81F81"/>
    <w:rsid w:val="00B82A85"/>
    <w:rsid w:val="00B82FF5"/>
    <w:rsid w:val="00B8385E"/>
    <w:rsid w:val="00B83A38"/>
    <w:rsid w:val="00B83D46"/>
    <w:rsid w:val="00B84193"/>
    <w:rsid w:val="00B84583"/>
    <w:rsid w:val="00B84610"/>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3C84"/>
    <w:rsid w:val="00B945A2"/>
    <w:rsid w:val="00B946C4"/>
    <w:rsid w:val="00B94702"/>
    <w:rsid w:val="00B947BF"/>
    <w:rsid w:val="00B94912"/>
    <w:rsid w:val="00B94EE8"/>
    <w:rsid w:val="00B95427"/>
    <w:rsid w:val="00B95B10"/>
    <w:rsid w:val="00B962AB"/>
    <w:rsid w:val="00B965A0"/>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0FF3"/>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2CF"/>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4E3"/>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312"/>
    <w:rsid w:val="00BD2BBB"/>
    <w:rsid w:val="00BD2EDD"/>
    <w:rsid w:val="00BD31B3"/>
    <w:rsid w:val="00BD38B1"/>
    <w:rsid w:val="00BD3BB5"/>
    <w:rsid w:val="00BD41C0"/>
    <w:rsid w:val="00BD485C"/>
    <w:rsid w:val="00BD4AA0"/>
    <w:rsid w:val="00BD521B"/>
    <w:rsid w:val="00BD5D44"/>
    <w:rsid w:val="00BD6053"/>
    <w:rsid w:val="00BD6593"/>
    <w:rsid w:val="00BD66B2"/>
    <w:rsid w:val="00BD6B3C"/>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A1E"/>
    <w:rsid w:val="00BF002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44C"/>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48"/>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5E8E"/>
    <w:rsid w:val="00C3626C"/>
    <w:rsid w:val="00C36CE9"/>
    <w:rsid w:val="00C37741"/>
    <w:rsid w:val="00C37E3D"/>
    <w:rsid w:val="00C4041E"/>
    <w:rsid w:val="00C40C64"/>
    <w:rsid w:val="00C40F77"/>
    <w:rsid w:val="00C419B1"/>
    <w:rsid w:val="00C4330A"/>
    <w:rsid w:val="00C433C4"/>
    <w:rsid w:val="00C43FBA"/>
    <w:rsid w:val="00C441CC"/>
    <w:rsid w:val="00C44475"/>
    <w:rsid w:val="00C44E8D"/>
    <w:rsid w:val="00C44F87"/>
    <w:rsid w:val="00C451F2"/>
    <w:rsid w:val="00C45543"/>
    <w:rsid w:val="00C45757"/>
    <w:rsid w:val="00C4609E"/>
    <w:rsid w:val="00C46807"/>
    <w:rsid w:val="00C473E9"/>
    <w:rsid w:val="00C47D44"/>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19F1"/>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6AC0"/>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6C8"/>
    <w:rsid w:val="00C857F9"/>
    <w:rsid w:val="00C860BC"/>
    <w:rsid w:val="00C8614D"/>
    <w:rsid w:val="00C86543"/>
    <w:rsid w:val="00C8683F"/>
    <w:rsid w:val="00C86967"/>
    <w:rsid w:val="00C8719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C16"/>
    <w:rsid w:val="00CB0FB5"/>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D61"/>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7BA"/>
    <w:rsid w:val="00CC79A2"/>
    <w:rsid w:val="00CC7BDF"/>
    <w:rsid w:val="00CC7D66"/>
    <w:rsid w:val="00CD0153"/>
    <w:rsid w:val="00CD02C6"/>
    <w:rsid w:val="00CD092E"/>
    <w:rsid w:val="00CD0A13"/>
    <w:rsid w:val="00CD0A75"/>
    <w:rsid w:val="00CD11DE"/>
    <w:rsid w:val="00CD143E"/>
    <w:rsid w:val="00CD1963"/>
    <w:rsid w:val="00CD19CA"/>
    <w:rsid w:val="00CD1AC2"/>
    <w:rsid w:val="00CD1BC0"/>
    <w:rsid w:val="00CD2B1A"/>
    <w:rsid w:val="00CD34FD"/>
    <w:rsid w:val="00CD3E17"/>
    <w:rsid w:val="00CD3EFC"/>
    <w:rsid w:val="00CD4033"/>
    <w:rsid w:val="00CD467E"/>
    <w:rsid w:val="00CD4860"/>
    <w:rsid w:val="00CD4B86"/>
    <w:rsid w:val="00CD4CC3"/>
    <w:rsid w:val="00CD50A4"/>
    <w:rsid w:val="00CD51ED"/>
    <w:rsid w:val="00CD5CFC"/>
    <w:rsid w:val="00CD6C4D"/>
    <w:rsid w:val="00CD7357"/>
    <w:rsid w:val="00CD7B3A"/>
    <w:rsid w:val="00CD7E37"/>
    <w:rsid w:val="00CE0197"/>
    <w:rsid w:val="00CE0199"/>
    <w:rsid w:val="00CE0440"/>
    <w:rsid w:val="00CE0448"/>
    <w:rsid w:val="00CE0456"/>
    <w:rsid w:val="00CE05E1"/>
    <w:rsid w:val="00CE0620"/>
    <w:rsid w:val="00CE1146"/>
    <w:rsid w:val="00CE16F2"/>
    <w:rsid w:val="00CE178F"/>
    <w:rsid w:val="00CE18AA"/>
    <w:rsid w:val="00CE1CC5"/>
    <w:rsid w:val="00CE1CF3"/>
    <w:rsid w:val="00CE1E16"/>
    <w:rsid w:val="00CE253C"/>
    <w:rsid w:val="00CE291E"/>
    <w:rsid w:val="00CE2920"/>
    <w:rsid w:val="00CE2BE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315"/>
    <w:rsid w:val="00CF0777"/>
    <w:rsid w:val="00CF0FF4"/>
    <w:rsid w:val="00CF1622"/>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F68"/>
    <w:rsid w:val="00D04BE1"/>
    <w:rsid w:val="00D04EC9"/>
    <w:rsid w:val="00D053C2"/>
    <w:rsid w:val="00D05E0E"/>
    <w:rsid w:val="00D06218"/>
    <w:rsid w:val="00D07CAE"/>
    <w:rsid w:val="00D104AC"/>
    <w:rsid w:val="00D10566"/>
    <w:rsid w:val="00D11C6E"/>
    <w:rsid w:val="00D11D11"/>
    <w:rsid w:val="00D1286C"/>
    <w:rsid w:val="00D12AD5"/>
    <w:rsid w:val="00D13248"/>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2161"/>
    <w:rsid w:val="00D22433"/>
    <w:rsid w:val="00D22748"/>
    <w:rsid w:val="00D22E55"/>
    <w:rsid w:val="00D232AE"/>
    <w:rsid w:val="00D233E0"/>
    <w:rsid w:val="00D2347F"/>
    <w:rsid w:val="00D23626"/>
    <w:rsid w:val="00D242C0"/>
    <w:rsid w:val="00D242E5"/>
    <w:rsid w:val="00D24ABD"/>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6F0"/>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AD6"/>
    <w:rsid w:val="00D51C50"/>
    <w:rsid w:val="00D51DDF"/>
    <w:rsid w:val="00D523B2"/>
    <w:rsid w:val="00D5266D"/>
    <w:rsid w:val="00D52AB8"/>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57D2D"/>
    <w:rsid w:val="00D60345"/>
    <w:rsid w:val="00D606FC"/>
    <w:rsid w:val="00D60B6B"/>
    <w:rsid w:val="00D60D72"/>
    <w:rsid w:val="00D60D80"/>
    <w:rsid w:val="00D61918"/>
    <w:rsid w:val="00D627F2"/>
    <w:rsid w:val="00D62F54"/>
    <w:rsid w:val="00D63019"/>
    <w:rsid w:val="00D631BD"/>
    <w:rsid w:val="00D6357B"/>
    <w:rsid w:val="00D643D1"/>
    <w:rsid w:val="00D64502"/>
    <w:rsid w:val="00D64812"/>
    <w:rsid w:val="00D64B46"/>
    <w:rsid w:val="00D64E31"/>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858"/>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461"/>
    <w:rsid w:val="00D8653A"/>
    <w:rsid w:val="00D871CE"/>
    <w:rsid w:val="00D87542"/>
    <w:rsid w:val="00D87959"/>
    <w:rsid w:val="00D87D77"/>
    <w:rsid w:val="00D90174"/>
    <w:rsid w:val="00D906F0"/>
    <w:rsid w:val="00D9098E"/>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702"/>
    <w:rsid w:val="00D94CD2"/>
    <w:rsid w:val="00D94DB5"/>
    <w:rsid w:val="00D9512D"/>
    <w:rsid w:val="00D95202"/>
    <w:rsid w:val="00D95458"/>
    <w:rsid w:val="00D95B44"/>
    <w:rsid w:val="00D95C20"/>
    <w:rsid w:val="00D961B5"/>
    <w:rsid w:val="00D961C7"/>
    <w:rsid w:val="00D96868"/>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076"/>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DCD"/>
    <w:rsid w:val="00DC0F18"/>
    <w:rsid w:val="00DC1303"/>
    <w:rsid w:val="00DC1403"/>
    <w:rsid w:val="00DC20FE"/>
    <w:rsid w:val="00DC36F1"/>
    <w:rsid w:val="00DC389B"/>
    <w:rsid w:val="00DC3904"/>
    <w:rsid w:val="00DC394C"/>
    <w:rsid w:val="00DC3DB0"/>
    <w:rsid w:val="00DC42A4"/>
    <w:rsid w:val="00DC42EA"/>
    <w:rsid w:val="00DC45E5"/>
    <w:rsid w:val="00DC4933"/>
    <w:rsid w:val="00DC53D2"/>
    <w:rsid w:val="00DC558C"/>
    <w:rsid w:val="00DC5ED6"/>
    <w:rsid w:val="00DC6354"/>
    <w:rsid w:val="00DC6513"/>
    <w:rsid w:val="00DC693E"/>
    <w:rsid w:val="00DC7C31"/>
    <w:rsid w:val="00DD0448"/>
    <w:rsid w:val="00DD0C3F"/>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6A"/>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27A"/>
    <w:rsid w:val="00E008D8"/>
    <w:rsid w:val="00E00C6B"/>
    <w:rsid w:val="00E00D29"/>
    <w:rsid w:val="00E02A3C"/>
    <w:rsid w:val="00E02F70"/>
    <w:rsid w:val="00E032F6"/>
    <w:rsid w:val="00E03E5D"/>
    <w:rsid w:val="00E03F4C"/>
    <w:rsid w:val="00E03F4E"/>
    <w:rsid w:val="00E0439C"/>
    <w:rsid w:val="00E0485E"/>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98E"/>
    <w:rsid w:val="00E14ACF"/>
    <w:rsid w:val="00E14BAD"/>
    <w:rsid w:val="00E14D14"/>
    <w:rsid w:val="00E1580F"/>
    <w:rsid w:val="00E159EC"/>
    <w:rsid w:val="00E15C68"/>
    <w:rsid w:val="00E160BD"/>
    <w:rsid w:val="00E16685"/>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D97"/>
    <w:rsid w:val="00E461AC"/>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1AF5"/>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68FB"/>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609"/>
    <w:rsid w:val="00E75790"/>
    <w:rsid w:val="00E75BCD"/>
    <w:rsid w:val="00E75DB6"/>
    <w:rsid w:val="00E76031"/>
    <w:rsid w:val="00E76714"/>
    <w:rsid w:val="00E76FAC"/>
    <w:rsid w:val="00E7709D"/>
    <w:rsid w:val="00E77DD8"/>
    <w:rsid w:val="00E80437"/>
    <w:rsid w:val="00E80E32"/>
    <w:rsid w:val="00E80EE6"/>
    <w:rsid w:val="00E81031"/>
    <w:rsid w:val="00E8103F"/>
    <w:rsid w:val="00E810B8"/>
    <w:rsid w:val="00E81525"/>
    <w:rsid w:val="00E8184C"/>
    <w:rsid w:val="00E81B55"/>
    <w:rsid w:val="00E82CEF"/>
    <w:rsid w:val="00E8309D"/>
    <w:rsid w:val="00E83A79"/>
    <w:rsid w:val="00E83B1E"/>
    <w:rsid w:val="00E83D05"/>
    <w:rsid w:val="00E83DC4"/>
    <w:rsid w:val="00E83DCE"/>
    <w:rsid w:val="00E842A8"/>
    <w:rsid w:val="00E84360"/>
    <w:rsid w:val="00E847B3"/>
    <w:rsid w:val="00E84E89"/>
    <w:rsid w:val="00E85563"/>
    <w:rsid w:val="00E85BE4"/>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A23"/>
    <w:rsid w:val="00E97DD3"/>
    <w:rsid w:val="00EA00A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84E"/>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38B6"/>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1A3"/>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5D03"/>
    <w:rsid w:val="00F05DA0"/>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3564"/>
    <w:rsid w:val="00F145D4"/>
    <w:rsid w:val="00F14AEC"/>
    <w:rsid w:val="00F14ED0"/>
    <w:rsid w:val="00F15F5B"/>
    <w:rsid w:val="00F15FE6"/>
    <w:rsid w:val="00F16210"/>
    <w:rsid w:val="00F164D5"/>
    <w:rsid w:val="00F16943"/>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BCB"/>
    <w:rsid w:val="00F74DB5"/>
    <w:rsid w:val="00F74F89"/>
    <w:rsid w:val="00F74FCF"/>
    <w:rsid w:val="00F7542D"/>
    <w:rsid w:val="00F75A10"/>
    <w:rsid w:val="00F75D9F"/>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707"/>
    <w:rsid w:val="00F81E11"/>
    <w:rsid w:val="00F8260F"/>
    <w:rsid w:val="00F8279D"/>
    <w:rsid w:val="00F82B08"/>
    <w:rsid w:val="00F83228"/>
    <w:rsid w:val="00F834A7"/>
    <w:rsid w:val="00F84636"/>
    <w:rsid w:val="00F847A0"/>
    <w:rsid w:val="00F84820"/>
    <w:rsid w:val="00F85106"/>
    <w:rsid w:val="00F85ABF"/>
    <w:rsid w:val="00F85D19"/>
    <w:rsid w:val="00F860A3"/>
    <w:rsid w:val="00F864FC"/>
    <w:rsid w:val="00F86808"/>
    <w:rsid w:val="00F87176"/>
    <w:rsid w:val="00F8760E"/>
    <w:rsid w:val="00F8773E"/>
    <w:rsid w:val="00F87780"/>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B54"/>
    <w:rsid w:val="00FA4E06"/>
    <w:rsid w:val="00FA509C"/>
    <w:rsid w:val="00FA5180"/>
    <w:rsid w:val="00FA55B2"/>
    <w:rsid w:val="00FA55C7"/>
    <w:rsid w:val="00FA5C21"/>
    <w:rsid w:val="00FA5E19"/>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D0B"/>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392"/>
    <w:rsid w:val="00FC2683"/>
    <w:rsid w:val="00FC2810"/>
    <w:rsid w:val="00FC299F"/>
    <w:rsid w:val="00FC3213"/>
    <w:rsid w:val="00FC3C6C"/>
    <w:rsid w:val="00FC48C6"/>
    <w:rsid w:val="00FC4A91"/>
    <w:rsid w:val="00FC4E0B"/>
    <w:rsid w:val="00FC6141"/>
    <w:rsid w:val="00FC623A"/>
    <w:rsid w:val="00FC631D"/>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נספח 2 מתוקן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AC1D0A"/>
    <w:pPr>
      <w:widowControl w:val="0"/>
      <w:numPr>
        <w:numId w:val="12"/>
      </w:numPr>
      <w:spacing w:after="180" w:line="260" w:lineRule="exact"/>
      <w:contextualSpacing w:val="0"/>
    </w:pPr>
    <w:rPr>
      <w:rFonts w:ascii="Tahoma" w:eastAsia="Times New Roman" w:hAnsi="Tahoma" w:cs="Tahoma"/>
      <w:color w:val="0D0D0D" w:themeColor="text1" w:themeTint="F2"/>
      <w:sz w:val="18"/>
      <w:szCs w:val="18"/>
      <w:lang w:eastAsia="he-IL"/>
    </w:rPr>
  </w:style>
  <w:style w:type="paragraph" w:customStyle="1" w:styleId="71BULLETS04">
    <w:name w:val="71ג בולטים BULLETS ריק הזחה 0.4"/>
    <w:basedOn w:val="71BULLETS"/>
    <w:qFormat/>
    <w:rsid w:val="00D627F2"/>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table" w:styleId="GridTable1Light-Accent2">
    <w:name w:val="Grid Table 1 Light Accent 2"/>
    <w:basedOn w:val="TableNormal"/>
    <w:uiPriority w:val="46"/>
    <w:rsid w:val="004E584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4E584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BULLETS1">
    <w:name w:val="71ג בולטים BULLETS"/>
    <w:basedOn w:val="71BULLETS"/>
    <w:qFormat/>
    <w:rsid w:val="00FA5E19"/>
    <w:pPr>
      <w:ind w:left="227" w:hanging="227"/>
      <w:jc w:val="left"/>
    </w:pPr>
  </w:style>
  <w:style w:type="paragraph" w:customStyle="1" w:styleId="71BULLETS040">
    <w:name w:val="71ג בולטים BULLETS 0.4"/>
    <w:basedOn w:val="71BULLETS04"/>
    <w:qFormat/>
    <w:rsid w:val="00AE3545"/>
    <w:pPr>
      <w:ind w:left="454" w:hanging="227"/>
      <w:jc w:val="left"/>
    </w:pPr>
  </w:style>
  <w:style w:type="paragraph" w:customStyle="1" w:styleId="7104BULLETS">
    <w:name w:val="71ג בולטים 0.4 BULLETS מחוררים"/>
    <w:basedOn w:val="71BULLETS040"/>
    <w:qFormat/>
    <w:rsid w:val="00480DA4"/>
    <w:pPr>
      <w:numPr>
        <w:numId w:val="40"/>
      </w:numPr>
      <w:spacing w:after="160"/>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jpeg"/><Relationship Id="rId28" Type="http://schemas.openxmlformats.org/officeDocument/2006/relationships/header" Target="header5.xm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6.xml"/><Relationship Id="rId35" Type="http://schemas.openxmlformats.org/officeDocument/2006/relationships/customXml" Target="../customXml/item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4B6B573-55E8-4E27-9EC9-CE975FD9BB61}"/>
</file>

<file path=customXml/itemProps3.xml><?xml version="1.0" encoding="utf-8"?>
<ds:datastoreItem xmlns:ds="http://schemas.openxmlformats.org/officeDocument/2006/customXml" ds:itemID="{E0C35F7B-59CC-45EB-98AC-24882813BAD8}"/>
</file>

<file path=customXml/itemProps4.xml><?xml version="1.0" encoding="utf-8"?>
<ds:datastoreItem xmlns:ds="http://schemas.openxmlformats.org/officeDocument/2006/customXml" ds:itemID="{09C8AC92-225D-48F5-9868-10848CF4570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24</TotalTime>
  <Pages>10</Pages>
  <Words>1466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13</cp:revision>
  <cp:lastPrinted>2021-09-08T14:39:00Z</cp:lastPrinted>
  <dcterms:created xsi:type="dcterms:W3CDTF">2021-09-08T14:42:00Z</dcterms:created>
  <dcterms:modified xsi:type="dcterms:W3CDTF">2021-10-09T16:14:00Z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