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5D978A" w14:textId="529AA98F" w:rsidR="00E077B7" w:rsidRPr="00590929" w:rsidRDefault="00946475" w:rsidP="003323CD">
      <w:pPr>
        <w:spacing w:line="240" w:lineRule="exact"/>
        <w:jc w:val="both"/>
        <w:rPr>
          <w:rFonts w:ascii="Tahoma" w:hAnsi="Tahoma" w:cs="Tahoma"/>
          <w:sz w:val="17"/>
          <w:szCs w:val="18"/>
          <w:rtl/>
        </w:rPr>
      </w:pPr>
      <w:bookmarkStart w:id="0" w:name="_Toc349122061"/>
      <w:bookmarkStart w:id="1" w:name="_Toc349136480"/>
      <w:bookmarkStart w:id="2" w:name="_Toc352831083"/>
      <w:bookmarkStart w:id="3" w:name="_Toc354324568"/>
      <w:bookmarkStart w:id="4" w:name="_Toc354661923"/>
      <w:r>
        <w:rPr>
          <w:rFonts w:ascii="Tahoma" w:hAnsi="Tahoma" w:cs="Tahoma"/>
          <w:noProof/>
          <w:sz w:val="17"/>
          <w:szCs w:val="18"/>
        </w:rPr>
        <mc:AlternateContent>
          <mc:Choice Requires="wps">
            <w:drawing>
              <wp:anchor distT="0" distB="0" distL="114300" distR="114300" simplePos="0" relativeHeight="251657728" behindDoc="0" locked="0" layoutInCell="1" allowOverlap="1" wp14:anchorId="6F0E2922" wp14:editId="3C6C6B9E">
                <wp:simplePos x="0" y="0"/>
                <wp:positionH relativeFrom="column">
                  <wp:posOffset>3148203</wp:posOffset>
                </wp:positionH>
                <wp:positionV relativeFrom="paragraph">
                  <wp:posOffset>1306322</wp:posOffset>
                </wp:positionV>
                <wp:extent cx="53975" cy="3347720"/>
                <wp:effectExtent l="0" t="0" r="3175" b="508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975" cy="3347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15BEB" id="Rectangle 1" o:spid="_x0000_s1026" style="position:absolute;left:0;text-align:left;margin-left:247.9pt;margin-top:102.85pt;width:4.25pt;height:26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" fillcolor="white [3212]" stroked="f" strokeweight="1.5pt">
                <v:stroke endcap="round"/>
              </v:rect>
            </w:pict>
          </mc:Fallback>
        </mc:AlternateContent>
      </w:r>
      <w:r w:rsidR="00A40BC1" w:rsidRPr="00E539EA">
        <w:rPr>
          <w:rFonts w:ascii="Tahoma" w:hAnsi="Tahoma" w:cs="Tahoma"/>
          <w:noProof/>
          <w:sz w:val="17"/>
          <w:szCs w:val="18"/>
        </w:rPr>
        <mc:AlternateContent>
          <mc:Choice Requires="wps">
            <w:drawing>
              <wp:anchor distT="0" distB="0" distL="114300" distR="114300" simplePos="0" relativeHeight="251648512" behindDoc="0" locked="0" layoutInCell="1" allowOverlap="1" wp14:anchorId="63635032" wp14:editId="1A6A4893">
                <wp:simplePos x="0" y="0"/>
                <wp:positionH relativeFrom="column">
                  <wp:posOffset>-576192</wp:posOffset>
                </wp:positionH>
                <wp:positionV relativeFrom="paragraph">
                  <wp:posOffset>1406691</wp:posOffset>
                </wp:positionV>
                <wp:extent cx="3478778" cy="337820"/>
                <wp:effectExtent l="0" t="0" r="0" b="5080"/>
                <wp:wrapNone/>
                <wp:docPr id="307" name="Text Box 2" descr="מבקר המדינה | דוח שנתי 72א-חלק ראשון | התשפ''א-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778" cy="337820"/>
                        </a:xfrm>
                        <a:prstGeom prst="rect">
                          <a:avLst/>
                        </a:prstGeom>
                        <a:noFill/>
                        <a:ln w="9525">
                          <a:noFill/>
                          <a:miter lim="800000"/>
                          <a:headEnd/>
                          <a:tailEnd/>
                        </a:ln>
                      </wps:spPr>
                      <wps:txbx>
                        <w:txbxContent>
                          <w:p w14:paraId="0EDFEFF5" w14:textId="71328B0A" w:rsidR="00106932" w:rsidRPr="00A75949" w:rsidRDefault="00106932" w:rsidP="00E539EA">
                            <w:pPr>
                              <w:rPr>
                                <w:rFonts w:ascii="Tahoma" w:hAnsi="Tahoma" w:cs="Tahoma"/>
                                <w:color w:val="FFFFFF" w:themeColor="background1"/>
                                <w:spacing w:val="6"/>
                                <w:sz w:val="18"/>
                                <w:szCs w:val="18"/>
                              </w:rPr>
                            </w:pPr>
                            <w:r w:rsidRPr="0007214D">
                              <w:rPr>
                                <w:rFonts w:ascii="Tahoma" w:hAnsi="Tahoma" w:cs="Tahoma"/>
                                <w:color w:val="FFFFFF" w:themeColor="background1"/>
                                <w:spacing w:val="6"/>
                                <w:sz w:val="17"/>
                                <w:szCs w:val="17"/>
                                <w:rtl/>
                              </w:rPr>
                              <w:t>מבקר המדינה</w:t>
                            </w:r>
                            <w:r w:rsidRPr="0007214D">
                              <w:rPr>
                                <w:rFonts w:ascii="Tahoma" w:hAnsi="Tahoma" w:cs="Tahoma" w:hint="cs"/>
                                <w:color w:val="FFFFFF" w:themeColor="background1"/>
                                <w:spacing w:val="6"/>
                                <w:sz w:val="17"/>
                                <w:szCs w:val="17"/>
                                <w:rtl/>
                              </w:rPr>
                              <w:t xml:space="preserve"> </w:t>
                            </w:r>
                            <w:r w:rsidRPr="0007214D">
                              <w:rPr>
                                <w:rFonts w:ascii="Tahoma" w:hAnsi="Tahoma" w:cs="Tahoma"/>
                                <w:color w:val="FFFFFF" w:themeColor="background1"/>
                                <w:spacing w:val="6"/>
                                <w:sz w:val="17"/>
                                <w:szCs w:val="17"/>
                                <w:rtl/>
                              </w:rPr>
                              <w:t>|</w:t>
                            </w:r>
                            <w:r w:rsidRPr="0007214D">
                              <w:rPr>
                                <w:rFonts w:ascii="Tahoma" w:hAnsi="Tahoma" w:cs="Tahoma" w:hint="cs"/>
                                <w:color w:val="FFFFFF" w:themeColor="background1"/>
                                <w:spacing w:val="6"/>
                                <w:sz w:val="17"/>
                                <w:szCs w:val="17"/>
                                <w:rtl/>
                              </w:rPr>
                              <w:t xml:space="preserve"> דוח </w:t>
                            </w:r>
                            <w:r w:rsidRPr="0007214D">
                              <w:rPr>
                                <w:rFonts w:ascii="Tahoma" w:hAnsi="Tahoma" w:cs="Tahoma"/>
                                <w:color w:val="FFFFFF" w:themeColor="background1"/>
                                <w:spacing w:val="6"/>
                                <w:sz w:val="17"/>
                                <w:szCs w:val="17"/>
                                <w:rtl/>
                              </w:rPr>
                              <w:t>שנתי 7</w:t>
                            </w:r>
                            <w:r w:rsidRPr="0007214D">
                              <w:rPr>
                                <w:rFonts w:ascii="Tahoma" w:hAnsi="Tahoma" w:cs="Tahoma" w:hint="cs"/>
                                <w:color w:val="FFFFFF" w:themeColor="background1"/>
                                <w:spacing w:val="6"/>
                                <w:sz w:val="17"/>
                                <w:szCs w:val="17"/>
                                <w:rtl/>
                              </w:rPr>
                              <w:t>2א - חלק ראשון | התשפ"א-2021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35032" id="_x0000_t202" coordsize="21600,21600" o:spt="202" path="m,l,21600r21600,l21600,xe">
                <v:stroke joinstyle="miter"/>
                <v:path gradientshapeok="t" o:connecttype="rect"/>
              </v:shapetype>
              <v:shape id="Text Box 2" o:spid="_x0000_s1026" type="#_x0000_t202" alt="מבקר המדינה | דוח שנתי 72א-חלק ראשון | התשפ''א-2021" style="position:absolute;left:0;text-align:left;margin-left:-45.35pt;margin-top:110.75pt;width:273.9pt;height:26.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" filled="f" stroked="f">
                <v:textbox>
                  <w:txbxContent>
                    <w:p w14:paraId="0EDFEFF5" w14:textId="71328B0A" w:rsidR="00106932" w:rsidRPr="00A75949" w:rsidRDefault="00106932" w:rsidP="00E539EA">
                      <w:pPr>
                        <w:rPr>
                          <w:rFonts w:ascii="Tahoma" w:hAnsi="Tahoma" w:cs="Tahoma"/>
                          <w:color w:val="FFFFFF" w:themeColor="background1"/>
                          <w:spacing w:val="6"/>
                          <w:sz w:val="18"/>
                          <w:szCs w:val="18"/>
                        </w:rPr>
                      </w:pPr>
                      <w:r w:rsidRPr="0007214D">
                        <w:rPr>
                          <w:rFonts w:ascii="Tahoma" w:hAnsi="Tahoma" w:cs="Tahoma"/>
                          <w:color w:val="FFFFFF" w:themeColor="background1"/>
                          <w:spacing w:val="6"/>
                          <w:sz w:val="17"/>
                          <w:szCs w:val="17"/>
                          <w:rtl/>
                        </w:rPr>
                        <w:t>מבקר המדינה</w:t>
                      </w:r>
                      <w:r w:rsidRPr="0007214D">
                        <w:rPr>
                          <w:rFonts w:ascii="Tahoma" w:hAnsi="Tahoma" w:cs="Tahoma" w:hint="cs"/>
                          <w:color w:val="FFFFFF" w:themeColor="background1"/>
                          <w:spacing w:val="6"/>
                          <w:sz w:val="17"/>
                          <w:szCs w:val="17"/>
                          <w:rtl/>
                        </w:rPr>
                        <w:t xml:space="preserve"> </w:t>
                      </w:r>
                      <w:r w:rsidRPr="0007214D">
                        <w:rPr>
                          <w:rFonts w:ascii="Tahoma" w:hAnsi="Tahoma" w:cs="Tahoma"/>
                          <w:color w:val="FFFFFF" w:themeColor="background1"/>
                          <w:spacing w:val="6"/>
                          <w:sz w:val="17"/>
                          <w:szCs w:val="17"/>
                          <w:rtl/>
                        </w:rPr>
                        <w:t>|</w:t>
                      </w:r>
                      <w:r w:rsidRPr="0007214D">
                        <w:rPr>
                          <w:rFonts w:ascii="Tahoma" w:hAnsi="Tahoma" w:cs="Tahoma" w:hint="cs"/>
                          <w:color w:val="FFFFFF" w:themeColor="background1"/>
                          <w:spacing w:val="6"/>
                          <w:sz w:val="17"/>
                          <w:szCs w:val="17"/>
                          <w:rtl/>
                        </w:rPr>
                        <w:t xml:space="preserve"> דוח </w:t>
                      </w:r>
                      <w:r w:rsidRPr="0007214D">
                        <w:rPr>
                          <w:rFonts w:ascii="Tahoma" w:hAnsi="Tahoma" w:cs="Tahoma"/>
                          <w:color w:val="FFFFFF" w:themeColor="background1"/>
                          <w:spacing w:val="6"/>
                          <w:sz w:val="17"/>
                          <w:szCs w:val="17"/>
                          <w:rtl/>
                        </w:rPr>
                        <w:t>שנתי 7</w:t>
                      </w:r>
                      <w:r w:rsidRPr="0007214D">
                        <w:rPr>
                          <w:rFonts w:ascii="Tahoma" w:hAnsi="Tahoma" w:cs="Tahoma" w:hint="cs"/>
                          <w:color w:val="FFFFFF" w:themeColor="background1"/>
                          <w:spacing w:val="6"/>
                          <w:sz w:val="17"/>
                          <w:szCs w:val="17"/>
                          <w:rtl/>
                        </w:rPr>
                        <w:t>2א - חלק ראשון | התשפ"א-2021</w:t>
                      </w:r>
                    </w:p>
                  </w:txbxContent>
                </v:textbox>
              </v:shape>
            </w:pict>
          </mc:Fallback>
        </mc:AlternateContent>
      </w:r>
      <w:r w:rsidR="00E539EA" w:rsidRPr="00E539EA">
        <w:rPr>
          <w:rFonts w:ascii="Tahoma" w:hAnsi="Tahoma" w:cs="Tahoma"/>
          <w:noProof/>
          <w:sz w:val="17"/>
          <w:szCs w:val="18"/>
        </w:rPr>
        <mc:AlternateContent>
          <mc:Choice Requires="wps">
            <w:drawing>
              <wp:anchor distT="0" distB="0" distL="114300" distR="114300" simplePos="0" relativeHeight="251655680" behindDoc="0" locked="0" layoutInCell="1" allowOverlap="1" wp14:anchorId="72B37D26" wp14:editId="109B99EA">
                <wp:simplePos x="0" y="0"/>
                <wp:positionH relativeFrom="column">
                  <wp:posOffset>-641350</wp:posOffset>
                </wp:positionH>
                <wp:positionV relativeFrom="paragraph">
                  <wp:posOffset>2553335</wp:posOffset>
                </wp:positionV>
                <wp:extent cx="3550920" cy="2152650"/>
                <wp:effectExtent l="0" t="0" r="0" b="0"/>
                <wp:wrapNone/>
                <wp:docPr id="18" name="Text Box 2" descr="''מדיניות פעם אחת''&#10;לשיפור השירות הממשלתי הדיגיטלי לציבו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2152650"/>
                        </a:xfrm>
                        <a:prstGeom prst="rect">
                          <a:avLst/>
                        </a:prstGeom>
                        <a:noFill/>
                        <a:ln w="9525">
                          <a:noFill/>
                          <a:miter lim="800000"/>
                          <a:headEnd/>
                          <a:tailEnd/>
                        </a:ln>
                      </wps:spPr>
                      <wps:txbx>
                        <w:txbxContent>
                          <w:p w14:paraId="0040AB6F" w14:textId="41F205B5" w:rsidR="00106932" w:rsidRPr="00A75949" w:rsidRDefault="00106932" w:rsidP="006061A9">
                            <w:pPr>
                              <w:spacing w:after="0" w:line="600" w:lineRule="exact"/>
                              <w:rPr>
                                <w:rFonts w:ascii="Tahoma" w:hAnsi="Tahoma" w:cs="Tahoma"/>
                                <w:b/>
                                <w:bCs/>
                                <w:color w:val="FFFFFF" w:themeColor="background1"/>
                                <w:spacing w:val="6"/>
                                <w:sz w:val="44"/>
                                <w:szCs w:val="44"/>
                                <w:rtl/>
                              </w:rPr>
                            </w:pPr>
                            <w:r w:rsidRPr="007F2A9E">
                              <w:rPr>
                                <w:rFonts w:ascii="Tahoma" w:hAnsi="Tahoma" w:cs="Tahoma"/>
                                <w:b/>
                                <w:bCs/>
                                <w:color w:val="FFFFFF" w:themeColor="background1"/>
                                <w:spacing w:val="6"/>
                                <w:sz w:val="44"/>
                                <w:szCs w:val="44"/>
                                <w:rtl/>
                              </w:rPr>
                              <w:t>"</w:t>
                            </w:r>
                            <w:r w:rsidRPr="007F2A9E">
                              <w:rPr>
                                <w:rFonts w:ascii="Tahoma" w:hAnsi="Tahoma" w:cs="Tahoma" w:hint="eastAsia"/>
                                <w:b/>
                                <w:bCs/>
                                <w:color w:val="FFFFFF" w:themeColor="background1"/>
                                <w:spacing w:val="6"/>
                                <w:sz w:val="44"/>
                                <w:szCs w:val="44"/>
                                <w:rtl/>
                              </w:rPr>
                              <w:t>מדיניות</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פעם</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אחת</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לשיפור</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השירות</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הממשלתי</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הדיגיטלי</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לציבור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37D26" id="_x0000_s1027" type="#_x0000_t202" alt="''מדיניות פעם אחת''&#10;לשיפור השירות הממשלתי הדיגיטלי לציבור" style="position:absolute;left:0;text-align:left;margin-left:-50.5pt;margin-top:201.05pt;width:279.6pt;height:16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" filled="f" stroked="f">
                <v:textbox>
                  <w:txbxContent>
                    <w:p w14:paraId="0040AB6F" w14:textId="41F205B5" w:rsidR="00106932" w:rsidRPr="00A75949" w:rsidRDefault="00106932" w:rsidP="006061A9">
                      <w:pPr>
                        <w:spacing w:after="0" w:line="600" w:lineRule="exact"/>
                        <w:rPr>
                          <w:rFonts w:ascii="Tahoma" w:hAnsi="Tahoma" w:cs="Tahoma"/>
                          <w:b/>
                          <w:bCs/>
                          <w:color w:val="FFFFFF" w:themeColor="background1"/>
                          <w:spacing w:val="6"/>
                          <w:sz w:val="44"/>
                          <w:szCs w:val="44"/>
                          <w:rtl/>
                        </w:rPr>
                      </w:pPr>
                      <w:r w:rsidRPr="007F2A9E">
                        <w:rPr>
                          <w:rFonts w:ascii="Tahoma" w:hAnsi="Tahoma" w:cs="Tahoma"/>
                          <w:b/>
                          <w:bCs/>
                          <w:color w:val="FFFFFF" w:themeColor="background1"/>
                          <w:spacing w:val="6"/>
                          <w:sz w:val="44"/>
                          <w:szCs w:val="44"/>
                          <w:rtl/>
                        </w:rPr>
                        <w:t>"</w:t>
                      </w:r>
                      <w:r w:rsidRPr="007F2A9E">
                        <w:rPr>
                          <w:rFonts w:ascii="Tahoma" w:hAnsi="Tahoma" w:cs="Tahoma" w:hint="eastAsia"/>
                          <w:b/>
                          <w:bCs/>
                          <w:color w:val="FFFFFF" w:themeColor="background1"/>
                          <w:spacing w:val="6"/>
                          <w:sz w:val="44"/>
                          <w:szCs w:val="44"/>
                          <w:rtl/>
                        </w:rPr>
                        <w:t>מדיניות</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פעם</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אחת</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לשיפור</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השירות</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הממשלתי</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הדיגיטלי</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לציבור</w:t>
                      </w:r>
                    </w:p>
                  </w:txbxContent>
                </v:textbox>
              </v:shape>
            </w:pict>
          </mc:Fallback>
        </mc:AlternateContent>
      </w:r>
      <w:r w:rsidR="00E539EA" w:rsidRPr="00E539EA">
        <w:rPr>
          <w:rFonts w:ascii="Tahoma" w:hAnsi="Tahoma" w:cs="Tahoma"/>
          <w:noProof/>
          <w:sz w:val="17"/>
          <w:szCs w:val="18"/>
        </w:rPr>
        <mc:AlternateContent>
          <mc:Choice Requires="wps">
            <w:drawing>
              <wp:anchor distT="0" distB="0" distL="114300" distR="114300" simplePos="0" relativeHeight="251649536" behindDoc="0" locked="0" layoutInCell="1" allowOverlap="1" wp14:anchorId="0A0749AC" wp14:editId="27A6A424">
                <wp:simplePos x="0" y="0"/>
                <wp:positionH relativeFrom="column">
                  <wp:posOffset>287655</wp:posOffset>
                </wp:positionH>
                <wp:positionV relativeFrom="paragraph">
                  <wp:posOffset>2161540</wp:posOffset>
                </wp:positionV>
                <wp:extent cx="2620645" cy="337820"/>
                <wp:effectExtent l="0" t="0" r="0" b="5080"/>
                <wp:wrapNone/>
                <wp:docPr id="16" name="Text Box 2" descr="משרד הדיגיטל הלאומ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645" cy="337820"/>
                        </a:xfrm>
                        <a:prstGeom prst="rect">
                          <a:avLst/>
                        </a:prstGeom>
                        <a:noFill/>
                        <a:ln w="9525">
                          <a:noFill/>
                          <a:miter lim="800000"/>
                          <a:headEnd/>
                          <a:tailEnd/>
                        </a:ln>
                      </wps:spPr>
                      <wps:txbx>
                        <w:txbxContent>
                          <w:p w14:paraId="563185BD" w14:textId="4D95BF1A" w:rsidR="00106932" w:rsidRPr="00A75949" w:rsidRDefault="00106932" w:rsidP="00E539EA">
                            <w:pPr>
                              <w:rPr>
                                <w:rFonts w:ascii="Tahoma" w:hAnsi="Tahoma" w:cs="Tahoma"/>
                                <w:color w:val="FFFFFF" w:themeColor="background1"/>
                                <w:spacing w:val="6"/>
                                <w:sz w:val="28"/>
                                <w:szCs w:val="28"/>
                                <w:rtl/>
                              </w:rPr>
                            </w:pPr>
                            <w:r w:rsidRPr="00714849">
                              <w:rPr>
                                <w:rFonts w:ascii="Tahoma" w:hAnsi="Tahoma" w:cs="Tahoma" w:hint="eastAsia"/>
                                <w:color w:val="FFFFFF" w:themeColor="background1"/>
                                <w:spacing w:val="6"/>
                                <w:sz w:val="28"/>
                                <w:szCs w:val="28"/>
                                <w:rtl/>
                              </w:rPr>
                              <w:t>משרד</w:t>
                            </w:r>
                            <w:r w:rsidRPr="00714849">
                              <w:rPr>
                                <w:rFonts w:ascii="Tahoma" w:hAnsi="Tahoma" w:cs="Tahoma"/>
                                <w:color w:val="FFFFFF" w:themeColor="background1"/>
                                <w:spacing w:val="6"/>
                                <w:sz w:val="28"/>
                                <w:szCs w:val="28"/>
                                <w:rtl/>
                              </w:rPr>
                              <w:t xml:space="preserve"> </w:t>
                            </w:r>
                            <w:proofErr w:type="spellStart"/>
                            <w:r w:rsidRPr="00714849">
                              <w:rPr>
                                <w:rFonts w:ascii="Tahoma" w:hAnsi="Tahoma" w:cs="Tahoma" w:hint="eastAsia"/>
                                <w:color w:val="FFFFFF" w:themeColor="background1"/>
                                <w:spacing w:val="6"/>
                                <w:sz w:val="28"/>
                                <w:szCs w:val="28"/>
                                <w:rtl/>
                              </w:rPr>
                              <w:t>הדיגיטל</w:t>
                            </w:r>
                            <w:proofErr w:type="spellEnd"/>
                            <w:r w:rsidRPr="00714849">
                              <w:rPr>
                                <w:rFonts w:ascii="Tahoma" w:hAnsi="Tahoma" w:cs="Tahoma"/>
                                <w:color w:val="FFFFFF" w:themeColor="background1"/>
                                <w:spacing w:val="6"/>
                                <w:sz w:val="28"/>
                                <w:szCs w:val="28"/>
                                <w:rtl/>
                              </w:rPr>
                              <w:t xml:space="preserve"> </w:t>
                            </w:r>
                            <w:r w:rsidRPr="00714849">
                              <w:rPr>
                                <w:rFonts w:ascii="Tahoma" w:hAnsi="Tahoma" w:cs="Tahoma" w:hint="eastAsia"/>
                                <w:color w:val="FFFFFF" w:themeColor="background1"/>
                                <w:spacing w:val="6"/>
                                <w:sz w:val="28"/>
                                <w:szCs w:val="28"/>
                                <w:rtl/>
                              </w:rPr>
                              <w:t>הלאומי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749AC" id="_x0000_s1028" type="#_x0000_t202" alt="משרד הדיגיטל הלאומי" style="position:absolute;left:0;text-align:left;margin-left:22.65pt;margin-top:170.2pt;width:206.35pt;height:26.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" filled="f" stroked="f">
                <v:textbox>
                  <w:txbxContent>
                    <w:p w14:paraId="563185BD" w14:textId="4D95BF1A" w:rsidR="00106932" w:rsidRPr="00A75949" w:rsidRDefault="00106932" w:rsidP="00E539EA">
                      <w:pPr>
                        <w:rPr>
                          <w:rFonts w:ascii="Tahoma" w:hAnsi="Tahoma" w:cs="Tahoma"/>
                          <w:color w:val="FFFFFF" w:themeColor="background1"/>
                          <w:spacing w:val="6"/>
                          <w:sz w:val="28"/>
                          <w:szCs w:val="28"/>
                          <w:rtl/>
                        </w:rPr>
                      </w:pPr>
                      <w:r w:rsidRPr="00714849">
                        <w:rPr>
                          <w:rFonts w:ascii="Tahoma" w:hAnsi="Tahoma" w:cs="Tahoma" w:hint="eastAsia"/>
                          <w:color w:val="FFFFFF" w:themeColor="background1"/>
                          <w:spacing w:val="6"/>
                          <w:sz w:val="28"/>
                          <w:szCs w:val="28"/>
                          <w:rtl/>
                        </w:rPr>
                        <w:t>משרד</w:t>
                      </w:r>
                      <w:r w:rsidRPr="00714849">
                        <w:rPr>
                          <w:rFonts w:ascii="Tahoma" w:hAnsi="Tahoma" w:cs="Tahoma"/>
                          <w:color w:val="FFFFFF" w:themeColor="background1"/>
                          <w:spacing w:val="6"/>
                          <w:sz w:val="28"/>
                          <w:szCs w:val="28"/>
                          <w:rtl/>
                        </w:rPr>
                        <w:t xml:space="preserve"> </w:t>
                      </w:r>
                      <w:proofErr w:type="spellStart"/>
                      <w:r w:rsidRPr="00714849">
                        <w:rPr>
                          <w:rFonts w:ascii="Tahoma" w:hAnsi="Tahoma" w:cs="Tahoma" w:hint="eastAsia"/>
                          <w:color w:val="FFFFFF" w:themeColor="background1"/>
                          <w:spacing w:val="6"/>
                          <w:sz w:val="28"/>
                          <w:szCs w:val="28"/>
                          <w:rtl/>
                        </w:rPr>
                        <w:t>הדיגיטל</w:t>
                      </w:r>
                      <w:proofErr w:type="spellEnd"/>
                      <w:r w:rsidRPr="00714849">
                        <w:rPr>
                          <w:rFonts w:ascii="Tahoma" w:hAnsi="Tahoma" w:cs="Tahoma"/>
                          <w:color w:val="FFFFFF" w:themeColor="background1"/>
                          <w:spacing w:val="6"/>
                          <w:sz w:val="28"/>
                          <w:szCs w:val="28"/>
                          <w:rtl/>
                        </w:rPr>
                        <w:t xml:space="preserve"> </w:t>
                      </w:r>
                      <w:r w:rsidRPr="00714849">
                        <w:rPr>
                          <w:rFonts w:ascii="Tahoma" w:hAnsi="Tahoma" w:cs="Tahoma" w:hint="eastAsia"/>
                          <w:color w:val="FFFFFF" w:themeColor="background1"/>
                          <w:spacing w:val="6"/>
                          <w:sz w:val="28"/>
                          <w:szCs w:val="28"/>
                          <w:rtl/>
                        </w:rPr>
                        <w:t>הלאומי</w:t>
                      </w:r>
                    </w:p>
                  </w:txbxContent>
                </v:textbox>
              </v:shape>
            </w:pict>
          </mc:Fallback>
        </mc:AlternateContent>
      </w:r>
      <w:r w:rsidR="00BE237A">
        <w:rPr>
          <w:rFonts w:ascii="Tahoma" w:hAnsi="Tahoma" w:cs="Tahoma"/>
          <w:noProof/>
          <w:sz w:val="17"/>
          <w:szCs w:val="18"/>
          <w:rtl/>
          <w:lang w:val="he-IL"/>
        </w:rPr>
        <w:drawing>
          <wp:anchor distT="0" distB="0" distL="114300" distR="114300" simplePos="0" relativeHeight="251668992" behindDoc="1" locked="0" layoutInCell="1" allowOverlap="1" wp14:anchorId="1D5BF6A3" wp14:editId="75AA1A50">
            <wp:simplePos x="1432560" y="1981200"/>
            <wp:positionH relativeFrom="page">
              <wp:align>center</wp:align>
            </wp:positionH>
            <wp:positionV relativeFrom="page">
              <wp:align>center</wp:align>
            </wp:positionV>
            <wp:extent cx="6840000" cy="935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40000" cy="9356400"/>
                    </a:xfrm>
                    <a:prstGeom prst="rect">
                      <a:avLst/>
                    </a:prstGeom>
                  </pic:spPr>
                </pic:pic>
              </a:graphicData>
            </a:graphic>
            <wp14:sizeRelH relativeFrom="margin">
              <wp14:pctWidth>0</wp14:pctWidth>
            </wp14:sizeRelH>
            <wp14:sizeRelV relativeFrom="margin">
              <wp14:pctHeight>0</wp14:pctHeight>
            </wp14:sizeRelV>
          </wp:anchor>
        </w:drawing>
      </w:r>
    </w:p>
    <w:p w14:paraId="5A8B3171" w14:textId="77777777" w:rsidR="006C5F46" w:rsidRPr="00E077B7" w:rsidRDefault="006C5F46" w:rsidP="00E077B7">
      <w:pPr>
        <w:pStyle w:val="NAME"/>
        <w:rPr>
          <w:rtl/>
        </w:rPr>
        <w:sectPr w:rsidR="006C5F46" w:rsidRPr="00E077B7" w:rsidSect="00843996">
          <w:footerReference w:type="even" r:id="rId13"/>
          <w:footerReference w:type="default" r:id="rId14"/>
          <w:pgSz w:w="11906" w:h="16838" w:code="9"/>
          <w:pgMar w:top="3119" w:right="2268" w:bottom="2268" w:left="2268" w:header="1985" w:footer="709" w:gutter="0"/>
          <w:pgNumType w:start="725"/>
          <w:cols w:space="708"/>
          <w:titlePg/>
          <w:bidi/>
          <w:rtlGutter/>
          <w:docGrid w:linePitch="360"/>
        </w:sectPr>
      </w:pPr>
    </w:p>
    <w:p w14:paraId="28F4B19D" w14:textId="77777777" w:rsidR="00F1368B" w:rsidRPr="00590929" w:rsidRDefault="00F1368B" w:rsidP="003323CD">
      <w:pPr>
        <w:spacing w:line="240" w:lineRule="exact"/>
        <w:jc w:val="both"/>
        <w:rPr>
          <w:rFonts w:ascii="Tahoma" w:hAnsi="Tahoma" w:cs="Tahoma"/>
          <w:sz w:val="17"/>
          <w:szCs w:val="18"/>
          <w:rtl/>
        </w:rPr>
      </w:pPr>
    </w:p>
    <w:p w14:paraId="4E4EADA6" w14:textId="77777777" w:rsidR="00327FBF" w:rsidRPr="0010599F" w:rsidRDefault="00327FBF" w:rsidP="003323CD">
      <w:pPr>
        <w:spacing w:line="240" w:lineRule="exact"/>
        <w:jc w:val="both"/>
        <w:rPr>
          <w:rFonts w:ascii="Tahoma" w:hAnsi="Tahoma" w:cs="Tahoma"/>
          <w:sz w:val="17"/>
          <w:szCs w:val="17"/>
          <w:rtl/>
        </w:rPr>
        <w:sectPr w:rsidR="00327FBF" w:rsidRPr="0010599F" w:rsidSect="00946475">
          <w:headerReference w:type="even" r:id="rId15"/>
          <w:headerReference w:type="default" r:id="rId16"/>
          <w:headerReference w:type="first" r:id="rId17"/>
          <w:pgSz w:w="11906" w:h="16838" w:code="9"/>
          <w:pgMar w:top="3119" w:right="2268" w:bottom="2268" w:left="2268" w:header="1871" w:footer="709" w:gutter="0"/>
          <w:cols w:space="708"/>
          <w:titlePg/>
          <w:bidi/>
          <w:rtlGutter/>
          <w:docGrid w:linePitch="360"/>
        </w:sectPr>
      </w:pPr>
    </w:p>
    <w:bookmarkEnd w:id="0"/>
    <w:bookmarkEnd w:id="1"/>
    <w:bookmarkEnd w:id="2"/>
    <w:bookmarkEnd w:id="3"/>
    <w:bookmarkEnd w:id="4"/>
    <w:p w14:paraId="2DE43831" w14:textId="5AA82A01" w:rsidR="0013238E" w:rsidRPr="00902625" w:rsidRDefault="0046732A" w:rsidP="008723A0">
      <w:pPr>
        <w:pStyle w:val="KOT1N"/>
        <w:bidi/>
      </w:pPr>
      <w:r w:rsidRPr="0046732A">
        <w:rPr>
          <w:rtl/>
        </w:rPr>
        <w:lastRenderedPageBreak/>
        <w:t>"</w:t>
      </w:r>
      <w:r w:rsidRPr="0046732A">
        <w:rPr>
          <w:rFonts w:hint="eastAsia"/>
          <w:rtl/>
        </w:rPr>
        <w:t>מדיניות</w:t>
      </w:r>
      <w:r w:rsidRPr="0046732A">
        <w:rPr>
          <w:rtl/>
        </w:rPr>
        <w:t xml:space="preserve"> </w:t>
      </w:r>
      <w:r w:rsidRPr="0046732A">
        <w:rPr>
          <w:rFonts w:hint="eastAsia"/>
          <w:rtl/>
        </w:rPr>
        <w:t>פעם</w:t>
      </w:r>
      <w:r w:rsidRPr="0046732A">
        <w:rPr>
          <w:rtl/>
        </w:rPr>
        <w:t xml:space="preserve"> </w:t>
      </w:r>
      <w:r w:rsidRPr="0046732A">
        <w:rPr>
          <w:rFonts w:hint="eastAsia"/>
          <w:rtl/>
        </w:rPr>
        <w:t>אחת</w:t>
      </w:r>
      <w:r w:rsidRPr="0046732A">
        <w:rPr>
          <w:rtl/>
        </w:rPr>
        <w:t xml:space="preserve">" </w:t>
      </w:r>
      <w:r w:rsidRPr="0046732A">
        <w:rPr>
          <w:rFonts w:hint="eastAsia"/>
          <w:rtl/>
        </w:rPr>
        <w:t>לשיפור</w:t>
      </w:r>
      <w:r w:rsidRPr="0046732A">
        <w:rPr>
          <w:rtl/>
        </w:rPr>
        <w:t xml:space="preserve"> </w:t>
      </w:r>
      <w:r w:rsidRPr="0046732A">
        <w:rPr>
          <w:rFonts w:hint="eastAsia"/>
          <w:rtl/>
        </w:rPr>
        <w:t>השירות</w:t>
      </w:r>
      <w:r w:rsidRPr="0046732A">
        <w:rPr>
          <w:rtl/>
        </w:rPr>
        <w:t xml:space="preserve"> </w:t>
      </w:r>
      <w:r w:rsidRPr="0046732A">
        <w:rPr>
          <w:rFonts w:hint="eastAsia"/>
          <w:rtl/>
        </w:rPr>
        <w:t>הממשלתי</w:t>
      </w:r>
      <w:r w:rsidRPr="0046732A">
        <w:rPr>
          <w:rtl/>
        </w:rPr>
        <w:t xml:space="preserve"> </w:t>
      </w:r>
      <w:r w:rsidRPr="0046732A">
        <w:rPr>
          <w:rFonts w:hint="eastAsia"/>
          <w:rtl/>
        </w:rPr>
        <w:t>הדיגיטלי</w:t>
      </w:r>
      <w:r w:rsidRPr="0046732A">
        <w:rPr>
          <w:rtl/>
        </w:rPr>
        <w:t xml:space="preserve"> </w:t>
      </w:r>
      <w:r w:rsidRPr="0046732A">
        <w:rPr>
          <w:rFonts w:hint="eastAsia"/>
          <w:rtl/>
        </w:rPr>
        <w:t>לציבור</w:t>
      </w:r>
    </w:p>
    <w:p w14:paraId="37463414" w14:textId="77777777" w:rsidR="007C237A" w:rsidRPr="0013238E" w:rsidRDefault="007C237A" w:rsidP="00FE0AD4">
      <w:pPr>
        <w:pStyle w:val="running-text"/>
        <w:bidi/>
        <w:spacing w:line="360" w:lineRule="auto"/>
        <w:ind w:right="0"/>
        <w:rPr>
          <w:sz w:val="24"/>
          <w:rtl/>
        </w:rPr>
      </w:pPr>
    </w:p>
    <w:p w14:paraId="229CE14A" w14:textId="2C088F17" w:rsidR="00D82742" w:rsidRDefault="00CF3951" w:rsidP="00D82742">
      <w:pPr>
        <w:spacing w:after="18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lang w:val="he-IL"/>
        </w:rPr>
        <w:drawing>
          <wp:inline distT="0" distB="0" distL="0" distR="0" wp14:anchorId="5F662891" wp14:editId="57413AC7">
            <wp:extent cx="1335027" cy="323089"/>
            <wp:effectExtent l="0" t="0" r="0" b="1270"/>
            <wp:docPr id="23" name="Picture 23"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5027" cy="323089"/>
                    </a:xfrm>
                    <a:prstGeom prst="rect">
                      <a:avLst/>
                    </a:prstGeom>
                  </pic:spPr>
                </pic:pic>
              </a:graphicData>
            </a:graphic>
          </wp:inline>
        </w:drawing>
      </w:r>
    </w:p>
    <w:p w14:paraId="622F917E" w14:textId="41DD4A1D" w:rsidR="0046732A" w:rsidRDefault="0046732A" w:rsidP="0046732A">
      <w:pPr>
        <w:spacing w:after="180" w:line="260" w:lineRule="exact"/>
        <w:jc w:val="both"/>
        <w:rPr>
          <w:rFonts w:ascii="Tahoma" w:hAnsi="Tahoma" w:cs="Tahoma"/>
          <w:color w:val="0D0D0D" w:themeColor="text1" w:themeTint="F2"/>
          <w:sz w:val="24"/>
          <w:szCs w:val="18"/>
          <w:rtl/>
        </w:rPr>
      </w:pPr>
      <w:r w:rsidRPr="0046732A">
        <w:rPr>
          <w:rFonts w:ascii="Tahoma" w:hAnsi="Tahoma" w:cs="Tahoma" w:hint="cs"/>
          <w:color w:val="0D0D0D" w:themeColor="text1" w:themeTint="F2"/>
          <w:sz w:val="24"/>
          <w:szCs w:val="18"/>
          <w:rtl/>
        </w:rPr>
        <w:t>ההתפתחות הטכנולוגית בעולם הובילה לגידול בצריכת שירותים דיגיטליים על ידי אזרחים ועסקים. מגמה זו יצרה הזדמנות לייעל את תהליכי השירות שמעניקים משרדי הממשלה לציבור. זאת למשל באמצעות השימוש ב"מדיניות פעם אחת", שמשמעה קבלת מידע</w:t>
      </w:r>
      <w:r w:rsidRPr="0046732A">
        <w:rPr>
          <w:color w:val="0D0D0D" w:themeColor="text1" w:themeTint="F2"/>
          <w:sz w:val="24"/>
          <w:szCs w:val="18"/>
          <w:vertAlign w:val="superscript"/>
          <w:rtl/>
        </w:rPr>
        <w:footnoteReference w:id="1"/>
      </w:r>
      <w:r w:rsidRPr="0046732A">
        <w:rPr>
          <w:rFonts w:ascii="Tahoma" w:hAnsi="Tahoma" w:cs="Tahoma" w:hint="cs"/>
          <w:color w:val="0D0D0D" w:themeColor="text1" w:themeTint="F2"/>
          <w:sz w:val="24"/>
          <w:szCs w:val="18"/>
          <w:rtl/>
        </w:rPr>
        <w:t xml:space="preserve"> מהאזרח פעם אחת בלבד ושיתופו בין גופי ממשלה לצורך מתן שירותים שונים, בלי שהאזרח יידרש למוסרו בכל פעם מחדש. בשנת 2016 החליטה הממשלה</w:t>
      </w:r>
      <w:r w:rsidRPr="0046732A">
        <w:rPr>
          <w:color w:val="0D0D0D" w:themeColor="text1" w:themeTint="F2"/>
          <w:sz w:val="24"/>
          <w:szCs w:val="18"/>
          <w:vertAlign w:val="superscript"/>
          <w:rtl/>
        </w:rPr>
        <w:footnoteReference w:id="2"/>
      </w:r>
      <w:r w:rsidRPr="0046732A">
        <w:rPr>
          <w:rFonts w:ascii="Tahoma" w:hAnsi="Tahoma" w:cs="Tahoma" w:hint="cs"/>
          <w:color w:val="0D0D0D" w:themeColor="text1" w:themeTint="F2"/>
          <w:sz w:val="24"/>
          <w:szCs w:val="18"/>
          <w:rtl/>
        </w:rPr>
        <w:t xml:space="preserve"> לאמץ מדיניות פעם אחת במשרדי הממשלה וביחידות הסמך, לשם שיפור השירות הממשלתי לציבור והפחתת הנטל הבירוקרטי המוטל עליו.</w:t>
      </w:r>
    </w:p>
    <w:p w14:paraId="61711426" w14:textId="77777777" w:rsidR="00564717" w:rsidRPr="0046732A" w:rsidRDefault="00564717" w:rsidP="0046732A">
      <w:pPr>
        <w:spacing w:after="180" w:line="260" w:lineRule="exact"/>
        <w:jc w:val="both"/>
        <w:rPr>
          <w:rFonts w:ascii="Tahoma" w:hAnsi="Tahoma" w:cs="Tahoma"/>
          <w:color w:val="0D0D0D" w:themeColor="text1" w:themeTint="F2"/>
          <w:sz w:val="24"/>
          <w:szCs w:val="18"/>
          <w:rtl/>
        </w:rPr>
      </w:pPr>
    </w:p>
    <w:p w14:paraId="5F735960" w14:textId="7C78CA91" w:rsidR="00564717" w:rsidRPr="00DA3862" w:rsidRDefault="00564717" w:rsidP="00564717">
      <w:pPr>
        <w:spacing w:before="240" w:after="180" w:line="240" w:lineRule="atLeast"/>
        <w:jc w:val="both"/>
        <w:rPr>
          <w:rtl/>
        </w:rPr>
      </w:pPr>
    </w:p>
    <w:tbl>
      <w:tblPr>
        <w:tblStyle w:val="af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331"/>
        <w:gridCol w:w="120"/>
        <w:gridCol w:w="2560"/>
        <w:gridCol w:w="120"/>
        <w:gridCol w:w="2239"/>
      </w:tblGrid>
      <w:tr w:rsidR="00564717" w:rsidRPr="00DB4D24" w14:paraId="5DFE0B67" w14:textId="77777777" w:rsidTr="007B1279">
        <w:tc>
          <w:tcPr>
            <w:tcW w:w="0" w:type="auto"/>
            <w:tcBorders>
              <w:bottom w:val="single" w:sz="8" w:space="0" w:color="auto"/>
            </w:tcBorders>
          </w:tcPr>
          <w:p w14:paraId="6738984E" w14:textId="77777777" w:rsidR="00564717" w:rsidRPr="00273409" w:rsidRDefault="00564717" w:rsidP="007B1279">
            <w:pPr>
              <w:spacing w:before="120" w:after="60" w:line="240" w:lineRule="auto"/>
              <w:rPr>
                <w:rFonts w:ascii="Tahoma" w:hAnsi="Tahoma" w:cs="Tahoma"/>
                <w:b/>
                <w:bCs/>
                <w:color w:val="0D0D0D" w:themeColor="text1" w:themeTint="F2"/>
                <w:sz w:val="36"/>
                <w:szCs w:val="36"/>
                <w:rtl/>
              </w:rPr>
            </w:pPr>
            <w:r w:rsidRPr="00DB39FE">
              <w:rPr>
                <w:rFonts w:ascii="Tahoma" w:hAnsi="Tahoma" w:cs="Tahoma" w:hint="cs"/>
                <w:b/>
                <w:bCs/>
                <w:color w:val="0D0D0D" w:themeColor="text1" w:themeTint="F2"/>
                <w:sz w:val="36"/>
                <w:szCs w:val="36"/>
                <w:rtl/>
              </w:rPr>
              <w:t>פי 50</w:t>
            </w:r>
            <w:r w:rsidRPr="00DB39FE">
              <w:rPr>
                <w:rFonts w:ascii="Tahoma" w:hAnsi="Tahoma" w:cs="Tahoma"/>
                <w:b/>
                <w:bCs/>
                <w:color w:val="0D0D0D" w:themeColor="text1" w:themeTint="F2"/>
                <w:sz w:val="36"/>
                <w:szCs w:val="36"/>
                <w:rtl/>
              </w:rPr>
              <w:t xml:space="preserve"> </w:t>
            </w:r>
          </w:p>
        </w:tc>
        <w:tc>
          <w:tcPr>
            <w:tcW w:w="0" w:type="auto"/>
          </w:tcPr>
          <w:p w14:paraId="0137DFC7" w14:textId="77777777" w:rsidR="00564717" w:rsidRPr="00EB7D7A" w:rsidRDefault="00564717" w:rsidP="007B1279">
            <w:pPr>
              <w:spacing w:before="120" w:after="60" w:line="240" w:lineRule="auto"/>
              <w:rPr>
                <w:rFonts w:ascii="Tahoma" w:hAnsi="Tahoma" w:cs="Tahoma"/>
                <w:b/>
                <w:bCs/>
                <w:color w:val="0D0D0D" w:themeColor="text1" w:themeTint="F2"/>
                <w:spacing w:val="-10"/>
              </w:rPr>
            </w:pPr>
          </w:p>
        </w:tc>
        <w:tc>
          <w:tcPr>
            <w:tcW w:w="0" w:type="auto"/>
            <w:tcBorders>
              <w:bottom w:val="single" w:sz="8" w:space="0" w:color="auto"/>
            </w:tcBorders>
          </w:tcPr>
          <w:p w14:paraId="579076EF" w14:textId="77777777" w:rsidR="00564717" w:rsidRPr="00273409" w:rsidRDefault="00564717" w:rsidP="007B1279">
            <w:pPr>
              <w:spacing w:before="120" w:after="60" w:line="240" w:lineRule="auto"/>
              <w:rPr>
                <w:rFonts w:ascii="Tahoma" w:hAnsi="Tahoma" w:cs="Tahoma"/>
                <w:b/>
                <w:bCs/>
                <w:color w:val="0D0D0D" w:themeColor="text1" w:themeTint="F2"/>
                <w:sz w:val="36"/>
                <w:szCs w:val="36"/>
                <w:rtl/>
              </w:rPr>
            </w:pPr>
            <w:r w:rsidRPr="00DB39FE">
              <w:rPr>
                <w:rFonts w:ascii="Tahoma" w:hAnsi="Tahoma" w:cs="Tahoma" w:hint="cs"/>
                <w:b/>
                <w:bCs/>
                <w:color w:val="0D0D0D" w:themeColor="text1" w:themeTint="F2"/>
                <w:sz w:val="36"/>
                <w:szCs w:val="36"/>
                <w:rtl/>
              </w:rPr>
              <w:t>55%</w:t>
            </w:r>
          </w:p>
        </w:tc>
        <w:tc>
          <w:tcPr>
            <w:tcW w:w="0" w:type="auto"/>
          </w:tcPr>
          <w:p w14:paraId="5C2F9E04" w14:textId="77777777" w:rsidR="00564717" w:rsidRPr="00273409" w:rsidRDefault="00564717" w:rsidP="007B1279">
            <w:pPr>
              <w:spacing w:before="120" w:after="60" w:line="240" w:lineRule="auto"/>
              <w:rPr>
                <w:rFonts w:ascii="Tahoma" w:hAnsi="Tahoma" w:cs="Tahoma"/>
                <w:b/>
                <w:bCs/>
                <w:color w:val="0D0D0D" w:themeColor="text1" w:themeTint="F2"/>
              </w:rPr>
            </w:pPr>
          </w:p>
        </w:tc>
        <w:tc>
          <w:tcPr>
            <w:tcW w:w="0" w:type="auto"/>
            <w:tcBorders>
              <w:bottom w:val="single" w:sz="8" w:space="0" w:color="auto"/>
            </w:tcBorders>
          </w:tcPr>
          <w:p w14:paraId="29CDFA0A" w14:textId="77777777" w:rsidR="00564717" w:rsidRPr="00273409" w:rsidRDefault="00564717" w:rsidP="007B1279">
            <w:pPr>
              <w:spacing w:before="120" w:after="60" w:line="240" w:lineRule="auto"/>
              <w:rPr>
                <w:rFonts w:ascii="Tahoma" w:hAnsi="Tahoma" w:cs="Tahoma"/>
                <w:b/>
                <w:bCs/>
                <w:color w:val="0D0D0D" w:themeColor="text1" w:themeTint="F2"/>
                <w:sz w:val="36"/>
                <w:szCs w:val="36"/>
              </w:rPr>
            </w:pPr>
            <w:r w:rsidRPr="00DB39FE">
              <w:rPr>
                <w:rFonts w:ascii="Tahoma" w:hAnsi="Tahoma" w:cs="Tahoma" w:hint="cs"/>
                <w:b/>
                <w:bCs/>
                <w:color w:val="0D0D0D" w:themeColor="text1" w:themeTint="F2"/>
                <w:sz w:val="36"/>
                <w:szCs w:val="36"/>
                <w:rtl/>
              </w:rPr>
              <w:t xml:space="preserve">68 </w:t>
            </w:r>
            <w:r w:rsidRPr="00B32607">
              <w:rPr>
                <w:rFonts w:ascii="Tahoma" w:hAnsi="Tahoma" w:cs="Tahoma" w:hint="cs"/>
                <w:b/>
                <w:bCs/>
                <w:color w:val="0D0D0D" w:themeColor="text1" w:themeTint="F2"/>
                <w:sz w:val="24"/>
                <w:szCs w:val="24"/>
                <w:rtl/>
              </w:rPr>
              <w:t>מתוך 100</w:t>
            </w:r>
          </w:p>
        </w:tc>
      </w:tr>
      <w:tr w:rsidR="00564717" w14:paraId="251FD19D" w14:textId="77777777" w:rsidTr="007B1279">
        <w:tc>
          <w:tcPr>
            <w:tcW w:w="0" w:type="auto"/>
            <w:tcBorders>
              <w:top w:val="single" w:sz="8" w:space="0" w:color="auto"/>
            </w:tcBorders>
          </w:tcPr>
          <w:p w14:paraId="760849FA" w14:textId="77777777" w:rsidR="00564717" w:rsidRPr="00273409" w:rsidRDefault="00564717" w:rsidP="007B1279">
            <w:pPr>
              <w:spacing w:before="60" w:after="0" w:line="240" w:lineRule="auto"/>
              <w:ind w:right="23"/>
              <w:rPr>
                <w:rFonts w:ascii="Tahoma" w:hAnsi="Tahoma" w:cs="Tahoma"/>
                <w:color w:val="0D0D0D" w:themeColor="text1" w:themeTint="F2"/>
                <w:sz w:val="18"/>
                <w:szCs w:val="18"/>
                <w:rtl/>
              </w:rPr>
            </w:pPr>
            <w:r w:rsidRPr="00DB39FE">
              <w:rPr>
                <w:rFonts w:ascii="Tahoma" w:hAnsi="Tahoma" w:cs="Tahoma" w:hint="cs"/>
                <w:color w:val="0D0D0D" w:themeColor="text1" w:themeTint="F2"/>
                <w:sz w:val="18"/>
                <w:szCs w:val="18"/>
                <w:rtl/>
              </w:rPr>
              <w:t>העלות של פעולת שירות פרונטלית (קבלת קהל בלשכות שירות ממשלתיות) לעומת העלות של פעולת שירות דיגיטלית</w:t>
            </w:r>
            <w:r w:rsidRPr="0046732A">
              <w:rPr>
                <w:rFonts w:ascii="Tahoma" w:hAnsi="Tahoma" w:cs="Tahoma"/>
                <w:color w:val="0D0D0D" w:themeColor="text1" w:themeTint="F2"/>
                <w:sz w:val="18"/>
                <w:szCs w:val="18"/>
                <w:vertAlign w:val="superscript"/>
                <w:rtl/>
              </w:rPr>
              <w:footnoteReference w:id="3"/>
            </w:r>
            <w:r w:rsidRPr="00DB39FE">
              <w:rPr>
                <w:rFonts w:ascii="Tahoma" w:hAnsi="Tahoma" w:cs="Tahoma" w:hint="cs"/>
                <w:color w:val="0D0D0D" w:themeColor="text1" w:themeTint="F2"/>
                <w:sz w:val="18"/>
                <w:szCs w:val="18"/>
                <w:rtl/>
              </w:rPr>
              <w:t>.</w:t>
            </w:r>
          </w:p>
        </w:tc>
        <w:tc>
          <w:tcPr>
            <w:tcW w:w="0" w:type="auto"/>
          </w:tcPr>
          <w:p w14:paraId="370AFAAD" w14:textId="77777777" w:rsidR="00564717" w:rsidRPr="00273409" w:rsidRDefault="00564717" w:rsidP="007B1279">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0F0E496D" w14:textId="46B6290D" w:rsidR="00564717" w:rsidRPr="00273409" w:rsidRDefault="002E5B76" w:rsidP="002E5B76">
            <w:pPr>
              <w:spacing w:before="60" w:line="240" w:lineRule="auto"/>
              <w:ind w:right="23"/>
              <w:rPr>
                <w:rFonts w:ascii="Tahoma" w:hAnsi="Tahoma" w:cs="Tahoma"/>
                <w:color w:val="0D0D0D" w:themeColor="text1" w:themeTint="F2"/>
                <w:sz w:val="18"/>
                <w:szCs w:val="18"/>
                <w:rtl/>
              </w:rPr>
            </w:pPr>
            <w:r w:rsidRPr="002E5B76">
              <w:rPr>
                <w:rFonts w:ascii="Tahoma" w:hAnsi="Tahoma" w:cs="Tahoma" w:hint="eastAsia"/>
                <w:color w:val="0D0D0D" w:themeColor="text1" w:themeTint="F2"/>
                <w:sz w:val="18"/>
                <w:szCs w:val="18"/>
                <w:rtl/>
              </w:rPr>
              <w:t>שיעור</w:t>
            </w:r>
            <w:r w:rsidRPr="002E5B76">
              <w:rPr>
                <w:rFonts w:ascii="Tahoma" w:hAnsi="Tahoma" w:cs="Tahoma"/>
                <w:color w:val="0D0D0D" w:themeColor="text1" w:themeTint="F2"/>
                <w:sz w:val="18"/>
                <w:szCs w:val="18"/>
                <w:rtl/>
              </w:rPr>
              <w:t xml:space="preserve"> </w:t>
            </w:r>
            <w:r w:rsidRPr="002E5B76">
              <w:rPr>
                <w:rFonts w:ascii="Tahoma" w:hAnsi="Tahoma" w:cs="Tahoma" w:hint="eastAsia"/>
                <w:color w:val="0D0D0D" w:themeColor="text1" w:themeTint="F2"/>
                <w:sz w:val="18"/>
                <w:szCs w:val="18"/>
                <w:rtl/>
              </w:rPr>
              <w:t>הגידול</w:t>
            </w:r>
            <w:r w:rsidRPr="002E5B76">
              <w:rPr>
                <w:rFonts w:ascii="Tahoma" w:hAnsi="Tahoma" w:cs="Tahoma"/>
                <w:color w:val="0D0D0D" w:themeColor="text1" w:themeTint="F2"/>
                <w:sz w:val="18"/>
                <w:szCs w:val="18"/>
                <w:rtl/>
              </w:rPr>
              <w:t xml:space="preserve"> </w:t>
            </w:r>
            <w:r w:rsidRPr="002E5B76">
              <w:rPr>
                <w:rFonts w:ascii="Tahoma" w:hAnsi="Tahoma" w:cs="Tahoma" w:hint="eastAsia"/>
                <w:color w:val="0D0D0D" w:themeColor="text1" w:themeTint="F2"/>
                <w:sz w:val="18"/>
                <w:szCs w:val="18"/>
                <w:rtl/>
              </w:rPr>
              <w:t>במספר</w:t>
            </w:r>
            <w:r w:rsidRPr="002E5B76">
              <w:rPr>
                <w:rFonts w:ascii="Tahoma" w:hAnsi="Tahoma" w:cs="Tahoma"/>
                <w:color w:val="0D0D0D" w:themeColor="text1" w:themeTint="F2"/>
                <w:sz w:val="18"/>
                <w:szCs w:val="18"/>
                <w:rtl/>
              </w:rPr>
              <w:t xml:space="preserve"> </w:t>
            </w:r>
            <w:r w:rsidRPr="002E5B76">
              <w:rPr>
                <w:rFonts w:ascii="Tahoma" w:hAnsi="Tahoma" w:cs="Tahoma" w:hint="eastAsia"/>
                <w:color w:val="0D0D0D" w:themeColor="text1" w:themeTint="F2"/>
                <w:sz w:val="18"/>
                <w:szCs w:val="18"/>
                <w:rtl/>
              </w:rPr>
              <w:t>הכניסות</w:t>
            </w:r>
            <w:r w:rsidRPr="002E5B76">
              <w:rPr>
                <w:rFonts w:ascii="Tahoma" w:hAnsi="Tahoma" w:cs="Tahoma"/>
                <w:color w:val="0D0D0D" w:themeColor="text1" w:themeTint="F2"/>
                <w:sz w:val="18"/>
                <w:szCs w:val="18"/>
                <w:rtl/>
              </w:rPr>
              <w:t xml:space="preserve"> </w:t>
            </w:r>
            <w:r w:rsidRPr="002E5B76">
              <w:rPr>
                <w:rFonts w:ascii="Tahoma" w:hAnsi="Tahoma" w:cs="Tahoma" w:hint="eastAsia"/>
                <w:color w:val="0D0D0D" w:themeColor="text1" w:themeTint="F2"/>
                <w:sz w:val="18"/>
                <w:szCs w:val="18"/>
                <w:rtl/>
              </w:rPr>
              <w:t>לאזור</w:t>
            </w:r>
            <w:r w:rsidRPr="002E5B76">
              <w:rPr>
                <w:rFonts w:ascii="Tahoma" w:hAnsi="Tahoma" w:cs="Tahoma"/>
                <w:color w:val="0D0D0D" w:themeColor="text1" w:themeTint="F2"/>
                <w:sz w:val="18"/>
                <w:szCs w:val="18"/>
                <w:rtl/>
              </w:rPr>
              <w:t xml:space="preserve"> </w:t>
            </w:r>
            <w:r w:rsidRPr="002E5B76">
              <w:rPr>
                <w:rFonts w:ascii="Tahoma" w:hAnsi="Tahoma" w:cs="Tahoma" w:hint="eastAsia"/>
                <w:color w:val="0D0D0D" w:themeColor="text1" w:themeTint="F2"/>
                <w:sz w:val="18"/>
                <w:szCs w:val="18"/>
                <w:rtl/>
              </w:rPr>
              <w:t>האישי</w:t>
            </w:r>
            <w:r w:rsidRPr="002E5B76">
              <w:rPr>
                <w:rFonts w:ascii="Tahoma" w:hAnsi="Tahoma" w:cs="Tahoma"/>
                <w:color w:val="0D0D0D" w:themeColor="text1" w:themeTint="F2"/>
                <w:sz w:val="18"/>
                <w:szCs w:val="18"/>
                <w:rtl/>
              </w:rPr>
              <w:t xml:space="preserve"> </w:t>
            </w:r>
            <w:r w:rsidRPr="002E5B76">
              <w:rPr>
                <w:rFonts w:ascii="Tahoma" w:hAnsi="Tahoma" w:cs="Tahoma" w:hint="eastAsia"/>
                <w:color w:val="0D0D0D" w:themeColor="text1" w:themeTint="F2"/>
                <w:sz w:val="18"/>
                <w:szCs w:val="18"/>
                <w:rtl/>
              </w:rPr>
              <w:t>באתר</w:t>
            </w:r>
            <w:r w:rsidRPr="002E5B76">
              <w:rPr>
                <w:rFonts w:ascii="Tahoma" w:hAnsi="Tahoma" w:cs="Tahoma"/>
                <w:color w:val="0D0D0D" w:themeColor="text1" w:themeTint="F2"/>
                <w:sz w:val="18"/>
                <w:szCs w:val="18"/>
                <w:rtl/>
              </w:rPr>
              <w:t xml:space="preserve"> </w:t>
            </w:r>
            <w:r w:rsidRPr="002E5B76">
              <w:rPr>
                <w:rFonts w:ascii="Tahoma" w:hAnsi="Tahoma" w:cs="Tahoma"/>
                <w:color w:val="0D0D0D" w:themeColor="text1" w:themeTint="F2"/>
                <w:sz w:val="18"/>
                <w:szCs w:val="18"/>
              </w:rPr>
              <w:t>GOV.IL</w:t>
            </w:r>
            <w:r w:rsidRPr="002E5B76">
              <w:rPr>
                <w:rFonts w:ascii="Tahoma" w:hAnsi="Tahoma" w:cs="Tahoma"/>
                <w:color w:val="0D0D0D" w:themeColor="text1" w:themeTint="F2"/>
                <w:sz w:val="18"/>
                <w:szCs w:val="18"/>
                <w:rtl/>
              </w:rPr>
              <w:t xml:space="preserve"> </w:t>
            </w:r>
            <w:r w:rsidRPr="002E5B76">
              <w:rPr>
                <w:rFonts w:ascii="Tahoma" w:hAnsi="Tahoma" w:cs="Tahoma" w:hint="eastAsia"/>
                <w:color w:val="0D0D0D" w:themeColor="text1" w:themeTint="F2"/>
                <w:sz w:val="18"/>
                <w:szCs w:val="18"/>
                <w:rtl/>
              </w:rPr>
              <w:t>בין</w:t>
            </w:r>
            <w:r w:rsidRPr="002E5B76">
              <w:rPr>
                <w:rFonts w:ascii="Tahoma" w:hAnsi="Tahoma" w:cs="Tahoma"/>
                <w:color w:val="0D0D0D" w:themeColor="text1" w:themeTint="F2"/>
                <w:sz w:val="18"/>
                <w:szCs w:val="18"/>
                <w:rtl/>
              </w:rPr>
              <w:t xml:space="preserve"> </w:t>
            </w:r>
            <w:r w:rsidRPr="002E5B76">
              <w:rPr>
                <w:rFonts w:ascii="Tahoma" w:hAnsi="Tahoma" w:cs="Tahoma" w:hint="eastAsia"/>
                <w:color w:val="0D0D0D" w:themeColor="text1" w:themeTint="F2"/>
                <w:sz w:val="18"/>
                <w:szCs w:val="18"/>
                <w:rtl/>
              </w:rPr>
              <w:t>מרץ</w:t>
            </w:r>
            <w:r w:rsidRPr="002E5B76">
              <w:rPr>
                <w:rFonts w:ascii="Tahoma" w:hAnsi="Tahoma" w:cs="Tahoma"/>
                <w:color w:val="0D0D0D" w:themeColor="text1" w:themeTint="F2"/>
                <w:sz w:val="18"/>
                <w:szCs w:val="18"/>
                <w:rtl/>
              </w:rPr>
              <w:t xml:space="preserve"> 2020 (</w:t>
            </w:r>
            <w:r w:rsidRPr="002E5B76">
              <w:rPr>
                <w:rFonts w:ascii="Tahoma" w:hAnsi="Tahoma" w:cs="Tahoma" w:hint="eastAsia"/>
                <w:color w:val="0D0D0D" w:themeColor="text1" w:themeTint="F2"/>
                <w:sz w:val="18"/>
                <w:szCs w:val="18"/>
                <w:rtl/>
              </w:rPr>
              <w:t>בזמן</w:t>
            </w:r>
            <w:r w:rsidRPr="002E5B76">
              <w:rPr>
                <w:rFonts w:ascii="Tahoma" w:hAnsi="Tahoma" w:cs="Tahoma"/>
                <w:color w:val="0D0D0D" w:themeColor="text1" w:themeTint="F2"/>
                <w:sz w:val="18"/>
                <w:szCs w:val="18"/>
                <w:rtl/>
              </w:rPr>
              <w:t xml:space="preserve"> </w:t>
            </w:r>
            <w:r w:rsidRPr="002E5B76">
              <w:rPr>
                <w:rFonts w:ascii="Tahoma" w:hAnsi="Tahoma" w:cs="Tahoma" w:hint="eastAsia"/>
                <w:color w:val="0D0D0D" w:themeColor="text1" w:themeTint="F2"/>
                <w:sz w:val="18"/>
                <w:szCs w:val="18"/>
                <w:rtl/>
              </w:rPr>
              <w:t>הקורונה</w:t>
            </w:r>
            <w:r w:rsidRPr="002E5B76">
              <w:rPr>
                <w:rFonts w:ascii="Tahoma" w:hAnsi="Tahoma" w:cs="Tahoma"/>
                <w:color w:val="0D0D0D" w:themeColor="text1" w:themeTint="F2"/>
                <w:sz w:val="18"/>
                <w:szCs w:val="18"/>
                <w:rtl/>
              </w:rPr>
              <w:t xml:space="preserve">) </w:t>
            </w:r>
            <w:r w:rsidRPr="002E5B76">
              <w:rPr>
                <w:rFonts w:ascii="Tahoma" w:hAnsi="Tahoma" w:cs="Tahoma" w:hint="eastAsia"/>
                <w:color w:val="0D0D0D" w:themeColor="text1" w:themeTint="F2"/>
                <w:sz w:val="18"/>
                <w:szCs w:val="18"/>
                <w:rtl/>
              </w:rPr>
              <w:t>לפברואר</w:t>
            </w:r>
            <w:r w:rsidRPr="002E5B76">
              <w:rPr>
                <w:rFonts w:ascii="Tahoma" w:hAnsi="Tahoma" w:cs="Tahoma"/>
                <w:color w:val="0D0D0D" w:themeColor="text1" w:themeTint="F2"/>
                <w:sz w:val="18"/>
                <w:szCs w:val="18"/>
                <w:rtl/>
              </w:rPr>
              <w:t xml:space="preserve"> 2020 (</w:t>
            </w:r>
            <w:r w:rsidRPr="002E5B76">
              <w:rPr>
                <w:rFonts w:ascii="Tahoma" w:hAnsi="Tahoma" w:cs="Tahoma" w:hint="eastAsia"/>
                <w:color w:val="0D0D0D" w:themeColor="text1" w:themeTint="F2"/>
                <w:sz w:val="18"/>
                <w:szCs w:val="18"/>
                <w:rtl/>
              </w:rPr>
              <w:t>לפני</w:t>
            </w:r>
            <w:r w:rsidRPr="002E5B76">
              <w:rPr>
                <w:rFonts w:ascii="Tahoma" w:hAnsi="Tahoma" w:cs="Tahoma"/>
                <w:color w:val="0D0D0D" w:themeColor="text1" w:themeTint="F2"/>
                <w:sz w:val="18"/>
                <w:szCs w:val="18"/>
                <w:rtl/>
              </w:rPr>
              <w:t xml:space="preserve"> </w:t>
            </w:r>
            <w:r w:rsidRPr="002E5B76">
              <w:rPr>
                <w:rFonts w:ascii="Tahoma" w:hAnsi="Tahoma" w:cs="Tahoma" w:hint="eastAsia"/>
                <w:color w:val="0D0D0D" w:themeColor="text1" w:themeTint="F2"/>
                <w:sz w:val="18"/>
                <w:szCs w:val="18"/>
                <w:rtl/>
              </w:rPr>
              <w:t>הקורונה</w:t>
            </w:r>
            <w:r w:rsidRPr="002E5B76">
              <w:rPr>
                <w:rFonts w:ascii="Tahoma" w:hAnsi="Tahoma" w:cs="Tahoma"/>
                <w:color w:val="0D0D0D" w:themeColor="text1" w:themeTint="F2"/>
                <w:sz w:val="18"/>
                <w:szCs w:val="18"/>
                <w:rtl/>
              </w:rPr>
              <w:t>).</w:t>
            </w:r>
          </w:p>
        </w:tc>
        <w:tc>
          <w:tcPr>
            <w:tcW w:w="0" w:type="auto"/>
          </w:tcPr>
          <w:p w14:paraId="32239DF6" w14:textId="77777777" w:rsidR="00564717" w:rsidRPr="00273409" w:rsidRDefault="00564717" w:rsidP="007B1279">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1B6FA529" w14:textId="77777777" w:rsidR="00564717" w:rsidRPr="00273409" w:rsidRDefault="00564717" w:rsidP="007B1279">
            <w:pPr>
              <w:spacing w:before="60" w:after="0" w:line="240" w:lineRule="auto"/>
              <w:ind w:right="23"/>
              <w:rPr>
                <w:rFonts w:ascii="Tahoma" w:hAnsi="Tahoma" w:cs="Tahoma"/>
                <w:color w:val="0D0D0D" w:themeColor="text1" w:themeTint="F2"/>
                <w:sz w:val="18"/>
                <w:szCs w:val="18"/>
                <w:rtl/>
              </w:rPr>
            </w:pPr>
            <w:r w:rsidRPr="00DB39FE">
              <w:rPr>
                <w:rFonts w:ascii="Tahoma" w:hAnsi="Tahoma" w:cs="Tahoma" w:hint="cs"/>
                <w:color w:val="0D0D0D" w:themeColor="text1" w:themeTint="F2"/>
                <w:sz w:val="18"/>
                <w:szCs w:val="18"/>
                <w:rtl/>
              </w:rPr>
              <w:t>ציון שביעות הרצון של מקבלי השירות במשרדי הממשלה, על פי מדידה שביצעה רשות התקשוב בשנת 2019.</w:t>
            </w:r>
          </w:p>
        </w:tc>
      </w:tr>
      <w:tr w:rsidR="00564717" w:rsidRPr="00DB4D24" w14:paraId="315D474C" w14:textId="77777777" w:rsidTr="007B1279">
        <w:tc>
          <w:tcPr>
            <w:tcW w:w="0" w:type="auto"/>
          </w:tcPr>
          <w:p w14:paraId="50B944F5" w14:textId="77777777" w:rsidR="00564717" w:rsidRPr="00B47903" w:rsidRDefault="00564717" w:rsidP="007B1279">
            <w:pPr>
              <w:spacing w:before="120" w:after="0" w:line="240" w:lineRule="auto"/>
              <w:rPr>
                <w:rFonts w:ascii="Tahoma" w:hAnsi="Tahoma" w:cs="Tahoma"/>
                <w:b/>
                <w:bCs/>
                <w:color w:val="0D0D0D" w:themeColor="text1" w:themeTint="F2"/>
                <w:sz w:val="14"/>
                <w:szCs w:val="14"/>
                <w:rtl/>
              </w:rPr>
            </w:pPr>
          </w:p>
        </w:tc>
        <w:tc>
          <w:tcPr>
            <w:tcW w:w="0" w:type="auto"/>
          </w:tcPr>
          <w:p w14:paraId="6E974B6F" w14:textId="77777777" w:rsidR="00564717" w:rsidRPr="00B47903" w:rsidRDefault="00564717" w:rsidP="007B1279">
            <w:pPr>
              <w:spacing w:before="120" w:after="0" w:line="240" w:lineRule="auto"/>
              <w:rPr>
                <w:rFonts w:ascii="Tahoma" w:hAnsi="Tahoma" w:cs="Tahoma"/>
                <w:b/>
                <w:bCs/>
                <w:color w:val="0D0D0D" w:themeColor="text1" w:themeTint="F2"/>
                <w:sz w:val="14"/>
                <w:szCs w:val="14"/>
              </w:rPr>
            </w:pPr>
          </w:p>
        </w:tc>
        <w:tc>
          <w:tcPr>
            <w:tcW w:w="0" w:type="auto"/>
          </w:tcPr>
          <w:p w14:paraId="3D35D8C3" w14:textId="77777777" w:rsidR="00564717" w:rsidRPr="00B47903" w:rsidRDefault="00564717" w:rsidP="007B1279">
            <w:pPr>
              <w:spacing w:before="120" w:after="0" w:line="240" w:lineRule="auto"/>
              <w:rPr>
                <w:rFonts w:ascii="Tahoma" w:hAnsi="Tahoma" w:cs="Tahoma"/>
                <w:b/>
                <w:bCs/>
                <w:color w:val="0D0D0D" w:themeColor="text1" w:themeTint="F2"/>
                <w:sz w:val="14"/>
                <w:szCs w:val="14"/>
                <w:rtl/>
              </w:rPr>
            </w:pPr>
          </w:p>
        </w:tc>
        <w:tc>
          <w:tcPr>
            <w:tcW w:w="0" w:type="auto"/>
          </w:tcPr>
          <w:p w14:paraId="55C978FF" w14:textId="77777777" w:rsidR="00564717" w:rsidRPr="00B47903" w:rsidRDefault="00564717" w:rsidP="007B1279">
            <w:pPr>
              <w:spacing w:before="120" w:after="0" w:line="240" w:lineRule="auto"/>
              <w:rPr>
                <w:rFonts w:ascii="Tahoma" w:hAnsi="Tahoma" w:cs="Tahoma"/>
                <w:b/>
                <w:bCs/>
                <w:color w:val="0D0D0D" w:themeColor="text1" w:themeTint="F2"/>
                <w:sz w:val="14"/>
                <w:szCs w:val="14"/>
              </w:rPr>
            </w:pPr>
          </w:p>
        </w:tc>
        <w:tc>
          <w:tcPr>
            <w:tcW w:w="0" w:type="auto"/>
          </w:tcPr>
          <w:p w14:paraId="2D33A568" w14:textId="77777777" w:rsidR="00564717" w:rsidRPr="00B47903" w:rsidRDefault="00564717" w:rsidP="007B1279">
            <w:pPr>
              <w:spacing w:before="120" w:after="0" w:line="240" w:lineRule="auto"/>
              <w:rPr>
                <w:rFonts w:ascii="Tahoma" w:hAnsi="Tahoma" w:cs="Tahoma"/>
                <w:b/>
                <w:bCs/>
                <w:color w:val="0D0D0D" w:themeColor="text1" w:themeTint="F2"/>
                <w:sz w:val="14"/>
                <w:szCs w:val="14"/>
                <w:rtl/>
              </w:rPr>
            </w:pPr>
          </w:p>
        </w:tc>
      </w:tr>
      <w:tr w:rsidR="00564717" w:rsidRPr="00DB4D24" w14:paraId="41AAD370" w14:textId="77777777" w:rsidTr="007B1279">
        <w:tc>
          <w:tcPr>
            <w:tcW w:w="0" w:type="auto"/>
            <w:tcBorders>
              <w:bottom w:val="single" w:sz="8" w:space="0" w:color="auto"/>
            </w:tcBorders>
            <w:vAlign w:val="center"/>
          </w:tcPr>
          <w:p w14:paraId="6284F125" w14:textId="77777777" w:rsidR="00564717" w:rsidRPr="00273409" w:rsidRDefault="00564717" w:rsidP="007B1279">
            <w:pPr>
              <w:spacing w:before="120" w:after="60" w:line="240" w:lineRule="auto"/>
              <w:rPr>
                <w:rFonts w:ascii="Tahoma" w:hAnsi="Tahoma" w:cs="Tahoma"/>
                <w:b/>
                <w:bCs/>
                <w:color w:val="0D0D0D" w:themeColor="text1" w:themeTint="F2"/>
                <w:sz w:val="36"/>
                <w:szCs w:val="36"/>
              </w:rPr>
            </w:pPr>
            <w:r w:rsidRPr="00DB39FE">
              <w:rPr>
                <w:rFonts w:ascii="Tahoma" w:hAnsi="Tahoma" w:cs="Tahoma" w:hint="cs"/>
                <w:b/>
                <w:bCs/>
                <w:color w:val="0D0D0D" w:themeColor="text1" w:themeTint="F2"/>
                <w:sz w:val="36"/>
                <w:szCs w:val="36"/>
                <w:rtl/>
              </w:rPr>
              <w:t>70%</w:t>
            </w:r>
          </w:p>
        </w:tc>
        <w:tc>
          <w:tcPr>
            <w:tcW w:w="0" w:type="auto"/>
          </w:tcPr>
          <w:p w14:paraId="2123FDAC" w14:textId="77777777" w:rsidR="00564717" w:rsidRPr="00273409" w:rsidRDefault="00564717" w:rsidP="007B1279">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vAlign w:val="center"/>
          </w:tcPr>
          <w:p w14:paraId="7CC7722B" w14:textId="5256DC7F" w:rsidR="00564717" w:rsidRPr="00273409" w:rsidRDefault="00564717" w:rsidP="007B1279">
            <w:pPr>
              <w:spacing w:before="120" w:after="60" w:line="240" w:lineRule="auto"/>
              <w:rPr>
                <w:rFonts w:ascii="Tahoma" w:hAnsi="Tahoma" w:cs="Tahoma"/>
                <w:b/>
                <w:bCs/>
                <w:color w:val="0D0D0D" w:themeColor="text1" w:themeTint="F2"/>
                <w:sz w:val="36"/>
                <w:szCs w:val="36"/>
              </w:rPr>
            </w:pPr>
            <w:r w:rsidRPr="00DB39FE">
              <w:rPr>
                <w:rFonts w:ascii="Tahoma" w:hAnsi="Tahoma" w:cs="Tahoma" w:hint="cs"/>
                <w:b/>
                <w:bCs/>
                <w:color w:val="0D0D0D" w:themeColor="text1" w:themeTint="F2"/>
                <w:sz w:val="36"/>
                <w:szCs w:val="36"/>
                <w:rtl/>
              </w:rPr>
              <w:t xml:space="preserve">3,545 </w:t>
            </w:r>
          </w:p>
        </w:tc>
        <w:tc>
          <w:tcPr>
            <w:tcW w:w="0" w:type="auto"/>
          </w:tcPr>
          <w:p w14:paraId="0A73CECA" w14:textId="77777777" w:rsidR="00564717" w:rsidRPr="00273409" w:rsidRDefault="00564717" w:rsidP="007B1279">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vAlign w:val="center"/>
          </w:tcPr>
          <w:p w14:paraId="17D0D5E8" w14:textId="77777777" w:rsidR="00564717" w:rsidRPr="00273409" w:rsidRDefault="00564717" w:rsidP="007B1279">
            <w:pPr>
              <w:spacing w:before="120" w:after="60" w:line="240" w:lineRule="auto"/>
              <w:rPr>
                <w:rFonts w:ascii="Tahoma" w:hAnsi="Tahoma" w:cs="Tahoma"/>
                <w:b/>
                <w:bCs/>
                <w:color w:val="0D0D0D" w:themeColor="text1" w:themeTint="F2"/>
                <w:sz w:val="36"/>
                <w:szCs w:val="36"/>
              </w:rPr>
            </w:pPr>
            <w:r w:rsidRPr="00DB39FE">
              <w:rPr>
                <w:rFonts w:ascii="Tahoma" w:hAnsi="Tahoma" w:cs="Tahoma" w:hint="cs"/>
                <w:b/>
                <w:bCs/>
                <w:color w:val="0D0D0D" w:themeColor="text1" w:themeTint="F2"/>
                <w:sz w:val="36"/>
                <w:szCs w:val="36"/>
                <w:rtl/>
              </w:rPr>
              <w:t>261</w:t>
            </w:r>
          </w:p>
        </w:tc>
      </w:tr>
      <w:tr w:rsidR="00564717" w14:paraId="091197E0" w14:textId="77777777" w:rsidTr="007B1279">
        <w:tc>
          <w:tcPr>
            <w:tcW w:w="0" w:type="auto"/>
            <w:tcBorders>
              <w:top w:val="single" w:sz="8" w:space="0" w:color="auto"/>
            </w:tcBorders>
          </w:tcPr>
          <w:p w14:paraId="517E4554" w14:textId="77777777" w:rsidR="00564717" w:rsidRPr="00273409" w:rsidRDefault="00564717" w:rsidP="007B1279">
            <w:pPr>
              <w:spacing w:before="60" w:after="0" w:line="240" w:lineRule="auto"/>
              <w:ind w:right="23"/>
              <w:rPr>
                <w:rFonts w:ascii="Tahoma" w:hAnsi="Tahoma" w:cs="Tahoma"/>
                <w:color w:val="0D0D0D" w:themeColor="text1" w:themeTint="F2"/>
                <w:sz w:val="18"/>
                <w:szCs w:val="18"/>
                <w:rtl/>
              </w:rPr>
            </w:pPr>
            <w:r w:rsidRPr="00DB39FE">
              <w:rPr>
                <w:rFonts w:ascii="Tahoma" w:hAnsi="Tahoma" w:cs="Tahoma" w:hint="cs"/>
                <w:color w:val="0D0D0D" w:themeColor="text1" w:themeTint="F2"/>
                <w:sz w:val="18"/>
                <w:szCs w:val="18"/>
                <w:rtl/>
              </w:rPr>
              <w:t>שיעור המדינות ב-</w:t>
            </w:r>
            <w:r w:rsidRPr="00DB39FE">
              <w:rPr>
                <w:rFonts w:ascii="Tahoma" w:hAnsi="Tahoma" w:cs="Tahoma" w:hint="cs"/>
                <w:color w:val="0D0D0D" w:themeColor="text1" w:themeTint="F2"/>
                <w:sz w:val="18"/>
                <w:szCs w:val="18"/>
              </w:rPr>
              <w:t>OECD</w:t>
            </w:r>
            <w:r w:rsidRPr="00DB39FE">
              <w:rPr>
                <w:rFonts w:ascii="Tahoma" w:hAnsi="Tahoma" w:cs="Tahoma" w:hint="cs"/>
                <w:color w:val="0D0D0D" w:themeColor="text1" w:themeTint="F2"/>
                <w:sz w:val="18"/>
                <w:szCs w:val="18"/>
                <w:rtl/>
              </w:rPr>
              <w:t xml:space="preserve"> שבהן נדרש ליישם מדיניות פעם אחת בשירותים ממשלתיים מכוח חקיקה או החלטת ממשלה. </w:t>
            </w:r>
          </w:p>
        </w:tc>
        <w:tc>
          <w:tcPr>
            <w:tcW w:w="0" w:type="auto"/>
          </w:tcPr>
          <w:p w14:paraId="743698F4" w14:textId="77777777" w:rsidR="00564717" w:rsidRPr="00273409" w:rsidRDefault="00564717" w:rsidP="007B1279">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D96C8FE" w14:textId="77777777" w:rsidR="00564717" w:rsidRPr="00DB39FE" w:rsidRDefault="00564717" w:rsidP="007B1279">
            <w:pPr>
              <w:spacing w:before="60" w:line="240" w:lineRule="auto"/>
              <w:ind w:right="23"/>
              <w:rPr>
                <w:rFonts w:ascii="Tahoma" w:hAnsi="Tahoma" w:cs="Tahoma"/>
                <w:color w:val="0D0D0D" w:themeColor="text1" w:themeTint="F2"/>
                <w:sz w:val="18"/>
                <w:szCs w:val="18"/>
                <w:rtl/>
              </w:rPr>
            </w:pPr>
            <w:r w:rsidRPr="00DB39FE">
              <w:rPr>
                <w:rFonts w:ascii="Tahoma" w:hAnsi="Tahoma" w:cs="Tahoma" w:hint="cs"/>
                <w:color w:val="0D0D0D" w:themeColor="text1" w:themeTint="F2"/>
                <w:sz w:val="18"/>
                <w:szCs w:val="18"/>
                <w:rtl/>
              </w:rPr>
              <w:t>מספר השירותים הממשלתיים שמופו ב-40 משרדי ממשלה עד מאי 2020, לצורך קידום דיגיטציה של שירותים ויישום מדיניות פעם אחת.</w:t>
            </w:r>
          </w:p>
          <w:p w14:paraId="4CA997F5" w14:textId="77777777" w:rsidR="00564717" w:rsidRPr="00273409" w:rsidRDefault="00564717" w:rsidP="007B1279">
            <w:pPr>
              <w:spacing w:before="60" w:after="0" w:line="240" w:lineRule="auto"/>
              <w:rPr>
                <w:rFonts w:ascii="Tahoma" w:hAnsi="Tahoma" w:cs="Tahoma"/>
                <w:color w:val="0D0D0D" w:themeColor="text1" w:themeTint="F2"/>
                <w:sz w:val="18"/>
                <w:szCs w:val="18"/>
                <w:rtl/>
              </w:rPr>
            </w:pPr>
          </w:p>
        </w:tc>
        <w:tc>
          <w:tcPr>
            <w:tcW w:w="0" w:type="auto"/>
          </w:tcPr>
          <w:p w14:paraId="21376A32" w14:textId="77777777" w:rsidR="00564717" w:rsidRPr="00273409" w:rsidRDefault="00564717" w:rsidP="007B1279">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5F1D1FC" w14:textId="77777777" w:rsidR="00564717" w:rsidRPr="00273409" w:rsidRDefault="00564717" w:rsidP="007B1279">
            <w:pPr>
              <w:spacing w:before="60" w:after="0" w:line="240" w:lineRule="auto"/>
              <w:ind w:right="23"/>
              <w:rPr>
                <w:rFonts w:ascii="Tahoma" w:hAnsi="Tahoma" w:cs="Tahoma"/>
                <w:color w:val="0D0D0D" w:themeColor="text1" w:themeTint="F2"/>
                <w:sz w:val="18"/>
                <w:szCs w:val="18"/>
                <w:rtl/>
              </w:rPr>
            </w:pPr>
            <w:r w:rsidRPr="00DB39FE">
              <w:rPr>
                <w:rFonts w:ascii="Tahoma" w:hAnsi="Tahoma" w:cs="Tahoma" w:hint="cs"/>
                <w:color w:val="0D0D0D" w:themeColor="text1" w:themeTint="F2"/>
                <w:sz w:val="18"/>
                <w:szCs w:val="18"/>
                <w:rtl/>
              </w:rPr>
              <w:t>מספר השירותים הממשלתיים שבהם נדרש האזרח לספק תצלום תעודת זהות לשם קבלת השירות.</w:t>
            </w:r>
          </w:p>
        </w:tc>
      </w:tr>
    </w:tbl>
    <w:p w14:paraId="7CDD8A02" w14:textId="77777777" w:rsidR="009C13C8" w:rsidRDefault="009C13C8" w:rsidP="009E71B8">
      <w:pPr>
        <w:jc w:val="both"/>
        <w:rPr>
          <w:rtl/>
        </w:rPr>
      </w:pPr>
    </w:p>
    <w:p w14:paraId="5A046CE8" w14:textId="77777777" w:rsidR="00D8333F" w:rsidRDefault="00D8333F" w:rsidP="00DA3862">
      <w:pPr>
        <w:spacing w:after="0" w:line="240" w:lineRule="auto"/>
        <w:jc w:val="both"/>
        <w:rPr>
          <w:rtl/>
        </w:rPr>
        <w:sectPr w:rsidR="00D8333F" w:rsidSect="00045345">
          <w:headerReference w:type="even" r:id="rId19"/>
          <w:headerReference w:type="default" r:id="rId20"/>
          <w:pgSz w:w="11906" w:h="16838" w:code="9"/>
          <w:pgMar w:top="2892" w:right="2268" w:bottom="2438" w:left="2268" w:header="1871" w:footer="1928" w:gutter="0"/>
          <w:cols w:space="708"/>
          <w:bidi/>
          <w:rtlGutter/>
          <w:docGrid w:linePitch="360"/>
        </w:sectPr>
      </w:pPr>
    </w:p>
    <w:p w14:paraId="6DD6EC03" w14:textId="45FCD49E" w:rsidR="00525E93"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0F757A28" wp14:editId="023179BD">
            <wp:extent cx="4679950" cy="45720"/>
            <wp:effectExtent l="0" t="0" r="635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69292300" w14:textId="77777777" w:rsidR="009A341D" w:rsidRPr="00902625" w:rsidRDefault="009A341D" w:rsidP="00D147D7">
      <w:pPr>
        <w:spacing w:after="180" w:line="240" w:lineRule="atLeast"/>
        <w:rPr>
          <w:rFonts w:ascii="Tahoma" w:hAnsi="Tahoma" w:cs="Tahoma"/>
          <w:b/>
          <w:bCs/>
          <w:color w:val="00305F"/>
          <w:sz w:val="32"/>
          <w:szCs w:val="32"/>
        </w:rPr>
      </w:pPr>
      <w:bookmarkStart w:id="5" w:name="_Hlk62029958"/>
      <w:r w:rsidRPr="00902625">
        <w:rPr>
          <w:rFonts w:ascii="Tahoma" w:hAnsi="Tahoma" w:cs="Tahoma"/>
          <w:b/>
          <w:bCs/>
          <w:color w:val="00305F"/>
          <w:sz w:val="32"/>
          <w:szCs w:val="32"/>
          <w:rtl/>
        </w:rPr>
        <w:t>פעולות הביקורת</w:t>
      </w:r>
    </w:p>
    <w:bookmarkEnd w:id="5"/>
    <w:p w14:paraId="6A30B733" w14:textId="0C9E0C53" w:rsidR="000A1D75" w:rsidRPr="006061A9" w:rsidRDefault="000A1D75" w:rsidP="00D147D7">
      <w:pPr>
        <w:spacing w:after="180" w:line="260" w:lineRule="exact"/>
        <w:ind w:left="397" w:hanging="397"/>
        <w:jc w:val="both"/>
        <w:rPr>
          <w:rFonts w:ascii="Tahoma" w:hAnsi="Tahoma" w:cs="Tahoma"/>
          <w:color w:val="0D0D0D" w:themeColor="text1" w:themeTint="F2"/>
          <w:sz w:val="18"/>
          <w:szCs w:val="18"/>
          <w:rtl/>
        </w:rPr>
      </w:pPr>
      <w:r w:rsidRPr="008C15A5">
        <w:rPr>
          <w:rFonts w:ascii="Tahoma" w:hAnsi="Tahoma" w:cs="Tahoma"/>
          <w:noProof/>
          <w:color w:val="231F20"/>
          <w:position w:val="-4"/>
          <w:sz w:val="24"/>
          <w:szCs w:val="18"/>
        </w:rPr>
        <w:drawing>
          <wp:inline distT="0" distB="0" distL="0" distR="0" wp14:anchorId="544BB420" wp14:editId="3F17F0CC">
            <wp:extent cx="161544" cy="161544"/>
            <wp:effectExtent l="0" t="0" r="0" b="0"/>
            <wp:docPr id="302" name="Picture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גדלת.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544" cy="161544"/>
                    </a:xfrm>
                    <a:prstGeom prst="rect">
                      <a:avLst/>
                    </a:prstGeom>
                  </pic:spPr>
                </pic:pic>
              </a:graphicData>
            </a:graphic>
          </wp:inline>
        </w:drawing>
      </w:r>
      <w:r w:rsidR="00525E93">
        <w:rPr>
          <w:rFonts w:ascii="Tahoma" w:hAnsi="Tahoma" w:cs="Tahoma"/>
          <w:color w:val="231F20"/>
          <w:sz w:val="24"/>
          <w:szCs w:val="18"/>
        </w:rPr>
        <w:tab/>
      </w:r>
      <w:r w:rsidR="0046732A" w:rsidRPr="0046732A">
        <w:rPr>
          <w:rFonts w:ascii="Tahoma" w:hAnsi="Tahoma" w:cs="Tahoma" w:hint="eastAsia"/>
          <w:color w:val="0D0D0D" w:themeColor="text1" w:themeTint="F2"/>
          <w:sz w:val="18"/>
          <w:szCs w:val="18"/>
          <w:rtl/>
        </w:rPr>
        <w:t>בחודשים</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מרץ</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עד</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דצמבר</w:t>
      </w:r>
      <w:r w:rsidR="0046732A" w:rsidRPr="0046732A">
        <w:rPr>
          <w:rFonts w:ascii="Tahoma" w:hAnsi="Tahoma" w:cs="Tahoma"/>
          <w:color w:val="0D0D0D" w:themeColor="text1" w:themeTint="F2"/>
          <w:sz w:val="18"/>
          <w:szCs w:val="18"/>
          <w:rtl/>
        </w:rPr>
        <w:t xml:space="preserve"> 2020 </w:t>
      </w:r>
      <w:r w:rsidR="0046732A" w:rsidRPr="0046732A">
        <w:rPr>
          <w:rFonts w:ascii="Tahoma" w:hAnsi="Tahoma" w:cs="Tahoma" w:hint="eastAsia"/>
          <w:color w:val="0D0D0D" w:themeColor="text1" w:themeTint="F2"/>
          <w:sz w:val="18"/>
          <w:szCs w:val="18"/>
          <w:rtl/>
        </w:rPr>
        <w:t>ביצע</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משרד</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מבקר</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המדינה</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ביקורת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בנושא</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יישום</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מדיניות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פעם</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אחת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בביקורת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נבדקו</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בעיקר</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נושאים</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אלה</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הליך</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מיפוי</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השירותים</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הממשלתיים</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קביעת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יעדים</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לצמצום</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היקף</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המידע</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והאישורים</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הנדרשים</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מהציבור</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לקבלת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שירות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פיתוח</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מערכת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לניהול</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עבודת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הוועדות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להעברת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מידע</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מערכת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מוע</w:t>
      </w:r>
      <w:r w:rsidR="0046732A" w:rsidRPr="0046732A">
        <w:rPr>
          <w:rFonts w:ascii="Tahoma" w:hAnsi="Tahoma" w:cs="Tahoma"/>
          <w:color w:val="0D0D0D" w:themeColor="text1" w:themeTint="F2"/>
          <w:sz w:val="18"/>
          <w:szCs w:val="18"/>
          <w:rtl/>
        </w:rPr>
        <w:t>"</w:t>
      </w:r>
      <w:r w:rsidR="0046732A" w:rsidRPr="0046732A">
        <w:rPr>
          <w:rFonts w:ascii="Tahoma" w:hAnsi="Tahoma" w:cs="Tahoma" w:hint="eastAsia"/>
          <w:color w:val="0D0D0D" w:themeColor="text1" w:themeTint="F2"/>
          <w:sz w:val="18"/>
          <w:szCs w:val="18"/>
          <w:rtl/>
        </w:rPr>
        <w:t>ד</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והקמת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שדרת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המידע</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הממשלתית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הביקורת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נעשתה</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ברשות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התקשוב</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הממשלתי</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בדיקות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השלמה</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נעשו</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במטה</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ישראל</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דיגיטלית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במערך</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הסייבר</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הלאומי</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ובמוסד</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לביטוח</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לאומי</w:t>
      </w:r>
      <w:r w:rsidR="0046732A" w:rsidRPr="0046732A">
        <w:rPr>
          <w:rFonts w:ascii="Tahoma" w:hAnsi="Tahoma" w:cs="Tahoma"/>
          <w:color w:val="0D0D0D" w:themeColor="text1" w:themeTint="F2"/>
          <w:sz w:val="18"/>
          <w:szCs w:val="18"/>
          <w:rtl/>
        </w:rPr>
        <w:t>.</w:t>
      </w:r>
    </w:p>
    <w:p w14:paraId="6121C8B3" w14:textId="77777777" w:rsidR="00525E93" w:rsidRPr="00525E93" w:rsidRDefault="00525E93" w:rsidP="00525E93">
      <w:pPr>
        <w:spacing w:after="180" w:line="260" w:lineRule="exact"/>
        <w:ind w:left="454" w:hanging="454"/>
        <w:jc w:val="both"/>
        <w:rPr>
          <w:rFonts w:ascii="Tahoma" w:hAnsi="Tahoma" w:cs="Tahoma"/>
          <w:color w:val="231F20"/>
          <w:sz w:val="24"/>
          <w:szCs w:val="18"/>
          <w:rtl/>
        </w:rPr>
      </w:pPr>
    </w:p>
    <w:p w14:paraId="681D6F9D" w14:textId="6E1669F1" w:rsidR="000A1D75"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14:anchorId="6CEB23E1" wp14:editId="147D913D">
            <wp:extent cx="4679950" cy="42545"/>
            <wp:effectExtent l="0" t="0" r="635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4C4FCC27" w14:textId="5C9D3E17" w:rsidR="000A1D75" w:rsidRPr="00902625" w:rsidRDefault="000A1D75" w:rsidP="00D147D7">
      <w:pPr>
        <w:spacing w:after="180" w:line="240" w:lineRule="atLeast"/>
        <w:rPr>
          <w:rFonts w:ascii="Tahoma" w:hAnsi="Tahoma" w:cs="Tahoma"/>
          <w:b/>
          <w:bCs/>
          <w:color w:val="00305F"/>
          <w:sz w:val="32"/>
          <w:szCs w:val="32"/>
          <w:rtl/>
        </w:rPr>
      </w:pPr>
      <w:bookmarkStart w:id="6" w:name="_Hlk62329218"/>
      <w:bookmarkStart w:id="7" w:name="_Hlk62030689"/>
      <w:r w:rsidRPr="00902625">
        <w:rPr>
          <w:rFonts w:ascii="Tahoma" w:hAnsi="Tahoma" w:cs="Tahoma" w:hint="cs"/>
          <w:b/>
          <w:bCs/>
          <w:color w:val="00305F"/>
          <w:sz w:val="32"/>
          <w:szCs w:val="32"/>
          <w:rtl/>
        </w:rPr>
        <w:t xml:space="preserve">תמונת </w:t>
      </w:r>
      <w:r w:rsidR="00EB7D7A" w:rsidRPr="00902625">
        <w:rPr>
          <w:rFonts w:ascii="Tahoma" w:hAnsi="Tahoma" w:cs="Tahoma" w:hint="cs"/>
          <w:b/>
          <w:bCs/>
          <w:color w:val="00305F"/>
          <w:sz w:val="32"/>
          <w:szCs w:val="32"/>
          <w:rtl/>
        </w:rPr>
        <w:t>ה</w:t>
      </w:r>
      <w:r w:rsidRPr="00902625">
        <w:rPr>
          <w:rFonts w:ascii="Tahoma" w:hAnsi="Tahoma" w:cs="Tahoma" w:hint="cs"/>
          <w:b/>
          <w:bCs/>
          <w:color w:val="00305F"/>
          <w:sz w:val="32"/>
          <w:szCs w:val="32"/>
          <w:rtl/>
        </w:rPr>
        <w:t>מצב העולה מן הביקורת</w:t>
      </w:r>
      <w:bookmarkEnd w:id="6"/>
    </w:p>
    <w:bookmarkEnd w:id="7"/>
    <w:p w14:paraId="2C57C026" w14:textId="12ABCAA5" w:rsidR="00E33AFB" w:rsidRPr="00E33AFB" w:rsidRDefault="00B05B87" w:rsidP="007373F6">
      <w:pPr>
        <w:pStyle w:val="running-text"/>
        <w:bidi/>
        <w:spacing w:before="120" w:line="240" w:lineRule="atLeast"/>
        <w:ind w:right="0"/>
        <w:rPr>
          <w:b/>
          <w:bCs/>
          <w:sz w:val="18"/>
        </w:rPr>
      </w:pPr>
      <w:r>
        <w:rPr>
          <w:b/>
          <w:bCs/>
          <w:noProof/>
          <w:sz w:val="18"/>
        </w:rPr>
        <w:drawing>
          <wp:inline distT="0" distB="0" distL="0" distR="0" wp14:anchorId="6389CF31" wp14:editId="0AD91ED1">
            <wp:extent cx="2523749" cy="143256"/>
            <wp:effectExtent l="0" t="0" r="0" b="9525"/>
            <wp:docPr id="14" name="Picture 14"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008018B5" w14:textId="77777777" w:rsidR="00B32607" w:rsidRPr="00464BF9" w:rsidRDefault="00B32607" w:rsidP="00464BF9">
      <w:pPr>
        <w:pStyle w:val="a"/>
        <w:numPr>
          <w:ilvl w:val="0"/>
          <w:numId w:val="5"/>
        </w:numPr>
        <w:spacing w:line="260" w:lineRule="exact"/>
        <w:ind w:left="397" w:hanging="397"/>
        <w:rPr>
          <w:sz w:val="18"/>
          <w:szCs w:val="18"/>
          <w:rtl/>
        </w:rPr>
      </w:pPr>
      <w:r w:rsidRPr="00464BF9">
        <w:rPr>
          <w:b/>
          <w:bCs/>
          <w:sz w:val="18"/>
          <w:szCs w:val="18"/>
          <w:rtl/>
        </w:rPr>
        <w:t>יישום מדיניות פעם אחת:</w:t>
      </w:r>
      <w:r w:rsidRPr="00464BF9">
        <w:rPr>
          <w:sz w:val="18"/>
          <w:szCs w:val="18"/>
          <w:rtl/>
        </w:rPr>
        <w:t xml:space="preserve"> עוד ארוכה הדרך ליישום מלא של החלטת הממשלה משנת 2016, שקבעה כי החל משנת 2021 משרד ממשלתי לא יבקש מהציבור, לשם מתן שירות, אישור שהנפיק משרד ממשלתי אחר. כך לדוגמא - עולה כי תצלום תעודת זהות (תעודה המונפקת בידי גוף ממשלתי - רשות האוכלוסין) נדרש לשם קבלת 261 שירותים שונים בממשלה; תצלום תעודת בגרות (תעודה המונפקת בידי משרד החינוך) נדרש לשם קבלת 188 שירותים; ותצלום רישיון עסק (אישור המונפק על ידי משרד הפנים) נדרש לשם קבלת 68 שירותים</w:t>
      </w:r>
      <w:r w:rsidRPr="00464BF9">
        <w:rPr>
          <w:b/>
          <w:bCs/>
          <w:sz w:val="18"/>
          <w:szCs w:val="18"/>
          <w:rtl/>
        </w:rPr>
        <w:t xml:space="preserve">. </w:t>
      </w:r>
    </w:p>
    <w:p w14:paraId="4D4087C8" w14:textId="77777777" w:rsidR="00B32607" w:rsidRPr="00464BF9" w:rsidRDefault="00B32607" w:rsidP="00464BF9">
      <w:pPr>
        <w:pStyle w:val="a"/>
        <w:numPr>
          <w:ilvl w:val="0"/>
          <w:numId w:val="5"/>
        </w:numPr>
        <w:spacing w:line="260" w:lineRule="exact"/>
        <w:ind w:left="397" w:hanging="397"/>
        <w:rPr>
          <w:sz w:val="18"/>
          <w:szCs w:val="18"/>
        </w:rPr>
      </w:pPr>
      <w:r w:rsidRPr="00464BF9">
        <w:rPr>
          <w:rFonts w:hint="cs"/>
          <w:b/>
          <w:bCs/>
          <w:sz w:val="18"/>
          <w:szCs w:val="18"/>
          <w:rtl/>
        </w:rPr>
        <w:t>מיפוי השירותים הממשלתיים:</w:t>
      </w:r>
      <w:r w:rsidRPr="00464BF9">
        <w:rPr>
          <w:rFonts w:hint="cs"/>
          <w:sz w:val="18"/>
          <w:szCs w:val="18"/>
          <w:rtl/>
        </w:rPr>
        <w:t xml:space="preserve"> משרדי הממשלה תיקפו 933 (26%) מתוך 3,545 שירותים שמופו ב-40 משרדים. </w:t>
      </w:r>
      <w:r w:rsidRPr="00464BF9">
        <w:rPr>
          <w:rFonts w:hint="eastAsia"/>
          <w:sz w:val="18"/>
          <w:szCs w:val="18"/>
          <w:rtl/>
        </w:rPr>
        <w:t>בהיעדר</w:t>
      </w:r>
      <w:r w:rsidRPr="00464BF9">
        <w:rPr>
          <w:sz w:val="18"/>
          <w:szCs w:val="18"/>
          <w:rtl/>
        </w:rPr>
        <w:t xml:space="preserve"> </w:t>
      </w:r>
      <w:r w:rsidRPr="00464BF9">
        <w:rPr>
          <w:rFonts w:hint="eastAsia"/>
          <w:sz w:val="18"/>
          <w:szCs w:val="18"/>
          <w:rtl/>
        </w:rPr>
        <w:t>תיקוף</w:t>
      </w:r>
      <w:r w:rsidRPr="00464BF9">
        <w:rPr>
          <w:sz w:val="18"/>
          <w:szCs w:val="18"/>
          <w:rtl/>
        </w:rPr>
        <w:t xml:space="preserve"> </w:t>
      </w:r>
      <w:r w:rsidRPr="00464BF9">
        <w:rPr>
          <w:rFonts w:hint="eastAsia"/>
          <w:sz w:val="18"/>
          <w:szCs w:val="18"/>
          <w:rtl/>
        </w:rPr>
        <w:t>מלא</w:t>
      </w:r>
      <w:r w:rsidRPr="00464BF9">
        <w:rPr>
          <w:sz w:val="18"/>
          <w:szCs w:val="18"/>
          <w:rtl/>
        </w:rPr>
        <w:t xml:space="preserve"> </w:t>
      </w:r>
      <w:r w:rsidRPr="00464BF9">
        <w:rPr>
          <w:rFonts w:hint="eastAsia"/>
          <w:sz w:val="18"/>
          <w:szCs w:val="18"/>
          <w:rtl/>
        </w:rPr>
        <w:t>של</w:t>
      </w:r>
      <w:r w:rsidRPr="00464BF9">
        <w:rPr>
          <w:sz w:val="18"/>
          <w:szCs w:val="18"/>
          <w:rtl/>
        </w:rPr>
        <w:t xml:space="preserve"> </w:t>
      </w:r>
      <w:r w:rsidRPr="00464BF9">
        <w:rPr>
          <w:rFonts w:hint="eastAsia"/>
          <w:sz w:val="18"/>
          <w:szCs w:val="18"/>
          <w:rtl/>
        </w:rPr>
        <w:t>השירותים</w:t>
      </w:r>
      <w:r w:rsidRPr="00464BF9">
        <w:rPr>
          <w:sz w:val="18"/>
          <w:szCs w:val="18"/>
          <w:rtl/>
        </w:rPr>
        <w:t xml:space="preserve"> </w:t>
      </w:r>
      <w:r w:rsidRPr="00464BF9">
        <w:rPr>
          <w:rFonts w:hint="eastAsia"/>
          <w:sz w:val="18"/>
          <w:szCs w:val="18"/>
          <w:rtl/>
        </w:rPr>
        <w:t>במיפוי</w:t>
      </w:r>
      <w:r w:rsidRPr="00464BF9">
        <w:rPr>
          <w:rFonts w:hint="cs"/>
          <w:b/>
          <w:bCs/>
          <w:sz w:val="18"/>
          <w:szCs w:val="18"/>
          <w:rtl/>
        </w:rPr>
        <w:t xml:space="preserve"> </w:t>
      </w:r>
      <w:r w:rsidRPr="00464BF9">
        <w:rPr>
          <w:rFonts w:hint="cs"/>
          <w:sz w:val="18"/>
          <w:szCs w:val="18"/>
          <w:rtl/>
        </w:rPr>
        <w:t xml:space="preserve">לא הייתה לרשות התקשוב ולישראל דיגיטלית תמונה שלמה ומהימנה על </w:t>
      </w:r>
      <w:r w:rsidRPr="00464BF9">
        <w:rPr>
          <w:rFonts w:hint="eastAsia"/>
          <w:sz w:val="18"/>
          <w:szCs w:val="18"/>
          <w:rtl/>
        </w:rPr>
        <w:t>המספר</w:t>
      </w:r>
      <w:r w:rsidRPr="00464BF9">
        <w:rPr>
          <w:sz w:val="18"/>
          <w:szCs w:val="18"/>
          <w:rtl/>
        </w:rPr>
        <w:t xml:space="preserve"> הכולל של השירותים שנותן כל משרד לציבור, ובהתאם לכך - </w:t>
      </w:r>
      <w:r w:rsidRPr="00464BF9">
        <w:rPr>
          <w:rFonts w:hint="eastAsia"/>
          <w:sz w:val="18"/>
          <w:szCs w:val="18"/>
          <w:rtl/>
        </w:rPr>
        <w:t>על</w:t>
      </w:r>
      <w:r w:rsidRPr="00464BF9">
        <w:rPr>
          <w:sz w:val="18"/>
          <w:szCs w:val="18"/>
          <w:rtl/>
        </w:rPr>
        <w:t xml:space="preserve"> </w:t>
      </w:r>
      <w:r w:rsidRPr="00464BF9">
        <w:rPr>
          <w:rFonts w:hint="eastAsia"/>
          <w:sz w:val="18"/>
          <w:szCs w:val="18"/>
          <w:rtl/>
        </w:rPr>
        <w:t>שיעור</w:t>
      </w:r>
      <w:r w:rsidRPr="00464BF9">
        <w:rPr>
          <w:sz w:val="18"/>
          <w:szCs w:val="18"/>
          <w:rtl/>
        </w:rPr>
        <w:t xml:space="preserve"> השירותים </w:t>
      </w:r>
      <w:r w:rsidRPr="00464BF9">
        <w:rPr>
          <w:rFonts w:hint="eastAsia"/>
          <w:sz w:val="18"/>
          <w:szCs w:val="18"/>
          <w:rtl/>
        </w:rPr>
        <w:t>שבהם</w:t>
      </w:r>
      <w:r w:rsidRPr="00464BF9">
        <w:rPr>
          <w:sz w:val="18"/>
          <w:szCs w:val="18"/>
          <w:rtl/>
        </w:rPr>
        <w:t xml:space="preserve"> מיושמת מדיניות פעם אחת. </w:t>
      </w:r>
    </w:p>
    <w:p w14:paraId="3FA5EE0E" w14:textId="77777777" w:rsidR="00B32607" w:rsidRPr="00464BF9" w:rsidRDefault="00B32607" w:rsidP="00464BF9">
      <w:pPr>
        <w:pStyle w:val="a"/>
        <w:numPr>
          <w:ilvl w:val="0"/>
          <w:numId w:val="5"/>
        </w:numPr>
        <w:spacing w:line="260" w:lineRule="exact"/>
        <w:ind w:left="397" w:hanging="397"/>
        <w:rPr>
          <w:sz w:val="18"/>
          <w:szCs w:val="18"/>
        </w:rPr>
      </w:pPr>
      <w:r w:rsidRPr="00464BF9">
        <w:rPr>
          <w:rFonts w:hint="eastAsia"/>
          <w:b/>
          <w:bCs/>
          <w:sz w:val="18"/>
          <w:szCs w:val="18"/>
          <w:rtl/>
        </w:rPr>
        <w:t>הדיווח</w:t>
      </w:r>
      <w:r w:rsidRPr="00464BF9">
        <w:rPr>
          <w:b/>
          <w:bCs/>
          <w:sz w:val="18"/>
          <w:szCs w:val="18"/>
          <w:rtl/>
        </w:rPr>
        <w:t xml:space="preserve"> על </w:t>
      </w:r>
      <w:r w:rsidRPr="00464BF9">
        <w:rPr>
          <w:rFonts w:hint="eastAsia"/>
          <w:b/>
          <w:bCs/>
          <w:sz w:val="18"/>
          <w:szCs w:val="18"/>
          <w:rtl/>
        </w:rPr>
        <w:t>יישום</w:t>
      </w:r>
      <w:r w:rsidRPr="00464BF9">
        <w:rPr>
          <w:b/>
          <w:bCs/>
          <w:sz w:val="18"/>
          <w:szCs w:val="18"/>
          <w:rtl/>
        </w:rPr>
        <w:t xml:space="preserve"> </w:t>
      </w:r>
      <w:r w:rsidRPr="00464BF9">
        <w:rPr>
          <w:rFonts w:hint="eastAsia"/>
          <w:b/>
          <w:bCs/>
          <w:sz w:val="18"/>
          <w:szCs w:val="18"/>
          <w:rtl/>
        </w:rPr>
        <w:t>מדיניות</w:t>
      </w:r>
      <w:r w:rsidRPr="00464BF9">
        <w:rPr>
          <w:b/>
          <w:bCs/>
          <w:sz w:val="18"/>
          <w:szCs w:val="18"/>
          <w:rtl/>
        </w:rPr>
        <w:t xml:space="preserve"> </w:t>
      </w:r>
      <w:r w:rsidRPr="00464BF9">
        <w:rPr>
          <w:rFonts w:hint="eastAsia"/>
          <w:b/>
          <w:bCs/>
          <w:sz w:val="18"/>
          <w:szCs w:val="18"/>
          <w:rtl/>
        </w:rPr>
        <w:t>פעם</w:t>
      </w:r>
      <w:r w:rsidRPr="00464BF9">
        <w:rPr>
          <w:b/>
          <w:bCs/>
          <w:sz w:val="18"/>
          <w:szCs w:val="18"/>
          <w:rtl/>
        </w:rPr>
        <w:t xml:space="preserve"> </w:t>
      </w:r>
      <w:r w:rsidRPr="00464BF9">
        <w:rPr>
          <w:rFonts w:hint="eastAsia"/>
          <w:b/>
          <w:bCs/>
          <w:sz w:val="18"/>
          <w:szCs w:val="18"/>
          <w:rtl/>
        </w:rPr>
        <w:t>אחת</w:t>
      </w:r>
      <w:r w:rsidRPr="00464BF9">
        <w:rPr>
          <w:b/>
          <w:bCs/>
          <w:sz w:val="18"/>
          <w:szCs w:val="18"/>
          <w:rtl/>
        </w:rPr>
        <w:t xml:space="preserve"> ב</w:t>
      </w:r>
      <w:r w:rsidRPr="00464BF9">
        <w:rPr>
          <w:rFonts w:hint="eastAsia"/>
          <w:b/>
          <w:bCs/>
          <w:sz w:val="18"/>
          <w:szCs w:val="18"/>
          <w:rtl/>
        </w:rPr>
        <w:t>שנת</w:t>
      </w:r>
      <w:r w:rsidRPr="00464BF9">
        <w:rPr>
          <w:b/>
          <w:bCs/>
          <w:sz w:val="18"/>
          <w:szCs w:val="18"/>
          <w:rtl/>
        </w:rPr>
        <w:t xml:space="preserve"> 2018:</w:t>
      </w:r>
      <w:r w:rsidRPr="00464BF9">
        <w:rPr>
          <w:sz w:val="18"/>
          <w:szCs w:val="18"/>
          <w:rtl/>
        </w:rPr>
        <w:t xml:space="preserve"> 19 (56%) </w:t>
      </w:r>
      <w:r w:rsidRPr="00464BF9">
        <w:rPr>
          <w:rFonts w:hint="eastAsia"/>
          <w:sz w:val="18"/>
          <w:szCs w:val="18"/>
          <w:rtl/>
        </w:rPr>
        <w:t>מבין</w:t>
      </w:r>
      <w:r w:rsidRPr="00464BF9">
        <w:rPr>
          <w:sz w:val="18"/>
          <w:szCs w:val="18"/>
          <w:rtl/>
        </w:rPr>
        <w:t xml:space="preserve"> 34 </w:t>
      </w:r>
      <w:r w:rsidRPr="00464BF9">
        <w:rPr>
          <w:rFonts w:hint="eastAsia"/>
          <w:sz w:val="18"/>
          <w:szCs w:val="18"/>
          <w:rtl/>
        </w:rPr>
        <w:t>משרדים</w:t>
      </w:r>
      <w:r w:rsidRPr="00464BF9">
        <w:rPr>
          <w:sz w:val="18"/>
          <w:szCs w:val="18"/>
          <w:rtl/>
        </w:rPr>
        <w:t xml:space="preserve"> </w:t>
      </w:r>
      <w:r w:rsidRPr="00464BF9">
        <w:rPr>
          <w:rFonts w:hint="eastAsia"/>
          <w:sz w:val="18"/>
          <w:szCs w:val="18"/>
          <w:rtl/>
        </w:rPr>
        <w:t>כללו</w:t>
      </w:r>
      <w:r w:rsidRPr="00464BF9">
        <w:rPr>
          <w:sz w:val="18"/>
          <w:szCs w:val="18"/>
          <w:rtl/>
        </w:rPr>
        <w:t xml:space="preserve"> </w:t>
      </w:r>
      <w:r w:rsidRPr="00464BF9">
        <w:rPr>
          <w:rFonts w:hint="eastAsia"/>
          <w:sz w:val="18"/>
          <w:szCs w:val="18"/>
          <w:rtl/>
        </w:rPr>
        <w:t>בדיווחי</w:t>
      </w:r>
      <w:r w:rsidRPr="00464BF9">
        <w:rPr>
          <w:sz w:val="18"/>
          <w:szCs w:val="18"/>
          <w:rtl/>
        </w:rPr>
        <w:t xml:space="preserve"> </w:t>
      </w:r>
      <w:r w:rsidRPr="00464BF9">
        <w:rPr>
          <w:rFonts w:hint="eastAsia"/>
          <w:sz w:val="18"/>
          <w:szCs w:val="18"/>
          <w:rtl/>
        </w:rPr>
        <w:t>תכניות</w:t>
      </w:r>
      <w:r w:rsidRPr="00464BF9">
        <w:rPr>
          <w:sz w:val="18"/>
          <w:szCs w:val="18"/>
          <w:rtl/>
        </w:rPr>
        <w:t xml:space="preserve"> </w:t>
      </w:r>
      <w:r w:rsidRPr="00464BF9">
        <w:rPr>
          <w:rFonts w:hint="eastAsia"/>
          <w:sz w:val="18"/>
          <w:szCs w:val="18"/>
          <w:rtl/>
        </w:rPr>
        <w:t>העבודה</w:t>
      </w:r>
      <w:r w:rsidRPr="00464BF9">
        <w:rPr>
          <w:sz w:val="18"/>
          <w:szCs w:val="18"/>
          <w:rtl/>
        </w:rPr>
        <w:t xml:space="preserve"> </w:t>
      </w:r>
      <w:r w:rsidRPr="00464BF9">
        <w:rPr>
          <w:rFonts w:hint="eastAsia"/>
          <w:sz w:val="18"/>
          <w:szCs w:val="18"/>
          <w:rtl/>
        </w:rPr>
        <w:t>שלהם</w:t>
      </w:r>
      <w:r w:rsidRPr="00464BF9">
        <w:rPr>
          <w:sz w:val="18"/>
          <w:szCs w:val="18"/>
          <w:rtl/>
        </w:rPr>
        <w:t xml:space="preserve"> </w:t>
      </w:r>
      <w:r w:rsidRPr="00464BF9">
        <w:rPr>
          <w:rFonts w:hint="eastAsia"/>
          <w:sz w:val="18"/>
          <w:szCs w:val="18"/>
          <w:rtl/>
        </w:rPr>
        <w:t>לרשות</w:t>
      </w:r>
      <w:r w:rsidRPr="00464BF9">
        <w:rPr>
          <w:sz w:val="18"/>
          <w:szCs w:val="18"/>
          <w:rtl/>
        </w:rPr>
        <w:t xml:space="preserve"> </w:t>
      </w:r>
      <w:r w:rsidRPr="00464BF9">
        <w:rPr>
          <w:rFonts w:hint="eastAsia"/>
          <w:sz w:val="18"/>
          <w:szCs w:val="18"/>
          <w:rtl/>
        </w:rPr>
        <w:t>התקשוב</w:t>
      </w:r>
      <w:r w:rsidRPr="00464BF9">
        <w:rPr>
          <w:sz w:val="18"/>
          <w:szCs w:val="18"/>
          <w:rtl/>
        </w:rPr>
        <w:t xml:space="preserve"> </w:t>
      </w:r>
      <w:r w:rsidRPr="00464BF9">
        <w:rPr>
          <w:rFonts w:hint="eastAsia"/>
          <w:sz w:val="18"/>
          <w:szCs w:val="18"/>
          <w:rtl/>
        </w:rPr>
        <w:t>נתונים</w:t>
      </w:r>
      <w:r w:rsidRPr="00464BF9">
        <w:rPr>
          <w:sz w:val="18"/>
          <w:szCs w:val="18"/>
          <w:rtl/>
        </w:rPr>
        <w:t xml:space="preserve"> על מספר השירותים שהופחתה בהם הדרישה למסור מידע </w:t>
      </w:r>
      <w:r w:rsidRPr="00464BF9">
        <w:rPr>
          <w:rFonts w:hint="eastAsia"/>
          <w:sz w:val="18"/>
          <w:szCs w:val="18"/>
          <w:rtl/>
        </w:rPr>
        <w:t>באותה</w:t>
      </w:r>
      <w:r w:rsidRPr="00464BF9">
        <w:rPr>
          <w:sz w:val="18"/>
          <w:szCs w:val="18"/>
          <w:rtl/>
        </w:rPr>
        <w:t xml:space="preserve"> </w:t>
      </w:r>
      <w:r w:rsidRPr="00464BF9">
        <w:rPr>
          <w:rFonts w:hint="eastAsia"/>
          <w:sz w:val="18"/>
          <w:szCs w:val="18"/>
          <w:rtl/>
        </w:rPr>
        <w:t>שנה</w:t>
      </w:r>
      <w:r w:rsidRPr="00464BF9">
        <w:rPr>
          <w:sz w:val="18"/>
          <w:szCs w:val="18"/>
          <w:rtl/>
        </w:rPr>
        <w:t xml:space="preserve">, ושמונה </w:t>
      </w:r>
      <w:r w:rsidRPr="00464BF9">
        <w:rPr>
          <w:rFonts w:hint="eastAsia"/>
          <w:sz w:val="18"/>
          <w:szCs w:val="18"/>
          <w:rtl/>
        </w:rPr>
        <w:t>מהמשרדים</w:t>
      </w:r>
      <w:r w:rsidRPr="00464BF9">
        <w:rPr>
          <w:sz w:val="18"/>
          <w:szCs w:val="18"/>
          <w:rtl/>
        </w:rPr>
        <w:t xml:space="preserve"> (23%)</w:t>
      </w:r>
      <w:r w:rsidRPr="00464BF9">
        <w:rPr>
          <w:rFonts w:hint="cs"/>
          <w:sz w:val="18"/>
          <w:szCs w:val="18"/>
          <w:rtl/>
        </w:rPr>
        <w:t xml:space="preserve"> ציינו באילו שירותים מדובר.</w:t>
      </w:r>
    </w:p>
    <w:p w14:paraId="5BAA71B1" w14:textId="77777777" w:rsidR="00B32607" w:rsidRPr="00464BF9" w:rsidRDefault="00B32607" w:rsidP="00464BF9">
      <w:pPr>
        <w:pStyle w:val="a"/>
        <w:numPr>
          <w:ilvl w:val="0"/>
          <w:numId w:val="5"/>
        </w:numPr>
        <w:spacing w:line="260" w:lineRule="exact"/>
        <w:ind w:left="397" w:hanging="397"/>
        <w:rPr>
          <w:sz w:val="18"/>
          <w:szCs w:val="18"/>
        </w:rPr>
      </w:pPr>
      <w:r w:rsidRPr="00464BF9">
        <w:rPr>
          <w:rFonts w:hint="cs"/>
          <w:b/>
          <w:bCs/>
          <w:sz w:val="18"/>
          <w:szCs w:val="18"/>
          <w:rtl/>
        </w:rPr>
        <w:t xml:space="preserve">הצבת יעדים להעברת מידע בשנת 2019: </w:t>
      </w:r>
      <w:r w:rsidRPr="00464BF9">
        <w:rPr>
          <w:rFonts w:hint="cs"/>
          <w:sz w:val="18"/>
          <w:szCs w:val="18"/>
          <w:rtl/>
        </w:rPr>
        <w:t xml:space="preserve">תשעה (30%) מבין 30 משרדים שהציבו בתוכנית העבודה שלהם לשנת 2019 יעדים ליישום מדיניות פעם אחת דיווחו על יישום מתוכנן בחמישה שירותים דיגיטליים חדשים </w:t>
      </w:r>
      <w:r w:rsidRPr="00464BF9">
        <w:rPr>
          <w:rFonts w:hint="eastAsia"/>
          <w:sz w:val="18"/>
          <w:szCs w:val="18"/>
          <w:rtl/>
        </w:rPr>
        <w:t>או</w:t>
      </w:r>
      <w:r w:rsidRPr="00464BF9">
        <w:rPr>
          <w:sz w:val="18"/>
          <w:szCs w:val="18"/>
          <w:rtl/>
        </w:rPr>
        <w:t xml:space="preserve"> </w:t>
      </w:r>
      <w:r w:rsidRPr="00464BF9">
        <w:rPr>
          <w:rFonts w:hint="eastAsia"/>
          <w:sz w:val="18"/>
          <w:szCs w:val="18"/>
          <w:rtl/>
        </w:rPr>
        <w:t>יותר</w:t>
      </w:r>
      <w:r w:rsidRPr="00464BF9">
        <w:rPr>
          <w:sz w:val="18"/>
          <w:szCs w:val="18"/>
          <w:rtl/>
        </w:rPr>
        <w:t xml:space="preserve">, </w:t>
      </w:r>
      <w:r w:rsidRPr="00464BF9">
        <w:rPr>
          <w:rFonts w:hint="eastAsia"/>
          <w:sz w:val="18"/>
          <w:szCs w:val="18"/>
          <w:rtl/>
        </w:rPr>
        <w:t>כנדרש</w:t>
      </w:r>
      <w:r w:rsidRPr="00464BF9">
        <w:rPr>
          <w:sz w:val="18"/>
          <w:szCs w:val="18"/>
          <w:rtl/>
        </w:rPr>
        <w:t xml:space="preserve"> בהנחיות רשות התקשוב. </w:t>
      </w:r>
    </w:p>
    <w:p w14:paraId="34D86EA4" w14:textId="77777777" w:rsidR="00B32607" w:rsidRPr="00464BF9" w:rsidRDefault="00B32607" w:rsidP="00464BF9">
      <w:pPr>
        <w:pStyle w:val="a"/>
        <w:numPr>
          <w:ilvl w:val="0"/>
          <w:numId w:val="5"/>
        </w:numPr>
        <w:spacing w:line="260" w:lineRule="exact"/>
        <w:ind w:left="397" w:hanging="397"/>
        <w:rPr>
          <w:sz w:val="18"/>
          <w:szCs w:val="18"/>
        </w:rPr>
      </w:pPr>
      <w:r w:rsidRPr="00464BF9">
        <w:rPr>
          <w:rFonts w:hint="eastAsia"/>
          <w:b/>
          <w:bCs/>
          <w:sz w:val="18"/>
          <w:szCs w:val="18"/>
          <w:rtl/>
        </w:rPr>
        <w:t>מערכת</w:t>
      </w:r>
      <w:r w:rsidRPr="00464BF9">
        <w:rPr>
          <w:b/>
          <w:bCs/>
          <w:sz w:val="18"/>
          <w:szCs w:val="18"/>
          <w:rtl/>
        </w:rPr>
        <w:t xml:space="preserve"> מחשוב </w:t>
      </w:r>
      <w:r w:rsidRPr="00464BF9">
        <w:rPr>
          <w:rFonts w:hint="eastAsia"/>
          <w:b/>
          <w:bCs/>
          <w:sz w:val="18"/>
          <w:szCs w:val="18"/>
          <w:rtl/>
        </w:rPr>
        <w:t>לניהול</w:t>
      </w:r>
      <w:r w:rsidRPr="00464BF9">
        <w:rPr>
          <w:b/>
          <w:bCs/>
          <w:sz w:val="18"/>
          <w:szCs w:val="18"/>
          <w:rtl/>
        </w:rPr>
        <w:t xml:space="preserve"> עבודת הוועדות להעברת מידע</w:t>
      </w:r>
      <w:r w:rsidRPr="00464BF9">
        <w:rPr>
          <w:rStyle w:val="af3"/>
          <w:b/>
          <w:bCs/>
          <w:sz w:val="18"/>
          <w:szCs w:val="18"/>
          <w:rtl/>
        </w:rPr>
        <w:footnoteReference w:id="4"/>
      </w:r>
      <w:r w:rsidRPr="00464BF9">
        <w:rPr>
          <w:rFonts w:hint="cs"/>
          <w:b/>
          <w:bCs/>
          <w:sz w:val="18"/>
          <w:szCs w:val="18"/>
          <w:rtl/>
        </w:rPr>
        <w:t xml:space="preserve"> (מוע"ד):</w:t>
      </w:r>
      <w:r w:rsidRPr="00464BF9">
        <w:rPr>
          <w:rFonts w:hint="cs"/>
          <w:sz w:val="18"/>
          <w:szCs w:val="18"/>
          <w:rtl/>
        </w:rPr>
        <w:t xml:space="preserve"> המערכת נועדה לייעל את תהליך העברת המידע בין גופים ציבוריים. נמצא כי בין הגופים שטרם התחברו למערכת היו כאלו שטיפלו בבקשות רבות להעברת מידע</w:t>
      </w:r>
      <w:r w:rsidRPr="00464BF9">
        <w:rPr>
          <w:sz w:val="18"/>
          <w:szCs w:val="18"/>
          <w:rtl/>
        </w:rPr>
        <w:t xml:space="preserve"> </w:t>
      </w:r>
      <w:r w:rsidRPr="00464BF9">
        <w:rPr>
          <w:rFonts w:hint="cs"/>
          <w:sz w:val="18"/>
          <w:szCs w:val="18"/>
          <w:rtl/>
        </w:rPr>
        <w:t xml:space="preserve">בשנת 2019, ובהם </w:t>
      </w:r>
      <w:r w:rsidRPr="00464BF9">
        <w:rPr>
          <w:sz w:val="18"/>
          <w:szCs w:val="18"/>
          <w:rtl/>
        </w:rPr>
        <w:t>משרד הבריאות</w:t>
      </w:r>
      <w:r w:rsidRPr="00464BF9">
        <w:rPr>
          <w:rFonts w:hint="cs"/>
          <w:sz w:val="18"/>
          <w:szCs w:val="18"/>
          <w:rtl/>
        </w:rPr>
        <w:t xml:space="preserve"> (43 בקשות)</w:t>
      </w:r>
      <w:r w:rsidRPr="00464BF9">
        <w:rPr>
          <w:sz w:val="18"/>
          <w:szCs w:val="18"/>
          <w:rtl/>
        </w:rPr>
        <w:t xml:space="preserve">, </w:t>
      </w:r>
      <w:r w:rsidRPr="00464BF9">
        <w:rPr>
          <w:rFonts w:hint="cs"/>
          <w:sz w:val="18"/>
          <w:szCs w:val="18"/>
          <w:rtl/>
        </w:rPr>
        <w:t xml:space="preserve">הביטוח הלאומי, </w:t>
      </w:r>
      <w:r w:rsidRPr="00464BF9">
        <w:rPr>
          <w:sz w:val="18"/>
          <w:szCs w:val="18"/>
          <w:rtl/>
        </w:rPr>
        <w:t>משרד הביטחון (40 בקשות) ורשות המסים (13 בקשות).</w:t>
      </w:r>
    </w:p>
    <w:p w14:paraId="6E194D29" w14:textId="77777777" w:rsidR="00B32607" w:rsidRPr="00464BF9" w:rsidRDefault="00B32607" w:rsidP="00464BF9">
      <w:pPr>
        <w:pStyle w:val="a"/>
        <w:numPr>
          <w:ilvl w:val="0"/>
          <w:numId w:val="5"/>
        </w:numPr>
        <w:spacing w:line="260" w:lineRule="exact"/>
        <w:ind w:left="397" w:hanging="397"/>
        <w:rPr>
          <w:sz w:val="18"/>
          <w:szCs w:val="18"/>
        </w:rPr>
      </w:pPr>
      <w:r w:rsidRPr="00464BF9">
        <w:rPr>
          <w:rFonts w:hint="eastAsia"/>
          <w:b/>
          <w:bCs/>
          <w:sz w:val="18"/>
          <w:szCs w:val="18"/>
          <w:rtl/>
        </w:rPr>
        <w:t>זמן</w:t>
      </w:r>
      <w:r w:rsidRPr="00464BF9">
        <w:rPr>
          <w:b/>
          <w:bCs/>
          <w:sz w:val="18"/>
          <w:szCs w:val="18"/>
          <w:rtl/>
        </w:rPr>
        <w:t xml:space="preserve"> הטיפול בבקשות במערכת </w:t>
      </w:r>
      <w:r w:rsidRPr="00464BF9">
        <w:rPr>
          <w:rFonts w:hint="eastAsia"/>
          <w:b/>
          <w:bCs/>
          <w:sz w:val="18"/>
          <w:szCs w:val="18"/>
          <w:rtl/>
        </w:rPr>
        <w:t>מוע</w:t>
      </w:r>
      <w:r w:rsidRPr="00464BF9">
        <w:rPr>
          <w:b/>
          <w:bCs/>
          <w:sz w:val="18"/>
          <w:szCs w:val="18"/>
          <w:rtl/>
        </w:rPr>
        <w:t>"ד:</w:t>
      </w:r>
      <w:r w:rsidRPr="00464BF9">
        <w:rPr>
          <w:sz w:val="18"/>
          <w:szCs w:val="18"/>
          <w:rtl/>
        </w:rPr>
        <w:t xml:space="preserve"> בשנת 2019 היה זמן הטיפול הממוצע יותר מחצי שנה (191.7 ימים), ובשנת 2020 - יותר משלושה חודשים (97.8 ימים). זאת </w:t>
      </w:r>
      <w:r w:rsidRPr="00464BF9">
        <w:rPr>
          <w:rFonts w:hint="eastAsia"/>
          <w:sz w:val="18"/>
          <w:szCs w:val="18"/>
          <w:rtl/>
        </w:rPr>
        <w:t>אף</w:t>
      </w:r>
      <w:r w:rsidRPr="00464BF9">
        <w:rPr>
          <w:sz w:val="18"/>
          <w:szCs w:val="18"/>
          <w:rtl/>
        </w:rPr>
        <w:t xml:space="preserve"> שתהליך מהיר של </w:t>
      </w:r>
      <w:r w:rsidRPr="00464BF9">
        <w:rPr>
          <w:sz w:val="18"/>
          <w:szCs w:val="18"/>
          <w:rtl/>
        </w:rPr>
        <w:lastRenderedPageBreak/>
        <w:t xml:space="preserve">העברת מידע </w:t>
      </w:r>
      <w:r w:rsidRPr="00464BF9">
        <w:rPr>
          <w:rFonts w:hint="eastAsia"/>
          <w:sz w:val="18"/>
          <w:szCs w:val="18"/>
          <w:rtl/>
        </w:rPr>
        <w:t>בין</w:t>
      </w:r>
      <w:r w:rsidRPr="00464BF9">
        <w:rPr>
          <w:sz w:val="18"/>
          <w:szCs w:val="18"/>
          <w:rtl/>
        </w:rPr>
        <w:t xml:space="preserve"> </w:t>
      </w:r>
      <w:r w:rsidRPr="00464BF9">
        <w:rPr>
          <w:rFonts w:hint="eastAsia"/>
          <w:sz w:val="18"/>
          <w:szCs w:val="18"/>
          <w:rtl/>
        </w:rPr>
        <w:t>גופי</w:t>
      </w:r>
      <w:r w:rsidRPr="00464BF9">
        <w:rPr>
          <w:sz w:val="18"/>
          <w:szCs w:val="18"/>
          <w:rtl/>
        </w:rPr>
        <w:t xml:space="preserve"> ממשל</w:t>
      </w:r>
      <w:r w:rsidRPr="00464BF9">
        <w:rPr>
          <w:rFonts w:hint="eastAsia"/>
          <w:sz w:val="18"/>
          <w:szCs w:val="18"/>
          <w:rtl/>
        </w:rPr>
        <w:t>ה</w:t>
      </w:r>
      <w:r w:rsidRPr="00464BF9">
        <w:rPr>
          <w:sz w:val="18"/>
          <w:szCs w:val="18"/>
          <w:rtl/>
        </w:rPr>
        <w:t xml:space="preserve"> </w:t>
      </w:r>
      <w:r w:rsidRPr="00464BF9">
        <w:rPr>
          <w:rFonts w:hint="eastAsia"/>
          <w:sz w:val="18"/>
          <w:szCs w:val="18"/>
          <w:rtl/>
        </w:rPr>
        <w:t>הוא</w:t>
      </w:r>
      <w:r w:rsidRPr="00464BF9">
        <w:rPr>
          <w:sz w:val="18"/>
          <w:szCs w:val="18"/>
          <w:rtl/>
        </w:rPr>
        <w:t xml:space="preserve"> </w:t>
      </w:r>
      <w:r w:rsidRPr="00464BF9">
        <w:rPr>
          <w:rFonts w:hint="eastAsia"/>
          <w:sz w:val="18"/>
          <w:szCs w:val="18"/>
          <w:rtl/>
        </w:rPr>
        <w:t>תנאי</w:t>
      </w:r>
      <w:r w:rsidRPr="00464BF9">
        <w:rPr>
          <w:sz w:val="18"/>
          <w:szCs w:val="18"/>
          <w:rtl/>
        </w:rPr>
        <w:t xml:space="preserve"> </w:t>
      </w:r>
      <w:r w:rsidRPr="00464BF9">
        <w:rPr>
          <w:rFonts w:hint="eastAsia"/>
          <w:sz w:val="18"/>
          <w:szCs w:val="18"/>
          <w:rtl/>
        </w:rPr>
        <w:t>הכרחי</w:t>
      </w:r>
      <w:r w:rsidRPr="00464BF9">
        <w:rPr>
          <w:sz w:val="18"/>
          <w:szCs w:val="18"/>
          <w:rtl/>
        </w:rPr>
        <w:t xml:space="preserve"> </w:t>
      </w:r>
      <w:r w:rsidRPr="00464BF9">
        <w:rPr>
          <w:rFonts w:hint="eastAsia"/>
          <w:sz w:val="18"/>
          <w:szCs w:val="18"/>
          <w:rtl/>
        </w:rPr>
        <w:t>לשיפור</w:t>
      </w:r>
      <w:r w:rsidRPr="00464BF9">
        <w:rPr>
          <w:sz w:val="18"/>
          <w:szCs w:val="18"/>
          <w:rtl/>
        </w:rPr>
        <w:t xml:space="preserve"> </w:t>
      </w:r>
      <w:r w:rsidRPr="00464BF9">
        <w:rPr>
          <w:rFonts w:hint="eastAsia"/>
          <w:sz w:val="18"/>
          <w:szCs w:val="18"/>
          <w:rtl/>
        </w:rPr>
        <w:t>תהליכי</w:t>
      </w:r>
      <w:r w:rsidRPr="00464BF9">
        <w:rPr>
          <w:sz w:val="18"/>
          <w:szCs w:val="18"/>
          <w:rtl/>
        </w:rPr>
        <w:t xml:space="preserve"> </w:t>
      </w:r>
      <w:r w:rsidRPr="00464BF9">
        <w:rPr>
          <w:rFonts w:hint="eastAsia"/>
          <w:sz w:val="18"/>
          <w:szCs w:val="18"/>
          <w:rtl/>
        </w:rPr>
        <w:t>שירות</w:t>
      </w:r>
      <w:r w:rsidRPr="00464BF9">
        <w:rPr>
          <w:sz w:val="18"/>
          <w:szCs w:val="18"/>
          <w:rtl/>
        </w:rPr>
        <w:t xml:space="preserve"> </w:t>
      </w:r>
      <w:r w:rsidRPr="00464BF9">
        <w:rPr>
          <w:rFonts w:hint="eastAsia"/>
          <w:sz w:val="18"/>
          <w:szCs w:val="18"/>
          <w:rtl/>
        </w:rPr>
        <w:t>בכלל</w:t>
      </w:r>
      <w:r w:rsidRPr="00464BF9">
        <w:rPr>
          <w:sz w:val="18"/>
          <w:szCs w:val="18"/>
          <w:rtl/>
        </w:rPr>
        <w:t xml:space="preserve">, </w:t>
      </w:r>
      <w:r w:rsidRPr="00464BF9">
        <w:rPr>
          <w:rFonts w:hint="eastAsia"/>
          <w:sz w:val="18"/>
          <w:szCs w:val="18"/>
          <w:rtl/>
        </w:rPr>
        <w:t>וליישום</w:t>
      </w:r>
      <w:r w:rsidRPr="00464BF9">
        <w:rPr>
          <w:sz w:val="18"/>
          <w:szCs w:val="18"/>
          <w:rtl/>
        </w:rPr>
        <w:t xml:space="preserve"> מדיניות פעם אחת בפרט. </w:t>
      </w:r>
    </w:p>
    <w:p w14:paraId="5BB217F4" w14:textId="77777777" w:rsidR="00B32607" w:rsidRPr="00464BF9" w:rsidRDefault="00B32607" w:rsidP="00464BF9">
      <w:pPr>
        <w:pStyle w:val="a"/>
        <w:numPr>
          <w:ilvl w:val="0"/>
          <w:numId w:val="5"/>
        </w:numPr>
        <w:spacing w:line="260" w:lineRule="exact"/>
        <w:ind w:left="397" w:hanging="397"/>
        <w:rPr>
          <w:sz w:val="18"/>
          <w:szCs w:val="18"/>
        </w:rPr>
      </w:pPr>
      <w:r w:rsidRPr="00464BF9">
        <w:rPr>
          <w:rFonts w:hint="eastAsia"/>
          <w:b/>
          <w:bCs/>
          <w:sz w:val="18"/>
          <w:szCs w:val="18"/>
          <w:rtl/>
        </w:rPr>
        <w:t>נוהל</w:t>
      </w:r>
      <w:r w:rsidRPr="00464BF9">
        <w:rPr>
          <w:b/>
          <w:bCs/>
          <w:sz w:val="18"/>
          <w:szCs w:val="18"/>
          <w:rtl/>
        </w:rPr>
        <w:t xml:space="preserve"> </w:t>
      </w:r>
      <w:r w:rsidRPr="00464BF9">
        <w:rPr>
          <w:rFonts w:hint="eastAsia"/>
          <w:b/>
          <w:bCs/>
          <w:sz w:val="18"/>
          <w:szCs w:val="18"/>
          <w:rtl/>
        </w:rPr>
        <w:t>העבודה</w:t>
      </w:r>
      <w:r w:rsidRPr="00464BF9">
        <w:rPr>
          <w:b/>
          <w:bCs/>
          <w:sz w:val="18"/>
          <w:szCs w:val="18"/>
          <w:rtl/>
        </w:rPr>
        <w:t xml:space="preserve"> </w:t>
      </w:r>
      <w:r w:rsidRPr="00464BF9">
        <w:rPr>
          <w:rFonts w:hint="eastAsia"/>
          <w:b/>
          <w:bCs/>
          <w:sz w:val="18"/>
          <w:szCs w:val="18"/>
          <w:rtl/>
        </w:rPr>
        <w:t>של</w:t>
      </w:r>
      <w:r w:rsidRPr="00464BF9">
        <w:rPr>
          <w:b/>
          <w:bCs/>
          <w:sz w:val="18"/>
          <w:szCs w:val="18"/>
          <w:rtl/>
        </w:rPr>
        <w:t xml:space="preserve"> </w:t>
      </w:r>
      <w:r w:rsidRPr="00464BF9">
        <w:rPr>
          <w:rFonts w:hint="eastAsia"/>
          <w:b/>
          <w:bCs/>
          <w:sz w:val="18"/>
          <w:szCs w:val="18"/>
          <w:rtl/>
        </w:rPr>
        <w:t>הוועדות</w:t>
      </w:r>
      <w:r w:rsidRPr="00464BF9">
        <w:rPr>
          <w:b/>
          <w:bCs/>
          <w:sz w:val="18"/>
          <w:szCs w:val="18"/>
          <w:rtl/>
        </w:rPr>
        <w:t xml:space="preserve"> </w:t>
      </w:r>
      <w:r w:rsidRPr="00464BF9">
        <w:rPr>
          <w:rFonts w:hint="eastAsia"/>
          <w:b/>
          <w:bCs/>
          <w:sz w:val="18"/>
          <w:szCs w:val="18"/>
          <w:rtl/>
        </w:rPr>
        <w:t>להעברת</w:t>
      </w:r>
      <w:r w:rsidRPr="00464BF9">
        <w:rPr>
          <w:b/>
          <w:bCs/>
          <w:sz w:val="18"/>
          <w:szCs w:val="18"/>
          <w:rtl/>
        </w:rPr>
        <w:t xml:space="preserve"> </w:t>
      </w:r>
      <w:r w:rsidRPr="00464BF9">
        <w:rPr>
          <w:rFonts w:hint="eastAsia"/>
          <w:b/>
          <w:bCs/>
          <w:sz w:val="18"/>
          <w:szCs w:val="18"/>
          <w:rtl/>
        </w:rPr>
        <w:t>מידע</w:t>
      </w:r>
      <w:r w:rsidRPr="00464BF9">
        <w:rPr>
          <w:b/>
          <w:bCs/>
          <w:sz w:val="18"/>
          <w:szCs w:val="18"/>
          <w:rtl/>
        </w:rPr>
        <w:t>:</w:t>
      </w:r>
      <w:r w:rsidRPr="00464BF9">
        <w:rPr>
          <w:sz w:val="18"/>
          <w:szCs w:val="18"/>
          <w:rtl/>
        </w:rPr>
        <w:t xml:space="preserve"> בנוהל לא נקבעה תדירות התכנסות הוועדות, אף שתדירות התכנסות נמוכה הייתה אחד הגורמים לעיכוב בטיפול בבקשות להעברת מידע. </w:t>
      </w:r>
      <w:r w:rsidRPr="00464BF9">
        <w:rPr>
          <w:rFonts w:hint="eastAsia"/>
          <w:sz w:val="18"/>
          <w:szCs w:val="18"/>
          <w:rtl/>
        </w:rPr>
        <w:t>כמו</w:t>
      </w:r>
      <w:r w:rsidRPr="00464BF9">
        <w:rPr>
          <w:sz w:val="18"/>
          <w:szCs w:val="18"/>
          <w:rtl/>
        </w:rPr>
        <w:t xml:space="preserve"> </w:t>
      </w:r>
      <w:r w:rsidRPr="00464BF9">
        <w:rPr>
          <w:rFonts w:hint="eastAsia"/>
          <w:sz w:val="18"/>
          <w:szCs w:val="18"/>
          <w:rtl/>
        </w:rPr>
        <w:t>כן</w:t>
      </w:r>
      <w:r w:rsidRPr="00464BF9">
        <w:rPr>
          <w:sz w:val="18"/>
          <w:szCs w:val="18"/>
          <w:rtl/>
        </w:rPr>
        <w:t xml:space="preserve">, </w:t>
      </w:r>
      <w:r w:rsidRPr="00464BF9">
        <w:rPr>
          <w:rFonts w:hint="eastAsia"/>
          <w:sz w:val="18"/>
          <w:szCs w:val="18"/>
          <w:rtl/>
        </w:rPr>
        <w:t>תקנות</w:t>
      </w:r>
      <w:r w:rsidRPr="00464BF9">
        <w:rPr>
          <w:sz w:val="18"/>
          <w:szCs w:val="18"/>
          <w:rtl/>
        </w:rPr>
        <w:t xml:space="preserve"> הגנת הפרטיות טרם תוקנו </w:t>
      </w:r>
      <w:r w:rsidRPr="00464BF9">
        <w:rPr>
          <w:rFonts w:hint="eastAsia"/>
          <w:sz w:val="18"/>
          <w:szCs w:val="18"/>
          <w:rtl/>
        </w:rPr>
        <w:t>באופן</w:t>
      </w:r>
      <w:r w:rsidRPr="00464BF9">
        <w:rPr>
          <w:sz w:val="18"/>
          <w:szCs w:val="18"/>
          <w:rtl/>
        </w:rPr>
        <w:t xml:space="preserve"> שישקפו </w:t>
      </w:r>
      <w:r w:rsidRPr="00464BF9">
        <w:rPr>
          <w:rFonts w:hint="eastAsia"/>
          <w:sz w:val="18"/>
          <w:szCs w:val="18"/>
          <w:rtl/>
        </w:rPr>
        <w:t>את</w:t>
      </w:r>
      <w:r w:rsidRPr="00464BF9">
        <w:rPr>
          <w:sz w:val="18"/>
          <w:szCs w:val="18"/>
          <w:rtl/>
        </w:rPr>
        <w:t xml:space="preserve"> הוראות </w:t>
      </w:r>
      <w:r w:rsidRPr="00464BF9">
        <w:rPr>
          <w:rFonts w:hint="eastAsia"/>
          <w:sz w:val="18"/>
          <w:szCs w:val="18"/>
          <w:rtl/>
        </w:rPr>
        <w:t>הנוהל</w:t>
      </w:r>
      <w:r w:rsidRPr="00464BF9">
        <w:rPr>
          <w:sz w:val="18"/>
          <w:szCs w:val="18"/>
          <w:rtl/>
        </w:rPr>
        <w:t xml:space="preserve"> </w:t>
      </w:r>
      <w:r w:rsidRPr="00464BF9">
        <w:rPr>
          <w:rFonts w:hint="eastAsia"/>
          <w:sz w:val="18"/>
          <w:szCs w:val="18"/>
          <w:rtl/>
        </w:rPr>
        <w:t>בנוגע</w:t>
      </w:r>
      <w:r w:rsidRPr="00464BF9">
        <w:rPr>
          <w:sz w:val="18"/>
          <w:szCs w:val="18"/>
          <w:rtl/>
        </w:rPr>
        <w:t xml:space="preserve"> </w:t>
      </w:r>
      <w:r w:rsidRPr="00464BF9">
        <w:rPr>
          <w:rFonts w:hint="eastAsia"/>
          <w:sz w:val="18"/>
          <w:szCs w:val="18"/>
          <w:rtl/>
        </w:rPr>
        <w:t>לעבודת</w:t>
      </w:r>
      <w:r w:rsidRPr="00464BF9">
        <w:rPr>
          <w:sz w:val="18"/>
          <w:szCs w:val="18"/>
          <w:rtl/>
        </w:rPr>
        <w:t xml:space="preserve"> </w:t>
      </w:r>
      <w:r w:rsidRPr="00464BF9">
        <w:rPr>
          <w:rFonts w:hint="eastAsia"/>
          <w:sz w:val="18"/>
          <w:szCs w:val="18"/>
          <w:rtl/>
        </w:rPr>
        <w:t>הוועדות</w:t>
      </w:r>
      <w:r w:rsidRPr="00464BF9">
        <w:rPr>
          <w:sz w:val="18"/>
          <w:szCs w:val="18"/>
          <w:rtl/>
        </w:rPr>
        <w:t xml:space="preserve">, </w:t>
      </w:r>
      <w:r w:rsidRPr="00464BF9">
        <w:rPr>
          <w:rFonts w:hint="eastAsia"/>
          <w:sz w:val="18"/>
          <w:szCs w:val="18"/>
          <w:rtl/>
        </w:rPr>
        <w:t>כפי</w:t>
      </w:r>
      <w:r w:rsidRPr="00464BF9">
        <w:rPr>
          <w:sz w:val="18"/>
          <w:szCs w:val="18"/>
          <w:rtl/>
        </w:rPr>
        <w:t xml:space="preserve"> </w:t>
      </w:r>
      <w:r w:rsidRPr="00464BF9">
        <w:rPr>
          <w:rFonts w:hint="eastAsia"/>
          <w:sz w:val="18"/>
          <w:szCs w:val="18"/>
          <w:rtl/>
        </w:rPr>
        <w:t>שנקבע</w:t>
      </w:r>
      <w:r w:rsidRPr="00464BF9">
        <w:rPr>
          <w:sz w:val="18"/>
          <w:szCs w:val="18"/>
          <w:rtl/>
        </w:rPr>
        <w:t xml:space="preserve"> </w:t>
      </w:r>
      <w:r w:rsidRPr="00464BF9">
        <w:rPr>
          <w:rFonts w:hint="eastAsia"/>
          <w:sz w:val="18"/>
          <w:szCs w:val="18"/>
          <w:rtl/>
        </w:rPr>
        <w:t>בהחלטת</w:t>
      </w:r>
      <w:r w:rsidRPr="00464BF9">
        <w:rPr>
          <w:sz w:val="18"/>
          <w:szCs w:val="18"/>
          <w:rtl/>
        </w:rPr>
        <w:t xml:space="preserve"> </w:t>
      </w:r>
      <w:r w:rsidRPr="00464BF9">
        <w:rPr>
          <w:rFonts w:hint="eastAsia"/>
          <w:sz w:val="18"/>
          <w:szCs w:val="18"/>
          <w:rtl/>
        </w:rPr>
        <w:t>הממשלה</w:t>
      </w:r>
      <w:r w:rsidRPr="00464BF9">
        <w:rPr>
          <w:sz w:val="18"/>
          <w:szCs w:val="18"/>
          <w:rtl/>
        </w:rPr>
        <w:t xml:space="preserve"> </w:t>
      </w:r>
      <w:r w:rsidRPr="00464BF9">
        <w:rPr>
          <w:rFonts w:hint="eastAsia"/>
          <w:sz w:val="18"/>
          <w:szCs w:val="18"/>
          <w:rtl/>
        </w:rPr>
        <w:t>מ</w:t>
      </w:r>
      <w:r w:rsidRPr="00464BF9">
        <w:rPr>
          <w:rFonts w:hint="cs"/>
          <w:sz w:val="18"/>
          <w:szCs w:val="18"/>
          <w:rtl/>
        </w:rPr>
        <w:t>-</w:t>
      </w:r>
      <w:r w:rsidRPr="00464BF9">
        <w:rPr>
          <w:sz w:val="18"/>
          <w:szCs w:val="18"/>
          <w:rtl/>
        </w:rPr>
        <w:t>2016.</w:t>
      </w:r>
    </w:p>
    <w:p w14:paraId="5A4DC16F" w14:textId="55A873D0" w:rsidR="00B32607" w:rsidRPr="00464BF9" w:rsidRDefault="00B32607" w:rsidP="00464BF9">
      <w:pPr>
        <w:pStyle w:val="a"/>
        <w:numPr>
          <w:ilvl w:val="0"/>
          <w:numId w:val="5"/>
        </w:numPr>
        <w:spacing w:line="260" w:lineRule="exact"/>
        <w:ind w:left="397" w:hanging="397"/>
        <w:rPr>
          <w:sz w:val="18"/>
          <w:szCs w:val="18"/>
        </w:rPr>
      </w:pPr>
      <w:r w:rsidRPr="00464BF9">
        <w:rPr>
          <w:rFonts w:hint="eastAsia"/>
          <w:b/>
          <w:bCs/>
          <w:sz w:val="18"/>
          <w:szCs w:val="18"/>
          <w:rtl/>
        </w:rPr>
        <w:t>תשתית</w:t>
      </w:r>
      <w:r w:rsidRPr="00464BF9">
        <w:rPr>
          <w:b/>
          <w:bCs/>
          <w:sz w:val="18"/>
          <w:szCs w:val="18"/>
          <w:rtl/>
        </w:rPr>
        <w:t xml:space="preserve"> </w:t>
      </w:r>
      <w:r w:rsidRPr="00464BF9">
        <w:rPr>
          <w:rFonts w:hint="eastAsia"/>
          <w:b/>
          <w:bCs/>
          <w:sz w:val="18"/>
          <w:szCs w:val="18"/>
          <w:rtl/>
        </w:rPr>
        <w:t>טכנולוגית</w:t>
      </w:r>
      <w:r w:rsidRPr="00464BF9">
        <w:rPr>
          <w:b/>
          <w:bCs/>
          <w:sz w:val="18"/>
          <w:szCs w:val="18"/>
          <w:rtl/>
        </w:rPr>
        <w:t xml:space="preserve"> </w:t>
      </w:r>
      <w:r w:rsidRPr="00464BF9">
        <w:rPr>
          <w:rFonts w:hint="eastAsia"/>
          <w:b/>
          <w:bCs/>
          <w:sz w:val="18"/>
          <w:szCs w:val="18"/>
          <w:rtl/>
        </w:rPr>
        <w:t>מאובטחת</w:t>
      </w:r>
      <w:r w:rsidRPr="00464BF9">
        <w:rPr>
          <w:b/>
          <w:bCs/>
          <w:sz w:val="18"/>
          <w:szCs w:val="18"/>
          <w:rtl/>
        </w:rPr>
        <w:t xml:space="preserve"> </w:t>
      </w:r>
      <w:r w:rsidRPr="00464BF9">
        <w:rPr>
          <w:rFonts w:hint="eastAsia"/>
          <w:b/>
          <w:bCs/>
          <w:sz w:val="18"/>
          <w:szCs w:val="18"/>
          <w:rtl/>
        </w:rPr>
        <w:t>לשיתוף</w:t>
      </w:r>
      <w:r w:rsidRPr="00464BF9">
        <w:rPr>
          <w:b/>
          <w:bCs/>
          <w:sz w:val="18"/>
          <w:szCs w:val="18"/>
          <w:rtl/>
        </w:rPr>
        <w:t xml:space="preserve"> </w:t>
      </w:r>
      <w:r w:rsidRPr="00464BF9">
        <w:rPr>
          <w:rFonts w:hint="eastAsia"/>
          <w:b/>
          <w:bCs/>
          <w:sz w:val="18"/>
          <w:szCs w:val="18"/>
          <w:rtl/>
        </w:rPr>
        <w:t>מידע</w:t>
      </w:r>
      <w:r w:rsidRPr="00464BF9">
        <w:rPr>
          <w:b/>
          <w:bCs/>
          <w:sz w:val="18"/>
          <w:szCs w:val="18"/>
          <w:rtl/>
        </w:rPr>
        <w:t xml:space="preserve"> (שדרת </w:t>
      </w:r>
      <w:r w:rsidRPr="00464BF9">
        <w:rPr>
          <w:rFonts w:hint="eastAsia"/>
          <w:b/>
          <w:bCs/>
          <w:sz w:val="18"/>
          <w:szCs w:val="18"/>
          <w:rtl/>
        </w:rPr>
        <w:t>המידע</w:t>
      </w:r>
      <w:r w:rsidRPr="00464BF9">
        <w:rPr>
          <w:b/>
          <w:bCs/>
          <w:sz w:val="18"/>
          <w:szCs w:val="18"/>
          <w:rtl/>
        </w:rPr>
        <w:t xml:space="preserve"> </w:t>
      </w:r>
      <w:r w:rsidRPr="00464BF9">
        <w:rPr>
          <w:rFonts w:hint="eastAsia"/>
          <w:b/>
          <w:bCs/>
          <w:sz w:val="18"/>
          <w:szCs w:val="18"/>
          <w:rtl/>
        </w:rPr>
        <w:t>הממשלתית</w:t>
      </w:r>
      <w:r w:rsidRPr="00464BF9">
        <w:rPr>
          <w:b/>
          <w:bCs/>
          <w:sz w:val="18"/>
          <w:szCs w:val="18"/>
          <w:rtl/>
        </w:rPr>
        <w:t>):</w:t>
      </w:r>
      <w:r w:rsidRPr="00464BF9">
        <w:rPr>
          <w:sz w:val="18"/>
          <w:szCs w:val="18"/>
          <w:rtl/>
        </w:rPr>
        <w:t xml:space="preserve"> </w:t>
      </w:r>
      <w:r w:rsidR="002E5B76" w:rsidRPr="002E5B76">
        <w:rPr>
          <w:rFonts w:hint="eastAsia"/>
          <w:sz w:val="18"/>
          <w:szCs w:val="18"/>
          <w:rtl/>
        </w:rPr>
        <w:t>בפברואר</w:t>
      </w:r>
      <w:r w:rsidR="002E5B76" w:rsidRPr="002E5B76">
        <w:rPr>
          <w:sz w:val="18"/>
          <w:szCs w:val="18"/>
          <w:rtl/>
        </w:rPr>
        <w:t xml:space="preserve"> 2021 </w:t>
      </w:r>
      <w:r w:rsidR="002E5B76" w:rsidRPr="002E5B76">
        <w:rPr>
          <w:rFonts w:hint="eastAsia"/>
          <w:sz w:val="18"/>
          <w:szCs w:val="18"/>
          <w:rtl/>
        </w:rPr>
        <w:t>עדיין</w:t>
      </w:r>
      <w:r w:rsidR="002E5B76" w:rsidRPr="002E5B76">
        <w:rPr>
          <w:sz w:val="18"/>
          <w:szCs w:val="18"/>
          <w:rtl/>
        </w:rPr>
        <w:t xml:space="preserve"> </w:t>
      </w:r>
      <w:r w:rsidR="002E5B76" w:rsidRPr="002E5B76">
        <w:rPr>
          <w:rFonts w:hint="eastAsia"/>
          <w:sz w:val="18"/>
          <w:szCs w:val="18"/>
          <w:rtl/>
        </w:rPr>
        <w:t>לא</w:t>
      </w:r>
      <w:r w:rsidR="002E5B76" w:rsidRPr="002E5B76">
        <w:rPr>
          <w:sz w:val="18"/>
          <w:szCs w:val="18"/>
          <w:rtl/>
        </w:rPr>
        <w:t xml:space="preserve"> </w:t>
      </w:r>
      <w:r w:rsidR="002E5B76" w:rsidRPr="002E5B76">
        <w:rPr>
          <w:rFonts w:hint="eastAsia"/>
          <w:sz w:val="18"/>
          <w:szCs w:val="18"/>
          <w:rtl/>
        </w:rPr>
        <w:t>הושלמה</w:t>
      </w:r>
      <w:r w:rsidR="002E5B76" w:rsidRPr="002E5B76">
        <w:rPr>
          <w:sz w:val="18"/>
          <w:szCs w:val="18"/>
          <w:rtl/>
        </w:rPr>
        <w:t xml:space="preserve"> </w:t>
      </w:r>
      <w:r w:rsidR="002E5B76" w:rsidRPr="002E5B76">
        <w:rPr>
          <w:rFonts w:hint="eastAsia"/>
          <w:sz w:val="18"/>
          <w:szCs w:val="18"/>
          <w:rtl/>
        </w:rPr>
        <w:t>התקנת</w:t>
      </w:r>
      <w:r w:rsidR="002E5B76" w:rsidRPr="002E5B76">
        <w:rPr>
          <w:sz w:val="18"/>
          <w:szCs w:val="18"/>
          <w:rtl/>
        </w:rPr>
        <w:t xml:space="preserve"> </w:t>
      </w:r>
      <w:r w:rsidR="002E5B76" w:rsidRPr="002E5B76">
        <w:rPr>
          <w:rFonts w:hint="eastAsia"/>
          <w:sz w:val="18"/>
          <w:szCs w:val="18"/>
          <w:rtl/>
        </w:rPr>
        <w:t>שדרת</w:t>
      </w:r>
      <w:r w:rsidR="002E5B76" w:rsidRPr="002E5B76">
        <w:rPr>
          <w:sz w:val="18"/>
          <w:szCs w:val="18"/>
          <w:rtl/>
        </w:rPr>
        <w:t xml:space="preserve"> </w:t>
      </w:r>
      <w:r w:rsidR="002E5B76" w:rsidRPr="002E5B76">
        <w:rPr>
          <w:rFonts w:hint="eastAsia"/>
          <w:sz w:val="18"/>
          <w:szCs w:val="18"/>
          <w:rtl/>
        </w:rPr>
        <w:t>המידע</w:t>
      </w:r>
      <w:r w:rsidR="002E5B76" w:rsidRPr="002E5B76">
        <w:rPr>
          <w:sz w:val="18"/>
          <w:szCs w:val="18"/>
          <w:rtl/>
        </w:rPr>
        <w:t xml:space="preserve"> </w:t>
      </w:r>
      <w:r w:rsidR="002E5B76" w:rsidRPr="002E5B76">
        <w:rPr>
          <w:rFonts w:hint="eastAsia"/>
          <w:sz w:val="18"/>
          <w:szCs w:val="18"/>
          <w:rtl/>
        </w:rPr>
        <w:t>בארבעה</w:t>
      </w:r>
      <w:r w:rsidR="002E5B76" w:rsidRPr="002E5B76">
        <w:rPr>
          <w:sz w:val="18"/>
          <w:szCs w:val="18"/>
          <w:rtl/>
        </w:rPr>
        <w:t xml:space="preserve"> (15%) </w:t>
      </w:r>
      <w:r w:rsidR="002E5B76" w:rsidRPr="002E5B76">
        <w:rPr>
          <w:rFonts w:hint="eastAsia"/>
          <w:sz w:val="18"/>
          <w:szCs w:val="18"/>
          <w:rtl/>
        </w:rPr>
        <w:t>מבין</w:t>
      </w:r>
      <w:r w:rsidR="002E5B76" w:rsidRPr="002E5B76">
        <w:rPr>
          <w:sz w:val="18"/>
          <w:szCs w:val="18"/>
          <w:rtl/>
        </w:rPr>
        <w:t xml:space="preserve"> 26 </w:t>
      </w:r>
      <w:r w:rsidR="002E5B76" w:rsidRPr="002E5B76">
        <w:rPr>
          <w:rFonts w:hint="eastAsia"/>
          <w:sz w:val="18"/>
          <w:szCs w:val="18"/>
          <w:rtl/>
        </w:rPr>
        <w:t>גופים</w:t>
      </w:r>
      <w:r w:rsidR="002E5B76" w:rsidRPr="002E5B76">
        <w:rPr>
          <w:sz w:val="18"/>
          <w:szCs w:val="18"/>
          <w:rtl/>
        </w:rPr>
        <w:t xml:space="preserve"> </w:t>
      </w:r>
      <w:r w:rsidR="002E5B76" w:rsidRPr="002E5B76">
        <w:rPr>
          <w:rFonts w:hint="eastAsia"/>
          <w:sz w:val="18"/>
          <w:szCs w:val="18"/>
          <w:rtl/>
        </w:rPr>
        <w:t>שבהם</w:t>
      </w:r>
      <w:r w:rsidR="002E5B76" w:rsidRPr="002E5B76">
        <w:rPr>
          <w:sz w:val="18"/>
          <w:szCs w:val="18"/>
          <w:rtl/>
        </w:rPr>
        <w:t xml:space="preserve"> </w:t>
      </w:r>
      <w:r w:rsidR="002E5B76" w:rsidRPr="002E5B76">
        <w:rPr>
          <w:rFonts w:hint="eastAsia"/>
          <w:sz w:val="18"/>
          <w:szCs w:val="18"/>
          <w:rtl/>
        </w:rPr>
        <w:t>תוכננה</w:t>
      </w:r>
      <w:r w:rsidR="002E5B76" w:rsidRPr="002E5B76">
        <w:rPr>
          <w:sz w:val="18"/>
          <w:szCs w:val="18"/>
          <w:rtl/>
        </w:rPr>
        <w:t xml:space="preserve"> </w:t>
      </w:r>
      <w:r w:rsidR="002E5B76" w:rsidRPr="002E5B76">
        <w:rPr>
          <w:rFonts w:hint="eastAsia"/>
          <w:sz w:val="18"/>
          <w:szCs w:val="18"/>
          <w:rtl/>
        </w:rPr>
        <w:t>התקנתה</w:t>
      </w:r>
      <w:r w:rsidR="002E5B76" w:rsidRPr="002E5B76">
        <w:rPr>
          <w:sz w:val="18"/>
          <w:szCs w:val="18"/>
          <w:rtl/>
        </w:rPr>
        <w:t xml:space="preserve"> </w:t>
      </w:r>
      <w:r w:rsidR="002E5B76" w:rsidRPr="002E5B76">
        <w:rPr>
          <w:rFonts w:hint="eastAsia"/>
          <w:sz w:val="18"/>
          <w:szCs w:val="18"/>
          <w:rtl/>
        </w:rPr>
        <w:t>לשנת</w:t>
      </w:r>
      <w:r w:rsidR="002E5B76" w:rsidRPr="002E5B76">
        <w:rPr>
          <w:sz w:val="18"/>
          <w:szCs w:val="18"/>
          <w:rtl/>
        </w:rPr>
        <w:t xml:space="preserve"> 2020, </w:t>
      </w:r>
      <w:r w:rsidR="002E5B76" w:rsidRPr="002E5B76">
        <w:rPr>
          <w:rFonts w:hint="eastAsia"/>
          <w:sz w:val="18"/>
          <w:szCs w:val="18"/>
          <w:rtl/>
        </w:rPr>
        <w:t>בין</w:t>
      </w:r>
      <w:r w:rsidR="002E5B76" w:rsidRPr="002E5B76">
        <w:rPr>
          <w:sz w:val="18"/>
          <w:szCs w:val="18"/>
          <w:rtl/>
        </w:rPr>
        <w:t xml:space="preserve"> </w:t>
      </w:r>
      <w:r w:rsidR="002E5B76" w:rsidRPr="002E5B76">
        <w:rPr>
          <w:rFonts w:hint="eastAsia"/>
          <w:sz w:val="18"/>
          <w:szCs w:val="18"/>
          <w:rtl/>
        </w:rPr>
        <w:t>היתר</w:t>
      </w:r>
      <w:r w:rsidR="002E5B76" w:rsidRPr="002E5B76">
        <w:rPr>
          <w:sz w:val="18"/>
          <w:szCs w:val="18"/>
          <w:rtl/>
        </w:rPr>
        <w:t xml:space="preserve"> </w:t>
      </w:r>
      <w:r w:rsidR="002E5B76" w:rsidRPr="002E5B76">
        <w:rPr>
          <w:rFonts w:hint="eastAsia"/>
          <w:sz w:val="18"/>
          <w:szCs w:val="18"/>
          <w:rtl/>
        </w:rPr>
        <w:t>בשל</w:t>
      </w:r>
      <w:r w:rsidR="002E5B76" w:rsidRPr="002E5B76">
        <w:rPr>
          <w:sz w:val="18"/>
          <w:szCs w:val="18"/>
          <w:rtl/>
        </w:rPr>
        <w:t xml:space="preserve"> </w:t>
      </w:r>
      <w:r w:rsidR="002E5B76" w:rsidRPr="002E5B76">
        <w:rPr>
          <w:rFonts w:hint="eastAsia"/>
          <w:sz w:val="18"/>
          <w:szCs w:val="18"/>
          <w:rtl/>
        </w:rPr>
        <w:t>קשיים</w:t>
      </w:r>
      <w:r w:rsidR="002E5B76" w:rsidRPr="002E5B76">
        <w:rPr>
          <w:sz w:val="18"/>
          <w:szCs w:val="18"/>
          <w:rtl/>
        </w:rPr>
        <w:t xml:space="preserve"> </w:t>
      </w:r>
      <w:r w:rsidR="002E5B76" w:rsidRPr="002E5B76">
        <w:rPr>
          <w:rFonts w:hint="eastAsia"/>
          <w:sz w:val="18"/>
          <w:szCs w:val="18"/>
          <w:rtl/>
        </w:rPr>
        <w:t>טכנולוגיים</w:t>
      </w:r>
      <w:r w:rsidR="002E5B76" w:rsidRPr="002E5B76">
        <w:rPr>
          <w:sz w:val="18"/>
          <w:szCs w:val="18"/>
          <w:rtl/>
        </w:rPr>
        <w:t>.</w:t>
      </w:r>
    </w:p>
    <w:p w14:paraId="74029856" w14:textId="77777777" w:rsidR="00B32607" w:rsidRPr="00464BF9" w:rsidRDefault="00B32607" w:rsidP="00464BF9">
      <w:pPr>
        <w:pStyle w:val="a"/>
        <w:numPr>
          <w:ilvl w:val="0"/>
          <w:numId w:val="5"/>
        </w:numPr>
        <w:spacing w:line="260" w:lineRule="exact"/>
        <w:ind w:left="397" w:hanging="397"/>
        <w:rPr>
          <w:sz w:val="18"/>
          <w:szCs w:val="18"/>
        </w:rPr>
      </w:pPr>
      <w:r w:rsidRPr="00464BF9">
        <w:rPr>
          <w:rFonts w:hint="eastAsia"/>
          <w:b/>
          <w:bCs/>
          <w:sz w:val="18"/>
          <w:szCs w:val="18"/>
          <w:rtl/>
        </w:rPr>
        <w:t>סקר</w:t>
      </w:r>
      <w:r w:rsidRPr="00464BF9">
        <w:rPr>
          <w:b/>
          <w:bCs/>
          <w:sz w:val="18"/>
          <w:szCs w:val="18"/>
          <w:rtl/>
        </w:rPr>
        <w:t xml:space="preserve"> </w:t>
      </w:r>
      <w:r w:rsidRPr="00464BF9">
        <w:rPr>
          <w:rFonts w:hint="eastAsia"/>
          <w:b/>
          <w:bCs/>
          <w:sz w:val="18"/>
          <w:szCs w:val="18"/>
          <w:rtl/>
        </w:rPr>
        <w:t>סיכונים</w:t>
      </w:r>
      <w:r w:rsidRPr="00464BF9">
        <w:rPr>
          <w:b/>
          <w:bCs/>
          <w:sz w:val="18"/>
          <w:szCs w:val="18"/>
          <w:rtl/>
        </w:rPr>
        <w:t>:</w:t>
      </w:r>
      <w:r w:rsidRPr="00464BF9">
        <w:rPr>
          <w:sz w:val="18"/>
          <w:szCs w:val="18"/>
          <w:rtl/>
        </w:rPr>
        <w:t xml:space="preserve"> </w:t>
      </w:r>
      <w:r w:rsidRPr="00464BF9">
        <w:rPr>
          <w:rFonts w:hint="eastAsia"/>
          <w:sz w:val="18"/>
          <w:szCs w:val="18"/>
          <w:rtl/>
        </w:rPr>
        <w:t>אף</w:t>
      </w:r>
      <w:r w:rsidRPr="00464BF9">
        <w:rPr>
          <w:sz w:val="18"/>
          <w:szCs w:val="18"/>
          <w:rtl/>
        </w:rPr>
        <w:t xml:space="preserve"> ששדרת המידע </w:t>
      </w:r>
      <w:r w:rsidRPr="00464BF9">
        <w:rPr>
          <w:rFonts w:hint="eastAsia"/>
          <w:sz w:val="18"/>
          <w:szCs w:val="18"/>
          <w:rtl/>
        </w:rPr>
        <w:t>הוגדרה</w:t>
      </w:r>
      <w:r w:rsidRPr="00464BF9">
        <w:rPr>
          <w:sz w:val="18"/>
          <w:szCs w:val="18"/>
          <w:rtl/>
        </w:rPr>
        <w:t xml:space="preserve"> </w:t>
      </w:r>
      <w:r w:rsidRPr="00464BF9">
        <w:rPr>
          <w:rFonts w:hint="eastAsia"/>
          <w:sz w:val="18"/>
          <w:szCs w:val="18"/>
          <w:rtl/>
        </w:rPr>
        <w:t>תשתית</w:t>
      </w:r>
      <w:r w:rsidRPr="00464BF9">
        <w:rPr>
          <w:sz w:val="18"/>
          <w:szCs w:val="18"/>
          <w:rtl/>
        </w:rPr>
        <w:t xml:space="preserve"> </w:t>
      </w:r>
      <w:r w:rsidRPr="00464BF9">
        <w:rPr>
          <w:rFonts w:hint="eastAsia"/>
          <w:sz w:val="18"/>
          <w:szCs w:val="18"/>
          <w:rtl/>
        </w:rPr>
        <w:t>חיונית</w:t>
      </w:r>
      <w:r w:rsidRPr="00464BF9">
        <w:rPr>
          <w:sz w:val="18"/>
          <w:szCs w:val="18"/>
          <w:rtl/>
        </w:rPr>
        <w:t xml:space="preserve"> </w:t>
      </w:r>
      <w:r w:rsidRPr="00464BF9">
        <w:rPr>
          <w:rFonts w:hint="eastAsia"/>
          <w:sz w:val="18"/>
          <w:szCs w:val="18"/>
          <w:rtl/>
        </w:rPr>
        <w:t>הן</w:t>
      </w:r>
      <w:r w:rsidRPr="00464BF9">
        <w:rPr>
          <w:sz w:val="18"/>
          <w:szCs w:val="18"/>
          <w:rtl/>
        </w:rPr>
        <w:t xml:space="preserve"> </w:t>
      </w:r>
      <w:r w:rsidRPr="00464BF9">
        <w:rPr>
          <w:rFonts w:hint="eastAsia"/>
          <w:sz w:val="18"/>
          <w:szCs w:val="18"/>
          <w:rtl/>
        </w:rPr>
        <w:t>בהיבט</w:t>
      </w:r>
      <w:r w:rsidRPr="00464BF9">
        <w:rPr>
          <w:sz w:val="18"/>
          <w:szCs w:val="18"/>
          <w:rtl/>
        </w:rPr>
        <w:t xml:space="preserve"> </w:t>
      </w:r>
      <w:r w:rsidRPr="00464BF9">
        <w:rPr>
          <w:rFonts w:hint="eastAsia"/>
          <w:sz w:val="18"/>
          <w:szCs w:val="18"/>
          <w:rtl/>
        </w:rPr>
        <w:t>של</w:t>
      </w:r>
      <w:r w:rsidRPr="00464BF9">
        <w:rPr>
          <w:sz w:val="18"/>
          <w:szCs w:val="18"/>
          <w:rtl/>
        </w:rPr>
        <w:t xml:space="preserve"> </w:t>
      </w:r>
      <w:r w:rsidRPr="00464BF9">
        <w:rPr>
          <w:rFonts w:hint="eastAsia"/>
          <w:sz w:val="18"/>
          <w:szCs w:val="18"/>
          <w:rtl/>
        </w:rPr>
        <w:t>אבטחת</w:t>
      </w:r>
      <w:r w:rsidRPr="00464BF9">
        <w:rPr>
          <w:sz w:val="18"/>
          <w:szCs w:val="18"/>
          <w:rtl/>
        </w:rPr>
        <w:t xml:space="preserve"> </w:t>
      </w:r>
      <w:r w:rsidRPr="00464BF9">
        <w:rPr>
          <w:rFonts w:hint="eastAsia"/>
          <w:sz w:val="18"/>
          <w:szCs w:val="18"/>
          <w:rtl/>
        </w:rPr>
        <w:t>מידע</w:t>
      </w:r>
      <w:r w:rsidRPr="00464BF9">
        <w:rPr>
          <w:sz w:val="18"/>
          <w:szCs w:val="18"/>
          <w:rtl/>
        </w:rPr>
        <w:t xml:space="preserve"> </w:t>
      </w:r>
      <w:r w:rsidRPr="00464BF9">
        <w:rPr>
          <w:rFonts w:hint="eastAsia"/>
          <w:sz w:val="18"/>
          <w:szCs w:val="18"/>
          <w:rtl/>
        </w:rPr>
        <w:t>והגנת</w:t>
      </w:r>
      <w:r w:rsidRPr="00464BF9">
        <w:rPr>
          <w:sz w:val="18"/>
          <w:szCs w:val="18"/>
          <w:rtl/>
        </w:rPr>
        <w:t xml:space="preserve"> </w:t>
      </w:r>
      <w:r w:rsidRPr="00464BF9">
        <w:rPr>
          <w:rFonts w:hint="eastAsia"/>
          <w:sz w:val="18"/>
          <w:szCs w:val="18"/>
          <w:rtl/>
        </w:rPr>
        <w:t>הסייבר</w:t>
      </w:r>
      <w:r w:rsidRPr="00464BF9">
        <w:rPr>
          <w:sz w:val="18"/>
          <w:szCs w:val="18"/>
          <w:rtl/>
        </w:rPr>
        <w:t xml:space="preserve"> </w:t>
      </w:r>
      <w:r w:rsidRPr="00464BF9">
        <w:rPr>
          <w:rFonts w:hint="eastAsia"/>
          <w:sz w:val="18"/>
          <w:szCs w:val="18"/>
          <w:rtl/>
        </w:rPr>
        <w:t>והן</w:t>
      </w:r>
      <w:r w:rsidRPr="00464BF9">
        <w:rPr>
          <w:sz w:val="18"/>
          <w:szCs w:val="18"/>
          <w:rtl/>
        </w:rPr>
        <w:t xml:space="preserve"> </w:t>
      </w:r>
      <w:r w:rsidRPr="00464BF9">
        <w:rPr>
          <w:rFonts w:hint="eastAsia"/>
          <w:sz w:val="18"/>
          <w:szCs w:val="18"/>
          <w:rtl/>
        </w:rPr>
        <w:t>בהיבט</w:t>
      </w:r>
      <w:r w:rsidRPr="00464BF9">
        <w:rPr>
          <w:sz w:val="18"/>
          <w:szCs w:val="18"/>
          <w:rtl/>
        </w:rPr>
        <w:t xml:space="preserve"> </w:t>
      </w:r>
      <w:r w:rsidRPr="00464BF9">
        <w:rPr>
          <w:rFonts w:hint="eastAsia"/>
          <w:sz w:val="18"/>
          <w:szCs w:val="18"/>
          <w:rtl/>
        </w:rPr>
        <w:t>של</w:t>
      </w:r>
      <w:r w:rsidRPr="00464BF9">
        <w:rPr>
          <w:sz w:val="18"/>
          <w:szCs w:val="18"/>
          <w:rtl/>
        </w:rPr>
        <w:t xml:space="preserve"> </w:t>
      </w:r>
      <w:r w:rsidRPr="00464BF9">
        <w:rPr>
          <w:rFonts w:hint="eastAsia"/>
          <w:sz w:val="18"/>
          <w:szCs w:val="18"/>
          <w:rtl/>
        </w:rPr>
        <w:t>רציפות</w:t>
      </w:r>
      <w:r w:rsidRPr="00464BF9">
        <w:rPr>
          <w:sz w:val="18"/>
          <w:szCs w:val="18"/>
          <w:rtl/>
        </w:rPr>
        <w:t xml:space="preserve"> </w:t>
      </w:r>
      <w:r w:rsidRPr="00464BF9">
        <w:rPr>
          <w:rFonts w:hint="eastAsia"/>
          <w:sz w:val="18"/>
          <w:szCs w:val="18"/>
          <w:rtl/>
        </w:rPr>
        <w:t>השירותים</w:t>
      </w:r>
      <w:r w:rsidRPr="00464BF9">
        <w:rPr>
          <w:sz w:val="18"/>
          <w:szCs w:val="18"/>
          <w:rtl/>
        </w:rPr>
        <w:t xml:space="preserve"> </w:t>
      </w:r>
      <w:r w:rsidRPr="00464BF9">
        <w:rPr>
          <w:rFonts w:hint="eastAsia"/>
          <w:sz w:val="18"/>
          <w:szCs w:val="18"/>
          <w:rtl/>
        </w:rPr>
        <w:t>לאזרח</w:t>
      </w:r>
      <w:r w:rsidRPr="00464BF9">
        <w:rPr>
          <w:sz w:val="18"/>
          <w:szCs w:val="18"/>
          <w:rtl/>
        </w:rPr>
        <w:t xml:space="preserve">, </w:t>
      </w:r>
      <w:r w:rsidRPr="00464BF9">
        <w:rPr>
          <w:rFonts w:hint="eastAsia"/>
          <w:sz w:val="18"/>
          <w:szCs w:val="18"/>
          <w:rtl/>
        </w:rPr>
        <w:t>טרם</w:t>
      </w:r>
      <w:r w:rsidRPr="00464BF9">
        <w:rPr>
          <w:sz w:val="18"/>
          <w:szCs w:val="18"/>
          <w:rtl/>
        </w:rPr>
        <w:t xml:space="preserve"> </w:t>
      </w:r>
      <w:r w:rsidRPr="00464BF9">
        <w:rPr>
          <w:rFonts w:hint="eastAsia"/>
          <w:sz w:val="18"/>
          <w:szCs w:val="18"/>
          <w:rtl/>
        </w:rPr>
        <w:t>הושלם</w:t>
      </w:r>
      <w:r w:rsidRPr="00464BF9">
        <w:rPr>
          <w:sz w:val="18"/>
          <w:szCs w:val="18"/>
          <w:rtl/>
        </w:rPr>
        <w:t xml:space="preserve"> </w:t>
      </w:r>
      <w:r w:rsidRPr="00464BF9">
        <w:rPr>
          <w:rFonts w:hint="eastAsia"/>
          <w:sz w:val="18"/>
          <w:szCs w:val="18"/>
          <w:rtl/>
        </w:rPr>
        <w:t>ביצוע</w:t>
      </w:r>
      <w:r w:rsidRPr="00464BF9">
        <w:rPr>
          <w:sz w:val="18"/>
          <w:szCs w:val="18"/>
          <w:rtl/>
        </w:rPr>
        <w:t xml:space="preserve"> סקר סיכוני</w:t>
      </w:r>
      <w:r w:rsidRPr="00464BF9">
        <w:rPr>
          <w:rFonts w:hint="cs"/>
          <w:sz w:val="18"/>
          <w:szCs w:val="18"/>
          <w:rtl/>
        </w:rPr>
        <w:t xml:space="preserve"> אבטחת מידע</w:t>
      </w:r>
      <w:r w:rsidRPr="00464BF9">
        <w:rPr>
          <w:sz w:val="18"/>
          <w:szCs w:val="18"/>
          <w:rtl/>
        </w:rPr>
        <w:t xml:space="preserve"> למערכת </w:t>
      </w:r>
      <w:r w:rsidRPr="00464BF9">
        <w:rPr>
          <w:rFonts w:hint="eastAsia"/>
          <w:sz w:val="18"/>
          <w:szCs w:val="18"/>
          <w:rtl/>
        </w:rPr>
        <w:t>והכנת</w:t>
      </w:r>
      <w:r w:rsidRPr="00464BF9">
        <w:rPr>
          <w:sz w:val="18"/>
          <w:szCs w:val="18"/>
          <w:rtl/>
        </w:rPr>
        <w:t xml:space="preserve"> </w:t>
      </w:r>
      <w:r w:rsidRPr="00464BF9">
        <w:rPr>
          <w:rFonts w:hint="eastAsia"/>
          <w:sz w:val="18"/>
          <w:szCs w:val="18"/>
          <w:rtl/>
        </w:rPr>
        <w:t>אתר</w:t>
      </w:r>
      <w:r w:rsidRPr="00464BF9">
        <w:rPr>
          <w:sz w:val="18"/>
          <w:szCs w:val="18"/>
          <w:rtl/>
        </w:rPr>
        <w:t xml:space="preserve"> </w:t>
      </w:r>
      <w:r w:rsidRPr="00464BF9">
        <w:rPr>
          <w:rFonts w:hint="eastAsia"/>
          <w:sz w:val="18"/>
          <w:szCs w:val="18"/>
          <w:rtl/>
        </w:rPr>
        <w:t>התאוששות</w:t>
      </w:r>
      <w:r w:rsidRPr="00464BF9">
        <w:rPr>
          <w:sz w:val="18"/>
          <w:szCs w:val="18"/>
          <w:rtl/>
        </w:rPr>
        <w:t xml:space="preserve"> </w:t>
      </w:r>
      <w:r w:rsidRPr="00464BF9">
        <w:rPr>
          <w:rFonts w:hint="eastAsia"/>
          <w:sz w:val="18"/>
          <w:szCs w:val="18"/>
          <w:rtl/>
        </w:rPr>
        <w:t>מאסון</w:t>
      </w:r>
      <w:r w:rsidRPr="00464BF9">
        <w:rPr>
          <w:sz w:val="18"/>
          <w:szCs w:val="18"/>
          <w:rtl/>
        </w:rPr>
        <w:t>.</w:t>
      </w:r>
    </w:p>
    <w:p w14:paraId="0BE615DD" w14:textId="77777777" w:rsidR="002E5B76" w:rsidRPr="006061A9" w:rsidRDefault="002E5B76" w:rsidP="002E5B76">
      <w:pPr>
        <w:pStyle w:val="running-text"/>
        <w:bidi/>
        <w:spacing w:after="180" w:line="260" w:lineRule="exact"/>
        <w:ind w:right="0"/>
        <w:rPr>
          <w:color w:val="0D0D0D" w:themeColor="text1" w:themeTint="F2"/>
          <w:sz w:val="18"/>
          <w:rtl/>
        </w:rPr>
      </w:pPr>
    </w:p>
    <w:p w14:paraId="28A4F316" w14:textId="7381A6CA" w:rsidR="00E33AFB" w:rsidRPr="00995AD8" w:rsidRDefault="00B05B87" w:rsidP="00E33AFB">
      <w:pPr>
        <w:spacing w:line="240" w:lineRule="atLeast"/>
        <w:ind w:left="454" w:hanging="454"/>
        <w:rPr>
          <w:rFonts w:ascii="Tahoma" w:hAnsi="Tahoma" w:cs="Tahoma"/>
          <w:sz w:val="19"/>
          <w:szCs w:val="19"/>
          <w:rtl/>
        </w:rPr>
      </w:pPr>
      <w:r>
        <w:rPr>
          <w:rFonts w:ascii="Tahoma" w:hAnsi="Tahoma" w:cs="Tahoma"/>
          <w:noProof/>
          <w:sz w:val="19"/>
          <w:szCs w:val="19"/>
          <w:rtl/>
          <w:lang w:val="he-IL"/>
        </w:rPr>
        <w:drawing>
          <wp:inline distT="0" distB="0" distL="0" distR="0" wp14:anchorId="4FE89575" wp14:editId="6AD154F0">
            <wp:extent cx="2523749" cy="143256"/>
            <wp:effectExtent l="0" t="0" r="0" b="9525"/>
            <wp:docPr id="15" name="Picture 15"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21B5C4BA" w14:textId="5850F481" w:rsidR="00B32607" w:rsidRPr="00B32607" w:rsidRDefault="00B32607" w:rsidP="00B32607">
      <w:pPr>
        <w:pStyle w:val="running-text"/>
        <w:bidi/>
        <w:spacing w:after="180" w:line="260" w:lineRule="exact"/>
        <w:ind w:right="0"/>
        <w:rPr>
          <w:color w:val="0D0D0D" w:themeColor="text1" w:themeTint="F2"/>
          <w:sz w:val="18"/>
          <w:rtl/>
        </w:rPr>
      </w:pPr>
      <w:r w:rsidRPr="00B32607">
        <w:rPr>
          <w:rFonts w:hint="cs"/>
          <w:color w:val="0D0D0D" w:themeColor="text1" w:themeTint="F2"/>
          <w:sz w:val="18"/>
          <w:rtl/>
        </w:rPr>
        <w:t>יש לראות בחיוב את פעולת רשות התקשוב להנחת הבסיס המתודולוגי למימוש מדיניות פעם אחת בשירותים דיגיטליים, באמצעות השימוש בתשתית הטפסים הממשלתית</w:t>
      </w:r>
      <w:r w:rsidRPr="00B32607">
        <w:rPr>
          <w:color w:val="0D0D0D" w:themeColor="text1" w:themeTint="F2"/>
          <w:sz w:val="18"/>
          <w:rtl/>
        </w:rPr>
        <w:t xml:space="preserve">, </w:t>
      </w:r>
      <w:r w:rsidRPr="00B32607">
        <w:rPr>
          <w:rFonts w:hint="eastAsia"/>
          <w:color w:val="0D0D0D" w:themeColor="text1" w:themeTint="F2"/>
          <w:sz w:val="18"/>
          <w:rtl/>
        </w:rPr>
        <w:t>מערכת</w:t>
      </w:r>
      <w:r w:rsidRPr="00B32607">
        <w:rPr>
          <w:color w:val="0D0D0D" w:themeColor="text1" w:themeTint="F2"/>
          <w:sz w:val="18"/>
          <w:rtl/>
        </w:rPr>
        <w:t xml:space="preserve"> </w:t>
      </w:r>
      <w:r w:rsidRPr="00B32607">
        <w:rPr>
          <w:rFonts w:hint="eastAsia"/>
          <w:color w:val="0D0D0D" w:themeColor="text1" w:themeTint="F2"/>
          <w:sz w:val="18"/>
          <w:rtl/>
        </w:rPr>
        <w:t>ההזדהות</w:t>
      </w:r>
      <w:r w:rsidRPr="00B32607">
        <w:rPr>
          <w:color w:val="0D0D0D" w:themeColor="text1" w:themeTint="F2"/>
          <w:sz w:val="18"/>
          <w:rtl/>
        </w:rPr>
        <w:t xml:space="preserve"> </w:t>
      </w:r>
      <w:r w:rsidRPr="00B32607">
        <w:rPr>
          <w:rFonts w:hint="eastAsia"/>
          <w:color w:val="0D0D0D" w:themeColor="text1" w:themeTint="F2"/>
          <w:sz w:val="18"/>
          <w:rtl/>
        </w:rPr>
        <w:t>הממשלתית</w:t>
      </w:r>
      <w:r w:rsidR="00C71DCE" w:rsidRPr="00C71DCE">
        <w:rPr>
          <w:color w:val="0D0D0D" w:themeColor="text1" w:themeTint="F2"/>
          <w:sz w:val="18"/>
          <w:vertAlign w:val="superscript"/>
          <w:rtl/>
        </w:rPr>
        <w:footnoteReference w:id="5"/>
      </w:r>
      <w:r w:rsidRPr="00B32607">
        <w:rPr>
          <w:rFonts w:hint="cs"/>
          <w:color w:val="0D0D0D" w:themeColor="text1" w:themeTint="F2"/>
          <w:sz w:val="18"/>
          <w:rtl/>
        </w:rPr>
        <w:t xml:space="preserve"> ושדרת המידע. </w:t>
      </w:r>
    </w:p>
    <w:p w14:paraId="6716C5DA" w14:textId="77777777" w:rsidR="00B32607" w:rsidRPr="00B32607" w:rsidRDefault="00B32607" w:rsidP="00B32607">
      <w:pPr>
        <w:pStyle w:val="running-text"/>
        <w:bidi/>
        <w:spacing w:after="180" w:line="260" w:lineRule="exact"/>
        <w:ind w:right="0"/>
        <w:rPr>
          <w:color w:val="0D0D0D" w:themeColor="text1" w:themeTint="F2"/>
          <w:sz w:val="18"/>
          <w:rtl/>
        </w:rPr>
      </w:pPr>
      <w:r w:rsidRPr="00B32607">
        <w:rPr>
          <w:rFonts w:hint="cs"/>
          <w:color w:val="0D0D0D" w:themeColor="text1" w:themeTint="F2"/>
          <w:sz w:val="18"/>
          <w:rtl/>
        </w:rPr>
        <w:t>פעולתה של רשות התקשוב להקמת מערכת מוע"ד ולצירופם של 39 גופי ממשלה למערכת זו עד אוקטובר 2020 תרמה רבות ליכולת לזהות צווארי בקבוק בתהליך העברת המידע בממשלה, כדי לשפרו.</w:t>
      </w:r>
      <w:r w:rsidRPr="00B32607">
        <w:rPr>
          <w:color w:val="0D0D0D" w:themeColor="text1" w:themeTint="F2"/>
          <w:sz w:val="18"/>
          <w:rtl/>
        </w:rPr>
        <w:t xml:space="preserve"> </w:t>
      </w:r>
    </w:p>
    <w:p w14:paraId="73972062" w14:textId="77777777" w:rsidR="00B32607" w:rsidRPr="006061A9" w:rsidRDefault="00B32607" w:rsidP="00B32607">
      <w:pPr>
        <w:pStyle w:val="running-text"/>
        <w:bidi/>
        <w:spacing w:after="180" w:line="260" w:lineRule="exact"/>
        <w:ind w:right="0"/>
        <w:rPr>
          <w:color w:val="0D0D0D" w:themeColor="text1" w:themeTint="F2"/>
          <w:sz w:val="18"/>
          <w:rtl/>
        </w:rPr>
      </w:pPr>
    </w:p>
    <w:p w14:paraId="5CDB9BF2" w14:textId="77777777" w:rsidR="00DB4D24" w:rsidRDefault="00DB4D24">
      <w:pPr>
        <w:bidi w:val="0"/>
        <w:rPr>
          <w:rFonts w:ascii="Tahoma" w:hAnsi="Tahoma" w:cs="Tahoma"/>
          <w:b/>
          <w:bCs/>
          <w:sz w:val="18"/>
          <w:szCs w:val="18"/>
          <w:rtl/>
        </w:rPr>
      </w:pPr>
      <w:r>
        <w:rPr>
          <w:b/>
          <w:bCs/>
          <w:sz w:val="18"/>
          <w:rtl/>
        </w:rPr>
        <w:br w:type="page"/>
      </w:r>
    </w:p>
    <w:p w14:paraId="6FFA6A94" w14:textId="10DD56E0" w:rsidR="00DB4D24"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165A8062" wp14:editId="24DE8E45">
            <wp:extent cx="4679950" cy="42545"/>
            <wp:effectExtent l="0" t="0" r="635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74D79D88" w14:textId="77777777" w:rsidR="00DB4D24" w:rsidRPr="00902625" w:rsidRDefault="00DB4D24" w:rsidP="00D147D7">
      <w:pPr>
        <w:spacing w:after="180" w:line="240" w:lineRule="atLeast"/>
        <w:rPr>
          <w:rFonts w:ascii="Tahoma" w:hAnsi="Tahoma" w:cs="Tahoma"/>
          <w:b/>
          <w:bCs/>
          <w:color w:val="00305F"/>
          <w:sz w:val="32"/>
          <w:szCs w:val="32"/>
          <w:rtl/>
        </w:rPr>
      </w:pPr>
      <w:r w:rsidRPr="00902625">
        <w:rPr>
          <w:rFonts w:ascii="Tahoma" w:hAnsi="Tahoma" w:cs="Tahoma" w:hint="cs"/>
          <w:b/>
          <w:bCs/>
          <w:color w:val="00305F"/>
          <w:sz w:val="32"/>
          <w:szCs w:val="32"/>
          <w:rtl/>
        </w:rPr>
        <w:t>עיקרי המלצות הביקורת</w:t>
      </w:r>
    </w:p>
    <w:p w14:paraId="5475A26E" w14:textId="419E6F0A" w:rsidR="00B32607" w:rsidRPr="00B32607" w:rsidRDefault="00B32607" w:rsidP="00B32607">
      <w:pPr>
        <w:spacing w:after="180" w:line="260" w:lineRule="exact"/>
        <w:ind w:left="397" w:hanging="397"/>
        <w:jc w:val="both"/>
        <w:rPr>
          <w:rFonts w:ascii="Tahoma" w:hAnsi="Tahoma" w:cs="Tahoma"/>
          <w:sz w:val="18"/>
          <w:szCs w:val="18"/>
        </w:rPr>
      </w:pPr>
      <w:r w:rsidRPr="00437529">
        <w:rPr>
          <w:noProof/>
        </w:rPr>
        <w:drawing>
          <wp:inline distT="0" distB="0" distL="0" distR="0" wp14:anchorId="4EC57E8C" wp14:editId="0904A08C">
            <wp:extent cx="142875" cy="161925"/>
            <wp:effectExtent l="0" t="0" r="9525" b="952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DD3AE5">
        <w:rPr>
          <w:rStyle w:val="73"/>
          <w:rFonts w:ascii="Tahoma" w:hAnsi="Tahoma" w:cs="Tahoma"/>
          <w:color w:val="231F20"/>
          <w:sz w:val="18"/>
          <w:szCs w:val="18"/>
        </w:rPr>
        <w:tab/>
      </w:r>
      <w:r w:rsidRPr="001172EA">
        <w:rPr>
          <w:rFonts w:ascii="Tahoma" w:hAnsi="Tahoma" w:cs="Tahoma"/>
          <w:spacing w:val="-2"/>
          <w:sz w:val="18"/>
          <w:szCs w:val="18"/>
          <w:rtl/>
        </w:rPr>
        <w:t>במטרה לבצע תיקוף כולל ומיטבי של השירותים במיפוי ובקטלוג האחוד</w:t>
      </w:r>
      <w:r w:rsidRPr="001172EA">
        <w:rPr>
          <w:rStyle w:val="af3"/>
          <w:rFonts w:ascii="Tahoma" w:hAnsi="Tahoma" w:cs="Tahoma"/>
          <w:spacing w:val="-2"/>
          <w:sz w:val="18"/>
          <w:szCs w:val="18"/>
          <w:rtl/>
        </w:rPr>
        <w:footnoteReference w:id="6"/>
      </w:r>
      <w:r w:rsidRPr="001172EA">
        <w:rPr>
          <w:rFonts w:ascii="Tahoma" w:hAnsi="Tahoma" w:cs="Tahoma"/>
          <w:spacing w:val="-2"/>
          <w:sz w:val="18"/>
          <w:szCs w:val="18"/>
          <w:rtl/>
        </w:rPr>
        <w:t xml:space="preserve"> נדרשת מחויבות</w:t>
      </w:r>
      <w:r w:rsidRPr="00B32607">
        <w:rPr>
          <w:rFonts w:ascii="Tahoma" w:hAnsi="Tahoma" w:cs="Tahoma"/>
          <w:sz w:val="18"/>
          <w:szCs w:val="18"/>
          <w:rtl/>
        </w:rPr>
        <w:t xml:space="preserve"> </w:t>
      </w:r>
      <w:r w:rsidR="001172EA" w:rsidRPr="001172EA">
        <w:rPr>
          <w:rFonts w:ascii="Tahoma" w:hAnsi="Tahoma" w:cs="Tahoma" w:hint="eastAsia"/>
          <w:sz w:val="18"/>
          <w:szCs w:val="18"/>
          <w:rtl/>
        </w:rPr>
        <w:t>גבוהה</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של</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המשרדים</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לנושא</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ושיתוף</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פעולה</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מלא</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שלהם</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עם</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ישראל</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דיגיטלית</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ורשות</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התקשוב</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על</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רשות</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התקשוב</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וישראל</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דיגיטלית</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לקבוע</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לוחות</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זמנים</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ויעדים</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להתקדמות</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בפעולות</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לתיקוף</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השירותים</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הממשלתיים</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מול</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המשרדים</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כמו</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כן</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על</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רשות</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התקשוב</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לעקוב</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אחר</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מידת</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עמידתם</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של</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המשרדים</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ביעדים</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ולדווח</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על</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כך</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לממשלה</w:t>
      </w:r>
      <w:r w:rsidR="001172EA" w:rsidRPr="001172EA">
        <w:rPr>
          <w:rFonts w:ascii="Tahoma" w:hAnsi="Tahoma" w:cs="Tahoma"/>
          <w:sz w:val="18"/>
          <w:szCs w:val="18"/>
          <w:rtl/>
        </w:rPr>
        <w:t>.</w:t>
      </w:r>
    </w:p>
    <w:p w14:paraId="3FE5350C" w14:textId="1F7B9AEE" w:rsidR="00B32607" w:rsidRPr="00B32607" w:rsidRDefault="00B32607" w:rsidP="00B32607">
      <w:pPr>
        <w:spacing w:after="180" w:line="260" w:lineRule="exact"/>
        <w:ind w:left="397" w:hanging="397"/>
        <w:jc w:val="both"/>
        <w:rPr>
          <w:rFonts w:ascii="Tahoma" w:hAnsi="Tahoma" w:cs="Tahoma"/>
          <w:sz w:val="18"/>
          <w:szCs w:val="18"/>
        </w:rPr>
      </w:pPr>
      <w:r w:rsidRPr="00437529">
        <w:rPr>
          <w:noProof/>
        </w:rPr>
        <w:drawing>
          <wp:inline distT="0" distB="0" distL="0" distR="0" wp14:anchorId="50826DA7" wp14:editId="118FC62C">
            <wp:extent cx="142875" cy="161925"/>
            <wp:effectExtent l="0" t="0" r="9525" b="952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DD3AE5">
        <w:rPr>
          <w:rStyle w:val="73"/>
          <w:rFonts w:ascii="Tahoma" w:hAnsi="Tahoma" w:cs="Tahoma"/>
          <w:color w:val="231F20"/>
          <w:sz w:val="18"/>
          <w:szCs w:val="18"/>
        </w:rPr>
        <w:tab/>
      </w:r>
      <w:r w:rsidRPr="00B32607">
        <w:rPr>
          <w:rFonts w:ascii="Tahoma" w:hAnsi="Tahoma" w:cs="Tahoma"/>
          <w:sz w:val="18"/>
          <w:szCs w:val="18"/>
          <w:rtl/>
        </w:rPr>
        <w:t>על המוסד לביטוח הלאומי להמשיך לפעול בשיתוף פעולה עם ישראל דיגיטלית למיפוי השירותים שהוא נותן לציבור, כדי לשקף תמונה רוחבית וכוללת של השירותים הממשלתיים וכדי לקדם מיצוי זכויות. כמו כן, מוצע שרשות התקשוב וישראל דיגיטלית יבחנו את האפשרות לשלב במיפוי גופים ציבוריים נוספים הנותנים שירותים רבים לציבור, כגון רשויות מקומיות, בתי חולים וקופות חולים.</w:t>
      </w:r>
    </w:p>
    <w:p w14:paraId="5730D417" w14:textId="40686C00" w:rsidR="00B32607" w:rsidRPr="00B32607" w:rsidRDefault="00B32607" w:rsidP="00B32607">
      <w:pPr>
        <w:spacing w:after="180" w:line="260" w:lineRule="exact"/>
        <w:ind w:left="397" w:hanging="397"/>
        <w:jc w:val="both"/>
        <w:rPr>
          <w:rFonts w:ascii="Tahoma" w:hAnsi="Tahoma" w:cs="Tahoma"/>
          <w:sz w:val="18"/>
          <w:szCs w:val="18"/>
        </w:rPr>
      </w:pPr>
      <w:r w:rsidRPr="00437529">
        <w:rPr>
          <w:noProof/>
        </w:rPr>
        <w:drawing>
          <wp:inline distT="0" distB="0" distL="0" distR="0" wp14:anchorId="63F35A46" wp14:editId="53B23902">
            <wp:extent cx="182880" cy="182880"/>
            <wp:effectExtent l="0" t="0" r="7620" b="762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D3AE5">
        <w:rPr>
          <w:rStyle w:val="73"/>
          <w:rFonts w:ascii="Tahoma" w:hAnsi="Tahoma" w:cs="Tahoma"/>
          <w:color w:val="231F20"/>
          <w:sz w:val="18"/>
          <w:szCs w:val="18"/>
        </w:rPr>
        <w:tab/>
      </w:r>
      <w:r w:rsidRPr="00B32607">
        <w:rPr>
          <w:rFonts w:ascii="Tahoma" w:hAnsi="Tahoma" w:cs="Tahoma"/>
          <w:sz w:val="18"/>
          <w:szCs w:val="18"/>
          <w:rtl/>
        </w:rPr>
        <w:t>מומלץ שרשות התקשוב ומשרדי הממשלה יבחנו במשותף אילו פעולות נדרשות מהמשרדים כדי ליישם מדיניות פעם אחת בערוצי השירות הטלפוני והפרונטלי. הדבר נדרש בעיקר עבור אוכלוסיות ראויות לקידום, שנזקקות לשירותים רבים ולסיוע במיצוי זכויותיהן, והן אינן משתמשות בערוצי השירות הדיגיטליים.</w:t>
      </w:r>
    </w:p>
    <w:p w14:paraId="0745622E" w14:textId="33127B76" w:rsidR="00B32607" w:rsidRPr="00B32607" w:rsidRDefault="00B32607" w:rsidP="00B32607">
      <w:pPr>
        <w:spacing w:after="180" w:line="260" w:lineRule="exact"/>
        <w:ind w:left="397" w:hanging="397"/>
        <w:jc w:val="both"/>
        <w:rPr>
          <w:rFonts w:ascii="Tahoma" w:hAnsi="Tahoma" w:cs="Tahoma"/>
          <w:sz w:val="18"/>
          <w:szCs w:val="18"/>
          <w:rtl/>
        </w:rPr>
      </w:pPr>
      <w:r w:rsidRPr="00437529">
        <w:rPr>
          <w:noProof/>
        </w:rPr>
        <w:drawing>
          <wp:inline distT="0" distB="0" distL="0" distR="0" wp14:anchorId="0104037C" wp14:editId="7741F650">
            <wp:extent cx="142875" cy="161925"/>
            <wp:effectExtent l="0" t="0" r="9525" b="952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DD3AE5">
        <w:rPr>
          <w:rStyle w:val="73"/>
          <w:rFonts w:ascii="Tahoma" w:hAnsi="Tahoma" w:cs="Tahoma"/>
          <w:color w:val="231F20"/>
          <w:sz w:val="18"/>
          <w:szCs w:val="18"/>
        </w:rPr>
        <w:tab/>
      </w:r>
      <w:r w:rsidRPr="00B32607">
        <w:rPr>
          <w:rFonts w:ascii="Tahoma" w:hAnsi="Tahoma" w:cs="Tahoma"/>
          <w:sz w:val="18"/>
          <w:szCs w:val="18"/>
          <w:rtl/>
        </w:rPr>
        <w:t>מאחר שמערכת מוע"ד נועדה לייעל את תהליך העברת המידע בממשלה לשם שיפור השירות לציבור, על רשות התקשוב והגופים שטרם התחברו למוע"ד לנקוט את הצעדים הנדרשים לצורך חיבורם למערכת. כמו כן, על רשות התקשוב לבחון, בשיתוף פעולה עם הגופים מבקשי המידע והגופים מחזיקי המידע, דרכים לקיצור זמן הטיפול בכל שלבי הבקשות להעברת מידע, ולהשלים את הפעולות לפיתוח טופס מקוון שיאפשר ממשק עבודה יעיל במוע"ד עם גופים ציבוריים חיצונים.</w:t>
      </w:r>
    </w:p>
    <w:p w14:paraId="0BD440CD" w14:textId="0EE83EDF" w:rsidR="00B32607" w:rsidRPr="00B32607" w:rsidRDefault="00B32607" w:rsidP="00B32607">
      <w:pPr>
        <w:spacing w:after="180" w:line="260" w:lineRule="exact"/>
        <w:ind w:left="397" w:hanging="397"/>
        <w:jc w:val="both"/>
        <w:rPr>
          <w:rFonts w:ascii="Tahoma" w:hAnsi="Tahoma" w:cs="Tahoma"/>
          <w:sz w:val="18"/>
          <w:szCs w:val="18"/>
        </w:rPr>
      </w:pPr>
      <w:r w:rsidRPr="00437529">
        <w:rPr>
          <w:noProof/>
        </w:rPr>
        <w:drawing>
          <wp:inline distT="0" distB="0" distL="0" distR="0" wp14:anchorId="67172AF7" wp14:editId="38934D2E">
            <wp:extent cx="142875" cy="161925"/>
            <wp:effectExtent l="0" t="0" r="9525" b="952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DD3AE5">
        <w:rPr>
          <w:rStyle w:val="73"/>
          <w:rFonts w:ascii="Tahoma" w:hAnsi="Tahoma" w:cs="Tahoma"/>
          <w:color w:val="231F20"/>
          <w:sz w:val="18"/>
          <w:szCs w:val="18"/>
        </w:rPr>
        <w:tab/>
      </w:r>
      <w:r w:rsidRPr="00B32607">
        <w:rPr>
          <w:rFonts w:ascii="Tahoma" w:hAnsi="Tahoma" w:cs="Tahoma"/>
          <w:sz w:val="18"/>
          <w:szCs w:val="18"/>
          <w:rtl/>
        </w:rPr>
        <w:t>על משרד המשפטים להשלים את נוסח התיקון לתקנות הגנת הפרטיות (תנאי החזקת מידע ושמירתו וסדרי העברת מידע בין גופים ציבוריים), התשמ"ו-1986, בהתאם להחלטת הממשלה משנת 2016, כדי לשקף בתקנות את ההוראות המסדירות את עבודת הוועדות בהתאם לנוהל העבודה שנקבע בהחלטה. זאת לשם קידומו מול שר המשפטים וועדת חוקה חוק ומשפט של הכנסת.</w:t>
      </w:r>
    </w:p>
    <w:p w14:paraId="68C6B3E3" w14:textId="0C9A1AE9" w:rsidR="00B32607" w:rsidRPr="00B32607" w:rsidRDefault="00B32607" w:rsidP="00B32607">
      <w:pPr>
        <w:spacing w:after="180" w:line="260" w:lineRule="exact"/>
        <w:ind w:left="397" w:hanging="397"/>
        <w:jc w:val="both"/>
        <w:rPr>
          <w:rFonts w:ascii="Tahoma" w:hAnsi="Tahoma" w:cs="Tahoma"/>
          <w:sz w:val="18"/>
          <w:szCs w:val="18"/>
          <w:rtl/>
        </w:rPr>
      </w:pPr>
      <w:r w:rsidRPr="00437529">
        <w:rPr>
          <w:noProof/>
        </w:rPr>
        <w:drawing>
          <wp:inline distT="0" distB="0" distL="0" distR="0" wp14:anchorId="7EC09CB1" wp14:editId="0604A9C4">
            <wp:extent cx="182880" cy="182880"/>
            <wp:effectExtent l="0" t="0" r="7620" b="762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D3AE5">
        <w:rPr>
          <w:rStyle w:val="73"/>
          <w:rFonts w:ascii="Tahoma" w:hAnsi="Tahoma" w:cs="Tahoma"/>
          <w:color w:val="231F20"/>
          <w:sz w:val="18"/>
          <w:szCs w:val="18"/>
        </w:rPr>
        <w:tab/>
      </w:r>
      <w:r w:rsidRPr="00B32607">
        <w:rPr>
          <w:rFonts w:ascii="Tahoma" w:hAnsi="Tahoma" w:cs="Tahoma"/>
          <w:sz w:val="18"/>
          <w:szCs w:val="18"/>
          <w:rtl/>
        </w:rPr>
        <w:t>מוצע שרשות התקשוב תבחן את האפשרות להגדלת מעטפת התמיכה בתהליך הטמעת שדרת המידע במשרדים, לרבות תגבור צוותי העבודה מטעמה ומטעם הספק לצורך התקנות והדרכה, וכן תשלים ביצוע סקר סיכוני אבטחת מידע לשדרת המידע והקמת אתר התאוששות מאסון למערכת. כמו כן, על הגופים שנדרשו בהחלטת הממשלה משנת 2020</w:t>
      </w:r>
      <w:r w:rsidRPr="00B32607">
        <w:rPr>
          <w:rStyle w:val="af3"/>
          <w:rFonts w:ascii="Tahoma" w:hAnsi="Tahoma" w:cs="Tahoma"/>
          <w:sz w:val="18"/>
          <w:szCs w:val="18"/>
          <w:rtl/>
        </w:rPr>
        <w:footnoteReference w:id="7"/>
      </w:r>
      <w:r w:rsidRPr="00B32607">
        <w:rPr>
          <w:rFonts w:ascii="Tahoma" w:hAnsi="Tahoma" w:cs="Tahoma"/>
          <w:sz w:val="18"/>
          <w:szCs w:val="18"/>
          <w:rtl/>
        </w:rPr>
        <w:t xml:space="preserve"> להחצין מידע בשדרת המידע עד אפריל 2021, וטרם יישמו את המערכת,</w:t>
      </w:r>
      <w:r w:rsidRPr="00B32607">
        <w:rPr>
          <w:rStyle w:val="af3"/>
          <w:rFonts w:ascii="Tahoma" w:hAnsi="Tahoma" w:cs="Tahoma"/>
          <w:sz w:val="18"/>
          <w:szCs w:val="18"/>
          <w:rtl/>
        </w:rPr>
        <w:t xml:space="preserve"> </w:t>
      </w:r>
      <w:r w:rsidRPr="00B32607">
        <w:rPr>
          <w:rFonts w:ascii="Tahoma" w:hAnsi="Tahoma" w:cs="Tahoma"/>
          <w:sz w:val="18"/>
          <w:szCs w:val="18"/>
          <w:rtl/>
        </w:rPr>
        <w:t>לשתף פעולה עם רשות התקשוב ולבחון דרכים להשלמת הפעולות הנדרשות בנושא זה.</w:t>
      </w:r>
    </w:p>
    <w:p w14:paraId="529479C6" w14:textId="00221CFD" w:rsidR="00045345" w:rsidRDefault="00045345">
      <w:pPr>
        <w:bidi w:val="0"/>
        <w:rPr>
          <w:rtl/>
        </w:rPr>
      </w:pPr>
      <w:r>
        <w:rPr>
          <w:rtl/>
        </w:rPr>
        <w:br w:type="page"/>
      </w:r>
    </w:p>
    <w:p w14:paraId="37BEC198" w14:textId="52B0974D" w:rsidR="00045345" w:rsidRDefault="00B32607" w:rsidP="00045345">
      <w:pPr>
        <w:spacing w:after="0" w:line="100" w:lineRule="exact"/>
        <w:jc w:val="both"/>
        <w:rPr>
          <w:rtl/>
        </w:rPr>
      </w:pPr>
      <w:r w:rsidRPr="009A797B">
        <w:rPr>
          <w:rFonts w:ascii="Tahoma" w:hAnsi="Tahoma" w:cs="Tahoma"/>
          <w:b/>
          <w:bCs/>
          <w:noProof/>
          <w:color w:val="FFFFFF" w:themeColor="background1"/>
          <w:sz w:val="22"/>
          <w:szCs w:val="22"/>
          <w:rtl/>
        </w:rPr>
        <w:lastRenderedPageBreak/>
        <w:drawing>
          <wp:anchor distT="0" distB="0" distL="114300" distR="114300" simplePos="0" relativeHeight="251658240" behindDoc="1" locked="0" layoutInCell="1" allowOverlap="1" wp14:anchorId="23F04923" wp14:editId="37AABE3A">
            <wp:simplePos x="0" y="0"/>
            <wp:positionH relativeFrom="column">
              <wp:posOffset>-11430</wp:posOffset>
            </wp:positionH>
            <wp:positionV relativeFrom="paragraph">
              <wp:posOffset>59055</wp:posOffset>
            </wp:positionV>
            <wp:extent cx="4676621" cy="5715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81913" cy="572147"/>
                    </a:xfrm>
                    <a:prstGeom prst="rect">
                      <a:avLst/>
                    </a:prstGeom>
                  </pic:spPr>
                </pic:pic>
              </a:graphicData>
            </a:graphic>
            <wp14:sizeRelH relativeFrom="margin">
              <wp14:pctWidth>0</wp14:pctWidth>
            </wp14:sizeRelH>
            <wp14:sizeRelV relativeFrom="margin">
              <wp14:pctHeight>0</wp14:pctHeight>
            </wp14:sizeRelV>
          </wp:anchor>
        </w:drawing>
      </w:r>
    </w:p>
    <w:p w14:paraId="7650940F" w14:textId="67C02DF9" w:rsidR="009A797B" w:rsidRPr="009A797B" w:rsidRDefault="00B32607" w:rsidP="00F80159">
      <w:pPr>
        <w:spacing w:before="120" w:after="0" w:line="240" w:lineRule="atLeast"/>
        <w:ind w:left="170" w:right="113"/>
        <w:jc w:val="both"/>
        <w:rPr>
          <w:rFonts w:ascii="Tahoma" w:hAnsi="Tahoma" w:cs="Tahoma"/>
          <w:b/>
          <w:bCs/>
          <w:color w:val="FFFFFF" w:themeColor="background1"/>
          <w:sz w:val="22"/>
          <w:szCs w:val="22"/>
          <w:rtl/>
        </w:rPr>
      </w:pPr>
      <w:r w:rsidRPr="00B32607">
        <w:rPr>
          <w:rFonts w:ascii="Tahoma" w:hAnsi="Tahoma" w:cs="Tahoma" w:hint="eastAsia"/>
          <w:b/>
          <w:bCs/>
          <w:color w:val="FFFFFF" w:themeColor="background1"/>
          <w:sz w:val="22"/>
          <w:szCs w:val="22"/>
          <w:rtl/>
        </w:rPr>
        <w:t>דוגמאות</w:t>
      </w:r>
      <w:r w:rsidRPr="00B32607">
        <w:rPr>
          <w:rFonts w:ascii="Tahoma" w:hAnsi="Tahoma" w:cs="Tahoma"/>
          <w:b/>
          <w:bCs/>
          <w:color w:val="FFFFFF" w:themeColor="background1"/>
          <w:sz w:val="22"/>
          <w:szCs w:val="22"/>
          <w:rtl/>
        </w:rPr>
        <w:t xml:space="preserve"> </w:t>
      </w:r>
      <w:r w:rsidRPr="00B32607">
        <w:rPr>
          <w:rFonts w:ascii="Tahoma" w:hAnsi="Tahoma" w:cs="Tahoma" w:hint="eastAsia"/>
          <w:b/>
          <w:bCs/>
          <w:color w:val="FFFFFF" w:themeColor="background1"/>
          <w:sz w:val="22"/>
          <w:szCs w:val="22"/>
          <w:rtl/>
        </w:rPr>
        <w:t>לאישורים</w:t>
      </w:r>
      <w:r w:rsidRPr="00B32607">
        <w:rPr>
          <w:rFonts w:ascii="Tahoma" w:hAnsi="Tahoma" w:cs="Tahoma"/>
          <w:b/>
          <w:bCs/>
          <w:color w:val="FFFFFF" w:themeColor="background1"/>
          <w:sz w:val="22"/>
          <w:szCs w:val="22"/>
          <w:rtl/>
        </w:rPr>
        <w:t xml:space="preserve"> </w:t>
      </w:r>
      <w:r w:rsidRPr="00B32607">
        <w:rPr>
          <w:rFonts w:ascii="Tahoma" w:hAnsi="Tahoma" w:cs="Tahoma" w:hint="eastAsia"/>
          <w:b/>
          <w:bCs/>
          <w:color w:val="FFFFFF" w:themeColor="background1"/>
          <w:sz w:val="22"/>
          <w:szCs w:val="22"/>
          <w:rtl/>
        </w:rPr>
        <w:t>שהאזרח</w:t>
      </w:r>
      <w:r w:rsidRPr="00B32607">
        <w:rPr>
          <w:rFonts w:ascii="Tahoma" w:hAnsi="Tahoma" w:cs="Tahoma"/>
          <w:b/>
          <w:bCs/>
          <w:color w:val="FFFFFF" w:themeColor="background1"/>
          <w:sz w:val="22"/>
          <w:szCs w:val="22"/>
          <w:rtl/>
        </w:rPr>
        <w:t xml:space="preserve"> </w:t>
      </w:r>
      <w:r w:rsidRPr="00B32607">
        <w:rPr>
          <w:rFonts w:ascii="Tahoma" w:hAnsi="Tahoma" w:cs="Tahoma" w:hint="eastAsia"/>
          <w:b/>
          <w:bCs/>
          <w:color w:val="FFFFFF" w:themeColor="background1"/>
          <w:sz w:val="22"/>
          <w:szCs w:val="22"/>
          <w:rtl/>
        </w:rPr>
        <w:t>נדרש</w:t>
      </w:r>
      <w:r w:rsidRPr="00B32607">
        <w:rPr>
          <w:rFonts w:ascii="Tahoma" w:hAnsi="Tahoma" w:cs="Tahoma"/>
          <w:b/>
          <w:bCs/>
          <w:color w:val="FFFFFF" w:themeColor="background1"/>
          <w:sz w:val="22"/>
          <w:szCs w:val="22"/>
          <w:rtl/>
        </w:rPr>
        <w:t xml:space="preserve"> </w:t>
      </w:r>
      <w:r w:rsidRPr="00B32607">
        <w:rPr>
          <w:rFonts w:ascii="Tahoma" w:hAnsi="Tahoma" w:cs="Tahoma" w:hint="eastAsia"/>
          <w:b/>
          <w:bCs/>
          <w:color w:val="FFFFFF" w:themeColor="background1"/>
          <w:sz w:val="22"/>
          <w:szCs w:val="22"/>
          <w:rtl/>
        </w:rPr>
        <w:t>לספק</w:t>
      </w:r>
      <w:r w:rsidRPr="00B32607">
        <w:rPr>
          <w:rFonts w:ascii="Tahoma" w:hAnsi="Tahoma" w:cs="Tahoma"/>
          <w:b/>
          <w:bCs/>
          <w:color w:val="FFFFFF" w:themeColor="background1"/>
          <w:sz w:val="22"/>
          <w:szCs w:val="22"/>
          <w:rtl/>
        </w:rPr>
        <w:t xml:space="preserve"> </w:t>
      </w:r>
      <w:r w:rsidRPr="00B32607">
        <w:rPr>
          <w:rFonts w:ascii="Tahoma" w:hAnsi="Tahoma" w:cs="Tahoma" w:hint="eastAsia"/>
          <w:b/>
          <w:bCs/>
          <w:color w:val="FFFFFF" w:themeColor="background1"/>
          <w:sz w:val="22"/>
          <w:szCs w:val="22"/>
          <w:rtl/>
        </w:rPr>
        <w:t>לשם</w:t>
      </w:r>
      <w:r w:rsidRPr="00B32607">
        <w:rPr>
          <w:rFonts w:ascii="Tahoma" w:hAnsi="Tahoma" w:cs="Tahoma"/>
          <w:b/>
          <w:bCs/>
          <w:color w:val="FFFFFF" w:themeColor="background1"/>
          <w:sz w:val="22"/>
          <w:szCs w:val="22"/>
          <w:rtl/>
        </w:rPr>
        <w:t xml:space="preserve"> </w:t>
      </w:r>
      <w:r w:rsidRPr="00B32607">
        <w:rPr>
          <w:rFonts w:ascii="Tahoma" w:hAnsi="Tahoma" w:cs="Tahoma" w:hint="eastAsia"/>
          <w:b/>
          <w:bCs/>
          <w:color w:val="FFFFFF" w:themeColor="background1"/>
          <w:sz w:val="22"/>
          <w:szCs w:val="22"/>
          <w:rtl/>
        </w:rPr>
        <w:t>קבלת</w:t>
      </w:r>
      <w:r w:rsidRPr="00B32607">
        <w:rPr>
          <w:rFonts w:ascii="Tahoma" w:hAnsi="Tahoma" w:cs="Tahoma"/>
          <w:b/>
          <w:bCs/>
          <w:color w:val="FFFFFF" w:themeColor="background1"/>
          <w:sz w:val="22"/>
          <w:szCs w:val="22"/>
          <w:rtl/>
        </w:rPr>
        <w:t xml:space="preserve"> </w:t>
      </w:r>
      <w:r w:rsidRPr="00B32607">
        <w:rPr>
          <w:rFonts w:ascii="Tahoma" w:hAnsi="Tahoma" w:cs="Tahoma" w:hint="eastAsia"/>
          <w:b/>
          <w:bCs/>
          <w:color w:val="FFFFFF" w:themeColor="background1"/>
          <w:sz w:val="22"/>
          <w:szCs w:val="22"/>
          <w:rtl/>
        </w:rPr>
        <w:t>שירותים</w:t>
      </w:r>
      <w:r w:rsidRPr="00B32607">
        <w:rPr>
          <w:rFonts w:ascii="Tahoma" w:hAnsi="Tahoma" w:cs="Tahoma"/>
          <w:b/>
          <w:bCs/>
          <w:color w:val="FFFFFF" w:themeColor="background1"/>
          <w:sz w:val="22"/>
          <w:szCs w:val="22"/>
          <w:rtl/>
        </w:rPr>
        <w:t xml:space="preserve"> </w:t>
      </w:r>
      <w:r w:rsidRPr="00B32607">
        <w:rPr>
          <w:rFonts w:ascii="Tahoma" w:hAnsi="Tahoma" w:cs="Tahoma" w:hint="eastAsia"/>
          <w:b/>
          <w:bCs/>
          <w:color w:val="FFFFFF" w:themeColor="background1"/>
          <w:sz w:val="22"/>
          <w:szCs w:val="22"/>
          <w:rtl/>
        </w:rPr>
        <w:t>ממשלתיים</w:t>
      </w:r>
      <w:r w:rsidRPr="00B32607">
        <w:rPr>
          <w:rFonts w:ascii="Tahoma" w:hAnsi="Tahoma" w:cs="Tahoma"/>
          <w:b/>
          <w:bCs/>
          <w:color w:val="FFFFFF" w:themeColor="background1"/>
          <w:sz w:val="22"/>
          <w:szCs w:val="22"/>
          <w:rtl/>
        </w:rPr>
        <w:t xml:space="preserve"> </w:t>
      </w:r>
    </w:p>
    <w:p w14:paraId="194F96B4" w14:textId="77777777" w:rsidR="00B32607" w:rsidRDefault="00B32607">
      <w:pPr>
        <w:bidi w:val="0"/>
        <w:rPr>
          <w:sz w:val="18"/>
        </w:rPr>
      </w:pPr>
    </w:p>
    <w:p w14:paraId="6694013E" w14:textId="6DADA8AD" w:rsidR="00B32607" w:rsidRDefault="007B1279" w:rsidP="00564717">
      <w:pPr>
        <w:spacing w:line="240" w:lineRule="atLeast"/>
        <w:jc w:val="center"/>
        <w:rPr>
          <w:sz w:val="18"/>
        </w:rPr>
      </w:pPr>
      <w:r>
        <w:rPr>
          <w:noProof/>
          <w:sz w:val="18"/>
        </w:rPr>
        <w:drawing>
          <wp:inline distT="0" distB="0" distL="0" distR="0" wp14:anchorId="3A2CE3AB" wp14:editId="4A9D4FF9">
            <wp:extent cx="4320000" cy="5479200"/>
            <wp:effectExtent l="0" t="0" r="444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20000" cy="5479200"/>
                    </a:xfrm>
                    <a:prstGeom prst="rect">
                      <a:avLst/>
                    </a:prstGeom>
                  </pic:spPr>
                </pic:pic>
              </a:graphicData>
            </a:graphic>
          </wp:inline>
        </w:drawing>
      </w:r>
    </w:p>
    <w:p w14:paraId="63AA9EDD" w14:textId="77777777" w:rsidR="00564717" w:rsidRDefault="00564717">
      <w:pPr>
        <w:bidi w:val="0"/>
        <w:rPr>
          <w:rtl/>
        </w:rPr>
      </w:pPr>
      <w:r>
        <w:rPr>
          <w:rtl/>
        </w:rPr>
        <w:br w:type="page"/>
      </w:r>
    </w:p>
    <w:p w14:paraId="792B9F41" w14:textId="45AB9CC9" w:rsidR="00B54E31" w:rsidRDefault="00B54E31" w:rsidP="00B54E31">
      <w:pPr>
        <w:spacing w:after="0" w:line="100" w:lineRule="exact"/>
        <w:jc w:val="both"/>
        <w:rPr>
          <w:rtl/>
        </w:rPr>
      </w:pPr>
      <w:r w:rsidRPr="009A797B">
        <w:rPr>
          <w:rFonts w:ascii="Tahoma" w:hAnsi="Tahoma" w:cs="Tahoma"/>
          <w:b/>
          <w:bCs/>
          <w:noProof/>
          <w:color w:val="FFFFFF" w:themeColor="background1"/>
          <w:sz w:val="22"/>
          <w:szCs w:val="22"/>
          <w:rtl/>
        </w:rPr>
        <w:lastRenderedPageBreak/>
        <w:drawing>
          <wp:anchor distT="0" distB="0" distL="114300" distR="114300" simplePos="0" relativeHeight="251672064" behindDoc="1" locked="0" layoutInCell="1" allowOverlap="1" wp14:anchorId="19896E50" wp14:editId="359AADF2">
            <wp:simplePos x="0" y="0"/>
            <wp:positionH relativeFrom="column">
              <wp:posOffset>-11430</wp:posOffset>
            </wp:positionH>
            <wp:positionV relativeFrom="paragraph">
              <wp:posOffset>56515</wp:posOffset>
            </wp:positionV>
            <wp:extent cx="4676140" cy="476250"/>
            <wp:effectExtent l="0" t="0" r="0"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81923" cy="476839"/>
                    </a:xfrm>
                    <a:prstGeom prst="rect">
                      <a:avLst/>
                    </a:prstGeom>
                  </pic:spPr>
                </pic:pic>
              </a:graphicData>
            </a:graphic>
            <wp14:sizeRelH relativeFrom="margin">
              <wp14:pctWidth>0</wp14:pctWidth>
            </wp14:sizeRelH>
            <wp14:sizeRelV relativeFrom="margin">
              <wp14:pctHeight>0</wp14:pctHeight>
            </wp14:sizeRelV>
          </wp:anchor>
        </w:drawing>
      </w:r>
    </w:p>
    <w:p w14:paraId="0C21A59A" w14:textId="2EF906CA" w:rsidR="00B54E31" w:rsidRPr="009A797B" w:rsidRDefault="00B54E31" w:rsidP="00B54E31">
      <w:pPr>
        <w:spacing w:before="120" w:after="0" w:line="240" w:lineRule="atLeast"/>
        <w:ind w:left="170" w:right="113"/>
        <w:jc w:val="both"/>
        <w:rPr>
          <w:rFonts w:ascii="Tahoma" w:hAnsi="Tahoma" w:cs="Tahoma"/>
          <w:b/>
          <w:bCs/>
          <w:color w:val="FFFFFF" w:themeColor="background1"/>
          <w:sz w:val="22"/>
          <w:szCs w:val="22"/>
          <w:rtl/>
        </w:rPr>
      </w:pPr>
      <w:r w:rsidRPr="00B54E31">
        <w:rPr>
          <w:rFonts w:ascii="Tahoma" w:hAnsi="Tahoma" w:cs="Tahoma" w:hint="eastAsia"/>
          <w:b/>
          <w:bCs/>
          <w:color w:val="FFFFFF" w:themeColor="background1"/>
          <w:sz w:val="22"/>
          <w:szCs w:val="22"/>
          <w:rtl/>
        </w:rPr>
        <w:t>הפעולות</w:t>
      </w:r>
      <w:r w:rsidRPr="00B54E31">
        <w:rPr>
          <w:rFonts w:ascii="Tahoma" w:hAnsi="Tahoma" w:cs="Tahoma"/>
          <w:b/>
          <w:bCs/>
          <w:color w:val="FFFFFF" w:themeColor="background1"/>
          <w:sz w:val="22"/>
          <w:szCs w:val="22"/>
          <w:rtl/>
        </w:rPr>
        <w:t xml:space="preserve"> </w:t>
      </w:r>
      <w:r w:rsidRPr="00B54E31">
        <w:rPr>
          <w:rFonts w:ascii="Tahoma" w:hAnsi="Tahoma" w:cs="Tahoma" w:hint="eastAsia"/>
          <w:b/>
          <w:bCs/>
          <w:color w:val="FFFFFF" w:themeColor="background1"/>
          <w:sz w:val="22"/>
          <w:szCs w:val="22"/>
          <w:rtl/>
        </w:rPr>
        <w:t>הנדרשות</w:t>
      </w:r>
      <w:r w:rsidRPr="00B54E31">
        <w:rPr>
          <w:rFonts w:ascii="Tahoma" w:hAnsi="Tahoma" w:cs="Tahoma"/>
          <w:b/>
          <w:bCs/>
          <w:color w:val="FFFFFF" w:themeColor="background1"/>
          <w:sz w:val="22"/>
          <w:szCs w:val="22"/>
          <w:rtl/>
        </w:rPr>
        <w:t xml:space="preserve"> </w:t>
      </w:r>
      <w:r w:rsidRPr="00B54E31">
        <w:rPr>
          <w:rFonts w:ascii="Tahoma" w:hAnsi="Tahoma" w:cs="Tahoma" w:hint="eastAsia"/>
          <w:b/>
          <w:bCs/>
          <w:color w:val="FFFFFF" w:themeColor="background1"/>
          <w:sz w:val="22"/>
          <w:szCs w:val="22"/>
          <w:rtl/>
        </w:rPr>
        <w:t>להשלמת</w:t>
      </w:r>
      <w:r w:rsidRPr="00B54E31">
        <w:rPr>
          <w:rFonts w:ascii="Tahoma" w:hAnsi="Tahoma" w:cs="Tahoma"/>
          <w:b/>
          <w:bCs/>
          <w:color w:val="FFFFFF" w:themeColor="background1"/>
          <w:sz w:val="22"/>
          <w:szCs w:val="22"/>
          <w:rtl/>
        </w:rPr>
        <w:t xml:space="preserve"> </w:t>
      </w:r>
      <w:r w:rsidRPr="00B54E31">
        <w:rPr>
          <w:rFonts w:ascii="Tahoma" w:hAnsi="Tahoma" w:cs="Tahoma" w:hint="eastAsia"/>
          <w:b/>
          <w:bCs/>
          <w:color w:val="FFFFFF" w:themeColor="background1"/>
          <w:sz w:val="22"/>
          <w:szCs w:val="22"/>
          <w:rtl/>
        </w:rPr>
        <w:t>היישום</w:t>
      </w:r>
      <w:r w:rsidRPr="00B54E31">
        <w:rPr>
          <w:rFonts w:ascii="Tahoma" w:hAnsi="Tahoma" w:cs="Tahoma"/>
          <w:b/>
          <w:bCs/>
          <w:color w:val="FFFFFF" w:themeColor="background1"/>
          <w:sz w:val="22"/>
          <w:szCs w:val="22"/>
          <w:rtl/>
        </w:rPr>
        <w:t xml:space="preserve"> </w:t>
      </w:r>
      <w:r w:rsidRPr="00B54E31">
        <w:rPr>
          <w:rFonts w:ascii="Tahoma" w:hAnsi="Tahoma" w:cs="Tahoma" w:hint="eastAsia"/>
          <w:b/>
          <w:bCs/>
          <w:color w:val="FFFFFF" w:themeColor="background1"/>
          <w:sz w:val="22"/>
          <w:szCs w:val="22"/>
          <w:rtl/>
        </w:rPr>
        <w:t>של</w:t>
      </w:r>
      <w:r w:rsidRPr="00B54E31">
        <w:rPr>
          <w:rFonts w:ascii="Tahoma" w:hAnsi="Tahoma" w:cs="Tahoma"/>
          <w:b/>
          <w:bCs/>
          <w:color w:val="FFFFFF" w:themeColor="background1"/>
          <w:sz w:val="22"/>
          <w:szCs w:val="22"/>
          <w:rtl/>
        </w:rPr>
        <w:t xml:space="preserve"> </w:t>
      </w:r>
      <w:r w:rsidRPr="00B54E31">
        <w:rPr>
          <w:rFonts w:ascii="Tahoma" w:hAnsi="Tahoma" w:cs="Tahoma" w:hint="eastAsia"/>
          <w:b/>
          <w:bCs/>
          <w:color w:val="FFFFFF" w:themeColor="background1"/>
          <w:sz w:val="22"/>
          <w:szCs w:val="22"/>
          <w:rtl/>
        </w:rPr>
        <w:t>מדיניות</w:t>
      </w:r>
      <w:r w:rsidRPr="00B54E31">
        <w:rPr>
          <w:rFonts w:ascii="Tahoma" w:hAnsi="Tahoma" w:cs="Tahoma"/>
          <w:b/>
          <w:bCs/>
          <w:color w:val="FFFFFF" w:themeColor="background1"/>
          <w:sz w:val="22"/>
          <w:szCs w:val="22"/>
          <w:rtl/>
        </w:rPr>
        <w:t xml:space="preserve"> </w:t>
      </w:r>
      <w:r w:rsidRPr="00B54E31">
        <w:rPr>
          <w:rFonts w:ascii="Tahoma" w:hAnsi="Tahoma" w:cs="Tahoma" w:hint="eastAsia"/>
          <w:b/>
          <w:bCs/>
          <w:color w:val="FFFFFF" w:themeColor="background1"/>
          <w:sz w:val="22"/>
          <w:szCs w:val="22"/>
          <w:rtl/>
        </w:rPr>
        <w:t>פעם</w:t>
      </w:r>
      <w:r w:rsidRPr="00B54E31">
        <w:rPr>
          <w:rFonts w:ascii="Tahoma" w:hAnsi="Tahoma" w:cs="Tahoma"/>
          <w:b/>
          <w:bCs/>
          <w:color w:val="FFFFFF" w:themeColor="background1"/>
          <w:sz w:val="22"/>
          <w:szCs w:val="22"/>
          <w:rtl/>
        </w:rPr>
        <w:t xml:space="preserve"> </w:t>
      </w:r>
      <w:r w:rsidRPr="00B54E31">
        <w:rPr>
          <w:rFonts w:ascii="Tahoma" w:hAnsi="Tahoma" w:cs="Tahoma" w:hint="eastAsia"/>
          <w:b/>
          <w:bCs/>
          <w:color w:val="FFFFFF" w:themeColor="background1"/>
          <w:sz w:val="22"/>
          <w:szCs w:val="22"/>
          <w:rtl/>
        </w:rPr>
        <w:t>אחת</w:t>
      </w:r>
    </w:p>
    <w:p w14:paraId="0E03A3FD" w14:textId="77777777" w:rsidR="00B32607" w:rsidRDefault="00B32607" w:rsidP="00B32607">
      <w:pPr>
        <w:bidi w:val="0"/>
        <w:rPr>
          <w:sz w:val="18"/>
        </w:rPr>
      </w:pPr>
    </w:p>
    <w:p w14:paraId="4BED97EC" w14:textId="5625F3FB" w:rsidR="00B32607" w:rsidRDefault="00564717" w:rsidP="00564717">
      <w:pPr>
        <w:spacing w:line="240" w:lineRule="atLeast"/>
        <w:jc w:val="center"/>
        <w:rPr>
          <w:sz w:val="18"/>
        </w:rPr>
      </w:pPr>
      <w:r>
        <w:rPr>
          <w:noProof/>
          <w:sz w:val="18"/>
        </w:rPr>
        <w:drawing>
          <wp:inline distT="0" distB="0" distL="0" distR="0" wp14:anchorId="090DC239" wp14:editId="495A5536">
            <wp:extent cx="4322064" cy="4553712"/>
            <wp:effectExtent l="0" t="0" r="254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22064" cy="4553712"/>
                    </a:xfrm>
                    <a:prstGeom prst="rect">
                      <a:avLst/>
                    </a:prstGeom>
                  </pic:spPr>
                </pic:pic>
              </a:graphicData>
            </a:graphic>
          </wp:inline>
        </w:drawing>
      </w:r>
    </w:p>
    <w:p w14:paraId="5559FCCD" w14:textId="3CB6CD45" w:rsidR="00496CBE" w:rsidRDefault="00496CBE" w:rsidP="00B32607">
      <w:pPr>
        <w:bidi w:val="0"/>
        <w:rPr>
          <w:rFonts w:ascii="Tahoma" w:hAnsi="Tahoma" w:cs="Tahoma"/>
          <w:sz w:val="18"/>
          <w:szCs w:val="18"/>
          <w:rtl/>
        </w:rPr>
      </w:pPr>
      <w:r>
        <w:rPr>
          <w:sz w:val="18"/>
          <w:rtl/>
        </w:rPr>
        <w:br w:type="page"/>
      </w:r>
    </w:p>
    <w:p w14:paraId="78442A13" w14:textId="47B8E4D3" w:rsidR="00496CBE"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1B2F6033" wp14:editId="6D661254">
            <wp:extent cx="4679950" cy="45720"/>
            <wp:effectExtent l="0" t="0" r="635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6A0F006E" w14:textId="77777777" w:rsidR="00496CBE" w:rsidRPr="00902625" w:rsidRDefault="00496CBE" w:rsidP="00D147D7">
      <w:pPr>
        <w:spacing w:after="180" w:line="240" w:lineRule="atLeast"/>
        <w:rPr>
          <w:rFonts w:ascii="Tahoma" w:hAnsi="Tahoma" w:cs="Tahoma"/>
          <w:b/>
          <w:bCs/>
          <w:color w:val="00305F"/>
          <w:sz w:val="32"/>
          <w:szCs w:val="32"/>
        </w:rPr>
      </w:pPr>
      <w:r w:rsidRPr="00902625">
        <w:rPr>
          <w:rFonts w:ascii="Tahoma" w:hAnsi="Tahoma" w:cs="Tahoma" w:hint="cs"/>
          <w:b/>
          <w:bCs/>
          <w:color w:val="00305F"/>
          <w:sz w:val="32"/>
          <w:szCs w:val="32"/>
          <w:rtl/>
        </w:rPr>
        <w:t>סיכום</w:t>
      </w:r>
    </w:p>
    <w:p w14:paraId="7F581DA5" w14:textId="77777777" w:rsidR="00B32607" w:rsidRPr="00B32607" w:rsidRDefault="00B32607" w:rsidP="00B32607">
      <w:pPr>
        <w:pStyle w:val="running-text"/>
        <w:bidi/>
        <w:spacing w:after="180"/>
        <w:ind w:right="0"/>
        <w:rPr>
          <w:sz w:val="18"/>
          <w:rtl/>
        </w:rPr>
      </w:pPr>
      <w:r w:rsidRPr="00B32607">
        <w:rPr>
          <w:rFonts w:hint="cs"/>
          <w:sz w:val="18"/>
          <w:rtl/>
        </w:rPr>
        <w:t xml:space="preserve">הממשלה החליטה בשנת 2016 לאמץ "מדיניות פעם אחת" לשם שיפור השירות הממשלתי לציבור ולשם הפחתת הנטל הבירוקרטי המוטל עליו, ובכך לקדם יעדים ממשלתיים אסטרטגיים, כגון שיפור מיצוי זכויות האזרחים וצמצום פערים חברתיים. ממצאי דוח זה מלמדים כי עוד ארוכה הדרך ליישום מלא של החלטת הממשלה שקבעה כי החל משנת 2021 משרד ממשלתי לא יבקש מהציבור, לשם מתן שירות, אישור שהנפיק משרד ממשלתי אחר. </w:t>
      </w:r>
    </w:p>
    <w:p w14:paraId="7276410B" w14:textId="77777777" w:rsidR="00B32607" w:rsidRPr="00B32607" w:rsidRDefault="00B32607" w:rsidP="00B32607">
      <w:pPr>
        <w:pStyle w:val="running-text"/>
        <w:bidi/>
        <w:spacing w:after="180"/>
        <w:ind w:right="0"/>
        <w:rPr>
          <w:sz w:val="18"/>
          <w:rtl/>
        </w:rPr>
      </w:pPr>
      <w:r w:rsidRPr="00B32607">
        <w:rPr>
          <w:rFonts w:hint="cs"/>
          <w:sz w:val="18"/>
          <w:rtl/>
        </w:rPr>
        <w:t>ההצלחה של יישום המדיניות מותנית בפעולה משותפת, הן מצד משרדי הממשלה ויחידות הסמך - במימוש המדיניות במסגרת מתן שירותיהם, והן מצד רשות התקשוב וישראל דיגיטלית, המשמשות גורם מתכלל ומנחה, לרבות באמצעות הקניית כלים ושיטות ליישום, הסרת חסמים והקלת תהליכים בירוקרטיים וטכנולוגיים. בהיעדר שיתוף פעולה מלא מצד משרדי הממשלה ויחידות הסמך והפניית התשומות הנדרשות לפעולה, תוך עמידה בלוחות זמנים שנקבעו, לא ניתן יהיה לקדם את יישום המדיניות בשירותים נרחבים.</w:t>
      </w:r>
    </w:p>
    <w:p w14:paraId="3DAA37CF" w14:textId="77777777" w:rsidR="00B32607" w:rsidRPr="00B32607" w:rsidRDefault="00B32607" w:rsidP="00B32607">
      <w:pPr>
        <w:pStyle w:val="running-text"/>
        <w:bidi/>
        <w:spacing w:after="180"/>
        <w:ind w:right="0"/>
        <w:rPr>
          <w:rFonts w:eastAsiaTheme="majorEastAsia"/>
          <w:bCs/>
          <w:sz w:val="16"/>
          <w:szCs w:val="32"/>
          <w:u w:val="single"/>
        </w:rPr>
      </w:pPr>
      <w:r w:rsidRPr="00B32607">
        <w:rPr>
          <w:rFonts w:hint="cs"/>
          <w:sz w:val="18"/>
          <w:rtl/>
        </w:rPr>
        <w:t xml:space="preserve">על רשות התקשוב וישראל דיגיטלית לתעדף את הנושא ולפעול למול שירותים מרכזיים ומשרדי ממשלה שחולשים על שירותים רבים. כמו כן, נכון יהיה לעשות שימוש בכלים של ניהול פרויקט ממשלתי אופקי למול עשרות גופים. זאת ועוד, כדי לממש את כל התועלות הגלומות במימוש מדיניות פעם אחת, יש ליישמה בכל ערוצי השירות, לרבות בערוצי השירות הפרונטלי והטלפוני שבהם משתמשות אוכלוסיות ראויות לקידום שנזקקות לשירותים רבים. </w:t>
      </w:r>
    </w:p>
    <w:p w14:paraId="4083B344" w14:textId="77777777" w:rsidR="00B32607" w:rsidRPr="00B32607" w:rsidRDefault="00B32607" w:rsidP="00B32607">
      <w:pPr>
        <w:pStyle w:val="running-text"/>
        <w:bidi/>
        <w:spacing w:after="180"/>
        <w:ind w:right="0"/>
        <w:rPr>
          <w:color w:val="0D0D0D" w:themeColor="text1" w:themeTint="F2"/>
          <w:sz w:val="18"/>
          <w:rtl/>
        </w:rPr>
      </w:pPr>
    </w:p>
    <w:p w14:paraId="05E4A9CE" w14:textId="77777777" w:rsidR="00496CBE" w:rsidRPr="00496CBE" w:rsidRDefault="00496CBE" w:rsidP="00496CBE">
      <w:pPr>
        <w:pStyle w:val="running-text"/>
        <w:bidi/>
        <w:ind w:right="0"/>
        <w:rPr>
          <w:color w:val="231F20"/>
          <w:sz w:val="18"/>
        </w:rPr>
      </w:pPr>
    </w:p>
    <w:p w14:paraId="30530327" w14:textId="77777777" w:rsidR="003C0AAE" w:rsidRDefault="003C0AAE" w:rsidP="00FE0AD4">
      <w:pPr>
        <w:pStyle w:val="running-text"/>
        <w:bidi/>
        <w:ind w:right="0"/>
        <w:rPr>
          <w:rtl/>
        </w:rPr>
        <w:sectPr w:rsidR="003C0AAE" w:rsidSect="00045345">
          <w:headerReference w:type="default" r:id="rId30"/>
          <w:pgSz w:w="11906" w:h="16838" w:code="9"/>
          <w:pgMar w:top="2892" w:right="2268" w:bottom="2438" w:left="2268" w:header="1871" w:footer="1928" w:gutter="0"/>
          <w:cols w:space="708"/>
          <w:bidi/>
          <w:rtlGutter/>
          <w:docGrid w:linePitch="360"/>
        </w:sectPr>
      </w:pPr>
    </w:p>
    <w:p w14:paraId="2BB4256A" w14:textId="77777777" w:rsidR="005C33A1" w:rsidRPr="0010599F" w:rsidDel="00660660" w:rsidRDefault="005C33A1" w:rsidP="005C33A1">
      <w:pPr>
        <w:pStyle w:val="running-text"/>
        <w:bidi/>
        <w:ind w:right="0"/>
        <w:rPr>
          <w:rtl/>
        </w:rPr>
      </w:pPr>
    </w:p>
    <w:p w14:paraId="390C1047" w14:textId="77777777" w:rsidR="003C0AAE" w:rsidRDefault="003C0AAE" w:rsidP="00530F88">
      <w:pPr>
        <w:spacing w:before="360" w:line="240" w:lineRule="atLeast"/>
        <w:rPr>
          <w:rFonts w:ascii="Tahoma" w:hAnsi="Tahoma" w:cs="Tahoma"/>
          <w:b/>
          <w:bCs/>
          <w:color w:val="003364"/>
          <w:w w:val="85"/>
          <w:sz w:val="36"/>
          <w:szCs w:val="36"/>
          <w:rtl/>
        </w:rPr>
        <w:sectPr w:rsidR="003C0AAE" w:rsidSect="00045345">
          <w:headerReference w:type="even" r:id="rId31"/>
          <w:headerReference w:type="default" r:id="rId32"/>
          <w:pgSz w:w="11906" w:h="16838" w:code="9"/>
          <w:pgMar w:top="2892" w:right="2268" w:bottom="2438" w:left="2268" w:header="1871" w:footer="1928" w:gutter="0"/>
          <w:cols w:space="708"/>
          <w:titlePg/>
          <w:bidi/>
          <w:rtlGutter/>
          <w:docGrid w:linePitch="360"/>
        </w:sectPr>
      </w:pPr>
    </w:p>
    <w:p w14:paraId="532A132F" w14:textId="77777777" w:rsidR="007478B2" w:rsidRDefault="007478B2" w:rsidP="00347A82">
      <w:pPr>
        <w:pStyle w:val="KOT1N"/>
        <w:bidi/>
        <w:rPr>
          <w:rtl/>
        </w:rPr>
      </w:pPr>
      <w:bookmarkStart w:id="8" w:name="tempMark"/>
      <w:bookmarkEnd w:id="8"/>
      <w:r>
        <w:rPr>
          <w:rFonts w:hint="cs"/>
        </w:rPr>
        <w:lastRenderedPageBreak/>
        <w:t>"</w:t>
      </w:r>
      <w:r>
        <w:rPr>
          <w:rFonts w:hint="cs"/>
          <w:rtl/>
        </w:rPr>
        <w:t xml:space="preserve">מדיניות פעם אחת" לשיפור השירות הממשלתי </w:t>
      </w:r>
      <w:r w:rsidRPr="00A916A9">
        <w:rPr>
          <w:rFonts w:hint="cs"/>
          <w:rtl/>
        </w:rPr>
        <w:t>הדיגיטלי</w:t>
      </w:r>
      <w:r>
        <w:rPr>
          <w:rFonts w:hint="cs"/>
          <w:rtl/>
        </w:rPr>
        <w:t xml:space="preserve"> לציבור</w:t>
      </w:r>
      <w:r>
        <w:rPr>
          <w:rFonts w:hint="cs"/>
        </w:rPr>
        <w:t xml:space="preserve"> </w:t>
      </w:r>
    </w:p>
    <w:p w14:paraId="102EDB5A" w14:textId="77777777" w:rsidR="007478B2" w:rsidRDefault="007478B2" w:rsidP="007478B2">
      <w:pPr>
        <w:pStyle w:val="KOT3N"/>
        <w:rPr>
          <w:rtl/>
        </w:rPr>
      </w:pPr>
      <w:r>
        <w:rPr>
          <w:rFonts w:hint="cs"/>
          <w:rtl/>
        </w:rPr>
        <w:t>מבוא</w:t>
      </w:r>
    </w:p>
    <w:p w14:paraId="70A1C709" w14:textId="77777777" w:rsidR="007478B2" w:rsidRPr="00347A82" w:rsidRDefault="007478B2" w:rsidP="00347A82">
      <w:pPr>
        <w:spacing w:line="260" w:lineRule="exact"/>
        <w:jc w:val="both"/>
        <w:rPr>
          <w:rFonts w:ascii="Tahoma" w:hAnsi="Tahoma" w:cs="Tahoma"/>
          <w:sz w:val="18"/>
          <w:szCs w:val="18"/>
          <w:rtl/>
        </w:rPr>
      </w:pPr>
      <w:r w:rsidRPr="00347A82">
        <w:rPr>
          <w:rFonts w:ascii="Tahoma" w:hAnsi="Tahoma" w:cs="Tahoma" w:hint="cs"/>
          <w:b/>
          <w:bCs/>
          <w:color w:val="00305F"/>
          <w:spacing w:val="20"/>
          <w:sz w:val="18"/>
          <w:szCs w:val="18"/>
          <w:rtl/>
        </w:rPr>
        <w:t>שירותים דיגיטליים לאזרח:</w:t>
      </w:r>
      <w:r w:rsidRPr="00E10219">
        <w:rPr>
          <w:rStyle w:val="53"/>
          <w:rFonts w:hint="cs"/>
          <w:rtl/>
        </w:rPr>
        <w:t xml:space="preserve"> </w:t>
      </w:r>
      <w:r w:rsidRPr="00347A82">
        <w:rPr>
          <w:rFonts w:ascii="Tahoma" w:hAnsi="Tahoma" w:cs="Tahoma"/>
          <w:sz w:val="18"/>
          <w:szCs w:val="18"/>
          <w:rtl/>
        </w:rPr>
        <w:t>ההתפתחות הטכנולוגית בעולם הובילה לגידול בהיקף הצריכה של שירותים דיגיטליים על ידי אזרחים ועסקים. מגמה זו יצרה הזדמנות לשיפור תהליכי השירות שמעניקים משרדי הממשלה לציבור ולהפחתת הנטל הבירוקרטי המוטל עליו</w:t>
      </w:r>
      <w:r w:rsidRPr="00347A82">
        <w:rPr>
          <w:rStyle w:val="af3"/>
          <w:rFonts w:ascii="Tahoma" w:hAnsi="Tahoma" w:cs="Tahoma"/>
          <w:sz w:val="18"/>
          <w:szCs w:val="18"/>
          <w:rtl/>
        </w:rPr>
        <w:footnoteReference w:id="8"/>
      </w:r>
      <w:r w:rsidRPr="00347A82">
        <w:rPr>
          <w:rFonts w:ascii="Tahoma" w:hAnsi="Tahoma" w:cs="Tahoma"/>
          <w:sz w:val="18"/>
          <w:szCs w:val="18"/>
          <w:rtl/>
        </w:rPr>
        <w:t>. זאת באמצעות הרחבת היקף השירותים הממשלתיים הדיגיטליים, תוך קידום שינויי עומק בתהליכים בירוקרטיים ושימוש באמצעים דיגיטליים מתקדמים, ובדגש על ארגון השירותים סביב צורכי האזרח (להלן - טרנספורמציה דיגיטלית של שירותים)</w:t>
      </w:r>
      <w:r w:rsidRPr="00347A82">
        <w:rPr>
          <w:rStyle w:val="af3"/>
          <w:rFonts w:ascii="Tahoma" w:hAnsi="Tahoma" w:cs="Tahoma"/>
          <w:sz w:val="18"/>
          <w:szCs w:val="18"/>
          <w:rtl/>
        </w:rPr>
        <w:footnoteReference w:id="9"/>
      </w:r>
      <w:r w:rsidRPr="00347A82">
        <w:rPr>
          <w:rFonts w:ascii="Tahoma" w:hAnsi="Tahoma" w:cs="Tahoma"/>
          <w:sz w:val="18"/>
          <w:szCs w:val="18"/>
          <w:rtl/>
        </w:rPr>
        <w:t xml:space="preserve">. </w:t>
      </w:r>
    </w:p>
    <w:p w14:paraId="095D9F15" w14:textId="77777777" w:rsidR="007478B2" w:rsidRPr="00E0070E" w:rsidRDefault="007478B2" w:rsidP="00347A82">
      <w:pPr>
        <w:spacing w:line="260" w:lineRule="exact"/>
        <w:jc w:val="both"/>
        <w:rPr>
          <w:rFonts w:ascii="Tahoma" w:hAnsi="Tahoma" w:cs="Tahoma"/>
          <w:sz w:val="18"/>
          <w:szCs w:val="18"/>
        </w:rPr>
      </w:pPr>
      <w:r w:rsidRPr="00E0070E">
        <w:rPr>
          <w:rFonts w:ascii="Tahoma" w:hAnsi="Tahoma" w:cs="Tahoma"/>
          <w:sz w:val="18"/>
          <w:szCs w:val="18"/>
          <w:rtl/>
        </w:rPr>
        <w:t>השימוש בשירותים דיגיטליים מפחית את היקף ההוצאה המשקית ויוצר חיסכון ממשלתי בעלות אספקת השירותים לציבור (למשל עקב ביטול הצורך של האזרח להגיע ללשכות לשם קבלת שירות). בתרשים 1 להלן מובאים נתוני רשות התקשוב הממשלתי במשרד הדיגיטל הלאומי (להלן - רשות התקשוב) על החיסכון בפעולת שירות דיגיטלית לעומת פעולה טלפונית או פעולה פרונטלית (קבלת קהל בלשכת שירות).</w:t>
      </w:r>
    </w:p>
    <w:p w14:paraId="67AC9103" w14:textId="77777777" w:rsidR="007478B2" w:rsidRPr="00347A82" w:rsidRDefault="007478B2" w:rsidP="00347A82">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347A82">
        <w:rPr>
          <w:rFonts w:ascii="Tahoma" w:hAnsi="Tahoma" w:cs="Tahoma" w:hint="cs"/>
          <w:color w:val="0D0D0D" w:themeColor="text1" w:themeTint="F2"/>
          <w:sz w:val="20"/>
          <w:szCs w:val="20"/>
          <w:rtl/>
        </w:rPr>
        <w:t xml:space="preserve">תרשים 1: </w:t>
      </w:r>
      <w:r w:rsidRPr="00347A82">
        <w:rPr>
          <w:rFonts w:ascii="Tahoma" w:hAnsi="Tahoma" w:cs="Tahoma" w:hint="cs"/>
          <w:b/>
          <w:bCs/>
          <w:color w:val="0D0D0D" w:themeColor="text1" w:themeTint="F2"/>
          <w:sz w:val="20"/>
          <w:szCs w:val="20"/>
          <w:rtl/>
        </w:rPr>
        <w:t>חיסכון במעבר לפעולה דיגיטלית</w:t>
      </w:r>
    </w:p>
    <w:p w14:paraId="62441C9E" w14:textId="0F4EFE7C" w:rsidR="007478B2" w:rsidRPr="00E94595" w:rsidRDefault="00C71DCE" w:rsidP="00347A82">
      <w:pPr>
        <w:spacing w:line="240" w:lineRule="atLeast"/>
        <w:jc w:val="both"/>
        <w:rPr>
          <w:rtl/>
        </w:rPr>
      </w:pPr>
      <w:r>
        <w:rPr>
          <w:noProof/>
          <w:rtl/>
          <w:lang w:val="he-IL"/>
        </w:rPr>
        <w:drawing>
          <wp:inline distT="0" distB="0" distL="0" distR="0" wp14:anchorId="648594D1" wp14:editId="58CD1311">
            <wp:extent cx="4320000" cy="2455200"/>
            <wp:effectExtent l="0" t="0" r="444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video game&#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20000" cy="2455200"/>
                    </a:xfrm>
                    <a:prstGeom prst="rect">
                      <a:avLst/>
                    </a:prstGeom>
                  </pic:spPr>
                </pic:pic>
              </a:graphicData>
            </a:graphic>
          </wp:inline>
        </w:drawing>
      </w:r>
    </w:p>
    <w:p w14:paraId="6A0AD541" w14:textId="77777777" w:rsidR="007478B2" w:rsidRPr="00347A82" w:rsidRDefault="007478B2" w:rsidP="00347A82">
      <w:pPr>
        <w:tabs>
          <w:tab w:val="left" w:pos="424"/>
        </w:tabs>
        <w:spacing w:after="240" w:line="260" w:lineRule="exact"/>
        <w:jc w:val="both"/>
        <w:rPr>
          <w:rFonts w:ascii="Tahoma" w:hAnsi="Tahoma" w:cs="Tahoma"/>
          <w:color w:val="0D0D0D" w:themeColor="text1" w:themeTint="F2"/>
          <w:sz w:val="16"/>
          <w:szCs w:val="16"/>
          <w:rtl/>
        </w:rPr>
      </w:pPr>
      <w:r w:rsidRPr="00347A82">
        <w:rPr>
          <w:rFonts w:ascii="Tahoma" w:hAnsi="Tahoma" w:cs="Tahoma" w:hint="cs"/>
          <w:color w:val="0D0D0D" w:themeColor="text1" w:themeTint="F2"/>
          <w:sz w:val="16"/>
          <w:szCs w:val="16"/>
          <w:rtl/>
        </w:rPr>
        <w:t>המקור: רשות התקשוב הממשלתי, מבט על פעילות 2019.</w:t>
      </w:r>
    </w:p>
    <w:p w14:paraId="3CA4021E" w14:textId="6B9F4397" w:rsidR="007478B2" w:rsidRPr="00347A82" w:rsidRDefault="007478B2" w:rsidP="00347A82">
      <w:pPr>
        <w:spacing w:line="260" w:lineRule="exact"/>
        <w:jc w:val="both"/>
        <w:rPr>
          <w:rFonts w:ascii="Tahoma" w:hAnsi="Tahoma" w:cs="Tahoma"/>
          <w:sz w:val="18"/>
          <w:szCs w:val="18"/>
        </w:rPr>
      </w:pPr>
      <w:r w:rsidRPr="00347A82">
        <w:rPr>
          <w:rFonts w:ascii="Tahoma" w:hAnsi="Tahoma" w:cs="Tahoma"/>
          <w:sz w:val="18"/>
          <w:szCs w:val="18"/>
          <w:rtl/>
        </w:rPr>
        <w:lastRenderedPageBreak/>
        <w:t xml:space="preserve">בעקבות מגפת הקורונה אף גבר הצורך בהרחבת היקף השירותים הממשלתיים הדיגיטליים ובייעולם. זאת כדי לאפשר המשכיות ורציפות במתן השירותים הממשלתיים, על ידי ביצוע השירות באופן דיגיטלי. על פי נתוני רשות התקשוב, בתקופת הקורונה חלה עלייה ניכרת בצריכת שירותים ממשלתיים באופן מקוון. למשל, במרץ 2020 (בזמן הקורונה) נרשמו 207,000 כניסות לאזור האישי באתר השירותים והמידע הממשלתי </w:t>
      </w:r>
      <w:r w:rsidRPr="00347A82">
        <w:rPr>
          <w:rFonts w:ascii="Tahoma" w:hAnsi="Tahoma" w:cs="Tahoma"/>
          <w:sz w:val="18"/>
          <w:szCs w:val="18"/>
        </w:rPr>
        <w:t>Gov.il</w:t>
      </w:r>
      <w:r w:rsidRPr="00347A82">
        <w:rPr>
          <w:rFonts w:ascii="Tahoma" w:hAnsi="Tahoma" w:cs="Tahoma"/>
          <w:sz w:val="18"/>
          <w:szCs w:val="18"/>
          <w:rtl/>
        </w:rPr>
        <w:t xml:space="preserve"> (להלן - האזור האישי)</w:t>
      </w:r>
      <w:r w:rsidRPr="00347A82">
        <w:rPr>
          <w:rStyle w:val="af3"/>
          <w:rFonts w:ascii="Tahoma" w:hAnsi="Tahoma" w:cs="Tahoma"/>
          <w:sz w:val="18"/>
          <w:szCs w:val="18"/>
          <w:rtl/>
        </w:rPr>
        <w:footnoteReference w:id="10"/>
      </w:r>
      <w:r w:rsidRPr="00347A82">
        <w:rPr>
          <w:rFonts w:ascii="Tahoma" w:hAnsi="Tahoma" w:cs="Tahoma"/>
          <w:sz w:val="18"/>
          <w:szCs w:val="18"/>
          <w:rtl/>
        </w:rPr>
        <w:t>; זאת לעומת 133,000 כניסות שנרשמו בפברואר 2020 (לפני הקורונה) - גידול של כ-55%</w:t>
      </w:r>
      <w:r w:rsidRPr="00347A82">
        <w:rPr>
          <w:rStyle w:val="af3"/>
          <w:rFonts w:ascii="Tahoma" w:hAnsi="Tahoma" w:cs="Tahoma"/>
          <w:sz w:val="18"/>
          <w:szCs w:val="18"/>
          <w:rtl/>
        </w:rPr>
        <w:footnoteReference w:id="11"/>
      </w:r>
      <w:r w:rsidRPr="00347A82">
        <w:rPr>
          <w:rFonts w:ascii="Tahoma" w:hAnsi="Tahoma" w:cs="Tahoma"/>
          <w:sz w:val="18"/>
          <w:szCs w:val="18"/>
          <w:rtl/>
        </w:rPr>
        <w:t>.</w:t>
      </w:r>
    </w:p>
    <w:p w14:paraId="7AF21B20" w14:textId="77777777" w:rsidR="007478B2" w:rsidRPr="00347A82" w:rsidRDefault="007478B2" w:rsidP="00347A82">
      <w:pPr>
        <w:autoSpaceDE w:val="0"/>
        <w:autoSpaceDN w:val="0"/>
        <w:adjustRightInd w:val="0"/>
        <w:spacing w:line="260" w:lineRule="exact"/>
        <w:jc w:val="both"/>
        <w:rPr>
          <w:rFonts w:ascii="Tahoma" w:hAnsi="Tahoma" w:cs="Tahoma"/>
          <w:sz w:val="18"/>
          <w:szCs w:val="18"/>
          <w:rtl/>
        </w:rPr>
      </w:pPr>
      <w:r w:rsidRPr="00347A82">
        <w:rPr>
          <w:rFonts w:ascii="Tahoma" w:hAnsi="Tahoma" w:cs="Tahoma"/>
          <w:sz w:val="18"/>
          <w:szCs w:val="18"/>
          <w:rtl/>
        </w:rPr>
        <w:t>בנובמבר 2020 פרסמה היחידה לשיפור השירות הממשלתי לציבור ברשות התקשוב (להלן - היחידה לשיפור השירות)</w:t>
      </w:r>
      <w:r w:rsidRPr="00347A82">
        <w:rPr>
          <w:rStyle w:val="af3"/>
          <w:rFonts w:ascii="Tahoma" w:hAnsi="Tahoma" w:cs="Tahoma"/>
          <w:sz w:val="18"/>
          <w:szCs w:val="18"/>
          <w:rtl/>
        </w:rPr>
        <w:footnoteReference w:id="12"/>
      </w:r>
      <w:r w:rsidRPr="00347A82">
        <w:rPr>
          <w:rFonts w:ascii="Tahoma" w:hAnsi="Tahoma" w:cs="Tahoma"/>
          <w:sz w:val="18"/>
          <w:szCs w:val="18"/>
          <w:rtl/>
        </w:rPr>
        <w:t xml:space="preserve"> דוח בנושא "מדידת איכות השירות הממשלתי לציבור בשנת 2019" (להלן - דוח האיכות), שמטרתו לשמש כלי עזר לממשלה לשם שיפור השירות</w:t>
      </w:r>
      <w:r w:rsidRPr="00347A82">
        <w:rPr>
          <w:rStyle w:val="af3"/>
          <w:rFonts w:ascii="Tahoma" w:hAnsi="Tahoma" w:cs="Tahoma"/>
          <w:sz w:val="18"/>
          <w:szCs w:val="18"/>
          <w:rtl/>
        </w:rPr>
        <w:footnoteReference w:id="13"/>
      </w:r>
      <w:r w:rsidRPr="00347A82">
        <w:rPr>
          <w:rFonts w:ascii="Tahoma" w:hAnsi="Tahoma" w:cs="Tahoma"/>
          <w:sz w:val="18"/>
          <w:szCs w:val="18"/>
          <w:rtl/>
        </w:rPr>
        <w:t>. על פי דוח האיכות, הציון של מדד "איכות השירות הממשלתי" נמצא במגמת שיפור לאורך זמן. עם זאת, רמת השירות עדיין "בינונית - נמוכה", ובשנת 2019 ניתן לה ציון ממוצע של 68 (בסולם בין 0 ל-100). כמו כן, משנת 2018 הפך אתר האינטרנט לערוץ השירות עם שיעור המשתמשים הגדול ביותר. ראו פרטים בתרשים 2 להלן.</w:t>
      </w:r>
    </w:p>
    <w:p w14:paraId="35079FD9" w14:textId="1AB6462B" w:rsidR="007478B2" w:rsidRPr="00347A82" w:rsidRDefault="007F0192" w:rsidP="00347A82">
      <w:pPr>
        <w:keepNext/>
        <w:keepLines/>
        <w:tabs>
          <w:tab w:val="left" w:pos="424"/>
        </w:tabs>
        <w:spacing w:before="240" w:after="240" w:line="260" w:lineRule="exact"/>
        <w:jc w:val="center"/>
        <w:rPr>
          <w:rFonts w:ascii="Tahoma" w:hAnsi="Tahoma" w:cs="Tahoma"/>
          <w:b/>
          <w:bCs/>
          <w:color w:val="0D0D0D" w:themeColor="text1" w:themeTint="F2"/>
          <w:sz w:val="20"/>
          <w:szCs w:val="20"/>
          <w:rtl/>
        </w:rPr>
      </w:pPr>
      <w:r>
        <w:rPr>
          <w:rFonts w:ascii="Tahoma" w:hAnsi="Tahoma" w:cs="Tahoma" w:hint="cs"/>
          <w:color w:val="0D0D0D" w:themeColor="text1" w:themeTint="F2"/>
          <w:sz w:val="20"/>
          <w:szCs w:val="20"/>
          <w:rtl/>
        </w:rPr>
        <w:lastRenderedPageBreak/>
        <w:t>תרשים</w:t>
      </w:r>
      <w:r w:rsidR="007478B2" w:rsidRPr="00347A82">
        <w:rPr>
          <w:rFonts w:ascii="Tahoma" w:hAnsi="Tahoma" w:cs="Tahoma" w:hint="cs"/>
          <w:color w:val="0D0D0D" w:themeColor="text1" w:themeTint="F2"/>
          <w:sz w:val="20"/>
          <w:szCs w:val="20"/>
          <w:rtl/>
        </w:rPr>
        <w:t xml:space="preserve"> 2: </w:t>
      </w:r>
      <w:r w:rsidR="007478B2" w:rsidRPr="00347A82">
        <w:rPr>
          <w:rFonts w:ascii="Tahoma" w:hAnsi="Tahoma" w:cs="Tahoma" w:hint="cs"/>
          <w:b/>
          <w:bCs/>
          <w:color w:val="0D0D0D" w:themeColor="text1" w:themeTint="F2"/>
          <w:sz w:val="20"/>
          <w:szCs w:val="20"/>
          <w:rtl/>
        </w:rPr>
        <w:t>מדד איכות השירות הממשלתי ושיעור השימוש בערוץ השירות "אינטרנט"</w:t>
      </w:r>
      <w:r w:rsidR="00347A82">
        <w:rPr>
          <w:rFonts w:ascii="Tahoma" w:hAnsi="Tahoma" w:cs="Tahoma" w:hint="cs"/>
          <w:b/>
          <w:bCs/>
          <w:color w:val="0D0D0D" w:themeColor="text1" w:themeTint="F2"/>
          <w:sz w:val="20"/>
          <w:szCs w:val="20"/>
          <w:rtl/>
        </w:rPr>
        <w:t xml:space="preserve"> </w:t>
      </w:r>
      <w:r w:rsidR="007478B2" w:rsidRPr="00347A82">
        <w:rPr>
          <w:rFonts w:ascii="Tahoma" w:hAnsi="Tahoma" w:cs="Tahoma" w:hint="cs"/>
          <w:b/>
          <w:bCs/>
          <w:color w:val="0D0D0D" w:themeColor="text1" w:themeTint="F2"/>
          <w:sz w:val="20"/>
          <w:szCs w:val="20"/>
          <w:rtl/>
        </w:rPr>
        <w:t>(בשנים 2016 - 2019)</w:t>
      </w:r>
    </w:p>
    <w:p w14:paraId="41927BAD" w14:textId="1E420052" w:rsidR="00347A82" w:rsidRPr="00AA5304" w:rsidRDefault="00347A82" w:rsidP="00347A82">
      <w:pPr>
        <w:spacing w:line="240" w:lineRule="atLeast"/>
        <w:jc w:val="center"/>
        <w:rPr>
          <w:rtl/>
        </w:rPr>
      </w:pPr>
      <w:r>
        <w:rPr>
          <w:noProof/>
          <w:rtl/>
          <w:lang w:val="he-IL"/>
        </w:rPr>
        <w:drawing>
          <wp:inline distT="0" distB="0" distL="0" distR="0" wp14:anchorId="65130BA6" wp14:editId="33C2439A">
            <wp:extent cx="4680000" cy="3402000"/>
            <wp:effectExtent l="0" t="0" r="6350" b="8255"/>
            <wp:docPr id="52" name="Picture 52"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80000" cy="3402000"/>
                    </a:xfrm>
                    <a:prstGeom prst="rect">
                      <a:avLst/>
                    </a:prstGeom>
                  </pic:spPr>
                </pic:pic>
              </a:graphicData>
            </a:graphic>
          </wp:inline>
        </w:drawing>
      </w:r>
    </w:p>
    <w:p w14:paraId="1ABB17BF" w14:textId="4BCAEE86" w:rsidR="007478B2" w:rsidRPr="00347A82" w:rsidRDefault="007478B2" w:rsidP="00347A82">
      <w:pPr>
        <w:tabs>
          <w:tab w:val="left" w:pos="424"/>
        </w:tabs>
        <w:spacing w:after="240" w:line="260" w:lineRule="exact"/>
        <w:jc w:val="both"/>
        <w:rPr>
          <w:rFonts w:ascii="Tahoma" w:hAnsi="Tahoma" w:cs="Tahoma"/>
          <w:color w:val="0D0D0D" w:themeColor="text1" w:themeTint="F2"/>
          <w:sz w:val="16"/>
          <w:szCs w:val="16"/>
          <w:rtl/>
        </w:rPr>
      </w:pPr>
      <w:r w:rsidRPr="00347A82">
        <w:rPr>
          <w:rFonts w:ascii="Tahoma" w:hAnsi="Tahoma" w:cs="Tahoma" w:hint="cs"/>
          <w:color w:val="0D0D0D" w:themeColor="text1" w:themeTint="F2"/>
          <w:sz w:val="16"/>
          <w:szCs w:val="16"/>
          <w:rtl/>
        </w:rPr>
        <w:t>על פי נתוני</w:t>
      </w:r>
      <w:r w:rsidRPr="00347A82">
        <w:rPr>
          <w:rFonts w:ascii="Tahoma" w:hAnsi="Tahoma" w:cs="Tahoma"/>
          <w:color w:val="0D0D0D" w:themeColor="text1" w:themeTint="F2"/>
          <w:sz w:val="16"/>
          <w:szCs w:val="16"/>
          <w:rtl/>
        </w:rPr>
        <w:t xml:space="preserve"> רשות התקשוב</w:t>
      </w:r>
      <w:r w:rsidRPr="00347A82">
        <w:rPr>
          <w:rFonts w:ascii="Tahoma" w:hAnsi="Tahoma" w:cs="Tahoma" w:hint="cs"/>
          <w:color w:val="0D0D0D" w:themeColor="text1" w:themeTint="F2"/>
          <w:sz w:val="16"/>
          <w:szCs w:val="16"/>
          <w:rtl/>
        </w:rPr>
        <w:t xml:space="preserve"> הממשלתי, בעיבוד משרד מבקר המדינה</w:t>
      </w:r>
    </w:p>
    <w:p w14:paraId="168AB31D" w14:textId="77777777" w:rsidR="007478B2" w:rsidRPr="00347A82" w:rsidRDefault="007478B2" w:rsidP="00347A82">
      <w:pPr>
        <w:autoSpaceDE w:val="0"/>
        <w:autoSpaceDN w:val="0"/>
        <w:adjustRightInd w:val="0"/>
        <w:spacing w:line="260" w:lineRule="exact"/>
        <w:jc w:val="both"/>
        <w:rPr>
          <w:rFonts w:ascii="Tahoma" w:hAnsi="Tahoma" w:cs="Tahoma"/>
          <w:sz w:val="18"/>
          <w:szCs w:val="18"/>
          <w:rtl/>
        </w:rPr>
      </w:pPr>
      <w:r w:rsidRPr="00347A82">
        <w:rPr>
          <w:rFonts w:ascii="Tahoma" w:hAnsi="Tahoma" w:cs="Tahoma"/>
          <w:sz w:val="18"/>
          <w:szCs w:val="18"/>
          <w:rtl/>
        </w:rPr>
        <w:t xml:space="preserve">מסקנות דוח האיכות היו, בין היתר, כי על היחידות הממשלתיות להשקיע מאמץ מיוחד בשיפור תהליכי שירות והפיכתם ליעילים, מהירים ופשוטים יותר, בד בבד עם הגברת השימוש בערוצים הדיגיטליים, וכן להרחיב את הסמכויות ואת מגוון הפעולות שניתן לבצע באתרי האינטרנט ולהגדיל את מגוון הכלים הדיגיטליים הנמצאים בשימוש. </w:t>
      </w:r>
    </w:p>
    <w:p w14:paraId="62060B67" w14:textId="77777777" w:rsidR="007478B2" w:rsidRPr="00347A82" w:rsidRDefault="007478B2" w:rsidP="00347A82">
      <w:pPr>
        <w:spacing w:line="260" w:lineRule="exact"/>
        <w:jc w:val="both"/>
        <w:rPr>
          <w:rFonts w:ascii="Tahoma" w:hAnsi="Tahoma" w:cs="Tahoma"/>
          <w:sz w:val="18"/>
          <w:szCs w:val="18"/>
          <w:rtl/>
        </w:rPr>
      </w:pPr>
      <w:r w:rsidRPr="00347A82">
        <w:rPr>
          <w:rFonts w:ascii="Tahoma" w:hAnsi="Tahoma" w:cs="Tahoma"/>
          <w:sz w:val="18"/>
          <w:szCs w:val="18"/>
          <w:rtl/>
        </w:rPr>
        <w:t>אחת הדרכים לייעל את תהליכי השירות הממשלתיים ולפשטם היא שימוש ב"מדיניות פעם אחת", שמשמעה דרישה חד-פעמית של מידע</w:t>
      </w:r>
      <w:r w:rsidRPr="00347A82">
        <w:rPr>
          <w:rStyle w:val="af3"/>
          <w:rFonts w:ascii="Tahoma" w:hAnsi="Tahoma" w:cs="Tahoma"/>
          <w:sz w:val="18"/>
          <w:szCs w:val="18"/>
          <w:rtl/>
        </w:rPr>
        <w:footnoteReference w:id="14"/>
      </w:r>
      <w:r w:rsidRPr="00347A82">
        <w:rPr>
          <w:rFonts w:ascii="Tahoma" w:hAnsi="Tahoma" w:cs="Tahoma"/>
          <w:sz w:val="18"/>
          <w:szCs w:val="18"/>
          <w:rtl/>
        </w:rPr>
        <w:t xml:space="preserve"> מהאזרח, והעברתו ככל הנדרש בין משרדי הממשלה ויחידות הסמך לצורך מתן שירותים שונים (להלן מדיניות פעם אחת או המדיניות)</w:t>
      </w:r>
      <w:r w:rsidRPr="00347A82">
        <w:rPr>
          <w:rStyle w:val="af3"/>
          <w:rFonts w:ascii="Tahoma" w:hAnsi="Tahoma" w:cs="Tahoma"/>
          <w:sz w:val="18"/>
          <w:szCs w:val="18"/>
          <w:rtl/>
        </w:rPr>
        <w:footnoteReference w:id="15"/>
      </w:r>
      <w:r w:rsidRPr="00347A82">
        <w:rPr>
          <w:rFonts w:ascii="Tahoma" w:hAnsi="Tahoma" w:cs="Tahoma"/>
          <w:sz w:val="18"/>
          <w:szCs w:val="18"/>
          <w:rtl/>
        </w:rPr>
        <w:t>. ראו להלן:</w:t>
      </w:r>
    </w:p>
    <w:p w14:paraId="1CF068E4" w14:textId="77777777" w:rsidR="007478B2" w:rsidRPr="00347A82" w:rsidRDefault="007478B2" w:rsidP="00347A82">
      <w:pPr>
        <w:spacing w:line="260" w:lineRule="exact"/>
        <w:jc w:val="both"/>
        <w:rPr>
          <w:rFonts w:ascii="Tahoma" w:hAnsi="Tahoma" w:cs="Tahoma"/>
          <w:sz w:val="18"/>
          <w:szCs w:val="18"/>
          <w:rtl/>
        </w:rPr>
      </w:pPr>
      <w:r w:rsidRPr="00E12A59">
        <w:rPr>
          <w:rFonts w:hint="cs"/>
          <w:b/>
          <w:bCs/>
          <w:color w:val="00305F"/>
          <w:spacing w:val="20"/>
          <w:rtl/>
        </w:rPr>
        <w:t>מדיניות פעם אחת:</w:t>
      </w:r>
      <w:r w:rsidRPr="00347A82">
        <w:rPr>
          <w:rFonts w:ascii="Tahoma" w:hAnsi="Tahoma" w:cs="Tahoma"/>
          <w:sz w:val="18"/>
          <w:szCs w:val="18"/>
          <w:rtl/>
        </w:rPr>
        <w:t xml:space="preserve"> לשם קבלת שירותי ממשלה רבים נדרש מבקש השירות לספק לגוף ממשלתי מידע אישי, הקיים במאגר ממשלתי, או אישורים שהנפיק גוף ממשלתי אחר, כגון פרטים אישיים הרשומים בקובץ מרשם האוכלוסין, העתק תעודת בגרות ממשרד החינוך או העתק רישיון נהיגה ממשרד התחבורה. שיטה זו הופכת את מבקש השירות ל"בלדר" המעביר </w:t>
      </w:r>
      <w:r w:rsidRPr="00347A82">
        <w:rPr>
          <w:rFonts w:ascii="Tahoma" w:hAnsi="Tahoma" w:cs="Tahoma"/>
          <w:sz w:val="18"/>
          <w:szCs w:val="18"/>
          <w:rtl/>
        </w:rPr>
        <w:lastRenderedPageBreak/>
        <w:t>מידע בין משרדי הממשלה, במקום שמשרדי הממשלה יקבלוהו ישירות מהמשרד הממשלתי המנפיק - גוף המקור</w:t>
      </w:r>
      <w:r w:rsidRPr="00347A82">
        <w:rPr>
          <w:rStyle w:val="af3"/>
          <w:rFonts w:ascii="Tahoma" w:hAnsi="Tahoma" w:cs="Tahoma"/>
          <w:sz w:val="18"/>
          <w:szCs w:val="18"/>
          <w:rtl/>
        </w:rPr>
        <w:footnoteReference w:id="16"/>
      </w:r>
      <w:r w:rsidRPr="00347A82">
        <w:rPr>
          <w:rFonts w:ascii="Tahoma" w:hAnsi="Tahoma" w:cs="Tahoma"/>
          <w:sz w:val="18"/>
          <w:szCs w:val="18"/>
          <w:rtl/>
        </w:rPr>
        <w:t xml:space="preserve">. </w:t>
      </w:r>
    </w:p>
    <w:p w14:paraId="4DF4B55D" w14:textId="77777777" w:rsidR="007478B2" w:rsidRPr="00347A82" w:rsidRDefault="007478B2" w:rsidP="00347A82">
      <w:pPr>
        <w:spacing w:line="260" w:lineRule="exact"/>
        <w:jc w:val="both"/>
        <w:rPr>
          <w:rFonts w:ascii="Tahoma" w:hAnsi="Tahoma" w:cs="Tahoma"/>
          <w:sz w:val="18"/>
          <w:szCs w:val="18"/>
          <w:rtl/>
        </w:rPr>
      </w:pPr>
      <w:r w:rsidRPr="00347A82">
        <w:rPr>
          <w:rFonts w:ascii="Tahoma" w:hAnsi="Tahoma" w:cs="Tahoma"/>
          <w:sz w:val="18"/>
          <w:szCs w:val="18"/>
          <w:rtl/>
        </w:rPr>
        <w:t>ריבוי הדרישות הבירוקרטיות מסרבל את תהליך מתן השירות, כרוך בעלויות של זמן וכסף, ואף מונע מיצוי זכויות בשל הקושי להשלימו</w:t>
      </w:r>
      <w:r w:rsidRPr="00347A82">
        <w:rPr>
          <w:rStyle w:val="af3"/>
          <w:rFonts w:ascii="Tahoma" w:hAnsi="Tahoma" w:cs="Tahoma"/>
          <w:sz w:val="18"/>
          <w:szCs w:val="18"/>
          <w:rtl/>
        </w:rPr>
        <w:footnoteReference w:id="17"/>
      </w:r>
      <w:r w:rsidRPr="00347A82">
        <w:rPr>
          <w:rFonts w:ascii="Tahoma" w:hAnsi="Tahoma" w:cs="Tahoma"/>
          <w:sz w:val="18"/>
          <w:szCs w:val="18"/>
          <w:rtl/>
        </w:rPr>
        <w:t xml:space="preserve">. מדובר בסוגיה רוחבית אשר קשורה לגופים ציבוריים רבים, משפיעה על אזרחים ועל עסקים, נוגעת לתהליכים רבים ועלולה לפגוע במגוון אוכלוסיות, ובפרט אוכלוסיות ראויות לקידום הנזקקות לשירותים רבים מגופים ציבוריים, ובהן אנשים עם מוגבלות, קשישים ועולים חדשים. </w:t>
      </w:r>
    </w:p>
    <w:p w14:paraId="3FDE9603" w14:textId="77777777" w:rsidR="007478B2" w:rsidRPr="00347A82" w:rsidRDefault="007478B2" w:rsidP="00347A82">
      <w:pPr>
        <w:spacing w:line="260" w:lineRule="exact"/>
        <w:jc w:val="both"/>
        <w:rPr>
          <w:rFonts w:ascii="Tahoma" w:hAnsi="Tahoma" w:cs="Tahoma"/>
          <w:sz w:val="18"/>
          <w:szCs w:val="18"/>
          <w:rtl/>
        </w:rPr>
      </w:pPr>
      <w:r w:rsidRPr="00347A82">
        <w:rPr>
          <w:rFonts w:ascii="Tahoma" w:hAnsi="Tahoma" w:cs="Tahoma"/>
          <w:sz w:val="18"/>
          <w:szCs w:val="18"/>
          <w:rtl/>
        </w:rPr>
        <w:t>בדוחות מבקר המדינה שעסקו בצמצום הנטל הבירוקרטי בשירות הציבורי</w:t>
      </w:r>
      <w:r w:rsidRPr="00347A82">
        <w:rPr>
          <w:rStyle w:val="af3"/>
          <w:rFonts w:ascii="Tahoma" w:hAnsi="Tahoma" w:cs="Tahoma"/>
          <w:sz w:val="18"/>
          <w:szCs w:val="18"/>
          <w:rtl/>
        </w:rPr>
        <w:footnoteReference w:id="18"/>
      </w:r>
      <w:r w:rsidRPr="00347A82">
        <w:rPr>
          <w:rFonts w:ascii="Tahoma" w:hAnsi="Tahoma" w:cs="Tahoma"/>
          <w:sz w:val="18"/>
          <w:szCs w:val="18"/>
          <w:rtl/>
        </w:rPr>
        <w:t xml:space="preserve"> ובמיצוי זכויות חברתיות</w:t>
      </w:r>
      <w:r w:rsidRPr="00347A82">
        <w:rPr>
          <w:rStyle w:val="af3"/>
          <w:rFonts w:ascii="Tahoma" w:hAnsi="Tahoma" w:cs="Tahoma"/>
          <w:sz w:val="18"/>
          <w:szCs w:val="18"/>
          <w:rtl/>
        </w:rPr>
        <w:footnoteReference w:id="19"/>
      </w:r>
      <w:r w:rsidRPr="00347A82">
        <w:rPr>
          <w:rFonts w:ascii="Tahoma" w:hAnsi="Tahoma" w:cs="Tahoma"/>
          <w:sz w:val="18"/>
          <w:szCs w:val="18"/>
          <w:rtl/>
        </w:rPr>
        <w:t xml:space="preserve"> נכתב כי על הגופים הציבוריים לפעול לצמצום הנטל הבירוקרטי הנובע מדרישות לקבלת מידע הנמצא ממילא במאגרי המידע שבידי גופים ציבוריים אחרים. כמו כן, העברה ישירה של מידע בין הגופים הציבוריים מאפשרת לקבל מידע מהימן ומעודכן ובכך מסייעת </w:t>
      </w:r>
      <w:r w:rsidRPr="006A6192">
        <w:rPr>
          <w:rFonts w:ascii="Tahoma" w:hAnsi="Tahoma" w:cs="Tahoma"/>
          <w:spacing w:val="-2"/>
          <w:sz w:val="18"/>
          <w:szCs w:val="18"/>
          <w:rtl/>
        </w:rPr>
        <w:t>לאתר זכאים שטרם מיצו את זכויותיהם. משרד מבקר המדינה המליץ באותם הדוחות לנקוט פתרון ממוחשב לשיתוף מידע</w:t>
      </w:r>
      <w:r w:rsidRPr="006A6192">
        <w:rPr>
          <w:rStyle w:val="af3"/>
          <w:rFonts w:ascii="Tahoma" w:hAnsi="Tahoma" w:cs="Tahoma"/>
          <w:spacing w:val="-2"/>
          <w:sz w:val="18"/>
          <w:szCs w:val="18"/>
          <w:rtl/>
        </w:rPr>
        <w:footnoteReference w:id="20"/>
      </w:r>
      <w:r w:rsidRPr="006A6192">
        <w:rPr>
          <w:rFonts w:ascii="Tahoma" w:hAnsi="Tahoma" w:cs="Tahoma"/>
          <w:spacing w:val="-2"/>
          <w:sz w:val="18"/>
          <w:szCs w:val="18"/>
          <w:rtl/>
        </w:rPr>
        <w:t>, בהתחשב במגבלות הקבועות בחוק הגנת הפרטיות, התשמ"א-1981</w:t>
      </w:r>
      <w:r w:rsidRPr="00347A82">
        <w:rPr>
          <w:rFonts w:ascii="Tahoma" w:hAnsi="Tahoma" w:cs="Tahoma"/>
          <w:sz w:val="18"/>
          <w:szCs w:val="18"/>
          <w:rtl/>
        </w:rPr>
        <w:t xml:space="preserve"> (להלן - חוק הגנת הפרטיות).</w:t>
      </w:r>
    </w:p>
    <w:p w14:paraId="592DDA23" w14:textId="77777777" w:rsidR="007478B2" w:rsidRPr="00347A82" w:rsidRDefault="007478B2" w:rsidP="00347A82">
      <w:pPr>
        <w:spacing w:line="260" w:lineRule="exact"/>
        <w:jc w:val="both"/>
        <w:rPr>
          <w:rFonts w:ascii="Tahoma" w:hAnsi="Tahoma" w:cs="Tahoma"/>
          <w:sz w:val="18"/>
          <w:szCs w:val="18"/>
          <w:rtl/>
        </w:rPr>
      </w:pPr>
      <w:r w:rsidRPr="00347A82">
        <w:rPr>
          <w:rFonts w:ascii="Tahoma" w:hAnsi="Tahoma" w:cs="Tahoma"/>
          <w:sz w:val="18"/>
          <w:szCs w:val="18"/>
          <w:rtl/>
        </w:rPr>
        <w:t>כדי לשפר את השירות הממשלתי לציבור, להפחית את הנטל הבירוקרטי ולייעל את העבודה הבין-משרדית, החליטה הממשלה בשנת 2014</w:t>
      </w:r>
      <w:r w:rsidRPr="00347A82">
        <w:rPr>
          <w:rStyle w:val="af3"/>
          <w:rFonts w:ascii="Tahoma" w:hAnsi="Tahoma" w:cs="Tahoma"/>
          <w:sz w:val="18"/>
          <w:szCs w:val="18"/>
          <w:rtl/>
        </w:rPr>
        <w:footnoteReference w:id="21"/>
      </w:r>
      <w:r w:rsidRPr="00347A82">
        <w:rPr>
          <w:rFonts w:ascii="Tahoma" w:hAnsi="Tahoma" w:cs="Tahoma"/>
          <w:sz w:val="18"/>
          <w:szCs w:val="18"/>
          <w:rtl/>
        </w:rPr>
        <w:t xml:space="preserve"> על נקיטת כמה צעדים, ובהם הקמת צוות לשיפור העברת מידע בין משרדים ויחידות סמך, בהובלת היחידה לשיפור השירות,</w:t>
      </w:r>
      <w:r w:rsidRPr="00347A82">
        <w:rPr>
          <w:rStyle w:val="af3"/>
          <w:rFonts w:ascii="Tahoma" w:hAnsi="Tahoma" w:cs="Tahoma"/>
          <w:sz w:val="18"/>
          <w:szCs w:val="18"/>
          <w:rtl/>
        </w:rPr>
        <w:t xml:space="preserve"> </w:t>
      </w:r>
      <w:r w:rsidRPr="00347A82">
        <w:rPr>
          <w:rFonts w:ascii="Tahoma" w:hAnsi="Tahoma" w:cs="Tahoma"/>
          <w:sz w:val="18"/>
          <w:szCs w:val="18"/>
          <w:rtl/>
        </w:rPr>
        <w:t>ובהשתתפות נציגים מגופי ממשלה שונים</w:t>
      </w:r>
      <w:r w:rsidRPr="00347A82">
        <w:rPr>
          <w:rStyle w:val="af3"/>
          <w:rFonts w:ascii="Tahoma" w:hAnsi="Tahoma" w:cs="Tahoma"/>
          <w:sz w:val="18"/>
          <w:szCs w:val="18"/>
          <w:rtl/>
        </w:rPr>
        <w:footnoteReference w:id="22"/>
      </w:r>
      <w:r w:rsidRPr="00347A82">
        <w:rPr>
          <w:rFonts w:ascii="Tahoma" w:hAnsi="Tahoma" w:cs="Tahoma"/>
          <w:sz w:val="18"/>
          <w:szCs w:val="18"/>
          <w:rtl/>
        </w:rPr>
        <w:t xml:space="preserve"> (להלן - הצוות). </w:t>
      </w:r>
    </w:p>
    <w:p w14:paraId="4F1663E1" w14:textId="77777777" w:rsidR="007478B2" w:rsidRPr="00347A82" w:rsidRDefault="007478B2" w:rsidP="00347A82">
      <w:pPr>
        <w:spacing w:line="260" w:lineRule="exact"/>
        <w:jc w:val="both"/>
        <w:rPr>
          <w:rFonts w:ascii="Tahoma" w:hAnsi="Tahoma" w:cs="Tahoma"/>
          <w:sz w:val="18"/>
          <w:szCs w:val="18"/>
          <w:rtl/>
        </w:rPr>
      </w:pPr>
      <w:r w:rsidRPr="00347A82">
        <w:rPr>
          <w:rFonts w:ascii="Tahoma" w:hAnsi="Tahoma" w:cs="Tahoma"/>
          <w:sz w:val="18"/>
          <w:szCs w:val="18"/>
          <w:rtl/>
        </w:rPr>
        <w:t xml:space="preserve">תפקידי הצוות כללו גיבוש המלצות לגבי מדיניות לטווח הבינוני ולטווח הארוך בדבר קבלת מידע מאזרחים פעם אחת בלבד ושיתופו בין משרדים ויחידות סמך, וכן גיבוש מתווה ליישום המדיניות, תוך בחינת תשתיות טכנולוגיות, תיקוני חקיקה ותקציבים נדרשים, והכול בכפוף לשיקולי הגנת הפרטיות והגנת המידע. </w:t>
      </w:r>
    </w:p>
    <w:p w14:paraId="29028F8C" w14:textId="77777777" w:rsidR="007478B2" w:rsidRPr="00E12A59" w:rsidRDefault="007478B2" w:rsidP="00347A82">
      <w:pPr>
        <w:spacing w:line="260" w:lineRule="exact"/>
        <w:jc w:val="both"/>
        <w:rPr>
          <w:rFonts w:ascii="Tahoma" w:hAnsi="Tahoma" w:cs="Tahoma"/>
          <w:sz w:val="18"/>
          <w:szCs w:val="18"/>
          <w:rtl/>
        </w:rPr>
      </w:pPr>
      <w:r w:rsidRPr="00E12A59">
        <w:rPr>
          <w:rFonts w:ascii="Tahoma" w:hAnsi="Tahoma" w:cs="Tahoma"/>
          <w:sz w:val="18"/>
          <w:szCs w:val="18"/>
          <w:rtl/>
        </w:rPr>
        <w:t xml:space="preserve">ביולי 2016 פרסם הצוות דוח המסכם את עבודתו (להלן - הדוח המסכם), ובו נכתב כי במצבים שבהם לא מתקיים שיתוף מידע בין משרדי ממשלה ויחידות סמך מוכבד הנטל הבירוקרטי המוטל על הציבור, פוחתת יעילותם של תהליכים ומתארך זמן ביצועם. במצבים כאלה, תנאי לשיפור השירות הממשלתי לציבור ולהתייעלות בעבודת הממשלה הוא שיתוף מידע באופן מקוון בין גופי הממשלה. לצד זאת, יש לנקוט זהירות ומידתיות בכל הנוגע להיקף המידע המועבר בין גופים ציבוריים ולהקפיד על אבטחת המידע ועל שמירתו, לצד עקרונות שמירה על פרטיות. </w:t>
      </w:r>
    </w:p>
    <w:p w14:paraId="6249BB69" w14:textId="77777777" w:rsidR="007478B2" w:rsidRPr="00E12A59" w:rsidRDefault="007478B2" w:rsidP="00347A82">
      <w:pPr>
        <w:spacing w:line="260" w:lineRule="exact"/>
        <w:jc w:val="both"/>
        <w:rPr>
          <w:rFonts w:ascii="Tahoma" w:hAnsi="Tahoma" w:cs="Tahoma"/>
          <w:sz w:val="18"/>
          <w:szCs w:val="18"/>
          <w:rtl/>
        </w:rPr>
      </w:pPr>
      <w:r w:rsidRPr="00E12A59">
        <w:rPr>
          <w:rFonts w:ascii="Tahoma" w:hAnsi="Tahoma" w:cs="Tahoma"/>
          <w:sz w:val="18"/>
          <w:szCs w:val="18"/>
          <w:rtl/>
        </w:rPr>
        <w:lastRenderedPageBreak/>
        <w:t xml:space="preserve">הצוות המליץ בדוח המסכם לאמץ מדיניות ממשלתית לקבלת מידע מהציבור פעם אחת בלבד, באמצעות שיתוף מידע בין גופי ממשלה וגופים ציבוריים אחרים. המלצות הצוות אומצו על ידי הממשלה בהחלטה 1933 מאוגוסט 2016 בנושא "שיפור העברת המידע הממשלתי והנגשת מאגרי מידע ממשלתיים לציבור" (להלן - ההחלטה משנת 2016). </w:t>
      </w:r>
    </w:p>
    <w:p w14:paraId="41A784E9" w14:textId="77777777" w:rsidR="007478B2" w:rsidRPr="00E12A59" w:rsidRDefault="007478B2" w:rsidP="00347A82">
      <w:pPr>
        <w:spacing w:line="260" w:lineRule="exact"/>
        <w:jc w:val="both"/>
        <w:rPr>
          <w:rFonts w:ascii="Tahoma" w:hAnsi="Tahoma" w:cs="Tahoma"/>
          <w:sz w:val="18"/>
          <w:szCs w:val="18"/>
          <w:rtl/>
        </w:rPr>
      </w:pPr>
      <w:r w:rsidRPr="00E12A59">
        <w:rPr>
          <w:rFonts w:ascii="Tahoma" w:hAnsi="Tahoma" w:cs="Tahoma"/>
          <w:sz w:val="18"/>
          <w:szCs w:val="18"/>
          <w:rtl/>
        </w:rPr>
        <w:t>בתרשים 3 להלן מובאים פרטים על התועלות הצפויות משיפור תהליכי שיתוף מידע בין גופי ממשלה ומיישום מדיניות פעם אחת, על פי הדוח המסכם.</w:t>
      </w:r>
    </w:p>
    <w:p w14:paraId="52A2A959" w14:textId="13D86C20" w:rsidR="007478B2" w:rsidRPr="00E12A59"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E12A59">
        <w:rPr>
          <w:rFonts w:ascii="Tahoma" w:hAnsi="Tahoma" w:cs="Tahoma" w:hint="cs"/>
          <w:color w:val="0D0D0D" w:themeColor="text1" w:themeTint="F2"/>
          <w:sz w:val="20"/>
          <w:szCs w:val="20"/>
          <w:rtl/>
        </w:rPr>
        <w:t xml:space="preserve">תרשים 3: </w:t>
      </w:r>
      <w:r w:rsidRPr="00E12A59">
        <w:rPr>
          <w:rFonts w:ascii="Tahoma" w:hAnsi="Tahoma" w:cs="Tahoma" w:hint="cs"/>
          <w:b/>
          <w:bCs/>
          <w:color w:val="0D0D0D" w:themeColor="text1" w:themeTint="F2"/>
          <w:sz w:val="20"/>
          <w:szCs w:val="20"/>
          <w:rtl/>
        </w:rPr>
        <w:t xml:space="preserve">התועלות הצפויות מיישום "מדיניות פעם אחת" </w:t>
      </w:r>
      <w:r w:rsidR="007F0192">
        <w:rPr>
          <w:rFonts w:ascii="Tahoma" w:hAnsi="Tahoma" w:cs="Tahoma"/>
          <w:b/>
          <w:bCs/>
          <w:color w:val="0D0D0D" w:themeColor="text1" w:themeTint="F2"/>
          <w:sz w:val="20"/>
          <w:szCs w:val="20"/>
          <w:rtl/>
        </w:rPr>
        <w:br/>
      </w:r>
      <w:r w:rsidRPr="00E12A59">
        <w:rPr>
          <w:rFonts w:ascii="Tahoma" w:hAnsi="Tahoma" w:cs="Tahoma" w:hint="cs"/>
          <w:b/>
          <w:bCs/>
          <w:color w:val="0D0D0D" w:themeColor="text1" w:themeTint="F2"/>
          <w:sz w:val="20"/>
          <w:szCs w:val="20"/>
          <w:rtl/>
        </w:rPr>
        <w:t>בשירותים ממשלתיים</w:t>
      </w:r>
    </w:p>
    <w:p w14:paraId="368EB462" w14:textId="03F7212C" w:rsidR="002005ED" w:rsidRDefault="002005ED" w:rsidP="007F019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3AC03EF2" wp14:editId="1B49361B">
            <wp:extent cx="4320000" cy="3625200"/>
            <wp:effectExtent l="0" t="0" r="4445" b="0"/>
            <wp:docPr id="25" name="Picture 25"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20000" cy="3625200"/>
                    </a:xfrm>
                    <a:prstGeom prst="rect">
                      <a:avLst/>
                    </a:prstGeom>
                  </pic:spPr>
                </pic:pic>
              </a:graphicData>
            </a:graphic>
          </wp:inline>
        </w:drawing>
      </w:r>
    </w:p>
    <w:p w14:paraId="66BF6451" w14:textId="6FC2C222" w:rsidR="007478B2" w:rsidRPr="007F0192" w:rsidRDefault="007478B2" w:rsidP="00E12A59">
      <w:pPr>
        <w:tabs>
          <w:tab w:val="left" w:pos="424"/>
        </w:tabs>
        <w:spacing w:after="240" w:line="260" w:lineRule="exact"/>
        <w:jc w:val="both"/>
        <w:rPr>
          <w:rFonts w:ascii="Tahoma" w:hAnsi="Tahoma" w:cs="Tahoma"/>
          <w:color w:val="0D0D0D" w:themeColor="text1" w:themeTint="F2"/>
          <w:sz w:val="16"/>
          <w:szCs w:val="16"/>
          <w:rtl/>
        </w:rPr>
      </w:pPr>
      <w:r w:rsidRPr="007F0192">
        <w:rPr>
          <w:rFonts w:ascii="Tahoma" w:hAnsi="Tahoma" w:cs="Tahoma" w:hint="cs"/>
          <w:color w:val="0D0D0D" w:themeColor="text1" w:themeTint="F2"/>
          <w:sz w:val="16"/>
          <w:szCs w:val="16"/>
          <w:rtl/>
        </w:rPr>
        <w:t>על פי הדוח המסכם של הצוות לשיפור העברת מידע בין משרדים (יולי 2016), בעיבוד משרד מבקר המדינה</w:t>
      </w:r>
    </w:p>
    <w:p w14:paraId="57786D10"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בדוח יישום תקופתי שפרסמה רשות התקשוב בפברואר 2020 בנושא ההחלטה משנת 2016 נכתב בין היתר כי העיקרון העומד בבסיס מדיניות פעם אחת הוא העברת נטל ניהול המידע והשימוש בו מכתפי האזרחים לכתפי הממשלה, לשם שיפור השירות. עוד נכתב בדוח כי גישה זו מקובלת כיום כחלק מתפיסה כוללת של שירותים ממשלתיים דיגיטליים ומיושמת במדינות שונות בעולם (ראו להלן). </w:t>
      </w:r>
    </w:p>
    <w:p w14:paraId="41FCDF65"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כמו כן נכתב באותו הדוח כי יישום רוחבי של מדיניות פעם אחת הוא זרז של ממש לקידום השגתם של יעדים ממשלתיים אסטרטגיים כגון מיצוי זכויות האזרחים, צמצום פערים חברתיים ושיפור הסביבה העסקית, וכי שיפור העברת המידע מסייע בידי הממשלה לספק שירותים דיגיטליים איכותיים ולייעל את אופן עבודתה הן בהיבטי השירות והן בהיבטי הניהול. </w:t>
      </w:r>
    </w:p>
    <w:p w14:paraId="1D1304B4" w14:textId="77777777" w:rsidR="007478B2" w:rsidRPr="007F0192" w:rsidRDefault="007478B2" w:rsidP="00347A82">
      <w:pPr>
        <w:spacing w:line="260" w:lineRule="exact"/>
        <w:jc w:val="both"/>
        <w:rPr>
          <w:rFonts w:ascii="Tahoma" w:hAnsi="Tahoma" w:cs="Tahoma"/>
          <w:sz w:val="18"/>
          <w:szCs w:val="18"/>
          <w:rtl/>
        </w:rPr>
      </w:pPr>
      <w:r w:rsidRPr="007F0192">
        <w:rPr>
          <w:rFonts w:hint="cs"/>
          <w:b/>
          <w:bCs/>
          <w:color w:val="00305F"/>
          <w:spacing w:val="20"/>
          <w:rtl/>
        </w:rPr>
        <w:lastRenderedPageBreak/>
        <w:t>מדיניות פעם אחת - סקירה בין-לאומית:</w:t>
      </w:r>
      <w:r w:rsidRPr="007F0192">
        <w:rPr>
          <w:rFonts w:ascii="Tahoma" w:hAnsi="Tahoma" w:cs="Tahoma" w:hint="cs"/>
          <w:sz w:val="18"/>
          <w:szCs w:val="18"/>
          <w:rtl/>
        </w:rPr>
        <w:t xml:space="preserve"> מדיניות פעם אחת מוגדרת באופן שונה בין מדינות בעולם, ואף מיושמת במידה שונה בכל מדינה, במסגרת יישום ממשל דיגיטלי ומתן שירותים מקוונים לציבור. למשל, יישום של המדיניות עשוי להתייחס לחובת אחסון מידע הנאסף מהציבור במאגר מידע מרכזי יחיד ולאיסור על הקמת מאגרי מידע כפולים בממשלה; או שאופן היישום עשוי להיות נרחב יותר, ולכלול חובה של גופים ציבוריים לאתר את המידע הנדרש לצורך קבלת השירות ולבקש אותו מהגוף הציבורי המחזיק אותו במקור.</w:t>
      </w:r>
    </w:p>
    <w:p w14:paraId="7DA82D27"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על פי נתוני ה-</w:t>
      </w:r>
      <w:r w:rsidRPr="007F0192">
        <w:rPr>
          <w:rFonts w:ascii="Tahoma" w:hAnsi="Tahoma" w:cs="Tahoma" w:hint="cs"/>
          <w:sz w:val="18"/>
          <w:szCs w:val="18"/>
        </w:rPr>
        <w:t>OECD</w:t>
      </w:r>
      <w:r w:rsidRPr="007F0192">
        <w:rPr>
          <w:rStyle w:val="af3"/>
          <w:rFonts w:ascii="Tahoma" w:hAnsi="Tahoma" w:cs="Tahoma"/>
          <w:sz w:val="18"/>
          <w:szCs w:val="18"/>
        </w:rPr>
        <w:footnoteReference w:id="23"/>
      </w:r>
      <w:r w:rsidRPr="007F0192">
        <w:rPr>
          <w:rFonts w:ascii="Tahoma" w:hAnsi="Tahoma" w:cs="Tahoma" w:hint="cs"/>
          <w:sz w:val="18"/>
          <w:szCs w:val="18"/>
          <w:rtl/>
        </w:rPr>
        <w:t xml:space="preserve"> המעודכנים לשנת 2019, ב-70% מהמדינות החברות בארגון קיימת דרישה פורמלית ליישום מדיניות פעם אחת בשירותים ממשלתיים, בין היתר באמצעות חקיקה, החלטות ממשלה או הנחיות וקווים מנחים שקבעה הממשלה בנושא. ראו פרטים בתרשים 4 להלן.</w:t>
      </w:r>
    </w:p>
    <w:p w14:paraId="37D9211D" w14:textId="5AD449E5" w:rsidR="007478B2"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t xml:space="preserve">תרשים 4: </w:t>
      </w:r>
      <w:r w:rsidRPr="007F0192">
        <w:rPr>
          <w:rFonts w:ascii="Tahoma" w:hAnsi="Tahoma" w:cs="Tahoma" w:hint="cs"/>
          <w:b/>
          <w:bCs/>
          <w:color w:val="0D0D0D" w:themeColor="text1" w:themeTint="F2"/>
          <w:sz w:val="18"/>
          <w:szCs w:val="18"/>
          <w:rtl/>
        </w:rPr>
        <w:t>המדינות ב-</w:t>
      </w:r>
      <w:r w:rsidRPr="007F0192">
        <w:rPr>
          <w:rFonts w:ascii="Tahoma" w:hAnsi="Tahoma" w:cs="Tahoma" w:hint="cs"/>
          <w:b/>
          <w:bCs/>
          <w:color w:val="0D0D0D" w:themeColor="text1" w:themeTint="F2"/>
          <w:sz w:val="18"/>
          <w:szCs w:val="18"/>
        </w:rPr>
        <w:t>OECD</w:t>
      </w:r>
      <w:r w:rsidR="00E12A59" w:rsidRPr="007F0192">
        <w:rPr>
          <w:rFonts w:ascii="Tahoma" w:hAnsi="Tahoma" w:cs="Tahoma" w:hint="cs"/>
          <w:b/>
          <w:bCs/>
          <w:color w:val="0D0D0D" w:themeColor="text1" w:themeTint="F2"/>
          <w:sz w:val="18"/>
          <w:szCs w:val="18"/>
          <w:rtl/>
        </w:rPr>
        <w:t xml:space="preserve"> </w:t>
      </w:r>
      <w:r w:rsidRPr="007F0192">
        <w:rPr>
          <w:rFonts w:ascii="Tahoma" w:hAnsi="Tahoma" w:cs="Tahoma" w:hint="cs"/>
          <w:b/>
          <w:bCs/>
          <w:color w:val="0D0D0D" w:themeColor="text1" w:themeTint="F2"/>
          <w:sz w:val="18"/>
          <w:szCs w:val="18"/>
          <w:rtl/>
        </w:rPr>
        <w:t xml:space="preserve">שבהן קיימת דרישה פורמלית* ליישום מדיניות פעם אחת בשירותים ממשלתיים </w:t>
      </w:r>
    </w:p>
    <w:p w14:paraId="6BFB9DEE" w14:textId="61B2C782" w:rsidR="007F0192" w:rsidRPr="007F0192" w:rsidRDefault="007F0192" w:rsidP="007F019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229CB32D" wp14:editId="1B2D6DAD">
            <wp:extent cx="4322064" cy="4309872"/>
            <wp:effectExtent l="0" t="0" r="2540" b="0"/>
            <wp:docPr id="53" name="Picture 53"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pie ch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22064" cy="4309872"/>
                    </a:xfrm>
                    <a:prstGeom prst="rect">
                      <a:avLst/>
                    </a:prstGeom>
                  </pic:spPr>
                </pic:pic>
              </a:graphicData>
            </a:graphic>
          </wp:inline>
        </w:drawing>
      </w:r>
    </w:p>
    <w:p w14:paraId="400670EE" w14:textId="0337B9BD" w:rsidR="007478B2" w:rsidRPr="007F0192" w:rsidRDefault="007478B2" w:rsidP="007F0192">
      <w:pPr>
        <w:tabs>
          <w:tab w:val="left" w:pos="424"/>
        </w:tabs>
        <w:spacing w:after="0" w:line="260" w:lineRule="exact"/>
        <w:jc w:val="both"/>
        <w:rPr>
          <w:rFonts w:ascii="Tahoma" w:hAnsi="Tahoma" w:cs="Tahoma"/>
          <w:color w:val="0D0D0D" w:themeColor="text1" w:themeTint="F2"/>
          <w:sz w:val="16"/>
          <w:szCs w:val="16"/>
          <w:rtl/>
        </w:rPr>
      </w:pPr>
      <w:r w:rsidRPr="007F0192">
        <w:rPr>
          <w:rFonts w:ascii="Tahoma" w:hAnsi="Tahoma" w:cs="Tahoma" w:hint="cs"/>
          <w:color w:val="0D0D0D" w:themeColor="text1" w:themeTint="F2"/>
          <w:sz w:val="16"/>
          <w:szCs w:val="16"/>
          <w:rtl/>
        </w:rPr>
        <w:t xml:space="preserve">* </w:t>
      </w:r>
      <w:r w:rsidR="007F0192">
        <w:rPr>
          <w:rFonts w:ascii="Tahoma" w:hAnsi="Tahoma" w:cs="Tahoma"/>
          <w:color w:val="0D0D0D" w:themeColor="text1" w:themeTint="F2"/>
          <w:sz w:val="16"/>
          <w:szCs w:val="16"/>
          <w:rtl/>
        </w:rPr>
        <w:tab/>
      </w:r>
      <w:r w:rsidRPr="007F0192">
        <w:rPr>
          <w:rFonts w:ascii="Tahoma" w:hAnsi="Tahoma" w:cs="Tahoma" w:hint="cs"/>
          <w:color w:val="0D0D0D" w:themeColor="text1" w:themeTint="F2"/>
          <w:sz w:val="16"/>
          <w:szCs w:val="16"/>
          <w:rtl/>
        </w:rPr>
        <w:t xml:space="preserve">כגון חקיקה, החלטות ממשלה או הנחיות וקווים מנחים שקבעה הממשלה. </w:t>
      </w:r>
    </w:p>
    <w:p w14:paraId="5227423C" w14:textId="77777777" w:rsidR="007478B2" w:rsidRPr="007F0192" w:rsidRDefault="007478B2" w:rsidP="00E12A59">
      <w:pPr>
        <w:tabs>
          <w:tab w:val="left" w:pos="424"/>
        </w:tabs>
        <w:spacing w:after="240" w:line="260" w:lineRule="exact"/>
        <w:jc w:val="both"/>
        <w:rPr>
          <w:rFonts w:ascii="Tahoma" w:hAnsi="Tahoma" w:cs="Tahoma"/>
          <w:color w:val="0D0D0D" w:themeColor="text1" w:themeTint="F2"/>
          <w:sz w:val="16"/>
          <w:szCs w:val="16"/>
          <w:rtl/>
        </w:rPr>
      </w:pPr>
      <w:r w:rsidRPr="007F0192">
        <w:rPr>
          <w:rFonts w:ascii="Tahoma" w:hAnsi="Tahoma" w:cs="Tahoma" w:hint="cs"/>
          <w:color w:val="0D0D0D" w:themeColor="text1" w:themeTint="F2"/>
          <w:sz w:val="16"/>
          <w:szCs w:val="16"/>
          <w:rtl/>
        </w:rPr>
        <w:lastRenderedPageBreak/>
        <w:t>המקור: תוצאות סקר מדד ממשל דיגיטלי ב-</w:t>
      </w:r>
      <w:r w:rsidRPr="007F0192">
        <w:rPr>
          <w:rFonts w:ascii="Tahoma" w:hAnsi="Tahoma" w:cs="Tahoma" w:hint="cs"/>
          <w:color w:val="0D0D0D" w:themeColor="text1" w:themeTint="F2"/>
          <w:sz w:val="16"/>
          <w:szCs w:val="16"/>
        </w:rPr>
        <w:t>OECD</w:t>
      </w:r>
      <w:r w:rsidRPr="007F0192">
        <w:rPr>
          <w:rFonts w:ascii="Tahoma" w:hAnsi="Tahoma" w:cs="Tahoma" w:hint="cs"/>
          <w:color w:val="0D0D0D" w:themeColor="text1" w:themeTint="F2"/>
          <w:sz w:val="16"/>
          <w:szCs w:val="16"/>
          <w:rtl/>
        </w:rPr>
        <w:t xml:space="preserve"> (2019).</w:t>
      </w:r>
    </w:p>
    <w:p w14:paraId="4724E797"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כך למשל, אסטוניה יישמה מדיניות פעם אחת באופן מתקדם, לרבות באמצעות חקיקה בנושא: משנת 2007 נאסר על הרשויות במדינה להקים מאגרי מידע נפרדים ולאסוף מידע כפול מאזרחים</w:t>
      </w:r>
      <w:r w:rsidRPr="007F0192">
        <w:rPr>
          <w:rStyle w:val="af3"/>
          <w:rFonts w:ascii="Tahoma" w:hAnsi="Tahoma" w:cs="Tahoma"/>
          <w:sz w:val="18"/>
          <w:szCs w:val="18"/>
          <w:rtl/>
        </w:rPr>
        <w:footnoteReference w:id="24"/>
      </w:r>
      <w:r w:rsidRPr="007F0192">
        <w:rPr>
          <w:rFonts w:ascii="Tahoma" w:hAnsi="Tahoma" w:cs="Tahoma" w:hint="cs"/>
          <w:sz w:val="18"/>
          <w:szCs w:val="18"/>
          <w:rtl/>
        </w:rPr>
        <w:t>; ומשנת 2008 הרשויות במדינה אינן מורשות לדרוש מעסקים לספק מידע שכבר נמצא במאגרי מידע ציבוריים</w:t>
      </w:r>
      <w:r w:rsidRPr="007F0192">
        <w:rPr>
          <w:rStyle w:val="af3"/>
          <w:rFonts w:ascii="Tahoma" w:hAnsi="Tahoma" w:cs="Tahoma"/>
          <w:sz w:val="18"/>
          <w:szCs w:val="18"/>
          <w:rtl/>
        </w:rPr>
        <w:footnoteReference w:id="25"/>
      </w:r>
      <w:r w:rsidRPr="007F0192">
        <w:rPr>
          <w:rFonts w:ascii="Tahoma" w:hAnsi="Tahoma" w:cs="Tahoma" w:hint="cs"/>
          <w:sz w:val="18"/>
          <w:szCs w:val="18"/>
          <w:rtl/>
        </w:rPr>
        <w:t xml:space="preserve">. </w:t>
      </w:r>
    </w:p>
    <w:p w14:paraId="6DD565FE"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באיחוד האירופי, מדיניות פעם אחת היא אחד העקרונות העומדים בבסיס תוכנית רב-שנתית לשנים 2016 - 2020 להאצת תהליכים דיגיטליים בממשלה</w:t>
      </w:r>
      <w:r w:rsidRPr="007F0192">
        <w:rPr>
          <w:rStyle w:val="af3"/>
          <w:rFonts w:ascii="Tahoma" w:hAnsi="Tahoma" w:cs="Tahoma"/>
          <w:sz w:val="18"/>
          <w:szCs w:val="18"/>
          <w:rtl/>
        </w:rPr>
        <w:footnoteReference w:id="26"/>
      </w:r>
      <w:r w:rsidRPr="007F0192">
        <w:rPr>
          <w:rFonts w:ascii="Tahoma" w:hAnsi="Tahoma" w:cs="Tahoma" w:hint="cs"/>
          <w:sz w:val="18"/>
          <w:szCs w:val="18"/>
          <w:rtl/>
        </w:rPr>
        <w:t>, שנועדה להפחית את הנטל הביורוקרטי המוטל על אזרחים ועל עסקים. כמו כן, באיחוד האירופי בוחנים כיום יישום רוחבי של מדיניות פעם אחת להעברת מידע בין מדינות ("יישום חוצה גבולות") עבור שירותים ספציפיים (למשל לשם העברת מידע ונתונים על חברות עסקיות בין מדינות באירופה</w:t>
      </w:r>
      <w:r w:rsidRPr="007F0192">
        <w:rPr>
          <w:rStyle w:val="af3"/>
          <w:rFonts w:ascii="Tahoma" w:hAnsi="Tahoma" w:cs="Tahoma"/>
          <w:sz w:val="18"/>
          <w:szCs w:val="18"/>
          <w:rtl/>
        </w:rPr>
        <w:footnoteReference w:id="27"/>
      </w:r>
      <w:r w:rsidRPr="007F0192">
        <w:rPr>
          <w:rFonts w:ascii="Tahoma" w:hAnsi="Tahoma" w:cs="Tahoma" w:hint="cs"/>
          <w:sz w:val="18"/>
          <w:szCs w:val="18"/>
          <w:rtl/>
        </w:rPr>
        <w:t xml:space="preserve">). </w:t>
      </w:r>
    </w:p>
    <w:p w14:paraId="2EB6AED2"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יישום רוחבי כאמור עשוי להבטיח הזדמנות שווה לאזרחים ולעסקים בתוך כל מדינה ומחוצה לה בקבלת שירות ציבורי. עם זאת, הדבר כרוך בהתמודדות עם קשיים טכניים (שונות בין מדינות בתחום התשתית ואבטחת המידע), קשיים משפטיים (שונות בחוקי הגנה על מידע ועל פרטיות) וכן קשיים ארגוניים. </w:t>
      </w:r>
    </w:p>
    <w:p w14:paraId="315D7758" w14:textId="77777777" w:rsidR="007478B2" w:rsidRPr="007F0192" w:rsidRDefault="007478B2" w:rsidP="00347A82">
      <w:pPr>
        <w:spacing w:line="260" w:lineRule="exact"/>
        <w:jc w:val="both"/>
        <w:rPr>
          <w:rFonts w:ascii="Tahoma" w:hAnsi="Tahoma" w:cs="Tahoma"/>
          <w:sz w:val="18"/>
          <w:szCs w:val="18"/>
          <w:highlight w:val="yellow"/>
          <w:rtl/>
        </w:rPr>
      </w:pPr>
      <w:r w:rsidRPr="007F0192">
        <w:rPr>
          <w:rFonts w:hint="cs"/>
          <w:b/>
          <w:bCs/>
          <w:color w:val="00305F"/>
          <w:spacing w:val="20"/>
          <w:rtl/>
        </w:rPr>
        <w:t>החלטת הממשלה משנת 2016:</w:t>
      </w:r>
      <w:r w:rsidRPr="007F0192">
        <w:rPr>
          <w:rFonts w:ascii="Tahoma" w:hAnsi="Tahoma" w:cs="Tahoma" w:hint="cs"/>
          <w:sz w:val="18"/>
          <w:szCs w:val="18"/>
          <w:rtl/>
        </w:rPr>
        <w:t xml:space="preserve"> באוגוסט 2016 קיבלה כאמור הממשלה את החלטה 1933 לאמץ מדיניות פעם אחת. בהחלטה הוטל על משרדי הממשלה ויחידות הסמך (להלן - המשרדים) להעביר ביניהם "מידע" - אישור או נתונים הקיימים במאגר ממשלתי</w:t>
      </w:r>
      <w:r w:rsidRPr="007F0192">
        <w:rPr>
          <w:rStyle w:val="af3"/>
          <w:rFonts w:ascii="Tahoma" w:hAnsi="Tahoma" w:cs="Tahoma"/>
          <w:sz w:val="18"/>
          <w:szCs w:val="18"/>
          <w:rtl/>
        </w:rPr>
        <w:footnoteReference w:id="28"/>
      </w:r>
      <w:r w:rsidRPr="007F0192">
        <w:rPr>
          <w:rFonts w:ascii="Tahoma" w:hAnsi="Tahoma" w:cs="Tahoma" w:hint="cs"/>
          <w:sz w:val="18"/>
          <w:szCs w:val="18"/>
          <w:rtl/>
        </w:rPr>
        <w:t xml:space="preserve">, הנדרשים לצורך שיפור השירות הממשלתי לציבור והפחתת הנטל הבירוקרטי המוטל עליו. בהחלטה נכתב כי שיתוף המידע יתבצע תוך איזון בין החובה לשתף את המידע לצורך מתן שירות מיטבי לאזרח, לבין החובה לשמור על הפרטיות בהתאם לחוק הגנת הפרטיות, בין היתר בשים לב לרגישות המידע, להיקפו ולתועלת לציבור. </w:t>
      </w:r>
    </w:p>
    <w:p w14:paraId="69B848A0"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לוחות הזמנים ליישום מדיניות פעם אחת שנקבעו בהחלטה משנת 2016 היו כדלקמן: החל משנת 2021 משרד ממשלתי לא יבקש מהציבור, לשם מתן שירות, </w:t>
      </w:r>
      <w:r w:rsidRPr="007F0192">
        <w:rPr>
          <w:rFonts w:ascii="Tahoma" w:hAnsi="Tahoma" w:cs="Tahoma" w:hint="cs"/>
          <w:b/>
          <w:bCs/>
          <w:sz w:val="18"/>
          <w:szCs w:val="18"/>
          <w:rtl/>
        </w:rPr>
        <w:t>אישור</w:t>
      </w:r>
      <w:r w:rsidRPr="007F0192">
        <w:rPr>
          <w:rFonts w:ascii="Tahoma" w:hAnsi="Tahoma" w:cs="Tahoma" w:hint="cs"/>
          <w:sz w:val="18"/>
          <w:szCs w:val="18"/>
          <w:rtl/>
        </w:rPr>
        <w:t xml:space="preserve"> שהנפיק משרד ממשלתי אחר, והחל משנת 2022 יחול האמור גם לגבי אישורים על תאגידים. כמו כן, החל משנת 2022 משרד ממשלתי לא יבקש מהציבור, לשם מתן שירות, </w:t>
      </w:r>
      <w:r w:rsidRPr="007F0192">
        <w:rPr>
          <w:rFonts w:ascii="Tahoma" w:hAnsi="Tahoma" w:cs="Tahoma" w:hint="cs"/>
          <w:b/>
          <w:bCs/>
          <w:sz w:val="18"/>
          <w:szCs w:val="18"/>
          <w:rtl/>
        </w:rPr>
        <w:t>מידע</w:t>
      </w:r>
      <w:r w:rsidRPr="007F0192">
        <w:rPr>
          <w:rFonts w:ascii="Tahoma" w:hAnsi="Tahoma" w:cs="Tahoma" w:hint="cs"/>
          <w:sz w:val="18"/>
          <w:szCs w:val="18"/>
          <w:rtl/>
        </w:rPr>
        <w:t xml:space="preserve"> שקיים בידי משרד ממשלתי אחר, והחל משנת 2023 יחול האמור גם לגבי מידע על תאגידים. פרטים ראו בתרשים 5 להלן: </w:t>
      </w:r>
    </w:p>
    <w:p w14:paraId="5DC72446" w14:textId="77777777" w:rsidR="007478B2"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lastRenderedPageBreak/>
        <w:t xml:space="preserve">תרשים 5: </w:t>
      </w:r>
      <w:r w:rsidRPr="007F0192">
        <w:rPr>
          <w:rFonts w:ascii="Tahoma" w:hAnsi="Tahoma" w:cs="Tahoma" w:hint="cs"/>
          <w:b/>
          <w:bCs/>
          <w:color w:val="0D0D0D" w:themeColor="text1" w:themeTint="F2"/>
          <w:sz w:val="18"/>
          <w:szCs w:val="18"/>
          <w:rtl/>
        </w:rPr>
        <w:t>לוחות הזמנים ליישום "מדיניות פעם אחת" כפי שנקבעו בהחלטה משנת 2016</w:t>
      </w:r>
    </w:p>
    <w:p w14:paraId="5E62061F" w14:textId="7E3A1E23" w:rsidR="007F0192" w:rsidRPr="007F0192" w:rsidRDefault="007F0192" w:rsidP="007F0192">
      <w:pPr>
        <w:spacing w:line="240" w:lineRule="atLeast"/>
        <w:jc w:val="center"/>
        <w:rPr>
          <w:rFonts w:ascii="Tahoma" w:hAnsi="Tahoma" w:cs="Tahoma"/>
          <w:b/>
          <w:bCs/>
          <w:sz w:val="18"/>
          <w:szCs w:val="18"/>
        </w:rPr>
      </w:pPr>
      <w:r>
        <w:rPr>
          <w:rFonts w:ascii="Tahoma" w:hAnsi="Tahoma" w:cs="Tahoma"/>
          <w:b/>
          <w:bCs/>
          <w:noProof/>
          <w:sz w:val="18"/>
          <w:szCs w:val="18"/>
        </w:rPr>
        <w:drawing>
          <wp:inline distT="0" distB="0" distL="0" distR="0" wp14:anchorId="16A3272B" wp14:editId="7EBF755C">
            <wp:extent cx="4680000" cy="1393200"/>
            <wp:effectExtent l="0" t="0" r="6350" b="0"/>
            <wp:docPr id="54" name="Picture 54"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sig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80000" cy="1393200"/>
                    </a:xfrm>
                    <a:prstGeom prst="rect">
                      <a:avLst/>
                    </a:prstGeom>
                  </pic:spPr>
                </pic:pic>
              </a:graphicData>
            </a:graphic>
          </wp:inline>
        </w:drawing>
      </w:r>
    </w:p>
    <w:p w14:paraId="4EDEAC83" w14:textId="77777777" w:rsidR="007478B2" w:rsidRPr="007F0192" w:rsidRDefault="007478B2" w:rsidP="00E12A59">
      <w:pPr>
        <w:tabs>
          <w:tab w:val="left" w:pos="424"/>
        </w:tabs>
        <w:spacing w:after="240" w:line="260" w:lineRule="exact"/>
        <w:jc w:val="both"/>
        <w:rPr>
          <w:rFonts w:ascii="Tahoma" w:hAnsi="Tahoma" w:cs="Tahoma"/>
          <w:color w:val="0D0D0D" w:themeColor="text1" w:themeTint="F2"/>
          <w:sz w:val="16"/>
          <w:szCs w:val="16"/>
        </w:rPr>
      </w:pPr>
      <w:r w:rsidRPr="007F0192">
        <w:rPr>
          <w:rFonts w:ascii="Tahoma" w:hAnsi="Tahoma" w:cs="Tahoma" w:hint="cs"/>
          <w:color w:val="0D0D0D" w:themeColor="text1" w:themeTint="F2"/>
          <w:sz w:val="16"/>
          <w:szCs w:val="16"/>
          <w:rtl/>
        </w:rPr>
        <w:t xml:space="preserve">על פי החלטת הממשלה משנת 2016, בעיבוד משרד מבקר המדינה </w:t>
      </w:r>
    </w:p>
    <w:p w14:paraId="4F8D0105"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בטיוטת מדריך למשרדי הממשלה שהכינה רשות התקשוב בנושא העברת מידע (להלן - המדריך להעברת מידע), נמסרו פרטים והסברים על השלבים בתהליך העברת מידע בממשלה לצורך יישום מדיניות פעם אחת בשירותים ממשלתיים. ראו בתרשים 6 להלן. יצוין כי במועד סיום הביקורת טרם הושלמה הכנת המדריך והפצתו למשרדים. </w:t>
      </w:r>
    </w:p>
    <w:p w14:paraId="6F6CF814" w14:textId="77777777" w:rsidR="007478B2"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t xml:space="preserve">תרשים 6: </w:t>
      </w:r>
      <w:r w:rsidRPr="007F0192">
        <w:rPr>
          <w:rFonts w:ascii="Tahoma" w:hAnsi="Tahoma" w:cs="Tahoma" w:hint="cs"/>
          <w:b/>
          <w:bCs/>
          <w:color w:val="0D0D0D" w:themeColor="text1" w:themeTint="F2"/>
          <w:sz w:val="18"/>
          <w:szCs w:val="18"/>
          <w:rtl/>
        </w:rPr>
        <w:t xml:space="preserve">השלבים בתהליך יישום "מדיניות פעם אחת" </w:t>
      </w:r>
    </w:p>
    <w:p w14:paraId="544434B8" w14:textId="4C333430" w:rsidR="007F0192" w:rsidRPr="007F0192" w:rsidRDefault="007F0192" w:rsidP="007F0192">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63660441" wp14:editId="69EBC687">
            <wp:extent cx="4680000" cy="1173600"/>
            <wp:effectExtent l="0" t="0" r="6350" b="7620"/>
            <wp:docPr id="55" name="Picture 55"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 sig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80000" cy="1173600"/>
                    </a:xfrm>
                    <a:prstGeom prst="rect">
                      <a:avLst/>
                    </a:prstGeom>
                  </pic:spPr>
                </pic:pic>
              </a:graphicData>
            </a:graphic>
          </wp:inline>
        </w:drawing>
      </w:r>
    </w:p>
    <w:p w14:paraId="430E1AC7" w14:textId="77777777" w:rsidR="007478B2" w:rsidRPr="007F0192" w:rsidRDefault="007478B2" w:rsidP="007F0192">
      <w:pPr>
        <w:tabs>
          <w:tab w:val="left" w:pos="424"/>
        </w:tabs>
        <w:spacing w:before="120" w:after="0" w:line="260" w:lineRule="exact"/>
        <w:jc w:val="both"/>
        <w:rPr>
          <w:rFonts w:ascii="Tahoma" w:hAnsi="Tahoma" w:cs="Tahoma"/>
          <w:color w:val="0D0D0D" w:themeColor="text1" w:themeTint="F2"/>
          <w:sz w:val="16"/>
          <w:szCs w:val="16"/>
          <w:rtl/>
        </w:rPr>
      </w:pPr>
      <w:r w:rsidRPr="007F0192">
        <w:rPr>
          <w:rFonts w:ascii="Tahoma" w:hAnsi="Tahoma" w:cs="Tahoma" w:hint="cs"/>
          <w:color w:val="0D0D0D" w:themeColor="text1" w:themeTint="F2"/>
          <w:sz w:val="16"/>
          <w:szCs w:val="16"/>
          <w:rtl/>
        </w:rPr>
        <w:t>על פי נתוני רשות התקשוב הממשלתי, בעיבוד משרד מבקר המדינה</w:t>
      </w:r>
    </w:p>
    <w:p w14:paraId="0F26209C" w14:textId="77777777" w:rsidR="007478B2" w:rsidRPr="007F0192" w:rsidRDefault="007478B2" w:rsidP="00E12A59">
      <w:pPr>
        <w:tabs>
          <w:tab w:val="left" w:pos="424"/>
        </w:tabs>
        <w:spacing w:after="240" w:line="260" w:lineRule="exact"/>
        <w:jc w:val="both"/>
        <w:rPr>
          <w:rFonts w:ascii="Tahoma" w:hAnsi="Tahoma" w:cs="Tahoma"/>
          <w:color w:val="0D0D0D" w:themeColor="text1" w:themeTint="F2"/>
          <w:sz w:val="16"/>
          <w:szCs w:val="16"/>
          <w:rtl/>
        </w:rPr>
      </w:pPr>
      <w:r w:rsidRPr="007F0192">
        <w:rPr>
          <w:rFonts w:ascii="Tahoma" w:hAnsi="Tahoma" w:cs="Tahoma" w:hint="cs"/>
          <w:color w:val="0D0D0D" w:themeColor="text1" w:themeTint="F2"/>
          <w:sz w:val="16"/>
          <w:szCs w:val="16"/>
          <w:rtl/>
        </w:rPr>
        <w:t>*</w:t>
      </w:r>
      <w:r w:rsidRPr="007F0192">
        <w:rPr>
          <w:rFonts w:ascii="Tahoma" w:hAnsi="Tahoma" w:cs="Tahoma"/>
          <w:color w:val="0D0D0D" w:themeColor="text1" w:themeTint="F2"/>
          <w:sz w:val="16"/>
          <w:szCs w:val="16"/>
          <w:rtl/>
        </w:rPr>
        <w:t xml:space="preserve"> </w:t>
      </w:r>
      <w:r w:rsidRPr="007F0192">
        <w:rPr>
          <w:rFonts w:ascii="Tahoma" w:hAnsi="Tahoma" w:cs="Tahoma" w:hint="cs"/>
          <w:color w:val="0D0D0D" w:themeColor="text1" w:themeTint="F2"/>
          <w:sz w:val="16"/>
          <w:szCs w:val="16"/>
          <w:rtl/>
        </w:rPr>
        <w:t>רשות התקשוב מסרה בתשובתה כי שלב זה אינו מחויב כאשר השירות מיושם בתשתיות ממשל זמין.</w:t>
      </w:r>
    </w:p>
    <w:p w14:paraId="44BDABC1" w14:textId="77777777" w:rsidR="007478B2" w:rsidRPr="00464BF9" w:rsidRDefault="007478B2" w:rsidP="005A677F">
      <w:pPr>
        <w:pStyle w:val="a"/>
        <w:numPr>
          <w:ilvl w:val="0"/>
          <w:numId w:val="9"/>
        </w:numPr>
        <w:autoSpaceDE/>
        <w:autoSpaceDN/>
        <w:adjustRightInd/>
        <w:spacing w:line="260" w:lineRule="exact"/>
        <w:ind w:left="397" w:hanging="397"/>
        <w:rPr>
          <w:sz w:val="18"/>
          <w:szCs w:val="18"/>
          <w:rtl/>
        </w:rPr>
      </w:pPr>
      <w:r w:rsidRPr="00464BF9">
        <w:rPr>
          <w:rStyle w:val="KOT7N"/>
          <w:rFonts w:hint="cs"/>
          <w:rtl/>
        </w:rPr>
        <w:t>תיעדוף וניתוח של השירותים ו</w:t>
      </w:r>
      <w:r w:rsidRPr="00464BF9">
        <w:rPr>
          <w:rStyle w:val="KOT7N"/>
          <w:rtl/>
        </w:rPr>
        <w:t xml:space="preserve">בחירת השירות </w:t>
      </w:r>
      <w:r w:rsidRPr="006E056F">
        <w:rPr>
          <w:rStyle w:val="KOT7N"/>
          <w:rFonts w:hint="eastAsia"/>
          <w:rtl/>
        </w:rPr>
        <w:t>בו</w:t>
      </w:r>
      <w:r w:rsidRPr="00464BF9">
        <w:rPr>
          <w:rStyle w:val="KOT7N"/>
          <w:i/>
          <w:iCs/>
          <w:rtl/>
        </w:rPr>
        <w:t xml:space="preserve"> </w:t>
      </w:r>
      <w:r w:rsidRPr="006E056F">
        <w:rPr>
          <w:rStyle w:val="KOT7N"/>
          <w:rFonts w:hint="eastAsia"/>
          <w:rtl/>
        </w:rPr>
        <w:t>רוצים</w:t>
      </w:r>
      <w:r w:rsidRPr="00464BF9">
        <w:rPr>
          <w:rStyle w:val="KOT7N"/>
          <w:i/>
          <w:iCs/>
          <w:rtl/>
        </w:rPr>
        <w:t xml:space="preserve"> </w:t>
      </w:r>
      <w:r w:rsidRPr="00464BF9">
        <w:rPr>
          <w:rStyle w:val="KOT7N"/>
          <w:rtl/>
        </w:rPr>
        <w:t>ליישם מדיניות פעם אחת:</w:t>
      </w:r>
      <w:r w:rsidRPr="00464BF9">
        <w:rPr>
          <w:sz w:val="18"/>
          <w:szCs w:val="18"/>
          <w:rtl/>
        </w:rPr>
        <w:t xml:space="preserve"> על מנת להבטיח שהעברת המידע תאפשר "חיסכון בירוקרטי" משמעותי, יש לתעדף את השירותים בהם מחליטים ליישם מדיניות פעם אחת, בשים לב לסוג המידע הנדרש, להיקפו ולהיקף צריכת השירות. כמו כן, יש לתת עדיפות לשירותים הכוללים אישורים שמנפיקים משרדים ממשלתיים, אשר להם מקור יחיד, אמין ומוסמך (ראו להלן בפרק בנושא "מיפוי השירותים הממשלתיים").</w:t>
      </w:r>
    </w:p>
    <w:p w14:paraId="3B72F5F6" w14:textId="76387D4C" w:rsidR="007478B2" w:rsidRPr="00464BF9" w:rsidRDefault="007478B2" w:rsidP="005A677F">
      <w:pPr>
        <w:pStyle w:val="a"/>
        <w:numPr>
          <w:ilvl w:val="0"/>
          <w:numId w:val="9"/>
        </w:numPr>
        <w:autoSpaceDE/>
        <w:autoSpaceDN/>
        <w:adjustRightInd/>
        <w:spacing w:line="260" w:lineRule="exact"/>
        <w:ind w:left="397" w:hanging="397"/>
        <w:rPr>
          <w:sz w:val="18"/>
          <w:szCs w:val="18"/>
          <w:rtl/>
        </w:rPr>
      </w:pPr>
      <w:r w:rsidRPr="00464BF9">
        <w:rPr>
          <w:rStyle w:val="KOT7N"/>
          <w:rFonts w:hint="eastAsia"/>
          <w:rtl/>
        </w:rPr>
        <w:t>הגשת</w:t>
      </w:r>
      <w:r w:rsidRPr="00464BF9">
        <w:rPr>
          <w:rStyle w:val="KOT7N"/>
          <w:rtl/>
        </w:rPr>
        <w:t xml:space="preserve"> </w:t>
      </w:r>
      <w:r w:rsidRPr="00464BF9">
        <w:rPr>
          <w:rStyle w:val="KOT7N"/>
          <w:rFonts w:hint="eastAsia"/>
          <w:rtl/>
        </w:rPr>
        <w:t>בקשה</w:t>
      </w:r>
      <w:r w:rsidRPr="00464BF9">
        <w:rPr>
          <w:rStyle w:val="KOT7N"/>
          <w:rtl/>
        </w:rPr>
        <w:t xml:space="preserve"> </w:t>
      </w:r>
      <w:r w:rsidRPr="00464BF9">
        <w:rPr>
          <w:rStyle w:val="KOT7N"/>
          <w:rFonts w:hint="eastAsia"/>
          <w:rtl/>
        </w:rPr>
        <w:t>מקוונת</w:t>
      </w:r>
      <w:r w:rsidRPr="00464BF9">
        <w:rPr>
          <w:rStyle w:val="KOT7N"/>
          <w:rtl/>
        </w:rPr>
        <w:t xml:space="preserve"> </w:t>
      </w:r>
      <w:r w:rsidRPr="00464BF9">
        <w:rPr>
          <w:rStyle w:val="KOT7N"/>
          <w:rFonts w:hint="eastAsia"/>
          <w:rtl/>
        </w:rPr>
        <w:t>להעברת</w:t>
      </w:r>
      <w:r w:rsidRPr="00464BF9">
        <w:rPr>
          <w:rStyle w:val="KOT7N"/>
          <w:rtl/>
        </w:rPr>
        <w:t xml:space="preserve"> </w:t>
      </w:r>
      <w:r w:rsidRPr="00464BF9">
        <w:rPr>
          <w:rStyle w:val="KOT7N"/>
          <w:rFonts w:hint="eastAsia"/>
          <w:rtl/>
        </w:rPr>
        <w:t>מידע</w:t>
      </w:r>
      <w:r w:rsidRPr="00464BF9">
        <w:rPr>
          <w:rStyle w:val="KOT7N"/>
          <w:rtl/>
        </w:rPr>
        <w:t>:</w:t>
      </w:r>
      <w:r w:rsidRPr="00464BF9">
        <w:rPr>
          <w:rStyle w:val="KOT7N"/>
          <w:rFonts w:hint="cs"/>
          <w:rtl/>
        </w:rPr>
        <w:t xml:space="preserve"> </w:t>
      </w:r>
      <w:r w:rsidRPr="00464BF9">
        <w:rPr>
          <w:sz w:val="18"/>
          <w:szCs w:val="18"/>
          <w:rtl/>
        </w:rPr>
        <w:t>על המשרד "מבקש המידע" להגיש לוועדה המשרדית בקשה להעברת מידע</w:t>
      </w:r>
      <w:r w:rsidRPr="00464BF9">
        <w:rPr>
          <w:rStyle w:val="af3"/>
          <w:sz w:val="18"/>
          <w:szCs w:val="18"/>
          <w:rtl/>
        </w:rPr>
        <w:footnoteReference w:id="29"/>
      </w:r>
      <w:r w:rsidRPr="00464BF9">
        <w:rPr>
          <w:sz w:val="18"/>
          <w:szCs w:val="18"/>
          <w:rtl/>
        </w:rPr>
        <w:t xml:space="preserve">. זאת לצורך קבלת אישור להעברת המידע </w:t>
      </w:r>
      <w:r w:rsidRPr="00464BF9">
        <w:rPr>
          <w:sz w:val="18"/>
          <w:szCs w:val="18"/>
          <w:rtl/>
        </w:rPr>
        <w:lastRenderedPageBreak/>
        <w:t xml:space="preserve">הנדרש עבור השירות מהמשרד "מחזיק המידע" (ראו להלן בפרק בנושא "מערכת מוע"ד לניהול עבודת הוועדות להעברת מידע"). </w:t>
      </w:r>
    </w:p>
    <w:p w14:paraId="4452B8F5" w14:textId="77777777" w:rsidR="007478B2" w:rsidRPr="00AE4C65" w:rsidRDefault="007478B2" w:rsidP="00347A82">
      <w:pPr>
        <w:spacing w:line="260" w:lineRule="exact"/>
        <w:ind w:left="397"/>
        <w:jc w:val="both"/>
        <w:rPr>
          <w:rFonts w:ascii="Tahoma" w:hAnsi="Tahoma" w:cs="Tahoma"/>
          <w:sz w:val="18"/>
          <w:szCs w:val="18"/>
          <w:rtl/>
        </w:rPr>
      </w:pPr>
      <w:r w:rsidRPr="00AE4C65">
        <w:rPr>
          <w:rFonts w:ascii="Tahoma" w:hAnsi="Tahoma" w:cs="Tahoma"/>
          <w:sz w:val="18"/>
          <w:szCs w:val="18"/>
          <w:rtl/>
        </w:rPr>
        <w:t>רשות התקשוב ציינה בתשובתה למשרד מבקר המדינה מפברואר 2021 כי שלב זה אינו מחויב כאשר השירות מיושם בתשתיות ממשל זמין (ראו להלן בפרק בנושא "יישום מדיניות פעם אחת בשירותים דיגיטליים באמצעות תשתית הטפסים הממשלתית").</w:t>
      </w:r>
    </w:p>
    <w:p w14:paraId="348E59A2" w14:textId="77777777" w:rsidR="007478B2" w:rsidRPr="00464BF9" w:rsidRDefault="007478B2" w:rsidP="005A677F">
      <w:pPr>
        <w:pStyle w:val="a"/>
        <w:numPr>
          <w:ilvl w:val="0"/>
          <w:numId w:val="9"/>
        </w:numPr>
        <w:autoSpaceDE/>
        <w:autoSpaceDN/>
        <w:adjustRightInd/>
        <w:spacing w:line="260" w:lineRule="exact"/>
        <w:ind w:left="397" w:hanging="397"/>
        <w:rPr>
          <w:sz w:val="18"/>
          <w:szCs w:val="18"/>
          <w:rtl/>
        </w:rPr>
      </w:pPr>
      <w:r w:rsidRPr="00464BF9">
        <w:rPr>
          <w:rStyle w:val="KOT7N"/>
          <w:rFonts w:hint="eastAsia"/>
          <w:rtl/>
        </w:rPr>
        <w:t>יצירת</w:t>
      </w:r>
      <w:r w:rsidRPr="00464BF9">
        <w:rPr>
          <w:rStyle w:val="KOT7N"/>
          <w:rtl/>
        </w:rPr>
        <w:t xml:space="preserve"> </w:t>
      </w:r>
      <w:r w:rsidRPr="00464BF9">
        <w:rPr>
          <w:rStyle w:val="KOT7N"/>
          <w:rFonts w:hint="eastAsia"/>
          <w:rtl/>
        </w:rPr>
        <w:t>ממשק</w:t>
      </w:r>
      <w:r w:rsidRPr="00464BF9">
        <w:rPr>
          <w:rStyle w:val="KOT7N"/>
          <w:rtl/>
        </w:rPr>
        <w:t xml:space="preserve"> </w:t>
      </w:r>
      <w:r w:rsidRPr="00464BF9">
        <w:rPr>
          <w:rStyle w:val="KOT7N"/>
          <w:rFonts w:hint="eastAsia"/>
          <w:rtl/>
        </w:rPr>
        <w:t>להעברת</w:t>
      </w:r>
      <w:r w:rsidRPr="00464BF9">
        <w:rPr>
          <w:rStyle w:val="KOT7N"/>
          <w:rtl/>
        </w:rPr>
        <w:t xml:space="preserve"> </w:t>
      </w:r>
      <w:r w:rsidRPr="00464BF9">
        <w:rPr>
          <w:rStyle w:val="KOT7N"/>
          <w:rFonts w:hint="eastAsia"/>
          <w:rtl/>
        </w:rPr>
        <w:t>הנתונים</w:t>
      </w:r>
      <w:r w:rsidRPr="00464BF9">
        <w:rPr>
          <w:rStyle w:val="KOT7N"/>
          <w:rtl/>
        </w:rPr>
        <w:t>:</w:t>
      </w:r>
      <w:r w:rsidRPr="00464BF9">
        <w:rPr>
          <w:rStyle w:val="62"/>
          <w:rFonts w:ascii="Tahoma" w:hAnsi="Tahoma" w:cs="Tahoma"/>
          <w:sz w:val="18"/>
          <w:szCs w:val="18"/>
          <w:rtl/>
        </w:rPr>
        <w:t xml:space="preserve"> </w:t>
      </w:r>
      <w:r w:rsidRPr="00464BF9">
        <w:rPr>
          <w:sz w:val="18"/>
          <w:szCs w:val="18"/>
          <w:rtl/>
        </w:rPr>
        <w:t>לאחר שהתקבל האישור הנדרש מהוועדה להעברת המידע, על שני הצדדים (המשרד מבקש המידע והמשרד מחזיק המידע) לפתח ממשק להעברת הנתונים ביניהם (ראו להלן בפרק בנושא "שדרת המידע הממשלתית").</w:t>
      </w:r>
    </w:p>
    <w:p w14:paraId="54117265" w14:textId="77777777" w:rsidR="007478B2" w:rsidRPr="00464BF9" w:rsidRDefault="007478B2" w:rsidP="005A677F">
      <w:pPr>
        <w:pStyle w:val="a"/>
        <w:numPr>
          <w:ilvl w:val="0"/>
          <w:numId w:val="9"/>
        </w:numPr>
        <w:autoSpaceDE/>
        <w:autoSpaceDN/>
        <w:adjustRightInd/>
        <w:spacing w:line="260" w:lineRule="exact"/>
        <w:ind w:left="397" w:hanging="397"/>
        <w:rPr>
          <w:sz w:val="18"/>
          <w:szCs w:val="18"/>
          <w:rtl/>
        </w:rPr>
      </w:pPr>
      <w:r w:rsidRPr="00464BF9">
        <w:rPr>
          <w:rStyle w:val="KOT7N"/>
          <w:rFonts w:hint="eastAsia"/>
          <w:rtl/>
        </w:rPr>
        <w:t>יישום</w:t>
      </w:r>
      <w:r w:rsidRPr="00464BF9">
        <w:rPr>
          <w:rStyle w:val="KOT7N"/>
          <w:rtl/>
        </w:rPr>
        <w:t xml:space="preserve"> </w:t>
      </w:r>
      <w:r w:rsidRPr="00464BF9">
        <w:rPr>
          <w:rStyle w:val="KOT7N"/>
          <w:rFonts w:hint="eastAsia"/>
          <w:rtl/>
        </w:rPr>
        <w:t>המדיניות</w:t>
      </w:r>
      <w:r w:rsidRPr="00464BF9">
        <w:rPr>
          <w:rStyle w:val="KOT7N"/>
          <w:rtl/>
        </w:rPr>
        <w:t xml:space="preserve"> </w:t>
      </w:r>
      <w:r w:rsidRPr="00464BF9">
        <w:rPr>
          <w:rStyle w:val="KOT7N"/>
          <w:rFonts w:hint="eastAsia"/>
          <w:rtl/>
        </w:rPr>
        <w:t>בערוצי</w:t>
      </w:r>
      <w:r w:rsidRPr="00464BF9">
        <w:rPr>
          <w:rStyle w:val="KOT7N"/>
          <w:rtl/>
        </w:rPr>
        <w:t xml:space="preserve"> </w:t>
      </w:r>
      <w:r w:rsidRPr="00464BF9">
        <w:rPr>
          <w:rStyle w:val="KOT7N"/>
          <w:rFonts w:hint="eastAsia"/>
          <w:rtl/>
        </w:rPr>
        <w:t>השירות</w:t>
      </w:r>
      <w:r w:rsidRPr="00464BF9">
        <w:rPr>
          <w:rStyle w:val="KOT7N"/>
          <w:rtl/>
        </w:rPr>
        <w:t>:</w:t>
      </w:r>
      <w:r w:rsidRPr="00464BF9">
        <w:rPr>
          <w:sz w:val="18"/>
          <w:szCs w:val="18"/>
          <w:rtl/>
        </w:rPr>
        <w:t xml:space="preserve"> לאחר שהונחה התשתית המשפטית והטכנולוגית להעברת המידע, יש לוודא כי נעשה בכך שימוש בכל ערוצי קבלת השירות הממשלתי כדי לממש את מלוא החיסכון בנטל הבירוקרטי. </w:t>
      </w:r>
    </w:p>
    <w:p w14:paraId="3C5E5EAA"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בהתאם לשלבים בתהליך העברת מידע בממשלה המפורטים לעיל, וכדי לייצר תהליך עבודה מובנה להעברות מידע, המבוסס על שימוש בתשתיות טכנולוגיות רוחביות, נקבעו בהחלטה משנת 2016 הפעולות הנדרשות להיערכות ליישום מדיניות פעם אחת, והגופים שאחראים לכל פעולה, ובהם: משרדי הממשלה, רשות התקשוב, מטה ישראל דיגיטלית במשרד הדיגיטל הלאומי (להלן - ישראל דיגיטלית) ומערך הסייבר הלאומי במשרד ראש הממשלה (להלן - מערך הסייבר). ראו פרטים בתרשים 7 להלן.</w:t>
      </w:r>
    </w:p>
    <w:p w14:paraId="0B626EA9" w14:textId="77777777" w:rsidR="007478B2"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lastRenderedPageBreak/>
        <w:t xml:space="preserve">תרשים 7: </w:t>
      </w:r>
      <w:r w:rsidRPr="007F0192">
        <w:rPr>
          <w:rFonts w:ascii="Tahoma" w:hAnsi="Tahoma" w:cs="Tahoma" w:hint="cs"/>
          <w:b/>
          <w:bCs/>
          <w:color w:val="0D0D0D" w:themeColor="text1" w:themeTint="F2"/>
          <w:sz w:val="18"/>
          <w:szCs w:val="18"/>
          <w:rtl/>
        </w:rPr>
        <w:t xml:space="preserve">פעולות עיקריות שנקבעו בהחלטה משנת 2016 והגורם האחראי לביצוען </w:t>
      </w:r>
    </w:p>
    <w:p w14:paraId="4BEA96F7" w14:textId="0889A51E" w:rsidR="007478B2" w:rsidRDefault="006E056F" w:rsidP="00AE4C65">
      <w:pPr>
        <w:spacing w:line="240" w:lineRule="atLeast"/>
        <w:jc w:val="center"/>
        <w:rPr>
          <w:rFonts w:ascii="Tahoma" w:hAnsi="Tahoma" w:cs="Tahoma"/>
          <w:sz w:val="18"/>
          <w:szCs w:val="18"/>
        </w:rPr>
      </w:pPr>
      <w:r>
        <w:rPr>
          <w:rFonts w:ascii="Tahoma" w:hAnsi="Tahoma" w:cs="Tahoma"/>
          <w:noProof/>
          <w:sz w:val="18"/>
          <w:szCs w:val="18"/>
        </w:rPr>
        <w:drawing>
          <wp:inline distT="0" distB="0" distL="0" distR="0" wp14:anchorId="23902D57" wp14:editId="4B4AD6AA">
            <wp:extent cx="4680000" cy="4752000"/>
            <wp:effectExtent l="0" t="0" r="6350" b="0"/>
            <wp:docPr id="40" name="Picture 40"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dia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80000" cy="4752000"/>
                    </a:xfrm>
                    <a:prstGeom prst="rect">
                      <a:avLst/>
                    </a:prstGeom>
                  </pic:spPr>
                </pic:pic>
              </a:graphicData>
            </a:graphic>
          </wp:inline>
        </w:drawing>
      </w:r>
    </w:p>
    <w:p w14:paraId="01AE65FD" w14:textId="77777777" w:rsidR="007478B2" w:rsidRPr="00AE4C65" w:rsidRDefault="007478B2" w:rsidP="00AE4C65">
      <w:pPr>
        <w:tabs>
          <w:tab w:val="left" w:pos="424"/>
        </w:tabs>
        <w:spacing w:before="120" w:after="240" w:line="260" w:lineRule="exact"/>
        <w:jc w:val="both"/>
        <w:rPr>
          <w:rFonts w:ascii="Tahoma" w:hAnsi="Tahoma" w:cs="Tahoma"/>
          <w:color w:val="0D0D0D" w:themeColor="text1" w:themeTint="F2"/>
          <w:sz w:val="16"/>
          <w:szCs w:val="16"/>
          <w:rtl/>
        </w:rPr>
      </w:pPr>
      <w:r w:rsidRPr="00AE4C65">
        <w:rPr>
          <w:rFonts w:ascii="Tahoma" w:hAnsi="Tahoma" w:cs="Tahoma" w:hint="cs"/>
          <w:color w:val="0D0D0D" w:themeColor="text1" w:themeTint="F2"/>
          <w:sz w:val="16"/>
          <w:szCs w:val="16"/>
          <w:rtl/>
        </w:rPr>
        <w:t>על פי החלטת הממשלה משנת 2016, בעיבוד משרד מבקר המדינה</w:t>
      </w:r>
    </w:p>
    <w:p w14:paraId="1A8B4FBD" w14:textId="77777777" w:rsidR="007478B2" w:rsidRPr="007F0192" w:rsidRDefault="007478B2" w:rsidP="00347A82">
      <w:pPr>
        <w:spacing w:line="260" w:lineRule="exact"/>
        <w:jc w:val="both"/>
        <w:rPr>
          <w:rFonts w:ascii="Tahoma" w:hAnsi="Tahoma" w:cs="Tahoma"/>
          <w:sz w:val="18"/>
          <w:szCs w:val="18"/>
          <w:rtl/>
        </w:rPr>
      </w:pPr>
      <w:r w:rsidRPr="00AE4C65">
        <w:rPr>
          <w:rStyle w:val="KOT7N"/>
          <w:rFonts w:hint="cs"/>
          <w:rtl/>
        </w:rPr>
        <w:t>החלטת הממשלה משנת 2020:</w:t>
      </w:r>
      <w:r w:rsidRPr="007F0192">
        <w:rPr>
          <w:rStyle w:val="53"/>
          <w:rFonts w:ascii="Tahoma" w:hAnsi="Tahoma" w:cs="Tahoma" w:hint="cs"/>
          <w:sz w:val="18"/>
          <w:szCs w:val="18"/>
          <w:rtl/>
        </w:rPr>
        <w:t xml:space="preserve"> </w:t>
      </w:r>
      <w:r w:rsidRPr="007F0192">
        <w:rPr>
          <w:rFonts w:ascii="Tahoma" w:hAnsi="Tahoma" w:cs="Tahoma" w:hint="cs"/>
          <w:sz w:val="18"/>
          <w:szCs w:val="18"/>
          <w:rtl/>
        </w:rPr>
        <w:t>ביולי 2020 קיבלה הממשלה את החלטה 260 (להלן - ההחלטה משנת 2020) בנושא "התכנית להאצת השירותים הדיגיטליים לציבור ולקידום הלמידה הדיגיטלית" (להלן - תוכנית ההאצה). זאת בהמשך להחלטה משנת 2016 ובעקבות משבר הקורונה, וכדי לאפשר את המשך מתן השירותים על ידי גופים ציבוריים בתקופת המשבר, ואת ביצועם באופן דיגיטלי ללא צורך בהגעה ללשכות השירות.</w:t>
      </w:r>
    </w:p>
    <w:p w14:paraId="6D7EBB4F"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תוכנית ההאצה נועדה ליישם את תפיסת "הלקוח במרכז", ולפיה גופים ציבוריים ייתנו שירותים לאזרחים ולעסקים במתכונת דיגיטלית מלאה, במקום אחד, באופן שלם, ידידותי ונגיש, תוך יישום מדיניות פעם אחת. בהחלטה משנת 2020 נקבעו פעולות הקשורות בין היתר ליישום מדיניות פעם אחת בשירותים נבחרים שיועלו לאזור האישי (ראו להלן בפרק בנושא "מיפוי השירותים הממשלתיים"). </w:t>
      </w:r>
    </w:p>
    <w:p w14:paraId="2E8C37A2" w14:textId="77777777" w:rsidR="007478B2" w:rsidRPr="00FB191C" w:rsidRDefault="007478B2" w:rsidP="007478B2">
      <w:pPr>
        <w:pStyle w:val="KOT3N"/>
        <w:rPr>
          <w:rtl/>
        </w:rPr>
      </w:pPr>
      <w:r w:rsidRPr="00FB191C">
        <w:rPr>
          <w:rFonts w:hint="eastAsia"/>
          <w:rtl/>
        </w:rPr>
        <w:lastRenderedPageBreak/>
        <w:t>פעולות</w:t>
      </w:r>
      <w:r w:rsidRPr="00FB191C">
        <w:rPr>
          <w:rtl/>
        </w:rPr>
        <w:t xml:space="preserve"> </w:t>
      </w:r>
      <w:r w:rsidRPr="00FB191C">
        <w:rPr>
          <w:rFonts w:hint="eastAsia"/>
          <w:rtl/>
        </w:rPr>
        <w:t>הביקורת</w:t>
      </w:r>
    </w:p>
    <w:p w14:paraId="543F0357" w14:textId="77777777" w:rsidR="007478B2" w:rsidRPr="007F0192" w:rsidRDefault="007478B2" w:rsidP="00347A82">
      <w:pPr>
        <w:spacing w:line="260" w:lineRule="exact"/>
        <w:jc w:val="both"/>
        <w:rPr>
          <w:rFonts w:ascii="Tahoma" w:hAnsi="Tahoma" w:cs="Tahoma"/>
          <w:b/>
          <w:sz w:val="18"/>
          <w:szCs w:val="18"/>
          <w:rtl/>
        </w:rPr>
      </w:pPr>
      <w:r w:rsidRPr="007F0192">
        <w:rPr>
          <w:rFonts w:ascii="Tahoma" w:hAnsi="Tahoma" w:cs="Tahoma"/>
          <w:b/>
          <w:sz w:val="18"/>
          <w:szCs w:val="18"/>
          <w:rtl/>
        </w:rPr>
        <w:t xml:space="preserve">בחודשים </w:t>
      </w:r>
      <w:r w:rsidRPr="007F0192">
        <w:rPr>
          <w:rFonts w:ascii="Tahoma" w:hAnsi="Tahoma" w:cs="Tahoma" w:hint="cs"/>
          <w:b/>
          <w:sz w:val="18"/>
          <w:szCs w:val="18"/>
          <w:rtl/>
        </w:rPr>
        <w:t xml:space="preserve">מרץ עד דצמבר 2020 ביצע </w:t>
      </w:r>
      <w:r w:rsidRPr="007F0192">
        <w:rPr>
          <w:rFonts w:ascii="Tahoma" w:hAnsi="Tahoma" w:cs="Tahoma"/>
          <w:b/>
          <w:sz w:val="18"/>
          <w:szCs w:val="18"/>
          <w:rtl/>
        </w:rPr>
        <w:t>משרד מבקר המדינה</w:t>
      </w:r>
      <w:r w:rsidRPr="007F0192">
        <w:rPr>
          <w:rFonts w:ascii="Tahoma" w:hAnsi="Tahoma" w:cs="Tahoma" w:hint="cs"/>
          <w:b/>
          <w:sz w:val="18"/>
          <w:szCs w:val="18"/>
          <w:rtl/>
        </w:rPr>
        <w:t xml:space="preserve"> ביקורת בנושא </w:t>
      </w:r>
      <w:r w:rsidRPr="007F0192">
        <w:rPr>
          <w:rFonts w:ascii="Tahoma" w:hAnsi="Tahoma" w:cs="Tahoma" w:hint="cs"/>
          <w:sz w:val="18"/>
          <w:szCs w:val="18"/>
          <w:rtl/>
        </w:rPr>
        <w:t xml:space="preserve">יישום מדיניות פעם אחת לשיפור השירות הממשלתי הדיגיטלי לציבור. נבדקו בעיקר: </w:t>
      </w:r>
      <w:r w:rsidRPr="007F0192">
        <w:rPr>
          <w:rFonts w:ascii="Tahoma" w:hAnsi="Tahoma" w:cs="Tahoma" w:hint="cs"/>
          <w:b/>
          <w:sz w:val="18"/>
          <w:szCs w:val="18"/>
          <w:rtl/>
        </w:rPr>
        <w:t>מיפוי השירותים הממשלתיים; קביעת יעדים לצמצום היקף המידע והאישורים הנדרשים מהציבור לשם קבלת שירות; פיתוח מערכת מחשוב רוחבית לניהול עבודת הוועדות להעברות מידע (מערכת מוע"ד); והקמת תשתית טכנולוגית מאובטחת לשיתוף מידע ("שדרת המידע הממשלתית"). הביקורת נעשתה ברשות התקשוב הממשלתי. בדיקות השלמה נעשו בישראל דיגיטלית, במוסד לביטוח לאומי (להלן - הביטוח הלאומי) ובמערך הסייבר הלאומי.</w:t>
      </w:r>
    </w:p>
    <w:p w14:paraId="106FF102" w14:textId="068A5B34" w:rsidR="007478B2" w:rsidRDefault="007478B2" w:rsidP="00347A82">
      <w:pPr>
        <w:spacing w:line="260" w:lineRule="exact"/>
        <w:jc w:val="both"/>
        <w:rPr>
          <w:rFonts w:ascii="Tahoma" w:hAnsi="Tahoma" w:cs="Tahoma"/>
          <w:sz w:val="18"/>
          <w:szCs w:val="18"/>
        </w:rPr>
      </w:pPr>
    </w:p>
    <w:p w14:paraId="04D98DAC" w14:textId="77777777" w:rsidR="00AE4C65" w:rsidRPr="007F0192" w:rsidRDefault="00AE4C65" w:rsidP="00347A82">
      <w:pPr>
        <w:spacing w:line="260" w:lineRule="exact"/>
        <w:jc w:val="both"/>
        <w:rPr>
          <w:rFonts w:ascii="Tahoma" w:hAnsi="Tahoma" w:cs="Tahoma"/>
          <w:sz w:val="18"/>
          <w:szCs w:val="18"/>
          <w:rtl/>
        </w:rPr>
      </w:pPr>
    </w:p>
    <w:p w14:paraId="4A3E993E" w14:textId="77777777" w:rsidR="00AE4C65" w:rsidRDefault="00AE4C65">
      <w:pPr>
        <w:bidi w:val="0"/>
        <w:rPr>
          <w:rFonts w:ascii="Arial Bold" w:eastAsiaTheme="majorEastAsia" w:hAnsi="Arial Bold" w:cs="Tahoma"/>
          <w:b/>
          <w:bCs/>
          <w:color w:val="00305F"/>
          <w:sz w:val="34"/>
          <w:szCs w:val="34"/>
          <w:rtl/>
        </w:rPr>
      </w:pPr>
      <w:r>
        <w:rPr>
          <w:rtl/>
        </w:rPr>
        <w:br w:type="page"/>
      </w:r>
    </w:p>
    <w:p w14:paraId="317D8962" w14:textId="291CA04E" w:rsidR="007478B2" w:rsidRDefault="007478B2" w:rsidP="007478B2">
      <w:pPr>
        <w:pStyle w:val="KOT2N"/>
        <w:rPr>
          <w:rtl/>
        </w:rPr>
      </w:pPr>
      <w:r>
        <w:rPr>
          <w:rFonts w:hint="cs"/>
          <w:rtl/>
        </w:rPr>
        <w:lastRenderedPageBreak/>
        <w:t xml:space="preserve">יישום "מדיניות פעם אחת" בשירותים הממשלתיים </w:t>
      </w:r>
    </w:p>
    <w:p w14:paraId="380C3C29" w14:textId="77777777" w:rsidR="007478B2" w:rsidRDefault="007478B2" w:rsidP="007478B2">
      <w:pPr>
        <w:pStyle w:val="KOT3N"/>
        <w:rPr>
          <w:rtl/>
        </w:rPr>
      </w:pPr>
      <w:r>
        <w:rPr>
          <w:rFonts w:hint="cs"/>
          <w:rtl/>
        </w:rPr>
        <w:t>מיפוי השירותים הממשלתיים</w:t>
      </w:r>
    </w:p>
    <w:p w14:paraId="486CB647"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במסגרת קידום המיזם "ישראל דיגיטלית"</w:t>
      </w:r>
      <w:r w:rsidRPr="007F0192">
        <w:rPr>
          <w:rStyle w:val="af3"/>
          <w:rFonts w:ascii="Tahoma" w:hAnsi="Tahoma" w:cs="Tahoma"/>
          <w:sz w:val="18"/>
          <w:szCs w:val="18"/>
          <w:rtl/>
        </w:rPr>
        <w:footnoteReference w:id="30"/>
      </w:r>
      <w:r w:rsidRPr="007F0192">
        <w:rPr>
          <w:rFonts w:ascii="Tahoma" w:hAnsi="Tahoma" w:cs="Tahoma" w:hint="cs"/>
          <w:sz w:val="18"/>
          <w:szCs w:val="18"/>
          <w:rtl/>
        </w:rPr>
        <w:t>, החליטה הממשלה בשנת 2014</w:t>
      </w:r>
      <w:r w:rsidRPr="007F0192">
        <w:rPr>
          <w:rStyle w:val="af3"/>
          <w:rFonts w:ascii="Tahoma" w:hAnsi="Tahoma" w:cs="Tahoma"/>
          <w:sz w:val="18"/>
          <w:szCs w:val="18"/>
          <w:rtl/>
        </w:rPr>
        <w:footnoteReference w:id="31"/>
      </w:r>
      <w:r w:rsidRPr="007F0192">
        <w:rPr>
          <w:rFonts w:ascii="Tahoma" w:hAnsi="Tahoma" w:cs="Tahoma" w:hint="cs"/>
          <w:sz w:val="18"/>
          <w:szCs w:val="18"/>
          <w:rtl/>
        </w:rPr>
        <w:t xml:space="preserve"> בין היתר כי השירותים הממשלתיים השימושיים ביותר לציבור יוסבו לשירותים דיגיטליים עד לשנת 2019. לשם כך הוטל על רשות התקשוב למפות את כלל השירותים הממשלתיים (להלן - מיפוי השירותים או המיפוי), לדרגם על פי מידת השימוש בהם וקריטריונים נוספים (כגון מידת הפחתת הנטל הביורוקרטי), ולגבש תוכנית מפורטת לדיגיטציה של השירותים השימושיים ביותר.</w:t>
      </w:r>
    </w:p>
    <w:p w14:paraId="0D99A347"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הצורך במיפוי השירותים חזר ועלה בהחלטת הממשלה משנת 2016, ובה הוטל על המשרדים למפות את כל המידע והאישורים שהם דורשים מהציבור לשם קבלת שירותים מהמשרד, וזאת בהתאם להנחיות וללוח הזמנים שתקבע רשות התקשוב. עוד נקבע כי רשות התקשוב, בשיתוף עם ישראל דיגיטלית, תהיה אחראית בין היתר לניהול המיפוי, לריכוזו ולסיוע בביצועו; המשרדים ידווחו על התקדמות המיפוי ועל תוצאותיו לוועדת ההיגוי שתוקם לעניין העברת מידע (להלן - ועדת ההיגוי)</w:t>
      </w:r>
      <w:r w:rsidRPr="007F0192">
        <w:rPr>
          <w:rStyle w:val="af3"/>
          <w:rFonts w:ascii="Tahoma" w:hAnsi="Tahoma" w:cs="Tahoma"/>
          <w:sz w:val="18"/>
          <w:szCs w:val="18"/>
          <w:rtl/>
        </w:rPr>
        <w:footnoteReference w:id="32"/>
      </w:r>
      <w:r w:rsidRPr="007F0192">
        <w:rPr>
          <w:rFonts w:ascii="Tahoma" w:hAnsi="Tahoma" w:cs="Tahoma" w:hint="cs"/>
          <w:sz w:val="18"/>
          <w:szCs w:val="18"/>
          <w:rtl/>
        </w:rPr>
        <w:t>, והוועדה תדווח לממשלה אחת לשנה על סטטוס יישום ההחלטה.</w:t>
      </w:r>
    </w:p>
    <w:p w14:paraId="5A199A55"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בינואר 2017 הוציאה רשות התקשוב הנחיה למשרדים בנושא מיפוי השירותים</w:t>
      </w:r>
      <w:r w:rsidRPr="007F0192">
        <w:rPr>
          <w:rStyle w:val="af3"/>
          <w:rFonts w:ascii="Tahoma" w:hAnsi="Tahoma" w:cs="Tahoma"/>
          <w:sz w:val="18"/>
          <w:szCs w:val="18"/>
          <w:rtl/>
        </w:rPr>
        <w:footnoteReference w:id="33"/>
      </w:r>
      <w:r w:rsidRPr="007F0192">
        <w:rPr>
          <w:rFonts w:ascii="Tahoma" w:hAnsi="Tahoma" w:cs="Tahoma" w:hint="cs"/>
          <w:sz w:val="18"/>
          <w:szCs w:val="18"/>
          <w:rtl/>
        </w:rPr>
        <w:t xml:space="preserve"> (להלן - ההנחיה). בהנחיה נכתב בין היתר כי מטרת המיפוי היא לשמש בסיס לגיבוש מדיניות פעם אחת ולייעול תהליכי העברות מידע בממשלה. עוד נכתב בהנחיה כי על כל משרד למפות את כלל השירותים שהוא נותן לציבור הרחב או לתאגידים, אשר מצריכים מידע או אישורים, המונפקים על ידי המשרד עצמו או על ידי גוף ציבורי אחר; וכי יש להשלים הליך זה עד ספטמבר 2017. </w:t>
      </w:r>
    </w:p>
    <w:p w14:paraId="234289EB"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רשות התקשוב מסרה בתשובתה כי ההנחיה הייתה למפות את השירותים בדגש על המידע ועל האישורים הנדרשים עבור קבלתם, וכי בד בבד עם המיפוי בהתאם להנחיה זו, החלה ישראל דיגיטלית בביצוע תהליך מיפוי משלה. עוד מסרה כי על מנת להימנע מכפילות ומחוסר תיאום, העבירה רשות התקשוב בתחילת שנת 2018 את נתוני המיפוי שהיו בידיה לישראל דיגיטלית, וזו קיבלה אחריות להשלמת המיפוי. </w:t>
      </w:r>
    </w:p>
    <w:p w14:paraId="4AB1CA72"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בפברואר 2018 דיווחה רשות התקשוב לממשלה על התקדמות הפעולות ליישום מדיניות פעם אחת, ובדיווח ציינה כי מיפוי השירותים בוצע במשותף בידי רשות התקשוב וישראל דיגיטלית, במטרה לייצר מיפוי מקיף, המשרת כמה מהלכים ממשלתיים. במסגרת תהליך זה החלו </w:t>
      </w:r>
      <w:r w:rsidRPr="007F0192">
        <w:rPr>
          <w:rFonts w:ascii="Tahoma" w:hAnsi="Tahoma" w:cs="Tahoma" w:hint="cs"/>
          <w:sz w:val="18"/>
          <w:szCs w:val="18"/>
          <w:rtl/>
        </w:rPr>
        <w:lastRenderedPageBreak/>
        <w:t xml:space="preserve">המשרדים למפות את השירותים שהם נותנים לציבור (לאזרחים ולעסקים), לרבות האישורים שיש להגיש למשרד על מנת לקבל את השירות. </w:t>
      </w:r>
    </w:p>
    <w:p w14:paraId="21B05B98"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בתרשים 8 להלן מובאים פרטים מדיון ועדת ההיגוי מינואר 2018 על התקדמות המיפוי, ועל המידע שהועלה במסגרתו עד אותו המועד.</w:t>
      </w:r>
    </w:p>
    <w:p w14:paraId="05B6AA71" w14:textId="77777777" w:rsidR="007478B2"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t xml:space="preserve">תרשים 8: </w:t>
      </w:r>
      <w:r w:rsidRPr="007F0192">
        <w:rPr>
          <w:rFonts w:ascii="Tahoma" w:hAnsi="Tahoma" w:cs="Tahoma" w:hint="cs"/>
          <w:b/>
          <w:bCs/>
          <w:color w:val="0D0D0D" w:themeColor="text1" w:themeTint="F2"/>
          <w:sz w:val="18"/>
          <w:szCs w:val="18"/>
          <w:rtl/>
        </w:rPr>
        <w:t>מיפוי השירותים הממשלתיים - תמונת המצב בינואר 2018</w:t>
      </w:r>
    </w:p>
    <w:p w14:paraId="6314E7EA" w14:textId="2E17370B" w:rsidR="00AE4C65" w:rsidRPr="007F0192" w:rsidRDefault="00AE4C65" w:rsidP="00AE4C65">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4BA77BCF" wp14:editId="4B21219A">
            <wp:extent cx="4680000" cy="3841200"/>
            <wp:effectExtent l="0" t="0" r="6350" b="6985"/>
            <wp:docPr id="56" name="Picture 56" descr="&#10;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company nam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80000" cy="3841200"/>
                    </a:xfrm>
                    <a:prstGeom prst="rect">
                      <a:avLst/>
                    </a:prstGeom>
                  </pic:spPr>
                </pic:pic>
              </a:graphicData>
            </a:graphic>
          </wp:inline>
        </w:drawing>
      </w:r>
    </w:p>
    <w:p w14:paraId="09CFD5DB" w14:textId="77777777" w:rsidR="007478B2" w:rsidRPr="00AE4C65" w:rsidRDefault="007478B2" w:rsidP="00AE4C65">
      <w:pPr>
        <w:tabs>
          <w:tab w:val="left" w:pos="424"/>
        </w:tabs>
        <w:spacing w:before="120" w:after="240" w:line="260" w:lineRule="exact"/>
        <w:jc w:val="both"/>
        <w:rPr>
          <w:rFonts w:ascii="Tahoma" w:hAnsi="Tahoma" w:cs="Tahoma"/>
          <w:color w:val="0D0D0D" w:themeColor="text1" w:themeTint="F2"/>
          <w:sz w:val="16"/>
          <w:szCs w:val="16"/>
          <w:rtl/>
        </w:rPr>
      </w:pPr>
      <w:r w:rsidRPr="00AE4C65">
        <w:rPr>
          <w:rFonts w:ascii="Tahoma" w:hAnsi="Tahoma" w:cs="Tahoma" w:hint="cs"/>
          <w:color w:val="0D0D0D" w:themeColor="text1" w:themeTint="F2"/>
          <w:sz w:val="16"/>
          <w:szCs w:val="16"/>
          <w:rtl/>
        </w:rPr>
        <w:t>מתוך מצגת של רשות התקשוב וישראל דיגיטלית לוועדת ההיגוי בינואר 2018</w:t>
      </w:r>
      <w:r w:rsidRPr="00AE4C65">
        <w:rPr>
          <w:rFonts w:ascii="Tahoma" w:hAnsi="Tahoma" w:cs="Tahoma"/>
          <w:color w:val="0D0D0D" w:themeColor="text1" w:themeTint="F2"/>
          <w:sz w:val="16"/>
          <w:szCs w:val="16"/>
          <w:rtl/>
        </w:rPr>
        <w:t xml:space="preserve">, </w:t>
      </w:r>
      <w:r w:rsidRPr="00AE4C65">
        <w:rPr>
          <w:rFonts w:ascii="Tahoma" w:hAnsi="Tahoma" w:cs="Tahoma" w:hint="eastAsia"/>
          <w:color w:val="0D0D0D" w:themeColor="text1" w:themeTint="F2"/>
          <w:sz w:val="16"/>
          <w:szCs w:val="16"/>
          <w:rtl/>
        </w:rPr>
        <w:t>בעיבוד</w:t>
      </w:r>
      <w:r w:rsidRPr="00AE4C65">
        <w:rPr>
          <w:rFonts w:ascii="Tahoma" w:hAnsi="Tahoma" w:cs="Tahoma"/>
          <w:color w:val="0D0D0D" w:themeColor="text1" w:themeTint="F2"/>
          <w:sz w:val="16"/>
          <w:szCs w:val="16"/>
          <w:rtl/>
        </w:rPr>
        <w:t xml:space="preserve"> </w:t>
      </w:r>
      <w:r w:rsidRPr="00AE4C65">
        <w:rPr>
          <w:rFonts w:ascii="Tahoma" w:hAnsi="Tahoma" w:cs="Tahoma" w:hint="eastAsia"/>
          <w:color w:val="0D0D0D" w:themeColor="text1" w:themeTint="F2"/>
          <w:sz w:val="16"/>
          <w:szCs w:val="16"/>
          <w:rtl/>
        </w:rPr>
        <w:t>משרד</w:t>
      </w:r>
      <w:r w:rsidRPr="00AE4C65">
        <w:rPr>
          <w:rFonts w:ascii="Tahoma" w:hAnsi="Tahoma" w:cs="Tahoma"/>
          <w:color w:val="0D0D0D" w:themeColor="text1" w:themeTint="F2"/>
          <w:sz w:val="16"/>
          <w:szCs w:val="16"/>
          <w:rtl/>
        </w:rPr>
        <w:t xml:space="preserve"> </w:t>
      </w:r>
      <w:r w:rsidRPr="00AE4C65">
        <w:rPr>
          <w:rFonts w:ascii="Tahoma" w:hAnsi="Tahoma" w:cs="Tahoma" w:hint="eastAsia"/>
          <w:color w:val="0D0D0D" w:themeColor="text1" w:themeTint="F2"/>
          <w:sz w:val="16"/>
          <w:szCs w:val="16"/>
          <w:rtl/>
        </w:rPr>
        <w:t>מבקר</w:t>
      </w:r>
      <w:r w:rsidRPr="00AE4C65">
        <w:rPr>
          <w:rFonts w:ascii="Tahoma" w:hAnsi="Tahoma" w:cs="Tahoma"/>
          <w:color w:val="0D0D0D" w:themeColor="text1" w:themeTint="F2"/>
          <w:sz w:val="16"/>
          <w:szCs w:val="16"/>
          <w:rtl/>
        </w:rPr>
        <w:t xml:space="preserve"> </w:t>
      </w:r>
      <w:r w:rsidRPr="00AE4C65">
        <w:rPr>
          <w:rFonts w:ascii="Tahoma" w:hAnsi="Tahoma" w:cs="Tahoma" w:hint="eastAsia"/>
          <w:color w:val="0D0D0D" w:themeColor="text1" w:themeTint="F2"/>
          <w:sz w:val="16"/>
          <w:szCs w:val="16"/>
          <w:rtl/>
        </w:rPr>
        <w:t>המדינה</w:t>
      </w:r>
    </w:p>
    <w:p w14:paraId="054BE4B1" w14:textId="77777777" w:rsidR="007478B2" w:rsidRPr="00AE4C65" w:rsidRDefault="007478B2" w:rsidP="00AE4C65">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AE4C65">
        <w:rPr>
          <w:rFonts w:ascii="Tahoma" w:hAnsi="Tahoma" w:cs="Tahoma" w:hint="cs"/>
          <w:b/>
          <w:color w:val="0D0D0D" w:themeColor="text1" w:themeTint="F2"/>
          <w:sz w:val="18"/>
          <w:szCs w:val="18"/>
          <w:rtl/>
        </w:rPr>
        <w:t xml:space="preserve">מהתרשים עולה כי האזרח נדרש לספק את אותו המידע או האישור יותר מפעם אחת, לשם קבלת שירותים שונים בממשלה. כך למשל, כל שדה מידע שמופה בשירותים השונים נדרש ב-1.8 שירותים ממשלתיים בממוצע, וכל אישור שמופה בשירותים השונים נדרש ב-2.4 שירותים ממשלתיים בממוצע. </w:t>
      </w:r>
    </w:p>
    <w:p w14:paraId="4B90FB45"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בתרשים 9 להלן מובאים נתונים נוספים</w:t>
      </w:r>
      <w:r w:rsidRPr="007F0192">
        <w:rPr>
          <w:rStyle w:val="af3"/>
          <w:rFonts w:ascii="Tahoma" w:hAnsi="Tahoma" w:cs="Tahoma"/>
          <w:sz w:val="18"/>
          <w:szCs w:val="18"/>
          <w:rtl/>
        </w:rPr>
        <w:footnoteReference w:id="34"/>
      </w:r>
      <w:r w:rsidRPr="007F0192">
        <w:rPr>
          <w:rFonts w:ascii="Tahoma" w:hAnsi="Tahoma" w:cs="Tahoma" w:hint="cs"/>
          <w:sz w:val="18"/>
          <w:szCs w:val="18"/>
          <w:rtl/>
        </w:rPr>
        <w:t xml:space="preserve"> שעלו ממיפוי השירותים בנוגע למספר השירותים הממשלתיים שלשם קבלתם נדרש האזרח לספק תצלום של אישורים כגון תעודת זהות, תעודת בגרות, רישיון עסק, תעודת נישואין או תעודת פטירה. </w:t>
      </w:r>
    </w:p>
    <w:p w14:paraId="14045CE9" w14:textId="77777777" w:rsidR="007478B2"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lastRenderedPageBreak/>
        <w:t xml:space="preserve">תרשים 9: </w:t>
      </w:r>
      <w:r w:rsidRPr="007F0192">
        <w:rPr>
          <w:rFonts w:ascii="Tahoma" w:hAnsi="Tahoma" w:cs="Tahoma" w:hint="cs"/>
          <w:b/>
          <w:bCs/>
          <w:color w:val="0D0D0D" w:themeColor="text1" w:themeTint="F2"/>
          <w:sz w:val="18"/>
          <w:szCs w:val="18"/>
          <w:rtl/>
        </w:rPr>
        <w:t>דוגמאות לאישורים שהאזרח נדרש לספק לשם קבלת שירותים ממשלתיים</w:t>
      </w:r>
    </w:p>
    <w:p w14:paraId="066D1E21" w14:textId="76A7C02E" w:rsidR="007478B2" w:rsidRPr="007F0192" w:rsidRDefault="007B1279" w:rsidP="00AE4C65">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1C84ABBC" wp14:editId="2F620945">
            <wp:extent cx="4420406" cy="5606179"/>
            <wp:effectExtent l="0" t="0" r="0" b="0"/>
            <wp:docPr id="34" name="Picture 34"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42089" cy="5633679"/>
                    </a:xfrm>
                    <a:prstGeom prst="rect">
                      <a:avLst/>
                    </a:prstGeom>
                  </pic:spPr>
                </pic:pic>
              </a:graphicData>
            </a:graphic>
          </wp:inline>
        </w:drawing>
      </w:r>
    </w:p>
    <w:p w14:paraId="23299668" w14:textId="77777777" w:rsidR="007478B2" w:rsidRPr="00AE4C65" w:rsidRDefault="007478B2" w:rsidP="00E12A59">
      <w:pPr>
        <w:tabs>
          <w:tab w:val="left" w:pos="424"/>
        </w:tabs>
        <w:spacing w:after="240" w:line="260" w:lineRule="exact"/>
        <w:jc w:val="both"/>
        <w:rPr>
          <w:rFonts w:ascii="Tahoma" w:hAnsi="Tahoma" w:cs="Tahoma"/>
          <w:color w:val="0D0D0D" w:themeColor="text1" w:themeTint="F2"/>
          <w:sz w:val="16"/>
          <w:szCs w:val="16"/>
          <w:rtl/>
        </w:rPr>
      </w:pPr>
      <w:r w:rsidRPr="00AE4C65">
        <w:rPr>
          <w:rFonts w:ascii="Tahoma" w:hAnsi="Tahoma" w:cs="Tahoma" w:hint="cs"/>
          <w:color w:val="0D0D0D" w:themeColor="text1" w:themeTint="F2"/>
          <w:sz w:val="16"/>
          <w:szCs w:val="16"/>
          <w:rtl/>
        </w:rPr>
        <w:t>על פי נתוני מיפוי השירותים הממשלתיים מינואר 2021, בעיבוד משרד מבקר המדינה.</w:t>
      </w:r>
    </w:p>
    <w:p w14:paraId="0D7BD306" w14:textId="77777777" w:rsidR="007478B2" w:rsidRPr="00AE4C65" w:rsidRDefault="007478B2" w:rsidP="00AE4C65">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AE4C65">
        <w:rPr>
          <w:rFonts w:ascii="Tahoma" w:hAnsi="Tahoma" w:cs="Tahoma" w:hint="cs"/>
          <w:b/>
          <w:color w:val="0D0D0D" w:themeColor="text1" w:themeTint="F2"/>
          <w:sz w:val="18"/>
          <w:szCs w:val="18"/>
          <w:rtl/>
        </w:rPr>
        <w:lastRenderedPageBreak/>
        <w:t xml:space="preserve">מהתרשים עולה כי לשם קבלת שירותים ממשלתיים, </w:t>
      </w:r>
      <w:r w:rsidRPr="00AE4C65">
        <w:rPr>
          <w:rFonts w:ascii="Tahoma" w:hAnsi="Tahoma" w:cs="Tahoma" w:hint="eastAsia"/>
          <w:b/>
          <w:color w:val="0D0D0D" w:themeColor="text1" w:themeTint="F2"/>
          <w:sz w:val="18"/>
          <w:szCs w:val="18"/>
          <w:rtl/>
        </w:rPr>
        <w:t>האזרח</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נדרש</w:t>
      </w:r>
      <w:r w:rsidRPr="00AE4C65">
        <w:rPr>
          <w:rFonts w:ascii="Tahoma" w:hAnsi="Tahoma" w:cs="Tahoma" w:hint="cs"/>
          <w:b/>
          <w:color w:val="0D0D0D" w:themeColor="text1" w:themeTint="F2"/>
          <w:sz w:val="18"/>
          <w:szCs w:val="18"/>
          <w:rtl/>
        </w:rPr>
        <w:t>,</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נכון</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לתחילת</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שנת</w:t>
      </w:r>
      <w:r w:rsidRPr="00AE4C65">
        <w:rPr>
          <w:rFonts w:ascii="Tahoma" w:hAnsi="Tahoma" w:cs="Tahoma"/>
          <w:b/>
          <w:color w:val="0D0D0D" w:themeColor="text1" w:themeTint="F2"/>
          <w:sz w:val="18"/>
          <w:szCs w:val="18"/>
          <w:rtl/>
        </w:rPr>
        <w:t xml:space="preserve"> 2021</w:t>
      </w:r>
      <w:r w:rsidRPr="00AE4C65">
        <w:rPr>
          <w:rFonts w:ascii="Tahoma" w:hAnsi="Tahoma" w:cs="Tahoma" w:hint="cs"/>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לספק</w:t>
      </w:r>
      <w:r w:rsidRPr="00AE4C65">
        <w:rPr>
          <w:rFonts w:ascii="Tahoma" w:hAnsi="Tahoma" w:cs="Tahoma" w:hint="cs"/>
          <w:b/>
          <w:color w:val="0D0D0D" w:themeColor="text1" w:themeTint="F2"/>
          <w:sz w:val="18"/>
          <w:szCs w:val="18"/>
          <w:rtl/>
        </w:rPr>
        <w:t xml:space="preserve"> מידע שכבר קיים במאגרי מידע ממשלתיים או אישור שהנפיק גוף ממשלתי. כך לדוגמה, תצלום תעודת הזהות (תעודה המונפקת בידי גוף ממשלתי - רשות האוכלוסין) נדרש לשם קבלת 261 שירותים שונים בממשלה; תצלום תעודת בגרות (תעודה המונפקת בידי משרד החינוך) נדרש לשם קבלת 188 שירותים; ותצלום רישיון עסק (אישור המונפק על ידי משרד הפנים) נדרש לשם קבלת 68 שירותים. </w:t>
      </w:r>
    </w:p>
    <w:p w14:paraId="625B4C58" w14:textId="77777777" w:rsidR="007478B2" w:rsidRPr="00AE4C65" w:rsidRDefault="007478B2" w:rsidP="00AE4C65">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AE4C65">
        <w:rPr>
          <w:rFonts w:ascii="Tahoma" w:hAnsi="Tahoma" w:cs="Tahoma" w:hint="cs"/>
          <w:b/>
          <w:color w:val="0D0D0D" w:themeColor="text1" w:themeTint="F2"/>
          <w:sz w:val="18"/>
          <w:szCs w:val="18"/>
          <w:rtl/>
        </w:rPr>
        <w:t xml:space="preserve">ממצאי המיפוי, המוצגים בתרשימים 8 ו-9 לעיל, ממחישים את </w:t>
      </w:r>
      <w:r w:rsidRPr="00AE4C65">
        <w:rPr>
          <w:rFonts w:ascii="Tahoma" w:hAnsi="Tahoma" w:cs="Tahoma" w:hint="eastAsia"/>
          <w:b/>
          <w:color w:val="0D0D0D" w:themeColor="text1" w:themeTint="F2"/>
          <w:sz w:val="18"/>
          <w:szCs w:val="18"/>
          <w:rtl/>
        </w:rPr>
        <w:t>הפוטנציאל</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לשיפור</w:t>
      </w:r>
      <w:r w:rsidRPr="00AE4C65">
        <w:rPr>
          <w:rFonts w:ascii="Tahoma" w:hAnsi="Tahoma" w:cs="Tahoma"/>
          <w:b/>
          <w:color w:val="0D0D0D" w:themeColor="text1" w:themeTint="F2"/>
          <w:sz w:val="18"/>
          <w:szCs w:val="18"/>
          <w:rtl/>
        </w:rPr>
        <w:t xml:space="preserve"> תהליכי </w:t>
      </w:r>
      <w:r w:rsidRPr="00AE4C65">
        <w:rPr>
          <w:rFonts w:ascii="Tahoma" w:hAnsi="Tahoma" w:cs="Tahoma" w:hint="eastAsia"/>
          <w:b/>
          <w:color w:val="0D0D0D" w:themeColor="text1" w:themeTint="F2"/>
          <w:sz w:val="18"/>
          <w:szCs w:val="18"/>
          <w:rtl/>
        </w:rPr>
        <w:t>השירות</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בממשלה</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באמצעות</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הפחתת</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הנטל</w:t>
      </w:r>
      <w:r w:rsidRPr="00AE4C65">
        <w:rPr>
          <w:rFonts w:ascii="Tahoma" w:hAnsi="Tahoma" w:cs="Tahoma"/>
          <w:b/>
          <w:color w:val="0D0D0D" w:themeColor="text1" w:themeTint="F2"/>
          <w:sz w:val="18"/>
          <w:szCs w:val="18"/>
          <w:rtl/>
        </w:rPr>
        <w:t xml:space="preserve"> הבירוקרטי </w:t>
      </w:r>
      <w:r w:rsidRPr="00AE4C65">
        <w:rPr>
          <w:rFonts w:ascii="Tahoma" w:hAnsi="Tahoma" w:cs="Tahoma" w:hint="eastAsia"/>
          <w:b/>
          <w:color w:val="0D0D0D" w:themeColor="text1" w:themeTint="F2"/>
          <w:sz w:val="18"/>
          <w:szCs w:val="18"/>
          <w:rtl/>
        </w:rPr>
        <w:t>המוטל</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על</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האזרח</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זאת</w:t>
      </w:r>
      <w:r w:rsidRPr="00AE4C65">
        <w:rPr>
          <w:rFonts w:ascii="Tahoma" w:hAnsi="Tahoma" w:cs="Tahoma"/>
          <w:b/>
          <w:color w:val="0D0D0D" w:themeColor="text1" w:themeTint="F2"/>
          <w:sz w:val="18"/>
          <w:szCs w:val="18"/>
          <w:rtl/>
        </w:rPr>
        <w:t xml:space="preserve"> באמצעות יישום </w:t>
      </w:r>
      <w:r w:rsidRPr="00AE4C65">
        <w:rPr>
          <w:rFonts w:ascii="Tahoma" w:hAnsi="Tahoma" w:cs="Tahoma" w:hint="eastAsia"/>
          <w:b/>
          <w:color w:val="0D0D0D" w:themeColor="text1" w:themeTint="F2"/>
          <w:sz w:val="18"/>
          <w:szCs w:val="18"/>
          <w:rtl/>
        </w:rPr>
        <w:t>מדיניות</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פעם</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אחת</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שמשמעה</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צמצום</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המידע</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והאישורים</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הנדרשים</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מהציבור</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לשם</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קבלת</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שירות</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בממשלה</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על</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ידי</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העברתם</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באופן</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ישיר</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מהמשרד</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בעל</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המידע</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או</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מנפיק</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האישור</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למשרד</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נותן</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השירות</w:t>
      </w:r>
      <w:r w:rsidRPr="00AE4C65">
        <w:rPr>
          <w:rFonts w:ascii="Tahoma" w:hAnsi="Tahoma" w:cs="Tahoma"/>
          <w:b/>
          <w:color w:val="0D0D0D" w:themeColor="text1" w:themeTint="F2"/>
          <w:sz w:val="18"/>
          <w:szCs w:val="18"/>
          <w:rtl/>
        </w:rPr>
        <w:t>.</w:t>
      </w:r>
      <w:r w:rsidRPr="00AE4C65">
        <w:rPr>
          <w:rFonts w:ascii="Tahoma" w:hAnsi="Tahoma" w:cs="Tahoma" w:hint="cs"/>
          <w:b/>
          <w:color w:val="0D0D0D" w:themeColor="text1" w:themeTint="F2"/>
          <w:sz w:val="18"/>
          <w:szCs w:val="18"/>
          <w:rtl/>
        </w:rPr>
        <w:t xml:space="preserve"> </w:t>
      </w:r>
    </w:p>
    <w:p w14:paraId="638CAA87" w14:textId="77777777" w:rsidR="007478B2" w:rsidRPr="00AE4C65" w:rsidRDefault="007478B2" w:rsidP="00AE4C65">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AE4C65">
        <w:rPr>
          <w:rFonts w:ascii="Tahoma" w:hAnsi="Tahoma" w:cs="Tahoma" w:hint="cs"/>
          <w:b/>
          <w:color w:val="0D0D0D" w:themeColor="text1" w:themeTint="F2"/>
          <w:sz w:val="18"/>
          <w:szCs w:val="18"/>
          <w:rtl/>
        </w:rPr>
        <w:t xml:space="preserve">מהאמור לעיל וכן מממצאים נוספים העולים בפרקי הדוח עולה כי עוד ארוכה הדרך ליישום מלא של </w:t>
      </w:r>
      <w:r w:rsidRPr="00AE4C65">
        <w:rPr>
          <w:rFonts w:ascii="Tahoma" w:hAnsi="Tahoma" w:cs="Tahoma" w:hint="eastAsia"/>
          <w:b/>
          <w:color w:val="0D0D0D" w:themeColor="text1" w:themeTint="F2"/>
          <w:sz w:val="18"/>
          <w:szCs w:val="18"/>
          <w:rtl/>
        </w:rPr>
        <w:t>החלטת</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הממשלה</w:t>
      </w:r>
      <w:r w:rsidRPr="00AE4C65">
        <w:rPr>
          <w:rFonts w:ascii="Tahoma" w:hAnsi="Tahoma" w:cs="Tahoma"/>
          <w:b/>
          <w:color w:val="0D0D0D" w:themeColor="text1" w:themeTint="F2"/>
          <w:sz w:val="18"/>
          <w:szCs w:val="18"/>
          <w:rtl/>
        </w:rPr>
        <w:t xml:space="preserve"> משנת 2016 אשר קבעה כי </w:t>
      </w:r>
      <w:r w:rsidRPr="00AE4C65">
        <w:rPr>
          <w:rFonts w:ascii="Tahoma" w:hAnsi="Tahoma" w:cs="Tahoma" w:hint="eastAsia"/>
          <w:b/>
          <w:color w:val="0D0D0D" w:themeColor="text1" w:themeTint="F2"/>
          <w:sz w:val="18"/>
          <w:szCs w:val="18"/>
          <w:rtl/>
        </w:rPr>
        <w:t>החל</w:t>
      </w:r>
      <w:r w:rsidRPr="00AE4C65">
        <w:rPr>
          <w:rFonts w:ascii="Tahoma" w:hAnsi="Tahoma" w:cs="Tahoma"/>
          <w:b/>
          <w:color w:val="0D0D0D" w:themeColor="text1" w:themeTint="F2"/>
          <w:sz w:val="18"/>
          <w:szCs w:val="18"/>
          <w:rtl/>
        </w:rPr>
        <w:t xml:space="preserve"> משנת 2021 משרד ממשלתי לא יבקש מהציבור, לשם מתן שירות, </w:t>
      </w:r>
      <w:r w:rsidRPr="00AE4C65">
        <w:rPr>
          <w:rFonts w:ascii="Tahoma" w:hAnsi="Tahoma" w:cs="Tahoma" w:hint="eastAsia"/>
          <w:b/>
          <w:color w:val="0D0D0D" w:themeColor="text1" w:themeTint="F2"/>
          <w:sz w:val="18"/>
          <w:szCs w:val="18"/>
          <w:rtl/>
        </w:rPr>
        <w:t>אישור</w:t>
      </w:r>
      <w:r w:rsidRPr="00AE4C65">
        <w:rPr>
          <w:rFonts w:ascii="Tahoma" w:hAnsi="Tahoma" w:cs="Tahoma"/>
          <w:b/>
          <w:color w:val="0D0D0D" w:themeColor="text1" w:themeTint="F2"/>
          <w:sz w:val="18"/>
          <w:szCs w:val="18"/>
          <w:rtl/>
        </w:rPr>
        <w:t xml:space="preserve"> שהנפיק משרד ממשלתי אחר. </w:t>
      </w:r>
    </w:p>
    <w:p w14:paraId="2676DFBA" w14:textId="77777777" w:rsidR="007478B2" w:rsidRPr="007F0192" w:rsidRDefault="007478B2" w:rsidP="00347A82">
      <w:pPr>
        <w:spacing w:line="260" w:lineRule="exact"/>
        <w:jc w:val="both"/>
        <w:rPr>
          <w:rFonts w:ascii="Tahoma" w:hAnsi="Tahoma" w:cs="Tahoma"/>
          <w:b/>
          <w:bCs/>
          <w:sz w:val="18"/>
          <w:szCs w:val="18"/>
          <w:rtl/>
        </w:rPr>
      </w:pPr>
    </w:p>
    <w:p w14:paraId="39719E84" w14:textId="77777777" w:rsidR="007478B2" w:rsidRDefault="007478B2" w:rsidP="007478B2">
      <w:pPr>
        <w:pStyle w:val="KOT4N"/>
        <w:rPr>
          <w:rtl/>
        </w:rPr>
      </w:pPr>
      <w:r>
        <w:rPr>
          <w:rFonts w:hint="cs"/>
          <w:rtl/>
        </w:rPr>
        <w:t xml:space="preserve">תיקוף הנתונים במיפוי השירותים </w:t>
      </w:r>
    </w:p>
    <w:p w14:paraId="56DAED6B" w14:textId="77777777" w:rsidR="007478B2" w:rsidRPr="00464BF9" w:rsidRDefault="007478B2" w:rsidP="005A677F">
      <w:pPr>
        <w:pStyle w:val="a"/>
        <w:numPr>
          <w:ilvl w:val="0"/>
          <w:numId w:val="8"/>
        </w:numPr>
        <w:autoSpaceDE/>
        <w:autoSpaceDN/>
        <w:adjustRightInd/>
        <w:spacing w:line="260" w:lineRule="exact"/>
        <w:ind w:left="397" w:hanging="397"/>
        <w:rPr>
          <w:sz w:val="18"/>
          <w:szCs w:val="18"/>
          <w:rtl/>
        </w:rPr>
      </w:pPr>
      <w:r w:rsidRPr="00464BF9">
        <w:rPr>
          <w:rFonts w:hint="cs"/>
          <w:sz w:val="18"/>
          <w:szCs w:val="18"/>
          <w:rtl/>
        </w:rPr>
        <w:t>במאי 2020 העבירה ישראל דיגיטלית למשרד מבקר המדינה עדכון על התקדמות הליך המיפוי הממשלתי. ישראל דיגיטלית מסרה כי המיפוי כלל שני שלבים: שלב א' - איסוף הנתונים ממקורות גלויים (כגון חומרים שפורסמו באתרי האינטרנט של משרדי הממשלה, חוקים וכיו"ב), ובמסגרתו מופו 3,545 שירותים ממשלתיים של 40 משרדים; ושלב ב' - תיקוף הנתונים במיפוי מול כל אחד מהמשרדים והשלמת נתונים חסרים, על מנת לוודא שהנתונים שנאספו הם עדכניים ומלאים (להלן - התיקוף).</w:t>
      </w:r>
    </w:p>
    <w:p w14:paraId="27D2F5F1" w14:textId="77777777" w:rsidR="007478B2" w:rsidRPr="002011D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b/>
          <w:color w:val="0D0D0D" w:themeColor="text1" w:themeTint="F2"/>
          <w:sz w:val="18"/>
          <w:szCs w:val="18"/>
          <w:rtl/>
        </w:rPr>
      </w:pPr>
      <w:r w:rsidRPr="002011D2">
        <w:rPr>
          <w:rFonts w:ascii="Tahoma" w:hAnsi="Tahoma" w:cs="Tahoma" w:hint="cs"/>
          <w:b/>
          <w:color w:val="0D0D0D" w:themeColor="text1" w:themeTint="F2"/>
          <w:sz w:val="18"/>
          <w:szCs w:val="18"/>
          <w:rtl/>
        </w:rPr>
        <w:t xml:space="preserve">עלה כי 26% מכלל השירותים במיפוי תוקפו על ידי המשרדים (כ-933 שירותים מתוך 3,545). בהיעדר תיקוף מלא של השירותים במיפוי לא הייתה לרשות התקשוב ולישראל דיגיטלית תמונה שלמה ומהימנה על מספר השירותים הכולל שנותן כל משרד לציבור, על שדות המידע והאישורים הנדרשים לקבלת כל שירות, ועל גוף המקור המנפיק כל אישור. כמו כן, במצב דברים זה קיים קושי לקבוע אילו מהשירותים מתאימים ליישום מדיניות פעם אחת, באופן שהעברת המידע תייצר חיסכון בירוקרטי משמעותי. </w:t>
      </w:r>
    </w:p>
    <w:p w14:paraId="6331F0BF" w14:textId="77777777" w:rsidR="007478B2" w:rsidRPr="00464BF9" w:rsidRDefault="007478B2" w:rsidP="005A677F">
      <w:pPr>
        <w:pStyle w:val="a"/>
        <w:numPr>
          <w:ilvl w:val="0"/>
          <w:numId w:val="8"/>
        </w:numPr>
        <w:autoSpaceDE/>
        <w:autoSpaceDN/>
        <w:adjustRightInd/>
        <w:spacing w:line="260" w:lineRule="exact"/>
        <w:ind w:left="397" w:hanging="397"/>
        <w:rPr>
          <w:sz w:val="18"/>
          <w:szCs w:val="18"/>
          <w:rtl/>
        </w:rPr>
      </w:pPr>
      <w:r w:rsidRPr="00464BF9">
        <w:rPr>
          <w:rFonts w:hint="cs"/>
          <w:sz w:val="18"/>
          <w:szCs w:val="18"/>
          <w:rtl/>
        </w:rPr>
        <w:t xml:space="preserve">בדצמבר 2020 העבירה ישראל דיגיטלית למשרד מבקר המדינה פרטים על עשרים שירותים שנבחרו כ"שירותים מובילים לאזרח", בהליך שביצעה בשיתוף עם חברת ייעוץ חיצונית (להלן - הליך התעדוף). זאת במסגרת ההחלטה משנת 2020, בה נקבע בין היתר לבצע טרנספורמציה דיגיטלית לשירותים נבחרים שיועלו לאזור האישי. </w:t>
      </w:r>
    </w:p>
    <w:p w14:paraId="0DEDB332" w14:textId="2E66BD60" w:rsidR="007478B2" w:rsidRPr="007F0192" w:rsidRDefault="007478B2" w:rsidP="00347A82">
      <w:pPr>
        <w:spacing w:line="260" w:lineRule="exact"/>
        <w:ind w:left="397"/>
        <w:jc w:val="both"/>
        <w:rPr>
          <w:rFonts w:ascii="Tahoma" w:hAnsi="Tahoma" w:cs="Tahoma"/>
          <w:sz w:val="18"/>
          <w:szCs w:val="18"/>
          <w:rtl/>
        </w:rPr>
      </w:pPr>
      <w:r w:rsidRPr="007F0192">
        <w:rPr>
          <w:rFonts w:ascii="Tahoma" w:hAnsi="Tahoma" w:cs="Tahoma" w:hint="cs"/>
          <w:sz w:val="18"/>
          <w:szCs w:val="18"/>
          <w:rtl/>
        </w:rPr>
        <w:t>הליך התעדוף נחלק לכמה שלבים: (א) מעבר ידני על מיפוי השירותים וזיהוי שירותים משמעותיים; (ב) השלמת המידע החסר מאתרי הממשלה, משרת התשלומים הממשלתי</w:t>
      </w:r>
      <w:r w:rsidRPr="007F0192">
        <w:rPr>
          <w:rStyle w:val="af3"/>
          <w:rFonts w:ascii="Tahoma" w:hAnsi="Tahoma" w:cs="Tahoma"/>
          <w:sz w:val="18"/>
          <w:szCs w:val="18"/>
          <w:rtl/>
        </w:rPr>
        <w:footnoteReference w:id="35"/>
      </w:r>
      <w:r w:rsidRPr="007F0192">
        <w:rPr>
          <w:rFonts w:ascii="Tahoma" w:hAnsi="Tahoma" w:cs="Tahoma" w:hint="cs"/>
          <w:sz w:val="18"/>
          <w:szCs w:val="18"/>
          <w:rtl/>
        </w:rPr>
        <w:t xml:space="preserve"> </w:t>
      </w:r>
      <w:r w:rsidRPr="007F0192">
        <w:rPr>
          <w:rFonts w:ascii="Tahoma" w:hAnsi="Tahoma" w:cs="Tahoma" w:hint="cs"/>
          <w:sz w:val="18"/>
          <w:szCs w:val="18"/>
          <w:rtl/>
        </w:rPr>
        <w:lastRenderedPageBreak/>
        <w:t>ומשרת הטפסים הממשלתי</w:t>
      </w:r>
      <w:r w:rsidRPr="007F0192">
        <w:rPr>
          <w:rStyle w:val="af3"/>
          <w:rFonts w:ascii="Tahoma" w:hAnsi="Tahoma" w:cs="Tahoma"/>
          <w:sz w:val="18"/>
          <w:szCs w:val="18"/>
          <w:rtl/>
        </w:rPr>
        <w:footnoteReference w:id="36"/>
      </w:r>
      <w:r w:rsidRPr="007F0192">
        <w:rPr>
          <w:rFonts w:ascii="Tahoma" w:hAnsi="Tahoma" w:cs="Tahoma" w:hint="cs"/>
          <w:sz w:val="18"/>
          <w:szCs w:val="18"/>
          <w:rtl/>
        </w:rPr>
        <w:t xml:space="preserve"> וכן משיחות עם משרדי הממשלה; (ג) תעדוף השירותים באמצעות קריטריונים שנקבעו</w:t>
      </w:r>
      <w:r w:rsidRPr="007F0192">
        <w:rPr>
          <w:rStyle w:val="af3"/>
          <w:rFonts w:ascii="Tahoma" w:hAnsi="Tahoma" w:cs="Tahoma"/>
          <w:sz w:val="18"/>
          <w:szCs w:val="18"/>
          <w:rtl/>
        </w:rPr>
        <w:footnoteReference w:id="37"/>
      </w:r>
      <w:r w:rsidRPr="007F0192">
        <w:rPr>
          <w:rFonts w:ascii="Tahoma" w:hAnsi="Tahoma" w:cs="Tahoma" w:hint="cs"/>
          <w:sz w:val="18"/>
          <w:szCs w:val="18"/>
          <w:rtl/>
        </w:rPr>
        <w:t>, ובחירת עשרים השירותים המובילים לאזרח</w:t>
      </w:r>
      <w:r w:rsidRPr="007F0192">
        <w:rPr>
          <w:rStyle w:val="af3"/>
          <w:rFonts w:ascii="Tahoma" w:hAnsi="Tahoma" w:cs="Tahoma"/>
          <w:sz w:val="18"/>
          <w:szCs w:val="18"/>
          <w:rtl/>
        </w:rPr>
        <w:footnoteReference w:id="38"/>
      </w:r>
      <w:r w:rsidRPr="007F0192">
        <w:rPr>
          <w:rFonts w:ascii="Tahoma" w:hAnsi="Tahoma" w:cs="Tahoma" w:hint="cs"/>
          <w:sz w:val="18"/>
          <w:szCs w:val="18"/>
          <w:rtl/>
        </w:rPr>
        <w:t xml:space="preserve">. </w:t>
      </w:r>
    </w:p>
    <w:p w14:paraId="7300368A" w14:textId="77777777" w:rsidR="007478B2" w:rsidRPr="007F0192" w:rsidRDefault="007478B2" w:rsidP="00347A82">
      <w:pPr>
        <w:spacing w:line="260" w:lineRule="exact"/>
        <w:ind w:left="397"/>
        <w:jc w:val="both"/>
        <w:rPr>
          <w:rFonts w:ascii="Tahoma" w:hAnsi="Tahoma" w:cs="Tahoma"/>
          <w:sz w:val="18"/>
          <w:szCs w:val="18"/>
          <w:rtl/>
        </w:rPr>
      </w:pPr>
      <w:r w:rsidRPr="007F0192">
        <w:rPr>
          <w:rFonts w:ascii="Tahoma" w:hAnsi="Tahoma" w:cs="Tahoma" w:hint="cs"/>
          <w:sz w:val="18"/>
          <w:szCs w:val="18"/>
          <w:rtl/>
        </w:rPr>
        <w:t xml:space="preserve">בתרשים 10 להלן מובאים פרטים על עשרים השירותים המובילים לאזרח, שנבחרו בהליך התעדוף, על מספר השימושים השנתי בכל שירות (מוערך) ועל המשרד המספק את השירות. </w:t>
      </w:r>
    </w:p>
    <w:p w14:paraId="6A3940DE" w14:textId="77777777" w:rsidR="007478B2"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lastRenderedPageBreak/>
        <w:t xml:space="preserve">תרשים 10: </w:t>
      </w:r>
      <w:r w:rsidRPr="007F0192">
        <w:rPr>
          <w:rFonts w:ascii="Tahoma" w:hAnsi="Tahoma" w:cs="Tahoma" w:hint="cs"/>
          <w:b/>
          <w:bCs/>
          <w:color w:val="0D0D0D" w:themeColor="text1" w:themeTint="F2"/>
          <w:sz w:val="18"/>
          <w:szCs w:val="18"/>
          <w:rtl/>
        </w:rPr>
        <w:t>20 השירותים המובילים לאזרח על פי הליך התעדוף</w:t>
      </w:r>
    </w:p>
    <w:p w14:paraId="7CCB11A8" w14:textId="36B9B77A" w:rsidR="002011D2" w:rsidRPr="007F0192" w:rsidRDefault="002011D2" w:rsidP="002011D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0DC08A35" wp14:editId="6794C6F0">
            <wp:extent cx="3781143" cy="6178550"/>
            <wp:effectExtent l="0" t="0" r="0" b="0"/>
            <wp:docPr id="57" name="Picture 57"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calendar&#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95392" cy="6201834"/>
                    </a:xfrm>
                    <a:prstGeom prst="rect">
                      <a:avLst/>
                    </a:prstGeom>
                  </pic:spPr>
                </pic:pic>
              </a:graphicData>
            </a:graphic>
          </wp:inline>
        </w:drawing>
      </w:r>
    </w:p>
    <w:p w14:paraId="444770DE" w14:textId="77777777" w:rsidR="007478B2" w:rsidRPr="002011D2" w:rsidRDefault="007478B2" w:rsidP="002011D2">
      <w:pPr>
        <w:tabs>
          <w:tab w:val="left" w:pos="424"/>
        </w:tabs>
        <w:spacing w:before="120" w:after="0" w:line="260" w:lineRule="exact"/>
        <w:jc w:val="both"/>
        <w:rPr>
          <w:rFonts w:ascii="Tahoma" w:hAnsi="Tahoma" w:cs="Tahoma"/>
          <w:color w:val="0D0D0D" w:themeColor="text1" w:themeTint="F2"/>
          <w:sz w:val="16"/>
          <w:szCs w:val="16"/>
          <w:rtl/>
        </w:rPr>
      </w:pPr>
      <w:r w:rsidRPr="002011D2">
        <w:rPr>
          <w:rFonts w:ascii="Tahoma" w:hAnsi="Tahoma" w:cs="Tahoma" w:hint="cs"/>
          <w:color w:val="0D0D0D" w:themeColor="text1" w:themeTint="F2"/>
          <w:sz w:val="16"/>
          <w:szCs w:val="16"/>
          <w:rtl/>
        </w:rPr>
        <w:t>על פי נתוני ישראל דיגיטלית, בעיבוד משרד מבקר המדינה.</w:t>
      </w:r>
    </w:p>
    <w:p w14:paraId="03C1CE0B" w14:textId="05F9CEBB" w:rsidR="007478B2" w:rsidRPr="002011D2" w:rsidRDefault="007478B2" w:rsidP="002011D2">
      <w:pPr>
        <w:tabs>
          <w:tab w:val="left" w:pos="424"/>
        </w:tabs>
        <w:spacing w:after="240" w:line="260" w:lineRule="exact"/>
        <w:ind w:left="397" w:hanging="397"/>
        <w:jc w:val="both"/>
        <w:rPr>
          <w:rFonts w:ascii="Tahoma" w:hAnsi="Tahoma" w:cs="Tahoma"/>
          <w:color w:val="0D0D0D" w:themeColor="text1" w:themeTint="F2"/>
          <w:sz w:val="16"/>
          <w:szCs w:val="16"/>
          <w:rtl/>
        </w:rPr>
      </w:pPr>
      <w:r w:rsidRPr="002011D2">
        <w:rPr>
          <w:rFonts w:ascii="Tahoma" w:hAnsi="Tahoma" w:cs="Tahoma" w:hint="cs"/>
          <w:color w:val="0D0D0D" w:themeColor="text1" w:themeTint="F2"/>
          <w:sz w:val="16"/>
          <w:szCs w:val="16"/>
          <w:rtl/>
        </w:rPr>
        <w:t xml:space="preserve">* </w:t>
      </w:r>
      <w:r w:rsidR="002011D2">
        <w:rPr>
          <w:rFonts w:ascii="Tahoma" w:hAnsi="Tahoma" w:cs="Tahoma"/>
          <w:color w:val="0D0D0D" w:themeColor="text1" w:themeTint="F2"/>
          <w:sz w:val="16"/>
          <w:szCs w:val="16"/>
        </w:rPr>
        <w:tab/>
      </w:r>
      <w:r w:rsidRPr="002011D2">
        <w:rPr>
          <w:rFonts w:ascii="Tahoma" w:hAnsi="Tahoma" w:cs="Tahoma" w:hint="cs"/>
          <w:color w:val="0D0D0D" w:themeColor="text1" w:themeTint="F2"/>
          <w:sz w:val="16"/>
          <w:szCs w:val="16"/>
          <w:rtl/>
        </w:rPr>
        <w:t>בכל מקום שרשום "אין נתונים", הכוונה היא שלא היה מידע בעניין זה בנתוני מיפוי השירותים הממשלתי.</w:t>
      </w:r>
    </w:p>
    <w:p w14:paraId="3D0A23DC" w14:textId="77777777" w:rsidR="007478B2" w:rsidRPr="002011D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sz w:val="18"/>
          <w:szCs w:val="18"/>
          <w:rtl/>
        </w:rPr>
      </w:pPr>
      <w:r w:rsidRPr="002011D2">
        <w:rPr>
          <w:rFonts w:ascii="Tahoma" w:hAnsi="Tahoma" w:cs="Tahoma" w:hint="cs"/>
          <w:sz w:val="18"/>
          <w:szCs w:val="18"/>
          <w:rtl/>
        </w:rPr>
        <w:lastRenderedPageBreak/>
        <w:t>הביקורת העלתה כי עשרה מ-20 השירותים שנבחרו בהליך התעדוף כ"שירותים מובילים לאזרח" כלל לא נכללו במיפוי</w:t>
      </w:r>
      <w:r w:rsidRPr="002011D2">
        <w:rPr>
          <w:rStyle w:val="af3"/>
          <w:rFonts w:ascii="Tahoma" w:hAnsi="Tahoma" w:cs="Tahoma"/>
          <w:sz w:val="18"/>
          <w:szCs w:val="18"/>
          <w:rtl/>
        </w:rPr>
        <w:footnoteReference w:id="39"/>
      </w:r>
      <w:r w:rsidRPr="002011D2">
        <w:rPr>
          <w:rFonts w:ascii="Tahoma" w:hAnsi="Tahoma" w:cs="Tahoma" w:hint="cs"/>
          <w:sz w:val="18"/>
          <w:szCs w:val="18"/>
          <w:rtl/>
        </w:rPr>
        <w:t>. זאת אף שהליך המיפוי נועד לבסס מאגר שירותים אחוד, רוחבי ומקיף, המשרת כמה מהלכים ממשלתיים לשיפור השירות לציבור</w:t>
      </w:r>
      <w:r w:rsidRPr="002011D2">
        <w:rPr>
          <w:rStyle w:val="af3"/>
          <w:rFonts w:ascii="Tahoma" w:hAnsi="Tahoma" w:cs="Tahoma"/>
          <w:sz w:val="18"/>
          <w:szCs w:val="18"/>
          <w:rtl/>
        </w:rPr>
        <w:footnoteReference w:id="40"/>
      </w:r>
      <w:r w:rsidRPr="002011D2">
        <w:rPr>
          <w:rFonts w:ascii="Tahoma" w:hAnsi="Tahoma" w:cs="Tahoma" w:hint="cs"/>
          <w:sz w:val="18"/>
          <w:szCs w:val="18"/>
          <w:rtl/>
        </w:rPr>
        <w:t>. זאת ועוד, מתוך עשרת השירותים המובילים שהופיעו במיפוי, רק חמישה תוקפו. יוצא אפוא שמ-20 השירותים המובילים, תוקפו חמישה שירותים (25%).</w:t>
      </w:r>
    </w:p>
    <w:p w14:paraId="490E7AAD" w14:textId="77777777" w:rsidR="007478B2" w:rsidRPr="00464BF9" w:rsidRDefault="007478B2" w:rsidP="005A677F">
      <w:pPr>
        <w:pStyle w:val="a"/>
        <w:numPr>
          <w:ilvl w:val="0"/>
          <w:numId w:val="8"/>
        </w:numPr>
        <w:autoSpaceDE/>
        <w:autoSpaceDN/>
        <w:adjustRightInd/>
        <w:spacing w:line="260" w:lineRule="exact"/>
        <w:ind w:left="397" w:hanging="397"/>
        <w:rPr>
          <w:sz w:val="18"/>
          <w:szCs w:val="18"/>
          <w:rtl/>
        </w:rPr>
      </w:pPr>
      <w:r w:rsidRPr="00464BF9">
        <w:rPr>
          <w:rFonts w:hint="cs"/>
          <w:sz w:val="18"/>
          <w:szCs w:val="18"/>
          <w:rtl/>
        </w:rPr>
        <w:t xml:space="preserve">בהמשך להליך המיפוי וכדי לרכז את הן את המידע על האישורים הנדרשים לקבלת השירותים הממשלתיים השונים והן את המידע על הגוף המנפיק כל אישור, הקימה רשות התקשוב את "קטלוג האישורים". ביוני 2019 פרסמה רשות התקשוב באתר המרשתת שלה את הקטלוג וכתבה כי </w:t>
      </w:r>
      <w:r w:rsidRPr="00464BF9">
        <w:rPr>
          <w:sz w:val="18"/>
          <w:szCs w:val="18"/>
          <w:rtl/>
        </w:rPr>
        <w:t xml:space="preserve">המידע </w:t>
      </w:r>
      <w:r w:rsidRPr="00464BF9">
        <w:rPr>
          <w:rFonts w:hint="cs"/>
          <w:sz w:val="18"/>
          <w:szCs w:val="18"/>
          <w:rtl/>
        </w:rPr>
        <w:t>שבו</w:t>
      </w:r>
      <w:r w:rsidRPr="00464BF9">
        <w:rPr>
          <w:sz w:val="18"/>
          <w:szCs w:val="18"/>
          <w:rtl/>
        </w:rPr>
        <w:t xml:space="preserve"> מבוסס על מיפוי השירותים, וזו גרסתו הראשונה</w:t>
      </w:r>
      <w:r w:rsidRPr="00464BF9">
        <w:rPr>
          <w:rFonts w:hint="cs"/>
          <w:sz w:val="18"/>
          <w:szCs w:val="18"/>
          <w:rtl/>
        </w:rPr>
        <w:t>, וכי ב</w:t>
      </w:r>
      <w:r w:rsidRPr="00464BF9">
        <w:rPr>
          <w:sz w:val="18"/>
          <w:szCs w:val="18"/>
          <w:rtl/>
        </w:rPr>
        <w:t xml:space="preserve">תקופה הקרובה יושלם תיקוף קטלוג </w:t>
      </w:r>
      <w:r w:rsidRPr="00464BF9">
        <w:rPr>
          <w:rFonts w:hint="cs"/>
          <w:sz w:val="18"/>
          <w:szCs w:val="18"/>
          <w:rtl/>
        </w:rPr>
        <w:t xml:space="preserve">האישורים, </w:t>
      </w:r>
      <w:r w:rsidRPr="00464BF9">
        <w:rPr>
          <w:sz w:val="18"/>
          <w:szCs w:val="18"/>
          <w:rtl/>
        </w:rPr>
        <w:t>והוא יעודכן אחת לרבעון</w:t>
      </w:r>
      <w:r w:rsidRPr="00464BF9">
        <w:rPr>
          <w:rFonts w:hint="cs"/>
          <w:sz w:val="18"/>
          <w:szCs w:val="18"/>
          <w:rtl/>
        </w:rPr>
        <w:t xml:space="preserve">. </w:t>
      </w:r>
    </w:p>
    <w:p w14:paraId="4B850AD3" w14:textId="77777777" w:rsidR="007478B2" w:rsidRPr="002011D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sz w:val="18"/>
          <w:szCs w:val="18"/>
          <w:rtl/>
        </w:rPr>
      </w:pPr>
      <w:r w:rsidRPr="002011D2">
        <w:rPr>
          <w:rFonts w:ascii="Tahoma" w:hAnsi="Tahoma" w:cs="Tahoma" w:hint="cs"/>
          <w:sz w:val="18"/>
          <w:szCs w:val="18"/>
          <w:rtl/>
        </w:rPr>
        <w:t>הביקורת העלתה כי באוגוסט 2020 כשליש מהמשרדים עדיין לא השלימו את תיקוף המידע בקטלוג האישורים (מתוך 33 משרדים שהתבקשו על ידי רשות התקשוב לתקף את המידע בקטלוג האישורים, 22 עשו זאת).</w:t>
      </w:r>
    </w:p>
    <w:p w14:paraId="0E664ABD" w14:textId="77777777" w:rsidR="002011D2" w:rsidRPr="00D43E82" w:rsidRDefault="002011D2" w:rsidP="002011D2">
      <w:pPr>
        <w:spacing w:before="240" w:after="240" w:line="240" w:lineRule="atLeast"/>
        <w:jc w:val="center"/>
        <w:rPr>
          <w:sz w:val="32"/>
          <w:szCs w:val="32"/>
          <w:rtl/>
        </w:rPr>
      </w:pPr>
      <w:r w:rsidRPr="00D43E82">
        <w:rPr>
          <w:sz w:val="32"/>
          <w:szCs w:val="32"/>
        </w:rPr>
        <w:sym w:font="Wingdings 2" w:char="F0F3"/>
      </w:r>
    </w:p>
    <w:p w14:paraId="0EFC594B" w14:textId="77777777" w:rsidR="007478B2" w:rsidRPr="002011D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sz w:val="18"/>
          <w:szCs w:val="18"/>
          <w:rtl/>
        </w:rPr>
      </w:pPr>
      <w:r w:rsidRPr="002011D2">
        <w:rPr>
          <w:rFonts w:ascii="Tahoma" w:hAnsi="Tahoma" w:cs="Tahoma" w:hint="cs"/>
          <w:sz w:val="18"/>
          <w:szCs w:val="18"/>
          <w:rtl/>
        </w:rPr>
        <w:t xml:space="preserve">תיקוף המיפוי כמסד נתונים הוא קריטי ליכולתה של רשות התקשוב להעריך את התקדמות הממשלה ביישום מדיניות פעם אחת, את החסמים בתהליך ואת נקודות ההתערבות הרצויות. ממצאי פרק זה מלמדים כי הליך תיקוף השירותים במיפוי לא הושלם. </w:t>
      </w:r>
    </w:p>
    <w:p w14:paraId="01FA4188" w14:textId="77777777" w:rsidR="007478B2" w:rsidRPr="002011D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sz w:val="18"/>
          <w:szCs w:val="18"/>
          <w:rtl/>
        </w:rPr>
      </w:pPr>
      <w:r w:rsidRPr="002011D2">
        <w:rPr>
          <w:rFonts w:ascii="Tahoma" w:hAnsi="Tahoma" w:cs="Tahoma" w:hint="cs"/>
          <w:sz w:val="18"/>
          <w:szCs w:val="18"/>
          <w:rtl/>
        </w:rPr>
        <w:t>כל עוד לא התבצע תיקוף מלא של רשימת השירותים על ידי כל משרד, קשה להעריך את מספרם הכולל של השירותים הניתנים, ובהתאם לכך - מהו שיעור השירותים בהם מיושמת מדיניות פעם אחת. כמו כן לא ניתן לקיים הליך מיטבי של הצבת יעדים ליישום המדיניות בכל משרד ולבצע בקרה על מימושם (ראו להלן בפרק בנושא "קביעת יעדים לצמצום היקף המידע והאישורים").</w:t>
      </w:r>
    </w:p>
    <w:p w14:paraId="78B0A31E"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התברר</w:t>
      </w:r>
      <w:r w:rsidRPr="007F0192">
        <w:rPr>
          <w:rStyle w:val="af3"/>
          <w:rFonts w:ascii="Tahoma" w:hAnsi="Tahoma" w:cs="Tahoma"/>
          <w:sz w:val="18"/>
          <w:szCs w:val="18"/>
          <w:rtl/>
        </w:rPr>
        <w:footnoteReference w:id="41"/>
      </w:r>
      <w:r w:rsidRPr="007F0192">
        <w:rPr>
          <w:rFonts w:ascii="Tahoma" w:hAnsi="Tahoma" w:cs="Tahoma" w:hint="cs"/>
          <w:sz w:val="18"/>
          <w:szCs w:val="18"/>
          <w:rtl/>
        </w:rPr>
        <w:t xml:space="preserve"> כי במשרדים מוטי השירות (משפטים, אוכלוסין, כלכלה, תחבורה ובריאות) תהליך המיפוי בוצע בניהול ישראל דיגיטלית, וכי המשרדים נדרשו לאשר ולתקף את התוצרים במיפוי בדיעבד. הדבר גרם לפער בין המיפוי לבין צורכי המשרדים, שגרת העבודה שלהם, הגדרת השירותים העסקיים ומעקב אחר המימוש בתשתיות דיגיטליות רוחביות. </w:t>
      </w:r>
    </w:p>
    <w:p w14:paraId="2B6EB641"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עוד התברר</w:t>
      </w:r>
      <w:r w:rsidRPr="007F0192">
        <w:rPr>
          <w:rStyle w:val="af3"/>
          <w:rFonts w:ascii="Tahoma" w:hAnsi="Tahoma" w:cs="Tahoma"/>
          <w:sz w:val="18"/>
          <w:szCs w:val="18"/>
          <w:rtl/>
        </w:rPr>
        <w:footnoteReference w:id="42"/>
      </w:r>
      <w:r w:rsidRPr="007F0192">
        <w:rPr>
          <w:rFonts w:ascii="Tahoma" w:hAnsi="Tahoma" w:cs="Tahoma" w:hint="cs"/>
          <w:sz w:val="18"/>
          <w:szCs w:val="18"/>
          <w:rtl/>
        </w:rPr>
        <w:t xml:space="preserve"> כי המידע על שירותי הממשלה מנוהל כיום בארבעה מאגרים שונים ונפרדים: מיפוי השירותים, שירות התשלומים, שירות הטפסים ודפי השירות באתר </w:t>
      </w:r>
      <w:r w:rsidRPr="007F0192">
        <w:rPr>
          <w:rFonts w:ascii="Tahoma" w:hAnsi="Tahoma" w:cs="Tahoma"/>
          <w:sz w:val="18"/>
          <w:szCs w:val="18"/>
        </w:rPr>
        <w:t>gov.il</w:t>
      </w:r>
      <w:r w:rsidRPr="007F0192">
        <w:rPr>
          <w:rFonts w:ascii="Tahoma" w:hAnsi="Tahoma" w:cs="Tahoma" w:hint="cs"/>
          <w:sz w:val="18"/>
          <w:szCs w:val="18"/>
          <w:rtl/>
        </w:rPr>
        <w:t xml:space="preserve"> ("גוב"). כל מאגר מאופיין בשדות מידע שונים, ומניב מידע חלקי עבור כל אחד מהשירותים בנפרד, בלי לאפשר יצירה של קשר חד-חד ערכי בין השירותים, המקנה תמונת מצב שלמה ומלאה על המאגרים </w:t>
      </w:r>
      <w:r w:rsidRPr="007F0192">
        <w:rPr>
          <w:rFonts w:ascii="Tahoma" w:hAnsi="Tahoma" w:cs="Tahoma" w:hint="cs"/>
          <w:sz w:val="18"/>
          <w:szCs w:val="18"/>
          <w:rtl/>
        </w:rPr>
        <w:lastRenderedPageBreak/>
        <w:t xml:space="preserve">השונים. לדוגמה, היעדר אחידות בין השירותים מקשה על יצירת הקשר בין שירות לשירות ובין שירות לאישור הנדרש לקבלתו, לצורך יישום מדיניות פעם אחת. </w:t>
      </w:r>
    </w:p>
    <w:p w14:paraId="5152ABDC"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רשות התקשוב מסרה למשרד מבקר המדינה בנובמבר 2020 כי כדי לצמצם את הפער האמור מתבצע תהליך, בהובלה משותפת של רשות התקשוב וישראל דיגיטלית, ליצירת "קטלוג שירותים ממשלתי אחוד" (להלן - הקטלוג האחוד). הקטלוג האחוד נועד לשתי מטרות מרכזיות: (א) יצירת תמונת מצב מלאה עבור כל גורמי המטה העוסקים בשירות, דיגיטציה וקביעת כיווני פעולה; (ב) מתן כלי אפקטיבי למשרדים לניהול השירותים עצמם, הגדרת מדדי ביצוע מרכזיים ומעקב אחר ערוצי השירות השונים. </w:t>
      </w:r>
    </w:p>
    <w:p w14:paraId="6B98055D"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הקטלוג האחוד ישמש מסד נתונים, שיהיה רשימת מקור, ובו יעודכנו שדות המידע המרכזיים על רשומת השירות. מסד נתונים זה יהיה פתוח וזמין הן לשימוש המשרדים במערכת מרכזית, והן לצריכתו באמצעות ממשק ולשימוש בו במערכות התפעוליות של המשרד עצמו. כל שירות ייבחן בראייה רחבה וכללית יותר. רשות התקשוב צופה כי הקטלוג האחוד, המבוסס על מיפוי השירותים הקיים, יעלה למערכת "איתם"</w:t>
      </w:r>
      <w:r w:rsidRPr="007F0192">
        <w:rPr>
          <w:rStyle w:val="af3"/>
          <w:rFonts w:ascii="Tahoma" w:hAnsi="Tahoma" w:cs="Tahoma"/>
          <w:sz w:val="18"/>
          <w:szCs w:val="18"/>
          <w:rtl/>
        </w:rPr>
        <w:footnoteReference w:id="43"/>
      </w:r>
      <w:r w:rsidRPr="007F0192">
        <w:rPr>
          <w:rFonts w:ascii="Tahoma" w:hAnsi="Tahoma" w:cs="Tahoma" w:hint="cs"/>
          <w:sz w:val="18"/>
          <w:szCs w:val="18"/>
          <w:rtl/>
        </w:rPr>
        <w:t xml:space="preserve"> בשנת 2021, בכפוף לזמינות תקציבית, ולאחר מכן יתבצע תהליך מול המשרדים להשלמת התיקוף שלו. </w:t>
      </w:r>
    </w:p>
    <w:p w14:paraId="4212B6F3" w14:textId="77777777" w:rsidR="007478B2" w:rsidRPr="002011D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sz w:val="18"/>
          <w:szCs w:val="18"/>
          <w:rtl/>
        </w:rPr>
      </w:pPr>
      <w:r w:rsidRPr="002011D2">
        <w:rPr>
          <w:rFonts w:ascii="Tahoma" w:hAnsi="Tahoma" w:cs="Tahoma" w:hint="cs"/>
          <w:sz w:val="18"/>
          <w:szCs w:val="18"/>
          <w:rtl/>
        </w:rPr>
        <w:t xml:space="preserve">במטרה לבצע תיקוף כולל ומיטבי של השירותים במיפוי ובקטלוג האחוד נדרשת מחויבות גבוהה של המשרדים לנושא ושיתוף פעולה מלא שלהם עם ישראל דיגיטלית ורשות התקשוב. על כלל המשרדים לפעול להשלמת תיקוף השירותים שלהם במיפוי; ועל רשות התקשוב וישראל דיגיטלית לקבוע לוחות זמנים ויעדים להתקדמות בפעולות ליצירת הקטלוג האחוד ולתיקופו מול המשרדים ולעקוב אחר עמידת המשרדים בלוחות הזמנים והיעדים ולדווח לממשלה בהתאם. </w:t>
      </w:r>
    </w:p>
    <w:p w14:paraId="63014CFC" w14:textId="77777777" w:rsidR="007478B2" w:rsidRPr="002011D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sz w:val="18"/>
          <w:szCs w:val="18"/>
          <w:rtl/>
        </w:rPr>
      </w:pPr>
      <w:r w:rsidRPr="002011D2">
        <w:rPr>
          <w:rFonts w:ascii="Tahoma" w:hAnsi="Tahoma" w:cs="Tahoma" w:hint="cs"/>
          <w:sz w:val="18"/>
          <w:szCs w:val="18"/>
          <w:rtl/>
        </w:rPr>
        <w:t>כמו כן, כדי לשמור על מאגר השירותים במיפוי השירותים ובקטלוג האחוד מעודכן ומתוקף, מוצע כי רשות התקשוב וישראל דיגיטלית, בשיתוף עם כלל המשרדים, יבחנו דרכים לעדכון עיתי ואפקטיבי של המידע ולטיוב שלו. כך למשל, מוצע לבחון שילוב של הנושא במסגרת יעדי תוכניות העבודה המשרדיות וקביעת אבני דרך ליישום, ואיתור גורמים רלוונטיים במשרדי הממשלה שיודעים כאשר שירותים משתנים ויוכלו לעדכן את המערכת. כן יש לבחון שיתוף פעולה עם מכלול הגורמים המעורבים בתהליכי השירות כגון אגפי תכנון, סמנכ"לי שירות ומנהלי מערכות מידע במשרדים</w:t>
      </w:r>
      <w:r w:rsidRPr="002011D2">
        <w:rPr>
          <w:rStyle w:val="af3"/>
          <w:rFonts w:ascii="Tahoma" w:hAnsi="Tahoma" w:cs="Tahoma"/>
          <w:sz w:val="18"/>
          <w:szCs w:val="18"/>
          <w:rtl/>
        </w:rPr>
        <w:footnoteReference w:id="44"/>
      </w:r>
      <w:r w:rsidRPr="002011D2">
        <w:rPr>
          <w:rFonts w:ascii="Tahoma" w:hAnsi="Tahoma" w:cs="Tahoma" w:hint="cs"/>
          <w:sz w:val="18"/>
          <w:szCs w:val="18"/>
          <w:rtl/>
        </w:rPr>
        <w:t xml:space="preserve">. זאת ועוד, מומלץ כי רשות התקשוב תשלים את הפעולות הנדרשות לפרסום המדריך להעברת מידע למשרדים כדי לספק להם תמונה כוללת על שלבי תהליך העברת מידע בממשלה, לרבות תפקיד המיפוי בתהליך והחשיבות בתיקופו. </w:t>
      </w:r>
    </w:p>
    <w:p w14:paraId="43F34F0A" w14:textId="5F86B216" w:rsidR="007478B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sz w:val="18"/>
          <w:szCs w:val="18"/>
        </w:rPr>
      </w:pPr>
      <w:r w:rsidRPr="002011D2">
        <w:rPr>
          <w:rFonts w:ascii="Tahoma" w:hAnsi="Tahoma" w:cs="Tahoma" w:hint="cs"/>
          <w:sz w:val="18"/>
          <w:szCs w:val="18"/>
          <w:rtl/>
        </w:rPr>
        <w:t xml:space="preserve">יצוין כי מגפת הקורונה חוללה מציאות המאופיינת בביקושים גדולים יותר לשירותים ממשלתיים דיגיטליים, שאף צפויים להתרחב בשנים הקרובות. מגמה זו דורשת היערכות ממשלתית, הכוללת תשתית מהימנה של כלי עבודה מבוססי נתונים, כגון מיפוי השירותים והקטלוג האחוד. זאת לצורך ניתוח והערכה של מדיניות, וכדי לקדם מהלכים רחבים וחוצי-משרדים בממשלה לשם שיפור השירות לציבור והקלת הנטל הבירוקרטי. </w:t>
      </w:r>
    </w:p>
    <w:p w14:paraId="4D6AE928" w14:textId="77777777" w:rsidR="006E056F" w:rsidRPr="002011D2" w:rsidRDefault="006E056F" w:rsidP="006E056F">
      <w:pPr>
        <w:spacing w:after="0" w:line="180" w:lineRule="exact"/>
        <w:jc w:val="both"/>
        <w:rPr>
          <w:rFonts w:ascii="Tahoma" w:hAnsi="Tahoma" w:cs="Tahoma"/>
          <w:sz w:val="18"/>
          <w:szCs w:val="18"/>
          <w:rtl/>
        </w:rPr>
      </w:pPr>
    </w:p>
    <w:p w14:paraId="682C1742" w14:textId="77777777" w:rsidR="007478B2" w:rsidRPr="002011D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sz w:val="18"/>
          <w:szCs w:val="18"/>
          <w:rtl/>
        </w:rPr>
      </w:pPr>
      <w:r w:rsidRPr="002011D2">
        <w:rPr>
          <w:rFonts w:ascii="Tahoma" w:hAnsi="Tahoma" w:cs="Tahoma" w:hint="cs"/>
          <w:sz w:val="18"/>
          <w:szCs w:val="18"/>
          <w:rtl/>
        </w:rPr>
        <w:lastRenderedPageBreak/>
        <w:t xml:space="preserve">המעבר לשירותים דיגיטליים צפוי להתבטא בחיסכון בעלויות אספקת השירותים לציבור. מומלץ לבחון דרכים למדידת ההשפעה של יישום שירותים ממשלתיים דיגיטליים בהיבטי חיסכון והתייעלות. זאת על מנת שניתן יהיה להציב יעדים בתחום זה, בין היתר לצורך התייעלות ממשלתית והקצאת משאבים מיטבית בתחום השירות לציבור. </w:t>
      </w:r>
    </w:p>
    <w:p w14:paraId="7E853D01"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רשות התקשוב מסרה בתשובתה כי כגוף מטה היא אחראית להתנעת הפעילות, לביצוע מעקב ומדידה, ולהעמדת כלי יישום לרשות המשרדים וריכוז היבטי רוחב בהחלטת הממשלה. עם זאת, חובת היישום, בדגש על חובת מימוש מדיניות פעם אחת, מוטלת על משרדי הממשלה המספקים את השירותים לציבור ונמצאת באחריותם, ומימוש יעדי הממשלה תלויים בשיתוף פעולה בין גורמי המטה הממשלתיים לבין הגורמים המבצעים. רשות התקשוב הוסיפה כי היכולת לקדם מהלכי רוחב משמעותיים, לגבש אסטרטגיה מבוססת ערך ולייצר שיתופי פעולה כרוכה בקיומם של משאבי תקציב זמינים לביצוע הפעילות. היא ציינה כי הפעילות הענפה בתחום מתקיימת על אף היעדר משאבים הולמים בשנתיים האחרונות, וזאת משום החשיבות הרבה שמייחסים לכך רשות התקשוב, משרד הדיגיטל הלאומי והממשלה ככלל. עם זאת, חלק מהיוזמות והפעילויות המתוכננות, דוגמת קטלוג השירותים האחוד, הושפעו ישירות מהיעדר התקציב.</w:t>
      </w:r>
    </w:p>
    <w:p w14:paraId="58823D22" w14:textId="77777777" w:rsidR="007478B2" w:rsidRPr="007F0192" w:rsidRDefault="007478B2" w:rsidP="00347A82">
      <w:pPr>
        <w:spacing w:line="260" w:lineRule="exact"/>
        <w:jc w:val="both"/>
        <w:rPr>
          <w:rFonts w:ascii="Tahoma" w:hAnsi="Tahoma" w:cs="Tahoma"/>
          <w:b/>
          <w:bCs/>
          <w:sz w:val="18"/>
          <w:szCs w:val="18"/>
          <w:rtl/>
        </w:rPr>
      </w:pPr>
    </w:p>
    <w:p w14:paraId="17701F3D" w14:textId="77777777" w:rsidR="007478B2" w:rsidRDefault="007478B2" w:rsidP="007478B2">
      <w:pPr>
        <w:pStyle w:val="KOT4N"/>
        <w:rPr>
          <w:rtl/>
        </w:rPr>
      </w:pPr>
      <w:r>
        <w:rPr>
          <w:rFonts w:hint="cs"/>
          <w:rtl/>
        </w:rPr>
        <w:t xml:space="preserve">שילוב גופים ציבוריים נוספים במיפוי השירותים </w:t>
      </w:r>
    </w:p>
    <w:p w14:paraId="436B317D"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בהחלטה משנת 2016 הוטל על ראש רשות התקשוב בשיתוף ישראל דיגיטלית לעודד גופים ציבוריים לשתף ביניהם ובין משרדי ממשלה מידע, לשם שיפור השירות לציבור. זאת בשים לב למאפיינים הייחודיים של הגופים הציבוריים השונים, בכפוף לכך שאין מניעה משפטית על פי דין או משיקולים רלוונטיים נוספים ובשים לב לנושאי אבטחת מידע, הגנה על פרטיות וכו'. </w:t>
      </w:r>
    </w:p>
    <w:p w14:paraId="02566972"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כמו כן נקבע בהחלטה משנת 2016 להטיל על שר הרווחה והשירותים החברתיים לפנות למוסד לביטוח לאומי כדי לבחון את אימוץ האמור בחלק מסעיפי ההחלטה</w:t>
      </w:r>
      <w:r w:rsidRPr="007F0192">
        <w:rPr>
          <w:rStyle w:val="af3"/>
          <w:rFonts w:ascii="Tahoma" w:hAnsi="Tahoma" w:cs="Tahoma"/>
          <w:sz w:val="18"/>
          <w:szCs w:val="18"/>
          <w:rtl/>
        </w:rPr>
        <w:footnoteReference w:id="45"/>
      </w:r>
      <w:r w:rsidRPr="007F0192">
        <w:rPr>
          <w:rFonts w:ascii="Tahoma" w:hAnsi="Tahoma" w:cs="Tahoma" w:hint="cs"/>
          <w:sz w:val="18"/>
          <w:szCs w:val="18"/>
          <w:rtl/>
        </w:rPr>
        <w:t xml:space="preserve"> לעניין שיתוף מידע בינו לבין משרדי ממשלה. יצוין כי המוסד לביטוח לאומי הוא תאגיד סטטוטורי, וככזה החלטת הממשלה משנת 2016 אינה חלה עליו באופן אוטומטי.</w:t>
      </w:r>
    </w:p>
    <w:p w14:paraId="4817F682" w14:textId="77777777" w:rsidR="007478B2" w:rsidRPr="007F0192" w:rsidRDefault="007478B2" w:rsidP="00347A82">
      <w:pPr>
        <w:spacing w:line="260" w:lineRule="exact"/>
        <w:jc w:val="both"/>
        <w:rPr>
          <w:rFonts w:ascii="Tahoma" w:hAnsi="Tahoma" w:cs="Tahoma"/>
          <w:sz w:val="18"/>
          <w:szCs w:val="18"/>
        </w:rPr>
      </w:pPr>
      <w:r w:rsidRPr="007F0192">
        <w:rPr>
          <w:rFonts w:ascii="Tahoma" w:hAnsi="Tahoma" w:cs="Tahoma" w:hint="cs"/>
          <w:sz w:val="18"/>
          <w:szCs w:val="18"/>
          <w:rtl/>
        </w:rPr>
        <w:t>בהחלטה משנת 2020 נקבע בין היתר כי יש להקים צוותי משימה, ובהם חברים גם נציגי הביטוח הלאומי</w:t>
      </w:r>
      <w:r w:rsidRPr="007F0192">
        <w:rPr>
          <w:rStyle w:val="af3"/>
          <w:rFonts w:ascii="Tahoma" w:hAnsi="Tahoma" w:cs="Tahoma"/>
          <w:sz w:val="18"/>
          <w:szCs w:val="18"/>
          <w:rtl/>
        </w:rPr>
        <w:footnoteReference w:id="46"/>
      </w:r>
      <w:r w:rsidRPr="007F0192">
        <w:rPr>
          <w:rFonts w:ascii="Tahoma" w:hAnsi="Tahoma" w:cs="Tahoma" w:hint="cs"/>
          <w:sz w:val="18"/>
          <w:szCs w:val="18"/>
          <w:rtl/>
        </w:rPr>
        <w:t xml:space="preserve"> והשלטון המקומי, שיפעלו להעלות לאוויר שירותים אחודים, ברמה בין-משרדית, באזור האישי, תוך ביצוע צעדים להקלת הנטל הבירוקרטי ויישום מדיניות פעם אחת, וזאת עד אפריל 2021. כך למשל, צוותי המשימה יעסקו במתן שירותים בתחומים: מעבר דירה, מעבר בין עבודות, לידה, סיעוד, נכות ועוד.</w:t>
      </w:r>
    </w:p>
    <w:p w14:paraId="5A58A6A1"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מנכ"ל הביטוח הלאומי (להלן - המנכ"ל) מסר למשרד מבקר המדינה בדצמבר 2020 כי הביטוח הלאומי בחן והחליט לאמץ את מדיניות פעם אחת. זאת לאור המדיניות של הביטוח הלאומי לצמצם בירוקרטיה, לשאוף למיצוי זכויות של המבוטח ולהעניק לו את השירות הטוב והשקוף ביותר. המנכ"ל ציין כי הביטוח הלאומי הוא גוף סטטוטורי (ולא משרד ממשלתי), וכי הדבר צוין בהחלטה משנת 2020, המשלימה להחלטה משנת 2016. </w:t>
      </w:r>
    </w:p>
    <w:p w14:paraId="15FD5152"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lastRenderedPageBreak/>
        <w:t>המנכ"ל הוסיף כי הביטוח הלאומי נוקט זה שנים פעולות ליישום מדיניות פעם אחת. לביטוח הלאומי יש ממשקים עם גורמים חיצוניים לצורך קבלת מידע</w:t>
      </w:r>
      <w:r w:rsidRPr="007F0192">
        <w:rPr>
          <w:rStyle w:val="af3"/>
          <w:rFonts w:ascii="Tahoma" w:hAnsi="Tahoma" w:cs="Tahoma"/>
          <w:sz w:val="18"/>
          <w:szCs w:val="18"/>
          <w:rtl/>
        </w:rPr>
        <w:footnoteReference w:id="47"/>
      </w:r>
      <w:r w:rsidRPr="007F0192">
        <w:rPr>
          <w:rFonts w:ascii="Tahoma" w:hAnsi="Tahoma" w:cs="Tahoma" w:hint="cs"/>
          <w:sz w:val="18"/>
          <w:szCs w:val="18"/>
          <w:rtl/>
        </w:rPr>
        <w:t>. כמו כן, האגפים השונים בביטוח הלאומי יוצרים קשר שוטף עם משרדי ממשלה אחרים, ומייצרים שיתופי פעולה איתם לאחר מיפוי שירותים ובחינת הצורך לצמצום בקשות מידע ואישורים ממבוטחים</w:t>
      </w:r>
      <w:r w:rsidRPr="007F0192">
        <w:rPr>
          <w:rStyle w:val="af3"/>
          <w:rFonts w:ascii="Tahoma" w:hAnsi="Tahoma" w:cs="Tahoma"/>
          <w:sz w:val="18"/>
          <w:szCs w:val="18"/>
          <w:rtl/>
        </w:rPr>
        <w:footnoteReference w:id="48"/>
      </w:r>
      <w:r w:rsidRPr="007F0192">
        <w:rPr>
          <w:rFonts w:ascii="Tahoma" w:hAnsi="Tahoma" w:cs="Tahoma" w:hint="cs"/>
          <w:sz w:val="18"/>
          <w:szCs w:val="18"/>
          <w:rtl/>
        </w:rPr>
        <w:t xml:space="preserve">. </w:t>
      </w:r>
    </w:p>
    <w:p w14:paraId="322580AB"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עוד מסר המנכ"ל כי הביטוח הלאומי החל בשנתיים האחרונות את עבודתו עם ישראל דיגיטלית, על מנת למפות את השירותים הנחוצים ביותר, לתעדף אותם ולפתח תוכנית עבודה סדורה. המנכ"ל ציין כי בחודשים האחרונים ובהמשך להחלטה משנת 2020 הוקמו כמה צוותי עבודה לקידום הנושא</w:t>
      </w:r>
      <w:r w:rsidRPr="007F0192">
        <w:rPr>
          <w:rStyle w:val="af3"/>
          <w:rFonts w:ascii="Tahoma" w:hAnsi="Tahoma" w:cs="Tahoma"/>
          <w:sz w:val="18"/>
          <w:szCs w:val="18"/>
          <w:rtl/>
        </w:rPr>
        <w:footnoteReference w:id="49"/>
      </w:r>
      <w:r w:rsidRPr="007F0192">
        <w:rPr>
          <w:rFonts w:ascii="Tahoma" w:hAnsi="Tahoma" w:cs="Tahoma" w:hint="cs"/>
          <w:sz w:val="18"/>
          <w:szCs w:val="18"/>
          <w:rtl/>
        </w:rPr>
        <w:t xml:space="preserve">. </w:t>
      </w:r>
    </w:p>
    <w:p w14:paraId="63C5FDB4" w14:textId="77777777" w:rsidR="007478B2" w:rsidRPr="002011D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sz w:val="18"/>
          <w:szCs w:val="18"/>
          <w:rtl/>
        </w:rPr>
      </w:pPr>
      <w:r w:rsidRPr="002011D2">
        <w:rPr>
          <w:rFonts w:ascii="Tahoma" w:hAnsi="Tahoma" w:cs="Tahoma" w:hint="cs"/>
          <w:sz w:val="18"/>
          <w:szCs w:val="18"/>
          <w:rtl/>
        </w:rPr>
        <w:t xml:space="preserve">הביטוח הלאומי הוא גורם מרכזי באספקת שירותים לציבור, ובעיקר לאוכלוסיות ראויות לקידום הנזקקות לשירותיו ונדרשות לסיוע במיצוי זכויותיהן. מכאן שנודעת חשיבות רבה לפעולות שהביטוח הלאומי נוקט להקלת הנטל הבירוקרטי המוטל על המבוטחים, וליישום מדיניות פעם אחת בשירותיו. </w:t>
      </w:r>
    </w:p>
    <w:p w14:paraId="3DA2DD93" w14:textId="77777777" w:rsidR="007478B2" w:rsidRPr="002011D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sz w:val="18"/>
          <w:szCs w:val="18"/>
          <w:rtl/>
        </w:rPr>
      </w:pPr>
      <w:r w:rsidRPr="002011D2">
        <w:rPr>
          <w:rFonts w:ascii="Tahoma" w:hAnsi="Tahoma" w:cs="Tahoma" w:hint="cs"/>
          <w:sz w:val="18"/>
          <w:szCs w:val="18"/>
          <w:rtl/>
        </w:rPr>
        <w:t xml:space="preserve">על הביטוח הלאומי להמשיך לפעול בשיתוף פעולה עם ישראל דיגיטלית למיפוי השירותים שהוא נותן לציבור. זאת כדי לייצר תמונה רוחבית וכוללת של השירותים הממשלתיים לציבור בקטלוג האחוד, לצורך קידום מהלכים של שיפור השירות ומיצוי זכויות. </w:t>
      </w:r>
    </w:p>
    <w:p w14:paraId="2C1B1B8F" w14:textId="77777777" w:rsidR="007478B2" w:rsidRPr="002011D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sz w:val="18"/>
          <w:szCs w:val="18"/>
        </w:rPr>
      </w:pPr>
      <w:r w:rsidRPr="002011D2">
        <w:rPr>
          <w:rFonts w:ascii="Tahoma" w:hAnsi="Tahoma" w:cs="Tahoma" w:hint="cs"/>
          <w:sz w:val="18"/>
          <w:szCs w:val="18"/>
          <w:rtl/>
        </w:rPr>
        <w:t xml:space="preserve">כמו כן, מאחר שהרשויות המקומיות מספקות שירותים רבים לציבור, ועל מנת לזהות את השירותים המוניציפליים שבהם נדרשת העברת מידע מהממשלה, מוצע לבחון את שילוב הרשויות המקומיות בהליך מיפוי השירותים ותיקופם בקטלוג האחוד. זאת ועוד, מוצע לבחון את הצורך בשילוב גופים ציבוריים נוספים המספקים שירותים רבים לאזרח, כגון בתי חולים, קופות חולים וחלק מהחברות הממשלתיות. </w:t>
      </w:r>
    </w:p>
    <w:p w14:paraId="26FCF78C" w14:textId="77777777" w:rsidR="007478B2" w:rsidRPr="007F0192" w:rsidRDefault="007478B2" w:rsidP="00347A82">
      <w:pPr>
        <w:spacing w:line="260" w:lineRule="exact"/>
        <w:jc w:val="both"/>
        <w:rPr>
          <w:rFonts w:ascii="Tahoma" w:hAnsi="Tahoma" w:cs="Tahoma"/>
          <w:b/>
          <w:bCs/>
          <w:sz w:val="18"/>
          <w:szCs w:val="18"/>
        </w:rPr>
      </w:pPr>
    </w:p>
    <w:p w14:paraId="51B16AFC" w14:textId="77777777" w:rsidR="007478B2" w:rsidRPr="000A410A" w:rsidRDefault="007478B2" w:rsidP="007478B2">
      <w:pPr>
        <w:pStyle w:val="KOT3N"/>
        <w:rPr>
          <w:rtl/>
        </w:rPr>
      </w:pPr>
      <w:r>
        <w:rPr>
          <w:rFonts w:hint="cs"/>
          <w:rtl/>
        </w:rPr>
        <w:t xml:space="preserve">קביעת </w:t>
      </w:r>
      <w:r w:rsidRPr="000A410A">
        <w:rPr>
          <w:rFonts w:hint="cs"/>
          <w:rtl/>
        </w:rPr>
        <w:t>יעדים לצמצום היקף המידע והאישורים</w:t>
      </w:r>
    </w:p>
    <w:p w14:paraId="1E621712"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בהחלטה משנת 2016 נקבע כי המשרדים יקבעו בתכניות העבודה השנתיות שלהם יעדים לכל אחת מהשנים 2017 ו-2018 לצמצום היקף המידע והאישורים הנדרשים מהציבור לשם קבלת שירותים מהמשרד. זאת, בין היתר, באמצעות דרישת מידע מהמשרדים שבידיהם הוא נמצא. עוד נקבע בהחלטה כי היעדים וקצב השגתם ידווחו לוועדת ההיגוי, וכי השלמת המיפוי אינו תנאי לקביעת היעדים ולמימושם. כמו כן נקבע כי רשות התקשוב תבצע מעקב ובקרה אחר פעילות המשרדים לשיפור תהליכי העברת המידע.</w:t>
      </w:r>
    </w:p>
    <w:p w14:paraId="341BD8FE" w14:textId="77777777" w:rsidR="007478B2" w:rsidRPr="002011D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sz w:val="18"/>
          <w:szCs w:val="18"/>
          <w:rtl/>
        </w:rPr>
      </w:pPr>
      <w:r w:rsidRPr="002011D2">
        <w:rPr>
          <w:rFonts w:ascii="Tahoma" w:hAnsi="Tahoma" w:cs="Tahoma" w:hint="cs"/>
          <w:sz w:val="18"/>
          <w:szCs w:val="18"/>
          <w:rtl/>
        </w:rPr>
        <w:lastRenderedPageBreak/>
        <w:t>על פי נתוני רשות התקשוב</w:t>
      </w:r>
      <w:r w:rsidRPr="002011D2">
        <w:rPr>
          <w:rStyle w:val="af3"/>
          <w:rFonts w:ascii="Tahoma" w:hAnsi="Tahoma" w:cs="Tahoma"/>
          <w:sz w:val="18"/>
          <w:szCs w:val="18"/>
          <w:rtl/>
        </w:rPr>
        <w:footnoteReference w:id="50"/>
      </w:r>
      <w:r w:rsidRPr="002011D2">
        <w:rPr>
          <w:rFonts w:ascii="Tahoma" w:hAnsi="Tahoma" w:cs="Tahoma" w:hint="cs"/>
          <w:sz w:val="18"/>
          <w:szCs w:val="18"/>
          <w:rtl/>
        </w:rPr>
        <w:t xml:space="preserve">, נכון למרץ 2018, רק 40% מהמשרדים הציבו יעדים כאמור בתוכנית העבודה שלהם לשנת 2018. </w:t>
      </w:r>
    </w:p>
    <w:p w14:paraId="2B605EBE"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ביולי 2018 פרסמה רשות התקשוב למשרדים הנחיות לגיבוש תוכנית העבודה בתחום התקשוב ל-2019, ובהן כתבה בין היתר כי תוכנית העבודה המשרדית צריכה לכלול, על פי מידת הרלוונטיות למשרד, משימות שמטרתן לקדם יעדי ממשלה רוחביים התורמים למימוש תפיסת "האזרח במרכז", ובהן יישום מדיניות פעם אחת. </w:t>
      </w:r>
    </w:p>
    <w:p w14:paraId="2B1F6A07"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בהנחיות האמורות נדרשו המשרדים לדווח על מספר השירותים שבהם הופחתה הדרישה מהאזרח למסור פריטי מידע או אישורים בשנת 2018, הודות לקבלתם ישירות ממשרד המקור. כמו כן, כל משרד נדרש לפתח או להסב לפחות חמישה שירותים דיגיטליים חדשים בתצורת מדיניות פעם אחת בכל שנה החל משנת 2019; ומשרדים מרובי שירותים נדרשו לפתח או להסב לפחות עשרה שירותים דיגיטליים בתצורה זו. </w:t>
      </w:r>
    </w:p>
    <w:p w14:paraId="6F336190" w14:textId="77777777" w:rsidR="007478B2" w:rsidRPr="007F0192" w:rsidRDefault="007478B2" w:rsidP="00347A82">
      <w:pPr>
        <w:spacing w:line="260" w:lineRule="exact"/>
        <w:jc w:val="both"/>
        <w:rPr>
          <w:rFonts w:ascii="Tahoma" w:hAnsi="Tahoma" w:cs="Tahoma"/>
          <w:b/>
          <w:bCs/>
          <w:sz w:val="18"/>
          <w:szCs w:val="18"/>
          <w:rtl/>
        </w:rPr>
      </w:pPr>
      <w:r w:rsidRPr="007F0192">
        <w:rPr>
          <w:rFonts w:ascii="Tahoma" w:hAnsi="Tahoma" w:cs="Tahoma" w:hint="cs"/>
          <w:sz w:val="18"/>
          <w:szCs w:val="18"/>
          <w:rtl/>
        </w:rPr>
        <w:t>באוגוסט 2020 העבירה רשות התקשוב למשרד מבקר המדינה את הדיווחים שהגישו לה המשרדים בתוכניות העבודה שלהם לשנת 2019 על מספר השירותים שבהם יושמה העברת מידע בשנת 2018 ועל מספר השירותים המתוכנן ליישום בשנת 2019. משרד מבקר המדינה בדק דיווחים אלו. להלן פרטים:</w:t>
      </w:r>
    </w:p>
    <w:p w14:paraId="2132B50B" w14:textId="77777777" w:rsidR="007478B2" w:rsidRPr="002011D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2011D2">
        <w:rPr>
          <w:rFonts w:ascii="Tahoma" w:hAnsi="Tahoma" w:cs="Tahoma" w:hint="cs"/>
          <w:b/>
          <w:color w:val="0D0D0D" w:themeColor="text1" w:themeTint="F2"/>
          <w:sz w:val="18"/>
          <w:szCs w:val="18"/>
          <w:rtl/>
        </w:rPr>
        <w:t>לגבי יישום העברות מידע בשנת 2018, נמצא כי מתוך 34 משרדים שכללו בדיווח תוכנית העבודה שלהם נתונים בקטגוריה מדיניות פעם אחת, 19 משרדים (56%) דיווחו על מספר השירותים שהופחתה בהם הדרישה למסור מידע, או על מספר ממשקי העברת מידע שיושמו לצורך כך; ושמונה מהמשרדים (23%) ציינו פרטים על שם השירות או על שם הממשק שיושם.</w:t>
      </w:r>
    </w:p>
    <w:p w14:paraId="315837D8" w14:textId="77777777" w:rsidR="007478B2" w:rsidRPr="002011D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2011D2">
        <w:rPr>
          <w:rFonts w:ascii="Tahoma" w:hAnsi="Tahoma" w:cs="Tahoma" w:hint="cs"/>
          <w:b/>
          <w:color w:val="0D0D0D" w:themeColor="text1" w:themeTint="F2"/>
          <w:sz w:val="18"/>
          <w:szCs w:val="18"/>
          <w:rtl/>
        </w:rPr>
        <w:t xml:space="preserve">לגבי היעדים שהציבו המשרדים לשנת 2019, נמצא כי מתוך 34 משרדים שכללו בדיווח תכנית העבודה שלהם נתונים בקטגוריה מדיניות פעם אחת, 30 משרדים (88%) דיווחו על מספר השירותים או ממשקי העברת מידע המתוכננים לשנת 2019, אך רק 10 מהם (33%) ציינו פרטים על שם השירות או הממשק המתוכנן. </w:t>
      </w:r>
    </w:p>
    <w:p w14:paraId="206332EF" w14:textId="77777777" w:rsidR="007478B2" w:rsidRPr="002011D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2011D2">
        <w:rPr>
          <w:rFonts w:ascii="Tahoma" w:hAnsi="Tahoma" w:cs="Tahoma" w:hint="cs"/>
          <w:b/>
          <w:color w:val="0D0D0D" w:themeColor="text1" w:themeTint="F2"/>
          <w:sz w:val="18"/>
          <w:szCs w:val="18"/>
          <w:rtl/>
        </w:rPr>
        <w:t xml:space="preserve">תשעה מבין 30 המשרדים שהציבו יעדים למספר השירותים המתוכננים ליישום ב-2019 (30%) דיווחו על היישום בחמישה שירותים דיגיטליים חדשים או יותר, כפי שנדרש בהנחיות רשות התקשוב. </w:t>
      </w:r>
    </w:p>
    <w:p w14:paraId="18A5D005" w14:textId="77777777" w:rsidR="007478B2" w:rsidRPr="002011D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2011D2">
        <w:rPr>
          <w:rFonts w:ascii="Tahoma" w:hAnsi="Tahoma" w:cs="Tahoma" w:hint="cs"/>
          <w:b/>
          <w:color w:val="0D0D0D" w:themeColor="text1" w:themeTint="F2"/>
          <w:sz w:val="18"/>
          <w:szCs w:val="18"/>
          <w:rtl/>
        </w:rPr>
        <w:t>תמונת המצב העולה מדיווחי תוכניות העבודה של המשרדים לרשות התקשוב משקפת תוצאה לפיה מחויבות הגופים ליישום מדיניות פעם אחת אינה גבוהה. באוגוסט 2020, כארבע שנים לאחר שהתקבלה החלטת הממשלה, לא הייתה בידי רשות התקשוב תמונה מלאה של השירותים שהופחתה בהם הדרישה למסור מידע או על מספר ממשקי העברת מידע שיושמו בשנת 2018, וכן על השירותים או הממשקים המתוכננים ליישום בשנת 2019.</w:t>
      </w:r>
    </w:p>
    <w:p w14:paraId="2C2A1773" w14:textId="77777777" w:rsidR="007478B2" w:rsidRPr="002011D2" w:rsidRDefault="007478B2" w:rsidP="00A75080">
      <w:pPr>
        <w:keepLines/>
        <w:pBdr>
          <w:top w:val="single" w:sz="18" w:space="6" w:color="CEEAF5"/>
          <w:left w:val="single" w:sz="18" w:space="11" w:color="CEEAF5"/>
          <w:bottom w:val="single" w:sz="18" w:space="6" w:color="CEEAF5"/>
          <w:right w:val="single" w:sz="18" w:space="11" w:color="CEEAF5"/>
        </w:pBdr>
        <w:shd w:val="clear" w:color="auto" w:fill="CEEAF5"/>
        <w:spacing w:line="260" w:lineRule="exact"/>
        <w:ind w:left="227" w:right="227"/>
        <w:jc w:val="both"/>
        <w:rPr>
          <w:rFonts w:ascii="Tahoma" w:hAnsi="Tahoma" w:cs="Tahoma"/>
          <w:b/>
          <w:color w:val="0D0D0D" w:themeColor="text1" w:themeTint="F2"/>
          <w:sz w:val="18"/>
          <w:szCs w:val="18"/>
          <w:rtl/>
        </w:rPr>
      </w:pPr>
      <w:r w:rsidRPr="002011D2">
        <w:rPr>
          <w:rFonts w:ascii="Tahoma" w:hAnsi="Tahoma" w:cs="Tahoma" w:hint="cs"/>
          <w:b/>
          <w:color w:val="0D0D0D" w:themeColor="text1" w:themeTint="F2"/>
          <w:sz w:val="18"/>
          <w:szCs w:val="18"/>
          <w:rtl/>
        </w:rPr>
        <w:lastRenderedPageBreak/>
        <w:t xml:space="preserve">כמו כן, מאחר שתיקוף המיפוי על ידי המשרדים טרם הושלם כאמור, לא ניתן היה לדעת מהו מספרם הכולל של השירותים שנותן כל משרד לציבור, ובהתאמה לא הייתה תמונה שלמה ומפורטת על שיעור היישום של מדיניות פעם אחת, על כל נדבכיה, במשרדים, וכן לא ניתן היה לקיים הליך מיטבי של הצבת יעדים למימוש המדיניות, לרבות קביעת אבני דרך להתקדמות ומעקב אחר ביצוען. </w:t>
      </w:r>
    </w:p>
    <w:p w14:paraId="65D26321" w14:textId="4C5D6D6E"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בנובמבר 2020 מסרה רשות התקשוב כי היא נמצאת בתהליך של איסוף מידע מהמשרדים (במסגרת עדכון מדד 1933</w:t>
      </w:r>
      <w:r w:rsidR="006C2C50">
        <w:rPr>
          <w:rStyle w:val="af3"/>
          <w:rFonts w:ascii="Tahoma" w:hAnsi="Tahoma" w:cs="Tahoma"/>
          <w:sz w:val="18"/>
          <w:szCs w:val="18"/>
          <w:rtl/>
        </w:rPr>
        <w:footnoteReference w:id="51"/>
      </w:r>
      <w:r w:rsidRPr="007F0192">
        <w:rPr>
          <w:rFonts w:ascii="Tahoma" w:hAnsi="Tahoma" w:cs="Tahoma" w:hint="cs"/>
          <w:sz w:val="18"/>
          <w:szCs w:val="18"/>
          <w:rtl/>
        </w:rPr>
        <w:t xml:space="preserve">), לרבות איסוף מידע על שיעור היישום של מדיניות פעם אחת בשירותים שנותנים המשרדים, ובאילו שירותים זה מבוצע. </w:t>
      </w:r>
    </w:p>
    <w:p w14:paraId="5331C659"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בפברואר 2021 מסרה רשות התקשוב בתשובתה כי השלימה לאחרונה את איסוף הנתונים מהמשרדים והיא נמצאת בתהליך ניתוחם לקבלת תמונת המצב הממשלתית, וכי בחודשים הקרובים יפורסם דוח ובו הנתונים העדכניים.</w:t>
      </w:r>
    </w:p>
    <w:p w14:paraId="37932A9C" w14:textId="77777777" w:rsidR="007478B2" w:rsidRPr="002011D2" w:rsidRDefault="007478B2" w:rsidP="00A75080">
      <w:pPr>
        <w:keepLines/>
        <w:pBdr>
          <w:top w:val="single" w:sz="18" w:space="4" w:color="CEEAF5"/>
          <w:left w:val="single" w:sz="18" w:space="11" w:color="CEEAF5"/>
          <w:bottom w:val="single" w:sz="18" w:space="6" w:color="CEEAF5"/>
          <w:right w:val="single" w:sz="18" w:space="11" w:color="CEEAF5"/>
        </w:pBdr>
        <w:shd w:val="clear" w:color="auto" w:fill="CEEAF5"/>
        <w:spacing w:line="260" w:lineRule="exact"/>
        <w:ind w:left="227" w:right="227"/>
        <w:jc w:val="both"/>
        <w:rPr>
          <w:rFonts w:ascii="Tahoma" w:hAnsi="Tahoma" w:cs="Tahoma"/>
          <w:b/>
          <w:color w:val="0D0D0D" w:themeColor="text1" w:themeTint="F2"/>
          <w:sz w:val="18"/>
          <w:szCs w:val="18"/>
          <w:rtl/>
        </w:rPr>
      </w:pPr>
      <w:r w:rsidRPr="002011D2">
        <w:rPr>
          <w:rFonts w:ascii="Tahoma" w:hAnsi="Tahoma" w:cs="Tahoma" w:hint="cs"/>
          <w:b/>
          <w:color w:val="0D0D0D" w:themeColor="text1" w:themeTint="F2"/>
          <w:sz w:val="18"/>
          <w:szCs w:val="18"/>
          <w:rtl/>
        </w:rPr>
        <w:t xml:space="preserve">מממצאי פרק זה עולה כי התמודדות המשרדים עם יישום העברות מידע בשירותים הממשלתיים היא מורכבת ודורשת מחויבות רבה שלהם לתהליך. ההצלחה של יישום מדיניות פעם אחת בשירותים הממשלתיים מותנית בפעולה משותפת, הן מצד המשרדים - ביישום המדיניות במסגרת מתן שירותיהם, והן מצד רשות התקשוב וישראל דיגיטלית, המשמשות גורם מתכלל ומנחה ליישום המדיניות, לרבות באמצעות הקניית כלים ושיטות ליישום, הסרת חסמים והקלת תהליכים בירוקרטיים וטכנולוגיים. </w:t>
      </w:r>
    </w:p>
    <w:p w14:paraId="23D67A31" w14:textId="77777777" w:rsidR="007478B2" w:rsidRPr="002011D2" w:rsidRDefault="007478B2" w:rsidP="00A75080">
      <w:pPr>
        <w:keepLines/>
        <w:pBdr>
          <w:top w:val="single" w:sz="18" w:space="4" w:color="CEEAF5"/>
          <w:left w:val="single" w:sz="18" w:space="11" w:color="CEEAF5"/>
          <w:bottom w:val="single" w:sz="18" w:space="6" w:color="CEEAF5"/>
          <w:right w:val="single" w:sz="18" w:space="11" w:color="CEEAF5"/>
        </w:pBdr>
        <w:shd w:val="clear" w:color="auto" w:fill="CEEAF5"/>
        <w:spacing w:line="260" w:lineRule="exact"/>
        <w:ind w:left="227" w:right="227"/>
        <w:jc w:val="both"/>
        <w:rPr>
          <w:rFonts w:ascii="Tahoma" w:hAnsi="Tahoma" w:cs="Tahoma"/>
          <w:b/>
          <w:color w:val="0D0D0D" w:themeColor="text1" w:themeTint="F2"/>
          <w:sz w:val="18"/>
          <w:szCs w:val="18"/>
          <w:rtl/>
        </w:rPr>
      </w:pPr>
      <w:r w:rsidRPr="002011D2">
        <w:rPr>
          <w:rFonts w:ascii="Tahoma" w:hAnsi="Tahoma" w:cs="Tahoma" w:hint="cs"/>
          <w:b/>
          <w:color w:val="0D0D0D" w:themeColor="text1" w:themeTint="F2"/>
          <w:sz w:val="18"/>
          <w:szCs w:val="18"/>
          <w:rtl/>
        </w:rPr>
        <w:t>בהיעדר שיתוף פעולה מלא ושוטף מצד המשרדים והפניית התשומות הנדרשות לפעולה, תוך עמידה בלוחות הזמנים שנקבעו, לא ניתן יהיה לקדם את יישום המדיניות ולעמוד ביעדים שנקבעו בהחלטה משנת 2016 - יישום המדיניות החל משנת 2021 לגבי אישורים והחל משנת 2022 לגבי מידע.</w:t>
      </w:r>
    </w:p>
    <w:p w14:paraId="761A6345" w14:textId="77777777" w:rsidR="007478B2" w:rsidRPr="002011D2" w:rsidRDefault="007478B2" w:rsidP="00A75080">
      <w:pPr>
        <w:keepLines/>
        <w:pBdr>
          <w:top w:val="single" w:sz="18" w:space="4" w:color="CEEAF5"/>
          <w:left w:val="single" w:sz="18" w:space="11" w:color="CEEAF5"/>
          <w:bottom w:val="single" w:sz="18" w:space="6" w:color="CEEAF5"/>
          <w:right w:val="single" w:sz="18" w:space="11" w:color="CEEAF5"/>
        </w:pBdr>
        <w:shd w:val="clear" w:color="auto" w:fill="CEEAF5"/>
        <w:spacing w:line="260" w:lineRule="exact"/>
        <w:ind w:left="227" w:right="227"/>
        <w:jc w:val="both"/>
        <w:rPr>
          <w:rFonts w:ascii="Tahoma" w:hAnsi="Tahoma" w:cs="Tahoma"/>
          <w:b/>
          <w:color w:val="0D0D0D" w:themeColor="text1" w:themeTint="F2"/>
          <w:sz w:val="18"/>
          <w:szCs w:val="18"/>
          <w:rtl/>
        </w:rPr>
      </w:pPr>
      <w:r w:rsidRPr="002011D2">
        <w:rPr>
          <w:rFonts w:ascii="Tahoma" w:hAnsi="Tahoma" w:cs="Tahoma" w:hint="cs"/>
          <w:b/>
          <w:color w:val="0D0D0D" w:themeColor="text1" w:themeTint="F2"/>
          <w:sz w:val="18"/>
          <w:szCs w:val="18"/>
          <w:rtl/>
        </w:rPr>
        <w:t xml:space="preserve">כדי לקדם את הנושא ולממש את התועלות הטמונות בקידום מדיניות פעם אחת, על רשות התקשוב וישראל דיגיטלית לתעדף את הנושא ולפעול למול שירותים מובילים ומשרדים שחולשים על הרבה שירותים. כמו כן, נכון יהיה לעשות שימוש בכלים של ניהול פרויקט ממשלתי אופקי למול עשרות גופים, ובכלל זה קביעת יעדים פרטניים ברמת המשרדים וברמת השירותים וקביעת לוח זמנים רב-שנתי להתקדמות, שיבטיח הגעה ליעדים שנקבעו בהחלטת הממשלה. </w:t>
      </w:r>
    </w:p>
    <w:p w14:paraId="6D5F341E" w14:textId="77777777" w:rsidR="007478B2" w:rsidRPr="007F0192" w:rsidRDefault="007478B2" w:rsidP="00347A82">
      <w:pPr>
        <w:spacing w:line="260" w:lineRule="exact"/>
        <w:jc w:val="both"/>
        <w:rPr>
          <w:rFonts w:ascii="Tahoma" w:hAnsi="Tahoma" w:cs="Tahoma"/>
          <w:b/>
          <w:bCs/>
          <w:sz w:val="18"/>
          <w:szCs w:val="18"/>
          <w:rtl/>
        </w:rPr>
      </w:pPr>
    </w:p>
    <w:p w14:paraId="785F4C05" w14:textId="77777777" w:rsidR="007478B2" w:rsidRDefault="007478B2" w:rsidP="007478B2">
      <w:pPr>
        <w:pStyle w:val="KOT4N"/>
        <w:rPr>
          <w:rtl/>
        </w:rPr>
      </w:pPr>
      <w:r>
        <w:rPr>
          <w:rFonts w:hint="cs"/>
          <w:rtl/>
        </w:rPr>
        <w:t>יישום "מדיניות פעם אחת" בשירותים דיגיטליים באמצעות תשתית הטפסים הממשלתית</w:t>
      </w:r>
    </w:p>
    <w:p w14:paraId="7AF45605"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ביולי 2019 פרסמה רשות התקשוב הנחיה בנושא יישום העברות מידע בשירותים דיגיטליים</w:t>
      </w:r>
      <w:r w:rsidRPr="007F0192">
        <w:rPr>
          <w:rStyle w:val="af3"/>
          <w:rFonts w:ascii="Tahoma" w:hAnsi="Tahoma" w:cs="Tahoma"/>
          <w:sz w:val="18"/>
          <w:szCs w:val="18"/>
          <w:rtl/>
        </w:rPr>
        <w:footnoteReference w:id="52"/>
      </w:r>
      <w:r w:rsidRPr="007F0192">
        <w:rPr>
          <w:rFonts w:ascii="Tahoma" w:hAnsi="Tahoma" w:cs="Tahoma" w:hint="cs"/>
          <w:sz w:val="18"/>
          <w:szCs w:val="18"/>
          <w:rtl/>
        </w:rPr>
        <w:t xml:space="preserve">. בהנחיה נכתב בין היתר כי על מנת לעמוד בלוחות הזמנים שנקבעו בהחלטה משנת 2016, החל </w:t>
      </w:r>
      <w:r w:rsidRPr="007F0192">
        <w:rPr>
          <w:rFonts w:ascii="Tahoma" w:hAnsi="Tahoma" w:cs="Tahoma" w:hint="cs"/>
          <w:sz w:val="18"/>
          <w:szCs w:val="18"/>
          <w:rtl/>
        </w:rPr>
        <w:lastRenderedPageBreak/>
        <w:t>ממועד פרסום ההנחיה כל שירות דיגיטלי חדש לאזרח יחויב ביישום מדיניות פעם אחת בכל הנוגע לאישורים ולמידע ממשלתי. כמו כן, כל שירות דיגיטלי חדש יפותח כשירות "מזוהה" הניתן ב"מערכת ההזדהות הממשלתית", שהוקמה בשנת 2019 ונועדה לאפשר הזדהות מאובטחת באופן מקוון לצורך קבלת שירותים מגופי ממשלה</w:t>
      </w:r>
      <w:r w:rsidRPr="007F0192">
        <w:rPr>
          <w:rStyle w:val="af3"/>
          <w:rFonts w:ascii="Tahoma" w:hAnsi="Tahoma" w:cs="Tahoma"/>
          <w:b/>
          <w:sz w:val="18"/>
          <w:szCs w:val="18"/>
          <w:rtl/>
        </w:rPr>
        <w:footnoteReference w:id="53"/>
      </w:r>
      <w:r w:rsidRPr="007F0192">
        <w:rPr>
          <w:rFonts w:ascii="Tahoma" w:hAnsi="Tahoma" w:cs="Tahoma" w:hint="cs"/>
          <w:sz w:val="18"/>
          <w:szCs w:val="18"/>
          <w:rtl/>
        </w:rPr>
        <w:t>.</w:t>
      </w:r>
    </w:p>
    <w:p w14:paraId="0A9507EA"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בהנחיה הוצג אופן מימוש נוסף ליישום של מדיניות פעם אחת (להלן - אופן המימוש בהנחיה), המיועד למקרים שבהם השירות הדיגיטלי עושה שימוש בתשתיות ממשל זמין</w:t>
      </w:r>
      <w:r w:rsidRPr="007F0192">
        <w:rPr>
          <w:rStyle w:val="af3"/>
          <w:rFonts w:ascii="Tahoma" w:hAnsi="Tahoma" w:cs="Tahoma"/>
          <w:sz w:val="18"/>
          <w:szCs w:val="18"/>
          <w:rtl/>
        </w:rPr>
        <w:footnoteReference w:id="54"/>
      </w:r>
      <w:r w:rsidRPr="007F0192">
        <w:rPr>
          <w:rFonts w:ascii="Tahoma" w:hAnsi="Tahoma" w:cs="Tahoma" w:hint="cs"/>
          <w:sz w:val="18"/>
          <w:szCs w:val="18"/>
          <w:rtl/>
        </w:rPr>
        <w:t xml:space="preserve"> כגון שרת הטפסים, האזור האישי ומערכת ההזדהות הממשלתית. במקרה כזה, ניתן לפתח ממשקים עם המשרדים "בעלי המידע" לצורך הזנה אוטומטית של שדות הטופס, לשם הצגתו לאזרח, וכך תמומש מדיניות פעם אחת. זאת ללא צורך באישור הוועדות להעברת מידע, ובלבד שעד שישלח האזרח את הטופס לא יועבר בפועל המידע המצוי במשרד מסוים למשרד אחר</w:t>
      </w:r>
      <w:r w:rsidRPr="007F0192">
        <w:rPr>
          <w:rStyle w:val="af3"/>
          <w:rFonts w:ascii="Tahoma" w:hAnsi="Tahoma" w:cs="Tahoma"/>
          <w:sz w:val="18"/>
          <w:szCs w:val="18"/>
          <w:rtl/>
        </w:rPr>
        <w:footnoteReference w:id="55"/>
      </w:r>
      <w:r w:rsidRPr="007F0192">
        <w:rPr>
          <w:rFonts w:ascii="Tahoma" w:hAnsi="Tahoma" w:cs="Tahoma" w:hint="cs"/>
          <w:sz w:val="18"/>
          <w:szCs w:val="18"/>
          <w:rtl/>
        </w:rPr>
        <w:t xml:space="preserve"> (ראו להלן בפרק בנושא "שדרת המידע הממשלתית").</w:t>
      </w:r>
    </w:p>
    <w:p w14:paraId="125D467F"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אופן המימוש בהנחיה עוגן גם בהחלטה משנת 2020, ובה נקבע בין היתר כי לצורכי מימוש מדיניות פעם אחת, גופים ציבוריים יוכלו לנהל את הטפסים שלהם על גבי תשתיות ממשל זמין ובאופן זה שדות מידע בטופס ימולאו באופן אוטומטי על ידי המשרד "בעל המידע" עם פתיחתו על ידי האזרח באזור האישי. העברת הטופס למשרד נותן השירות תבוצע על ידי האזרח, אם יהיה מעוניין בכך. עוד נקבע בהחלטה כי אין בסעיף זה כדי למנוע דרכי מימוש אחרות של מדיניות פעם אחת</w:t>
      </w:r>
      <w:r w:rsidRPr="007F0192">
        <w:rPr>
          <w:rStyle w:val="af3"/>
          <w:rFonts w:ascii="Tahoma" w:hAnsi="Tahoma" w:cs="Tahoma"/>
          <w:sz w:val="18"/>
          <w:szCs w:val="18"/>
          <w:rtl/>
        </w:rPr>
        <w:footnoteReference w:id="56"/>
      </w:r>
      <w:r w:rsidRPr="007F0192">
        <w:rPr>
          <w:rFonts w:ascii="Tahoma" w:hAnsi="Tahoma" w:cs="Tahoma" w:hint="cs"/>
          <w:sz w:val="18"/>
          <w:szCs w:val="18"/>
          <w:rtl/>
        </w:rPr>
        <w:t>.</w:t>
      </w:r>
    </w:p>
    <w:p w14:paraId="1F66293D"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על פי הערכת רשות התקשוב מנובמבר 2020, יש בין 600 ל-700 שירותים שקיימים בטפסים ממשלתיים דיגיטליים, ומהם כ-60% - 70% משתמשים בתשתיות ממשל זמין, שמאפשרות יישום מדיניות פעם אחת באמצעות אופן המימוש בהנחיה. כלומר מדובר על סל של כ-300 - 400 שירותים. רשות התקשוב ציינה כי נדרשת עבודת מטה מקיפה כדי לבסס הערכה זו (זאת באמצעות תיקוף השירותים והקטלוג האחוד כאמור). </w:t>
      </w:r>
    </w:p>
    <w:p w14:paraId="2D48DE5B"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lastRenderedPageBreak/>
        <w:t xml:space="preserve">כמו כן, קיימים שיקולי עלות לעומת תועלת שייתכן שאינם מצדיקים יישום לכל טופס וטופס (כגון עלות תקציבית, קשב ותשומות משרדיות, לעומת התועלת לאזרחים לרבות היקף השימוש בשירות). ככל שהשירות מרכזי יותר, כך האיזון בין השקעת התשומות לבין החיסכון הבירוקרטי והתועלת לציבור נוטה לטובת יישום מדיניות פעם אחת באותו השירות. </w:t>
      </w:r>
    </w:p>
    <w:p w14:paraId="5F8710B0"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על פי נתונים שהעבירה רשות התקשוב למשרד מבקר המדינה באוקטובר 2020, עד לאותו המועד יושמה מדיניות פעם אחת, באמצעות אופן המימוש בהנחיה, ב-12 שירותים דיגיטליים. ראו פרטים בתרשים 11 להלן. </w:t>
      </w:r>
    </w:p>
    <w:p w14:paraId="3F854070" w14:textId="77777777" w:rsidR="00E12A59"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t xml:space="preserve">תרשים 11: </w:t>
      </w:r>
      <w:r w:rsidRPr="007F0192">
        <w:rPr>
          <w:rFonts w:ascii="Tahoma" w:hAnsi="Tahoma" w:cs="Tahoma" w:hint="cs"/>
          <w:b/>
          <w:bCs/>
          <w:color w:val="0D0D0D" w:themeColor="text1" w:themeTint="F2"/>
          <w:sz w:val="18"/>
          <w:szCs w:val="18"/>
          <w:rtl/>
        </w:rPr>
        <w:t>השירותים שבהם יושמה "מדיניות פעם אחת" בשירות הטפסים (נתונים מעודכנים לאוקטובר 2020)</w:t>
      </w:r>
    </w:p>
    <w:p w14:paraId="5B9822A7" w14:textId="157707C5" w:rsidR="007478B2" w:rsidRPr="007F0192" w:rsidRDefault="00DC73B8" w:rsidP="00DC73B8">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1271C88A" wp14:editId="546CC576">
            <wp:extent cx="4680000" cy="5065200"/>
            <wp:effectExtent l="0" t="0" r="6350" b="2540"/>
            <wp:docPr id="58" name="Picture 58"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80000" cy="5065200"/>
                    </a:xfrm>
                    <a:prstGeom prst="rect">
                      <a:avLst/>
                    </a:prstGeom>
                  </pic:spPr>
                </pic:pic>
              </a:graphicData>
            </a:graphic>
          </wp:inline>
        </w:drawing>
      </w:r>
    </w:p>
    <w:p w14:paraId="76763E07" w14:textId="77777777" w:rsidR="007478B2" w:rsidRPr="00DC73B8" w:rsidRDefault="007478B2" w:rsidP="00DC73B8">
      <w:pPr>
        <w:tabs>
          <w:tab w:val="left" w:pos="424"/>
        </w:tabs>
        <w:spacing w:before="120" w:after="240" w:line="260" w:lineRule="exact"/>
        <w:jc w:val="both"/>
        <w:rPr>
          <w:rFonts w:ascii="Tahoma" w:hAnsi="Tahoma" w:cs="Tahoma"/>
          <w:color w:val="0D0D0D" w:themeColor="text1" w:themeTint="F2"/>
          <w:sz w:val="16"/>
          <w:szCs w:val="16"/>
          <w:rtl/>
        </w:rPr>
      </w:pPr>
      <w:r w:rsidRPr="00DC73B8">
        <w:rPr>
          <w:rFonts w:ascii="Tahoma" w:hAnsi="Tahoma" w:cs="Tahoma" w:hint="cs"/>
          <w:color w:val="0D0D0D" w:themeColor="text1" w:themeTint="F2"/>
          <w:sz w:val="16"/>
          <w:szCs w:val="16"/>
          <w:rtl/>
        </w:rPr>
        <w:t>על פי נתוני רשות התקשוב הממשלתי, בעיבוד משרד מבקר המדינה</w:t>
      </w:r>
    </w:p>
    <w:p w14:paraId="313678D2" w14:textId="77777777" w:rsidR="007478B2" w:rsidRPr="00DC73B8" w:rsidRDefault="007478B2" w:rsidP="00DC73B8">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DC73B8">
        <w:rPr>
          <w:rFonts w:ascii="Tahoma" w:hAnsi="Tahoma" w:cs="Tahoma" w:hint="cs"/>
          <w:b/>
          <w:color w:val="0D0D0D" w:themeColor="text1" w:themeTint="F2"/>
          <w:sz w:val="18"/>
          <w:szCs w:val="18"/>
          <w:rtl/>
        </w:rPr>
        <w:lastRenderedPageBreak/>
        <w:t xml:space="preserve">על פי ההערכות של רשות התקשוב, קיימים כ-300 - 400 שירותים דיגיטליים שעושים שימוש בתשתיות ממשל זמין (תשתית הטפסים והאזור האישי) ומאפשרים יישום של מדיניות פעם אחת. עם זאת, נכון לאוקטובר 2020 יושמה המדיניות רק ב-12 שירותים כאלו. על המשרדים לפעול ליישום המדיניות בכלל השירותים הדיגיטליים שמאפשרים זאת. </w:t>
      </w:r>
    </w:p>
    <w:p w14:paraId="11C5E7E2" w14:textId="77777777" w:rsidR="007478B2" w:rsidRPr="007F0192" w:rsidRDefault="007478B2" w:rsidP="00347A82">
      <w:pPr>
        <w:spacing w:line="260" w:lineRule="exact"/>
        <w:jc w:val="both"/>
        <w:rPr>
          <w:rFonts w:ascii="Tahoma" w:hAnsi="Tahoma" w:cs="Tahoma"/>
          <w:b/>
          <w:bCs/>
          <w:sz w:val="18"/>
          <w:szCs w:val="18"/>
          <w:rtl/>
        </w:rPr>
      </w:pPr>
      <w:r w:rsidRPr="007F0192">
        <w:rPr>
          <w:rFonts w:ascii="Tahoma" w:hAnsi="Tahoma" w:cs="Tahoma" w:hint="cs"/>
          <w:sz w:val="18"/>
          <w:szCs w:val="18"/>
          <w:rtl/>
        </w:rPr>
        <w:t xml:space="preserve">רשות התקשוב ציינה בתשובתה כי תוכנית ההאצה שנקבעה בהחלטה משנת 2020, לצד האצת הדיגיטציה של שירותים בתקופת הקורונה, צפויה להביא לגידול ניכר במספר השירותים המיישמים את מדיניות פעם אחת כבר בחודשים הקרובים. </w:t>
      </w:r>
    </w:p>
    <w:p w14:paraId="705D898A" w14:textId="77777777" w:rsidR="007478B2" w:rsidRPr="00DC73B8" w:rsidRDefault="007478B2" w:rsidP="00DC73B8">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sz w:val="18"/>
          <w:szCs w:val="18"/>
          <w:rtl/>
        </w:rPr>
      </w:pPr>
      <w:r w:rsidRPr="00DC73B8">
        <w:rPr>
          <w:rFonts w:ascii="Tahoma" w:hAnsi="Tahoma" w:cs="Tahoma" w:hint="cs"/>
          <w:sz w:val="18"/>
          <w:szCs w:val="18"/>
          <w:rtl/>
        </w:rPr>
        <w:t xml:space="preserve">כמו כן, מאחר שבשביל להבטיח "חיסכון בירוקרטי" משמעותי ביישום המדיניות על המשרדים לתעדף את השירותים שבהם רוצים ליישם את המדיניות, בשים לב להיקף השימוש בשירות ולסוג המידע והאישורים הנדרשים בו, על המשרדים להשלים את תיקוף השירותים במיפוי. </w:t>
      </w:r>
    </w:p>
    <w:p w14:paraId="4F725510" w14:textId="77777777" w:rsidR="007478B2" w:rsidRPr="00DC73B8" w:rsidRDefault="007478B2" w:rsidP="00DC73B8">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sz w:val="18"/>
          <w:szCs w:val="18"/>
          <w:rtl/>
        </w:rPr>
      </w:pPr>
      <w:r w:rsidRPr="00DC73B8">
        <w:rPr>
          <w:rFonts w:ascii="Tahoma" w:hAnsi="Tahoma" w:cs="Tahoma" w:hint="cs"/>
          <w:sz w:val="18"/>
          <w:szCs w:val="18"/>
          <w:rtl/>
        </w:rPr>
        <w:t xml:space="preserve">זאת ועוד, אופן המימוש בהנחיה, שעוגן גם בהחלטה משנת 2020, מתמקד ביישום מדיניות פעם אחת בשירותים דיגיטליים העושים שימוש בתשתית הטפסים של ממשל זמין; עם זאת, על מנת לממש את מלוא החיסכון הבירוקרטי ביישום מדיניות פעם אחת בשירות ממשלתי, יש ליישמה בכל ערוצי השירות, לרבות ערוצי השירות הטלפוני והפרונטלי, שבהם עושות שימוש אוכלוסיות ראויות לקידום שנזקקות לשירותים רבים ובפרט שחלק מאוכלוסיות אלו הן בעלות נגישות נמוכה לערוצי שירות ממוחשבים. </w:t>
      </w:r>
    </w:p>
    <w:p w14:paraId="7036303C"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רשות התקשוב מסרה כי המימוש כיום מיועד לשירותים דיגיטליים אך נותן מענה בכל שירות שניתן באמצעות שימוש בשירותים מזוהים בתשתיות ממשל זמין, בין שהוא ניתן באמצעות מכשיר קצה של האזרח ובין באופן פרונטלי, בסיוע פקיד בלשכת השירות. רשות התקשוב ציינה כי כיום לא ידוע לה על מימוש כזה, אם כי אין מניעה טכנית לעשות זאת. </w:t>
      </w:r>
    </w:p>
    <w:p w14:paraId="69E55D70" w14:textId="77777777" w:rsidR="007478B2" w:rsidRPr="000155D4" w:rsidRDefault="007478B2" w:rsidP="000155D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0155D4">
        <w:rPr>
          <w:rFonts w:ascii="Tahoma" w:hAnsi="Tahoma" w:cs="Tahoma" w:hint="cs"/>
          <w:b/>
          <w:color w:val="0D0D0D" w:themeColor="text1" w:themeTint="F2"/>
          <w:sz w:val="18"/>
          <w:szCs w:val="18"/>
          <w:rtl/>
        </w:rPr>
        <w:t>מומלץ שרשות התקשוב ומשרדי הממשלה יבחנו במשותף אילו פעולות נדרשות מהמשרדים על מנת שיוכלו ליישם מדיניות פעם אחת בערוצי השירות הטלפוני והפרונטלי, עבור השירותים הדיגיטליים שבהם כבר יושמה המדיניות באמצעות אופן המימוש בהנחיה. הדבר נדרש בעיקר עבור אוכלוסיות ראויות לקידום, שנזקקות לשירותים רבים ולסיוע במיצוי זכויותיהן והן אינן עושות שימוש בערוצי השירות הדיגיטליים.</w:t>
      </w:r>
    </w:p>
    <w:p w14:paraId="1F3E8468" w14:textId="77777777" w:rsidR="007478B2" w:rsidRPr="000155D4" w:rsidRDefault="007478B2" w:rsidP="000155D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0155D4">
        <w:rPr>
          <w:rFonts w:ascii="Tahoma" w:hAnsi="Tahoma" w:cs="Tahoma" w:hint="cs"/>
          <w:b/>
          <w:color w:val="0D0D0D" w:themeColor="text1" w:themeTint="F2"/>
          <w:sz w:val="18"/>
          <w:szCs w:val="18"/>
          <w:rtl/>
        </w:rPr>
        <w:t>עוד מוצע לבצע היזון חוזר בקרב משתמשים בשירותים שבהם יושמה מדיניות פעם אחת באופן המימוש בהנחיה. זאת על מנת לבחון את מידת השיפור בשירות, לשם הפקת לקחים וטיוב תהליכים.</w:t>
      </w:r>
    </w:p>
    <w:p w14:paraId="3C6A40C7" w14:textId="77777777" w:rsidR="007478B2" w:rsidRPr="000155D4" w:rsidRDefault="007478B2" w:rsidP="000155D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0155D4">
        <w:rPr>
          <w:rFonts w:ascii="Tahoma" w:hAnsi="Tahoma" w:cs="Tahoma" w:hint="cs"/>
          <w:b/>
          <w:color w:val="0D0D0D" w:themeColor="text1" w:themeTint="F2"/>
          <w:sz w:val="18"/>
          <w:szCs w:val="18"/>
          <w:rtl/>
        </w:rPr>
        <w:t xml:space="preserve">כמו כן, מאחר שאופן המימוש בהנחיה מותנה בין היתר בזיהוי המשתמש באמצעות מערכת ההזדהות הממשלתית, מוצע לבחון דרכים להרחבת השימוש במערכת זו בקרב הציבור, נוכח היותה כלי מרכזי שבאמצעותו ניתן לשפר את השירות לאזרח. </w:t>
      </w:r>
    </w:p>
    <w:p w14:paraId="5343F892"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רשות התקשוב מסרה בתשובתה כי ממשל זמין פועל להרחבת דרכי הכניסה למערכת ההזדהות הממשלתית לצורך הנגשתה לכלל האוכלוסייה. </w:t>
      </w:r>
    </w:p>
    <w:p w14:paraId="3484B76C" w14:textId="77777777" w:rsidR="007478B2" w:rsidRPr="000E4A26" w:rsidRDefault="007478B2" w:rsidP="007478B2">
      <w:pPr>
        <w:pStyle w:val="KOT3N"/>
        <w:rPr>
          <w:rtl/>
        </w:rPr>
      </w:pPr>
      <w:r w:rsidRPr="00AD30E9">
        <w:rPr>
          <w:rFonts w:hint="cs"/>
          <w:rtl/>
        </w:rPr>
        <w:lastRenderedPageBreak/>
        <w:t xml:space="preserve">מערכת </w:t>
      </w:r>
      <w:r>
        <w:rPr>
          <w:rFonts w:hint="cs"/>
          <w:rtl/>
        </w:rPr>
        <w:t>מוע"ד לניהול עבודת הוועדות להעברת מידע</w:t>
      </w:r>
      <w:r>
        <w:rPr>
          <w:rFonts w:hint="cs"/>
          <w:noProof/>
          <w:rtl/>
        </w:rPr>
        <w:t xml:space="preserve"> </w:t>
      </w:r>
    </w:p>
    <w:p w14:paraId="627D69FF" w14:textId="77777777" w:rsidR="007478B2" w:rsidRDefault="007478B2" w:rsidP="007478B2">
      <w:pPr>
        <w:pStyle w:val="KOT4N"/>
        <w:rPr>
          <w:rtl/>
        </w:rPr>
      </w:pPr>
      <w:r w:rsidRPr="00526DA7">
        <w:rPr>
          <w:rFonts w:hint="cs"/>
          <w:rtl/>
        </w:rPr>
        <w:t>רקע</w:t>
      </w:r>
    </w:p>
    <w:p w14:paraId="00584B95"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חוק הגנת הפרטיות קובע כי מסירת מידע מאת גוף ציבורי</w:t>
      </w:r>
      <w:r w:rsidRPr="007F0192">
        <w:rPr>
          <w:rStyle w:val="af3"/>
          <w:rFonts w:ascii="Tahoma" w:hAnsi="Tahoma" w:cs="Tahoma"/>
          <w:sz w:val="18"/>
          <w:szCs w:val="18"/>
          <w:rtl/>
        </w:rPr>
        <w:footnoteReference w:id="57"/>
      </w:r>
      <w:r w:rsidRPr="007F0192">
        <w:rPr>
          <w:rFonts w:ascii="Tahoma" w:hAnsi="Tahoma" w:cs="Tahoma" w:hint="cs"/>
          <w:sz w:val="18"/>
          <w:szCs w:val="18"/>
          <w:rtl/>
        </w:rPr>
        <w:t xml:space="preserve"> לא תהיה אסורה, בין היתר, אם האדם אשר המידע נוגע אליו נתן את הסכמתו למסירה, או אם מסירת המידע דרושה למטרת ביצוע חיקוק או למטרה במסגרת הסמכויות או התפקידים של מוסר המידע או מקבלו. </w:t>
      </w:r>
    </w:p>
    <w:p w14:paraId="565854D7"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תקנות הגנת הפרטיות (תנאי החזקת מידע ושמירתו וסדרי העברת מידע בין גופים ציבוריים), התשמ"ו-1986 (להלן - תקנות הפרטיות), קובעות כי המנכ"ל בכל גוף ציבורי ימנה ועדה להעברת מידע (להלן - הוועדה). תפקידי הוועדה יהיו בין היתר: (1) טיפול בבקשות של הגוף הציבורי לקבלת מידע מאת גוף ציבורי אחר; (2) טיפול בבקשות שקיבל הגוף ציבורי למסירת מידע לגוף ציבורי אחר. </w:t>
      </w:r>
    </w:p>
    <w:p w14:paraId="15BBA16A"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בהחלטה משנת 2016 נקבע כאמור כי יש להטיל על משרדי הממשלה להעביר ביניהם מידע</w:t>
      </w:r>
      <w:r w:rsidRPr="007F0192">
        <w:rPr>
          <w:rStyle w:val="af3"/>
          <w:rFonts w:ascii="Tahoma" w:hAnsi="Tahoma" w:cs="Tahoma"/>
          <w:sz w:val="18"/>
          <w:szCs w:val="18"/>
          <w:rtl/>
        </w:rPr>
        <w:footnoteReference w:id="58"/>
      </w:r>
      <w:r w:rsidRPr="007F0192">
        <w:rPr>
          <w:rFonts w:ascii="Tahoma" w:hAnsi="Tahoma" w:cs="Tahoma" w:hint="cs"/>
          <w:sz w:val="18"/>
          <w:szCs w:val="18"/>
          <w:rtl/>
        </w:rPr>
        <w:t>, הנדרש לצורך שיפור השירות הממשלתי לציבור והפחתת הנטל הבירוקרטי המוטל עליו, כדי ליישם את מדיניות פעם אחת. בהחלטה נכתב כי אם מדובר ב"מידע על אודות אדם"</w:t>
      </w:r>
      <w:r w:rsidRPr="007F0192">
        <w:rPr>
          <w:rStyle w:val="af3"/>
          <w:rFonts w:ascii="Tahoma" w:hAnsi="Tahoma" w:cs="Tahoma"/>
          <w:sz w:val="18"/>
          <w:szCs w:val="18"/>
          <w:rtl/>
        </w:rPr>
        <w:footnoteReference w:id="59"/>
      </w:r>
      <w:r w:rsidRPr="007F0192">
        <w:rPr>
          <w:rFonts w:ascii="Tahoma" w:hAnsi="Tahoma" w:cs="Tahoma" w:hint="cs"/>
          <w:sz w:val="18"/>
          <w:szCs w:val="18"/>
          <w:rtl/>
        </w:rPr>
        <w:t>, יועבר רק מידע אשר הוועדה מצאה כי העברתו מותרת על פי חוק הגנת הפרטיות, ובכלל זה היא נעשית בתוקף סמכות ובאופן מידתי, לרבות ההתניה במקרים המתאימים של העברת המידע בהסכמת האזרח.</w:t>
      </w:r>
    </w:p>
    <w:p w14:paraId="5A2C112F"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בתרשים 12 להלן מפורטים הכללים שלפיהם ניתן, מהבחינה המשפטית, לבצע העברת מידע בין גופים ציבוריים על פי המדריך להעברת מידע של רשות התקשוב.</w:t>
      </w:r>
    </w:p>
    <w:p w14:paraId="679C2252" w14:textId="77777777" w:rsidR="007478B2"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lastRenderedPageBreak/>
        <w:t xml:space="preserve">תרשים 12: </w:t>
      </w:r>
      <w:r w:rsidRPr="007F0192">
        <w:rPr>
          <w:rFonts w:ascii="Tahoma" w:hAnsi="Tahoma" w:cs="Tahoma" w:hint="cs"/>
          <w:b/>
          <w:bCs/>
          <w:color w:val="0D0D0D" w:themeColor="text1" w:themeTint="F2"/>
          <w:sz w:val="18"/>
          <w:szCs w:val="18"/>
          <w:rtl/>
        </w:rPr>
        <w:t>מתי מותר וצריך להעביר מידע*</w:t>
      </w:r>
    </w:p>
    <w:p w14:paraId="6F35DCED" w14:textId="0344E92F" w:rsidR="000155D4" w:rsidRPr="007F0192" w:rsidRDefault="000155D4" w:rsidP="000155D4">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05B2607B" wp14:editId="7A42F2A7">
            <wp:extent cx="4331208" cy="4934712"/>
            <wp:effectExtent l="0" t="0" r="0" b="0"/>
            <wp:docPr id="60" name="Picture 60"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iagram&#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31208" cy="4934712"/>
                    </a:xfrm>
                    <a:prstGeom prst="rect">
                      <a:avLst/>
                    </a:prstGeom>
                  </pic:spPr>
                </pic:pic>
              </a:graphicData>
            </a:graphic>
          </wp:inline>
        </w:drawing>
      </w:r>
    </w:p>
    <w:p w14:paraId="2E6AF5A8" w14:textId="2F570468" w:rsidR="007478B2" w:rsidRPr="000155D4" w:rsidRDefault="007478B2" w:rsidP="000155D4">
      <w:pPr>
        <w:tabs>
          <w:tab w:val="left" w:pos="424"/>
        </w:tabs>
        <w:spacing w:before="120" w:after="240" w:line="260" w:lineRule="exact"/>
        <w:ind w:left="397" w:hanging="397"/>
        <w:jc w:val="both"/>
        <w:rPr>
          <w:rFonts w:ascii="Tahoma" w:hAnsi="Tahoma" w:cs="Tahoma"/>
          <w:color w:val="0D0D0D" w:themeColor="text1" w:themeTint="F2"/>
          <w:sz w:val="16"/>
          <w:szCs w:val="16"/>
          <w:rtl/>
        </w:rPr>
      </w:pPr>
      <w:r w:rsidRPr="000155D4">
        <w:rPr>
          <w:rFonts w:ascii="Tahoma" w:hAnsi="Tahoma" w:cs="Tahoma" w:hint="cs"/>
          <w:color w:val="0D0D0D" w:themeColor="text1" w:themeTint="F2"/>
          <w:sz w:val="16"/>
          <w:szCs w:val="16"/>
          <w:rtl/>
        </w:rPr>
        <w:t xml:space="preserve">* </w:t>
      </w:r>
      <w:r w:rsidR="000155D4">
        <w:rPr>
          <w:rFonts w:ascii="Tahoma" w:hAnsi="Tahoma" w:cs="Tahoma"/>
          <w:color w:val="0D0D0D" w:themeColor="text1" w:themeTint="F2"/>
          <w:sz w:val="16"/>
          <w:szCs w:val="16"/>
        </w:rPr>
        <w:tab/>
      </w:r>
      <w:r w:rsidRPr="000155D4">
        <w:rPr>
          <w:rFonts w:ascii="Tahoma" w:hAnsi="Tahoma" w:cs="Tahoma" w:hint="cs"/>
          <w:color w:val="0D0D0D" w:themeColor="text1" w:themeTint="F2"/>
          <w:sz w:val="16"/>
          <w:szCs w:val="16"/>
          <w:rtl/>
        </w:rPr>
        <w:t>מתוך טיוטת המדריך להעברת מידע של רשות התקשוב הממשלתי, בעיבוד משרד מבקר המדינה. רשות התקשוב ציינה בתשובתה כי טיוטת המדריך טרם עברה אישור משפטי כלשהו.</w:t>
      </w:r>
    </w:p>
    <w:p w14:paraId="585F0193"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בדוח המסכם שפרסם הצוות לשיפור העברת מידע בין המשרדים ביולי 2016 נכתב בין היתר כי אף שחוק הגנת הפרטיות ותקנותיו מגדירים, ברמת על, את תהליך העבודה להעברת מידע אישי בין גופים ציבוריים, התהליך כיום הוא בירוקרטי ומסורבל, ובפועל גופים רבים אינם מיישמים את הדרישות שנקבעו בחקיקה. יש לכך כמה סיבות, כגון חוסר מודעות פנים-ארגוני לצורך בתהליך ולקיומן של הוועדות, חוסר בתיאום ובשיתוף פעולה בין הגופים, והעובדה שלא נקבעו זמני תקן לפעילות הוועדות (תדירות ההתכנסות, משך הטיפול בבקשות וכו'). </w:t>
      </w:r>
    </w:p>
    <w:p w14:paraId="4FCC528C" w14:textId="77777777" w:rsidR="007478B2" w:rsidRPr="007F0192" w:rsidRDefault="007478B2" w:rsidP="00347A82">
      <w:pPr>
        <w:spacing w:line="260" w:lineRule="exact"/>
        <w:jc w:val="both"/>
        <w:rPr>
          <w:rFonts w:ascii="Tahoma" w:hAnsi="Tahoma" w:cs="Tahoma"/>
          <w:noProof/>
          <w:sz w:val="18"/>
          <w:szCs w:val="18"/>
          <w:rtl/>
        </w:rPr>
      </w:pPr>
      <w:r w:rsidRPr="007F0192">
        <w:rPr>
          <w:rFonts w:ascii="Tahoma" w:hAnsi="Tahoma" w:cs="Tahoma" w:hint="cs"/>
          <w:sz w:val="18"/>
          <w:szCs w:val="18"/>
          <w:rtl/>
        </w:rPr>
        <w:lastRenderedPageBreak/>
        <w:t>הצוות המליץ בדוח המסכם כי רשות התקשוב תפקח על עבודת הוועדות מהבחינה המינהלית</w:t>
      </w:r>
      <w:r w:rsidRPr="007F0192">
        <w:rPr>
          <w:rStyle w:val="af3"/>
          <w:rFonts w:ascii="Tahoma" w:hAnsi="Tahoma" w:cs="Tahoma"/>
          <w:sz w:val="18"/>
          <w:szCs w:val="18"/>
          <w:rtl/>
        </w:rPr>
        <w:footnoteReference w:id="60"/>
      </w:r>
      <w:r w:rsidRPr="007F0192">
        <w:rPr>
          <w:rFonts w:ascii="Tahoma" w:hAnsi="Tahoma" w:cs="Tahoma" w:hint="cs"/>
          <w:sz w:val="18"/>
          <w:szCs w:val="18"/>
          <w:rtl/>
        </w:rPr>
        <w:t>, וכי פעילות הוועדות תבוצע בהתאם לנוהל עבודה סטנדרטי להעברת מידע (להלן - הנוהל). עוד המליץ כי פעילות הוועדות תיתמך במערכת מחשוב רוחבית לניהול העבודה. המלצות הצוות אומצו בהחלטה משנת 2016, שאליה צורף הנוהל כנספח. הנוהל מפרט את השלבים בתהליך הטיפול בבקשה להעברת מידע, הן בצד "מבקש המידע" והן בצד "מחזיק המידע". ראו פרטים בתרשים 13 להלן.</w:t>
      </w:r>
    </w:p>
    <w:p w14:paraId="6C879F25" w14:textId="77777777" w:rsidR="007478B2"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t xml:space="preserve">תרשים 13: </w:t>
      </w:r>
      <w:r w:rsidRPr="007F0192">
        <w:rPr>
          <w:rFonts w:ascii="Tahoma" w:hAnsi="Tahoma" w:cs="Tahoma" w:hint="cs"/>
          <w:b/>
          <w:bCs/>
          <w:color w:val="0D0D0D" w:themeColor="text1" w:themeTint="F2"/>
          <w:sz w:val="18"/>
          <w:szCs w:val="18"/>
          <w:rtl/>
        </w:rPr>
        <w:t>תהליך הטיפול בבקשה להעברת מידע</w:t>
      </w:r>
    </w:p>
    <w:p w14:paraId="6956959E" w14:textId="59BEC28F" w:rsidR="000155D4" w:rsidRPr="007F0192" w:rsidRDefault="000155D4" w:rsidP="000155D4">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063ABF3F" wp14:editId="5ACA649B">
            <wp:extent cx="4680000" cy="3556800"/>
            <wp:effectExtent l="0" t="0" r="635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80000" cy="3556800"/>
                    </a:xfrm>
                    <a:prstGeom prst="rect">
                      <a:avLst/>
                    </a:prstGeom>
                  </pic:spPr>
                </pic:pic>
              </a:graphicData>
            </a:graphic>
          </wp:inline>
        </w:drawing>
      </w:r>
    </w:p>
    <w:p w14:paraId="28ADC9C3" w14:textId="22AA7504" w:rsidR="007478B2" w:rsidRPr="000155D4" w:rsidRDefault="007478B2" w:rsidP="00E12A59">
      <w:pPr>
        <w:tabs>
          <w:tab w:val="left" w:pos="424"/>
        </w:tabs>
        <w:spacing w:after="240" w:line="260" w:lineRule="exact"/>
        <w:jc w:val="both"/>
        <w:rPr>
          <w:rFonts w:ascii="Tahoma" w:hAnsi="Tahoma" w:cs="Tahoma"/>
          <w:color w:val="0D0D0D" w:themeColor="text1" w:themeTint="F2"/>
          <w:sz w:val="16"/>
          <w:szCs w:val="16"/>
          <w:rtl/>
        </w:rPr>
      </w:pPr>
      <w:r w:rsidRPr="000155D4">
        <w:rPr>
          <w:rFonts w:ascii="Tahoma" w:hAnsi="Tahoma" w:cs="Tahoma" w:hint="cs"/>
          <w:color w:val="0D0D0D" w:themeColor="text1" w:themeTint="F2"/>
          <w:sz w:val="16"/>
          <w:szCs w:val="16"/>
          <w:rtl/>
        </w:rPr>
        <w:t>על פי נתוני רשות התקשוב הממשלתי, בעיבוד משרד מבקר המדינה</w:t>
      </w:r>
    </w:p>
    <w:p w14:paraId="2E220E50" w14:textId="77777777" w:rsidR="007478B2" w:rsidRPr="007F0192" w:rsidRDefault="007478B2" w:rsidP="00347A82">
      <w:pPr>
        <w:spacing w:line="260" w:lineRule="exact"/>
        <w:jc w:val="both"/>
        <w:rPr>
          <w:rFonts w:ascii="Tahoma" w:hAnsi="Tahoma" w:cs="Tahoma"/>
          <w:sz w:val="18"/>
          <w:szCs w:val="18"/>
          <w:rtl/>
        </w:rPr>
      </w:pPr>
    </w:p>
    <w:p w14:paraId="6B8BF00C" w14:textId="77777777" w:rsidR="007478B2" w:rsidRDefault="007478B2" w:rsidP="007478B2">
      <w:pPr>
        <w:pStyle w:val="KOT4N"/>
        <w:rPr>
          <w:rtl/>
        </w:rPr>
      </w:pPr>
      <w:r>
        <w:rPr>
          <w:rFonts w:hint="cs"/>
          <w:rtl/>
        </w:rPr>
        <w:t xml:space="preserve">הפיקוח על </w:t>
      </w:r>
      <w:r w:rsidRPr="00E4414E">
        <w:rPr>
          <w:rFonts w:hint="cs"/>
          <w:rtl/>
        </w:rPr>
        <w:t>עמידת</w:t>
      </w:r>
      <w:r>
        <w:rPr>
          <w:rFonts w:hint="cs"/>
          <w:rtl/>
        </w:rPr>
        <w:t xml:space="preserve"> הוועדות בנוהל והעבודה במערכת מוע"ד</w:t>
      </w:r>
    </w:p>
    <w:p w14:paraId="7284E628"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בהחלטה משנת 2016 נקבע כי אחת לשנה תגיש רשות התקשוב לממשלה דוח המפרט את מידת עמידתן של הוועדות בנוהל. בהתאם לכך, דיווחה רשות התקשוב בפברואר 2020 </w:t>
      </w:r>
      <w:r w:rsidRPr="007F0192">
        <w:rPr>
          <w:rFonts w:ascii="Tahoma" w:hAnsi="Tahoma" w:cs="Tahoma" w:hint="cs"/>
          <w:sz w:val="18"/>
          <w:szCs w:val="18"/>
          <w:rtl/>
        </w:rPr>
        <w:lastRenderedPageBreak/>
        <w:t>לממשלה על פעילות הוועדות במשרדי הממשלה, ביחידות הסמך ובמוסד לביטוח לאומי בשנת 2019 (להלן - הדיווח על עבודת הוועדות). הדיווח כלל פרטים בנוגע למספר הבקשות להעברת מידע, שבהן דנו הוועדות בשנת 2019</w:t>
      </w:r>
      <w:r w:rsidRPr="007F0192">
        <w:rPr>
          <w:rStyle w:val="af3"/>
          <w:rFonts w:ascii="Tahoma" w:hAnsi="Tahoma" w:cs="Tahoma"/>
          <w:sz w:val="18"/>
          <w:szCs w:val="18"/>
          <w:rtl/>
        </w:rPr>
        <w:footnoteReference w:id="61"/>
      </w:r>
      <w:r w:rsidRPr="007F0192">
        <w:rPr>
          <w:rFonts w:ascii="Tahoma" w:hAnsi="Tahoma" w:cs="Tahoma" w:hint="cs"/>
          <w:sz w:val="18"/>
          <w:szCs w:val="18"/>
          <w:rtl/>
        </w:rPr>
        <w:t xml:space="preserve"> . ראו פרטים בתרשים 14 להלן.</w:t>
      </w:r>
    </w:p>
    <w:p w14:paraId="6F7E78A6" w14:textId="77777777" w:rsidR="007478B2"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t xml:space="preserve">תרשים 14: </w:t>
      </w:r>
      <w:r w:rsidRPr="007F0192">
        <w:rPr>
          <w:rFonts w:ascii="Tahoma" w:hAnsi="Tahoma" w:cs="Tahoma" w:hint="cs"/>
          <w:b/>
          <w:bCs/>
          <w:color w:val="0D0D0D" w:themeColor="text1" w:themeTint="F2"/>
          <w:sz w:val="18"/>
          <w:szCs w:val="18"/>
          <w:rtl/>
        </w:rPr>
        <w:t xml:space="preserve">פירוט בקשות להעברת מידע בשנת 2019, לפי גופים </w:t>
      </w:r>
    </w:p>
    <w:p w14:paraId="61E77CB4" w14:textId="726282A5" w:rsidR="007478B2" w:rsidRPr="007F0192" w:rsidRDefault="000155D4" w:rsidP="000155D4">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483AECBA" wp14:editId="7D46A17D">
            <wp:extent cx="3240000" cy="5263200"/>
            <wp:effectExtent l="0" t="0" r="0" b="0"/>
            <wp:docPr id="62" name="Picture 62"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ic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40000" cy="5263200"/>
                    </a:xfrm>
                    <a:prstGeom prst="rect">
                      <a:avLst/>
                    </a:prstGeom>
                  </pic:spPr>
                </pic:pic>
              </a:graphicData>
            </a:graphic>
          </wp:inline>
        </w:drawing>
      </w:r>
    </w:p>
    <w:p w14:paraId="08A7DDBC" w14:textId="31B43D76" w:rsidR="007478B2" w:rsidRPr="000155D4" w:rsidRDefault="007478B2" w:rsidP="000155D4">
      <w:pPr>
        <w:tabs>
          <w:tab w:val="left" w:pos="424"/>
        </w:tabs>
        <w:spacing w:before="120" w:after="0" w:line="260" w:lineRule="exact"/>
        <w:ind w:left="397" w:hanging="397"/>
        <w:jc w:val="both"/>
        <w:rPr>
          <w:rFonts w:ascii="Tahoma" w:hAnsi="Tahoma" w:cs="Tahoma"/>
          <w:color w:val="0D0D0D" w:themeColor="text1" w:themeTint="F2"/>
          <w:sz w:val="16"/>
          <w:szCs w:val="16"/>
          <w:rtl/>
        </w:rPr>
      </w:pPr>
      <w:r w:rsidRPr="000155D4">
        <w:rPr>
          <w:rFonts w:ascii="Tahoma" w:hAnsi="Tahoma" w:cs="Tahoma" w:hint="cs"/>
          <w:color w:val="0D0D0D" w:themeColor="text1" w:themeTint="F2"/>
          <w:sz w:val="16"/>
          <w:szCs w:val="16"/>
          <w:rtl/>
        </w:rPr>
        <w:t xml:space="preserve">* </w:t>
      </w:r>
      <w:r w:rsidR="000155D4">
        <w:rPr>
          <w:rFonts w:ascii="Tahoma" w:hAnsi="Tahoma" w:cs="Tahoma"/>
          <w:color w:val="0D0D0D" w:themeColor="text1" w:themeTint="F2"/>
          <w:sz w:val="16"/>
          <w:szCs w:val="16"/>
        </w:rPr>
        <w:tab/>
      </w:r>
      <w:r w:rsidRPr="000155D4">
        <w:rPr>
          <w:rFonts w:ascii="Tahoma" w:hAnsi="Tahoma" w:cs="Tahoma" w:hint="cs"/>
          <w:color w:val="0D0D0D" w:themeColor="text1" w:themeTint="F2"/>
          <w:sz w:val="16"/>
          <w:szCs w:val="16"/>
          <w:rtl/>
        </w:rPr>
        <w:t xml:space="preserve">כולל טפסי א' וטפסי ב' וכן בקשות שהתקבלו מגופים ציבוריים שאינם משרדי ממשלה או יחידות סמך כגון רשויות מקומיות, בתי חולים ותאגידים סטטוטוריים. </w:t>
      </w:r>
    </w:p>
    <w:p w14:paraId="2AF22EB2" w14:textId="77777777" w:rsidR="007478B2" w:rsidRPr="000155D4" w:rsidRDefault="007478B2" w:rsidP="000155D4">
      <w:pPr>
        <w:tabs>
          <w:tab w:val="left" w:pos="424"/>
        </w:tabs>
        <w:spacing w:after="240" w:line="260" w:lineRule="exact"/>
        <w:ind w:left="397" w:hanging="397"/>
        <w:jc w:val="both"/>
        <w:rPr>
          <w:rFonts w:ascii="Tahoma" w:hAnsi="Tahoma" w:cs="Tahoma"/>
          <w:color w:val="0D0D0D" w:themeColor="text1" w:themeTint="F2"/>
          <w:sz w:val="16"/>
          <w:szCs w:val="16"/>
          <w:rtl/>
        </w:rPr>
      </w:pPr>
      <w:r w:rsidRPr="000155D4">
        <w:rPr>
          <w:rFonts w:ascii="Tahoma" w:hAnsi="Tahoma" w:cs="Tahoma" w:hint="cs"/>
          <w:color w:val="0D0D0D" w:themeColor="text1" w:themeTint="F2"/>
          <w:sz w:val="16"/>
          <w:szCs w:val="16"/>
          <w:rtl/>
        </w:rPr>
        <w:t>על פי נתוני רשות התקשוב הממשלתי, בעיבוד משרד מבקר המדינה.</w:t>
      </w:r>
    </w:p>
    <w:p w14:paraId="27F61B63"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lastRenderedPageBreak/>
        <w:t>מהתרשים עולה כי הוועדה ברשות האוכלוסין טיפלה במספר הגדול ביותר של בקשות להעברת מידע בשנת 2019 (613 בקשות). עוד עולה כי הוועדות ב-15 גופים טיפלו ביותר מ-90% מהבקשות להעברת מידע באותה השנה (15 ועדות דנו ב-1,153 בקשות להעברת מידע, שהן כ-94% מהבקשות שנדונו). משרד מבקר המדינה בדק פרטים על תהליך הטיפול בבקשות להעברת מידע בוועדות:</w:t>
      </w:r>
    </w:p>
    <w:p w14:paraId="27856BB3" w14:textId="77777777" w:rsidR="007478B2" w:rsidRPr="00464BF9" w:rsidRDefault="007478B2" w:rsidP="00464BF9">
      <w:pPr>
        <w:pStyle w:val="a"/>
        <w:numPr>
          <w:ilvl w:val="0"/>
          <w:numId w:val="7"/>
        </w:numPr>
        <w:autoSpaceDE/>
        <w:autoSpaceDN/>
        <w:adjustRightInd/>
        <w:spacing w:line="260" w:lineRule="exact"/>
        <w:ind w:left="397" w:hanging="397"/>
        <w:rPr>
          <w:sz w:val="18"/>
          <w:szCs w:val="18"/>
          <w:rtl/>
        </w:rPr>
      </w:pPr>
      <w:r w:rsidRPr="00464BF9">
        <w:rPr>
          <w:rFonts w:hint="cs"/>
          <w:sz w:val="18"/>
          <w:szCs w:val="18"/>
          <w:rtl/>
        </w:rPr>
        <w:t xml:space="preserve">בהחלטה משנת 2016 הוטל על רשות התקשוב לפתח מערכת מחשוב רוחבית לניהול עבודת הוועדות להעברת מידע במשרדי הממשלה (להלן - מערכת מוע"ד); וכן הוטל על הוועדות לנהל את תהליך הטיפול בבקשות העברת המידע באמצעות מערכת זו. </w:t>
      </w:r>
    </w:p>
    <w:p w14:paraId="4481777C" w14:textId="77777777" w:rsidR="007478B2" w:rsidRPr="007F0192" w:rsidRDefault="007478B2" w:rsidP="00347A82">
      <w:pPr>
        <w:spacing w:line="260" w:lineRule="exact"/>
        <w:ind w:left="397"/>
        <w:jc w:val="both"/>
        <w:rPr>
          <w:rFonts w:ascii="Tahoma" w:hAnsi="Tahoma" w:cs="Tahoma"/>
          <w:sz w:val="18"/>
          <w:szCs w:val="18"/>
          <w:rtl/>
        </w:rPr>
      </w:pPr>
      <w:r w:rsidRPr="007F0192">
        <w:rPr>
          <w:rFonts w:ascii="Tahoma" w:hAnsi="Tahoma" w:cs="Tahoma" w:hint="cs"/>
          <w:sz w:val="18"/>
          <w:szCs w:val="18"/>
          <w:rtl/>
        </w:rPr>
        <w:t>במאי 2019 פרסמה רשות התקשוב הנחיה למשרדים בנושא מערכת מוע"ד</w:t>
      </w:r>
      <w:r w:rsidRPr="007F0192">
        <w:rPr>
          <w:rStyle w:val="af3"/>
          <w:rFonts w:ascii="Tahoma" w:hAnsi="Tahoma" w:cs="Tahoma"/>
          <w:sz w:val="18"/>
          <w:szCs w:val="18"/>
          <w:rtl/>
        </w:rPr>
        <w:footnoteReference w:id="62"/>
      </w:r>
      <w:r w:rsidRPr="007F0192">
        <w:rPr>
          <w:rFonts w:ascii="Tahoma" w:hAnsi="Tahoma" w:cs="Tahoma" w:hint="cs"/>
          <w:sz w:val="18"/>
          <w:szCs w:val="18"/>
          <w:rtl/>
        </w:rPr>
        <w:t>. בהנחיה נכתב כי מערכת מוע"ד פעילה מנובמבר 2017, וכי ממועד מתן ההנחיה ובהתאם לנדרש בהחלטה משנת 2016, כל המשרדים מחויבים לנהל את תהליכי הבקשות להעברת מידע במערכת מוע"ד. עוד נכתב בהנחיה כי המערכת לא שינתה את הסמכויות או את מרחב שיקול הדעת של הוועדות, אלא פיתחה את התהליך באופן דיגיטלי לצורך שיפורו.</w:t>
      </w:r>
    </w:p>
    <w:p w14:paraId="35D1B87F" w14:textId="77777777" w:rsidR="007478B2" w:rsidRPr="007F0192" w:rsidRDefault="007478B2" w:rsidP="00347A82">
      <w:pPr>
        <w:spacing w:line="260" w:lineRule="exact"/>
        <w:ind w:left="397"/>
        <w:jc w:val="both"/>
        <w:rPr>
          <w:rFonts w:ascii="Tahoma" w:hAnsi="Tahoma" w:cs="Tahoma"/>
          <w:sz w:val="18"/>
          <w:szCs w:val="18"/>
          <w:rtl/>
        </w:rPr>
      </w:pPr>
      <w:r w:rsidRPr="007F0192">
        <w:rPr>
          <w:rFonts w:ascii="Tahoma" w:hAnsi="Tahoma" w:cs="Tahoma" w:hint="cs"/>
          <w:sz w:val="18"/>
          <w:szCs w:val="18"/>
          <w:rtl/>
        </w:rPr>
        <w:t>ב</w:t>
      </w:r>
      <w:r w:rsidRPr="007F0192">
        <w:rPr>
          <w:rFonts w:ascii="Tahoma" w:hAnsi="Tahoma" w:cs="Tahoma"/>
          <w:sz w:val="18"/>
          <w:szCs w:val="18"/>
          <w:rtl/>
        </w:rPr>
        <w:t xml:space="preserve">אוקטובר 2020 </w:t>
      </w:r>
      <w:r w:rsidRPr="007F0192">
        <w:rPr>
          <w:rFonts w:ascii="Tahoma" w:hAnsi="Tahoma" w:cs="Tahoma" w:hint="cs"/>
          <w:sz w:val="18"/>
          <w:szCs w:val="18"/>
          <w:rtl/>
        </w:rPr>
        <w:t xml:space="preserve">מסרה רשות התקשוב למשרד מבקר המדינה כי </w:t>
      </w:r>
      <w:r w:rsidRPr="007F0192">
        <w:rPr>
          <w:rFonts w:ascii="Tahoma" w:hAnsi="Tahoma" w:cs="Tahoma"/>
          <w:sz w:val="18"/>
          <w:szCs w:val="18"/>
          <w:rtl/>
        </w:rPr>
        <w:t xml:space="preserve">39 </w:t>
      </w:r>
      <w:r w:rsidRPr="007F0192">
        <w:rPr>
          <w:rFonts w:ascii="Tahoma" w:hAnsi="Tahoma" w:cs="Tahoma" w:hint="cs"/>
          <w:sz w:val="18"/>
          <w:szCs w:val="18"/>
          <w:rtl/>
        </w:rPr>
        <w:t xml:space="preserve">גופים (משרדי ממשלה ויחידות סמך) </w:t>
      </w:r>
      <w:r w:rsidRPr="007F0192">
        <w:rPr>
          <w:rFonts w:ascii="Tahoma" w:hAnsi="Tahoma" w:cs="Tahoma"/>
          <w:sz w:val="18"/>
          <w:szCs w:val="18"/>
          <w:rtl/>
        </w:rPr>
        <w:t xml:space="preserve">עובדים </w:t>
      </w:r>
      <w:r w:rsidRPr="007F0192">
        <w:rPr>
          <w:rFonts w:ascii="Tahoma" w:hAnsi="Tahoma" w:cs="Tahoma" w:hint="cs"/>
          <w:sz w:val="18"/>
          <w:szCs w:val="18"/>
          <w:rtl/>
        </w:rPr>
        <w:t xml:space="preserve">במערכת </w:t>
      </w:r>
      <w:r w:rsidRPr="007F0192">
        <w:rPr>
          <w:rFonts w:ascii="Tahoma" w:hAnsi="Tahoma" w:cs="Tahoma"/>
          <w:sz w:val="18"/>
          <w:szCs w:val="18"/>
          <w:rtl/>
        </w:rPr>
        <w:t>מוע"</w:t>
      </w:r>
      <w:r w:rsidRPr="007F0192">
        <w:rPr>
          <w:rFonts w:ascii="Tahoma" w:hAnsi="Tahoma" w:cs="Tahoma" w:hint="cs"/>
          <w:sz w:val="18"/>
          <w:szCs w:val="18"/>
          <w:rtl/>
        </w:rPr>
        <w:t>ד; וכי</w:t>
      </w:r>
      <w:r w:rsidRPr="007F0192">
        <w:rPr>
          <w:rFonts w:ascii="Tahoma" w:hAnsi="Tahoma" w:cs="Tahoma"/>
          <w:sz w:val="18"/>
          <w:szCs w:val="18"/>
          <w:rtl/>
        </w:rPr>
        <w:t xml:space="preserve"> 18 גופים נוספים </w:t>
      </w:r>
      <w:r w:rsidRPr="007F0192">
        <w:rPr>
          <w:rFonts w:ascii="Tahoma" w:hAnsi="Tahoma" w:cs="Tahoma" w:hint="cs"/>
          <w:sz w:val="18"/>
          <w:szCs w:val="18"/>
          <w:rtl/>
        </w:rPr>
        <w:t>טרם התחברו למערכת</w:t>
      </w:r>
      <w:r w:rsidRPr="007F0192">
        <w:rPr>
          <w:rFonts w:ascii="Tahoma" w:hAnsi="Tahoma" w:cs="Tahoma"/>
          <w:sz w:val="18"/>
          <w:szCs w:val="18"/>
          <w:rtl/>
        </w:rPr>
        <w:t xml:space="preserve">, </w:t>
      </w:r>
      <w:r w:rsidRPr="007F0192">
        <w:rPr>
          <w:rFonts w:ascii="Tahoma" w:hAnsi="Tahoma" w:cs="Tahoma" w:hint="cs"/>
          <w:sz w:val="18"/>
          <w:szCs w:val="18"/>
          <w:rtl/>
        </w:rPr>
        <w:t xml:space="preserve">בין היתר בשל </w:t>
      </w:r>
      <w:r w:rsidRPr="007F0192">
        <w:rPr>
          <w:rFonts w:ascii="Tahoma" w:hAnsi="Tahoma" w:cs="Tahoma"/>
          <w:sz w:val="18"/>
          <w:szCs w:val="18"/>
          <w:rtl/>
        </w:rPr>
        <w:t xml:space="preserve">סיבות </w:t>
      </w:r>
      <w:r w:rsidRPr="007F0192">
        <w:rPr>
          <w:rFonts w:ascii="Tahoma" w:hAnsi="Tahoma" w:cs="Tahoma" w:hint="cs"/>
          <w:sz w:val="18"/>
          <w:szCs w:val="18"/>
          <w:rtl/>
        </w:rPr>
        <w:t xml:space="preserve">טכניות או </w:t>
      </w:r>
      <w:r w:rsidRPr="007F0192">
        <w:rPr>
          <w:rFonts w:ascii="Tahoma" w:hAnsi="Tahoma" w:cs="Tahoma"/>
          <w:sz w:val="18"/>
          <w:szCs w:val="18"/>
          <w:rtl/>
        </w:rPr>
        <w:t>ביטחוניות</w:t>
      </w:r>
      <w:r w:rsidRPr="007F0192">
        <w:rPr>
          <w:rFonts w:ascii="Tahoma" w:hAnsi="Tahoma" w:cs="Tahoma" w:hint="cs"/>
          <w:sz w:val="18"/>
          <w:szCs w:val="18"/>
          <w:rtl/>
        </w:rPr>
        <w:t xml:space="preserve">. </w:t>
      </w:r>
    </w:p>
    <w:p w14:paraId="499FC1EB" w14:textId="77777777" w:rsidR="007478B2" w:rsidRPr="00EE5EAD" w:rsidRDefault="007478B2" w:rsidP="00EE5EAD">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sz w:val="18"/>
          <w:szCs w:val="18"/>
          <w:rtl/>
        </w:rPr>
      </w:pPr>
      <w:r w:rsidRPr="00EE5EAD">
        <w:rPr>
          <w:rFonts w:ascii="Tahoma" w:hAnsi="Tahoma" w:cs="Tahoma" w:hint="cs"/>
          <w:sz w:val="18"/>
          <w:szCs w:val="18"/>
          <w:rtl/>
        </w:rPr>
        <w:t xml:space="preserve">יש לראות בחיוב את פעולתה היעילה של רשות התקשוב בהקמת מערכת מוע"ד לניהול עבודת הוועדות להעברת מידע במשרדי הממשלה ובצירופם של גופים רבים מקרב המשרדים לעבודה במערכת, לרבות ליווי הגופים בתהליך החיבור למערכת, הדרכה שוטפת ומעקב. </w:t>
      </w:r>
    </w:p>
    <w:p w14:paraId="10DF2FC9" w14:textId="77777777" w:rsidR="007478B2" w:rsidRPr="00EE5EAD" w:rsidRDefault="007478B2" w:rsidP="00EE5EAD">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sz w:val="18"/>
          <w:szCs w:val="18"/>
          <w:rtl/>
        </w:rPr>
      </w:pPr>
      <w:r w:rsidRPr="00EE5EAD">
        <w:rPr>
          <w:rFonts w:ascii="Tahoma" w:hAnsi="Tahoma" w:cs="Tahoma" w:hint="cs"/>
          <w:sz w:val="18"/>
          <w:szCs w:val="18"/>
          <w:rtl/>
        </w:rPr>
        <w:t>הביקורת העלתה כי בין הגופים שטרם התחברו למערכת מוע"ד במועד סיום הביקורת היו כאלו שטיפלו בבקשות רבות להעברת מידע</w:t>
      </w:r>
      <w:r w:rsidRPr="00EE5EAD">
        <w:rPr>
          <w:rFonts w:ascii="Tahoma" w:hAnsi="Tahoma" w:cs="Tahoma"/>
          <w:sz w:val="18"/>
          <w:szCs w:val="18"/>
          <w:rtl/>
        </w:rPr>
        <w:t xml:space="preserve"> </w:t>
      </w:r>
      <w:r w:rsidRPr="00EE5EAD">
        <w:rPr>
          <w:rFonts w:ascii="Tahoma" w:hAnsi="Tahoma" w:cs="Tahoma" w:hint="cs"/>
          <w:sz w:val="18"/>
          <w:szCs w:val="18"/>
          <w:rtl/>
        </w:rPr>
        <w:t xml:space="preserve">בשנת 2019, ובהם </w:t>
      </w:r>
      <w:r w:rsidRPr="00EE5EAD">
        <w:rPr>
          <w:rFonts w:ascii="Tahoma" w:hAnsi="Tahoma" w:cs="Tahoma"/>
          <w:sz w:val="18"/>
          <w:szCs w:val="18"/>
          <w:rtl/>
        </w:rPr>
        <w:t>משרד הבריאות</w:t>
      </w:r>
      <w:r w:rsidRPr="00EE5EAD">
        <w:rPr>
          <w:rFonts w:ascii="Tahoma" w:hAnsi="Tahoma" w:cs="Tahoma" w:hint="cs"/>
          <w:sz w:val="18"/>
          <w:szCs w:val="18"/>
          <w:rtl/>
        </w:rPr>
        <w:t xml:space="preserve"> (43 בקשות)</w:t>
      </w:r>
      <w:r w:rsidRPr="00EE5EAD">
        <w:rPr>
          <w:rFonts w:ascii="Tahoma" w:hAnsi="Tahoma" w:cs="Tahoma"/>
          <w:sz w:val="18"/>
          <w:szCs w:val="18"/>
          <w:rtl/>
        </w:rPr>
        <w:t xml:space="preserve">, </w:t>
      </w:r>
      <w:r w:rsidRPr="00EE5EAD">
        <w:rPr>
          <w:rFonts w:ascii="Tahoma" w:hAnsi="Tahoma" w:cs="Tahoma" w:hint="cs"/>
          <w:sz w:val="18"/>
          <w:szCs w:val="18"/>
          <w:rtl/>
        </w:rPr>
        <w:t>המוסד לביטוח לאומי</w:t>
      </w:r>
      <w:r w:rsidRPr="00EE5EAD">
        <w:rPr>
          <w:rStyle w:val="af3"/>
          <w:rFonts w:ascii="Tahoma" w:hAnsi="Tahoma" w:cs="Tahoma"/>
          <w:sz w:val="18"/>
          <w:szCs w:val="18"/>
          <w:rtl/>
        </w:rPr>
        <w:footnoteReference w:id="63"/>
      </w:r>
      <w:r w:rsidRPr="00EE5EAD">
        <w:rPr>
          <w:rFonts w:ascii="Tahoma" w:hAnsi="Tahoma" w:cs="Tahoma" w:hint="cs"/>
          <w:sz w:val="18"/>
          <w:szCs w:val="18"/>
          <w:rtl/>
        </w:rPr>
        <w:t xml:space="preserve">, </w:t>
      </w:r>
      <w:r w:rsidRPr="00EE5EAD">
        <w:rPr>
          <w:rFonts w:ascii="Tahoma" w:hAnsi="Tahoma" w:cs="Tahoma"/>
          <w:sz w:val="18"/>
          <w:szCs w:val="18"/>
          <w:rtl/>
        </w:rPr>
        <w:t>משרד הביטחון</w:t>
      </w:r>
      <w:r w:rsidRPr="00EE5EAD">
        <w:rPr>
          <w:rFonts w:ascii="Tahoma" w:hAnsi="Tahoma" w:cs="Tahoma" w:hint="cs"/>
          <w:sz w:val="18"/>
          <w:szCs w:val="18"/>
          <w:rtl/>
        </w:rPr>
        <w:t xml:space="preserve"> (40 בקשות) ו</w:t>
      </w:r>
      <w:r w:rsidRPr="00EE5EAD">
        <w:rPr>
          <w:rFonts w:ascii="Tahoma" w:hAnsi="Tahoma" w:cs="Tahoma"/>
          <w:sz w:val="18"/>
          <w:szCs w:val="18"/>
          <w:rtl/>
        </w:rPr>
        <w:t>רשות המסים</w:t>
      </w:r>
      <w:r w:rsidRPr="00EE5EAD">
        <w:rPr>
          <w:rFonts w:ascii="Tahoma" w:hAnsi="Tahoma" w:cs="Tahoma" w:hint="cs"/>
          <w:sz w:val="18"/>
          <w:szCs w:val="18"/>
          <w:rtl/>
        </w:rPr>
        <w:t xml:space="preserve"> (13 בקשות).</w:t>
      </w:r>
    </w:p>
    <w:p w14:paraId="5D38FC92" w14:textId="77777777" w:rsidR="007478B2" w:rsidRPr="007F0192" w:rsidRDefault="007478B2" w:rsidP="00347A82">
      <w:pPr>
        <w:spacing w:line="260" w:lineRule="exact"/>
        <w:ind w:left="397"/>
        <w:jc w:val="both"/>
        <w:rPr>
          <w:rFonts w:ascii="Tahoma" w:hAnsi="Tahoma" w:cs="Tahoma"/>
          <w:sz w:val="18"/>
          <w:szCs w:val="18"/>
          <w:rtl/>
        </w:rPr>
      </w:pPr>
      <w:r w:rsidRPr="007F0192">
        <w:rPr>
          <w:rFonts w:ascii="Tahoma" w:hAnsi="Tahoma" w:cs="Tahoma" w:hint="cs"/>
          <w:sz w:val="18"/>
          <w:szCs w:val="18"/>
          <w:rtl/>
        </w:rPr>
        <w:t>משרד הבריאות מסר בתשובתו למשרד מבקר המדינה ממרץ 2021 כי הוא</w:t>
      </w:r>
      <w:r w:rsidRPr="007F0192">
        <w:rPr>
          <w:rFonts w:ascii="Tahoma" w:hAnsi="Tahoma" w:cs="Tahoma"/>
          <w:sz w:val="18"/>
          <w:szCs w:val="18"/>
          <w:rtl/>
        </w:rPr>
        <w:t xml:space="preserve"> ביצע פיילוט בשימוש מערכת מוע"ד, אולם מצא ש</w:t>
      </w:r>
      <w:r w:rsidRPr="007F0192">
        <w:rPr>
          <w:rFonts w:ascii="Tahoma" w:hAnsi="Tahoma" w:cs="Tahoma" w:hint="cs"/>
          <w:sz w:val="18"/>
          <w:szCs w:val="18"/>
          <w:rtl/>
        </w:rPr>
        <w:t xml:space="preserve">היא </w:t>
      </w:r>
      <w:r w:rsidRPr="007F0192">
        <w:rPr>
          <w:rFonts w:ascii="Tahoma" w:hAnsi="Tahoma" w:cs="Tahoma"/>
          <w:sz w:val="18"/>
          <w:szCs w:val="18"/>
          <w:rtl/>
        </w:rPr>
        <w:t xml:space="preserve">אינה עונה על צורכי המשרד הייחודיים, כמו: ניהול העברות מידע שאינו </w:t>
      </w:r>
      <w:r w:rsidRPr="007F0192">
        <w:rPr>
          <w:rFonts w:ascii="Tahoma" w:hAnsi="Tahoma" w:cs="Tahoma"/>
          <w:sz w:val="18"/>
          <w:szCs w:val="18"/>
        </w:rPr>
        <w:t>G2G</w:t>
      </w:r>
      <w:r w:rsidRPr="007F0192">
        <w:rPr>
          <w:rStyle w:val="af3"/>
          <w:rFonts w:ascii="Tahoma" w:hAnsi="Tahoma" w:cs="Tahoma"/>
          <w:sz w:val="18"/>
          <w:szCs w:val="18"/>
        </w:rPr>
        <w:footnoteReference w:id="64"/>
      </w:r>
      <w:r w:rsidRPr="007F0192">
        <w:rPr>
          <w:rFonts w:ascii="Tahoma" w:hAnsi="Tahoma" w:cs="Tahoma"/>
          <w:sz w:val="18"/>
          <w:szCs w:val="18"/>
          <w:rtl/>
        </w:rPr>
        <w:t xml:space="preserve">, </w:t>
      </w:r>
      <w:r w:rsidRPr="007F0192">
        <w:rPr>
          <w:rFonts w:ascii="Tahoma" w:hAnsi="Tahoma" w:cs="Tahoma" w:hint="cs"/>
          <w:sz w:val="18"/>
          <w:szCs w:val="18"/>
          <w:rtl/>
        </w:rPr>
        <w:t>בין היתר</w:t>
      </w:r>
      <w:r w:rsidRPr="007F0192">
        <w:rPr>
          <w:rFonts w:ascii="Tahoma" w:hAnsi="Tahoma" w:cs="Tahoma"/>
          <w:sz w:val="18"/>
          <w:szCs w:val="18"/>
          <w:rtl/>
        </w:rPr>
        <w:t xml:space="preserve"> מול רשויות מקומיות וקופות חולים.</w:t>
      </w:r>
      <w:r w:rsidRPr="007F0192">
        <w:rPr>
          <w:rFonts w:ascii="Tahoma" w:hAnsi="Tahoma" w:cs="Tahoma" w:hint="cs"/>
          <w:sz w:val="18"/>
          <w:szCs w:val="18"/>
          <w:rtl/>
        </w:rPr>
        <w:t xml:space="preserve"> עוד מסר כי הוא מקיים קשר שוטף וישיר עם ממשל זמין בנוגע להתאמת המערכת לצרכים ולצורך השימוש בה.</w:t>
      </w:r>
    </w:p>
    <w:p w14:paraId="6E3E62F9" w14:textId="77777777" w:rsidR="007478B2" w:rsidRPr="007F0192" w:rsidRDefault="007478B2" w:rsidP="00347A82">
      <w:pPr>
        <w:spacing w:line="260" w:lineRule="exact"/>
        <w:ind w:left="397"/>
        <w:jc w:val="both"/>
        <w:rPr>
          <w:rFonts w:ascii="Tahoma" w:hAnsi="Tahoma" w:cs="Tahoma"/>
          <w:sz w:val="18"/>
          <w:szCs w:val="18"/>
          <w:rtl/>
        </w:rPr>
      </w:pPr>
      <w:r w:rsidRPr="007F0192">
        <w:rPr>
          <w:rFonts w:ascii="Tahoma" w:hAnsi="Tahoma" w:cs="Tahoma" w:hint="cs"/>
          <w:sz w:val="18"/>
          <w:szCs w:val="18"/>
          <w:rtl/>
        </w:rPr>
        <w:t xml:space="preserve">מנכ"ל הביטוח הלאומי מסר בתשובתו למשרד מבקר המדינה מפברואר 2021 כי הביטוח הלאומי הוא תאגיד סטטוטורי, וככזה החלטת הממשלה משנת 2016 אינה חלה עליו באופן אוטומטי. על הביטוח הלאומי הוטל לבחון אם לאמץ את האמור בכמה מסעיפי ההחלטה </w:t>
      </w:r>
      <w:r w:rsidRPr="007F0192">
        <w:rPr>
          <w:rFonts w:ascii="Tahoma" w:hAnsi="Tahoma" w:cs="Tahoma" w:hint="cs"/>
          <w:sz w:val="18"/>
          <w:szCs w:val="18"/>
          <w:rtl/>
        </w:rPr>
        <w:lastRenderedPageBreak/>
        <w:t xml:space="preserve">ובהם נושא ניהול תהליך הטיפול בבקשות להעברת מידע במערכת מוע"ד. המנכ"ל ציין כי במסגרת עבודת מטה שביצע הביטוח הלאומי בנושא עלה כי נטישת המערכת הנוכחית של הביטוח הלאומי והצטרפות למערכת מוע"ד תוריד לטמיון את תיעוד ההיסטוריה של מסירות המידע ולא תועיל לשיפור תהליך הגשת הבקשות לקבלת מידע מהביטוח הלאומי והעברת מידע אליו. הוא הוסיף כי אם בעתיד מערכת מוע"ד תאפשר לשמר את כל ההיסטוריה של ועדות מסירות המידע, הביטוח הלאומי ישקול את האפשרות להצטרף למערכת זו. </w:t>
      </w:r>
    </w:p>
    <w:p w14:paraId="6A67E6E9" w14:textId="77777777" w:rsidR="007478B2" w:rsidRPr="007F0192" w:rsidRDefault="007478B2" w:rsidP="00347A82">
      <w:pPr>
        <w:spacing w:line="260" w:lineRule="exact"/>
        <w:ind w:left="397"/>
        <w:jc w:val="both"/>
        <w:rPr>
          <w:rFonts w:ascii="Tahoma" w:hAnsi="Tahoma" w:cs="Tahoma"/>
          <w:sz w:val="18"/>
          <w:szCs w:val="18"/>
          <w:rtl/>
        </w:rPr>
      </w:pPr>
      <w:r w:rsidRPr="007F0192">
        <w:rPr>
          <w:rFonts w:ascii="Tahoma" w:hAnsi="Tahoma" w:cs="Tahoma" w:hint="cs"/>
          <w:sz w:val="18"/>
          <w:szCs w:val="18"/>
          <w:rtl/>
        </w:rPr>
        <w:t>משרד הביטחון מסר בתשובתו למשרד מבקר המדינה ממרץ 2021 כי</w:t>
      </w:r>
      <w:r w:rsidRPr="007F0192">
        <w:rPr>
          <w:rFonts w:ascii="Tahoma" w:hAnsi="Tahoma" w:cs="Tahoma"/>
          <w:sz w:val="18"/>
          <w:szCs w:val="18"/>
          <w:rtl/>
        </w:rPr>
        <w:t xml:space="preserve"> </w:t>
      </w:r>
      <w:r w:rsidRPr="007F0192">
        <w:rPr>
          <w:rFonts w:ascii="Tahoma" w:hAnsi="Tahoma" w:cs="Tahoma" w:hint="cs"/>
          <w:sz w:val="18"/>
          <w:szCs w:val="18"/>
          <w:rtl/>
        </w:rPr>
        <w:t>הוא מבצע</w:t>
      </w:r>
      <w:r w:rsidRPr="007F0192">
        <w:rPr>
          <w:rFonts w:ascii="Tahoma" w:hAnsi="Tahoma" w:cs="Tahoma"/>
          <w:sz w:val="18"/>
          <w:szCs w:val="18"/>
          <w:rtl/>
        </w:rPr>
        <w:t xml:space="preserve"> העברת מידע במסגרת הגנת הפרטיות</w:t>
      </w:r>
      <w:r w:rsidRPr="007F0192">
        <w:rPr>
          <w:rFonts w:ascii="Tahoma" w:hAnsi="Tahoma" w:cs="Tahoma" w:hint="cs"/>
          <w:sz w:val="18"/>
          <w:szCs w:val="18"/>
          <w:rtl/>
        </w:rPr>
        <w:t>,</w:t>
      </w:r>
      <w:r w:rsidRPr="007F0192">
        <w:rPr>
          <w:rFonts w:ascii="Tahoma" w:hAnsi="Tahoma" w:cs="Tahoma"/>
          <w:sz w:val="18"/>
          <w:szCs w:val="18"/>
          <w:rtl/>
        </w:rPr>
        <w:t xml:space="preserve"> על פי הצורך ובהתאם לנוהל מול משרדי הממשלה, ו</w:t>
      </w:r>
      <w:r w:rsidRPr="007F0192">
        <w:rPr>
          <w:rFonts w:ascii="Tahoma" w:hAnsi="Tahoma" w:cs="Tahoma" w:hint="cs"/>
          <w:sz w:val="18"/>
          <w:szCs w:val="18"/>
          <w:rtl/>
        </w:rPr>
        <w:t xml:space="preserve">כי </w:t>
      </w:r>
      <w:r w:rsidRPr="007F0192">
        <w:rPr>
          <w:rFonts w:ascii="Tahoma" w:hAnsi="Tahoma" w:cs="Tahoma"/>
          <w:sz w:val="18"/>
          <w:szCs w:val="18"/>
          <w:rtl/>
        </w:rPr>
        <w:t xml:space="preserve">עוד השנה </w:t>
      </w:r>
      <w:r w:rsidRPr="007F0192">
        <w:rPr>
          <w:rFonts w:ascii="Tahoma" w:hAnsi="Tahoma" w:cs="Tahoma" w:hint="cs"/>
          <w:sz w:val="18"/>
          <w:szCs w:val="18"/>
          <w:rtl/>
        </w:rPr>
        <w:t>י</w:t>
      </w:r>
      <w:r w:rsidRPr="007F0192">
        <w:rPr>
          <w:rFonts w:ascii="Tahoma" w:hAnsi="Tahoma" w:cs="Tahoma"/>
          <w:sz w:val="18"/>
          <w:szCs w:val="18"/>
          <w:rtl/>
        </w:rPr>
        <w:t>תחבר למערכת מוע"ד.</w:t>
      </w:r>
      <w:r w:rsidRPr="007F0192">
        <w:rPr>
          <w:rFonts w:ascii="Tahoma" w:hAnsi="Tahoma" w:cs="Tahoma" w:hint="cs"/>
          <w:sz w:val="18"/>
          <w:szCs w:val="18"/>
          <w:rtl/>
        </w:rPr>
        <w:t xml:space="preserve"> </w:t>
      </w:r>
    </w:p>
    <w:p w14:paraId="2F126D9C" w14:textId="77777777" w:rsidR="007478B2" w:rsidRPr="007F0192" w:rsidRDefault="007478B2" w:rsidP="00347A82">
      <w:pPr>
        <w:spacing w:line="260" w:lineRule="exact"/>
        <w:ind w:left="397"/>
        <w:jc w:val="both"/>
        <w:rPr>
          <w:rFonts w:ascii="Tahoma" w:hAnsi="Tahoma" w:cs="Tahoma"/>
          <w:sz w:val="18"/>
          <w:szCs w:val="18"/>
          <w:rtl/>
        </w:rPr>
      </w:pPr>
      <w:r w:rsidRPr="007F0192">
        <w:rPr>
          <w:rFonts w:ascii="Tahoma" w:hAnsi="Tahoma" w:cs="Tahoma" w:hint="cs"/>
          <w:sz w:val="18"/>
          <w:szCs w:val="18"/>
          <w:rtl/>
        </w:rPr>
        <w:t xml:space="preserve">רשות המסים מסרה בתשובתה למשרד מבקר המדינה ממרץ 2021 כי פועלת במסגרתה ועדה ראשית למסירת מידע בנושאי מס הכנסה, מיסוי מקרקעין ומע"ם וכן תת-ועדה ייעודית לענייני מכס. רשות המסים ציינה כי עם תחילת ההדרכות על מערכת מוע"ד הובהר לה כי המערכת לא הותאמה מהבחינה הטכנולוגית לפעילות של שתי ועדות במסגרת רשות ציבורית אחת. דבר זה גרם לעיכוב רב בהטמעת המערכת ברשות המסים. עוד ציינה כי לאחר שלכאורה נמצא פתרון טכנולוגי לבעיה האמורה, היא ניסתה להשתמש במערכת, אולם התברר כי קיימת בעיה טכנולוגית/אבטחתית שמקורה בכך שהיא משתמשת בשתי סביבות עבודה שונות (מערכת המחשב המינהלית המשרתת את עובדי המטה במס הכנסה ומערכת שע"ם המשרתת את כלל עובדי הרשות). רשות המסים הוסיפה כי בימים אלה היא פועלת להתקנת מערכת מחשב מינהלית לשימוש תדיר במערכת מוע"ד לקבלת מידע מגופים ציבוריים. </w:t>
      </w:r>
    </w:p>
    <w:p w14:paraId="7103C1E6" w14:textId="77777777" w:rsidR="007478B2" w:rsidRPr="007F0192" w:rsidRDefault="007478B2" w:rsidP="00347A82">
      <w:pPr>
        <w:spacing w:line="260" w:lineRule="exact"/>
        <w:ind w:left="397"/>
        <w:jc w:val="both"/>
        <w:rPr>
          <w:rFonts w:ascii="Tahoma" w:hAnsi="Tahoma" w:cs="Tahoma"/>
          <w:sz w:val="18"/>
          <w:szCs w:val="18"/>
          <w:rtl/>
        </w:rPr>
      </w:pPr>
      <w:r w:rsidRPr="007F0192">
        <w:rPr>
          <w:rFonts w:ascii="Tahoma" w:hAnsi="Tahoma" w:cs="Tahoma" w:hint="cs"/>
          <w:sz w:val="18"/>
          <w:szCs w:val="18"/>
          <w:rtl/>
        </w:rPr>
        <w:t xml:space="preserve">בתגובה לתשובת רשות המסים מסרה רשות התקשוב למשרד מבקר המדינה במרץ 2021 כי היא בוחנת דרכים אפשריות לחיבור רשות המסים למערכת. אשר לתשובת משרד הבריאות מסרה רשות התקשוב כי </w:t>
      </w:r>
      <w:r w:rsidRPr="007F0192">
        <w:rPr>
          <w:rFonts w:ascii="Tahoma" w:hAnsi="Tahoma" w:cs="Tahoma"/>
          <w:sz w:val="18"/>
          <w:szCs w:val="18"/>
          <w:rtl/>
        </w:rPr>
        <w:t>מרבית הצרכים שהעל</w:t>
      </w:r>
      <w:r w:rsidRPr="007F0192">
        <w:rPr>
          <w:rFonts w:ascii="Tahoma" w:hAnsi="Tahoma" w:cs="Tahoma" w:hint="cs"/>
          <w:sz w:val="18"/>
          <w:szCs w:val="18"/>
          <w:rtl/>
        </w:rPr>
        <w:t>ה</w:t>
      </w:r>
      <w:r w:rsidRPr="007F0192">
        <w:rPr>
          <w:rFonts w:ascii="Tahoma" w:hAnsi="Tahoma" w:cs="Tahoma"/>
          <w:sz w:val="18"/>
          <w:szCs w:val="18"/>
          <w:rtl/>
        </w:rPr>
        <w:t xml:space="preserve"> משרד הבריאות לעיל יקבלו מענה באמצעות הטופס החיצוני הנמצא בפיתוח בימים אלה</w:t>
      </w:r>
      <w:r w:rsidRPr="007F0192">
        <w:rPr>
          <w:rFonts w:ascii="Tahoma" w:hAnsi="Tahoma" w:cs="Tahoma" w:hint="cs"/>
          <w:sz w:val="18"/>
          <w:szCs w:val="18"/>
          <w:rtl/>
        </w:rPr>
        <w:t xml:space="preserve">. עוד מסרה רשות התקשוב בתשובתה כי ככלל, רובם המכריע של משרדי הממשלה וכן גופים ציבוריים נוספים משתמשים במערכת כפתרון ברירת המחדל לניהול עבודת הוועדות להעברת מידע. </w:t>
      </w:r>
    </w:p>
    <w:p w14:paraId="383298A7" w14:textId="77777777" w:rsidR="007478B2" w:rsidRPr="00EE5EAD" w:rsidRDefault="007478B2" w:rsidP="00EE5EAD">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sz w:val="18"/>
          <w:szCs w:val="18"/>
          <w:rtl/>
        </w:rPr>
      </w:pPr>
      <w:r w:rsidRPr="00EE5EAD">
        <w:rPr>
          <w:rFonts w:ascii="Tahoma" w:hAnsi="Tahoma" w:cs="Tahoma" w:hint="cs"/>
          <w:sz w:val="18"/>
          <w:szCs w:val="18"/>
          <w:rtl/>
        </w:rPr>
        <w:t xml:space="preserve">מאחר שמערכת מוע"ד נועדה לייעל את </w:t>
      </w:r>
      <w:r w:rsidRPr="00EE5EAD">
        <w:rPr>
          <w:rFonts w:ascii="Tahoma" w:hAnsi="Tahoma" w:cs="Tahoma"/>
          <w:sz w:val="18"/>
          <w:szCs w:val="18"/>
          <w:rtl/>
        </w:rPr>
        <w:t xml:space="preserve">תהליך העברת </w:t>
      </w:r>
      <w:r w:rsidRPr="00EE5EAD">
        <w:rPr>
          <w:rFonts w:ascii="Tahoma" w:hAnsi="Tahoma" w:cs="Tahoma" w:hint="cs"/>
          <w:sz w:val="18"/>
          <w:szCs w:val="18"/>
          <w:rtl/>
        </w:rPr>
        <w:t>ה</w:t>
      </w:r>
      <w:r w:rsidRPr="00EE5EAD">
        <w:rPr>
          <w:rFonts w:ascii="Tahoma" w:hAnsi="Tahoma" w:cs="Tahoma"/>
          <w:sz w:val="18"/>
          <w:szCs w:val="18"/>
          <w:rtl/>
        </w:rPr>
        <w:t xml:space="preserve">מידע </w:t>
      </w:r>
      <w:r w:rsidRPr="00EE5EAD">
        <w:rPr>
          <w:rFonts w:ascii="Tahoma" w:hAnsi="Tahoma" w:cs="Tahoma" w:hint="cs"/>
          <w:sz w:val="18"/>
          <w:szCs w:val="18"/>
          <w:rtl/>
        </w:rPr>
        <w:t>בין גופים ציבוריים כדי לשפר</w:t>
      </w:r>
      <w:r w:rsidRPr="00EE5EAD">
        <w:rPr>
          <w:rFonts w:ascii="Tahoma" w:hAnsi="Tahoma" w:cs="Tahoma"/>
          <w:sz w:val="18"/>
          <w:szCs w:val="18"/>
          <w:rtl/>
        </w:rPr>
        <w:t xml:space="preserve"> תהליכי שירות בממשלה</w:t>
      </w:r>
      <w:r w:rsidRPr="00EE5EAD">
        <w:rPr>
          <w:rFonts w:ascii="Tahoma" w:hAnsi="Tahoma" w:cs="Tahoma" w:hint="cs"/>
          <w:sz w:val="18"/>
          <w:szCs w:val="18"/>
          <w:rtl/>
        </w:rPr>
        <w:t xml:space="preserve">, נודעת חשיבות רבה לחיבור </w:t>
      </w:r>
      <w:r w:rsidRPr="00EE5EAD">
        <w:rPr>
          <w:rFonts w:ascii="Tahoma" w:hAnsi="Tahoma" w:cs="Tahoma"/>
          <w:sz w:val="18"/>
          <w:szCs w:val="18"/>
          <w:rtl/>
        </w:rPr>
        <w:t>הגופים שטרם התחברו למ</w:t>
      </w:r>
      <w:r w:rsidRPr="00EE5EAD">
        <w:rPr>
          <w:rFonts w:ascii="Tahoma" w:hAnsi="Tahoma" w:cs="Tahoma" w:hint="cs"/>
          <w:sz w:val="18"/>
          <w:szCs w:val="18"/>
          <w:rtl/>
        </w:rPr>
        <w:t xml:space="preserve">ערכת, ובעיקר גופים המחזיקים מידע רב. </w:t>
      </w:r>
      <w:r w:rsidRPr="00EE5EAD">
        <w:rPr>
          <w:rFonts w:ascii="Tahoma" w:hAnsi="Tahoma" w:cs="Tahoma"/>
          <w:sz w:val="18"/>
          <w:szCs w:val="18"/>
          <w:rtl/>
        </w:rPr>
        <w:t>על</w:t>
      </w:r>
      <w:r w:rsidRPr="00EE5EAD">
        <w:rPr>
          <w:rFonts w:ascii="Tahoma" w:hAnsi="Tahoma" w:cs="Tahoma" w:hint="cs"/>
          <w:sz w:val="18"/>
          <w:szCs w:val="18"/>
          <w:rtl/>
        </w:rPr>
        <w:t xml:space="preserve"> </w:t>
      </w:r>
      <w:r w:rsidRPr="00EE5EAD">
        <w:rPr>
          <w:rFonts w:ascii="Tahoma" w:hAnsi="Tahoma" w:cs="Tahoma"/>
          <w:sz w:val="18"/>
          <w:szCs w:val="18"/>
          <w:rtl/>
        </w:rPr>
        <w:t xml:space="preserve">רשות התקשוב </w:t>
      </w:r>
      <w:r w:rsidRPr="00EE5EAD">
        <w:rPr>
          <w:rFonts w:ascii="Tahoma" w:hAnsi="Tahoma" w:cs="Tahoma" w:hint="cs"/>
          <w:sz w:val="18"/>
          <w:szCs w:val="18"/>
          <w:rtl/>
        </w:rPr>
        <w:t>ו</w:t>
      </w:r>
      <w:r w:rsidRPr="00EE5EAD">
        <w:rPr>
          <w:rFonts w:ascii="Tahoma" w:hAnsi="Tahoma" w:cs="Tahoma"/>
          <w:sz w:val="18"/>
          <w:szCs w:val="18"/>
          <w:rtl/>
        </w:rPr>
        <w:t xml:space="preserve">הגופים שטרם התחברו למוע"ד לפעול </w:t>
      </w:r>
      <w:r w:rsidRPr="00EE5EAD">
        <w:rPr>
          <w:rFonts w:ascii="Tahoma" w:hAnsi="Tahoma" w:cs="Tahoma" w:hint="cs"/>
          <w:sz w:val="18"/>
          <w:szCs w:val="18"/>
          <w:rtl/>
        </w:rPr>
        <w:t xml:space="preserve">במשותף ולנקוט את הצעדים הנדרשים </w:t>
      </w:r>
      <w:r w:rsidRPr="00EE5EAD">
        <w:rPr>
          <w:rFonts w:ascii="Tahoma" w:hAnsi="Tahoma" w:cs="Tahoma"/>
          <w:sz w:val="18"/>
          <w:szCs w:val="18"/>
          <w:rtl/>
        </w:rPr>
        <w:t>ל</w:t>
      </w:r>
      <w:r w:rsidRPr="00EE5EAD">
        <w:rPr>
          <w:rFonts w:ascii="Tahoma" w:hAnsi="Tahoma" w:cs="Tahoma" w:hint="cs"/>
          <w:sz w:val="18"/>
          <w:szCs w:val="18"/>
          <w:rtl/>
        </w:rPr>
        <w:t xml:space="preserve">צורך חיבורם למערכת. </w:t>
      </w:r>
    </w:p>
    <w:p w14:paraId="08172181" w14:textId="77777777" w:rsidR="007478B2" w:rsidRPr="00464BF9" w:rsidRDefault="007478B2" w:rsidP="00464BF9">
      <w:pPr>
        <w:pStyle w:val="a"/>
        <w:numPr>
          <w:ilvl w:val="0"/>
          <w:numId w:val="7"/>
        </w:numPr>
        <w:autoSpaceDE/>
        <w:autoSpaceDN/>
        <w:adjustRightInd/>
        <w:spacing w:line="260" w:lineRule="exact"/>
        <w:ind w:left="397" w:hanging="397"/>
        <w:rPr>
          <w:sz w:val="18"/>
          <w:szCs w:val="18"/>
        </w:rPr>
      </w:pPr>
      <w:r w:rsidRPr="00464BF9">
        <w:rPr>
          <w:rFonts w:hint="cs"/>
          <w:sz w:val="18"/>
          <w:szCs w:val="18"/>
          <w:rtl/>
        </w:rPr>
        <w:t>בהחלטה משנת 2016 נקבע להטיל על רשות התקשוב, בתיאום עם ראש מטה ישראל דיגיטלית, לעודד גופים ציבוריים</w:t>
      </w:r>
      <w:r w:rsidRPr="00464BF9">
        <w:rPr>
          <w:rStyle w:val="af3"/>
          <w:sz w:val="18"/>
          <w:szCs w:val="18"/>
          <w:rtl/>
        </w:rPr>
        <w:footnoteReference w:id="65"/>
      </w:r>
      <w:r w:rsidRPr="00464BF9">
        <w:rPr>
          <w:rFonts w:hint="cs"/>
          <w:sz w:val="18"/>
          <w:szCs w:val="18"/>
          <w:rtl/>
        </w:rPr>
        <w:t xml:space="preserve"> לשתף ביניהם ובין משרדי ממשלה מידע לשם שיפור השירות לציבור, בשים לב למאפיינים הייחודיי</w:t>
      </w:r>
      <w:r w:rsidRPr="00464BF9">
        <w:rPr>
          <w:rFonts w:hint="eastAsia"/>
          <w:sz w:val="18"/>
          <w:szCs w:val="18"/>
          <w:rtl/>
        </w:rPr>
        <w:t>ם</w:t>
      </w:r>
      <w:r w:rsidRPr="00464BF9">
        <w:rPr>
          <w:rFonts w:hint="cs"/>
          <w:sz w:val="18"/>
          <w:szCs w:val="18"/>
          <w:rtl/>
        </w:rPr>
        <w:t xml:space="preserve"> של הגופים הציבורים השונים, ובכפוף לכך שאין מניעה משפטית לשיתוף המידע על פי דין או משיקולים רלוונטיים אחרים.</w:t>
      </w:r>
    </w:p>
    <w:p w14:paraId="7A6CF560" w14:textId="77777777" w:rsidR="007478B2" w:rsidRPr="007F0192" w:rsidRDefault="007478B2" w:rsidP="00347A82">
      <w:pPr>
        <w:spacing w:line="260" w:lineRule="exact"/>
        <w:ind w:left="397"/>
        <w:jc w:val="both"/>
        <w:rPr>
          <w:rFonts w:ascii="Tahoma" w:hAnsi="Tahoma" w:cs="Tahoma"/>
          <w:sz w:val="18"/>
          <w:szCs w:val="18"/>
        </w:rPr>
      </w:pPr>
      <w:r w:rsidRPr="007F0192">
        <w:rPr>
          <w:rFonts w:ascii="Tahoma" w:hAnsi="Tahoma" w:cs="Tahoma" w:hint="cs"/>
          <w:sz w:val="18"/>
          <w:szCs w:val="18"/>
          <w:rtl/>
        </w:rPr>
        <w:lastRenderedPageBreak/>
        <w:t>משרד מבקר המדינה בדק פרטים על מספר הבקשות להעברת מידע שנפתחו במערכת מוע"ד בשנת 2019 ובשנת 2020 (עד נובמבר), לעומת כלל הבקשות שנדונו בוועדות בשנת 2019 על פי הדיווח שמסרה רשות התקשוב לממשלה. ראו בתרשים 15 להלן:</w:t>
      </w:r>
    </w:p>
    <w:p w14:paraId="410E67D3" w14:textId="77777777" w:rsidR="007478B2"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t xml:space="preserve">תרשים 15: </w:t>
      </w:r>
      <w:r w:rsidRPr="007F0192">
        <w:rPr>
          <w:rFonts w:ascii="Tahoma" w:hAnsi="Tahoma" w:cs="Tahoma" w:hint="cs"/>
          <w:b/>
          <w:bCs/>
          <w:color w:val="0D0D0D" w:themeColor="text1" w:themeTint="F2"/>
          <w:sz w:val="18"/>
          <w:szCs w:val="18"/>
          <w:rtl/>
        </w:rPr>
        <w:t xml:space="preserve">מספר הבקשות שנדונו בוועדות בשנת 2019 לעומת מספר הבקשות שנפתחו במערכת מוע"ד בשנת 2019 ובשנת 2020 (עד נובמבר) </w:t>
      </w:r>
    </w:p>
    <w:p w14:paraId="1C2E015F" w14:textId="10654B17" w:rsidR="00EE5EAD" w:rsidRPr="007F0192" w:rsidRDefault="00EE5EAD" w:rsidP="00EE5EAD">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7D8F690E" wp14:editId="250E407E">
            <wp:extent cx="4322064" cy="1545336"/>
            <wp:effectExtent l="0" t="0" r="2540" b="0"/>
            <wp:docPr id="63" name="Picture 63"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22064" cy="1545336"/>
                    </a:xfrm>
                    <a:prstGeom prst="rect">
                      <a:avLst/>
                    </a:prstGeom>
                  </pic:spPr>
                </pic:pic>
              </a:graphicData>
            </a:graphic>
          </wp:inline>
        </w:drawing>
      </w:r>
    </w:p>
    <w:p w14:paraId="22B372FC" w14:textId="77777777" w:rsidR="007478B2" w:rsidRPr="00EE5EAD" w:rsidRDefault="007478B2" w:rsidP="00EE5EAD">
      <w:pPr>
        <w:tabs>
          <w:tab w:val="left" w:pos="424"/>
        </w:tabs>
        <w:spacing w:before="120" w:after="240" w:line="260" w:lineRule="exact"/>
        <w:jc w:val="both"/>
        <w:rPr>
          <w:rFonts w:ascii="Tahoma" w:hAnsi="Tahoma" w:cs="Tahoma"/>
          <w:color w:val="0D0D0D" w:themeColor="text1" w:themeTint="F2"/>
          <w:sz w:val="16"/>
          <w:szCs w:val="16"/>
          <w:rtl/>
        </w:rPr>
      </w:pPr>
      <w:r w:rsidRPr="00EE5EAD">
        <w:rPr>
          <w:rFonts w:ascii="Tahoma" w:hAnsi="Tahoma" w:cs="Tahoma" w:hint="cs"/>
          <w:color w:val="0D0D0D" w:themeColor="text1" w:themeTint="F2"/>
          <w:sz w:val="16"/>
          <w:szCs w:val="16"/>
          <w:rtl/>
        </w:rPr>
        <w:t>על פי נתוני רשות התקשוב הממשלתי, בעיבוד משרד מבקר המדינה</w:t>
      </w:r>
    </w:p>
    <w:p w14:paraId="594EE405" w14:textId="77777777" w:rsidR="007478B2" w:rsidRPr="00EE5EAD" w:rsidRDefault="007478B2" w:rsidP="00EE5EAD">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sz w:val="18"/>
          <w:szCs w:val="18"/>
          <w:rtl/>
        </w:rPr>
      </w:pPr>
      <w:r w:rsidRPr="00EE5EAD">
        <w:rPr>
          <w:rFonts w:ascii="Tahoma" w:hAnsi="Tahoma" w:cs="Tahoma" w:hint="cs"/>
          <w:sz w:val="18"/>
          <w:szCs w:val="18"/>
          <w:rtl/>
        </w:rPr>
        <w:t>מהתרשים עולה כי אף שבשנת 2019 טיפלו הוועדות ב-1,233 בקשות להעברת מידע, מספר הבקשות שנפתחו במערכת מוע"ד באותה שנה עמד על 115 בקשות, ובשנת 2020 עמד על 206 בקשות. יוצא אפוא כי רק כ-9% מכלל הבקשות שטופלו בוועדות בשנת 2019 נוהלו באמצעות מערכת מוע"ד</w:t>
      </w:r>
      <w:r w:rsidRPr="00EE5EAD">
        <w:rPr>
          <w:rStyle w:val="af3"/>
          <w:rFonts w:ascii="Tahoma" w:hAnsi="Tahoma" w:cs="Tahoma"/>
          <w:sz w:val="18"/>
          <w:szCs w:val="18"/>
          <w:rtl/>
        </w:rPr>
        <w:footnoteReference w:id="66"/>
      </w:r>
      <w:r w:rsidRPr="00EE5EAD">
        <w:rPr>
          <w:rFonts w:ascii="Tahoma" w:hAnsi="Tahoma" w:cs="Tahoma" w:hint="cs"/>
          <w:sz w:val="18"/>
          <w:szCs w:val="18"/>
          <w:rtl/>
        </w:rPr>
        <w:t xml:space="preserve">. </w:t>
      </w:r>
    </w:p>
    <w:p w14:paraId="428E6FAE" w14:textId="77777777" w:rsidR="007478B2" w:rsidRPr="007F0192" w:rsidRDefault="007478B2" w:rsidP="00347A82">
      <w:pPr>
        <w:spacing w:line="260" w:lineRule="exact"/>
        <w:ind w:left="397"/>
        <w:jc w:val="both"/>
        <w:rPr>
          <w:rFonts w:ascii="Tahoma" w:hAnsi="Tahoma" w:cs="Tahoma"/>
          <w:sz w:val="18"/>
          <w:szCs w:val="18"/>
          <w:rtl/>
        </w:rPr>
      </w:pPr>
      <w:r w:rsidRPr="007F0192">
        <w:rPr>
          <w:rFonts w:ascii="Tahoma" w:hAnsi="Tahoma" w:cs="Tahoma" w:hint="cs"/>
          <w:sz w:val="18"/>
          <w:szCs w:val="18"/>
          <w:rtl/>
        </w:rPr>
        <w:t xml:space="preserve">רשות התקשוב מסרה למשרד מבקר המדינה בדצמבר 2020 כי </w:t>
      </w:r>
      <w:r w:rsidRPr="007F0192">
        <w:rPr>
          <w:rFonts w:ascii="Tahoma" w:hAnsi="Tahoma" w:cs="Tahoma"/>
          <w:sz w:val="18"/>
          <w:szCs w:val="18"/>
          <w:rtl/>
        </w:rPr>
        <w:t xml:space="preserve">הרבה בקשות אינן </w:t>
      </w:r>
      <w:r w:rsidRPr="007F0192">
        <w:rPr>
          <w:rFonts w:ascii="Tahoma" w:hAnsi="Tahoma" w:cs="Tahoma" w:hint="cs"/>
          <w:sz w:val="18"/>
          <w:szCs w:val="18"/>
          <w:rtl/>
        </w:rPr>
        <w:t>מטופלות</w:t>
      </w:r>
      <w:r w:rsidRPr="007F0192">
        <w:rPr>
          <w:rFonts w:ascii="Tahoma" w:hAnsi="Tahoma" w:cs="Tahoma"/>
          <w:sz w:val="18"/>
          <w:szCs w:val="18"/>
          <w:rtl/>
        </w:rPr>
        <w:t xml:space="preserve"> ב</w:t>
      </w:r>
      <w:r w:rsidRPr="007F0192">
        <w:rPr>
          <w:rFonts w:ascii="Tahoma" w:hAnsi="Tahoma" w:cs="Tahoma" w:hint="cs"/>
          <w:sz w:val="18"/>
          <w:szCs w:val="18"/>
          <w:rtl/>
        </w:rPr>
        <w:t xml:space="preserve">אמצעות </w:t>
      </w:r>
      <w:r w:rsidRPr="007F0192">
        <w:rPr>
          <w:rFonts w:ascii="Tahoma" w:hAnsi="Tahoma" w:cs="Tahoma"/>
          <w:sz w:val="18"/>
          <w:szCs w:val="18"/>
          <w:rtl/>
        </w:rPr>
        <w:t>מערכת מוע</w:t>
      </w:r>
      <w:r w:rsidRPr="007F0192">
        <w:rPr>
          <w:rFonts w:ascii="Tahoma" w:hAnsi="Tahoma" w:cs="Tahoma" w:hint="cs"/>
          <w:sz w:val="18"/>
          <w:szCs w:val="18"/>
          <w:rtl/>
        </w:rPr>
        <w:t>"</w:t>
      </w:r>
      <w:r w:rsidRPr="007F0192">
        <w:rPr>
          <w:rFonts w:ascii="Tahoma" w:hAnsi="Tahoma" w:cs="Tahoma"/>
          <w:sz w:val="18"/>
          <w:szCs w:val="18"/>
          <w:rtl/>
        </w:rPr>
        <w:t>ד</w:t>
      </w:r>
      <w:r w:rsidRPr="007F0192">
        <w:rPr>
          <w:rFonts w:ascii="Tahoma" w:hAnsi="Tahoma" w:cs="Tahoma" w:hint="cs"/>
          <w:sz w:val="18"/>
          <w:szCs w:val="18"/>
          <w:rtl/>
        </w:rPr>
        <w:t xml:space="preserve">, לדוגמה </w:t>
      </w:r>
      <w:r w:rsidRPr="007F0192">
        <w:rPr>
          <w:rFonts w:ascii="Tahoma" w:hAnsi="Tahoma" w:cs="Tahoma"/>
          <w:sz w:val="18"/>
          <w:szCs w:val="18"/>
          <w:rtl/>
        </w:rPr>
        <w:t>כל הבקשות מטעם גופים ציבוריים חיצוניים לממשלה</w:t>
      </w:r>
      <w:r w:rsidRPr="007F0192">
        <w:rPr>
          <w:rFonts w:ascii="Tahoma" w:hAnsi="Tahoma" w:cs="Tahoma" w:hint="cs"/>
          <w:sz w:val="18"/>
          <w:szCs w:val="18"/>
          <w:rtl/>
        </w:rPr>
        <w:t xml:space="preserve"> (כגון רשויות מקומיות, תאגידים סטטוטוריים ובתי חולים), שהן חלק ניכר מהבקשות, ובפרט מאות בקשות מ</w:t>
      </w:r>
      <w:r w:rsidRPr="007F0192">
        <w:rPr>
          <w:rFonts w:ascii="Tahoma" w:hAnsi="Tahoma" w:cs="Tahoma"/>
          <w:sz w:val="18"/>
          <w:szCs w:val="18"/>
          <w:rtl/>
        </w:rPr>
        <w:t xml:space="preserve">רשות האוכלוסין. </w:t>
      </w:r>
    </w:p>
    <w:p w14:paraId="6D5F3435" w14:textId="77777777" w:rsidR="007478B2" w:rsidRPr="007F0192" w:rsidRDefault="007478B2" w:rsidP="00347A82">
      <w:pPr>
        <w:spacing w:line="260" w:lineRule="exact"/>
        <w:ind w:left="397"/>
        <w:jc w:val="both"/>
        <w:rPr>
          <w:rFonts w:ascii="Tahoma" w:hAnsi="Tahoma" w:cs="Tahoma"/>
          <w:sz w:val="18"/>
          <w:szCs w:val="18"/>
          <w:rtl/>
        </w:rPr>
      </w:pPr>
      <w:r w:rsidRPr="007F0192">
        <w:rPr>
          <w:rFonts w:ascii="Tahoma" w:hAnsi="Tahoma" w:cs="Tahoma" w:hint="cs"/>
          <w:sz w:val="18"/>
          <w:szCs w:val="18"/>
          <w:rtl/>
        </w:rPr>
        <w:t xml:space="preserve">עוד מסרה רשות התקשוב כי </w:t>
      </w:r>
      <w:r w:rsidRPr="007F0192">
        <w:rPr>
          <w:rFonts w:ascii="Tahoma" w:hAnsi="Tahoma" w:cs="Tahoma"/>
          <w:sz w:val="18"/>
          <w:szCs w:val="18"/>
          <w:rtl/>
        </w:rPr>
        <w:t xml:space="preserve">נושא זה </w:t>
      </w:r>
      <w:r w:rsidRPr="007F0192">
        <w:rPr>
          <w:rFonts w:ascii="Tahoma" w:hAnsi="Tahoma" w:cs="Tahoma" w:hint="cs"/>
          <w:sz w:val="18"/>
          <w:szCs w:val="18"/>
          <w:rtl/>
        </w:rPr>
        <w:t>יטופל</w:t>
      </w:r>
      <w:r w:rsidRPr="007F0192">
        <w:rPr>
          <w:rFonts w:ascii="Tahoma" w:hAnsi="Tahoma" w:cs="Tahoma"/>
          <w:sz w:val="18"/>
          <w:szCs w:val="18"/>
          <w:rtl/>
        </w:rPr>
        <w:t xml:space="preserve"> במסגרת </w:t>
      </w:r>
      <w:r w:rsidRPr="007F0192">
        <w:rPr>
          <w:rFonts w:ascii="Tahoma" w:hAnsi="Tahoma" w:cs="Tahoma" w:hint="cs"/>
          <w:sz w:val="18"/>
          <w:szCs w:val="18"/>
          <w:rtl/>
        </w:rPr>
        <w:t>טופס ייעודי מקוון</w:t>
      </w:r>
      <w:r w:rsidRPr="007F0192">
        <w:rPr>
          <w:rFonts w:ascii="Tahoma" w:hAnsi="Tahoma" w:cs="Tahoma"/>
          <w:sz w:val="18"/>
          <w:szCs w:val="18"/>
          <w:rtl/>
        </w:rPr>
        <w:t xml:space="preserve"> המפותח בימים אלו</w:t>
      </w:r>
      <w:r w:rsidRPr="007F0192">
        <w:rPr>
          <w:rFonts w:ascii="Tahoma" w:hAnsi="Tahoma" w:cs="Tahoma" w:hint="cs"/>
          <w:sz w:val="18"/>
          <w:szCs w:val="18"/>
          <w:rtl/>
        </w:rPr>
        <w:t>. טופס זה, שימלא הגוף המבקש, יוזרם למערכת מוע"ד באופן אוטומטי, וכך יחסוך זמן בתיעוד הבקשה בגוף מחזיק המידע. באופן הזה כל הבקשות ירוכזו בפלטפורמה אחת ייעודית ויתועדו באופן מסודר.</w:t>
      </w:r>
    </w:p>
    <w:p w14:paraId="7862D8D3" w14:textId="77777777" w:rsidR="007478B2" w:rsidRPr="00EE5EAD" w:rsidRDefault="007478B2" w:rsidP="00EE5EAD">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sz w:val="18"/>
          <w:szCs w:val="18"/>
          <w:rtl/>
        </w:rPr>
      </w:pPr>
      <w:r w:rsidRPr="00EE5EAD">
        <w:rPr>
          <w:rFonts w:ascii="Tahoma" w:hAnsi="Tahoma" w:cs="Tahoma" w:hint="cs"/>
          <w:sz w:val="18"/>
          <w:szCs w:val="18"/>
          <w:rtl/>
        </w:rPr>
        <w:t>נוכח נתוני רשות התקשוב, המצביעים על כך שמאות בקשות בשנה מוגשות על ידי גופים ציבוריים חיצוניים, על הרשות להשלים את הפעולות לפיתוח הטופס המקוון, שיאפשר ממשק עבודה יעיל בין גופים ציבוריים חיצוניים לבין גופי ממשלה הפועלים במערכת מוע"ד לצורך הטיפול בבקשות להעברת מידע. בכך תוגבר רמת היישום של ההחלטה משנת 2016 להסדרת תהליך עבודה יעיל ושקוף להעברת מידע בממשלה, לצורך שיפור תהליכי שירות ויישום מדיניות פעם אחת.</w:t>
      </w:r>
    </w:p>
    <w:p w14:paraId="0325155C" w14:textId="77777777" w:rsidR="007478B2" w:rsidRPr="007F0192" w:rsidRDefault="007478B2" w:rsidP="00347A82">
      <w:pPr>
        <w:spacing w:line="260" w:lineRule="exact"/>
        <w:ind w:left="397"/>
        <w:jc w:val="both"/>
        <w:rPr>
          <w:rFonts w:ascii="Tahoma" w:hAnsi="Tahoma" w:cs="Tahoma"/>
          <w:b/>
          <w:bCs/>
          <w:sz w:val="18"/>
          <w:szCs w:val="18"/>
          <w:rtl/>
        </w:rPr>
      </w:pPr>
      <w:r w:rsidRPr="007F0192">
        <w:rPr>
          <w:rFonts w:ascii="Tahoma" w:hAnsi="Tahoma" w:cs="Tahoma" w:hint="cs"/>
          <w:sz w:val="18"/>
          <w:szCs w:val="18"/>
          <w:rtl/>
        </w:rPr>
        <w:lastRenderedPageBreak/>
        <w:t>רשות התקשוב מסרה בתשובתה כי מענה על בקשות מגופים חיצוניים יינתן באמצעות טופס ייעודי, הנמצא כיום בפיתוח וצפוי לעלות במהלך הרבעון הראשון של שנת 2021, וילווה במערך הטמעה ותמיכה טכנית גם בגופים חיצוניים.</w:t>
      </w:r>
    </w:p>
    <w:p w14:paraId="40B123E4" w14:textId="77777777" w:rsidR="007478B2" w:rsidRPr="00464BF9" w:rsidRDefault="007478B2" w:rsidP="00464BF9">
      <w:pPr>
        <w:pStyle w:val="a"/>
        <w:numPr>
          <w:ilvl w:val="0"/>
          <w:numId w:val="7"/>
        </w:numPr>
        <w:autoSpaceDE/>
        <w:autoSpaceDN/>
        <w:adjustRightInd/>
        <w:spacing w:line="260" w:lineRule="exact"/>
        <w:ind w:left="397" w:hanging="397"/>
        <w:rPr>
          <w:sz w:val="18"/>
          <w:szCs w:val="18"/>
        </w:rPr>
      </w:pPr>
      <w:r w:rsidRPr="00464BF9">
        <w:rPr>
          <w:rFonts w:hint="cs"/>
          <w:sz w:val="18"/>
          <w:szCs w:val="18"/>
          <w:rtl/>
        </w:rPr>
        <w:t xml:space="preserve">בנוהל נקבעו זמני תקן לחלק משלבי הטיפול בבקשה להעברת מידע. כך למשל, נקבע כי החלטת הוועדה בצד "מחזיק המידע" לגבי בקשה שהוגשה לה לקבלת מידע תישלח למגיש הבקשה לא יותר מ-60 יום ממועד קבלת הבקשה המלאה. </w:t>
      </w:r>
    </w:p>
    <w:p w14:paraId="66BAC7E1" w14:textId="77777777" w:rsidR="007478B2" w:rsidRPr="007F0192" w:rsidRDefault="007478B2" w:rsidP="00347A82">
      <w:pPr>
        <w:spacing w:line="260" w:lineRule="exact"/>
        <w:ind w:left="397"/>
        <w:jc w:val="both"/>
        <w:rPr>
          <w:rFonts w:ascii="Tahoma" w:hAnsi="Tahoma" w:cs="Tahoma"/>
          <w:sz w:val="18"/>
          <w:szCs w:val="18"/>
        </w:rPr>
      </w:pPr>
      <w:r w:rsidRPr="007F0192">
        <w:rPr>
          <w:rFonts w:ascii="Tahoma" w:hAnsi="Tahoma" w:cs="Tahoma" w:hint="cs"/>
          <w:sz w:val="18"/>
          <w:szCs w:val="18"/>
          <w:rtl/>
        </w:rPr>
        <w:t xml:space="preserve">עוד נקבע בהחלטה משנת 2016 כי יש להנחות את שרת המשפטים לתקן את תקנות הגנת הפרטיות עד תשעה חודשים לכל היותר ממועד ההחלטה, בין היתר כדי לשקף בתקנות את ההוראות המתאימות המסדירות את עבודת הוועדות בהתאם לנוהל. </w:t>
      </w:r>
    </w:p>
    <w:p w14:paraId="269302B8" w14:textId="77777777" w:rsidR="007478B2" w:rsidRPr="007F0192" w:rsidRDefault="007478B2" w:rsidP="00347A82">
      <w:pPr>
        <w:spacing w:line="260" w:lineRule="exact"/>
        <w:ind w:left="397"/>
        <w:jc w:val="both"/>
        <w:rPr>
          <w:rFonts w:ascii="Tahoma" w:hAnsi="Tahoma" w:cs="Tahoma"/>
          <w:sz w:val="18"/>
          <w:szCs w:val="18"/>
          <w:rtl/>
        </w:rPr>
      </w:pPr>
      <w:r w:rsidRPr="007F0192">
        <w:rPr>
          <w:rFonts w:ascii="Tahoma" w:hAnsi="Tahoma" w:cs="Tahoma" w:hint="cs"/>
          <w:sz w:val="18"/>
          <w:szCs w:val="18"/>
          <w:rtl/>
        </w:rPr>
        <w:t>משרד מבקר המדינה בדק את משך הטיפול הממוצע בבקשות להעברת מידע שנפתחו במערכת מוע"ד בשנת 2019 ובשנת 2020 (עד נובמבר), הן בצד מבקש המידע והן בצד מחזיק המידע, בכל שלב בתהליך. ראו בתרשים 16 להלן:</w:t>
      </w:r>
    </w:p>
    <w:p w14:paraId="70DC099C" w14:textId="6A0D80EF" w:rsidR="007478B2"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lastRenderedPageBreak/>
        <w:t xml:space="preserve">תרשים 16: </w:t>
      </w:r>
      <w:r w:rsidRPr="007F0192">
        <w:rPr>
          <w:rFonts w:ascii="Tahoma" w:hAnsi="Tahoma" w:cs="Tahoma" w:hint="cs"/>
          <w:b/>
          <w:bCs/>
          <w:color w:val="0D0D0D" w:themeColor="text1" w:themeTint="F2"/>
          <w:sz w:val="18"/>
          <w:szCs w:val="18"/>
          <w:rtl/>
        </w:rPr>
        <w:t xml:space="preserve">משך הטיפול הממוצע בבקשה להעברת מידע במוע"ד בימים, </w:t>
      </w:r>
      <w:r w:rsidR="00EE5EAD">
        <w:rPr>
          <w:rFonts w:ascii="Tahoma" w:hAnsi="Tahoma" w:cs="Tahoma"/>
          <w:b/>
          <w:bCs/>
          <w:color w:val="0D0D0D" w:themeColor="text1" w:themeTint="F2"/>
          <w:sz w:val="18"/>
          <w:szCs w:val="18"/>
        </w:rPr>
        <w:br/>
      </w:r>
      <w:r w:rsidRPr="007F0192">
        <w:rPr>
          <w:rFonts w:ascii="Tahoma" w:hAnsi="Tahoma" w:cs="Tahoma" w:hint="cs"/>
          <w:b/>
          <w:bCs/>
          <w:color w:val="0D0D0D" w:themeColor="text1" w:themeTint="F2"/>
          <w:sz w:val="18"/>
          <w:szCs w:val="18"/>
          <w:rtl/>
        </w:rPr>
        <w:t>בשנת 2019 ובשנת 2020 (עד נובמבר)</w:t>
      </w:r>
    </w:p>
    <w:p w14:paraId="44698B6D" w14:textId="668980D5" w:rsidR="007478B2" w:rsidRPr="007F0192" w:rsidRDefault="00EE5EAD" w:rsidP="00EE5EAD">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4420484A" wp14:editId="5B7CBD9D">
            <wp:extent cx="3946232" cy="6400800"/>
            <wp:effectExtent l="0" t="0" r="0" b="0"/>
            <wp:docPr id="256" name="Picture 256"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Diagram&#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57818" cy="6419593"/>
                    </a:xfrm>
                    <a:prstGeom prst="rect">
                      <a:avLst/>
                    </a:prstGeom>
                  </pic:spPr>
                </pic:pic>
              </a:graphicData>
            </a:graphic>
          </wp:inline>
        </w:drawing>
      </w:r>
    </w:p>
    <w:p w14:paraId="2016A1DA" w14:textId="77777777" w:rsidR="007478B2" w:rsidRPr="00EE5EAD" w:rsidRDefault="007478B2" w:rsidP="00E12A59">
      <w:pPr>
        <w:tabs>
          <w:tab w:val="left" w:pos="424"/>
        </w:tabs>
        <w:spacing w:after="240" w:line="260" w:lineRule="exact"/>
        <w:jc w:val="both"/>
        <w:rPr>
          <w:rFonts w:ascii="Tahoma" w:hAnsi="Tahoma" w:cs="Tahoma"/>
          <w:color w:val="0D0D0D" w:themeColor="text1" w:themeTint="F2"/>
          <w:sz w:val="16"/>
          <w:szCs w:val="16"/>
          <w:rtl/>
        </w:rPr>
      </w:pPr>
      <w:r w:rsidRPr="00EE5EAD">
        <w:rPr>
          <w:rFonts w:ascii="Tahoma" w:hAnsi="Tahoma" w:cs="Tahoma" w:hint="cs"/>
          <w:color w:val="0D0D0D" w:themeColor="text1" w:themeTint="F2"/>
          <w:sz w:val="16"/>
          <w:szCs w:val="16"/>
          <w:rtl/>
        </w:rPr>
        <w:t>על פי נתוני רשות התקשוב הממשלתי, בעיבוד משרד מבקר המדינה</w:t>
      </w:r>
    </w:p>
    <w:p w14:paraId="1F4BE617" w14:textId="77777777" w:rsidR="007478B2" w:rsidRPr="00945529" w:rsidRDefault="007478B2" w:rsidP="00945529">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sz w:val="18"/>
          <w:szCs w:val="18"/>
          <w:rtl/>
        </w:rPr>
      </w:pPr>
      <w:r w:rsidRPr="00945529">
        <w:rPr>
          <w:rFonts w:ascii="Tahoma" w:hAnsi="Tahoma" w:cs="Tahoma" w:hint="cs"/>
          <w:sz w:val="18"/>
          <w:szCs w:val="18"/>
          <w:rtl/>
        </w:rPr>
        <w:lastRenderedPageBreak/>
        <w:t xml:space="preserve">מהתרשים עולה כי זמן הטיפול הממוצע בבקשות שנפתחו במערכת מוע"ד היה בשנת 2019 יותר מחצי שנה ועמד על 191.7 ימים; ובשנת 2020 - יותר משלושה חודשים ועמד על 97.8 ימים. יצוין כי נתונים אלו מתייחסים לכל הבקשות שנפתחו במערכת בשנים אלו, לרבות אלו שהטיפול בהן טרם הסתיים, ולכן נתונים אלו אינם סופיים. </w:t>
      </w:r>
    </w:p>
    <w:p w14:paraId="3DC6B52E" w14:textId="77777777" w:rsidR="007478B2" w:rsidRPr="00945529" w:rsidRDefault="007478B2" w:rsidP="00945529">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sz w:val="18"/>
          <w:szCs w:val="18"/>
          <w:rtl/>
        </w:rPr>
      </w:pPr>
      <w:r w:rsidRPr="00945529">
        <w:rPr>
          <w:rFonts w:ascii="Tahoma" w:hAnsi="Tahoma" w:cs="Tahoma" w:hint="cs"/>
          <w:sz w:val="18"/>
          <w:szCs w:val="18"/>
          <w:rtl/>
        </w:rPr>
        <w:t>עוד עולה מהתרשים כי צוואר הבקבוק המרכזי שבו מתעכבות הבקשות הוא שלב הטיפול הראשון בבקשה בצד מחזיק המידע, וכי ככלל, הבקשות מתעכבות זמן רב יותר בצד מחזיק המידע. כך למשל, זמן הטיפול הממוצע בבקשה בצד מחזיק המידע עמד בשנת 2019 על 131.9 ימים, שהם כ-69% מזמן הטיפול הכולל בבקשה; ובשנת 2020 הוא עמד על 56.1 ימים, שהם כ-57% מזמן הטיפול הכולל.</w:t>
      </w:r>
    </w:p>
    <w:p w14:paraId="0B2181BA" w14:textId="77777777" w:rsidR="007478B2" w:rsidRPr="00945529" w:rsidRDefault="007478B2" w:rsidP="00945529">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sz w:val="18"/>
          <w:szCs w:val="18"/>
          <w:rtl/>
        </w:rPr>
      </w:pPr>
      <w:r w:rsidRPr="00945529">
        <w:rPr>
          <w:rFonts w:ascii="Tahoma" w:hAnsi="Tahoma" w:cs="Tahoma" w:hint="cs"/>
          <w:sz w:val="18"/>
          <w:szCs w:val="18"/>
          <w:rtl/>
        </w:rPr>
        <w:t>נמצא כי הסיבות העיקריות לעיכוב הן תדירות נמוכה ולא קבועה של התכנסויות הוועדות בחלק מהגופים (בגלל מיעוט בקשות), או הגשת בקשה עם פרטים חסרים על ידי הצד מבקש המידע, הדורשת סבב השלמות מידע וכן בדיקה חוזרת של הבקשה המתוקנת על ידי הצד מחזיק המידע.</w:t>
      </w:r>
    </w:p>
    <w:p w14:paraId="1F7A7225" w14:textId="77777777" w:rsidR="007478B2" w:rsidRPr="00945529" w:rsidRDefault="007478B2" w:rsidP="00945529">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sz w:val="18"/>
          <w:szCs w:val="18"/>
          <w:rtl/>
        </w:rPr>
      </w:pPr>
      <w:r w:rsidRPr="00945529">
        <w:rPr>
          <w:rFonts w:ascii="Tahoma" w:hAnsi="Tahoma" w:cs="Tahoma" w:hint="cs"/>
          <w:sz w:val="18"/>
          <w:szCs w:val="18"/>
          <w:rtl/>
        </w:rPr>
        <w:t xml:space="preserve">הביקורת העלתה כי בנוהל לא נקבעה תדירות ההתכנסות של הוועדות, אף שמדובר בגורם עיכוב עיקרי, ואף שהצוות לשיפור העברת מידע בין משרדים המליץ על כך בדוח המסכם שפרסם בשנת 2016. זאת ועוד, אף שבנוהל נקבעו זמני תקן לחלק מהשלבים בתהליך העברת המידע, תקנות הגנת הפרטיות טרם תוקנו כדי לשקף הוראות אלו, כפי שנקבע בהחלטת הממשלה משנת 2016. </w:t>
      </w:r>
    </w:p>
    <w:p w14:paraId="3779CA69" w14:textId="77777777" w:rsidR="007478B2" w:rsidRPr="00945529" w:rsidRDefault="007478B2" w:rsidP="00945529">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sz w:val="18"/>
          <w:szCs w:val="18"/>
          <w:rtl/>
        </w:rPr>
      </w:pPr>
      <w:r w:rsidRPr="00945529">
        <w:rPr>
          <w:rFonts w:ascii="Tahoma" w:hAnsi="Tahoma" w:cs="Tahoma" w:hint="cs"/>
          <w:sz w:val="18"/>
          <w:szCs w:val="18"/>
          <w:rtl/>
        </w:rPr>
        <w:t xml:space="preserve">עוד העלתה הביקורת כי אף שבשנת 2019 טופלו 119 בקשות להעברת מידע במערכת מוע"ד, הדיווח שהגישה רשות התקשוב לממשלה על עבודת הוועדות בשנת 2019 לא כלל פרטים על משך הטיפול בבקשות אלו למול זמני התקן שנקבעו בנוהל. זאת אף שהחלטת הממשלה משנת 2016 קבעה כי הדיווח על עבודת הוועדות יפרט את עמידתן של הוועדות בנוהל. </w:t>
      </w:r>
    </w:p>
    <w:p w14:paraId="5656F73C" w14:textId="77777777" w:rsidR="007478B2" w:rsidRPr="007F0192" w:rsidRDefault="007478B2" w:rsidP="00347A82">
      <w:pPr>
        <w:spacing w:line="260" w:lineRule="exact"/>
        <w:ind w:left="397"/>
        <w:jc w:val="both"/>
        <w:rPr>
          <w:rFonts w:ascii="Tahoma" w:hAnsi="Tahoma" w:cs="Tahoma"/>
          <w:sz w:val="18"/>
          <w:szCs w:val="18"/>
          <w:rtl/>
        </w:rPr>
      </w:pPr>
      <w:r w:rsidRPr="007F0192">
        <w:rPr>
          <w:rFonts w:ascii="Tahoma" w:hAnsi="Tahoma" w:cs="Tahoma" w:hint="cs"/>
          <w:sz w:val="18"/>
          <w:szCs w:val="18"/>
          <w:rtl/>
        </w:rPr>
        <w:t>רשות התקשוב ציינה בתשובתה כי נתונים לגבי משך הטיפול בבקשות להעברת מידע קיימים רק לגבי בקשות המנוהלות במוע"ד. אם עבודת הוועדות אינה מנוהלת במתכונת דיגיטלית המאפשרת מעקב, נתונים אלה אינם נאספים על ידי המשרדים או על ידי רשות התקשוב, ולא ניתן לכלול אותם בדיווח לממשלה על עבודת הוועדות.</w:t>
      </w:r>
    </w:p>
    <w:p w14:paraId="61579183" w14:textId="77777777" w:rsidR="007478B2" w:rsidRPr="00945529" w:rsidRDefault="007478B2" w:rsidP="00945529">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sz w:val="18"/>
          <w:szCs w:val="18"/>
          <w:rtl/>
        </w:rPr>
      </w:pPr>
      <w:r w:rsidRPr="00945529">
        <w:rPr>
          <w:rFonts w:ascii="Tahoma" w:hAnsi="Tahoma" w:cs="Tahoma" w:hint="eastAsia"/>
          <w:sz w:val="18"/>
          <w:szCs w:val="18"/>
          <w:rtl/>
        </w:rPr>
        <w:t>משרד</w:t>
      </w:r>
      <w:r w:rsidRPr="00945529">
        <w:rPr>
          <w:rFonts w:ascii="Tahoma" w:hAnsi="Tahoma" w:cs="Tahoma"/>
          <w:sz w:val="18"/>
          <w:szCs w:val="18"/>
          <w:rtl/>
        </w:rPr>
        <w:t xml:space="preserve"> מבקר המדינה מציין כי הדבר מחדד </w:t>
      </w:r>
      <w:r w:rsidRPr="00945529">
        <w:rPr>
          <w:rFonts w:ascii="Tahoma" w:hAnsi="Tahoma" w:cs="Tahoma" w:hint="cs"/>
          <w:sz w:val="18"/>
          <w:szCs w:val="18"/>
          <w:rtl/>
        </w:rPr>
        <w:t xml:space="preserve">את </w:t>
      </w:r>
      <w:r w:rsidRPr="00945529">
        <w:rPr>
          <w:rFonts w:ascii="Tahoma" w:hAnsi="Tahoma" w:cs="Tahoma"/>
          <w:sz w:val="18"/>
          <w:szCs w:val="18"/>
          <w:rtl/>
        </w:rPr>
        <w:t xml:space="preserve">הצורך בהסדרת השימוש במערכת </w:t>
      </w:r>
      <w:r w:rsidRPr="00945529">
        <w:rPr>
          <w:rFonts w:ascii="Tahoma" w:hAnsi="Tahoma" w:cs="Tahoma" w:hint="eastAsia"/>
          <w:sz w:val="18"/>
          <w:szCs w:val="18"/>
          <w:rtl/>
        </w:rPr>
        <w:t>מוע</w:t>
      </w:r>
      <w:r w:rsidRPr="00945529">
        <w:rPr>
          <w:rFonts w:ascii="Tahoma" w:hAnsi="Tahoma" w:cs="Tahoma"/>
          <w:sz w:val="18"/>
          <w:szCs w:val="18"/>
          <w:rtl/>
        </w:rPr>
        <w:t xml:space="preserve">"ד </w:t>
      </w:r>
      <w:r w:rsidRPr="00945529">
        <w:rPr>
          <w:rFonts w:ascii="Tahoma" w:hAnsi="Tahoma" w:cs="Tahoma" w:hint="cs"/>
          <w:sz w:val="18"/>
          <w:szCs w:val="18"/>
          <w:rtl/>
        </w:rPr>
        <w:t>על ידי</w:t>
      </w:r>
      <w:r w:rsidRPr="00945529">
        <w:rPr>
          <w:rFonts w:ascii="Tahoma" w:hAnsi="Tahoma" w:cs="Tahoma"/>
          <w:sz w:val="18"/>
          <w:szCs w:val="18"/>
          <w:rtl/>
        </w:rPr>
        <w:t xml:space="preserve"> כלל ה</w:t>
      </w:r>
      <w:r w:rsidRPr="00945529">
        <w:rPr>
          <w:rFonts w:ascii="Tahoma" w:hAnsi="Tahoma" w:cs="Tahoma" w:hint="cs"/>
          <w:sz w:val="18"/>
          <w:szCs w:val="18"/>
          <w:rtl/>
        </w:rPr>
        <w:t>מ</w:t>
      </w:r>
      <w:r w:rsidRPr="00945529">
        <w:rPr>
          <w:rFonts w:ascii="Tahoma" w:hAnsi="Tahoma" w:cs="Tahoma" w:hint="eastAsia"/>
          <w:sz w:val="18"/>
          <w:szCs w:val="18"/>
          <w:rtl/>
        </w:rPr>
        <w:t>שרדים</w:t>
      </w:r>
      <w:r w:rsidRPr="00945529">
        <w:rPr>
          <w:rFonts w:ascii="Tahoma" w:hAnsi="Tahoma" w:cs="Tahoma"/>
          <w:sz w:val="18"/>
          <w:szCs w:val="18"/>
          <w:rtl/>
        </w:rPr>
        <w:t xml:space="preserve"> </w:t>
      </w:r>
      <w:r w:rsidRPr="00945529">
        <w:rPr>
          <w:rFonts w:ascii="Tahoma" w:hAnsi="Tahoma" w:cs="Tahoma" w:hint="eastAsia"/>
          <w:sz w:val="18"/>
          <w:szCs w:val="18"/>
          <w:rtl/>
        </w:rPr>
        <w:t>והגופים</w:t>
      </w:r>
      <w:r w:rsidRPr="00945529">
        <w:rPr>
          <w:rFonts w:ascii="Tahoma" w:hAnsi="Tahoma" w:cs="Tahoma"/>
          <w:sz w:val="18"/>
          <w:szCs w:val="18"/>
          <w:rtl/>
        </w:rPr>
        <w:t xml:space="preserve"> </w:t>
      </w:r>
      <w:r w:rsidRPr="00945529">
        <w:rPr>
          <w:rFonts w:ascii="Tahoma" w:hAnsi="Tahoma" w:cs="Tahoma" w:hint="eastAsia"/>
          <w:sz w:val="18"/>
          <w:szCs w:val="18"/>
          <w:rtl/>
        </w:rPr>
        <w:t>הרלוונטיים</w:t>
      </w:r>
      <w:r w:rsidRPr="00945529">
        <w:rPr>
          <w:rFonts w:ascii="Tahoma" w:hAnsi="Tahoma" w:cs="Tahoma" w:hint="cs"/>
          <w:sz w:val="18"/>
          <w:szCs w:val="18"/>
          <w:rtl/>
        </w:rPr>
        <w:t>,</w:t>
      </w:r>
      <w:r w:rsidRPr="00945529">
        <w:rPr>
          <w:rFonts w:ascii="Tahoma" w:hAnsi="Tahoma" w:cs="Tahoma"/>
          <w:sz w:val="18"/>
          <w:szCs w:val="18"/>
          <w:rtl/>
        </w:rPr>
        <w:t xml:space="preserve"> </w:t>
      </w:r>
      <w:r w:rsidRPr="00945529">
        <w:rPr>
          <w:rFonts w:ascii="Tahoma" w:hAnsi="Tahoma" w:cs="Tahoma" w:hint="eastAsia"/>
          <w:sz w:val="18"/>
          <w:szCs w:val="18"/>
          <w:rtl/>
        </w:rPr>
        <w:t>וכי</w:t>
      </w:r>
      <w:r w:rsidRPr="00945529">
        <w:rPr>
          <w:rFonts w:ascii="Tahoma" w:hAnsi="Tahoma" w:cs="Tahoma" w:hint="cs"/>
          <w:sz w:val="18"/>
          <w:szCs w:val="18"/>
          <w:rtl/>
        </w:rPr>
        <w:t xml:space="preserve"> מאחר שהנוהל נועד להסדיר תהליך מובנה ויעיל להעברת מידע בממשלה, על הדיווח השנתי שמגישה רשות התקשוב לממשלה על עבודת הוועדות לכלול נתונים לגבי זמן הטיפול בבקשות בכל שלב, לרבות לגבי צווארי בקבוק עיקריים בתהליך והסיבות לעיכובים. זאת כדי לשקף תמונה מלאה על התהליך השלם של העברת מידע, הן בצד מבקש המידע והן בצד מחזיק המידע ועל השלבים בתהליך הדורשים שיפור. </w:t>
      </w:r>
    </w:p>
    <w:p w14:paraId="77762AD3" w14:textId="77777777" w:rsidR="007478B2" w:rsidRPr="00945529" w:rsidRDefault="007478B2" w:rsidP="00945529">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sz w:val="18"/>
          <w:szCs w:val="18"/>
          <w:rtl/>
        </w:rPr>
      </w:pPr>
      <w:r w:rsidRPr="00945529">
        <w:rPr>
          <w:rFonts w:ascii="Tahoma" w:hAnsi="Tahoma" w:cs="Tahoma" w:hint="cs"/>
          <w:sz w:val="18"/>
          <w:szCs w:val="18"/>
          <w:rtl/>
        </w:rPr>
        <w:lastRenderedPageBreak/>
        <w:t>זאת ועוד, מאחר ש</w:t>
      </w:r>
      <w:r w:rsidRPr="00945529">
        <w:rPr>
          <w:rFonts w:ascii="Tahoma" w:hAnsi="Tahoma" w:cs="Tahoma"/>
          <w:sz w:val="18"/>
          <w:szCs w:val="18"/>
          <w:rtl/>
        </w:rPr>
        <w:t xml:space="preserve">תהליך יעיל ומהיר של העברת מידע </w:t>
      </w:r>
      <w:r w:rsidRPr="00945529">
        <w:rPr>
          <w:rFonts w:ascii="Tahoma" w:hAnsi="Tahoma" w:cs="Tahoma" w:hint="cs"/>
          <w:sz w:val="18"/>
          <w:szCs w:val="18"/>
          <w:rtl/>
        </w:rPr>
        <w:t xml:space="preserve">בין גופים ציבוריים </w:t>
      </w:r>
      <w:r w:rsidRPr="00945529">
        <w:rPr>
          <w:rFonts w:ascii="Tahoma" w:hAnsi="Tahoma" w:cs="Tahoma"/>
          <w:sz w:val="18"/>
          <w:szCs w:val="18"/>
          <w:rtl/>
        </w:rPr>
        <w:t>הוא תנאי הכרחי לשיפור תהליכי שירות בממשלה</w:t>
      </w:r>
      <w:r w:rsidRPr="00945529">
        <w:rPr>
          <w:rFonts w:ascii="Tahoma" w:hAnsi="Tahoma" w:cs="Tahoma" w:hint="cs"/>
          <w:sz w:val="18"/>
          <w:szCs w:val="18"/>
          <w:rtl/>
        </w:rPr>
        <w:t xml:space="preserve"> בכלל וליישום מדיניות פעם אחת בפרט, על רשות התקשוב לבחון דרכים, בשיתוף פעולה עם הגופים מבקשי המידע והגופים מחזיקי המידע, לקיצור זמן הטיפול בבקשות להעברת מידע בכל שלב. כך למשל, מוצע לבחון קביעת יעדים מדידים בתוכניות העבודה המשרדיות ולבצע מעקב עיתי אחר העמידה בהם וניתוח, לצורך הפקת לקחים.</w:t>
      </w:r>
    </w:p>
    <w:p w14:paraId="0B55D17F" w14:textId="77777777" w:rsidR="007478B2" w:rsidRPr="00945529" w:rsidRDefault="007478B2" w:rsidP="00945529">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sz w:val="18"/>
          <w:szCs w:val="18"/>
          <w:rtl/>
        </w:rPr>
      </w:pPr>
      <w:r w:rsidRPr="00945529">
        <w:rPr>
          <w:rFonts w:ascii="Tahoma" w:hAnsi="Tahoma" w:cs="Tahoma" w:hint="eastAsia"/>
          <w:sz w:val="18"/>
          <w:szCs w:val="18"/>
          <w:rtl/>
        </w:rPr>
        <w:t>כמו</w:t>
      </w:r>
      <w:r w:rsidRPr="00945529">
        <w:rPr>
          <w:rFonts w:ascii="Tahoma" w:hAnsi="Tahoma" w:cs="Tahoma"/>
          <w:sz w:val="18"/>
          <w:szCs w:val="18"/>
          <w:rtl/>
        </w:rPr>
        <w:t xml:space="preserve"> כן, על שר המשפטים להשלים </w:t>
      </w:r>
      <w:r w:rsidRPr="00945529">
        <w:rPr>
          <w:rFonts w:ascii="Tahoma" w:hAnsi="Tahoma" w:cs="Tahoma" w:hint="cs"/>
          <w:sz w:val="18"/>
          <w:szCs w:val="18"/>
          <w:rtl/>
        </w:rPr>
        <w:t xml:space="preserve">את </w:t>
      </w:r>
      <w:r w:rsidRPr="00945529">
        <w:rPr>
          <w:rFonts w:ascii="Tahoma" w:hAnsi="Tahoma" w:cs="Tahoma" w:hint="eastAsia"/>
          <w:sz w:val="18"/>
          <w:szCs w:val="18"/>
          <w:rtl/>
        </w:rPr>
        <w:t>תיקון</w:t>
      </w:r>
      <w:r w:rsidRPr="00945529">
        <w:rPr>
          <w:rFonts w:ascii="Tahoma" w:hAnsi="Tahoma" w:cs="Tahoma"/>
          <w:sz w:val="18"/>
          <w:szCs w:val="18"/>
          <w:rtl/>
        </w:rPr>
        <w:t xml:space="preserve"> </w:t>
      </w:r>
      <w:r w:rsidRPr="00945529">
        <w:rPr>
          <w:rFonts w:ascii="Tahoma" w:hAnsi="Tahoma" w:cs="Tahoma" w:hint="eastAsia"/>
          <w:sz w:val="18"/>
          <w:szCs w:val="18"/>
          <w:rtl/>
        </w:rPr>
        <w:t>תקנות</w:t>
      </w:r>
      <w:r w:rsidRPr="00945529">
        <w:rPr>
          <w:rFonts w:ascii="Tahoma" w:hAnsi="Tahoma" w:cs="Tahoma"/>
          <w:sz w:val="18"/>
          <w:szCs w:val="18"/>
          <w:rtl/>
        </w:rPr>
        <w:t xml:space="preserve"> </w:t>
      </w:r>
      <w:r w:rsidRPr="00945529">
        <w:rPr>
          <w:rFonts w:ascii="Tahoma" w:hAnsi="Tahoma" w:cs="Tahoma" w:hint="eastAsia"/>
          <w:sz w:val="18"/>
          <w:szCs w:val="18"/>
          <w:rtl/>
        </w:rPr>
        <w:t>הגנת</w:t>
      </w:r>
      <w:r w:rsidRPr="00945529">
        <w:rPr>
          <w:rFonts w:ascii="Tahoma" w:hAnsi="Tahoma" w:cs="Tahoma"/>
          <w:sz w:val="18"/>
          <w:szCs w:val="18"/>
          <w:rtl/>
        </w:rPr>
        <w:t xml:space="preserve"> </w:t>
      </w:r>
      <w:r w:rsidRPr="00945529">
        <w:rPr>
          <w:rFonts w:ascii="Tahoma" w:hAnsi="Tahoma" w:cs="Tahoma" w:hint="eastAsia"/>
          <w:sz w:val="18"/>
          <w:szCs w:val="18"/>
          <w:rtl/>
        </w:rPr>
        <w:t>הפרטיות</w:t>
      </w:r>
      <w:r w:rsidRPr="00945529">
        <w:rPr>
          <w:rFonts w:ascii="Tahoma" w:hAnsi="Tahoma" w:cs="Tahoma"/>
          <w:sz w:val="18"/>
          <w:szCs w:val="18"/>
          <w:rtl/>
        </w:rPr>
        <w:t xml:space="preserve"> בהתאם להחלטת הממשלה מ-2016, </w:t>
      </w:r>
      <w:r w:rsidRPr="00945529">
        <w:rPr>
          <w:rFonts w:ascii="Tahoma" w:hAnsi="Tahoma" w:cs="Tahoma" w:hint="eastAsia"/>
          <w:sz w:val="18"/>
          <w:szCs w:val="18"/>
          <w:rtl/>
        </w:rPr>
        <w:t>כדי</w:t>
      </w:r>
      <w:r w:rsidRPr="00945529">
        <w:rPr>
          <w:rFonts w:ascii="Tahoma" w:hAnsi="Tahoma" w:cs="Tahoma"/>
          <w:sz w:val="18"/>
          <w:szCs w:val="18"/>
          <w:rtl/>
        </w:rPr>
        <w:t xml:space="preserve"> </w:t>
      </w:r>
      <w:r w:rsidRPr="00945529">
        <w:rPr>
          <w:rFonts w:ascii="Tahoma" w:hAnsi="Tahoma" w:cs="Tahoma" w:hint="eastAsia"/>
          <w:sz w:val="18"/>
          <w:szCs w:val="18"/>
          <w:rtl/>
        </w:rPr>
        <w:t>לשקף</w:t>
      </w:r>
      <w:r w:rsidRPr="00945529">
        <w:rPr>
          <w:rFonts w:ascii="Tahoma" w:hAnsi="Tahoma" w:cs="Tahoma"/>
          <w:sz w:val="18"/>
          <w:szCs w:val="18"/>
          <w:rtl/>
        </w:rPr>
        <w:t xml:space="preserve"> </w:t>
      </w:r>
      <w:r w:rsidRPr="00945529">
        <w:rPr>
          <w:rFonts w:ascii="Tahoma" w:hAnsi="Tahoma" w:cs="Tahoma" w:hint="eastAsia"/>
          <w:sz w:val="18"/>
          <w:szCs w:val="18"/>
          <w:rtl/>
        </w:rPr>
        <w:t>בתקנות</w:t>
      </w:r>
      <w:r w:rsidRPr="00945529">
        <w:rPr>
          <w:rFonts w:ascii="Tahoma" w:hAnsi="Tahoma" w:cs="Tahoma"/>
          <w:sz w:val="18"/>
          <w:szCs w:val="18"/>
          <w:rtl/>
        </w:rPr>
        <w:t xml:space="preserve"> </w:t>
      </w:r>
      <w:r w:rsidRPr="00945529">
        <w:rPr>
          <w:rFonts w:ascii="Tahoma" w:hAnsi="Tahoma" w:cs="Tahoma" w:hint="eastAsia"/>
          <w:sz w:val="18"/>
          <w:szCs w:val="18"/>
          <w:rtl/>
        </w:rPr>
        <w:t>את</w:t>
      </w:r>
      <w:r w:rsidRPr="00945529">
        <w:rPr>
          <w:rFonts w:ascii="Tahoma" w:hAnsi="Tahoma" w:cs="Tahoma"/>
          <w:sz w:val="18"/>
          <w:szCs w:val="18"/>
          <w:rtl/>
        </w:rPr>
        <w:t xml:space="preserve"> </w:t>
      </w:r>
      <w:r w:rsidRPr="00945529">
        <w:rPr>
          <w:rFonts w:ascii="Tahoma" w:hAnsi="Tahoma" w:cs="Tahoma" w:hint="eastAsia"/>
          <w:sz w:val="18"/>
          <w:szCs w:val="18"/>
          <w:rtl/>
        </w:rPr>
        <w:t>ההוראות</w:t>
      </w:r>
      <w:r w:rsidRPr="00945529">
        <w:rPr>
          <w:rFonts w:ascii="Tahoma" w:hAnsi="Tahoma" w:cs="Tahoma"/>
          <w:sz w:val="18"/>
          <w:szCs w:val="18"/>
          <w:rtl/>
        </w:rPr>
        <w:t xml:space="preserve"> </w:t>
      </w:r>
      <w:r w:rsidRPr="00945529">
        <w:rPr>
          <w:rFonts w:ascii="Tahoma" w:hAnsi="Tahoma" w:cs="Tahoma" w:hint="eastAsia"/>
          <w:sz w:val="18"/>
          <w:szCs w:val="18"/>
          <w:rtl/>
        </w:rPr>
        <w:t>המתאימות</w:t>
      </w:r>
      <w:r w:rsidRPr="00945529">
        <w:rPr>
          <w:rFonts w:ascii="Tahoma" w:hAnsi="Tahoma" w:cs="Tahoma"/>
          <w:sz w:val="18"/>
          <w:szCs w:val="18"/>
          <w:rtl/>
        </w:rPr>
        <w:t xml:space="preserve"> </w:t>
      </w:r>
      <w:r w:rsidRPr="00945529">
        <w:rPr>
          <w:rFonts w:ascii="Tahoma" w:hAnsi="Tahoma" w:cs="Tahoma" w:hint="eastAsia"/>
          <w:sz w:val="18"/>
          <w:szCs w:val="18"/>
          <w:rtl/>
        </w:rPr>
        <w:t>המסדירות</w:t>
      </w:r>
      <w:r w:rsidRPr="00945529">
        <w:rPr>
          <w:rFonts w:ascii="Tahoma" w:hAnsi="Tahoma" w:cs="Tahoma"/>
          <w:sz w:val="18"/>
          <w:szCs w:val="18"/>
          <w:rtl/>
        </w:rPr>
        <w:t xml:space="preserve"> </w:t>
      </w:r>
      <w:r w:rsidRPr="00945529">
        <w:rPr>
          <w:rFonts w:ascii="Tahoma" w:hAnsi="Tahoma" w:cs="Tahoma" w:hint="eastAsia"/>
          <w:sz w:val="18"/>
          <w:szCs w:val="18"/>
          <w:rtl/>
        </w:rPr>
        <w:t>את</w:t>
      </w:r>
      <w:r w:rsidRPr="00945529">
        <w:rPr>
          <w:rFonts w:ascii="Tahoma" w:hAnsi="Tahoma" w:cs="Tahoma"/>
          <w:sz w:val="18"/>
          <w:szCs w:val="18"/>
          <w:rtl/>
        </w:rPr>
        <w:t xml:space="preserve"> </w:t>
      </w:r>
      <w:r w:rsidRPr="00945529">
        <w:rPr>
          <w:rFonts w:ascii="Tahoma" w:hAnsi="Tahoma" w:cs="Tahoma" w:hint="eastAsia"/>
          <w:sz w:val="18"/>
          <w:szCs w:val="18"/>
          <w:rtl/>
        </w:rPr>
        <w:t>עבודת</w:t>
      </w:r>
      <w:r w:rsidRPr="00945529">
        <w:rPr>
          <w:rFonts w:ascii="Tahoma" w:hAnsi="Tahoma" w:cs="Tahoma"/>
          <w:sz w:val="18"/>
          <w:szCs w:val="18"/>
          <w:rtl/>
        </w:rPr>
        <w:t xml:space="preserve"> </w:t>
      </w:r>
      <w:r w:rsidRPr="00945529">
        <w:rPr>
          <w:rFonts w:ascii="Tahoma" w:hAnsi="Tahoma" w:cs="Tahoma" w:hint="eastAsia"/>
          <w:sz w:val="18"/>
          <w:szCs w:val="18"/>
          <w:rtl/>
        </w:rPr>
        <w:t>הוועדות</w:t>
      </w:r>
      <w:r w:rsidRPr="00945529">
        <w:rPr>
          <w:rFonts w:ascii="Tahoma" w:hAnsi="Tahoma" w:cs="Tahoma"/>
          <w:sz w:val="18"/>
          <w:szCs w:val="18"/>
          <w:rtl/>
        </w:rPr>
        <w:t xml:space="preserve"> </w:t>
      </w:r>
      <w:r w:rsidRPr="00945529">
        <w:rPr>
          <w:rFonts w:ascii="Tahoma" w:hAnsi="Tahoma" w:cs="Tahoma" w:hint="eastAsia"/>
          <w:sz w:val="18"/>
          <w:szCs w:val="18"/>
          <w:rtl/>
        </w:rPr>
        <w:t>בהתאם</w:t>
      </w:r>
      <w:r w:rsidRPr="00945529">
        <w:rPr>
          <w:rFonts w:ascii="Tahoma" w:hAnsi="Tahoma" w:cs="Tahoma"/>
          <w:sz w:val="18"/>
          <w:szCs w:val="18"/>
          <w:rtl/>
        </w:rPr>
        <w:t xml:space="preserve"> </w:t>
      </w:r>
      <w:r w:rsidRPr="00945529">
        <w:rPr>
          <w:rFonts w:ascii="Tahoma" w:hAnsi="Tahoma" w:cs="Tahoma" w:hint="eastAsia"/>
          <w:sz w:val="18"/>
          <w:szCs w:val="18"/>
          <w:rtl/>
        </w:rPr>
        <w:t>לנוהל</w:t>
      </w:r>
      <w:r w:rsidRPr="00945529">
        <w:rPr>
          <w:rFonts w:ascii="Tahoma" w:hAnsi="Tahoma" w:cs="Tahoma"/>
          <w:sz w:val="18"/>
          <w:szCs w:val="18"/>
          <w:rtl/>
        </w:rPr>
        <w:t>.</w:t>
      </w:r>
    </w:p>
    <w:p w14:paraId="7652BDE4" w14:textId="77777777" w:rsidR="007478B2" w:rsidRPr="007F0192" w:rsidRDefault="007478B2" w:rsidP="00347A82">
      <w:pPr>
        <w:spacing w:line="260" w:lineRule="exact"/>
        <w:ind w:left="397"/>
        <w:jc w:val="both"/>
        <w:rPr>
          <w:rFonts w:ascii="Tahoma" w:eastAsiaTheme="majorEastAsia" w:hAnsi="Tahoma" w:cs="Tahoma"/>
          <w:bCs/>
          <w:sz w:val="18"/>
          <w:szCs w:val="18"/>
          <w:rtl/>
        </w:rPr>
      </w:pPr>
      <w:r w:rsidRPr="007F0192">
        <w:rPr>
          <w:rFonts w:ascii="Tahoma" w:hAnsi="Tahoma" w:cs="Tahoma" w:hint="cs"/>
          <w:sz w:val="18"/>
          <w:szCs w:val="18"/>
          <w:rtl/>
        </w:rPr>
        <w:t>משרד המשפטים מסר בתשובתו למשרד מבקר המדינה ממרץ 2021 כי טיוטת התיקון לתקנות פורסמה להערות הציבור בספטמבר 2017, ובעקבות זאת גובש נוסח מעודכן של התיקון. לאחר מכן, בעקבות הערות מרשויות הביטחון, נדרש לגבש נוסח שונה של התקנות בנוגע להעברת מידע בין רשויות הביטחון, אך הכנתו של נוסח זה הופסקה לפני כשנה, עם פרוץ משבר הקורונה והפניית מרב המשאבים לטיפול בנושאים משפטיים רבים ודחופים הנוגעים להתמודדות עם המגפה בהיבטי הגנת הפרטיות. משרד המשפטים הוסיף כי היעד להשלמת הכנתן של התקנות והנחתן על שולחן שר המשפטים לחתימתו, הוא עד סוף הרבעון הרביעי של שנת העבודה 2021, וכי תיקון התקנות דורש גם את אישורה של ועדת החוקה, חוק ומשפט של הכנסת.</w:t>
      </w:r>
    </w:p>
    <w:p w14:paraId="5F4BBBFA" w14:textId="77777777" w:rsidR="007478B2" w:rsidRPr="007F0192" w:rsidRDefault="007478B2" w:rsidP="00347A82">
      <w:pPr>
        <w:spacing w:line="260" w:lineRule="exact"/>
        <w:ind w:left="397"/>
        <w:jc w:val="both"/>
        <w:rPr>
          <w:rFonts w:ascii="Tahoma" w:hAnsi="Tahoma" w:cs="Tahoma"/>
          <w:sz w:val="18"/>
          <w:szCs w:val="18"/>
          <w:rtl/>
        </w:rPr>
      </w:pPr>
      <w:r w:rsidRPr="007F0192">
        <w:rPr>
          <w:rFonts w:ascii="Tahoma" w:hAnsi="Tahoma" w:cs="Tahoma" w:hint="cs"/>
          <w:sz w:val="18"/>
          <w:szCs w:val="18"/>
          <w:rtl/>
        </w:rPr>
        <w:t xml:space="preserve">רשות התקשוב מסרה בתשובתה כי גורמים רבים משפיעים על תהליכי אישור העברת מידע, ובהם תיעדוף וקשב ניהולי, ריבוי בעלי תפקיד שאישורם נדרש, מומחיות מקצועית, שיקול הדעת המשפטי של המשרד הספציפי ותהליכים טכנולוגיים. כמו כן היא ציינה כי בסמכותה להנחות את הוועדות להעברת המידע בהיבטים מינהליים בלבד הנוגעים לסדרי עבודתן, אולם זהו מישור אחד בלבד ואין בו כדי להסדיר ולקדם היבטים אחרים המשפיעים על תהליכי האישור כאמור. </w:t>
      </w:r>
    </w:p>
    <w:p w14:paraId="7777523D" w14:textId="77777777" w:rsidR="007478B2" w:rsidRPr="007F0192" w:rsidRDefault="007478B2" w:rsidP="00347A82">
      <w:pPr>
        <w:spacing w:line="260" w:lineRule="exact"/>
        <w:ind w:left="397"/>
        <w:jc w:val="both"/>
        <w:rPr>
          <w:rFonts w:ascii="Tahoma" w:hAnsi="Tahoma" w:cs="Tahoma"/>
          <w:sz w:val="18"/>
          <w:szCs w:val="18"/>
          <w:rtl/>
        </w:rPr>
      </w:pPr>
      <w:r w:rsidRPr="007F0192">
        <w:rPr>
          <w:rFonts w:ascii="Tahoma" w:hAnsi="Tahoma" w:cs="Tahoma" w:hint="cs"/>
          <w:sz w:val="18"/>
          <w:szCs w:val="18"/>
          <w:rtl/>
        </w:rPr>
        <w:t xml:space="preserve">עוד מסרה רשות התקשוב כי על מנת לשפר את תהליכי העברת המידע ולייעל את עבודת הוועדות, יש להגדיר ולהסמיך גוף מקצועי מוביל שינחה את הפעילות בכל היבטיה, לרבות בהיבטי ההדרכה וההטמעה של נוהלי עבודה סדורים לשיפור התהליך. היא הוסיפה כי נוהל או הנחיה מקצועית בפני עצמם אינם יכולים לתקן את הפגמים היסודיים הקיימים במנגנון אישור העברת המידע, אשר אינו הולם את קצב ההתפתחות הטכנולוגית ותהליכי העבודה הממשלתיים, כגון קיום דיון כפול בכל בקשה (במשרד המבקש ובמשרד מחזיק המידע). כמו כן מסרה כי לנוכח האמור, לדעתה ייתכן שיש מקום לשקול מחדש את עצם המנגנון הקבוע בתקנות הגנת הפרטיות ולמצוא הסדר חוקי אחר ללא הסרבול הבירוקרטי הטבוע במתכונת המנגנון הנוכחי. </w:t>
      </w:r>
    </w:p>
    <w:p w14:paraId="379AE7FF" w14:textId="77777777" w:rsidR="007478B2" w:rsidRPr="007E7E66" w:rsidRDefault="007478B2" w:rsidP="007E7E66">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sz w:val="18"/>
          <w:szCs w:val="18"/>
          <w:rtl/>
        </w:rPr>
      </w:pPr>
      <w:r w:rsidRPr="007E7E66">
        <w:rPr>
          <w:rFonts w:ascii="Tahoma" w:hAnsi="Tahoma" w:cs="Tahoma" w:hint="eastAsia"/>
          <w:sz w:val="18"/>
          <w:szCs w:val="18"/>
          <w:rtl/>
        </w:rPr>
        <w:t>משרד</w:t>
      </w:r>
      <w:r w:rsidRPr="007E7E66">
        <w:rPr>
          <w:rFonts w:ascii="Tahoma" w:hAnsi="Tahoma" w:cs="Tahoma"/>
          <w:sz w:val="18"/>
          <w:szCs w:val="18"/>
          <w:rtl/>
        </w:rPr>
        <w:t xml:space="preserve"> מבקר המדינה ממליץ כי </w:t>
      </w:r>
      <w:r w:rsidRPr="007E7E66">
        <w:rPr>
          <w:rFonts w:ascii="Tahoma" w:hAnsi="Tahoma" w:cs="Tahoma" w:hint="eastAsia"/>
          <w:sz w:val="18"/>
          <w:szCs w:val="18"/>
          <w:rtl/>
        </w:rPr>
        <w:t>משרד</w:t>
      </w:r>
      <w:r w:rsidRPr="007E7E66">
        <w:rPr>
          <w:rFonts w:ascii="Tahoma" w:hAnsi="Tahoma" w:cs="Tahoma"/>
          <w:sz w:val="18"/>
          <w:szCs w:val="18"/>
          <w:rtl/>
        </w:rPr>
        <w:t xml:space="preserve"> </w:t>
      </w:r>
      <w:r w:rsidRPr="007E7E66">
        <w:rPr>
          <w:rFonts w:ascii="Tahoma" w:hAnsi="Tahoma" w:cs="Tahoma" w:hint="eastAsia"/>
          <w:sz w:val="18"/>
          <w:szCs w:val="18"/>
          <w:rtl/>
        </w:rPr>
        <w:t>המשפטים</w:t>
      </w:r>
      <w:r w:rsidRPr="007E7E66">
        <w:rPr>
          <w:rFonts w:ascii="Tahoma" w:hAnsi="Tahoma" w:cs="Tahoma"/>
          <w:sz w:val="18"/>
          <w:szCs w:val="18"/>
          <w:rtl/>
        </w:rPr>
        <w:t xml:space="preserve"> </w:t>
      </w:r>
      <w:r w:rsidRPr="007E7E66">
        <w:rPr>
          <w:rFonts w:ascii="Tahoma" w:hAnsi="Tahoma" w:cs="Tahoma" w:hint="eastAsia"/>
          <w:sz w:val="18"/>
          <w:szCs w:val="18"/>
          <w:rtl/>
        </w:rPr>
        <w:t>י</w:t>
      </w:r>
      <w:r w:rsidRPr="007E7E66">
        <w:rPr>
          <w:rFonts w:ascii="Tahoma" w:hAnsi="Tahoma" w:cs="Tahoma" w:hint="cs"/>
          <w:sz w:val="18"/>
          <w:szCs w:val="18"/>
          <w:rtl/>
        </w:rPr>
        <w:t>פעל להשלמת נ</w:t>
      </w:r>
      <w:r w:rsidRPr="007E7E66">
        <w:rPr>
          <w:rFonts w:ascii="Tahoma" w:hAnsi="Tahoma" w:cs="Tahoma" w:hint="eastAsia"/>
          <w:sz w:val="18"/>
          <w:szCs w:val="18"/>
          <w:rtl/>
        </w:rPr>
        <w:t>וסח</w:t>
      </w:r>
      <w:r w:rsidRPr="007E7E66">
        <w:rPr>
          <w:rFonts w:ascii="Tahoma" w:hAnsi="Tahoma" w:cs="Tahoma"/>
          <w:sz w:val="18"/>
          <w:szCs w:val="18"/>
          <w:rtl/>
        </w:rPr>
        <w:t xml:space="preserve"> </w:t>
      </w:r>
      <w:r w:rsidRPr="007E7E66">
        <w:rPr>
          <w:rFonts w:ascii="Tahoma" w:hAnsi="Tahoma" w:cs="Tahoma" w:hint="eastAsia"/>
          <w:sz w:val="18"/>
          <w:szCs w:val="18"/>
          <w:rtl/>
        </w:rPr>
        <w:t>התיקון</w:t>
      </w:r>
      <w:r w:rsidRPr="007E7E66">
        <w:rPr>
          <w:rFonts w:ascii="Tahoma" w:hAnsi="Tahoma" w:cs="Tahoma"/>
          <w:sz w:val="18"/>
          <w:szCs w:val="18"/>
          <w:rtl/>
        </w:rPr>
        <w:t xml:space="preserve"> </w:t>
      </w:r>
      <w:r w:rsidRPr="007E7E66">
        <w:rPr>
          <w:rFonts w:ascii="Tahoma" w:hAnsi="Tahoma" w:cs="Tahoma" w:hint="eastAsia"/>
          <w:sz w:val="18"/>
          <w:szCs w:val="18"/>
          <w:rtl/>
        </w:rPr>
        <w:t>לתקנות</w:t>
      </w:r>
      <w:r w:rsidRPr="007E7E66">
        <w:rPr>
          <w:rFonts w:ascii="Tahoma" w:hAnsi="Tahoma" w:cs="Tahoma"/>
          <w:sz w:val="18"/>
          <w:szCs w:val="18"/>
          <w:rtl/>
        </w:rPr>
        <w:t xml:space="preserve"> </w:t>
      </w:r>
      <w:r w:rsidRPr="007E7E66">
        <w:rPr>
          <w:rFonts w:ascii="Tahoma" w:hAnsi="Tahoma" w:cs="Tahoma" w:hint="eastAsia"/>
          <w:sz w:val="18"/>
          <w:szCs w:val="18"/>
          <w:rtl/>
        </w:rPr>
        <w:t>לאחר</w:t>
      </w:r>
      <w:r w:rsidRPr="007E7E66">
        <w:rPr>
          <w:rFonts w:ascii="Tahoma" w:hAnsi="Tahoma" w:cs="Tahoma"/>
          <w:sz w:val="18"/>
          <w:szCs w:val="18"/>
          <w:rtl/>
        </w:rPr>
        <w:t xml:space="preserve"> </w:t>
      </w:r>
      <w:r w:rsidRPr="007E7E66">
        <w:rPr>
          <w:rFonts w:ascii="Tahoma" w:hAnsi="Tahoma" w:cs="Tahoma" w:hint="eastAsia"/>
          <w:sz w:val="18"/>
          <w:szCs w:val="18"/>
          <w:rtl/>
        </w:rPr>
        <w:t>בחינת</w:t>
      </w:r>
      <w:r w:rsidRPr="007E7E66">
        <w:rPr>
          <w:rFonts w:ascii="Tahoma" w:hAnsi="Tahoma" w:cs="Tahoma"/>
          <w:sz w:val="18"/>
          <w:szCs w:val="18"/>
          <w:rtl/>
        </w:rPr>
        <w:t xml:space="preserve"> </w:t>
      </w:r>
      <w:r w:rsidRPr="007E7E66">
        <w:rPr>
          <w:rFonts w:ascii="Tahoma" w:hAnsi="Tahoma" w:cs="Tahoma" w:hint="eastAsia"/>
          <w:sz w:val="18"/>
          <w:szCs w:val="18"/>
          <w:rtl/>
        </w:rPr>
        <w:t>התייחסויות</w:t>
      </w:r>
      <w:r w:rsidRPr="007E7E66">
        <w:rPr>
          <w:rFonts w:ascii="Tahoma" w:hAnsi="Tahoma" w:cs="Tahoma"/>
          <w:sz w:val="18"/>
          <w:szCs w:val="18"/>
          <w:rtl/>
        </w:rPr>
        <w:t xml:space="preserve"> </w:t>
      </w:r>
      <w:r w:rsidRPr="007E7E66">
        <w:rPr>
          <w:rFonts w:ascii="Tahoma" w:hAnsi="Tahoma" w:cs="Tahoma" w:hint="eastAsia"/>
          <w:sz w:val="18"/>
          <w:szCs w:val="18"/>
          <w:rtl/>
        </w:rPr>
        <w:t>רשות</w:t>
      </w:r>
      <w:r w:rsidRPr="007E7E66">
        <w:rPr>
          <w:rFonts w:ascii="Tahoma" w:hAnsi="Tahoma" w:cs="Tahoma"/>
          <w:sz w:val="18"/>
          <w:szCs w:val="18"/>
          <w:rtl/>
        </w:rPr>
        <w:t xml:space="preserve"> </w:t>
      </w:r>
      <w:r w:rsidRPr="007E7E66">
        <w:rPr>
          <w:rFonts w:ascii="Tahoma" w:hAnsi="Tahoma" w:cs="Tahoma" w:hint="eastAsia"/>
          <w:sz w:val="18"/>
          <w:szCs w:val="18"/>
          <w:rtl/>
        </w:rPr>
        <w:t>התקשוב</w:t>
      </w:r>
      <w:r w:rsidRPr="007E7E66">
        <w:rPr>
          <w:rFonts w:ascii="Tahoma" w:hAnsi="Tahoma" w:cs="Tahoma" w:hint="cs"/>
          <w:sz w:val="18"/>
          <w:szCs w:val="18"/>
          <w:rtl/>
        </w:rPr>
        <w:t>,</w:t>
      </w:r>
      <w:r w:rsidRPr="007E7E66">
        <w:rPr>
          <w:rFonts w:ascii="Tahoma" w:hAnsi="Tahoma" w:cs="Tahoma"/>
          <w:sz w:val="18"/>
          <w:szCs w:val="18"/>
          <w:rtl/>
        </w:rPr>
        <w:t xml:space="preserve"> </w:t>
      </w:r>
      <w:r w:rsidRPr="007E7E66">
        <w:rPr>
          <w:rFonts w:ascii="Tahoma" w:hAnsi="Tahoma" w:cs="Tahoma" w:hint="eastAsia"/>
          <w:sz w:val="18"/>
          <w:szCs w:val="18"/>
          <w:rtl/>
        </w:rPr>
        <w:t>לשם</w:t>
      </w:r>
      <w:r w:rsidRPr="007E7E66">
        <w:rPr>
          <w:rFonts w:ascii="Tahoma" w:hAnsi="Tahoma" w:cs="Tahoma"/>
          <w:sz w:val="18"/>
          <w:szCs w:val="18"/>
          <w:rtl/>
        </w:rPr>
        <w:t xml:space="preserve"> </w:t>
      </w:r>
      <w:r w:rsidRPr="007E7E66">
        <w:rPr>
          <w:rFonts w:ascii="Tahoma" w:hAnsi="Tahoma" w:cs="Tahoma" w:hint="cs"/>
          <w:sz w:val="18"/>
          <w:szCs w:val="18"/>
          <w:rtl/>
        </w:rPr>
        <w:t xml:space="preserve">קידומו מול </w:t>
      </w:r>
      <w:r w:rsidRPr="007E7E66">
        <w:rPr>
          <w:rFonts w:ascii="Tahoma" w:hAnsi="Tahoma" w:cs="Tahoma" w:hint="eastAsia"/>
          <w:sz w:val="18"/>
          <w:szCs w:val="18"/>
          <w:rtl/>
        </w:rPr>
        <w:t>שר</w:t>
      </w:r>
      <w:r w:rsidRPr="007E7E66">
        <w:rPr>
          <w:rFonts w:ascii="Tahoma" w:hAnsi="Tahoma" w:cs="Tahoma"/>
          <w:sz w:val="18"/>
          <w:szCs w:val="18"/>
          <w:rtl/>
        </w:rPr>
        <w:t xml:space="preserve"> </w:t>
      </w:r>
      <w:r w:rsidRPr="007E7E66">
        <w:rPr>
          <w:rFonts w:ascii="Tahoma" w:hAnsi="Tahoma" w:cs="Tahoma" w:hint="eastAsia"/>
          <w:sz w:val="18"/>
          <w:szCs w:val="18"/>
          <w:rtl/>
        </w:rPr>
        <w:t>המשפטים</w:t>
      </w:r>
      <w:r w:rsidRPr="007E7E66">
        <w:rPr>
          <w:rFonts w:ascii="Tahoma" w:hAnsi="Tahoma" w:cs="Tahoma" w:hint="cs"/>
          <w:sz w:val="18"/>
          <w:szCs w:val="18"/>
          <w:rtl/>
        </w:rPr>
        <w:t xml:space="preserve"> וועדת החוקה חוק ומשפט של הכנסת</w:t>
      </w:r>
      <w:r w:rsidRPr="007E7E66">
        <w:rPr>
          <w:rFonts w:ascii="Tahoma" w:hAnsi="Tahoma" w:cs="Tahoma"/>
          <w:sz w:val="18"/>
          <w:szCs w:val="18"/>
          <w:rtl/>
        </w:rPr>
        <w:t>.</w:t>
      </w:r>
    </w:p>
    <w:p w14:paraId="4CC2E299" w14:textId="77777777" w:rsidR="007478B2" w:rsidRPr="007F0192" w:rsidRDefault="007478B2" w:rsidP="00347A82">
      <w:pPr>
        <w:spacing w:line="260" w:lineRule="exact"/>
        <w:jc w:val="both"/>
        <w:rPr>
          <w:rFonts w:ascii="Tahoma" w:eastAsiaTheme="majorEastAsia" w:hAnsi="Tahoma" w:cs="Tahoma"/>
          <w:b/>
          <w:bCs/>
          <w:sz w:val="18"/>
          <w:szCs w:val="18"/>
          <w:rtl/>
        </w:rPr>
      </w:pPr>
    </w:p>
    <w:p w14:paraId="6B7BF3ED" w14:textId="77777777" w:rsidR="007478B2" w:rsidRDefault="007478B2" w:rsidP="007E7E66">
      <w:pPr>
        <w:pStyle w:val="KOT3N"/>
        <w:keepNext/>
        <w:keepLines/>
        <w:rPr>
          <w:rtl/>
        </w:rPr>
      </w:pPr>
      <w:r w:rsidRPr="00AA669A">
        <w:rPr>
          <w:rFonts w:hint="cs"/>
          <w:rtl/>
        </w:rPr>
        <w:lastRenderedPageBreak/>
        <w:t>שדרת המידע</w:t>
      </w:r>
      <w:r>
        <w:rPr>
          <w:rFonts w:hint="cs"/>
          <w:rtl/>
        </w:rPr>
        <w:t xml:space="preserve"> הממשלתית</w:t>
      </w:r>
    </w:p>
    <w:p w14:paraId="0D49BDF7" w14:textId="77777777" w:rsidR="007478B2" w:rsidRPr="007C6424" w:rsidRDefault="007478B2" w:rsidP="007478B2">
      <w:pPr>
        <w:pStyle w:val="KOT4N"/>
        <w:rPr>
          <w:rtl/>
        </w:rPr>
      </w:pPr>
      <w:r>
        <w:rPr>
          <w:rFonts w:hint="cs"/>
          <w:rtl/>
        </w:rPr>
        <w:t xml:space="preserve">רקע </w:t>
      </w:r>
    </w:p>
    <w:p w14:paraId="610971BD"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בהחלטה משנת 2016 נקבע להטיל על ראש רשות התקשוב, בשיתוף ובתיאום עם מערך הסייבר הלאומי וגופים אחרים</w:t>
      </w:r>
      <w:r w:rsidRPr="007F0192">
        <w:rPr>
          <w:rStyle w:val="af3"/>
          <w:rFonts w:ascii="Tahoma" w:hAnsi="Tahoma" w:cs="Tahoma"/>
          <w:sz w:val="18"/>
          <w:szCs w:val="18"/>
          <w:rtl/>
        </w:rPr>
        <w:footnoteReference w:id="67"/>
      </w:r>
      <w:r w:rsidRPr="007F0192">
        <w:rPr>
          <w:rFonts w:ascii="Tahoma" w:hAnsi="Tahoma" w:cs="Tahoma" w:hint="cs"/>
          <w:sz w:val="18"/>
          <w:szCs w:val="18"/>
          <w:rtl/>
        </w:rPr>
        <w:t xml:space="preserve">, להקים מערכת תשתיתית רוחבית מאובטחת לשיתוף והעברה של מידע (להלן - מערכת "שדרת המידע" או המערכת). עוד נקבע בהחלטה כי העמדת המערכת ותחילת חיבור המשרדים אליה תבוצע עד תום המחצית הראשונה של שנת 2018; וכי רשות התקשוב בשיתוף מערך הסייבר ובתיאום איתו יקבעו מאיזה מועד יחויבו משרדי הממשלה להשתמש במערכת לצורך שיתוף מידע. </w:t>
      </w:r>
    </w:p>
    <w:p w14:paraId="425D44AA"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בהמשך להחלטה משנת 2016 פרסמה רשות התקשוב באוגוסט 2017 מכרז למערכת שדרת המידע (להלן - המכרז)</w:t>
      </w:r>
      <w:r w:rsidRPr="007F0192">
        <w:rPr>
          <w:rStyle w:val="af3"/>
          <w:rFonts w:ascii="Tahoma" w:hAnsi="Tahoma" w:cs="Tahoma"/>
          <w:sz w:val="18"/>
          <w:szCs w:val="18"/>
          <w:rtl/>
        </w:rPr>
        <w:footnoteReference w:id="68"/>
      </w:r>
      <w:r w:rsidRPr="007F0192">
        <w:rPr>
          <w:rFonts w:ascii="Tahoma" w:hAnsi="Tahoma" w:cs="Tahoma" w:hint="cs"/>
          <w:sz w:val="18"/>
          <w:szCs w:val="18"/>
          <w:rtl/>
        </w:rPr>
        <w:t xml:space="preserve">, ובשנת 2018 נבחר ספק זוכה במכרז והוחל בהקמת המערכת. המערכת נועדה לשמש תשתית טכנולוגית מרכזית לביצוע תהליכי העברת מידע בממשלה באופן יעיל ומאובטח, והיא משמשת ציר מרכזי ונדבך יסודי בהליך היישום של מדיניות פעם אחת בשירותים ממשלתיים. </w:t>
      </w:r>
    </w:p>
    <w:p w14:paraId="0F2001E8"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על פי המכרז, המערכת נועדה לאפשר העברת מידע בין גופים שהם "ספקי מידע" לאלו שהם "צרכני מידע", לרבות משרדי ממשלה, רשויות מקומיות וגופים במגזר העסקי המקבלים מידע על פי דין, כגון בנקים וחברות ביטוח. כמו כן, המערכת נועדה לשמש תווך בלבד, ללא שיישמר בה מאגר מידע אשר יאחסן את המידע שיועבר בשדרה. ראו פרטים על סביבת המערכת (לקוחות ובעלי תפקידים) בתרשים 17 להלן. </w:t>
      </w:r>
    </w:p>
    <w:p w14:paraId="59F5D415" w14:textId="77777777" w:rsidR="007478B2"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lastRenderedPageBreak/>
        <w:t xml:space="preserve">תרשים 17: </w:t>
      </w:r>
      <w:r w:rsidRPr="007F0192">
        <w:rPr>
          <w:rFonts w:ascii="Tahoma" w:hAnsi="Tahoma" w:cs="Tahoma" w:hint="cs"/>
          <w:b/>
          <w:bCs/>
          <w:color w:val="0D0D0D" w:themeColor="text1" w:themeTint="F2"/>
          <w:sz w:val="18"/>
          <w:szCs w:val="18"/>
          <w:rtl/>
        </w:rPr>
        <w:t>סביבת מערכת "שדרת המידע"</w:t>
      </w:r>
    </w:p>
    <w:p w14:paraId="46D60950" w14:textId="551A37FC" w:rsidR="007478B2" w:rsidRDefault="003F4BA9" w:rsidP="004315DC">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69E298A5" wp14:editId="012F1BE9">
            <wp:extent cx="4679950" cy="2947035"/>
            <wp:effectExtent l="0" t="0" r="6350" b="5715"/>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679950" cy="2947035"/>
                    </a:xfrm>
                    <a:prstGeom prst="rect">
                      <a:avLst/>
                    </a:prstGeom>
                  </pic:spPr>
                </pic:pic>
              </a:graphicData>
            </a:graphic>
          </wp:inline>
        </w:drawing>
      </w:r>
    </w:p>
    <w:p w14:paraId="1C301A2E" w14:textId="77777777" w:rsidR="007478B2" w:rsidRPr="007E7E66" w:rsidRDefault="007478B2" w:rsidP="00E12A59">
      <w:pPr>
        <w:tabs>
          <w:tab w:val="left" w:pos="424"/>
        </w:tabs>
        <w:spacing w:after="240" w:line="260" w:lineRule="exact"/>
        <w:jc w:val="both"/>
        <w:rPr>
          <w:rFonts w:ascii="Tahoma" w:hAnsi="Tahoma" w:cs="Tahoma"/>
          <w:color w:val="0D0D0D" w:themeColor="text1" w:themeTint="F2"/>
          <w:sz w:val="16"/>
          <w:szCs w:val="16"/>
          <w:rtl/>
        </w:rPr>
      </w:pPr>
      <w:r w:rsidRPr="007E7E66">
        <w:rPr>
          <w:rFonts w:ascii="Tahoma" w:hAnsi="Tahoma" w:cs="Tahoma" w:hint="cs"/>
          <w:color w:val="0D0D0D" w:themeColor="text1" w:themeTint="F2"/>
          <w:sz w:val="16"/>
          <w:szCs w:val="16"/>
          <w:rtl/>
        </w:rPr>
        <w:t>המקור: המכרז למערכת שדרת המידע, אוגוסט 2017.</w:t>
      </w:r>
    </w:p>
    <w:p w14:paraId="7C692190" w14:textId="77777777" w:rsidR="007478B2" w:rsidRPr="007F0192" w:rsidRDefault="007478B2" w:rsidP="00347A82">
      <w:pPr>
        <w:spacing w:line="260" w:lineRule="exact"/>
        <w:ind w:left="-2"/>
        <w:jc w:val="both"/>
        <w:rPr>
          <w:rFonts w:ascii="Tahoma" w:hAnsi="Tahoma" w:cs="Tahoma"/>
          <w:sz w:val="18"/>
          <w:szCs w:val="18"/>
          <w:rtl/>
        </w:rPr>
      </w:pPr>
      <w:r w:rsidRPr="007F0192">
        <w:rPr>
          <w:rFonts w:ascii="Tahoma" w:hAnsi="Tahoma" w:cs="Tahoma" w:hint="cs"/>
          <w:sz w:val="18"/>
          <w:szCs w:val="18"/>
          <w:rtl/>
        </w:rPr>
        <w:t xml:space="preserve">במסמך רשות התקשוב "תכנית יישום מפורטת לשיפור העברת המידע הממשלתי (טיוטה)" (להלן - התוכנית) צוין כי חלק מהעברות המידע בין גופים בממשלה מתבצעות ללא תהליך טכנולוגי סדור. חלק מן המשרדים מפתחים ממשקים להעברת המידע, חלקם מעבירים נתונים בדואר האלקטרוני או על גבי התקן זיכרון נייד. גם בקרב המשרדים המשתמשים בממשק, לרוב מדובר בממשק של "גזירת" הנתונים, כלומר קבלת קובץ ושכפולו באופן א-סינכרוני. </w:t>
      </w:r>
    </w:p>
    <w:p w14:paraId="68397CC2" w14:textId="77777777" w:rsidR="007478B2" w:rsidRPr="007F0192" w:rsidRDefault="007478B2" w:rsidP="00347A82">
      <w:pPr>
        <w:spacing w:line="260" w:lineRule="exact"/>
        <w:ind w:left="-2"/>
        <w:jc w:val="both"/>
        <w:rPr>
          <w:rFonts w:ascii="Tahoma" w:hAnsi="Tahoma" w:cs="Tahoma"/>
          <w:sz w:val="18"/>
          <w:szCs w:val="18"/>
          <w:rtl/>
        </w:rPr>
      </w:pPr>
      <w:r w:rsidRPr="007F0192">
        <w:rPr>
          <w:rFonts w:ascii="Tahoma" w:hAnsi="Tahoma" w:cs="Tahoma" w:hint="eastAsia"/>
          <w:sz w:val="18"/>
          <w:szCs w:val="18"/>
          <w:rtl/>
        </w:rPr>
        <w:t>בתוכנית</w:t>
      </w:r>
      <w:r w:rsidRPr="007F0192">
        <w:rPr>
          <w:rFonts w:ascii="Tahoma" w:hAnsi="Tahoma" w:cs="Tahoma"/>
          <w:sz w:val="18"/>
          <w:szCs w:val="18"/>
          <w:rtl/>
        </w:rPr>
        <w:t xml:space="preserve"> </w:t>
      </w:r>
      <w:r w:rsidRPr="007F0192">
        <w:rPr>
          <w:rFonts w:ascii="Tahoma" w:hAnsi="Tahoma" w:cs="Tahoma" w:hint="cs"/>
          <w:sz w:val="18"/>
          <w:szCs w:val="18"/>
          <w:rtl/>
        </w:rPr>
        <w:t xml:space="preserve">נכתב </w:t>
      </w:r>
      <w:r w:rsidRPr="007F0192">
        <w:rPr>
          <w:rFonts w:ascii="Tahoma" w:hAnsi="Tahoma" w:cs="Tahoma" w:hint="eastAsia"/>
          <w:sz w:val="18"/>
          <w:szCs w:val="18"/>
          <w:rtl/>
        </w:rPr>
        <w:t>כי</w:t>
      </w:r>
      <w:r w:rsidRPr="007F0192">
        <w:rPr>
          <w:rFonts w:ascii="Tahoma" w:hAnsi="Tahoma" w:cs="Tahoma"/>
          <w:sz w:val="18"/>
          <w:szCs w:val="18"/>
          <w:rtl/>
        </w:rPr>
        <w:t xml:space="preserve"> </w:t>
      </w:r>
      <w:r w:rsidRPr="007F0192">
        <w:rPr>
          <w:rFonts w:ascii="Tahoma" w:hAnsi="Tahoma" w:cs="Tahoma" w:hint="eastAsia"/>
          <w:sz w:val="18"/>
          <w:szCs w:val="18"/>
          <w:rtl/>
        </w:rPr>
        <w:t>השימוש</w:t>
      </w:r>
      <w:r w:rsidRPr="007F0192">
        <w:rPr>
          <w:rFonts w:ascii="Tahoma" w:hAnsi="Tahoma" w:cs="Tahoma"/>
          <w:sz w:val="18"/>
          <w:szCs w:val="18"/>
          <w:rtl/>
        </w:rPr>
        <w:t xml:space="preserve"> </w:t>
      </w:r>
      <w:r w:rsidRPr="007F0192">
        <w:rPr>
          <w:rFonts w:ascii="Tahoma" w:hAnsi="Tahoma" w:cs="Tahoma" w:hint="eastAsia"/>
          <w:sz w:val="18"/>
          <w:szCs w:val="18"/>
          <w:rtl/>
        </w:rPr>
        <w:t>ב</w:t>
      </w:r>
      <w:r w:rsidRPr="007F0192">
        <w:rPr>
          <w:rFonts w:ascii="Tahoma" w:hAnsi="Tahoma" w:cs="Tahoma" w:hint="cs"/>
          <w:sz w:val="18"/>
          <w:szCs w:val="18"/>
          <w:rtl/>
        </w:rPr>
        <w:t>ממשק</w:t>
      </w:r>
      <w:r w:rsidRPr="007F0192">
        <w:rPr>
          <w:rFonts w:ascii="Tahoma" w:hAnsi="Tahoma" w:cs="Tahoma"/>
          <w:sz w:val="18"/>
          <w:szCs w:val="18"/>
          <w:rtl/>
        </w:rPr>
        <w:t xml:space="preserve"> </w:t>
      </w:r>
      <w:r w:rsidRPr="007F0192">
        <w:rPr>
          <w:rFonts w:ascii="Tahoma" w:hAnsi="Tahoma" w:cs="Tahoma" w:hint="eastAsia"/>
          <w:sz w:val="18"/>
          <w:szCs w:val="18"/>
          <w:rtl/>
        </w:rPr>
        <w:t>של</w:t>
      </w:r>
      <w:r w:rsidRPr="007F0192">
        <w:rPr>
          <w:rFonts w:ascii="Tahoma" w:hAnsi="Tahoma" w:cs="Tahoma"/>
          <w:sz w:val="18"/>
          <w:szCs w:val="18"/>
          <w:rtl/>
        </w:rPr>
        <w:t xml:space="preserve"> </w:t>
      </w:r>
      <w:r w:rsidRPr="007F0192">
        <w:rPr>
          <w:rFonts w:ascii="Tahoma" w:hAnsi="Tahoma" w:cs="Tahoma" w:hint="eastAsia"/>
          <w:sz w:val="18"/>
          <w:szCs w:val="18"/>
          <w:rtl/>
        </w:rPr>
        <w:t>גזירת</w:t>
      </w:r>
      <w:r w:rsidRPr="007F0192">
        <w:rPr>
          <w:rFonts w:ascii="Tahoma" w:hAnsi="Tahoma" w:cs="Tahoma"/>
          <w:sz w:val="18"/>
          <w:szCs w:val="18"/>
          <w:rtl/>
        </w:rPr>
        <w:t xml:space="preserve"> </w:t>
      </w:r>
      <w:r w:rsidRPr="007F0192">
        <w:rPr>
          <w:rFonts w:ascii="Tahoma" w:hAnsi="Tahoma" w:cs="Tahoma" w:hint="eastAsia"/>
          <w:sz w:val="18"/>
          <w:szCs w:val="18"/>
          <w:rtl/>
        </w:rPr>
        <w:t>נתונים</w:t>
      </w:r>
      <w:r w:rsidRPr="007F0192">
        <w:rPr>
          <w:rFonts w:ascii="Tahoma" w:hAnsi="Tahoma" w:cs="Tahoma"/>
          <w:sz w:val="18"/>
          <w:szCs w:val="18"/>
          <w:rtl/>
        </w:rPr>
        <w:t xml:space="preserve"> </w:t>
      </w:r>
      <w:r w:rsidRPr="007F0192">
        <w:rPr>
          <w:rFonts w:ascii="Tahoma" w:hAnsi="Tahoma" w:cs="Tahoma" w:hint="eastAsia"/>
          <w:sz w:val="18"/>
          <w:szCs w:val="18"/>
          <w:rtl/>
        </w:rPr>
        <w:t>חוטא</w:t>
      </w:r>
      <w:r w:rsidRPr="007F0192">
        <w:rPr>
          <w:rFonts w:ascii="Tahoma" w:hAnsi="Tahoma" w:cs="Tahoma"/>
          <w:sz w:val="18"/>
          <w:szCs w:val="18"/>
          <w:rtl/>
        </w:rPr>
        <w:t xml:space="preserve"> </w:t>
      </w:r>
      <w:r w:rsidRPr="007F0192">
        <w:rPr>
          <w:rFonts w:ascii="Tahoma" w:hAnsi="Tahoma" w:cs="Tahoma" w:hint="eastAsia"/>
          <w:sz w:val="18"/>
          <w:szCs w:val="18"/>
          <w:rtl/>
        </w:rPr>
        <w:t>למטרות</w:t>
      </w:r>
      <w:r w:rsidRPr="007F0192">
        <w:rPr>
          <w:rFonts w:ascii="Tahoma" w:hAnsi="Tahoma" w:cs="Tahoma"/>
          <w:sz w:val="18"/>
          <w:szCs w:val="18"/>
          <w:rtl/>
        </w:rPr>
        <w:t xml:space="preserve"> </w:t>
      </w:r>
      <w:r w:rsidRPr="007F0192">
        <w:rPr>
          <w:rFonts w:ascii="Tahoma" w:hAnsi="Tahoma" w:cs="Tahoma" w:hint="eastAsia"/>
          <w:sz w:val="18"/>
          <w:szCs w:val="18"/>
          <w:rtl/>
        </w:rPr>
        <w:t>המרכזיות</w:t>
      </w:r>
      <w:r w:rsidRPr="007F0192">
        <w:rPr>
          <w:rFonts w:ascii="Tahoma" w:hAnsi="Tahoma" w:cs="Tahoma"/>
          <w:sz w:val="18"/>
          <w:szCs w:val="18"/>
          <w:rtl/>
        </w:rPr>
        <w:t xml:space="preserve"> </w:t>
      </w:r>
      <w:r w:rsidRPr="007F0192">
        <w:rPr>
          <w:rFonts w:ascii="Tahoma" w:hAnsi="Tahoma" w:cs="Tahoma" w:hint="eastAsia"/>
          <w:sz w:val="18"/>
          <w:szCs w:val="18"/>
          <w:rtl/>
        </w:rPr>
        <w:t>של</w:t>
      </w:r>
      <w:r w:rsidRPr="007F0192">
        <w:rPr>
          <w:rFonts w:ascii="Tahoma" w:hAnsi="Tahoma" w:cs="Tahoma"/>
          <w:sz w:val="18"/>
          <w:szCs w:val="18"/>
          <w:rtl/>
        </w:rPr>
        <w:t xml:space="preserve"> </w:t>
      </w:r>
      <w:r w:rsidRPr="007F0192">
        <w:rPr>
          <w:rFonts w:ascii="Tahoma" w:hAnsi="Tahoma" w:cs="Tahoma" w:hint="eastAsia"/>
          <w:sz w:val="18"/>
          <w:szCs w:val="18"/>
          <w:rtl/>
        </w:rPr>
        <w:t>העברות</w:t>
      </w:r>
      <w:r w:rsidRPr="007F0192">
        <w:rPr>
          <w:rFonts w:ascii="Tahoma" w:hAnsi="Tahoma" w:cs="Tahoma"/>
          <w:sz w:val="18"/>
          <w:szCs w:val="18"/>
          <w:rtl/>
        </w:rPr>
        <w:t xml:space="preserve"> </w:t>
      </w:r>
      <w:r w:rsidRPr="007F0192">
        <w:rPr>
          <w:rFonts w:ascii="Tahoma" w:hAnsi="Tahoma" w:cs="Tahoma" w:hint="eastAsia"/>
          <w:sz w:val="18"/>
          <w:szCs w:val="18"/>
          <w:rtl/>
        </w:rPr>
        <w:t>מידע</w:t>
      </w:r>
      <w:r w:rsidRPr="007F0192">
        <w:rPr>
          <w:rFonts w:ascii="Tahoma" w:hAnsi="Tahoma" w:cs="Tahoma"/>
          <w:sz w:val="18"/>
          <w:szCs w:val="18"/>
          <w:rtl/>
        </w:rPr>
        <w:t xml:space="preserve">, </w:t>
      </w:r>
      <w:r w:rsidRPr="007F0192">
        <w:rPr>
          <w:rFonts w:ascii="Tahoma" w:hAnsi="Tahoma" w:cs="Tahoma" w:hint="eastAsia"/>
          <w:sz w:val="18"/>
          <w:szCs w:val="18"/>
          <w:rtl/>
        </w:rPr>
        <w:t>שכן</w:t>
      </w:r>
      <w:r w:rsidRPr="007F0192">
        <w:rPr>
          <w:rFonts w:ascii="Tahoma" w:hAnsi="Tahoma" w:cs="Tahoma"/>
          <w:sz w:val="18"/>
          <w:szCs w:val="18"/>
          <w:rtl/>
        </w:rPr>
        <w:t xml:space="preserve"> </w:t>
      </w:r>
      <w:r w:rsidRPr="007F0192">
        <w:rPr>
          <w:rFonts w:ascii="Tahoma" w:hAnsi="Tahoma" w:cs="Tahoma" w:hint="eastAsia"/>
          <w:sz w:val="18"/>
          <w:szCs w:val="18"/>
          <w:rtl/>
        </w:rPr>
        <w:t>הוא</w:t>
      </w:r>
      <w:r w:rsidRPr="007F0192">
        <w:rPr>
          <w:rFonts w:ascii="Tahoma" w:hAnsi="Tahoma" w:cs="Tahoma"/>
          <w:sz w:val="18"/>
          <w:szCs w:val="18"/>
          <w:rtl/>
        </w:rPr>
        <w:t xml:space="preserve"> </w:t>
      </w:r>
      <w:r w:rsidRPr="007F0192">
        <w:rPr>
          <w:rFonts w:ascii="Tahoma" w:hAnsi="Tahoma" w:cs="Tahoma" w:hint="eastAsia"/>
          <w:sz w:val="18"/>
          <w:szCs w:val="18"/>
          <w:rtl/>
        </w:rPr>
        <w:t>מייצר</w:t>
      </w:r>
      <w:r w:rsidRPr="007F0192">
        <w:rPr>
          <w:rFonts w:ascii="Tahoma" w:hAnsi="Tahoma" w:cs="Tahoma"/>
          <w:sz w:val="18"/>
          <w:szCs w:val="18"/>
          <w:rtl/>
        </w:rPr>
        <w:t xml:space="preserve"> </w:t>
      </w:r>
      <w:r w:rsidRPr="007F0192">
        <w:rPr>
          <w:rFonts w:ascii="Tahoma" w:hAnsi="Tahoma" w:cs="Tahoma" w:hint="eastAsia"/>
          <w:sz w:val="18"/>
          <w:szCs w:val="18"/>
          <w:rtl/>
        </w:rPr>
        <w:t>ריבוי</w:t>
      </w:r>
      <w:r w:rsidRPr="007F0192">
        <w:rPr>
          <w:rFonts w:ascii="Tahoma" w:hAnsi="Tahoma" w:cs="Tahoma"/>
          <w:sz w:val="18"/>
          <w:szCs w:val="18"/>
          <w:rtl/>
        </w:rPr>
        <w:t xml:space="preserve"> </w:t>
      </w:r>
      <w:r w:rsidRPr="007F0192">
        <w:rPr>
          <w:rFonts w:ascii="Tahoma" w:hAnsi="Tahoma" w:cs="Tahoma" w:hint="eastAsia"/>
          <w:sz w:val="18"/>
          <w:szCs w:val="18"/>
          <w:rtl/>
        </w:rPr>
        <w:t>מאגרים</w:t>
      </w:r>
      <w:r w:rsidRPr="007F0192">
        <w:rPr>
          <w:rFonts w:ascii="Tahoma" w:hAnsi="Tahoma" w:cs="Tahoma"/>
          <w:sz w:val="18"/>
          <w:szCs w:val="18"/>
          <w:rtl/>
        </w:rPr>
        <w:t xml:space="preserve"> </w:t>
      </w:r>
      <w:r w:rsidRPr="007F0192">
        <w:rPr>
          <w:rFonts w:ascii="Tahoma" w:hAnsi="Tahoma" w:cs="Tahoma" w:hint="eastAsia"/>
          <w:sz w:val="18"/>
          <w:szCs w:val="18"/>
          <w:rtl/>
        </w:rPr>
        <w:t>המחזיקים</w:t>
      </w:r>
      <w:r w:rsidRPr="007F0192">
        <w:rPr>
          <w:rFonts w:ascii="Tahoma" w:hAnsi="Tahoma" w:cs="Tahoma"/>
          <w:sz w:val="18"/>
          <w:szCs w:val="18"/>
          <w:rtl/>
        </w:rPr>
        <w:t xml:space="preserve"> </w:t>
      </w:r>
      <w:r w:rsidRPr="007F0192">
        <w:rPr>
          <w:rFonts w:ascii="Tahoma" w:hAnsi="Tahoma" w:cs="Tahoma" w:hint="eastAsia"/>
          <w:sz w:val="18"/>
          <w:szCs w:val="18"/>
          <w:rtl/>
        </w:rPr>
        <w:t>מידע</w:t>
      </w:r>
      <w:r w:rsidRPr="007F0192">
        <w:rPr>
          <w:rFonts w:ascii="Tahoma" w:hAnsi="Tahoma" w:cs="Tahoma"/>
          <w:sz w:val="18"/>
          <w:szCs w:val="18"/>
          <w:rtl/>
        </w:rPr>
        <w:t xml:space="preserve"> </w:t>
      </w:r>
      <w:r w:rsidRPr="007F0192">
        <w:rPr>
          <w:rFonts w:ascii="Tahoma" w:hAnsi="Tahoma" w:cs="Tahoma" w:hint="eastAsia"/>
          <w:sz w:val="18"/>
          <w:szCs w:val="18"/>
          <w:rtl/>
        </w:rPr>
        <w:t>פרטי</w:t>
      </w:r>
      <w:r w:rsidRPr="007F0192">
        <w:rPr>
          <w:rFonts w:ascii="Tahoma" w:hAnsi="Tahoma" w:cs="Tahoma"/>
          <w:sz w:val="18"/>
          <w:szCs w:val="18"/>
          <w:rtl/>
        </w:rPr>
        <w:t xml:space="preserve"> </w:t>
      </w:r>
      <w:r w:rsidRPr="007F0192">
        <w:rPr>
          <w:rFonts w:ascii="Tahoma" w:hAnsi="Tahoma" w:cs="Tahoma" w:hint="eastAsia"/>
          <w:sz w:val="18"/>
          <w:szCs w:val="18"/>
          <w:rtl/>
        </w:rPr>
        <w:t>ולעיתים</w:t>
      </w:r>
      <w:r w:rsidRPr="007F0192">
        <w:rPr>
          <w:rFonts w:ascii="Tahoma" w:hAnsi="Tahoma" w:cs="Tahoma"/>
          <w:sz w:val="18"/>
          <w:szCs w:val="18"/>
          <w:rtl/>
        </w:rPr>
        <w:t xml:space="preserve"> רגיש, וכן בהיותו א-סינכרוני, הוא </w:t>
      </w:r>
      <w:r w:rsidRPr="007F0192">
        <w:rPr>
          <w:rFonts w:ascii="Tahoma" w:hAnsi="Tahoma" w:cs="Tahoma" w:hint="eastAsia"/>
          <w:sz w:val="18"/>
          <w:szCs w:val="18"/>
          <w:rtl/>
        </w:rPr>
        <w:t>אינו</w:t>
      </w:r>
      <w:r w:rsidRPr="007F0192">
        <w:rPr>
          <w:rFonts w:ascii="Tahoma" w:hAnsi="Tahoma" w:cs="Tahoma"/>
          <w:sz w:val="18"/>
          <w:szCs w:val="18"/>
          <w:rtl/>
        </w:rPr>
        <w:t xml:space="preserve"> אמין דיו </w:t>
      </w:r>
      <w:r w:rsidRPr="007F0192">
        <w:rPr>
          <w:rFonts w:ascii="Tahoma" w:hAnsi="Tahoma" w:cs="Tahoma" w:hint="eastAsia"/>
          <w:sz w:val="18"/>
          <w:szCs w:val="18"/>
          <w:rtl/>
        </w:rPr>
        <w:t>ולא</w:t>
      </w:r>
      <w:r w:rsidRPr="007F0192">
        <w:rPr>
          <w:rFonts w:ascii="Tahoma" w:hAnsi="Tahoma" w:cs="Tahoma"/>
          <w:sz w:val="18"/>
          <w:szCs w:val="18"/>
          <w:rtl/>
        </w:rPr>
        <w:t xml:space="preserve"> ניתן </w:t>
      </w:r>
      <w:r w:rsidRPr="007F0192">
        <w:rPr>
          <w:rFonts w:ascii="Tahoma" w:hAnsi="Tahoma" w:cs="Tahoma" w:hint="eastAsia"/>
          <w:sz w:val="18"/>
          <w:szCs w:val="18"/>
          <w:rtl/>
        </w:rPr>
        <w:t>להסתמך</w:t>
      </w:r>
      <w:r w:rsidRPr="007F0192">
        <w:rPr>
          <w:rFonts w:ascii="Tahoma" w:hAnsi="Tahoma" w:cs="Tahoma"/>
          <w:sz w:val="18"/>
          <w:szCs w:val="18"/>
          <w:rtl/>
        </w:rPr>
        <w:t xml:space="preserve"> </w:t>
      </w:r>
      <w:r w:rsidRPr="007F0192">
        <w:rPr>
          <w:rFonts w:ascii="Tahoma" w:hAnsi="Tahoma" w:cs="Tahoma" w:hint="eastAsia"/>
          <w:sz w:val="18"/>
          <w:szCs w:val="18"/>
          <w:rtl/>
        </w:rPr>
        <w:t>עליו</w:t>
      </w:r>
      <w:r w:rsidRPr="007F0192">
        <w:rPr>
          <w:rFonts w:ascii="Tahoma" w:hAnsi="Tahoma" w:cs="Tahoma"/>
          <w:sz w:val="18"/>
          <w:szCs w:val="18"/>
          <w:rtl/>
        </w:rPr>
        <w:t xml:space="preserve"> </w:t>
      </w:r>
      <w:r w:rsidRPr="007F0192">
        <w:rPr>
          <w:rFonts w:ascii="Tahoma" w:hAnsi="Tahoma" w:cs="Tahoma" w:hint="eastAsia"/>
          <w:sz w:val="18"/>
          <w:szCs w:val="18"/>
          <w:rtl/>
        </w:rPr>
        <w:t>ולהפחית</w:t>
      </w:r>
      <w:r w:rsidRPr="007F0192">
        <w:rPr>
          <w:rFonts w:ascii="Tahoma" w:hAnsi="Tahoma" w:cs="Tahoma"/>
          <w:sz w:val="18"/>
          <w:szCs w:val="18"/>
          <w:rtl/>
        </w:rPr>
        <w:t xml:space="preserve"> את דרישת המידע מהאזרח מבקש השירות. </w:t>
      </w:r>
      <w:r w:rsidRPr="007F0192">
        <w:rPr>
          <w:rFonts w:ascii="Tahoma" w:hAnsi="Tahoma" w:cs="Tahoma" w:hint="eastAsia"/>
          <w:sz w:val="18"/>
          <w:szCs w:val="18"/>
          <w:rtl/>
        </w:rPr>
        <w:t>מסיבות</w:t>
      </w:r>
      <w:r w:rsidRPr="007F0192">
        <w:rPr>
          <w:rFonts w:ascii="Tahoma" w:hAnsi="Tahoma" w:cs="Tahoma"/>
          <w:sz w:val="18"/>
          <w:szCs w:val="18"/>
          <w:rtl/>
        </w:rPr>
        <w:t xml:space="preserve"> אלו, אופן המימוש המומלץ של העברות מידע הוא </w:t>
      </w:r>
      <w:r w:rsidRPr="007F0192">
        <w:rPr>
          <w:rFonts w:ascii="Tahoma" w:hAnsi="Tahoma" w:cs="Tahoma" w:hint="eastAsia"/>
          <w:sz w:val="18"/>
          <w:szCs w:val="18"/>
          <w:rtl/>
        </w:rPr>
        <w:t>תשאול</w:t>
      </w:r>
      <w:r w:rsidRPr="007F0192">
        <w:rPr>
          <w:rFonts w:ascii="Tahoma" w:hAnsi="Tahoma" w:cs="Tahoma"/>
          <w:sz w:val="18"/>
          <w:szCs w:val="18"/>
          <w:rtl/>
        </w:rPr>
        <w:t xml:space="preserve"> </w:t>
      </w:r>
      <w:r w:rsidRPr="007F0192">
        <w:rPr>
          <w:rFonts w:ascii="Tahoma" w:hAnsi="Tahoma" w:cs="Tahoma" w:hint="eastAsia"/>
          <w:sz w:val="18"/>
          <w:szCs w:val="18"/>
          <w:rtl/>
        </w:rPr>
        <w:t>בזמן</w:t>
      </w:r>
      <w:r w:rsidRPr="007F0192">
        <w:rPr>
          <w:rFonts w:ascii="Tahoma" w:hAnsi="Tahoma" w:cs="Tahoma"/>
          <w:sz w:val="18"/>
          <w:szCs w:val="18"/>
          <w:rtl/>
        </w:rPr>
        <w:t xml:space="preserve"> אמת של </w:t>
      </w:r>
      <w:r w:rsidRPr="007F0192">
        <w:rPr>
          <w:rFonts w:ascii="Tahoma" w:hAnsi="Tahoma" w:cs="Tahoma" w:hint="eastAsia"/>
          <w:sz w:val="18"/>
          <w:szCs w:val="18"/>
          <w:rtl/>
        </w:rPr>
        <w:t>המערכת</w:t>
      </w:r>
      <w:r w:rsidRPr="007F0192">
        <w:rPr>
          <w:rFonts w:ascii="Tahoma" w:hAnsi="Tahoma" w:cs="Tahoma"/>
          <w:sz w:val="18"/>
          <w:szCs w:val="18"/>
          <w:rtl/>
        </w:rPr>
        <w:t xml:space="preserve"> התפעולית המחזיקה </w:t>
      </w:r>
      <w:r w:rsidRPr="007F0192">
        <w:rPr>
          <w:rFonts w:ascii="Tahoma" w:hAnsi="Tahoma" w:cs="Tahoma" w:hint="eastAsia"/>
          <w:sz w:val="18"/>
          <w:szCs w:val="18"/>
          <w:rtl/>
        </w:rPr>
        <w:t>במידע</w:t>
      </w:r>
      <w:r w:rsidRPr="007F0192">
        <w:rPr>
          <w:rFonts w:ascii="Tahoma" w:hAnsi="Tahoma" w:cs="Tahoma"/>
          <w:sz w:val="18"/>
          <w:szCs w:val="18"/>
          <w:rtl/>
        </w:rPr>
        <w:t xml:space="preserve"> </w:t>
      </w:r>
      <w:r w:rsidRPr="007F0192">
        <w:rPr>
          <w:rFonts w:ascii="Tahoma" w:hAnsi="Tahoma" w:cs="Tahoma" w:hint="eastAsia"/>
          <w:sz w:val="18"/>
          <w:szCs w:val="18"/>
          <w:rtl/>
        </w:rPr>
        <w:t>המקורי</w:t>
      </w:r>
      <w:r w:rsidRPr="007F0192">
        <w:rPr>
          <w:rFonts w:ascii="Tahoma" w:hAnsi="Tahoma" w:cs="Tahoma"/>
          <w:sz w:val="18"/>
          <w:szCs w:val="18"/>
          <w:rtl/>
        </w:rPr>
        <w:t xml:space="preserve"> (להלן - ממשק תשאול).</w:t>
      </w:r>
      <w:r w:rsidRPr="007F0192">
        <w:rPr>
          <w:rFonts w:ascii="Tahoma" w:hAnsi="Tahoma" w:cs="Tahoma" w:hint="cs"/>
          <w:sz w:val="18"/>
          <w:szCs w:val="18"/>
          <w:rtl/>
        </w:rPr>
        <w:t xml:space="preserve"> </w:t>
      </w:r>
    </w:p>
    <w:p w14:paraId="00740A9A" w14:textId="77777777" w:rsidR="007478B2" w:rsidRPr="007F0192" w:rsidRDefault="007478B2" w:rsidP="00347A82">
      <w:pPr>
        <w:spacing w:line="260" w:lineRule="exact"/>
        <w:ind w:left="-2"/>
        <w:jc w:val="both"/>
        <w:rPr>
          <w:rFonts w:ascii="Tahoma" w:hAnsi="Tahoma" w:cs="Tahoma"/>
          <w:sz w:val="18"/>
          <w:szCs w:val="18"/>
          <w:rtl/>
        </w:rPr>
      </w:pPr>
      <w:r w:rsidRPr="007F0192">
        <w:rPr>
          <w:rFonts w:ascii="Tahoma" w:hAnsi="Tahoma" w:cs="Tahoma" w:hint="cs"/>
          <w:sz w:val="18"/>
          <w:szCs w:val="18"/>
          <w:rtl/>
        </w:rPr>
        <w:t xml:space="preserve">השימוש בממשק תשאול מאפשר את קבלת המידע העדכני והמהימן ביותר מהגורם האמון על שמירתו. כמו כן, ממשק התשאול מייתר שכפול של מאגרים רגישים והחזקתם בכמה משרדים, כאשר </w:t>
      </w:r>
      <w:r w:rsidRPr="007F0192">
        <w:rPr>
          <w:rFonts w:ascii="Tahoma" w:hAnsi="Tahoma" w:cs="Tahoma"/>
          <w:sz w:val="18"/>
          <w:szCs w:val="18"/>
          <w:rtl/>
        </w:rPr>
        <w:t xml:space="preserve">התשאול והעברת המידע בפועל </w:t>
      </w:r>
      <w:r w:rsidRPr="007F0192">
        <w:rPr>
          <w:rFonts w:ascii="Tahoma" w:hAnsi="Tahoma" w:cs="Tahoma" w:hint="cs"/>
          <w:sz w:val="18"/>
          <w:szCs w:val="18"/>
          <w:rtl/>
        </w:rPr>
        <w:t xml:space="preserve">מתבצעים </w:t>
      </w:r>
      <w:r w:rsidRPr="007F0192">
        <w:rPr>
          <w:rFonts w:ascii="Tahoma" w:hAnsi="Tahoma" w:cs="Tahoma"/>
          <w:sz w:val="18"/>
          <w:szCs w:val="18"/>
          <w:rtl/>
        </w:rPr>
        <w:t>בכפוף לבקשת הפונה לקבלת שירות</w:t>
      </w:r>
      <w:r w:rsidRPr="007F0192">
        <w:rPr>
          <w:rFonts w:ascii="Tahoma" w:hAnsi="Tahoma" w:cs="Tahoma" w:hint="cs"/>
          <w:sz w:val="18"/>
          <w:szCs w:val="18"/>
          <w:rtl/>
        </w:rPr>
        <w:t>.</w:t>
      </w:r>
    </w:p>
    <w:p w14:paraId="7EC76D8A" w14:textId="77777777" w:rsidR="007478B2" w:rsidRPr="007F0192" w:rsidRDefault="007478B2" w:rsidP="00347A82">
      <w:pPr>
        <w:spacing w:line="260" w:lineRule="exact"/>
        <w:jc w:val="both"/>
        <w:rPr>
          <w:rFonts w:ascii="Tahoma" w:hAnsi="Tahoma" w:cs="Tahoma"/>
          <w:sz w:val="18"/>
          <w:szCs w:val="18"/>
        </w:rPr>
      </w:pPr>
      <w:r w:rsidRPr="007F0192">
        <w:rPr>
          <w:rFonts w:ascii="Tahoma" w:hAnsi="Tahoma" w:cs="Tahoma" w:hint="cs"/>
          <w:sz w:val="18"/>
          <w:szCs w:val="18"/>
          <w:rtl/>
        </w:rPr>
        <w:t>על פי המכרז, הארכיטקטורה של מערכת שדרת המידע מבוססת על "שער" (</w:t>
      </w:r>
      <w:r w:rsidRPr="007F0192">
        <w:rPr>
          <w:rFonts w:ascii="Tahoma" w:hAnsi="Tahoma" w:cs="Tahoma"/>
          <w:sz w:val="18"/>
          <w:szCs w:val="18"/>
          <w:rtl/>
        </w:rPr>
        <w:t>(</w:t>
      </w:r>
      <w:r w:rsidRPr="007F0192">
        <w:rPr>
          <w:rFonts w:ascii="Tahoma" w:hAnsi="Tahoma" w:cs="Tahoma"/>
          <w:sz w:val="18"/>
          <w:szCs w:val="18"/>
        </w:rPr>
        <w:t>Gateway</w:t>
      </w:r>
      <w:r w:rsidRPr="007F0192">
        <w:rPr>
          <w:rFonts w:ascii="Tahoma" w:hAnsi="Tahoma" w:cs="Tahoma"/>
          <w:sz w:val="18"/>
          <w:szCs w:val="18"/>
          <w:rtl/>
        </w:rPr>
        <w:t xml:space="preserve"> </w:t>
      </w:r>
      <w:r w:rsidRPr="007F0192">
        <w:rPr>
          <w:rFonts w:ascii="Tahoma" w:hAnsi="Tahoma" w:cs="Tahoma" w:hint="cs"/>
          <w:sz w:val="18"/>
          <w:szCs w:val="18"/>
          <w:rtl/>
        </w:rPr>
        <w:t>של ממשקי תשאול (להלן - "</w:t>
      </w:r>
      <w:r w:rsidRPr="007F0192">
        <w:rPr>
          <w:rFonts w:ascii="Tahoma" w:hAnsi="Tahoma" w:cs="Tahoma" w:hint="cs"/>
          <w:sz w:val="18"/>
          <w:szCs w:val="18"/>
        </w:rPr>
        <w:t>API</w:t>
      </w:r>
      <w:r w:rsidRPr="007F0192">
        <w:rPr>
          <w:rFonts w:ascii="Tahoma" w:hAnsi="Tahoma" w:cs="Tahoma"/>
          <w:sz w:val="18"/>
          <w:szCs w:val="18"/>
        </w:rPr>
        <w:t xml:space="preserve"> -</w:t>
      </w:r>
      <w:r w:rsidRPr="007F0192">
        <w:rPr>
          <w:rFonts w:ascii="Tahoma" w:hAnsi="Tahoma" w:cs="Tahoma" w:hint="cs"/>
          <w:sz w:val="18"/>
          <w:szCs w:val="18"/>
        </w:rPr>
        <w:t xml:space="preserve"> GW</w:t>
      </w:r>
      <w:r w:rsidRPr="007F0192">
        <w:rPr>
          <w:rFonts w:ascii="Tahoma" w:hAnsi="Tahoma" w:cs="Tahoma" w:hint="cs"/>
          <w:sz w:val="18"/>
          <w:szCs w:val="18"/>
          <w:rtl/>
        </w:rPr>
        <w:t>")</w:t>
      </w:r>
      <w:r w:rsidRPr="007F0192">
        <w:rPr>
          <w:rStyle w:val="af3"/>
          <w:rFonts w:ascii="Tahoma" w:hAnsi="Tahoma" w:cs="Tahoma"/>
          <w:sz w:val="18"/>
          <w:szCs w:val="18"/>
          <w:rtl/>
        </w:rPr>
        <w:footnoteReference w:id="69"/>
      </w:r>
      <w:r w:rsidRPr="007F0192">
        <w:rPr>
          <w:rFonts w:ascii="Tahoma" w:hAnsi="Tahoma" w:cs="Tahoma" w:hint="cs"/>
          <w:sz w:val="18"/>
          <w:szCs w:val="18"/>
          <w:rtl/>
        </w:rPr>
        <w:t xml:space="preserve"> בין משרדי הממשלה, גופים מוסדיים, גופים עסקיים ואזרחים הזקוקים למידע הממשלתי. באופן זה מחברים את כל הגורמים לרשת הממשלתית, הן </w:t>
      </w:r>
      <w:r w:rsidRPr="007F0192">
        <w:rPr>
          <w:rFonts w:ascii="Tahoma" w:hAnsi="Tahoma" w:cs="Tahoma" w:hint="cs"/>
          <w:sz w:val="18"/>
          <w:szCs w:val="18"/>
          <w:rtl/>
        </w:rPr>
        <w:lastRenderedPageBreak/>
        <w:t>בצד מבקש המידע והן בצד מחזיק המידע, על מנת לאפשר שליפה של נתונים והעברתם בצורה בטוחה. ראו פרטים בתרשים 18 להלן.</w:t>
      </w:r>
    </w:p>
    <w:p w14:paraId="43C23ECB" w14:textId="77777777" w:rsidR="007478B2"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t xml:space="preserve">תרשים 18: </w:t>
      </w:r>
      <w:r w:rsidRPr="007F0192">
        <w:rPr>
          <w:rFonts w:ascii="Tahoma" w:hAnsi="Tahoma" w:cs="Tahoma" w:hint="cs"/>
          <w:b/>
          <w:bCs/>
          <w:color w:val="0D0D0D" w:themeColor="text1" w:themeTint="F2"/>
          <w:sz w:val="18"/>
          <w:szCs w:val="18"/>
          <w:rtl/>
        </w:rPr>
        <w:t>ארכיטקטורת מערכת שדרת המידע</w:t>
      </w:r>
    </w:p>
    <w:p w14:paraId="0DEFDA46" w14:textId="1AE08264" w:rsidR="007478B2" w:rsidRPr="007F0192" w:rsidRDefault="003F4BA9" w:rsidP="00347A82">
      <w:pPr>
        <w:spacing w:line="240" w:lineRule="atLeast"/>
        <w:jc w:val="both"/>
        <w:rPr>
          <w:rFonts w:ascii="Tahoma" w:hAnsi="Tahoma" w:cs="Tahoma"/>
          <w:sz w:val="18"/>
          <w:szCs w:val="18"/>
          <w:rtl/>
        </w:rPr>
      </w:pPr>
      <w:r>
        <w:rPr>
          <w:rFonts w:ascii="Tahoma" w:hAnsi="Tahoma" w:cs="Tahoma"/>
          <w:noProof/>
          <w:sz w:val="18"/>
          <w:szCs w:val="18"/>
          <w:rtl/>
          <w:lang w:val="he-IL"/>
        </w:rPr>
        <w:drawing>
          <wp:inline distT="0" distB="0" distL="0" distR="0" wp14:anchorId="31F6E9E1" wp14:editId="4601FD84">
            <wp:extent cx="4679950" cy="2778760"/>
            <wp:effectExtent l="0" t="0" r="6350" b="2540"/>
            <wp:docPr id="24" name="Picture 2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with medium confidence"/>
                    <pic:cNvPicPr/>
                  </pic:nvPicPr>
                  <pic:blipFill>
                    <a:blip r:embed="rId50">
                      <a:extLst>
                        <a:ext uri="{28A0092B-C50C-407E-A947-70E740481C1C}">
                          <a14:useLocalDpi xmlns:a14="http://schemas.microsoft.com/office/drawing/2010/main" val="0"/>
                        </a:ext>
                      </a:extLst>
                    </a:blip>
                    <a:stretch>
                      <a:fillRect/>
                    </a:stretch>
                  </pic:blipFill>
                  <pic:spPr>
                    <a:xfrm>
                      <a:off x="0" y="0"/>
                      <a:ext cx="4679950" cy="2778760"/>
                    </a:xfrm>
                    <a:prstGeom prst="rect">
                      <a:avLst/>
                    </a:prstGeom>
                  </pic:spPr>
                </pic:pic>
              </a:graphicData>
            </a:graphic>
          </wp:inline>
        </w:drawing>
      </w:r>
    </w:p>
    <w:p w14:paraId="459571D1" w14:textId="77777777" w:rsidR="007478B2" w:rsidRPr="004315DC" w:rsidRDefault="007478B2" w:rsidP="00E12A59">
      <w:pPr>
        <w:tabs>
          <w:tab w:val="left" w:pos="424"/>
        </w:tabs>
        <w:spacing w:after="240" w:line="260" w:lineRule="exact"/>
        <w:jc w:val="both"/>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המקור: המכרז למערכת שדרת המידע, אוגוסט 2017.</w:t>
      </w:r>
    </w:p>
    <w:p w14:paraId="113C3638"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בתוכנית צוין כי השימוש בפתרונות רוחביים לצורך יישום מרוכז של העברות המידע, באמצעות שדרת המידע הממשלתית, מאפשר להטמיע סטנדרטים</w:t>
      </w:r>
      <w:r w:rsidRPr="007F0192">
        <w:rPr>
          <w:rFonts w:ascii="Tahoma" w:hAnsi="Tahoma" w:cs="Tahoma" w:hint="cs"/>
          <w:b/>
          <w:bCs/>
          <w:sz w:val="18"/>
          <w:szCs w:val="18"/>
          <w:rtl/>
        </w:rPr>
        <w:t xml:space="preserve"> </w:t>
      </w:r>
      <w:r w:rsidRPr="007F0192">
        <w:rPr>
          <w:rFonts w:ascii="Tahoma" w:hAnsi="Tahoma" w:cs="Tahoma" w:hint="cs"/>
          <w:sz w:val="18"/>
          <w:szCs w:val="18"/>
          <w:rtl/>
        </w:rPr>
        <w:t xml:space="preserve">לניהול המידע, וליישם מודל נתונים אחיד, הנדרש נוכח הצורך לחבר ולסנכרן מערכות תפעוליות שונות וכן להצליב מידע בין מאגרים, מערכות ומשרדים שונים. </w:t>
      </w:r>
    </w:p>
    <w:p w14:paraId="4DF8CD46" w14:textId="77777777" w:rsidR="007478B2" w:rsidRPr="007F0192" w:rsidRDefault="007478B2" w:rsidP="00347A82">
      <w:pPr>
        <w:spacing w:line="260" w:lineRule="exact"/>
        <w:jc w:val="both"/>
        <w:rPr>
          <w:rFonts w:ascii="Tahoma" w:hAnsi="Tahoma" w:cs="Tahoma"/>
          <w:sz w:val="18"/>
          <w:szCs w:val="18"/>
          <w:rtl/>
        </w:rPr>
      </w:pPr>
      <w:r w:rsidRPr="007F0192" w:rsidDel="002C6AE4">
        <w:rPr>
          <w:rFonts w:ascii="Tahoma" w:hAnsi="Tahoma" w:cs="Tahoma" w:hint="cs"/>
          <w:sz w:val="18"/>
          <w:szCs w:val="18"/>
          <w:rtl/>
        </w:rPr>
        <w:t xml:space="preserve">כמו כן, יישום מרוכז מאפשר לכל משרד להתמקד ביצירת ממשק למידע שהוא מחזיק, ולקבל בתמורה גישה לממשקים שפיתחו משרדים אחרים. כך ניתן לחסוך משאבי פיתוח למשרדים עצמם ולקצר את טווח הזמן להקמת התשתית הנדרשת לצורך עמידה ביעדי החלטת הממשלה. </w:t>
      </w:r>
      <w:r w:rsidRPr="007F0192">
        <w:rPr>
          <w:rFonts w:ascii="Tahoma" w:hAnsi="Tahoma" w:cs="Tahoma" w:hint="cs"/>
          <w:sz w:val="18"/>
          <w:szCs w:val="18"/>
          <w:rtl/>
        </w:rPr>
        <w:t xml:space="preserve">לדוגמה, תרשים 19 להלן מציג תרחיש "אירוע חיים" - לידה, שנועד להמחיש שיתוף מידע בין משרדים באמצעות שדרת המידע. </w:t>
      </w:r>
    </w:p>
    <w:p w14:paraId="5CE7C27B" w14:textId="77777777" w:rsidR="007478B2"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lastRenderedPageBreak/>
        <w:t xml:space="preserve">תרשים 19: </w:t>
      </w:r>
      <w:r w:rsidRPr="007F0192">
        <w:rPr>
          <w:rFonts w:ascii="Tahoma" w:hAnsi="Tahoma" w:cs="Tahoma" w:hint="cs"/>
          <w:b/>
          <w:bCs/>
          <w:color w:val="0D0D0D" w:themeColor="text1" w:themeTint="F2"/>
          <w:sz w:val="18"/>
          <w:szCs w:val="18"/>
          <w:rtl/>
        </w:rPr>
        <w:t>שיתוף מידע באמצעות מערכת שדרת המידע בתרחיש אירוע חיים - לידה*</w:t>
      </w:r>
    </w:p>
    <w:p w14:paraId="421CD089" w14:textId="6FF6440C" w:rsidR="007478B2" w:rsidRPr="007F0192" w:rsidRDefault="004315DC" w:rsidP="004315DC">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559D6968" wp14:editId="61938403">
            <wp:extent cx="4322064" cy="3675888"/>
            <wp:effectExtent l="0" t="0" r="2540" b="1270"/>
            <wp:docPr id="35" name="Picture 35"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22064" cy="3675888"/>
                    </a:xfrm>
                    <a:prstGeom prst="rect">
                      <a:avLst/>
                    </a:prstGeom>
                  </pic:spPr>
                </pic:pic>
              </a:graphicData>
            </a:graphic>
          </wp:inline>
        </w:drawing>
      </w:r>
    </w:p>
    <w:p w14:paraId="6678E82A" w14:textId="77777777" w:rsidR="007478B2" w:rsidRPr="004315DC" w:rsidRDefault="007478B2" w:rsidP="004315DC">
      <w:pPr>
        <w:tabs>
          <w:tab w:val="left" w:pos="424"/>
        </w:tabs>
        <w:spacing w:before="120" w:after="0" w:line="260" w:lineRule="exact"/>
        <w:jc w:val="both"/>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המקור: רשות התקשוב הממשלתי, בעיבוד משרד מבקר המדינה</w:t>
      </w:r>
    </w:p>
    <w:p w14:paraId="476F8FA3" w14:textId="4518DFB9" w:rsidR="007478B2" w:rsidRPr="004315DC" w:rsidRDefault="007478B2" w:rsidP="004315DC">
      <w:pPr>
        <w:tabs>
          <w:tab w:val="left" w:pos="424"/>
        </w:tabs>
        <w:spacing w:after="240" w:line="260" w:lineRule="exact"/>
        <w:ind w:left="397" w:hanging="397"/>
        <w:jc w:val="both"/>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 xml:space="preserve">* </w:t>
      </w:r>
      <w:r w:rsidR="004315DC">
        <w:rPr>
          <w:rFonts w:ascii="Tahoma" w:hAnsi="Tahoma" w:cs="Tahoma"/>
          <w:color w:val="0D0D0D" w:themeColor="text1" w:themeTint="F2"/>
          <w:sz w:val="16"/>
          <w:szCs w:val="16"/>
          <w:rtl/>
        </w:rPr>
        <w:tab/>
      </w:r>
      <w:r w:rsidRPr="004315DC">
        <w:rPr>
          <w:rFonts w:ascii="Tahoma" w:hAnsi="Tahoma" w:cs="Tahoma" w:hint="cs"/>
          <w:color w:val="0D0D0D" w:themeColor="text1" w:themeTint="F2"/>
          <w:sz w:val="16"/>
          <w:szCs w:val="16"/>
          <w:rtl/>
        </w:rPr>
        <w:t>רשות התקשוב ציינה בתשובתה כי התרחיש נועד להמחשה בלבד והוא אינו מייצג תהליך עסקי סגור ומלא לצורך מימוש בשדרת המידע, לרבות אופן הפעולה והצדדים האחראים לבצע עדכון של המידע מול המשרדים.</w:t>
      </w:r>
    </w:p>
    <w:p w14:paraId="1DE64E23" w14:textId="77777777" w:rsidR="007478B2" w:rsidRPr="007F0192" w:rsidRDefault="007478B2" w:rsidP="00347A82">
      <w:pPr>
        <w:spacing w:line="260" w:lineRule="exact"/>
        <w:ind w:left="-2"/>
        <w:jc w:val="both"/>
        <w:rPr>
          <w:rFonts w:ascii="Tahoma" w:hAnsi="Tahoma" w:cs="Tahoma"/>
          <w:sz w:val="18"/>
          <w:szCs w:val="18"/>
          <w:rtl/>
        </w:rPr>
      </w:pPr>
      <w:r w:rsidRPr="007F0192">
        <w:rPr>
          <w:rFonts w:ascii="Tahoma" w:hAnsi="Tahoma" w:cs="Tahoma" w:hint="cs"/>
          <w:sz w:val="18"/>
          <w:szCs w:val="18"/>
          <w:rtl/>
        </w:rPr>
        <w:t xml:space="preserve">על פי התרחיש, המידע על הלידה מתעדכן במערכת המידע של בית החולים, והיא מעדכנת באמצעות ממשקי שדרת המידע את הגופים הרלוונטיים לצורך מימוש הזכויות, כגון: רישום לקופת חולים, קבלת נקודות זכות, קבלת מענק לידה ודמי לידה ורישום במרשם האוכלוסין. </w:t>
      </w:r>
      <w:r w:rsidRPr="007F0192">
        <w:rPr>
          <w:rFonts w:ascii="Tahoma" w:hAnsi="Tahoma" w:cs="Tahoma" w:hint="eastAsia"/>
          <w:sz w:val="18"/>
          <w:szCs w:val="18"/>
          <w:rtl/>
        </w:rPr>
        <w:t>רשות</w:t>
      </w:r>
      <w:r w:rsidRPr="007F0192">
        <w:rPr>
          <w:rFonts w:ascii="Tahoma" w:hAnsi="Tahoma" w:cs="Tahoma"/>
          <w:sz w:val="18"/>
          <w:szCs w:val="18"/>
          <w:rtl/>
        </w:rPr>
        <w:t xml:space="preserve"> </w:t>
      </w:r>
      <w:r w:rsidRPr="007F0192">
        <w:rPr>
          <w:rFonts w:ascii="Tahoma" w:hAnsi="Tahoma" w:cs="Tahoma" w:hint="eastAsia"/>
          <w:sz w:val="18"/>
          <w:szCs w:val="18"/>
          <w:rtl/>
        </w:rPr>
        <w:t>התקשוב</w:t>
      </w:r>
      <w:r w:rsidRPr="007F0192">
        <w:rPr>
          <w:rFonts w:ascii="Tahoma" w:hAnsi="Tahoma" w:cs="Tahoma"/>
          <w:sz w:val="18"/>
          <w:szCs w:val="18"/>
          <w:rtl/>
        </w:rPr>
        <w:t xml:space="preserve"> </w:t>
      </w:r>
      <w:r w:rsidRPr="007F0192">
        <w:rPr>
          <w:rFonts w:ascii="Tahoma" w:hAnsi="Tahoma" w:cs="Tahoma" w:hint="eastAsia"/>
          <w:sz w:val="18"/>
          <w:szCs w:val="18"/>
          <w:rtl/>
        </w:rPr>
        <w:t>מסרה</w:t>
      </w:r>
      <w:r w:rsidRPr="007F0192">
        <w:rPr>
          <w:rFonts w:ascii="Tahoma" w:hAnsi="Tahoma" w:cs="Tahoma"/>
          <w:sz w:val="18"/>
          <w:szCs w:val="18"/>
          <w:rtl/>
        </w:rPr>
        <w:t xml:space="preserve"> </w:t>
      </w:r>
      <w:r w:rsidRPr="007F0192">
        <w:rPr>
          <w:rFonts w:ascii="Tahoma" w:hAnsi="Tahoma" w:cs="Tahoma" w:hint="eastAsia"/>
          <w:sz w:val="18"/>
          <w:szCs w:val="18"/>
          <w:rtl/>
        </w:rPr>
        <w:t>למשרד</w:t>
      </w:r>
      <w:r w:rsidRPr="007F0192">
        <w:rPr>
          <w:rFonts w:ascii="Tahoma" w:hAnsi="Tahoma" w:cs="Tahoma"/>
          <w:sz w:val="18"/>
          <w:szCs w:val="18"/>
          <w:rtl/>
        </w:rPr>
        <w:t xml:space="preserve"> </w:t>
      </w:r>
      <w:r w:rsidRPr="007F0192">
        <w:rPr>
          <w:rFonts w:ascii="Tahoma" w:hAnsi="Tahoma" w:cs="Tahoma" w:hint="eastAsia"/>
          <w:sz w:val="18"/>
          <w:szCs w:val="18"/>
          <w:rtl/>
        </w:rPr>
        <w:t>מבקר</w:t>
      </w:r>
      <w:r w:rsidRPr="007F0192">
        <w:rPr>
          <w:rFonts w:ascii="Tahoma" w:hAnsi="Tahoma" w:cs="Tahoma"/>
          <w:sz w:val="18"/>
          <w:szCs w:val="18"/>
          <w:rtl/>
        </w:rPr>
        <w:t xml:space="preserve"> </w:t>
      </w:r>
      <w:r w:rsidRPr="007F0192">
        <w:rPr>
          <w:rFonts w:ascii="Tahoma" w:hAnsi="Tahoma" w:cs="Tahoma" w:hint="eastAsia"/>
          <w:sz w:val="18"/>
          <w:szCs w:val="18"/>
          <w:rtl/>
        </w:rPr>
        <w:t>המדינה</w:t>
      </w:r>
      <w:r w:rsidRPr="007F0192">
        <w:rPr>
          <w:rFonts w:ascii="Tahoma" w:hAnsi="Tahoma" w:cs="Tahoma"/>
          <w:sz w:val="18"/>
          <w:szCs w:val="18"/>
          <w:rtl/>
        </w:rPr>
        <w:t xml:space="preserve"> </w:t>
      </w:r>
      <w:r w:rsidRPr="007F0192">
        <w:rPr>
          <w:rFonts w:ascii="Tahoma" w:hAnsi="Tahoma" w:cs="Tahoma" w:hint="eastAsia"/>
          <w:sz w:val="18"/>
          <w:szCs w:val="18"/>
          <w:rtl/>
        </w:rPr>
        <w:t>באוקטובר</w:t>
      </w:r>
      <w:r w:rsidRPr="007F0192">
        <w:rPr>
          <w:rFonts w:ascii="Tahoma" w:hAnsi="Tahoma" w:cs="Tahoma"/>
          <w:sz w:val="18"/>
          <w:szCs w:val="18"/>
          <w:rtl/>
        </w:rPr>
        <w:t xml:space="preserve"> 2020 </w:t>
      </w:r>
      <w:r w:rsidRPr="007F0192">
        <w:rPr>
          <w:rFonts w:ascii="Tahoma" w:hAnsi="Tahoma" w:cs="Tahoma" w:hint="eastAsia"/>
          <w:sz w:val="18"/>
          <w:szCs w:val="18"/>
          <w:rtl/>
        </w:rPr>
        <w:t>כי</w:t>
      </w:r>
      <w:r w:rsidRPr="007F0192">
        <w:rPr>
          <w:rFonts w:ascii="Tahoma" w:hAnsi="Tahoma" w:cs="Tahoma" w:hint="cs"/>
          <w:sz w:val="18"/>
          <w:szCs w:val="18"/>
          <w:rtl/>
        </w:rPr>
        <w:t xml:space="preserve"> תרחישים מסוג זה עבור אירועי חיים, כגון לידה, פטירה ומעבר דירה, ימומשו במסגרת יישום ההחלטה משנת 2020. ראו פרטים:</w:t>
      </w:r>
    </w:p>
    <w:p w14:paraId="27505A1A" w14:textId="77777777" w:rsidR="007478B2" w:rsidRPr="007F0192" w:rsidRDefault="007478B2" w:rsidP="00347A82">
      <w:pPr>
        <w:spacing w:line="260" w:lineRule="exact"/>
        <w:jc w:val="both"/>
        <w:rPr>
          <w:rFonts w:ascii="Tahoma" w:hAnsi="Tahoma" w:cs="Tahoma"/>
          <w:sz w:val="18"/>
          <w:szCs w:val="18"/>
          <w:rtl/>
        </w:rPr>
      </w:pPr>
    </w:p>
    <w:p w14:paraId="509D5290" w14:textId="77777777" w:rsidR="007478B2" w:rsidRDefault="007478B2" w:rsidP="007478B2">
      <w:pPr>
        <w:pStyle w:val="KOT5N"/>
        <w:rPr>
          <w:rtl/>
        </w:rPr>
      </w:pPr>
      <w:r>
        <w:rPr>
          <w:rFonts w:hint="cs"/>
          <w:rtl/>
        </w:rPr>
        <w:t>מערכת שדרת המידע בהחלטה משנת 2020</w:t>
      </w:r>
    </w:p>
    <w:p w14:paraId="3E754437"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בהחלטת הממשלה משנת 2020 נקבע כאמור כי לצורכי מימוש מדיניות פעם אחת, גופים ציבוריים, לרבות רשויות מקומיות, יוכלו לנהל את כל הטפסים שלהם על גבי תשתיות ממשל זמין, באופן ששדות המידע בטופס, המבוססים על מידע או על אישור לגבי אדם, ימולאו באופן </w:t>
      </w:r>
      <w:r w:rsidRPr="007F0192">
        <w:rPr>
          <w:rFonts w:ascii="Tahoma" w:hAnsi="Tahoma" w:cs="Tahoma" w:hint="cs"/>
          <w:sz w:val="18"/>
          <w:szCs w:val="18"/>
          <w:rtl/>
        </w:rPr>
        <w:lastRenderedPageBreak/>
        <w:t>אוטומטי עם פתיחת הטופס על ידי האזרח בשירות הטפסים או באזור האישי</w:t>
      </w:r>
      <w:r w:rsidRPr="007F0192">
        <w:rPr>
          <w:rStyle w:val="af3"/>
          <w:rFonts w:ascii="Tahoma" w:hAnsi="Tahoma" w:cs="Tahoma"/>
          <w:sz w:val="18"/>
          <w:szCs w:val="18"/>
          <w:rtl/>
        </w:rPr>
        <w:footnoteReference w:id="70"/>
      </w:r>
      <w:r w:rsidRPr="007F0192">
        <w:rPr>
          <w:rFonts w:ascii="Tahoma" w:hAnsi="Tahoma" w:cs="Tahoma" w:hint="cs"/>
          <w:sz w:val="18"/>
          <w:szCs w:val="18"/>
          <w:rtl/>
        </w:rPr>
        <w:t>. זאת באמצעות הצגת המידע מהמשרד בעל המידע בשדות הטופס (להלן - "החצנה" של מידע</w:t>
      </w:r>
      <w:r w:rsidRPr="007F0192">
        <w:rPr>
          <w:rStyle w:val="af3"/>
          <w:rFonts w:ascii="Tahoma" w:hAnsi="Tahoma" w:cs="Tahoma"/>
          <w:sz w:val="18"/>
          <w:szCs w:val="18"/>
          <w:rtl/>
        </w:rPr>
        <w:footnoteReference w:id="71"/>
      </w:r>
      <w:r w:rsidRPr="007F0192">
        <w:rPr>
          <w:rFonts w:ascii="Tahoma" w:hAnsi="Tahoma" w:cs="Tahoma" w:hint="cs"/>
          <w:sz w:val="18"/>
          <w:szCs w:val="18"/>
          <w:rtl/>
        </w:rPr>
        <w:t>). באופן זה תיושם מדיניות פעם אחת וייחסך מהאזרח הצורך בהשלמת פרטים ובאיתור מסמכים שהונפקו בעניינו.</w:t>
      </w:r>
    </w:p>
    <w:p w14:paraId="33C6CD05"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בתכנית הוסבר כי על פי תקנות הגנת הפרטיות, העברת מידע פרטי בין משרדי ממשלה מותנית באישור</w:t>
      </w:r>
      <w:r w:rsidRPr="007F0192">
        <w:rPr>
          <w:rFonts w:ascii="Tahoma" w:hAnsi="Tahoma" w:cs="Tahoma" w:hint="cs"/>
          <w:b/>
          <w:bCs/>
          <w:sz w:val="18"/>
          <w:szCs w:val="18"/>
          <w:rtl/>
        </w:rPr>
        <w:t xml:space="preserve"> </w:t>
      </w:r>
      <w:r w:rsidRPr="007F0192">
        <w:rPr>
          <w:rFonts w:ascii="Tahoma" w:hAnsi="Tahoma" w:cs="Tahoma" w:hint="cs"/>
          <w:sz w:val="18"/>
          <w:szCs w:val="18"/>
          <w:rtl/>
        </w:rPr>
        <w:t xml:space="preserve">הוועדה להעברת מידע, למעט במקרים חריגים המפורטים בדין. משמע שמשרדי הממשלה המבקשים להקים ממשק לקבלת מידע יידרשו לבצע הליך של בקשה להעברת מידע לגבי כל פריט מידע, הנדרש לכל שירות בנפרד. עקב כך הצורך באישור הבקשה להעברת המידע גורם לעיכוב ביכולתם של המשרדים ליישם העברת מידע בשירותים דיגיטליים. </w:t>
      </w:r>
    </w:p>
    <w:p w14:paraId="6CB406E4"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עם זאת, </w:t>
      </w:r>
      <w:r w:rsidRPr="007F0192">
        <w:rPr>
          <w:rFonts w:ascii="Tahoma" w:hAnsi="Tahoma" w:cs="Tahoma"/>
          <w:sz w:val="18"/>
          <w:szCs w:val="18"/>
          <w:rtl/>
        </w:rPr>
        <w:t xml:space="preserve">במקרה של </w:t>
      </w:r>
      <w:r w:rsidRPr="007F0192">
        <w:rPr>
          <w:rFonts w:ascii="Tahoma" w:hAnsi="Tahoma" w:cs="Tahoma" w:hint="cs"/>
          <w:sz w:val="18"/>
          <w:szCs w:val="18"/>
          <w:rtl/>
        </w:rPr>
        <w:t>שירות</w:t>
      </w:r>
      <w:r w:rsidRPr="007F0192">
        <w:rPr>
          <w:rFonts w:ascii="Tahoma" w:hAnsi="Tahoma" w:cs="Tahoma"/>
          <w:sz w:val="18"/>
          <w:szCs w:val="18"/>
          <w:rtl/>
        </w:rPr>
        <w:t xml:space="preserve"> המנוהל ב</w:t>
      </w:r>
      <w:r w:rsidRPr="007F0192">
        <w:rPr>
          <w:rFonts w:ascii="Tahoma" w:hAnsi="Tahoma" w:cs="Tahoma" w:hint="cs"/>
          <w:sz w:val="18"/>
          <w:szCs w:val="18"/>
          <w:rtl/>
        </w:rPr>
        <w:t>תשתיות</w:t>
      </w:r>
      <w:r w:rsidRPr="007F0192">
        <w:rPr>
          <w:rFonts w:ascii="Tahoma" w:hAnsi="Tahoma" w:cs="Tahoma"/>
          <w:sz w:val="18"/>
          <w:szCs w:val="18"/>
          <w:rtl/>
        </w:rPr>
        <w:t xml:space="preserve"> </w:t>
      </w:r>
      <w:r w:rsidRPr="007F0192">
        <w:rPr>
          <w:rFonts w:ascii="Tahoma" w:hAnsi="Tahoma" w:cs="Tahoma" w:hint="cs"/>
          <w:sz w:val="18"/>
          <w:szCs w:val="18"/>
          <w:rtl/>
        </w:rPr>
        <w:t xml:space="preserve">יחידת </w:t>
      </w:r>
      <w:r w:rsidRPr="007F0192">
        <w:rPr>
          <w:rFonts w:ascii="Tahoma" w:hAnsi="Tahoma" w:cs="Tahoma"/>
          <w:sz w:val="18"/>
          <w:szCs w:val="18"/>
          <w:rtl/>
        </w:rPr>
        <w:t xml:space="preserve">ממשל זמין, ניתן לפתח ממשקים עם המשרדים הרלוונטיים לצורך הזנה אוטומטית של שדות הטופס שהמידע </w:t>
      </w:r>
      <w:r w:rsidRPr="007F0192">
        <w:rPr>
          <w:rFonts w:ascii="Tahoma" w:hAnsi="Tahoma" w:cs="Tahoma" w:hint="cs"/>
          <w:sz w:val="18"/>
          <w:szCs w:val="18"/>
          <w:rtl/>
        </w:rPr>
        <w:t>עליהם נמצא</w:t>
      </w:r>
      <w:r w:rsidRPr="007F0192">
        <w:rPr>
          <w:rFonts w:ascii="Tahoma" w:hAnsi="Tahoma" w:cs="Tahoma"/>
          <w:sz w:val="18"/>
          <w:szCs w:val="18"/>
          <w:rtl/>
        </w:rPr>
        <w:t xml:space="preserve"> במשרדים אחרים</w:t>
      </w:r>
      <w:r w:rsidRPr="007F0192">
        <w:rPr>
          <w:rFonts w:ascii="Tahoma" w:hAnsi="Tahoma" w:cs="Tahoma" w:hint="cs"/>
          <w:sz w:val="18"/>
          <w:szCs w:val="18"/>
          <w:rtl/>
        </w:rPr>
        <w:t>,</w:t>
      </w:r>
      <w:r w:rsidRPr="007F0192">
        <w:rPr>
          <w:rFonts w:ascii="Tahoma" w:hAnsi="Tahoma" w:cs="Tahoma"/>
          <w:sz w:val="18"/>
          <w:szCs w:val="18"/>
          <w:rtl/>
        </w:rPr>
        <w:t xml:space="preserve"> ללא צורך באישור הו</w:t>
      </w:r>
      <w:r w:rsidRPr="007F0192">
        <w:rPr>
          <w:rFonts w:ascii="Tahoma" w:hAnsi="Tahoma" w:cs="Tahoma" w:hint="cs"/>
          <w:sz w:val="18"/>
          <w:szCs w:val="18"/>
          <w:rtl/>
        </w:rPr>
        <w:t>ו</w:t>
      </w:r>
      <w:r w:rsidRPr="007F0192">
        <w:rPr>
          <w:rFonts w:ascii="Tahoma" w:hAnsi="Tahoma" w:cs="Tahoma"/>
          <w:sz w:val="18"/>
          <w:szCs w:val="18"/>
          <w:rtl/>
        </w:rPr>
        <w:t>עדות להעברת מידע</w:t>
      </w:r>
      <w:r w:rsidRPr="007F0192">
        <w:rPr>
          <w:rStyle w:val="af3"/>
          <w:rFonts w:ascii="Tahoma" w:hAnsi="Tahoma" w:cs="Tahoma"/>
          <w:sz w:val="18"/>
          <w:szCs w:val="18"/>
          <w:rtl/>
        </w:rPr>
        <w:footnoteReference w:id="72"/>
      </w:r>
      <w:r w:rsidRPr="007F0192">
        <w:rPr>
          <w:rFonts w:ascii="Tahoma" w:hAnsi="Tahoma" w:cs="Tahoma"/>
          <w:sz w:val="18"/>
          <w:szCs w:val="18"/>
          <w:rtl/>
        </w:rPr>
        <w:t xml:space="preserve">, ובלבד שעד </w:t>
      </w:r>
      <w:r w:rsidRPr="007F0192">
        <w:rPr>
          <w:rFonts w:ascii="Tahoma" w:hAnsi="Tahoma" w:cs="Tahoma" w:hint="cs"/>
          <w:sz w:val="18"/>
          <w:szCs w:val="18"/>
          <w:rtl/>
        </w:rPr>
        <w:t xml:space="preserve">שישלח </w:t>
      </w:r>
      <w:r w:rsidRPr="007F0192">
        <w:rPr>
          <w:rFonts w:ascii="Tahoma" w:hAnsi="Tahoma" w:cs="Tahoma"/>
          <w:sz w:val="18"/>
          <w:szCs w:val="18"/>
          <w:rtl/>
        </w:rPr>
        <w:t>האזרח</w:t>
      </w:r>
      <w:r w:rsidRPr="007F0192">
        <w:rPr>
          <w:rFonts w:ascii="Tahoma" w:hAnsi="Tahoma" w:cs="Tahoma" w:hint="cs"/>
          <w:sz w:val="18"/>
          <w:szCs w:val="18"/>
          <w:rtl/>
        </w:rPr>
        <w:t xml:space="preserve"> את הטופס</w:t>
      </w:r>
      <w:r w:rsidRPr="007F0192">
        <w:rPr>
          <w:rFonts w:ascii="Tahoma" w:hAnsi="Tahoma" w:cs="Tahoma"/>
          <w:sz w:val="18"/>
          <w:szCs w:val="18"/>
          <w:rtl/>
        </w:rPr>
        <w:t xml:space="preserve"> לא </w:t>
      </w:r>
      <w:r w:rsidRPr="007F0192">
        <w:rPr>
          <w:rFonts w:ascii="Tahoma" w:hAnsi="Tahoma" w:cs="Tahoma" w:hint="cs"/>
          <w:sz w:val="18"/>
          <w:szCs w:val="18"/>
          <w:rtl/>
        </w:rPr>
        <w:t>תתבצע</w:t>
      </w:r>
      <w:r w:rsidRPr="007F0192">
        <w:rPr>
          <w:rFonts w:ascii="Tahoma" w:hAnsi="Tahoma" w:cs="Tahoma"/>
          <w:sz w:val="18"/>
          <w:szCs w:val="18"/>
          <w:rtl/>
        </w:rPr>
        <w:t xml:space="preserve"> העברה בפועל של מידע </w:t>
      </w:r>
      <w:r w:rsidRPr="007F0192">
        <w:rPr>
          <w:rFonts w:ascii="Tahoma" w:hAnsi="Tahoma" w:cs="Tahoma" w:hint="cs"/>
          <w:sz w:val="18"/>
          <w:szCs w:val="18"/>
          <w:rtl/>
        </w:rPr>
        <w:t>הנמצא</w:t>
      </w:r>
      <w:r w:rsidRPr="007F0192">
        <w:rPr>
          <w:rFonts w:ascii="Tahoma" w:hAnsi="Tahoma" w:cs="Tahoma"/>
          <w:sz w:val="18"/>
          <w:szCs w:val="18"/>
          <w:rtl/>
        </w:rPr>
        <w:t xml:space="preserve"> במשרד מסוים למשרד אחר. </w:t>
      </w:r>
    </w:p>
    <w:p w14:paraId="51793D02"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בהחלטה משנת 2020 נקבע להטיל על 13 משרדים וגופים ציבוריים להחצין תחומי מידע שבאחריותם, באמצעות מערכת שדרת המידע, על פי מודל נתונים אחיד, עד אפריל 2021. כך למשל, רשות האוכלוסין נדרשה להחצין את נתוני מרשם האוכלוסין ואת נתוני הכניסות והיציאות מהארץ, ומשרד התחבורה נדרש להחצין נתונים על מרשם כלי רכב, רישיונות נהיגה, זכאות לתו נכה ועבר תעבורתי. </w:t>
      </w:r>
    </w:p>
    <w:p w14:paraId="33264A06" w14:textId="77777777" w:rsidR="007478B2" w:rsidRPr="007F0192" w:rsidRDefault="007478B2" w:rsidP="00347A82">
      <w:pPr>
        <w:spacing w:line="260" w:lineRule="exact"/>
        <w:jc w:val="both"/>
        <w:rPr>
          <w:rFonts w:ascii="Tahoma" w:hAnsi="Tahoma" w:cs="Tahoma"/>
          <w:sz w:val="18"/>
          <w:szCs w:val="18"/>
        </w:rPr>
      </w:pPr>
      <w:r w:rsidRPr="007F0192">
        <w:rPr>
          <w:rFonts w:ascii="Tahoma" w:hAnsi="Tahoma" w:cs="Tahoma" w:hint="cs"/>
          <w:sz w:val="18"/>
          <w:szCs w:val="18"/>
          <w:rtl/>
        </w:rPr>
        <w:t xml:space="preserve">תרשים 20 להלן ממחיש את הפוטנציאל בהחצנה של מידע באמצעות ממשקי שדרת המידע, בתהליך השירות "העברת בעלות על כלי רכב" באזור האישי הממשלתי (ממשק זה עדיין לא מומש בשדרת המידע). </w:t>
      </w:r>
    </w:p>
    <w:p w14:paraId="5A182EFE" w14:textId="77777777" w:rsidR="00E12A59"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lastRenderedPageBreak/>
        <w:t xml:space="preserve">תרשים 20: </w:t>
      </w:r>
      <w:r w:rsidRPr="007F0192">
        <w:rPr>
          <w:rFonts w:ascii="Tahoma" w:hAnsi="Tahoma" w:cs="Tahoma" w:hint="cs"/>
          <w:b/>
          <w:bCs/>
          <w:color w:val="0D0D0D" w:themeColor="text1" w:themeTint="F2"/>
          <w:sz w:val="18"/>
          <w:szCs w:val="18"/>
          <w:rtl/>
        </w:rPr>
        <w:t>פוטנציאל העברת מידע באמצעות שדרת המידע בשירות "העברת בעלות על כלי רכב"*</w:t>
      </w:r>
      <w:r w:rsidRPr="007F0192">
        <w:rPr>
          <w:rFonts w:ascii="Tahoma" w:hAnsi="Tahoma" w:cs="Tahoma"/>
          <w:b/>
          <w:bCs/>
          <w:color w:val="0D0D0D" w:themeColor="text1" w:themeTint="F2"/>
          <w:sz w:val="18"/>
          <w:szCs w:val="18"/>
          <w:rtl/>
        </w:rPr>
        <w:t xml:space="preserve"> </w:t>
      </w:r>
    </w:p>
    <w:p w14:paraId="5EF288EB" w14:textId="210FC626" w:rsidR="007478B2" w:rsidRPr="007F0192" w:rsidRDefault="009419BB" w:rsidP="00347A82">
      <w:pPr>
        <w:spacing w:line="240" w:lineRule="atLeast"/>
        <w:jc w:val="both"/>
        <w:rPr>
          <w:rFonts w:ascii="Tahoma" w:hAnsi="Tahoma" w:cs="Tahoma"/>
          <w:sz w:val="18"/>
          <w:szCs w:val="18"/>
          <w:rtl/>
        </w:rPr>
      </w:pPr>
      <w:r>
        <w:rPr>
          <w:rFonts w:ascii="Tahoma" w:hAnsi="Tahoma" w:cs="Tahoma"/>
          <w:noProof/>
          <w:sz w:val="18"/>
          <w:szCs w:val="18"/>
          <w:rtl/>
          <w:lang w:val="he-IL"/>
        </w:rPr>
        <w:drawing>
          <wp:inline distT="0" distB="0" distL="0" distR="0" wp14:anchorId="75315719" wp14:editId="69825F4E">
            <wp:extent cx="4322064" cy="3977640"/>
            <wp:effectExtent l="0" t="0" r="2540" b="381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322064" cy="3977640"/>
                    </a:xfrm>
                    <a:prstGeom prst="rect">
                      <a:avLst/>
                    </a:prstGeom>
                  </pic:spPr>
                </pic:pic>
              </a:graphicData>
            </a:graphic>
          </wp:inline>
        </w:drawing>
      </w:r>
    </w:p>
    <w:p w14:paraId="197B76D1" w14:textId="77777777" w:rsidR="007478B2" w:rsidRPr="004315DC" w:rsidRDefault="007478B2" w:rsidP="004315DC">
      <w:pPr>
        <w:tabs>
          <w:tab w:val="left" w:pos="424"/>
        </w:tabs>
        <w:spacing w:before="120" w:after="0" w:line="260" w:lineRule="exact"/>
        <w:jc w:val="both"/>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המקור: רשות התקשוב הממשלתי, בעיבוד משרד מבקר המדינה</w:t>
      </w:r>
    </w:p>
    <w:p w14:paraId="3089E26E" w14:textId="5E19C889" w:rsidR="007478B2" w:rsidRPr="004315DC" w:rsidRDefault="007478B2" w:rsidP="004315DC">
      <w:pPr>
        <w:tabs>
          <w:tab w:val="left" w:pos="424"/>
        </w:tabs>
        <w:spacing w:after="240" w:line="260" w:lineRule="exact"/>
        <w:ind w:left="397" w:hanging="397"/>
        <w:jc w:val="both"/>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w:t>
      </w:r>
      <w:r w:rsidRPr="004315DC">
        <w:rPr>
          <w:rFonts w:ascii="Tahoma" w:hAnsi="Tahoma" w:cs="Tahoma"/>
          <w:color w:val="0D0D0D" w:themeColor="text1" w:themeTint="F2"/>
          <w:sz w:val="16"/>
          <w:szCs w:val="16"/>
          <w:rtl/>
        </w:rPr>
        <w:t xml:space="preserve"> </w:t>
      </w:r>
      <w:r w:rsidR="004315DC">
        <w:rPr>
          <w:rFonts w:ascii="Tahoma" w:hAnsi="Tahoma" w:cs="Tahoma"/>
          <w:color w:val="0D0D0D" w:themeColor="text1" w:themeTint="F2"/>
          <w:sz w:val="16"/>
          <w:szCs w:val="16"/>
          <w:rtl/>
        </w:rPr>
        <w:tab/>
      </w:r>
      <w:r w:rsidRPr="004315DC">
        <w:rPr>
          <w:rFonts w:ascii="Tahoma" w:hAnsi="Tahoma" w:cs="Tahoma" w:hint="cs"/>
          <w:color w:val="0D0D0D" w:themeColor="text1" w:themeTint="F2"/>
          <w:sz w:val="16"/>
          <w:szCs w:val="16"/>
          <w:rtl/>
        </w:rPr>
        <w:t xml:space="preserve">ממשק זה עדיין לא מומש בשדרת המידע. התרשים נועד להמחיש את התפיסה והיכולות של המערכת. </w:t>
      </w:r>
    </w:p>
    <w:p w14:paraId="34C059C6" w14:textId="77777777" w:rsidR="007478B2" w:rsidRPr="007F0192" w:rsidRDefault="007478B2" w:rsidP="00347A82">
      <w:pPr>
        <w:spacing w:line="260" w:lineRule="exact"/>
        <w:jc w:val="both"/>
        <w:rPr>
          <w:rFonts w:ascii="Tahoma" w:hAnsi="Tahoma" w:cs="Tahoma"/>
          <w:sz w:val="18"/>
          <w:szCs w:val="18"/>
          <w:rtl/>
        </w:rPr>
      </w:pPr>
    </w:p>
    <w:p w14:paraId="5240C32A" w14:textId="77777777" w:rsidR="007478B2" w:rsidRDefault="007478B2" w:rsidP="007478B2">
      <w:pPr>
        <w:pStyle w:val="KOT4N"/>
        <w:rPr>
          <w:rtl/>
        </w:rPr>
      </w:pPr>
      <w:r>
        <w:rPr>
          <w:rFonts w:hint="cs"/>
          <w:rtl/>
        </w:rPr>
        <w:t xml:space="preserve">ניהול פרויקט שדרת המידע </w:t>
      </w:r>
    </w:p>
    <w:p w14:paraId="198C11FB"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הנחיית רשות התקשוב בנושא "מחזור חיי מערכת תקשוב"</w:t>
      </w:r>
      <w:r w:rsidRPr="007F0192">
        <w:rPr>
          <w:rStyle w:val="af3"/>
          <w:rFonts w:ascii="Tahoma" w:hAnsi="Tahoma" w:cs="Tahoma"/>
          <w:sz w:val="18"/>
          <w:szCs w:val="18"/>
          <w:rtl/>
        </w:rPr>
        <w:footnoteReference w:id="73"/>
      </w:r>
      <w:r w:rsidRPr="007F0192">
        <w:rPr>
          <w:rFonts w:ascii="Tahoma" w:hAnsi="Tahoma" w:cs="Tahoma" w:hint="cs"/>
          <w:sz w:val="18"/>
          <w:szCs w:val="18"/>
          <w:rtl/>
        </w:rPr>
        <w:t xml:space="preserve"> (להלן - הנחיית התקשוב) מגדירה פרויקט כמשימה חד-פעמית, המתבצעת כדי ליצור או לעדכן מערכת תקשוב</w:t>
      </w:r>
      <w:r w:rsidRPr="007F0192">
        <w:rPr>
          <w:rStyle w:val="af3"/>
          <w:rFonts w:ascii="Tahoma" w:hAnsi="Tahoma" w:cs="Tahoma"/>
          <w:sz w:val="18"/>
          <w:szCs w:val="18"/>
          <w:rtl/>
        </w:rPr>
        <w:footnoteReference w:id="74"/>
      </w:r>
      <w:r w:rsidRPr="007F0192">
        <w:rPr>
          <w:rFonts w:ascii="Tahoma" w:hAnsi="Tahoma" w:cs="Tahoma" w:hint="cs"/>
          <w:sz w:val="18"/>
          <w:szCs w:val="18"/>
          <w:rtl/>
        </w:rPr>
        <w:t xml:space="preserve">, שתספק תפוקה נדרשת (שירותים או תהליכים ייחודיים) במסגרת משאבים ולוח זמנים מוגדר מראש. פרויקט יכול לכלול פעילויות הקשורות לכמה מערכות, במשרד אחד או בכמה משרדים. מטרת פרויקט </w:t>
      </w:r>
      <w:r w:rsidRPr="007F0192">
        <w:rPr>
          <w:rFonts w:ascii="Tahoma" w:hAnsi="Tahoma" w:cs="Tahoma" w:hint="cs"/>
          <w:sz w:val="18"/>
          <w:szCs w:val="18"/>
          <w:rtl/>
        </w:rPr>
        <w:lastRenderedPageBreak/>
        <w:t xml:space="preserve">היא לסייע למימוש מערכת או תהליך, והצלחתו נמדדת בהשגת התפוקה הנדרשת לשביעות רצון המשרד, בעלות ובלוח הזמנים ביחס לתכנון. </w:t>
      </w:r>
    </w:p>
    <w:p w14:paraId="2D9A76FE"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כמו כן, הנחיית התקשוב מגדירה "פרויקט מורכב" כפרויקט שמתקיים בו לפחות אחד מהתנאים האלה: (1) פרויקט "גדול מאוד" מהבחינה התקציבית (מעל 10 מיליון ש"ח); (2) פרויקט בין-משרדי (הנוגע לשני משרדים לפחות); (3) פרויקט ממשלתי רוחבי (הנוגע לגופי מטה רוחביים); (4) בעל מורכבות ארגונית רבה; (5) בעל ריבוי ממשקים עם מערכות מחוץ למשרד; (6) מתוכנן להתבצע בטכנולוגיה שהיא חדשה במשרד. </w:t>
      </w:r>
    </w:p>
    <w:p w14:paraId="19D3B994"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פרויקט שדרת המידע עומד בהגדרה של "פרויקט מורכב" על פי כל התנאים שנקבעו בהנחיית התקשוב. כך למשל, הפרויקט הוא בין-משרדי ורוחבי, מבוצע בטכנולוגיה חדשה ובעל ממשקים מרובים. בדצמבר 2020 הסתכם תקציבו המאושר של הפרויקט בכ-22 מיליון ש"ח. כמו כן, על פי תוכנית הפריסה הרב-שנתית של שדרת המידע במשרדים מנובמבר 2020 (להלן - תוכנית הפריסה), המערכת תותקן ב-86 משרדים ויחידות בשנים הקרובות, מהם 26 משרדים ויחידות מתוכננים להתקנה עד סוף שנת 2020 (ראו להלן). </w:t>
      </w:r>
    </w:p>
    <w:p w14:paraId="6A832B4B"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רשות התקשוב הסבירה בתשובתה כי המכרז כלל פריסה וחיבור של 26 משרדים ויחידות ממשלתיות במשך חמש שנים. לאור תוכנית ההאצה, תוכנית פריסה זו קוצרה בכשלוש שנים, ובזכות זאת הוחלט להאיץ את הפריסה של ההתקנות במשרדים וביחידות נוספים. רשות התקשוב הוסיפה כי תוכנית הפריסה כוללת את התכנון המרבי לפריסה וכי בהמשך, לאחר שיחוברו 26 המשרדים והיחידות הראשונים, יתבצעו בדיקות לבחינת נחיצות החיבור של כל אחד מהגופים הנוספים. </w:t>
      </w:r>
    </w:p>
    <w:p w14:paraId="4520D5DB" w14:textId="77777777" w:rsidR="007478B2" w:rsidRPr="007F0192" w:rsidRDefault="007478B2" w:rsidP="00347A82">
      <w:pPr>
        <w:spacing w:line="260" w:lineRule="exact"/>
        <w:jc w:val="both"/>
        <w:rPr>
          <w:rFonts w:ascii="Tahoma" w:hAnsi="Tahoma" w:cs="Tahoma"/>
          <w:sz w:val="18"/>
          <w:szCs w:val="18"/>
          <w:rtl/>
        </w:rPr>
      </w:pPr>
    </w:p>
    <w:p w14:paraId="17B904D5" w14:textId="77777777" w:rsidR="007478B2" w:rsidRPr="00D529D1" w:rsidRDefault="007478B2" w:rsidP="007478B2">
      <w:pPr>
        <w:pStyle w:val="KOT5N"/>
        <w:rPr>
          <w:rtl/>
        </w:rPr>
      </w:pPr>
      <w:r>
        <w:rPr>
          <w:rFonts w:hint="cs"/>
          <w:rtl/>
        </w:rPr>
        <w:t>תוכנית הפריסה של שדרת המידע במשרדים</w:t>
      </w:r>
    </w:p>
    <w:p w14:paraId="2FFB23CA"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ביולי 2020 כתב מנהל ממשל זמין למנהלי אגפי טכנולוגיות דיגיטליות ומידע במשרדי הממשלה כי בעקבות ההחלטה משנת 2016 הוחלט להקים תשתית טכנולוגית לשיתוף מידע באופן מאובטח, המבוססת על ממשקי תשאול. עוד כתב כי היעד שהוגדר לסיום תהליך המעבר של המשרדים לתשתית החדשה - שדרת המידע, הוא סוף שנת 2022, וכי על מנת לעמוד בלוחות הזמנים ולהצליח לבצע את המעבר באופן "חלק" וללא פגיעה בשירות, נציגי ממשל זמין (מנהל הלקוח ומנהל הפרויקט) יתאמו פגישות עם המשרדים על מנת לגבש תוכנית עבודה להסבת השירותים בהתאם למועד שנקבע. </w:t>
      </w:r>
    </w:p>
    <w:p w14:paraId="5098D001"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על פי תוכנית הפריסה, יישום המערכת מתוכנן להתבצע בשלושה שלבים: (א) התקנה ב-26 משרדים ויחידות עד סוף שנת 2020. שלב זה כולל את 13 המשרדים שנדרשו בהחלטה משנת 2020 להחצין מידע בשדרת המידע עד אפריל 2021 (להלן - המשרדים בתוכנית ההאצה</w:t>
      </w:r>
      <w:r w:rsidRPr="007F0192">
        <w:rPr>
          <w:rStyle w:val="af3"/>
          <w:rFonts w:ascii="Tahoma" w:hAnsi="Tahoma" w:cs="Tahoma"/>
          <w:sz w:val="18"/>
          <w:szCs w:val="18"/>
          <w:rtl/>
        </w:rPr>
        <w:footnoteReference w:id="75"/>
      </w:r>
      <w:r w:rsidRPr="007F0192">
        <w:rPr>
          <w:rFonts w:ascii="Tahoma" w:hAnsi="Tahoma" w:cs="Tahoma" w:hint="cs"/>
          <w:sz w:val="18"/>
          <w:szCs w:val="18"/>
          <w:rtl/>
        </w:rPr>
        <w:t xml:space="preserve">); (ב) התקנה ב-20 משרדים נוספים בשנת 2021 ; (ג) השלמת הפריסה בכ-40 משרדים נוספים בשנים שלאחר מכן, וכן חיבור של גופים עסקיים כגון בנקים וחברות ביטוח. </w:t>
      </w:r>
    </w:p>
    <w:p w14:paraId="1170851E"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רשות התקשוב ציינה בתשובתה כי התוכנית שנקבעה במכרז לפריסת 26 משרדים ויחידות הייתה הערכה, שנקבעה בין היתר כדי להשוות בין ההצעות הכספיות השונות במכרז, ולא נועדה לקבוע בדיוק את מספר המשרדים והיחידות שיחוברו לשדרת המידע. עם הקמת הפרויקט הוחל </w:t>
      </w:r>
      <w:r w:rsidRPr="007F0192">
        <w:rPr>
          <w:rFonts w:ascii="Tahoma" w:hAnsi="Tahoma" w:cs="Tahoma" w:hint="cs"/>
          <w:sz w:val="18"/>
          <w:szCs w:val="18"/>
          <w:rtl/>
        </w:rPr>
        <w:lastRenderedPageBreak/>
        <w:t>בהכנת תוכנית התקנות רב-שנתית שמעודכנת באופן שוטף במהלך התקדמות הבדיקות מול המשרדים והיחידות.</w:t>
      </w:r>
    </w:p>
    <w:p w14:paraId="24AF7FB4" w14:textId="77777777" w:rsidR="007478B2" w:rsidRPr="007F0192" w:rsidRDefault="007478B2" w:rsidP="00347A82">
      <w:pPr>
        <w:spacing w:line="260" w:lineRule="exact"/>
        <w:jc w:val="both"/>
        <w:rPr>
          <w:rFonts w:ascii="Tahoma" w:hAnsi="Tahoma" w:cs="Tahoma"/>
          <w:sz w:val="18"/>
          <w:szCs w:val="18"/>
        </w:rPr>
      </w:pPr>
      <w:r w:rsidRPr="007F0192">
        <w:rPr>
          <w:rFonts w:ascii="Tahoma" w:hAnsi="Tahoma" w:cs="Tahoma" w:hint="cs"/>
          <w:sz w:val="18"/>
          <w:szCs w:val="18"/>
          <w:rtl/>
        </w:rPr>
        <w:t xml:space="preserve">משרד מבקר המדינה בדק את יישום השלב הראשון בתוכנית הפריסה (ההתקנות שתוכננו לשנת 2020). ראו פרטים בלוח 1 להלן. </w:t>
      </w:r>
    </w:p>
    <w:p w14:paraId="7BC2F1E1" w14:textId="77777777" w:rsidR="007478B2" w:rsidRPr="004315DC" w:rsidRDefault="007478B2" w:rsidP="004315DC">
      <w:pPr>
        <w:keepNext/>
        <w:tabs>
          <w:tab w:val="left" w:pos="424"/>
        </w:tabs>
        <w:spacing w:before="240" w:after="240" w:line="260" w:lineRule="exact"/>
        <w:jc w:val="center"/>
        <w:rPr>
          <w:rFonts w:ascii="Tahoma" w:hAnsi="Tahoma" w:cs="Tahoma"/>
          <w:b/>
          <w:bCs/>
          <w:color w:val="0D0D0D" w:themeColor="text1" w:themeTint="F2"/>
          <w:sz w:val="20"/>
          <w:szCs w:val="20"/>
          <w:rtl/>
        </w:rPr>
      </w:pPr>
      <w:r w:rsidRPr="004315DC">
        <w:rPr>
          <w:rFonts w:ascii="Tahoma" w:hAnsi="Tahoma" w:cs="Tahoma" w:hint="cs"/>
          <w:color w:val="0D0D0D" w:themeColor="text1" w:themeTint="F2"/>
          <w:sz w:val="20"/>
          <w:szCs w:val="20"/>
          <w:rtl/>
        </w:rPr>
        <w:t>לוח 1:</w:t>
      </w:r>
      <w:r w:rsidRPr="004315DC">
        <w:rPr>
          <w:rFonts w:ascii="Tahoma" w:hAnsi="Tahoma" w:cs="Tahoma" w:hint="cs"/>
          <w:b/>
          <w:bCs/>
          <w:color w:val="0D0D0D" w:themeColor="text1" w:themeTint="F2"/>
          <w:sz w:val="20"/>
          <w:szCs w:val="20"/>
          <w:rtl/>
        </w:rPr>
        <w:t xml:space="preserve"> יישום השלב הראשון בתוכנית הפריסה של מערכת שדרת המידע בסוף דצמבר 2020</w:t>
      </w:r>
    </w:p>
    <w:tbl>
      <w:tblPr>
        <w:tblStyle w:val="af1"/>
        <w:bidiVisual/>
        <w:tblW w:w="7371"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2200"/>
        <w:gridCol w:w="1490"/>
        <w:gridCol w:w="1273"/>
        <w:gridCol w:w="975"/>
        <w:gridCol w:w="1433"/>
      </w:tblGrid>
      <w:tr w:rsidR="004315DC" w:rsidRPr="007F0192" w14:paraId="1FF5C453" w14:textId="77777777" w:rsidTr="004315DC">
        <w:trPr>
          <w:tblHeader/>
          <w:jc w:val="center"/>
        </w:trPr>
        <w:tc>
          <w:tcPr>
            <w:tcW w:w="2176" w:type="dxa"/>
            <w:tcBorders>
              <w:bottom w:val="single" w:sz="8" w:space="0" w:color="auto"/>
            </w:tcBorders>
            <w:shd w:val="clear" w:color="auto" w:fill="C6DCE4"/>
          </w:tcPr>
          <w:p w14:paraId="00C64E9C" w14:textId="77777777" w:rsidR="007478B2" w:rsidRPr="004315DC" w:rsidRDefault="007478B2" w:rsidP="004315DC">
            <w:pPr>
              <w:tabs>
                <w:tab w:val="left" w:pos="424"/>
              </w:tabs>
              <w:spacing w:before="60" w:after="60" w:line="180" w:lineRule="exact"/>
              <w:rPr>
                <w:rFonts w:ascii="Tahoma" w:hAnsi="Tahoma" w:cs="Tahoma"/>
                <w:color w:val="0D0D0D" w:themeColor="text1" w:themeTint="F2"/>
                <w:sz w:val="16"/>
                <w:szCs w:val="16"/>
                <w:rtl/>
              </w:rPr>
            </w:pPr>
          </w:p>
        </w:tc>
        <w:tc>
          <w:tcPr>
            <w:tcW w:w="1474" w:type="dxa"/>
            <w:tcBorders>
              <w:bottom w:val="single" w:sz="8" w:space="0" w:color="auto"/>
            </w:tcBorders>
            <w:shd w:val="clear" w:color="auto" w:fill="C6DCE4"/>
          </w:tcPr>
          <w:p w14:paraId="52C2728A" w14:textId="77777777" w:rsidR="007478B2" w:rsidRPr="004315DC" w:rsidRDefault="007478B2" w:rsidP="004315DC">
            <w:pPr>
              <w:tabs>
                <w:tab w:val="left" w:pos="424"/>
              </w:tabs>
              <w:spacing w:before="60" w:after="60" w:line="180" w:lineRule="exact"/>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היישום המתוכנן בשנת 2020</w:t>
            </w:r>
          </w:p>
        </w:tc>
        <w:tc>
          <w:tcPr>
            <w:tcW w:w="1259" w:type="dxa"/>
            <w:tcBorders>
              <w:bottom w:val="single" w:sz="8" w:space="0" w:color="auto"/>
            </w:tcBorders>
            <w:shd w:val="clear" w:color="auto" w:fill="C6DCE4"/>
          </w:tcPr>
          <w:p w14:paraId="08B0F6FF" w14:textId="77777777" w:rsidR="007478B2" w:rsidRPr="004315DC" w:rsidRDefault="007478B2" w:rsidP="004315DC">
            <w:pPr>
              <w:tabs>
                <w:tab w:val="left" w:pos="424"/>
              </w:tabs>
              <w:spacing w:before="60" w:after="60" w:line="180" w:lineRule="exact"/>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יושם עד סוף דצמבר 2020</w:t>
            </w:r>
          </w:p>
        </w:tc>
        <w:tc>
          <w:tcPr>
            <w:tcW w:w="964" w:type="dxa"/>
            <w:tcBorders>
              <w:bottom w:val="single" w:sz="8" w:space="0" w:color="auto"/>
            </w:tcBorders>
            <w:shd w:val="clear" w:color="auto" w:fill="C6DCE4"/>
          </w:tcPr>
          <w:p w14:paraId="080051EF" w14:textId="77777777" w:rsidR="007478B2" w:rsidRPr="004315DC" w:rsidRDefault="007478B2" w:rsidP="004315DC">
            <w:pPr>
              <w:tabs>
                <w:tab w:val="left" w:pos="424"/>
              </w:tabs>
              <w:spacing w:before="60" w:after="60" w:line="180" w:lineRule="exact"/>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לא יושם</w:t>
            </w:r>
          </w:p>
        </w:tc>
        <w:tc>
          <w:tcPr>
            <w:tcW w:w="1417" w:type="dxa"/>
            <w:tcBorders>
              <w:bottom w:val="single" w:sz="8" w:space="0" w:color="auto"/>
            </w:tcBorders>
            <w:shd w:val="clear" w:color="auto" w:fill="C6DCE4"/>
          </w:tcPr>
          <w:p w14:paraId="0F53E145" w14:textId="77777777" w:rsidR="007478B2" w:rsidRPr="004315DC" w:rsidRDefault="007478B2" w:rsidP="004315DC">
            <w:pPr>
              <w:tabs>
                <w:tab w:val="left" w:pos="424"/>
              </w:tabs>
              <w:spacing w:before="60" w:after="60" w:line="180" w:lineRule="exact"/>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שיעור אי-הביצוע</w:t>
            </w:r>
          </w:p>
        </w:tc>
      </w:tr>
      <w:tr w:rsidR="004315DC" w:rsidRPr="007F0192" w14:paraId="2DF59812" w14:textId="77777777" w:rsidTr="004315DC">
        <w:trPr>
          <w:jc w:val="center"/>
        </w:trPr>
        <w:tc>
          <w:tcPr>
            <w:tcW w:w="2176" w:type="dxa"/>
            <w:tcBorders>
              <w:top w:val="single" w:sz="8" w:space="0" w:color="auto"/>
              <w:bottom w:val="nil"/>
            </w:tcBorders>
            <w:shd w:val="clear" w:color="auto" w:fill="DBE8EE"/>
          </w:tcPr>
          <w:p w14:paraId="327956BB" w14:textId="77777777" w:rsidR="007478B2" w:rsidRPr="004315DC" w:rsidRDefault="007478B2" w:rsidP="004315DC">
            <w:pPr>
              <w:tabs>
                <w:tab w:val="left" w:pos="424"/>
              </w:tabs>
              <w:spacing w:before="60" w:after="60" w:line="180" w:lineRule="exact"/>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המשרדים בתוכנית ההאצה</w:t>
            </w:r>
          </w:p>
        </w:tc>
        <w:tc>
          <w:tcPr>
            <w:tcW w:w="1474" w:type="dxa"/>
            <w:tcBorders>
              <w:top w:val="single" w:sz="8" w:space="0" w:color="auto"/>
            </w:tcBorders>
            <w:shd w:val="clear" w:color="auto" w:fill="C6DCE4"/>
          </w:tcPr>
          <w:p w14:paraId="74010EB6" w14:textId="77777777" w:rsidR="007478B2" w:rsidRPr="004315DC" w:rsidRDefault="007478B2" w:rsidP="004315DC">
            <w:pPr>
              <w:tabs>
                <w:tab w:val="left" w:pos="424"/>
              </w:tabs>
              <w:spacing w:before="60" w:after="60" w:line="180" w:lineRule="exact"/>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13</w:t>
            </w:r>
          </w:p>
        </w:tc>
        <w:tc>
          <w:tcPr>
            <w:tcW w:w="1259" w:type="dxa"/>
            <w:tcBorders>
              <w:top w:val="single" w:sz="8" w:space="0" w:color="auto"/>
              <w:bottom w:val="nil"/>
            </w:tcBorders>
            <w:shd w:val="clear" w:color="auto" w:fill="DBE8EE"/>
          </w:tcPr>
          <w:p w14:paraId="679E4098" w14:textId="77777777" w:rsidR="007478B2" w:rsidRPr="004315DC" w:rsidRDefault="007478B2" w:rsidP="004315DC">
            <w:pPr>
              <w:tabs>
                <w:tab w:val="left" w:pos="424"/>
              </w:tabs>
              <w:spacing w:before="60" w:after="60" w:line="180" w:lineRule="exact"/>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8</w:t>
            </w:r>
          </w:p>
        </w:tc>
        <w:tc>
          <w:tcPr>
            <w:tcW w:w="964" w:type="dxa"/>
            <w:tcBorders>
              <w:top w:val="single" w:sz="8" w:space="0" w:color="auto"/>
              <w:bottom w:val="nil"/>
            </w:tcBorders>
            <w:shd w:val="clear" w:color="auto" w:fill="DBE8EE"/>
          </w:tcPr>
          <w:p w14:paraId="3D20F763" w14:textId="77777777" w:rsidR="007478B2" w:rsidRPr="004315DC" w:rsidRDefault="007478B2" w:rsidP="004315DC">
            <w:pPr>
              <w:tabs>
                <w:tab w:val="left" w:pos="424"/>
              </w:tabs>
              <w:spacing w:before="60" w:after="60" w:line="180" w:lineRule="exact"/>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5</w:t>
            </w:r>
          </w:p>
        </w:tc>
        <w:tc>
          <w:tcPr>
            <w:tcW w:w="1417" w:type="dxa"/>
            <w:tcBorders>
              <w:top w:val="single" w:sz="8" w:space="0" w:color="auto"/>
              <w:bottom w:val="nil"/>
            </w:tcBorders>
            <w:shd w:val="clear" w:color="auto" w:fill="DBE8EE"/>
          </w:tcPr>
          <w:p w14:paraId="34BF6795" w14:textId="77777777" w:rsidR="007478B2" w:rsidRPr="004315DC" w:rsidRDefault="007478B2" w:rsidP="004315DC">
            <w:pPr>
              <w:tabs>
                <w:tab w:val="left" w:pos="424"/>
              </w:tabs>
              <w:spacing w:before="60" w:after="60" w:line="180" w:lineRule="exact"/>
              <w:rPr>
                <w:rFonts w:ascii="Tahoma" w:hAnsi="Tahoma" w:cs="Tahoma"/>
                <w:b/>
                <w:bCs/>
                <w:color w:val="0D0D0D" w:themeColor="text1" w:themeTint="F2"/>
                <w:sz w:val="16"/>
                <w:szCs w:val="16"/>
                <w:rtl/>
              </w:rPr>
            </w:pPr>
            <w:r w:rsidRPr="004315DC">
              <w:rPr>
                <w:rFonts w:ascii="Tahoma" w:hAnsi="Tahoma" w:cs="Tahoma" w:hint="cs"/>
                <w:b/>
                <w:bCs/>
                <w:color w:val="0D0D0D" w:themeColor="text1" w:themeTint="F2"/>
                <w:sz w:val="16"/>
                <w:szCs w:val="16"/>
                <w:rtl/>
              </w:rPr>
              <w:t>38%</w:t>
            </w:r>
          </w:p>
        </w:tc>
      </w:tr>
      <w:tr w:rsidR="004315DC" w:rsidRPr="007F0192" w14:paraId="08F7769E" w14:textId="77777777" w:rsidTr="004315DC">
        <w:trPr>
          <w:trHeight w:val="20"/>
          <w:jc w:val="center"/>
        </w:trPr>
        <w:tc>
          <w:tcPr>
            <w:tcW w:w="2176" w:type="dxa"/>
            <w:shd w:val="clear" w:color="auto" w:fill="ECF4F5"/>
          </w:tcPr>
          <w:p w14:paraId="41D7B551" w14:textId="77777777" w:rsidR="007478B2" w:rsidRPr="004315DC" w:rsidRDefault="007478B2" w:rsidP="004315DC">
            <w:pPr>
              <w:tabs>
                <w:tab w:val="left" w:pos="424"/>
              </w:tabs>
              <w:spacing w:before="60" w:after="60" w:line="180" w:lineRule="exact"/>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המשרדים שאינם בתוכנית ההאצה</w:t>
            </w:r>
          </w:p>
        </w:tc>
        <w:tc>
          <w:tcPr>
            <w:tcW w:w="1474" w:type="dxa"/>
            <w:shd w:val="clear" w:color="auto" w:fill="C6DCE4"/>
          </w:tcPr>
          <w:p w14:paraId="0B53C8E8" w14:textId="77777777" w:rsidR="007478B2" w:rsidRPr="004315DC" w:rsidRDefault="007478B2" w:rsidP="004315DC">
            <w:pPr>
              <w:tabs>
                <w:tab w:val="left" w:pos="424"/>
              </w:tabs>
              <w:spacing w:before="60" w:after="60" w:line="180" w:lineRule="exact"/>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13</w:t>
            </w:r>
          </w:p>
        </w:tc>
        <w:tc>
          <w:tcPr>
            <w:tcW w:w="1259" w:type="dxa"/>
            <w:shd w:val="clear" w:color="auto" w:fill="ECF4F5"/>
          </w:tcPr>
          <w:p w14:paraId="284F3603" w14:textId="77777777" w:rsidR="007478B2" w:rsidRPr="004315DC" w:rsidRDefault="007478B2" w:rsidP="004315DC">
            <w:pPr>
              <w:tabs>
                <w:tab w:val="left" w:pos="424"/>
              </w:tabs>
              <w:spacing w:before="60" w:after="60" w:line="180" w:lineRule="exact"/>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11</w:t>
            </w:r>
          </w:p>
        </w:tc>
        <w:tc>
          <w:tcPr>
            <w:tcW w:w="964" w:type="dxa"/>
            <w:shd w:val="clear" w:color="auto" w:fill="ECF4F5"/>
          </w:tcPr>
          <w:p w14:paraId="01D7E0BE" w14:textId="77777777" w:rsidR="007478B2" w:rsidRPr="004315DC" w:rsidRDefault="007478B2" w:rsidP="004315DC">
            <w:pPr>
              <w:tabs>
                <w:tab w:val="left" w:pos="424"/>
              </w:tabs>
              <w:spacing w:before="60" w:after="60" w:line="180" w:lineRule="exact"/>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2</w:t>
            </w:r>
          </w:p>
        </w:tc>
        <w:tc>
          <w:tcPr>
            <w:tcW w:w="1417" w:type="dxa"/>
            <w:shd w:val="clear" w:color="auto" w:fill="ECF4F5"/>
          </w:tcPr>
          <w:p w14:paraId="51D58FB8" w14:textId="77777777" w:rsidR="007478B2" w:rsidRPr="004315DC" w:rsidRDefault="007478B2" w:rsidP="004315DC">
            <w:pPr>
              <w:tabs>
                <w:tab w:val="left" w:pos="424"/>
              </w:tabs>
              <w:spacing w:before="60" w:after="60" w:line="180" w:lineRule="exact"/>
              <w:rPr>
                <w:rFonts w:ascii="Tahoma" w:hAnsi="Tahoma" w:cs="Tahoma"/>
                <w:b/>
                <w:bCs/>
                <w:color w:val="0D0D0D" w:themeColor="text1" w:themeTint="F2"/>
                <w:sz w:val="16"/>
                <w:szCs w:val="16"/>
                <w:rtl/>
              </w:rPr>
            </w:pPr>
            <w:r w:rsidRPr="004315DC">
              <w:rPr>
                <w:rFonts w:ascii="Tahoma" w:hAnsi="Tahoma" w:cs="Tahoma" w:hint="cs"/>
                <w:b/>
                <w:bCs/>
                <w:color w:val="0D0D0D" w:themeColor="text1" w:themeTint="F2"/>
                <w:sz w:val="16"/>
                <w:szCs w:val="16"/>
                <w:rtl/>
              </w:rPr>
              <w:t>15%</w:t>
            </w:r>
          </w:p>
        </w:tc>
      </w:tr>
      <w:tr w:rsidR="004315DC" w:rsidRPr="007F0192" w14:paraId="25147BE1" w14:textId="77777777" w:rsidTr="004315DC">
        <w:trPr>
          <w:jc w:val="center"/>
        </w:trPr>
        <w:tc>
          <w:tcPr>
            <w:tcW w:w="2176" w:type="dxa"/>
            <w:shd w:val="clear" w:color="auto" w:fill="DBE8EE"/>
          </w:tcPr>
          <w:p w14:paraId="188E3DAE" w14:textId="77777777" w:rsidR="007478B2" w:rsidRPr="004315DC" w:rsidRDefault="007478B2" w:rsidP="004315DC">
            <w:pPr>
              <w:tabs>
                <w:tab w:val="left" w:pos="424"/>
              </w:tabs>
              <w:spacing w:before="60" w:after="60" w:line="180" w:lineRule="exact"/>
              <w:rPr>
                <w:rFonts w:ascii="Tahoma" w:hAnsi="Tahoma" w:cs="Tahoma"/>
                <w:b/>
                <w:bCs/>
                <w:color w:val="0D0D0D" w:themeColor="text1" w:themeTint="F2"/>
                <w:sz w:val="16"/>
                <w:szCs w:val="16"/>
                <w:rtl/>
              </w:rPr>
            </w:pPr>
            <w:r w:rsidRPr="004315DC">
              <w:rPr>
                <w:rFonts w:ascii="Tahoma" w:hAnsi="Tahoma" w:cs="Tahoma" w:hint="cs"/>
                <w:b/>
                <w:bCs/>
                <w:color w:val="0D0D0D" w:themeColor="text1" w:themeTint="F2"/>
                <w:sz w:val="16"/>
                <w:szCs w:val="16"/>
                <w:rtl/>
              </w:rPr>
              <w:t>בסך הכול</w:t>
            </w:r>
          </w:p>
        </w:tc>
        <w:tc>
          <w:tcPr>
            <w:tcW w:w="1474" w:type="dxa"/>
            <w:shd w:val="clear" w:color="auto" w:fill="C6DCE4"/>
          </w:tcPr>
          <w:p w14:paraId="23E0EB1E" w14:textId="77777777" w:rsidR="007478B2" w:rsidRPr="004315DC" w:rsidRDefault="007478B2" w:rsidP="004315DC">
            <w:pPr>
              <w:tabs>
                <w:tab w:val="left" w:pos="424"/>
              </w:tabs>
              <w:spacing w:before="60" w:after="60" w:line="180" w:lineRule="exact"/>
              <w:rPr>
                <w:rFonts w:ascii="Tahoma" w:hAnsi="Tahoma" w:cs="Tahoma"/>
                <w:b/>
                <w:bCs/>
                <w:color w:val="0D0D0D" w:themeColor="text1" w:themeTint="F2"/>
                <w:sz w:val="16"/>
                <w:szCs w:val="16"/>
                <w:rtl/>
              </w:rPr>
            </w:pPr>
            <w:r w:rsidRPr="004315DC">
              <w:rPr>
                <w:rFonts w:ascii="Tahoma" w:hAnsi="Tahoma" w:cs="Tahoma" w:hint="cs"/>
                <w:b/>
                <w:bCs/>
                <w:color w:val="0D0D0D" w:themeColor="text1" w:themeTint="F2"/>
                <w:sz w:val="16"/>
                <w:szCs w:val="16"/>
                <w:rtl/>
              </w:rPr>
              <w:t>26</w:t>
            </w:r>
          </w:p>
        </w:tc>
        <w:tc>
          <w:tcPr>
            <w:tcW w:w="1259" w:type="dxa"/>
            <w:shd w:val="clear" w:color="auto" w:fill="DBE8EE"/>
          </w:tcPr>
          <w:p w14:paraId="06A8AC81" w14:textId="77777777" w:rsidR="007478B2" w:rsidRPr="004315DC" w:rsidRDefault="007478B2" w:rsidP="004315DC">
            <w:pPr>
              <w:tabs>
                <w:tab w:val="left" w:pos="424"/>
              </w:tabs>
              <w:spacing w:before="60" w:after="60" w:line="180" w:lineRule="exact"/>
              <w:rPr>
                <w:rFonts w:ascii="Tahoma" w:hAnsi="Tahoma" w:cs="Tahoma"/>
                <w:b/>
                <w:bCs/>
                <w:color w:val="0D0D0D" w:themeColor="text1" w:themeTint="F2"/>
                <w:sz w:val="16"/>
                <w:szCs w:val="16"/>
                <w:rtl/>
              </w:rPr>
            </w:pPr>
            <w:r w:rsidRPr="004315DC">
              <w:rPr>
                <w:rFonts w:ascii="Tahoma" w:hAnsi="Tahoma" w:cs="Tahoma" w:hint="cs"/>
                <w:b/>
                <w:bCs/>
                <w:color w:val="0D0D0D" w:themeColor="text1" w:themeTint="F2"/>
                <w:sz w:val="16"/>
                <w:szCs w:val="16"/>
                <w:rtl/>
              </w:rPr>
              <w:t>19</w:t>
            </w:r>
          </w:p>
        </w:tc>
        <w:tc>
          <w:tcPr>
            <w:tcW w:w="964" w:type="dxa"/>
            <w:shd w:val="clear" w:color="auto" w:fill="DBE8EE"/>
          </w:tcPr>
          <w:p w14:paraId="0FEE72BC" w14:textId="77777777" w:rsidR="007478B2" w:rsidRPr="004315DC" w:rsidRDefault="007478B2" w:rsidP="004315DC">
            <w:pPr>
              <w:tabs>
                <w:tab w:val="left" w:pos="424"/>
              </w:tabs>
              <w:spacing w:before="60" w:after="60" w:line="180" w:lineRule="exact"/>
              <w:rPr>
                <w:rFonts w:ascii="Tahoma" w:hAnsi="Tahoma" w:cs="Tahoma"/>
                <w:b/>
                <w:bCs/>
                <w:color w:val="0D0D0D" w:themeColor="text1" w:themeTint="F2"/>
                <w:sz w:val="16"/>
                <w:szCs w:val="16"/>
                <w:rtl/>
              </w:rPr>
            </w:pPr>
            <w:r w:rsidRPr="004315DC">
              <w:rPr>
                <w:rFonts w:ascii="Tahoma" w:hAnsi="Tahoma" w:cs="Tahoma" w:hint="cs"/>
                <w:b/>
                <w:bCs/>
                <w:color w:val="0D0D0D" w:themeColor="text1" w:themeTint="F2"/>
                <w:sz w:val="16"/>
                <w:szCs w:val="16"/>
                <w:rtl/>
              </w:rPr>
              <w:t>7</w:t>
            </w:r>
          </w:p>
        </w:tc>
        <w:tc>
          <w:tcPr>
            <w:tcW w:w="1417" w:type="dxa"/>
            <w:shd w:val="clear" w:color="auto" w:fill="DBE8EE"/>
          </w:tcPr>
          <w:p w14:paraId="49B44DAB" w14:textId="77777777" w:rsidR="007478B2" w:rsidRPr="004315DC" w:rsidRDefault="007478B2" w:rsidP="004315DC">
            <w:pPr>
              <w:tabs>
                <w:tab w:val="left" w:pos="424"/>
              </w:tabs>
              <w:spacing w:before="60" w:after="60" w:line="180" w:lineRule="exact"/>
              <w:rPr>
                <w:rFonts w:ascii="Tahoma" w:hAnsi="Tahoma" w:cs="Tahoma"/>
                <w:b/>
                <w:bCs/>
                <w:color w:val="0D0D0D" w:themeColor="text1" w:themeTint="F2"/>
                <w:sz w:val="16"/>
                <w:szCs w:val="16"/>
                <w:rtl/>
              </w:rPr>
            </w:pPr>
            <w:r w:rsidRPr="004315DC">
              <w:rPr>
                <w:rFonts w:ascii="Tahoma" w:hAnsi="Tahoma" w:cs="Tahoma" w:hint="cs"/>
                <w:b/>
                <w:bCs/>
                <w:color w:val="0D0D0D" w:themeColor="text1" w:themeTint="F2"/>
                <w:sz w:val="16"/>
                <w:szCs w:val="16"/>
                <w:rtl/>
              </w:rPr>
              <w:t>27%</w:t>
            </w:r>
          </w:p>
        </w:tc>
      </w:tr>
    </w:tbl>
    <w:p w14:paraId="1DE129A7" w14:textId="77777777" w:rsidR="007478B2" w:rsidRPr="00C35776" w:rsidRDefault="007478B2" w:rsidP="00C35776">
      <w:pPr>
        <w:tabs>
          <w:tab w:val="left" w:pos="424"/>
        </w:tabs>
        <w:spacing w:before="120" w:after="240" w:line="240" w:lineRule="exact"/>
        <w:ind w:left="397" w:hanging="397"/>
        <w:jc w:val="both"/>
        <w:rPr>
          <w:rFonts w:ascii="Tahoma" w:hAnsi="Tahoma" w:cs="Tahoma"/>
          <w:color w:val="0D0D0D" w:themeColor="text1" w:themeTint="F2"/>
          <w:sz w:val="16"/>
          <w:szCs w:val="16"/>
          <w:rtl/>
        </w:rPr>
      </w:pPr>
      <w:r w:rsidRPr="00C35776">
        <w:rPr>
          <w:rFonts w:ascii="Tahoma" w:hAnsi="Tahoma" w:cs="Tahoma" w:hint="cs"/>
          <w:color w:val="0D0D0D" w:themeColor="text1" w:themeTint="F2"/>
          <w:sz w:val="16"/>
          <w:szCs w:val="16"/>
          <w:rtl/>
        </w:rPr>
        <w:t>על פי תשובת רשות התקשוב הממשלתי, בעיבוד משרד מבקר המדינה</w:t>
      </w:r>
    </w:p>
    <w:p w14:paraId="6207A702" w14:textId="77777777" w:rsidR="007478B2" w:rsidRPr="00B4198E" w:rsidRDefault="007478B2" w:rsidP="00B4198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B4198E">
        <w:rPr>
          <w:rFonts w:ascii="Tahoma" w:hAnsi="Tahoma" w:cs="Tahoma" w:hint="cs"/>
          <w:b/>
          <w:color w:val="0D0D0D" w:themeColor="text1" w:themeTint="F2"/>
          <w:sz w:val="18"/>
          <w:szCs w:val="18"/>
          <w:rtl/>
        </w:rPr>
        <w:t xml:space="preserve">מהלוח עולה כי בסוף דצמבר 2020 עדיין לא יושמה המערכת בשבעה גופים שתוכננו ל-2020 (27%), מתוכם חמישה הכלולים בתוכנית ההאצה ונדרשים להחצין מידע בשדרת המידע עד אפריל 2021. </w:t>
      </w:r>
    </w:p>
    <w:p w14:paraId="5A9EF288"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רשות התקשוב עדכנה בתשובתה כי נכון לאמצע פברואר 2021 יושמה המערכת ב-22 משרדים מתוך 26 משרדים שתוכננה בהם התקנה בשנת 2020. רשות התקשוב הוסיפה כי כלל ההתקנות יושלמו במועד קרוב, וכי היא מקיימת מעקב הדוק אחר תוכנית ההתקנות.</w:t>
      </w:r>
    </w:p>
    <w:p w14:paraId="1ECB4072"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התברר</w:t>
      </w:r>
      <w:r w:rsidRPr="007F0192">
        <w:rPr>
          <w:rStyle w:val="af3"/>
          <w:rFonts w:ascii="Tahoma" w:hAnsi="Tahoma" w:cs="Tahoma"/>
          <w:sz w:val="18"/>
          <w:szCs w:val="18"/>
          <w:rtl/>
        </w:rPr>
        <w:footnoteReference w:id="76"/>
      </w:r>
      <w:r w:rsidRPr="007F0192">
        <w:rPr>
          <w:rFonts w:ascii="Tahoma" w:hAnsi="Tahoma" w:cs="Tahoma" w:hint="cs"/>
          <w:sz w:val="18"/>
          <w:szCs w:val="18"/>
          <w:rtl/>
        </w:rPr>
        <w:t xml:space="preserve"> כי העיכובים בחיבור המשרדים למערכת נבעו בין היתר מאי-אישור תקציב המדינה, דבר שמנע את ההתקדמות לפי תוכנית העבודה. לאחר ההחלטה משנת 2020 נוספו תקציבים שאפשרו התקדמות, אולם נדרש היה להרחיב את ההתקשרות עם הספק. כמו כן, חלו עיכובים בהיערכות הפנימית של המשרדים להתקנת המערכת, לעתים עקב תעדוף שונה של המשרדים. </w:t>
      </w:r>
    </w:p>
    <w:p w14:paraId="7674249C"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בנובמבר 2020 העבירה רשות התקשוב למשרד מבקר המדינה את "מסמך ניהול הסיכונים" של שדרת המידע, הכולל סיכוני תקשוב הקשורים לתהליך היישום של המערכת במשרדים. כך לדוגמה, במסמך ניהול הסיכונים נכלל הסיכון "סיכון בהטמעה - חוסר בשיתוף פעולה של המשרדים", אשר דורג ברמת סיכון גבוהה. </w:t>
      </w:r>
    </w:p>
    <w:p w14:paraId="60AD74A6"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במסמך ניהול הסיכונים הוסבר לגבי סיכון זה כי בחלק מהמשרדים קיים קושי בתיאום ההתקנה (רכיבי </w:t>
      </w:r>
      <w:r w:rsidRPr="007F0192">
        <w:rPr>
          <w:rFonts w:ascii="Tahoma" w:hAnsi="Tahoma" w:cs="Tahoma" w:hint="cs"/>
          <w:sz w:val="18"/>
          <w:szCs w:val="18"/>
        </w:rPr>
        <w:t>API-GW</w:t>
      </w:r>
      <w:r w:rsidRPr="007F0192">
        <w:rPr>
          <w:rFonts w:ascii="Tahoma" w:hAnsi="Tahoma" w:cs="Tahoma" w:hint="cs"/>
          <w:sz w:val="18"/>
          <w:szCs w:val="18"/>
          <w:rtl/>
        </w:rPr>
        <w:t xml:space="preserve">) ונדרש שיתוף פעולה שלהם וכן מתן עדיפות לפרויקט זה על פני פרויקטים אחרים של המשרד. "תוכנית הטיפול" בסיכון זה הייתה "ביצוע הסלמה" במישור ההנהלה (מנמ"רים ומנכ"לי משרדים), מאחר שיש משרדים שאינם מאפשרים להתקדם איתם. </w:t>
      </w:r>
    </w:p>
    <w:p w14:paraId="7960E76E"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סיכון נוסף במסמך ניהול הסיכונים נוגע לעומס של הצוות המקצועי ברשות התקשוב וליכולתו לתת מענה למשימות הנדרשות בפרויקט. זאת בין היתר בשל הגידול שחל בהיקף העבודה הנדרשת עם פריסת התשתית החדשה, ומאחר שהצוותים עמוסים בשל הצורך לבצע פרויקטים ומשימות במערכות אחרות ועדיין לא רכשו את הידע הנדרש למתן מענה למשימות. תוכנית </w:t>
      </w:r>
      <w:r w:rsidRPr="007F0192">
        <w:rPr>
          <w:rFonts w:ascii="Tahoma" w:hAnsi="Tahoma" w:cs="Tahoma" w:hint="cs"/>
          <w:sz w:val="18"/>
          <w:szCs w:val="18"/>
          <w:rtl/>
        </w:rPr>
        <w:lastRenderedPageBreak/>
        <w:t xml:space="preserve">הטיפול בסיכון כללה הכשרת צוות פנימי נרחב יותר לצורך תמיכה ומענה בפרסום שירותים במערכת, בטיפול בתקלות ובהעברת ידע מהספק לצוות המקצועי הפנימי. </w:t>
      </w:r>
    </w:p>
    <w:p w14:paraId="159B7314"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כמו כן צוין במסמך ניהול הסיכונים הסיכון "טכנולוגיה חדשה - חוסר יציבות" והוסבר כי מאחר שמדובר במערכת חדשה, עלול להיווצר חוסר יציבות במהלך התקופה הראשונה של הרצתה, ובכלל זה עלולות להיות "נפילות" של המערכת, עקב הגדרות או התאמות נדרשות. תוכנית הטיפול שנקבעה לסיכון זה הייתה קיום הכשרות והדרכות מתאימות וחיבור המערכת למערכת ניטור ארגונית לצורך קבלת דיווחים על תקלות ובעיות.</w:t>
      </w:r>
    </w:p>
    <w:p w14:paraId="079A9385" w14:textId="77777777" w:rsidR="007478B2" w:rsidRPr="00B4198E" w:rsidRDefault="007478B2" w:rsidP="00B4198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B4198E">
        <w:rPr>
          <w:rFonts w:ascii="Tahoma" w:hAnsi="Tahoma" w:cs="Tahoma" w:hint="cs"/>
          <w:b/>
          <w:color w:val="0D0D0D" w:themeColor="text1" w:themeTint="F2"/>
          <w:sz w:val="18"/>
          <w:szCs w:val="18"/>
          <w:rtl/>
        </w:rPr>
        <w:t>תמונת המצב העולה מן הדברים מלמדת על עיכובים בהליך הפריסה של מערכת "שדרת המידע" במשרדים, בין היתר בשל קשיים טכנולוגיים, ובשל תעדוף נמוך של חלק מהמשרדים למול משימות אחרות שבאחריותם.</w:t>
      </w:r>
    </w:p>
    <w:p w14:paraId="501A1335" w14:textId="77777777" w:rsidR="007478B2" w:rsidRPr="00B4198E" w:rsidRDefault="007478B2" w:rsidP="00B4198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B4198E">
        <w:rPr>
          <w:rFonts w:ascii="Tahoma" w:hAnsi="Tahoma" w:cs="Tahoma" w:hint="cs"/>
          <w:b/>
          <w:color w:val="0D0D0D" w:themeColor="text1" w:themeTint="F2"/>
          <w:sz w:val="18"/>
          <w:szCs w:val="18"/>
          <w:rtl/>
        </w:rPr>
        <w:t xml:space="preserve">מאחר ש"שדרת המידע" היא ציר מרכזי ונדבך יסודי ביישום מדיניות פעם אחת בשירותים ממשלתיים, עיכובים נוספים בפריסתה במשרדים עלולים לפגוע בהשגת היעדים שנקבעו להחצנת מידע בשדרת המידע בהחלטה משנת 2020, ולהיות חסם ביישום מדיניות פעם אחת בשירותים ממשלתיים נרחבים. </w:t>
      </w:r>
    </w:p>
    <w:p w14:paraId="135FB372" w14:textId="77777777" w:rsidR="007478B2" w:rsidRPr="00B4198E" w:rsidRDefault="007478B2" w:rsidP="00B4198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B4198E">
        <w:rPr>
          <w:rFonts w:ascii="Tahoma" w:hAnsi="Tahoma" w:cs="Tahoma" w:hint="cs"/>
          <w:b/>
          <w:color w:val="0D0D0D" w:themeColor="text1" w:themeTint="F2"/>
          <w:sz w:val="18"/>
          <w:szCs w:val="18"/>
          <w:rtl/>
        </w:rPr>
        <w:t xml:space="preserve">במטרה לעמוד בלוחות הזמנים שנקבעו בהחלטה משנת 2020, מוצע שרשות התקשוב תבחן את הגדלת מעטפת התמיכה בתהליך ההטמעה במשרדים, לרבות תגבור צוותי העבודה מטעמה ומטעם הספק לצורך התקנות, הדרכה ופתרון תקלות. </w:t>
      </w:r>
    </w:p>
    <w:p w14:paraId="5973D210" w14:textId="77777777" w:rsidR="007478B2" w:rsidRPr="007F0192" w:rsidRDefault="007478B2" w:rsidP="00347A82">
      <w:pPr>
        <w:spacing w:line="260" w:lineRule="exact"/>
        <w:jc w:val="both"/>
        <w:rPr>
          <w:rFonts w:ascii="Tahoma" w:hAnsi="Tahoma" w:cs="Tahoma"/>
          <w:b/>
          <w:bCs/>
          <w:sz w:val="18"/>
          <w:szCs w:val="18"/>
          <w:rtl/>
        </w:rPr>
      </w:pPr>
      <w:r w:rsidRPr="007F0192">
        <w:rPr>
          <w:rFonts w:ascii="Tahoma" w:hAnsi="Tahoma" w:cs="Tahoma" w:hint="cs"/>
          <w:sz w:val="18"/>
          <w:szCs w:val="18"/>
          <w:rtl/>
        </w:rPr>
        <w:t>רשות התקשוב מסרה בתשובתה כי ההמלצה מקובלת והובאה בחשבון במסגרת התקצוב, וכי היא ממומשת הלכה למעשה.</w:t>
      </w:r>
    </w:p>
    <w:p w14:paraId="4B4E8BC0" w14:textId="77777777" w:rsidR="007478B2" w:rsidRPr="00B4198E" w:rsidRDefault="007478B2" w:rsidP="00B4198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B4198E">
        <w:rPr>
          <w:rFonts w:ascii="Tahoma" w:hAnsi="Tahoma" w:cs="Tahoma" w:hint="cs"/>
          <w:b/>
          <w:color w:val="0D0D0D" w:themeColor="text1" w:themeTint="F2"/>
          <w:sz w:val="18"/>
          <w:szCs w:val="18"/>
          <w:rtl/>
        </w:rPr>
        <w:t xml:space="preserve">כמו כן, על מנת להגביר את המחויבות של המשרדים לפרויקט, מוצע כי רשות התקשוב והמשרדים יפעלו בשיתוף פעולה לצורך בחינת שילוב הנושא ביעדי תוכניות העבודה המשרדיות, וקביעת תוכנית עבודה להתקדמות במישור המשרדי, לרבות הצבת אבני דרך וביצוע מעקב אחר ביצוען. </w:t>
      </w:r>
    </w:p>
    <w:p w14:paraId="1F5419B9" w14:textId="77777777" w:rsidR="007478B2" w:rsidRPr="00B4198E" w:rsidRDefault="007478B2" w:rsidP="00B4198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B4198E">
        <w:rPr>
          <w:rFonts w:ascii="Tahoma" w:hAnsi="Tahoma" w:cs="Tahoma" w:hint="cs"/>
          <w:b/>
          <w:color w:val="0D0D0D" w:themeColor="text1" w:themeTint="F2"/>
          <w:sz w:val="18"/>
          <w:szCs w:val="18"/>
          <w:rtl/>
        </w:rPr>
        <w:t>במועד סיום הביקורת שלושה גופים שנדרשו בהחלטה משנת 2020 להחצין מידע בשדרת המידע עד אפריל 2021, עדיין לא הטמיעו את המערכת</w:t>
      </w:r>
      <w:r w:rsidRPr="00B4198E">
        <w:rPr>
          <w:color w:val="0D0D0D" w:themeColor="text1" w:themeTint="F2"/>
          <w:vertAlign w:val="superscript"/>
          <w:rtl/>
        </w:rPr>
        <w:footnoteReference w:id="77"/>
      </w:r>
      <w:r w:rsidRPr="00B4198E">
        <w:rPr>
          <w:rFonts w:ascii="Tahoma" w:hAnsi="Tahoma" w:cs="Tahoma" w:hint="cs"/>
          <w:b/>
          <w:color w:val="0D0D0D" w:themeColor="text1" w:themeTint="F2"/>
          <w:sz w:val="18"/>
          <w:szCs w:val="18"/>
          <w:rtl/>
        </w:rPr>
        <w:t xml:space="preserve"> - </w:t>
      </w:r>
      <w:r w:rsidRPr="00B4198E">
        <w:rPr>
          <w:rFonts w:ascii="Tahoma" w:hAnsi="Tahoma" w:cs="Tahoma" w:hint="eastAsia"/>
          <w:b/>
          <w:color w:val="0D0D0D" w:themeColor="text1" w:themeTint="F2"/>
          <w:sz w:val="18"/>
          <w:szCs w:val="18"/>
          <w:rtl/>
        </w:rPr>
        <w:t>רשות</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המסים</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המוסד</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לביטוח</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לאומי</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ומשרד</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הביטחון</w:t>
      </w:r>
      <w:r w:rsidRPr="00B4198E">
        <w:rPr>
          <w:rFonts w:ascii="Tahoma" w:hAnsi="Tahoma" w:cs="Tahoma" w:hint="cs"/>
          <w:b/>
          <w:color w:val="0D0D0D" w:themeColor="text1" w:themeTint="F2"/>
          <w:sz w:val="18"/>
          <w:szCs w:val="18"/>
          <w:rtl/>
        </w:rPr>
        <w:t>.</w:t>
      </w:r>
      <w:r w:rsidRPr="00B4198E">
        <w:rPr>
          <w:rFonts w:ascii="Tahoma" w:hAnsi="Tahoma" w:cs="Tahoma"/>
          <w:b/>
          <w:color w:val="0D0D0D" w:themeColor="text1" w:themeTint="F2"/>
          <w:sz w:val="18"/>
          <w:szCs w:val="18"/>
          <w:rtl/>
        </w:rPr>
        <w:t xml:space="preserve"> </w:t>
      </w:r>
    </w:p>
    <w:p w14:paraId="786B80EE"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רשות המסים מסרה בתשובתה כי קיימה דיונים רבים עם רשות התקשוב ובהן הובהרה עמדתה בנוגע לחשיבותו של קיום אזור אישי עצמאי של רשות המסים שתתאפשר גישה אליו גם מהאזור האישי הממשלתי. רשות המסים הוסיפה כי מאחר שהיא מקיימת שיח שוטף עם ממשל זמין לאיחוד מערך ההזדהות לאזרחים ולבעלי העסקים, הרי שלאחר השלמת התהליך יהיה ניתן לבחון מעבר מהאזור האישי הממשלתי לאזור האישי של רשות המסים באופן שיהיה שקוף למקבל השירות. רשות המסים ציינה כי כיום רשומים לאזור האישי שלה כ-1.3 מיליון בעלי עסקים ואזרחים.</w:t>
      </w:r>
    </w:p>
    <w:p w14:paraId="4F3E298A"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מנכ"ל הביטוח הלאומי מסר בתשובתו כי הביטוח הלאומי נמצא בקשר עם רשות התקשוב להחצנת מידע לפי הסכמות משותפות. הוא הוסיף כי סוכם עם רשות התקשוב כי הביטוח </w:t>
      </w:r>
      <w:r w:rsidRPr="007F0192">
        <w:rPr>
          <w:rFonts w:ascii="Tahoma" w:hAnsi="Tahoma" w:cs="Tahoma" w:hint="cs"/>
          <w:sz w:val="18"/>
          <w:szCs w:val="18"/>
          <w:rtl/>
        </w:rPr>
        <w:lastRenderedPageBreak/>
        <w:t xml:space="preserve">הלאומי יאפשר כניסה לאתר שירות אישי לכל מי שביצע הזדהות בפורטל של רשות התקשוב, ובכך יתאפשר לו לצפות בכל המידע הנמצא באתר האישי שלו, ללא צורך בהזדהות נוספת. כמו כן, כחלק בלתי נפרד מהצעת המחליטים והדיונים שהתקיימו עוד לפני מתן אישורה סוכם עם גורמי המקצוע השונים כי אתר ומערכת הביטוח הלאומי ייוותרו עצמאיים מבחינת הגישה למידעים ומבחינת האפשרות לתת שירות למבוטחים באופן עצמאי. </w:t>
      </w:r>
    </w:p>
    <w:p w14:paraId="1ECC6F5F"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משרד הביטחון מסר בתשובתו כי</w:t>
      </w:r>
      <w:r w:rsidRPr="007F0192">
        <w:rPr>
          <w:rFonts w:ascii="Tahoma" w:hAnsi="Tahoma" w:cs="Tahoma"/>
          <w:sz w:val="18"/>
          <w:szCs w:val="18"/>
          <w:rtl/>
        </w:rPr>
        <w:t xml:space="preserve"> שדרת המידע </w:t>
      </w:r>
      <w:r w:rsidRPr="007F0192">
        <w:rPr>
          <w:rFonts w:ascii="Tahoma" w:hAnsi="Tahoma" w:cs="Tahoma" w:hint="cs"/>
          <w:sz w:val="18"/>
          <w:szCs w:val="18"/>
          <w:rtl/>
        </w:rPr>
        <w:t>היא</w:t>
      </w:r>
      <w:r w:rsidRPr="007F0192">
        <w:rPr>
          <w:rFonts w:ascii="Tahoma" w:hAnsi="Tahoma" w:cs="Tahoma"/>
          <w:sz w:val="18"/>
          <w:szCs w:val="18"/>
          <w:rtl/>
        </w:rPr>
        <w:t xml:space="preserve"> מערכת תפעולית און</w:t>
      </w:r>
      <w:r w:rsidRPr="007F0192">
        <w:rPr>
          <w:rFonts w:ascii="Tahoma" w:hAnsi="Tahoma" w:cs="Tahoma" w:hint="cs"/>
          <w:sz w:val="18"/>
          <w:szCs w:val="18"/>
          <w:rtl/>
        </w:rPr>
        <w:t>-</w:t>
      </w:r>
      <w:r w:rsidRPr="007F0192">
        <w:rPr>
          <w:rFonts w:ascii="Tahoma" w:hAnsi="Tahoma" w:cs="Tahoma"/>
          <w:sz w:val="18"/>
          <w:szCs w:val="18"/>
          <w:rtl/>
        </w:rPr>
        <w:t>ליין לשאילתות ולמסירת מידע שוטף בין גופים ממשלתיים</w:t>
      </w:r>
      <w:r w:rsidRPr="007F0192">
        <w:rPr>
          <w:rFonts w:ascii="Tahoma" w:hAnsi="Tahoma" w:cs="Tahoma" w:hint="cs"/>
          <w:sz w:val="18"/>
          <w:szCs w:val="18"/>
          <w:rtl/>
        </w:rPr>
        <w:t xml:space="preserve">, וכי </w:t>
      </w:r>
      <w:r w:rsidRPr="007F0192">
        <w:rPr>
          <w:rFonts w:ascii="Tahoma" w:hAnsi="Tahoma" w:cs="Tahoma"/>
          <w:sz w:val="18"/>
          <w:szCs w:val="18"/>
          <w:rtl/>
        </w:rPr>
        <w:t xml:space="preserve">היות </w:t>
      </w:r>
      <w:r w:rsidRPr="007F0192">
        <w:rPr>
          <w:rFonts w:ascii="Tahoma" w:hAnsi="Tahoma" w:cs="Tahoma" w:hint="cs"/>
          <w:sz w:val="18"/>
          <w:szCs w:val="18"/>
          <w:rtl/>
        </w:rPr>
        <w:t>ש</w:t>
      </w:r>
      <w:r w:rsidRPr="007F0192">
        <w:rPr>
          <w:rFonts w:ascii="Tahoma" w:hAnsi="Tahoma" w:cs="Tahoma"/>
          <w:sz w:val="18"/>
          <w:szCs w:val="18"/>
          <w:rtl/>
        </w:rPr>
        <w:t>משרד הביטחון מנהל את המערכות התפעוליות שלו ברשת פנימית וסגורה, פעולות אלו אינן ניתנות לביצוע ב</w:t>
      </w:r>
      <w:r w:rsidRPr="007F0192">
        <w:rPr>
          <w:rFonts w:ascii="Tahoma" w:hAnsi="Tahoma" w:cs="Tahoma" w:hint="cs"/>
          <w:sz w:val="18"/>
          <w:szCs w:val="18"/>
          <w:rtl/>
        </w:rPr>
        <w:t>מישור</w:t>
      </w:r>
      <w:r w:rsidRPr="007F0192">
        <w:rPr>
          <w:rFonts w:ascii="Tahoma" w:hAnsi="Tahoma" w:cs="Tahoma"/>
          <w:sz w:val="18"/>
          <w:szCs w:val="18"/>
          <w:rtl/>
        </w:rPr>
        <w:t xml:space="preserve"> הטכני.</w:t>
      </w:r>
    </w:p>
    <w:p w14:paraId="23D959FE" w14:textId="77777777" w:rsidR="007478B2" w:rsidRPr="00B4198E" w:rsidRDefault="007478B2" w:rsidP="00B4198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B4198E">
        <w:rPr>
          <w:rFonts w:ascii="Tahoma" w:hAnsi="Tahoma" w:cs="Tahoma" w:hint="cs"/>
          <w:b/>
          <w:color w:val="0D0D0D" w:themeColor="text1" w:themeTint="F2"/>
          <w:sz w:val="18"/>
          <w:szCs w:val="18"/>
          <w:rtl/>
        </w:rPr>
        <w:t>משרד מבקר המדינה מציין כי על הגופים שנדרשו בהחלטה משנת 2020 להחצין מידע בשדרת המידע עד אפריל 2021 וטרם הטמיעו את המערכת, לפעול בשיתוף פעולה עם רשות התקשוב ולבחון דרכים להשלמת הפעולות הנדרשות לשם החצנת המידע בהתאם להחלטת הממשלה, תוך יישום מדיניות פעם אחת.</w:t>
      </w:r>
    </w:p>
    <w:p w14:paraId="645E2DE1" w14:textId="77777777" w:rsidR="007478B2" w:rsidRPr="007F0192" w:rsidRDefault="007478B2" w:rsidP="00347A82">
      <w:pPr>
        <w:spacing w:line="260" w:lineRule="exact"/>
        <w:jc w:val="both"/>
        <w:rPr>
          <w:rFonts w:ascii="Tahoma" w:hAnsi="Tahoma" w:cs="Tahoma"/>
          <w:b/>
          <w:bCs/>
          <w:sz w:val="18"/>
          <w:szCs w:val="18"/>
          <w:rtl/>
        </w:rPr>
      </w:pPr>
    </w:p>
    <w:p w14:paraId="0C12EAF5" w14:textId="77777777" w:rsidR="007478B2" w:rsidRDefault="007478B2" w:rsidP="007478B2">
      <w:pPr>
        <w:pStyle w:val="KOT5N"/>
        <w:rPr>
          <w:rtl/>
        </w:rPr>
      </w:pPr>
      <w:r>
        <w:rPr>
          <w:rFonts w:hint="cs"/>
          <w:rtl/>
        </w:rPr>
        <w:t>ועדת היגוי לפרויקט</w:t>
      </w:r>
    </w:p>
    <w:p w14:paraId="4CCC60CA" w14:textId="77777777" w:rsidR="007478B2" w:rsidRPr="007F0192" w:rsidRDefault="007478B2" w:rsidP="00347A82">
      <w:pPr>
        <w:spacing w:line="260" w:lineRule="exact"/>
        <w:jc w:val="both"/>
        <w:rPr>
          <w:rFonts w:ascii="Tahoma" w:hAnsi="Tahoma" w:cs="Tahoma"/>
          <w:b/>
          <w:bCs/>
          <w:sz w:val="18"/>
          <w:szCs w:val="18"/>
          <w:rtl/>
        </w:rPr>
      </w:pPr>
      <w:r w:rsidRPr="007F0192">
        <w:rPr>
          <w:rFonts w:ascii="Tahoma" w:hAnsi="Tahoma" w:cs="Tahoma" w:hint="cs"/>
          <w:sz w:val="18"/>
          <w:szCs w:val="18"/>
          <w:rtl/>
        </w:rPr>
        <w:t>על פי הנחיית התקשוב, מינוי ועדת היגוי לפרויקט מורכב הוא חובה. בין חברי הוועדה יהיו נציג בכיר של יחידת התקשוב, נציג הוועדה העסקית</w:t>
      </w:r>
      <w:r w:rsidRPr="007F0192">
        <w:rPr>
          <w:rStyle w:val="af3"/>
          <w:rFonts w:ascii="Tahoma" w:hAnsi="Tahoma" w:cs="Tahoma"/>
          <w:sz w:val="18"/>
          <w:szCs w:val="18"/>
          <w:rtl/>
        </w:rPr>
        <w:footnoteReference w:id="78"/>
      </w:r>
      <w:r w:rsidRPr="007F0192">
        <w:rPr>
          <w:rFonts w:ascii="Tahoma" w:hAnsi="Tahoma" w:cs="Tahoma" w:hint="cs"/>
          <w:sz w:val="18"/>
          <w:szCs w:val="18"/>
          <w:rtl/>
        </w:rPr>
        <w:t>, חברי מינהלת הפרויקט</w:t>
      </w:r>
      <w:r w:rsidRPr="007F0192">
        <w:rPr>
          <w:rStyle w:val="af3"/>
          <w:rFonts w:ascii="Tahoma" w:hAnsi="Tahoma" w:cs="Tahoma"/>
          <w:sz w:val="18"/>
          <w:szCs w:val="18"/>
          <w:rtl/>
        </w:rPr>
        <w:footnoteReference w:id="79"/>
      </w:r>
      <w:r w:rsidRPr="007F0192">
        <w:rPr>
          <w:rFonts w:ascii="Tahoma" w:hAnsi="Tahoma" w:cs="Tahoma" w:hint="cs"/>
          <w:sz w:val="18"/>
          <w:szCs w:val="18"/>
          <w:rtl/>
        </w:rPr>
        <w:t xml:space="preserve"> ונציגי המשתמשים העיקריים. תפקיד הוועדה - לבקר את התקדמות הפרויקט ואת תוצריו העיקריים, והיא תפעל עד לסיום הפרויקט.</w:t>
      </w:r>
      <w:r w:rsidRPr="007F0192">
        <w:rPr>
          <w:rFonts w:ascii="Tahoma" w:hAnsi="Tahoma" w:cs="Tahoma" w:hint="cs"/>
          <w:b/>
          <w:bCs/>
          <w:sz w:val="18"/>
          <w:szCs w:val="18"/>
          <w:rtl/>
        </w:rPr>
        <w:t xml:space="preserve"> </w:t>
      </w:r>
    </w:p>
    <w:p w14:paraId="57AA1087" w14:textId="77777777" w:rsidR="007478B2" w:rsidRPr="007F0192" w:rsidRDefault="007478B2" w:rsidP="00347A82">
      <w:pPr>
        <w:spacing w:line="260" w:lineRule="exact"/>
        <w:jc w:val="both"/>
        <w:rPr>
          <w:rFonts w:ascii="Tahoma" w:hAnsi="Tahoma" w:cs="Tahoma"/>
          <w:b/>
          <w:bCs/>
          <w:sz w:val="18"/>
          <w:szCs w:val="18"/>
          <w:rtl/>
        </w:rPr>
      </w:pPr>
      <w:r w:rsidRPr="007F0192">
        <w:rPr>
          <w:rFonts w:ascii="Tahoma" w:hAnsi="Tahoma" w:cs="Tahoma" w:hint="cs"/>
          <w:sz w:val="18"/>
          <w:szCs w:val="18"/>
          <w:rtl/>
        </w:rPr>
        <w:t xml:space="preserve">בהחלטה משנת 2016 נקבע כאמור כי יש למנות "ועדת היגוי להעברת מידע" בראשות ראש רשות התקשוב הממשלתי, ובין חבריה - מנהל היחידה לשיפור השירות, נציג אגף התקציבים ונציגים של ארבעה משרדי ממשלה רלוונטיים נוספים. בהחלטה נקבע כי ועדת ההיגוי שתוקם תעקוב אחר יישום סעיפי ההחלטה (לרבות הסעיף העוסק בהקמת שדרת המידע), ובכלל זה תבחן את מידת התועלת בהשגת תכלית ההחלטה ואת הכשלים ביישומה, אם יהיו. </w:t>
      </w:r>
    </w:p>
    <w:p w14:paraId="32490181"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כנדרש בהחלטה משנת 2016 כאמור, הקימה רשות התקשוב את "ועדת ההיגוי להעברות מידע" (להלן גם - הוועדה). הוועדה התכנסה שלוש פעמים בשנת 2018; פעמיים בשנת 2019; ושלוש פעמים נוספות בשנת 2020. הוועדה דנה בכלל ההיבטים של יישום ההחלטה משנת 2016 לעניין העברות מידע וליישום מדיניות פעם אחת, ובהם: מיפוי השירותים הממשלתיים והתקדמותו, פיתוח מערכת מוע"ד ועבודת הוועדות להעברת מידע, וכן היבטים שונים הקשורים לשדרת המידע, לרבות מתווה פריסת המערכת והערכת הסיכונים שבפרויקט. </w:t>
      </w:r>
    </w:p>
    <w:p w14:paraId="35CB925F"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רשות התקשוב מסרה למשרד מבקר המדינה בדצמבר 2020 כי ועדת ההיגוי להעברות מידע היא הפורום בו היא עוסקת מול המשרדים בהיבטים של העברות המידע והתהליכים העסקיים, ובכלל זה נושאי שדרת המידע, אם הם רלוונטיים לדיונים. רשות התקשוב ציינה כי אין ועדת היגוי ספציפית לנושא שדרת המידע מול המשרדים, בהיבטים הטכנולוגיים וציינה כי נציגי </w:t>
      </w:r>
      <w:r w:rsidRPr="007F0192">
        <w:rPr>
          <w:rFonts w:ascii="Tahoma" w:hAnsi="Tahoma" w:cs="Tahoma" w:hint="cs"/>
          <w:sz w:val="18"/>
          <w:szCs w:val="18"/>
          <w:rtl/>
        </w:rPr>
        <w:lastRenderedPageBreak/>
        <w:t xml:space="preserve">המשרדים בוועדה מייצגים את דרישות המשתמשים השונות ולכן אין כוונה למנות מנהל </w:t>
      </w:r>
      <w:r w:rsidRPr="007F0192">
        <w:rPr>
          <w:rFonts w:ascii="Tahoma" w:hAnsi="Tahoma" w:cs="Tahoma"/>
          <w:sz w:val="18"/>
          <w:szCs w:val="18"/>
          <w:rtl/>
        </w:rPr>
        <w:t>פרויקט מטעם המשתמשים (לקוח או משתמש מוביל)</w:t>
      </w:r>
      <w:r w:rsidRPr="007F0192">
        <w:rPr>
          <w:rFonts w:ascii="Tahoma" w:hAnsi="Tahoma" w:cs="Tahoma" w:hint="cs"/>
          <w:sz w:val="18"/>
          <w:szCs w:val="18"/>
          <w:rtl/>
        </w:rPr>
        <w:t>.</w:t>
      </w:r>
    </w:p>
    <w:p w14:paraId="5DBB1E8D" w14:textId="77777777" w:rsidR="007478B2" w:rsidRPr="00B4198E" w:rsidRDefault="007478B2" w:rsidP="00B4198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B4198E">
        <w:rPr>
          <w:rFonts w:ascii="Tahoma" w:hAnsi="Tahoma" w:cs="Tahoma" w:hint="cs"/>
          <w:b/>
          <w:color w:val="0D0D0D" w:themeColor="text1" w:themeTint="F2"/>
          <w:sz w:val="18"/>
          <w:szCs w:val="18"/>
          <w:rtl/>
        </w:rPr>
        <w:t xml:space="preserve">מאחר שפרויקט שדרת המידע הוא פרויקט מורכב וגדול, כהגדרתו בהנחיית רשות התקשוב, מוצע לבחון את הצורך בהקמת ועדת היגוי ייעודית לפרויקט זה, שחבריה ימנו בין היתר מנהל פרויקט מטעם המשתמשים, נציגי משרדים עיקריים וכן מנהל פרויקט מטעם הספק, כנדרש בהנחיית התקשוב. </w:t>
      </w:r>
    </w:p>
    <w:p w14:paraId="6E8FF178" w14:textId="77777777" w:rsidR="007478B2" w:rsidRPr="00B4198E" w:rsidRDefault="007478B2" w:rsidP="00B4198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B4198E">
        <w:rPr>
          <w:rFonts w:ascii="Tahoma" w:hAnsi="Tahoma" w:cs="Tahoma" w:hint="cs"/>
          <w:b/>
          <w:color w:val="0D0D0D" w:themeColor="text1" w:themeTint="F2"/>
          <w:sz w:val="18"/>
          <w:szCs w:val="18"/>
          <w:rtl/>
        </w:rPr>
        <w:t xml:space="preserve">ועדת היגוי ייעודית כאמור, ביכולתה לייחד קשב ופעולה ספציפיים לניהול הפרויקט, שצפוי להימשך כמה שנים, לעקוב באופן פרטני אחר התקדמותו, לסייע בקידום הפריסה מול המשרדים ולפעול לאיתור חסמים ולגיבוש דרכים לפתרונם. הדבר נדרש בין היתר בשל המורכבות של פרויקט שדרת המידע ונוכח הקשיים והעיכובים שחלו בו עד כה. </w:t>
      </w:r>
      <w:r w:rsidRPr="00B4198E">
        <w:rPr>
          <w:rFonts w:ascii="Tahoma" w:hAnsi="Tahoma" w:cs="Tahoma" w:hint="eastAsia"/>
          <w:b/>
          <w:color w:val="0D0D0D" w:themeColor="text1" w:themeTint="F2"/>
          <w:sz w:val="18"/>
          <w:szCs w:val="18"/>
          <w:rtl/>
        </w:rPr>
        <w:t>לחילופין</w:t>
      </w:r>
      <w:r w:rsidRPr="00B4198E">
        <w:rPr>
          <w:rFonts w:ascii="Tahoma" w:hAnsi="Tahoma" w:cs="Tahoma"/>
          <w:b/>
          <w:color w:val="0D0D0D" w:themeColor="text1" w:themeTint="F2"/>
          <w:sz w:val="18"/>
          <w:szCs w:val="18"/>
          <w:rtl/>
        </w:rPr>
        <w:t xml:space="preserve"> או </w:t>
      </w:r>
      <w:r w:rsidRPr="00B4198E">
        <w:rPr>
          <w:rFonts w:ascii="Tahoma" w:hAnsi="Tahoma" w:cs="Tahoma" w:hint="eastAsia"/>
          <w:b/>
          <w:color w:val="0D0D0D" w:themeColor="text1" w:themeTint="F2"/>
          <w:sz w:val="18"/>
          <w:szCs w:val="18"/>
          <w:rtl/>
        </w:rPr>
        <w:t>עד</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למינויה</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של</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ועדת</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היגוי</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ייעודית</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מומלץ</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כי</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ועדת</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ההיגוי</w:t>
      </w:r>
      <w:r w:rsidRPr="00B4198E">
        <w:rPr>
          <w:rFonts w:ascii="Tahoma" w:hAnsi="Tahoma" w:cs="Tahoma"/>
          <w:b/>
          <w:color w:val="0D0D0D" w:themeColor="text1" w:themeTint="F2"/>
          <w:sz w:val="18"/>
          <w:szCs w:val="18"/>
          <w:rtl/>
        </w:rPr>
        <w:t xml:space="preserve"> </w:t>
      </w:r>
      <w:r w:rsidRPr="00B4198E">
        <w:rPr>
          <w:rFonts w:ascii="Tahoma" w:hAnsi="Tahoma" w:cs="Tahoma" w:hint="cs"/>
          <w:b/>
          <w:color w:val="0D0D0D" w:themeColor="text1" w:themeTint="F2"/>
          <w:sz w:val="18"/>
          <w:szCs w:val="18"/>
          <w:rtl/>
        </w:rPr>
        <w:t xml:space="preserve">להעברות מידע </w:t>
      </w:r>
      <w:r w:rsidRPr="00B4198E">
        <w:rPr>
          <w:rFonts w:ascii="Tahoma" w:hAnsi="Tahoma" w:cs="Tahoma" w:hint="eastAsia"/>
          <w:b/>
          <w:color w:val="0D0D0D" w:themeColor="text1" w:themeTint="F2"/>
          <w:sz w:val="18"/>
          <w:szCs w:val="18"/>
          <w:rtl/>
        </w:rPr>
        <w:t>תייחד</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דיונים</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לנושא</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שדרת</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המידע</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לשם</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קידומו</w:t>
      </w:r>
      <w:r w:rsidRPr="00B4198E">
        <w:rPr>
          <w:rFonts w:ascii="Tahoma" w:hAnsi="Tahoma" w:cs="Tahoma"/>
          <w:b/>
          <w:color w:val="0D0D0D" w:themeColor="text1" w:themeTint="F2"/>
          <w:sz w:val="18"/>
          <w:szCs w:val="18"/>
          <w:rtl/>
        </w:rPr>
        <w:t>.</w:t>
      </w:r>
    </w:p>
    <w:p w14:paraId="232F782A" w14:textId="77777777" w:rsidR="007478B2" w:rsidRPr="007F0192" w:rsidRDefault="007478B2" w:rsidP="00347A82">
      <w:pPr>
        <w:spacing w:line="260" w:lineRule="exact"/>
        <w:jc w:val="both"/>
        <w:rPr>
          <w:rFonts w:ascii="Tahoma" w:hAnsi="Tahoma" w:cs="Tahoma"/>
          <w:sz w:val="18"/>
          <w:szCs w:val="18"/>
          <w:rtl/>
        </w:rPr>
      </w:pPr>
    </w:p>
    <w:p w14:paraId="6F21A890" w14:textId="77777777" w:rsidR="007478B2" w:rsidRDefault="007478B2" w:rsidP="007478B2">
      <w:pPr>
        <w:pStyle w:val="KOT4N"/>
        <w:rPr>
          <w:rtl/>
        </w:rPr>
      </w:pPr>
      <w:r>
        <w:rPr>
          <w:rFonts w:hint="cs"/>
          <w:rtl/>
        </w:rPr>
        <w:t>ניהול סיכוני אבטחת מידע וסייבר</w:t>
      </w:r>
      <w:r w:rsidRPr="007868A8">
        <w:rPr>
          <w:rFonts w:hint="cs"/>
          <w:rtl/>
        </w:rPr>
        <w:t xml:space="preserve"> </w:t>
      </w:r>
      <w:r>
        <w:rPr>
          <w:rFonts w:hint="cs"/>
          <w:rtl/>
        </w:rPr>
        <w:t>ב</w:t>
      </w:r>
      <w:r w:rsidRPr="007868A8">
        <w:rPr>
          <w:rFonts w:hint="cs"/>
          <w:rtl/>
        </w:rPr>
        <w:t>שדרת המידע</w:t>
      </w:r>
    </w:p>
    <w:p w14:paraId="794C9D30"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במכרז נכתב כי מערכת שדרת המידע היא "תשתית חיונית" משני היבטים: (א) היבט של אבטחת מידע והגנת הסייבר, שכן מידע רב הנוגע לאזרחים מתוכנן לעבור דרכה, לרבות מידע רגיש כגון מידע רפואי, ולכן אבן יסוד של התשתית שתוקם היא היותה מאובטחת; (ב) היבט של רציפות השירותים לאזרח, מאחר שפגיעה בזמינות המערכת תגרום לפגיעה ניכרת בשירות לאזרח. </w:t>
      </w:r>
    </w:p>
    <w:p w14:paraId="0B372477" w14:textId="77777777" w:rsidR="007478B2" w:rsidRPr="007F0192" w:rsidRDefault="007478B2" w:rsidP="00347A82">
      <w:pPr>
        <w:spacing w:line="260" w:lineRule="exact"/>
        <w:jc w:val="both"/>
        <w:rPr>
          <w:rFonts w:ascii="Tahoma" w:hAnsi="Tahoma" w:cs="Tahoma"/>
          <w:sz w:val="18"/>
          <w:szCs w:val="18"/>
          <w:rtl/>
        </w:rPr>
      </w:pPr>
    </w:p>
    <w:p w14:paraId="5D7E9D9B" w14:textId="77777777" w:rsidR="007478B2" w:rsidRDefault="007478B2" w:rsidP="007478B2">
      <w:pPr>
        <w:pStyle w:val="KOT5N"/>
        <w:rPr>
          <w:rtl/>
        </w:rPr>
      </w:pPr>
      <w:r>
        <w:rPr>
          <w:rFonts w:hint="cs"/>
          <w:rtl/>
        </w:rPr>
        <w:t>סקר סיכוני אבטחת מידע</w:t>
      </w:r>
    </w:p>
    <w:p w14:paraId="5D711BDF"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על פי מסמך "תורת ההגנה בסייבר לארגון"</w:t>
      </w:r>
      <w:r w:rsidRPr="007F0192">
        <w:rPr>
          <w:rStyle w:val="1b"/>
          <w:rFonts w:ascii="Tahoma" w:hAnsi="Tahoma" w:cs="Tahoma"/>
          <w:sz w:val="18"/>
          <w:szCs w:val="18"/>
          <w:rtl/>
        </w:rPr>
        <w:footnoteReference w:id="80"/>
      </w:r>
      <w:r w:rsidRPr="007F0192">
        <w:rPr>
          <w:rFonts w:ascii="Tahoma" w:hAnsi="Tahoma" w:cs="Tahoma" w:hint="cs"/>
          <w:sz w:val="18"/>
          <w:szCs w:val="18"/>
          <w:rtl/>
        </w:rPr>
        <w:t xml:space="preserve"> (להלן - מסמך תורת ההגנה) שפרסם מערך הסייבר הלאומי במשרד ראש הממשלה באפריל 2018</w:t>
      </w:r>
      <w:r w:rsidRPr="007F0192">
        <w:rPr>
          <w:rStyle w:val="1b"/>
          <w:rFonts w:ascii="Tahoma" w:hAnsi="Tahoma" w:cs="Tahoma"/>
          <w:sz w:val="18"/>
          <w:szCs w:val="18"/>
          <w:rtl/>
        </w:rPr>
        <w:footnoteReference w:id="81"/>
      </w:r>
      <w:r w:rsidRPr="007F0192">
        <w:rPr>
          <w:rFonts w:ascii="Tahoma" w:hAnsi="Tahoma" w:cs="Tahoma" w:hint="cs"/>
          <w:sz w:val="18"/>
          <w:szCs w:val="18"/>
          <w:rtl/>
        </w:rPr>
        <w:t xml:space="preserve"> (להלן - מערך הסייבר), יש להעריך את סיכוני הסייבר ואבטחת המידע הקשורים לפיתוח ולרכש של מערכת חדשה ולנהלם על פי תהליכי ניהול הסיכונים בארגון. </w:t>
      </w:r>
    </w:p>
    <w:p w14:paraId="57472EAD"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על פי הנחיית רשות התקשוב בנושא "עקרונות לניהול סיכוני תקשוב במשרדי ממשלה"</w:t>
      </w:r>
      <w:r w:rsidRPr="007F0192">
        <w:rPr>
          <w:rStyle w:val="1b"/>
          <w:rFonts w:ascii="Tahoma" w:hAnsi="Tahoma" w:cs="Tahoma"/>
          <w:sz w:val="18"/>
          <w:szCs w:val="18"/>
          <w:rtl/>
        </w:rPr>
        <w:footnoteReference w:id="82"/>
      </w:r>
      <w:r w:rsidRPr="007F0192">
        <w:rPr>
          <w:rFonts w:ascii="Tahoma" w:hAnsi="Tahoma" w:cs="Tahoma" w:hint="cs"/>
          <w:sz w:val="18"/>
          <w:szCs w:val="18"/>
          <w:rtl/>
        </w:rPr>
        <w:t>, הליך ניהול סיכוני תקשוב בארגון כולל כמה סוגי סיכונים: (א) סיכוני תקשוב בפרויקט בשל אירועי כשל העלולים לפגוע בהשגת מטרותיו; (ב) סיכוני תקשוב במערכת מידע ובתהליך העסקי שבו היא תומכת, לרבות חשש לפגיעה בדיוק הנתונים ובשלמותם ובניהול הרשאות; (ג) סיכוני אבטחת מידע הנובעים מהאפשרות לחשיפה או לפגיעה וגרימת נזק לנכסי המידע בארגון עקב ניצול חולשה של המערכת הממוחשבת.</w:t>
      </w:r>
    </w:p>
    <w:p w14:paraId="60D67591"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lastRenderedPageBreak/>
        <w:t>על פי הנחיית היחידה להגנת הסייבר בממשלה (יה"ב)</w:t>
      </w:r>
      <w:r w:rsidRPr="007F0192">
        <w:rPr>
          <w:rStyle w:val="1b"/>
          <w:rFonts w:ascii="Tahoma" w:hAnsi="Tahoma" w:cs="Tahoma"/>
          <w:sz w:val="18"/>
          <w:szCs w:val="18"/>
          <w:rtl/>
        </w:rPr>
        <w:footnoteReference w:id="83"/>
      </w:r>
      <w:r w:rsidRPr="007F0192">
        <w:rPr>
          <w:rFonts w:ascii="Tahoma" w:hAnsi="Tahoma" w:cs="Tahoma" w:hint="cs"/>
          <w:sz w:val="18"/>
          <w:szCs w:val="18"/>
          <w:rtl/>
        </w:rPr>
        <w:t xml:space="preserve"> בנושא "ניהול סיכוני סייבר במשרדי ממשלה"</w:t>
      </w:r>
      <w:r w:rsidRPr="007F0192">
        <w:rPr>
          <w:rStyle w:val="af3"/>
          <w:rFonts w:ascii="Tahoma" w:hAnsi="Tahoma" w:cs="Tahoma"/>
          <w:sz w:val="18"/>
          <w:szCs w:val="18"/>
          <w:rtl/>
        </w:rPr>
        <w:footnoteReference w:id="84"/>
      </w:r>
      <w:r w:rsidRPr="007F0192">
        <w:rPr>
          <w:rFonts w:ascii="Tahoma" w:hAnsi="Tahoma" w:cs="Tahoma" w:hint="cs"/>
          <w:sz w:val="18"/>
          <w:szCs w:val="18"/>
          <w:rtl/>
        </w:rPr>
        <w:t>, סיכון אבטחת מידע הוא שילוב של שלושה מרכיבים: (א) נכסי המידע - המידע, מערכות המחשוב המעבדות אותו והמאכסנות אותו, וכן התקשורת, האמצעים והציוד שעליהם הוא מושתת; (ב) חולשה או פגיעו</w:t>
      </w:r>
      <w:r w:rsidRPr="007F0192">
        <w:rPr>
          <w:rFonts w:ascii="Tahoma" w:hAnsi="Tahoma" w:cs="Tahoma" w:hint="eastAsia"/>
          <w:sz w:val="18"/>
          <w:szCs w:val="18"/>
          <w:rtl/>
        </w:rPr>
        <w:t>ּ</w:t>
      </w:r>
      <w:r w:rsidRPr="007F0192">
        <w:rPr>
          <w:rFonts w:ascii="Tahoma" w:hAnsi="Tahoma" w:cs="Tahoma" w:hint="cs"/>
          <w:sz w:val="18"/>
          <w:szCs w:val="18"/>
          <w:rtl/>
        </w:rPr>
        <w:t>ת - פרצה במערכת הממוחשבת, אשר עלולה לפגוע בסודיות המערכת ובמידע שהיא מכילה, בשלמותה או בזמינותה; (ג) איום - כל שילוב מצבים העלולים להשפיע לרעה על פעולות הארגון, על נכסיו או על אנשים באמצעות מערכת המידע לצורך השגת גישה לא מורשית למידע, הרס המידע, חשיפתו או שינויים בו. כדי לאמוד את הסיכון יש לנתח את המצב של כל אחד משלושת המרכיבים.</w:t>
      </w:r>
    </w:p>
    <w:p w14:paraId="1E6929E6"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במסמך ניהול הסיכונים של שדרת המידע שמסרה כאמור רשות התקשוב למשרד מבקר המדינה בנובמבר 2020 נכללו סיכוני תקשוב הקשורים לתהליך ההטמעה של המערכת במשרדים. מסמך ניהול הסיכונים לא כלל סיכוני אבטחת מידע של המערכת. רשות התקשוב מסרה למשרד מבקר המדינה באוגוסט 2020 כי עדיין לא בוצע סקר סיכונים ספציפי לשדרת המידע.</w:t>
      </w:r>
    </w:p>
    <w:p w14:paraId="43791773"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רשות התקשוב מסרה בתשובתה כי היא עומדת להשלים את הגדרת הארכיטקטורה של המערכת על כלל רכיביה, ובהתאם לכך הוחל בהיערכות לביצוע סקר סיכונים לכלל המערכות בתשתית זו. הסקר יבוצע במהלך שנת 2021 מתוך מודעות לרגישות המערכת.</w:t>
      </w:r>
    </w:p>
    <w:p w14:paraId="178567C7" w14:textId="77777777" w:rsidR="007478B2" w:rsidRPr="00B4198E" w:rsidRDefault="007478B2" w:rsidP="00B4198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B4198E">
        <w:rPr>
          <w:rFonts w:ascii="Tahoma" w:hAnsi="Tahoma" w:cs="Tahoma" w:hint="cs"/>
          <w:b/>
          <w:color w:val="0D0D0D" w:themeColor="text1" w:themeTint="F2"/>
          <w:sz w:val="18"/>
          <w:szCs w:val="18"/>
          <w:rtl/>
        </w:rPr>
        <w:t xml:space="preserve">מאחר ששדרת המידע הוגדרה תשתית חיונית בהיבט של אבטחת מידע והגנת הסייבר, שכן מידע רב הנוגע לאזרחים עובר דרכה, לרבות מידע רגיש כגון מידע רפואי, על רשות התקשוב להשלים ביצוע סקר סיכוני אבטחת מידע ספציפי למערכת זו. </w:t>
      </w:r>
    </w:p>
    <w:p w14:paraId="73EAFE54" w14:textId="77777777" w:rsidR="007478B2" w:rsidRPr="007F0192" w:rsidRDefault="007478B2" w:rsidP="00347A82">
      <w:pPr>
        <w:spacing w:line="260" w:lineRule="exact"/>
        <w:jc w:val="both"/>
        <w:rPr>
          <w:rFonts w:ascii="Tahoma" w:hAnsi="Tahoma" w:cs="Tahoma"/>
          <w:sz w:val="18"/>
          <w:szCs w:val="18"/>
          <w:rtl/>
        </w:rPr>
      </w:pPr>
    </w:p>
    <w:p w14:paraId="192BCFD5" w14:textId="77777777" w:rsidR="007478B2" w:rsidRPr="00C31C6A" w:rsidRDefault="007478B2" w:rsidP="007478B2">
      <w:pPr>
        <w:pStyle w:val="KOT5N"/>
        <w:rPr>
          <w:rtl/>
        </w:rPr>
      </w:pPr>
      <w:r>
        <w:rPr>
          <w:rFonts w:hint="cs"/>
          <w:rtl/>
        </w:rPr>
        <w:t xml:space="preserve">תוכנית להתאוששות מאסון </w:t>
      </w:r>
    </w:p>
    <w:p w14:paraId="40D0E6D6"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על פי "הנחיית מסגרת להגנת הסייבר בממשלה" של יה"ב</w:t>
      </w:r>
      <w:r w:rsidRPr="007F0192">
        <w:rPr>
          <w:rStyle w:val="af3"/>
          <w:rFonts w:ascii="Tahoma" w:hAnsi="Tahoma" w:cs="Tahoma"/>
          <w:sz w:val="18"/>
          <w:szCs w:val="18"/>
          <w:rtl/>
        </w:rPr>
        <w:footnoteReference w:id="85"/>
      </w:r>
      <w:r w:rsidRPr="007F0192">
        <w:rPr>
          <w:rFonts w:ascii="Tahoma" w:hAnsi="Tahoma" w:cs="Tahoma" w:hint="cs"/>
          <w:sz w:val="18"/>
          <w:szCs w:val="18"/>
          <w:rtl/>
        </w:rPr>
        <w:t xml:space="preserve">, היערכות להמשכיות תפקודית של מערכות המידע במשרד נועדה לסכל הפרעות לפעילותו השוטפת ולהגן על הנתונים מפני הרס, שיבוש ומחיקה, הנגרמים בהשפעת מקרי כשל מהותיים או מקרי אסון במערכות התקשוב הפיזיות והלוגיות של המשרד (כגון שרפה, הצפה, מלחמה ואסונות טבע). </w:t>
      </w:r>
    </w:p>
    <w:p w14:paraId="29346C05"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עוד נכתב בהנחיה כי יש לגבש תוכנית להמשכיות תפקודית אשר תכלול גם תוכנית להתאוששות מאסון (</w:t>
      </w:r>
      <w:r w:rsidRPr="007F0192">
        <w:rPr>
          <w:rFonts w:ascii="Tahoma" w:hAnsi="Tahoma" w:cs="Tahoma" w:hint="cs"/>
          <w:sz w:val="18"/>
          <w:szCs w:val="18"/>
        </w:rPr>
        <w:t>DRP</w:t>
      </w:r>
      <w:r w:rsidRPr="007F0192">
        <w:rPr>
          <w:rStyle w:val="af3"/>
          <w:rFonts w:ascii="Tahoma" w:hAnsi="Tahoma" w:cs="Tahoma"/>
          <w:sz w:val="18"/>
          <w:szCs w:val="18"/>
        </w:rPr>
        <w:footnoteReference w:id="86"/>
      </w:r>
      <w:r w:rsidRPr="007F0192">
        <w:rPr>
          <w:rFonts w:ascii="Tahoma" w:hAnsi="Tahoma" w:cs="Tahoma" w:hint="cs"/>
          <w:sz w:val="18"/>
          <w:szCs w:val="18"/>
          <w:rtl/>
        </w:rPr>
        <w:t xml:space="preserve">), המבוססת על הערכת סיכונים נאותה, המפרטת את כלל האמצעים שיש לנקוט בעקבות אירוע חירום המסכן את פעילותו התקינה של המשרד. </w:t>
      </w:r>
    </w:p>
    <w:p w14:paraId="5B20D235"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במסמך הסיכונים צוין בין היתר הסיכון התפעולי "אי-קיום סביבת </w:t>
      </w:r>
      <w:r w:rsidRPr="007F0192">
        <w:rPr>
          <w:rFonts w:ascii="Tahoma" w:hAnsi="Tahoma" w:cs="Tahoma"/>
          <w:sz w:val="18"/>
          <w:szCs w:val="18"/>
        </w:rPr>
        <w:t>DRP</w:t>
      </w:r>
      <w:r w:rsidRPr="007F0192">
        <w:rPr>
          <w:rFonts w:ascii="Tahoma" w:hAnsi="Tahoma" w:cs="Tahoma" w:hint="cs"/>
          <w:sz w:val="18"/>
          <w:szCs w:val="18"/>
          <w:rtl/>
        </w:rPr>
        <w:t xml:space="preserve">". במסמך נכתב כי במסגרת הפרויקט נדרשת הקמת תשתית </w:t>
      </w:r>
      <w:r w:rsidRPr="007F0192">
        <w:rPr>
          <w:rFonts w:ascii="Tahoma" w:hAnsi="Tahoma" w:cs="Tahoma" w:hint="cs"/>
          <w:sz w:val="18"/>
          <w:szCs w:val="18"/>
        </w:rPr>
        <w:t>DRP</w:t>
      </w:r>
      <w:r w:rsidRPr="007F0192">
        <w:rPr>
          <w:rFonts w:ascii="Tahoma" w:hAnsi="Tahoma" w:cs="Tahoma" w:hint="cs"/>
          <w:sz w:val="18"/>
          <w:szCs w:val="18"/>
          <w:rtl/>
        </w:rPr>
        <w:t xml:space="preserve"> במשרדי הממשלה ובממשל זמין לצורך אבטחת </w:t>
      </w:r>
      <w:r w:rsidRPr="007F0192">
        <w:rPr>
          <w:rFonts w:ascii="Tahoma" w:hAnsi="Tahoma" w:cs="Tahoma" w:hint="cs"/>
          <w:sz w:val="18"/>
          <w:szCs w:val="18"/>
          <w:rtl/>
        </w:rPr>
        <w:lastRenderedPageBreak/>
        <w:t xml:space="preserve">רציפות פעילותה של המערכת אם יתרחש אסון. בתוכנית הטיפול בסיכון נכתב כי הקמת סביבת </w:t>
      </w:r>
      <w:r w:rsidRPr="007F0192">
        <w:rPr>
          <w:rFonts w:ascii="Tahoma" w:hAnsi="Tahoma" w:cs="Tahoma" w:hint="cs"/>
          <w:sz w:val="18"/>
          <w:szCs w:val="18"/>
        </w:rPr>
        <w:t>DRP</w:t>
      </w:r>
      <w:r w:rsidRPr="007F0192">
        <w:rPr>
          <w:rFonts w:ascii="Tahoma" w:hAnsi="Tahoma" w:cs="Tahoma" w:hint="cs"/>
          <w:sz w:val="18"/>
          <w:szCs w:val="18"/>
          <w:rtl/>
        </w:rPr>
        <w:t xml:space="preserve"> למערכת מתוכננת לביצוע בשנת 2021. </w:t>
      </w:r>
    </w:p>
    <w:p w14:paraId="152D25A8" w14:textId="77777777" w:rsidR="007478B2" w:rsidRPr="00B4198E" w:rsidRDefault="007478B2" w:rsidP="00B4198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B4198E">
        <w:rPr>
          <w:rFonts w:ascii="Tahoma" w:hAnsi="Tahoma" w:cs="Tahoma" w:hint="cs"/>
          <w:b/>
          <w:color w:val="0D0D0D" w:themeColor="text1" w:themeTint="F2"/>
          <w:sz w:val="18"/>
          <w:szCs w:val="18"/>
          <w:rtl/>
        </w:rPr>
        <w:t>עולה אפוא כי אף ששדרת המידע הוגדרה כתשתית חיונית בהיבט של רציפות השירותים לאזרח, טרם הוכן אתר התאוששות מאסון למערכת ולא נכתבה תוכנית התאוששות מאסון.</w:t>
      </w:r>
    </w:p>
    <w:p w14:paraId="000A4ED0"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רשות התקשוב מסרה למשרד מבקר המדינה באוגוסט 2020 כי סביבות העבודה של שדרת המידע מותקנות באופן המבטיח להן שרידות גבוהה, הכולל שרתים בתצורת "אשכולות" (</w:t>
      </w:r>
      <w:r w:rsidRPr="007F0192">
        <w:rPr>
          <w:rFonts w:ascii="Tahoma" w:hAnsi="Tahoma" w:cs="Tahoma" w:hint="cs"/>
          <w:sz w:val="18"/>
          <w:szCs w:val="18"/>
        </w:rPr>
        <w:t>C</w:t>
      </w:r>
      <w:r w:rsidRPr="007F0192">
        <w:rPr>
          <w:rFonts w:ascii="Tahoma" w:hAnsi="Tahoma" w:cs="Tahoma"/>
          <w:sz w:val="18"/>
          <w:szCs w:val="18"/>
        </w:rPr>
        <w:t>luster</w:t>
      </w:r>
      <w:r w:rsidRPr="007F0192">
        <w:rPr>
          <w:rFonts w:ascii="Tahoma" w:hAnsi="Tahoma" w:cs="Tahoma" w:hint="cs"/>
          <w:sz w:val="18"/>
          <w:szCs w:val="18"/>
          <w:rtl/>
        </w:rPr>
        <w:t>)</w:t>
      </w:r>
      <w:r w:rsidRPr="007F0192">
        <w:rPr>
          <w:rStyle w:val="af3"/>
          <w:rFonts w:ascii="Tahoma" w:hAnsi="Tahoma" w:cs="Tahoma"/>
          <w:sz w:val="18"/>
          <w:szCs w:val="18"/>
          <w:rtl/>
        </w:rPr>
        <w:footnoteReference w:id="87"/>
      </w:r>
      <w:r w:rsidRPr="007F0192">
        <w:rPr>
          <w:rFonts w:ascii="Tahoma" w:hAnsi="Tahoma" w:cs="Tahoma" w:hint="cs"/>
          <w:sz w:val="18"/>
          <w:szCs w:val="18"/>
          <w:rtl/>
        </w:rPr>
        <w:t>. כמו כן מתוכננת התקנת המערכת באתר ההתאוששות מאסון (</w:t>
      </w:r>
      <w:r w:rsidRPr="007F0192">
        <w:rPr>
          <w:rFonts w:ascii="Tahoma" w:hAnsi="Tahoma" w:cs="Tahoma" w:hint="cs"/>
          <w:sz w:val="18"/>
          <w:szCs w:val="18"/>
        </w:rPr>
        <w:t>DR</w:t>
      </w:r>
      <w:r w:rsidRPr="007F0192">
        <w:rPr>
          <w:rFonts w:ascii="Tahoma" w:hAnsi="Tahoma" w:cs="Tahoma" w:hint="cs"/>
          <w:sz w:val="18"/>
          <w:szCs w:val="18"/>
          <w:rtl/>
        </w:rPr>
        <w:t>) של ממשל זמין שמאפשר מעבר לאתר הגיבוי וחזרה ממנו על פי נוהלי ממשל זמין. התכנון הוא להקים את אתר ה-</w:t>
      </w:r>
      <w:r w:rsidRPr="007F0192">
        <w:rPr>
          <w:rFonts w:ascii="Tahoma" w:hAnsi="Tahoma" w:cs="Tahoma" w:hint="cs"/>
          <w:sz w:val="18"/>
          <w:szCs w:val="18"/>
        </w:rPr>
        <w:t>DR</w:t>
      </w:r>
      <w:r w:rsidRPr="007F0192">
        <w:rPr>
          <w:rFonts w:ascii="Tahoma" w:hAnsi="Tahoma" w:cs="Tahoma" w:hint="cs"/>
          <w:sz w:val="18"/>
          <w:szCs w:val="18"/>
          <w:rtl/>
        </w:rPr>
        <w:t xml:space="preserve"> בשנת 2021. עוד מסרה רשות התקשוב כי טרם הוכנה תוכנית התאוששות ספציפית למערכת שדרת המידע, וכי הכנתה מתוכננת בשנת 2021 בד בבד עם הקמת אתר ה-</w:t>
      </w:r>
      <w:r w:rsidRPr="007F0192">
        <w:rPr>
          <w:rFonts w:ascii="Tahoma" w:hAnsi="Tahoma" w:cs="Tahoma" w:hint="cs"/>
          <w:sz w:val="18"/>
          <w:szCs w:val="18"/>
        </w:rPr>
        <w:t>DR</w:t>
      </w:r>
      <w:r w:rsidRPr="007F0192">
        <w:rPr>
          <w:rFonts w:ascii="Tahoma" w:hAnsi="Tahoma" w:cs="Tahoma" w:hint="cs"/>
          <w:sz w:val="18"/>
          <w:szCs w:val="18"/>
          <w:rtl/>
        </w:rPr>
        <w:t>.</w:t>
      </w:r>
    </w:p>
    <w:p w14:paraId="267E3E8E" w14:textId="77777777" w:rsidR="007478B2" w:rsidRPr="00B4198E" w:rsidRDefault="007478B2" w:rsidP="00B4198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B4198E">
        <w:rPr>
          <w:rFonts w:ascii="Tahoma" w:hAnsi="Tahoma" w:cs="Tahoma" w:hint="cs"/>
          <w:b/>
          <w:color w:val="0D0D0D" w:themeColor="text1" w:themeTint="F2"/>
          <w:sz w:val="18"/>
          <w:szCs w:val="18"/>
          <w:rtl/>
        </w:rPr>
        <w:t>מאחר ששדרת המידע הוגדרה כתשתית חיונית, בין היתר מאחר שפגיעה בזמינות שלה תגרום לפגיעה משמעותית בשירות לאזרח, על רשות התקשוב להשלים הקמת אתר התאוששות מאסון (</w:t>
      </w:r>
      <w:r w:rsidRPr="005F3FC0">
        <w:rPr>
          <w:rFonts w:ascii="Tahoma" w:hAnsi="Tahoma" w:cs="Tahoma" w:hint="cs"/>
          <w:bCs/>
          <w:color w:val="0D0D0D" w:themeColor="text1" w:themeTint="F2"/>
          <w:sz w:val="18"/>
          <w:szCs w:val="18"/>
        </w:rPr>
        <w:t>DR</w:t>
      </w:r>
      <w:r w:rsidRPr="00B4198E">
        <w:rPr>
          <w:rFonts w:ascii="Tahoma" w:hAnsi="Tahoma" w:cs="Tahoma" w:hint="cs"/>
          <w:b/>
          <w:color w:val="0D0D0D" w:themeColor="text1" w:themeTint="F2"/>
          <w:sz w:val="18"/>
          <w:szCs w:val="18"/>
          <w:rtl/>
        </w:rPr>
        <w:t xml:space="preserve">) למערכת זו וכן להשלים הכנת תוכנית התאוששות ספציפית למערכת, שתבטיח המשכיות עסקית במתן השירות לציבור אם יתרחש אירוע שיגרום להשבתתה. </w:t>
      </w:r>
    </w:p>
    <w:p w14:paraId="5744E3DB" w14:textId="77777777" w:rsidR="005F3FC0" w:rsidRDefault="005F3FC0" w:rsidP="005F3FC0">
      <w:pPr>
        <w:bidi w:val="0"/>
        <w:rPr>
          <w:rFonts w:ascii="Tahoma" w:hAnsi="Tahoma" w:cs="Tahoma"/>
          <w:color w:val="231F20"/>
          <w:sz w:val="18"/>
          <w:szCs w:val="18"/>
          <w:rtl/>
        </w:rPr>
      </w:pPr>
      <w:r>
        <w:rPr>
          <w:rFonts w:ascii="Tahoma" w:hAnsi="Tahoma" w:cs="Tahoma"/>
          <w:color w:val="231F20"/>
          <w:sz w:val="18"/>
          <w:szCs w:val="18"/>
          <w:rtl/>
        </w:rPr>
        <w:br w:type="page"/>
      </w:r>
    </w:p>
    <w:p w14:paraId="08E6368F" w14:textId="77777777" w:rsidR="005F3FC0" w:rsidRDefault="005F3FC0" w:rsidP="005F3FC0">
      <w:pPr>
        <w:spacing w:after="0" w:line="220" w:lineRule="exact"/>
        <w:ind w:left="227" w:right="227"/>
        <w:jc w:val="both"/>
        <w:rPr>
          <w:rFonts w:ascii="Tahoma" w:hAnsi="Tahoma" w:cs="Tahoma"/>
          <w:b/>
          <w:color w:val="231F20"/>
          <w:sz w:val="18"/>
          <w:szCs w:val="18"/>
          <w:rtl/>
        </w:rPr>
      </w:pPr>
      <w:r>
        <w:rPr>
          <w:rFonts w:ascii="Tahoma" w:hAnsi="Tahoma" w:cs="Tahoma" w:hint="cs"/>
          <w:noProof/>
          <w:color w:val="003364"/>
          <w:szCs w:val="24"/>
          <w:rtl/>
        </w:rPr>
        <w:lastRenderedPageBreak/>
        <mc:AlternateContent>
          <mc:Choice Requires="wps">
            <w:drawing>
              <wp:anchor distT="0" distB="0" distL="114300" distR="114300" simplePos="0" relativeHeight="251674112" behindDoc="0" locked="0" layoutInCell="1" allowOverlap="1" wp14:anchorId="66CDDE23" wp14:editId="74147C3E">
                <wp:simplePos x="0" y="0"/>
                <wp:positionH relativeFrom="column">
                  <wp:posOffset>-23290</wp:posOffset>
                </wp:positionH>
                <wp:positionV relativeFrom="paragraph">
                  <wp:posOffset>141894</wp:posOffset>
                </wp:positionV>
                <wp:extent cx="4716000" cy="432000"/>
                <wp:effectExtent l="0" t="0" r="27940" b="25400"/>
                <wp:wrapNone/>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16000" cy="432000"/>
                        </a:xfrm>
                        <a:prstGeom prst="rect">
                          <a:avLst/>
                        </a:prstGeom>
                        <a:solidFill>
                          <a:srgbClr val="619CD3"/>
                        </a:solidFill>
                        <a:ln>
                          <a:solidFill>
                            <a:srgbClr val="619CD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A8CC78" w14:textId="77777777" w:rsidR="00106932" w:rsidRPr="00224285" w:rsidRDefault="00106932" w:rsidP="005F3FC0">
                            <w:pPr>
                              <w:spacing w:after="60" w:line="240" w:lineRule="atLeast"/>
                              <w:ind w:left="113"/>
                              <w:rPr>
                                <w:rFonts w:ascii="Tahoma" w:hAnsi="Tahoma" w:cs="Tahoma"/>
                                <w:b/>
                                <w:bCs/>
                                <w:sz w:val="32"/>
                                <w:szCs w:val="32"/>
                              </w:rPr>
                            </w:pPr>
                            <w:bookmarkStart w:id="9" w:name="_GoBack"/>
                            <w:r w:rsidRPr="00224285">
                              <w:rPr>
                                <w:rFonts w:ascii="Tahoma" w:hAnsi="Tahoma" w:cs="Tahoma"/>
                                <w:b/>
                                <w:bCs/>
                                <w:sz w:val="32"/>
                                <w:szCs w:val="32"/>
                                <w:rtl/>
                              </w:rPr>
                              <w:t>סיכום</w:t>
                            </w:r>
                            <w:bookmarkEnd w:id="9"/>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DDE23" id="Rectangle 37" o:spid="_x0000_s1029" style="position:absolute;left:0;text-align:left;margin-left:-1.85pt;margin-top:11.15pt;width:371.35pt;height:3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" fillcolor="#619cd3" strokecolor="#619cd3" strokeweight="1.5pt">
                <v:stroke endcap="round"/>
                <v:textbox>
                  <w:txbxContent>
                    <w:p w14:paraId="15A8CC78" w14:textId="77777777" w:rsidR="00106932" w:rsidRPr="00224285" w:rsidRDefault="00106932" w:rsidP="005F3FC0">
                      <w:pPr>
                        <w:spacing w:after="60" w:line="240" w:lineRule="atLeast"/>
                        <w:ind w:left="113"/>
                        <w:rPr>
                          <w:rFonts w:ascii="Tahoma" w:hAnsi="Tahoma" w:cs="Tahoma"/>
                          <w:b/>
                          <w:bCs/>
                          <w:sz w:val="32"/>
                          <w:szCs w:val="32"/>
                        </w:rPr>
                      </w:pPr>
                      <w:bookmarkStart w:id="10" w:name="_GoBack"/>
                      <w:r w:rsidRPr="00224285">
                        <w:rPr>
                          <w:rFonts w:ascii="Tahoma" w:hAnsi="Tahoma" w:cs="Tahoma"/>
                          <w:b/>
                          <w:bCs/>
                          <w:sz w:val="32"/>
                          <w:szCs w:val="32"/>
                          <w:rtl/>
                        </w:rPr>
                        <w:t>סיכום</w:t>
                      </w:r>
                      <w:bookmarkEnd w:id="10"/>
                    </w:p>
                  </w:txbxContent>
                </v:textbox>
              </v:rect>
            </w:pict>
          </mc:Fallback>
        </mc:AlternateContent>
      </w:r>
    </w:p>
    <w:p w14:paraId="02C7B1F1" w14:textId="77777777" w:rsidR="005F3FC0" w:rsidRDefault="005F3FC0" w:rsidP="005F3FC0">
      <w:pPr>
        <w:pBdr>
          <w:top w:val="single" w:sz="18" w:space="4" w:color="EDF1FA"/>
          <w:left w:val="single" w:sz="18" w:space="11" w:color="EDF1FA"/>
          <w:bottom w:val="single" w:sz="18" w:space="6" w:color="EDF1FA"/>
          <w:right w:val="single" w:sz="18" w:space="10" w:color="EDF1FA"/>
        </w:pBdr>
        <w:shd w:val="clear" w:color="auto" w:fill="EDF1FA"/>
        <w:spacing w:before="240" w:line="260" w:lineRule="exact"/>
        <w:ind w:left="227" w:right="227"/>
        <w:jc w:val="both"/>
        <w:rPr>
          <w:rFonts w:ascii="Tahoma" w:hAnsi="Tahoma" w:cs="Tahoma"/>
          <w:b/>
          <w:color w:val="231F20"/>
          <w:sz w:val="18"/>
          <w:szCs w:val="18"/>
          <w:rtl/>
        </w:rPr>
      </w:pPr>
    </w:p>
    <w:p w14:paraId="04390703" w14:textId="77777777" w:rsidR="007478B2" w:rsidRPr="005F3FC0" w:rsidRDefault="007478B2" w:rsidP="005F3FC0">
      <w:pPr>
        <w:pBdr>
          <w:top w:val="single" w:sz="18" w:space="4" w:color="EDF1FA"/>
          <w:left w:val="single" w:sz="18" w:space="11" w:color="EDF1FA"/>
          <w:bottom w:val="single" w:sz="18" w:space="6" w:color="EDF1FA"/>
          <w:right w:val="single" w:sz="18" w:space="10" w:color="EDF1FA"/>
        </w:pBdr>
        <w:shd w:val="clear" w:color="auto" w:fill="CEEAF5"/>
        <w:spacing w:before="240" w:line="260" w:lineRule="exact"/>
        <w:ind w:left="227" w:right="227"/>
        <w:jc w:val="both"/>
        <w:rPr>
          <w:rFonts w:ascii="Tahoma" w:hAnsi="Tahoma" w:cs="Tahoma"/>
          <w:b/>
          <w:color w:val="0D0D0D" w:themeColor="text1" w:themeTint="F2"/>
          <w:sz w:val="18"/>
          <w:szCs w:val="18"/>
          <w:rtl/>
        </w:rPr>
      </w:pPr>
      <w:r w:rsidRPr="005F3FC0">
        <w:rPr>
          <w:rFonts w:ascii="Tahoma" w:hAnsi="Tahoma" w:cs="Tahoma" w:hint="cs"/>
          <w:b/>
          <w:color w:val="0D0D0D" w:themeColor="text1" w:themeTint="F2"/>
          <w:sz w:val="18"/>
          <w:szCs w:val="18"/>
          <w:rtl/>
        </w:rPr>
        <w:t xml:space="preserve">הממשלה החליטה בשנת 2016 לאמץ מדיניות של קבלת מידע מהציבור פעם אחת בלבד, באמצעות שיתוף מידע בין גופי ממשלה, ולשם שיפור השירות הממשלתי לציבור והפחתת הנטל הבירוקרטי המוטל עליו. המדיניות נועדה לשמש זרז לקידום יעדים ממשלתיים אסטרטגיים כגון מיצוי זכויות האזרחים וצמצום פערים חברתיים, וכן לייעל את עבודת הממשלה ולאפשר לה לספק לציבור שירותים דיגיטליים איכותיים. </w:t>
      </w:r>
    </w:p>
    <w:p w14:paraId="1ACEC1D4" w14:textId="77777777" w:rsidR="007478B2" w:rsidRPr="005F3FC0" w:rsidRDefault="007478B2" w:rsidP="005F3FC0">
      <w:pPr>
        <w:pBdr>
          <w:top w:val="single" w:sz="18" w:space="4" w:color="EDF1FA"/>
          <w:left w:val="single" w:sz="18" w:space="11" w:color="EDF1FA"/>
          <w:bottom w:val="single" w:sz="18" w:space="6" w:color="EDF1FA"/>
          <w:right w:val="single" w:sz="18" w:space="10" w:color="EDF1FA"/>
        </w:pBdr>
        <w:shd w:val="clear" w:color="auto" w:fill="CEEAF5"/>
        <w:spacing w:before="240" w:line="260" w:lineRule="exact"/>
        <w:ind w:left="227" w:right="227"/>
        <w:jc w:val="both"/>
        <w:rPr>
          <w:rFonts w:ascii="Tahoma" w:hAnsi="Tahoma" w:cs="Tahoma"/>
          <w:b/>
          <w:color w:val="0D0D0D" w:themeColor="text1" w:themeTint="F2"/>
          <w:sz w:val="18"/>
          <w:szCs w:val="18"/>
          <w:rtl/>
        </w:rPr>
      </w:pPr>
      <w:r w:rsidRPr="005F3FC0" w:rsidDel="002D7D69">
        <w:rPr>
          <w:rFonts w:ascii="Tahoma" w:hAnsi="Tahoma" w:cs="Tahoma" w:hint="cs"/>
          <w:b/>
          <w:color w:val="0D0D0D" w:themeColor="text1" w:themeTint="F2"/>
          <w:sz w:val="18"/>
          <w:szCs w:val="18"/>
          <w:rtl/>
        </w:rPr>
        <w:t xml:space="preserve">ממצאי דוח זה מלמדים כי עוד ארוכה הדרך ליישום מלא של החלטת הממשלה שקבעה כי החל משנת 2021 משרד ממשלתי לא יבקש מהציבור, לשם מתן שירות, אישור שהנפיק משרד ממשלתי אחר. </w:t>
      </w:r>
      <w:r w:rsidRPr="005F3FC0">
        <w:rPr>
          <w:rFonts w:ascii="Tahoma" w:hAnsi="Tahoma" w:cs="Tahoma" w:hint="cs"/>
          <w:b/>
          <w:color w:val="0D0D0D" w:themeColor="text1" w:themeTint="F2"/>
          <w:sz w:val="18"/>
          <w:szCs w:val="18"/>
          <w:rtl/>
        </w:rPr>
        <w:t xml:space="preserve">ארבע שנים לאחר החלטת הממשלה, לא הייתה תמונה שלמה ומפורטת באשר לשיעור היישום של מדיניות פעם אחת, על כל נדבכיה, במשרדים. נוכח זאת, לא ניתן היה לקיים הליך מיטבי של הצבת יעדים להמשך מימוש המדיניות, לרבות קביעת אבני דרך להתקדמות ומעקב אחר ביצוען. </w:t>
      </w:r>
    </w:p>
    <w:p w14:paraId="08EE9D4A" w14:textId="77777777" w:rsidR="007478B2" w:rsidRPr="005F3FC0" w:rsidRDefault="007478B2" w:rsidP="005F3FC0">
      <w:pPr>
        <w:pBdr>
          <w:top w:val="single" w:sz="18" w:space="4" w:color="EDF1FA"/>
          <w:left w:val="single" w:sz="18" w:space="11" w:color="EDF1FA"/>
          <w:bottom w:val="single" w:sz="18" w:space="6" w:color="EDF1FA"/>
          <w:right w:val="single" w:sz="18" w:space="10" w:color="EDF1FA"/>
        </w:pBdr>
        <w:shd w:val="clear" w:color="auto" w:fill="CEEAF5"/>
        <w:spacing w:before="240" w:line="260" w:lineRule="exact"/>
        <w:ind w:left="227" w:right="227"/>
        <w:jc w:val="both"/>
        <w:rPr>
          <w:rFonts w:ascii="Tahoma" w:hAnsi="Tahoma" w:cs="Tahoma"/>
          <w:b/>
          <w:color w:val="0D0D0D" w:themeColor="text1" w:themeTint="F2"/>
          <w:sz w:val="18"/>
          <w:szCs w:val="18"/>
          <w:rtl/>
        </w:rPr>
      </w:pPr>
      <w:r w:rsidRPr="005F3FC0">
        <w:rPr>
          <w:rFonts w:ascii="Tahoma" w:hAnsi="Tahoma" w:cs="Tahoma" w:hint="cs"/>
          <w:b/>
          <w:color w:val="0D0D0D" w:themeColor="text1" w:themeTint="F2"/>
          <w:sz w:val="18"/>
          <w:szCs w:val="18"/>
          <w:rtl/>
        </w:rPr>
        <w:t xml:space="preserve">ההצלחה של יישום מדיניות פעם אחת בשירותים הממשלתיים מותנית בפעולה משותפת הן מצד משרדי הממשלה ויחידות הסמך - במימוש המדיניות במסגרת מתן שירותיהם, והן מצד רשות התקשוב וישראל דיגיטלית, המשמשות גורם מתכלל ומנחה ליישום המדיניות, לרבות באמצעות הקניית כלים ושיטות ליישום, הסרת חסמים והקלת תהליכים בירוקרטיים וטכנולוגיים. התמודדות המשרדים עם יישום העברות מידע בשירותים הממשלתיים דורשת מחויבות רבה שלהם לתהליך. בהיעדר שיתוף פעולה מלא מצד משרדי הממשלה ויחידות הסמך והפניית התשומות הנדרשות לפעולה, תוך עמידה בלוחות הזמנים שנקבעו, לא ניתן יהיה לקדם את יישום המדיניות ולהשיג את היעדים שנקבעו בהחלטה משנת 2016. </w:t>
      </w:r>
    </w:p>
    <w:p w14:paraId="4514C6FF" w14:textId="77777777" w:rsidR="007478B2" w:rsidRPr="005F3FC0" w:rsidRDefault="007478B2" w:rsidP="005F3FC0">
      <w:pPr>
        <w:pBdr>
          <w:top w:val="single" w:sz="18" w:space="4" w:color="EDF1FA"/>
          <w:left w:val="single" w:sz="18" w:space="11" w:color="EDF1FA"/>
          <w:bottom w:val="single" w:sz="18" w:space="6" w:color="EDF1FA"/>
          <w:right w:val="single" w:sz="18" w:space="10" w:color="EDF1FA"/>
        </w:pBdr>
        <w:shd w:val="clear" w:color="auto" w:fill="CEEAF5"/>
        <w:spacing w:before="240" w:line="260" w:lineRule="exact"/>
        <w:ind w:left="227" w:right="227"/>
        <w:jc w:val="both"/>
        <w:rPr>
          <w:rFonts w:ascii="Tahoma" w:hAnsi="Tahoma" w:cs="Tahoma"/>
          <w:b/>
          <w:color w:val="0D0D0D" w:themeColor="text1" w:themeTint="F2"/>
          <w:sz w:val="18"/>
          <w:szCs w:val="18"/>
          <w:rtl/>
        </w:rPr>
      </w:pPr>
      <w:r w:rsidRPr="005F3FC0">
        <w:rPr>
          <w:rFonts w:ascii="Tahoma" w:hAnsi="Tahoma" w:cs="Tahoma" w:hint="cs"/>
          <w:b/>
          <w:color w:val="0D0D0D" w:themeColor="text1" w:themeTint="F2"/>
          <w:sz w:val="18"/>
          <w:szCs w:val="18"/>
          <w:rtl/>
        </w:rPr>
        <w:t xml:space="preserve">במטרה לקדם את הנושא, על רשות התקשוב וישראל דיגיטלית </w:t>
      </w:r>
      <w:r w:rsidRPr="005F3FC0">
        <w:rPr>
          <w:rFonts w:ascii="Tahoma" w:hAnsi="Tahoma" w:cs="Tahoma" w:hint="eastAsia"/>
          <w:b/>
          <w:color w:val="0D0D0D" w:themeColor="text1" w:themeTint="F2"/>
          <w:sz w:val="18"/>
          <w:szCs w:val="18"/>
          <w:rtl/>
        </w:rPr>
        <w:t>לתעדף</w:t>
      </w:r>
      <w:r w:rsidRPr="005F3FC0">
        <w:rPr>
          <w:rFonts w:ascii="Tahoma" w:hAnsi="Tahoma" w:cs="Tahoma"/>
          <w:b/>
          <w:color w:val="0D0D0D" w:themeColor="text1" w:themeTint="F2"/>
          <w:sz w:val="18"/>
          <w:szCs w:val="18"/>
          <w:rtl/>
        </w:rPr>
        <w:t xml:space="preserve"> </w:t>
      </w:r>
      <w:r w:rsidRPr="005F3FC0">
        <w:rPr>
          <w:rFonts w:ascii="Tahoma" w:hAnsi="Tahoma" w:cs="Tahoma" w:hint="cs"/>
          <w:b/>
          <w:color w:val="0D0D0D" w:themeColor="text1" w:themeTint="F2"/>
          <w:sz w:val="18"/>
          <w:szCs w:val="18"/>
          <w:rtl/>
        </w:rPr>
        <w:t xml:space="preserve">את הנושא ולפעול למול שירותים מרכזיים ומשרדים שחולשים על הרבה שירותים. כמו כן, נכון יהיה לעשות שימוש בכלים של ניהול פרויקט ממשלתי אופקי למול עשרות גופים, ובכלל זה קביעת יעדים פרטניים ברמת המשרדים וברמת השירותים וקביעת לוח זמנים רב-שנתי להתקדמות, בניסיון להבטיח הגעה ליעדי החלטת הממשלה. </w:t>
      </w:r>
    </w:p>
    <w:p w14:paraId="4922F76F" w14:textId="77777777" w:rsidR="007478B2" w:rsidRPr="005F3FC0" w:rsidRDefault="007478B2" w:rsidP="005F3FC0">
      <w:pPr>
        <w:pBdr>
          <w:top w:val="single" w:sz="18" w:space="4" w:color="EDF1FA"/>
          <w:left w:val="single" w:sz="18" w:space="11" w:color="EDF1FA"/>
          <w:bottom w:val="single" w:sz="18" w:space="6" w:color="EDF1FA"/>
          <w:right w:val="single" w:sz="18" w:space="10" w:color="EDF1FA"/>
        </w:pBdr>
        <w:shd w:val="clear" w:color="auto" w:fill="CEEAF5"/>
        <w:spacing w:before="240" w:line="260" w:lineRule="exact"/>
        <w:ind w:left="227" w:right="227"/>
        <w:jc w:val="both"/>
        <w:rPr>
          <w:rFonts w:ascii="Tahoma" w:hAnsi="Tahoma" w:cs="Tahoma"/>
          <w:b/>
          <w:color w:val="0D0D0D" w:themeColor="text1" w:themeTint="F2"/>
          <w:sz w:val="18"/>
          <w:szCs w:val="18"/>
          <w:rtl/>
        </w:rPr>
      </w:pPr>
      <w:r w:rsidRPr="005F3FC0">
        <w:rPr>
          <w:rFonts w:ascii="Tahoma" w:hAnsi="Tahoma" w:cs="Tahoma" w:hint="cs"/>
          <w:b/>
          <w:color w:val="0D0D0D" w:themeColor="text1" w:themeTint="F2"/>
          <w:sz w:val="18"/>
          <w:szCs w:val="18"/>
          <w:rtl/>
        </w:rPr>
        <w:t xml:space="preserve">מגפת הקורונה חוללה מציאות המאופיינת בביקושים גדולים יותר לשירותים ממשלתיים דיגיטליים, שאף צפויים להתרחב בשנים הקרובות. מגמה זו דורשת היערכות ממשלתית הכוללת שיתוף מידע יעיל בין גופי ממשלה וביסוס של מדיניות פעם אחת בשירותים הממשלתיים. זאת ועוד, כדי לממש את התועלות הגלומות בקידום מדיניות פעם אחת יש ליישמה בכל ערוצי השירות, לרבות ערוצי השירות הטלפוני והפרונטלי, בהם משתמשות אוכלוסיות ראויות לקידום שנזקקות לשירותים רבים, ובפרט שלחלק מהן נגישות נמוכה לערוצי שירות ממוחשבים. </w:t>
      </w:r>
    </w:p>
    <w:p w14:paraId="388ACD60" w14:textId="7583E926" w:rsidR="001B5590" w:rsidRDefault="001B5590" w:rsidP="00347A82">
      <w:pPr>
        <w:tabs>
          <w:tab w:val="left" w:pos="424"/>
        </w:tabs>
        <w:spacing w:line="260" w:lineRule="exact"/>
        <w:jc w:val="both"/>
        <w:rPr>
          <w:rFonts w:ascii="Tahoma" w:hAnsi="Tahoma" w:cs="Tahoma"/>
          <w:color w:val="0D0D0D" w:themeColor="text1" w:themeTint="F2"/>
          <w:sz w:val="18"/>
          <w:szCs w:val="18"/>
          <w:rtl/>
        </w:rPr>
      </w:pPr>
    </w:p>
    <w:p w14:paraId="5A53C493" w14:textId="77777777" w:rsidR="00843996" w:rsidRDefault="00843996" w:rsidP="00347A82">
      <w:pPr>
        <w:tabs>
          <w:tab w:val="left" w:pos="424"/>
        </w:tabs>
        <w:spacing w:line="260" w:lineRule="exact"/>
        <w:jc w:val="both"/>
        <w:rPr>
          <w:rFonts w:ascii="Tahoma" w:hAnsi="Tahoma" w:cs="Tahoma"/>
          <w:color w:val="0D0D0D" w:themeColor="text1" w:themeTint="F2"/>
          <w:sz w:val="18"/>
          <w:szCs w:val="18"/>
          <w:rtl/>
        </w:rPr>
        <w:sectPr w:rsidR="00843996" w:rsidSect="00A75080">
          <w:headerReference w:type="default" r:id="rId53"/>
          <w:pgSz w:w="11906" w:h="16838" w:code="9"/>
          <w:pgMar w:top="2892" w:right="2268" w:bottom="2438" w:left="2268" w:header="1871" w:footer="1928" w:gutter="0"/>
          <w:cols w:space="708"/>
          <w:bidi/>
          <w:rtlGutter/>
          <w:docGrid w:linePitch="360"/>
        </w:sectPr>
      </w:pPr>
    </w:p>
    <w:p w14:paraId="60944027" w14:textId="491090F1" w:rsidR="00843996" w:rsidRPr="007F0192" w:rsidRDefault="00843996" w:rsidP="00347A82">
      <w:pPr>
        <w:tabs>
          <w:tab w:val="left" w:pos="424"/>
        </w:tabs>
        <w:spacing w:line="260" w:lineRule="exact"/>
        <w:jc w:val="both"/>
        <w:rPr>
          <w:rFonts w:ascii="Tahoma" w:hAnsi="Tahoma" w:cs="Tahoma"/>
          <w:color w:val="0D0D0D" w:themeColor="text1" w:themeTint="F2"/>
          <w:sz w:val="18"/>
          <w:szCs w:val="18"/>
          <w:rtl/>
        </w:rPr>
      </w:pPr>
    </w:p>
    <w:sectPr w:rsidR="00843996" w:rsidRPr="007F0192" w:rsidSect="00843996">
      <w:pgSz w:w="11906" w:h="16838" w:code="9"/>
      <w:pgMar w:top="2892" w:right="2268" w:bottom="2438" w:left="2268" w:header="1871" w:footer="1928" w:gutter="0"/>
      <w:cols w:space="708"/>
      <w:titlePg/>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47B">
      <wne:macro wne:macroName="NORMAL.NEWMACROS.MACRO3"/>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C0B7D2" w14:textId="77777777" w:rsidR="00EB51C2" w:rsidRDefault="00EB51C2" w:rsidP="00CB3322">
      <w:pPr>
        <w:spacing w:after="0" w:line="240" w:lineRule="auto"/>
      </w:pPr>
      <w:r>
        <w:separator/>
      </w:r>
    </w:p>
    <w:p w14:paraId="7B58BA78" w14:textId="77777777" w:rsidR="00EB51C2" w:rsidRDefault="00EB51C2"/>
  </w:endnote>
  <w:endnote w:type="continuationSeparator" w:id="0">
    <w:p w14:paraId="2C20FA16" w14:textId="77777777" w:rsidR="00EB51C2" w:rsidRDefault="00EB51C2" w:rsidP="00CB3322">
      <w:pPr>
        <w:spacing w:after="0" w:line="240" w:lineRule="auto"/>
      </w:pPr>
      <w:r>
        <w:continuationSeparator/>
      </w:r>
    </w:p>
    <w:p w14:paraId="0826E2A1" w14:textId="77777777" w:rsidR="00EB51C2" w:rsidRDefault="00EB51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altName w:val="Malgun Gothic Semilight"/>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6DC59" w14:textId="4BF36E61" w:rsidR="00106932" w:rsidRPr="009507DB" w:rsidRDefault="00106932" w:rsidP="0023014C">
    <w:pPr>
      <w:pStyle w:val="a8"/>
      <w:tabs>
        <w:tab w:val="clear" w:pos="4320"/>
        <w:tab w:val="clear" w:pos="8640"/>
        <w:tab w:val="center" w:pos="-284"/>
        <w:tab w:val="right" w:pos="0"/>
      </w:tabs>
      <w:ind w:left="-1191" w:right="7314"/>
      <w:jc w:val="right"/>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Pr>
        <w:rFonts w:ascii="Tahoma" w:hAnsi="Tahoma" w:cs="Tahoma"/>
        <w:noProof/>
        <w:color w:val="231F20"/>
        <w:sz w:val="18"/>
        <w:szCs w:val="18"/>
        <w:rtl/>
      </w:rPr>
      <w:t>16</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2E58D" w14:textId="09067125" w:rsidR="00106932" w:rsidRPr="009507DB" w:rsidRDefault="00106932" w:rsidP="007C2833">
    <w:pPr>
      <w:pStyle w:val="a8"/>
      <w:tabs>
        <w:tab w:val="clear" w:pos="4320"/>
        <w:tab w:val="clear" w:pos="8640"/>
        <w:tab w:val="center" w:pos="7654"/>
        <w:tab w:val="right" w:pos="7937"/>
      </w:tabs>
      <w:ind w:left="7343" w:right="-1247"/>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Pr>
        <w:rFonts w:ascii="Tahoma" w:hAnsi="Tahoma" w:cs="Tahoma"/>
        <w:noProof/>
        <w:color w:val="231F20"/>
        <w:sz w:val="18"/>
        <w:szCs w:val="18"/>
        <w:rtl/>
      </w:rPr>
      <w:t>17</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674F8A" w14:textId="77777777" w:rsidR="00EB51C2" w:rsidRPr="0029750A" w:rsidRDefault="00EB51C2" w:rsidP="0029750A">
      <w:pPr>
        <w:pStyle w:val="a8"/>
        <w:tabs>
          <w:tab w:val="clear" w:pos="4320"/>
          <w:tab w:val="clear" w:pos="8640"/>
          <w:tab w:val="right" w:pos="1701"/>
        </w:tabs>
        <w:rPr>
          <w:u w:val="single"/>
        </w:rPr>
      </w:pPr>
      <w:r w:rsidRPr="0029750A">
        <w:rPr>
          <w:u w:val="single"/>
        </w:rPr>
        <w:tab/>
      </w:r>
    </w:p>
  </w:footnote>
  <w:footnote w:type="continuationSeparator" w:id="0">
    <w:p w14:paraId="49E867F9" w14:textId="77777777" w:rsidR="00EB51C2" w:rsidRDefault="00EB51C2" w:rsidP="00CB3322">
      <w:pPr>
        <w:spacing w:after="0" w:line="240" w:lineRule="auto"/>
      </w:pPr>
      <w:r>
        <w:continuationSeparator/>
      </w:r>
    </w:p>
    <w:p w14:paraId="73E99119" w14:textId="77777777" w:rsidR="00EB51C2" w:rsidRDefault="00EB51C2"/>
  </w:footnote>
  <w:footnote w:id="1">
    <w:p w14:paraId="55ED8815" w14:textId="77777777" w:rsidR="00106932" w:rsidRPr="00B32607" w:rsidRDefault="00106932" w:rsidP="00B32607">
      <w:pPr>
        <w:pStyle w:val="af2"/>
        <w:spacing w:after="60" w:line="220" w:lineRule="exact"/>
        <w:ind w:left="284" w:right="0" w:hanging="284"/>
        <w:rPr>
          <w:rStyle w:val="af3"/>
          <w:vertAlign w:val="baseline"/>
          <w:rtl/>
        </w:rPr>
      </w:pPr>
      <w:r w:rsidRPr="00B32607">
        <w:rPr>
          <w:rStyle w:val="af3"/>
          <w:vertAlign w:val="baseline"/>
        </w:rPr>
        <w:footnoteRef/>
      </w:r>
      <w:r w:rsidRPr="00B32607">
        <w:rPr>
          <w:rStyle w:val="af3"/>
          <w:vertAlign w:val="baseline"/>
          <w:rtl/>
        </w:rPr>
        <w:t xml:space="preserve"> </w:t>
      </w:r>
      <w:r w:rsidRPr="00B32607">
        <w:rPr>
          <w:rStyle w:val="af3"/>
          <w:vertAlign w:val="baseline"/>
          <w:rtl/>
        </w:rPr>
        <w:tab/>
        <w:t xml:space="preserve">נתונים </w:t>
      </w:r>
      <w:r w:rsidRPr="00B32607">
        <w:rPr>
          <w:rStyle w:val="af3"/>
          <w:rFonts w:hint="cs"/>
          <w:vertAlign w:val="baseline"/>
          <w:rtl/>
        </w:rPr>
        <w:t>השמורים</w:t>
      </w:r>
      <w:r w:rsidRPr="00B32607">
        <w:rPr>
          <w:rStyle w:val="af3"/>
          <w:vertAlign w:val="baseline"/>
          <w:rtl/>
        </w:rPr>
        <w:t xml:space="preserve"> במאגר ממשלתי או אישור שהנפיק משרד ממשלתי.</w:t>
      </w:r>
    </w:p>
  </w:footnote>
  <w:footnote w:id="2">
    <w:p w14:paraId="148A6A65" w14:textId="77777777" w:rsidR="00106932" w:rsidRPr="00B32607" w:rsidRDefault="00106932" w:rsidP="00B32607">
      <w:pPr>
        <w:pStyle w:val="af2"/>
        <w:spacing w:after="60" w:line="220" w:lineRule="exact"/>
        <w:ind w:left="284" w:right="0" w:hanging="284"/>
        <w:rPr>
          <w:rStyle w:val="af3"/>
          <w:vertAlign w:val="baseline"/>
        </w:rPr>
      </w:pPr>
      <w:r w:rsidRPr="00B32607">
        <w:rPr>
          <w:rStyle w:val="af3"/>
          <w:vertAlign w:val="baseline"/>
        </w:rPr>
        <w:footnoteRef/>
      </w:r>
      <w:r w:rsidRPr="00B32607">
        <w:rPr>
          <w:rStyle w:val="af3"/>
          <w:vertAlign w:val="baseline"/>
          <w:rtl/>
        </w:rPr>
        <w:t xml:space="preserve"> </w:t>
      </w:r>
      <w:r w:rsidRPr="00B32607">
        <w:rPr>
          <w:rStyle w:val="af3"/>
          <w:vertAlign w:val="baseline"/>
          <w:rtl/>
        </w:rPr>
        <w:tab/>
      </w:r>
      <w:r w:rsidRPr="00B32607">
        <w:rPr>
          <w:rStyle w:val="af3"/>
          <w:rFonts w:hint="cs"/>
          <w:vertAlign w:val="baseline"/>
          <w:rtl/>
        </w:rPr>
        <w:t>החלטה 1933 מיום 30.8.16 בנושא "שיפור העברת המידע הממשלתי והנגשת מאגרי מידע ממשלתיים לציבור".</w:t>
      </w:r>
    </w:p>
  </w:footnote>
  <w:footnote w:id="3">
    <w:p w14:paraId="054BA3F3" w14:textId="77777777" w:rsidR="00106932" w:rsidRPr="00B32607" w:rsidRDefault="00106932" w:rsidP="007478B2">
      <w:pPr>
        <w:pStyle w:val="af2"/>
        <w:spacing w:after="60" w:line="220" w:lineRule="exact"/>
        <w:ind w:left="284" w:right="0" w:hanging="284"/>
        <w:rPr>
          <w:rStyle w:val="af3"/>
          <w:vertAlign w:val="baseline"/>
          <w:rtl/>
        </w:rPr>
      </w:pPr>
      <w:r w:rsidRPr="00B32607">
        <w:rPr>
          <w:rStyle w:val="af3"/>
          <w:vertAlign w:val="baseline"/>
        </w:rPr>
        <w:footnoteRef/>
      </w:r>
      <w:r w:rsidRPr="00B32607">
        <w:rPr>
          <w:rStyle w:val="af3"/>
          <w:vertAlign w:val="baseline"/>
          <w:rtl/>
        </w:rPr>
        <w:t xml:space="preserve"> </w:t>
      </w:r>
      <w:r w:rsidRPr="00B32607">
        <w:rPr>
          <w:rStyle w:val="af3"/>
          <w:vertAlign w:val="baseline"/>
          <w:rtl/>
        </w:rPr>
        <w:tab/>
      </w:r>
      <w:r w:rsidRPr="00B32607">
        <w:rPr>
          <w:rStyle w:val="af3"/>
          <w:rFonts w:hint="cs"/>
          <w:vertAlign w:val="baseline"/>
          <w:rtl/>
        </w:rPr>
        <w:t>רשות התקשוב הממשלתי "מבט על פעילות 2019".</w:t>
      </w:r>
    </w:p>
  </w:footnote>
  <w:footnote w:id="4">
    <w:p w14:paraId="229B135B" w14:textId="77777777" w:rsidR="00106932" w:rsidRPr="00B32607" w:rsidRDefault="00106932" w:rsidP="00B32607">
      <w:pPr>
        <w:pStyle w:val="af2"/>
        <w:spacing w:after="60" w:line="220" w:lineRule="exact"/>
        <w:ind w:left="284" w:right="0" w:hanging="284"/>
        <w:rPr>
          <w:rStyle w:val="af3"/>
          <w:vertAlign w:val="baseline"/>
          <w:rtl/>
        </w:rPr>
      </w:pPr>
      <w:r w:rsidRPr="00B32607">
        <w:rPr>
          <w:rStyle w:val="af3"/>
          <w:vertAlign w:val="baseline"/>
        </w:rPr>
        <w:footnoteRef/>
      </w:r>
      <w:r w:rsidRPr="00B32607">
        <w:rPr>
          <w:rStyle w:val="af3"/>
          <w:vertAlign w:val="baseline"/>
          <w:rtl/>
        </w:rPr>
        <w:t xml:space="preserve"> </w:t>
      </w:r>
      <w:r w:rsidRPr="00B32607">
        <w:rPr>
          <w:rStyle w:val="af3"/>
          <w:vertAlign w:val="baseline"/>
          <w:rtl/>
        </w:rPr>
        <w:tab/>
      </w:r>
      <w:r w:rsidRPr="00B32607">
        <w:rPr>
          <w:rStyle w:val="af3"/>
          <w:rFonts w:hint="cs"/>
          <w:vertAlign w:val="baseline"/>
          <w:rtl/>
        </w:rPr>
        <w:t xml:space="preserve">תפקיד הוועדות להעברת מידע בגופים ציבוריים הוא טיפול בבקשות של הגוף הציבורי לקבלת מידע מאת גוף ציבורי אחר וטיפול בבקשות שקיבל הגוף הציבורי למסירת מידע לגוף ציבורי אחר. </w:t>
      </w:r>
    </w:p>
  </w:footnote>
  <w:footnote w:id="5">
    <w:p w14:paraId="34C0D83F" w14:textId="77777777" w:rsidR="00106932" w:rsidRPr="00B54E31" w:rsidRDefault="00106932" w:rsidP="00B54E31">
      <w:pPr>
        <w:pStyle w:val="af2"/>
        <w:spacing w:after="60" w:line="220" w:lineRule="exact"/>
        <w:ind w:left="284" w:right="0" w:hanging="284"/>
        <w:rPr>
          <w:rStyle w:val="af3"/>
          <w:vertAlign w:val="baseline"/>
          <w:rtl/>
        </w:rPr>
      </w:pPr>
      <w:r w:rsidRPr="00B54E31">
        <w:rPr>
          <w:rStyle w:val="af3"/>
          <w:vertAlign w:val="baseline"/>
        </w:rPr>
        <w:footnoteRef/>
      </w:r>
      <w:r w:rsidRPr="00B54E31">
        <w:rPr>
          <w:rStyle w:val="af3"/>
          <w:vertAlign w:val="baseline"/>
          <w:rtl/>
        </w:rPr>
        <w:t xml:space="preserve"> </w:t>
      </w:r>
      <w:r w:rsidRPr="00B54E31">
        <w:rPr>
          <w:rStyle w:val="af3"/>
          <w:vertAlign w:val="baseline"/>
          <w:rtl/>
        </w:rPr>
        <w:tab/>
      </w:r>
      <w:r w:rsidRPr="00B54E31">
        <w:rPr>
          <w:rStyle w:val="af3"/>
          <w:rFonts w:hint="cs"/>
          <w:vertAlign w:val="baseline"/>
          <w:rtl/>
        </w:rPr>
        <w:t>המערכת נועדה לאפשר הזדהות מאובטחת באופן מקוון לצורך קבלת שירותים מגופי ממשלה.</w:t>
      </w:r>
    </w:p>
  </w:footnote>
  <w:footnote w:id="6">
    <w:p w14:paraId="29F00D3E" w14:textId="77777777" w:rsidR="00106932" w:rsidRPr="00B54E31" w:rsidRDefault="00106932" w:rsidP="00B54E31">
      <w:pPr>
        <w:pStyle w:val="af2"/>
        <w:spacing w:after="60" w:line="220" w:lineRule="exact"/>
        <w:ind w:left="284" w:right="0" w:hanging="284"/>
        <w:rPr>
          <w:rStyle w:val="af3"/>
          <w:vertAlign w:val="baseline"/>
          <w:rtl/>
        </w:rPr>
      </w:pPr>
      <w:r w:rsidRPr="00B54E31">
        <w:rPr>
          <w:rStyle w:val="af3"/>
          <w:vertAlign w:val="baseline"/>
        </w:rPr>
        <w:footnoteRef/>
      </w:r>
      <w:r w:rsidRPr="00B54E31">
        <w:rPr>
          <w:rStyle w:val="af3"/>
          <w:vertAlign w:val="baseline"/>
          <w:rtl/>
        </w:rPr>
        <w:t xml:space="preserve"> </w:t>
      </w:r>
      <w:r w:rsidRPr="00B54E31">
        <w:rPr>
          <w:rStyle w:val="af3"/>
          <w:vertAlign w:val="baseline"/>
          <w:rtl/>
        </w:rPr>
        <w:tab/>
      </w:r>
      <w:r w:rsidRPr="00B54E31">
        <w:rPr>
          <w:rStyle w:val="af3"/>
          <w:rFonts w:hint="cs"/>
          <w:vertAlign w:val="baseline"/>
          <w:rtl/>
        </w:rPr>
        <w:t xml:space="preserve">המבוסס על מיפוי השירותים, שירות התשלומים, שירות הטפסים ודפי השירות באתר </w:t>
      </w:r>
      <w:r w:rsidRPr="00B54E31">
        <w:rPr>
          <w:rStyle w:val="af3"/>
          <w:vertAlign w:val="baseline"/>
        </w:rPr>
        <w:t>GOV.IL</w:t>
      </w:r>
      <w:r w:rsidRPr="00B54E31">
        <w:rPr>
          <w:rStyle w:val="af3"/>
          <w:rFonts w:hint="cs"/>
          <w:vertAlign w:val="baseline"/>
          <w:rtl/>
        </w:rPr>
        <w:t xml:space="preserve">. </w:t>
      </w:r>
    </w:p>
  </w:footnote>
  <w:footnote w:id="7">
    <w:p w14:paraId="7938CE13" w14:textId="77777777" w:rsidR="00106932" w:rsidRPr="00B54E31" w:rsidRDefault="00106932" w:rsidP="00B54E31">
      <w:pPr>
        <w:pStyle w:val="af2"/>
        <w:spacing w:after="60" w:line="220" w:lineRule="exact"/>
        <w:ind w:left="284" w:right="0" w:hanging="284"/>
        <w:rPr>
          <w:rStyle w:val="af3"/>
          <w:vertAlign w:val="baseline"/>
          <w:rtl/>
        </w:rPr>
      </w:pPr>
      <w:r w:rsidRPr="00B54E31">
        <w:rPr>
          <w:rStyle w:val="af3"/>
          <w:vertAlign w:val="baseline"/>
        </w:rPr>
        <w:footnoteRef/>
      </w:r>
      <w:r w:rsidRPr="00B54E31">
        <w:rPr>
          <w:rStyle w:val="af3"/>
          <w:vertAlign w:val="baseline"/>
          <w:rtl/>
        </w:rPr>
        <w:t xml:space="preserve"> </w:t>
      </w:r>
      <w:r w:rsidRPr="00B54E31">
        <w:rPr>
          <w:rStyle w:val="af3"/>
          <w:vertAlign w:val="baseline"/>
          <w:rtl/>
        </w:rPr>
        <w:tab/>
      </w:r>
      <w:r w:rsidRPr="00B54E31">
        <w:rPr>
          <w:rStyle w:val="af3"/>
          <w:rFonts w:hint="cs"/>
          <w:vertAlign w:val="baseline"/>
          <w:rtl/>
        </w:rPr>
        <w:t>החלטת הממשלה 260 מיולי 2020 בנושא "התוכנית להאצת השירותים הדיגיטליים לציבור".</w:t>
      </w:r>
    </w:p>
  </w:footnote>
  <w:footnote w:id="8">
    <w:p w14:paraId="77CCB4B0" w14:textId="77777777" w:rsidR="00106932" w:rsidRPr="007478B2" w:rsidRDefault="00106932" w:rsidP="007478B2">
      <w:pPr>
        <w:pStyle w:val="af2"/>
        <w:spacing w:after="60" w:line="220" w:lineRule="exact"/>
        <w:ind w:left="284" w:right="0" w:hanging="284"/>
        <w:rPr>
          <w:rStyle w:val="af3"/>
          <w:vertAlign w:val="baseline"/>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 xml:space="preserve">לעניין זה, </w:t>
      </w:r>
      <w:r w:rsidRPr="007478B2">
        <w:rPr>
          <w:rStyle w:val="af3"/>
          <w:vertAlign w:val="baseline"/>
          <w:rtl/>
        </w:rPr>
        <w:t xml:space="preserve">"שירות" </w:t>
      </w:r>
      <w:r w:rsidRPr="007478B2">
        <w:rPr>
          <w:rStyle w:val="af3"/>
          <w:rFonts w:hint="eastAsia"/>
          <w:vertAlign w:val="baseline"/>
          <w:rtl/>
        </w:rPr>
        <w:t>הוא</w:t>
      </w:r>
      <w:r w:rsidRPr="007478B2">
        <w:rPr>
          <w:rStyle w:val="af3"/>
          <w:vertAlign w:val="baseline"/>
          <w:rtl/>
        </w:rPr>
        <w:t xml:space="preserve"> </w:t>
      </w:r>
      <w:r w:rsidRPr="007478B2">
        <w:rPr>
          <w:rStyle w:val="af3"/>
          <w:rFonts w:hint="eastAsia"/>
          <w:vertAlign w:val="baseline"/>
          <w:rtl/>
        </w:rPr>
        <w:t>תהליך</w:t>
      </w:r>
      <w:r w:rsidRPr="007478B2">
        <w:rPr>
          <w:rStyle w:val="af3"/>
          <w:vertAlign w:val="baseline"/>
          <w:rtl/>
        </w:rPr>
        <w:t xml:space="preserve"> </w:t>
      </w:r>
      <w:r w:rsidRPr="007478B2">
        <w:rPr>
          <w:rStyle w:val="af3"/>
          <w:rFonts w:hint="eastAsia"/>
          <w:vertAlign w:val="baseline"/>
          <w:rtl/>
        </w:rPr>
        <w:t>פרטני</w:t>
      </w:r>
      <w:r w:rsidRPr="007478B2">
        <w:rPr>
          <w:rStyle w:val="af3"/>
          <w:vertAlign w:val="baseline"/>
          <w:rtl/>
        </w:rPr>
        <w:t xml:space="preserve"> שמבצע </w:t>
      </w:r>
      <w:r w:rsidRPr="007478B2">
        <w:rPr>
          <w:rStyle w:val="af3"/>
          <w:rFonts w:hint="eastAsia"/>
          <w:vertAlign w:val="baseline"/>
          <w:rtl/>
        </w:rPr>
        <w:t>גוף</w:t>
      </w:r>
      <w:r w:rsidRPr="007478B2">
        <w:rPr>
          <w:rStyle w:val="af3"/>
          <w:vertAlign w:val="baseline"/>
          <w:rtl/>
        </w:rPr>
        <w:t xml:space="preserve"> </w:t>
      </w:r>
      <w:r w:rsidRPr="007478B2">
        <w:rPr>
          <w:rStyle w:val="af3"/>
          <w:rFonts w:hint="eastAsia"/>
          <w:vertAlign w:val="baseline"/>
          <w:rtl/>
        </w:rPr>
        <w:t>ממשלתי</w:t>
      </w:r>
      <w:r w:rsidRPr="007478B2">
        <w:rPr>
          <w:rStyle w:val="af3"/>
          <w:vertAlign w:val="baseline"/>
          <w:rtl/>
        </w:rPr>
        <w:t xml:space="preserve"> </w:t>
      </w:r>
      <w:r w:rsidRPr="007478B2">
        <w:rPr>
          <w:rStyle w:val="af3"/>
          <w:rFonts w:hint="eastAsia"/>
          <w:vertAlign w:val="baseline"/>
          <w:rtl/>
        </w:rPr>
        <w:t>אחד</w:t>
      </w:r>
      <w:r w:rsidRPr="007478B2">
        <w:rPr>
          <w:rStyle w:val="af3"/>
          <w:vertAlign w:val="baseline"/>
          <w:rtl/>
        </w:rPr>
        <w:t xml:space="preserve"> </w:t>
      </w:r>
      <w:r w:rsidRPr="007478B2">
        <w:rPr>
          <w:rStyle w:val="af3"/>
          <w:rFonts w:hint="eastAsia"/>
          <w:vertAlign w:val="baseline"/>
          <w:rtl/>
        </w:rPr>
        <w:t>או</w:t>
      </w:r>
      <w:r w:rsidRPr="007478B2">
        <w:rPr>
          <w:rStyle w:val="af3"/>
          <w:vertAlign w:val="baseline"/>
          <w:rtl/>
        </w:rPr>
        <w:t xml:space="preserve"> </w:t>
      </w:r>
      <w:r w:rsidRPr="007478B2">
        <w:rPr>
          <w:rStyle w:val="af3"/>
          <w:rFonts w:hint="eastAsia"/>
          <w:vertAlign w:val="baseline"/>
          <w:rtl/>
        </w:rPr>
        <w:t>יותר</w:t>
      </w:r>
      <w:r w:rsidRPr="007478B2">
        <w:rPr>
          <w:rStyle w:val="af3"/>
          <w:vertAlign w:val="baseline"/>
          <w:rtl/>
        </w:rPr>
        <w:t xml:space="preserve">, </w:t>
      </w:r>
      <w:r w:rsidRPr="007478B2">
        <w:rPr>
          <w:rStyle w:val="af3"/>
          <w:rFonts w:hint="eastAsia"/>
          <w:vertAlign w:val="baseline"/>
          <w:rtl/>
        </w:rPr>
        <w:t>אל</w:t>
      </w:r>
      <w:r w:rsidRPr="007478B2">
        <w:rPr>
          <w:rStyle w:val="af3"/>
          <w:vertAlign w:val="baseline"/>
          <w:rtl/>
        </w:rPr>
        <w:t xml:space="preserve"> </w:t>
      </w:r>
      <w:r w:rsidRPr="007478B2">
        <w:rPr>
          <w:rStyle w:val="af3"/>
          <w:rFonts w:hint="eastAsia"/>
          <w:vertAlign w:val="baseline"/>
          <w:rtl/>
        </w:rPr>
        <w:t>מול</w:t>
      </w:r>
      <w:r w:rsidRPr="007478B2">
        <w:rPr>
          <w:rStyle w:val="af3"/>
          <w:vertAlign w:val="baseline"/>
          <w:rtl/>
        </w:rPr>
        <w:t xml:space="preserve"> </w:t>
      </w:r>
      <w:r w:rsidRPr="007478B2">
        <w:rPr>
          <w:rStyle w:val="af3"/>
          <w:rFonts w:hint="eastAsia"/>
          <w:vertAlign w:val="baseline"/>
          <w:rtl/>
        </w:rPr>
        <w:t>הציבור</w:t>
      </w:r>
      <w:r w:rsidRPr="007478B2">
        <w:rPr>
          <w:rStyle w:val="af3"/>
          <w:vertAlign w:val="baseline"/>
          <w:rtl/>
        </w:rPr>
        <w:t xml:space="preserve">, </w:t>
      </w:r>
      <w:r w:rsidRPr="007478B2">
        <w:rPr>
          <w:rStyle w:val="af3"/>
          <w:rFonts w:hint="eastAsia"/>
          <w:vertAlign w:val="baseline"/>
          <w:rtl/>
        </w:rPr>
        <w:t>כדי</w:t>
      </w:r>
      <w:r w:rsidRPr="007478B2">
        <w:rPr>
          <w:rStyle w:val="af3"/>
          <w:vertAlign w:val="baseline"/>
          <w:rtl/>
        </w:rPr>
        <w:t xml:space="preserve"> </w:t>
      </w:r>
      <w:r w:rsidRPr="007478B2">
        <w:rPr>
          <w:rStyle w:val="af3"/>
          <w:rFonts w:hint="eastAsia"/>
          <w:vertAlign w:val="baseline"/>
          <w:rtl/>
        </w:rPr>
        <w:t>לממש</w:t>
      </w:r>
      <w:r w:rsidRPr="007478B2">
        <w:rPr>
          <w:rStyle w:val="af3"/>
          <w:vertAlign w:val="baseline"/>
          <w:rtl/>
        </w:rPr>
        <w:t xml:space="preserve"> את זכויות הציבור </w:t>
      </w:r>
      <w:r w:rsidRPr="007478B2">
        <w:rPr>
          <w:rStyle w:val="af3"/>
          <w:rFonts w:hint="eastAsia"/>
          <w:vertAlign w:val="baseline"/>
          <w:rtl/>
        </w:rPr>
        <w:t>או</w:t>
      </w:r>
      <w:r w:rsidRPr="007478B2">
        <w:rPr>
          <w:rStyle w:val="af3"/>
          <w:vertAlign w:val="baseline"/>
          <w:rtl/>
        </w:rPr>
        <w:t xml:space="preserve"> </w:t>
      </w:r>
      <w:r w:rsidRPr="007478B2">
        <w:rPr>
          <w:rStyle w:val="af3"/>
          <w:rFonts w:hint="eastAsia"/>
          <w:vertAlign w:val="baseline"/>
          <w:rtl/>
        </w:rPr>
        <w:t>את</w:t>
      </w:r>
      <w:r w:rsidRPr="007478B2">
        <w:rPr>
          <w:rStyle w:val="af3"/>
          <w:vertAlign w:val="baseline"/>
          <w:rtl/>
        </w:rPr>
        <w:t xml:space="preserve"> </w:t>
      </w:r>
      <w:r w:rsidRPr="007478B2">
        <w:rPr>
          <w:rStyle w:val="af3"/>
          <w:rFonts w:hint="eastAsia"/>
          <w:vertAlign w:val="baseline"/>
          <w:rtl/>
        </w:rPr>
        <w:t>חובותיו</w:t>
      </w:r>
      <w:r w:rsidRPr="007478B2">
        <w:rPr>
          <w:rStyle w:val="af3"/>
          <w:rFonts w:hint="cs"/>
          <w:vertAlign w:val="baseline"/>
          <w:rtl/>
        </w:rPr>
        <w:t>. השירות ניתן לביצוע באחד או יותר מערוצי השירות (טלפון, אינטרנט, דואר וכו'), ובסופו מקבלים האזרח או העסק את התוצר.</w:t>
      </w:r>
    </w:p>
  </w:footnote>
  <w:footnote w:id="9">
    <w:p w14:paraId="033CAAAB" w14:textId="77777777" w:rsidR="00106932" w:rsidRPr="007478B2" w:rsidRDefault="00106932" w:rsidP="007478B2">
      <w:pPr>
        <w:pStyle w:val="af2"/>
        <w:spacing w:after="60" w:line="220" w:lineRule="exact"/>
        <w:ind w:left="284" w:right="0" w:hanging="284"/>
        <w:rPr>
          <w:rStyle w:val="af3"/>
          <w:vertAlign w:val="baseline"/>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להבדיל מ"דיגיטציה" של שירותים, שפירושה הפיכת תהליך בירוקרטי ידני לתהליך דיגיטלי, "טרנספורמציה דיגיטלית" פירושה שינוי עומק של התהליך הבירוקרטי באמצעות הנדסה מחדש של התהליך וקידום שינויים רגולטוריים.</w:t>
      </w:r>
    </w:p>
  </w:footnote>
  <w:footnote w:id="10">
    <w:p w14:paraId="496C16CC" w14:textId="476702EF" w:rsidR="00106932" w:rsidRDefault="00106932" w:rsidP="007478B2">
      <w:pPr>
        <w:pStyle w:val="af2"/>
        <w:spacing w:after="60" w:line="220" w:lineRule="exact"/>
        <w:ind w:left="284" w:right="0" w:hanging="284"/>
        <w:rPr>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vertAlign w:val="baseline"/>
        </w:rPr>
        <w:t xml:space="preserve">My.Gov.il </w:t>
      </w:r>
      <w:r w:rsidRPr="007478B2">
        <w:rPr>
          <w:rStyle w:val="af3"/>
          <w:rFonts w:hint="cs"/>
          <w:vertAlign w:val="baseline"/>
          <w:rtl/>
        </w:rPr>
        <w:t>- אתר ממשלתי</w:t>
      </w:r>
      <w:r w:rsidRPr="00A967C1">
        <w:rPr>
          <w:rFonts w:hint="cs"/>
          <w:rtl/>
        </w:rPr>
        <w:t xml:space="preserve"> אישי שמרכז את כל המידע הרלוונטי עבור </w:t>
      </w:r>
      <w:r>
        <w:rPr>
          <w:rFonts w:hint="cs"/>
          <w:rtl/>
        </w:rPr>
        <w:t>ה</w:t>
      </w:r>
      <w:r w:rsidRPr="00A967C1">
        <w:rPr>
          <w:rFonts w:hint="cs"/>
          <w:rtl/>
        </w:rPr>
        <w:t>אזרח מכלל משרדי הממשלה.</w:t>
      </w:r>
    </w:p>
  </w:footnote>
  <w:footnote w:id="11">
    <w:p w14:paraId="52B35E30" w14:textId="77777777" w:rsidR="00106932" w:rsidRPr="007478B2" w:rsidRDefault="00106932" w:rsidP="007478B2">
      <w:pPr>
        <w:pStyle w:val="af2"/>
        <w:spacing w:after="60" w:line="220" w:lineRule="exact"/>
        <w:ind w:left="284" w:right="0" w:hanging="284"/>
        <w:rPr>
          <w:rStyle w:val="af3"/>
          <w:vertAlign w:val="baseline"/>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 xml:space="preserve">מצגת </w:t>
      </w:r>
      <w:r w:rsidRPr="007478B2">
        <w:rPr>
          <w:rStyle w:val="af3"/>
          <w:rFonts w:hint="eastAsia"/>
          <w:vertAlign w:val="baseline"/>
          <w:rtl/>
        </w:rPr>
        <w:t>מנהל</w:t>
      </w:r>
      <w:r w:rsidRPr="007478B2">
        <w:rPr>
          <w:rStyle w:val="af3"/>
          <w:rFonts w:hint="cs"/>
          <w:vertAlign w:val="baseline"/>
          <w:rtl/>
        </w:rPr>
        <w:t xml:space="preserve"> יחידת ממשל זמין ברשות התקשוב בכנס "מפגש המשכיות עסקית בזמן הקורונה", מאי 2020.</w:t>
      </w:r>
    </w:p>
  </w:footnote>
  <w:footnote w:id="12">
    <w:p w14:paraId="46312C42" w14:textId="77777777" w:rsidR="00106932" w:rsidRPr="007478B2" w:rsidRDefault="00106932" w:rsidP="007478B2">
      <w:pPr>
        <w:pStyle w:val="af2"/>
        <w:spacing w:after="60" w:line="220" w:lineRule="exact"/>
        <w:ind w:left="284" w:right="0" w:hanging="284"/>
        <w:rPr>
          <w:rStyle w:val="af3"/>
          <w:vertAlign w:val="baseline"/>
        </w:rPr>
      </w:pPr>
      <w:r w:rsidRPr="007478B2">
        <w:rPr>
          <w:rStyle w:val="af3"/>
          <w:vertAlign w:val="baseline"/>
        </w:rPr>
        <w:footnoteRef/>
      </w:r>
      <w:r w:rsidRPr="007478B2">
        <w:rPr>
          <w:rStyle w:val="af3"/>
          <w:vertAlign w:val="baseline"/>
          <w:rtl/>
        </w:rPr>
        <w:t xml:space="preserve"> </w:t>
      </w:r>
      <w:r w:rsidRPr="007478B2">
        <w:rPr>
          <w:rStyle w:val="af3"/>
          <w:vertAlign w:val="baseline"/>
          <w:rtl/>
        </w:rPr>
        <w:tab/>
        <w:t xml:space="preserve">היחידה </w:t>
      </w:r>
      <w:r w:rsidRPr="007478B2">
        <w:rPr>
          <w:rStyle w:val="af3"/>
          <w:rFonts w:hint="cs"/>
          <w:vertAlign w:val="baseline"/>
          <w:rtl/>
        </w:rPr>
        <w:t>משמשת מרכז ידע וייעוץ מקצועי בתחום שירות הלקוחות, פועלת להעלאת איכות השירות הניתן לציבור ומקדמת את תפיסת השירות של "האזרח במרכז" בממשלה.</w:t>
      </w:r>
    </w:p>
  </w:footnote>
  <w:footnote w:id="13">
    <w:p w14:paraId="677BAB21" w14:textId="77777777" w:rsidR="00106932" w:rsidRPr="007478B2" w:rsidRDefault="00106932" w:rsidP="007478B2">
      <w:pPr>
        <w:pStyle w:val="af2"/>
        <w:spacing w:after="60" w:line="220" w:lineRule="exact"/>
        <w:ind w:left="284" w:right="0" w:hanging="284"/>
        <w:rPr>
          <w:rStyle w:val="af3"/>
          <w:vertAlign w:val="baseline"/>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דוח האיכות משקף את שביעות הרצון הכללית מהיחידות הממשלתיות שנמדדה ב-22 משרדי ממשלה ובשלושה ערוצי שירות: שירות פרונטלי בסניפים, שירות טלפוני והשימוש באתרי האינטרנט של המשרדים.</w:t>
      </w:r>
    </w:p>
  </w:footnote>
  <w:footnote w:id="14">
    <w:p w14:paraId="0E60F1F3" w14:textId="77777777" w:rsidR="00106932" w:rsidRPr="007478B2" w:rsidRDefault="00106932" w:rsidP="007478B2">
      <w:pPr>
        <w:pStyle w:val="af2"/>
        <w:spacing w:after="60" w:line="220" w:lineRule="exact"/>
        <w:ind w:left="284" w:right="0" w:hanging="284"/>
        <w:rPr>
          <w:rStyle w:val="af3"/>
          <w:vertAlign w:val="baseline"/>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נתונים הנמצאים במאגר ממשלתי, או אישור שהנפיק משרד ממשלתי.</w:t>
      </w:r>
    </w:p>
  </w:footnote>
  <w:footnote w:id="15">
    <w:p w14:paraId="382EAC67" w14:textId="77777777" w:rsidR="00106932" w:rsidRPr="007478B2" w:rsidRDefault="00106932" w:rsidP="007478B2">
      <w:pPr>
        <w:pStyle w:val="af2"/>
        <w:spacing w:after="60" w:line="220" w:lineRule="exact"/>
        <w:ind w:left="284" w:right="0" w:hanging="284"/>
        <w:rPr>
          <w:rStyle w:val="af3"/>
          <w:vertAlign w:val="baseline"/>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 xml:space="preserve">באנגלית: </w:t>
      </w:r>
      <w:r w:rsidRPr="007478B2">
        <w:rPr>
          <w:rStyle w:val="af3"/>
          <w:vertAlign w:val="baseline"/>
        </w:rPr>
        <w:t>"Once Only Principle (OOP)"</w:t>
      </w:r>
      <w:r w:rsidRPr="007478B2">
        <w:rPr>
          <w:rStyle w:val="af3"/>
          <w:rFonts w:hint="cs"/>
          <w:vertAlign w:val="baseline"/>
          <w:rtl/>
        </w:rPr>
        <w:t xml:space="preserve"> או "</w:t>
      </w:r>
      <w:r w:rsidRPr="007478B2">
        <w:rPr>
          <w:rStyle w:val="af3"/>
          <w:vertAlign w:val="baseline"/>
        </w:rPr>
        <w:t>"Ask Once</w:t>
      </w:r>
      <w:r w:rsidRPr="007478B2">
        <w:rPr>
          <w:rStyle w:val="af3"/>
          <w:rFonts w:hint="cs"/>
          <w:vertAlign w:val="baseline"/>
          <w:rtl/>
        </w:rPr>
        <w:t>.</w:t>
      </w:r>
    </w:p>
  </w:footnote>
  <w:footnote w:id="16">
    <w:p w14:paraId="7198BCF0" w14:textId="77777777" w:rsidR="00106932" w:rsidRDefault="00106932" w:rsidP="007478B2">
      <w:pPr>
        <w:pStyle w:val="af2"/>
        <w:spacing w:after="60" w:line="220" w:lineRule="exact"/>
        <w:ind w:left="284" w:right="0" w:hanging="284"/>
      </w:pPr>
      <w:r w:rsidRPr="007478B2">
        <w:rPr>
          <w:rStyle w:val="af3"/>
          <w:vertAlign w:val="baseline"/>
        </w:rPr>
        <w:footnoteRef/>
      </w:r>
      <w:r>
        <w:rPr>
          <w:rtl/>
        </w:rPr>
        <w:t xml:space="preserve"> </w:t>
      </w:r>
      <w:r>
        <w:rPr>
          <w:rtl/>
        </w:rPr>
        <w:tab/>
      </w:r>
      <w:r>
        <w:rPr>
          <w:rFonts w:hint="cs"/>
          <w:rtl/>
        </w:rPr>
        <w:t xml:space="preserve">ראו: </w:t>
      </w:r>
      <w:r w:rsidRPr="00142297">
        <w:rPr>
          <w:rFonts w:hint="cs"/>
          <w:rtl/>
        </w:rPr>
        <w:t>הצוות לשיפור העברת מידע בין משרדים ויחידות סמך</w:t>
      </w:r>
      <w:r>
        <w:rPr>
          <w:rFonts w:hint="cs"/>
          <w:rtl/>
        </w:rPr>
        <w:t xml:space="preserve">, </w:t>
      </w:r>
      <w:r w:rsidRPr="000A1711">
        <w:rPr>
          <w:rFonts w:hint="eastAsia"/>
          <w:b/>
          <w:bCs/>
          <w:rtl/>
        </w:rPr>
        <w:t>הדוח</w:t>
      </w:r>
      <w:r w:rsidRPr="000A1711">
        <w:rPr>
          <w:b/>
          <w:bCs/>
          <w:rtl/>
        </w:rPr>
        <w:t xml:space="preserve"> </w:t>
      </w:r>
      <w:r w:rsidRPr="000A1711">
        <w:rPr>
          <w:rFonts w:hint="eastAsia"/>
          <w:b/>
          <w:bCs/>
          <w:rtl/>
        </w:rPr>
        <w:t>המסכם</w:t>
      </w:r>
      <w:r>
        <w:rPr>
          <w:rFonts w:hint="cs"/>
          <w:rtl/>
        </w:rPr>
        <w:t xml:space="preserve"> (יולי 2016) ובדוח רשות התקשוב "יישום תקופתי להחלטת ממשלה 1933", פברואר 2020.</w:t>
      </w:r>
    </w:p>
  </w:footnote>
  <w:footnote w:id="17">
    <w:p w14:paraId="0B953502" w14:textId="77777777" w:rsidR="00106932" w:rsidRDefault="00106932" w:rsidP="007478B2">
      <w:pPr>
        <w:pStyle w:val="af2"/>
        <w:spacing w:after="60" w:line="220" w:lineRule="exact"/>
        <w:ind w:left="284" w:right="0" w:hanging="284"/>
      </w:pPr>
      <w:r w:rsidRPr="007478B2">
        <w:rPr>
          <w:rStyle w:val="af3"/>
          <w:vertAlign w:val="baseline"/>
        </w:rPr>
        <w:footnoteRef/>
      </w:r>
      <w:r w:rsidRPr="007478B2">
        <w:rPr>
          <w:rStyle w:val="af3"/>
          <w:vertAlign w:val="baseline"/>
          <w:rtl/>
        </w:rPr>
        <w:t xml:space="preserve"> </w:t>
      </w:r>
      <w:r>
        <w:rPr>
          <w:rtl/>
        </w:rPr>
        <w:tab/>
      </w:r>
      <w:r>
        <w:rPr>
          <w:rFonts w:hint="cs"/>
          <w:rtl/>
        </w:rPr>
        <w:t xml:space="preserve">שם. </w:t>
      </w:r>
    </w:p>
  </w:footnote>
  <w:footnote w:id="18">
    <w:p w14:paraId="761F3DE7" w14:textId="77777777" w:rsidR="00106932" w:rsidRDefault="00106932" w:rsidP="007478B2">
      <w:pPr>
        <w:pStyle w:val="af2"/>
        <w:spacing w:after="60" w:line="220" w:lineRule="exact"/>
        <w:ind w:left="284" w:right="0" w:hanging="284"/>
        <w:rPr>
          <w:rtl/>
        </w:rPr>
      </w:pPr>
      <w:r w:rsidRPr="007478B2">
        <w:rPr>
          <w:rStyle w:val="af3"/>
          <w:vertAlign w:val="baseline"/>
        </w:rPr>
        <w:footnoteRef/>
      </w:r>
      <w:r w:rsidRPr="007478B2">
        <w:rPr>
          <w:rStyle w:val="af3"/>
          <w:vertAlign w:val="baseline"/>
          <w:rtl/>
        </w:rPr>
        <w:t xml:space="preserve"> </w:t>
      </w:r>
      <w:r>
        <w:rPr>
          <w:rtl/>
        </w:rPr>
        <w:tab/>
      </w:r>
      <w:r>
        <w:rPr>
          <w:rFonts w:hint="cs"/>
          <w:rtl/>
        </w:rPr>
        <w:t xml:space="preserve">מבקר המדינה, </w:t>
      </w:r>
      <w:r w:rsidRPr="00CA2604">
        <w:rPr>
          <w:rFonts w:hint="cs"/>
          <w:b/>
          <w:bCs/>
          <w:rtl/>
        </w:rPr>
        <w:t>דוח שנתי 62</w:t>
      </w:r>
      <w:r>
        <w:rPr>
          <w:rFonts w:hint="cs"/>
          <w:rtl/>
        </w:rPr>
        <w:t xml:space="preserve"> (2012), "הטיפול בצמצום הנטל הביורוקרטי בשירות הציבורי", עמ' 3 - 93. </w:t>
      </w:r>
    </w:p>
  </w:footnote>
  <w:footnote w:id="19">
    <w:p w14:paraId="2796BF41" w14:textId="77777777" w:rsidR="00106932" w:rsidRDefault="00106932" w:rsidP="007478B2">
      <w:pPr>
        <w:pStyle w:val="af2"/>
        <w:spacing w:after="60" w:line="220" w:lineRule="exact"/>
        <w:ind w:left="284" w:right="0" w:hanging="284"/>
        <w:rPr>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Pr>
          <w:rFonts w:hint="cs"/>
          <w:rtl/>
        </w:rPr>
        <w:t xml:space="preserve">מבקר המדינה, </w:t>
      </w:r>
      <w:r w:rsidRPr="00CA2604">
        <w:rPr>
          <w:rFonts w:hint="cs"/>
          <w:b/>
          <w:bCs/>
          <w:rtl/>
        </w:rPr>
        <w:t>דוח שנתי</w:t>
      </w:r>
      <w:r>
        <w:rPr>
          <w:rFonts w:hint="cs"/>
          <w:rtl/>
        </w:rPr>
        <w:t xml:space="preserve"> </w:t>
      </w:r>
      <w:r w:rsidRPr="00A55112">
        <w:rPr>
          <w:rFonts w:hint="cs"/>
          <w:b/>
          <w:bCs/>
          <w:rtl/>
        </w:rPr>
        <w:t xml:space="preserve">65ג </w:t>
      </w:r>
      <w:r>
        <w:rPr>
          <w:rFonts w:hint="cs"/>
          <w:rtl/>
        </w:rPr>
        <w:t>(2015), "אי-מיצוי של זכויות חברתיות", עמ' 3 - 45.</w:t>
      </w:r>
    </w:p>
  </w:footnote>
  <w:footnote w:id="20">
    <w:p w14:paraId="5D33EFA9" w14:textId="77777777" w:rsidR="00106932" w:rsidRDefault="00106932" w:rsidP="007478B2">
      <w:pPr>
        <w:pStyle w:val="af2"/>
        <w:spacing w:after="60" w:line="220" w:lineRule="exact"/>
        <w:ind w:left="284" w:right="0" w:hanging="284"/>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למשל</w:t>
      </w:r>
      <w:r>
        <w:rPr>
          <w:rFonts w:hint="cs"/>
          <w:rtl/>
        </w:rPr>
        <w:t xml:space="preserve">, </w:t>
      </w:r>
      <w:r w:rsidRPr="00A55112">
        <w:rPr>
          <w:rtl/>
        </w:rPr>
        <w:t xml:space="preserve">באמצעות חיבור זהיר ומבוקר של מאגרי מידע של גופים ציבוריים מסוימים או באמצעות </w:t>
      </w:r>
      <w:r>
        <w:rPr>
          <w:rFonts w:hint="cs"/>
          <w:rtl/>
        </w:rPr>
        <w:t>הקמת</w:t>
      </w:r>
      <w:r w:rsidRPr="00A55112">
        <w:rPr>
          <w:rtl/>
        </w:rPr>
        <w:t xml:space="preserve"> מאגר מידע ממשלתי מרכזי </w:t>
      </w:r>
      <w:r>
        <w:rPr>
          <w:rFonts w:hint="cs"/>
          <w:rtl/>
        </w:rPr>
        <w:t>שיכלול</w:t>
      </w:r>
      <w:r w:rsidRPr="00A55112">
        <w:rPr>
          <w:rtl/>
        </w:rPr>
        <w:t xml:space="preserve"> את כל המידע </w:t>
      </w:r>
      <w:r>
        <w:rPr>
          <w:rFonts w:hint="cs"/>
          <w:rtl/>
        </w:rPr>
        <w:t>העומד לרשות ה</w:t>
      </w:r>
      <w:r w:rsidRPr="00A55112">
        <w:rPr>
          <w:rtl/>
        </w:rPr>
        <w:t>גופים הציבוריים.</w:t>
      </w:r>
    </w:p>
  </w:footnote>
  <w:footnote w:id="21">
    <w:p w14:paraId="2C7E1870" w14:textId="77777777" w:rsidR="00106932" w:rsidRPr="00071EA7" w:rsidRDefault="00106932" w:rsidP="007478B2">
      <w:pPr>
        <w:pStyle w:val="af2"/>
        <w:spacing w:after="60" w:line="220" w:lineRule="exact"/>
        <w:ind w:left="284" w:right="0" w:hanging="284"/>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0A1711">
        <w:rPr>
          <w:rFonts w:hint="eastAsia"/>
          <w:rtl/>
        </w:rPr>
        <w:t>החלטת</w:t>
      </w:r>
      <w:r w:rsidRPr="000A1711">
        <w:rPr>
          <w:rtl/>
        </w:rPr>
        <w:t xml:space="preserve"> ממשלה 2097 </w:t>
      </w:r>
      <w:r w:rsidRPr="000A1711">
        <w:rPr>
          <w:rFonts w:hint="eastAsia"/>
          <w:rtl/>
        </w:rPr>
        <w:t>בנושא</w:t>
      </w:r>
      <w:r w:rsidRPr="000A1711">
        <w:rPr>
          <w:rtl/>
        </w:rPr>
        <w:t xml:space="preserve"> "הרחבת תחומי פעילות התקשוב הממשלתי, עידוד חדשנות במגזר הציבורי וקידום המיזם הלאומי </w:t>
      </w:r>
      <w:r>
        <w:rPr>
          <w:rtl/>
        </w:rPr>
        <w:t>ישראל דיגיטלית</w:t>
      </w:r>
      <w:r w:rsidRPr="000A1711">
        <w:rPr>
          <w:rtl/>
        </w:rPr>
        <w:t xml:space="preserve">, </w:t>
      </w:r>
      <w:r w:rsidRPr="000A1711">
        <w:rPr>
          <w:rFonts w:hint="eastAsia"/>
          <w:rtl/>
        </w:rPr>
        <w:t>אוקטובר</w:t>
      </w:r>
      <w:r w:rsidRPr="000A1711">
        <w:rPr>
          <w:rtl/>
        </w:rPr>
        <w:t xml:space="preserve"> 2014.</w:t>
      </w:r>
    </w:p>
  </w:footnote>
  <w:footnote w:id="22">
    <w:p w14:paraId="7C7C45B1" w14:textId="77777777" w:rsidR="00106932" w:rsidRDefault="00106932" w:rsidP="007478B2">
      <w:pPr>
        <w:pStyle w:val="af2"/>
        <w:spacing w:after="60" w:line="220" w:lineRule="exact"/>
        <w:ind w:left="284" w:right="0" w:hanging="284"/>
        <w:rPr>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071EA7">
        <w:rPr>
          <w:rFonts w:hint="cs"/>
          <w:rtl/>
        </w:rPr>
        <w:t>ובהם: נציגי משרד המשפטים (מחלקת ייעוץ וחקיקה ורמו"ט), נציגי אגפי התקציבים</w:t>
      </w:r>
      <w:r>
        <w:rPr>
          <w:rFonts w:hint="cs"/>
          <w:rtl/>
        </w:rPr>
        <w:t xml:space="preserve"> והחשב הכללי במשרד האוצר, וכן נציגי משרד הכלכלה, משרד הבריאות, משרד התחבורה, המשרד לביטחון הפנים, רשות האוכלוסין וההגירה, רשות המסים, המוסד לביטוח לאומי, משטרת ישראל, ומרכז השלטון המקומי.</w:t>
      </w:r>
    </w:p>
  </w:footnote>
  <w:footnote w:id="23">
    <w:p w14:paraId="468AA2AB" w14:textId="77777777" w:rsidR="00106932" w:rsidRPr="00567BCC" w:rsidRDefault="00106932" w:rsidP="007478B2">
      <w:pPr>
        <w:pStyle w:val="af2"/>
        <w:spacing w:after="60" w:line="220" w:lineRule="exact"/>
        <w:ind w:left="284" w:right="0" w:hanging="284"/>
        <w:rPr>
          <w:rtl/>
        </w:rPr>
      </w:pPr>
      <w:r w:rsidRPr="007478B2">
        <w:rPr>
          <w:rStyle w:val="af3"/>
          <w:vertAlign w:val="baseline"/>
        </w:rPr>
        <w:footnoteRef/>
      </w:r>
      <w:r w:rsidRPr="007478B2">
        <w:rPr>
          <w:rStyle w:val="af3"/>
          <w:vertAlign w:val="baseline"/>
          <w:rtl/>
        </w:rPr>
        <w:t xml:space="preserve"> </w:t>
      </w:r>
      <w:r>
        <w:rPr>
          <w:rtl/>
        </w:rPr>
        <w:tab/>
      </w:r>
      <w:r>
        <w:rPr>
          <w:rFonts w:hint="cs"/>
        </w:rPr>
        <w:t>OECD</w:t>
      </w:r>
      <w:r>
        <w:t xml:space="preserve"> Digital Government Index: 2019 result, p.51.</w:t>
      </w:r>
    </w:p>
  </w:footnote>
  <w:footnote w:id="24">
    <w:p w14:paraId="4F8F4E44" w14:textId="77777777" w:rsidR="00106932" w:rsidRDefault="00106932" w:rsidP="007478B2">
      <w:pPr>
        <w:pStyle w:val="af2"/>
        <w:spacing w:after="60" w:line="220" w:lineRule="exact"/>
        <w:ind w:left="284" w:right="0" w:hanging="284"/>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Pr>
          <w:rFonts w:hint="cs"/>
        </w:rPr>
        <w:t>P</w:t>
      </w:r>
      <w:r>
        <w:t>ublic information act (2007).</w:t>
      </w:r>
    </w:p>
  </w:footnote>
  <w:footnote w:id="25">
    <w:p w14:paraId="47BA5FDE" w14:textId="77777777" w:rsidR="00106932" w:rsidRDefault="00106932" w:rsidP="007478B2">
      <w:pPr>
        <w:pStyle w:val="af2"/>
        <w:spacing w:after="60" w:line="220" w:lineRule="exact"/>
        <w:ind w:left="284" w:right="0" w:hanging="284"/>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Pr>
          <w:rFonts w:hint="cs"/>
        </w:rPr>
        <w:t>E</w:t>
      </w:r>
      <w:r>
        <w:t>conomic activities code act (2008).</w:t>
      </w:r>
    </w:p>
  </w:footnote>
  <w:footnote w:id="26">
    <w:p w14:paraId="53FCA755" w14:textId="77777777" w:rsidR="00106932" w:rsidRDefault="00106932" w:rsidP="007478B2">
      <w:pPr>
        <w:pStyle w:val="af2"/>
        <w:spacing w:after="60" w:line="220" w:lineRule="exact"/>
        <w:ind w:left="284" w:right="0" w:hanging="284"/>
        <w:rPr>
          <w:rtl/>
        </w:rPr>
      </w:pPr>
      <w:r w:rsidRPr="007478B2">
        <w:rPr>
          <w:rStyle w:val="af3"/>
          <w:vertAlign w:val="baseline"/>
        </w:rPr>
        <w:footnoteRef/>
      </w:r>
      <w:r w:rsidRPr="007478B2">
        <w:rPr>
          <w:rStyle w:val="af3"/>
          <w:vertAlign w:val="baseline"/>
          <w:rtl/>
        </w:rPr>
        <w:t xml:space="preserve"> </w:t>
      </w:r>
      <w:r>
        <w:rPr>
          <w:rtl/>
        </w:rPr>
        <w:tab/>
      </w:r>
      <w:r>
        <w:t>"E-Government action plan (2016 - 2020)"</w:t>
      </w:r>
      <w:r>
        <w:rPr>
          <w:rFonts w:hint="cs"/>
          <w:rtl/>
        </w:rPr>
        <w:t xml:space="preserve">. </w:t>
      </w:r>
    </w:p>
  </w:footnote>
  <w:footnote w:id="27">
    <w:p w14:paraId="1EAC3FFF" w14:textId="77777777" w:rsidR="00106932" w:rsidRDefault="00106932" w:rsidP="007478B2">
      <w:pPr>
        <w:pStyle w:val="af2"/>
        <w:spacing w:after="60" w:line="220" w:lineRule="exact"/>
        <w:ind w:left="284" w:right="0" w:hanging="284"/>
        <w:rPr>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Pr>
          <w:rFonts w:hint="cs"/>
          <w:rtl/>
        </w:rPr>
        <w:t xml:space="preserve">במסגרת פרויקט </w:t>
      </w:r>
      <w:r>
        <w:t>"</w:t>
      </w:r>
      <w:r w:rsidRPr="0064150C">
        <w:t>The Only Once P</w:t>
      </w:r>
      <w:r>
        <w:t>rinciple</w:t>
      </w:r>
      <w:r w:rsidRPr="0064150C">
        <w:t xml:space="preserve"> Project (TOOP)</w:t>
      </w:r>
      <w:r>
        <w:t>"</w:t>
      </w:r>
      <w:r>
        <w:rPr>
          <w:rFonts w:hint="cs"/>
          <w:rtl/>
        </w:rPr>
        <w:t>, ש</w:t>
      </w:r>
      <w:r w:rsidRPr="0064150C">
        <w:rPr>
          <w:rFonts w:hint="cs"/>
          <w:rtl/>
        </w:rPr>
        <w:t xml:space="preserve">נועד </w:t>
      </w:r>
      <w:r>
        <w:rPr>
          <w:rFonts w:hint="cs"/>
          <w:rtl/>
        </w:rPr>
        <w:t xml:space="preserve">לאחד </w:t>
      </w:r>
      <w:r w:rsidRPr="0064150C">
        <w:rPr>
          <w:rFonts w:hint="cs"/>
          <w:rtl/>
        </w:rPr>
        <w:t xml:space="preserve">59 מערכות מידע מ-21 מדינות. </w:t>
      </w:r>
    </w:p>
  </w:footnote>
  <w:footnote w:id="28">
    <w:p w14:paraId="511FE47D" w14:textId="77777777" w:rsidR="00106932" w:rsidRDefault="00106932" w:rsidP="007478B2">
      <w:pPr>
        <w:pStyle w:val="af2"/>
        <w:spacing w:after="60" w:line="220" w:lineRule="exact"/>
        <w:ind w:left="284" w:right="0" w:hanging="284"/>
        <w:rPr>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Pr>
          <w:rFonts w:hint="cs"/>
          <w:rtl/>
        </w:rPr>
        <w:t>כל מרשם או פנקס הקיימים מכוח חיקוק, הנמצא באחריות משרד ממשלתי, או מאגר מידע ממשלתי.</w:t>
      </w:r>
    </w:p>
  </w:footnote>
  <w:footnote w:id="29">
    <w:p w14:paraId="4F8D7ADB" w14:textId="77777777" w:rsidR="00106932" w:rsidRDefault="00106932" w:rsidP="007478B2">
      <w:pPr>
        <w:pStyle w:val="af2"/>
        <w:spacing w:after="60" w:line="220" w:lineRule="exact"/>
        <w:ind w:left="284" w:right="0" w:hanging="284"/>
        <w:rPr>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כמשמעה</w:t>
      </w:r>
      <w:r>
        <w:rPr>
          <w:rFonts w:hint="cs"/>
          <w:rtl/>
        </w:rPr>
        <w:t xml:space="preserve"> בתקנות הגנת הפרטיות (תנאי החזקת מידע ושמירתו וסדרי העברת מידע בין גופים ציבוריים), התשמ"ו-1986. ראו להלן בפרק בנושא "מערכת מוע"ד".</w:t>
      </w:r>
    </w:p>
  </w:footnote>
  <w:footnote w:id="30">
    <w:p w14:paraId="01AF0F89" w14:textId="77777777" w:rsidR="00106932" w:rsidRPr="00FC01AA" w:rsidRDefault="00106932" w:rsidP="007478B2">
      <w:pPr>
        <w:pStyle w:val="af2"/>
        <w:spacing w:after="60" w:line="220" w:lineRule="exact"/>
        <w:ind w:left="284" w:right="0" w:hanging="284"/>
        <w:rPr>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FC01AA">
        <w:rPr>
          <w:rtl/>
        </w:rPr>
        <w:t xml:space="preserve">מיזם ממשלתי השואף לרתום ולמנף את ההזדמנות </w:t>
      </w:r>
      <w:r>
        <w:rPr>
          <w:rFonts w:hint="cs"/>
          <w:rtl/>
        </w:rPr>
        <w:t>הגלומה</w:t>
      </w:r>
      <w:r w:rsidRPr="00FC01AA">
        <w:rPr>
          <w:rtl/>
        </w:rPr>
        <w:t xml:space="preserve"> בהתקדמות טכנולוגיות המידע והתקשורת לטובת צמיחה כלכלית מואצת, צמצום פערים והפיכת הממשל לחכם, מהיר, ידידותי לאזרחים ומוביל עולמי בתחום הדיגיטלי</w:t>
      </w:r>
      <w:r w:rsidRPr="00FC01AA">
        <w:t>.</w:t>
      </w:r>
      <w:r>
        <w:rPr>
          <w:rFonts w:hint="cs"/>
          <w:rtl/>
        </w:rPr>
        <w:t xml:space="preserve"> בעניין זה ראו מבקר המדינה, </w:t>
      </w:r>
      <w:r w:rsidRPr="004226D3">
        <w:rPr>
          <w:rFonts w:hint="cs"/>
          <w:b/>
          <w:bCs/>
          <w:rtl/>
        </w:rPr>
        <w:t>דוח שנתי 70ב'</w:t>
      </w:r>
      <w:r>
        <w:rPr>
          <w:rFonts w:hint="cs"/>
          <w:rtl/>
        </w:rPr>
        <w:t xml:space="preserve"> (2020) "המשרד לשוויון חברתי - המיזם הלאומי ישראל דיגיטלית" (עמ' 1511 - 1589).</w:t>
      </w:r>
    </w:p>
  </w:footnote>
  <w:footnote w:id="31">
    <w:p w14:paraId="33F3A46E" w14:textId="77777777" w:rsidR="00106932" w:rsidRPr="00F678A0" w:rsidRDefault="00106932" w:rsidP="007478B2">
      <w:pPr>
        <w:pStyle w:val="af2"/>
        <w:spacing w:after="60" w:line="220" w:lineRule="exact"/>
        <w:ind w:left="284" w:right="0" w:hanging="284"/>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eastAsia"/>
          <w:vertAlign w:val="baseline"/>
          <w:rtl/>
        </w:rPr>
        <w:t>החלטת</w:t>
      </w:r>
      <w:r w:rsidRPr="0069572E">
        <w:rPr>
          <w:rtl/>
        </w:rPr>
        <w:t xml:space="preserve"> ממשלה 2097 </w:t>
      </w:r>
      <w:r w:rsidRPr="0069572E">
        <w:rPr>
          <w:rFonts w:hint="eastAsia"/>
          <w:rtl/>
        </w:rPr>
        <w:t>מאוקטובר</w:t>
      </w:r>
      <w:r w:rsidRPr="0069572E">
        <w:rPr>
          <w:rtl/>
        </w:rPr>
        <w:t xml:space="preserve"> 2014 </w:t>
      </w:r>
      <w:r w:rsidRPr="0069572E">
        <w:rPr>
          <w:rFonts w:hint="eastAsia"/>
          <w:rtl/>
        </w:rPr>
        <w:t>בנושא</w:t>
      </w:r>
      <w:r w:rsidRPr="0069572E">
        <w:rPr>
          <w:rtl/>
        </w:rPr>
        <w:t xml:space="preserve"> "הרחבת </w:t>
      </w:r>
      <w:r w:rsidRPr="0069572E">
        <w:rPr>
          <w:rFonts w:hint="eastAsia"/>
          <w:rtl/>
        </w:rPr>
        <w:t>תחומי</w:t>
      </w:r>
      <w:r w:rsidRPr="0069572E">
        <w:rPr>
          <w:rtl/>
        </w:rPr>
        <w:t xml:space="preserve"> </w:t>
      </w:r>
      <w:r w:rsidRPr="0069572E">
        <w:rPr>
          <w:rFonts w:hint="eastAsia"/>
          <w:rtl/>
        </w:rPr>
        <w:t>פעילות</w:t>
      </w:r>
      <w:r w:rsidRPr="0069572E">
        <w:rPr>
          <w:rtl/>
        </w:rPr>
        <w:t xml:space="preserve"> </w:t>
      </w:r>
      <w:r w:rsidRPr="0069572E">
        <w:rPr>
          <w:rFonts w:hint="eastAsia"/>
          <w:rtl/>
        </w:rPr>
        <w:t>התקשוב</w:t>
      </w:r>
      <w:r w:rsidRPr="0069572E">
        <w:rPr>
          <w:rtl/>
        </w:rPr>
        <w:t xml:space="preserve"> </w:t>
      </w:r>
      <w:r w:rsidRPr="0069572E">
        <w:rPr>
          <w:rFonts w:hint="eastAsia"/>
          <w:rtl/>
        </w:rPr>
        <w:t>הממשלתי</w:t>
      </w:r>
      <w:r w:rsidRPr="0069572E">
        <w:rPr>
          <w:rtl/>
        </w:rPr>
        <w:t xml:space="preserve">, </w:t>
      </w:r>
      <w:r w:rsidRPr="0069572E">
        <w:rPr>
          <w:rFonts w:hint="eastAsia"/>
          <w:rtl/>
        </w:rPr>
        <w:t>עידוד</w:t>
      </w:r>
      <w:r w:rsidRPr="0069572E">
        <w:rPr>
          <w:rtl/>
        </w:rPr>
        <w:t xml:space="preserve"> </w:t>
      </w:r>
      <w:r w:rsidRPr="0069572E">
        <w:rPr>
          <w:rFonts w:hint="eastAsia"/>
          <w:rtl/>
        </w:rPr>
        <w:t>חדשנות</w:t>
      </w:r>
      <w:r w:rsidRPr="0069572E">
        <w:rPr>
          <w:rtl/>
        </w:rPr>
        <w:t xml:space="preserve"> </w:t>
      </w:r>
      <w:r w:rsidRPr="0069572E">
        <w:rPr>
          <w:rFonts w:hint="eastAsia"/>
          <w:rtl/>
        </w:rPr>
        <w:t>במגזר</w:t>
      </w:r>
      <w:r w:rsidRPr="0069572E">
        <w:rPr>
          <w:rtl/>
        </w:rPr>
        <w:t xml:space="preserve"> </w:t>
      </w:r>
      <w:r w:rsidRPr="0069572E">
        <w:rPr>
          <w:rFonts w:hint="eastAsia"/>
          <w:rtl/>
        </w:rPr>
        <w:t>הציבורי</w:t>
      </w:r>
      <w:r w:rsidRPr="0069572E">
        <w:rPr>
          <w:rtl/>
        </w:rPr>
        <w:t xml:space="preserve"> </w:t>
      </w:r>
      <w:r w:rsidRPr="0069572E">
        <w:rPr>
          <w:rFonts w:hint="eastAsia"/>
          <w:rtl/>
        </w:rPr>
        <w:t>וקידום</w:t>
      </w:r>
      <w:r w:rsidRPr="0069572E">
        <w:rPr>
          <w:rtl/>
        </w:rPr>
        <w:t xml:space="preserve"> </w:t>
      </w:r>
      <w:r w:rsidRPr="0069572E">
        <w:rPr>
          <w:rFonts w:hint="eastAsia"/>
          <w:rtl/>
        </w:rPr>
        <w:t>המיזם</w:t>
      </w:r>
      <w:r w:rsidRPr="0069572E">
        <w:rPr>
          <w:rtl/>
        </w:rPr>
        <w:t xml:space="preserve"> </w:t>
      </w:r>
      <w:r w:rsidRPr="0069572E">
        <w:rPr>
          <w:rFonts w:hint="eastAsia"/>
          <w:rtl/>
        </w:rPr>
        <w:t>הלאומי</w:t>
      </w:r>
      <w:r w:rsidRPr="0069572E">
        <w:rPr>
          <w:rtl/>
        </w:rPr>
        <w:t xml:space="preserve"> </w:t>
      </w:r>
      <w:r w:rsidRPr="0069572E">
        <w:rPr>
          <w:rFonts w:hint="eastAsia"/>
          <w:rtl/>
        </w:rPr>
        <w:t>ישראל</w:t>
      </w:r>
      <w:r w:rsidRPr="0069572E">
        <w:rPr>
          <w:rtl/>
        </w:rPr>
        <w:t xml:space="preserve"> </w:t>
      </w:r>
      <w:r w:rsidRPr="0069572E">
        <w:rPr>
          <w:rFonts w:hint="eastAsia"/>
          <w:rtl/>
        </w:rPr>
        <w:t>דיגיטלית</w:t>
      </w:r>
      <w:r w:rsidRPr="0069572E">
        <w:rPr>
          <w:rtl/>
        </w:rPr>
        <w:t xml:space="preserve">", </w:t>
      </w:r>
      <w:r w:rsidRPr="0069572E">
        <w:rPr>
          <w:rFonts w:hint="eastAsia"/>
          <w:rtl/>
        </w:rPr>
        <w:t>סעיף</w:t>
      </w:r>
      <w:r w:rsidRPr="0069572E">
        <w:rPr>
          <w:rtl/>
        </w:rPr>
        <w:t xml:space="preserve"> 18ד.</w:t>
      </w:r>
    </w:p>
  </w:footnote>
  <w:footnote w:id="32">
    <w:p w14:paraId="24F7E981" w14:textId="77777777" w:rsidR="00106932" w:rsidRDefault="00106932" w:rsidP="007478B2">
      <w:pPr>
        <w:pStyle w:val="af2"/>
        <w:spacing w:after="60" w:line="220" w:lineRule="exact"/>
        <w:ind w:left="284" w:right="0" w:hanging="284"/>
        <w:rPr>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בהחלטה</w:t>
      </w:r>
      <w:r>
        <w:rPr>
          <w:rFonts w:hint="cs"/>
          <w:rtl/>
        </w:rPr>
        <w:t xml:space="preserve"> משנת 2016 נקבע כי יו"ר ועדת ההיגוי יהיה ראש רשות התקשוב, וכי חבריה יהיו: מנהל היחידה לשיפור השירות הממשלתי לציבור, נציג אגף התקציבים במשרד האוצר, נציג מנכ"ל משרד ראש הממשלה, נציג מנכ"ל המשרד לשוויון חברתי ונציגים של ארבעה משרדי ממשלה רלוונטיים נוספים.</w:t>
      </w:r>
    </w:p>
  </w:footnote>
  <w:footnote w:id="33">
    <w:p w14:paraId="55C5C6AA" w14:textId="77777777" w:rsidR="00106932" w:rsidRDefault="00106932" w:rsidP="007478B2">
      <w:pPr>
        <w:pStyle w:val="af2"/>
        <w:spacing w:after="60" w:line="220" w:lineRule="exact"/>
        <w:ind w:left="284" w:right="0" w:hanging="284"/>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הנחיית</w:t>
      </w:r>
      <w:r>
        <w:rPr>
          <w:rFonts w:hint="cs"/>
          <w:rtl/>
        </w:rPr>
        <w:t xml:space="preserve"> ראש רשות התקשוב מס' 7.2.01, בנושא "העברת המידע הממשלתי - מיפוי תהליכים".</w:t>
      </w:r>
    </w:p>
  </w:footnote>
  <w:footnote w:id="34">
    <w:p w14:paraId="1F634891" w14:textId="77777777" w:rsidR="00106932" w:rsidRDefault="00106932" w:rsidP="007478B2">
      <w:pPr>
        <w:pStyle w:val="af2"/>
        <w:spacing w:after="60" w:line="220" w:lineRule="exact"/>
        <w:ind w:left="284" w:right="0" w:hanging="284"/>
        <w:rPr>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על</w:t>
      </w:r>
      <w:r>
        <w:rPr>
          <w:rFonts w:hint="cs"/>
          <w:rtl/>
        </w:rPr>
        <w:t xml:space="preserve"> פי נתוני ישראל דיגיטלית ורשות התקשוב מינואר 2021.</w:t>
      </w:r>
    </w:p>
  </w:footnote>
  <w:footnote w:id="35">
    <w:p w14:paraId="3EE3B03A" w14:textId="77777777" w:rsidR="00106932" w:rsidRPr="001C3F57" w:rsidRDefault="00106932" w:rsidP="007478B2">
      <w:pPr>
        <w:pStyle w:val="af2"/>
        <w:spacing w:after="60" w:line="220" w:lineRule="exact"/>
        <w:ind w:left="284" w:right="0" w:hanging="284"/>
        <w:rPr>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Pr>
          <w:rFonts w:hint="cs"/>
          <w:rtl/>
        </w:rPr>
        <w:t>באמצעותו ניתן לבצע תשלומים</w:t>
      </w:r>
      <w:r w:rsidRPr="001C3F57">
        <w:rPr>
          <w:rtl/>
        </w:rPr>
        <w:t xml:space="preserve"> עבור שירותים המתקבלים מממשל זמין</w:t>
      </w:r>
      <w:r w:rsidRPr="001C3F57">
        <w:t>.</w:t>
      </w:r>
    </w:p>
  </w:footnote>
  <w:footnote w:id="36">
    <w:p w14:paraId="3FEC7AD6" w14:textId="77777777" w:rsidR="00106932" w:rsidRDefault="00106932" w:rsidP="007478B2">
      <w:pPr>
        <w:pStyle w:val="af2"/>
        <w:spacing w:after="60" w:line="220" w:lineRule="exact"/>
        <w:ind w:left="284" w:right="0" w:hanging="284"/>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הכולל</w:t>
      </w:r>
      <w:r>
        <w:rPr>
          <w:rFonts w:hint="cs"/>
          <w:rtl/>
        </w:rPr>
        <w:t xml:space="preserve"> טפסים מקוונים של שירותים הניתנים על ידי משרדי הממשלה השונים.</w:t>
      </w:r>
    </w:p>
  </w:footnote>
  <w:footnote w:id="37">
    <w:p w14:paraId="6E312E71" w14:textId="77777777" w:rsidR="00106932" w:rsidRDefault="00106932" w:rsidP="007478B2">
      <w:pPr>
        <w:pStyle w:val="af2"/>
        <w:spacing w:after="60" w:line="220" w:lineRule="exact"/>
        <w:ind w:left="284" w:right="0" w:hanging="284"/>
        <w:rPr>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הקריטריונים</w:t>
      </w:r>
      <w:r>
        <w:rPr>
          <w:rFonts w:hint="cs"/>
          <w:rtl/>
        </w:rPr>
        <w:t xml:space="preserve"> המרכזיים לתעדוף היו: (1) מספר המשתמשים בשירות; (2) הפוטנציאל להתייעלות ממשלתית (למשל צמצום שעות של מתן השירות והגדלת היקף הגבייה); (3) מידת הנטל הבירוקרטי הכרוך בקבלת השירות (למשל מספר הגורמים המעורבים ומספר האישורים הנדרשים).</w:t>
      </w:r>
    </w:p>
  </w:footnote>
  <w:footnote w:id="38">
    <w:p w14:paraId="6FCFA8EC" w14:textId="77777777" w:rsidR="00106932" w:rsidRDefault="00106932" w:rsidP="007478B2">
      <w:pPr>
        <w:pStyle w:val="af2"/>
        <w:spacing w:after="60" w:line="220" w:lineRule="exact"/>
        <w:ind w:left="284" w:right="0" w:hanging="284"/>
        <w:rPr>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יצוין</w:t>
      </w:r>
      <w:r>
        <w:rPr>
          <w:rFonts w:hint="cs"/>
          <w:rtl/>
        </w:rPr>
        <w:t xml:space="preserve"> כי תועדפו גם 20 שירותים לעסקים, ובהם אישור תוכניות בנייה, רישוי עסקים וקיזוז מע"ם.</w:t>
      </w:r>
    </w:p>
  </w:footnote>
  <w:footnote w:id="39">
    <w:p w14:paraId="0C9059F4" w14:textId="77777777" w:rsidR="00106932" w:rsidRPr="007478B2" w:rsidRDefault="00106932" w:rsidP="007478B2">
      <w:pPr>
        <w:pStyle w:val="af2"/>
        <w:spacing w:after="60" w:line="220" w:lineRule="exact"/>
        <w:ind w:left="284" w:right="0" w:hanging="284"/>
        <w:rPr>
          <w:rStyle w:val="af3"/>
          <w:vertAlign w:val="baseline"/>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מדובר בין היתר בביטוח הלאומי והשלטון המקומי, שההחלטה מ-2016 אינה חלה עליהם (ראו להלן בפרק בנושא "שילוב גופים נוספים במיפוי השירותים".</w:t>
      </w:r>
    </w:p>
  </w:footnote>
  <w:footnote w:id="40">
    <w:p w14:paraId="18D78EA1" w14:textId="77777777" w:rsidR="00106932" w:rsidRPr="007478B2" w:rsidRDefault="00106932" w:rsidP="007478B2">
      <w:pPr>
        <w:pStyle w:val="af2"/>
        <w:spacing w:after="60" w:line="220" w:lineRule="exact"/>
        <w:ind w:left="284" w:right="0" w:hanging="284"/>
        <w:rPr>
          <w:rStyle w:val="af3"/>
          <w:vertAlign w:val="baseline"/>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על פי הדיווח שהעבירה רשות התקשוב לממשלה בפברואר 2018 בנושא יישום החלטה 1933.</w:t>
      </w:r>
    </w:p>
  </w:footnote>
  <w:footnote w:id="41">
    <w:p w14:paraId="208777AE" w14:textId="77777777" w:rsidR="00106932" w:rsidRPr="007478B2" w:rsidRDefault="00106932" w:rsidP="007478B2">
      <w:pPr>
        <w:pStyle w:val="af2"/>
        <w:spacing w:after="60" w:line="220" w:lineRule="exact"/>
        <w:ind w:left="284" w:right="0" w:hanging="284"/>
        <w:rPr>
          <w:rStyle w:val="af3"/>
          <w:vertAlign w:val="baseline"/>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מכתב רשות התקשוב מיום 26.11.20.</w:t>
      </w:r>
    </w:p>
  </w:footnote>
  <w:footnote w:id="42">
    <w:p w14:paraId="080702BD" w14:textId="77777777" w:rsidR="00106932" w:rsidRPr="007478B2" w:rsidRDefault="00106932" w:rsidP="007478B2">
      <w:pPr>
        <w:pStyle w:val="af2"/>
        <w:spacing w:after="60" w:line="220" w:lineRule="exact"/>
        <w:ind w:left="284" w:right="0" w:hanging="284"/>
        <w:rPr>
          <w:rStyle w:val="af3"/>
          <w:vertAlign w:val="baseline"/>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שם.</w:t>
      </w:r>
    </w:p>
  </w:footnote>
  <w:footnote w:id="43">
    <w:p w14:paraId="1000CCCD" w14:textId="77777777" w:rsidR="00106932" w:rsidRPr="007478B2" w:rsidRDefault="00106932" w:rsidP="007478B2">
      <w:pPr>
        <w:pStyle w:val="af2"/>
        <w:spacing w:after="60" w:line="220" w:lineRule="exact"/>
        <w:ind w:left="284" w:right="0" w:hanging="284"/>
        <w:rPr>
          <w:rStyle w:val="af3"/>
          <w:vertAlign w:val="baseline"/>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מערכת לניהול תוכניות העבודה של המשרדים.</w:t>
      </w:r>
    </w:p>
  </w:footnote>
  <w:footnote w:id="44">
    <w:p w14:paraId="09BD9A89" w14:textId="77777777" w:rsidR="00106932" w:rsidRPr="007478B2" w:rsidRDefault="00106932" w:rsidP="007478B2">
      <w:pPr>
        <w:pStyle w:val="af2"/>
        <w:spacing w:after="60" w:line="220" w:lineRule="exact"/>
        <w:ind w:left="284" w:right="0" w:hanging="284"/>
        <w:rPr>
          <w:rStyle w:val="af3"/>
          <w:vertAlign w:val="baseline"/>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ראו סיכום מפברואר 2018 של ועדת ההיגוי.</w:t>
      </w:r>
    </w:p>
  </w:footnote>
  <w:footnote w:id="45">
    <w:p w14:paraId="49DE26E0" w14:textId="77777777" w:rsidR="00106932" w:rsidRPr="007478B2" w:rsidRDefault="00106932" w:rsidP="007478B2">
      <w:pPr>
        <w:pStyle w:val="af2"/>
        <w:spacing w:after="60" w:line="220" w:lineRule="exact"/>
        <w:ind w:left="284" w:right="0" w:hanging="284"/>
        <w:rPr>
          <w:rStyle w:val="af3"/>
          <w:vertAlign w:val="baseline"/>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סעיפים 1 עד 3 וכן 6 ו-7 בהחלטה.</w:t>
      </w:r>
    </w:p>
  </w:footnote>
  <w:footnote w:id="46">
    <w:p w14:paraId="6A86468D" w14:textId="77777777" w:rsidR="00106932" w:rsidRPr="007478B2" w:rsidRDefault="00106932" w:rsidP="007478B2">
      <w:pPr>
        <w:pStyle w:val="af2"/>
        <w:spacing w:after="60" w:line="220" w:lineRule="exact"/>
        <w:ind w:left="284" w:right="0" w:hanging="284"/>
        <w:rPr>
          <w:rStyle w:val="af3"/>
          <w:vertAlign w:val="baseline"/>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 xml:space="preserve">לגבי הביטוח הלאומי צוין בהחלטה כי אין בה כדי לגרוע ממעמדו העצמאי כגוף סטטוטורי, וכי למען הסר ספק, אתר האינטרנט של הביטוח הלאומי יספק את מלוא השירותים הדיגיטליים שלו ובד בבד לאפשרות לקבלם גם באזור האישי. </w:t>
      </w:r>
    </w:p>
  </w:footnote>
  <w:footnote w:id="47">
    <w:p w14:paraId="3C4D6DA2" w14:textId="77777777" w:rsidR="00106932" w:rsidRPr="007478B2" w:rsidRDefault="00106932" w:rsidP="007478B2">
      <w:pPr>
        <w:pStyle w:val="af2"/>
        <w:spacing w:after="60" w:line="220" w:lineRule="exact"/>
        <w:ind w:left="284" w:right="0" w:hanging="284"/>
        <w:rPr>
          <w:rStyle w:val="af3"/>
          <w:vertAlign w:val="baseline"/>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למשל ממשקים עם שירות התעסוקה (מידע על מובטלים); עם משרד התחבורה (קובץ רישיונות נהיגה ורכב); ועם משרד הביטחון (קובץ חיילים, משרתי מילואים וקצבאות נכי צה"ל).</w:t>
      </w:r>
    </w:p>
  </w:footnote>
  <w:footnote w:id="48">
    <w:p w14:paraId="0173B499" w14:textId="77777777" w:rsidR="00106932" w:rsidRPr="007478B2" w:rsidRDefault="00106932" w:rsidP="007478B2">
      <w:pPr>
        <w:pStyle w:val="af2"/>
        <w:spacing w:after="60" w:line="220" w:lineRule="exact"/>
        <w:ind w:left="284" w:right="0" w:hanging="284"/>
        <w:rPr>
          <w:rStyle w:val="af3"/>
          <w:vertAlign w:val="baseline"/>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לדוגמה, יצירת קשר ישיר עם חברת החשמל, כדי לאפשר לאזרח לממש באופן מיידי את זכויותיו להנחה בחשבון החשמל או יצירת ממשק ישיר עם עיריות בכל רחבי הארץ, על מנת שיוכלו לקבל מידע ספציפי מהביטוח הלאומי לשם מתן הנחה בארנונה לאוכלוסיות נזקקות ביישוב.</w:t>
      </w:r>
    </w:p>
  </w:footnote>
  <w:footnote w:id="49">
    <w:p w14:paraId="4EE415C4" w14:textId="77777777" w:rsidR="00106932" w:rsidRPr="007478B2" w:rsidRDefault="00106932" w:rsidP="007478B2">
      <w:pPr>
        <w:pStyle w:val="af2"/>
        <w:spacing w:after="60" w:line="220" w:lineRule="exact"/>
        <w:ind w:left="284" w:right="0" w:hanging="284"/>
        <w:rPr>
          <w:rStyle w:val="af3"/>
          <w:vertAlign w:val="baseline"/>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למשל, הוקם צוות בנושא "פתיחת תיק ניכויים" (ביטוח טופס פיזי באמצעות העברת מידע), וצוות בנושא "ועדות רפואיות" (הפעלת</w:t>
      </w:r>
      <w:r w:rsidRPr="007478B2">
        <w:rPr>
          <w:rStyle w:val="af3"/>
          <w:vertAlign w:val="baseline"/>
          <w:rtl/>
        </w:rPr>
        <w:t xml:space="preserve"> </w:t>
      </w:r>
      <w:r w:rsidRPr="007478B2">
        <w:rPr>
          <w:rStyle w:val="af3"/>
          <w:rFonts w:hint="cs"/>
          <w:vertAlign w:val="baseline"/>
          <w:rtl/>
        </w:rPr>
        <w:t>הו</w:t>
      </w:r>
      <w:r w:rsidRPr="007478B2">
        <w:rPr>
          <w:rStyle w:val="af3"/>
          <w:rFonts w:hint="eastAsia"/>
          <w:vertAlign w:val="baseline"/>
          <w:rtl/>
        </w:rPr>
        <w:t>ועדות</w:t>
      </w:r>
      <w:r w:rsidRPr="007478B2">
        <w:rPr>
          <w:rStyle w:val="af3"/>
          <w:rFonts w:hint="cs"/>
          <w:vertAlign w:val="baseline"/>
          <w:rtl/>
        </w:rPr>
        <w:t xml:space="preserve"> מרחוק, זימון תורים באופן מקוון ועוד).</w:t>
      </w:r>
      <w:r w:rsidRPr="007478B2">
        <w:rPr>
          <w:rStyle w:val="af3"/>
          <w:vertAlign w:val="baseline"/>
        </w:rPr>
        <w:t xml:space="preserve"> </w:t>
      </w:r>
    </w:p>
  </w:footnote>
  <w:footnote w:id="50">
    <w:p w14:paraId="1F23E549" w14:textId="77777777" w:rsidR="00106932" w:rsidRPr="007478B2" w:rsidRDefault="00106932" w:rsidP="007478B2">
      <w:pPr>
        <w:pStyle w:val="af2"/>
        <w:spacing w:after="60" w:line="220" w:lineRule="exact"/>
        <w:ind w:left="284" w:right="0" w:hanging="284"/>
        <w:rPr>
          <w:rStyle w:val="af3"/>
          <w:vertAlign w:val="baseline"/>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על פי "דוח יישום תקופתי - שיפור העברת המידע הממשלתי והנגשת מאגרי מידע לציבור", שפרסמה רשות התקשוב בפברואר 2020.</w:t>
      </w:r>
    </w:p>
  </w:footnote>
  <w:footnote w:id="51">
    <w:p w14:paraId="06A62873" w14:textId="40DBD3E9" w:rsidR="00106932" w:rsidRPr="006C2C50" w:rsidRDefault="00106932" w:rsidP="006C2C50">
      <w:pPr>
        <w:pStyle w:val="af2"/>
        <w:spacing w:after="60" w:line="220" w:lineRule="exact"/>
        <w:ind w:left="284" w:right="0" w:hanging="284"/>
        <w:rPr>
          <w:rStyle w:val="af3"/>
          <w:vertAlign w:val="baseline"/>
        </w:rPr>
      </w:pPr>
      <w:r w:rsidRPr="006C2C50">
        <w:rPr>
          <w:rStyle w:val="af3"/>
          <w:vertAlign w:val="baseline"/>
        </w:rPr>
        <w:footnoteRef/>
      </w:r>
      <w:r w:rsidRPr="006C2C50">
        <w:rPr>
          <w:rStyle w:val="af3"/>
          <w:vertAlign w:val="baseline"/>
          <w:rtl/>
        </w:rPr>
        <w:t xml:space="preserve"> </w:t>
      </w:r>
      <w:r>
        <w:tab/>
      </w:r>
      <w:r w:rsidRPr="007478B2">
        <w:rPr>
          <w:rStyle w:val="af3"/>
          <w:rFonts w:hint="cs"/>
          <w:vertAlign w:val="baseline"/>
          <w:rtl/>
        </w:rPr>
        <w:t>כדי לעקוב אחר יישום "מדיניות פעם אחת" במשרדים גיבשה רשות התקשוב בשנת 2018 את "מדד 1933" בתחום העברת מידע.</w:t>
      </w:r>
    </w:p>
  </w:footnote>
  <w:footnote w:id="52">
    <w:p w14:paraId="4523B653" w14:textId="77777777" w:rsidR="00106932" w:rsidRPr="007478B2" w:rsidRDefault="00106932" w:rsidP="007478B2">
      <w:pPr>
        <w:pStyle w:val="af2"/>
        <w:spacing w:after="60" w:line="220" w:lineRule="exact"/>
        <w:ind w:left="284" w:right="0" w:hanging="284"/>
        <w:rPr>
          <w:rStyle w:val="af3"/>
          <w:vertAlign w:val="baseline"/>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 xml:space="preserve">הנחיית ראש רשות התקשוב מס' 7.2.3. </w:t>
      </w:r>
    </w:p>
  </w:footnote>
  <w:footnote w:id="53">
    <w:p w14:paraId="06165D81" w14:textId="77777777" w:rsidR="00106932" w:rsidRPr="007478B2" w:rsidRDefault="00106932" w:rsidP="007478B2">
      <w:pPr>
        <w:pStyle w:val="af2"/>
        <w:spacing w:after="60" w:line="220" w:lineRule="exact"/>
        <w:ind w:left="284" w:right="0" w:hanging="284"/>
        <w:rPr>
          <w:rStyle w:val="af3"/>
          <w:vertAlign w:val="baseline"/>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ההרשמה למערכת מבוססת על הצלבה בין מאגרי מידע ושימוש בשניים מארבעה אמצעי זיהוי: ת</w:t>
      </w:r>
      <w:r w:rsidRPr="007478B2">
        <w:rPr>
          <w:rStyle w:val="af3"/>
          <w:rFonts w:hint="eastAsia"/>
          <w:vertAlign w:val="baseline"/>
          <w:rtl/>
        </w:rPr>
        <w:t>עודת</w:t>
      </w:r>
      <w:r w:rsidRPr="007478B2">
        <w:rPr>
          <w:rStyle w:val="af3"/>
          <w:vertAlign w:val="baseline"/>
          <w:rtl/>
        </w:rPr>
        <w:t xml:space="preserve"> </w:t>
      </w:r>
      <w:r w:rsidRPr="007478B2">
        <w:rPr>
          <w:rStyle w:val="af3"/>
          <w:rFonts w:hint="eastAsia"/>
          <w:vertAlign w:val="baseline"/>
          <w:rtl/>
        </w:rPr>
        <w:t>זהות</w:t>
      </w:r>
      <w:r w:rsidRPr="007478B2">
        <w:rPr>
          <w:rStyle w:val="af3"/>
          <w:rFonts w:hint="cs"/>
          <w:vertAlign w:val="baseline"/>
          <w:rtl/>
        </w:rPr>
        <w:t>, דרכון, תעודת עולה חדש וכרטיס אשראי. המערכת משמשת בין היתר להזדהות לצורך קבלת שירותים באזור האישי.</w:t>
      </w:r>
    </w:p>
  </w:footnote>
  <w:footnote w:id="54">
    <w:p w14:paraId="230DDF0E" w14:textId="77777777" w:rsidR="00106932" w:rsidRPr="007478B2" w:rsidRDefault="00106932" w:rsidP="007478B2">
      <w:pPr>
        <w:pStyle w:val="af2"/>
        <w:spacing w:after="60" w:line="220" w:lineRule="exact"/>
        <w:ind w:left="284" w:right="0" w:hanging="284"/>
        <w:rPr>
          <w:rStyle w:val="af3"/>
          <w:vertAlign w:val="baseline"/>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 xml:space="preserve">יחידת ממשל זמין ברשות התקשוב פועלת להנגשת שירותי הממשלה באמצעים דיגיטליים מתקדמים ולייזום והטמעה של טכנולוגיות חדשניות. הפעילויות העיקריות של היחידה כוללות את הקמת אתר השירותים והמידע הממשלתי </w:t>
      </w:r>
      <w:r w:rsidRPr="007478B2">
        <w:rPr>
          <w:rStyle w:val="af3"/>
          <w:vertAlign w:val="baseline"/>
        </w:rPr>
        <w:t>gov.il</w:t>
      </w:r>
      <w:r w:rsidRPr="007478B2">
        <w:rPr>
          <w:rStyle w:val="af3"/>
          <w:rFonts w:hint="cs"/>
          <w:vertAlign w:val="baseline"/>
          <w:rtl/>
        </w:rPr>
        <w:t xml:space="preserve">, האזור האישי הממשלתי ומערכת ההזדהות הממשלתית. </w:t>
      </w:r>
    </w:p>
  </w:footnote>
  <w:footnote w:id="55">
    <w:p w14:paraId="6632D09C" w14:textId="77777777" w:rsidR="00106932" w:rsidRPr="007478B2" w:rsidRDefault="00106932" w:rsidP="007478B2">
      <w:pPr>
        <w:pStyle w:val="af2"/>
        <w:spacing w:after="60" w:line="220" w:lineRule="exact"/>
        <w:ind w:left="284" w:right="0" w:hanging="284"/>
        <w:rPr>
          <w:rStyle w:val="af3"/>
          <w:vertAlign w:val="baseline"/>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חוות הדעת המשפטית של רשות התקשוב מאפשרת להתבסס על פיתוח שירותים דיגיטליים בתשתיות רוחביות של ממשל זמין, ובכלל זה בשירותים המזוהים במערכת ההזדהות הממשלתית ובתשתית הטפסים, באופן המממש את זכות העיון של האזרח ואינו נחשב כהעברת מידע לפי פרק ד' לחוק הגנת הפרטיות. בדרך זו ניתן להקל את תהליך העברת המידע ללא צורך בוועדה להעברת מידע. רשות המסים כתבה בתשובתה למבקר המדינה, שלדעתה קיימת בעייתיות משפטית מסוימת ביחס להעברת מידע, וזאת עקב שיקולים של הגנת הפרטיות. רשות התקשוב ציינה בתשובתה כי חוות הדעת המשפטית הועברה למשרד המשפטים ונבחנה על ידו. עוד ציינה כי האפשרות להתייחס לתהליך מימוש המדיניות באמצעות תשתית הטפסים, ככזה שאינו מחייב את תהליכי העברות המידע בהתאם לפרק ד' לחוק הגנת הפרטיות, יכולה להתקיים בתנאים הבאים: (א) העברת מידע מהגופים בעלי המידע לתשתית הטפסים, מבוצעת על ידי ממשל זמין בהיותו "הזרוע הארוכה" של המשרדים, לצורך החצנת המידע לאזרח בהתאם לרצונו לצרוך טופס אוטומטי, וכל זאת מבלי לעבד את המידע; (ב) העברת המידע מתשתית הטפסים לגוף נותן השירות מבוצעת על ידי ממשל זמין בהיותו "הזרוע הארוכה" של הגוף נותן השירות (שהוא בעל הסמכות לאסוף המידע הנכלל בטופס) ורק לאחר שהאזרח ביקש לשלוח את הטופס.</w:t>
      </w:r>
    </w:p>
  </w:footnote>
  <w:footnote w:id="56">
    <w:p w14:paraId="4679D72C" w14:textId="77777777" w:rsidR="00106932" w:rsidRPr="007478B2" w:rsidRDefault="00106932" w:rsidP="007478B2">
      <w:pPr>
        <w:pStyle w:val="af2"/>
        <w:spacing w:after="60" w:line="220" w:lineRule="exact"/>
        <w:ind w:left="284" w:right="0" w:hanging="284"/>
        <w:rPr>
          <w:rStyle w:val="af3"/>
          <w:vertAlign w:val="baseline"/>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מימוש מדיניות פעם אחת בשירותים ממשלתיים באמצעות תשתיות ממשל זמין כאמור אינה האפשרות היחידה העומדת בפני המשרדים, אלא המשרדים יכולים לבצע העברות מידע באמצעות טופס בקשה להעברת מידע והקמת ממשקים בין המערכות התפעוליות של המשרדים המעורבים בכך.</w:t>
      </w:r>
    </w:p>
  </w:footnote>
  <w:footnote w:id="57">
    <w:p w14:paraId="4B409F68" w14:textId="77777777" w:rsidR="00106932" w:rsidRPr="007478B2" w:rsidRDefault="00106932" w:rsidP="007478B2">
      <w:pPr>
        <w:pStyle w:val="af2"/>
        <w:spacing w:after="60" w:line="220" w:lineRule="exact"/>
        <w:ind w:left="284" w:right="0" w:hanging="284"/>
        <w:rPr>
          <w:rStyle w:val="af3"/>
          <w:vertAlign w:val="baseline"/>
        </w:rPr>
      </w:pPr>
      <w:r w:rsidRPr="007478B2">
        <w:rPr>
          <w:rStyle w:val="af3"/>
          <w:vertAlign w:val="baseline"/>
        </w:rPr>
        <w:footnoteRef/>
      </w:r>
      <w:r w:rsidRPr="007478B2">
        <w:rPr>
          <w:rStyle w:val="af3"/>
          <w:vertAlign w:val="baseline"/>
          <w:rtl/>
        </w:rPr>
        <w:t xml:space="preserve"> </w:t>
      </w:r>
      <w:r w:rsidRPr="007478B2">
        <w:rPr>
          <w:rStyle w:val="af3"/>
          <w:vertAlign w:val="baseline"/>
          <w:rtl/>
        </w:rPr>
        <w:tab/>
        <w:t>משרדי הממשלה ומוסדות מדינה אחרים, רשות מקומית וגוף אחר הממלא תפקידים ציבוריים על פי דין</w:t>
      </w:r>
      <w:r w:rsidRPr="007478B2">
        <w:rPr>
          <w:rStyle w:val="af3"/>
          <w:rFonts w:hint="cs"/>
          <w:vertAlign w:val="baseline"/>
          <w:rtl/>
        </w:rPr>
        <w:t>.</w:t>
      </w:r>
    </w:p>
  </w:footnote>
  <w:footnote w:id="58">
    <w:p w14:paraId="09302C41" w14:textId="77777777" w:rsidR="00106932" w:rsidRPr="007478B2" w:rsidRDefault="00106932" w:rsidP="007478B2">
      <w:pPr>
        <w:pStyle w:val="af2"/>
        <w:spacing w:after="60" w:line="220" w:lineRule="exact"/>
        <w:ind w:left="284" w:right="0" w:hanging="284"/>
        <w:rPr>
          <w:rStyle w:val="af3"/>
          <w:vertAlign w:val="baseline"/>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לפי תיקון ההגדרה לאחר אימוץ החלטה 260 מיום 26.7.20, 'מידע' - אישור או נתונים הקיימים במאגר ממשלתי.</w:t>
      </w:r>
    </w:p>
  </w:footnote>
  <w:footnote w:id="59">
    <w:p w14:paraId="181E7A6E" w14:textId="77777777" w:rsidR="00106932" w:rsidRPr="007478B2" w:rsidRDefault="00106932" w:rsidP="007478B2">
      <w:pPr>
        <w:pStyle w:val="af2"/>
        <w:spacing w:after="60" w:line="220" w:lineRule="exact"/>
        <w:ind w:left="284" w:right="0" w:hanging="284"/>
        <w:rPr>
          <w:rStyle w:val="af3"/>
          <w:vertAlign w:val="baseline"/>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מידע, כמשמעו בחוק הגנת הפרטיות, לרבות ידיעות על ענייניו הפרטיים של אדם ולרבות מידע כאמור, אם הוא ניתן לזיהוי, כשלעצמו או במצטבר עם מידע נוסף.</w:t>
      </w:r>
      <w:r w:rsidRPr="007478B2">
        <w:rPr>
          <w:rStyle w:val="af3"/>
          <w:vertAlign w:val="baseline"/>
          <w:rtl/>
        </w:rPr>
        <w:t xml:space="preserve"> </w:t>
      </w:r>
    </w:p>
  </w:footnote>
  <w:footnote w:id="60">
    <w:p w14:paraId="644B8601" w14:textId="77777777" w:rsidR="00106932" w:rsidRPr="007478B2" w:rsidRDefault="00106932" w:rsidP="007478B2">
      <w:pPr>
        <w:pStyle w:val="af2"/>
        <w:spacing w:after="60" w:line="220" w:lineRule="exact"/>
        <w:ind w:left="284" w:right="0" w:hanging="284"/>
        <w:rPr>
          <w:rStyle w:val="af3"/>
          <w:vertAlign w:val="baseline"/>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 xml:space="preserve">כמו כן צוין כי אין באמור כדי לפגוע בשיקול דעתן של הוועדות ובסמכות הנתונה להן לפי חוק, וכי רשות התקשוב לא תבחן את שיקול הדעת שהפעילו הוועדות ואת ההיבטים המשפטיים של עבודתן ולא תשתמש כערכאת ערעור על החלטותיהן, </w:t>
      </w:r>
      <w:r w:rsidRPr="007478B2">
        <w:rPr>
          <w:rStyle w:val="af3"/>
          <w:rFonts w:hint="eastAsia"/>
          <w:vertAlign w:val="baseline"/>
          <w:rtl/>
        </w:rPr>
        <w:t>אלא</w:t>
      </w:r>
      <w:r w:rsidRPr="007478B2">
        <w:rPr>
          <w:rStyle w:val="af3"/>
          <w:vertAlign w:val="baseline"/>
          <w:rtl/>
        </w:rPr>
        <w:t xml:space="preserve"> </w:t>
      </w:r>
      <w:r w:rsidRPr="007478B2">
        <w:rPr>
          <w:rStyle w:val="af3"/>
          <w:rFonts w:hint="eastAsia"/>
          <w:vertAlign w:val="baseline"/>
          <w:rtl/>
        </w:rPr>
        <w:t>תפקח</w:t>
      </w:r>
      <w:r w:rsidRPr="007478B2">
        <w:rPr>
          <w:rStyle w:val="af3"/>
          <w:vertAlign w:val="baseline"/>
          <w:rtl/>
        </w:rPr>
        <w:t xml:space="preserve"> </w:t>
      </w:r>
      <w:r w:rsidRPr="007478B2">
        <w:rPr>
          <w:rStyle w:val="af3"/>
          <w:rFonts w:hint="eastAsia"/>
          <w:vertAlign w:val="baseline"/>
          <w:rtl/>
        </w:rPr>
        <w:t>על</w:t>
      </w:r>
      <w:r w:rsidRPr="007478B2">
        <w:rPr>
          <w:rStyle w:val="af3"/>
          <w:vertAlign w:val="baseline"/>
          <w:rtl/>
        </w:rPr>
        <w:t xml:space="preserve"> </w:t>
      </w:r>
      <w:r w:rsidRPr="007478B2">
        <w:rPr>
          <w:rStyle w:val="af3"/>
          <w:rFonts w:hint="eastAsia"/>
          <w:vertAlign w:val="baseline"/>
          <w:rtl/>
        </w:rPr>
        <w:t>עמידתן</w:t>
      </w:r>
      <w:r w:rsidRPr="007478B2">
        <w:rPr>
          <w:rStyle w:val="af3"/>
          <w:vertAlign w:val="baseline"/>
          <w:rtl/>
        </w:rPr>
        <w:t xml:space="preserve"> </w:t>
      </w:r>
      <w:r w:rsidRPr="007478B2">
        <w:rPr>
          <w:rStyle w:val="af3"/>
          <w:rFonts w:hint="eastAsia"/>
          <w:vertAlign w:val="baseline"/>
          <w:rtl/>
        </w:rPr>
        <w:t>בנוהל</w:t>
      </w:r>
      <w:r w:rsidRPr="007478B2">
        <w:rPr>
          <w:rStyle w:val="af3"/>
          <w:vertAlign w:val="baseline"/>
          <w:rtl/>
        </w:rPr>
        <w:t>.</w:t>
      </w:r>
    </w:p>
  </w:footnote>
  <w:footnote w:id="61">
    <w:p w14:paraId="4060CF79" w14:textId="77777777" w:rsidR="00106932" w:rsidRPr="007478B2" w:rsidRDefault="00106932" w:rsidP="007478B2">
      <w:pPr>
        <w:pStyle w:val="af2"/>
        <w:spacing w:after="60" w:line="220" w:lineRule="exact"/>
        <w:ind w:left="284" w:right="0" w:hanging="284"/>
        <w:rPr>
          <w:rStyle w:val="af3"/>
          <w:vertAlign w:val="baseline"/>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טופסי א' וטופסי ב', לרבות בקשות שהתקבלו מגופים ציבוריים כגון רשויות מקומיות, בתי חולים ותאגידים סטטוטוריים.</w:t>
      </w:r>
    </w:p>
  </w:footnote>
  <w:footnote w:id="62">
    <w:p w14:paraId="5D041924" w14:textId="77777777" w:rsidR="00106932" w:rsidRPr="007478B2" w:rsidRDefault="00106932" w:rsidP="007478B2">
      <w:pPr>
        <w:pStyle w:val="af2"/>
        <w:spacing w:after="60" w:line="220" w:lineRule="exact"/>
        <w:ind w:left="284" w:right="0" w:hanging="284"/>
        <w:rPr>
          <w:rStyle w:val="af3"/>
          <w:vertAlign w:val="baseline"/>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הנחיה מס' 7.2.2 התקפה מ-1.5.19, בנושא "העברת המידע הממשלתי - שימוש במערכת מוע"ד".</w:t>
      </w:r>
    </w:p>
  </w:footnote>
  <w:footnote w:id="63">
    <w:p w14:paraId="01455F29" w14:textId="77777777" w:rsidR="00106932" w:rsidRPr="007478B2" w:rsidRDefault="00106932" w:rsidP="007478B2">
      <w:pPr>
        <w:pStyle w:val="af2"/>
        <w:spacing w:after="60" w:line="220" w:lineRule="exact"/>
        <w:ind w:left="284" w:right="0" w:hanging="284"/>
        <w:rPr>
          <w:rStyle w:val="af3"/>
          <w:vertAlign w:val="baseline"/>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בהחלטה משנת 2016 נקבע כאמור כי יש להטיל על שר הרווחה והשירותים החברתיים לפנות למוסד לביטוח לאומי כדי שיבחן אם לאמץ את האמור בכמה סעיפים בהחלטה, לרבות הסעיף שלפיו הוועדה להעברת מידע תפעל לפי הנוהל ותנהל את תהליך הטיפול בבקשות להעברת מידע במערכת מוע"ד. כמו כן, לא מובא נתון מספרי על מספר הבקשות בהן טיפלה הוועדה להעברת מידע בביטוח הלאומי ב-2019, שכן הביטוח הלאומי העלה השגה באשר לנכונות הנתון שהופיע ברישומי רשות התקשוב.</w:t>
      </w:r>
    </w:p>
  </w:footnote>
  <w:footnote w:id="64">
    <w:p w14:paraId="5D605CA5" w14:textId="77777777" w:rsidR="00106932" w:rsidRPr="007478B2" w:rsidRDefault="00106932" w:rsidP="007478B2">
      <w:pPr>
        <w:pStyle w:val="af2"/>
        <w:spacing w:after="60" w:line="220" w:lineRule="exact"/>
        <w:ind w:left="284" w:right="0" w:hanging="284"/>
        <w:rPr>
          <w:rStyle w:val="af3"/>
          <w:vertAlign w:val="baseline"/>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הכוונה להעברת מידע שאינה בין שני משרדי ממשלה.</w:t>
      </w:r>
    </w:p>
  </w:footnote>
  <w:footnote w:id="65">
    <w:p w14:paraId="54CEFAFC" w14:textId="77777777" w:rsidR="00106932" w:rsidRPr="007478B2" w:rsidRDefault="00106932" w:rsidP="007478B2">
      <w:pPr>
        <w:pStyle w:val="af2"/>
        <w:spacing w:after="60" w:line="220" w:lineRule="exact"/>
        <w:ind w:left="284" w:right="0" w:hanging="284"/>
        <w:rPr>
          <w:rStyle w:val="af3"/>
          <w:vertAlign w:val="baseline"/>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כהגדרתם בחוק הגנת הפרטיות, התשמ"א-1981: משרדי הממשלה ומוסדות מדינה אחרים, רשות מקומית וגוף אחר הממלא תפקידים ציבוריים על פי דין.</w:t>
      </w:r>
    </w:p>
  </w:footnote>
  <w:footnote w:id="66">
    <w:p w14:paraId="237F8112" w14:textId="77777777" w:rsidR="00106932" w:rsidRPr="007478B2" w:rsidRDefault="00106932" w:rsidP="007478B2">
      <w:pPr>
        <w:pStyle w:val="af2"/>
        <w:spacing w:after="60" w:line="220" w:lineRule="exact"/>
        <w:ind w:left="284" w:right="0" w:hanging="284"/>
        <w:rPr>
          <w:rStyle w:val="af3"/>
          <w:vertAlign w:val="baseline"/>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פער זה עשוי להיות מוסבר באופן חלקי על ידי שיטת ספירה שונה של הבקשות בדיווח לעומת הבקשות במוע"ד.</w:t>
      </w:r>
    </w:p>
  </w:footnote>
  <w:footnote w:id="67">
    <w:p w14:paraId="6D875C1D" w14:textId="77777777" w:rsidR="00106932" w:rsidRPr="007478B2" w:rsidRDefault="00106932" w:rsidP="007478B2">
      <w:pPr>
        <w:pStyle w:val="af2"/>
        <w:spacing w:after="60" w:line="220" w:lineRule="exact"/>
        <w:ind w:left="284" w:right="0" w:hanging="284"/>
        <w:rPr>
          <w:rStyle w:val="af3"/>
          <w:vertAlign w:val="baseline"/>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הממונה על היישומים הביומטריים, הרשות להגנת הפרטיות, ישראל דיגיטלית וגופים נוספים בהתאם לעניין ולצורך.</w:t>
      </w:r>
    </w:p>
  </w:footnote>
  <w:footnote w:id="68">
    <w:p w14:paraId="7CE5B6CC" w14:textId="77777777" w:rsidR="00106932" w:rsidRPr="007478B2" w:rsidRDefault="00106932" w:rsidP="007478B2">
      <w:pPr>
        <w:pStyle w:val="af2"/>
        <w:spacing w:after="60" w:line="220" w:lineRule="exact"/>
        <w:ind w:left="284" w:right="0" w:hanging="284"/>
        <w:rPr>
          <w:rStyle w:val="af3"/>
          <w:vertAlign w:val="baseline"/>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מכרז פומבי 27/17 - שדרת המידע עבור משרד ראש הממשלה - רשות התקשוב הממשלתי.</w:t>
      </w:r>
    </w:p>
  </w:footnote>
  <w:footnote w:id="69">
    <w:p w14:paraId="13A2B077" w14:textId="77777777" w:rsidR="00106932" w:rsidRPr="007478B2" w:rsidRDefault="00106932" w:rsidP="007478B2">
      <w:pPr>
        <w:pStyle w:val="af2"/>
        <w:spacing w:after="60" w:line="220" w:lineRule="exact"/>
        <w:ind w:left="284" w:right="0" w:hanging="284"/>
        <w:rPr>
          <w:rStyle w:val="af3"/>
          <w:vertAlign w:val="baseline"/>
          <w:rtl/>
        </w:rPr>
      </w:pPr>
      <w:r w:rsidRPr="007478B2">
        <w:rPr>
          <w:rStyle w:val="af3"/>
          <w:vertAlign w:val="baseline"/>
        </w:rPr>
        <w:footnoteRef/>
      </w:r>
      <w:r w:rsidRPr="007478B2">
        <w:rPr>
          <w:rStyle w:val="af3"/>
          <w:vertAlign w:val="baseline"/>
        </w:rPr>
        <w:t xml:space="preserve"> </w:t>
      </w:r>
      <w:r w:rsidRPr="007478B2">
        <w:rPr>
          <w:rStyle w:val="af3"/>
          <w:rFonts w:hint="cs"/>
          <w:vertAlign w:val="baseline"/>
        </w:rPr>
        <w:t>API</w:t>
      </w:r>
      <w:r w:rsidRPr="007478B2">
        <w:rPr>
          <w:rStyle w:val="af3"/>
          <w:vertAlign w:val="baseline"/>
        </w:rPr>
        <w:t xml:space="preserve"> (Application Program Interface)</w:t>
      </w:r>
      <w:r w:rsidRPr="007478B2">
        <w:rPr>
          <w:rStyle w:val="af3"/>
          <w:vertAlign w:val="baseline"/>
          <w:rtl/>
        </w:rPr>
        <w:t xml:space="preserve"> </w:t>
      </w:r>
      <w:r w:rsidRPr="007478B2">
        <w:rPr>
          <w:rStyle w:val="af3"/>
          <w:rFonts w:hint="cs"/>
          <w:vertAlign w:val="baseline"/>
          <w:rtl/>
        </w:rPr>
        <w:t>- "ממשק תכנות יישומי" הוא קוד שמאפשר לשתי תוכנות לתקשר זו עם זו. הממשק מאפשר אחסון ושליפות נתונים בצורה בטוחה; "שער הממשקים" הוא רכיב המאפשר קישור מאובטח</w:t>
      </w:r>
      <w:r w:rsidRPr="007478B2">
        <w:rPr>
          <w:rStyle w:val="af3"/>
          <w:rFonts w:hint="cs"/>
          <w:vertAlign w:val="baseline"/>
        </w:rPr>
        <w:t xml:space="preserve"> </w:t>
      </w:r>
      <w:r w:rsidRPr="007478B2">
        <w:rPr>
          <w:rStyle w:val="af3"/>
          <w:rFonts w:hint="cs"/>
          <w:vertAlign w:val="baseline"/>
          <w:rtl/>
        </w:rPr>
        <w:t>של ספקי מידע לשדרת המידע.</w:t>
      </w:r>
    </w:p>
  </w:footnote>
  <w:footnote w:id="70">
    <w:p w14:paraId="63587E8C" w14:textId="77777777" w:rsidR="00106932" w:rsidRPr="007478B2" w:rsidRDefault="00106932" w:rsidP="007478B2">
      <w:pPr>
        <w:pStyle w:val="af2"/>
        <w:spacing w:after="60" w:line="220" w:lineRule="exact"/>
        <w:ind w:left="284" w:right="0" w:hanging="284"/>
        <w:rPr>
          <w:rStyle w:val="af3"/>
          <w:vertAlign w:val="baseline"/>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העברת הטופס למשרד נותן השירות תתבצע על ידי האזרח, אם יהיה מעוניין בכך, ולא באופן אוטומטי.</w:t>
      </w:r>
    </w:p>
  </w:footnote>
  <w:footnote w:id="71">
    <w:p w14:paraId="54FBBF56" w14:textId="77777777" w:rsidR="00106932" w:rsidRPr="007478B2" w:rsidRDefault="00106932" w:rsidP="007478B2">
      <w:pPr>
        <w:pStyle w:val="af2"/>
        <w:spacing w:after="60" w:line="220" w:lineRule="exact"/>
        <w:ind w:left="284" w:right="0" w:hanging="284"/>
        <w:rPr>
          <w:rStyle w:val="af3"/>
          <w:vertAlign w:val="baseline"/>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 xml:space="preserve">החצנת מידע משמעה הנחת הממשקים באופן אחיד שמאפשר לכל משרד שיש בידו ההרשאות המתאימות להשתמש בממשק לקבלת המידע. </w:t>
      </w:r>
    </w:p>
  </w:footnote>
  <w:footnote w:id="72">
    <w:p w14:paraId="58E83775" w14:textId="77777777" w:rsidR="00106932" w:rsidRPr="007478B2" w:rsidRDefault="00106932" w:rsidP="007478B2">
      <w:pPr>
        <w:pStyle w:val="af2"/>
        <w:spacing w:after="60" w:line="220" w:lineRule="exact"/>
        <w:ind w:left="284" w:right="0" w:hanging="284"/>
        <w:rPr>
          <w:rStyle w:val="af3"/>
          <w:vertAlign w:val="baseline"/>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חוות הדעת המשפטית של רשות התקשוב מאפשרת כאמור להתבסס על פיתוח שירותים דיגיטליים בתשתיות רוחביות של ממשל זמין, ובכלל זה בשירותים המזוהים במערכת ההזדהות הממשלתית ובתשתית הטפסים, באופן המממש את זכות העיון של האזרח ואינו נחשב כהעברת מידע לפי פרק ד' לחוק הגנת הפרטיות. בדרך זו ניתן להקל את תהליך העברת המידע ללא צורך בוועדה להעברת מידע.</w:t>
      </w:r>
    </w:p>
  </w:footnote>
  <w:footnote w:id="73">
    <w:p w14:paraId="5FA46EF3" w14:textId="77777777" w:rsidR="00106932" w:rsidRPr="007478B2" w:rsidRDefault="00106932" w:rsidP="007478B2">
      <w:pPr>
        <w:pStyle w:val="af2"/>
        <w:spacing w:after="60" w:line="220" w:lineRule="exact"/>
        <w:ind w:left="284" w:right="0" w:hanging="284"/>
        <w:rPr>
          <w:rStyle w:val="af3"/>
          <w:vertAlign w:val="baseline"/>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הנחיה מס' 1.4.01 מ-1.3.19.</w:t>
      </w:r>
    </w:p>
  </w:footnote>
  <w:footnote w:id="74">
    <w:p w14:paraId="42414C40" w14:textId="77777777" w:rsidR="00106932" w:rsidRPr="007478B2" w:rsidRDefault="00106932" w:rsidP="007478B2">
      <w:pPr>
        <w:pStyle w:val="af2"/>
        <w:spacing w:after="60" w:line="220" w:lineRule="exact"/>
        <w:ind w:left="284" w:right="0" w:hanging="284"/>
        <w:rPr>
          <w:rStyle w:val="af3"/>
          <w:vertAlign w:val="baseline"/>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על פי הנחיית התקשוב, מערכת תקשוב היא אוסף רכיבי תוכנה, חומרה או תקשורת ונתונים, הקשורים ביניהם ומתפקדים יחד במרחב הסייבר המשרדי, לתמיכה בתהליכים.</w:t>
      </w:r>
    </w:p>
  </w:footnote>
  <w:footnote w:id="75">
    <w:p w14:paraId="5E170346" w14:textId="77777777" w:rsidR="00106932" w:rsidRPr="007478B2" w:rsidRDefault="00106932" w:rsidP="007478B2">
      <w:pPr>
        <w:pStyle w:val="af2"/>
        <w:spacing w:after="60" w:line="220" w:lineRule="exact"/>
        <w:ind w:left="284" w:right="0" w:hanging="284"/>
        <w:rPr>
          <w:rStyle w:val="af3"/>
          <w:vertAlign w:val="baseline"/>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 xml:space="preserve">התוכנית להאצת השירותים הדיגיטליים לציבור שנקבעה בהחלטת ממשלה 260 מיולי 2020. </w:t>
      </w:r>
    </w:p>
  </w:footnote>
  <w:footnote w:id="76">
    <w:p w14:paraId="33E56DF8" w14:textId="77777777" w:rsidR="00106932" w:rsidRPr="007478B2" w:rsidRDefault="00106932" w:rsidP="007478B2">
      <w:pPr>
        <w:pStyle w:val="af2"/>
        <w:spacing w:after="60" w:line="220" w:lineRule="exact"/>
        <w:ind w:left="284" w:right="0" w:hanging="284"/>
        <w:rPr>
          <w:rStyle w:val="af3"/>
          <w:vertAlign w:val="baseline"/>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מכתב רשות התקשוב למשרד מבקר המדינה מיום 22.11.20.</w:t>
      </w:r>
    </w:p>
  </w:footnote>
  <w:footnote w:id="77">
    <w:p w14:paraId="03B89F42" w14:textId="77777777" w:rsidR="00106932" w:rsidRPr="007478B2" w:rsidRDefault="00106932" w:rsidP="007478B2">
      <w:pPr>
        <w:pStyle w:val="af2"/>
        <w:spacing w:after="60" w:line="220" w:lineRule="exact"/>
        <w:ind w:left="284" w:right="0" w:hanging="284"/>
        <w:rPr>
          <w:rStyle w:val="af3"/>
          <w:vertAlign w:val="baseline"/>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על פי נתוני רשות התקשוב מסוף נובמבר 2020.</w:t>
      </w:r>
    </w:p>
  </w:footnote>
  <w:footnote w:id="78">
    <w:p w14:paraId="5CC26A7C" w14:textId="77777777" w:rsidR="00106932" w:rsidRPr="007478B2" w:rsidRDefault="00106932" w:rsidP="007478B2">
      <w:pPr>
        <w:pStyle w:val="af2"/>
        <w:spacing w:after="60" w:line="220" w:lineRule="exact"/>
        <w:ind w:left="284" w:right="0" w:hanging="284"/>
        <w:rPr>
          <w:rStyle w:val="af3"/>
          <w:vertAlign w:val="baseline"/>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הגוף המייצג את לקוחות המערכת, ולה הסמכות לקבלת החלטות הנוגעות לדרישות פונקציונליות במערכת וכן האחריות לניהול הפרויקט העסקי שפועל בד בבד עם הפרויקט המחשובי ובתיאום עימו.</w:t>
      </w:r>
    </w:p>
  </w:footnote>
  <w:footnote w:id="79">
    <w:p w14:paraId="297C0A23" w14:textId="77777777" w:rsidR="00106932" w:rsidRPr="007478B2" w:rsidRDefault="00106932" w:rsidP="007478B2">
      <w:pPr>
        <w:pStyle w:val="af2"/>
        <w:spacing w:after="60" w:line="220" w:lineRule="exact"/>
        <w:ind w:left="284" w:right="0" w:hanging="284"/>
        <w:rPr>
          <w:rStyle w:val="af3"/>
          <w:vertAlign w:val="baseline"/>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מינהלה שתפקידה לנהל את הפרויקט, ובין חבריה נמנים: מנהל פרויקט מטעם יחידת התקשוב, מנהל פרויקט מטעם היחידה העסקית ומנהל פרויקט מטעם הספק.</w:t>
      </w:r>
    </w:p>
  </w:footnote>
  <w:footnote w:id="80">
    <w:p w14:paraId="169DBA8F" w14:textId="77777777" w:rsidR="00106932" w:rsidRPr="007478B2" w:rsidRDefault="00106932" w:rsidP="007478B2">
      <w:pPr>
        <w:pStyle w:val="af2"/>
        <w:spacing w:after="60" w:line="220" w:lineRule="exact"/>
        <w:ind w:left="284" w:right="0" w:hanging="284"/>
        <w:rPr>
          <w:rStyle w:val="af3"/>
          <w:vertAlign w:val="baseline"/>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המסמך מגדיר שיטה סדורה שבאמצעותה יכיר הארגון את הסיכונים הרלוונטיים לו, יגבש פתרון להתגוננות מפניהם ויממש תוכנית לצמצום הסיכונים.</w:t>
      </w:r>
    </w:p>
  </w:footnote>
  <w:footnote w:id="81">
    <w:p w14:paraId="3C0AAB42" w14:textId="77777777" w:rsidR="00106932" w:rsidRPr="007478B2" w:rsidRDefault="00106932" w:rsidP="007478B2">
      <w:pPr>
        <w:pStyle w:val="af2"/>
        <w:spacing w:after="60" w:line="220" w:lineRule="exact"/>
        <w:ind w:left="284" w:right="0" w:hanging="284"/>
        <w:rPr>
          <w:rStyle w:val="af3"/>
          <w:vertAlign w:val="baseline"/>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 xml:space="preserve">בדצמבר 2017 התקבלה </w:t>
      </w:r>
      <w:r w:rsidRPr="007478B2">
        <w:rPr>
          <w:rStyle w:val="af3"/>
          <w:vertAlign w:val="baseline"/>
          <w:rtl/>
        </w:rPr>
        <w:t>החלט</w:t>
      </w:r>
      <w:r w:rsidRPr="007478B2">
        <w:rPr>
          <w:rStyle w:val="af3"/>
          <w:rFonts w:hint="cs"/>
          <w:vertAlign w:val="baseline"/>
          <w:rtl/>
        </w:rPr>
        <w:t>ת הממשלה</w:t>
      </w:r>
      <w:r w:rsidRPr="007478B2">
        <w:rPr>
          <w:rStyle w:val="af3"/>
          <w:vertAlign w:val="baseline"/>
          <w:rtl/>
        </w:rPr>
        <w:t xml:space="preserve"> 3270 </w:t>
      </w:r>
      <w:r w:rsidRPr="007478B2">
        <w:rPr>
          <w:rStyle w:val="af3"/>
          <w:rFonts w:hint="cs"/>
          <w:vertAlign w:val="baseline"/>
          <w:rtl/>
        </w:rPr>
        <w:t>ולפיה</w:t>
      </w:r>
      <w:r w:rsidRPr="007478B2">
        <w:rPr>
          <w:rStyle w:val="af3"/>
          <w:vertAlign w:val="baseline"/>
          <w:rtl/>
        </w:rPr>
        <w:t xml:space="preserve"> מערך הסייבר הלאומי יהיה אחראי לכל </w:t>
      </w:r>
      <w:r w:rsidRPr="007478B2">
        <w:rPr>
          <w:rStyle w:val="af3"/>
          <w:rFonts w:hint="cs"/>
          <w:vertAlign w:val="baseline"/>
          <w:rtl/>
        </w:rPr>
        <w:t>ה</w:t>
      </w:r>
      <w:r w:rsidRPr="007478B2">
        <w:rPr>
          <w:rStyle w:val="af3"/>
          <w:vertAlign w:val="baseline"/>
          <w:rtl/>
        </w:rPr>
        <w:t>היבטי</w:t>
      </w:r>
      <w:r w:rsidRPr="007478B2">
        <w:rPr>
          <w:rStyle w:val="af3"/>
          <w:rFonts w:hint="cs"/>
          <w:vertAlign w:val="baseline"/>
          <w:rtl/>
        </w:rPr>
        <w:t>ם של</w:t>
      </w:r>
      <w:r w:rsidRPr="007478B2">
        <w:rPr>
          <w:rStyle w:val="af3"/>
          <w:vertAlign w:val="baseline"/>
          <w:rtl/>
        </w:rPr>
        <w:t xml:space="preserve"> הגנת הסייבר במרחב האזרחי, מגיבוש מדיניות ובניין כוח טכנולוגי ועד הגנה מבצעית</w:t>
      </w:r>
      <w:r w:rsidRPr="007478B2">
        <w:rPr>
          <w:rStyle w:val="af3"/>
          <w:rFonts w:hint="cs"/>
          <w:vertAlign w:val="baseline"/>
          <w:rtl/>
        </w:rPr>
        <w:t>.</w:t>
      </w:r>
    </w:p>
  </w:footnote>
  <w:footnote w:id="82">
    <w:p w14:paraId="0058DC5F" w14:textId="77777777" w:rsidR="00106932" w:rsidRPr="007478B2" w:rsidRDefault="00106932" w:rsidP="007478B2">
      <w:pPr>
        <w:pStyle w:val="af2"/>
        <w:spacing w:after="60" w:line="220" w:lineRule="exact"/>
        <w:ind w:left="284" w:right="0" w:hanging="284"/>
        <w:rPr>
          <w:rStyle w:val="af3"/>
          <w:vertAlign w:val="baseline"/>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הנחיה 1.3.01 מ-1.11.18.</w:t>
      </w:r>
    </w:p>
  </w:footnote>
  <w:footnote w:id="83">
    <w:p w14:paraId="6C0AD05F" w14:textId="77777777" w:rsidR="00106932" w:rsidRPr="007478B2" w:rsidRDefault="00106932" w:rsidP="007478B2">
      <w:pPr>
        <w:pStyle w:val="af2"/>
        <w:spacing w:after="60" w:line="220" w:lineRule="exact"/>
        <w:ind w:left="284" w:right="0" w:hanging="284"/>
        <w:rPr>
          <w:rStyle w:val="af3"/>
          <w:vertAlign w:val="baseline"/>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בשנת 2015 הוקמה היחידה להגנת הסייבר בכפיפות לראש רשות התקשוב ובהנחיה מקצועית של מערך הסייבר. היחידה נועדה לשמש גוף הכוונה והנחיה מקצועית בתחום הגנת הסייבר עבור כל המשרדים, ובין תפקידיה - גיבוש מדיניות ארגונית, שיטות עבודה ונהלים.</w:t>
      </w:r>
    </w:p>
  </w:footnote>
  <w:footnote w:id="84">
    <w:p w14:paraId="75E8BEA0" w14:textId="77777777" w:rsidR="00106932" w:rsidRPr="007478B2" w:rsidRDefault="00106932" w:rsidP="007478B2">
      <w:pPr>
        <w:pStyle w:val="af2"/>
        <w:spacing w:after="60" w:line="220" w:lineRule="exact"/>
        <w:ind w:left="284" w:right="0" w:hanging="284"/>
        <w:rPr>
          <w:rStyle w:val="af3"/>
          <w:vertAlign w:val="baseline"/>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הנחיה 5.3 מ-16.9.18.</w:t>
      </w:r>
    </w:p>
  </w:footnote>
  <w:footnote w:id="85">
    <w:p w14:paraId="7CE600EC" w14:textId="77777777" w:rsidR="00106932" w:rsidRPr="007478B2" w:rsidRDefault="00106932" w:rsidP="007478B2">
      <w:pPr>
        <w:pStyle w:val="af2"/>
        <w:spacing w:after="60" w:line="220" w:lineRule="exact"/>
        <w:ind w:left="284" w:right="0" w:hanging="284"/>
        <w:rPr>
          <w:rStyle w:val="af3"/>
          <w:vertAlign w:val="baseline"/>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rFonts w:hint="cs"/>
          <w:vertAlign w:val="baseline"/>
          <w:rtl/>
        </w:rPr>
        <w:t>הנחיה 5.2 מ-1.9.16.</w:t>
      </w:r>
    </w:p>
  </w:footnote>
  <w:footnote w:id="86">
    <w:p w14:paraId="1EBE673B" w14:textId="77777777" w:rsidR="00106932" w:rsidRPr="007478B2" w:rsidRDefault="00106932" w:rsidP="007478B2">
      <w:pPr>
        <w:pStyle w:val="af2"/>
        <w:spacing w:after="60" w:line="220" w:lineRule="exact"/>
        <w:ind w:left="284" w:right="0" w:hanging="284"/>
        <w:rPr>
          <w:rStyle w:val="af3"/>
          <w:vertAlign w:val="baseline"/>
        </w:rPr>
      </w:pPr>
      <w:r w:rsidRPr="007478B2">
        <w:rPr>
          <w:rStyle w:val="af3"/>
          <w:vertAlign w:val="baseline"/>
        </w:rPr>
        <w:footnoteRef/>
      </w:r>
      <w:r w:rsidRPr="007478B2">
        <w:rPr>
          <w:rStyle w:val="af3"/>
          <w:vertAlign w:val="baseline"/>
          <w:rtl/>
        </w:rPr>
        <w:t xml:space="preserve"> </w:t>
      </w:r>
      <w:r w:rsidRPr="007478B2">
        <w:rPr>
          <w:rStyle w:val="af3"/>
          <w:vertAlign w:val="baseline"/>
          <w:rtl/>
        </w:rPr>
        <w:tab/>
      </w:r>
      <w:r w:rsidRPr="007478B2">
        <w:rPr>
          <w:rStyle w:val="af3"/>
          <w:vertAlign w:val="baseline"/>
        </w:rPr>
        <w:t>Disaster Recovery Plan</w:t>
      </w:r>
      <w:r w:rsidRPr="007478B2">
        <w:rPr>
          <w:rStyle w:val="af3"/>
          <w:rFonts w:hint="cs"/>
          <w:vertAlign w:val="baseline"/>
          <w:rtl/>
        </w:rPr>
        <w:t xml:space="preserve"> - </w:t>
      </w:r>
      <w:r w:rsidRPr="007478B2">
        <w:rPr>
          <w:rStyle w:val="af3"/>
          <w:rFonts w:hint="cs"/>
          <w:vertAlign w:val="baseline"/>
        </w:rPr>
        <w:t>DRP</w:t>
      </w:r>
    </w:p>
  </w:footnote>
  <w:footnote w:id="87">
    <w:p w14:paraId="098B01E7" w14:textId="77777777" w:rsidR="00106932" w:rsidRPr="007478B2" w:rsidRDefault="00106932" w:rsidP="007478B2">
      <w:pPr>
        <w:pStyle w:val="af2"/>
        <w:spacing w:after="60" w:line="220" w:lineRule="exact"/>
        <w:ind w:left="284" w:right="0" w:hanging="284"/>
        <w:rPr>
          <w:rStyle w:val="af3"/>
          <w:vertAlign w:val="baseline"/>
          <w:rtl/>
        </w:rPr>
      </w:pPr>
      <w:r w:rsidRPr="007478B2">
        <w:rPr>
          <w:rStyle w:val="af3"/>
          <w:vertAlign w:val="baseline"/>
        </w:rPr>
        <w:footnoteRef/>
      </w:r>
      <w:r w:rsidRPr="007478B2">
        <w:rPr>
          <w:rStyle w:val="af3"/>
          <w:vertAlign w:val="baseline"/>
          <w:rtl/>
        </w:rPr>
        <w:t xml:space="preserve"> </w:t>
      </w:r>
      <w:r w:rsidRPr="007478B2">
        <w:rPr>
          <w:rStyle w:val="af3"/>
          <w:vertAlign w:val="baseline"/>
          <w:rtl/>
        </w:rPr>
        <w:tab/>
        <w:t>קבוצה</w:t>
      </w:r>
      <w:r w:rsidRPr="007478B2">
        <w:rPr>
          <w:rStyle w:val="af3"/>
          <w:rFonts w:hint="cs"/>
          <w:vertAlign w:val="baseline"/>
          <w:rtl/>
        </w:rPr>
        <w:t xml:space="preserve"> של מחשבים</w:t>
      </w:r>
      <w:r w:rsidRPr="007478B2">
        <w:rPr>
          <w:rStyle w:val="af3"/>
          <w:vertAlign w:val="baseline"/>
        </w:rPr>
        <w:t> </w:t>
      </w:r>
      <w:r w:rsidRPr="007478B2">
        <w:rPr>
          <w:rStyle w:val="af3"/>
          <w:vertAlign w:val="baseline"/>
          <w:rtl/>
        </w:rPr>
        <w:t xml:space="preserve">המחוברים ביניהם ופועלים יחד </w:t>
      </w:r>
      <w:r w:rsidRPr="007478B2">
        <w:rPr>
          <w:rStyle w:val="af3"/>
          <w:rFonts w:hint="cs"/>
          <w:vertAlign w:val="baseline"/>
          <w:rtl/>
        </w:rPr>
        <w:t>בתיאום</w:t>
      </w:r>
      <w:r w:rsidRPr="007478B2">
        <w:rPr>
          <w:rStyle w:val="af3"/>
          <w:vertAlign w:val="baseline"/>
          <w:rtl/>
        </w:rPr>
        <w:t xml:space="preserve">, </w:t>
      </w:r>
      <w:r w:rsidRPr="007478B2">
        <w:rPr>
          <w:rStyle w:val="af3"/>
          <w:rFonts w:hint="cs"/>
          <w:vertAlign w:val="baseline"/>
          <w:rtl/>
        </w:rPr>
        <w:t>באופן</w:t>
      </w:r>
      <w:r w:rsidRPr="007478B2">
        <w:rPr>
          <w:rStyle w:val="af3"/>
          <w:vertAlign w:val="baseline"/>
          <w:rtl/>
        </w:rPr>
        <w:t xml:space="preserve"> שבמובנים רבים הם יכולים לה</w:t>
      </w:r>
      <w:r w:rsidRPr="007478B2">
        <w:rPr>
          <w:rStyle w:val="af3"/>
          <w:rFonts w:hint="cs"/>
          <w:vertAlign w:val="baseline"/>
          <w:rtl/>
        </w:rPr>
        <w:t>י</w:t>
      </w:r>
      <w:r w:rsidRPr="007478B2">
        <w:rPr>
          <w:rStyle w:val="af3"/>
          <w:vertAlign w:val="baseline"/>
          <w:rtl/>
        </w:rPr>
        <w:t xml:space="preserve">חשב </w:t>
      </w:r>
      <w:r w:rsidRPr="007478B2">
        <w:rPr>
          <w:rStyle w:val="af3"/>
          <w:rFonts w:hint="cs"/>
          <w:vertAlign w:val="baseline"/>
          <w:rtl/>
        </w:rPr>
        <w:t>ל</w:t>
      </w:r>
      <w:r w:rsidRPr="007478B2">
        <w:rPr>
          <w:rStyle w:val="af3"/>
          <w:vertAlign w:val="baseline"/>
          <w:rtl/>
        </w:rPr>
        <w:t>מחשב אחד</w:t>
      </w:r>
      <w:r w:rsidRPr="007478B2">
        <w:rPr>
          <w:rStyle w:val="af3"/>
          <w:vertAlign w:val="baseline"/>
        </w:rPr>
        <w:t>.</w:t>
      </w:r>
      <w:r w:rsidRPr="007478B2">
        <w:rPr>
          <w:rStyle w:val="af3"/>
          <w:rFonts w:hint="cs"/>
          <w:vertAlign w:val="baseline"/>
          <w:rtl/>
        </w:rPr>
        <w:t xml:space="preserve"> </w:t>
      </w:r>
      <w:r w:rsidRPr="007478B2">
        <w:rPr>
          <w:rStyle w:val="af3"/>
          <w:vertAlign w:val="baseline"/>
          <w:rtl/>
        </w:rPr>
        <w:t>אשכולות מחשבים משמשים בדרך כלל לצורך שיפור מהירות</w:t>
      </w:r>
      <w:r w:rsidRPr="007478B2">
        <w:rPr>
          <w:rStyle w:val="af3"/>
          <w:rFonts w:hint="cs"/>
          <w:vertAlign w:val="baseline"/>
          <w:rtl/>
        </w:rPr>
        <w:t xml:space="preserve"> או אמינות </w:t>
      </w:r>
      <w:r w:rsidRPr="007478B2">
        <w:rPr>
          <w:rStyle w:val="af3"/>
          <w:vertAlign w:val="baseline"/>
          <w:rtl/>
        </w:rPr>
        <w:t xml:space="preserve">של מחשב </w:t>
      </w:r>
      <w:r w:rsidRPr="007478B2">
        <w:rPr>
          <w:rStyle w:val="af3"/>
          <w:rFonts w:hint="cs"/>
          <w:vertAlign w:val="baseline"/>
          <w:rtl/>
        </w:rPr>
        <w:t>יחיד.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E73A1" w14:textId="77777777" w:rsidR="00106932" w:rsidRPr="00642E60" w:rsidRDefault="00106932" w:rsidP="00642E60">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03356" w14:textId="77777777" w:rsidR="00106932" w:rsidRPr="007F1A39" w:rsidRDefault="00106932" w:rsidP="007F1A39">
    <w:pPr>
      <w:pStyle w:val="a7"/>
      <w:spacing w:before="240" w:after="180"/>
      <w:jc w:val="right"/>
      <w:rPr>
        <w:rFonts w:ascii="Tahoma" w:eastAsiaTheme="majorEastAsia" w:hAnsi="Tahoma" w:cs="Tahoma"/>
        <w:noProof/>
        <w:color w:val="0B5294" w:themeColor="accent1" w:themeShade="BF"/>
        <w:sz w:val="16"/>
        <w:szCs w:val="16"/>
      </w:rPr>
    </w:pPr>
    <w:r w:rsidRPr="007F1A39">
      <w:rPr>
        <w:rFonts w:ascii="Tahoma" w:eastAsiaTheme="majorEastAsia" w:hAnsi="Tahoma" w:cs="Tahoma" w:hint="cs"/>
        <w:noProof/>
        <w:color w:val="0B5294" w:themeColor="accent1" w:themeShade="BF"/>
        <w:sz w:val="16"/>
        <w:szCs w:val="16"/>
        <w:rtl/>
      </w:rPr>
      <w:t>שם הגוף המבוקר</w:t>
    </w:r>
    <w:r>
      <w:rPr>
        <w:rFonts w:ascii="Tahoma" w:eastAsiaTheme="majorEastAsia" w:hAnsi="Tahoma" w:cs="Tahoma" w:hint="cs"/>
        <w:noProof/>
        <w:color w:val="0B5294" w:themeColor="accent1" w:themeShade="BF"/>
        <w:sz w:val="16"/>
        <w:szCs w:val="16"/>
        <w:rtl/>
      </w:rPr>
      <w:t xml:space="preserve"> </w:t>
    </w:r>
    <w:r w:rsidRPr="007F1A39">
      <w:rPr>
        <w:rFonts w:ascii="Tahoma" w:eastAsiaTheme="majorEastAsia" w:hAnsi="Tahoma" w:cs="Tahoma" w:hint="cs"/>
        <w:noProof/>
        <w:color w:val="0B5294" w:themeColor="accent1" w:themeShade="BF"/>
        <w:sz w:val="16"/>
        <w:szCs w:val="16"/>
        <w:rtl/>
      </w:rPr>
      <w:t>|</w:t>
    </w:r>
    <w:r>
      <w:rPr>
        <w:rFonts w:ascii="Tahoma" w:eastAsiaTheme="majorEastAsia" w:hAnsi="Tahoma" w:cs="Tahoma" w:hint="cs"/>
        <w:noProof/>
        <w:color w:val="0B5294" w:themeColor="accent1" w:themeShade="BF"/>
        <w:sz w:val="16"/>
        <w:szCs w:val="16"/>
        <w:rtl/>
      </w:rPr>
      <w:t xml:space="preserve"> </w:t>
    </w:r>
    <w:r w:rsidRPr="007F1A39">
      <w:rPr>
        <w:rFonts w:ascii="Tahoma" w:eastAsiaTheme="majorEastAsia" w:hAnsi="Tahoma" w:cs="Tahoma"/>
        <w:b/>
        <w:bCs/>
        <w:noProof/>
        <w:color w:val="0B5294" w:themeColor="accent1" w:themeShade="BF"/>
        <w:sz w:val="16"/>
        <w:szCs w:val="16"/>
      </w:rPr>
      <w:fldChar w:fldCharType="begin"/>
    </w:r>
    <w:r w:rsidRPr="007F1A39">
      <w:rPr>
        <w:rFonts w:ascii="Tahoma" w:eastAsiaTheme="majorEastAsia" w:hAnsi="Tahoma" w:cs="Tahoma"/>
        <w:b/>
        <w:bCs/>
        <w:noProof/>
        <w:color w:val="0B5294" w:themeColor="accent1" w:themeShade="BF"/>
        <w:sz w:val="16"/>
        <w:szCs w:val="16"/>
      </w:rPr>
      <w:instrText xml:space="preserve"> PAGE   \* MERGEFORMAT </w:instrText>
    </w:r>
    <w:r w:rsidRPr="007F1A39">
      <w:rPr>
        <w:rFonts w:ascii="Tahoma" w:eastAsiaTheme="majorEastAsia" w:hAnsi="Tahoma" w:cs="Tahoma"/>
        <w:b/>
        <w:bCs/>
        <w:noProof/>
        <w:color w:val="0B5294" w:themeColor="accent1" w:themeShade="BF"/>
        <w:sz w:val="16"/>
        <w:szCs w:val="16"/>
      </w:rPr>
      <w:fldChar w:fldCharType="separate"/>
    </w:r>
    <w:r>
      <w:rPr>
        <w:rFonts w:ascii="Tahoma" w:eastAsiaTheme="majorEastAsia" w:hAnsi="Tahoma" w:cs="Tahoma"/>
        <w:b/>
        <w:bCs/>
        <w:noProof/>
        <w:color w:val="0B5294" w:themeColor="accent1" w:themeShade="BF"/>
        <w:sz w:val="16"/>
        <w:szCs w:val="16"/>
        <w:rtl/>
      </w:rPr>
      <w:t>3</w:t>
    </w:r>
    <w:r w:rsidRPr="007F1A39">
      <w:rPr>
        <w:rFonts w:ascii="Tahoma" w:eastAsiaTheme="majorEastAsia" w:hAnsi="Tahoma" w:cs="Tahoma"/>
        <w:b/>
        <w:bCs/>
        <w:noProof/>
        <w:color w:val="0B5294" w:themeColor="accent1" w:themeShade="B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7DE4D" w14:textId="77777777" w:rsidR="00106932" w:rsidRPr="00890ED9" w:rsidRDefault="00106932" w:rsidP="00890ED9">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51AC0" w14:textId="019835BC" w:rsidR="00106932" w:rsidRDefault="00106932" w:rsidP="00624B39">
    <w:pPr>
      <w:pStyle w:val="a7"/>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62336" behindDoc="1" locked="0" layoutInCell="1" allowOverlap="1" wp14:anchorId="10A16EE6" wp14:editId="74EE77FA">
          <wp:simplePos x="1110343" y="1338943"/>
          <wp:positionH relativeFrom="page">
            <wp:align>center</wp:align>
          </wp:positionH>
          <wp:positionV relativeFrom="page">
            <wp:align>center</wp:align>
          </wp:positionV>
          <wp:extent cx="7549200" cy="10670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7F2A9E">
      <w:rPr>
        <w:rFonts w:ascii="Tahoma" w:eastAsiaTheme="majorEastAsia" w:hAnsi="Tahoma" w:cs="Tahoma"/>
        <w:noProof/>
        <w:color w:val="0D0D0D" w:themeColor="text1" w:themeTint="F2"/>
        <w:sz w:val="16"/>
        <w:szCs w:val="16"/>
        <w:rtl/>
        <w:lang w:val="he-IL"/>
      </w:rPr>
      <w:t>"</w:t>
    </w:r>
    <w:r w:rsidRPr="007F2A9E">
      <w:rPr>
        <w:rFonts w:ascii="Tahoma" w:eastAsiaTheme="majorEastAsia" w:hAnsi="Tahoma" w:cs="Tahoma" w:hint="eastAsia"/>
        <w:noProof/>
        <w:color w:val="0D0D0D" w:themeColor="text1" w:themeTint="F2"/>
        <w:sz w:val="16"/>
        <w:szCs w:val="16"/>
        <w:rtl/>
        <w:lang w:val="he-IL"/>
      </w:rPr>
      <w:t>מדיניות</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פעם</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אחת</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לשיפור</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השירות</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הממשלתי</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הדיגיטלי</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לציבור</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B040E" w14:textId="1FFD2E1E" w:rsidR="00106932" w:rsidRPr="007C237A" w:rsidRDefault="00106932" w:rsidP="00624B39">
    <w:pPr>
      <w:pStyle w:val="a7"/>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61312" behindDoc="1" locked="0" layoutInCell="1" allowOverlap="1" wp14:anchorId="107E1DC2" wp14:editId="7B7D9E50">
          <wp:simplePos x="1431471" y="1338943"/>
          <wp:positionH relativeFrom="page">
            <wp:align>center</wp:align>
          </wp:positionH>
          <wp:positionV relativeFrom="page">
            <wp:align>center</wp:align>
          </wp:positionV>
          <wp:extent cx="7549200" cy="10670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hint="cs"/>
        <w:noProof/>
        <w:color w:val="0D0D0D" w:themeColor="text1" w:themeTint="F2"/>
        <w:sz w:val="16"/>
        <w:szCs w:val="16"/>
        <w:rtl/>
      </w:rPr>
      <w:t xml:space="preserve">מבקר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דוח </w:t>
    </w:r>
    <w:r>
      <w:rPr>
        <w:rFonts w:ascii="Tahoma" w:eastAsiaTheme="majorEastAsia" w:hAnsi="Tahoma" w:cs="Tahoma" w:hint="cs"/>
        <w:noProof/>
        <w:color w:val="0D0D0D" w:themeColor="text1" w:themeTint="F2"/>
        <w:sz w:val="16"/>
        <w:szCs w:val="16"/>
        <w:rtl/>
      </w:rPr>
      <w:t xml:space="preserve">ביקורת </w:t>
    </w:r>
    <w:r w:rsidRPr="006061A9">
      <w:rPr>
        <w:rFonts w:ascii="Tahoma" w:eastAsiaTheme="majorEastAsia" w:hAnsi="Tahoma" w:cs="Tahoma" w:hint="cs"/>
        <w:noProof/>
        <w:color w:val="0D0D0D" w:themeColor="text1" w:themeTint="F2"/>
        <w:sz w:val="16"/>
        <w:szCs w:val="16"/>
        <w:rtl/>
      </w:rPr>
      <w:t xml:space="preserve">שנתי </w:t>
    </w:r>
    <w:r>
      <w:rPr>
        <w:rFonts w:ascii="Tahoma" w:eastAsiaTheme="majorEastAsia" w:hAnsi="Tahoma" w:cs="Tahoma" w:hint="cs"/>
        <w:noProof/>
        <w:color w:val="0D0D0D" w:themeColor="text1" w:themeTint="F2"/>
        <w:sz w:val="16"/>
        <w:szCs w:val="16"/>
        <w:rtl/>
      </w:rPr>
      <w:t>72א - חלק ראשון</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התשפ"א-2021</w:t>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3120" behindDoc="0" locked="0" layoutInCell="1" allowOverlap="1" wp14:anchorId="7D0482C9" wp14:editId="1D2F63DE">
              <wp:simplePos x="0" y="0"/>
              <wp:positionH relativeFrom="column">
                <wp:posOffset>-763270</wp:posOffset>
              </wp:positionH>
              <wp:positionV relativeFrom="paragraph">
                <wp:posOffset>323215</wp:posOffset>
              </wp:positionV>
              <wp:extent cx="546100" cy="58102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5810250"/>
                      </a:xfrm>
                      <a:prstGeom prst="rect">
                        <a:avLst/>
                      </a:prstGeom>
                      <a:noFill/>
                      <a:ln w="9525">
                        <a:noFill/>
                        <a:miter lim="800000"/>
                        <a:headEnd/>
                        <a:tailEnd/>
                      </a:ln>
                    </wps:spPr>
                    <wps:txbx>
                      <w:txbxContent>
                        <w:p w14:paraId="0069A7DE" w14:textId="78B3790F" w:rsidR="00106932" w:rsidRPr="00D8333F" w:rsidRDefault="00106932"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tl/>
                            </w:rPr>
                            <w:tab/>
                          </w:r>
                          <w:r>
                            <w:rPr>
                              <w:rFonts w:ascii="Tahoma" w:hAnsi="Tahoma" w:cs="Tahoma" w:hint="cs"/>
                              <w:color w:val="FFFFFF" w:themeColor="background1"/>
                              <w:sz w:val="24"/>
                              <w:szCs w:val="24"/>
                              <w:rtl/>
                            </w:rPr>
                            <w:t>|</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482C9" id="_x0000_t202" coordsize="21600,21600" o:spt="202" path="m,l,21600r21600,l21600,xe">
              <v:stroke joinstyle="miter"/>
              <v:path gradientshapeok="t" o:connecttype="rect"/>
            </v:shapetype>
            <v:shape id="_x0000_s1030" type="#_x0000_t202" style="position:absolute;margin-left:-60.1pt;margin-top:25.45pt;width:43pt;height:4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" filled="f" stroked="f">
              <v:textbox style="layout-flow:vertical;mso-layout-flow-alt:bottom-to-top">
                <w:txbxContent>
                  <w:p w14:paraId="0069A7DE" w14:textId="78B3790F" w:rsidR="00106932" w:rsidRPr="00D8333F" w:rsidRDefault="00106932"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tl/>
                      </w:rPr>
                      <w:tab/>
                    </w:r>
                    <w:r>
                      <w:rPr>
                        <w:rFonts w:ascii="Tahoma" w:hAnsi="Tahoma" w:cs="Tahoma" w:hint="cs"/>
                        <w:color w:val="FFFFFF" w:themeColor="background1"/>
                        <w:sz w:val="24"/>
                        <w:szCs w:val="24"/>
                        <w:rtl/>
                      </w:rPr>
                      <w:t>|</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19474" w14:textId="67D6AB72" w:rsidR="00106932" w:rsidRPr="007C237A" w:rsidRDefault="00106932" w:rsidP="00624B39">
    <w:pPr>
      <w:pStyle w:val="a7"/>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55168" behindDoc="1" locked="0" layoutInCell="1" allowOverlap="1" wp14:anchorId="31C06525" wp14:editId="2453052D">
          <wp:simplePos x="0" y="0"/>
          <wp:positionH relativeFrom="page">
            <wp:align>center</wp:align>
          </wp:positionH>
          <wp:positionV relativeFrom="page">
            <wp:align>center</wp:align>
          </wp:positionV>
          <wp:extent cx="7549200" cy="10670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4144" behindDoc="0" locked="0" layoutInCell="1" allowOverlap="1" wp14:anchorId="5D025CBD" wp14:editId="1FFA4BE4">
              <wp:simplePos x="0" y="0"/>
              <wp:positionH relativeFrom="column">
                <wp:posOffset>-763270</wp:posOffset>
              </wp:positionH>
              <wp:positionV relativeFrom="paragraph">
                <wp:posOffset>323215</wp:posOffset>
              </wp:positionV>
              <wp:extent cx="546100" cy="672465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3BE4BC81" w14:textId="5705C9A9" w:rsidR="00106932" w:rsidRPr="00D8333F" w:rsidRDefault="00106932"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46732A">
                            <w:rPr>
                              <w:rFonts w:ascii="Tahoma" w:hAnsi="Tahoma" w:cs="Tahoma"/>
                              <w:b/>
                              <w:bCs/>
                              <w:color w:val="FFFFFF" w:themeColor="background1"/>
                              <w:sz w:val="24"/>
                              <w:szCs w:val="24"/>
                              <w:rtl/>
                            </w:rPr>
                            <w:t>"</w:t>
                          </w:r>
                          <w:r w:rsidRPr="0046732A">
                            <w:rPr>
                              <w:rFonts w:ascii="Tahoma" w:hAnsi="Tahoma" w:cs="Tahoma" w:hint="eastAsia"/>
                              <w:b/>
                              <w:bCs/>
                              <w:color w:val="FFFFFF" w:themeColor="background1"/>
                              <w:sz w:val="24"/>
                              <w:szCs w:val="24"/>
                              <w:rtl/>
                            </w:rPr>
                            <w:t>מדיניות</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פעם</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אחת</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לשיפור</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השירות</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הממשלתי</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הדיגיטלי</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לציבור</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025CBD" id="_x0000_t202" coordsize="21600,21600" o:spt="202" path="m,l,21600r21600,l21600,xe">
              <v:stroke joinstyle="miter"/>
              <v:path gradientshapeok="t" o:connecttype="rect"/>
            </v:shapetype>
            <v:shape id="_x0000_s1031" type="#_x0000_t202" style="position:absolute;margin-left:-60.1pt;margin-top:25.45pt;width:43pt;height:52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" filled="f" stroked="f">
              <v:textbox style="layout-flow:vertical;mso-layout-flow-alt:bottom-to-top">
                <w:txbxContent>
                  <w:p w14:paraId="3BE4BC81" w14:textId="5705C9A9" w:rsidR="00106932" w:rsidRPr="00D8333F" w:rsidRDefault="00106932"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46732A">
                      <w:rPr>
                        <w:rFonts w:ascii="Tahoma" w:hAnsi="Tahoma" w:cs="Tahoma"/>
                        <w:b/>
                        <w:bCs/>
                        <w:color w:val="FFFFFF" w:themeColor="background1"/>
                        <w:sz w:val="24"/>
                        <w:szCs w:val="24"/>
                        <w:rtl/>
                      </w:rPr>
                      <w:t>"</w:t>
                    </w:r>
                    <w:r w:rsidRPr="0046732A">
                      <w:rPr>
                        <w:rFonts w:ascii="Tahoma" w:hAnsi="Tahoma" w:cs="Tahoma" w:hint="eastAsia"/>
                        <w:b/>
                        <w:bCs/>
                        <w:color w:val="FFFFFF" w:themeColor="background1"/>
                        <w:sz w:val="24"/>
                        <w:szCs w:val="24"/>
                        <w:rtl/>
                      </w:rPr>
                      <w:t>מדיניות</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פעם</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אחת</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לשיפור</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השירות</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הממשלתי</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הדיגיטלי</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לציבור</w:t>
                    </w:r>
                  </w:p>
                </w:txbxContent>
              </v:textbox>
            </v:shape>
          </w:pict>
        </mc:Fallback>
      </mc:AlternateContent>
    </w:r>
    <w:r w:rsidRPr="006061A9">
      <w:rPr>
        <w:rFonts w:ascii="Tahoma" w:eastAsiaTheme="majorEastAsia" w:hAnsi="Tahoma" w:cs="Tahoma" w:hint="cs"/>
        <w:noProof/>
        <w:color w:val="0D0D0D" w:themeColor="text1" w:themeTint="F2"/>
        <w:sz w:val="16"/>
        <w:szCs w:val="16"/>
        <w:rtl/>
      </w:rPr>
      <w:t xml:space="preserve">מבקר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דוח </w:t>
    </w:r>
    <w:r>
      <w:rPr>
        <w:rFonts w:ascii="Tahoma" w:eastAsiaTheme="majorEastAsia" w:hAnsi="Tahoma" w:cs="Tahoma" w:hint="cs"/>
        <w:noProof/>
        <w:color w:val="0D0D0D" w:themeColor="text1" w:themeTint="F2"/>
        <w:sz w:val="16"/>
        <w:szCs w:val="16"/>
        <w:rtl/>
      </w:rPr>
      <w:t xml:space="preserve">ביקורת </w:t>
    </w:r>
    <w:r w:rsidRPr="006061A9">
      <w:rPr>
        <w:rFonts w:ascii="Tahoma" w:eastAsiaTheme="majorEastAsia" w:hAnsi="Tahoma" w:cs="Tahoma" w:hint="cs"/>
        <w:noProof/>
        <w:color w:val="0D0D0D" w:themeColor="text1" w:themeTint="F2"/>
        <w:sz w:val="16"/>
        <w:szCs w:val="16"/>
        <w:rtl/>
      </w:rPr>
      <w:t xml:space="preserve">שנתי </w:t>
    </w:r>
    <w:r>
      <w:rPr>
        <w:rFonts w:ascii="Tahoma" w:eastAsiaTheme="majorEastAsia" w:hAnsi="Tahoma" w:cs="Tahoma" w:hint="cs"/>
        <w:noProof/>
        <w:color w:val="0D0D0D" w:themeColor="text1" w:themeTint="F2"/>
        <w:sz w:val="16"/>
        <w:szCs w:val="16"/>
        <w:rtl/>
      </w:rPr>
      <w:t>72א - חלק ראשון</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התשפ"א-2021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8188D" w14:textId="77777777" w:rsidR="00106932" w:rsidRDefault="00106932" w:rsidP="00624B39">
    <w:pPr>
      <w:pStyle w:val="a7"/>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56192" behindDoc="1" locked="0" layoutInCell="1" allowOverlap="1" wp14:anchorId="2142BE27" wp14:editId="38142402">
          <wp:simplePos x="1110343" y="1338943"/>
          <wp:positionH relativeFrom="page">
            <wp:align>center</wp:align>
          </wp:positionH>
          <wp:positionV relativeFrom="page">
            <wp:align>center</wp:align>
          </wp:positionV>
          <wp:extent cx="7549200" cy="106704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7F2A9E">
      <w:rPr>
        <w:rFonts w:ascii="Tahoma" w:eastAsiaTheme="majorEastAsia" w:hAnsi="Tahoma" w:cs="Tahoma"/>
        <w:noProof/>
        <w:color w:val="0D0D0D" w:themeColor="text1" w:themeTint="F2"/>
        <w:sz w:val="16"/>
        <w:szCs w:val="16"/>
        <w:rtl/>
        <w:lang w:val="he-IL"/>
      </w:rPr>
      <w:t>"</w:t>
    </w:r>
    <w:r w:rsidRPr="007F2A9E">
      <w:rPr>
        <w:rFonts w:ascii="Tahoma" w:eastAsiaTheme="majorEastAsia" w:hAnsi="Tahoma" w:cs="Tahoma" w:hint="eastAsia"/>
        <w:noProof/>
        <w:color w:val="0D0D0D" w:themeColor="text1" w:themeTint="F2"/>
        <w:sz w:val="16"/>
        <w:szCs w:val="16"/>
        <w:rtl/>
        <w:lang w:val="he-IL"/>
      </w:rPr>
      <w:t>מדיניות</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פעם</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אחת</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לשיפור</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השירות</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הממשלתי</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הדיגיטלי</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לציבור</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042DD" w14:textId="77777777" w:rsidR="00106932" w:rsidRPr="007C237A" w:rsidRDefault="00106932" w:rsidP="00624B39">
    <w:pPr>
      <w:pStyle w:val="a7"/>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59264" behindDoc="1" locked="0" layoutInCell="1" allowOverlap="1" wp14:anchorId="4921EF47" wp14:editId="77B624AF">
          <wp:simplePos x="0" y="0"/>
          <wp:positionH relativeFrom="page">
            <wp:align>center</wp:align>
          </wp:positionH>
          <wp:positionV relativeFrom="page">
            <wp:align>center</wp:align>
          </wp:positionV>
          <wp:extent cx="7549200" cy="106704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8240" behindDoc="0" locked="0" layoutInCell="1" allowOverlap="1" wp14:anchorId="38A99028" wp14:editId="21AA441D">
              <wp:simplePos x="0" y="0"/>
              <wp:positionH relativeFrom="column">
                <wp:posOffset>-763270</wp:posOffset>
              </wp:positionH>
              <wp:positionV relativeFrom="paragraph">
                <wp:posOffset>323215</wp:posOffset>
              </wp:positionV>
              <wp:extent cx="546100" cy="67246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276FE79F" w14:textId="77777777" w:rsidR="00106932" w:rsidRPr="00D8333F" w:rsidRDefault="00106932"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46732A">
                            <w:rPr>
                              <w:rFonts w:ascii="Tahoma" w:hAnsi="Tahoma" w:cs="Tahoma"/>
                              <w:b/>
                              <w:bCs/>
                              <w:color w:val="FFFFFF" w:themeColor="background1"/>
                              <w:sz w:val="24"/>
                              <w:szCs w:val="24"/>
                              <w:rtl/>
                            </w:rPr>
                            <w:t>"</w:t>
                          </w:r>
                          <w:r w:rsidRPr="0046732A">
                            <w:rPr>
                              <w:rFonts w:ascii="Tahoma" w:hAnsi="Tahoma" w:cs="Tahoma" w:hint="eastAsia"/>
                              <w:b/>
                              <w:bCs/>
                              <w:color w:val="FFFFFF" w:themeColor="background1"/>
                              <w:sz w:val="24"/>
                              <w:szCs w:val="24"/>
                              <w:rtl/>
                            </w:rPr>
                            <w:t>מדיניות</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פעם</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אחת</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לשיפור</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השירות</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הממשלתי</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הדיגיטלי</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לציבור</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A99028" id="_x0000_t202" coordsize="21600,21600" o:spt="202" path="m,l,21600r21600,l21600,xe">
              <v:stroke joinstyle="miter"/>
              <v:path gradientshapeok="t" o:connecttype="rect"/>
            </v:shapetype>
            <v:shape id="_x0000_s1032" type="#_x0000_t202" style="position:absolute;margin-left:-60.1pt;margin-top:25.45pt;width:43pt;height:5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" filled="f" stroked="f">
              <v:textbox style="layout-flow:vertical;mso-layout-flow-alt:bottom-to-top">
                <w:txbxContent>
                  <w:p w14:paraId="276FE79F" w14:textId="77777777" w:rsidR="00106932" w:rsidRPr="00D8333F" w:rsidRDefault="00106932"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46732A">
                      <w:rPr>
                        <w:rFonts w:ascii="Tahoma" w:hAnsi="Tahoma" w:cs="Tahoma"/>
                        <w:b/>
                        <w:bCs/>
                        <w:color w:val="FFFFFF" w:themeColor="background1"/>
                        <w:sz w:val="24"/>
                        <w:szCs w:val="24"/>
                        <w:rtl/>
                      </w:rPr>
                      <w:t>"</w:t>
                    </w:r>
                    <w:r w:rsidRPr="0046732A">
                      <w:rPr>
                        <w:rFonts w:ascii="Tahoma" w:hAnsi="Tahoma" w:cs="Tahoma" w:hint="eastAsia"/>
                        <w:b/>
                        <w:bCs/>
                        <w:color w:val="FFFFFF" w:themeColor="background1"/>
                        <w:sz w:val="24"/>
                        <w:szCs w:val="24"/>
                        <w:rtl/>
                      </w:rPr>
                      <w:t>מדיניות</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פעם</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אחת</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לשיפור</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השירות</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הממשלתי</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הדיגיטלי</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לציבור</w:t>
                    </w:r>
                  </w:p>
                </w:txbxContent>
              </v:textbox>
            </v:shape>
          </w:pict>
        </mc:Fallback>
      </mc:AlternateContent>
    </w:r>
    <w:r w:rsidRPr="006061A9">
      <w:rPr>
        <w:rFonts w:ascii="Tahoma" w:eastAsiaTheme="majorEastAsia" w:hAnsi="Tahoma" w:cs="Tahoma" w:hint="cs"/>
        <w:noProof/>
        <w:color w:val="0D0D0D" w:themeColor="text1" w:themeTint="F2"/>
        <w:sz w:val="16"/>
        <w:szCs w:val="16"/>
        <w:rtl/>
      </w:rPr>
      <w:t xml:space="preserve">מבקר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דוח </w:t>
    </w:r>
    <w:r>
      <w:rPr>
        <w:rFonts w:ascii="Tahoma" w:eastAsiaTheme="majorEastAsia" w:hAnsi="Tahoma" w:cs="Tahoma" w:hint="cs"/>
        <w:noProof/>
        <w:color w:val="0D0D0D" w:themeColor="text1" w:themeTint="F2"/>
        <w:sz w:val="16"/>
        <w:szCs w:val="16"/>
        <w:rtl/>
      </w:rPr>
      <w:t xml:space="preserve">ביקורת </w:t>
    </w:r>
    <w:r w:rsidRPr="006061A9">
      <w:rPr>
        <w:rFonts w:ascii="Tahoma" w:eastAsiaTheme="majorEastAsia" w:hAnsi="Tahoma" w:cs="Tahoma" w:hint="cs"/>
        <w:noProof/>
        <w:color w:val="0D0D0D" w:themeColor="text1" w:themeTint="F2"/>
        <w:sz w:val="16"/>
        <w:szCs w:val="16"/>
        <w:rtl/>
      </w:rPr>
      <w:t>שנתי 70</w:t>
    </w:r>
    <w:r>
      <w:rPr>
        <w:rFonts w:ascii="Tahoma" w:eastAsiaTheme="majorEastAsia" w:hAnsi="Tahoma" w:cs="Tahoma" w:hint="cs"/>
        <w:noProof/>
        <w:color w:val="0D0D0D" w:themeColor="text1" w:themeTint="F2"/>
        <w:sz w:val="16"/>
        <w:szCs w:val="16"/>
        <w:rtl/>
      </w:rPr>
      <w:t>ד</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התשפ"א-2021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0DBF1" w14:textId="0B3A8314" w:rsidR="00106932" w:rsidRPr="007C237A" w:rsidRDefault="00106932" w:rsidP="00624B39">
    <w:pPr>
      <w:pStyle w:val="a7"/>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60288" behindDoc="1" locked="0" layoutInCell="1" allowOverlap="1" wp14:anchorId="03048A31" wp14:editId="1C03CDCD">
          <wp:simplePos x="0" y="0"/>
          <wp:positionH relativeFrom="page">
            <wp:align>center</wp:align>
          </wp:positionH>
          <wp:positionV relativeFrom="page">
            <wp:align>center</wp:align>
          </wp:positionV>
          <wp:extent cx="7549200" cy="106704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7216" behindDoc="0" locked="0" layoutInCell="1" allowOverlap="1" wp14:anchorId="4A492120" wp14:editId="58FAECF7">
              <wp:simplePos x="0" y="0"/>
              <wp:positionH relativeFrom="column">
                <wp:posOffset>-763270</wp:posOffset>
              </wp:positionH>
              <wp:positionV relativeFrom="paragraph">
                <wp:posOffset>323215</wp:posOffset>
              </wp:positionV>
              <wp:extent cx="546100" cy="6724650"/>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63BFF7B4" w14:textId="36970B2C" w:rsidR="00106932" w:rsidRPr="00D8333F" w:rsidRDefault="00106932"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7F2A9E">
                            <w:rPr>
                              <w:rFonts w:ascii="Tahoma" w:hAnsi="Tahoma" w:cs="Tahoma"/>
                              <w:b/>
                              <w:bCs/>
                              <w:color w:val="FFFFFF" w:themeColor="background1"/>
                              <w:w w:val="95"/>
                              <w:sz w:val="24"/>
                              <w:szCs w:val="24"/>
                              <w:rtl/>
                            </w:rPr>
                            <w:t>"</w:t>
                          </w:r>
                          <w:r w:rsidRPr="007F2A9E">
                            <w:rPr>
                              <w:rFonts w:ascii="Tahoma" w:hAnsi="Tahoma" w:cs="Tahoma" w:hint="eastAsia"/>
                              <w:b/>
                              <w:bCs/>
                              <w:color w:val="FFFFFF" w:themeColor="background1"/>
                              <w:w w:val="95"/>
                              <w:sz w:val="24"/>
                              <w:szCs w:val="24"/>
                              <w:rtl/>
                            </w:rPr>
                            <w:t>מדיניות</w:t>
                          </w:r>
                          <w:r w:rsidRPr="007F2A9E">
                            <w:rPr>
                              <w:rFonts w:ascii="Tahoma" w:hAnsi="Tahoma" w:cs="Tahoma"/>
                              <w:b/>
                              <w:bCs/>
                              <w:color w:val="FFFFFF" w:themeColor="background1"/>
                              <w:w w:val="95"/>
                              <w:sz w:val="24"/>
                              <w:szCs w:val="24"/>
                              <w:rtl/>
                            </w:rPr>
                            <w:t xml:space="preserve"> </w:t>
                          </w:r>
                          <w:r w:rsidRPr="007F2A9E">
                            <w:rPr>
                              <w:rFonts w:ascii="Tahoma" w:hAnsi="Tahoma" w:cs="Tahoma" w:hint="eastAsia"/>
                              <w:b/>
                              <w:bCs/>
                              <w:color w:val="FFFFFF" w:themeColor="background1"/>
                              <w:w w:val="95"/>
                              <w:sz w:val="24"/>
                              <w:szCs w:val="24"/>
                              <w:rtl/>
                            </w:rPr>
                            <w:t>פעם</w:t>
                          </w:r>
                          <w:r w:rsidRPr="007F2A9E">
                            <w:rPr>
                              <w:rFonts w:ascii="Tahoma" w:hAnsi="Tahoma" w:cs="Tahoma"/>
                              <w:b/>
                              <w:bCs/>
                              <w:color w:val="FFFFFF" w:themeColor="background1"/>
                              <w:w w:val="95"/>
                              <w:sz w:val="24"/>
                              <w:szCs w:val="24"/>
                              <w:rtl/>
                            </w:rPr>
                            <w:t xml:space="preserve"> </w:t>
                          </w:r>
                          <w:r w:rsidRPr="007F2A9E">
                            <w:rPr>
                              <w:rFonts w:ascii="Tahoma" w:hAnsi="Tahoma" w:cs="Tahoma" w:hint="eastAsia"/>
                              <w:b/>
                              <w:bCs/>
                              <w:color w:val="FFFFFF" w:themeColor="background1"/>
                              <w:w w:val="95"/>
                              <w:sz w:val="24"/>
                              <w:szCs w:val="24"/>
                              <w:rtl/>
                            </w:rPr>
                            <w:t>אחת</w:t>
                          </w:r>
                          <w:r w:rsidRPr="007F2A9E">
                            <w:rPr>
                              <w:rFonts w:ascii="Tahoma" w:hAnsi="Tahoma" w:cs="Tahoma"/>
                              <w:b/>
                              <w:bCs/>
                              <w:color w:val="FFFFFF" w:themeColor="background1"/>
                              <w:w w:val="95"/>
                              <w:sz w:val="24"/>
                              <w:szCs w:val="24"/>
                              <w:rtl/>
                            </w:rPr>
                            <w:t xml:space="preserve">" </w:t>
                          </w:r>
                          <w:r w:rsidRPr="007F2A9E">
                            <w:rPr>
                              <w:rFonts w:ascii="Tahoma" w:hAnsi="Tahoma" w:cs="Tahoma" w:hint="eastAsia"/>
                              <w:b/>
                              <w:bCs/>
                              <w:color w:val="FFFFFF" w:themeColor="background1"/>
                              <w:w w:val="95"/>
                              <w:sz w:val="24"/>
                              <w:szCs w:val="24"/>
                              <w:rtl/>
                            </w:rPr>
                            <w:t>לשיפור</w:t>
                          </w:r>
                          <w:r w:rsidRPr="007F2A9E">
                            <w:rPr>
                              <w:rFonts w:ascii="Tahoma" w:hAnsi="Tahoma" w:cs="Tahoma"/>
                              <w:b/>
                              <w:bCs/>
                              <w:color w:val="FFFFFF" w:themeColor="background1"/>
                              <w:w w:val="95"/>
                              <w:sz w:val="24"/>
                              <w:szCs w:val="24"/>
                              <w:rtl/>
                            </w:rPr>
                            <w:t xml:space="preserve"> </w:t>
                          </w:r>
                          <w:r w:rsidRPr="007F2A9E">
                            <w:rPr>
                              <w:rFonts w:ascii="Tahoma" w:hAnsi="Tahoma" w:cs="Tahoma" w:hint="eastAsia"/>
                              <w:b/>
                              <w:bCs/>
                              <w:color w:val="FFFFFF" w:themeColor="background1"/>
                              <w:w w:val="95"/>
                              <w:sz w:val="24"/>
                              <w:szCs w:val="24"/>
                              <w:rtl/>
                            </w:rPr>
                            <w:t>השירות</w:t>
                          </w:r>
                          <w:r w:rsidRPr="007F2A9E">
                            <w:rPr>
                              <w:rFonts w:ascii="Tahoma" w:hAnsi="Tahoma" w:cs="Tahoma"/>
                              <w:b/>
                              <w:bCs/>
                              <w:color w:val="FFFFFF" w:themeColor="background1"/>
                              <w:w w:val="95"/>
                              <w:sz w:val="24"/>
                              <w:szCs w:val="24"/>
                              <w:rtl/>
                            </w:rPr>
                            <w:t xml:space="preserve"> </w:t>
                          </w:r>
                          <w:r w:rsidRPr="007F2A9E">
                            <w:rPr>
                              <w:rFonts w:ascii="Tahoma" w:hAnsi="Tahoma" w:cs="Tahoma" w:hint="eastAsia"/>
                              <w:b/>
                              <w:bCs/>
                              <w:color w:val="FFFFFF" w:themeColor="background1"/>
                              <w:w w:val="95"/>
                              <w:sz w:val="24"/>
                              <w:szCs w:val="24"/>
                              <w:rtl/>
                            </w:rPr>
                            <w:t>הממשלתי</w:t>
                          </w:r>
                          <w:r w:rsidRPr="007F2A9E">
                            <w:rPr>
                              <w:rFonts w:ascii="Tahoma" w:hAnsi="Tahoma" w:cs="Tahoma"/>
                              <w:b/>
                              <w:bCs/>
                              <w:color w:val="FFFFFF" w:themeColor="background1"/>
                              <w:w w:val="95"/>
                              <w:sz w:val="24"/>
                              <w:szCs w:val="24"/>
                              <w:rtl/>
                            </w:rPr>
                            <w:t xml:space="preserve"> </w:t>
                          </w:r>
                          <w:r w:rsidRPr="007F2A9E">
                            <w:rPr>
                              <w:rFonts w:ascii="Tahoma" w:hAnsi="Tahoma" w:cs="Tahoma" w:hint="eastAsia"/>
                              <w:b/>
                              <w:bCs/>
                              <w:color w:val="FFFFFF" w:themeColor="background1"/>
                              <w:w w:val="95"/>
                              <w:sz w:val="24"/>
                              <w:szCs w:val="24"/>
                              <w:rtl/>
                            </w:rPr>
                            <w:t>הדיגיטלי</w:t>
                          </w:r>
                          <w:r w:rsidRPr="007F2A9E">
                            <w:rPr>
                              <w:rFonts w:ascii="Tahoma" w:hAnsi="Tahoma" w:cs="Tahoma"/>
                              <w:b/>
                              <w:bCs/>
                              <w:color w:val="FFFFFF" w:themeColor="background1"/>
                              <w:w w:val="95"/>
                              <w:sz w:val="24"/>
                              <w:szCs w:val="24"/>
                              <w:rtl/>
                            </w:rPr>
                            <w:t xml:space="preserve"> </w:t>
                          </w:r>
                          <w:r w:rsidRPr="007F2A9E">
                            <w:rPr>
                              <w:rFonts w:ascii="Tahoma" w:hAnsi="Tahoma" w:cs="Tahoma" w:hint="eastAsia"/>
                              <w:b/>
                              <w:bCs/>
                              <w:color w:val="FFFFFF" w:themeColor="background1"/>
                              <w:w w:val="95"/>
                              <w:sz w:val="24"/>
                              <w:szCs w:val="24"/>
                              <w:rtl/>
                            </w:rPr>
                            <w:t>לציבור</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92120" id="_x0000_t202" coordsize="21600,21600" o:spt="202" path="m,l,21600r21600,l21600,xe">
              <v:stroke joinstyle="miter"/>
              <v:path gradientshapeok="t" o:connecttype="rect"/>
            </v:shapetype>
            <v:shape id="_x0000_s1033" type="#_x0000_t202" style="position:absolute;margin-left:-60.1pt;margin-top:25.45pt;width:43pt;height:5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" filled="f" stroked="f">
              <v:textbox style="layout-flow:vertical;mso-layout-flow-alt:bottom-to-top">
                <w:txbxContent>
                  <w:p w14:paraId="63BFF7B4" w14:textId="36970B2C" w:rsidR="00106932" w:rsidRPr="00D8333F" w:rsidRDefault="00106932"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7F2A9E">
                      <w:rPr>
                        <w:rFonts w:ascii="Tahoma" w:hAnsi="Tahoma" w:cs="Tahoma"/>
                        <w:b/>
                        <w:bCs/>
                        <w:color w:val="FFFFFF" w:themeColor="background1"/>
                        <w:w w:val="95"/>
                        <w:sz w:val="24"/>
                        <w:szCs w:val="24"/>
                        <w:rtl/>
                      </w:rPr>
                      <w:t>"</w:t>
                    </w:r>
                    <w:r w:rsidRPr="007F2A9E">
                      <w:rPr>
                        <w:rFonts w:ascii="Tahoma" w:hAnsi="Tahoma" w:cs="Tahoma" w:hint="eastAsia"/>
                        <w:b/>
                        <w:bCs/>
                        <w:color w:val="FFFFFF" w:themeColor="background1"/>
                        <w:w w:val="95"/>
                        <w:sz w:val="24"/>
                        <w:szCs w:val="24"/>
                        <w:rtl/>
                      </w:rPr>
                      <w:t>מדיניות</w:t>
                    </w:r>
                    <w:r w:rsidRPr="007F2A9E">
                      <w:rPr>
                        <w:rFonts w:ascii="Tahoma" w:hAnsi="Tahoma" w:cs="Tahoma"/>
                        <w:b/>
                        <w:bCs/>
                        <w:color w:val="FFFFFF" w:themeColor="background1"/>
                        <w:w w:val="95"/>
                        <w:sz w:val="24"/>
                        <w:szCs w:val="24"/>
                        <w:rtl/>
                      </w:rPr>
                      <w:t xml:space="preserve"> </w:t>
                    </w:r>
                    <w:r w:rsidRPr="007F2A9E">
                      <w:rPr>
                        <w:rFonts w:ascii="Tahoma" w:hAnsi="Tahoma" w:cs="Tahoma" w:hint="eastAsia"/>
                        <w:b/>
                        <w:bCs/>
                        <w:color w:val="FFFFFF" w:themeColor="background1"/>
                        <w:w w:val="95"/>
                        <w:sz w:val="24"/>
                        <w:szCs w:val="24"/>
                        <w:rtl/>
                      </w:rPr>
                      <w:t>פעם</w:t>
                    </w:r>
                    <w:r w:rsidRPr="007F2A9E">
                      <w:rPr>
                        <w:rFonts w:ascii="Tahoma" w:hAnsi="Tahoma" w:cs="Tahoma"/>
                        <w:b/>
                        <w:bCs/>
                        <w:color w:val="FFFFFF" w:themeColor="background1"/>
                        <w:w w:val="95"/>
                        <w:sz w:val="24"/>
                        <w:szCs w:val="24"/>
                        <w:rtl/>
                      </w:rPr>
                      <w:t xml:space="preserve"> </w:t>
                    </w:r>
                    <w:r w:rsidRPr="007F2A9E">
                      <w:rPr>
                        <w:rFonts w:ascii="Tahoma" w:hAnsi="Tahoma" w:cs="Tahoma" w:hint="eastAsia"/>
                        <w:b/>
                        <w:bCs/>
                        <w:color w:val="FFFFFF" w:themeColor="background1"/>
                        <w:w w:val="95"/>
                        <w:sz w:val="24"/>
                        <w:szCs w:val="24"/>
                        <w:rtl/>
                      </w:rPr>
                      <w:t>אחת</w:t>
                    </w:r>
                    <w:r w:rsidRPr="007F2A9E">
                      <w:rPr>
                        <w:rFonts w:ascii="Tahoma" w:hAnsi="Tahoma" w:cs="Tahoma"/>
                        <w:b/>
                        <w:bCs/>
                        <w:color w:val="FFFFFF" w:themeColor="background1"/>
                        <w:w w:val="95"/>
                        <w:sz w:val="24"/>
                        <w:szCs w:val="24"/>
                        <w:rtl/>
                      </w:rPr>
                      <w:t xml:space="preserve">" </w:t>
                    </w:r>
                    <w:r w:rsidRPr="007F2A9E">
                      <w:rPr>
                        <w:rFonts w:ascii="Tahoma" w:hAnsi="Tahoma" w:cs="Tahoma" w:hint="eastAsia"/>
                        <w:b/>
                        <w:bCs/>
                        <w:color w:val="FFFFFF" w:themeColor="background1"/>
                        <w:w w:val="95"/>
                        <w:sz w:val="24"/>
                        <w:szCs w:val="24"/>
                        <w:rtl/>
                      </w:rPr>
                      <w:t>לשיפור</w:t>
                    </w:r>
                    <w:r w:rsidRPr="007F2A9E">
                      <w:rPr>
                        <w:rFonts w:ascii="Tahoma" w:hAnsi="Tahoma" w:cs="Tahoma"/>
                        <w:b/>
                        <w:bCs/>
                        <w:color w:val="FFFFFF" w:themeColor="background1"/>
                        <w:w w:val="95"/>
                        <w:sz w:val="24"/>
                        <w:szCs w:val="24"/>
                        <w:rtl/>
                      </w:rPr>
                      <w:t xml:space="preserve"> </w:t>
                    </w:r>
                    <w:r w:rsidRPr="007F2A9E">
                      <w:rPr>
                        <w:rFonts w:ascii="Tahoma" w:hAnsi="Tahoma" w:cs="Tahoma" w:hint="eastAsia"/>
                        <w:b/>
                        <w:bCs/>
                        <w:color w:val="FFFFFF" w:themeColor="background1"/>
                        <w:w w:val="95"/>
                        <w:sz w:val="24"/>
                        <w:szCs w:val="24"/>
                        <w:rtl/>
                      </w:rPr>
                      <w:t>השירות</w:t>
                    </w:r>
                    <w:r w:rsidRPr="007F2A9E">
                      <w:rPr>
                        <w:rFonts w:ascii="Tahoma" w:hAnsi="Tahoma" w:cs="Tahoma"/>
                        <w:b/>
                        <w:bCs/>
                        <w:color w:val="FFFFFF" w:themeColor="background1"/>
                        <w:w w:val="95"/>
                        <w:sz w:val="24"/>
                        <w:szCs w:val="24"/>
                        <w:rtl/>
                      </w:rPr>
                      <w:t xml:space="preserve"> </w:t>
                    </w:r>
                    <w:r w:rsidRPr="007F2A9E">
                      <w:rPr>
                        <w:rFonts w:ascii="Tahoma" w:hAnsi="Tahoma" w:cs="Tahoma" w:hint="eastAsia"/>
                        <w:b/>
                        <w:bCs/>
                        <w:color w:val="FFFFFF" w:themeColor="background1"/>
                        <w:w w:val="95"/>
                        <w:sz w:val="24"/>
                        <w:szCs w:val="24"/>
                        <w:rtl/>
                      </w:rPr>
                      <w:t>הממשלתי</w:t>
                    </w:r>
                    <w:r w:rsidRPr="007F2A9E">
                      <w:rPr>
                        <w:rFonts w:ascii="Tahoma" w:hAnsi="Tahoma" w:cs="Tahoma"/>
                        <w:b/>
                        <w:bCs/>
                        <w:color w:val="FFFFFF" w:themeColor="background1"/>
                        <w:w w:val="95"/>
                        <w:sz w:val="24"/>
                        <w:szCs w:val="24"/>
                        <w:rtl/>
                      </w:rPr>
                      <w:t xml:space="preserve"> </w:t>
                    </w:r>
                    <w:r w:rsidRPr="007F2A9E">
                      <w:rPr>
                        <w:rFonts w:ascii="Tahoma" w:hAnsi="Tahoma" w:cs="Tahoma" w:hint="eastAsia"/>
                        <w:b/>
                        <w:bCs/>
                        <w:color w:val="FFFFFF" w:themeColor="background1"/>
                        <w:w w:val="95"/>
                        <w:sz w:val="24"/>
                        <w:szCs w:val="24"/>
                        <w:rtl/>
                      </w:rPr>
                      <w:t>הדיגיטלי</w:t>
                    </w:r>
                    <w:r w:rsidRPr="007F2A9E">
                      <w:rPr>
                        <w:rFonts w:ascii="Tahoma" w:hAnsi="Tahoma" w:cs="Tahoma"/>
                        <w:b/>
                        <w:bCs/>
                        <w:color w:val="FFFFFF" w:themeColor="background1"/>
                        <w:w w:val="95"/>
                        <w:sz w:val="24"/>
                        <w:szCs w:val="24"/>
                        <w:rtl/>
                      </w:rPr>
                      <w:t xml:space="preserve"> </w:t>
                    </w:r>
                    <w:r w:rsidRPr="007F2A9E">
                      <w:rPr>
                        <w:rFonts w:ascii="Tahoma" w:hAnsi="Tahoma" w:cs="Tahoma" w:hint="eastAsia"/>
                        <w:b/>
                        <w:bCs/>
                        <w:color w:val="FFFFFF" w:themeColor="background1"/>
                        <w:w w:val="95"/>
                        <w:sz w:val="24"/>
                        <w:szCs w:val="24"/>
                        <w:rtl/>
                      </w:rPr>
                      <w:t>לציבור</w:t>
                    </w:r>
                  </w:p>
                </w:txbxContent>
              </v:textbox>
            </v:shape>
          </w:pict>
        </mc:Fallback>
      </mc:AlternateContent>
    </w:r>
    <w:r>
      <w:rPr>
        <w:rFonts w:ascii="Tahoma" w:eastAsiaTheme="majorEastAsia" w:hAnsi="Tahoma" w:cs="Tahoma" w:hint="cs"/>
        <w:noProof/>
        <w:color w:val="0D0D0D" w:themeColor="text1" w:themeTint="F2"/>
        <w:sz w:val="16"/>
        <w:szCs w:val="16"/>
        <w:rtl/>
      </w:rPr>
      <w:t>מב</w:t>
    </w:r>
    <w:r w:rsidRPr="006061A9">
      <w:rPr>
        <w:rFonts w:ascii="Tahoma" w:eastAsiaTheme="majorEastAsia" w:hAnsi="Tahoma" w:cs="Tahoma" w:hint="cs"/>
        <w:noProof/>
        <w:color w:val="0D0D0D" w:themeColor="text1" w:themeTint="F2"/>
        <w:sz w:val="16"/>
        <w:szCs w:val="16"/>
        <w:rtl/>
      </w:rPr>
      <w:t xml:space="preserve">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דוח </w:t>
    </w:r>
    <w:r>
      <w:rPr>
        <w:rFonts w:ascii="Tahoma" w:eastAsiaTheme="majorEastAsia" w:hAnsi="Tahoma" w:cs="Tahoma" w:hint="cs"/>
        <w:noProof/>
        <w:color w:val="0D0D0D" w:themeColor="text1" w:themeTint="F2"/>
        <w:sz w:val="16"/>
        <w:szCs w:val="16"/>
        <w:rtl/>
      </w:rPr>
      <w:t xml:space="preserve">ביקורת </w:t>
    </w:r>
    <w:r w:rsidRPr="006061A9">
      <w:rPr>
        <w:rFonts w:ascii="Tahoma" w:eastAsiaTheme="majorEastAsia" w:hAnsi="Tahoma" w:cs="Tahoma" w:hint="cs"/>
        <w:noProof/>
        <w:color w:val="0D0D0D" w:themeColor="text1" w:themeTint="F2"/>
        <w:sz w:val="16"/>
        <w:szCs w:val="16"/>
        <w:rtl/>
      </w:rPr>
      <w:t xml:space="preserve">שנתי </w:t>
    </w:r>
    <w:r>
      <w:rPr>
        <w:rFonts w:ascii="Tahoma" w:eastAsiaTheme="majorEastAsia" w:hAnsi="Tahoma" w:cs="Tahoma" w:hint="cs"/>
        <w:noProof/>
        <w:color w:val="0D0D0D" w:themeColor="text1" w:themeTint="F2"/>
        <w:sz w:val="16"/>
        <w:szCs w:val="16"/>
        <w:rtl/>
      </w:rPr>
      <w:t>72א - חלק ראשון</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התשפ"א-2021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A0749A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9.15pt;height:11.3pt" o:bullet="t">
        <v:imagedata r:id="rId1" o:title="red-hand"/>
      </v:shape>
    </w:pict>
  </w:numPicBullet>
  <w:abstractNum w:abstractNumId="0" w15:restartNumberingAfterBreak="0">
    <w:nsid w:val="20DF4A07"/>
    <w:multiLevelType w:val="hybridMultilevel"/>
    <w:tmpl w:val="537A00B0"/>
    <w:lvl w:ilvl="0" w:tplc="B8DEC5FA">
      <w:start w:val="1"/>
      <w:numFmt w:val="decimal"/>
      <w:pStyle w:val="takzir-list-paragraph"/>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 w15:restartNumberingAfterBreak="0">
    <w:nsid w:val="235F1CDB"/>
    <w:multiLevelType w:val="hybridMultilevel"/>
    <w:tmpl w:val="8284614E"/>
    <w:lvl w:ilvl="0" w:tplc="94AC14E8">
      <w:start w:val="1"/>
      <w:numFmt w:val="decimal"/>
      <w:pStyle w:val="a"/>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32B04208"/>
    <w:multiLevelType w:val="hybridMultilevel"/>
    <w:tmpl w:val="547CA79E"/>
    <w:lvl w:ilvl="0" w:tplc="EE5CEDEE">
      <w:start w:val="1"/>
      <w:numFmt w:val="decimal"/>
      <w:lvlText w:val="%1."/>
      <w:lvlJc w:val="left"/>
      <w:pPr>
        <w:ind w:left="720" w:hanging="360"/>
      </w:pPr>
      <w:rPr>
        <w:rFonts w:eastAsiaTheme="maj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A05A39"/>
    <w:multiLevelType w:val="hybridMultilevel"/>
    <w:tmpl w:val="2966900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47491230"/>
    <w:multiLevelType w:val="hybridMultilevel"/>
    <w:tmpl w:val="95EC1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6D6CF2"/>
    <w:multiLevelType w:val="hybridMultilevel"/>
    <w:tmpl w:val="936E6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99458C"/>
    <w:multiLevelType w:val="hybridMultilevel"/>
    <w:tmpl w:val="FE801472"/>
    <w:lvl w:ilvl="0" w:tplc="812022B8">
      <w:start w:val="1"/>
      <w:numFmt w:val="bullet"/>
      <w:lvlText w:val=""/>
      <w:lvlPicBulletId w:val="0"/>
      <w:lvlJc w:val="left"/>
      <w:pPr>
        <w:ind w:left="360" w:hanging="360"/>
      </w:pPr>
      <w:rPr>
        <w:rFonts w:ascii="Symbol" w:hAnsi="Symbol" w:cs="Wingdings" w:hint="default"/>
        <w:b/>
        <w:i w:val="0"/>
        <w:caps w:val="0"/>
        <w:strike w:val="0"/>
        <w:dstrike w:val="0"/>
        <w:vanish w:val="0"/>
        <w:color w:val="auto"/>
        <w:position w:val="-6"/>
        <w:sz w:val="40"/>
        <w:szCs w:val="25"/>
        <w:vertAlign w:val="baseline"/>
      </w:rPr>
    </w:lvl>
    <w:lvl w:ilvl="1" w:tplc="873ECC12" w:tentative="1">
      <w:start w:val="1"/>
      <w:numFmt w:val="bullet"/>
      <w:lvlText w:val="o"/>
      <w:lvlJc w:val="left"/>
      <w:pPr>
        <w:ind w:left="1080" w:hanging="360"/>
      </w:pPr>
      <w:rPr>
        <w:rFonts w:ascii="Courier New" w:hAnsi="Courier New" w:cs="Courier New" w:hint="default"/>
      </w:rPr>
    </w:lvl>
    <w:lvl w:ilvl="2" w:tplc="71AC46F0" w:tentative="1">
      <w:start w:val="1"/>
      <w:numFmt w:val="bullet"/>
      <w:lvlText w:val=""/>
      <w:lvlJc w:val="left"/>
      <w:pPr>
        <w:ind w:left="1800" w:hanging="360"/>
      </w:pPr>
      <w:rPr>
        <w:rFonts w:ascii="Wingdings" w:hAnsi="Wingdings" w:hint="default"/>
      </w:rPr>
    </w:lvl>
    <w:lvl w:ilvl="3" w:tplc="D436AF02" w:tentative="1">
      <w:start w:val="1"/>
      <w:numFmt w:val="bullet"/>
      <w:lvlText w:val=""/>
      <w:lvlJc w:val="left"/>
      <w:pPr>
        <w:ind w:left="2520" w:hanging="360"/>
      </w:pPr>
      <w:rPr>
        <w:rFonts w:ascii="Symbol" w:hAnsi="Symbol" w:hint="default"/>
      </w:rPr>
    </w:lvl>
    <w:lvl w:ilvl="4" w:tplc="6EFEA59E" w:tentative="1">
      <w:start w:val="1"/>
      <w:numFmt w:val="bullet"/>
      <w:lvlText w:val="o"/>
      <w:lvlJc w:val="left"/>
      <w:pPr>
        <w:ind w:left="3240" w:hanging="360"/>
      </w:pPr>
      <w:rPr>
        <w:rFonts w:ascii="Courier New" w:hAnsi="Courier New" w:cs="Courier New" w:hint="default"/>
      </w:rPr>
    </w:lvl>
    <w:lvl w:ilvl="5" w:tplc="4490BE64" w:tentative="1">
      <w:start w:val="1"/>
      <w:numFmt w:val="bullet"/>
      <w:lvlText w:val=""/>
      <w:lvlJc w:val="left"/>
      <w:pPr>
        <w:ind w:left="3960" w:hanging="360"/>
      </w:pPr>
      <w:rPr>
        <w:rFonts w:ascii="Wingdings" w:hAnsi="Wingdings" w:hint="default"/>
      </w:rPr>
    </w:lvl>
    <w:lvl w:ilvl="6" w:tplc="9814A008" w:tentative="1">
      <w:start w:val="1"/>
      <w:numFmt w:val="bullet"/>
      <w:lvlText w:val=""/>
      <w:lvlJc w:val="left"/>
      <w:pPr>
        <w:ind w:left="4680" w:hanging="360"/>
      </w:pPr>
      <w:rPr>
        <w:rFonts w:ascii="Symbol" w:hAnsi="Symbol" w:hint="default"/>
      </w:rPr>
    </w:lvl>
    <w:lvl w:ilvl="7" w:tplc="04B4E6A8" w:tentative="1">
      <w:start w:val="1"/>
      <w:numFmt w:val="bullet"/>
      <w:lvlText w:val="o"/>
      <w:lvlJc w:val="left"/>
      <w:pPr>
        <w:ind w:left="5400" w:hanging="360"/>
      </w:pPr>
      <w:rPr>
        <w:rFonts w:ascii="Courier New" w:hAnsi="Courier New" w:cs="Courier New" w:hint="default"/>
      </w:rPr>
    </w:lvl>
    <w:lvl w:ilvl="8" w:tplc="711839FE" w:tentative="1">
      <w:start w:val="1"/>
      <w:numFmt w:val="bullet"/>
      <w:lvlText w:val=""/>
      <w:lvlJc w:val="left"/>
      <w:pPr>
        <w:ind w:left="6120" w:hanging="360"/>
      </w:pPr>
      <w:rPr>
        <w:rFonts w:ascii="Wingdings" w:hAnsi="Wingdings" w:hint="default"/>
      </w:rPr>
    </w:lvl>
  </w:abstractNum>
  <w:abstractNum w:abstractNumId="8" w15:restartNumberingAfterBreak="0">
    <w:nsid w:val="67BF5139"/>
    <w:multiLevelType w:val="multilevel"/>
    <w:tmpl w:val="DC6C961C"/>
    <w:lvl w:ilvl="0">
      <w:start w:val="1"/>
      <w:numFmt w:val="decimal"/>
      <w:pStyle w:val="a0"/>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num w:numId="1">
    <w:abstractNumId w:val="2"/>
  </w:num>
  <w:num w:numId="2">
    <w:abstractNumId w:val="8"/>
  </w:num>
  <w:num w:numId="3">
    <w:abstractNumId w:val="1"/>
  </w:num>
  <w:num w:numId="4">
    <w:abstractNumId w:val="0"/>
  </w:num>
  <w:num w:numId="5">
    <w:abstractNumId w:val="7"/>
  </w:num>
  <w:num w:numId="6">
    <w:abstractNumId w:val="4"/>
  </w:num>
  <w:num w:numId="7">
    <w:abstractNumId w:val="5"/>
  </w:num>
  <w:num w:numId="8">
    <w:abstractNumId w:val="6"/>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gutterAtTop/>
  <w:proofState w:spelling="clean" w:grammar="clean"/>
  <w:defaultTabStop w:val="397"/>
  <w:evenAndOddHeaders/>
  <w:characterSpacingControl w:val="doNotCompress"/>
  <w:hdrShapeDefaults>
    <o:shapedefaults v:ext="edit" spidmax="2049">
      <o:colormru v:ext="edit" colors="#9dced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0"/>
  </w:docVars>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5D4"/>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E04"/>
    <w:rsid w:val="0003470F"/>
    <w:rsid w:val="00034F3F"/>
    <w:rsid w:val="000350BF"/>
    <w:rsid w:val="000356A7"/>
    <w:rsid w:val="00035AA3"/>
    <w:rsid w:val="00035BD0"/>
    <w:rsid w:val="00036469"/>
    <w:rsid w:val="00036B1B"/>
    <w:rsid w:val="00037596"/>
    <w:rsid w:val="00040CFC"/>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2C54"/>
    <w:rsid w:val="0008321A"/>
    <w:rsid w:val="00083F4F"/>
    <w:rsid w:val="00084171"/>
    <w:rsid w:val="000841FE"/>
    <w:rsid w:val="000847F9"/>
    <w:rsid w:val="00084F1F"/>
    <w:rsid w:val="0008572D"/>
    <w:rsid w:val="000868BD"/>
    <w:rsid w:val="00090AB0"/>
    <w:rsid w:val="00092220"/>
    <w:rsid w:val="0009240F"/>
    <w:rsid w:val="00092F71"/>
    <w:rsid w:val="00093068"/>
    <w:rsid w:val="00095581"/>
    <w:rsid w:val="0009699F"/>
    <w:rsid w:val="000A0F5E"/>
    <w:rsid w:val="000A0FC0"/>
    <w:rsid w:val="000A16EF"/>
    <w:rsid w:val="000A18FC"/>
    <w:rsid w:val="000A1D75"/>
    <w:rsid w:val="000A251B"/>
    <w:rsid w:val="000A2903"/>
    <w:rsid w:val="000A2BC9"/>
    <w:rsid w:val="000A34B5"/>
    <w:rsid w:val="000A3864"/>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518"/>
    <w:rsid w:val="000C2E22"/>
    <w:rsid w:val="000C4DEF"/>
    <w:rsid w:val="000C5425"/>
    <w:rsid w:val="000C57FF"/>
    <w:rsid w:val="000C6708"/>
    <w:rsid w:val="000C7018"/>
    <w:rsid w:val="000D1052"/>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059"/>
    <w:rsid w:val="0010599F"/>
    <w:rsid w:val="00105A73"/>
    <w:rsid w:val="00105B88"/>
    <w:rsid w:val="00105ED4"/>
    <w:rsid w:val="00106932"/>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2EA"/>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312A"/>
    <w:rsid w:val="00134716"/>
    <w:rsid w:val="00135EB9"/>
    <w:rsid w:val="00136B9E"/>
    <w:rsid w:val="00141E28"/>
    <w:rsid w:val="00142877"/>
    <w:rsid w:val="001435CD"/>
    <w:rsid w:val="00143613"/>
    <w:rsid w:val="00143625"/>
    <w:rsid w:val="00144786"/>
    <w:rsid w:val="00144967"/>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5E99"/>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166"/>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4362"/>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4A0"/>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05ED"/>
    <w:rsid w:val="002011D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1DE1"/>
    <w:rsid w:val="002722F1"/>
    <w:rsid w:val="00272DCB"/>
    <w:rsid w:val="00273409"/>
    <w:rsid w:val="002735DC"/>
    <w:rsid w:val="00273C82"/>
    <w:rsid w:val="00273E3E"/>
    <w:rsid w:val="00274D7E"/>
    <w:rsid w:val="0027747C"/>
    <w:rsid w:val="00277717"/>
    <w:rsid w:val="00277BC2"/>
    <w:rsid w:val="00277E0B"/>
    <w:rsid w:val="002801BC"/>
    <w:rsid w:val="002805E4"/>
    <w:rsid w:val="00280807"/>
    <w:rsid w:val="00280A33"/>
    <w:rsid w:val="00280F37"/>
    <w:rsid w:val="00281CA7"/>
    <w:rsid w:val="00281D26"/>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0A"/>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4623"/>
    <w:rsid w:val="002B5441"/>
    <w:rsid w:val="002B5517"/>
    <w:rsid w:val="002B5743"/>
    <w:rsid w:val="002B6920"/>
    <w:rsid w:val="002B6B84"/>
    <w:rsid w:val="002B701A"/>
    <w:rsid w:val="002C0374"/>
    <w:rsid w:val="002C0D01"/>
    <w:rsid w:val="002C1200"/>
    <w:rsid w:val="002C167F"/>
    <w:rsid w:val="002C1805"/>
    <w:rsid w:val="002C3001"/>
    <w:rsid w:val="002C3A61"/>
    <w:rsid w:val="002C53F1"/>
    <w:rsid w:val="002C5D25"/>
    <w:rsid w:val="002C6165"/>
    <w:rsid w:val="002C6364"/>
    <w:rsid w:val="002C68CB"/>
    <w:rsid w:val="002C6F0A"/>
    <w:rsid w:val="002C796B"/>
    <w:rsid w:val="002D1462"/>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5B76"/>
    <w:rsid w:val="002E6C36"/>
    <w:rsid w:val="002E722A"/>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4CE5"/>
    <w:rsid w:val="003150B1"/>
    <w:rsid w:val="00316C90"/>
    <w:rsid w:val="003173E0"/>
    <w:rsid w:val="00320159"/>
    <w:rsid w:val="00321D1B"/>
    <w:rsid w:val="0032364A"/>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5A5"/>
    <w:rsid w:val="00334BBC"/>
    <w:rsid w:val="00334E99"/>
    <w:rsid w:val="00335960"/>
    <w:rsid w:val="00335F65"/>
    <w:rsid w:val="00336A22"/>
    <w:rsid w:val="00336A9C"/>
    <w:rsid w:val="003408F2"/>
    <w:rsid w:val="00341EDA"/>
    <w:rsid w:val="00342E41"/>
    <w:rsid w:val="00342F9F"/>
    <w:rsid w:val="003437E8"/>
    <w:rsid w:val="00344900"/>
    <w:rsid w:val="00345A36"/>
    <w:rsid w:val="003466C7"/>
    <w:rsid w:val="00346DF9"/>
    <w:rsid w:val="00347A82"/>
    <w:rsid w:val="003504AD"/>
    <w:rsid w:val="00351463"/>
    <w:rsid w:val="00352F48"/>
    <w:rsid w:val="00353326"/>
    <w:rsid w:val="0035361A"/>
    <w:rsid w:val="003541A3"/>
    <w:rsid w:val="0035442A"/>
    <w:rsid w:val="00354900"/>
    <w:rsid w:val="003572C8"/>
    <w:rsid w:val="00357D06"/>
    <w:rsid w:val="003609E2"/>
    <w:rsid w:val="00361B78"/>
    <w:rsid w:val="00361CD3"/>
    <w:rsid w:val="0036393B"/>
    <w:rsid w:val="00363C25"/>
    <w:rsid w:val="00363DBE"/>
    <w:rsid w:val="00364230"/>
    <w:rsid w:val="00364FDF"/>
    <w:rsid w:val="00366DF1"/>
    <w:rsid w:val="00367BD8"/>
    <w:rsid w:val="00370725"/>
    <w:rsid w:val="003707D3"/>
    <w:rsid w:val="00370A28"/>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950"/>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3D6"/>
    <w:rsid w:val="003976F4"/>
    <w:rsid w:val="003A082D"/>
    <w:rsid w:val="003A0B69"/>
    <w:rsid w:val="003A0F7A"/>
    <w:rsid w:val="003A10E7"/>
    <w:rsid w:val="003A16B7"/>
    <w:rsid w:val="003A1745"/>
    <w:rsid w:val="003A1F9A"/>
    <w:rsid w:val="003A2E56"/>
    <w:rsid w:val="003A3862"/>
    <w:rsid w:val="003A4357"/>
    <w:rsid w:val="003A436D"/>
    <w:rsid w:val="003B0565"/>
    <w:rsid w:val="003B159D"/>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1906"/>
    <w:rsid w:val="003F2367"/>
    <w:rsid w:val="003F2902"/>
    <w:rsid w:val="003F2CA1"/>
    <w:rsid w:val="003F2E86"/>
    <w:rsid w:val="003F2FA6"/>
    <w:rsid w:val="003F35EC"/>
    <w:rsid w:val="003F3B10"/>
    <w:rsid w:val="003F4201"/>
    <w:rsid w:val="003F4BA9"/>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8EF"/>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4ED"/>
    <w:rsid w:val="00426A12"/>
    <w:rsid w:val="00427615"/>
    <w:rsid w:val="004278E5"/>
    <w:rsid w:val="00427DE9"/>
    <w:rsid w:val="00430526"/>
    <w:rsid w:val="004309B3"/>
    <w:rsid w:val="004309C5"/>
    <w:rsid w:val="004315DC"/>
    <w:rsid w:val="00431864"/>
    <w:rsid w:val="00431E6E"/>
    <w:rsid w:val="00432DBC"/>
    <w:rsid w:val="004334FD"/>
    <w:rsid w:val="004335F4"/>
    <w:rsid w:val="00434573"/>
    <w:rsid w:val="00434710"/>
    <w:rsid w:val="00434979"/>
    <w:rsid w:val="00436B3D"/>
    <w:rsid w:val="00436DAE"/>
    <w:rsid w:val="00437A8F"/>
    <w:rsid w:val="00437CA8"/>
    <w:rsid w:val="00440A9C"/>
    <w:rsid w:val="00441319"/>
    <w:rsid w:val="00441A9F"/>
    <w:rsid w:val="00442153"/>
    <w:rsid w:val="00442D2E"/>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732"/>
    <w:rsid w:val="00460993"/>
    <w:rsid w:val="004618B5"/>
    <w:rsid w:val="00461FDC"/>
    <w:rsid w:val="00462875"/>
    <w:rsid w:val="004638C4"/>
    <w:rsid w:val="00464628"/>
    <w:rsid w:val="004649FA"/>
    <w:rsid w:val="00464BF9"/>
    <w:rsid w:val="004660F8"/>
    <w:rsid w:val="00466196"/>
    <w:rsid w:val="0046631D"/>
    <w:rsid w:val="0046700E"/>
    <w:rsid w:val="0046732A"/>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4D2D"/>
    <w:rsid w:val="004859FE"/>
    <w:rsid w:val="00485C8F"/>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0DF9"/>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5E93"/>
    <w:rsid w:val="0052621D"/>
    <w:rsid w:val="00527462"/>
    <w:rsid w:val="005276C3"/>
    <w:rsid w:val="00527873"/>
    <w:rsid w:val="00530040"/>
    <w:rsid w:val="005302AB"/>
    <w:rsid w:val="00530A7F"/>
    <w:rsid w:val="00530F88"/>
    <w:rsid w:val="00531652"/>
    <w:rsid w:val="00532AAB"/>
    <w:rsid w:val="00532B27"/>
    <w:rsid w:val="00535208"/>
    <w:rsid w:val="00536356"/>
    <w:rsid w:val="005377A6"/>
    <w:rsid w:val="00540FE0"/>
    <w:rsid w:val="00541D22"/>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2B3"/>
    <w:rsid w:val="0055660D"/>
    <w:rsid w:val="00557333"/>
    <w:rsid w:val="00557DD2"/>
    <w:rsid w:val="0056030C"/>
    <w:rsid w:val="00561B31"/>
    <w:rsid w:val="00562A5B"/>
    <w:rsid w:val="00563438"/>
    <w:rsid w:val="005634A6"/>
    <w:rsid w:val="005638B0"/>
    <w:rsid w:val="00563A26"/>
    <w:rsid w:val="00563B11"/>
    <w:rsid w:val="005643A3"/>
    <w:rsid w:val="00564717"/>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8ED"/>
    <w:rsid w:val="00582EEE"/>
    <w:rsid w:val="00584ECC"/>
    <w:rsid w:val="0058546D"/>
    <w:rsid w:val="0058562D"/>
    <w:rsid w:val="00586C76"/>
    <w:rsid w:val="00590929"/>
    <w:rsid w:val="0059097C"/>
    <w:rsid w:val="00590AF8"/>
    <w:rsid w:val="00591657"/>
    <w:rsid w:val="00592124"/>
    <w:rsid w:val="00592176"/>
    <w:rsid w:val="0059367A"/>
    <w:rsid w:val="005943AE"/>
    <w:rsid w:val="00595206"/>
    <w:rsid w:val="00595D31"/>
    <w:rsid w:val="00595EE3"/>
    <w:rsid w:val="005968D1"/>
    <w:rsid w:val="00597466"/>
    <w:rsid w:val="00597D43"/>
    <w:rsid w:val="005A00A1"/>
    <w:rsid w:val="005A01C8"/>
    <w:rsid w:val="005A0264"/>
    <w:rsid w:val="005A02D4"/>
    <w:rsid w:val="005A15A4"/>
    <w:rsid w:val="005A169C"/>
    <w:rsid w:val="005A1CF1"/>
    <w:rsid w:val="005A1F68"/>
    <w:rsid w:val="005A2372"/>
    <w:rsid w:val="005A4DBF"/>
    <w:rsid w:val="005A677F"/>
    <w:rsid w:val="005B0219"/>
    <w:rsid w:val="005B07DE"/>
    <w:rsid w:val="005B0DFE"/>
    <w:rsid w:val="005B12E9"/>
    <w:rsid w:val="005B1713"/>
    <w:rsid w:val="005B2281"/>
    <w:rsid w:val="005B2537"/>
    <w:rsid w:val="005B3350"/>
    <w:rsid w:val="005B3874"/>
    <w:rsid w:val="005B426A"/>
    <w:rsid w:val="005B463B"/>
    <w:rsid w:val="005B515A"/>
    <w:rsid w:val="005B59FC"/>
    <w:rsid w:val="005B5C8A"/>
    <w:rsid w:val="005B622B"/>
    <w:rsid w:val="005B7EBA"/>
    <w:rsid w:val="005C0F41"/>
    <w:rsid w:val="005C33A1"/>
    <w:rsid w:val="005C593E"/>
    <w:rsid w:val="005C7407"/>
    <w:rsid w:val="005D0510"/>
    <w:rsid w:val="005D142B"/>
    <w:rsid w:val="005D2DCD"/>
    <w:rsid w:val="005D2F13"/>
    <w:rsid w:val="005D4091"/>
    <w:rsid w:val="005D4105"/>
    <w:rsid w:val="005D42F8"/>
    <w:rsid w:val="005D4696"/>
    <w:rsid w:val="005D4C93"/>
    <w:rsid w:val="005D5D01"/>
    <w:rsid w:val="005D5EA2"/>
    <w:rsid w:val="005D6AA1"/>
    <w:rsid w:val="005D6EC7"/>
    <w:rsid w:val="005D713A"/>
    <w:rsid w:val="005D7B4E"/>
    <w:rsid w:val="005D7FE0"/>
    <w:rsid w:val="005E22A8"/>
    <w:rsid w:val="005E234F"/>
    <w:rsid w:val="005E2557"/>
    <w:rsid w:val="005E2A03"/>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3FC0"/>
    <w:rsid w:val="005F4396"/>
    <w:rsid w:val="005F4618"/>
    <w:rsid w:val="005F620B"/>
    <w:rsid w:val="005F665B"/>
    <w:rsid w:val="005F6FCA"/>
    <w:rsid w:val="0060059B"/>
    <w:rsid w:val="00601C39"/>
    <w:rsid w:val="00601FC8"/>
    <w:rsid w:val="00602B4F"/>
    <w:rsid w:val="0060384E"/>
    <w:rsid w:val="0060570A"/>
    <w:rsid w:val="00605EF8"/>
    <w:rsid w:val="006061A9"/>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39"/>
    <w:rsid w:val="00624B91"/>
    <w:rsid w:val="0062578F"/>
    <w:rsid w:val="00625EFD"/>
    <w:rsid w:val="00626741"/>
    <w:rsid w:val="006274AF"/>
    <w:rsid w:val="00627BBF"/>
    <w:rsid w:val="00630845"/>
    <w:rsid w:val="00632DD2"/>
    <w:rsid w:val="006339F3"/>
    <w:rsid w:val="00633BB2"/>
    <w:rsid w:val="00634119"/>
    <w:rsid w:val="0063470B"/>
    <w:rsid w:val="0063519E"/>
    <w:rsid w:val="0063632E"/>
    <w:rsid w:val="00640298"/>
    <w:rsid w:val="00641FC6"/>
    <w:rsid w:val="006423C5"/>
    <w:rsid w:val="00642E60"/>
    <w:rsid w:val="0064502B"/>
    <w:rsid w:val="00645307"/>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9E9"/>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192"/>
    <w:rsid w:val="006A639B"/>
    <w:rsid w:val="006A77B5"/>
    <w:rsid w:val="006B1191"/>
    <w:rsid w:val="006B1C39"/>
    <w:rsid w:val="006B3631"/>
    <w:rsid w:val="006B3684"/>
    <w:rsid w:val="006B5117"/>
    <w:rsid w:val="006B5429"/>
    <w:rsid w:val="006B59CA"/>
    <w:rsid w:val="006B5D69"/>
    <w:rsid w:val="006B6B3C"/>
    <w:rsid w:val="006B6E97"/>
    <w:rsid w:val="006B77AC"/>
    <w:rsid w:val="006B78C5"/>
    <w:rsid w:val="006C2C50"/>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894"/>
    <w:rsid w:val="006D7F0F"/>
    <w:rsid w:val="006E056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4849"/>
    <w:rsid w:val="007151B8"/>
    <w:rsid w:val="0071521B"/>
    <w:rsid w:val="0071538E"/>
    <w:rsid w:val="00715C5C"/>
    <w:rsid w:val="00716502"/>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B2"/>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04D"/>
    <w:rsid w:val="00763840"/>
    <w:rsid w:val="00763FE4"/>
    <w:rsid w:val="0076417E"/>
    <w:rsid w:val="00764C43"/>
    <w:rsid w:val="00766489"/>
    <w:rsid w:val="00766F23"/>
    <w:rsid w:val="00767790"/>
    <w:rsid w:val="00767C08"/>
    <w:rsid w:val="0077052B"/>
    <w:rsid w:val="00770607"/>
    <w:rsid w:val="00770C49"/>
    <w:rsid w:val="00770FE5"/>
    <w:rsid w:val="00772DF5"/>
    <w:rsid w:val="007763DB"/>
    <w:rsid w:val="007778F3"/>
    <w:rsid w:val="00777AED"/>
    <w:rsid w:val="00781580"/>
    <w:rsid w:val="00781B8F"/>
    <w:rsid w:val="007825F8"/>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22A"/>
    <w:rsid w:val="00796B9C"/>
    <w:rsid w:val="00796C2E"/>
    <w:rsid w:val="007A071F"/>
    <w:rsid w:val="007A1C50"/>
    <w:rsid w:val="007A2601"/>
    <w:rsid w:val="007A3140"/>
    <w:rsid w:val="007A55DD"/>
    <w:rsid w:val="007A6F7E"/>
    <w:rsid w:val="007A73F1"/>
    <w:rsid w:val="007A76BA"/>
    <w:rsid w:val="007B1194"/>
    <w:rsid w:val="007B1279"/>
    <w:rsid w:val="007B1532"/>
    <w:rsid w:val="007B24B1"/>
    <w:rsid w:val="007B2A3E"/>
    <w:rsid w:val="007B3E10"/>
    <w:rsid w:val="007B42B1"/>
    <w:rsid w:val="007B4879"/>
    <w:rsid w:val="007B4ADC"/>
    <w:rsid w:val="007B55B2"/>
    <w:rsid w:val="007B654B"/>
    <w:rsid w:val="007B6EC7"/>
    <w:rsid w:val="007B7880"/>
    <w:rsid w:val="007C08FF"/>
    <w:rsid w:val="007C1B63"/>
    <w:rsid w:val="007C206C"/>
    <w:rsid w:val="007C237A"/>
    <w:rsid w:val="007C270F"/>
    <w:rsid w:val="007C2833"/>
    <w:rsid w:val="007C2B52"/>
    <w:rsid w:val="007C2CD9"/>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13D8"/>
    <w:rsid w:val="007E2125"/>
    <w:rsid w:val="007E277B"/>
    <w:rsid w:val="007E38A7"/>
    <w:rsid w:val="007E3DC8"/>
    <w:rsid w:val="007E5CB0"/>
    <w:rsid w:val="007E7DCC"/>
    <w:rsid w:val="007E7E66"/>
    <w:rsid w:val="007F0192"/>
    <w:rsid w:val="007F0371"/>
    <w:rsid w:val="007F1528"/>
    <w:rsid w:val="007F1A39"/>
    <w:rsid w:val="007F1C80"/>
    <w:rsid w:val="007F25D7"/>
    <w:rsid w:val="007F2A9E"/>
    <w:rsid w:val="007F2E2C"/>
    <w:rsid w:val="007F3DD9"/>
    <w:rsid w:val="007F3F5B"/>
    <w:rsid w:val="007F4D25"/>
    <w:rsid w:val="007F58F7"/>
    <w:rsid w:val="007F5F57"/>
    <w:rsid w:val="007F6279"/>
    <w:rsid w:val="007F7121"/>
    <w:rsid w:val="007F7833"/>
    <w:rsid w:val="00800A36"/>
    <w:rsid w:val="008011FB"/>
    <w:rsid w:val="00801750"/>
    <w:rsid w:val="00801B26"/>
    <w:rsid w:val="00801D83"/>
    <w:rsid w:val="00805601"/>
    <w:rsid w:val="0081005B"/>
    <w:rsid w:val="008106A3"/>
    <w:rsid w:val="00810C64"/>
    <w:rsid w:val="00810F32"/>
    <w:rsid w:val="008116BD"/>
    <w:rsid w:val="008120B2"/>
    <w:rsid w:val="00812495"/>
    <w:rsid w:val="00812889"/>
    <w:rsid w:val="00813CCB"/>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549"/>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996"/>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67"/>
    <w:rsid w:val="008577DA"/>
    <w:rsid w:val="008604A4"/>
    <w:rsid w:val="00860D6C"/>
    <w:rsid w:val="00862168"/>
    <w:rsid w:val="0086284D"/>
    <w:rsid w:val="008635A7"/>
    <w:rsid w:val="00865CCF"/>
    <w:rsid w:val="00865D67"/>
    <w:rsid w:val="00865F8B"/>
    <w:rsid w:val="00866982"/>
    <w:rsid w:val="00866E36"/>
    <w:rsid w:val="008672D0"/>
    <w:rsid w:val="00870102"/>
    <w:rsid w:val="008723A0"/>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80A"/>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747"/>
    <w:rsid w:val="00910E3B"/>
    <w:rsid w:val="009122D0"/>
    <w:rsid w:val="009125B7"/>
    <w:rsid w:val="00912B57"/>
    <w:rsid w:val="00912CFB"/>
    <w:rsid w:val="009139E6"/>
    <w:rsid w:val="009175E4"/>
    <w:rsid w:val="00917AF0"/>
    <w:rsid w:val="00917C5F"/>
    <w:rsid w:val="00920A37"/>
    <w:rsid w:val="00920ACC"/>
    <w:rsid w:val="00920F8A"/>
    <w:rsid w:val="00922D49"/>
    <w:rsid w:val="009243D2"/>
    <w:rsid w:val="0092481E"/>
    <w:rsid w:val="00926506"/>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3CE"/>
    <w:rsid w:val="0094087B"/>
    <w:rsid w:val="009419BB"/>
    <w:rsid w:val="0094352E"/>
    <w:rsid w:val="00944100"/>
    <w:rsid w:val="00945529"/>
    <w:rsid w:val="00946475"/>
    <w:rsid w:val="00946587"/>
    <w:rsid w:val="0094720D"/>
    <w:rsid w:val="0094772D"/>
    <w:rsid w:val="009507DB"/>
    <w:rsid w:val="009511E5"/>
    <w:rsid w:val="0095149D"/>
    <w:rsid w:val="009517F6"/>
    <w:rsid w:val="009521C1"/>
    <w:rsid w:val="00952A15"/>
    <w:rsid w:val="009534C9"/>
    <w:rsid w:val="00953EF6"/>
    <w:rsid w:val="0095402B"/>
    <w:rsid w:val="00955290"/>
    <w:rsid w:val="00955EBD"/>
    <w:rsid w:val="009568B5"/>
    <w:rsid w:val="00961752"/>
    <w:rsid w:val="00962F77"/>
    <w:rsid w:val="00963193"/>
    <w:rsid w:val="00964AA4"/>
    <w:rsid w:val="00964DE9"/>
    <w:rsid w:val="00965598"/>
    <w:rsid w:val="009665B5"/>
    <w:rsid w:val="0096660F"/>
    <w:rsid w:val="009677C7"/>
    <w:rsid w:val="009712EA"/>
    <w:rsid w:val="009729A9"/>
    <w:rsid w:val="00973643"/>
    <w:rsid w:val="009752BE"/>
    <w:rsid w:val="009752D4"/>
    <w:rsid w:val="0097535C"/>
    <w:rsid w:val="00975710"/>
    <w:rsid w:val="00975A23"/>
    <w:rsid w:val="009761D3"/>
    <w:rsid w:val="009762F4"/>
    <w:rsid w:val="00976F28"/>
    <w:rsid w:val="0098132E"/>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7936"/>
    <w:rsid w:val="009D0074"/>
    <w:rsid w:val="009D1A50"/>
    <w:rsid w:val="009D2E7D"/>
    <w:rsid w:val="009D491B"/>
    <w:rsid w:val="009D557A"/>
    <w:rsid w:val="009D65BC"/>
    <w:rsid w:val="009D7C5D"/>
    <w:rsid w:val="009D7F07"/>
    <w:rsid w:val="009D7F36"/>
    <w:rsid w:val="009E124C"/>
    <w:rsid w:val="009E2122"/>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8D1"/>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187"/>
    <w:rsid w:val="00A27B7B"/>
    <w:rsid w:val="00A3003D"/>
    <w:rsid w:val="00A30122"/>
    <w:rsid w:val="00A30FE4"/>
    <w:rsid w:val="00A31BFA"/>
    <w:rsid w:val="00A36F15"/>
    <w:rsid w:val="00A371B5"/>
    <w:rsid w:val="00A40BC1"/>
    <w:rsid w:val="00A41377"/>
    <w:rsid w:val="00A413BE"/>
    <w:rsid w:val="00A428DD"/>
    <w:rsid w:val="00A43126"/>
    <w:rsid w:val="00A4464E"/>
    <w:rsid w:val="00A44AA1"/>
    <w:rsid w:val="00A44DE9"/>
    <w:rsid w:val="00A460E1"/>
    <w:rsid w:val="00A479C4"/>
    <w:rsid w:val="00A50246"/>
    <w:rsid w:val="00A51691"/>
    <w:rsid w:val="00A51EC8"/>
    <w:rsid w:val="00A52274"/>
    <w:rsid w:val="00A523F8"/>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EAD"/>
    <w:rsid w:val="00A740B1"/>
    <w:rsid w:val="00A74325"/>
    <w:rsid w:val="00A75080"/>
    <w:rsid w:val="00A75949"/>
    <w:rsid w:val="00A76915"/>
    <w:rsid w:val="00A80991"/>
    <w:rsid w:val="00A8099A"/>
    <w:rsid w:val="00A8199B"/>
    <w:rsid w:val="00A827F3"/>
    <w:rsid w:val="00A82A69"/>
    <w:rsid w:val="00A8379B"/>
    <w:rsid w:val="00A84A7A"/>
    <w:rsid w:val="00A863C1"/>
    <w:rsid w:val="00A8660E"/>
    <w:rsid w:val="00A87279"/>
    <w:rsid w:val="00A879CC"/>
    <w:rsid w:val="00A9017C"/>
    <w:rsid w:val="00A90478"/>
    <w:rsid w:val="00A90667"/>
    <w:rsid w:val="00A91319"/>
    <w:rsid w:val="00A913C6"/>
    <w:rsid w:val="00A914F9"/>
    <w:rsid w:val="00A9188B"/>
    <w:rsid w:val="00A92764"/>
    <w:rsid w:val="00A92AB8"/>
    <w:rsid w:val="00A92DE6"/>
    <w:rsid w:val="00A93164"/>
    <w:rsid w:val="00A93AA6"/>
    <w:rsid w:val="00A93E9A"/>
    <w:rsid w:val="00A95011"/>
    <w:rsid w:val="00A9575F"/>
    <w:rsid w:val="00A95CBE"/>
    <w:rsid w:val="00A9601D"/>
    <w:rsid w:val="00A965A4"/>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7EB3"/>
    <w:rsid w:val="00AC0359"/>
    <w:rsid w:val="00AC0DB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C51"/>
    <w:rsid w:val="00AD1CB2"/>
    <w:rsid w:val="00AD262A"/>
    <w:rsid w:val="00AD380D"/>
    <w:rsid w:val="00AD38D9"/>
    <w:rsid w:val="00AD39BA"/>
    <w:rsid w:val="00AD4FCA"/>
    <w:rsid w:val="00AD57B5"/>
    <w:rsid w:val="00AD6429"/>
    <w:rsid w:val="00AD6A86"/>
    <w:rsid w:val="00AD7241"/>
    <w:rsid w:val="00AE0583"/>
    <w:rsid w:val="00AE1E4E"/>
    <w:rsid w:val="00AE2012"/>
    <w:rsid w:val="00AE387A"/>
    <w:rsid w:val="00AE3E83"/>
    <w:rsid w:val="00AE473B"/>
    <w:rsid w:val="00AE4C65"/>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3D36"/>
    <w:rsid w:val="00B1464A"/>
    <w:rsid w:val="00B14D75"/>
    <w:rsid w:val="00B15605"/>
    <w:rsid w:val="00B160CB"/>
    <w:rsid w:val="00B165D6"/>
    <w:rsid w:val="00B172F9"/>
    <w:rsid w:val="00B20507"/>
    <w:rsid w:val="00B2219E"/>
    <w:rsid w:val="00B2285D"/>
    <w:rsid w:val="00B22929"/>
    <w:rsid w:val="00B237F8"/>
    <w:rsid w:val="00B243C7"/>
    <w:rsid w:val="00B245CD"/>
    <w:rsid w:val="00B25E04"/>
    <w:rsid w:val="00B26A10"/>
    <w:rsid w:val="00B278EC"/>
    <w:rsid w:val="00B30AF1"/>
    <w:rsid w:val="00B30C3B"/>
    <w:rsid w:val="00B32607"/>
    <w:rsid w:val="00B3356E"/>
    <w:rsid w:val="00B3392D"/>
    <w:rsid w:val="00B33F95"/>
    <w:rsid w:val="00B353A7"/>
    <w:rsid w:val="00B35CE3"/>
    <w:rsid w:val="00B367CB"/>
    <w:rsid w:val="00B3765C"/>
    <w:rsid w:val="00B37757"/>
    <w:rsid w:val="00B408F3"/>
    <w:rsid w:val="00B40D7B"/>
    <w:rsid w:val="00B4198E"/>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4E31"/>
    <w:rsid w:val="00B55203"/>
    <w:rsid w:val="00B55C79"/>
    <w:rsid w:val="00B56002"/>
    <w:rsid w:val="00B570C1"/>
    <w:rsid w:val="00B572E8"/>
    <w:rsid w:val="00B57514"/>
    <w:rsid w:val="00B57CE4"/>
    <w:rsid w:val="00B6077E"/>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0E79"/>
    <w:rsid w:val="00B914C7"/>
    <w:rsid w:val="00B9160E"/>
    <w:rsid w:val="00B9248D"/>
    <w:rsid w:val="00B92AC7"/>
    <w:rsid w:val="00B94816"/>
    <w:rsid w:val="00B95615"/>
    <w:rsid w:val="00B96064"/>
    <w:rsid w:val="00B96F64"/>
    <w:rsid w:val="00B972EE"/>
    <w:rsid w:val="00B97A74"/>
    <w:rsid w:val="00BA051B"/>
    <w:rsid w:val="00BA08DC"/>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62C"/>
    <w:rsid w:val="00BB3047"/>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237A"/>
    <w:rsid w:val="00BE37E0"/>
    <w:rsid w:val="00BE475F"/>
    <w:rsid w:val="00BE531E"/>
    <w:rsid w:val="00BE5EA7"/>
    <w:rsid w:val="00BE630D"/>
    <w:rsid w:val="00BE6D7B"/>
    <w:rsid w:val="00BF044F"/>
    <w:rsid w:val="00BF1F74"/>
    <w:rsid w:val="00BF3588"/>
    <w:rsid w:val="00BF3CC5"/>
    <w:rsid w:val="00BF42A4"/>
    <w:rsid w:val="00BF6CCE"/>
    <w:rsid w:val="00BF7116"/>
    <w:rsid w:val="00BF7EF8"/>
    <w:rsid w:val="00C00A3B"/>
    <w:rsid w:val="00C00A84"/>
    <w:rsid w:val="00C010F3"/>
    <w:rsid w:val="00C01558"/>
    <w:rsid w:val="00C02754"/>
    <w:rsid w:val="00C03083"/>
    <w:rsid w:val="00C03C73"/>
    <w:rsid w:val="00C040D9"/>
    <w:rsid w:val="00C04A0A"/>
    <w:rsid w:val="00C05394"/>
    <w:rsid w:val="00C10A0D"/>
    <w:rsid w:val="00C11811"/>
    <w:rsid w:val="00C11A43"/>
    <w:rsid w:val="00C11A96"/>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0DB"/>
    <w:rsid w:val="00C22E13"/>
    <w:rsid w:val="00C22EB5"/>
    <w:rsid w:val="00C243CF"/>
    <w:rsid w:val="00C244FC"/>
    <w:rsid w:val="00C24A39"/>
    <w:rsid w:val="00C257A6"/>
    <w:rsid w:val="00C257E1"/>
    <w:rsid w:val="00C25ABF"/>
    <w:rsid w:val="00C3070D"/>
    <w:rsid w:val="00C308C8"/>
    <w:rsid w:val="00C31D0F"/>
    <w:rsid w:val="00C320E7"/>
    <w:rsid w:val="00C353BF"/>
    <w:rsid w:val="00C35776"/>
    <w:rsid w:val="00C35EE4"/>
    <w:rsid w:val="00C4085B"/>
    <w:rsid w:val="00C409CD"/>
    <w:rsid w:val="00C41220"/>
    <w:rsid w:val="00C41706"/>
    <w:rsid w:val="00C43668"/>
    <w:rsid w:val="00C43CDD"/>
    <w:rsid w:val="00C443B1"/>
    <w:rsid w:val="00C45621"/>
    <w:rsid w:val="00C4624B"/>
    <w:rsid w:val="00C46382"/>
    <w:rsid w:val="00C46701"/>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1DCE"/>
    <w:rsid w:val="00C7227D"/>
    <w:rsid w:val="00C72405"/>
    <w:rsid w:val="00C73D25"/>
    <w:rsid w:val="00C751BF"/>
    <w:rsid w:val="00C755DA"/>
    <w:rsid w:val="00C766DB"/>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2E91"/>
    <w:rsid w:val="00C95789"/>
    <w:rsid w:val="00C95D08"/>
    <w:rsid w:val="00C96091"/>
    <w:rsid w:val="00C969A5"/>
    <w:rsid w:val="00C96B43"/>
    <w:rsid w:val="00C97EE5"/>
    <w:rsid w:val="00CA02EF"/>
    <w:rsid w:val="00CA07ED"/>
    <w:rsid w:val="00CA1595"/>
    <w:rsid w:val="00CA1A7A"/>
    <w:rsid w:val="00CA2809"/>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0A90"/>
    <w:rsid w:val="00CE1025"/>
    <w:rsid w:val="00CE15E6"/>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6EB3"/>
    <w:rsid w:val="00D074AE"/>
    <w:rsid w:val="00D0792B"/>
    <w:rsid w:val="00D10410"/>
    <w:rsid w:val="00D10817"/>
    <w:rsid w:val="00D108DB"/>
    <w:rsid w:val="00D114FE"/>
    <w:rsid w:val="00D11AF0"/>
    <w:rsid w:val="00D13727"/>
    <w:rsid w:val="00D147D7"/>
    <w:rsid w:val="00D15224"/>
    <w:rsid w:val="00D17D22"/>
    <w:rsid w:val="00D20DDF"/>
    <w:rsid w:val="00D21745"/>
    <w:rsid w:val="00D228C5"/>
    <w:rsid w:val="00D228EE"/>
    <w:rsid w:val="00D2438E"/>
    <w:rsid w:val="00D255A3"/>
    <w:rsid w:val="00D25F82"/>
    <w:rsid w:val="00D27368"/>
    <w:rsid w:val="00D3198F"/>
    <w:rsid w:val="00D31CB3"/>
    <w:rsid w:val="00D3355B"/>
    <w:rsid w:val="00D33781"/>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52E5"/>
    <w:rsid w:val="00D4590F"/>
    <w:rsid w:val="00D45FC0"/>
    <w:rsid w:val="00D46617"/>
    <w:rsid w:val="00D4689F"/>
    <w:rsid w:val="00D46996"/>
    <w:rsid w:val="00D46ECB"/>
    <w:rsid w:val="00D47438"/>
    <w:rsid w:val="00D47B16"/>
    <w:rsid w:val="00D47D8C"/>
    <w:rsid w:val="00D50466"/>
    <w:rsid w:val="00D527BD"/>
    <w:rsid w:val="00D5367E"/>
    <w:rsid w:val="00D5428E"/>
    <w:rsid w:val="00D54395"/>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09D"/>
    <w:rsid w:val="00D7311C"/>
    <w:rsid w:val="00D739DC"/>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D24"/>
    <w:rsid w:val="00DB514B"/>
    <w:rsid w:val="00DB553B"/>
    <w:rsid w:val="00DB6C5A"/>
    <w:rsid w:val="00DC00AE"/>
    <w:rsid w:val="00DC01A4"/>
    <w:rsid w:val="00DC0951"/>
    <w:rsid w:val="00DC0DE9"/>
    <w:rsid w:val="00DC14E9"/>
    <w:rsid w:val="00DC20F7"/>
    <w:rsid w:val="00DC2820"/>
    <w:rsid w:val="00DC3224"/>
    <w:rsid w:val="00DC445E"/>
    <w:rsid w:val="00DC4B1B"/>
    <w:rsid w:val="00DC5533"/>
    <w:rsid w:val="00DC59F9"/>
    <w:rsid w:val="00DC5DD9"/>
    <w:rsid w:val="00DC73B8"/>
    <w:rsid w:val="00DC7FAB"/>
    <w:rsid w:val="00DD0BE7"/>
    <w:rsid w:val="00DD1477"/>
    <w:rsid w:val="00DD29E9"/>
    <w:rsid w:val="00DD31F3"/>
    <w:rsid w:val="00DD3938"/>
    <w:rsid w:val="00DD3AE5"/>
    <w:rsid w:val="00DD5506"/>
    <w:rsid w:val="00DD5D7C"/>
    <w:rsid w:val="00DD7E98"/>
    <w:rsid w:val="00DD7F36"/>
    <w:rsid w:val="00DD7F4E"/>
    <w:rsid w:val="00DE0589"/>
    <w:rsid w:val="00DE0A3A"/>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1DBA"/>
    <w:rsid w:val="00DF21D0"/>
    <w:rsid w:val="00DF34C1"/>
    <w:rsid w:val="00DF4141"/>
    <w:rsid w:val="00DF41D1"/>
    <w:rsid w:val="00DF6172"/>
    <w:rsid w:val="00DF77EF"/>
    <w:rsid w:val="00E00145"/>
    <w:rsid w:val="00E00223"/>
    <w:rsid w:val="00E0070E"/>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A59"/>
    <w:rsid w:val="00E12EE0"/>
    <w:rsid w:val="00E12F4E"/>
    <w:rsid w:val="00E12FFB"/>
    <w:rsid w:val="00E13798"/>
    <w:rsid w:val="00E138C6"/>
    <w:rsid w:val="00E14358"/>
    <w:rsid w:val="00E14804"/>
    <w:rsid w:val="00E15AE5"/>
    <w:rsid w:val="00E167E6"/>
    <w:rsid w:val="00E170B7"/>
    <w:rsid w:val="00E1723C"/>
    <w:rsid w:val="00E1774A"/>
    <w:rsid w:val="00E2018D"/>
    <w:rsid w:val="00E205EB"/>
    <w:rsid w:val="00E2089B"/>
    <w:rsid w:val="00E21918"/>
    <w:rsid w:val="00E21F2E"/>
    <w:rsid w:val="00E220A2"/>
    <w:rsid w:val="00E23066"/>
    <w:rsid w:val="00E250CE"/>
    <w:rsid w:val="00E26BCB"/>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E76"/>
    <w:rsid w:val="00E3779D"/>
    <w:rsid w:val="00E40305"/>
    <w:rsid w:val="00E40ADE"/>
    <w:rsid w:val="00E40F44"/>
    <w:rsid w:val="00E41D67"/>
    <w:rsid w:val="00E43F01"/>
    <w:rsid w:val="00E46189"/>
    <w:rsid w:val="00E46878"/>
    <w:rsid w:val="00E46C28"/>
    <w:rsid w:val="00E50BA5"/>
    <w:rsid w:val="00E5284F"/>
    <w:rsid w:val="00E53108"/>
    <w:rsid w:val="00E53841"/>
    <w:rsid w:val="00E539EA"/>
    <w:rsid w:val="00E53BBE"/>
    <w:rsid w:val="00E549F2"/>
    <w:rsid w:val="00E54EB6"/>
    <w:rsid w:val="00E5529E"/>
    <w:rsid w:val="00E56791"/>
    <w:rsid w:val="00E56EA4"/>
    <w:rsid w:val="00E57291"/>
    <w:rsid w:val="00E61369"/>
    <w:rsid w:val="00E6240F"/>
    <w:rsid w:val="00E64F58"/>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1C2"/>
    <w:rsid w:val="00EB52FE"/>
    <w:rsid w:val="00EB568A"/>
    <w:rsid w:val="00EB57A3"/>
    <w:rsid w:val="00EB5C46"/>
    <w:rsid w:val="00EB5E88"/>
    <w:rsid w:val="00EB6CAF"/>
    <w:rsid w:val="00EB7BDE"/>
    <w:rsid w:val="00EB7D7A"/>
    <w:rsid w:val="00EC0238"/>
    <w:rsid w:val="00EC106E"/>
    <w:rsid w:val="00EC351C"/>
    <w:rsid w:val="00EC38E4"/>
    <w:rsid w:val="00EC411D"/>
    <w:rsid w:val="00EC42A5"/>
    <w:rsid w:val="00EC4B5F"/>
    <w:rsid w:val="00EC6320"/>
    <w:rsid w:val="00EC6340"/>
    <w:rsid w:val="00EC6FC1"/>
    <w:rsid w:val="00ED00B0"/>
    <w:rsid w:val="00ED01F1"/>
    <w:rsid w:val="00ED0E81"/>
    <w:rsid w:val="00ED1385"/>
    <w:rsid w:val="00ED15C2"/>
    <w:rsid w:val="00ED347F"/>
    <w:rsid w:val="00ED37A2"/>
    <w:rsid w:val="00ED4067"/>
    <w:rsid w:val="00ED4BB5"/>
    <w:rsid w:val="00ED5E40"/>
    <w:rsid w:val="00ED6E15"/>
    <w:rsid w:val="00EE04E7"/>
    <w:rsid w:val="00EE083D"/>
    <w:rsid w:val="00EE0DB2"/>
    <w:rsid w:val="00EE0E9A"/>
    <w:rsid w:val="00EE12A7"/>
    <w:rsid w:val="00EE1E19"/>
    <w:rsid w:val="00EE2409"/>
    <w:rsid w:val="00EE3042"/>
    <w:rsid w:val="00EE30FD"/>
    <w:rsid w:val="00EE3C5A"/>
    <w:rsid w:val="00EE4547"/>
    <w:rsid w:val="00EE45A6"/>
    <w:rsid w:val="00EE4D72"/>
    <w:rsid w:val="00EE5292"/>
    <w:rsid w:val="00EE5EAD"/>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B6C"/>
    <w:rsid w:val="00F20BD8"/>
    <w:rsid w:val="00F20EBB"/>
    <w:rsid w:val="00F2229D"/>
    <w:rsid w:val="00F22B38"/>
    <w:rsid w:val="00F22C95"/>
    <w:rsid w:val="00F23538"/>
    <w:rsid w:val="00F2356D"/>
    <w:rsid w:val="00F24631"/>
    <w:rsid w:val="00F2504F"/>
    <w:rsid w:val="00F2553B"/>
    <w:rsid w:val="00F25B9A"/>
    <w:rsid w:val="00F268B5"/>
    <w:rsid w:val="00F30688"/>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0F1B"/>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914"/>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18F"/>
    <w:rsid w:val="00FC2CE7"/>
    <w:rsid w:val="00FC2E4B"/>
    <w:rsid w:val="00FC35E0"/>
    <w:rsid w:val="00FC4D11"/>
    <w:rsid w:val="00FC5175"/>
    <w:rsid w:val="00FC6B5B"/>
    <w:rsid w:val="00FC6C0B"/>
    <w:rsid w:val="00FC778C"/>
    <w:rsid w:val="00FC7EC0"/>
    <w:rsid w:val="00FD0A22"/>
    <w:rsid w:val="00FD0CA5"/>
    <w:rsid w:val="00FD10C3"/>
    <w:rsid w:val="00FD15E8"/>
    <w:rsid w:val="00FD32D1"/>
    <w:rsid w:val="00FD3AAE"/>
    <w:rsid w:val="00FD3D4B"/>
    <w:rsid w:val="00FD3E67"/>
    <w:rsid w:val="00FD3F95"/>
    <w:rsid w:val="00FD4271"/>
    <w:rsid w:val="00FE0AD4"/>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dcedc"/>
    </o:shapedefaults>
    <o:shapelayout v:ext="edit">
      <o:idmap v:ext="edit" data="1"/>
    </o:shapelayout>
  </w:shapeDefaults>
  <w:decimalSymbol w:val="."/>
  <w:listSeparator w:val=","/>
  <w14:docId w14:val="2A97E6EC"/>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5C0F41"/>
    <w:pPr>
      <w:bidi/>
    </w:pPr>
  </w:style>
  <w:style w:type="paragraph" w:styleId="1">
    <w:name w:val="heading 1"/>
    <w:basedOn w:val="a1"/>
    <w:next w:val="a1"/>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2">
    <w:name w:val="heading 2"/>
    <w:basedOn w:val="a1"/>
    <w:next w:val="a1"/>
    <w:link w:val="21"/>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3">
    <w:name w:val="heading 3"/>
    <w:basedOn w:val="a1"/>
    <w:next w:val="a1"/>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4">
    <w:name w:val="heading 4"/>
    <w:basedOn w:val="a1"/>
    <w:next w:val="a1"/>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5">
    <w:name w:val="heading 5"/>
    <w:basedOn w:val="a1"/>
    <w:next w:val="a1"/>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6">
    <w:name w:val="heading 6"/>
    <w:basedOn w:val="a1"/>
    <w:next w:val="a1"/>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7">
    <w:name w:val="heading 7"/>
    <w:basedOn w:val="a1"/>
    <w:next w:val="a1"/>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8">
    <w:name w:val="heading 8"/>
    <w:basedOn w:val="a1"/>
    <w:next w:val="a1"/>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9">
    <w:name w:val="heading 9"/>
    <w:basedOn w:val="a1"/>
    <w:next w:val="a1"/>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7B7880"/>
    <w:rPr>
      <w:rFonts w:ascii="Arial" w:eastAsiaTheme="majorEastAsia" w:hAnsi="Arial" w:cs="Arial"/>
      <w:b/>
      <w:bCs/>
      <w:color w:val="0B5294" w:themeColor="accent1" w:themeShade="BF"/>
      <w:sz w:val="36"/>
      <w:szCs w:val="36"/>
    </w:rPr>
  </w:style>
  <w:style w:type="character" w:customStyle="1" w:styleId="21">
    <w:name w:val="כותרת 2 תו1"/>
    <w:basedOn w:val="a2"/>
    <w:link w:val="2"/>
    <w:uiPriority w:val="1"/>
    <w:rsid w:val="00AC4547"/>
    <w:rPr>
      <w:rFonts w:ascii="Arial Bold" w:eastAsiaTheme="majorEastAsia" w:hAnsi="Arial Bold" w:cs="Arial"/>
      <w:b/>
      <w:bCs/>
      <w:color w:val="387026" w:themeColor="accent5" w:themeShade="80"/>
      <w:sz w:val="29"/>
      <w:szCs w:val="30"/>
    </w:rPr>
  </w:style>
  <w:style w:type="character" w:customStyle="1" w:styleId="31">
    <w:name w:val="כותרת 3 תו1"/>
    <w:basedOn w:val="a2"/>
    <w:link w:val="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a2"/>
    <w:link w:val="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a2"/>
    <w:link w:val="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a2"/>
    <w:link w:val="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a2"/>
    <w:link w:val="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a2"/>
    <w:link w:val="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a2"/>
    <w:link w:val="9"/>
    <w:rsid w:val="005C0F41"/>
    <w:rPr>
      <w:rFonts w:asciiTheme="majorHAnsi" w:eastAsiaTheme="majorEastAsia" w:hAnsiTheme="majorHAnsi" w:cstheme="majorBidi"/>
      <w:i/>
      <w:iCs/>
      <w:color w:val="004E6C" w:themeColor="accent2" w:themeShade="80"/>
      <w:sz w:val="22"/>
      <w:szCs w:val="22"/>
    </w:rPr>
  </w:style>
  <w:style w:type="paragraph" w:styleId="a5">
    <w:name w:val="table of figures"/>
    <w:basedOn w:val="a1"/>
    <w:next w:val="a1"/>
    <w:uiPriority w:val="99"/>
    <w:unhideWhenUsed/>
    <w:rsid w:val="0027002F"/>
    <w:rPr>
      <w:lang w:eastAsia="ja-JP"/>
    </w:rPr>
  </w:style>
  <w:style w:type="paragraph" w:styleId="a">
    <w:name w:val="List Paragraph"/>
    <w:aliases w:val="lp1,style 2,נספח 2 מתוקן"/>
    <w:basedOn w:val="a1"/>
    <w:link w:val="a6"/>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6">
    <w:name w:val="פיסקת רשימה תו"/>
    <w:aliases w:val="lp1 תו,style 2 תו,נספח 2 מתוקן תו"/>
    <w:link w:val="a"/>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a7">
    <w:name w:val="header"/>
    <w:basedOn w:val="a1"/>
    <w:link w:val="10"/>
    <w:unhideWhenUsed/>
    <w:rsid w:val="00CB3322"/>
    <w:pPr>
      <w:tabs>
        <w:tab w:val="center" w:pos="4320"/>
        <w:tab w:val="right" w:pos="8640"/>
      </w:tabs>
      <w:spacing w:after="0" w:line="240" w:lineRule="auto"/>
    </w:pPr>
  </w:style>
  <w:style w:type="character" w:customStyle="1" w:styleId="10">
    <w:name w:val="כותרת עליונה תו1"/>
    <w:basedOn w:val="a2"/>
    <w:link w:val="a7"/>
    <w:rsid w:val="00CB3322"/>
    <w:rPr>
      <w:rFonts w:cs="David"/>
      <w:sz w:val="24"/>
      <w:szCs w:val="24"/>
    </w:rPr>
  </w:style>
  <w:style w:type="paragraph" w:styleId="a8">
    <w:name w:val="footer"/>
    <w:basedOn w:val="a1"/>
    <w:link w:val="12"/>
    <w:uiPriority w:val="99"/>
    <w:unhideWhenUsed/>
    <w:rsid w:val="00CB3322"/>
    <w:pPr>
      <w:tabs>
        <w:tab w:val="center" w:pos="4320"/>
        <w:tab w:val="right" w:pos="8640"/>
      </w:tabs>
      <w:spacing w:after="0" w:line="240" w:lineRule="auto"/>
    </w:pPr>
  </w:style>
  <w:style w:type="character" w:customStyle="1" w:styleId="12">
    <w:name w:val="כותרת תחתונה תו1"/>
    <w:basedOn w:val="a2"/>
    <w:link w:val="a8"/>
    <w:uiPriority w:val="99"/>
    <w:rsid w:val="00CB3322"/>
    <w:rPr>
      <w:rFonts w:cs="David"/>
      <w:sz w:val="24"/>
      <w:szCs w:val="24"/>
    </w:rPr>
  </w:style>
  <w:style w:type="character" w:styleId="a9">
    <w:name w:val="annotation reference"/>
    <w:basedOn w:val="a2"/>
    <w:uiPriority w:val="99"/>
    <w:semiHidden/>
    <w:unhideWhenUsed/>
    <w:rsid w:val="00702D9F"/>
    <w:rPr>
      <w:sz w:val="16"/>
      <w:szCs w:val="16"/>
    </w:rPr>
  </w:style>
  <w:style w:type="paragraph" w:styleId="aa">
    <w:name w:val="annotation text"/>
    <w:basedOn w:val="a1"/>
    <w:link w:val="ab"/>
    <w:uiPriority w:val="99"/>
    <w:unhideWhenUsed/>
    <w:rsid w:val="00702D9F"/>
    <w:pPr>
      <w:spacing w:line="240" w:lineRule="auto"/>
    </w:pPr>
    <w:rPr>
      <w:sz w:val="20"/>
      <w:szCs w:val="20"/>
    </w:rPr>
  </w:style>
  <w:style w:type="character" w:customStyle="1" w:styleId="ab">
    <w:name w:val="טקסט הערה תו"/>
    <w:basedOn w:val="a2"/>
    <w:link w:val="aa"/>
    <w:uiPriority w:val="99"/>
    <w:rsid w:val="00702D9F"/>
    <w:rPr>
      <w:rFonts w:cs="David"/>
    </w:rPr>
  </w:style>
  <w:style w:type="paragraph" w:styleId="ac">
    <w:name w:val="annotation subject"/>
    <w:basedOn w:val="aa"/>
    <w:next w:val="aa"/>
    <w:link w:val="ad"/>
    <w:uiPriority w:val="99"/>
    <w:semiHidden/>
    <w:unhideWhenUsed/>
    <w:rsid w:val="00702D9F"/>
    <w:rPr>
      <w:b/>
      <w:bCs/>
    </w:rPr>
  </w:style>
  <w:style w:type="character" w:customStyle="1" w:styleId="ad">
    <w:name w:val="נושא הערה תו"/>
    <w:basedOn w:val="ab"/>
    <w:link w:val="ac"/>
    <w:uiPriority w:val="99"/>
    <w:semiHidden/>
    <w:rsid w:val="00702D9F"/>
    <w:rPr>
      <w:rFonts w:cs="David"/>
      <w:b/>
      <w:bCs/>
    </w:rPr>
  </w:style>
  <w:style w:type="paragraph" w:styleId="ae">
    <w:name w:val="Balloon Text"/>
    <w:basedOn w:val="a1"/>
    <w:link w:val="af"/>
    <w:uiPriority w:val="99"/>
    <w:semiHidden/>
    <w:unhideWhenUsed/>
    <w:rsid w:val="00702D9F"/>
    <w:pPr>
      <w:spacing w:after="0" w:line="240" w:lineRule="auto"/>
    </w:pPr>
    <w:rPr>
      <w:rFonts w:ascii="Segoe UI" w:hAnsi="Segoe UI" w:cs="Segoe UI"/>
      <w:sz w:val="18"/>
      <w:szCs w:val="18"/>
    </w:rPr>
  </w:style>
  <w:style w:type="character" w:customStyle="1" w:styleId="af">
    <w:name w:val="טקסט בלונים תו"/>
    <w:basedOn w:val="a2"/>
    <w:link w:val="ae"/>
    <w:uiPriority w:val="99"/>
    <w:semiHidden/>
    <w:rsid w:val="00702D9F"/>
    <w:rPr>
      <w:rFonts w:ascii="Segoe UI" w:hAnsi="Segoe UI" w:cs="Segoe UI"/>
      <w:sz w:val="18"/>
      <w:szCs w:val="18"/>
    </w:rPr>
  </w:style>
  <w:style w:type="paragraph" w:styleId="af0">
    <w:name w:val="Revision"/>
    <w:hidden/>
    <w:uiPriority w:val="99"/>
    <w:semiHidden/>
    <w:rsid w:val="00702D9F"/>
    <w:rPr>
      <w:rFonts w:cs="David"/>
      <w:sz w:val="24"/>
      <w:szCs w:val="24"/>
    </w:rPr>
  </w:style>
  <w:style w:type="table" w:styleId="af1">
    <w:name w:val="Table Grid"/>
    <w:aliases w:val="ללא"/>
    <w:basedOn w:val="a3"/>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13"/>
    <w:unhideWhenUsed/>
    <w:rsid w:val="00D36781"/>
    <w:pPr>
      <w:keepLines/>
      <w:spacing w:after="40" w:line="200" w:lineRule="exact"/>
      <w:ind w:left="397" w:right="2268" w:hanging="397"/>
      <w:jc w:val="both"/>
    </w:pPr>
    <w:rPr>
      <w:rFonts w:ascii="Tahoma" w:hAnsi="Tahoma" w:cs="Tahoma"/>
      <w:sz w:val="14"/>
      <w:szCs w:val="14"/>
    </w:rPr>
  </w:style>
  <w:style w:type="character" w:customStyle="1" w:styleId="13">
    <w:name w:val="טקסט הערת שוליים תו1"/>
    <w:aliases w:val=" Char תו,FOOTNOTES תו,Footnote Text - Sharp תו,Footnote Text - Sharp Char תו,Footnote Text - Sharp Char Char תו,Footnote Text Char Char Char Char Char תו,Footnote reference תו,Sharp - Footnote Text תו,Sharp - Footnote Text1 Char תו"/>
    <w:basedOn w:val="a2"/>
    <w:link w:val="af2"/>
    <w:uiPriority w:val="99"/>
    <w:rsid w:val="00D36781"/>
    <w:rPr>
      <w:rFonts w:ascii="Tahoma" w:hAnsi="Tahoma" w:cs="Tahoma"/>
      <w:sz w:val="14"/>
      <w:szCs w:val="14"/>
    </w:rPr>
  </w:style>
  <w:style w:type="character" w:styleId="af3">
    <w:name w:val="footnote reference"/>
    <w:aliases w:val="מ,Footnote Reference_0,Footnote Reference_0_0,Footnote Reference_0_0_0,Footnote Reference_0_0_0_0,Footnote Reference_1,Footnote Reference_1_0,Footnote Reference_2,Footnote Reference_3,Footnote Reference_4,Footnote Reference_4_0"/>
    <w:basedOn w:val="a2"/>
    <w:uiPriority w:val="99"/>
    <w:unhideWhenUsed/>
    <w:rsid w:val="00AC4E14"/>
    <w:rPr>
      <w:vertAlign w:val="superscript"/>
    </w:rPr>
  </w:style>
  <w:style w:type="paragraph" w:styleId="NormalWeb">
    <w:name w:val="Normal (Web)"/>
    <w:basedOn w:val="a1"/>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a3"/>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a2"/>
    <w:rsid w:val="00E46878"/>
  </w:style>
  <w:style w:type="character" w:styleId="af4">
    <w:name w:val="Strong"/>
    <w:basedOn w:val="a2"/>
    <w:uiPriority w:val="22"/>
    <w:qFormat/>
    <w:rsid w:val="005C0F41"/>
    <w:rPr>
      <w:b/>
      <w:bCs/>
    </w:rPr>
  </w:style>
  <w:style w:type="character" w:styleId="Hyperlink">
    <w:name w:val="Hyperlink"/>
    <w:basedOn w:val="a2"/>
    <w:uiPriority w:val="99"/>
    <w:unhideWhenUsed/>
    <w:rsid w:val="00E46878"/>
    <w:rPr>
      <w:color w:val="0000FF"/>
      <w:u w:val="single"/>
    </w:rPr>
  </w:style>
  <w:style w:type="paragraph" w:styleId="af5">
    <w:name w:val="TOC Heading"/>
    <w:basedOn w:val="1"/>
    <w:next w:val="a1"/>
    <w:uiPriority w:val="39"/>
    <w:unhideWhenUsed/>
    <w:qFormat/>
    <w:rsid w:val="005C0F41"/>
    <w:pPr>
      <w:outlineLvl w:val="9"/>
    </w:pPr>
  </w:style>
  <w:style w:type="paragraph" w:styleId="TOC1">
    <w:name w:val="toc 1"/>
    <w:basedOn w:val="a1"/>
    <w:next w:val="a1"/>
    <w:autoRedefine/>
    <w:uiPriority w:val="39"/>
    <w:unhideWhenUsed/>
    <w:rsid w:val="006B5429"/>
    <w:pPr>
      <w:spacing w:after="100"/>
    </w:pPr>
  </w:style>
  <w:style w:type="paragraph" w:styleId="TOC2">
    <w:name w:val="toc 2"/>
    <w:basedOn w:val="a1"/>
    <w:next w:val="a1"/>
    <w:autoRedefine/>
    <w:uiPriority w:val="39"/>
    <w:unhideWhenUsed/>
    <w:rsid w:val="002A51A3"/>
    <w:pPr>
      <w:tabs>
        <w:tab w:val="right" w:leader="dot" w:pos="8296"/>
      </w:tabs>
      <w:spacing w:after="100"/>
      <w:ind w:left="240"/>
    </w:pPr>
    <w:rPr>
      <w:noProof/>
    </w:rPr>
  </w:style>
  <w:style w:type="character" w:styleId="FollowedHyperlink">
    <w:name w:val="FollowedHyperlink"/>
    <w:basedOn w:val="a2"/>
    <w:uiPriority w:val="99"/>
    <w:semiHidden/>
    <w:unhideWhenUsed/>
    <w:rsid w:val="000473A2"/>
    <w:rPr>
      <w:color w:val="85DFD0" w:themeColor="followedHyperlink"/>
      <w:u w:val="single"/>
    </w:rPr>
  </w:style>
  <w:style w:type="paragraph" w:styleId="af6">
    <w:name w:val="No Spacing"/>
    <w:uiPriority w:val="1"/>
    <w:qFormat/>
    <w:rsid w:val="005C0F41"/>
    <w:pPr>
      <w:bidi/>
      <w:spacing w:after="0" w:line="240" w:lineRule="auto"/>
    </w:pPr>
  </w:style>
  <w:style w:type="paragraph" w:styleId="af7">
    <w:name w:val="caption"/>
    <w:basedOn w:val="a1"/>
    <w:next w:val="a1"/>
    <w:unhideWhenUsed/>
    <w:qFormat/>
    <w:rsid w:val="005C0F41"/>
    <w:pPr>
      <w:bidi w:val="0"/>
      <w:spacing w:line="240" w:lineRule="auto"/>
    </w:pPr>
    <w:rPr>
      <w:b/>
      <w:bCs/>
      <w:color w:val="404040" w:themeColor="text1" w:themeTint="BF"/>
      <w:sz w:val="16"/>
      <w:szCs w:val="16"/>
    </w:rPr>
  </w:style>
  <w:style w:type="paragraph" w:styleId="af8">
    <w:name w:val="Title"/>
    <w:basedOn w:val="a1"/>
    <w:next w:val="a1"/>
    <w:link w:val="14"/>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4">
    <w:name w:val="כותרת טקסט תו1"/>
    <w:basedOn w:val="a2"/>
    <w:link w:val="af8"/>
    <w:uiPriority w:val="10"/>
    <w:rsid w:val="005C0F41"/>
    <w:rPr>
      <w:rFonts w:asciiTheme="majorHAnsi" w:eastAsiaTheme="majorEastAsia" w:hAnsiTheme="majorHAnsi" w:cstheme="majorBidi"/>
      <w:color w:val="262626" w:themeColor="text1" w:themeTint="D9"/>
      <w:sz w:val="96"/>
      <w:szCs w:val="96"/>
    </w:rPr>
  </w:style>
  <w:style w:type="paragraph" w:styleId="af9">
    <w:name w:val="Subtitle"/>
    <w:basedOn w:val="a1"/>
    <w:next w:val="a1"/>
    <w:link w:val="afa"/>
    <w:uiPriority w:val="11"/>
    <w:qFormat/>
    <w:rsid w:val="005C0F41"/>
    <w:pPr>
      <w:numPr>
        <w:ilvl w:val="1"/>
      </w:numPr>
      <w:bidi w:val="0"/>
      <w:spacing w:after="240"/>
    </w:pPr>
    <w:rPr>
      <w:caps/>
      <w:color w:val="404040" w:themeColor="text1" w:themeTint="BF"/>
      <w:spacing w:val="20"/>
      <w:sz w:val="28"/>
      <w:szCs w:val="28"/>
    </w:rPr>
  </w:style>
  <w:style w:type="character" w:customStyle="1" w:styleId="afa">
    <w:name w:val="כותרת משנה תו"/>
    <w:basedOn w:val="a2"/>
    <w:link w:val="af9"/>
    <w:uiPriority w:val="11"/>
    <w:rsid w:val="005C0F41"/>
    <w:rPr>
      <w:caps/>
      <w:color w:val="404040" w:themeColor="text1" w:themeTint="BF"/>
      <w:spacing w:val="20"/>
      <w:sz w:val="28"/>
      <w:szCs w:val="28"/>
    </w:rPr>
  </w:style>
  <w:style w:type="character" w:styleId="afb">
    <w:name w:val="Emphasis"/>
    <w:basedOn w:val="a2"/>
    <w:uiPriority w:val="20"/>
    <w:qFormat/>
    <w:rsid w:val="005C0F41"/>
    <w:rPr>
      <w:i/>
      <w:iCs/>
      <w:color w:val="000000" w:themeColor="text1"/>
    </w:rPr>
  </w:style>
  <w:style w:type="paragraph" w:styleId="afc">
    <w:name w:val="Quote"/>
    <w:basedOn w:val="a1"/>
    <w:next w:val="a1"/>
    <w:link w:val="afd"/>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fd">
    <w:name w:val="ציטוט תו"/>
    <w:basedOn w:val="a2"/>
    <w:link w:val="afc"/>
    <w:uiPriority w:val="29"/>
    <w:rsid w:val="005C0F41"/>
    <w:rPr>
      <w:rFonts w:asciiTheme="majorHAnsi" w:eastAsiaTheme="majorEastAsia" w:hAnsiTheme="majorHAnsi" w:cstheme="majorBidi"/>
      <w:color w:val="000000" w:themeColor="text1"/>
      <w:sz w:val="24"/>
      <w:szCs w:val="24"/>
    </w:rPr>
  </w:style>
  <w:style w:type="paragraph" w:styleId="afe">
    <w:name w:val="Intense Quote"/>
    <w:basedOn w:val="a1"/>
    <w:next w:val="a1"/>
    <w:link w:val="aff"/>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ff">
    <w:name w:val="ציטוט חזק תו"/>
    <w:basedOn w:val="a2"/>
    <w:link w:val="afe"/>
    <w:uiPriority w:val="30"/>
    <w:rsid w:val="005C0F41"/>
    <w:rPr>
      <w:rFonts w:asciiTheme="majorHAnsi" w:eastAsiaTheme="majorEastAsia" w:hAnsiTheme="majorHAnsi" w:cstheme="majorBidi"/>
      <w:sz w:val="24"/>
      <w:szCs w:val="24"/>
    </w:rPr>
  </w:style>
  <w:style w:type="character" w:styleId="aff0">
    <w:name w:val="Subtle Emphasis"/>
    <w:basedOn w:val="a2"/>
    <w:uiPriority w:val="19"/>
    <w:qFormat/>
    <w:rsid w:val="005C0F41"/>
    <w:rPr>
      <w:i/>
      <w:iCs/>
      <w:color w:val="595959" w:themeColor="text1" w:themeTint="A6"/>
    </w:rPr>
  </w:style>
  <w:style w:type="character" w:styleId="aff1">
    <w:name w:val="Intense Emphasis"/>
    <w:basedOn w:val="a2"/>
    <w:uiPriority w:val="21"/>
    <w:qFormat/>
    <w:rsid w:val="005C0F41"/>
    <w:rPr>
      <w:b/>
      <w:bCs/>
      <w:i/>
      <w:iCs/>
      <w:caps w:val="0"/>
      <w:smallCaps w:val="0"/>
      <w:strike w:val="0"/>
      <w:dstrike w:val="0"/>
      <w:color w:val="009DD9" w:themeColor="accent2"/>
    </w:rPr>
  </w:style>
  <w:style w:type="character" w:styleId="aff2">
    <w:name w:val="Subtle Reference"/>
    <w:basedOn w:val="a2"/>
    <w:uiPriority w:val="31"/>
    <w:qFormat/>
    <w:rsid w:val="005C0F41"/>
    <w:rPr>
      <w:caps w:val="0"/>
      <w:smallCaps/>
      <w:color w:val="404040" w:themeColor="text1" w:themeTint="BF"/>
      <w:spacing w:val="0"/>
      <w:u w:val="single" w:color="7F7F7F" w:themeColor="text1" w:themeTint="80"/>
    </w:rPr>
  </w:style>
  <w:style w:type="character" w:styleId="aff3">
    <w:name w:val="Intense Reference"/>
    <w:basedOn w:val="a2"/>
    <w:uiPriority w:val="32"/>
    <w:qFormat/>
    <w:rsid w:val="005C0F41"/>
    <w:rPr>
      <w:b/>
      <w:bCs/>
      <w:caps w:val="0"/>
      <w:smallCaps/>
      <w:color w:val="auto"/>
      <w:spacing w:val="0"/>
      <w:u w:val="single"/>
    </w:rPr>
  </w:style>
  <w:style w:type="character" w:styleId="aff4">
    <w:name w:val="Book Title"/>
    <w:basedOn w:val="a2"/>
    <w:uiPriority w:val="33"/>
    <w:qFormat/>
    <w:rsid w:val="005C0F41"/>
    <w:rPr>
      <w:b/>
      <w:bCs/>
      <w:caps w:val="0"/>
      <w:smallCaps/>
      <w:spacing w:val="0"/>
    </w:rPr>
  </w:style>
  <w:style w:type="paragraph" w:customStyle="1" w:styleId="tableheading">
    <w:name w:val="table heading"/>
    <w:basedOn w:val="a1"/>
    <w:next w:val="a1"/>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a1"/>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a1"/>
    <w:next w:val="a1"/>
    <w:autoRedefine/>
    <w:uiPriority w:val="39"/>
    <w:unhideWhenUsed/>
    <w:rsid w:val="004A36ED"/>
    <w:pPr>
      <w:spacing w:after="100" w:line="259" w:lineRule="auto"/>
      <w:ind w:left="440"/>
    </w:pPr>
    <w:rPr>
      <w:sz w:val="22"/>
      <w:szCs w:val="22"/>
    </w:rPr>
  </w:style>
  <w:style w:type="paragraph" w:styleId="TOC4">
    <w:name w:val="toc 4"/>
    <w:basedOn w:val="a1"/>
    <w:next w:val="a1"/>
    <w:autoRedefine/>
    <w:uiPriority w:val="39"/>
    <w:unhideWhenUsed/>
    <w:rsid w:val="004A36ED"/>
    <w:pPr>
      <w:spacing w:after="100" w:line="259" w:lineRule="auto"/>
      <w:ind w:left="660"/>
    </w:pPr>
    <w:rPr>
      <w:sz w:val="22"/>
      <w:szCs w:val="22"/>
    </w:rPr>
  </w:style>
  <w:style w:type="paragraph" w:styleId="TOC5">
    <w:name w:val="toc 5"/>
    <w:basedOn w:val="a1"/>
    <w:next w:val="a1"/>
    <w:autoRedefine/>
    <w:uiPriority w:val="39"/>
    <w:unhideWhenUsed/>
    <w:rsid w:val="004A36ED"/>
    <w:pPr>
      <w:spacing w:after="100" w:line="259" w:lineRule="auto"/>
      <w:ind w:left="880"/>
    </w:pPr>
    <w:rPr>
      <w:sz w:val="22"/>
      <w:szCs w:val="22"/>
    </w:rPr>
  </w:style>
  <w:style w:type="paragraph" w:styleId="TOC6">
    <w:name w:val="toc 6"/>
    <w:basedOn w:val="a1"/>
    <w:next w:val="a1"/>
    <w:autoRedefine/>
    <w:uiPriority w:val="39"/>
    <w:unhideWhenUsed/>
    <w:rsid w:val="004A36ED"/>
    <w:pPr>
      <w:spacing w:after="100" w:line="259" w:lineRule="auto"/>
      <w:ind w:left="1100"/>
    </w:pPr>
    <w:rPr>
      <w:sz w:val="22"/>
      <w:szCs w:val="22"/>
    </w:rPr>
  </w:style>
  <w:style w:type="paragraph" w:styleId="TOC7">
    <w:name w:val="toc 7"/>
    <w:basedOn w:val="a1"/>
    <w:next w:val="a1"/>
    <w:autoRedefine/>
    <w:uiPriority w:val="39"/>
    <w:unhideWhenUsed/>
    <w:rsid w:val="004A36ED"/>
    <w:pPr>
      <w:spacing w:after="100" w:line="259" w:lineRule="auto"/>
      <w:ind w:left="1320"/>
    </w:pPr>
    <w:rPr>
      <w:sz w:val="22"/>
      <w:szCs w:val="22"/>
    </w:rPr>
  </w:style>
  <w:style w:type="paragraph" w:styleId="TOC8">
    <w:name w:val="toc 8"/>
    <w:basedOn w:val="a1"/>
    <w:next w:val="a1"/>
    <w:autoRedefine/>
    <w:uiPriority w:val="39"/>
    <w:unhideWhenUsed/>
    <w:rsid w:val="004A36ED"/>
    <w:pPr>
      <w:spacing w:after="100" w:line="259" w:lineRule="auto"/>
      <w:ind w:left="1540"/>
    </w:pPr>
    <w:rPr>
      <w:sz w:val="22"/>
      <w:szCs w:val="22"/>
    </w:rPr>
  </w:style>
  <w:style w:type="paragraph" w:styleId="TOC9">
    <w:name w:val="toc 9"/>
    <w:basedOn w:val="a1"/>
    <w:next w:val="a1"/>
    <w:autoRedefine/>
    <w:uiPriority w:val="39"/>
    <w:unhideWhenUsed/>
    <w:rsid w:val="004A36ED"/>
    <w:pPr>
      <w:spacing w:after="100" w:line="259" w:lineRule="auto"/>
      <w:ind w:left="1760"/>
    </w:pPr>
    <w:rPr>
      <w:sz w:val="22"/>
      <w:szCs w:val="22"/>
    </w:rPr>
  </w:style>
  <w:style w:type="paragraph" w:styleId="aff5">
    <w:name w:val="Body Text"/>
    <w:basedOn w:val="a1"/>
    <w:link w:val="aff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ff6">
    <w:name w:val="גוף טקסט תו"/>
    <w:basedOn w:val="a2"/>
    <w:link w:val="aff5"/>
    <w:uiPriority w:val="99"/>
    <w:rsid w:val="00AC58FF"/>
    <w:rPr>
      <w:rFonts w:ascii="Tahoma" w:hAnsi="Tahoma" w:cs="Tahoma"/>
      <w:color w:val="0B5294" w:themeColor="accent1" w:themeShade="BF"/>
      <w:sz w:val="22"/>
      <w:szCs w:val="22"/>
    </w:rPr>
  </w:style>
  <w:style w:type="paragraph" w:styleId="20">
    <w:name w:val="Body Text 2"/>
    <w:basedOn w:val="a1"/>
    <w:link w:val="22"/>
    <w:unhideWhenUsed/>
    <w:rsid w:val="00DB1D55"/>
    <w:pPr>
      <w:tabs>
        <w:tab w:val="left" w:pos="340"/>
      </w:tabs>
      <w:spacing w:line="360" w:lineRule="exact"/>
      <w:jc w:val="both"/>
    </w:pPr>
    <w:rPr>
      <w:rFonts w:ascii="Tahoma" w:hAnsi="Tahoma" w:cs="Tahoma"/>
      <w:sz w:val="22"/>
      <w:szCs w:val="22"/>
    </w:rPr>
  </w:style>
  <w:style w:type="character" w:customStyle="1" w:styleId="22">
    <w:name w:val="גוף טקסט 2 תו"/>
    <w:basedOn w:val="a2"/>
    <w:link w:val="20"/>
    <w:uiPriority w:val="99"/>
    <w:rsid w:val="00DB1D55"/>
    <w:rPr>
      <w:rFonts w:ascii="Tahoma" w:hAnsi="Tahoma" w:cs="Tahoma"/>
      <w:sz w:val="22"/>
      <w:szCs w:val="22"/>
    </w:rPr>
  </w:style>
  <w:style w:type="character" w:customStyle="1" w:styleId="15">
    <w:name w:val="כותרת 1 תו"/>
    <w:locked/>
    <w:rsid w:val="00F1368B"/>
    <w:rPr>
      <w:rFonts w:ascii="Cambria" w:hAnsi="Cambria" w:cs="Times New Roman"/>
      <w:b/>
      <w:bCs/>
      <w:kern w:val="32"/>
      <w:sz w:val="32"/>
      <w:szCs w:val="32"/>
    </w:rPr>
  </w:style>
  <w:style w:type="character" w:customStyle="1" w:styleId="23">
    <w:name w:val="כותרת 2 תו"/>
    <w:locked/>
    <w:rsid w:val="00F1368B"/>
    <w:rPr>
      <w:rFonts w:ascii="Cambria" w:hAnsi="Cambria" w:cs="Times New Roman"/>
      <w:b/>
      <w:bCs/>
      <w:i/>
      <w:iCs/>
      <w:sz w:val="28"/>
      <w:szCs w:val="28"/>
    </w:rPr>
  </w:style>
  <w:style w:type="character" w:customStyle="1" w:styleId="30">
    <w:name w:val="כותרת 3 תו"/>
    <w:locked/>
    <w:rsid w:val="00F1368B"/>
    <w:rPr>
      <w:rFonts w:ascii="Cambria" w:hAnsi="Cambria" w:cs="Times New Roman"/>
      <w:b/>
      <w:bCs/>
      <w:sz w:val="26"/>
      <w:szCs w:val="26"/>
    </w:rPr>
  </w:style>
  <w:style w:type="character" w:customStyle="1" w:styleId="40">
    <w:name w:val="כותרת 4 תו"/>
    <w:locked/>
    <w:rsid w:val="00F1368B"/>
    <w:rPr>
      <w:rFonts w:ascii="Calibri" w:hAnsi="Calibri" w:cs="Arial"/>
      <w:b/>
      <w:bCs/>
      <w:sz w:val="28"/>
      <w:szCs w:val="28"/>
    </w:rPr>
  </w:style>
  <w:style w:type="character" w:customStyle="1" w:styleId="50">
    <w:name w:val="כותרת 5 תו"/>
    <w:locked/>
    <w:rsid w:val="00F1368B"/>
    <w:rPr>
      <w:rFonts w:ascii="Calibri" w:hAnsi="Calibri" w:cs="Arial"/>
      <w:b/>
      <w:bCs/>
      <w:i/>
      <w:iCs/>
      <w:sz w:val="26"/>
      <w:szCs w:val="26"/>
    </w:rPr>
  </w:style>
  <w:style w:type="character" w:customStyle="1" w:styleId="60">
    <w:name w:val="כותרת 6 תו"/>
    <w:locked/>
    <w:rsid w:val="00F1368B"/>
    <w:rPr>
      <w:rFonts w:ascii="Calibri" w:hAnsi="Calibri" w:cs="Arial"/>
      <w:b/>
      <w:bCs/>
    </w:rPr>
  </w:style>
  <w:style w:type="character" w:customStyle="1" w:styleId="70">
    <w:name w:val="כותרת 7 תו"/>
    <w:locked/>
    <w:rsid w:val="00F1368B"/>
    <w:rPr>
      <w:rFonts w:ascii="Calibri" w:hAnsi="Calibri" w:cs="Arial"/>
      <w:sz w:val="24"/>
      <w:szCs w:val="24"/>
    </w:rPr>
  </w:style>
  <w:style w:type="character" w:customStyle="1" w:styleId="80">
    <w:name w:val="כותרת 8 תו"/>
    <w:locked/>
    <w:rsid w:val="00F1368B"/>
    <w:rPr>
      <w:rFonts w:ascii="Calibri" w:hAnsi="Calibri" w:cs="Arial"/>
      <w:i/>
      <w:iCs/>
      <w:sz w:val="24"/>
      <w:szCs w:val="24"/>
    </w:rPr>
  </w:style>
  <w:style w:type="character" w:customStyle="1" w:styleId="90">
    <w:name w:val="כותרת 9 תו"/>
    <w:locked/>
    <w:rsid w:val="00F1368B"/>
    <w:rPr>
      <w:rFonts w:ascii="Cambria" w:hAnsi="Cambria" w:cs="Times New Roman"/>
    </w:rPr>
  </w:style>
  <w:style w:type="character" w:customStyle="1" w:styleId="aff7">
    <w:name w:val="כותרת טקסט תו"/>
    <w:locked/>
    <w:rsid w:val="00F1368B"/>
    <w:rPr>
      <w:rFonts w:ascii="Cambria" w:hAnsi="Cambria" w:cs="Times New Roman"/>
      <w:b/>
      <w:bCs/>
      <w:kern w:val="28"/>
      <w:sz w:val="32"/>
      <w:szCs w:val="32"/>
    </w:rPr>
  </w:style>
  <w:style w:type="paragraph" w:customStyle="1" w:styleId="KOT1">
    <w:name w:val="KOT1"/>
    <w:basedOn w:val="a1"/>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a1"/>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0">
    <w:name w:val="כותרת 3_0"/>
    <w:basedOn w:val="a1"/>
    <w:next w:val="a1"/>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0">
    <w:name w:val="כותרת 4_0"/>
    <w:basedOn w:val="a1"/>
    <w:next w:val="a1"/>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ff8">
    <w:name w:val="נבנצלים"/>
    <w:basedOn w:val="a1"/>
    <w:next w:val="a1"/>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ff9">
    <w:name w:val="כותרת עליונה תו"/>
    <w:locked/>
    <w:rsid w:val="00F1368B"/>
    <w:rPr>
      <w:rFonts w:cs="David"/>
      <w:sz w:val="24"/>
      <w:szCs w:val="24"/>
      <w:lang w:bidi="he-IL"/>
    </w:rPr>
  </w:style>
  <w:style w:type="character" w:customStyle="1" w:styleId="affa">
    <w:name w:val="כותרת תחתונה תו"/>
    <w:locked/>
    <w:rsid w:val="00F1368B"/>
    <w:rPr>
      <w:rFonts w:cs="David"/>
      <w:sz w:val="24"/>
      <w:szCs w:val="24"/>
      <w:lang w:bidi="he-IL"/>
    </w:rPr>
  </w:style>
  <w:style w:type="character" w:customStyle="1" w:styleId="affb">
    <w:name w:val="טקסט הערת סיום תו"/>
    <w:basedOn w:val="a2"/>
    <w:link w:val="affc"/>
    <w:uiPriority w:val="99"/>
    <w:semiHidden/>
    <w:rsid w:val="00F1368B"/>
    <w:rPr>
      <w:rFonts w:ascii="Times New Roman" w:eastAsia="Times New Roman" w:hAnsi="Times New Roman" w:cs="David"/>
      <w:sz w:val="24"/>
      <w:szCs w:val="20"/>
    </w:rPr>
  </w:style>
  <w:style w:type="paragraph" w:styleId="affc">
    <w:name w:val="endnote text"/>
    <w:basedOn w:val="a1"/>
    <w:link w:val="affb"/>
    <w:uiPriority w:val="99"/>
    <w:semiHidden/>
    <w:rsid w:val="00F1368B"/>
    <w:pPr>
      <w:spacing w:after="0" w:line="240" w:lineRule="exact"/>
      <w:jc w:val="both"/>
    </w:pPr>
    <w:rPr>
      <w:rFonts w:ascii="Times New Roman" w:eastAsia="Times New Roman" w:hAnsi="Times New Roman" w:cs="David"/>
      <w:sz w:val="24"/>
      <w:szCs w:val="20"/>
    </w:rPr>
  </w:style>
  <w:style w:type="character" w:styleId="affd">
    <w:name w:val="endnote reference"/>
    <w:uiPriority w:val="99"/>
    <w:semiHidden/>
    <w:rsid w:val="00F1368B"/>
    <w:rPr>
      <w:rFonts w:cs="Times New Roman"/>
      <w:vertAlign w:val="superscript"/>
    </w:rPr>
  </w:style>
  <w:style w:type="character" w:customStyle="1" w:styleId="32">
    <w:name w:val="גוף טקסט 3 תו"/>
    <w:basedOn w:val="a2"/>
    <w:link w:val="33"/>
    <w:semiHidden/>
    <w:rsid w:val="00F1368B"/>
    <w:rPr>
      <w:rFonts w:ascii="Times New Roman" w:eastAsia="Times New Roman" w:hAnsi="Times New Roman" w:cs="David"/>
      <w:sz w:val="24"/>
      <w:szCs w:val="24"/>
    </w:rPr>
  </w:style>
  <w:style w:type="paragraph" w:styleId="33">
    <w:name w:val="Body Text 3"/>
    <w:basedOn w:val="a1"/>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a1"/>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a1"/>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a1"/>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a1"/>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a1"/>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affe">
    <w:name w:val="Plain Text"/>
    <w:basedOn w:val="a1"/>
    <w:link w:val="afff"/>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fff">
    <w:name w:val="טקסט רגיל תו"/>
    <w:basedOn w:val="a2"/>
    <w:link w:val="affe"/>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0">
    <w:name w:val="ממוספר"/>
    <w:basedOn w:val="a1"/>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fff0">
    <w:name w:val="טקסט מודגש"/>
    <w:basedOn w:val="a1"/>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6">
    <w:name w:val="ציטוט1"/>
    <w:basedOn w:val="a1"/>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4">
    <w:name w:val="כניסה בגוף טקסט 2 תו"/>
    <w:basedOn w:val="a2"/>
    <w:link w:val="25"/>
    <w:semiHidden/>
    <w:rsid w:val="00F1368B"/>
    <w:rPr>
      <w:rFonts w:ascii="Times New Roman" w:eastAsia="Times New Roman" w:hAnsi="Times New Roman" w:cs="FrankRuehl"/>
      <w:sz w:val="24"/>
      <w:szCs w:val="24"/>
      <w:lang w:eastAsia="he-IL"/>
    </w:rPr>
  </w:style>
  <w:style w:type="paragraph" w:styleId="25">
    <w:name w:val="Body Text Indent 2"/>
    <w:basedOn w:val="a1"/>
    <w:link w:val="24"/>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fff1">
    <w:name w:val="טקסט הערות שוליים תו"/>
    <w:rsid w:val="00F1368B"/>
    <w:rPr>
      <w:lang w:val="en-US" w:eastAsia="en-US"/>
    </w:rPr>
  </w:style>
  <w:style w:type="character" w:customStyle="1" w:styleId="afff2">
    <w:name w:val="טקסט הערת שוליים תו"/>
    <w:locked/>
    <w:rsid w:val="00F1368B"/>
    <w:rPr>
      <w:lang w:val="en-US" w:eastAsia="en-US"/>
    </w:rPr>
  </w:style>
  <w:style w:type="character" w:customStyle="1" w:styleId="34">
    <w:name w:val="כניסה בגוף טקסט 3 תו"/>
    <w:basedOn w:val="a2"/>
    <w:link w:val="35"/>
    <w:semiHidden/>
    <w:rsid w:val="00F1368B"/>
    <w:rPr>
      <w:rFonts w:ascii="Times New Roman" w:eastAsia="Times New Roman" w:hAnsi="Times New Roman" w:cs="David"/>
      <w:sz w:val="16"/>
      <w:szCs w:val="16"/>
    </w:rPr>
  </w:style>
  <w:style w:type="paragraph" w:styleId="35">
    <w:name w:val="Body Text Indent 3"/>
    <w:basedOn w:val="a1"/>
    <w:link w:val="34"/>
    <w:semiHidden/>
    <w:rsid w:val="00F1368B"/>
    <w:pPr>
      <w:spacing w:line="240" w:lineRule="exact"/>
      <w:ind w:left="283"/>
    </w:pPr>
    <w:rPr>
      <w:rFonts w:ascii="Times New Roman" w:eastAsia="Times New Roman" w:hAnsi="Times New Roman" w:cs="David"/>
      <w:sz w:val="16"/>
      <w:szCs w:val="16"/>
    </w:rPr>
  </w:style>
  <w:style w:type="paragraph" w:customStyle="1" w:styleId="17">
    <w:name w:val="פיסקת רשימה1"/>
    <w:basedOn w:val="a1"/>
    <w:rsid w:val="00F1368B"/>
    <w:pPr>
      <w:spacing w:after="0" w:line="240" w:lineRule="exact"/>
      <w:ind w:left="720"/>
    </w:pPr>
    <w:rPr>
      <w:rFonts w:ascii="Times New Roman" w:eastAsia="Times New Roman" w:hAnsi="Times New Roman" w:cs="David"/>
      <w:sz w:val="24"/>
      <w:szCs w:val="24"/>
    </w:rPr>
  </w:style>
  <w:style w:type="character" w:customStyle="1" w:styleId="afff3">
    <w:name w:val="כניסה בגוף טקסט תו"/>
    <w:basedOn w:val="a2"/>
    <w:link w:val="afff4"/>
    <w:semiHidden/>
    <w:rsid w:val="00F1368B"/>
    <w:rPr>
      <w:rFonts w:ascii="Times New Roman" w:eastAsia="Times New Roman" w:hAnsi="Times New Roman" w:cs="David"/>
      <w:sz w:val="24"/>
      <w:szCs w:val="24"/>
    </w:rPr>
  </w:style>
  <w:style w:type="paragraph" w:styleId="afff4">
    <w:name w:val="Body Text Indent"/>
    <w:basedOn w:val="a1"/>
    <w:link w:val="afff3"/>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a1"/>
    <w:next w:val="a1"/>
    <w:uiPriority w:val="1"/>
    <w:qFormat/>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a1"/>
    <w:next w:val="a1"/>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a1"/>
    <w:rsid w:val="00F1368B"/>
    <w:pPr>
      <w:widowControl w:val="0"/>
      <w:spacing w:after="0"/>
      <w:jc w:val="right"/>
    </w:pPr>
    <w:rPr>
      <w:rFonts w:ascii="David" w:eastAsia="Times New Roman" w:hAnsi="David" w:cs="David"/>
      <w:sz w:val="20"/>
      <w:szCs w:val="20"/>
      <w:lang w:eastAsia="he-IL"/>
    </w:rPr>
  </w:style>
  <w:style w:type="character" w:customStyle="1" w:styleId="26">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a1"/>
    <w:next w:val="a1"/>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a1"/>
    <w:next w:val="a1"/>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fff5">
    <w:name w:val="מפת מסמך תו"/>
    <w:basedOn w:val="a2"/>
    <w:link w:val="afff6"/>
    <w:semiHidden/>
    <w:rsid w:val="00F1368B"/>
    <w:rPr>
      <w:rFonts w:ascii="Tahoma" w:eastAsia="Times New Roman" w:hAnsi="Tahoma" w:cs="Tahoma"/>
      <w:sz w:val="20"/>
      <w:szCs w:val="20"/>
      <w:shd w:val="clear" w:color="auto" w:fill="000080"/>
      <w:lang w:eastAsia="he-IL"/>
    </w:rPr>
  </w:style>
  <w:style w:type="paragraph" w:styleId="afff6">
    <w:name w:val="Document Map"/>
    <w:basedOn w:val="a1"/>
    <w:link w:val="afff5"/>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fff7">
    <w:name w:val="נבנצאל"/>
    <w:basedOn w:val="a1"/>
    <w:next w:val="a1"/>
    <w:uiPriority w:val="99"/>
    <w:rsid w:val="00F1368B"/>
    <w:pPr>
      <w:spacing w:after="200" w:line="276" w:lineRule="auto"/>
      <w:ind w:left="-567"/>
    </w:pPr>
    <w:rPr>
      <w:rFonts w:ascii="Rockwell" w:eastAsia="Rockwell" w:hAnsi="Rockwell" w:cs="David"/>
      <w:sz w:val="22"/>
      <w:szCs w:val="20"/>
    </w:rPr>
  </w:style>
  <w:style w:type="character" w:customStyle="1" w:styleId="afff8">
    <w:name w:val="נבנצאל תו"/>
    <w:uiPriority w:val="99"/>
    <w:locked/>
    <w:rsid w:val="00F1368B"/>
    <w:rPr>
      <w:rFonts w:ascii="Rockwell" w:eastAsia="Rockwell" w:hAnsi="Rockwell" w:cs="David"/>
      <w:sz w:val="22"/>
    </w:rPr>
  </w:style>
  <w:style w:type="paragraph" w:styleId="afff9">
    <w:name w:val="Date"/>
    <w:basedOn w:val="a1"/>
    <w:next w:val="a1"/>
    <w:link w:val="18"/>
    <w:uiPriority w:val="99"/>
    <w:rsid w:val="00F1368B"/>
    <w:pPr>
      <w:spacing w:before="120" w:after="200" w:line="240" w:lineRule="auto"/>
    </w:pPr>
    <w:rPr>
      <w:rFonts w:ascii="Rockwell" w:eastAsia="Rockwell" w:hAnsi="Rockwell" w:cs="David"/>
      <w:sz w:val="22"/>
      <w:szCs w:val="22"/>
    </w:rPr>
  </w:style>
  <w:style w:type="character" w:customStyle="1" w:styleId="18">
    <w:name w:val="תאריך תו1"/>
    <w:basedOn w:val="a2"/>
    <w:link w:val="afff9"/>
    <w:uiPriority w:val="99"/>
    <w:rsid w:val="00F1368B"/>
    <w:rPr>
      <w:rFonts w:ascii="Rockwell" w:eastAsia="Rockwell" w:hAnsi="Rockwell" w:cs="David"/>
      <w:sz w:val="22"/>
      <w:szCs w:val="22"/>
    </w:rPr>
  </w:style>
  <w:style w:type="character" w:customStyle="1" w:styleId="afffa">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a8"/>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afffb">
    <w:name w:val="Block Text"/>
    <w:basedOn w:val="a1"/>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a2"/>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a2"/>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a2"/>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a"/>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a1"/>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9">
    <w:name w:val="רשת טבלה1"/>
    <w:basedOn w:val="a3"/>
    <w:next w:val="af1"/>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eastAsiaTheme="majorEastAsia" w:hAnsi="Arial Bold"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a1"/>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a1"/>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a1"/>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a1"/>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a2"/>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a1"/>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a1"/>
    <w:qFormat/>
    <w:rsid w:val="00AC58AC"/>
    <w:pPr>
      <w:tabs>
        <w:tab w:val="left" w:pos="424"/>
      </w:tabs>
      <w:spacing w:after="240" w:line="260" w:lineRule="exact"/>
      <w:jc w:val="both"/>
    </w:pPr>
    <w:rPr>
      <w:rFonts w:ascii="Tahoma" w:hAnsi="Tahoma" w:cs="Tahoma"/>
      <w:color w:val="0D0D0D" w:themeColor="text1" w:themeTint="F2"/>
      <w:sz w:val="16"/>
      <w:szCs w:val="16"/>
    </w:rPr>
  </w:style>
  <w:style w:type="table" w:styleId="2-1">
    <w:name w:val="List Table 2 Accent 1"/>
    <w:basedOn w:val="a3"/>
    <w:uiPriority w:val="47"/>
    <w:rsid w:val="007478B2"/>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59A9F2" w:themeColor="accent1" w:themeTint="99"/>
        <w:bottom w:val="single" w:sz="4" w:space="0" w:color="59A9F2" w:themeColor="accent1" w:themeTint="99"/>
        <w:insideH w:val="single" w:sz="4" w:space="0" w:color="59A9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5-1">
    <w:name w:val="Grid Table 5 Dark Accent 1"/>
    <w:basedOn w:val="a3"/>
    <w:uiPriority w:val="50"/>
    <w:rsid w:val="007478B2"/>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styleId="1a">
    <w:name w:val="Plain Table 1"/>
    <w:basedOn w:val="a3"/>
    <w:uiPriority w:val="41"/>
    <w:rsid w:val="007478B2"/>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b">
    <w:name w:val="הפניה להערת שוליים1"/>
    <w:semiHidden/>
    <w:unhideWhenUsed/>
    <w:rsid w:val="007478B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153841">
      <w:bodyDiv w:val="1"/>
      <w:marLeft w:val="0"/>
      <w:marRight w:val="0"/>
      <w:marTop w:val="0"/>
      <w:marBottom w:val="0"/>
      <w:divBdr>
        <w:top w:val="none" w:sz="0" w:space="0" w:color="auto"/>
        <w:left w:val="none" w:sz="0" w:space="0" w:color="auto"/>
        <w:bottom w:val="none" w:sz="0" w:space="0" w:color="auto"/>
        <w:right w:val="none" w:sz="0" w:space="0" w:color="auto"/>
      </w:divBdr>
    </w:div>
    <w:div w:id="250630461">
      <w:bodyDiv w:val="1"/>
      <w:marLeft w:val="0"/>
      <w:marRight w:val="0"/>
      <w:marTop w:val="0"/>
      <w:marBottom w:val="0"/>
      <w:divBdr>
        <w:top w:val="none" w:sz="0" w:space="0" w:color="auto"/>
        <w:left w:val="none" w:sz="0" w:space="0" w:color="auto"/>
        <w:bottom w:val="none" w:sz="0" w:space="0" w:color="auto"/>
        <w:right w:val="none" w:sz="0" w:space="0" w:color="auto"/>
      </w:divBdr>
    </w:div>
    <w:div w:id="293827786">
      <w:bodyDiv w:val="1"/>
      <w:marLeft w:val="0"/>
      <w:marRight w:val="0"/>
      <w:marTop w:val="0"/>
      <w:marBottom w:val="0"/>
      <w:divBdr>
        <w:top w:val="none" w:sz="0" w:space="0" w:color="auto"/>
        <w:left w:val="none" w:sz="0" w:space="0" w:color="auto"/>
        <w:bottom w:val="none" w:sz="0" w:space="0" w:color="auto"/>
        <w:right w:val="none" w:sz="0" w:space="0" w:color="auto"/>
      </w:divBdr>
    </w:div>
    <w:div w:id="440298638">
      <w:bodyDiv w:val="1"/>
      <w:marLeft w:val="0"/>
      <w:marRight w:val="0"/>
      <w:marTop w:val="0"/>
      <w:marBottom w:val="0"/>
      <w:divBdr>
        <w:top w:val="none" w:sz="0" w:space="0" w:color="auto"/>
        <w:left w:val="none" w:sz="0" w:space="0" w:color="auto"/>
        <w:bottom w:val="none" w:sz="0" w:space="0" w:color="auto"/>
        <w:right w:val="none" w:sz="0" w:space="0" w:color="auto"/>
      </w:divBdr>
    </w:div>
    <w:div w:id="498928682">
      <w:bodyDiv w:val="1"/>
      <w:marLeft w:val="0"/>
      <w:marRight w:val="0"/>
      <w:marTop w:val="0"/>
      <w:marBottom w:val="0"/>
      <w:divBdr>
        <w:top w:val="none" w:sz="0" w:space="0" w:color="auto"/>
        <w:left w:val="none" w:sz="0" w:space="0" w:color="auto"/>
        <w:bottom w:val="none" w:sz="0" w:space="0" w:color="auto"/>
        <w:right w:val="none" w:sz="0" w:space="0" w:color="auto"/>
      </w:divBdr>
    </w:div>
    <w:div w:id="556355368">
      <w:bodyDiv w:val="1"/>
      <w:marLeft w:val="0"/>
      <w:marRight w:val="0"/>
      <w:marTop w:val="0"/>
      <w:marBottom w:val="0"/>
      <w:divBdr>
        <w:top w:val="none" w:sz="0" w:space="0" w:color="auto"/>
        <w:left w:val="none" w:sz="0" w:space="0" w:color="auto"/>
        <w:bottom w:val="none" w:sz="0" w:space="0" w:color="auto"/>
        <w:right w:val="none" w:sz="0" w:space="0" w:color="auto"/>
      </w:divBdr>
    </w:div>
    <w:div w:id="723524080">
      <w:bodyDiv w:val="1"/>
      <w:marLeft w:val="0"/>
      <w:marRight w:val="0"/>
      <w:marTop w:val="0"/>
      <w:marBottom w:val="0"/>
      <w:divBdr>
        <w:top w:val="none" w:sz="0" w:space="0" w:color="auto"/>
        <w:left w:val="none" w:sz="0" w:space="0" w:color="auto"/>
        <w:bottom w:val="none" w:sz="0" w:space="0" w:color="auto"/>
        <w:right w:val="none" w:sz="0" w:space="0" w:color="auto"/>
      </w:divBdr>
      <w:divsChild>
        <w:div w:id="1269580066">
          <w:marLeft w:val="0"/>
          <w:marRight w:val="0"/>
          <w:marTop w:val="0"/>
          <w:marBottom w:val="0"/>
          <w:divBdr>
            <w:top w:val="none" w:sz="0" w:space="0" w:color="auto"/>
            <w:left w:val="none" w:sz="0" w:space="0" w:color="auto"/>
            <w:bottom w:val="none" w:sz="0" w:space="0" w:color="auto"/>
            <w:right w:val="none" w:sz="0" w:space="0" w:color="auto"/>
          </w:divBdr>
        </w:div>
        <w:div w:id="1138448921">
          <w:marLeft w:val="0"/>
          <w:marRight w:val="0"/>
          <w:marTop w:val="0"/>
          <w:marBottom w:val="0"/>
          <w:divBdr>
            <w:top w:val="none" w:sz="0" w:space="0" w:color="auto"/>
            <w:left w:val="none" w:sz="0" w:space="0" w:color="auto"/>
            <w:bottom w:val="none" w:sz="0" w:space="0" w:color="auto"/>
            <w:right w:val="none" w:sz="0" w:space="0" w:color="auto"/>
          </w:divBdr>
        </w:div>
        <w:div w:id="524057454">
          <w:marLeft w:val="0"/>
          <w:marRight w:val="0"/>
          <w:marTop w:val="0"/>
          <w:marBottom w:val="0"/>
          <w:divBdr>
            <w:top w:val="none" w:sz="0" w:space="0" w:color="auto"/>
            <w:left w:val="none" w:sz="0" w:space="0" w:color="auto"/>
            <w:bottom w:val="none" w:sz="0" w:space="0" w:color="auto"/>
            <w:right w:val="none" w:sz="0" w:space="0" w:color="auto"/>
          </w:divBdr>
        </w:div>
        <w:div w:id="1705397910">
          <w:marLeft w:val="0"/>
          <w:marRight w:val="0"/>
          <w:marTop w:val="0"/>
          <w:marBottom w:val="0"/>
          <w:divBdr>
            <w:top w:val="none" w:sz="0" w:space="0" w:color="auto"/>
            <w:left w:val="none" w:sz="0" w:space="0" w:color="auto"/>
            <w:bottom w:val="none" w:sz="0" w:space="0" w:color="auto"/>
            <w:right w:val="none" w:sz="0" w:space="0" w:color="auto"/>
          </w:divBdr>
        </w:div>
        <w:div w:id="1635018512">
          <w:marLeft w:val="0"/>
          <w:marRight w:val="0"/>
          <w:marTop w:val="0"/>
          <w:marBottom w:val="0"/>
          <w:divBdr>
            <w:top w:val="none" w:sz="0" w:space="0" w:color="auto"/>
            <w:left w:val="none" w:sz="0" w:space="0" w:color="auto"/>
            <w:bottom w:val="none" w:sz="0" w:space="0" w:color="auto"/>
            <w:right w:val="none" w:sz="0" w:space="0" w:color="auto"/>
          </w:divBdr>
        </w:div>
        <w:div w:id="2108840213">
          <w:marLeft w:val="0"/>
          <w:marRight w:val="0"/>
          <w:marTop w:val="0"/>
          <w:marBottom w:val="0"/>
          <w:divBdr>
            <w:top w:val="none" w:sz="0" w:space="0" w:color="auto"/>
            <w:left w:val="none" w:sz="0" w:space="0" w:color="auto"/>
            <w:bottom w:val="none" w:sz="0" w:space="0" w:color="auto"/>
            <w:right w:val="none" w:sz="0" w:space="0" w:color="auto"/>
          </w:divBdr>
        </w:div>
        <w:div w:id="365717490">
          <w:marLeft w:val="0"/>
          <w:marRight w:val="0"/>
          <w:marTop w:val="0"/>
          <w:marBottom w:val="0"/>
          <w:divBdr>
            <w:top w:val="none" w:sz="0" w:space="0" w:color="auto"/>
            <w:left w:val="none" w:sz="0" w:space="0" w:color="auto"/>
            <w:bottom w:val="none" w:sz="0" w:space="0" w:color="auto"/>
            <w:right w:val="none" w:sz="0" w:space="0" w:color="auto"/>
          </w:divBdr>
        </w:div>
        <w:div w:id="1673944054">
          <w:marLeft w:val="0"/>
          <w:marRight w:val="0"/>
          <w:marTop w:val="0"/>
          <w:marBottom w:val="0"/>
          <w:divBdr>
            <w:top w:val="none" w:sz="0" w:space="0" w:color="auto"/>
            <w:left w:val="none" w:sz="0" w:space="0" w:color="auto"/>
            <w:bottom w:val="none" w:sz="0" w:space="0" w:color="auto"/>
            <w:right w:val="none" w:sz="0" w:space="0" w:color="auto"/>
          </w:divBdr>
        </w:div>
        <w:div w:id="358044412">
          <w:marLeft w:val="0"/>
          <w:marRight w:val="0"/>
          <w:marTop w:val="0"/>
          <w:marBottom w:val="0"/>
          <w:divBdr>
            <w:top w:val="none" w:sz="0" w:space="0" w:color="auto"/>
            <w:left w:val="none" w:sz="0" w:space="0" w:color="auto"/>
            <w:bottom w:val="none" w:sz="0" w:space="0" w:color="auto"/>
            <w:right w:val="none" w:sz="0" w:space="0" w:color="auto"/>
          </w:divBdr>
        </w:div>
      </w:divsChild>
    </w:div>
    <w:div w:id="787621319">
      <w:bodyDiv w:val="1"/>
      <w:marLeft w:val="0"/>
      <w:marRight w:val="0"/>
      <w:marTop w:val="0"/>
      <w:marBottom w:val="0"/>
      <w:divBdr>
        <w:top w:val="none" w:sz="0" w:space="0" w:color="auto"/>
        <w:left w:val="none" w:sz="0" w:space="0" w:color="auto"/>
        <w:bottom w:val="none" w:sz="0" w:space="0" w:color="auto"/>
        <w:right w:val="none" w:sz="0" w:space="0" w:color="auto"/>
      </w:divBdr>
    </w:div>
    <w:div w:id="807285871">
      <w:bodyDiv w:val="1"/>
      <w:marLeft w:val="0"/>
      <w:marRight w:val="0"/>
      <w:marTop w:val="0"/>
      <w:marBottom w:val="0"/>
      <w:divBdr>
        <w:top w:val="none" w:sz="0" w:space="0" w:color="auto"/>
        <w:left w:val="none" w:sz="0" w:space="0" w:color="auto"/>
        <w:bottom w:val="none" w:sz="0" w:space="0" w:color="auto"/>
        <w:right w:val="none" w:sz="0" w:space="0" w:color="auto"/>
      </w:divBdr>
    </w:div>
    <w:div w:id="976378899">
      <w:bodyDiv w:val="1"/>
      <w:marLeft w:val="0"/>
      <w:marRight w:val="0"/>
      <w:marTop w:val="0"/>
      <w:marBottom w:val="0"/>
      <w:divBdr>
        <w:top w:val="none" w:sz="0" w:space="0" w:color="auto"/>
        <w:left w:val="none" w:sz="0" w:space="0" w:color="auto"/>
        <w:bottom w:val="none" w:sz="0" w:space="0" w:color="auto"/>
        <w:right w:val="none" w:sz="0" w:space="0" w:color="auto"/>
      </w:divBdr>
    </w:div>
    <w:div w:id="1092357547">
      <w:bodyDiv w:val="1"/>
      <w:marLeft w:val="0"/>
      <w:marRight w:val="0"/>
      <w:marTop w:val="0"/>
      <w:marBottom w:val="0"/>
      <w:divBdr>
        <w:top w:val="none" w:sz="0" w:space="0" w:color="auto"/>
        <w:left w:val="none" w:sz="0" w:space="0" w:color="auto"/>
        <w:bottom w:val="none" w:sz="0" w:space="0" w:color="auto"/>
        <w:right w:val="none" w:sz="0" w:space="0" w:color="auto"/>
      </w:divBdr>
    </w:div>
    <w:div w:id="1108549456">
      <w:bodyDiv w:val="1"/>
      <w:marLeft w:val="0"/>
      <w:marRight w:val="0"/>
      <w:marTop w:val="0"/>
      <w:marBottom w:val="0"/>
      <w:divBdr>
        <w:top w:val="none" w:sz="0" w:space="0" w:color="auto"/>
        <w:left w:val="none" w:sz="0" w:space="0" w:color="auto"/>
        <w:bottom w:val="none" w:sz="0" w:space="0" w:color="auto"/>
        <w:right w:val="none" w:sz="0" w:space="0" w:color="auto"/>
      </w:divBdr>
    </w:div>
    <w:div w:id="1130854115">
      <w:bodyDiv w:val="1"/>
      <w:marLeft w:val="0"/>
      <w:marRight w:val="0"/>
      <w:marTop w:val="0"/>
      <w:marBottom w:val="0"/>
      <w:divBdr>
        <w:top w:val="none" w:sz="0" w:space="0" w:color="auto"/>
        <w:left w:val="none" w:sz="0" w:space="0" w:color="auto"/>
        <w:bottom w:val="none" w:sz="0" w:space="0" w:color="auto"/>
        <w:right w:val="none" w:sz="0" w:space="0" w:color="auto"/>
      </w:divBdr>
    </w:div>
    <w:div w:id="1131248965">
      <w:bodyDiv w:val="1"/>
      <w:marLeft w:val="0"/>
      <w:marRight w:val="0"/>
      <w:marTop w:val="0"/>
      <w:marBottom w:val="0"/>
      <w:divBdr>
        <w:top w:val="none" w:sz="0" w:space="0" w:color="auto"/>
        <w:left w:val="none" w:sz="0" w:space="0" w:color="auto"/>
        <w:bottom w:val="none" w:sz="0" w:space="0" w:color="auto"/>
        <w:right w:val="none" w:sz="0" w:space="0" w:color="auto"/>
      </w:divBdr>
    </w:div>
    <w:div w:id="1136794165">
      <w:bodyDiv w:val="1"/>
      <w:marLeft w:val="0"/>
      <w:marRight w:val="0"/>
      <w:marTop w:val="0"/>
      <w:marBottom w:val="0"/>
      <w:divBdr>
        <w:top w:val="none" w:sz="0" w:space="0" w:color="auto"/>
        <w:left w:val="none" w:sz="0" w:space="0" w:color="auto"/>
        <w:bottom w:val="none" w:sz="0" w:space="0" w:color="auto"/>
        <w:right w:val="none" w:sz="0" w:space="0" w:color="auto"/>
      </w:divBdr>
    </w:div>
    <w:div w:id="1159541227">
      <w:bodyDiv w:val="1"/>
      <w:marLeft w:val="0"/>
      <w:marRight w:val="0"/>
      <w:marTop w:val="0"/>
      <w:marBottom w:val="0"/>
      <w:divBdr>
        <w:top w:val="none" w:sz="0" w:space="0" w:color="auto"/>
        <w:left w:val="none" w:sz="0" w:space="0" w:color="auto"/>
        <w:bottom w:val="none" w:sz="0" w:space="0" w:color="auto"/>
        <w:right w:val="none" w:sz="0" w:space="0" w:color="auto"/>
      </w:divBdr>
    </w:div>
    <w:div w:id="1162694700">
      <w:bodyDiv w:val="1"/>
      <w:marLeft w:val="0"/>
      <w:marRight w:val="0"/>
      <w:marTop w:val="0"/>
      <w:marBottom w:val="0"/>
      <w:divBdr>
        <w:top w:val="none" w:sz="0" w:space="0" w:color="auto"/>
        <w:left w:val="none" w:sz="0" w:space="0" w:color="auto"/>
        <w:bottom w:val="none" w:sz="0" w:space="0" w:color="auto"/>
        <w:right w:val="none" w:sz="0" w:space="0" w:color="auto"/>
      </w:divBdr>
    </w:div>
    <w:div w:id="1196890248">
      <w:bodyDiv w:val="1"/>
      <w:marLeft w:val="0"/>
      <w:marRight w:val="0"/>
      <w:marTop w:val="0"/>
      <w:marBottom w:val="0"/>
      <w:divBdr>
        <w:top w:val="none" w:sz="0" w:space="0" w:color="auto"/>
        <w:left w:val="none" w:sz="0" w:space="0" w:color="auto"/>
        <w:bottom w:val="none" w:sz="0" w:space="0" w:color="auto"/>
        <w:right w:val="none" w:sz="0" w:space="0" w:color="auto"/>
      </w:divBdr>
    </w:div>
    <w:div w:id="1229881155">
      <w:bodyDiv w:val="1"/>
      <w:marLeft w:val="0"/>
      <w:marRight w:val="0"/>
      <w:marTop w:val="0"/>
      <w:marBottom w:val="0"/>
      <w:divBdr>
        <w:top w:val="none" w:sz="0" w:space="0" w:color="auto"/>
        <w:left w:val="none" w:sz="0" w:space="0" w:color="auto"/>
        <w:bottom w:val="none" w:sz="0" w:space="0" w:color="auto"/>
        <w:right w:val="none" w:sz="0" w:space="0" w:color="auto"/>
      </w:divBdr>
    </w:div>
    <w:div w:id="1294363108">
      <w:bodyDiv w:val="1"/>
      <w:marLeft w:val="0"/>
      <w:marRight w:val="0"/>
      <w:marTop w:val="0"/>
      <w:marBottom w:val="0"/>
      <w:divBdr>
        <w:top w:val="none" w:sz="0" w:space="0" w:color="auto"/>
        <w:left w:val="none" w:sz="0" w:space="0" w:color="auto"/>
        <w:bottom w:val="none" w:sz="0" w:space="0" w:color="auto"/>
        <w:right w:val="none" w:sz="0" w:space="0" w:color="auto"/>
      </w:divBdr>
    </w:div>
    <w:div w:id="1317496804">
      <w:bodyDiv w:val="1"/>
      <w:marLeft w:val="0"/>
      <w:marRight w:val="0"/>
      <w:marTop w:val="0"/>
      <w:marBottom w:val="0"/>
      <w:divBdr>
        <w:top w:val="none" w:sz="0" w:space="0" w:color="auto"/>
        <w:left w:val="none" w:sz="0" w:space="0" w:color="auto"/>
        <w:bottom w:val="none" w:sz="0" w:space="0" w:color="auto"/>
        <w:right w:val="none" w:sz="0" w:space="0" w:color="auto"/>
      </w:divBdr>
    </w:div>
    <w:div w:id="1329938441">
      <w:bodyDiv w:val="1"/>
      <w:marLeft w:val="0"/>
      <w:marRight w:val="0"/>
      <w:marTop w:val="0"/>
      <w:marBottom w:val="0"/>
      <w:divBdr>
        <w:top w:val="none" w:sz="0" w:space="0" w:color="auto"/>
        <w:left w:val="none" w:sz="0" w:space="0" w:color="auto"/>
        <w:bottom w:val="none" w:sz="0" w:space="0" w:color="auto"/>
        <w:right w:val="none" w:sz="0" w:space="0" w:color="auto"/>
      </w:divBdr>
    </w:div>
    <w:div w:id="1363365736">
      <w:bodyDiv w:val="1"/>
      <w:marLeft w:val="0"/>
      <w:marRight w:val="0"/>
      <w:marTop w:val="0"/>
      <w:marBottom w:val="0"/>
      <w:divBdr>
        <w:top w:val="none" w:sz="0" w:space="0" w:color="auto"/>
        <w:left w:val="none" w:sz="0" w:space="0" w:color="auto"/>
        <w:bottom w:val="none" w:sz="0" w:space="0" w:color="auto"/>
        <w:right w:val="none" w:sz="0" w:space="0" w:color="auto"/>
      </w:divBdr>
    </w:div>
    <w:div w:id="1526408976">
      <w:bodyDiv w:val="1"/>
      <w:marLeft w:val="0"/>
      <w:marRight w:val="0"/>
      <w:marTop w:val="0"/>
      <w:marBottom w:val="0"/>
      <w:divBdr>
        <w:top w:val="none" w:sz="0" w:space="0" w:color="auto"/>
        <w:left w:val="none" w:sz="0" w:space="0" w:color="auto"/>
        <w:bottom w:val="none" w:sz="0" w:space="0" w:color="auto"/>
        <w:right w:val="none" w:sz="0" w:space="0" w:color="auto"/>
      </w:divBdr>
    </w:div>
    <w:div w:id="1605074639">
      <w:bodyDiv w:val="1"/>
      <w:marLeft w:val="0"/>
      <w:marRight w:val="0"/>
      <w:marTop w:val="0"/>
      <w:marBottom w:val="0"/>
      <w:divBdr>
        <w:top w:val="none" w:sz="0" w:space="0" w:color="auto"/>
        <w:left w:val="none" w:sz="0" w:space="0" w:color="auto"/>
        <w:bottom w:val="none" w:sz="0" w:space="0" w:color="auto"/>
        <w:right w:val="none" w:sz="0" w:space="0" w:color="auto"/>
      </w:divBdr>
    </w:div>
    <w:div w:id="1677461783">
      <w:bodyDiv w:val="1"/>
      <w:marLeft w:val="0"/>
      <w:marRight w:val="0"/>
      <w:marTop w:val="0"/>
      <w:marBottom w:val="0"/>
      <w:divBdr>
        <w:top w:val="none" w:sz="0" w:space="0" w:color="auto"/>
        <w:left w:val="none" w:sz="0" w:space="0" w:color="auto"/>
        <w:bottom w:val="none" w:sz="0" w:space="0" w:color="auto"/>
        <w:right w:val="none" w:sz="0" w:space="0" w:color="auto"/>
      </w:divBdr>
    </w:div>
    <w:div w:id="1767265275">
      <w:bodyDiv w:val="1"/>
      <w:marLeft w:val="0"/>
      <w:marRight w:val="0"/>
      <w:marTop w:val="0"/>
      <w:marBottom w:val="0"/>
      <w:divBdr>
        <w:top w:val="none" w:sz="0" w:space="0" w:color="auto"/>
        <w:left w:val="none" w:sz="0" w:space="0" w:color="auto"/>
        <w:bottom w:val="none" w:sz="0" w:space="0" w:color="auto"/>
        <w:right w:val="none" w:sz="0" w:space="0" w:color="auto"/>
      </w:divBdr>
    </w:div>
    <w:div w:id="1922132789">
      <w:bodyDiv w:val="1"/>
      <w:marLeft w:val="0"/>
      <w:marRight w:val="0"/>
      <w:marTop w:val="0"/>
      <w:marBottom w:val="0"/>
      <w:divBdr>
        <w:top w:val="none" w:sz="0" w:space="0" w:color="auto"/>
        <w:left w:val="none" w:sz="0" w:space="0" w:color="auto"/>
        <w:bottom w:val="none" w:sz="0" w:space="0" w:color="auto"/>
        <w:right w:val="none" w:sz="0" w:space="0" w:color="auto"/>
      </w:divBdr>
    </w:div>
    <w:div w:id="2099595044">
      <w:bodyDiv w:val="1"/>
      <w:marLeft w:val="0"/>
      <w:marRight w:val="0"/>
      <w:marTop w:val="0"/>
      <w:marBottom w:val="0"/>
      <w:divBdr>
        <w:top w:val="none" w:sz="0" w:space="0" w:color="auto"/>
        <w:left w:val="none" w:sz="0" w:space="0" w:color="auto"/>
        <w:bottom w:val="none" w:sz="0" w:space="0" w:color="auto"/>
        <w:right w:val="none" w:sz="0" w:space="0" w:color="auto"/>
      </w:divBdr>
    </w:div>
    <w:div w:id="2108236636">
      <w:bodyDiv w:val="1"/>
      <w:marLeft w:val="0"/>
      <w:marRight w:val="0"/>
      <w:marTop w:val="0"/>
      <w:marBottom w:val="0"/>
      <w:divBdr>
        <w:top w:val="none" w:sz="0" w:space="0" w:color="auto"/>
        <w:left w:val="none" w:sz="0" w:space="0" w:color="auto"/>
        <w:bottom w:val="none" w:sz="0" w:space="0" w:color="auto"/>
        <w:right w:val="none" w:sz="0" w:space="0" w:color="auto"/>
      </w:divBdr>
      <w:divsChild>
        <w:div w:id="918292360">
          <w:marLeft w:val="0"/>
          <w:marRight w:val="0"/>
          <w:marTop w:val="0"/>
          <w:marBottom w:val="0"/>
          <w:divBdr>
            <w:top w:val="none" w:sz="0" w:space="0" w:color="auto"/>
            <w:left w:val="none" w:sz="0" w:space="0" w:color="auto"/>
            <w:bottom w:val="none" w:sz="0" w:space="0" w:color="auto"/>
            <w:right w:val="none" w:sz="0" w:space="0" w:color="auto"/>
          </w:divBdr>
          <w:divsChild>
            <w:div w:id="392313184">
              <w:marLeft w:val="0"/>
              <w:marRight w:val="0"/>
              <w:marTop w:val="0"/>
              <w:marBottom w:val="0"/>
              <w:divBdr>
                <w:top w:val="none" w:sz="0" w:space="0" w:color="auto"/>
                <w:left w:val="none" w:sz="0" w:space="0" w:color="auto"/>
                <w:bottom w:val="none" w:sz="0" w:space="0" w:color="auto"/>
                <w:right w:val="none" w:sz="0" w:space="0" w:color="auto"/>
              </w:divBdr>
              <w:divsChild>
                <w:div w:id="12121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7927">
          <w:marLeft w:val="0"/>
          <w:marRight w:val="0"/>
          <w:marTop w:val="0"/>
          <w:marBottom w:val="0"/>
          <w:divBdr>
            <w:top w:val="none" w:sz="0" w:space="0" w:color="auto"/>
            <w:left w:val="none" w:sz="0" w:space="0" w:color="auto"/>
            <w:bottom w:val="none" w:sz="0" w:space="0" w:color="auto"/>
            <w:right w:val="none" w:sz="0" w:space="0" w:color="auto"/>
          </w:divBdr>
          <w:divsChild>
            <w:div w:id="1323657347">
              <w:marLeft w:val="0"/>
              <w:marRight w:val="0"/>
              <w:marTop w:val="0"/>
              <w:marBottom w:val="0"/>
              <w:divBdr>
                <w:top w:val="none" w:sz="0" w:space="0" w:color="auto"/>
                <w:left w:val="none" w:sz="0" w:space="0" w:color="auto"/>
                <w:bottom w:val="none" w:sz="0" w:space="0" w:color="auto"/>
                <w:right w:val="none" w:sz="0" w:space="0" w:color="auto"/>
              </w:divBdr>
              <w:divsChild>
                <w:div w:id="1415779705">
                  <w:marLeft w:val="0"/>
                  <w:marRight w:val="0"/>
                  <w:marTop w:val="0"/>
                  <w:marBottom w:val="0"/>
                  <w:divBdr>
                    <w:top w:val="none" w:sz="0" w:space="0" w:color="auto"/>
                    <w:left w:val="none" w:sz="0" w:space="0" w:color="auto"/>
                    <w:bottom w:val="none" w:sz="0" w:space="0" w:color="auto"/>
                    <w:right w:val="none" w:sz="0" w:space="0" w:color="auto"/>
                  </w:divBdr>
                  <w:divsChild>
                    <w:div w:id="1529752174">
                      <w:marLeft w:val="0"/>
                      <w:marRight w:val="0"/>
                      <w:marTop w:val="0"/>
                      <w:marBottom w:val="0"/>
                      <w:divBdr>
                        <w:top w:val="none" w:sz="0" w:space="0" w:color="auto"/>
                        <w:left w:val="none" w:sz="0" w:space="0" w:color="auto"/>
                        <w:bottom w:val="none" w:sz="0" w:space="0" w:color="auto"/>
                        <w:right w:val="none" w:sz="0" w:space="0" w:color="auto"/>
                      </w:divBdr>
                      <w:divsChild>
                        <w:div w:id="41053000">
                          <w:marLeft w:val="0"/>
                          <w:marRight w:val="0"/>
                          <w:marTop w:val="0"/>
                          <w:marBottom w:val="0"/>
                          <w:divBdr>
                            <w:top w:val="none" w:sz="0" w:space="0" w:color="auto"/>
                            <w:left w:val="none" w:sz="0" w:space="0" w:color="auto"/>
                            <w:bottom w:val="none" w:sz="0" w:space="0" w:color="auto"/>
                            <w:right w:val="none" w:sz="0" w:space="0" w:color="auto"/>
                          </w:divBdr>
                          <w:divsChild>
                            <w:div w:id="31463906">
                              <w:marLeft w:val="0"/>
                              <w:marRight w:val="225"/>
                              <w:marTop w:val="75"/>
                              <w:marBottom w:val="225"/>
                              <w:divBdr>
                                <w:top w:val="single" w:sz="6" w:space="0" w:color="D1D1D1"/>
                                <w:left w:val="single" w:sz="6" w:space="0" w:color="D1D1D1"/>
                                <w:bottom w:val="single" w:sz="6" w:space="0" w:color="D1D1D1"/>
                                <w:right w:val="single" w:sz="6" w:space="0" w:color="D1D1D1"/>
                              </w:divBdr>
                            </w:div>
                          </w:divsChild>
                        </w:div>
                      </w:divsChild>
                    </w:div>
                  </w:divsChild>
                </w:div>
              </w:divsChild>
            </w:div>
            <w:div w:id="1396392427">
              <w:marLeft w:val="0"/>
              <w:marRight w:val="0"/>
              <w:marTop w:val="0"/>
              <w:marBottom w:val="0"/>
              <w:divBdr>
                <w:top w:val="none" w:sz="0" w:space="0" w:color="auto"/>
                <w:left w:val="none" w:sz="0" w:space="0" w:color="auto"/>
                <w:bottom w:val="none" w:sz="0" w:space="0" w:color="auto"/>
                <w:right w:val="none" w:sz="0" w:space="0" w:color="auto"/>
              </w:divBdr>
              <w:divsChild>
                <w:div w:id="1694067104">
                  <w:marLeft w:val="0"/>
                  <w:marRight w:val="0"/>
                  <w:marTop w:val="0"/>
                  <w:marBottom w:val="0"/>
                  <w:divBdr>
                    <w:top w:val="none" w:sz="0" w:space="0" w:color="auto"/>
                    <w:left w:val="none" w:sz="0" w:space="0" w:color="auto"/>
                    <w:bottom w:val="none" w:sz="0" w:space="0" w:color="auto"/>
                    <w:right w:val="none" w:sz="0" w:space="0" w:color="auto"/>
                  </w:divBdr>
                  <w:divsChild>
                    <w:div w:id="3300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1.jpeg"/><Relationship Id="rId21" Type="http://schemas.openxmlformats.org/officeDocument/2006/relationships/image" Target="media/image6.pn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eader" Target="header2.xml"/><Relationship Id="rId29" Type="http://schemas.openxmlformats.org/officeDocument/2006/relationships/image" Target="media/image14.jpe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eader" Target="header8.xm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header" Target="header9.xml"/><Relationship Id="rId5" Type="http://schemas.openxmlformats.org/officeDocument/2006/relationships/customXml" Target="../customXml/item4.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eader" Target="header7.xml"/><Relationship Id="rId44" Type="http://schemas.openxmlformats.org/officeDocument/2006/relationships/image" Target="media/image26.jpeg"/><Relationship Id="rId52" Type="http://schemas.openxmlformats.org/officeDocument/2006/relationships/image" Target="media/image34.jpe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6.xml"/><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settings" Target="settings.xml"/><Relationship Id="rId51" Type="http://schemas.openxmlformats.org/officeDocument/2006/relationships/image" Target="media/image33.jpeg"/><Relationship Id="rId3" Type="http://schemas.openxmlformats.org/officeDocument/2006/relationships/customXml" Target="../customXml/item2.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8.jpeg"/><Relationship Id="rId20" Type="http://schemas.openxmlformats.org/officeDocument/2006/relationships/header" Target="header5.xml"/><Relationship Id="rId41" Type="http://schemas.openxmlformats.org/officeDocument/2006/relationships/image" Target="media/image23.png"/><Relationship Id="rId54"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8.jpeg"/><Relationship Id="rId49" Type="http://schemas.openxmlformats.org/officeDocument/2006/relationships/image" Target="media/image31.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912FC-70CF-48DB-BC7E-2722F267BB8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C7E7EA1-7BD5-4393-81A4-5ECD14DD45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97706D-5246-4FE4-ADCD-DFCDBA52708E}">
  <ds:schemaRefs>
    <ds:schemaRef ds:uri="http://schemas.microsoft.com/sharepoint/v3/contenttype/forms"/>
  </ds:schemaRefs>
</ds:datastoreItem>
</file>

<file path=customXml/itemProps4.xml><?xml version="1.0" encoding="utf-8"?>
<ds:datastoreItem xmlns:ds="http://schemas.openxmlformats.org/officeDocument/2006/customXml" ds:itemID="{AFA7C44A-3C5B-4D15-8CBF-051CDE160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62</Pages>
  <Words>13400</Words>
  <Characters>67005</Characters>
  <Application>Microsoft Office Word</Application>
  <DocSecurity>0</DocSecurity>
  <Lines>558</Lines>
  <Paragraphs>160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mordechai</dc:creator>
  <cp:lastModifiedBy>ספיר בן דוד לוי</cp:lastModifiedBy>
  <cp:revision>35</cp:revision>
  <cp:lastPrinted>2021-05-24T08:51:00Z</cp:lastPrinted>
  <dcterms:created xsi:type="dcterms:W3CDTF">2024-03-17T10:23:00Z</dcterms:created>
  <dcterms:modified xsi:type="dcterms:W3CDTF">2024-03-17T13:06:00Z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