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21151B">
      <w:pPr>
        <w:spacing w:before="240"/>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9DE49"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498FECC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DE1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98C40"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4F40F27" w:rsidR="003C32FE" w:rsidRDefault="0038442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FC003C0">
                <wp:simplePos x="0" y="0"/>
                <wp:positionH relativeFrom="column">
                  <wp:posOffset>3061970</wp:posOffset>
                </wp:positionH>
                <wp:positionV relativeFrom="paragraph">
                  <wp:posOffset>364490</wp:posOffset>
                </wp:positionV>
                <wp:extent cx="0" cy="34163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416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96AC94"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1pt,28.7pt" to="241.1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FA1DA68">
                <wp:simplePos x="0" y="0"/>
                <wp:positionH relativeFrom="column">
                  <wp:posOffset>-386715</wp:posOffset>
                </wp:positionH>
                <wp:positionV relativeFrom="paragraph">
                  <wp:posOffset>2282825</wp:posOffset>
                </wp:positionV>
                <wp:extent cx="3283948" cy="18778"/>
                <wp:effectExtent l="12700" t="12700" r="5715" b="19685"/>
                <wp:wrapNone/>
                <wp:docPr id="8" name="Straight Connector 8"/>
                <wp:cNvGraphicFramePr/>
                <a:graphic xmlns:a="http://schemas.openxmlformats.org/drawingml/2006/main">
                  <a:graphicData uri="http://schemas.microsoft.com/office/word/2010/wordprocessingShape">
                    <wps:wsp>
                      <wps:cNvCnPr/>
                      <wps:spPr>
                        <a:xfrm flipH="1">
                          <a:off x="0" y="0"/>
                          <a:ext cx="3283948" cy="18778"/>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DE444"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79.75pt" to="228.15pt,1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1E423912">
                <wp:simplePos x="0" y="0"/>
                <wp:positionH relativeFrom="column">
                  <wp:posOffset>-386080</wp:posOffset>
                </wp:positionH>
                <wp:positionV relativeFrom="paragraph">
                  <wp:posOffset>262890</wp:posOffset>
                </wp:positionV>
                <wp:extent cx="48609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13B9B028" w14:textId="77777777" w:rsidR="00A33BEC" w:rsidRPr="0052031E" w:rsidRDefault="00A33BEC" w:rsidP="00A33BEC">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3B6C38B6" w:rsidR="00F73EE0" w:rsidRDefault="00F73EE0" w:rsidP="0052031E">
                            <w:pPr>
                              <w:ind w:left="2268"/>
                              <w:rPr>
                                <w:rtl/>
                              </w:rPr>
                            </w:pPr>
                          </w:p>
                          <w:p w14:paraId="41C875DC" w14:textId="77777777" w:rsidR="00384425" w:rsidRDefault="00384425" w:rsidP="0052031E">
                            <w:pPr>
                              <w:ind w:left="2268"/>
                              <w:rPr>
                                <w:rtl/>
                              </w:rPr>
                            </w:pPr>
                          </w:p>
                          <w:p w14:paraId="537675A5" w14:textId="77777777" w:rsidR="00F73EE0" w:rsidRDefault="00F73EE0" w:rsidP="0052031E">
                            <w:pPr>
                              <w:ind w:left="2268"/>
                              <w:rPr>
                                <w:rtl/>
                              </w:rPr>
                            </w:pPr>
                          </w:p>
                          <w:p w14:paraId="35FED249" w14:textId="77777777" w:rsidR="00C2197A" w:rsidRDefault="005C3857"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0A3ED4">
                              <w:rPr>
                                <w:rFonts w:ascii="Tahoma" w:eastAsiaTheme="minorEastAsia" w:hAnsi="Tahoma" w:cs="Tahoma" w:hint="cs"/>
                                <w:color w:val="FFFFFF" w:themeColor="background1"/>
                                <w:sz w:val="28"/>
                                <w:szCs w:val="28"/>
                                <w:rtl/>
                              </w:rPr>
                              <w:t xml:space="preserve">תחומי כלכלה </w:t>
                            </w:r>
                          </w:p>
                          <w:p w14:paraId="028C1DED" w14:textId="281B2FA0" w:rsidR="00F73EE0" w:rsidRPr="000A3ED4" w:rsidRDefault="000A3ED4"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1C4EF316" w:rsidR="00F73EE0" w:rsidRPr="00344BBF" w:rsidRDefault="00DB0A27"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שירותים</w:t>
                            </w:r>
                            <w:r w:rsidR="000A3ED4">
                              <w:rPr>
                                <w:rFonts w:ascii="Tahoma" w:hAnsi="Tahoma" w:cs="Tahoma" w:hint="cs"/>
                                <w:b/>
                                <w:bCs/>
                                <w:sz w:val="40"/>
                                <w:szCs w:val="40"/>
                                <w:rtl/>
                              </w:rPr>
                              <w:t xml:space="preserve"> </w:t>
                            </w:r>
                            <w:r>
                              <w:rPr>
                                <w:rFonts w:ascii="Tahoma" w:hAnsi="Tahoma" w:cs="Tahoma" w:hint="cs"/>
                                <w:b/>
                                <w:bCs/>
                                <w:sz w:val="40"/>
                                <w:szCs w:val="40"/>
                                <w:rtl/>
                              </w:rPr>
                              <w:t>פיננסיים, אשראי ויציבות של גופים פיננסיים</w:t>
                            </w:r>
                            <w:r w:rsidR="000A3ED4">
                              <w:rPr>
                                <w:rFonts w:ascii="Tahoma" w:hAnsi="Tahoma" w:cs="Tahoma" w:hint="cs"/>
                                <w:b/>
                                <w:bCs/>
                                <w:sz w:val="40"/>
                                <w:szCs w:val="40"/>
                                <w:rtl/>
                              </w:rPr>
                              <w:t xml:space="preserve"> </w:t>
                            </w:r>
                            <w:r>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30.4pt;margin-top:20.7pt;width:382.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13B9B028" w14:textId="77777777" w:rsidR="00A33BEC" w:rsidRPr="0052031E" w:rsidRDefault="00A33BEC" w:rsidP="00A33BEC">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3B6C38B6" w:rsidR="00F73EE0" w:rsidRDefault="00F73EE0" w:rsidP="0052031E">
                      <w:pPr>
                        <w:ind w:left="2268"/>
                        <w:rPr>
                          <w:rtl/>
                        </w:rPr>
                      </w:pPr>
                    </w:p>
                    <w:p w14:paraId="41C875DC" w14:textId="77777777" w:rsidR="00384425" w:rsidRDefault="00384425" w:rsidP="0052031E">
                      <w:pPr>
                        <w:ind w:left="2268"/>
                        <w:rPr>
                          <w:rtl/>
                        </w:rPr>
                      </w:pPr>
                    </w:p>
                    <w:p w14:paraId="537675A5" w14:textId="77777777" w:rsidR="00F73EE0" w:rsidRDefault="00F73EE0" w:rsidP="0052031E">
                      <w:pPr>
                        <w:ind w:left="2268"/>
                        <w:rPr>
                          <w:rtl/>
                        </w:rPr>
                      </w:pPr>
                    </w:p>
                    <w:p w14:paraId="35FED249" w14:textId="77777777" w:rsidR="00C2197A" w:rsidRDefault="005C3857"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0A3ED4">
                        <w:rPr>
                          <w:rFonts w:ascii="Tahoma" w:eastAsiaTheme="minorEastAsia" w:hAnsi="Tahoma" w:cs="Tahoma" w:hint="cs"/>
                          <w:color w:val="FFFFFF" w:themeColor="background1"/>
                          <w:sz w:val="28"/>
                          <w:szCs w:val="28"/>
                          <w:rtl/>
                        </w:rPr>
                        <w:t xml:space="preserve">תחומי כלכלה </w:t>
                      </w:r>
                    </w:p>
                    <w:p w14:paraId="028C1DED" w14:textId="281B2FA0" w:rsidR="00F73EE0" w:rsidRPr="000A3ED4" w:rsidRDefault="000A3ED4"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1C4EF316" w:rsidR="00F73EE0" w:rsidRPr="00344BBF" w:rsidRDefault="00DB0A27"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שירותים</w:t>
                      </w:r>
                      <w:r w:rsidR="000A3ED4">
                        <w:rPr>
                          <w:rFonts w:ascii="Tahoma" w:hAnsi="Tahoma" w:cs="Tahoma" w:hint="cs"/>
                          <w:b/>
                          <w:bCs/>
                          <w:sz w:val="40"/>
                          <w:szCs w:val="40"/>
                          <w:rtl/>
                        </w:rPr>
                        <w:t xml:space="preserve"> </w:t>
                      </w:r>
                      <w:r>
                        <w:rPr>
                          <w:rFonts w:ascii="Tahoma" w:hAnsi="Tahoma" w:cs="Tahoma" w:hint="cs"/>
                          <w:b/>
                          <w:bCs/>
                          <w:sz w:val="40"/>
                          <w:szCs w:val="40"/>
                          <w:rtl/>
                        </w:rPr>
                        <w:t>פיננסיים, אשראי ויציבות של גופים פיננסיים</w:t>
                      </w:r>
                      <w:r w:rsidR="000A3ED4">
                        <w:rPr>
                          <w:rFonts w:ascii="Tahoma" w:hAnsi="Tahoma" w:cs="Tahoma" w:hint="cs"/>
                          <w:b/>
                          <w:bCs/>
                          <w:sz w:val="40"/>
                          <w:szCs w:val="40"/>
                          <w:rtl/>
                        </w:rPr>
                        <w:t xml:space="preserve"> </w:t>
                      </w:r>
                      <w:r>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B5E7"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6FF4FA74" w:rsidR="00354469" w:rsidRPr="002D4D38" w:rsidRDefault="00A33BEC" w:rsidP="002D4D38">
      <w:pPr>
        <w:pStyle w:val="7120"/>
        <w:rPr>
          <w:rtl/>
        </w:rPr>
      </w:pPr>
      <w:r w:rsidRPr="00C86180">
        <w:rPr>
          <w:noProof/>
          <w:sz w:val="22"/>
          <w:szCs w:val="22"/>
          <w:rtl/>
          <w:lang w:val="he-IL"/>
        </w:rPr>
        <w:lastRenderedPageBreak/>
        <mc:AlternateContent>
          <mc:Choice Requires="wps">
            <w:drawing>
              <wp:anchor distT="0" distB="0" distL="114300" distR="114300" simplePos="0" relativeHeight="252073472" behindDoc="0" locked="0" layoutInCell="1" allowOverlap="1" wp14:anchorId="12054CCD" wp14:editId="7BE1176B">
                <wp:simplePos x="0" y="0"/>
                <wp:positionH relativeFrom="column">
                  <wp:posOffset>-664325</wp:posOffset>
                </wp:positionH>
                <wp:positionV relativeFrom="paragraph">
                  <wp:posOffset>152284</wp:posOffset>
                </wp:positionV>
                <wp:extent cx="193963" cy="5043054"/>
                <wp:effectExtent l="0" t="0" r="0" b="0"/>
                <wp:wrapNone/>
                <wp:docPr id="35" name="Rectangle 24"/>
                <wp:cNvGraphicFramePr/>
                <a:graphic xmlns:a="http://schemas.openxmlformats.org/drawingml/2006/main">
                  <a:graphicData uri="http://schemas.microsoft.com/office/word/2010/wordprocessingShape">
                    <wps:wsp>
                      <wps:cNvSpPr/>
                      <wps:spPr>
                        <a:xfrm flipV="1">
                          <a:off x="0" y="0"/>
                          <a:ext cx="193963" cy="504305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2F9B" id="Rectangle 24" o:spid="_x0000_s1026" style="position:absolute;left:0;text-align:left;margin-left:-52.3pt;margin-top:12pt;width:15.25pt;height:397.1pt;flip:y;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"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20F8DEA6">
            <wp:simplePos x="0" y="0"/>
            <wp:positionH relativeFrom="column">
              <wp:posOffset>3321685</wp:posOffset>
            </wp:positionH>
            <wp:positionV relativeFrom="paragraph">
              <wp:posOffset>885761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DB0A27" w:rsidRPr="002D4D38">
        <w:rPr>
          <w:rFonts w:hint="cs"/>
          <w:rtl/>
        </w:rPr>
        <w:t>שירותים פיננסיים, אשראי ויציבות של גופים פיננסיים במשבר הקורונה</w:t>
      </w:r>
    </w:p>
    <w:p w14:paraId="1D043727" w14:textId="60495CA9" w:rsidR="00167D07" w:rsidRPr="00CF4FEF" w:rsidRDefault="00DB0A27" w:rsidP="00AF4442">
      <w:pPr>
        <w:pStyle w:val="7190"/>
        <w:spacing w:before="360"/>
        <w:rPr>
          <w:rtl/>
        </w:rPr>
      </w:pPr>
      <w:r w:rsidRPr="008450FA">
        <w:rPr>
          <w:rtl/>
        </w:rPr>
        <w:t>התפרצות נגיף הקורונה התבטאה בהאטה חדה בפעילות הכלכלית בעולם</w:t>
      </w:r>
      <w:r w:rsidRPr="008450FA">
        <w:rPr>
          <w:rFonts w:hint="cs"/>
          <w:rtl/>
        </w:rPr>
        <w:t xml:space="preserve">, </w:t>
      </w:r>
      <w:r w:rsidRPr="008450FA">
        <w:rPr>
          <w:rFonts w:hint="eastAsia"/>
          <w:rtl/>
        </w:rPr>
        <w:t>ו</w:t>
      </w:r>
      <w:r w:rsidRPr="008450FA">
        <w:rPr>
          <w:rtl/>
        </w:rPr>
        <w:t>גררה משבר כלכל</w:t>
      </w:r>
      <w:r w:rsidRPr="008450FA">
        <w:rPr>
          <w:rFonts w:hint="eastAsia"/>
          <w:rtl/>
        </w:rPr>
        <w:t>י</w:t>
      </w:r>
      <w:r w:rsidRPr="008450FA">
        <w:rPr>
          <w:rtl/>
        </w:rPr>
        <w:t xml:space="preserve"> גם בישראל</w:t>
      </w:r>
      <w:r w:rsidRPr="008450FA">
        <w:rPr>
          <w:rFonts w:hint="cs"/>
          <w:rtl/>
        </w:rPr>
        <w:t xml:space="preserve">. משבר זה </w:t>
      </w:r>
      <w:r w:rsidRPr="008450FA">
        <w:rPr>
          <w:rtl/>
        </w:rPr>
        <w:t>התאפיין במצוקת נזילו</w:t>
      </w:r>
      <w:r w:rsidRPr="008450FA">
        <w:rPr>
          <w:rFonts w:hint="cs"/>
          <w:rtl/>
        </w:rPr>
        <w:t>ּ</w:t>
      </w:r>
      <w:r w:rsidRPr="008450FA">
        <w:rPr>
          <w:rtl/>
        </w:rPr>
        <w:t>ת של משקי בית ועסקים רבים.</w:t>
      </w:r>
      <w:r w:rsidRPr="008450FA">
        <w:rPr>
          <w:rFonts w:hint="cs"/>
          <w:rtl/>
        </w:rPr>
        <w:t xml:space="preserve"> </w:t>
      </w:r>
      <w:r w:rsidRPr="008450FA">
        <w:rPr>
          <w:rtl/>
        </w:rPr>
        <w:t>התרחבות המשבר הבריאותי מחוץ לסין הובילה לבהלה בשווקים הפיננס</w:t>
      </w:r>
      <w:r w:rsidRPr="008450FA">
        <w:rPr>
          <w:rFonts w:hint="cs"/>
          <w:rtl/>
        </w:rPr>
        <w:t>י</w:t>
      </w:r>
      <w:r w:rsidRPr="008450FA">
        <w:rPr>
          <w:rtl/>
        </w:rPr>
        <w:t>ים ש</w:t>
      </w:r>
      <w:r w:rsidRPr="008450FA">
        <w:rPr>
          <w:rFonts w:hint="cs"/>
          <w:rtl/>
        </w:rPr>
        <w:t>התבטאה</w:t>
      </w:r>
      <w:r w:rsidRPr="008450FA">
        <w:rPr>
          <w:rtl/>
        </w:rPr>
        <w:t xml:space="preserve"> </w:t>
      </w:r>
      <w:r w:rsidRPr="008450FA">
        <w:rPr>
          <w:rFonts w:hint="cs"/>
          <w:rtl/>
        </w:rPr>
        <w:t>ב</w:t>
      </w:r>
      <w:r w:rsidRPr="008450FA">
        <w:rPr>
          <w:rtl/>
        </w:rPr>
        <w:t xml:space="preserve">ירידות שערים חדות החל </w:t>
      </w:r>
      <w:r w:rsidRPr="008450FA">
        <w:rPr>
          <w:rFonts w:hint="cs"/>
          <w:rtl/>
        </w:rPr>
        <w:t>בסוף</w:t>
      </w:r>
      <w:r w:rsidRPr="008450FA">
        <w:rPr>
          <w:rtl/>
        </w:rPr>
        <w:t xml:space="preserve"> פברואר</w:t>
      </w:r>
      <w:r w:rsidRPr="008450FA">
        <w:rPr>
          <w:rFonts w:hint="cs"/>
          <w:rtl/>
        </w:rPr>
        <w:t xml:space="preserve"> 2020,</w:t>
      </w:r>
      <w:r w:rsidRPr="008450FA">
        <w:rPr>
          <w:rtl/>
        </w:rPr>
        <w:t xml:space="preserve"> שערערו את היציבות הכלכלית במשק</w:t>
      </w:r>
      <w:r w:rsidRPr="008450FA">
        <w:rPr>
          <w:rFonts w:hint="cs"/>
          <w:rtl/>
        </w:rPr>
        <w:t xml:space="preserve">. הרגולטורים הפיננסיים </w:t>
      </w:r>
      <w:r w:rsidRPr="008450FA">
        <w:rPr>
          <w:rFonts w:hint="eastAsia"/>
          <w:rtl/>
        </w:rPr>
        <w:t>במדינת</w:t>
      </w:r>
      <w:r w:rsidRPr="008450FA">
        <w:rPr>
          <w:rtl/>
        </w:rPr>
        <w:t xml:space="preserve"> </w:t>
      </w:r>
      <w:r w:rsidRPr="008450FA">
        <w:rPr>
          <w:rFonts w:hint="eastAsia"/>
          <w:rtl/>
        </w:rPr>
        <w:t>ישראל</w:t>
      </w:r>
      <w:r w:rsidRPr="008450FA">
        <w:rPr>
          <w:rFonts w:hint="cs"/>
          <w:rtl/>
        </w:rPr>
        <w:t xml:space="preserve"> - </w:t>
      </w:r>
      <w:r w:rsidRPr="008450FA">
        <w:rPr>
          <w:rtl/>
        </w:rPr>
        <w:t>בנק ישראל, רשות שוק ההון ו</w:t>
      </w:r>
      <w:r w:rsidRPr="008450FA">
        <w:rPr>
          <w:rFonts w:hint="cs"/>
          <w:rtl/>
        </w:rPr>
        <w:t>ה</w:t>
      </w:r>
      <w:r w:rsidRPr="008450FA">
        <w:rPr>
          <w:rtl/>
        </w:rPr>
        <w:t xml:space="preserve">רשות </w:t>
      </w:r>
      <w:r w:rsidRPr="008450FA">
        <w:rPr>
          <w:rFonts w:hint="cs"/>
          <w:rtl/>
        </w:rPr>
        <w:t>לניירות ערך - העניקו הקלות וסיוע נרחב להתמודדות המשק עם המשבר, שהתבטאו בהתאמת השירותים הפיננסיים, בהרחבת היצע האשראי למרות צמצום הפעילות הכלכלית, וכן בשמירה על יציבות המערכת הפיננסית תוך כדי התערבות בשווקים הפיננסיים למניעת כשלי שוק</w:t>
      </w:r>
      <w:r w:rsidR="00470B26" w:rsidRPr="00470B26">
        <w:rPr>
          <w:rFonts w:hint="cs"/>
          <w:rtl/>
        </w:rPr>
        <w:t>.</w:t>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4521252C">
            <wp:simplePos x="0" y="0"/>
            <wp:positionH relativeFrom="column">
              <wp:posOffset>3322320</wp:posOffset>
            </wp:positionH>
            <wp:positionV relativeFrom="paragraph">
              <wp:posOffset>28511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p w14:paraId="1977F80C" w14:textId="77777777" w:rsidR="009E4DC9" w:rsidRDefault="009E4DC9" w:rsidP="00F92733">
      <w:pPr>
        <w:pStyle w:val="100"/>
        <w:tabs>
          <w:tab w:val="center" w:pos="3685"/>
        </w:tabs>
        <w:spacing w:after="0" w:line="240" w:lineRule="exact"/>
        <w:rPr>
          <w:b/>
          <w:bCs/>
          <w:color w:val="00305F"/>
          <w:sz w:val="32"/>
          <w:szCs w:val="32"/>
          <w:rtl/>
        </w:rPr>
      </w:pPr>
    </w:p>
    <w:tbl>
      <w:tblPr>
        <w:tblStyle w:val="aa"/>
        <w:bidiVisual/>
        <w:tblW w:w="7412"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78"/>
        <w:gridCol w:w="1531"/>
        <w:gridCol w:w="279"/>
        <w:gridCol w:w="1814"/>
        <w:gridCol w:w="278"/>
        <w:gridCol w:w="1701"/>
      </w:tblGrid>
      <w:tr w:rsidR="009E4DC9" w:rsidRPr="00A503C9" w14:paraId="34CC73C8" w14:textId="77777777" w:rsidTr="008D0519">
        <w:tc>
          <w:tcPr>
            <w:tcW w:w="1531" w:type="dxa"/>
            <w:tcBorders>
              <w:bottom w:val="single" w:sz="12" w:space="0" w:color="auto"/>
            </w:tcBorders>
            <w:vAlign w:val="bottom"/>
          </w:tcPr>
          <w:p w14:paraId="2A7395AA" w14:textId="77777777" w:rsidR="009E4DC9" w:rsidRPr="00A503C9" w:rsidRDefault="009E4DC9" w:rsidP="008D0519">
            <w:pPr>
              <w:pStyle w:val="2021"/>
              <w:spacing w:before="0" w:after="60"/>
              <w:rPr>
                <w:spacing w:val="-10"/>
                <w:rtl/>
              </w:rPr>
            </w:pPr>
            <w:r w:rsidRPr="008D750B">
              <w:rPr>
                <w:spacing w:val="-10"/>
                <w:rtl/>
              </w:rPr>
              <w:t>15</w:t>
            </w:r>
            <w:r w:rsidRPr="008D750B">
              <w:rPr>
                <w:rFonts w:hint="cs"/>
                <w:spacing w:val="-10"/>
                <w:rtl/>
              </w:rPr>
              <w:t xml:space="preserve"> </w:t>
            </w:r>
            <w:r w:rsidRPr="008D750B">
              <w:rPr>
                <w:rFonts w:hint="eastAsia"/>
                <w:spacing w:val="-10"/>
                <w:sz w:val="26"/>
                <w:szCs w:val="26"/>
                <w:rtl/>
              </w:rPr>
              <w:t>מיליארד</w:t>
            </w:r>
            <w:r w:rsidRPr="008D750B">
              <w:rPr>
                <w:spacing w:val="-10"/>
                <w:sz w:val="26"/>
                <w:szCs w:val="26"/>
                <w:rtl/>
              </w:rPr>
              <w:t xml:space="preserve"> $</w:t>
            </w:r>
          </w:p>
        </w:tc>
        <w:tc>
          <w:tcPr>
            <w:tcW w:w="278" w:type="dxa"/>
            <w:vAlign w:val="bottom"/>
          </w:tcPr>
          <w:p w14:paraId="2F41622A" w14:textId="77777777" w:rsidR="009E4DC9" w:rsidRDefault="009E4DC9" w:rsidP="008D0519">
            <w:pPr>
              <w:spacing w:after="60" w:line="240" w:lineRule="auto"/>
              <w:rPr>
                <w:rtl/>
              </w:rPr>
            </w:pPr>
          </w:p>
        </w:tc>
        <w:tc>
          <w:tcPr>
            <w:tcW w:w="1531" w:type="dxa"/>
            <w:tcBorders>
              <w:bottom w:val="single" w:sz="12" w:space="0" w:color="auto"/>
            </w:tcBorders>
            <w:vAlign w:val="bottom"/>
          </w:tcPr>
          <w:p w14:paraId="7A5FC311" w14:textId="77777777" w:rsidR="009E4DC9" w:rsidRPr="00A503C9" w:rsidRDefault="009E4DC9" w:rsidP="008D0519">
            <w:pPr>
              <w:pStyle w:val="2021"/>
              <w:spacing w:before="0" w:after="60"/>
              <w:rPr>
                <w:spacing w:val="-10"/>
                <w:rtl/>
              </w:rPr>
            </w:pPr>
            <w:r w:rsidRPr="008D750B">
              <w:rPr>
                <w:spacing w:val="-10"/>
                <w:rtl/>
              </w:rPr>
              <w:t xml:space="preserve">50 </w:t>
            </w:r>
            <w:r w:rsidRPr="008D750B">
              <w:rPr>
                <w:rFonts w:hint="eastAsia"/>
                <w:spacing w:val="-10"/>
                <w:sz w:val="26"/>
                <w:szCs w:val="26"/>
                <w:rtl/>
              </w:rPr>
              <w:t>מיליארד</w:t>
            </w:r>
            <w:r w:rsidRPr="008D750B">
              <w:rPr>
                <w:spacing w:val="-10"/>
                <w:sz w:val="26"/>
                <w:szCs w:val="26"/>
                <w:rtl/>
              </w:rPr>
              <w:t xml:space="preserve"> </w:t>
            </w:r>
            <w:r w:rsidRPr="008D750B">
              <w:rPr>
                <w:rFonts w:hint="eastAsia"/>
                <w:spacing w:val="-10"/>
                <w:sz w:val="26"/>
                <w:szCs w:val="26"/>
                <w:rtl/>
              </w:rPr>
              <w:t>₪</w:t>
            </w:r>
          </w:p>
        </w:tc>
        <w:tc>
          <w:tcPr>
            <w:tcW w:w="279" w:type="dxa"/>
            <w:vAlign w:val="bottom"/>
          </w:tcPr>
          <w:p w14:paraId="46CB4CE6" w14:textId="77777777" w:rsidR="009E4DC9" w:rsidRDefault="009E4DC9" w:rsidP="008D0519">
            <w:pPr>
              <w:spacing w:after="60" w:line="240" w:lineRule="auto"/>
              <w:rPr>
                <w:rtl/>
              </w:rPr>
            </w:pPr>
          </w:p>
        </w:tc>
        <w:tc>
          <w:tcPr>
            <w:tcW w:w="1814" w:type="dxa"/>
            <w:tcBorders>
              <w:bottom w:val="single" w:sz="12" w:space="0" w:color="auto"/>
            </w:tcBorders>
            <w:vAlign w:val="bottom"/>
          </w:tcPr>
          <w:p w14:paraId="0051F8C9" w14:textId="77777777" w:rsidR="009E4DC9" w:rsidRPr="00A503C9" w:rsidRDefault="009E4DC9" w:rsidP="008D0519">
            <w:pPr>
              <w:pStyle w:val="2021"/>
              <w:spacing w:before="0" w:after="60"/>
              <w:rPr>
                <w:b w:val="0"/>
                <w:bCs w:val="0"/>
                <w:spacing w:val="-20"/>
                <w:sz w:val="24"/>
                <w:rtl/>
              </w:rPr>
            </w:pPr>
            <w:r w:rsidRPr="008D750B">
              <w:rPr>
                <w:spacing w:val="-10"/>
                <w:rtl/>
              </w:rPr>
              <w:t>73.6</w:t>
            </w:r>
            <w:r w:rsidRPr="008450FA">
              <w:rPr>
                <w:spacing w:val="-28"/>
                <w:rtl/>
              </w:rPr>
              <w:t xml:space="preserve"> </w:t>
            </w:r>
            <w:r w:rsidRPr="008D750B">
              <w:rPr>
                <w:rFonts w:hint="eastAsia"/>
                <w:spacing w:val="-10"/>
                <w:sz w:val="26"/>
                <w:szCs w:val="26"/>
                <w:rtl/>
              </w:rPr>
              <w:t>מיליארד</w:t>
            </w:r>
            <w:r w:rsidRPr="008D750B">
              <w:rPr>
                <w:spacing w:val="-10"/>
                <w:sz w:val="26"/>
                <w:szCs w:val="26"/>
                <w:rtl/>
              </w:rPr>
              <w:t xml:space="preserve"> </w:t>
            </w:r>
            <w:r w:rsidRPr="008D750B">
              <w:rPr>
                <w:rFonts w:hint="eastAsia"/>
                <w:spacing w:val="-10"/>
                <w:sz w:val="26"/>
                <w:szCs w:val="26"/>
                <w:rtl/>
              </w:rPr>
              <w:t>₪</w:t>
            </w:r>
          </w:p>
        </w:tc>
        <w:tc>
          <w:tcPr>
            <w:tcW w:w="278" w:type="dxa"/>
            <w:vAlign w:val="bottom"/>
          </w:tcPr>
          <w:p w14:paraId="63C1F9B4" w14:textId="77777777" w:rsidR="009E4DC9" w:rsidRDefault="009E4DC9" w:rsidP="008D0519">
            <w:pPr>
              <w:spacing w:after="60" w:line="240" w:lineRule="auto"/>
              <w:rPr>
                <w:rtl/>
              </w:rPr>
            </w:pPr>
          </w:p>
        </w:tc>
        <w:tc>
          <w:tcPr>
            <w:tcW w:w="1701" w:type="dxa"/>
            <w:tcBorders>
              <w:bottom w:val="single" w:sz="12" w:space="0" w:color="auto"/>
            </w:tcBorders>
            <w:vAlign w:val="bottom"/>
          </w:tcPr>
          <w:p w14:paraId="2395618F" w14:textId="77777777" w:rsidR="009E4DC9" w:rsidRPr="00A503C9" w:rsidRDefault="009E4DC9" w:rsidP="008D0519">
            <w:pPr>
              <w:pStyle w:val="2021"/>
              <w:spacing w:after="60"/>
              <w:rPr>
                <w:b w:val="0"/>
                <w:bCs w:val="0"/>
                <w:spacing w:val="-10"/>
                <w:sz w:val="18"/>
                <w:szCs w:val="18"/>
                <w:rtl/>
              </w:rPr>
            </w:pPr>
            <w:r w:rsidRPr="008D750B">
              <w:rPr>
                <w:spacing w:val="-10"/>
                <w:rtl/>
              </w:rPr>
              <w:t>265.4</w:t>
            </w:r>
            <w:r w:rsidRPr="0071152C">
              <w:rPr>
                <w:spacing w:val="-10"/>
                <w:rtl/>
              </w:rPr>
              <w:t xml:space="preserve"> </w:t>
            </w:r>
            <w:r w:rsidRPr="008D750B">
              <w:rPr>
                <w:rFonts w:hint="eastAsia"/>
                <w:spacing w:val="-10"/>
                <w:sz w:val="26"/>
                <w:szCs w:val="26"/>
                <w:rtl/>
              </w:rPr>
              <w:t>מיליארד</w:t>
            </w:r>
            <w:r w:rsidRPr="008D750B">
              <w:rPr>
                <w:spacing w:val="-10"/>
                <w:sz w:val="26"/>
                <w:szCs w:val="26"/>
                <w:rtl/>
              </w:rPr>
              <w:t xml:space="preserve"> ₪</w:t>
            </w:r>
            <w:r w:rsidRPr="0071152C">
              <w:rPr>
                <w:spacing w:val="-10"/>
                <w:sz w:val="28"/>
                <w:szCs w:val="28"/>
                <w:rtl/>
              </w:rPr>
              <w:t xml:space="preserve"> </w:t>
            </w:r>
          </w:p>
        </w:tc>
      </w:tr>
      <w:tr w:rsidR="009E4DC9" w14:paraId="388EF35B" w14:textId="77777777" w:rsidTr="008D0519">
        <w:tc>
          <w:tcPr>
            <w:tcW w:w="1531" w:type="dxa"/>
            <w:tcBorders>
              <w:top w:val="single" w:sz="12" w:space="0" w:color="auto"/>
            </w:tcBorders>
          </w:tcPr>
          <w:p w14:paraId="2282886A" w14:textId="77777777" w:rsidR="009E4DC9" w:rsidRPr="008D750B" w:rsidRDefault="009E4DC9" w:rsidP="008D0519">
            <w:pPr>
              <w:pStyle w:val="20211"/>
              <w:spacing w:before="60" w:after="360"/>
              <w:rPr>
                <w:rtl/>
              </w:rPr>
            </w:pPr>
            <w:r w:rsidRPr="008450FA">
              <w:rPr>
                <w:rFonts w:hint="cs"/>
                <w:rtl/>
              </w:rPr>
              <w:t>היקף התוכנית של</w:t>
            </w:r>
            <w:r w:rsidRPr="008450FA">
              <w:rPr>
                <w:rFonts w:hint="cs"/>
              </w:rPr>
              <w:t xml:space="preserve"> </w:t>
            </w:r>
            <w:r w:rsidRPr="008450FA">
              <w:rPr>
                <w:rFonts w:hint="cs"/>
                <w:rtl/>
              </w:rPr>
              <w:t xml:space="preserve">בנק ישראל לקשירת עסקאות </w:t>
            </w:r>
            <w:r>
              <w:rPr>
                <w:rFonts w:hint="cs"/>
                <w:rtl/>
              </w:rPr>
              <w:t xml:space="preserve">החלף </w:t>
            </w:r>
            <w:r w:rsidRPr="008450FA">
              <w:t>(S</w:t>
            </w:r>
            <w:r>
              <w:t>wap</w:t>
            </w:r>
            <w:r w:rsidRPr="008450FA">
              <w:t>)</w:t>
            </w:r>
            <w:r w:rsidRPr="00CB3F32">
              <w:rPr>
                <w:rStyle w:val="1c"/>
                <w:rtl/>
              </w:rPr>
              <w:footnoteReference w:id="1"/>
            </w:r>
            <w:r w:rsidRPr="008450FA">
              <w:rPr>
                <w:rFonts w:hint="cs"/>
              </w:rPr>
              <w:t xml:space="preserve"> </w:t>
            </w:r>
            <w:r w:rsidRPr="008450FA">
              <w:rPr>
                <w:rFonts w:hint="cs"/>
                <w:rtl/>
              </w:rPr>
              <w:t>לפירעון מול בנקים מקומיים</w:t>
            </w:r>
          </w:p>
        </w:tc>
        <w:tc>
          <w:tcPr>
            <w:tcW w:w="278" w:type="dxa"/>
          </w:tcPr>
          <w:p w14:paraId="04B80C4C" w14:textId="77777777" w:rsidR="009E4DC9" w:rsidRPr="008D750B" w:rsidRDefault="009E4DC9" w:rsidP="008D0519">
            <w:pPr>
              <w:spacing w:before="6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23BC8585" w14:textId="77777777" w:rsidR="009E4DC9" w:rsidRPr="00B107AF" w:rsidRDefault="009E4DC9" w:rsidP="008D0519">
            <w:pPr>
              <w:pStyle w:val="20211"/>
              <w:spacing w:before="60" w:after="360"/>
              <w:rPr>
                <w:rtl/>
              </w:rPr>
            </w:pPr>
            <w:r w:rsidRPr="008450FA">
              <w:rPr>
                <w:rFonts w:hint="cs"/>
                <w:rtl/>
              </w:rPr>
              <w:t>היקף התוכנית של בנק ישראל לרכישת אג"ח של ממשלת ישראל בשוק המשני</w:t>
            </w:r>
          </w:p>
        </w:tc>
        <w:tc>
          <w:tcPr>
            <w:tcW w:w="279" w:type="dxa"/>
          </w:tcPr>
          <w:p w14:paraId="125B04DA" w14:textId="77777777" w:rsidR="009E4DC9" w:rsidRPr="008D750B" w:rsidRDefault="009E4DC9" w:rsidP="008D0519">
            <w:pPr>
              <w:spacing w:before="60" w:after="360"/>
              <w:rPr>
                <w:rFonts w:ascii="Tahoma" w:eastAsiaTheme="minorEastAsia" w:hAnsi="Tahoma" w:cs="Tahoma"/>
                <w:color w:val="0D0D0D" w:themeColor="text1" w:themeTint="F2"/>
                <w:w w:val="90"/>
                <w:sz w:val="18"/>
                <w:szCs w:val="18"/>
                <w:rtl/>
              </w:rPr>
            </w:pPr>
          </w:p>
        </w:tc>
        <w:tc>
          <w:tcPr>
            <w:tcW w:w="1814" w:type="dxa"/>
            <w:tcBorders>
              <w:top w:val="single" w:sz="12" w:space="0" w:color="auto"/>
            </w:tcBorders>
          </w:tcPr>
          <w:p w14:paraId="48D5E840" w14:textId="77777777" w:rsidR="009E4DC9" w:rsidRPr="00B107AF" w:rsidRDefault="009E4DC9" w:rsidP="008D0519">
            <w:pPr>
              <w:pStyle w:val="20211"/>
              <w:spacing w:before="60" w:after="360"/>
              <w:rPr>
                <w:rtl/>
              </w:rPr>
            </w:pPr>
            <w:r w:rsidRPr="008450FA">
              <w:rPr>
                <w:rFonts w:hint="cs"/>
                <w:rtl/>
              </w:rPr>
              <w:t>סכום הבקשות לקבלת הלוואות בכלל הקרנות להלוואות בערבות המדינה</w:t>
            </w:r>
          </w:p>
        </w:tc>
        <w:tc>
          <w:tcPr>
            <w:tcW w:w="278" w:type="dxa"/>
          </w:tcPr>
          <w:p w14:paraId="513BBCE9" w14:textId="77777777" w:rsidR="009E4DC9" w:rsidRPr="008D750B" w:rsidRDefault="009E4DC9" w:rsidP="008D0519">
            <w:pPr>
              <w:spacing w:before="60" w:after="360"/>
              <w:rPr>
                <w:rFonts w:ascii="Tahoma" w:eastAsiaTheme="minorEastAsia" w:hAnsi="Tahoma" w:cs="Tahoma"/>
                <w:color w:val="0D0D0D" w:themeColor="text1" w:themeTint="F2"/>
                <w:w w:val="90"/>
                <w:sz w:val="18"/>
                <w:szCs w:val="18"/>
                <w:rtl/>
              </w:rPr>
            </w:pPr>
          </w:p>
        </w:tc>
        <w:tc>
          <w:tcPr>
            <w:tcW w:w="1701" w:type="dxa"/>
            <w:tcBorders>
              <w:top w:val="single" w:sz="12" w:space="0" w:color="auto"/>
            </w:tcBorders>
          </w:tcPr>
          <w:p w14:paraId="7BCB126E" w14:textId="77777777" w:rsidR="009E4DC9" w:rsidRDefault="009E4DC9" w:rsidP="008D0519">
            <w:pPr>
              <w:pStyle w:val="20211"/>
              <w:spacing w:before="60" w:after="360"/>
              <w:rPr>
                <w:rtl/>
              </w:rPr>
            </w:pPr>
            <w:r w:rsidRPr="008450FA">
              <w:rPr>
                <w:rFonts w:hint="cs"/>
                <w:rtl/>
              </w:rPr>
              <w:t>היקף הגיוסים של החשב הכללי בארץ ובחו"ל במהלך 2020 שנועד, בין היתר, למימון הסיוע הממשלתי במשבר הקורונה</w:t>
            </w:r>
          </w:p>
        </w:tc>
      </w:tr>
      <w:tr w:rsidR="009E4DC9" w:rsidRPr="008D750B" w14:paraId="04B5C596" w14:textId="77777777" w:rsidTr="008D0519">
        <w:tc>
          <w:tcPr>
            <w:tcW w:w="1531" w:type="dxa"/>
            <w:tcBorders>
              <w:bottom w:val="single" w:sz="12" w:space="0" w:color="auto"/>
            </w:tcBorders>
            <w:vAlign w:val="bottom"/>
          </w:tcPr>
          <w:p w14:paraId="5F1ACB64" w14:textId="77777777" w:rsidR="009E4DC9" w:rsidRPr="004562F8" w:rsidRDefault="009E4DC9" w:rsidP="008D0519">
            <w:pPr>
              <w:pStyle w:val="2021"/>
              <w:spacing w:after="60"/>
              <w:rPr>
                <w:b w:val="0"/>
                <w:bCs w:val="0"/>
                <w:rtl/>
              </w:rPr>
            </w:pPr>
            <w:r w:rsidRPr="008D750B">
              <w:rPr>
                <w:spacing w:val="-10"/>
                <w:rtl/>
              </w:rPr>
              <w:t>14.2%</w:t>
            </w:r>
          </w:p>
        </w:tc>
        <w:tc>
          <w:tcPr>
            <w:tcW w:w="278" w:type="dxa"/>
            <w:vAlign w:val="bottom"/>
          </w:tcPr>
          <w:p w14:paraId="21F9934C" w14:textId="77777777" w:rsidR="009E4DC9" w:rsidRDefault="009E4DC9" w:rsidP="008D0519">
            <w:pPr>
              <w:spacing w:after="60"/>
              <w:rPr>
                <w:rtl/>
              </w:rPr>
            </w:pPr>
          </w:p>
        </w:tc>
        <w:tc>
          <w:tcPr>
            <w:tcW w:w="1531" w:type="dxa"/>
            <w:tcBorders>
              <w:bottom w:val="single" w:sz="12" w:space="0" w:color="auto"/>
            </w:tcBorders>
            <w:vAlign w:val="bottom"/>
          </w:tcPr>
          <w:p w14:paraId="7E948786" w14:textId="77777777" w:rsidR="009E4DC9" w:rsidRPr="008D750B" w:rsidRDefault="009E4DC9" w:rsidP="008D0519">
            <w:pPr>
              <w:pStyle w:val="2021"/>
              <w:spacing w:after="60"/>
              <w:rPr>
                <w:spacing w:val="-10"/>
                <w:rtl/>
              </w:rPr>
            </w:pPr>
            <w:r w:rsidRPr="008D750B">
              <w:rPr>
                <w:spacing w:val="-10"/>
                <w:rtl/>
              </w:rPr>
              <w:t>12.4%</w:t>
            </w:r>
          </w:p>
        </w:tc>
        <w:tc>
          <w:tcPr>
            <w:tcW w:w="279" w:type="dxa"/>
            <w:vAlign w:val="bottom"/>
          </w:tcPr>
          <w:p w14:paraId="2320135F" w14:textId="77777777" w:rsidR="009E4DC9" w:rsidRDefault="009E4DC9" w:rsidP="008D0519">
            <w:pPr>
              <w:spacing w:after="60"/>
              <w:rPr>
                <w:rtl/>
              </w:rPr>
            </w:pPr>
          </w:p>
        </w:tc>
        <w:tc>
          <w:tcPr>
            <w:tcW w:w="1814" w:type="dxa"/>
            <w:tcBorders>
              <w:bottom w:val="single" w:sz="12" w:space="0" w:color="auto"/>
            </w:tcBorders>
            <w:vAlign w:val="bottom"/>
          </w:tcPr>
          <w:p w14:paraId="2093E860" w14:textId="77777777" w:rsidR="009E4DC9" w:rsidRPr="004562F8" w:rsidRDefault="009E4DC9" w:rsidP="008D0519">
            <w:pPr>
              <w:pStyle w:val="2021"/>
              <w:spacing w:after="60"/>
              <w:rPr>
                <w:b w:val="0"/>
                <w:bCs w:val="0"/>
                <w:rtl/>
              </w:rPr>
            </w:pPr>
            <w:r w:rsidRPr="008D750B">
              <w:rPr>
                <w:spacing w:val="-10"/>
                <w:rtl/>
              </w:rPr>
              <w:t>75</w:t>
            </w:r>
            <w:r w:rsidRPr="008450FA">
              <w:rPr>
                <w:spacing w:val="-28"/>
                <w:rtl/>
              </w:rPr>
              <w:t>.</w:t>
            </w:r>
            <w:r w:rsidRPr="008D750B">
              <w:rPr>
                <w:spacing w:val="-10"/>
                <w:rtl/>
              </w:rPr>
              <w:t>2%</w:t>
            </w:r>
          </w:p>
        </w:tc>
        <w:tc>
          <w:tcPr>
            <w:tcW w:w="278" w:type="dxa"/>
            <w:vAlign w:val="bottom"/>
          </w:tcPr>
          <w:p w14:paraId="65465B94" w14:textId="77777777" w:rsidR="009E4DC9" w:rsidRPr="008D750B" w:rsidRDefault="009E4DC9" w:rsidP="008D0519">
            <w:pPr>
              <w:pStyle w:val="2021"/>
              <w:spacing w:after="60"/>
              <w:rPr>
                <w:spacing w:val="-10"/>
                <w:rtl/>
              </w:rPr>
            </w:pPr>
          </w:p>
        </w:tc>
        <w:tc>
          <w:tcPr>
            <w:tcW w:w="1701" w:type="dxa"/>
            <w:tcBorders>
              <w:bottom w:val="single" w:sz="12" w:space="0" w:color="auto"/>
            </w:tcBorders>
            <w:vAlign w:val="bottom"/>
          </w:tcPr>
          <w:p w14:paraId="57341927" w14:textId="77777777" w:rsidR="009E4DC9" w:rsidRPr="008D750B" w:rsidRDefault="009E4DC9" w:rsidP="008D0519">
            <w:pPr>
              <w:pStyle w:val="2021"/>
              <w:spacing w:after="60"/>
              <w:rPr>
                <w:spacing w:val="-10"/>
                <w:rtl/>
              </w:rPr>
            </w:pPr>
            <w:r w:rsidRPr="008D750B">
              <w:rPr>
                <w:spacing w:val="-10"/>
                <w:rtl/>
              </w:rPr>
              <w:t xml:space="preserve">113,589 </w:t>
            </w:r>
          </w:p>
        </w:tc>
      </w:tr>
      <w:tr w:rsidR="009E4DC9" w:rsidRPr="004562F8" w14:paraId="63138E86" w14:textId="77777777" w:rsidTr="008D0519">
        <w:tc>
          <w:tcPr>
            <w:tcW w:w="1531" w:type="dxa"/>
            <w:tcBorders>
              <w:top w:val="single" w:sz="12" w:space="0" w:color="auto"/>
            </w:tcBorders>
          </w:tcPr>
          <w:p w14:paraId="4C69CBDB" w14:textId="77777777" w:rsidR="009E4DC9" w:rsidRPr="004562F8" w:rsidRDefault="009E4DC9" w:rsidP="008D0519">
            <w:pPr>
              <w:pStyle w:val="20211"/>
              <w:spacing w:before="60"/>
              <w:rPr>
                <w:rtl/>
              </w:rPr>
            </w:pPr>
            <w:r w:rsidRPr="008450FA">
              <w:rPr>
                <w:rFonts w:hint="eastAsia"/>
                <w:rtl/>
              </w:rPr>
              <w:t>שיעור</w:t>
            </w:r>
            <w:r w:rsidRPr="008450FA">
              <w:rPr>
                <w:rtl/>
              </w:rPr>
              <w:t xml:space="preserve"> </w:t>
            </w:r>
            <w:r w:rsidRPr="008450FA">
              <w:rPr>
                <w:rFonts w:hint="eastAsia"/>
                <w:rtl/>
              </w:rPr>
              <w:t>הבקשות</w:t>
            </w:r>
            <w:r w:rsidRPr="008450FA">
              <w:rPr>
                <w:rtl/>
              </w:rPr>
              <w:t xml:space="preserve"> </w:t>
            </w:r>
            <w:r w:rsidRPr="008450FA">
              <w:rPr>
                <w:rFonts w:hint="eastAsia"/>
                <w:rtl/>
              </w:rPr>
              <w:t>לקבלת</w:t>
            </w:r>
            <w:r w:rsidRPr="008450FA">
              <w:rPr>
                <w:rtl/>
              </w:rPr>
              <w:t xml:space="preserve"> </w:t>
            </w:r>
            <w:r w:rsidRPr="008450FA">
              <w:rPr>
                <w:rFonts w:hint="eastAsia"/>
                <w:rtl/>
              </w:rPr>
              <w:t>הלוואה</w:t>
            </w:r>
            <w:r w:rsidRPr="008450FA">
              <w:rPr>
                <w:rtl/>
              </w:rPr>
              <w:t xml:space="preserve"> </w:t>
            </w:r>
            <w:r w:rsidRPr="008450FA">
              <w:rPr>
                <w:rFonts w:hint="eastAsia"/>
                <w:rtl/>
              </w:rPr>
              <w:t>שהוגשו</w:t>
            </w:r>
            <w:r w:rsidRPr="008450FA">
              <w:rPr>
                <w:rtl/>
              </w:rPr>
              <w:t xml:space="preserve"> </w:t>
            </w:r>
            <w:r w:rsidRPr="008450FA">
              <w:rPr>
                <w:rFonts w:hint="eastAsia"/>
                <w:rtl/>
              </w:rPr>
              <w:t>לקרנות</w:t>
            </w:r>
            <w:r w:rsidRPr="008450FA">
              <w:rPr>
                <w:rtl/>
              </w:rPr>
              <w:t xml:space="preserve"> </w:t>
            </w:r>
            <w:r w:rsidRPr="008450FA">
              <w:rPr>
                <w:rFonts w:hint="eastAsia"/>
                <w:rtl/>
              </w:rPr>
              <w:t>בערבות</w:t>
            </w:r>
            <w:r w:rsidRPr="008450FA">
              <w:rPr>
                <w:rtl/>
              </w:rPr>
              <w:t xml:space="preserve"> </w:t>
            </w:r>
            <w:r w:rsidRPr="008450FA">
              <w:rPr>
                <w:rFonts w:hint="eastAsia"/>
                <w:rtl/>
              </w:rPr>
              <w:t>המדינה</w:t>
            </w:r>
            <w:r w:rsidRPr="008450FA">
              <w:rPr>
                <w:rtl/>
              </w:rPr>
              <w:t xml:space="preserve"> </w:t>
            </w:r>
            <w:r w:rsidRPr="008450FA">
              <w:rPr>
                <w:rFonts w:hint="eastAsia"/>
                <w:rtl/>
              </w:rPr>
              <w:t>במסלול</w:t>
            </w:r>
            <w:r w:rsidRPr="008450FA">
              <w:rPr>
                <w:rtl/>
              </w:rPr>
              <w:t xml:space="preserve"> </w:t>
            </w:r>
            <w:r w:rsidRPr="008450FA">
              <w:rPr>
                <w:rFonts w:hint="eastAsia"/>
                <w:rtl/>
              </w:rPr>
              <w:t>הרגיל</w:t>
            </w:r>
            <w:r w:rsidRPr="008450FA">
              <w:rPr>
                <w:rFonts w:hint="cs"/>
                <w:rtl/>
              </w:rPr>
              <w:t>,</w:t>
            </w:r>
            <w:r w:rsidRPr="008450FA">
              <w:rPr>
                <w:rtl/>
              </w:rPr>
              <w:t xml:space="preserve"> ונענו במלואן</w:t>
            </w:r>
          </w:p>
        </w:tc>
        <w:tc>
          <w:tcPr>
            <w:tcW w:w="278" w:type="dxa"/>
          </w:tcPr>
          <w:p w14:paraId="11BE6B86" w14:textId="77777777" w:rsidR="009E4DC9" w:rsidRPr="008D750B" w:rsidRDefault="009E4DC9" w:rsidP="008D0519">
            <w:pPr>
              <w:spacing w:before="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512FBAC9" w14:textId="77777777" w:rsidR="009E4DC9" w:rsidRPr="004562F8" w:rsidRDefault="009E4DC9" w:rsidP="008D0519">
            <w:pPr>
              <w:pStyle w:val="20211"/>
              <w:spacing w:before="60"/>
              <w:rPr>
                <w:rtl/>
              </w:rPr>
            </w:pPr>
            <w:r w:rsidRPr="008450FA">
              <w:rPr>
                <w:rFonts w:hint="eastAsia"/>
                <w:rtl/>
              </w:rPr>
              <w:t>שיעור</w:t>
            </w:r>
            <w:r w:rsidRPr="008450FA">
              <w:rPr>
                <w:rtl/>
              </w:rPr>
              <w:t xml:space="preserve"> </w:t>
            </w:r>
            <w:r w:rsidRPr="008450FA">
              <w:rPr>
                <w:rFonts w:hint="eastAsia"/>
                <w:rtl/>
              </w:rPr>
              <w:t>הבקשות</w:t>
            </w:r>
            <w:r w:rsidRPr="008450FA">
              <w:rPr>
                <w:rtl/>
              </w:rPr>
              <w:t xml:space="preserve"> </w:t>
            </w:r>
            <w:r w:rsidRPr="008450FA">
              <w:rPr>
                <w:rFonts w:hint="eastAsia"/>
                <w:rtl/>
              </w:rPr>
              <w:t>לקבלת</w:t>
            </w:r>
            <w:r w:rsidRPr="008450FA">
              <w:rPr>
                <w:rtl/>
              </w:rPr>
              <w:t xml:space="preserve"> </w:t>
            </w:r>
            <w:r w:rsidRPr="008450FA">
              <w:rPr>
                <w:rFonts w:hint="eastAsia"/>
                <w:rtl/>
              </w:rPr>
              <w:t>הלוואה</w:t>
            </w:r>
            <w:r w:rsidRPr="008450FA">
              <w:rPr>
                <w:rtl/>
              </w:rPr>
              <w:t xml:space="preserve"> </w:t>
            </w:r>
            <w:r w:rsidRPr="008450FA">
              <w:rPr>
                <w:rFonts w:hint="eastAsia"/>
                <w:rtl/>
              </w:rPr>
              <w:t>שהוגשו</w:t>
            </w:r>
            <w:r w:rsidRPr="008450FA">
              <w:rPr>
                <w:rtl/>
              </w:rPr>
              <w:t xml:space="preserve"> </w:t>
            </w:r>
            <w:r w:rsidRPr="008450FA">
              <w:rPr>
                <w:rFonts w:hint="eastAsia"/>
                <w:rtl/>
              </w:rPr>
              <w:t>לקרנות</w:t>
            </w:r>
            <w:r w:rsidRPr="008450FA">
              <w:rPr>
                <w:rtl/>
              </w:rPr>
              <w:t xml:space="preserve"> </w:t>
            </w:r>
            <w:r w:rsidRPr="008450FA">
              <w:rPr>
                <w:rFonts w:hint="eastAsia"/>
                <w:rtl/>
              </w:rPr>
              <w:t>בערבות</w:t>
            </w:r>
            <w:r w:rsidRPr="008450FA">
              <w:rPr>
                <w:rtl/>
              </w:rPr>
              <w:t xml:space="preserve"> </w:t>
            </w:r>
            <w:r w:rsidRPr="008450FA">
              <w:rPr>
                <w:rFonts w:hint="eastAsia"/>
                <w:rtl/>
              </w:rPr>
              <w:t>המדינה</w:t>
            </w:r>
            <w:r w:rsidRPr="008450FA">
              <w:rPr>
                <w:rtl/>
              </w:rPr>
              <w:t xml:space="preserve"> </w:t>
            </w:r>
            <w:r w:rsidRPr="008450FA">
              <w:rPr>
                <w:rFonts w:hint="eastAsia"/>
                <w:rtl/>
              </w:rPr>
              <w:t>במסלול</w:t>
            </w:r>
            <w:r w:rsidRPr="008450FA">
              <w:rPr>
                <w:rtl/>
              </w:rPr>
              <w:t xml:space="preserve"> </w:t>
            </w:r>
            <w:r w:rsidRPr="008450FA">
              <w:rPr>
                <w:rFonts w:hint="eastAsia"/>
                <w:rtl/>
              </w:rPr>
              <w:t>המוגבר</w:t>
            </w:r>
            <w:r w:rsidRPr="008450FA">
              <w:rPr>
                <w:rFonts w:hint="cs"/>
                <w:rtl/>
              </w:rPr>
              <w:t>,</w:t>
            </w:r>
            <w:r w:rsidRPr="008450FA">
              <w:rPr>
                <w:rtl/>
              </w:rPr>
              <w:t xml:space="preserve"> ונענו במלואן</w:t>
            </w:r>
          </w:p>
        </w:tc>
        <w:tc>
          <w:tcPr>
            <w:tcW w:w="279" w:type="dxa"/>
          </w:tcPr>
          <w:p w14:paraId="2F1D9952" w14:textId="77777777" w:rsidR="009E4DC9" w:rsidRDefault="009E4DC9" w:rsidP="008D0519">
            <w:pPr>
              <w:spacing w:before="60"/>
              <w:rPr>
                <w:rtl/>
              </w:rPr>
            </w:pPr>
          </w:p>
        </w:tc>
        <w:tc>
          <w:tcPr>
            <w:tcW w:w="1814" w:type="dxa"/>
            <w:tcBorders>
              <w:top w:val="single" w:sz="12" w:space="0" w:color="auto"/>
            </w:tcBorders>
          </w:tcPr>
          <w:p w14:paraId="1D8FB2A3" w14:textId="77777777" w:rsidR="009E4DC9" w:rsidRPr="004562F8" w:rsidRDefault="009E4DC9" w:rsidP="008D0519">
            <w:pPr>
              <w:pStyle w:val="20211"/>
              <w:spacing w:before="60"/>
              <w:rPr>
                <w:rtl/>
              </w:rPr>
            </w:pPr>
            <w:r w:rsidRPr="008450FA">
              <w:rPr>
                <w:rFonts w:hint="cs"/>
                <w:rtl/>
              </w:rPr>
              <w:t xml:space="preserve">שיעור הבקשות שאושרו בקרנות להלוואה בערבות מדינה, מתוך הבקשות שהומלצו לאישור, בבדיקה חוזרת של הגופים המתאמים </w:t>
            </w:r>
          </w:p>
        </w:tc>
        <w:tc>
          <w:tcPr>
            <w:tcW w:w="278" w:type="dxa"/>
          </w:tcPr>
          <w:p w14:paraId="2CC4D482" w14:textId="77777777" w:rsidR="009E4DC9" w:rsidRDefault="009E4DC9" w:rsidP="008D0519">
            <w:pPr>
              <w:spacing w:before="60"/>
              <w:rPr>
                <w:rtl/>
              </w:rPr>
            </w:pPr>
          </w:p>
        </w:tc>
        <w:tc>
          <w:tcPr>
            <w:tcW w:w="1701" w:type="dxa"/>
            <w:tcBorders>
              <w:top w:val="single" w:sz="12" w:space="0" w:color="auto"/>
            </w:tcBorders>
          </w:tcPr>
          <w:p w14:paraId="16194909" w14:textId="77777777" w:rsidR="009E4DC9" w:rsidRPr="004562F8" w:rsidRDefault="009E4DC9" w:rsidP="008D0519">
            <w:pPr>
              <w:pStyle w:val="20211"/>
              <w:spacing w:before="60"/>
              <w:rPr>
                <w:sz w:val="19"/>
                <w:szCs w:val="19"/>
                <w:rtl/>
              </w:rPr>
            </w:pPr>
            <w:r w:rsidRPr="008450FA">
              <w:rPr>
                <w:rFonts w:hint="cs"/>
                <w:rtl/>
              </w:rPr>
              <w:t>המספר הכולל של בקשות שהוגשו לקבלת הלוואות מהקרנות להלוואות בערבות מדינה</w:t>
            </w:r>
          </w:p>
        </w:tc>
      </w:tr>
    </w:tbl>
    <w:p w14:paraId="5D4E470A" w14:textId="77777777" w:rsidR="009E4DC9" w:rsidRDefault="009E4DC9" w:rsidP="00F92733">
      <w:pPr>
        <w:pStyle w:val="100"/>
        <w:tabs>
          <w:tab w:val="center" w:pos="3685"/>
        </w:tabs>
        <w:spacing w:after="0" w:line="240" w:lineRule="exact"/>
        <w:rPr>
          <w:b/>
          <w:bCs/>
          <w:color w:val="00305F"/>
          <w:sz w:val="32"/>
          <w:szCs w:val="32"/>
          <w:rtl/>
        </w:rPr>
      </w:pPr>
    </w:p>
    <w:p w14:paraId="71CD4F8A" w14:textId="454E0623"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A6EF46" id="Group 45" o:spid="_x0000_s1026" style="position:absolute;left:0;text-align:left;margin-left:-3.75pt;margin-top:3.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3D2EC60A" w:rsidR="00F92733" w:rsidRDefault="00F92733" w:rsidP="00F92733">
      <w:pPr>
        <w:pStyle w:val="71f1"/>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44F" w:rsidRPr="00F3444F">
        <w:rPr>
          <w:rStyle w:val="7191"/>
          <w:rtl/>
        </w:rPr>
        <w:t xml:space="preserve">בחודשים </w:t>
      </w:r>
      <w:r w:rsidR="00F3444F" w:rsidRPr="00F3444F">
        <w:rPr>
          <w:rStyle w:val="7191"/>
          <w:rFonts w:hint="cs"/>
          <w:rtl/>
        </w:rPr>
        <w:t>מרץ</w:t>
      </w:r>
      <w:r w:rsidR="00F3444F" w:rsidRPr="00F3444F">
        <w:rPr>
          <w:rStyle w:val="7191"/>
          <w:rtl/>
        </w:rPr>
        <w:t>-</w:t>
      </w:r>
      <w:r w:rsidR="00F3444F" w:rsidRPr="00F3444F">
        <w:rPr>
          <w:rStyle w:val="7191"/>
          <w:rFonts w:hint="cs"/>
          <w:rtl/>
        </w:rPr>
        <w:t>דצמבר</w:t>
      </w:r>
      <w:r w:rsidR="00F3444F" w:rsidRPr="00F3444F">
        <w:rPr>
          <w:rStyle w:val="7191"/>
          <w:rtl/>
        </w:rPr>
        <w:t xml:space="preserve"> </w:t>
      </w:r>
      <w:r w:rsidR="00F3444F" w:rsidRPr="00F3444F">
        <w:rPr>
          <w:rStyle w:val="7191"/>
          <w:rFonts w:hint="cs"/>
          <w:rtl/>
        </w:rPr>
        <w:t>2020</w:t>
      </w:r>
      <w:r w:rsidR="00F3444F" w:rsidRPr="00F3444F">
        <w:rPr>
          <w:rStyle w:val="7191"/>
          <w:rtl/>
        </w:rPr>
        <w:t xml:space="preserve"> בדק משרד מבקר המדינה </w:t>
      </w:r>
      <w:r w:rsidR="00F3444F" w:rsidRPr="00F3444F">
        <w:rPr>
          <w:rStyle w:val="7191"/>
          <w:rFonts w:hint="cs"/>
          <w:rtl/>
        </w:rPr>
        <w:t>את השירותים הפיננסיים והאשראי שניתן לציבור במשבר הקורונה ואת חוסנם של הגופים הפיננסיים במהלך המשבר</w:t>
      </w:r>
      <w:r w:rsidR="00F3444F" w:rsidRPr="00F3444F">
        <w:rPr>
          <w:rStyle w:val="7191"/>
          <w:rtl/>
        </w:rPr>
        <w:t>.</w:t>
      </w:r>
      <w:r w:rsidR="00F3444F" w:rsidRPr="00F3444F">
        <w:rPr>
          <w:rStyle w:val="7191"/>
          <w:rFonts w:hint="cs"/>
          <w:rtl/>
        </w:rPr>
        <w:t xml:space="preserve"> </w:t>
      </w:r>
      <w:r w:rsidR="00F3444F" w:rsidRPr="00F3444F">
        <w:rPr>
          <w:rStyle w:val="7191"/>
          <w:rtl/>
        </w:rPr>
        <w:t xml:space="preserve">הבדיקה נעשתה </w:t>
      </w:r>
      <w:r w:rsidR="00F3444F" w:rsidRPr="00F3444F">
        <w:rPr>
          <w:rStyle w:val="7191"/>
          <w:rFonts w:hint="cs"/>
          <w:rtl/>
        </w:rPr>
        <w:t>בבנק ישראל, ברשות שוק ההון, ביטוח וחיסכון (רשות שוק ההון), ברשות ניירות ערך (רשות ני"ע)  ו</w:t>
      </w:r>
      <w:r w:rsidR="00F3444F" w:rsidRPr="00F3444F">
        <w:rPr>
          <w:rStyle w:val="7191"/>
          <w:rtl/>
        </w:rPr>
        <w:t xml:space="preserve">באגף החשב הכללי </w:t>
      </w:r>
      <w:r w:rsidR="00F3444F" w:rsidRPr="00F3444F">
        <w:rPr>
          <w:rStyle w:val="7191"/>
          <w:rFonts w:hint="cs"/>
          <w:rtl/>
        </w:rPr>
        <w:t>(</w:t>
      </w:r>
      <w:proofErr w:type="spellStart"/>
      <w:r w:rsidR="00F3444F" w:rsidRPr="00F3444F">
        <w:rPr>
          <w:rStyle w:val="7191"/>
          <w:rFonts w:hint="cs"/>
          <w:rtl/>
        </w:rPr>
        <w:t>החשכ"ל</w:t>
      </w:r>
      <w:proofErr w:type="spellEnd"/>
      <w:r w:rsidR="00F3444F" w:rsidRPr="00F3444F">
        <w:rPr>
          <w:rStyle w:val="7191"/>
          <w:rFonts w:hint="cs"/>
          <w:rtl/>
        </w:rPr>
        <w:t xml:space="preserve">  או </w:t>
      </w:r>
      <w:r w:rsidR="00F3444F" w:rsidRPr="00F3444F">
        <w:rPr>
          <w:rStyle w:val="7191"/>
          <w:rtl/>
        </w:rPr>
        <w:t xml:space="preserve">אגף </w:t>
      </w:r>
      <w:proofErr w:type="spellStart"/>
      <w:r w:rsidR="00F3444F" w:rsidRPr="00F3444F">
        <w:rPr>
          <w:rStyle w:val="7191"/>
          <w:rtl/>
        </w:rPr>
        <w:t>החשכ“ל</w:t>
      </w:r>
      <w:proofErr w:type="spellEnd"/>
      <w:r w:rsidR="00F3444F" w:rsidRPr="00F3444F">
        <w:rPr>
          <w:rStyle w:val="7191"/>
          <w:rFonts w:hint="cs"/>
          <w:rtl/>
        </w:rPr>
        <w:t>)</w:t>
      </w:r>
      <w:r w:rsidR="00F3444F" w:rsidRPr="00F3444F">
        <w:rPr>
          <w:rStyle w:val="7191"/>
          <w:rtl/>
        </w:rPr>
        <w:t xml:space="preserve"> שבמשרד האוצר. בדיקות השלמה נעש</w:t>
      </w:r>
      <w:r w:rsidR="00F3444F" w:rsidRPr="00F3444F">
        <w:rPr>
          <w:rStyle w:val="7191"/>
          <w:rFonts w:hint="cs"/>
          <w:rtl/>
        </w:rPr>
        <w:t>ו ברשות המיסים</w:t>
      </w:r>
      <w:r>
        <w:rPr>
          <w:rFonts w:hint="cs"/>
          <w:rtl/>
        </w:rPr>
        <w:t>.</w:t>
      </w:r>
    </w:p>
    <w:p w14:paraId="6EAC5ED0" w14:textId="1120E513" w:rsidR="00F92733" w:rsidRDefault="00F92733" w:rsidP="00F92733">
      <w:pPr>
        <w:pStyle w:val="100"/>
        <w:tabs>
          <w:tab w:val="center" w:pos="3685"/>
        </w:tabs>
        <w:spacing w:after="0" w:line="240" w:lineRule="exact"/>
        <w:rPr>
          <w:rtl/>
        </w:rPr>
      </w:pPr>
    </w:p>
    <w:p w14:paraId="65BE4DCB" w14:textId="7FC92239"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1EE35FD0">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6F094594">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2F1F9"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32DBB0B3" w14:textId="5F680ED6" w:rsidR="00F92733" w:rsidRDefault="00F92733" w:rsidP="00F92733">
      <w:pPr>
        <w:pStyle w:val="71f1"/>
        <w:rPr>
          <w:b/>
          <w:bCs/>
          <w:rtl/>
        </w:rPr>
      </w:pPr>
    </w:p>
    <w:p w14:paraId="275504BA" w14:textId="6F0E22CE" w:rsidR="00F3444F" w:rsidRPr="00F3444F" w:rsidRDefault="00F3444F" w:rsidP="00F3444F">
      <w:pPr>
        <w:pStyle w:val="71f1"/>
      </w:pPr>
      <w:r w:rsidRPr="005E4866">
        <w:rPr>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3444F">
        <w:rPr>
          <w:rFonts w:hint="cs"/>
          <w:b/>
          <w:bCs/>
          <w:rtl/>
        </w:rPr>
        <w:t>שיתוף פעולה בין הגופים הפיננסיים</w:t>
      </w:r>
      <w:r w:rsidRPr="00F3444F">
        <w:rPr>
          <w:rFonts w:hint="cs"/>
          <w:rtl/>
        </w:rPr>
        <w:t xml:space="preserve"> - </w:t>
      </w:r>
      <w:r w:rsidRPr="00F3444F">
        <w:rPr>
          <w:rtl/>
        </w:rPr>
        <w:t>לא התקיי</w:t>
      </w:r>
      <w:r w:rsidRPr="00F3444F">
        <w:rPr>
          <w:rFonts w:hint="cs"/>
          <w:rtl/>
        </w:rPr>
        <w:t>ם</w:t>
      </w:r>
      <w:r w:rsidRPr="00F3444F">
        <w:rPr>
          <w:rtl/>
        </w:rPr>
        <w:t xml:space="preserve"> שיתו</w:t>
      </w:r>
      <w:r w:rsidRPr="00F3444F">
        <w:rPr>
          <w:rFonts w:hint="cs"/>
          <w:rtl/>
        </w:rPr>
        <w:t>ף</w:t>
      </w:r>
      <w:r w:rsidRPr="00F3444F">
        <w:rPr>
          <w:rtl/>
        </w:rPr>
        <w:t xml:space="preserve"> פעולה לזיהוי מוקדי פגיעה בין רשות המיסים ל</w:t>
      </w:r>
      <w:r w:rsidRPr="00F3444F">
        <w:rPr>
          <w:rFonts w:hint="cs"/>
          <w:rtl/>
        </w:rPr>
        <w:t xml:space="preserve">אגף </w:t>
      </w:r>
      <w:proofErr w:type="spellStart"/>
      <w:r w:rsidRPr="00F3444F">
        <w:rPr>
          <w:rFonts w:hint="cs"/>
          <w:rtl/>
        </w:rPr>
        <w:t>החשכ"ל</w:t>
      </w:r>
      <w:proofErr w:type="spellEnd"/>
      <w:r w:rsidRPr="00F3444F">
        <w:rPr>
          <w:rtl/>
        </w:rPr>
        <w:t xml:space="preserve"> </w:t>
      </w:r>
      <w:r w:rsidRPr="00F3444F">
        <w:rPr>
          <w:rFonts w:hint="cs"/>
          <w:rtl/>
        </w:rPr>
        <w:t>במטרה</w:t>
      </w:r>
      <w:r w:rsidRPr="00F3444F">
        <w:rPr>
          <w:rtl/>
        </w:rPr>
        <w:t xml:space="preserve"> לטייב את פעילות הקרנות</w:t>
      </w:r>
      <w:r w:rsidRPr="00F3444F">
        <w:rPr>
          <w:rFonts w:hint="cs"/>
          <w:rtl/>
        </w:rPr>
        <w:t xml:space="preserve"> להלוואה בערבות מדינה</w:t>
      </w:r>
      <w:r w:rsidRPr="00F3444F">
        <w:rPr>
          <w:rtl/>
        </w:rPr>
        <w:t xml:space="preserve"> ואת פעילותה של רשות המיסים</w:t>
      </w:r>
      <w:r w:rsidRPr="00F3444F">
        <w:rPr>
          <w:rFonts w:hint="cs"/>
          <w:rtl/>
        </w:rPr>
        <w:t xml:space="preserve">. בנוסף, שיתוף פעולה של בנק ישראל עם </w:t>
      </w:r>
      <w:proofErr w:type="spellStart"/>
      <w:r w:rsidRPr="00F3444F">
        <w:rPr>
          <w:rFonts w:hint="cs"/>
          <w:rtl/>
        </w:rPr>
        <w:t>החשכ"ל</w:t>
      </w:r>
      <w:proofErr w:type="spellEnd"/>
      <w:r w:rsidRPr="00F3444F">
        <w:rPr>
          <w:rFonts w:hint="cs"/>
          <w:rtl/>
        </w:rPr>
        <w:t xml:space="preserve"> בתהליך קבלת ההחלטות המאזנות בין גובה הערבויות לסיכון האשראי היה עשוי להביא תועלת רבה יותר בהשגת מטרות התוכניות </w:t>
      </w:r>
      <w:r w:rsidRPr="00F3444F">
        <w:rPr>
          <w:rFonts w:hint="eastAsia"/>
          <w:rtl/>
        </w:rPr>
        <w:t>שכן</w:t>
      </w:r>
      <w:r w:rsidRPr="00F3444F">
        <w:rPr>
          <w:rtl/>
        </w:rPr>
        <w:t>,</w:t>
      </w:r>
      <w:r w:rsidRPr="00F3444F">
        <w:rPr>
          <w:rFonts w:hint="cs"/>
          <w:rtl/>
        </w:rPr>
        <w:t xml:space="preserve"> שיתוף הפעולה עשוי ליצור הלימה מועילה יותר בין שיעור הריבית על האשראי, שהעמיד בנק ישראל לבנקים במסגרת התוכניות, לבין שיעור הערבות שהעמידה המדינה על האשראי הבנקאי שניתן לעסקים במסגרת הקרנות בערבות מדינה. </w:t>
      </w:r>
    </w:p>
    <w:p w14:paraId="5589E11A" w14:textId="49159C2C" w:rsidR="00F3444F" w:rsidRPr="00F3444F" w:rsidRDefault="00F92733" w:rsidP="00F3444F">
      <w:pPr>
        <w:pStyle w:val="71f1"/>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3444F" w:rsidRPr="00F3444F">
        <w:rPr>
          <w:rFonts w:hint="cs"/>
          <w:b/>
          <w:bCs/>
          <w:rtl/>
        </w:rPr>
        <w:t>חשיפה גבוהה של גופים מוסדיים לנגזרים בחו"ל</w:t>
      </w:r>
      <w:r w:rsidR="00F3444F" w:rsidRPr="00F3444F">
        <w:rPr>
          <w:rFonts w:hint="cs"/>
          <w:rtl/>
        </w:rPr>
        <w:t xml:space="preserve"> - חשיפת הגופים המוסדיים לנגזרים בחו"ל פגעה </w:t>
      </w:r>
      <w:r w:rsidR="00F3444F" w:rsidRPr="00F3444F">
        <w:rPr>
          <w:rtl/>
        </w:rPr>
        <w:t>בנזילות התיקים המנוהלים בעת המשבר</w:t>
      </w:r>
      <w:r w:rsidR="00F3444F" w:rsidRPr="00F3444F">
        <w:rPr>
          <w:rFonts w:hint="cs"/>
          <w:rtl/>
        </w:rPr>
        <w:t xml:space="preserve">. </w:t>
      </w:r>
      <w:r w:rsidR="00F3444F" w:rsidRPr="00F3444F">
        <w:rPr>
          <w:rFonts w:hint="eastAsia"/>
          <w:rtl/>
        </w:rPr>
        <w:t>חשיפה</w:t>
      </w:r>
      <w:r w:rsidR="00F3444F" w:rsidRPr="00F3444F">
        <w:rPr>
          <w:rtl/>
        </w:rPr>
        <w:t xml:space="preserve"> גבוהה של תיק ההשקעות מחייבת </w:t>
      </w:r>
      <w:r w:rsidR="00F3444F" w:rsidRPr="00F3444F">
        <w:rPr>
          <w:rFonts w:hint="eastAsia"/>
          <w:rtl/>
        </w:rPr>
        <w:t>בקרות</w:t>
      </w:r>
      <w:r w:rsidR="00F3444F" w:rsidRPr="00F3444F">
        <w:rPr>
          <w:rtl/>
        </w:rPr>
        <w:t xml:space="preserve"> </w:t>
      </w:r>
      <w:r w:rsidR="00F3444F" w:rsidRPr="00F3444F">
        <w:rPr>
          <w:rFonts w:hint="eastAsia"/>
          <w:rtl/>
        </w:rPr>
        <w:t>שוטפות</w:t>
      </w:r>
      <w:r w:rsidR="00F3444F" w:rsidRPr="00F3444F">
        <w:rPr>
          <w:rFonts w:hint="cs"/>
          <w:rtl/>
        </w:rPr>
        <w:t xml:space="preserve">. עם זאת, </w:t>
      </w:r>
      <w:r w:rsidR="00F3444F" w:rsidRPr="00F3444F">
        <w:rPr>
          <w:rFonts w:hint="eastAsia"/>
          <w:rtl/>
        </w:rPr>
        <w:t>ל</w:t>
      </w:r>
      <w:r w:rsidR="00F3444F" w:rsidRPr="00F3444F">
        <w:rPr>
          <w:rFonts w:hint="cs"/>
          <w:rtl/>
        </w:rPr>
        <w:t xml:space="preserve">א נמצא כי הרשות הנחתה </w:t>
      </w:r>
      <w:r w:rsidR="00F3444F" w:rsidRPr="00F3444F">
        <w:rPr>
          <w:rFonts w:hint="eastAsia"/>
          <w:rtl/>
        </w:rPr>
        <w:t>בחודשים</w:t>
      </w:r>
      <w:r w:rsidR="00F3444F" w:rsidRPr="00F3444F">
        <w:rPr>
          <w:rtl/>
        </w:rPr>
        <w:t xml:space="preserve"> </w:t>
      </w:r>
      <w:r w:rsidR="00F3444F" w:rsidRPr="00F3444F">
        <w:rPr>
          <w:rFonts w:hint="cs"/>
          <w:rtl/>
        </w:rPr>
        <w:t>ינואר - פברואר 2020</w:t>
      </w:r>
      <w:r w:rsidR="00F3444F" w:rsidRPr="00F3444F">
        <w:rPr>
          <w:rtl/>
        </w:rPr>
        <w:t xml:space="preserve">, </w:t>
      </w:r>
      <w:r w:rsidR="00F3444F" w:rsidRPr="00F3444F">
        <w:rPr>
          <w:rFonts w:hint="eastAsia"/>
          <w:rtl/>
        </w:rPr>
        <w:t>עם</w:t>
      </w:r>
      <w:r w:rsidR="00F3444F" w:rsidRPr="00F3444F">
        <w:rPr>
          <w:rtl/>
        </w:rPr>
        <w:t xml:space="preserve"> </w:t>
      </w:r>
      <w:r w:rsidR="00F3444F" w:rsidRPr="00F3444F">
        <w:rPr>
          <w:rFonts w:hint="eastAsia"/>
          <w:rtl/>
        </w:rPr>
        <w:t>הזיהוי</w:t>
      </w:r>
      <w:r w:rsidR="00F3444F" w:rsidRPr="00F3444F">
        <w:rPr>
          <w:rtl/>
        </w:rPr>
        <w:t xml:space="preserve"> </w:t>
      </w:r>
      <w:r w:rsidR="00F3444F" w:rsidRPr="00F3444F">
        <w:rPr>
          <w:rFonts w:hint="eastAsia"/>
          <w:rtl/>
        </w:rPr>
        <w:t>על</w:t>
      </w:r>
      <w:r w:rsidR="00F3444F" w:rsidRPr="00F3444F">
        <w:rPr>
          <w:rtl/>
        </w:rPr>
        <w:t xml:space="preserve"> </w:t>
      </w:r>
      <w:r w:rsidR="00F3444F" w:rsidRPr="00F3444F">
        <w:rPr>
          <w:rFonts w:hint="eastAsia"/>
          <w:rtl/>
        </w:rPr>
        <w:t>תחילתו</w:t>
      </w:r>
      <w:r w:rsidR="00F3444F" w:rsidRPr="00F3444F">
        <w:rPr>
          <w:rtl/>
        </w:rPr>
        <w:t xml:space="preserve"> </w:t>
      </w:r>
      <w:r w:rsidR="00F3444F" w:rsidRPr="00F3444F">
        <w:rPr>
          <w:rFonts w:hint="eastAsia"/>
          <w:rtl/>
        </w:rPr>
        <w:t>של</w:t>
      </w:r>
      <w:r w:rsidR="00F3444F" w:rsidRPr="00F3444F">
        <w:rPr>
          <w:rtl/>
        </w:rPr>
        <w:t xml:space="preserve"> </w:t>
      </w:r>
      <w:r w:rsidR="00F3444F" w:rsidRPr="00F3444F">
        <w:rPr>
          <w:rFonts w:hint="eastAsia"/>
          <w:rtl/>
        </w:rPr>
        <w:t>משבר</w:t>
      </w:r>
      <w:r w:rsidR="00F3444F" w:rsidRPr="00F3444F">
        <w:rPr>
          <w:rtl/>
        </w:rPr>
        <w:t xml:space="preserve"> הקורונה,</w:t>
      </w:r>
      <w:r w:rsidR="00F3444F" w:rsidRPr="00F3444F">
        <w:rPr>
          <w:rFonts w:hint="cs"/>
          <w:rtl/>
        </w:rPr>
        <w:t xml:space="preserve"> את הגופים המוסדיים לנתח סיכונים מותאמים למשבר מסתמן או לנקוט פעולות אחרות להפחתת החשיפה של הגופים המוסדיים לסיכונים הנובעים מפעילותם כהכנה לקראתו. </w:t>
      </w:r>
      <w:r w:rsidR="00F3444F" w:rsidRPr="00F3444F">
        <w:rPr>
          <w:rFonts w:hint="eastAsia"/>
          <w:rtl/>
        </w:rPr>
        <w:t>כמו</w:t>
      </w:r>
      <w:r w:rsidR="00F3444F" w:rsidRPr="00F3444F">
        <w:rPr>
          <w:rtl/>
        </w:rPr>
        <w:t xml:space="preserve"> כן, </w:t>
      </w:r>
      <w:r w:rsidR="00F3444F" w:rsidRPr="00F3444F">
        <w:rPr>
          <w:rFonts w:hint="eastAsia"/>
          <w:rtl/>
        </w:rPr>
        <w:t>במהלך</w:t>
      </w:r>
      <w:r w:rsidR="00F3444F" w:rsidRPr="00F3444F">
        <w:rPr>
          <w:rtl/>
        </w:rPr>
        <w:t xml:space="preserve"> המשבר, </w:t>
      </w:r>
      <w:r w:rsidR="00F3444F" w:rsidRPr="00F3444F">
        <w:rPr>
          <w:rFonts w:hint="eastAsia"/>
          <w:rtl/>
        </w:rPr>
        <w:t>הרשות</w:t>
      </w:r>
      <w:r w:rsidR="00F3444F" w:rsidRPr="00F3444F">
        <w:rPr>
          <w:rtl/>
        </w:rPr>
        <w:t xml:space="preserve"> </w:t>
      </w:r>
      <w:r w:rsidR="00F3444F" w:rsidRPr="00F3444F">
        <w:rPr>
          <w:rFonts w:hint="eastAsia"/>
          <w:rtl/>
        </w:rPr>
        <w:t>לא</w:t>
      </w:r>
      <w:r w:rsidR="00F3444F" w:rsidRPr="00F3444F">
        <w:rPr>
          <w:rtl/>
        </w:rPr>
        <w:t xml:space="preserve"> </w:t>
      </w:r>
      <w:r w:rsidR="00F3444F" w:rsidRPr="00F3444F">
        <w:rPr>
          <w:rFonts w:hint="eastAsia"/>
          <w:rtl/>
        </w:rPr>
        <w:t>הנחתה</w:t>
      </w:r>
      <w:r w:rsidR="00F3444F" w:rsidRPr="00F3444F">
        <w:rPr>
          <w:rtl/>
        </w:rPr>
        <w:t xml:space="preserve"> </w:t>
      </w:r>
      <w:r w:rsidR="00F3444F" w:rsidRPr="00F3444F">
        <w:rPr>
          <w:rFonts w:hint="eastAsia"/>
          <w:rtl/>
        </w:rPr>
        <w:t>בכתב</w:t>
      </w:r>
      <w:r w:rsidR="00F3444F" w:rsidRPr="00F3444F">
        <w:rPr>
          <w:rtl/>
        </w:rPr>
        <w:t xml:space="preserve"> את הגופיים המוסדיים לגבי </w:t>
      </w:r>
      <w:r w:rsidR="00F3444F" w:rsidRPr="00F3444F">
        <w:rPr>
          <w:rFonts w:hint="cs"/>
          <w:rtl/>
        </w:rPr>
        <w:t>ניתוח הסיכונים או ביצוע פעולות אחרות.</w:t>
      </w:r>
    </w:p>
    <w:p w14:paraId="4D12723E" w14:textId="05C231C9" w:rsidR="00F3444F" w:rsidRPr="00F3444F" w:rsidRDefault="00F92733" w:rsidP="003570AC">
      <w:pPr>
        <w:pStyle w:val="71f1"/>
        <w:rPr>
          <w:rtl/>
        </w:rPr>
      </w:pPr>
      <w:r w:rsidRPr="00FA3679">
        <w:rPr>
          <w:rStyle w:val="71Char4"/>
          <w:rFonts w:hint="cs"/>
          <w:b/>
          <w:b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3444F" w:rsidRPr="00F3444F">
        <w:rPr>
          <w:rFonts w:hint="cs"/>
          <w:b/>
          <w:bCs/>
          <w:rtl/>
        </w:rPr>
        <w:t xml:space="preserve">שיעור ערבות נמוך </w:t>
      </w:r>
      <w:r w:rsidR="00F3444F" w:rsidRPr="00F3444F">
        <w:rPr>
          <w:b/>
          <w:bCs/>
          <w:rtl/>
        </w:rPr>
        <w:t>על תיק</w:t>
      </w:r>
      <w:r w:rsidR="00F3444F" w:rsidRPr="00F3444F">
        <w:rPr>
          <w:rFonts w:hint="cs"/>
          <w:b/>
          <w:bCs/>
          <w:rtl/>
        </w:rPr>
        <w:t xml:space="preserve"> ההלוואות בערבות מדינה בהשוואה לתוכניות דומות בעולם</w:t>
      </w:r>
      <w:r w:rsidR="00F3444F" w:rsidRPr="00F3444F">
        <w:rPr>
          <w:rFonts w:hint="cs"/>
          <w:rtl/>
        </w:rPr>
        <w:t xml:space="preserve"> -</w:t>
      </w:r>
      <w:r w:rsidR="00F3444F" w:rsidRPr="00F3444F">
        <w:rPr>
          <w:rtl/>
        </w:rPr>
        <w:t xml:space="preserve"> שיעור הערבות שנית</w:t>
      </w:r>
      <w:r w:rsidR="00F3444F" w:rsidRPr="00F3444F">
        <w:rPr>
          <w:rFonts w:hint="cs"/>
          <w:rtl/>
        </w:rPr>
        <w:t>ן</w:t>
      </w:r>
      <w:r w:rsidR="00F3444F" w:rsidRPr="00F3444F">
        <w:rPr>
          <w:rtl/>
        </w:rPr>
        <w:t xml:space="preserve"> במדינת ישראל ל</w:t>
      </w:r>
      <w:r w:rsidR="00F3444F" w:rsidRPr="00F3444F">
        <w:rPr>
          <w:rFonts w:hint="cs"/>
          <w:rtl/>
        </w:rPr>
        <w:t xml:space="preserve">גבי </w:t>
      </w:r>
      <w:r w:rsidR="00F3444F" w:rsidRPr="00F3444F">
        <w:rPr>
          <w:rtl/>
        </w:rPr>
        <w:t>כל התיק (12% לעסקים גדולים, 15% לעסקים קטנים ובינוניים ו-60% במסלול המוגבר) נמוך בהשוואה לשיעור הערבויות שנית</w:t>
      </w:r>
      <w:r w:rsidR="00F3444F" w:rsidRPr="00F3444F">
        <w:rPr>
          <w:rFonts w:hint="cs"/>
          <w:rtl/>
        </w:rPr>
        <w:t>ן</w:t>
      </w:r>
      <w:r w:rsidR="00F3444F" w:rsidRPr="00F3444F">
        <w:rPr>
          <w:rtl/>
        </w:rPr>
        <w:t xml:space="preserve"> במסגרת </w:t>
      </w:r>
      <w:proofErr w:type="spellStart"/>
      <w:r w:rsidR="00F3444F" w:rsidRPr="00F3444F">
        <w:rPr>
          <w:rtl/>
        </w:rPr>
        <w:t>תוכניות</w:t>
      </w:r>
      <w:proofErr w:type="spellEnd"/>
      <w:r w:rsidR="00F3444F" w:rsidRPr="00F3444F">
        <w:rPr>
          <w:rtl/>
        </w:rPr>
        <w:t xml:space="preserve"> סיוע ממשלתיות ב</w:t>
      </w:r>
      <w:r w:rsidR="00F3444F" w:rsidRPr="00F3444F">
        <w:rPr>
          <w:rFonts w:hint="cs"/>
          <w:rtl/>
        </w:rPr>
        <w:t>רוב ה</w:t>
      </w:r>
      <w:r w:rsidR="00F3444F" w:rsidRPr="00F3444F">
        <w:rPr>
          <w:rtl/>
        </w:rPr>
        <w:t xml:space="preserve">מדינות </w:t>
      </w:r>
      <w:r w:rsidR="00F3444F" w:rsidRPr="00F3444F">
        <w:rPr>
          <w:rFonts w:hint="cs"/>
          <w:rtl/>
        </w:rPr>
        <w:t>ה</w:t>
      </w:r>
      <w:r w:rsidR="00F3444F" w:rsidRPr="00F3444F">
        <w:rPr>
          <w:rtl/>
        </w:rPr>
        <w:t>מפותחות.</w:t>
      </w:r>
      <w:r w:rsidR="00F3444F" w:rsidRPr="00F3444F">
        <w:rPr>
          <w:rFonts w:hint="cs"/>
          <w:rtl/>
        </w:rPr>
        <w:t xml:space="preserve"> </w:t>
      </w:r>
      <w:r w:rsidR="00F3444F" w:rsidRPr="00F3444F">
        <w:rPr>
          <w:rtl/>
        </w:rPr>
        <w:t>לגובה הערבות על התיק הייתה השפעה שלילית על תהליך אישור ההלוואות בקרן לעסקים קטנים ובינוניים</w:t>
      </w:r>
      <w:r w:rsidR="00F3444F" w:rsidRPr="00F3444F">
        <w:rPr>
          <w:rFonts w:hint="cs"/>
          <w:rtl/>
        </w:rPr>
        <w:t>. השפעה שלילית זו</w:t>
      </w:r>
      <w:r w:rsidR="00F3444F" w:rsidRPr="00F3444F">
        <w:rPr>
          <w:rtl/>
        </w:rPr>
        <w:t xml:space="preserve"> התבטאה בהפחתת רצון הגופים המממנים ליטול סיכונים וביצירת תמריצים לפעולות שאינן עולות בקנה אחד עם המטרה המוצהרת של הקרן ופוגעות בתדמיתה, על אף חשיבותה הרבה בתקופ</w:t>
      </w:r>
      <w:r w:rsidR="00F3444F" w:rsidRPr="00F3444F">
        <w:rPr>
          <w:rFonts w:hint="cs"/>
          <w:rtl/>
        </w:rPr>
        <w:t>ת</w:t>
      </w:r>
      <w:r w:rsidR="00F3444F" w:rsidRPr="00F3444F">
        <w:rPr>
          <w:rtl/>
        </w:rPr>
        <w:t xml:space="preserve"> המשבר</w:t>
      </w:r>
      <w:r w:rsidR="00F3444F" w:rsidRPr="00F3444F">
        <w:rPr>
          <w:rFonts w:hint="cs"/>
          <w:rtl/>
        </w:rPr>
        <w:t>.</w:t>
      </w:r>
    </w:p>
    <w:p w14:paraId="57B5904F" w14:textId="59FC443C" w:rsidR="00F3444F" w:rsidRPr="00F3444F" w:rsidRDefault="00F3444F" w:rsidP="003570AC">
      <w:pPr>
        <w:pStyle w:val="71f1"/>
        <w:rPr>
          <w:rtl/>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3444F">
        <w:rPr>
          <w:rFonts w:hint="cs"/>
          <w:b/>
          <w:bCs/>
          <w:rtl/>
        </w:rPr>
        <w:t>קריטריונים מדידים להעמדת הלוואות בהסכמי ההתקשרות במסלול הרגיל בקרן להעמדת הלוואות בערבות מדינה</w:t>
      </w:r>
      <w:r w:rsidRPr="00F3444F">
        <w:rPr>
          <w:rFonts w:hint="cs"/>
          <w:rtl/>
        </w:rPr>
        <w:t xml:space="preserve"> - </w:t>
      </w:r>
      <w:r w:rsidRPr="00F3444F">
        <w:rPr>
          <w:rtl/>
        </w:rPr>
        <w:t xml:space="preserve"> בשיחות שקיים צוות הביקורת בחודשים ספטמבר </w:t>
      </w:r>
      <w:r w:rsidRPr="00F3444F">
        <w:rPr>
          <w:rtl/>
        </w:rPr>
        <w:lastRenderedPageBreak/>
        <w:t xml:space="preserve">ואוקטובר 2020 עם מנהלי הקרנות בבנקים המסחריים צוין כי </w:t>
      </w:r>
      <w:r w:rsidRPr="00F3444F">
        <w:rPr>
          <w:rFonts w:hint="cs"/>
          <w:rtl/>
        </w:rPr>
        <w:t>העובדה ש</w:t>
      </w:r>
      <w:r w:rsidRPr="00F3444F">
        <w:rPr>
          <w:rFonts w:hint="eastAsia"/>
          <w:rtl/>
        </w:rPr>
        <w:t>הסכמי</w:t>
      </w:r>
      <w:r w:rsidRPr="00F3444F">
        <w:rPr>
          <w:rtl/>
        </w:rPr>
        <w:t xml:space="preserve"> ההתקשרות </w:t>
      </w:r>
      <w:r w:rsidRPr="00F3444F">
        <w:rPr>
          <w:rFonts w:hint="eastAsia"/>
          <w:rtl/>
        </w:rPr>
        <w:t>לא</w:t>
      </w:r>
      <w:r w:rsidRPr="00F3444F">
        <w:rPr>
          <w:rtl/>
        </w:rPr>
        <w:t xml:space="preserve"> </w:t>
      </w:r>
      <w:r w:rsidRPr="00F3444F">
        <w:rPr>
          <w:rFonts w:hint="eastAsia"/>
          <w:rtl/>
        </w:rPr>
        <w:t>קבעו</w:t>
      </w:r>
      <w:r w:rsidRPr="00F3444F">
        <w:rPr>
          <w:rtl/>
        </w:rPr>
        <w:t xml:space="preserve"> </w:t>
      </w:r>
      <w:r w:rsidRPr="00F3444F">
        <w:rPr>
          <w:rFonts w:hint="eastAsia"/>
          <w:rtl/>
        </w:rPr>
        <w:t>קריטריונים</w:t>
      </w:r>
      <w:r w:rsidRPr="00F3444F">
        <w:rPr>
          <w:rtl/>
        </w:rPr>
        <w:t xml:space="preserve"> </w:t>
      </w:r>
      <w:r w:rsidRPr="00F3444F">
        <w:rPr>
          <w:rFonts w:hint="eastAsia"/>
          <w:rtl/>
        </w:rPr>
        <w:t>מדידים</w:t>
      </w:r>
      <w:r w:rsidRPr="00F3444F">
        <w:rPr>
          <w:rtl/>
        </w:rPr>
        <w:t xml:space="preserve"> </w:t>
      </w:r>
      <w:r w:rsidRPr="00F3444F">
        <w:rPr>
          <w:rFonts w:hint="eastAsia"/>
          <w:rtl/>
        </w:rPr>
        <w:t>להעמדת</w:t>
      </w:r>
      <w:r w:rsidRPr="00F3444F">
        <w:rPr>
          <w:rtl/>
        </w:rPr>
        <w:t xml:space="preserve"> </w:t>
      </w:r>
      <w:r w:rsidRPr="00F3444F">
        <w:rPr>
          <w:rFonts w:hint="eastAsia"/>
          <w:rtl/>
        </w:rPr>
        <w:t>הלוואות</w:t>
      </w:r>
      <w:r w:rsidRPr="00F3444F">
        <w:rPr>
          <w:rtl/>
        </w:rPr>
        <w:t xml:space="preserve"> </w:t>
      </w:r>
      <w:r w:rsidRPr="00F3444F">
        <w:rPr>
          <w:rFonts w:hint="eastAsia"/>
          <w:rtl/>
        </w:rPr>
        <w:t>הובילה</w:t>
      </w:r>
      <w:r w:rsidRPr="00F3444F">
        <w:rPr>
          <w:rtl/>
        </w:rPr>
        <w:t xml:space="preserve"> לכך שאשראי </w:t>
      </w:r>
      <w:r w:rsidRPr="00F3444F">
        <w:rPr>
          <w:rFonts w:hint="eastAsia"/>
          <w:rtl/>
        </w:rPr>
        <w:t>שניתן</w:t>
      </w:r>
      <w:r w:rsidRPr="00F3444F">
        <w:rPr>
          <w:rtl/>
        </w:rPr>
        <w:t xml:space="preserve"> </w:t>
      </w:r>
      <w:r w:rsidRPr="00F3444F">
        <w:rPr>
          <w:rFonts w:hint="eastAsia"/>
          <w:rtl/>
        </w:rPr>
        <w:t>במסלול</w:t>
      </w:r>
      <w:r w:rsidRPr="00F3444F">
        <w:rPr>
          <w:rtl/>
        </w:rPr>
        <w:t xml:space="preserve"> </w:t>
      </w:r>
      <w:r w:rsidRPr="00F3444F">
        <w:rPr>
          <w:rFonts w:hint="eastAsia"/>
          <w:rtl/>
        </w:rPr>
        <w:t>הרגיל</w:t>
      </w:r>
      <w:r w:rsidRPr="00F3444F">
        <w:rPr>
          <w:rtl/>
        </w:rPr>
        <w:t xml:space="preserve"> </w:t>
      </w:r>
      <w:r w:rsidRPr="00F3444F">
        <w:rPr>
          <w:rFonts w:hint="eastAsia"/>
          <w:rtl/>
        </w:rPr>
        <w:t>שימש</w:t>
      </w:r>
      <w:r w:rsidRPr="00F3444F">
        <w:rPr>
          <w:rtl/>
        </w:rPr>
        <w:t xml:space="preserve"> </w:t>
      </w:r>
      <w:r w:rsidRPr="00F3444F">
        <w:rPr>
          <w:rFonts w:hint="eastAsia"/>
          <w:rtl/>
        </w:rPr>
        <w:t>חלק</w:t>
      </w:r>
      <w:r w:rsidRPr="00F3444F">
        <w:rPr>
          <w:rtl/>
        </w:rPr>
        <w:t xml:space="preserve"> </w:t>
      </w:r>
      <w:r w:rsidRPr="00F3444F">
        <w:rPr>
          <w:rFonts w:hint="eastAsia"/>
          <w:rtl/>
        </w:rPr>
        <w:t>מהעסקים</w:t>
      </w:r>
      <w:r w:rsidRPr="00F3444F">
        <w:rPr>
          <w:rtl/>
        </w:rPr>
        <w:t xml:space="preserve"> </w:t>
      </w:r>
      <w:r w:rsidRPr="00F3444F">
        <w:rPr>
          <w:rFonts w:hint="eastAsia"/>
          <w:rtl/>
        </w:rPr>
        <w:t>להוזלת</w:t>
      </w:r>
      <w:r w:rsidRPr="00F3444F">
        <w:rPr>
          <w:rtl/>
        </w:rPr>
        <w:t xml:space="preserve"> </w:t>
      </w:r>
      <w:r w:rsidRPr="00F3444F">
        <w:rPr>
          <w:rFonts w:hint="eastAsia"/>
          <w:rtl/>
        </w:rPr>
        <w:t>עלויות</w:t>
      </w:r>
      <w:r w:rsidRPr="00F3444F">
        <w:rPr>
          <w:rtl/>
        </w:rPr>
        <w:t xml:space="preserve"> </w:t>
      </w:r>
      <w:r w:rsidRPr="00F3444F">
        <w:rPr>
          <w:rFonts w:hint="eastAsia"/>
          <w:rtl/>
        </w:rPr>
        <w:t>המימון</w:t>
      </w:r>
      <w:r w:rsidRPr="00F3444F">
        <w:rPr>
          <w:rtl/>
        </w:rPr>
        <w:t xml:space="preserve"> שלהם, </w:t>
      </w:r>
      <w:r w:rsidRPr="00F3444F">
        <w:rPr>
          <w:rFonts w:hint="cs"/>
          <w:rtl/>
        </w:rPr>
        <w:t>במקום</w:t>
      </w:r>
      <w:r w:rsidRPr="00F3444F">
        <w:rPr>
          <w:rtl/>
        </w:rPr>
        <w:t xml:space="preserve"> </w:t>
      </w:r>
      <w:r w:rsidRPr="00F3444F">
        <w:rPr>
          <w:rFonts w:hint="cs"/>
          <w:rtl/>
        </w:rPr>
        <w:t>ל</w:t>
      </w:r>
      <w:r w:rsidRPr="00F3444F">
        <w:rPr>
          <w:rtl/>
        </w:rPr>
        <w:t xml:space="preserve">גשר על פערים </w:t>
      </w:r>
      <w:proofErr w:type="spellStart"/>
      <w:r w:rsidRPr="00F3444F">
        <w:rPr>
          <w:rFonts w:hint="eastAsia"/>
          <w:rtl/>
        </w:rPr>
        <w:t>תזרימיים</w:t>
      </w:r>
      <w:proofErr w:type="spellEnd"/>
      <w:r w:rsidRPr="00F3444F">
        <w:rPr>
          <w:rtl/>
        </w:rPr>
        <w:t xml:space="preserve"> שנוצרו בעקבות המשבר.</w:t>
      </w:r>
    </w:p>
    <w:p w14:paraId="6B6E1418" w14:textId="58BA1164" w:rsidR="00F3444F" w:rsidRPr="00DC7260" w:rsidRDefault="00F3444F" w:rsidP="003570AC">
      <w:pPr>
        <w:pStyle w:val="71f1"/>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C7260">
        <w:rPr>
          <w:rFonts w:hint="cs"/>
          <w:b/>
          <w:bCs/>
          <w:rtl/>
        </w:rPr>
        <w:t>זמני הטיפול בבקשות בקרנות להעמדת הלוואות בערבות מדינה</w:t>
      </w:r>
      <w:r w:rsidRPr="00DC7260">
        <w:rPr>
          <w:rFonts w:hint="cs"/>
          <w:rtl/>
        </w:rPr>
        <w:t xml:space="preserve"> - הסכם ההתקשרות שבו נקבע כי הגורמים המממנים ישלימו את הטיפול בבקשות בתוך שבעה ימי עסקים הביא לציפייה של המבקשים כי כך ייעשה. עם זאת נמצא כי זמני הטיפול בכל המסלולים חרגו מהותית (בכ-15 ימים בממוצע) מזמני הטיפול שנקבעו. בעקבות </w:t>
      </w:r>
      <w:r w:rsidRPr="00DC7260">
        <w:rPr>
          <w:rtl/>
        </w:rPr>
        <w:t xml:space="preserve">שינוי המנגנון להעברת המידע בקרנות הגופים המממנים נדרשו לקלוט את הנתונים באופן </w:t>
      </w:r>
      <w:r w:rsidRPr="00DC7260">
        <w:rPr>
          <w:rFonts w:hint="cs"/>
          <w:rtl/>
        </w:rPr>
        <w:t xml:space="preserve">שהצריך להקלידם מחדש. </w:t>
      </w:r>
      <w:r w:rsidRPr="00DC7260">
        <w:rPr>
          <w:rtl/>
        </w:rPr>
        <w:t>הדבר גרם לעיכוב</w:t>
      </w:r>
      <w:r w:rsidRPr="00DC7260">
        <w:rPr>
          <w:rFonts w:hint="cs"/>
          <w:rtl/>
        </w:rPr>
        <w:t>ים</w:t>
      </w:r>
      <w:r w:rsidRPr="00DC7260">
        <w:rPr>
          <w:rtl/>
        </w:rPr>
        <w:t xml:space="preserve"> במתן המענה לעסקים מבקשי ההלוואות.</w:t>
      </w:r>
    </w:p>
    <w:p w14:paraId="7905BE0C" w14:textId="3DE8237B" w:rsidR="00F3444F" w:rsidRPr="00DC7260" w:rsidRDefault="00F3444F" w:rsidP="003570AC">
      <w:pPr>
        <w:pStyle w:val="71f1"/>
      </w:pPr>
      <w:r w:rsidRPr="00FA3679">
        <w:rPr>
          <w:rStyle w:val="71Char4"/>
          <w:rFonts w:hint="cs"/>
          <w:b/>
          <w:b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C7260">
        <w:rPr>
          <w:rFonts w:hint="cs"/>
          <w:b/>
          <w:bCs/>
          <w:rtl/>
        </w:rPr>
        <w:t>תגובה מהירה של רגולטורים -</w:t>
      </w:r>
      <w:r w:rsidRPr="00DC7260">
        <w:rPr>
          <w:rFonts w:hint="cs"/>
          <w:rtl/>
        </w:rPr>
        <w:t xml:space="preserve"> לרשות ני"ע אין גמישות מספקת </w:t>
      </w:r>
      <w:proofErr w:type="spellStart"/>
      <w:r w:rsidRPr="00DC7260">
        <w:rPr>
          <w:rFonts w:hint="cs"/>
          <w:rtl/>
        </w:rPr>
        <w:t>בעיתות</w:t>
      </w:r>
      <w:proofErr w:type="spellEnd"/>
      <w:r w:rsidRPr="00DC7260">
        <w:rPr>
          <w:rFonts w:hint="cs"/>
          <w:rtl/>
        </w:rPr>
        <w:t xml:space="preserve"> משבר למתן תגובה מהירה ומתבקשת ההולמת לתנודות בשווקים שתאפשר פיקוח יעיל ומועיל. במהלך הביקורת קידמה הרשות </w:t>
      </w:r>
      <w:r w:rsidRPr="00DC7260">
        <w:rPr>
          <w:rtl/>
        </w:rPr>
        <w:t>תזכיר חוק ש</w:t>
      </w:r>
      <w:r w:rsidRPr="00DC7260">
        <w:rPr>
          <w:rFonts w:hint="cs"/>
          <w:rtl/>
        </w:rPr>
        <w:t>נועד להרחיב את הסמכויות הקיימות של הרשות ולאפשר לה לקבוע הוראות בנושאים מסוימים באופן עצמאי ומהיר.</w:t>
      </w:r>
      <w:r w:rsidRPr="00DC7260">
        <w:rPr>
          <w:rtl/>
        </w:rPr>
        <w:t xml:space="preserve"> </w:t>
      </w:r>
      <w:r w:rsidRPr="00DC7260">
        <w:rPr>
          <w:rFonts w:hint="cs"/>
          <w:rtl/>
        </w:rPr>
        <w:t>תזכיר הצעת החוק פורסם באתר משרד המשפטים ובמרשתת למתן הערות לציבור עד ליום 23.7.2020, אך נכון למועד סיום הביקורת (דצמבר 2020) לא קודם ההליך מעבר לכך.</w:t>
      </w:r>
    </w:p>
    <w:p w14:paraId="6C58D0C3" w14:textId="0DA608E4" w:rsidR="00F3444F" w:rsidRPr="00DC7260" w:rsidRDefault="00F3444F" w:rsidP="003570AC">
      <w:pPr>
        <w:pStyle w:val="71f1"/>
      </w:pPr>
      <w:r w:rsidRPr="00FA3679">
        <w:rPr>
          <w:rStyle w:val="71Char4"/>
          <w:rFonts w:hint="cs"/>
          <w:b/>
          <w:b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C7260">
        <w:rPr>
          <w:rFonts w:hint="cs"/>
          <w:b/>
          <w:bCs/>
          <w:rtl/>
        </w:rPr>
        <w:t>חיוניות פעילות של רגולטורים פיננסיים בחירום</w:t>
      </w:r>
      <w:r w:rsidRPr="00DC7260">
        <w:rPr>
          <w:rFonts w:hint="cs"/>
          <w:rtl/>
        </w:rPr>
        <w:t xml:space="preserve"> - למרות החשיבות הגלומה בפעילותה של רשות ני"ע מתוקף תפקידה כרגולטור פיננסי לא ניתן לכך ביטוי בתקנות שעת חירום ולא נקבעה לגבי הרשות הקלה בתחולת ההגבלה על מספר העובדים המרבי המותר לשהייה במקום העבודה. הנושא מקבל משנה תוקף ברקע התנודדות החדות בשווקים הפיננסיים, התעצמות המשבר הכלכלי והחרגת המגזר הפיננסי בתקנות. נמצא כי </w:t>
      </w:r>
      <w:r w:rsidRPr="00DC7260">
        <w:rPr>
          <w:rFonts w:hint="eastAsia"/>
          <w:rtl/>
        </w:rPr>
        <w:t>הגדרת</w:t>
      </w:r>
      <w:r w:rsidRPr="00DC7260">
        <w:rPr>
          <w:rtl/>
        </w:rPr>
        <w:t xml:space="preserve"> </w:t>
      </w:r>
      <w:r w:rsidRPr="00DC7260">
        <w:rPr>
          <w:rFonts w:hint="eastAsia"/>
          <w:rtl/>
        </w:rPr>
        <w:t>היקף</w:t>
      </w:r>
      <w:r w:rsidRPr="00DC7260">
        <w:rPr>
          <w:rtl/>
        </w:rPr>
        <w:t xml:space="preserve"> </w:t>
      </w:r>
      <w:r w:rsidRPr="00DC7260">
        <w:rPr>
          <w:rFonts w:hint="eastAsia"/>
          <w:rtl/>
        </w:rPr>
        <w:t>ההעסקה</w:t>
      </w:r>
      <w:r w:rsidRPr="00DC7260">
        <w:rPr>
          <w:rtl/>
        </w:rPr>
        <w:t xml:space="preserve"> </w:t>
      </w:r>
      <w:r w:rsidRPr="00DC7260">
        <w:rPr>
          <w:rFonts w:hint="eastAsia"/>
          <w:rtl/>
        </w:rPr>
        <w:t>במגזר</w:t>
      </w:r>
      <w:r w:rsidRPr="00DC7260">
        <w:rPr>
          <w:rtl/>
        </w:rPr>
        <w:t xml:space="preserve"> </w:t>
      </w:r>
      <w:r w:rsidRPr="00DC7260">
        <w:rPr>
          <w:rFonts w:hint="eastAsia"/>
          <w:rtl/>
        </w:rPr>
        <w:t>הציבורי</w:t>
      </w:r>
      <w:r w:rsidRPr="00DC7260">
        <w:rPr>
          <w:rtl/>
        </w:rPr>
        <w:t xml:space="preserve"> </w:t>
      </w:r>
      <w:r w:rsidRPr="00DC7260">
        <w:rPr>
          <w:rFonts w:hint="eastAsia"/>
          <w:rtl/>
        </w:rPr>
        <w:t>בחירום</w:t>
      </w:r>
      <w:r w:rsidRPr="00DC7260">
        <w:rPr>
          <w:rtl/>
        </w:rPr>
        <w:t xml:space="preserve"> </w:t>
      </w:r>
      <w:r w:rsidRPr="00DC7260">
        <w:rPr>
          <w:rFonts w:hint="cs"/>
          <w:rtl/>
        </w:rPr>
        <w:t>לא</w:t>
      </w:r>
      <w:r w:rsidRPr="00DC7260">
        <w:rPr>
          <w:rtl/>
        </w:rPr>
        <w:t xml:space="preserve"> </w:t>
      </w:r>
      <w:r w:rsidRPr="00DC7260">
        <w:rPr>
          <w:rFonts w:hint="eastAsia"/>
          <w:rtl/>
        </w:rPr>
        <w:t>מתבצעת</w:t>
      </w:r>
      <w:r w:rsidRPr="00DC7260">
        <w:rPr>
          <w:rtl/>
        </w:rPr>
        <w:t xml:space="preserve"> </w:t>
      </w:r>
      <w:r w:rsidRPr="00DC7260">
        <w:rPr>
          <w:rFonts w:hint="eastAsia"/>
          <w:rtl/>
        </w:rPr>
        <w:t>בצורה</w:t>
      </w:r>
      <w:r w:rsidRPr="00DC7260">
        <w:rPr>
          <w:rtl/>
        </w:rPr>
        <w:t xml:space="preserve"> </w:t>
      </w:r>
      <w:r w:rsidRPr="00DC7260">
        <w:rPr>
          <w:rFonts w:hint="eastAsia"/>
          <w:rtl/>
        </w:rPr>
        <w:t>מתודית</w:t>
      </w:r>
      <w:r w:rsidRPr="00DC7260">
        <w:rPr>
          <w:rtl/>
        </w:rPr>
        <w:t xml:space="preserve"> </w:t>
      </w:r>
      <w:r w:rsidRPr="00DC7260">
        <w:rPr>
          <w:rFonts w:hint="cs"/>
          <w:rtl/>
        </w:rPr>
        <w:t xml:space="preserve">במסגרת </w:t>
      </w:r>
      <w:r w:rsidRPr="00DC7260">
        <w:rPr>
          <w:rFonts w:hint="eastAsia"/>
          <w:rtl/>
        </w:rPr>
        <w:t>היערכות</w:t>
      </w:r>
      <w:r w:rsidRPr="00DC7260">
        <w:rPr>
          <w:rtl/>
        </w:rPr>
        <w:t xml:space="preserve"> </w:t>
      </w:r>
      <w:r w:rsidRPr="00DC7260">
        <w:rPr>
          <w:rFonts w:hint="eastAsia"/>
          <w:rtl/>
        </w:rPr>
        <w:t>מוקדמת</w:t>
      </w:r>
      <w:r w:rsidRPr="00DC7260">
        <w:rPr>
          <w:rtl/>
        </w:rPr>
        <w:t xml:space="preserve"> </w:t>
      </w:r>
      <w:r w:rsidRPr="00DC7260">
        <w:rPr>
          <w:rFonts w:hint="eastAsia"/>
          <w:rtl/>
        </w:rPr>
        <w:t>ובהתאם</w:t>
      </w:r>
      <w:r w:rsidRPr="00DC7260">
        <w:rPr>
          <w:rtl/>
        </w:rPr>
        <w:t xml:space="preserve"> </w:t>
      </w:r>
      <w:r w:rsidRPr="00DC7260">
        <w:rPr>
          <w:rFonts w:hint="eastAsia"/>
          <w:rtl/>
        </w:rPr>
        <w:t>לתרחישי</w:t>
      </w:r>
      <w:r w:rsidRPr="00DC7260">
        <w:rPr>
          <w:rtl/>
        </w:rPr>
        <w:t xml:space="preserve"> </w:t>
      </w:r>
      <w:r w:rsidRPr="00DC7260">
        <w:rPr>
          <w:rFonts w:hint="eastAsia"/>
          <w:rtl/>
        </w:rPr>
        <w:t>ייחוס</w:t>
      </w:r>
      <w:r w:rsidRPr="00DC7260">
        <w:rPr>
          <w:rtl/>
        </w:rPr>
        <w:t xml:space="preserve"> </w:t>
      </w:r>
      <w:r w:rsidRPr="00DC7260">
        <w:rPr>
          <w:rFonts w:hint="eastAsia"/>
          <w:rtl/>
        </w:rPr>
        <w:t>ולצרכים</w:t>
      </w:r>
      <w:r w:rsidRPr="00DC7260">
        <w:rPr>
          <w:rtl/>
        </w:rPr>
        <w:t xml:space="preserve"> </w:t>
      </w:r>
      <w:r w:rsidRPr="00DC7260">
        <w:rPr>
          <w:rFonts w:hint="eastAsia"/>
          <w:rtl/>
        </w:rPr>
        <w:t>העולים</w:t>
      </w:r>
      <w:r w:rsidRPr="00DC7260">
        <w:rPr>
          <w:rtl/>
        </w:rPr>
        <w:t xml:space="preserve"> </w:t>
      </w:r>
      <w:r w:rsidRPr="00DC7260">
        <w:rPr>
          <w:rFonts w:hint="eastAsia"/>
          <w:rtl/>
        </w:rPr>
        <w:t>מהשטח</w:t>
      </w:r>
      <w:r w:rsidRPr="00DC7260">
        <w:rPr>
          <w:rFonts w:hint="cs"/>
          <w:rtl/>
        </w:rPr>
        <w:t>.</w:t>
      </w:r>
    </w:p>
    <w:p w14:paraId="264DB32A" w14:textId="70B33660" w:rsidR="00F3444F" w:rsidRDefault="00F3444F" w:rsidP="003570AC">
      <w:pPr>
        <w:pStyle w:val="71f1"/>
      </w:pPr>
      <w:r w:rsidRPr="00FA3679">
        <w:rPr>
          <w:rStyle w:val="71Char4"/>
          <w:rFonts w:hint="cs"/>
          <w:b/>
          <w:bCs/>
          <w:noProof/>
          <w:rtl/>
        </w:rPr>
        <w:drawing>
          <wp:anchor distT="0" distB="3600450" distL="114300" distR="114300" simplePos="0" relativeHeight="252068352" behindDoc="0" locked="0" layoutInCell="1" allowOverlap="1" wp14:anchorId="6BC29737" wp14:editId="3B2DF4C0">
            <wp:simplePos x="0" y="0"/>
            <wp:positionH relativeFrom="column">
              <wp:posOffset>4518025</wp:posOffset>
            </wp:positionH>
            <wp:positionV relativeFrom="paragraph">
              <wp:posOffset>3579</wp:posOffset>
            </wp:positionV>
            <wp:extent cx="161925" cy="161925"/>
            <wp:effectExtent l="0" t="0" r="3175" b="3175"/>
            <wp:wrapSquare wrapText="bothSides"/>
            <wp:docPr id="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3444F">
        <w:rPr>
          <w:rFonts w:hint="cs"/>
          <w:b/>
          <w:bCs/>
          <w:rtl/>
        </w:rPr>
        <w:t>מימוש הקרנות להלוואה בערבות מדינה</w:t>
      </w:r>
      <w:r w:rsidRPr="00F3444F">
        <w:rPr>
          <w:rFonts w:hint="cs"/>
          <w:rtl/>
        </w:rPr>
        <w:t xml:space="preserve"> - נמצא כי קבוצת העסקים שמחזור מכירותיהם נע בין 200 - 400 מיליוני ש"ח העדיפה להגיש בקשות לקבלת הלוואה מהמסלול הרגיל, במסגרת הקרן לעסקים קטנים ובינוניים, על פני הגשת בקשות לקרן לעסקים גדולים. כי שיעור גבוה של בקשות בוטלו בשתי הקרנות, בייחוד בקרן לעסקים גדולים שבה בוטלו כ-33% לפחות מן הבקשות במרבית חודשי פעילותה. כמו כן, במסלול הרגיל נמצאו </w:t>
      </w:r>
      <w:r w:rsidRPr="00F3444F">
        <w:rPr>
          <w:rtl/>
        </w:rPr>
        <w:t>פערים בין היישובים היהודי</w:t>
      </w:r>
      <w:r w:rsidRPr="00F3444F">
        <w:rPr>
          <w:rFonts w:hint="cs"/>
          <w:rtl/>
        </w:rPr>
        <w:t>י</w:t>
      </w:r>
      <w:r w:rsidRPr="00F3444F">
        <w:rPr>
          <w:rtl/>
        </w:rPr>
        <w:t>ם ל</w:t>
      </w:r>
      <w:r w:rsidRPr="00F3444F">
        <w:rPr>
          <w:rFonts w:hint="cs"/>
          <w:rtl/>
        </w:rPr>
        <w:t xml:space="preserve">בין </w:t>
      </w:r>
      <w:r w:rsidRPr="00F3444F">
        <w:rPr>
          <w:rtl/>
        </w:rPr>
        <w:t>יישובים שאינם יהודיים</w:t>
      </w:r>
      <w:r w:rsidRPr="00F3444F">
        <w:rPr>
          <w:rFonts w:hint="cs"/>
          <w:rtl/>
        </w:rPr>
        <w:t xml:space="preserve"> לטובת היהודיים</w:t>
      </w:r>
      <w:r w:rsidRPr="00F3444F">
        <w:rPr>
          <w:rtl/>
        </w:rPr>
        <w:t xml:space="preserve"> הן בשיעור הבקשות שאושרו</w:t>
      </w:r>
      <w:r w:rsidRPr="00F3444F">
        <w:rPr>
          <w:rFonts w:hint="cs"/>
          <w:rtl/>
        </w:rPr>
        <w:t xml:space="preserve"> (כ-3.1%)</w:t>
      </w:r>
      <w:r w:rsidRPr="00F3444F">
        <w:rPr>
          <w:rtl/>
        </w:rPr>
        <w:t xml:space="preserve"> והן בשיעור הסכום המאושר בממוצע</w:t>
      </w:r>
      <w:r w:rsidRPr="00F3444F">
        <w:rPr>
          <w:rFonts w:hint="cs"/>
          <w:rtl/>
        </w:rPr>
        <w:t xml:space="preserve"> (כ-6.7%). נמצאו גם </w:t>
      </w:r>
      <w:r w:rsidRPr="00F3444F">
        <w:rPr>
          <w:rFonts w:hint="eastAsia"/>
          <w:rtl/>
        </w:rPr>
        <w:t>פער</w:t>
      </w:r>
      <w:r w:rsidRPr="00F3444F">
        <w:rPr>
          <w:rFonts w:hint="cs"/>
          <w:rtl/>
        </w:rPr>
        <w:t>ים</w:t>
      </w:r>
      <w:r w:rsidRPr="00F3444F">
        <w:rPr>
          <w:rtl/>
        </w:rPr>
        <w:t xml:space="preserve"> בשיעור האישור</w:t>
      </w:r>
      <w:r w:rsidRPr="00F3444F">
        <w:rPr>
          <w:rFonts w:hint="cs"/>
          <w:rtl/>
        </w:rPr>
        <w:t xml:space="preserve"> של מספר הבקשות</w:t>
      </w:r>
      <w:r w:rsidRPr="00F3444F">
        <w:rPr>
          <w:rtl/>
        </w:rPr>
        <w:t xml:space="preserve"> </w:t>
      </w:r>
      <w:r w:rsidRPr="00F3444F">
        <w:rPr>
          <w:rFonts w:hint="cs"/>
          <w:rtl/>
        </w:rPr>
        <w:t>בחלוקה ל</w:t>
      </w:r>
      <w:r w:rsidRPr="00F3444F">
        <w:rPr>
          <w:rtl/>
        </w:rPr>
        <w:t>ענפי</w:t>
      </w:r>
      <w:r w:rsidRPr="00F3444F">
        <w:rPr>
          <w:rFonts w:hint="cs"/>
          <w:rtl/>
        </w:rPr>
        <w:t>ם (שנאמד בכ-42% - 67%), ולפי נתוני רשות המיסים</w:t>
      </w:r>
      <w:r w:rsidRPr="00F3444F">
        <w:rPr>
          <w:rFonts w:hint="eastAsia"/>
          <w:rtl/>
        </w:rPr>
        <w:t xml:space="preserve"> ב</w:t>
      </w:r>
      <w:r w:rsidRPr="00F3444F">
        <w:rPr>
          <w:rFonts w:hint="cs"/>
          <w:rtl/>
        </w:rPr>
        <w:t xml:space="preserve">דבר </w:t>
      </w:r>
      <w:r w:rsidRPr="00F3444F">
        <w:rPr>
          <w:rFonts w:hint="eastAsia"/>
          <w:rtl/>
        </w:rPr>
        <w:t>שלושת</w:t>
      </w:r>
      <w:r w:rsidRPr="00F3444F">
        <w:rPr>
          <w:rtl/>
        </w:rPr>
        <w:t xml:space="preserve"> ענפי הפעילות שחוו את עיקר הפגיעה במחזור העסקאות</w:t>
      </w:r>
      <w:r w:rsidRPr="00F3444F">
        <w:rPr>
          <w:rFonts w:hint="cs"/>
          <w:rtl/>
        </w:rPr>
        <w:t xml:space="preserve"> (אירוח ואוכל, אומנות ובידור וחינוך)</w:t>
      </w:r>
      <w:r w:rsidRPr="00F3444F">
        <w:rPr>
          <w:rtl/>
        </w:rPr>
        <w:t xml:space="preserve">, תועדו שיעורי אישור </w:t>
      </w:r>
      <w:r w:rsidRPr="00F3444F">
        <w:rPr>
          <w:rFonts w:hint="cs"/>
          <w:rtl/>
        </w:rPr>
        <w:t>של מספר בקשות</w:t>
      </w:r>
      <w:r w:rsidRPr="00F3444F">
        <w:rPr>
          <w:rtl/>
        </w:rPr>
        <w:t xml:space="preserve"> </w:t>
      </w:r>
      <w:r w:rsidRPr="00F3444F">
        <w:rPr>
          <w:rFonts w:hint="cs"/>
          <w:rtl/>
        </w:rPr>
        <w:t>נמוכים מה</w:t>
      </w:r>
      <w:r w:rsidRPr="00F3444F">
        <w:rPr>
          <w:rtl/>
        </w:rPr>
        <w:t>ממוצע</w:t>
      </w:r>
      <w:r w:rsidRPr="00F3444F">
        <w:rPr>
          <w:rFonts w:hint="cs"/>
          <w:rtl/>
        </w:rPr>
        <w:t xml:space="preserve">. עוד נמצא כי </w:t>
      </w:r>
      <w:proofErr w:type="spellStart"/>
      <w:r w:rsidRPr="00F3444F">
        <w:rPr>
          <w:rFonts w:hint="cs"/>
          <w:rtl/>
        </w:rPr>
        <w:t>סורבו</w:t>
      </w:r>
      <w:proofErr w:type="spellEnd"/>
      <w:r w:rsidRPr="00F3444F">
        <w:rPr>
          <w:rFonts w:hint="cs"/>
          <w:rtl/>
        </w:rPr>
        <w:t xml:space="preserve"> בקשות עסקים זעירים רבים להעמדת אשראי בהשוואה לקבוצות עסקים אחרות (שיעור סירוב הגבוה ב-4% - 11%), וקבוצות עסקים גדולים יותר לא זכו לאישור מלוא הסכומים הנדרשים להם כדי לצלוח את המשבר (שיעור הסכום המאושר הממוצע היה נמוך ב-6% - 22% יחסית לקבוצת העסקים הזעירים)</w:t>
      </w:r>
      <w:r w:rsidRPr="00F3444F">
        <w:rPr>
          <w:rtl/>
        </w:rPr>
        <w:t>.</w:t>
      </w:r>
      <w:r w:rsidRPr="00F3444F">
        <w:rPr>
          <w:rFonts w:hint="cs"/>
          <w:rtl/>
        </w:rPr>
        <w:t xml:space="preserve"> </w:t>
      </w:r>
    </w:p>
    <w:p w14:paraId="2639FB4F" w14:textId="77777777" w:rsidR="00E1302B" w:rsidRPr="00F3444F" w:rsidRDefault="00E1302B" w:rsidP="003570AC">
      <w:pPr>
        <w:pStyle w:val="71f1"/>
      </w:pPr>
    </w:p>
    <w:p w14:paraId="5375C7B0" w14:textId="4776498E" w:rsidR="00F92733" w:rsidRPr="00C74181" w:rsidRDefault="00F92733" w:rsidP="00F92733">
      <w:pPr>
        <w:pStyle w:val="217"/>
        <w:ind w:left="0"/>
        <w:rPr>
          <w:rtl/>
        </w:rPr>
      </w:pPr>
      <w:r w:rsidRPr="00362C00">
        <w:rPr>
          <w:rFonts w:hint="cs"/>
          <w:noProof/>
          <w:sz w:val="19"/>
          <w:szCs w:val="19"/>
          <w:rtl/>
        </w:rPr>
        <w:lastRenderedPageBreak/>
        <w:drawing>
          <wp:anchor distT="0" distB="0" distL="114300" distR="114300" simplePos="0" relativeHeight="252034560" behindDoc="0" locked="0" layoutInCell="1" allowOverlap="1" wp14:anchorId="0DB84145" wp14:editId="50DBFD98">
            <wp:simplePos x="0" y="0"/>
            <wp:positionH relativeFrom="column">
              <wp:posOffset>2407285</wp:posOffset>
            </wp:positionH>
            <wp:positionV relativeFrom="paragraph">
              <wp:posOffset>7172</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74E5F82" w14:textId="77777777" w:rsidR="00F3444F" w:rsidRPr="00DC7260" w:rsidRDefault="00F3444F" w:rsidP="003570AC">
      <w:pPr>
        <w:pStyle w:val="71f1"/>
      </w:pPr>
      <w:r w:rsidRPr="00F3444F">
        <w:rPr>
          <w:rFonts w:hint="cs"/>
          <w:b/>
          <w:bCs/>
          <w:rtl/>
        </w:rPr>
        <w:t>פרסום ההקלות וההנחיות לציבור</w:t>
      </w:r>
      <w:r w:rsidRPr="00DC7260">
        <w:rPr>
          <w:rFonts w:hint="cs"/>
          <w:rtl/>
        </w:rPr>
        <w:t xml:space="preserve"> - </w:t>
      </w:r>
      <w:r w:rsidRPr="00DC7260">
        <w:rPr>
          <w:rtl/>
        </w:rPr>
        <w:t>בנק ישראל ורשות שוק ההון פעלו</w:t>
      </w:r>
      <w:r w:rsidRPr="00DC7260">
        <w:rPr>
          <w:rFonts w:hint="cs"/>
          <w:rtl/>
        </w:rPr>
        <w:t xml:space="preserve"> במהירות</w:t>
      </w:r>
      <w:r w:rsidRPr="00DC7260">
        <w:rPr>
          <w:rtl/>
        </w:rPr>
        <w:t xml:space="preserve"> </w:t>
      </w:r>
      <w:r w:rsidRPr="00DC7260">
        <w:rPr>
          <w:rFonts w:hint="cs"/>
          <w:rtl/>
        </w:rPr>
        <w:t>ב</w:t>
      </w:r>
      <w:r w:rsidRPr="00DC7260">
        <w:rPr>
          <w:rtl/>
        </w:rPr>
        <w:t>פרסום הקלות רגולטוריות והנחיות לציבור לטובת הרחבת היקף הסיוע בעת המשבר</w:t>
      </w:r>
      <w:r w:rsidRPr="00DC7260">
        <w:rPr>
          <w:rFonts w:hint="cs"/>
          <w:rtl/>
        </w:rPr>
        <w:t xml:space="preserve"> (ביניהן: כיבוד חיובים של לקוחות שחורגים ממסגרות אשראי, הורדת הגיל המינימאלי בהגדרת "אזרח ותיק" שמזכה את הלקוח בקבלת קדימות בתור למענה טלפוני, הקפאת ביטוחים וחידוש ביטוחים אוטומטי ללא גבייה)</w:t>
      </w:r>
      <w:r w:rsidRPr="00DC7260">
        <w:rPr>
          <w:rtl/>
        </w:rPr>
        <w:t>, וזאת תוך הקפדה על האיזון הנדרש להבטחת יציבות הגופים המפוקחים</w:t>
      </w:r>
      <w:r w:rsidRPr="00DC7260">
        <w:t>.</w:t>
      </w:r>
    </w:p>
    <w:p w14:paraId="42D6AED7" w14:textId="3D523476" w:rsidR="00F92733" w:rsidRDefault="00F3444F" w:rsidP="00F3444F">
      <w:pPr>
        <w:pStyle w:val="71f1"/>
        <w:rPr>
          <w:rtl/>
        </w:rPr>
      </w:pPr>
      <w:r w:rsidRPr="00F3444F">
        <w:rPr>
          <w:rFonts w:hint="cs"/>
          <w:b/>
          <w:bCs/>
          <w:rtl/>
        </w:rPr>
        <w:t>מימון פעולות הממשלה</w:t>
      </w:r>
      <w:r w:rsidRPr="00DC7260">
        <w:rPr>
          <w:rFonts w:hint="cs"/>
          <w:rtl/>
        </w:rPr>
        <w:t xml:space="preserve"> - אגף </w:t>
      </w:r>
      <w:proofErr w:type="spellStart"/>
      <w:r w:rsidRPr="00DC7260">
        <w:rPr>
          <w:rFonts w:hint="cs"/>
          <w:rtl/>
        </w:rPr>
        <w:t>החשכ"ל</w:t>
      </w:r>
      <w:proofErr w:type="spellEnd"/>
      <w:r w:rsidRPr="00DC7260">
        <w:rPr>
          <w:rFonts w:hint="cs"/>
          <w:rtl/>
        </w:rPr>
        <w:t xml:space="preserve"> פעל</w:t>
      </w:r>
      <w:r w:rsidRPr="00DC7260">
        <w:rPr>
          <w:rtl/>
        </w:rPr>
        <w:t xml:space="preserve"> </w:t>
      </w:r>
      <w:r w:rsidRPr="00DC7260">
        <w:rPr>
          <w:rFonts w:hint="eastAsia"/>
          <w:rtl/>
        </w:rPr>
        <w:t>לגיוסי</w:t>
      </w:r>
      <w:r w:rsidRPr="00DC7260">
        <w:rPr>
          <w:rtl/>
        </w:rPr>
        <w:t xml:space="preserve"> חוב</w:t>
      </w:r>
      <w:r w:rsidRPr="00DC7260">
        <w:rPr>
          <w:rFonts w:hint="cs"/>
          <w:rtl/>
        </w:rPr>
        <w:t>ות</w:t>
      </w:r>
      <w:r w:rsidRPr="00DC7260">
        <w:rPr>
          <w:rtl/>
        </w:rPr>
        <w:t xml:space="preserve"> </w:t>
      </w:r>
      <w:r w:rsidRPr="00DC7260">
        <w:rPr>
          <w:rFonts w:hint="eastAsia"/>
          <w:rtl/>
        </w:rPr>
        <w:t>בהיקף</w:t>
      </w:r>
      <w:r w:rsidRPr="00DC7260">
        <w:rPr>
          <w:rtl/>
        </w:rPr>
        <w:t xml:space="preserve"> של </w:t>
      </w:r>
      <w:r w:rsidRPr="00DC7260">
        <w:rPr>
          <w:rFonts w:hint="cs"/>
          <w:rtl/>
        </w:rPr>
        <w:t>כ-265</w:t>
      </w:r>
      <w:r w:rsidRPr="00DC7260">
        <w:rPr>
          <w:rtl/>
        </w:rPr>
        <w:t xml:space="preserve"> מיליארד </w:t>
      </w:r>
      <w:r w:rsidRPr="00DC7260">
        <w:rPr>
          <w:rFonts w:hint="cs"/>
          <w:rtl/>
        </w:rPr>
        <w:t xml:space="preserve">ש"ח </w:t>
      </w:r>
      <w:r w:rsidRPr="00DC7260">
        <w:rPr>
          <w:rtl/>
        </w:rPr>
        <w:t xml:space="preserve">בשנת 2020 </w:t>
      </w:r>
      <w:r w:rsidRPr="00DC7260">
        <w:rPr>
          <w:rFonts w:hint="eastAsia"/>
          <w:rtl/>
        </w:rPr>
        <w:t>שנדרש</w:t>
      </w:r>
      <w:r w:rsidRPr="00DC7260">
        <w:rPr>
          <w:rFonts w:hint="cs"/>
          <w:rtl/>
        </w:rPr>
        <w:t>, בין היתר,</w:t>
      </w:r>
      <w:r w:rsidRPr="00DC7260">
        <w:rPr>
          <w:rtl/>
        </w:rPr>
        <w:t xml:space="preserve"> </w:t>
      </w:r>
      <w:r w:rsidRPr="00DC7260">
        <w:rPr>
          <w:rFonts w:hint="eastAsia"/>
          <w:rtl/>
        </w:rPr>
        <w:t>למימון</w:t>
      </w:r>
      <w:r w:rsidRPr="00DC7260">
        <w:rPr>
          <w:rtl/>
        </w:rPr>
        <w:t xml:space="preserve"> </w:t>
      </w:r>
      <w:r w:rsidRPr="00DC7260">
        <w:rPr>
          <w:rFonts w:hint="eastAsia"/>
          <w:rtl/>
        </w:rPr>
        <w:t>הסיוע</w:t>
      </w:r>
      <w:r w:rsidRPr="00DC7260">
        <w:rPr>
          <w:rtl/>
        </w:rPr>
        <w:t xml:space="preserve"> </w:t>
      </w:r>
      <w:r w:rsidRPr="00DC7260">
        <w:rPr>
          <w:rFonts w:hint="eastAsia"/>
          <w:rtl/>
        </w:rPr>
        <w:t>הממשלתי</w:t>
      </w:r>
      <w:r w:rsidRPr="00DC7260">
        <w:rPr>
          <w:rtl/>
        </w:rPr>
        <w:t xml:space="preserve"> </w:t>
      </w:r>
      <w:r w:rsidRPr="00DC7260">
        <w:rPr>
          <w:rFonts w:hint="eastAsia"/>
          <w:rtl/>
        </w:rPr>
        <w:t>בתקופת</w:t>
      </w:r>
      <w:r w:rsidRPr="00DC7260">
        <w:rPr>
          <w:rtl/>
        </w:rPr>
        <w:t xml:space="preserve"> </w:t>
      </w:r>
      <w:r w:rsidRPr="00DC7260">
        <w:rPr>
          <w:rFonts w:hint="eastAsia"/>
          <w:rtl/>
        </w:rPr>
        <w:t>משבר</w:t>
      </w:r>
      <w:r w:rsidRPr="00DC7260">
        <w:rPr>
          <w:rtl/>
        </w:rPr>
        <w:t xml:space="preserve"> </w:t>
      </w:r>
      <w:r w:rsidRPr="00DC7260">
        <w:rPr>
          <w:rFonts w:hint="eastAsia"/>
          <w:rtl/>
        </w:rPr>
        <w:t>הקורונה</w:t>
      </w:r>
      <w:r w:rsidR="00F92733">
        <w:rPr>
          <w:rtl/>
        </w:rPr>
        <w:t>.</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751DEBF7" w14:textId="4483AB8D" w:rsidR="00F92733" w:rsidRPr="008E57FE" w:rsidRDefault="00F92733" w:rsidP="00F92733">
      <w:pPr>
        <w:pStyle w:val="71f1"/>
        <w:rPr>
          <w:b/>
          <w:bCs/>
        </w:rPr>
      </w:pPr>
      <w:r w:rsidRPr="00C76C95">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71D">
        <w:rPr>
          <w:rStyle w:val="21Char1"/>
          <w:noProof/>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DD9165"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F3444F" w:rsidRPr="00AA2F96">
        <w:rPr>
          <w:rFonts w:hint="cs"/>
          <w:rtl/>
        </w:rPr>
        <w:t xml:space="preserve">מומלץ לטייב את שיתוף הפעולה בין </w:t>
      </w:r>
      <w:proofErr w:type="spellStart"/>
      <w:r w:rsidR="00F3444F" w:rsidRPr="00AA2F96">
        <w:rPr>
          <w:rFonts w:hint="cs"/>
          <w:rtl/>
        </w:rPr>
        <w:t>החשכ"ל</w:t>
      </w:r>
      <w:proofErr w:type="spellEnd"/>
      <w:r w:rsidR="00F3444F" w:rsidRPr="00AA2F96">
        <w:rPr>
          <w:rFonts w:hint="cs"/>
          <w:rtl/>
        </w:rPr>
        <w:t xml:space="preserve"> לבין בנק ישראל ורשות המיסים ולבחון יחדיו את חבילת הסיוע הכוללת שניתנה לציבור, בשים לב ליחסי הגומלין בין אשראי למענקים, לענפים שנפגעו ולעוצמת הפגיעה</w:t>
      </w:r>
      <w:r w:rsidRPr="008E57FE">
        <w:rPr>
          <w:rtl/>
        </w:rPr>
        <w:t>.</w:t>
      </w:r>
    </w:p>
    <w:p w14:paraId="17F24D82" w14:textId="24143611" w:rsidR="00F92733" w:rsidRPr="008E57FE" w:rsidRDefault="00F92733" w:rsidP="00F92733">
      <w:pPr>
        <w:pStyle w:val="71f1"/>
        <w:ind w:left="133"/>
        <w:rPr>
          <w:rtl/>
        </w:rPr>
      </w:pPr>
      <w:r w:rsidRPr="00C76C95">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44F" w:rsidRPr="00AA2F96">
        <w:rPr>
          <w:rFonts w:hint="cs"/>
          <w:rtl/>
        </w:rPr>
        <w:t xml:space="preserve">מומלץ כי רשות שוק ההון, כגורם המופקד על "הגנה ושמירה על עניינם של המבוטחים, העמיתים ולקוחות הגופים המפוקחים", תפעל להבטיח כי הפעילים בשווקים הפיננסיים יבינו את הסיכונים הגלומים בפעילותם, ויבטאו זאת במדיניות ניהול הסיכונים הן בתיקי ההשקעות העצמיות של הגופים המוסדיים, להבטחת יציבותם, והן בתיקים המנוהלים, להבטחת כספי העמיתים, בייחוד לקראת משברים מתהווים, בראייה צופה פני עתיד. עוד מומלץ כי רשות שוק </w:t>
      </w:r>
      <w:r w:rsidR="00F3444F" w:rsidRPr="00AA2F96">
        <w:rPr>
          <w:rFonts w:hint="eastAsia"/>
          <w:rtl/>
        </w:rPr>
        <w:t>ההון</w:t>
      </w:r>
      <w:r w:rsidR="00F3444F" w:rsidRPr="00AA2F96">
        <w:rPr>
          <w:rtl/>
        </w:rPr>
        <w:t xml:space="preserve"> </w:t>
      </w:r>
      <w:r w:rsidR="00F3444F" w:rsidRPr="00AA2F96">
        <w:rPr>
          <w:rFonts w:hint="eastAsia"/>
          <w:rtl/>
        </w:rPr>
        <w:t>תנחה</w:t>
      </w:r>
      <w:r w:rsidR="00F3444F" w:rsidRPr="00AA2F96">
        <w:rPr>
          <w:rtl/>
        </w:rPr>
        <w:t xml:space="preserve"> בכתב </w:t>
      </w:r>
      <w:r w:rsidR="00F3444F" w:rsidRPr="00AA2F96">
        <w:rPr>
          <w:rFonts w:hint="cs"/>
          <w:rtl/>
        </w:rPr>
        <w:t>את</w:t>
      </w:r>
      <w:r w:rsidR="00F3444F" w:rsidRPr="00AA2F96">
        <w:rPr>
          <w:rtl/>
        </w:rPr>
        <w:t xml:space="preserve"> הגופים המוסדיים </w:t>
      </w:r>
      <w:r w:rsidR="00F3444F" w:rsidRPr="00AA2F96">
        <w:rPr>
          <w:rFonts w:hint="cs"/>
          <w:rtl/>
        </w:rPr>
        <w:t>לנתח</w:t>
      </w:r>
      <w:r w:rsidR="00F3444F" w:rsidRPr="00AA2F96">
        <w:rPr>
          <w:rtl/>
        </w:rPr>
        <w:t xml:space="preserve"> סיכונים מותאמים לתקופת משבר או לנקוט פעולות אחרות </w:t>
      </w:r>
      <w:r w:rsidR="00F3444F" w:rsidRPr="00AA2F96">
        <w:rPr>
          <w:rFonts w:hint="eastAsia"/>
          <w:rtl/>
        </w:rPr>
        <w:t>לשם</w:t>
      </w:r>
      <w:r w:rsidR="00F3444F" w:rsidRPr="00AA2F96">
        <w:rPr>
          <w:rtl/>
        </w:rPr>
        <w:t xml:space="preserve"> </w:t>
      </w:r>
      <w:r w:rsidR="00F3444F" w:rsidRPr="00AA2F96">
        <w:rPr>
          <w:rFonts w:hint="cs"/>
          <w:rtl/>
        </w:rPr>
        <w:t>צמצום ה</w:t>
      </w:r>
      <w:r w:rsidR="00F3444F" w:rsidRPr="00AA2F96">
        <w:rPr>
          <w:rFonts w:hint="eastAsia"/>
          <w:rtl/>
        </w:rPr>
        <w:t>סיכונים</w:t>
      </w:r>
      <w:r w:rsidR="00F3444F" w:rsidRPr="00AA2F96">
        <w:rPr>
          <w:rtl/>
        </w:rPr>
        <w:t xml:space="preserve"> </w:t>
      </w:r>
      <w:r w:rsidR="00F3444F" w:rsidRPr="00AA2F96">
        <w:rPr>
          <w:rFonts w:hint="cs"/>
          <w:rtl/>
        </w:rPr>
        <w:t>הללו</w:t>
      </w:r>
      <w:r w:rsidRPr="008E57FE">
        <w:rPr>
          <w:rFonts w:hint="cs"/>
          <w:rtl/>
        </w:rPr>
        <w:t>.</w:t>
      </w:r>
    </w:p>
    <w:p w14:paraId="4594218F" w14:textId="370E6FF6" w:rsidR="00F92733" w:rsidRPr="008E57FE" w:rsidRDefault="00F92733" w:rsidP="00F92733">
      <w:pPr>
        <w:pStyle w:val="71f1"/>
        <w:ind w:left="133"/>
        <w:rPr>
          <w:rtl/>
        </w:rPr>
      </w:pPr>
      <w:r w:rsidRPr="00C76C95">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D2" w:rsidRPr="00AA2F96">
        <w:rPr>
          <w:rFonts w:hint="cs"/>
          <w:rtl/>
        </w:rPr>
        <w:t>מומלץ כי שר האוצר יבחן את הגדרה של היקף כוח האדם</w:t>
      </w:r>
      <w:r w:rsidR="005F3DD2" w:rsidRPr="00AA2F96">
        <w:rPr>
          <w:rtl/>
        </w:rPr>
        <w:t xml:space="preserve"> </w:t>
      </w:r>
      <w:r w:rsidR="005F3DD2" w:rsidRPr="00AA2F96">
        <w:rPr>
          <w:rFonts w:hint="cs"/>
          <w:rtl/>
        </w:rPr>
        <w:t>שיפעל בשירות</w:t>
      </w:r>
      <w:r w:rsidR="005F3DD2" w:rsidRPr="00AA2F96">
        <w:rPr>
          <w:rtl/>
        </w:rPr>
        <w:t xml:space="preserve"> הרגולטורים הפיננס</w:t>
      </w:r>
      <w:r w:rsidR="005F3DD2" w:rsidRPr="00AA2F96">
        <w:rPr>
          <w:rFonts w:hint="cs"/>
          <w:rtl/>
        </w:rPr>
        <w:t>י</w:t>
      </w:r>
      <w:r w:rsidR="005F3DD2" w:rsidRPr="00AA2F96">
        <w:rPr>
          <w:rtl/>
        </w:rPr>
        <w:t>ים</w:t>
      </w:r>
      <w:r w:rsidR="005F3DD2" w:rsidRPr="00AA2F96">
        <w:rPr>
          <w:rFonts w:hint="cs"/>
          <w:rtl/>
        </w:rPr>
        <w:t xml:space="preserve"> </w:t>
      </w:r>
      <w:r w:rsidR="005F3DD2" w:rsidRPr="00AA2F96">
        <w:rPr>
          <w:rtl/>
        </w:rPr>
        <w:t>ב</w:t>
      </w:r>
      <w:r w:rsidR="005F3DD2" w:rsidRPr="00AA2F96">
        <w:rPr>
          <w:rFonts w:hint="cs"/>
          <w:rtl/>
        </w:rPr>
        <w:t xml:space="preserve">שעת </w:t>
      </w:r>
      <w:r w:rsidR="005F3DD2" w:rsidRPr="00AA2F96">
        <w:rPr>
          <w:rtl/>
        </w:rPr>
        <w:t>חירום</w:t>
      </w:r>
      <w:r w:rsidR="005F3DD2" w:rsidRPr="00AA2F96">
        <w:rPr>
          <w:rFonts w:hint="cs"/>
          <w:rtl/>
        </w:rPr>
        <w:t xml:space="preserve"> טרם יגיש המלצותיו לממשלה</w:t>
      </w:r>
      <w:r w:rsidR="005F3DD2" w:rsidRPr="00AA2F96">
        <w:rPr>
          <w:rtl/>
        </w:rPr>
        <w:t xml:space="preserve"> </w:t>
      </w:r>
      <w:r w:rsidR="005F3DD2" w:rsidRPr="00AA2F96">
        <w:rPr>
          <w:rFonts w:hint="cs"/>
          <w:rtl/>
        </w:rPr>
        <w:t>ו</w:t>
      </w:r>
      <w:r w:rsidR="005F3DD2" w:rsidRPr="00AA2F96">
        <w:rPr>
          <w:rtl/>
        </w:rPr>
        <w:t>ב</w:t>
      </w:r>
      <w:r w:rsidR="005F3DD2" w:rsidRPr="00AA2F96">
        <w:rPr>
          <w:rFonts w:hint="cs"/>
          <w:rtl/>
        </w:rPr>
        <w:t xml:space="preserve">התבסס </w:t>
      </w:r>
      <w:r w:rsidR="005F3DD2" w:rsidRPr="00AA2F96">
        <w:rPr>
          <w:rtl/>
        </w:rPr>
        <w:t>על תרחישי ייחוס ועל צרכיהם</w:t>
      </w:r>
      <w:r w:rsidR="005F3DD2" w:rsidRPr="00AA2F96">
        <w:rPr>
          <w:rFonts w:hint="cs"/>
          <w:rtl/>
        </w:rPr>
        <w:t>, וכי הדבר יתבטא בעתיד בכל עת שבה הממשלה מתקינה תקנות לשעת חירום</w:t>
      </w:r>
      <w:r w:rsidR="005F3DD2" w:rsidRPr="00AA2F96">
        <w:rPr>
          <w:rtl/>
        </w:rPr>
        <w:t xml:space="preserve">. </w:t>
      </w:r>
      <w:r w:rsidR="005F3DD2" w:rsidRPr="00AA2F96">
        <w:rPr>
          <w:rFonts w:hint="cs"/>
          <w:rtl/>
        </w:rPr>
        <w:t>כך תובטח</w:t>
      </w:r>
      <w:r w:rsidR="005F3DD2" w:rsidRPr="00AA2F96">
        <w:rPr>
          <w:rtl/>
        </w:rPr>
        <w:t xml:space="preserve"> פעולתם התקינה</w:t>
      </w:r>
      <w:r w:rsidR="005F3DD2" w:rsidRPr="00AA2F96">
        <w:rPr>
          <w:rFonts w:hint="cs"/>
          <w:rtl/>
        </w:rPr>
        <w:t xml:space="preserve"> והסדירה לשמירת</w:t>
      </w:r>
      <w:r w:rsidR="005F3DD2" w:rsidRPr="00AA2F96">
        <w:rPr>
          <w:rtl/>
        </w:rPr>
        <w:t xml:space="preserve"> היציבות הפיננסית</w:t>
      </w:r>
      <w:r w:rsidR="005F3DD2" w:rsidRPr="00AA2F96">
        <w:rPr>
          <w:rFonts w:hint="cs"/>
          <w:rtl/>
        </w:rPr>
        <w:t>,</w:t>
      </w:r>
      <w:r w:rsidR="005F3DD2" w:rsidRPr="00AA2F96">
        <w:rPr>
          <w:rtl/>
        </w:rPr>
        <w:t xml:space="preserve"> ו</w:t>
      </w:r>
      <w:r w:rsidR="005F3DD2" w:rsidRPr="00AA2F96">
        <w:rPr>
          <w:rFonts w:hint="cs"/>
          <w:rtl/>
        </w:rPr>
        <w:t>תושג</w:t>
      </w:r>
      <w:r w:rsidR="005F3DD2" w:rsidRPr="00AA2F96">
        <w:rPr>
          <w:rtl/>
        </w:rPr>
        <w:t xml:space="preserve"> התמודדות נאותה עם האתגרים הכלכליים</w:t>
      </w:r>
      <w:r w:rsidR="005F3DD2" w:rsidRPr="00AA2F96">
        <w:rPr>
          <w:rFonts w:hint="cs"/>
          <w:rtl/>
        </w:rPr>
        <w:t xml:space="preserve"> שמביא </w:t>
      </w:r>
      <w:proofErr w:type="spellStart"/>
      <w:r w:rsidR="005F3DD2" w:rsidRPr="00AA2F96">
        <w:rPr>
          <w:rFonts w:hint="cs"/>
          <w:rtl/>
        </w:rPr>
        <w:t>עימו</w:t>
      </w:r>
      <w:proofErr w:type="spellEnd"/>
      <w:r w:rsidR="005F3DD2" w:rsidRPr="00AA2F96">
        <w:rPr>
          <w:rtl/>
        </w:rPr>
        <w:t xml:space="preserve"> </w:t>
      </w:r>
      <w:r w:rsidR="005F3DD2" w:rsidRPr="00AA2F96">
        <w:rPr>
          <w:rFonts w:hint="cs"/>
          <w:rtl/>
        </w:rPr>
        <w:t>מצב</w:t>
      </w:r>
      <w:r w:rsidR="005F3DD2" w:rsidRPr="00AA2F96">
        <w:rPr>
          <w:rtl/>
        </w:rPr>
        <w:t xml:space="preserve"> </w:t>
      </w:r>
      <w:r w:rsidR="005F3DD2" w:rsidRPr="00AA2F96">
        <w:rPr>
          <w:rFonts w:hint="cs"/>
          <w:rtl/>
        </w:rPr>
        <w:t>ה</w:t>
      </w:r>
      <w:r w:rsidR="005F3DD2" w:rsidRPr="00AA2F96">
        <w:rPr>
          <w:rtl/>
        </w:rPr>
        <w:t>חירום</w:t>
      </w:r>
      <w:r w:rsidRPr="008E57FE">
        <w:rPr>
          <w:rFonts w:hint="cs"/>
          <w:rtl/>
        </w:rPr>
        <w:t xml:space="preserve">. </w:t>
      </w:r>
    </w:p>
    <w:p w14:paraId="5ED840AA" w14:textId="04AC573D" w:rsidR="00F92733" w:rsidRPr="008E57FE" w:rsidRDefault="00F92733" w:rsidP="00F92733">
      <w:pPr>
        <w:pStyle w:val="71f1"/>
        <w:ind w:left="133"/>
      </w:pPr>
      <w:r w:rsidRPr="00C76C95">
        <w:rPr>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D2" w:rsidRPr="00AA2F96">
        <w:rPr>
          <w:rFonts w:hint="eastAsia"/>
          <w:rtl/>
        </w:rPr>
        <w:t>מומלץ</w:t>
      </w:r>
      <w:r w:rsidR="005F3DD2" w:rsidRPr="00AA2F96">
        <w:rPr>
          <w:rtl/>
        </w:rPr>
        <w:t xml:space="preserve"> כי </w:t>
      </w:r>
      <w:proofErr w:type="spellStart"/>
      <w:r w:rsidR="005F3DD2" w:rsidRPr="00AA2F96">
        <w:rPr>
          <w:rtl/>
        </w:rPr>
        <w:t>החש</w:t>
      </w:r>
      <w:r w:rsidR="005F3DD2" w:rsidRPr="00AA2F96">
        <w:rPr>
          <w:rFonts w:hint="cs"/>
          <w:rtl/>
        </w:rPr>
        <w:t>כ"ל</w:t>
      </w:r>
      <w:proofErr w:type="spellEnd"/>
      <w:r w:rsidR="005F3DD2" w:rsidRPr="00AA2F96">
        <w:rPr>
          <w:rtl/>
        </w:rPr>
        <w:t xml:space="preserve"> י</w:t>
      </w:r>
      <w:r w:rsidR="005F3DD2" w:rsidRPr="00AA2F96">
        <w:rPr>
          <w:rFonts w:hint="eastAsia"/>
          <w:rtl/>
        </w:rPr>
        <w:t>ציג</w:t>
      </w:r>
      <w:r w:rsidR="005F3DD2" w:rsidRPr="00AA2F96">
        <w:rPr>
          <w:rtl/>
        </w:rPr>
        <w:t xml:space="preserve"> לממשלה </w:t>
      </w:r>
      <w:r w:rsidR="005F3DD2" w:rsidRPr="00AA2F96">
        <w:rPr>
          <w:rFonts w:hint="eastAsia"/>
          <w:rtl/>
        </w:rPr>
        <w:t>במסגרת</w:t>
      </w:r>
      <w:r w:rsidR="005F3DD2" w:rsidRPr="00AA2F96">
        <w:rPr>
          <w:rtl/>
        </w:rPr>
        <w:t xml:space="preserve"> </w:t>
      </w:r>
      <w:r w:rsidR="005F3DD2" w:rsidRPr="00AA2F96">
        <w:rPr>
          <w:rFonts w:hint="eastAsia"/>
          <w:rtl/>
        </w:rPr>
        <w:t>דיונים</w:t>
      </w:r>
      <w:r w:rsidR="005F3DD2" w:rsidRPr="00AA2F96">
        <w:rPr>
          <w:rtl/>
        </w:rPr>
        <w:t xml:space="preserve"> עתידיים </w:t>
      </w:r>
      <w:r w:rsidR="005F3DD2" w:rsidRPr="00AA2F96">
        <w:rPr>
          <w:rFonts w:hint="cs"/>
          <w:rtl/>
        </w:rPr>
        <w:t>בנושא תקצוב סכומים חד-פעמיים ("</w:t>
      </w:r>
      <w:r w:rsidR="005F3DD2" w:rsidRPr="00AA2F96">
        <w:rPr>
          <w:rFonts w:hint="eastAsia"/>
          <w:rtl/>
        </w:rPr>
        <w:t>קופסאות</w:t>
      </w:r>
      <w:r w:rsidR="005F3DD2" w:rsidRPr="00AA2F96">
        <w:rPr>
          <w:rFonts w:hint="cs"/>
          <w:rtl/>
        </w:rPr>
        <w:t>")</w:t>
      </w:r>
      <w:r w:rsidR="005F3DD2" w:rsidRPr="00AA2F96">
        <w:rPr>
          <w:rtl/>
        </w:rPr>
        <w:t xml:space="preserve"> </w:t>
      </w:r>
      <w:r w:rsidR="005F3DD2" w:rsidRPr="00AA2F96">
        <w:rPr>
          <w:rFonts w:hint="eastAsia"/>
          <w:rtl/>
        </w:rPr>
        <w:t>לטובת</w:t>
      </w:r>
      <w:r w:rsidR="005F3DD2" w:rsidRPr="00AA2F96">
        <w:rPr>
          <w:rtl/>
        </w:rPr>
        <w:t xml:space="preserve"> </w:t>
      </w:r>
      <w:r w:rsidR="005F3DD2" w:rsidRPr="00AA2F96">
        <w:rPr>
          <w:rFonts w:hint="eastAsia"/>
          <w:rtl/>
        </w:rPr>
        <w:t>הוצאות</w:t>
      </w:r>
      <w:r w:rsidR="005F3DD2" w:rsidRPr="00AA2F96">
        <w:rPr>
          <w:rtl/>
        </w:rPr>
        <w:t xml:space="preserve"> </w:t>
      </w:r>
      <w:r w:rsidR="005F3DD2" w:rsidRPr="00AA2F96">
        <w:rPr>
          <w:rFonts w:hint="eastAsia"/>
          <w:rtl/>
        </w:rPr>
        <w:t>חוץ</w:t>
      </w:r>
      <w:r w:rsidR="005F3DD2" w:rsidRPr="00AA2F96">
        <w:rPr>
          <w:rFonts w:hint="cs"/>
          <w:rtl/>
        </w:rPr>
        <w:t>-</w:t>
      </w:r>
      <w:r w:rsidR="005F3DD2" w:rsidRPr="00AA2F96">
        <w:rPr>
          <w:rFonts w:hint="eastAsia"/>
          <w:rtl/>
        </w:rPr>
        <w:t>תקציביות</w:t>
      </w:r>
      <w:r w:rsidR="005F3DD2" w:rsidRPr="00AA2F96">
        <w:rPr>
          <w:rtl/>
        </w:rPr>
        <w:t xml:space="preserve"> </w:t>
      </w:r>
      <w:r w:rsidR="005F3DD2" w:rsidRPr="00AA2F96">
        <w:rPr>
          <w:rFonts w:hint="eastAsia"/>
          <w:rtl/>
        </w:rPr>
        <w:t>שמחייבות</w:t>
      </w:r>
      <w:r w:rsidR="005F3DD2" w:rsidRPr="00AA2F96">
        <w:rPr>
          <w:rtl/>
        </w:rPr>
        <w:t xml:space="preserve"> מימון</w:t>
      </w:r>
      <w:r w:rsidR="005F3DD2" w:rsidRPr="00AA2F96">
        <w:rPr>
          <w:rFonts w:hint="cs"/>
          <w:rtl/>
        </w:rPr>
        <w:t xml:space="preserve">, אם </w:t>
      </w:r>
      <w:r w:rsidR="005F3DD2" w:rsidRPr="00AA2F96">
        <w:rPr>
          <w:rtl/>
        </w:rPr>
        <w:t>יהיו</w:t>
      </w:r>
      <w:r w:rsidR="005F3DD2" w:rsidRPr="00AA2F96">
        <w:rPr>
          <w:rFonts w:hint="cs"/>
          <w:rtl/>
        </w:rPr>
        <w:t xml:space="preserve"> כאלה</w:t>
      </w:r>
      <w:r w:rsidR="005F3DD2" w:rsidRPr="00AA2F96">
        <w:rPr>
          <w:rtl/>
        </w:rPr>
        <w:t xml:space="preserve">, </w:t>
      </w:r>
      <w:r w:rsidR="005F3DD2" w:rsidRPr="00AA2F96">
        <w:rPr>
          <w:rFonts w:hint="eastAsia"/>
          <w:rtl/>
        </w:rPr>
        <w:t>את</w:t>
      </w:r>
      <w:r w:rsidR="005F3DD2" w:rsidRPr="00AA2F96">
        <w:rPr>
          <w:rtl/>
        </w:rPr>
        <w:t xml:space="preserve"> </w:t>
      </w:r>
      <w:r w:rsidR="005F3DD2" w:rsidRPr="00AA2F96">
        <w:rPr>
          <w:rFonts w:hint="eastAsia"/>
          <w:rtl/>
        </w:rPr>
        <w:t>כלל</w:t>
      </w:r>
      <w:r w:rsidR="005F3DD2" w:rsidRPr="00AA2F96">
        <w:rPr>
          <w:rFonts w:hint="cs"/>
          <w:rtl/>
        </w:rPr>
        <w:t xml:space="preserve"> ההשלכות שיש למנגנון זה על</w:t>
      </w:r>
      <w:r w:rsidR="005F3DD2" w:rsidRPr="00AA2F96">
        <w:rPr>
          <w:rtl/>
        </w:rPr>
        <w:t xml:space="preserve"> </w:t>
      </w:r>
      <w:r w:rsidR="005F3DD2" w:rsidRPr="00AA2F96">
        <w:rPr>
          <w:rFonts w:hint="eastAsia"/>
          <w:rtl/>
        </w:rPr>
        <w:t>היבטי</w:t>
      </w:r>
      <w:r w:rsidR="005F3DD2" w:rsidRPr="00AA2F96">
        <w:rPr>
          <w:rtl/>
        </w:rPr>
        <w:t xml:space="preserve"> </w:t>
      </w:r>
      <w:r w:rsidR="005F3DD2" w:rsidRPr="00AA2F96">
        <w:rPr>
          <w:rFonts w:hint="eastAsia"/>
          <w:rtl/>
        </w:rPr>
        <w:t>גיוס</w:t>
      </w:r>
      <w:r w:rsidR="005F3DD2" w:rsidRPr="00AA2F96">
        <w:rPr>
          <w:rtl/>
        </w:rPr>
        <w:t xml:space="preserve"> </w:t>
      </w:r>
      <w:r w:rsidR="005F3DD2" w:rsidRPr="00AA2F96">
        <w:rPr>
          <w:rFonts w:hint="eastAsia"/>
          <w:rtl/>
        </w:rPr>
        <w:t>הכספים</w:t>
      </w:r>
      <w:r w:rsidR="005F3DD2" w:rsidRPr="00AA2F96">
        <w:rPr>
          <w:rtl/>
        </w:rPr>
        <w:t xml:space="preserve"> </w:t>
      </w:r>
      <w:r w:rsidR="005F3DD2" w:rsidRPr="00AA2F96">
        <w:rPr>
          <w:rFonts w:hint="eastAsia"/>
          <w:rtl/>
        </w:rPr>
        <w:t>שיידרשו</w:t>
      </w:r>
      <w:r w:rsidR="005F3DD2" w:rsidRPr="00AA2F96">
        <w:rPr>
          <w:rtl/>
        </w:rPr>
        <w:t xml:space="preserve"> </w:t>
      </w:r>
      <w:r w:rsidR="005F3DD2" w:rsidRPr="00AA2F96">
        <w:rPr>
          <w:rFonts w:hint="eastAsia"/>
          <w:rtl/>
        </w:rPr>
        <w:t>למימונן</w:t>
      </w:r>
      <w:r w:rsidR="005F3DD2" w:rsidRPr="00AA2F96">
        <w:rPr>
          <w:rtl/>
        </w:rPr>
        <w:t xml:space="preserve">, לרבות </w:t>
      </w:r>
      <w:r w:rsidR="005F3DD2" w:rsidRPr="00AA2F96">
        <w:rPr>
          <w:rFonts w:hint="eastAsia"/>
          <w:rtl/>
        </w:rPr>
        <w:t>השפעתן</w:t>
      </w:r>
      <w:r w:rsidR="005F3DD2" w:rsidRPr="00AA2F96">
        <w:rPr>
          <w:rtl/>
        </w:rPr>
        <w:t xml:space="preserve"> </w:t>
      </w:r>
      <w:r w:rsidR="005F3DD2" w:rsidRPr="00AA2F96">
        <w:rPr>
          <w:rFonts w:hint="eastAsia"/>
          <w:rtl/>
        </w:rPr>
        <w:t>הצפויה</w:t>
      </w:r>
      <w:r w:rsidR="005F3DD2" w:rsidRPr="00AA2F96">
        <w:rPr>
          <w:rtl/>
        </w:rPr>
        <w:t xml:space="preserve"> </w:t>
      </w:r>
      <w:r w:rsidR="005F3DD2" w:rsidRPr="00AA2F96">
        <w:rPr>
          <w:rFonts w:hint="eastAsia"/>
          <w:rtl/>
        </w:rPr>
        <w:t>על</w:t>
      </w:r>
      <w:r w:rsidR="005F3DD2" w:rsidRPr="00AA2F96">
        <w:rPr>
          <w:rtl/>
        </w:rPr>
        <w:t xml:space="preserve"> הגירעון,</w:t>
      </w:r>
      <w:r w:rsidR="005F3DD2" w:rsidRPr="00AA2F96">
        <w:rPr>
          <w:rFonts w:hint="cs"/>
          <w:rtl/>
        </w:rPr>
        <w:t xml:space="preserve"> </w:t>
      </w:r>
      <w:r w:rsidR="005F3DD2" w:rsidRPr="00AA2F96">
        <w:rPr>
          <w:rFonts w:hint="eastAsia"/>
          <w:rtl/>
        </w:rPr>
        <w:t>רמת</w:t>
      </w:r>
      <w:r w:rsidR="005F3DD2" w:rsidRPr="00AA2F96">
        <w:rPr>
          <w:rtl/>
        </w:rPr>
        <w:t xml:space="preserve"> </w:t>
      </w:r>
      <w:r w:rsidR="005F3DD2" w:rsidRPr="00AA2F96">
        <w:rPr>
          <w:rFonts w:hint="eastAsia"/>
          <w:rtl/>
        </w:rPr>
        <w:t>החוב</w:t>
      </w:r>
      <w:r w:rsidR="005F3DD2" w:rsidRPr="00AA2F96">
        <w:rPr>
          <w:rtl/>
        </w:rPr>
        <w:t xml:space="preserve"> </w:t>
      </w:r>
      <w:r w:rsidR="005F3DD2" w:rsidRPr="00AA2F96">
        <w:rPr>
          <w:rFonts w:hint="eastAsia"/>
          <w:rtl/>
        </w:rPr>
        <w:t>הממשלתי</w:t>
      </w:r>
      <w:r w:rsidR="005F3DD2" w:rsidRPr="00AA2F96">
        <w:rPr>
          <w:rtl/>
        </w:rPr>
        <w:t xml:space="preserve"> וד</w:t>
      </w:r>
      <w:r w:rsidR="005F3DD2" w:rsidRPr="00AA2F96">
        <w:rPr>
          <w:rFonts w:hint="cs"/>
          <w:rtl/>
        </w:rPr>
        <w:t>י</w:t>
      </w:r>
      <w:r w:rsidR="005F3DD2" w:rsidRPr="00AA2F96">
        <w:rPr>
          <w:rtl/>
        </w:rPr>
        <w:t>רוג האשראי של מדינת ישראל</w:t>
      </w:r>
      <w:r w:rsidRPr="008E57FE">
        <w:rPr>
          <w:rtl/>
        </w:rPr>
        <w:t xml:space="preserve">. </w:t>
      </w:r>
    </w:p>
    <w:p w14:paraId="14437852" w14:textId="23A80771" w:rsidR="00F92733" w:rsidRDefault="00F92733" w:rsidP="005F3DD2">
      <w:pPr>
        <w:pStyle w:val="71f1"/>
        <w:rPr>
          <w:rtl/>
        </w:rPr>
      </w:pPr>
      <w:r w:rsidRPr="00D01BC6">
        <w:rPr>
          <w:noProof/>
          <w:spacing w:val="-2"/>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1BC6">
        <w:rPr>
          <w:rFonts w:hint="cs"/>
          <w:spacing w:val="-2"/>
          <w:rtl/>
        </w:rPr>
        <w:t xml:space="preserve">מומלץ </w:t>
      </w:r>
      <w:r w:rsidR="005F3DD2" w:rsidRPr="00D01BC6">
        <w:rPr>
          <w:rFonts w:hint="cs"/>
          <w:spacing w:val="-2"/>
          <w:rtl/>
        </w:rPr>
        <w:t xml:space="preserve">כי </w:t>
      </w:r>
      <w:proofErr w:type="spellStart"/>
      <w:r w:rsidR="005F3DD2" w:rsidRPr="00D01BC6">
        <w:rPr>
          <w:rFonts w:hint="cs"/>
          <w:spacing w:val="-2"/>
          <w:rtl/>
        </w:rPr>
        <w:t>החשכ"ל</w:t>
      </w:r>
      <w:proofErr w:type="spellEnd"/>
      <w:r w:rsidR="005F3DD2" w:rsidRPr="00D01BC6">
        <w:rPr>
          <w:rFonts w:hint="cs"/>
          <w:spacing w:val="-2"/>
          <w:rtl/>
        </w:rPr>
        <w:t xml:space="preserve"> יבחן עם הגופים המממנים</w:t>
      </w:r>
      <w:r w:rsidR="005F3DD2" w:rsidRPr="00D01BC6">
        <w:rPr>
          <w:spacing w:val="-2"/>
          <w:rtl/>
        </w:rPr>
        <w:t xml:space="preserve"> </w:t>
      </w:r>
      <w:r w:rsidR="005F3DD2" w:rsidRPr="00D01BC6">
        <w:rPr>
          <w:rFonts w:hint="cs"/>
          <w:spacing w:val="-2"/>
          <w:rtl/>
        </w:rPr>
        <w:t xml:space="preserve">את זמני הטיפול בבקשות המוגשות להלוואות בקרנות בערבות מדינה, את החסמים השונים שנוצרו בתהליך ואת הדרכים האפשריות לצמצום לוחות הזמנים. בהתאם יש לעדכן את הציבור בדבר משך זמן הטיפול בבקשות, וכך למנוע </w:t>
      </w:r>
      <w:r w:rsidR="005F3DD2" w:rsidRPr="00D01BC6">
        <w:rPr>
          <w:spacing w:val="-2"/>
          <w:rtl/>
        </w:rPr>
        <w:t>תסכול</w:t>
      </w:r>
      <w:r w:rsidR="005F3DD2" w:rsidRPr="00D01BC6">
        <w:rPr>
          <w:rFonts w:hint="cs"/>
          <w:spacing w:val="-2"/>
          <w:rtl/>
        </w:rPr>
        <w:t xml:space="preserve"> מצד המבקשים בשל התארכות התהליך. </w:t>
      </w:r>
      <w:r w:rsidR="005F3DD2" w:rsidRPr="00D01BC6">
        <w:rPr>
          <w:spacing w:val="-2"/>
          <w:rtl/>
        </w:rPr>
        <w:t>נוכח</w:t>
      </w:r>
      <w:r w:rsidR="005F3DD2" w:rsidRPr="00D01BC6">
        <w:rPr>
          <w:rFonts w:hint="cs"/>
          <w:spacing w:val="-2"/>
          <w:rtl/>
        </w:rPr>
        <w:t xml:space="preserve"> הרצון להרחיב את היצע האשראי לעסקים בסיכון גבוה, המשתקף בהקמת המסלול המוגבר, לצד המימוש הנמוך </w:t>
      </w:r>
      <w:r w:rsidR="005F3DD2" w:rsidRPr="00D01BC6">
        <w:rPr>
          <w:rFonts w:hint="cs"/>
          <w:spacing w:val="-2"/>
          <w:rtl/>
        </w:rPr>
        <w:lastRenderedPageBreak/>
        <w:t xml:space="preserve">ופוטנציאל המענה הטמון ברתימת גופים חוץ-בנקאיים, מומלץ כי </w:t>
      </w:r>
      <w:proofErr w:type="spellStart"/>
      <w:r w:rsidR="005F3DD2" w:rsidRPr="00D01BC6">
        <w:rPr>
          <w:rFonts w:hint="cs"/>
          <w:spacing w:val="-2"/>
          <w:rtl/>
        </w:rPr>
        <w:t>החשכ"ל</w:t>
      </w:r>
      <w:proofErr w:type="spellEnd"/>
      <w:r w:rsidR="005F3DD2" w:rsidRPr="00D01BC6">
        <w:rPr>
          <w:rFonts w:hint="cs"/>
          <w:spacing w:val="-2"/>
          <w:rtl/>
        </w:rPr>
        <w:t xml:space="preserve"> ישקול העמדת ערבות מדינה לקבוצה הגופים החוץ-בנקאיים בתנאים מסחריים שיוגדרו בין הצדדים.</w:t>
      </w:r>
      <w:r w:rsidR="005F3DD2" w:rsidRPr="00D01BC6">
        <w:rPr>
          <w:spacing w:val="-2"/>
          <w:rtl/>
        </w:rPr>
        <w:t xml:space="preserve"> </w:t>
      </w:r>
      <w:r w:rsidR="005F3DD2" w:rsidRPr="00D01BC6">
        <w:rPr>
          <w:rFonts w:hint="cs"/>
          <w:spacing w:val="-2"/>
          <w:rtl/>
        </w:rPr>
        <w:t xml:space="preserve">עוד מומלץ כי </w:t>
      </w:r>
      <w:proofErr w:type="spellStart"/>
      <w:r w:rsidR="005F3DD2" w:rsidRPr="00D01BC6">
        <w:rPr>
          <w:rFonts w:hint="cs"/>
          <w:spacing w:val="-2"/>
          <w:rtl/>
        </w:rPr>
        <w:t>החשכ"ל</w:t>
      </w:r>
      <w:proofErr w:type="spellEnd"/>
      <w:r w:rsidR="005F3DD2" w:rsidRPr="00D01BC6">
        <w:rPr>
          <w:rFonts w:hint="cs"/>
          <w:spacing w:val="-2"/>
          <w:rtl/>
        </w:rPr>
        <w:t xml:space="preserve"> יבחן את מתכונת פעילות הקרן לעסקים גדולים וישלים את בחינת שיעור הביטולים הגבוה בקרנות כדי לטייב את פעילותן ואת מתן הסיוע למגזר העסקי</w:t>
      </w:r>
      <w:r w:rsidRPr="008E57FE">
        <w:rPr>
          <w:rFonts w:hint="cs"/>
          <w:rtl/>
        </w:rPr>
        <w:t xml:space="preserve">. </w:t>
      </w:r>
    </w:p>
    <w:p w14:paraId="7B6B9C28" w14:textId="4B09DD85" w:rsidR="00F92733" w:rsidRDefault="00424D94" w:rsidP="001675AA">
      <w:pPr>
        <w:spacing w:after="120" w:line="360" w:lineRule="auto"/>
        <w:rPr>
          <w:szCs w:val="20"/>
          <w:rtl/>
        </w:rPr>
      </w:pPr>
      <w:r w:rsidRPr="00D527BD">
        <w:rPr>
          <w:noProof/>
          <w:szCs w:val="20"/>
          <w:rtl/>
        </w:rPr>
        <mc:AlternateContent>
          <mc:Choice Requires="wps">
            <w:drawing>
              <wp:anchor distT="0" distB="0" distL="114300" distR="114300" simplePos="0" relativeHeight="252049920" behindDoc="0" locked="0" layoutInCell="1" allowOverlap="1" wp14:anchorId="03966F57" wp14:editId="6A22B6BC">
                <wp:simplePos x="0" y="0"/>
                <wp:positionH relativeFrom="column">
                  <wp:posOffset>226695</wp:posOffset>
                </wp:positionH>
                <wp:positionV relativeFrom="paragraph">
                  <wp:posOffset>78105</wp:posOffset>
                </wp:positionV>
                <wp:extent cx="4428490" cy="552450"/>
                <wp:effectExtent l="0" t="0" r="3810" b="63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52450"/>
                        </a:xfrm>
                        <a:prstGeom prst="rect">
                          <a:avLst/>
                        </a:prstGeom>
                        <a:solidFill>
                          <a:srgbClr val="F05260"/>
                        </a:solidFill>
                        <a:ln w="9525">
                          <a:noFill/>
                          <a:miter lim="800000"/>
                          <a:headEnd/>
                          <a:tailEnd/>
                        </a:ln>
                      </wps:spPr>
                      <wps:txbx>
                        <w:txbxContent>
                          <w:p w14:paraId="14B0C406" w14:textId="0DF8EDE0" w:rsidR="00F92733" w:rsidRPr="00BD2712" w:rsidRDefault="001675AA" w:rsidP="008A60E7">
                            <w:pPr>
                              <w:pStyle w:val="71f8"/>
                              <w:spacing w:before="80"/>
                              <w:rPr>
                                <w:b w:val="0"/>
                                <w:bCs/>
                                <w:sz w:val="24"/>
                                <w:szCs w:val="24"/>
                                <w:rtl/>
                              </w:rPr>
                            </w:pPr>
                            <w:r w:rsidRPr="001675AA">
                              <w:rPr>
                                <w:rFonts w:hint="eastAsia"/>
                                <w:b w:val="0"/>
                                <w:bCs/>
                                <w:sz w:val="24"/>
                                <w:szCs w:val="24"/>
                                <w:rtl/>
                              </w:rPr>
                              <w:t>השינוי</w:t>
                            </w:r>
                            <w:r w:rsidRPr="001675AA">
                              <w:rPr>
                                <w:b w:val="0"/>
                                <w:bCs/>
                                <w:sz w:val="24"/>
                                <w:szCs w:val="24"/>
                                <w:rtl/>
                              </w:rPr>
                              <w:t xml:space="preserve"> </w:t>
                            </w:r>
                            <w:r w:rsidRPr="001675AA">
                              <w:rPr>
                                <w:rFonts w:hint="eastAsia"/>
                                <w:b w:val="0"/>
                                <w:bCs/>
                                <w:sz w:val="24"/>
                                <w:szCs w:val="24"/>
                                <w:rtl/>
                              </w:rPr>
                              <w:t>ביתרות</w:t>
                            </w:r>
                            <w:r w:rsidRPr="001675AA">
                              <w:rPr>
                                <w:b w:val="0"/>
                                <w:bCs/>
                                <w:sz w:val="24"/>
                                <w:szCs w:val="24"/>
                                <w:rtl/>
                              </w:rPr>
                              <w:t xml:space="preserve"> </w:t>
                            </w:r>
                            <w:r w:rsidRPr="001675AA">
                              <w:rPr>
                                <w:rFonts w:hint="eastAsia"/>
                                <w:b w:val="0"/>
                                <w:bCs/>
                                <w:sz w:val="24"/>
                                <w:szCs w:val="24"/>
                                <w:rtl/>
                              </w:rPr>
                              <w:t>האשראי</w:t>
                            </w:r>
                            <w:r w:rsidRPr="001675AA">
                              <w:rPr>
                                <w:b w:val="0"/>
                                <w:bCs/>
                                <w:sz w:val="24"/>
                                <w:szCs w:val="24"/>
                                <w:rtl/>
                              </w:rPr>
                              <w:t xml:space="preserve"> </w:t>
                            </w:r>
                            <w:r w:rsidRPr="001675AA">
                              <w:rPr>
                                <w:rFonts w:hint="eastAsia"/>
                                <w:b w:val="0"/>
                                <w:bCs/>
                                <w:sz w:val="24"/>
                                <w:szCs w:val="24"/>
                                <w:rtl/>
                              </w:rPr>
                              <w:t>במגזרי</w:t>
                            </w:r>
                            <w:r w:rsidRPr="001675AA">
                              <w:rPr>
                                <w:b w:val="0"/>
                                <w:bCs/>
                                <w:sz w:val="24"/>
                                <w:szCs w:val="24"/>
                                <w:rtl/>
                              </w:rPr>
                              <w:t xml:space="preserve"> </w:t>
                            </w:r>
                            <w:r w:rsidRPr="001675AA">
                              <w:rPr>
                                <w:rFonts w:hint="eastAsia"/>
                                <w:b w:val="0"/>
                                <w:bCs/>
                                <w:sz w:val="24"/>
                                <w:szCs w:val="24"/>
                                <w:rtl/>
                              </w:rPr>
                              <w:t>הפעילות</w:t>
                            </w:r>
                            <w:r w:rsidRPr="001675AA">
                              <w:rPr>
                                <w:b w:val="0"/>
                                <w:bCs/>
                                <w:sz w:val="24"/>
                                <w:szCs w:val="24"/>
                                <w:rtl/>
                              </w:rPr>
                              <w:t xml:space="preserve"> </w:t>
                            </w:r>
                            <w:r w:rsidRPr="001675AA">
                              <w:rPr>
                                <w:rFonts w:hint="eastAsia"/>
                                <w:b w:val="0"/>
                                <w:bCs/>
                                <w:sz w:val="24"/>
                                <w:szCs w:val="24"/>
                                <w:rtl/>
                              </w:rPr>
                              <w:t>המרכזיים</w:t>
                            </w:r>
                            <w:r w:rsidRPr="001675AA">
                              <w:rPr>
                                <w:b w:val="0"/>
                                <w:bCs/>
                                <w:sz w:val="24"/>
                                <w:szCs w:val="24"/>
                                <w:rtl/>
                              </w:rPr>
                              <w:t xml:space="preserve">, ינואר-אוגוסט </w:t>
                            </w:r>
                            <w:r>
                              <w:rPr>
                                <w:rFonts w:hint="cs"/>
                                <w:b w:val="0"/>
                                <w:bCs/>
                                <w:sz w:val="24"/>
                                <w:szCs w:val="24"/>
                                <w:rtl/>
                              </w:rPr>
                              <w:t xml:space="preserve"> 2020 </w:t>
                            </w:r>
                            <w:r w:rsidR="00F92733">
                              <w:rPr>
                                <w:rFonts w:hint="cs"/>
                                <w:b w:val="0"/>
                                <w:bCs/>
                                <w:sz w:val="24"/>
                                <w:szCs w:val="24"/>
                                <w:rtl/>
                              </w:rPr>
                              <w:t>(במילי</w:t>
                            </w:r>
                            <w:r>
                              <w:rPr>
                                <w:rFonts w:hint="cs"/>
                                <w:b w:val="0"/>
                                <w:bCs/>
                                <w:sz w:val="24"/>
                                <w:szCs w:val="24"/>
                                <w:rtl/>
                              </w:rPr>
                              <w:t>ארד</w:t>
                            </w:r>
                            <w:r w:rsidR="00F92733">
                              <w:rPr>
                                <w:rFonts w:hint="cs"/>
                                <w:b w:val="0"/>
                                <w:bCs/>
                                <w:sz w:val="24"/>
                                <w:szCs w:val="24"/>
                                <w:rtl/>
                              </w:rPr>
                              <w:t>י ש״ח)</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85pt;margin-top:6.15pt;width:348.7pt;height:43.5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" fillcolor="#f05260" stroked="f">
                <v:textbox>
                  <w:txbxContent>
                    <w:p w14:paraId="14B0C406" w14:textId="0DF8EDE0" w:rsidR="00F92733" w:rsidRPr="00BD2712" w:rsidRDefault="001675AA" w:rsidP="008A60E7">
                      <w:pPr>
                        <w:pStyle w:val="71f8"/>
                        <w:spacing w:before="80"/>
                        <w:rPr>
                          <w:b w:val="0"/>
                          <w:bCs/>
                          <w:sz w:val="24"/>
                          <w:szCs w:val="24"/>
                          <w:rtl/>
                        </w:rPr>
                      </w:pPr>
                      <w:r w:rsidRPr="001675AA">
                        <w:rPr>
                          <w:rFonts w:hint="eastAsia"/>
                          <w:b w:val="0"/>
                          <w:bCs/>
                          <w:sz w:val="24"/>
                          <w:szCs w:val="24"/>
                          <w:rtl/>
                        </w:rPr>
                        <w:t>השינוי</w:t>
                      </w:r>
                      <w:r w:rsidRPr="001675AA">
                        <w:rPr>
                          <w:b w:val="0"/>
                          <w:bCs/>
                          <w:sz w:val="24"/>
                          <w:szCs w:val="24"/>
                          <w:rtl/>
                        </w:rPr>
                        <w:t xml:space="preserve"> </w:t>
                      </w:r>
                      <w:r w:rsidRPr="001675AA">
                        <w:rPr>
                          <w:rFonts w:hint="eastAsia"/>
                          <w:b w:val="0"/>
                          <w:bCs/>
                          <w:sz w:val="24"/>
                          <w:szCs w:val="24"/>
                          <w:rtl/>
                        </w:rPr>
                        <w:t>ביתרות</w:t>
                      </w:r>
                      <w:r w:rsidRPr="001675AA">
                        <w:rPr>
                          <w:b w:val="0"/>
                          <w:bCs/>
                          <w:sz w:val="24"/>
                          <w:szCs w:val="24"/>
                          <w:rtl/>
                        </w:rPr>
                        <w:t xml:space="preserve"> </w:t>
                      </w:r>
                      <w:r w:rsidRPr="001675AA">
                        <w:rPr>
                          <w:rFonts w:hint="eastAsia"/>
                          <w:b w:val="0"/>
                          <w:bCs/>
                          <w:sz w:val="24"/>
                          <w:szCs w:val="24"/>
                          <w:rtl/>
                        </w:rPr>
                        <w:t>האשראי</w:t>
                      </w:r>
                      <w:r w:rsidRPr="001675AA">
                        <w:rPr>
                          <w:b w:val="0"/>
                          <w:bCs/>
                          <w:sz w:val="24"/>
                          <w:szCs w:val="24"/>
                          <w:rtl/>
                        </w:rPr>
                        <w:t xml:space="preserve"> </w:t>
                      </w:r>
                      <w:r w:rsidRPr="001675AA">
                        <w:rPr>
                          <w:rFonts w:hint="eastAsia"/>
                          <w:b w:val="0"/>
                          <w:bCs/>
                          <w:sz w:val="24"/>
                          <w:szCs w:val="24"/>
                          <w:rtl/>
                        </w:rPr>
                        <w:t>במגזרי</w:t>
                      </w:r>
                      <w:r w:rsidRPr="001675AA">
                        <w:rPr>
                          <w:b w:val="0"/>
                          <w:bCs/>
                          <w:sz w:val="24"/>
                          <w:szCs w:val="24"/>
                          <w:rtl/>
                        </w:rPr>
                        <w:t xml:space="preserve"> </w:t>
                      </w:r>
                      <w:r w:rsidRPr="001675AA">
                        <w:rPr>
                          <w:rFonts w:hint="eastAsia"/>
                          <w:b w:val="0"/>
                          <w:bCs/>
                          <w:sz w:val="24"/>
                          <w:szCs w:val="24"/>
                          <w:rtl/>
                        </w:rPr>
                        <w:t>הפעילות</w:t>
                      </w:r>
                      <w:r w:rsidRPr="001675AA">
                        <w:rPr>
                          <w:b w:val="0"/>
                          <w:bCs/>
                          <w:sz w:val="24"/>
                          <w:szCs w:val="24"/>
                          <w:rtl/>
                        </w:rPr>
                        <w:t xml:space="preserve"> </w:t>
                      </w:r>
                      <w:r w:rsidRPr="001675AA">
                        <w:rPr>
                          <w:rFonts w:hint="eastAsia"/>
                          <w:b w:val="0"/>
                          <w:bCs/>
                          <w:sz w:val="24"/>
                          <w:szCs w:val="24"/>
                          <w:rtl/>
                        </w:rPr>
                        <w:t>המרכזיים</w:t>
                      </w:r>
                      <w:r w:rsidRPr="001675AA">
                        <w:rPr>
                          <w:b w:val="0"/>
                          <w:bCs/>
                          <w:sz w:val="24"/>
                          <w:szCs w:val="24"/>
                          <w:rtl/>
                        </w:rPr>
                        <w:t xml:space="preserve">, ינואר-אוגוסט </w:t>
                      </w:r>
                      <w:r>
                        <w:rPr>
                          <w:rFonts w:hint="cs"/>
                          <w:b w:val="0"/>
                          <w:bCs/>
                          <w:sz w:val="24"/>
                          <w:szCs w:val="24"/>
                          <w:rtl/>
                        </w:rPr>
                        <w:t xml:space="preserve"> 2020 </w:t>
                      </w:r>
                      <w:r w:rsidR="00F92733">
                        <w:rPr>
                          <w:rFonts w:hint="cs"/>
                          <w:b w:val="0"/>
                          <w:bCs/>
                          <w:sz w:val="24"/>
                          <w:szCs w:val="24"/>
                          <w:rtl/>
                        </w:rPr>
                        <w:t>(במילי</w:t>
                      </w:r>
                      <w:r>
                        <w:rPr>
                          <w:rFonts w:hint="cs"/>
                          <w:b w:val="0"/>
                          <w:bCs/>
                          <w:sz w:val="24"/>
                          <w:szCs w:val="24"/>
                          <w:rtl/>
                        </w:rPr>
                        <w:t>ארד</w:t>
                      </w:r>
                      <w:r w:rsidR="00F92733">
                        <w:rPr>
                          <w:rFonts w:hint="cs"/>
                          <w:b w:val="0"/>
                          <w:bCs/>
                          <w:sz w:val="24"/>
                          <w:szCs w:val="24"/>
                          <w:rtl/>
                        </w:rPr>
                        <w:t>י ש״ח)</w:t>
                      </w:r>
                    </w:p>
                    <w:p w14:paraId="5C5CC988" w14:textId="77777777" w:rsidR="00F92733" w:rsidRPr="00A47335" w:rsidRDefault="00F92733" w:rsidP="00F92733">
                      <w:pPr>
                        <w:pStyle w:val="71f8"/>
                        <w:rPr>
                          <w:b w:val="0"/>
                          <w:bCs/>
                          <w:rtl/>
                        </w:rPr>
                      </w:pPr>
                    </w:p>
                  </w:txbxContent>
                </v:textbox>
              </v:shape>
            </w:pict>
          </mc:Fallback>
        </mc:AlternateContent>
      </w:r>
      <w:r w:rsidR="00F92733" w:rsidRPr="00D527BD">
        <w:rPr>
          <w:noProof/>
          <w:szCs w:val="20"/>
          <w:rtl/>
        </w:rPr>
        <w:drawing>
          <wp:anchor distT="0" distB="0" distL="114300" distR="114300" simplePos="0" relativeHeight="252048896" behindDoc="0" locked="0" layoutInCell="1" allowOverlap="1" wp14:anchorId="186471F8" wp14:editId="145AC7FE">
            <wp:simplePos x="0" y="0"/>
            <wp:positionH relativeFrom="column">
              <wp:posOffset>-1905</wp:posOffset>
            </wp:positionH>
            <wp:positionV relativeFrom="paragraph">
              <wp:posOffset>-1271</wp:posOffset>
            </wp:positionV>
            <wp:extent cx="4752975" cy="8477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2975" cy="847725"/>
                    </a:xfrm>
                    <a:prstGeom prst="rect">
                      <a:avLst/>
                    </a:prstGeom>
                  </pic:spPr>
                </pic:pic>
              </a:graphicData>
            </a:graphic>
            <wp14:sizeRelV relativeFrom="margin">
              <wp14:pctHeight>0</wp14:pctHeight>
            </wp14:sizeRelV>
          </wp:anchor>
        </w:drawing>
      </w:r>
    </w:p>
    <w:p w14:paraId="6A52977A" w14:textId="0E7EBCE1" w:rsidR="00F92733" w:rsidRDefault="00F92733" w:rsidP="00F92733">
      <w:pPr>
        <w:pStyle w:val="7190"/>
        <w:rPr>
          <w:rtl/>
        </w:rPr>
      </w:pPr>
    </w:p>
    <w:p w14:paraId="44A21432" w14:textId="60394FD7" w:rsidR="001675AA" w:rsidRDefault="00BE1BC9" w:rsidP="00FA76A5">
      <w:pPr>
        <w:pStyle w:val="7190"/>
        <w:rPr>
          <w:b/>
          <w:bCs/>
          <w:color w:val="FFFFFF" w:themeColor="background1"/>
          <w:sz w:val="28"/>
          <w:rtl/>
        </w:rPr>
      </w:pPr>
      <w:r>
        <w:rPr>
          <w:noProof/>
          <w:rtl/>
          <w:lang w:val="he-IL"/>
        </w:rPr>
        <w:drawing>
          <wp:anchor distT="0" distB="0" distL="114300" distR="114300" simplePos="0" relativeHeight="252069376" behindDoc="0" locked="0" layoutInCell="1" allowOverlap="1" wp14:anchorId="5F9DD499" wp14:editId="4127E6D0">
            <wp:simplePos x="0" y="0"/>
            <wp:positionH relativeFrom="column">
              <wp:posOffset>0</wp:posOffset>
            </wp:positionH>
            <wp:positionV relativeFrom="paragraph">
              <wp:posOffset>518795</wp:posOffset>
            </wp:positionV>
            <wp:extent cx="4864100" cy="3873500"/>
            <wp:effectExtent l="0" t="0" r="0" b="0"/>
            <wp:wrapTopAndBottom/>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תמונה 6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64100" cy="3873500"/>
                    </a:xfrm>
                    <a:prstGeom prst="rect">
                      <a:avLst/>
                    </a:prstGeom>
                  </pic:spPr>
                </pic:pic>
              </a:graphicData>
            </a:graphic>
            <wp14:sizeRelH relativeFrom="page">
              <wp14:pctWidth>0</wp14:pctWidth>
            </wp14:sizeRelH>
            <wp14:sizeRelV relativeFrom="page">
              <wp14:pctHeight>0</wp14:pctHeight>
            </wp14:sizeRelV>
          </wp:anchor>
        </w:drawing>
      </w:r>
      <w:r w:rsidR="00F92733" w:rsidRPr="007135AC">
        <w:rPr>
          <w:b/>
          <w:bCs/>
          <w:color w:val="FFFFFF" w:themeColor="background1"/>
          <w:sz w:val="28"/>
          <w:rtl/>
        </w:rPr>
        <w:t>קבוצות</w:t>
      </w:r>
      <w:r w:rsidR="00F92733">
        <w:rPr>
          <w:rFonts w:hint="cs"/>
          <w:b/>
          <w:bCs/>
          <w:color w:val="FFFFFF" w:themeColor="background1"/>
          <w:sz w:val="28"/>
          <w:rtl/>
        </w:rPr>
        <w:t xml:space="preserve"> ב</w:t>
      </w:r>
    </w:p>
    <w:p w14:paraId="2488425E" w14:textId="4F35DBAD" w:rsidR="001675AA" w:rsidRPr="004024ED" w:rsidRDefault="001675AA" w:rsidP="00BE1BC9">
      <w:pPr>
        <w:pStyle w:val="71a"/>
        <w:spacing w:before="600" w:after="0"/>
        <w:rPr>
          <w:rtl/>
        </w:rPr>
      </w:pPr>
      <w:r w:rsidRPr="004024ED">
        <w:rPr>
          <w:rFonts w:hint="cs"/>
          <w:rtl/>
        </w:rPr>
        <w:t>נתוני בנק ישראל, בעיבוד משרד מבקר המדינה.</w:t>
      </w:r>
    </w:p>
    <w:p w14:paraId="2ADC1E23" w14:textId="2EE63FBC" w:rsidR="00F92733" w:rsidRPr="001675AA" w:rsidRDefault="001675AA" w:rsidP="001675AA">
      <w:pPr>
        <w:pStyle w:val="71a"/>
        <w:spacing w:before="0"/>
        <w:rPr>
          <w:rtl/>
        </w:rPr>
      </w:pPr>
      <w:r w:rsidRPr="004024ED">
        <w:rPr>
          <w:rFonts w:hint="cs"/>
          <w:rtl/>
        </w:rPr>
        <w:t>* לרבות אשראי הניתן מחברות כרטיסי האשראי, מתושבי חוץ, ממשקי בית ומהממשלה (אשראי מוכוון).</w:t>
      </w:r>
      <w:r w:rsidR="00F92733">
        <w:rPr>
          <w:rtl/>
        </w:rPr>
        <w:br w:type="page"/>
      </w:r>
    </w:p>
    <w:p w14:paraId="3CC61AEA" w14:textId="67FC5496" w:rsidR="00F92733" w:rsidRPr="00F92733" w:rsidRDefault="00F92733" w:rsidP="00F92733">
      <w:pPr>
        <w:pStyle w:val="71f1"/>
        <w:rPr>
          <w:rtl/>
        </w:rPr>
        <w:sectPr w:rsidR="00F92733" w:rsidRPr="00F92733" w:rsidSect="00DB0A27">
          <w:footerReference w:type="even" r:id="rId29"/>
          <w:footerReference w:type="default" r:id="rId30"/>
          <w:headerReference w:type="first" r:id="rId31"/>
          <w:footerReference w:type="first" r:id="rId32"/>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392F33"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1A2D546B" w14:textId="5C1ADA36" w:rsidR="00F96F26" w:rsidRDefault="001675AA" w:rsidP="00D01BC6">
      <w:pPr>
        <w:pStyle w:val="7190"/>
        <w:sectPr w:rsidR="00F96F26" w:rsidSect="004663C7">
          <w:headerReference w:type="default" r:id="rId33"/>
          <w:pgSz w:w="11906" w:h="16838" w:code="9"/>
          <w:pgMar w:top="3062" w:right="2268" w:bottom="2552" w:left="2268" w:header="1134" w:footer="1361" w:gutter="0"/>
          <w:cols w:space="708"/>
          <w:bidi/>
          <w:rtlGutter/>
          <w:docGrid w:linePitch="360"/>
        </w:sectPr>
      </w:pPr>
      <w:r w:rsidRPr="003570AC">
        <w:rPr>
          <w:rFonts w:hint="cs"/>
          <w:rtl/>
        </w:rPr>
        <w:t>הביקורת העלתה כי הרגולטורים הפיננסיים במדינת ישראל נערכו במהירות הן למתן סיוע למשק והן לשמירה על חוסנו. בתוך כך, פעלו להתאמת השירותים הפיננסיים הניתנים לציבור בעת המשבר, הרחיבו את היצע האשראי ופעלו לניטור הסיכונים הנשקפים לפעילות הפיננסית במשק. עם זאת נמצאו ליקויים, בין היתר, ב</w:t>
      </w:r>
      <w:r w:rsidRPr="003570AC">
        <w:rPr>
          <w:rtl/>
        </w:rPr>
        <w:t>שיתו</w:t>
      </w:r>
      <w:r w:rsidRPr="003570AC">
        <w:rPr>
          <w:rFonts w:hint="cs"/>
          <w:rtl/>
        </w:rPr>
        <w:t>ף</w:t>
      </w:r>
      <w:r w:rsidRPr="003570AC">
        <w:rPr>
          <w:rtl/>
        </w:rPr>
        <w:t xml:space="preserve"> </w:t>
      </w:r>
      <w:r w:rsidRPr="003570AC">
        <w:rPr>
          <w:rFonts w:hint="cs"/>
          <w:rtl/>
        </w:rPr>
        <w:t>ה</w:t>
      </w:r>
      <w:r w:rsidRPr="003570AC">
        <w:rPr>
          <w:rtl/>
        </w:rPr>
        <w:t xml:space="preserve">פעולה בין </w:t>
      </w:r>
      <w:r w:rsidRPr="003570AC">
        <w:rPr>
          <w:rFonts w:hint="cs"/>
          <w:rtl/>
        </w:rPr>
        <w:t xml:space="preserve">כלל </w:t>
      </w:r>
      <w:r w:rsidRPr="003570AC">
        <w:rPr>
          <w:rtl/>
        </w:rPr>
        <w:t>הגורמים הרלוונטיים</w:t>
      </w:r>
      <w:r w:rsidRPr="003570AC">
        <w:rPr>
          <w:rFonts w:hint="cs"/>
          <w:rtl/>
        </w:rPr>
        <w:t xml:space="preserve">, בהגדרת חיוניות פעילותם של רגולטורים פיננסיים בחירום, בטיפול בחשיפה הגבוהה של הגופים המוסדיים לנגזרים בחו"ל, </w:t>
      </w:r>
      <w:r w:rsidRPr="003570AC">
        <w:rPr>
          <w:rtl/>
        </w:rPr>
        <w:t xml:space="preserve">בהגדרת קריטריונים מדידים </w:t>
      </w:r>
      <w:r w:rsidRPr="003570AC">
        <w:rPr>
          <w:rFonts w:hint="cs"/>
          <w:rtl/>
        </w:rPr>
        <w:t>למתן הלוואות</w:t>
      </w:r>
      <w:r w:rsidRPr="003570AC">
        <w:rPr>
          <w:rtl/>
        </w:rPr>
        <w:t xml:space="preserve"> וב</w:t>
      </w:r>
      <w:r w:rsidRPr="003570AC">
        <w:rPr>
          <w:rFonts w:hint="cs"/>
          <w:rtl/>
        </w:rPr>
        <w:t xml:space="preserve">הגדרת </w:t>
      </w:r>
      <w:r w:rsidRPr="003570AC">
        <w:rPr>
          <w:rtl/>
        </w:rPr>
        <w:t>זמני הטיפול ב</w:t>
      </w:r>
      <w:r w:rsidRPr="003570AC">
        <w:rPr>
          <w:rFonts w:hint="cs"/>
          <w:rtl/>
        </w:rPr>
        <w:t>ב</w:t>
      </w:r>
      <w:r w:rsidRPr="003570AC">
        <w:rPr>
          <w:rtl/>
        </w:rPr>
        <w:t>קשות להעמדת הלוואות במסגרתן</w:t>
      </w:r>
      <w:r w:rsidRPr="003570AC">
        <w:rPr>
          <w:rFonts w:hint="cs"/>
          <w:rtl/>
        </w:rPr>
        <w:t>. נוסף על כך, נמצא פער</w:t>
      </w:r>
      <w:r w:rsidRPr="003570AC">
        <w:rPr>
          <w:rtl/>
        </w:rPr>
        <w:t xml:space="preserve"> </w:t>
      </w:r>
      <w:r w:rsidRPr="003570AC">
        <w:rPr>
          <w:rFonts w:hint="cs"/>
          <w:rtl/>
        </w:rPr>
        <w:t>בגובה הערבות שהועמד על התיק בקרנות להעמדת הלווא</w:t>
      </w:r>
      <w:r w:rsidRPr="003570AC">
        <w:rPr>
          <w:rFonts w:hint="eastAsia"/>
          <w:rtl/>
        </w:rPr>
        <w:t>ות</w:t>
      </w:r>
      <w:r w:rsidRPr="003570AC">
        <w:rPr>
          <w:rtl/>
        </w:rPr>
        <w:t xml:space="preserve"> בערבות מדינה</w:t>
      </w:r>
      <w:r w:rsidRPr="003570AC">
        <w:rPr>
          <w:rFonts w:hint="cs"/>
          <w:rtl/>
        </w:rPr>
        <w:t xml:space="preserve"> בהשוואה בין-לאומית</w:t>
      </w:r>
      <w:r w:rsidRPr="003570AC">
        <w:rPr>
          <w:rtl/>
        </w:rPr>
        <w:t xml:space="preserve">. </w:t>
      </w:r>
      <w:r w:rsidRPr="003570AC">
        <w:rPr>
          <w:rFonts w:hint="cs"/>
          <w:rtl/>
        </w:rPr>
        <w:t>לפיכך</w:t>
      </w:r>
      <w:r w:rsidRPr="003570AC">
        <w:rPr>
          <w:rtl/>
        </w:rPr>
        <w:t xml:space="preserve"> </w:t>
      </w:r>
      <w:r w:rsidRPr="003570AC">
        <w:rPr>
          <w:rFonts w:hint="eastAsia"/>
          <w:rtl/>
        </w:rPr>
        <w:t>מומלץ</w:t>
      </w:r>
      <w:r w:rsidRPr="003570AC">
        <w:rPr>
          <w:rtl/>
        </w:rPr>
        <w:t xml:space="preserve"> </w:t>
      </w:r>
      <w:r w:rsidRPr="003570AC">
        <w:rPr>
          <w:rFonts w:hint="eastAsia"/>
          <w:rtl/>
        </w:rPr>
        <w:t>לבחון</w:t>
      </w:r>
      <w:r w:rsidRPr="003570AC">
        <w:rPr>
          <w:rtl/>
        </w:rPr>
        <w:t xml:space="preserve"> את מנגנוני הסיוע שהוצעו כדי להגביר את ה</w:t>
      </w:r>
      <w:r w:rsidRPr="003570AC">
        <w:rPr>
          <w:rFonts w:hint="cs"/>
          <w:rtl/>
        </w:rPr>
        <w:t>יעילות</w:t>
      </w:r>
      <w:r w:rsidRPr="003570AC">
        <w:rPr>
          <w:rtl/>
        </w:rPr>
        <w:t xml:space="preserve"> והמועילות של האשראי שניתן לעסקים</w:t>
      </w:r>
      <w:r w:rsidRPr="003570AC">
        <w:rPr>
          <w:rFonts w:hint="cs"/>
          <w:rtl/>
        </w:rPr>
        <w:t>, במטרה</w:t>
      </w:r>
      <w:r w:rsidRPr="003570AC">
        <w:rPr>
          <w:rtl/>
        </w:rPr>
        <w:t xml:space="preserve"> לגשר על הפער </w:t>
      </w:r>
      <w:proofErr w:type="spellStart"/>
      <w:r w:rsidRPr="003570AC">
        <w:rPr>
          <w:rFonts w:hint="eastAsia"/>
          <w:rtl/>
        </w:rPr>
        <w:t>התזרימי</w:t>
      </w:r>
      <w:proofErr w:type="spellEnd"/>
      <w:r w:rsidRPr="003570AC">
        <w:rPr>
          <w:rtl/>
        </w:rPr>
        <w:t xml:space="preserve"> שנגרם בעקבות המשבר ולאפשר לעסקים לשוב לתפקוד ולצמוח בסיומו</w:t>
      </w:r>
      <w:r w:rsidR="00250C24" w:rsidRPr="003570AC">
        <w:rPr>
          <w:rFonts w:hint="cs"/>
          <w:rtl/>
        </w:rPr>
        <w:t>.</w:t>
      </w:r>
    </w:p>
    <w:p w14:paraId="223D215A" w14:textId="41AC2405" w:rsidR="00221E3A" w:rsidRDefault="00221E3A">
      <w:pPr>
        <w:bidi w:val="0"/>
        <w:spacing w:after="200" w:line="276" w:lineRule="auto"/>
        <w:rPr>
          <w:rFonts w:ascii="Tahoma" w:eastAsiaTheme="minorEastAsia" w:hAnsi="Tahoma" w:cs="Tahoma"/>
          <w:b/>
          <w:bCs/>
          <w:color w:val="00305F"/>
          <w:sz w:val="34"/>
          <w:szCs w:val="34"/>
          <w:rtl/>
        </w:rPr>
      </w:pPr>
    </w:p>
    <w:sectPr w:rsidR="00221E3A" w:rsidSect="006E160A">
      <w:headerReference w:type="default"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77469" w14:textId="77777777" w:rsidR="006E04E5" w:rsidRDefault="006E04E5">
      <w:pPr>
        <w:spacing w:line="240" w:lineRule="auto"/>
      </w:pPr>
      <w:r>
        <w:separator/>
      </w:r>
    </w:p>
    <w:p w14:paraId="1939CE97" w14:textId="77777777" w:rsidR="006E04E5" w:rsidRDefault="006E04E5"/>
    <w:p w14:paraId="59B746CD" w14:textId="77777777" w:rsidR="006E04E5" w:rsidRDefault="006E04E5"/>
    <w:p w14:paraId="67241F68" w14:textId="77777777" w:rsidR="006E04E5" w:rsidRDefault="006E04E5"/>
  </w:endnote>
  <w:endnote w:type="continuationSeparator" w:id="0">
    <w:p w14:paraId="7529844F" w14:textId="77777777" w:rsidR="006E04E5" w:rsidRDefault="006E04E5">
      <w:pPr>
        <w:spacing w:line="240" w:lineRule="auto"/>
      </w:pPr>
      <w:r>
        <w:continuationSeparator/>
      </w:r>
    </w:p>
    <w:p w14:paraId="54C5C14F" w14:textId="77777777" w:rsidR="006E04E5" w:rsidRDefault="006E04E5"/>
    <w:p w14:paraId="4195E238" w14:textId="77777777" w:rsidR="006E04E5" w:rsidRDefault="006E04E5"/>
    <w:p w14:paraId="2E14551D" w14:textId="77777777" w:rsidR="006E04E5" w:rsidRDefault="006E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49F6" w14:textId="77777777" w:rsidR="009E4DC9" w:rsidRDefault="009E4D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1E0A" w14:textId="77777777" w:rsidR="009E4DC9" w:rsidRDefault="009E4DC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531B" w14:textId="77777777" w:rsidR="006E04E5" w:rsidRDefault="006E04E5" w:rsidP="00E7235E">
      <w:pPr>
        <w:spacing w:line="240" w:lineRule="auto"/>
      </w:pPr>
      <w:r>
        <w:separator/>
      </w:r>
    </w:p>
  </w:footnote>
  <w:footnote w:type="continuationSeparator" w:id="0">
    <w:p w14:paraId="05D08331" w14:textId="77777777" w:rsidR="006E04E5" w:rsidRDefault="006E04E5" w:rsidP="00C23CC9">
      <w:pPr>
        <w:spacing w:line="240" w:lineRule="auto"/>
      </w:pPr>
      <w:r>
        <w:continuationSeparator/>
      </w:r>
    </w:p>
    <w:p w14:paraId="2B45A7E6" w14:textId="77777777" w:rsidR="006E04E5" w:rsidRDefault="006E04E5"/>
    <w:p w14:paraId="2A46E5C4" w14:textId="77777777" w:rsidR="006E04E5" w:rsidRDefault="006E04E5"/>
    <w:p w14:paraId="7CE9676B" w14:textId="77777777" w:rsidR="006E04E5" w:rsidRDefault="006E04E5"/>
  </w:footnote>
  <w:footnote w:id="1">
    <w:p w14:paraId="004F83A0" w14:textId="77777777" w:rsidR="009E4DC9" w:rsidRPr="00F3444F" w:rsidRDefault="009E4DC9" w:rsidP="009E4DC9">
      <w:pPr>
        <w:pStyle w:val="717"/>
        <w:rPr>
          <w:rStyle w:val="71Char0"/>
          <w:rtl/>
        </w:rPr>
      </w:pPr>
      <w:r w:rsidRPr="00F3444F">
        <w:footnoteRef/>
      </w:r>
      <w:r w:rsidRPr="00F3444F">
        <w:rPr>
          <w:rtl/>
        </w:rPr>
        <w:t xml:space="preserve"> </w:t>
      </w:r>
      <w:r w:rsidRPr="00F3444F">
        <w:rPr>
          <w:rtl/>
        </w:rPr>
        <w:tab/>
      </w:r>
      <w:r w:rsidRPr="00F3444F">
        <w:rPr>
          <w:rStyle w:val="71Char0"/>
          <w:rtl/>
        </w:rPr>
        <w:t>עסקה לקניית נכס פיננסי תמורת אחר תוך השלמת עסקה עתידית הפוכה לפי מחיר ותאריך הנקבעים מבעוד מועד.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FB99EAF"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33BEC">
                            <w:rPr>
                              <w:rFonts w:ascii="Tahoma" w:hAnsi="Tahoma" w:cs="Tahoma" w:hint="cs"/>
                              <w:rtl/>
                            </w:rPr>
                            <w:t xml:space="preserve"> </w:t>
                          </w:r>
                          <w:r w:rsidR="00A33BEC">
                            <w:rPr>
                              <w:rFonts w:ascii="Tahoma" w:hAnsi="Tahoma" w:cs="Tahoma" w:hint="cs"/>
                              <w:b/>
                              <w:bCs/>
                              <w:rtl/>
                            </w:rPr>
                            <w:t>שירותים פיננסיים, אשראי ויציבות של גופים פיננסיים  במשבר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7FB99EAF"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33BEC">
                      <w:rPr>
                        <w:rFonts w:ascii="Tahoma" w:hAnsi="Tahoma" w:cs="Tahoma" w:hint="cs"/>
                        <w:rtl/>
                      </w:rPr>
                      <w:t xml:space="preserve"> </w:t>
                    </w:r>
                    <w:r w:rsidR="00A33BEC">
                      <w:rPr>
                        <w:rFonts w:ascii="Tahoma" w:hAnsi="Tahoma" w:cs="Tahoma" w:hint="cs"/>
                        <w:b/>
                        <w:bCs/>
                        <w:rtl/>
                      </w:rPr>
                      <w:t>שירותים פיננסיים, אשראי ויציבות של גופים פיננסיים  במשבר הקורונה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178CAEE7">
              <wp:simplePos x="0" y="0"/>
              <wp:positionH relativeFrom="column">
                <wp:posOffset>274320</wp:posOffset>
              </wp:positionH>
              <wp:positionV relativeFrom="paragraph">
                <wp:posOffset>351790</wp:posOffset>
              </wp:positionV>
              <wp:extent cx="4483100" cy="2921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292100"/>
                      </a:xfrm>
                      <a:prstGeom prst="rect">
                        <a:avLst/>
                      </a:prstGeom>
                      <a:solidFill>
                        <a:srgbClr val="FFFFFF"/>
                      </a:solidFill>
                      <a:ln w="9525">
                        <a:solidFill>
                          <a:schemeClr val="bg1"/>
                        </a:solidFill>
                        <a:miter lim="800000"/>
                        <a:headEnd/>
                        <a:tailEnd/>
                      </a:ln>
                    </wps:spPr>
                    <wps:txbx>
                      <w:txbxContent>
                        <w:p w14:paraId="1CF273F4" w14:textId="46BDA7D0" w:rsidR="00F73EE0" w:rsidRPr="00A33BEC" w:rsidRDefault="00A33BEC" w:rsidP="00A33BEC">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7pt;width:353pt;height:23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" strokecolor="white [3212]">
              <v:textbox>
                <w:txbxContent>
                  <w:p w14:paraId="1CF273F4" w14:textId="46BDA7D0" w:rsidR="00F73EE0" w:rsidRPr="00A33BEC" w:rsidRDefault="00A33BEC" w:rsidP="00A33BEC">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40C628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B0A27">
                            <w:rPr>
                              <w:rFonts w:ascii="Tahoma" w:hAnsi="Tahoma" w:cs="Tahoma" w:hint="cs"/>
                              <w:color w:val="0D0D0D" w:themeColor="text1" w:themeTint="F2"/>
                              <w:sz w:val="16"/>
                              <w:szCs w:val="16"/>
                              <w:rtl/>
                            </w:rPr>
                            <w:t>שירותים פיננסיים, אשראי ויציבות של גופים פיננסיים</w:t>
                          </w:r>
                          <w:r w:rsidR="00AF6195">
                            <w:rPr>
                              <w:rFonts w:ascii="Tahoma" w:hAnsi="Tahoma" w:cs="Tahoma" w:hint="cs"/>
                              <w:color w:val="0D0D0D" w:themeColor="text1" w:themeTint="F2"/>
                              <w:sz w:val="16"/>
                              <w:szCs w:val="16"/>
                              <w:rtl/>
                            </w:rPr>
                            <w:t xml:space="preserve"> </w:t>
                          </w:r>
                          <w:r w:rsidR="00DB0A27">
                            <w:rPr>
                              <w:rFonts w:ascii="Tahoma" w:hAnsi="Tahoma" w:cs="Tahoma" w:hint="cs"/>
                              <w:color w:val="0D0D0D" w:themeColor="text1" w:themeTint="F2"/>
                              <w:sz w:val="16"/>
                              <w:szCs w:val="16"/>
                              <w:rtl/>
                            </w:rPr>
                            <w:t>ב</w:t>
                          </w:r>
                          <w:r w:rsidR="00AF6195">
                            <w:rPr>
                              <w:rFonts w:ascii="Tahoma" w:hAnsi="Tahoma" w:cs="Tahoma" w:hint="cs"/>
                              <w:color w:val="0D0D0D" w:themeColor="text1" w:themeTint="F2"/>
                              <w:sz w:val="16"/>
                              <w:szCs w:val="16"/>
                              <w:rtl/>
                            </w:rPr>
                            <w:t>משבר הקורונה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440C628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B0A27">
                      <w:rPr>
                        <w:rFonts w:ascii="Tahoma" w:hAnsi="Tahoma" w:cs="Tahoma" w:hint="cs"/>
                        <w:color w:val="0D0D0D" w:themeColor="text1" w:themeTint="F2"/>
                        <w:sz w:val="16"/>
                        <w:szCs w:val="16"/>
                        <w:rtl/>
                      </w:rPr>
                      <w:t>שירותים פיננסיים, אשראי ויציבות של גופים פיננסיים</w:t>
                    </w:r>
                    <w:r w:rsidR="00AF6195">
                      <w:rPr>
                        <w:rFonts w:ascii="Tahoma" w:hAnsi="Tahoma" w:cs="Tahoma" w:hint="cs"/>
                        <w:color w:val="0D0D0D" w:themeColor="text1" w:themeTint="F2"/>
                        <w:sz w:val="16"/>
                        <w:szCs w:val="16"/>
                        <w:rtl/>
                      </w:rPr>
                      <w:t xml:space="preserve"> </w:t>
                    </w:r>
                    <w:r w:rsidR="00DB0A27">
                      <w:rPr>
                        <w:rFonts w:ascii="Tahoma" w:hAnsi="Tahoma" w:cs="Tahoma" w:hint="cs"/>
                        <w:color w:val="0D0D0D" w:themeColor="text1" w:themeTint="F2"/>
                        <w:sz w:val="16"/>
                        <w:szCs w:val="16"/>
                        <w:rtl/>
                      </w:rPr>
                      <w:t>ב</w:t>
                    </w:r>
                    <w:r w:rsidR="00AF6195">
                      <w:rPr>
                        <w:rFonts w:ascii="Tahoma" w:hAnsi="Tahoma" w:cs="Tahoma" w:hint="cs"/>
                        <w:color w:val="0D0D0D" w:themeColor="text1" w:themeTint="F2"/>
                        <w:sz w:val="16"/>
                        <w:szCs w:val="16"/>
                        <w:rtl/>
                      </w:rPr>
                      <w:t>משבר הקורונה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14F0B9F9"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2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207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3F23" w14:textId="6DDE745E"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A8vc61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" fillcolor="#00305f" strokecolor="#00305f">
              <v:textbox style="layout-flow:vertical;mso-layout-flow-alt:bottom-to-top" inset="0,0,0,0">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v:textbox>
              <w10:wrap type="square"/>
            </v:shape>
          </w:pict>
        </mc:Fallback>
      </mc:AlternateContent>
    </w:r>
  </w:p>
  <w:p w14:paraId="3500C8D4" w14:textId="77777777" w:rsidR="00F73EE0" w:rsidRDefault="00F73EE0" w:rsidP="001526AC">
    <w:pPr>
      <w:pStyle w:val="a5"/>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" strokecolor="white [3212]">
              <v:textbo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20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8C4E"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u0/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LMfa7T9AQAAUgQAAA4AAAAAAAAA&#13;&#10;AAAAAAAALgIAAGRycy9lMm9Eb2MueG1sUEsBAi0AFAAGAAgAAAAhAL5nybLhAAAAEAEAAA8AAAAA&#13;&#10;AAAAAAAAAAAAVwQAAGRycy9kb3ducmV2LnhtbFBLBQYAAAAABAAEAPMAAABlBQ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C44RPmXAIAAMI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67938A3C"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7A4845">
                            <w:rPr>
                              <w:rFonts w:ascii="Tahoma" w:hAnsi="Tahoma" w:cs="Tahoma" w:hint="cs"/>
                              <w:b/>
                              <w:bCs/>
                              <w:rtl/>
                            </w:rPr>
                            <w:t xml:space="preserve">שירותים פיננסיים, אשראי ויציבות של גופים </w:t>
                          </w:r>
                          <w:r w:rsidR="00E1302B">
                            <w:rPr>
                              <w:rFonts w:ascii="Tahoma" w:hAnsi="Tahoma" w:cs="Tahoma" w:hint="cs"/>
                              <w:b/>
                              <w:bCs/>
                              <w:rtl/>
                            </w:rPr>
                            <w:t>פיננסיים</w:t>
                          </w:r>
                          <w:r w:rsidR="00C2197A">
                            <w:rPr>
                              <w:rFonts w:ascii="Tahoma" w:hAnsi="Tahoma" w:cs="Tahoma" w:hint="cs"/>
                              <w:b/>
                              <w:bCs/>
                              <w:rtl/>
                            </w:rPr>
                            <w:t xml:space="preserve"> </w:t>
                          </w:r>
                          <w:r w:rsidR="000A3ED4">
                            <w:rPr>
                              <w:rFonts w:ascii="Tahoma" w:hAnsi="Tahoma" w:cs="Tahoma" w:hint="cs"/>
                              <w:b/>
                              <w:bCs/>
                              <w:rtl/>
                            </w:rPr>
                            <w:t xml:space="preserve"> </w:t>
                          </w:r>
                          <w:r w:rsidR="007A4845">
                            <w:rPr>
                              <w:rFonts w:ascii="Tahoma" w:hAnsi="Tahoma" w:cs="Tahoma" w:hint="cs"/>
                              <w:b/>
                              <w:bCs/>
                              <w:rtl/>
                            </w:rPr>
                            <w:t>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qNEAAIAABU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7UZzPPJVRnYghh&#13;&#10;WlT6WOQEm61o9oH2tODuz1Gg4qz7ZojosNSzg7NTzo4wsgVad8/Z5O79tPxHi7ppCXyS0sAtiVHr&#13;&#10;yFNQbWrk0jLtXqTv8k/Ccj8/x6x/v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j7KjRAACAAAV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67938A3C"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7A4845">
                      <w:rPr>
                        <w:rFonts w:ascii="Tahoma" w:hAnsi="Tahoma" w:cs="Tahoma" w:hint="cs"/>
                        <w:b/>
                        <w:bCs/>
                        <w:rtl/>
                      </w:rPr>
                      <w:t xml:space="preserve">שירותים פיננסיים, אשראי ויציבות של גופים </w:t>
                    </w:r>
                    <w:r w:rsidR="00E1302B">
                      <w:rPr>
                        <w:rFonts w:ascii="Tahoma" w:hAnsi="Tahoma" w:cs="Tahoma" w:hint="cs"/>
                        <w:b/>
                        <w:bCs/>
                        <w:rtl/>
                      </w:rPr>
                      <w:t>פיננסיים</w:t>
                    </w:r>
                    <w:r w:rsidR="00C2197A">
                      <w:rPr>
                        <w:rFonts w:ascii="Tahoma" w:hAnsi="Tahoma" w:cs="Tahoma" w:hint="cs"/>
                        <w:b/>
                        <w:bCs/>
                        <w:rtl/>
                      </w:rPr>
                      <w:t xml:space="preserve"> </w:t>
                    </w:r>
                    <w:r w:rsidR="000A3ED4">
                      <w:rPr>
                        <w:rFonts w:ascii="Tahoma" w:hAnsi="Tahoma" w:cs="Tahoma" w:hint="cs"/>
                        <w:b/>
                        <w:bCs/>
                        <w:rtl/>
                      </w:rPr>
                      <w:t xml:space="preserve"> </w:t>
                    </w:r>
                    <w:r w:rsidR="007A4845">
                      <w:rPr>
                        <w:rFonts w:ascii="Tahoma" w:hAnsi="Tahoma" w:cs="Tahoma" w:hint="cs"/>
                        <w:b/>
                        <w:bCs/>
                        <w:rtl/>
                      </w:rPr>
                      <w:t>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8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5B89910">
              <wp:simplePos x="0" y="0"/>
              <wp:positionH relativeFrom="column">
                <wp:posOffset>325120</wp:posOffset>
              </wp:positionH>
              <wp:positionV relativeFrom="paragraph">
                <wp:posOffset>227330</wp:posOffset>
              </wp:positionV>
              <wp:extent cx="44450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86338"/>
                      </a:xfrm>
                      <a:prstGeom prst="rect">
                        <a:avLst/>
                      </a:prstGeom>
                      <a:solidFill>
                        <a:srgbClr val="FFFFFF"/>
                      </a:solidFill>
                      <a:ln w="9525">
                        <a:solidFill>
                          <a:schemeClr val="bg1"/>
                        </a:solidFill>
                        <a:miter lim="800000"/>
                        <a:headEnd/>
                        <a:tailEnd/>
                      </a:ln>
                    </wps:spPr>
                    <wps:txbx>
                      <w:txbxContent>
                        <w:p w14:paraId="5B61FBF3" w14:textId="537CEAC6" w:rsidR="00F73EE0" w:rsidRPr="00A33BEC" w:rsidRDefault="00A33BEC" w:rsidP="00A33BEC">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6pt;margin-top:17.9pt;width:350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" strokecolor="white [3212]">
              <v:textbox>
                <w:txbxContent>
                  <w:p w14:paraId="5B61FBF3" w14:textId="537CEAC6" w:rsidR="00F73EE0" w:rsidRPr="00A33BEC" w:rsidRDefault="00A33BEC" w:rsidP="00A33BEC">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49AE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66D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080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AA38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401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206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AF7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A3A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A05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78E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3"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6"/>
  </w:num>
  <w:num w:numId="3">
    <w:abstractNumId w:val="20"/>
  </w:num>
  <w:num w:numId="4">
    <w:abstractNumId w:val="18"/>
  </w:num>
  <w:num w:numId="5">
    <w:abstractNumId w:val="14"/>
  </w:num>
  <w:num w:numId="6">
    <w:abstractNumId w:val="15"/>
  </w:num>
  <w:num w:numId="7">
    <w:abstractNumId w:val="21"/>
  </w:num>
  <w:num w:numId="8">
    <w:abstractNumId w:val="10"/>
  </w:num>
  <w:num w:numId="9">
    <w:abstractNumId w:val="17"/>
  </w:num>
  <w:num w:numId="10">
    <w:abstractNumId w:val="12"/>
  </w:num>
  <w:num w:numId="11">
    <w:abstractNumId w:val="19"/>
  </w:num>
  <w:num w:numId="12">
    <w:abstractNumId w:val="11"/>
  </w:num>
  <w:num w:numId="13">
    <w:abstractNumId w:val="4"/>
  </w:num>
  <w:num w:numId="14">
    <w:abstractNumId w:val="5"/>
  </w:num>
  <w:num w:numId="15">
    <w:abstractNumId w:val="6"/>
  </w:num>
  <w:num w:numId="16">
    <w:abstractNumId w:val="7"/>
  </w:num>
  <w:num w:numId="17">
    <w:abstractNumId w:val="9"/>
  </w:num>
  <w:num w:numId="18">
    <w:abstractNumId w:val="0"/>
  </w:num>
  <w:num w:numId="19">
    <w:abstractNumId w:val="1"/>
  </w:num>
  <w:num w:numId="20">
    <w:abstractNumId w:val="2"/>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531"/>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686"/>
    <w:rsid w:val="000901C8"/>
    <w:rsid w:val="00090633"/>
    <w:rsid w:val="000907D0"/>
    <w:rsid w:val="0009139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1B0"/>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151B"/>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425"/>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4E5"/>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E7AA2"/>
    <w:rsid w:val="006F0215"/>
    <w:rsid w:val="006F027E"/>
    <w:rsid w:val="006F10E1"/>
    <w:rsid w:val="006F11DD"/>
    <w:rsid w:val="006F161B"/>
    <w:rsid w:val="006F19AA"/>
    <w:rsid w:val="006F19AB"/>
    <w:rsid w:val="006F26FB"/>
    <w:rsid w:val="006F281D"/>
    <w:rsid w:val="006F285F"/>
    <w:rsid w:val="006F2A71"/>
    <w:rsid w:val="006F2D64"/>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9AE"/>
    <w:rsid w:val="009D5C32"/>
    <w:rsid w:val="009D73F5"/>
    <w:rsid w:val="009D740A"/>
    <w:rsid w:val="009D7D93"/>
    <w:rsid w:val="009E040E"/>
    <w:rsid w:val="009E1385"/>
    <w:rsid w:val="009E15ED"/>
    <w:rsid w:val="009E1607"/>
    <w:rsid w:val="009E1A3F"/>
    <w:rsid w:val="009E21B7"/>
    <w:rsid w:val="009E240C"/>
    <w:rsid w:val="009E2CF2"/>
    <w:rsid w:val="009E2EA7"/>
    <w:rsid w:val="009E312B"/>
    <w:rsid w:val="009E3966"/>
    <w:rsid w:val="009E41D0"/>
    <w:rsid w:val="009E4844"/>
    <w:rsid w:val="009E4CC2"/>
    <w:rsid w:val="009E4DC9"/>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3BEC"/>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47B9A"/>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C1B"/>
    <w:rsid w:val="00E52D13"/>
    <w:rsid w:val="00E52FD1"/>
    <w:rsid w:val="00E5332C"/>
    <w:rsid w:val="00E53353"/>
    <w:rsid w:val="00E535A6"/>
    <w:rsid w:val="00E53C45"/>
    <w:rsid w:val="00E53CE0"/>
    <w:rsid w:val="00E53DA7"/>
    <w:rsid w:val="00E540FC"/>
    <w:rsid w:val="00E54C11"/>
    <w:rsid w:val="00E55DB0"/>
    <w:rsid w:val="00E55ECD"/>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37A"/>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DA6949"/>
    <w:pPr>
      <w:spacing w:before="120" w:after="240" w:line="24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3">
    <w:name w:val="71ג מקרא+הערות לתרשים/לוח/תמונה Char"/>
    <w:basedOn w:val="71Char0"/>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line="260" w:lineRule="exact"/>
    </w:pPr>
  </w:style>
  <w:style w:type="paragraph" w:customStyle="1" w:styleId="affff0">
    <w:name w:val="הערות לתרשימים"/>
    <w:basedOn w:val="71a"/>
    <w:next w:val="717"/>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C69598-3AD5-4CD8-A79B-7ACB3333AED7}"/>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9</Pages>
  <Words>1618</Words>
  <Characters>8091</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2021-08-01T12:56:00Z</cp:lastPrinted>
  <dcterms:created xsi:type="dcterms:W3CDTF">2021-08-30T14:30:00Z</dcterms:created>
  <dcterms:modified xsi:type="dcterms:W3CDTF">2021-08-30T14:32:00Z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