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30"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1"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2"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75C159D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266155</wp:posOffset>
                </wp:positionH>
                <wp:positionV relativeFrom="paragraph">
                  <wp:posOffset>1934845</wp:posOffset>
                </wp:positionV>
                <wp:extent cx="2672896" cy="0"/>
                <wp:effectExtent l="12700" t="12700" r="698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72896"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3" style="flip:x;mso-height-percent:0;mso-height-relative:margin;mso-width-percent:0;mso-width-relative:margin;mso-wrap-distance-bottom:0;mso-wrap-distance-left:9pt;mso-wrap-distance-right:9pt;mso-wrap-distance-top:0;mso-wrap-style:square;position:absolute;visibility:visible;z-index:251669504" from="20.95pt,152.35pt" to="231.4pt,152.35pt" strokecolor="white" strokeweight="1.5pt"/>
            </w:pict>
          </mc:Fallback>
        </mc:AlternateContent>
      </w:r>
      <w:r w:rsidR="00DA6B46">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3067698</wp:posOffset>
                </wp:positionH>
                <wp:positionV relativeFrom="paragraph">
                  <wp:posOffset>261997</wp:posOffset>
                </wp:positionV>
                <wp:extent cx="42687" cy="3510529"/>
                <wp:effectExtent l="25400" t="12700" r="33655" b="3302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42687" cy="3510529"/>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4" style="mso-height-percent:0;mso-height-relative:margin;mso-width-percent:0;mso-width-relative:margin;mso-wrap-distance-bottom:0;mso-wrap-distance-left:9pt;mso-wrap-distance-right:9pt;mso-wrap-distance-top:0;mso-wrap-style:square;position:absolute;visibility:visible;z-index:251667456" from="241.55pt,20.65pt" to="244.9pt,297.05pt" strokecolor="white" strokeweight="4pt"/>
            </w:pict>
          </mc:Fallback>
        </mc:AlternateContent>
      </w:r>
      <w:r w:rsidRPr="0030415A" w:rsidR="00DA6B46">
        <w:rPr>
          <w:rFonts w:ascii="Tahoma" w:hAnsi="Tahoma" w:cs="Tahoma"/>
          <w:noProof/>
          <w:sz w:val="22"/>
          <w:szCs w:val="22"/>
          <w:rtl/>
        </w:rPr>
        <mc:AlternateContent>
          <mc:Choice Requires="wps">
            <w:drawing>
              <wp:anchor distT="45720" distB="45720" distL="114300" distR="114300" simplePos="0" relativeHeight="251663360" behindDoc="0" locked="0" layoutInCell="1" allowOverlap="1">
                <wp:simplePos x="0" y="0"/>
                <wp:positionH relativeFrom="column">
                  <wp:posOffset>-85090</wp:posOffset>
                </wp:positionH>
                <wp:positionV relativeFrom="paragraph">
                  <wp:posOffset>344805</wp:posOffset>
                </wp:positionV>
                <wp:extent cx="455930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930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4470E3" w14:textId="68C5190D">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Pr="00CF64A4" w:rsidR="00CF64A4">
                              <w:rPr>
                                <w:rtl/>
                              </w:rPr>
                              <w:t xml:space="preserve">נובמבר </w:t>
                            </w:r>
                            <w:r>
                              <w:rPr>
                                <w:rFonts w:hint="cs"/>
                                <w:rtl/>
                              </w:rPr>
                              <w:t xml:space="preserve">2022 </w:t>
                            </w:r>
                          </w:p>
                          <w:p w:rsidR="00F73EE0" w:rsidP="0052031E" w14:textId="4F5A48BD">
                            <w:pPr>
                              <w:ind w:left="2268"/>
                              <w:rPr>
                                <w:rtl/>
                              </w:rPr>
                            </w:pPr>
                          </w:p>
                          <w:p w:rsidR="00F01B25" w:rsidP="0052031E" w14:textId="77777777">
                            <w:pPr>
                              <w:ind w:left="2268"/>
                              <w:rPr>
                                <w:rtl/>
                              </w:rPr>
                            </w:pPr>
                          </w:p>
                          <w:p w:rsidR="00F73EE0" w:rsidP="0052031E" w14:textId="77777777">
                            <w:pPr>
                              <w:ind w:left="2268"/>
                              <w:rPr>
                                <w:rtl/>
                              </w:rPr>
                            </w:pPr>
                          </w:p>
                          <w:p w:rsidR="005D0F8C" w:rsidRPr="000A3ED4" w:rsidP="00C46CD4" w14:textId="1D646E6A">
                            <w:pPr>
                              <w:pStyle w:val="-2"/>
                              <w:rPr>
                                <w:rtl/>
                              </w:rPr>
                            </w:pPr>
                            <w:r>
                              <w:rPr>
                                <w:rFonts w:hint="cs"/>
                                <w:rtl/>
                              </w:rPr>
                              <w:t>נושאים מערכתיים</w:t>
                            </w:r>
                          </w:p>
                          <w:p w:rsidR="00C30482" w:rsidRPr="00C21C90" w:rsidP="0005070B" w14:textId="51856BCD">
                            <w:pPr>
                              <w:pStyle w:val="a35"/>
                              <w:bidi/>
                              <w:spacing w:before="120"/>
                              <w:rPr>
                                <w:rtl/>
                              </w:rPr>
                            </w:pPr>
                            <w:r w:rsidRPr="00DA6B46">
                              <w:rPr>
                                <w:rtl/>
                              </w:rPr>
                              <w:t>הלוואות ומקורות אשראי של גופים שונים</w:t>
                            </w:r>
                          </w:p>
                          <w:p w:rsidR="00C30482" w:rsidRPr="001F3363" w:rsidP="005D0F8C"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width:359pt;height:336.5pt;margin-top:27.15pt;margin-left:-6.7pt;mso-height-percent:0;mso-height-relative:margin;mso-width-percent:0;mso-width-relative:margin;mso-wrap-distance-bottom:3.6pt;mso-wrap-distance-left:9pt;mso-wrap-distance-right:9pt;mso-wrap-distance-top:3.6pt;position:absolute;v-text-anchor:top;z-index:251662336" fillcolor="#00305f" stroked="f" strokeweight="0.75pt">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4470E3" w14:paraId="6680A7A9" w14:textId="68C5190D">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Pr="00CF64A4" w:rsidR="00CF64A4">
                        <w:rPr>
                          <w:rtl/>
                        </w:rPr>
                        <w:t xml:space="preserve">נובמבר </w:t>
                      </w:r>
                      <w:r>
                        <w:rPr>
                          <w:rFonts w:hint="cs"/>
                          <w:rtl/>
                        </w:rPr>
                        <w:t xml:space="preserve">2022 </w:t>
                      </w:r>
                    </w:p>
                    <w:p w:rsidR="00F73EE0" w:rsidP="0052031E" w14:paraId="7A4F68DA" w14:textId="4F5A48BD">
                      <w:pPr>
                        <w:ind w:left="2268"/>
                        <w:rPr>
                          <w:rtl/>
                        </w:rPr>
                      </w:pPr>
                    </w:p>
                    <w:p w:rsidR="00F01B25" w:rsidP="0052031E" w14:paraId="55A55087" w14:textId="77777777">
                      <w:pPr>
                        <w:ind w:left="2268"/>
                        <w:rPr>
                          <w:rtl/>
                        </w:rPr>
                      </w:pPr>
                    </w:p>
                    <w:p w:rsidR="00F73EE0" w:rsidP="0052031E" w14:paraId="537675A5" w14:textId="77777777">
                      <w:pPr>
                        <w:ind w:left="2268"/>
                        <w:rPr>
                          <w:rtl/>
                        </w:rPr>
                      </w:pPr>
                    </w:p>
                    <w:p w:rsidR="005D0F8C" w:rsidRPr="000A3ED4" w:rsidP="00C46CD4" w14:paraId="361EED1E" w14:textId="1D646E6A">
                      <w:pPr>
                        <w:pStyle w:val="-2"/>
                        <w:rPr>
                          <w:rtl/>
                        </w:rPr>
                      </w:pPr>
                      <w:r>
                        <w:rPr>
                          <w:rFonts w:hint="cs"/>
                          <w:rtl/>
                        </w:rPr>
                        <w:t>נושאים מערכתיים</w:t>
                      </w:r>
                    </w:p>
                    <w:p w:rsidR="00C30482" w:rsidRPr="00C21C90" w:rsidP="0005070B" w14:paraId="005557EF" w14:textId="51856BCD">
                      <w:pPr>
                        <w:pStyle w:val="a35"/>
                        <w:bidi/>
                        <w:spacing w:before="120"/>
                        <w:rPr>
                          <w:rtl/>
                        </w:rPr>
                      </w:pPr>
                      <w:r w:rsidRPr="00DA6B46">
                        <w:rPr>
                          <w:rtl/>
                        </w:rPr>
                        <w:t>הלוואות ומקורות אשראי של גופים שונים</w:t>
                      </w:r>
                    </w:p>
                    <w:p w:rsidR="00C30482" w:rsidRPr="001F3363" w:rsidP="005D0F8C" w14:paraId="5BE5E625"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-1497063</wp:posOffset>
                </wp:positionH>
                <wp:positionV relativeFrom="paragraph">
                  <wp:posOffset>-1269231</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6" style="width:598.55pt;height:121.5pt;margin-top:-99.95pt;margin-left:-117.9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AF383A">
          <w:headerReference w:type="even" r:id="rId18"/>
          <w:pgSz w:w="11906" w:h="16838" w:code="9"/>
          <w:pgMar w:top="3062" w:right="2268" w:bottom="2552" w:left="2268" w:header="709" w:footer="709" w:gutter="0"/>
          <w:cols w:space="720"/>
          <w:bidi/>
          <w:rtlGutter/>
          <w:docGrid w:linePitch="272"/>
        </w:sectPr>
      </w:pPr>
    </w:p>
    <w:p w:rsidR="00B93C72" w:rsidRPr="001F3363" w:rsidP="00FB5D0F" w14:paraId="4ED3AA37" w14:textId="48A28E0A">
      <w:pPr>
        <w:pStyle w:val="7329"/>
        <w:bidi/>
        <w:jc w:val="left"/>
        <w:rPr>
          <w:rtl/>
        </w:rPr>
      </w:pPr>
      <w:r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597002</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586851">
        <w:rPr>
          <w:noProof/>
          <w:rtl/>
        </w:rPr>
        <mc:AlternateContent>
          <mc:Choice Requires="wps">
            <w:drawing>
              <wp:anchor distT="0" distB="0" distL="114300" distR="114300" simplePos="0" relativeHeight="251675648" behindDoc="0" locked="0" layoutInCell="1" allowOverlap="1">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7"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DA6B46" w:rsidR="00DA6B46">
        <w:rPr>
          <w:noProof/>
          <w:rtl/>
        </w:rPr>
        <w:t>הלוואות ומקורות אשראי של גופים שונים</w:t>
      </w:r>
    </w:p>
    <w:p w:rsidR="00DA6B46" w:rsidRPr="001945F9" w:rsidP="00DA6B46" w14:paraId="2145851B" w14:textId="77777777">
      <w:pPr>
        <w:pStyle w:val="7392"/>
        <w:spacing w:before="360"/>
        <w:rPr>
          <w:rtl/>
        </w:rPr>
      </w:pPr>
      <w:r w:rsidRPr="001945F9">
        <w:rPr>
          <w:rFonts w:hint="cs"/>
          <w:rtl/>
        </w:rPr>
        <w:t>קיומם של</w:t>
      </w:r>
      <w:r w:rsidRPr="001945F9">
        <w:rPr>
          <w:rtl/>
        </w:rPr>
        <w:t xml:space="preserve"> מקורות אשראי</w:t>
      </w:r>
      <w:r w:rsidRPr="001945F9">
        <w:rPr>
          <w:rFonts w:hint="cs"/>
          <w:rtl/>
        </w:rPr>
        <w:t>,</w:t>
      </w:r>
      <w:r w:rsidRPr="001945F9">
        <w:rPr>
          <w:rtl/>
        </w:rPr>
        <w:t xml:space="preserve"> </w:t>
      </w:r>
      <w:r w:rsidRPr="001945F9">
        <w:rPr>
          <w:rFonts w:hint="cs"/>
          <w:rtl/>
        </w:rPr>
        <w:t xml:space="preserve">כגון </w:t>
      </w:r>
      <w:r w:rsidRPr="001945F9">
        <w:rPr>
          <w:rtl/>
        </w:rPr>
        <w:t>לקיחת הלוואות וגיוס חוב באמצעות הנפקת איגרות חוב</w:t>
      </w:r>
      <w:r w:rsidRPr="001945F9">
        <w:rPr>
          <w:rFonts w:hint="cs"/>
          <w:rtl/>
        </w:rPr>
        <w:t xml:space="preserve"> (להלן - אג"ח),</w:t>
      </w:r>
      <w:r w:rsidRPr="001945F9">
        <w:rPr>
          <w:rtl/>
        </w:rPr>
        <w:t xml:space="preserve"> </w:t>
      </w:r>
      <w:r w:rsidRPr="001945F9">
        <w:rPr>
          <w:rFonts w:hint="cs"/>
          <w:rtl/>
        </w:rPr>
        <w:t xml:space="preserve">הוא נדבך </w:t>
      </w:r>
      <w:r w:rsidRPr="001945F9">
        <w:rPr>
          <w:rtl/>
        </w:rPr>
        <w:t xml:space="preserve">מהותי לכל ישות כלכלית באשר היא. מצד אחד, מינוף נכון ומבוקר יכול לגשר על בעיות </w:t>
      </w:r>
      <w:r w:rsidRPr="001945F9">
        <w:rPr>
          <w:rtl/>
        </w:rPr>
        <w:t>תזרימיות</w:t>
      </w:r>
      <w:r w:rsidRPr="001945F9">
        <w:rPr>
          <w:rtl/>
        </w:rPr>
        <w:t xml:space="preserve">, להשיא את רווחי הישות ולאפשר את פיתוחה ושגשוגה. </w:t>
      </w:r>
      <w:r w:rsidRPr="001945F9">
        <w:rPr>
          <w:rFonts w:hint="cs"/>
          <w:rtl/>
        </w:rPr>
        <w:t>מצד שני</w:t>
      </w:r>
      <w:r w:rsidRPr="001945F9">
        <w:rPr>
          <w:rtl/>
        </w:rPr>
        <w:t xml:space="preserve">, מינוף </w:t>
      </w:r>
      <w:r w:rsidRPr="001945F9">
        <w:rPr>
          <w:rFonts w:hint="cs"/>
          <w:rtl/>
        </w:rPr>
        <w:t xml:space="preserve">ברמת סבירות שאינה הולמת </w:t>
      </w:r>
      <w:r w:rsidRPr="001945F9">
        <w:rPr>
          <w:rtl/>
        </w:rPr>
        <w:t>טומן בחובו סיכונים רבים, כמו חוסר יציבות כלכלית ובמקרה הגרוע - פשיטת רגל.</w:t>
      </w:r>
      <w:r w:rsidRPr="001945F9">
        <w:rPr>
          <w:rFonts w:hint="cs"/>
          <w:rtl/>
        </w:rPr>
        <w:t xml:space="preserve"> </w:t>
      </w:r>
    </w:p>
    <w:p w:rsidR="00DA6B46" w:rsidRPr="001945F9" w:rsidP="00DA6B46" w14:paraId="031015FC" w14:textId="77777777">
      <w:pPr>
        <w:pStyle w:val="7392"/>
        <w:rPr>
          <w:rtl/>
        </w:rPr>
      </w:pPr>
      <w:r w:rsidRPr="001945F9">
        <w:rPr>
          <w:rFonts w:hint="cs"/>
          <w:rtl/>
        </w:rPr>
        <w:t xml:space="preserve">חוק </w:t>
      </w:r>
      <w:r w:rsidRPr="001945F9">
        <w:rPr>
          <w:rFonts w:hint="cs"/>
          <w:rtl/>
        </w:rPr>
        <w:t>מילווה</w:t>
      </w:r>
      <w:r w:rsidRPr="001945F9">
        <w:rPr>
          <w:rFonts w:hint="cs"/>
          <w:rtl/>
        </w:rPr>
        <w:t xml:space="preserve"> המדינה, התשל"ט-1979, מאפשר לממשלה ללוות כספים לטובת כלל צורכי המדינה ובכך למקסם את התועלות הנובעות מהנפקת איגרות חוב. </w:t>
      </w:r>
      <w:r w:rsidRPr="001945F9">
        <w:rPr>
          <w:rtl/>
        </w:rPr>
        <w:t xml:space="preserve">בהתאם לכך, </w:t>
      </w:r>
      <w:r w:rsidRPr="001945F9">
        <w:rPr>
          <w:rFonts w:hint="cs"/>
          <w:rtl/>
        </w:rPr>
        <w:t>גיוס החוב של הממשלה נעשה באופן מרוכז על ידי אגף החשב הכללי במשרד האוצר. לעומת זאת, ישויות שונות - חברות ממשלתיות, רשויות מקומיות, תאגידים עירוניים, קופות חולים ותאגידים סטטוטוריי</w:t>
      </w:r>
      <w:r w:rsidRPr="001945F9">
        <w:rPr>
          <w:rFonts w:hint="eastAsia"/>
          <w:rtl/>
        </w:rPr>
        <w:t>ם</w:t>
      </w:r>
      <w:r w:rsidRPr="001945F9">
        <w:rPr>
          <w:rFonts w:hint="cs"/>
          <w:rtl/>
        </w:rPr>
        <w:t xml:space="preserve"> - רשאיות להנפיק אג"ח וליטול הלוואות במגבלות</w:t>
      </w:r>
      <w:r w:rsidRPr="001945F9">
        <w:rPr>
          <w:rFonts w:hint="cs"/>
        </w:rPr>
        <w:t xml:space="preserve"> </w:t>
      </w:r>
      <w:r w:rsidRPr="001945F9">
        <w:rPr>
          <w:rFonts w:hint="cs"/>
          <w:rtl/>
        </w:rPr>
        <w:t>מסוימות. לרשות ישויות אלה עומדות</w:t>
      </w:r>
      <w:r w:rsidRPr="001945F9">
        <w:rPr>
          <w:rtl/>
        </w:rPr>
        <w:t xml:space="preserve"> </w:t>
      </w:r>
      <w:r w:rsidRPr="001945F9">
        <w:rPr>
          <w:rFonts w:hint="cs"/>
          <w:rtl/>
        </w:rPr>
        <w:t>כמה אפשרויות מימון</w:t>
      </w:r>
      <w:r w:rsidRPr="001945F9">
        <w:rPr>
          <w:rtl/>
        </w:rPr>
        <w:t>: בנקים</w:t>
      </w:r>
      <w:r w:rsidRPr="001945F9">
        <w:rPr>
          <w:rFonts w:hint="cs"/>
          <w:rtl/>
        </w:rPr>
        <w:t>,</w:t>
      </w:r>
      <w:r w:rsidRPr="001945F9">
        <w:rPr>
          <w:rtl/>
        </w:rPr>
        <w:t xml:space="preserve"> שוק </w:t>
      </w:r>
      <w:r w:rsidRPr="001945F9">
        <w:rPr>
          <w:rFonts w:hint="cs"/>
          <w:rtl/>
        </w:rPr>
        <w:t>ה</w:t>
      </w:r>
      <w:r w:rsidRPr="001945F9">
        <w:rPr>
          <w:rtl/>
        </w:rPr>
        <w:t xml:space="preserve">הלוואות </w:t>
      </w:r>
      <w:r w:rsidRPr="001945F9">
        <w:rPr>
          <w:rFonts w:hint="cs"/>
          <w:rtl/>
        </w:rPr>
        <w:t>ה</w:t>
      </w:r>
      <w:r w:rsidRPr="001945F9">
        <w:rPr>
          <w:rtl/>
        </w:rPr>
        <w:t>פרטי (מ</w:t>
      </w:r>
      <w:r w:rsidRPr="001945F9">
        <w:rPr>
          <w:rFonts w:hint="cs"/>
          <w:rtl/>
        </w:rPr>
        <w:t>שקיעים מ</w:t>
      </w:r>
      <w:r w:rsidRPr="001945F9">
        <w:rPr>
          <w:rtl/>
        </w:rPr>
        <w:t>וסדיים</w:t>
      </w:r>
      <w:r w:rsidRPr="001945F9">
        <w:rPr>
          <w:rFonts w:hint="cs"/>
          <w:rtl/>
        </w:rPr>
        <w:t xml:space="preserve"> - קרנות </w:t>
      </w:r>
      <w:r w:rsidRPr="001945F9">
        <w:rPr>
          <w:rFonts w:hint="cs"/>
          <w:rtl/>
        </w:rPr>
        <w:t>פנסייה</w:t>
      </w:r>
      <w:r w:rsidRPr="001945F9">
        <w:rPr>
          <w:rFonts w:hint="cs"/>
          <w:rtl/>
        </w:rPr>
        <w:t>, חברות ביטוח, קרנות השתלמות וקופות גמל</w:t>
      </w:r>
      <w:r w:rsidRPr="001945F9">
        <w:rPr>
          <w:rtl/>
        </w:rPr>
        <w:t xml:space="preserve">), אג"ח </w:t>
      </w:r>
      <w:r w:rsidRPr="001945F9">
        <w:rPr>
          <w:rFonts w:hint="cs"/>
          <w:rtl/>
        </w:rPr>
        <w:t>המונפקת למשקיעים מוסדיים בהנפקה פרטית ואג"ח המונפקת בבורסה בהנפקה ציבורית</w:t>
      </w:r>
      <w:r w:rsidRPr="001945F9">
        <w:t>.</w:t>
      </w:r>
      <w:r w:rsidRPr="001945F9">
        <w:rPr>
          <w:rFonts w:hint="cs"/>
          <w:rtl/>
        </w:rPr>
        <w:t xml:space="preserve"> </w:t>
      </w:r>
    </w:p>
    <w:p w:rsidR="007F4A20" w:rsidP="00DA6B46" w14:paraId="0B41EED6" w14:textId="1B28085D">
      <w:pPr>
        <w:pStyle w:val="7392"/>
        <w:spacing w:before="360"/>
        <w:rPr>
          <w:rtl/>
        </w:rPr>
      </w:pPr>
      <w:r w:rsidRPr="001945F9">
        <w:rPr>
          <w:rFonts w:hint="cs"/>
          <w:rtl/>
        </w:rPr>
        <w:t>דוח זה סוקר את</w:t>
      </w:r>
      <w:r w:rsidRPr="001945F9">
        <w:rPr>
          <w:rtl/>
        </w:rPr>
        <w:t xml:space="preserve"> דרכי המימון של חברות ממשלתיות, רשויות מקומיות, תאגידים עירוניים, קופות חולים ותאגידים סטטוטוריים, </w:t>
      </w:r>
      <w:r w:rsidRPr="001945F9">
        <w:rPr>
          <w:rFonts w:hint="cs"/>
          <w:rtl/>
        </w:rPr>
        <w:t>ומפרט בנוגע לשאלות</w:t>
      </w:r>
      <w:r w:rsidRPr="001945F9">
        <w:rPr>
          <w:rtl/>
        </w:rPr>
        <w:t xml:space="preserve"> עד כמה השתנו דרכי המימון במ</w:t>
      </w:r>
      <w:r w:rsidRPr="001945F9">
        <w:rPr>
          <w:rFonts w:hint="cs"/>
          <w:rtl/>
        </w:rPr>
        <w:t>שך</w:t>
      </w:r>
      <w:r w:rsidRPr="001945F9">
        <w:rPr>
          <w:rtl/>
        </w:rPr>
        <w:t xml:space="preserve"> השנים</w:t>
      </w:r>
      <w:r w:rsidRPr="001945F9">
        <w:rPr>
          <w:rFonts w:hint="cs"/>
          <w:rtl/>
        </w:rPr>
        <w:t>,</w:t>
      </w:r>
      <w:r w:rsidRPr="001945F9">
        <w:rPr>
          <w:rtl/>
        </w:rPr>
        <w:t xml:space="preserve"> ועד כמה התאימו את עצמן לשינויים שהתרחשו בשוק האשראי</w:t>
      </w:r>
      <w:r w:rsidRPr="001F3363" w:rsidR="0036097F">
        <w:rPr>
          <w:rFonts w:hint="cs"/>
          <w:rtl/>
        </w:rPr>
        <w:t>.</w:t>
      </w:r>
      <w:r w:rsidRPr="001F3363"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236"/>
        <w:gridCol w:w="1751"/>
        <w:gridCol w:w="236"/>
        <w:gridCol w:w="1530"/>
        <w:gridCol w:w="265"/>
        <w:gridCol w:w="1642"/>
      </w:tblGrid>
      <w:tr w14:paraId="58B4726B" w14:textId="77777777" w:rsidTr="009B0E4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0" w:type="pct"/>
            <w:tcBorders>
              <w:bottom w:val="single" w:sz="12" w:space="0" w:color="000000"/>
            </w:tcBorders>
            <w:vAlign w:val="bottom"/>
          </w:tcPr>
          <w:p w:rsidR="00420374" w:rsidRPr="004562F8" w:rsidP="00937056" w14:paraId="23EB689E" w14:textId="67F76E42">
            <w:pPr>
              <w:spacing w:after="60" w:line="240" w:lineRule="auto"/>
              <w:rPr>
                <w:b/>
                <w:bCs/>
                <w:spacing w:val="-28"/>
                <w:rtl/>
              </w:rPr>
            </w:pPr>
            <w:r>
              <w:rPr>
                <w:rFonts w:ascii="Tahoma" w:hAnsi="Tahoma" w:eastAsiaTheme="minorEastAsia" w:cs="Tahoma" w:hint="cs"/>
                <w:b/>
                <w:bCs/>
                <w:color w:val="0D0D0D" w:themeColor="text1" w:themeTint="F2"/>
                <w:spacing w:val="-10"/>
                <w:sz w:val="36"/>
                <w:szCs w:val="36"/>
                <w:rtl/>
              </w:rPr>
              <w:t>80</w:t>
            </w:r>
            <w:r>
              <w:rPr>
                <w:rFonts w:ascii="Tahoma" w:hAnsi="Tahoma" w:eastAsiaTheme="minorEastAsia" w:cs="Tahoma" w:hint="cs"/>
                <w:b/>
                <w:bCs/>
                <w:color w:val="0D0D0D" w:themeColor="text1" w:themeTint="F2"/>
                <w:spacing w:val="-10"/>
                <w:sz w:val="36"/>
                <w:szCs w:val="36"/>
                <w:rtl/>
              </w:rPr>
              <w:t xml:space="preserve"> </w:t>
            </w:r>
            <w:r w:rsidR="00566B7E">
              <w:rPr>
                <w:rFonts w:ascii="Tahoma" w:hAnsi="Tahoma" w:eastAsiaTheme="minorEastAsia" w:cs="Tahoma"/>
                <w:b/>
                <w:bCs/>
                <w:color w:val="0D0D0D" w:themeColor="text1" w:themeTint="F2"/>
                <w:spacing w:val="-10"/>
                <w:sz w:val="36"/>
                <w:szCs w:val="36"/>
                <w:rtl/>
              </w:rPr>
              <w:br/>
            </w:r>
            <w:r w:rsidRPr="00566B7E">
              <w:rPr>
                <w:rFonts w:ascii="Tahoma" w:hAnsi="Tahoma" w:eastAsiaTheme="minorEastAsia" w:cs="Tahoma" w:hint="cs"/>
                <w:b/>
                <w:bCs/>
                <w:color w:val="0D0D0D" w:themeColor="text1" w:themeTint="F2"/>
                <w:spacing w:val="-20"/>
                <w:sz w:val="26"/>
                <w:szCs w:val="26"/>
                <w:rtl/>
              </w:rPr>
              <w:t>מיליארד ש״ח</w:t>
            </w:r>
          </w:p>
        </w:tc>
        <w:tc>
          <w:tcPr>
            <w:tcW w:w="160" w:type="pct"/>
            <w:vAlign w:val="bottom"/>
          </w:tcPr>
          <w:p w:rsidR="00420374" w:rsidP="00937056" w14:paraId="19192EA5" w14:textId="77777777">
            <w:pPr>
              <w:spacing w:before="120" w:after="60" w:line="240" w:lineRule="auto"/>
              <w:rPr>
                <w:rtl/>
              </w:rPr>
            </w:pPr>
          </w:p>
        </w:tc>
        <w:tc>
          <w:tcPr>
            <w:tcW w:w="1188" w:type="pct"/>
            <w:tcBorders>
              <w:bottom w:val="single" w:sz="12" w:space="0" w:color="000000"/>
            </w:tcBorders>
            <w:vAlign w:val="bottom"/>
          </w:tcPr>
          <w:p w:rsidR="00420374" w:rsidRPr="005C7ABF" w:rsidP="00937056" w14:paraId="761F4116" w14:textId="1A4DCCD8">
            <w:pPr>
              <w:pStyle w:val="2021"/>
              <w:spacing w:before="0" w:after="60"/>
              <w:rPr>
                <w:spacing w:val="-10"/>
                <w:rtl/>
              </w:rPr>
            </w:pPr>
            <w:r>
              <w:rPr>
                <w:rFonts w:hint="cs"/>
                <w:spacing w:val="-10"/>
                <w:rtl/>
              </w:rPr>
              <w:t>15</w:t>
            </w:r>
            <w:r>
              <w:rPr>
                <w:rFonts w:hint="cs"/>
                <w:spacing w:val="-10"/>
                <w:rtl/>
              </w:rPr>
              <w:t xml:space="preserve"> </w:t>
            </w:r>
            <w:r w:rsidR="00566B7E">
              <w:rPr>
                <w:spacing w:val="-20"/>
                <w:sz w:val="26"/>
                <w:szCs w:val="26"/>
                <w:rtl/>
              </w:rPr>
              <w:br/>
            </w:r>
            <w:r w:rsidRPr="00566B7E">
              <w:rPr>
                <w:rFonts w:hint="cs"/>
                <w:spacing w:val="-20"/>
                <w:sz w:val="26"/>
                <w:szCs w:val="26"/>
                <w:rtl/>
              </w:rPr>
              <w:t>מיליארד ש״ח</w:t>
            </w:r>
          </w:p>
        </w:tc>
        <w:tc>
          <w:tcPr>
            <w:tcW w:w="160" w:type="pct"/>
            <w:vAlign w:val="bottom"/>
          </w:tcPr>
          <w:p w:rsidR="00420374" w:rsidP="00937056" w14:paraId="2810DE55" w14:textId="77777777">
            <w:pPr>
              <w:spacing w:before="120" w:after="60" w:line="240" w:lineRule="auto"/>
              <w:rPr>
                <w:rtl/>
              </w:rPr>
            </w:pPr>
          </w:p>
        </w:tc>
        <w:tc>
          <w:tcPr>
            <w:tcW w:w="1038" w:type="pct"/>
            <w:tcBorders>
              <w:bottom w:val="single" w:sz="12" w:space="0" w:color="000000"/>
            </w:tcBorders>
            <w:vAlign w:val="bottom"/>
          </w:tcPr>
          <w:p w:rsidR="00420374" w:rsidRPr="00340353" w:rsidP="00937056" w14:paraId="2A2E27BD" w14:textId="5A257278">
            <w:pPr>
              <w:pStyle w:val="2021"/>
              <w:spacing w:before="0" w:after="60"/>
              <w:rPr>
                <w:b w:val="0"/>
                <w:bCs w:val="0"/>
                <w:spacing w:val="-20"/>
                <w:sz w:val="24"/>
                <w:rtl/>
              </w:rPr>
            </w:pPr>
            <w:r>
              <w:rPr>
                <w:rFonts w:hint="cs"/>
                <w:spacing w:val="-10"/>
                <w:rtl/>
              </w:rPr>
              <w:t>2</w:t>
            </w:r>
            <w:r>
              <w:rPr>
                <w:rFonts w:hint="cs"/>
                <w:spacing w:val="-10"/>
                <w:rtl/>
              </w:rPr>
              <w:t>.</w:t>
            </w:r>
            <w:r>
              <w:rPr>
                <w:rFonts w:hint="cs"/>
                <w:spacing w:val="-10"/>
                <w:rtl/>
              </w:rPr>
              <w:t>01</w:t>
            </w:r>
            <w:r>
              <w:rPr>
                <w:rFonts w:hint="cs"/>
                <w:spacing w:val="-10"/>
                <w:rtl/>
              </w:rPr>
              <w:t xml:space="preserve">% </w:t>
            </w:r>
          </w:p>
        </w:tc>
        <w:tc>
          <w:tcPr>
            <w:tcW w:w="180" w:type="pct"/>
          </w:tcPr>
          <w:p w:rsidR="00420374" w:rsidP="00937056" w14:paraId="47B754BA" w14:textId="77777777">
            <w:pPr>
              <w:pStyle w:val="2021"/>
              <w:spacing w:before="0" w:after="60"/>
              <w:rPr>
                <w:spacing w:val="-10"/>
                <w:rtl/>
              </w:rPr>
            </w:pPr>
          </w:p>
        </w:tc>
        <w:tc>
          <w:tcPr>
            <w:tcW w:w="1114" w:type="pct"/>
            <w:tcBorders>
              <w:bottom w:val="single" w:sz="12" w:space="0" w:color="000000"/>
            </w:tcBorders>
            <w:vAlign w:val="bottom"/>
          </w:tcPr>
          <w:p w:rsidR="00420374" w:rsidP="00937056" w14:paraId="5F3A3FF5" w14:textId="251C2A5B">
            <w:pPr>
              <w:pStyle w:val="2021"/>
              <w:spacing w:before="0" w:after="60"/>
              <w:rPr>
                <w:spacing w:val="-10"/>
                <w:rtl/>
              </w:rPr>
            </w:pPr>
            <w:r>
              <w:rPr>
                <w:rFonts w:hint="cs"/>
                <w:spacing w:val="-10"/>
                <w:rtl/>
              </w:rPr>
              <w:t>82</w:t>
            </w:r>
            <w:r>
              <w:rPr>
                <w:rFonts w:hint="cs"/>
                <w:spacing w:val="-10"/>
                <w:rtl/>
              </w:rPr>
              <w:t xml:space="preserve">% </w:t>
            </w:r>
          </w:p>
        </w:tc>
      </w:tr>
      <w:tr w14:paraId="6DFAF81C" w14:textId="77777777" w:rsidTr="009B0E42">
        <w:tblPrEx>
          <w:tblW w:w="5000" w:type="pct"/>
          <w:tblLook w:val="04A0"/>
        </w:tblPrEx>
        <w:tc>
          <w:tcPr>
            <w:tcW w:w="1160" w:type="pct"/>
            <w:tcBorders>
              <w:top w:val="single" w:sz="12" w:space="0" w:color="000000"/>
            </w:tcBorders>
          </w:tcPr>
          <w:p w:rsidR="00420374" w:rsidRPr="00E52143" w:rsidP="00937056" w14:paraId="1D96599A" w14:textId="6762AD53">
            <w:pPr>
              <w:pStyle w:val="732021"/>
              <w:spacing w:before="0"/>
              <w:rPr>
                <w:rtl/>
              </w:rPr>
            </w:pPr>
            <w:r w:rsidRPr="00DF37BD">
              <w:rPr>
                <w:rFonts w:hint="cs"/>
                <w:rtl/>
              </w:rPr>
              <w:t xml:space="preserve">סך גיוס אג"ח </w:t>
            </w:r>
            <w:r w:rsidRPr="00DF37BD">
              <w:rPr>
                <w:rFonts w:hint="cs"/>
                <w:rtl/>
              </w:rPr>
              <w:t>קונצרני</w:t>
            </w:r>
            <w:r w:rsidRPr="00DF37BD">
              <w:rPr>
                <w:rFonts w:hint="cs"/>
                <w:rtl/>
              </w:rPr>
              <w:t xml:space="preserve"> בשנת 2021 בכלל המשק</w:t>
            </w:r>
          </w:p>
        </w:tc>
        <w:tc>
          <w:tcPr>
            <w:tcW w:w="160" w:type="pct"/>
          </w:tcPr>
          <w:p w:rsidR="00420374" w:rsidRPr="00E52143" w:rsidP="00937056" w14:paraId="2BF81D8C" w14:textId="77777777">
            <w:pPr>
              <w:pStyle w:val="732021"/>
              <w:spacing w:before="0"/>
              <w:rPr>
                <w:rtl/>
              </w:rPr>
            </w:pPr>
          </w:p>
        </w:tc>
        <w:tc>
          <w:tcPr>
            <w:tcW w:w="1188" w:type="pct"/>
            <w:tcBorders>
              <w:top w:val="single" w:sz="12" w:space="0" w:color="000000"/>
            </w:tcBorders>
          </w:tcPr>
          <w:p w:rsidR="00420374" w:rsidRPr="00E52143" w:rsidP="00937056" w14:paraId="68924AF7" w14:textId="414F2545">
            <w:pPr>
              <w:pStyle w:val="732021"/>
              <w:spacing w:before="0"/>
              <w:rPr>
                <w:rtl/>
              </w:rPr>
            </w:pPr>
            <w:r w:rsidRPr="00DF37BD">
              <w:rPr>
                <w:rFonts w:hint="cs"/>
                <w:rtl/>
              </w:rPr>
              <w:t>עומס המלוות</w:t>
            </w:r>
            <w:r>
              <w:rPr>
                <w:vertAlign w:val="superscript"/>
                <w:rtl/>
              </w:rPr>
              <w:footnoteReference w:id="2"/>
            </w:r>
            <w:r w:rsidRPr="00DF37BD">
              <w:rPr>
                <w:rFonts w:hint="cs"/>
                <w:rtl/>
              </w:rPr>
              <w:t xml:space="preserve"> של הרשויות המקומיות </w:t>
            </w:r>
            <w:r w:rsidRPr="00DF37BD">
              <w:rPr>
                <w:rtl/>
              </w:rPr>
              <w:br/>
            </w:r>
            <w:r w:rsidRPr="00DF37BD">
              <w:rPr>
                <w:rFonts w:hint="cs"/>
                <w:rtl/>
              </w:rPr>
              <w:t>ל-31.12.19</w:t>
            </w:r>
          </w:p>
        </w:tc>
        <w:tc>
          <w:tcPr>
            <w:tcW w:w="160" w:type="pct"/>
          </w:tcPr>
          <w:p w:rsidR="00420374" w:rsidRPr="00E52143" w:rsidP="00937056" w14:paraId="4F52CE08" w14:textId="77777777">
            <w:pPr>
              <w:pStyle w:val="732021"/>
              <w:spacing w:before="0"/>
              <w:rPr>
                <w:rtl/>
              </w:rPr>
            </w:pPr>
          </w:p>
        </w:tc>
        <w:tc>
          <w:tcPr>
            <w:tcW w:w="1038" w:type="pct"/>
            <w:tcBorders>
              <w:top w:val="single" w:sz="12" w:space="0" w:color="000000"/>
            </w:tcBorders>
          </w:tcPr>
          <w:p w:rsidR="00420374" w:rsidRPr="00E52143" w:rsidP="00937056" w14:paraId="203F9568" w14:textId="5C97C31A">
            <w:pPr>
              <w:pStyle w:val="732021"/>
              <w:spacing w:before="0"/>
              <w:rPr>
                <w:rtl/>
              </w:rPr>
            </w:pPr>
            <w:r w:rsidRPr="00DF37BD">
              <w:rPr>
                <w:rFonts w:hint="cs"/>
                <w:rtl/>
              </w:rPr>
              <w:t>יחס החוב של הרשויות המקומיות לתוצר בישראל</w:t>
            </w:r>
            <w:r w:rsidR="0016438C">
              <w:rPr>
                <w:rtl/>
              </w:rPr>
              <w:br/>
            </w:r>
            <w:r w:rsidRPr="00DF37BD">
              <w:rPr>
                <w:rFonts w:hint="cs"/>
                <w:rtl/>
              </w:rPr>
              <w:t>(נמוך בהשוואה לרוב מדינות ה-</w:t>
            </w:r>
            <w:r w:rsidRPr="00DF37BD">
              <w:t>OECD</w:t>
            </w:r>
            <w:r w:rsidRPr="00DF37BD">
              <w:rPr>
                <w:rFonts w:hint="cs"/>
                <w:rtl/>
              </w:rPr>
              <w:t>)</w:t>
            </w:r>
            <w:r>
              <w:rPr>
                <w:vertAlign w:val="superscript"/>
                <w:rtl/>
              </w:rPr>
              <w:footnoteReference w:id="3"/>
            </w:r>
          </w:p>
        </w:tc>
        <w:tc>
          <w:tcPr>
            <w:tcW w:w="180" w:type="pct"/>
          </w:tcPr>
          <w:p w:rsidR="00420374" w:rsidRPr="00E52143" w:rsidP="00937056" w14:paraId="42538096" w14:textId="77777777">
            <w:pPr>
              <w:pStyle w:val="732021"/>
              <w:spacing w:before="0"/>
              <w:rPr>
                <w:rtl/>
              </w:rPr>
            </w:pPr>
          </w:p>
        </w:tc>
        <w:tc>
          <w:tcPr>
            <w:tcW w:w="1114" w:type="pct"/>
            <w:tcBorders>
              <w:top w:val="single" w:sz="12" w:space="0" w:color="000000"/>
            </w:tcBorders>
          </w:tcPr>
          <w:p w:rsidR="00654B48" w:rsidRPr="00DF37BD" w:rsidP="00654B48" w14:paraId="5E40F4BA" w14:textId="77777777">
            <w:pPr>
              <w:pStyle w:val="732021"/>
              <w:spacing w:before="0"/>
              <w:rPr>
                <w:rtl/>
              </w:rPr>
            </w:pPr>
            <w:r w:rsidRPr="00DF37BD">
              <w:rPr>
                <w:rFonts w:hint="cs"/>
                <w:rtl/>
              </w:rPr>
              <w:t>מההלוואות שאושרו על ידי משרד הפנים לרשויות המקומיות, בסכום של כ-12.8 מיליארד ש"ח, נלקחות מארבעה בנקים מבין 15 בנקים קיימים</w:t>
            </w:r>
          </w:p>
          <w:p w:rsidR="00420374" w:rsidRPr="00E52143" w:rsidP="00937056" w14:paraId="1878D11D" w14:textId="3D4C4A8B">
            <w:pPr>
              <w:pStyle w:val="732021"/>
              <w:spacing w:before="0"/>
              <w:rPr>
                <w:rtl/>
              </w:rPr>
            </w:pPr>
          </w:p>
        </w:tc>
      </w:tr>
      <w:tr w14:paraId="1BD5A20C" w14:textId="77777777" w:rsidTr="009B0E42">
        <w:tblPrEx>
          <w:tblW w:w="5000" w:type="pct"/>
          <w:tblLook w:val="04A0"/>
        </w:tblPrEx>
        <w:tc>
          <w:tcPr>
            <w:tcW w:w="1160" w:type="pct"/>
            <w:tcBorders>
              <w:bottom w:val="single" w:sz="12" w:space="0" w:color="000000"/>
            </w:tcBorders>
            <w:vAlign w:val="bottom"/>
          </w:tcPr>
          <w:p w:rsidR="00420374" w:rsidRPr="00411396" w:rsidP="009B0E42" w14:paraId="500D3B50" w14:textId="343095F4">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63</w:t>
            </w:r>
            <w:r>
              <w:rPr>
                <w:rFonts w:ascii="Tahoma" w:hAnsi="Tahoma" w:eastAsiaTheme="minorEastAsia" w:cs="Tahoma" w:hint="cs"/>
                <w:b/>
                <w:bCs/>
                <w:color w:val="0D0D0D" w:themeColor="text1" w:themeTint="F2"/>
                <w:spacing w:val="-10"/>
                <w:sz w:val="36"/>
                <w:szCs w:val="36"/>
                <w:rtl/>
              </w:rPr>
              <w:t>%</w:t>
            </w:r>
          </w:p>
        </w:tc>
        <w:tc>
          <w:tcPr>
            <w:tcW w:w="160" w:type="pct"/>
            <w:vAlign w:val="bottom"/>
          </w:tcPr>
          <w:p w:rsidR="00420374" w:rsidRPr="00E52143" w:rsidP="009B0E42"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188" w:type="pct"/>
            <w:tcBorders>
              <w:bottom w:val="single" w:sz="12" w:space="0" w:color="000000"/>
            </w:tcBorders>
            <w:vAlign w:val="bottom"/>
          </w:tcPr>
          <w:p w:rsidR="00420374" w:rsidRPr="008D750B" w:rsidP="009B0E42" w14:paraId="48896DF7" w14:textId="3225FA44">
            <w:pPr>
              <w:pStyle w:val="2021"/>
              <w:spacing w:before="0" w:after="60"/>
              <w:rPr>
                <w:spacing w:val="-10"/>
                <w:rtl/>
              </w:rPr>
            </w:pPr>
            <w:r w:rsidRPr="00654B48">
              <w:rPr>
                <w:rFonts w:hint="cs"/>
                <w:spacing w:val="-10"/>
                <w:sz w:val="26"/>
                <w:szCs w:val="26"/>
                <w:rtl/>
              </w:rPr>
              <w:t xml:space="preserve">רק </w:t>
            </w:r>
            <w:r>
              <w:rPr>
                <w:rFonts w:hint="cs"/>
                <w:spacing w:val="-10"/>
                <w:rtl/>
              </w:rPr>
              <w:t>4</w:t>
            </w:r>
          </w:p>
        </w:tc>
        <w:tc>
          <w:tcPr>
            <w:tcW w:w="160" w:type="pct"/>
            <w:vAlign w:val="bottom"/>
          </w:tcPr>
          <w:p w:rsidR="00420374" w:rsidP="009B0E42" w14:paraId="5B4C8A80" w14:textId="77777777">
            <w:pPr>
              <w:spacing w:after="60" w:line="240" w:lineRule="auto"/>
              <w:jc w:val="left"/>
              <w:rPr>
                <w:rtl/>
              </w:rPr>
            </w:pPr>
          </w:p>
        </w:tc>
        <w:tc>
          <w:tcPr>
            <w:tcW w:w="1038" w:type="pct"/>
            <w:tcBorders>
              <w:bottom w:val="single" w:sz="12" w:space="0" w:color="000000"/>
            </w:tcBorders>
            <w:vAlign w:val="bottom"/>
          </w:tcPr>
          <w:p w:rsidR="00420374" w:rsidRPr="0062456C" w:rsidP="009B0E42" w14:paraId="226A2E50" w14:textId="25A9A365">
            <w:pPr>
              <w:spacing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100</w:t>
            </w:r>
            <w:r>
              <w:rPr>
                <w:rFonts w:ascii="Tahoma" w:hAnsi="Tahoma" w:eastAsiaTheme="minorEastAsia" w:cs="Tahoma" w:hint="cs"/>
                <w:b/>
                <w:bCs/>
                <w:color w:val="0D0D0D" w:themeColor="text1" w:themeTint="F2"/>
                <w:spacing w:val="-10"/>
                <w:sz w:val="36"/>
                <w:szCs w:val="36"/>
                <w:rtl/>
              </w:rPr>
              <w:t>%</w:t>
            </w:r>
          </w:p>
        </w:tc>
        <w:tc>
          <w:tcPr>
            <w:tcW w:w="180" w:type="pct"/>
          </w:tcPr>
          <w:p w:rsidR="00420374" w:rsidP="009B0E42"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114" w:type="pct"/>
            <w:tcBorders>
              <w:bottom w:val="single" w:sz="12" w:space="0" w:color="000000"/>
            </w:tcBorders>
            <w:vAlign w:val="bottom"/>
          </w:tcPr>
          <w:p w:rsidR="00420374" w:rsidP="009B0E42" w14:paraId="5AEEF263" w14:textId="56AF4155">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2,076 </w:t>
            </w:r>
            <w:r w:rsidRPr="00654B48">
              <w:rPr>
                <w:rFonts w:ascii="Tahoma" w:hAnsi="Tahoma" w:eastAsiaTheme="minorEastAsia" w:cs="Tahoma" w:hint="cs"/>
                <w:b/>
                <w:bCs/>
                <w:color w:val="0D0D0D" w:themeColor="text1" w:themeTint="F2"/>
                <w:spacing w:val="-10"/>
                <w:sz w:val="26"/>
                <w:szCs w:val="26"/>
                <w:rtl/>
              </w:rPr>
              <w:t>מיליון ש״ח</w:t>
            </w:r>
          </w:p>
        </w:tc>
      </w:tr>
      <w:tr w14:paraId="54154FA5" w14:textId="77777777" w:rsidTr="009B0E42">
        <w:tblPrEx>
          <w:tblW w:w="5000" w:type="pct"/>
          <w:tblLook w:val="04A0"/>
        </w:tblPrEx>
        <w:tc>
          <w:tcPr>
            <w:tcW w:w="1160" w:type="pct"/>
            <w:tcBorders>
              <w:top w:val="single" w:sz="12" w:space="0" w:color="000000"/>
            </w:tcBorders>
          </w:tcPr>
          <w:p w:rsidR="00420374" w:rsidRPr="004562F8" w:rsidP="00937056" w14:paraId="6DB67748" w14:textId="116F6979">
            <w:pPr>
              <w:pStyle w:val="732021"/>
              <w:spacing w:before="0" w:after="0"/>
              <w:rPr>
                <w:rtl/>
              </w:rPr>
            </w:pPr>
            <w:r w:rsidRPr="00DF37BD">
              <w:rPr>
                <w:rFonts w:hint="cs"/>
                <w:rtl/>
              </w:rPr>
              <w:t xml:space="preserve">שיעור החוב הנסחר מסך </w:t>
            </w:r>
            <w:r w:rsidRPr="00DF37BD">
              <w:rPr>
                <w:rFonts w:hint="cs"/>
                <w:rtl/>
              </w:rPr>
              <w:t>האג"ח</w:t>
            </w:r>
            <w:r w:rsidRPr="00DF37BD">
              <w:rPr>
                <w:rFonts w:hint="cs"/>
                <w:rtl/>
              </w:rPr>
              <w:t xml:space="preserve"> של החברות הממשלתיות, לעומת </w:t>
            </w:r>
            <w:r w:rsidRPr="00DF37BD">
              <w:rPr>
                <w:rtl/>
              </w:rPr>
              <w:t xml:space="preserve"> </w:t>
            </w:r>
            <w:r w:rsidRPr="00DF37BD">
              <w:rPr>
                <w:rFonts w:hint="eastAsia"/>
                <w:rtl/>
              </w:rPr>
              <w:t>שיעור</w:t>
            </w:r>
            <w:r w:rsidRPr="00DF37BD">
              <w:rPr>
                <w:rtl/>
              </w:rPr>
              <w:t xml:space="preserve"> החוב הנסחר של </w:t>
            </w:r>
            <w:r w:rsidRPr="00DF37BD">
              <w:rPr>
                <w:rtl/>
              </w:rPr>
              <w:t>האג"ח</w:t>
            </w:r>
            <w:r w:rsidRPr="00DF37BD">
              <w:rPr>
                <w:rtl/>
              </w:rPr>
              <w:t xml:space="preserve"> </w:t>
            </w:r>
            <w:r w:rsidRPr="00DF37BD">
              <w:rPr>
                <w:rtl/>
              </w:rPr>
              <w:t>הקונצרני</w:t>
            </w:r>
            <w:r w:rsidRPr="00DF37BD">
              <w:rPr>
                <w:rFonts w:hint="cs"/>
                <w:rtl/>
              </w:rPr>
              <w:t>,</w:t>
            </w:r>
            <w:r w:rsidRPr="00DF37BD">
              <w:rPr>
                <w:rtl/>
              </w:rPr>
              <w:t xml:space="preserve"> </w:t>
            </w:r>
            <w:r w:rsidRPr="00DF37BD">
              <w:rPr>
                <w:rFonts w:hint="cs"/>
                <w:rtl/>
              </w:rPr>
              <w:t>שהוא</w:t>
            </w:r>
            <w:r w:rsidRPr="00DF37BD">
              <w:rPr>
                <w:rtl/>
              </w:rPr>
              <w:t xml:space="preserve"> 92%</w:t>
            </w:r>
            <w:r w:rsidRPr="00DF37BD">
              <w:rPr>
                <w:rFonts w:hint="cs"/>
                <w:rtl/>
              </w:rPr>
              <w:t xml:space="preserve"> נכון לשנת 2021</w:t>
            </w:r>
          </w:p>
        </w:tc>
        <w:tc>
          <w:tcPr>
            <w:tcW w:w="160" w:type="pct"/>
          </w:tcPr>
          <w:p w:rsidR="00420374" w:rsidRPr="008D750B" w:rsidP="00937056" w14:paraId="0C0AE598" w14:textId="77777777">
            <w:pPr>
              <w:pStyle w:val="732021"/>
              <w:spacing w:before="0" w:after="0"/>
              <w:rPr>
                <w:rtl/>
              </w:rPr>
            </w:pPr>
          </w:p>
        </w:tc>
        <w:tc>
          <w:tcPr>
            <w:tcW w:w="1188" w:type="pct"/>
            <w:tcBorders>
              <w:top w:val="single" w:sz="12" w:space="0" w:color="000000"/>
            </w:tcBorders>
          </w:tcPr>
          <w:p w:rsidR="00420374" w:rsidRPr="004562F8" w:rsidP="00937056" w14:paraId="1916A301" w14:textId="3A8842A8">
            <w:pPr>
              <w:pStyle w:val="732021"/>
              <w:spacing w:before="0" w:after="0"/>
              <w:rPr>
                <w:rtl/>
              </w:rPr>
            </w:pPr>
            <w:r w:rsidRPr="00DF37BD">
              <w:rPr>
                <w:rFonts w:hint="cs"/>
                <w:rtl/>
              </w:rPr>
              <w:t xml:space="preserve">רשויות מקומיות הנפיקו אג"ח מוניציפליות. </w:t>
            </w:r>
            <w:r w:rsidRPr="00DF37BD">
              <w:rPr>
                <w:rFonts w:hint="eastAsia"/>
                <w:rtl/>
              </w:rPr>
              <w:t>הנפקות</w:t>
            </w:r>
            <w:r w:rsidRPr="00DF37BD">
              <w:rPr>
                <w:rtl/>
              </w:rPr>
              <w:t xml:space="preserve"> </w:t>
            </w:r>
            <w:r w:rsidRPr="00DF37BD">
              <w:rPr>
                <w:rFonts w:hint="eastAsia"/>
                <w:rtl/>
              </w:rPr>
              <w:t>אלו</w:t>
            </w:r>
            <w:r w:rsidRPr="00DF37BD">
              <w:rPr>
                <w:rtl/>
              </w:rPr>
              <w:t xml:space="preserve"> </w:t>
            </w:r>
            <w:r w:rsidRPr="00DF37BD">
              <w:rPr>
                <w:rFonts w:hint="eastAsia"/>
                <w:rtl/>
              </w:rPr>
              <w:t>בוצעו</w:t>
            </w:r>
            <w:r w:rsidRPr="00DF37BD">
              <w:rPr>
                <w:rtl/>
              </w:rPr>
              <w:t xml:space="preserve"> לפני שנת 2006. זאת לעומת שוק אג"ח מוניציפלי בארצות הברית בסכום של 4 טריליון דולר לשנת 2021</w:t>
            </w:r>
          </w:p>
        </w:tc>
        <w:tc>
          <w:tcPr>
            <w:tcW w:w="160" w:type="pct"/>
          </w:tcPr>
          <w:p w:rsidR="00420374" w:rsidP="00937056" w14:paraId="14782C57" w14:textId="77777777">
            <w:pPr>
              <w:pStyle w:val="732021"/>
              <w:spacing w:before="0" w:after="0"/>
              <w:rPr>
                <w:rtl/>
              </w:rPr>
            </w:pPr>
          </w:p>
        </w:tc>
        <w:tc>
          <w:tcPr>
            <w:tcW w:w="1038" w:type="pct"/>
            <w:tcBorders>
              <w:top w:val="single" w:sz="12" w:space="0" w:color="000000"/>
            </w:tcBorders>
          </w:tcPr>
          <w:p w:rsidR="00420374" w:rsidRPr="0062456C" w:rsidP="00937056" w14:paraId="6149CA50" w14:textId="50EB121A">
            <w:pPr>
              <w:pStyle w:val="732021"/>
              <w:spacing w:before="0" w:after="0"/>
              <w:rPr>
                <w:rtl/>
              </w:rPr>
            </w:pPr>
            <w:r w:rsidRPr="00DF37BD">
              <w:rPr>
                <w:rFonts w:hint="cs"/>
                <w:rtl/>
              </w:rPr>
              <w:t>ממקורות המימון של קופות החולים בשנת 2020 מבוססים על מסגרות אשראי לטווח הקצר (709 מיליון ש"ח</w:t>
            </w:r>
            <w:r>
              <w:rPr>
                <w:rFonts w:hint="cs"/>
                <w:rtl/>
              </w:rPr>
              <w:t>)</w:t>
            </w:r>
          </w:p>
        </w:tc>
        <w:tc>
          <w:tcPr>
            <w:tcW w:w="180" w:type="pct"/>
          </w:tcPr>
          <w:p w:rsidR="00420374" w:rsidRPr="00C92141" w:rsidP="00937056" w14:paraId="66E34E8E" w14:textId="77777777">
            <w:pPr>
              <w:pStyle w:val="732021"/>
              <w:spacing w:before="0" w:after="0"/>
              <w:rPr>
                <w:rtl/>
              </w:rPr>
            </w:pPr>
          </w:p>
        </w:tc>
        <w:tc>
          <w:tcPr>
            <w:tcW w:w="1114" w:type="pct"/>
            <w:tcBorders>
              <w:top w:val="single" w:sz="12" w:space="0" w:color="000000"/>
            </w:tcBorders>
          </w:tcPr>
          <w:p w:rsidR="00420374" w:rsidRPr="00C92141" w:rsidP="00937056" w14:paraId="39498237" w14:textId="3A00E457">
            <w:pPr>
              <w:pStyle w:val="732021"/>
              <w:spacing w:before="0" w:after="0"/>
              <w:rPr>
                <w:rtl/>
              </w:rPr>
            </w:pPr>
            <w:r w:rsidRPr="00DF37BD">
              <w:rPr>
                <w:rFonts w:hint="cs"/>
                <w:rtl/>
              </w:rPr>
              <w:t>הוצאות המימון של חברות ממשלתיות בשנת 2020</w:t>
            </w:r>
          </w:p>
        </w:tc>
      </w:tr>
    </w:tbl>
    <w:p w:rsidR="00420374" w:rsidRPr="00C62692" w:rsidP="00420374" w14:paraId="3FADD5EE" w14:textId="77777777">
      <w:pPr>
        <w:pStyle w:val="73"/>
        <w:rPr>
          <w:rtl/>
        </w:rPr>
      </w:pPr>
      <w:r w:rsidRPr="00C62692">
        <w:rPr>
          <w:rtl/>
        </w:rPr>
        <w:t>פעולות הביקורת</w:t>
      </w:r>
    </w:p>
    <w:p w:rsidR="00420374" w:rsidP="00420374" w14:paraId="0AF4CED3" w14:textId="320FAF55">
      <w:pPr>
        <w:pStyle w:val="7317"/>
        <w:rPr>
          <w:rtl/>
        </w:rPr>
      </w:pPr>
      <w:r w:rsidRPr="001F3363">
        <w:rPr>
          <w:noProof/>
        </w:rPr>
        <w:drawing>
          <wp:anchor distT="0" distB="0" distL="114300" distR="114300" simplePos="0" relativeHeight="251682816"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4324" w:rsidR="0016438C">
        <w:rPr>
          <w:rFonts w:hint="cs"/>
          <w:rtl/>
        </w:rPr>
        <w:t>בחודשים יולי 2021 עד מרץ 2022 בדק משרד מבקר המדינה היבטים בדרכי המימון השונות של מגוון ישויות: חברות ממשלתיות, רשויות מקומיות, תאגידים עירוניים, קופות חולים ותאגידים סטטוטוריי</w:t>
      </w:r>
      <w:r w:rsidRPr="00DA4324" w:rsidR="0016438C">
        <w:rPr>
          <w:rFonts w:hint="eastAsia"/>
          <w:rtl/>
        </w:rPr>
        <w:t>ם</w:t>
      </w:r>
      <w:r w:rsidRPr="00DA4324" w:rsidR="0016438C">
        <w:rPr>
          <w:rFonts w:hint="cs"/>
          <w:rtl/>
        </w:rPr>
        <w:t xml:space="preserve">. הבדיקה כללה סקירה של </w:t>
      </w:r>
      <w:r w:rsidRPr="00DA4324" w:rsidR="0016438C">
        <w:rPr>
          <w:rtl/>
        </w:rPr>
        <w:t>מסלולי המימון הפוטנציאלי</w:t>
      </w:r>
      <w:r w:rsidRPr="00DA4324" w:rsidR="0016438C">
        <w:rPr>
          <w:rFonts w:hint="cs"/>
          <w:rtl/>
        </w:rPr>
        <w:t>י</w:t>
      </w:r>
      <w:r w:rsidRPr="00DA4324" w:rsidR="0016438C">
        <w:rPr>
          <w:rtl/>
        </w:rPr>
        <w:t xml:space="preserve">ם והתחרותיים </w:t>
      </w:r>
      <w:r w:rsidRPr="00DA4324" w:rsidR="0016438C">
        <w:rPr>
          <w:rFonts w:hint="cs"/>
          <w:rtl/>
        </w:rPr>
        <w:t>העומדים לרשות</w:t>
      </w:r>
      <w:r w:rsidRPr="00DA4324" w:rsidR="0016438C">
        <w:rPr>
          <w:rtl/>
        </w:rPr>
        <w:t xml:space="preserve"> </w:t>
      </w:r>
      <w:r w:rsidRPr="00DA4324" w:rsidR="0016438C">
        <w:rPr>
          <w:rFonts w:hint="cs"/>
          <w:rtl/>
        </w:rPr>
        <w:t>הישויות</w:t>
      </w:r>
      <w:r w:rsidRPr="00DA4324" w:rsidR="0016438C">
        <w:rPr>
          <w:rtl/>
        </w:rPr>
        <w:t xml:space="preserve"> </w:t>
      </w:r>
      <w:r w:rsidRPr="00DA4324" w:rsidR="0016438C">
        <w:rPr>
          <w:rFonts w:hint="cs"/>
          <w:rtl/>
        </w:rPr>
        <w:t>האמורות</w:t>
      </w:r>
      <w:r w:rsidRPr="00DA4324" w:rsidR="0016438C">
        <w:rPr>
          <w:rtl/>
        </w:rPr>
        <w:t>: אשראי בנקאי</w:t>
      </w:r>
      <w:r w:rsidRPr="00DA4324" w:rsidR="0016438C">
        <w:rPr>
          <w:rFonts w:hint="cs"/>
          <w:rtl/>
        </w:rPr>
        <w:t xml:space="preserve">, </w:t>
      </w:r>
      <w:r w:rsidRPr="00DA4324" w:rsidR="0016438C">
        <w:rPr>
          <w:rtl/>
        </w:rPr>
        <w:t>אשראי מוסדי ו</w:t>
      </w:r>
      <w:r w:rsidRPr="00DA4324" w:rsidR="0016438C">
        <w:rPr>
          <w:rFonts w:hint="cs"/>
          <w:rtl/>
        </w:rPr>
        <w:t xml:space="preserve">אשראי </w:t>
      </w:r>
      <w:r w:rsidRPr="00DA4324" w:rsidR="0016438C">
        <w:rPr>
          <w:rtl/>
        </w:rPr>
        <w:t>חוץ</w:t>
      </w:r>
      <w:r w:rsidRPr="00DA4324" w:rsidR="0016438C">
        <w:rPr>
          <w:rFonts w:hint="cs"/>
          <w:rtl/>
        </w:rPr>
        <w:t>-</w:t>
      </w:r>
      <w:r w:rsidRPr="00DA4324" w:rsidR="0016438C">
        <w:rPr>
          <w:rtl/>
        </w:rPr>
        <w:t>בנקאי, אג"ח המונפק</w:t>
      </w:r>
      <w:r w:rsidRPr="00DA4324" w:rsidR="0016438C">
        <w:rPr>
          <w:rFonts w:hint="cs"/>
          <w:rtl/>
        </w:rPr>
        <w:t>ות</w:t>
      </w:r>
      <w:r w:rsidRPr="00DA4324" w:rsidR="0016438C">
        <w:rPr>
          <w:rtl/>
        </w:rPr>
        <w:t xml:space="preserve"> למ</w:t>
      </w:r>
      <w:r w:rsidRPr="00DA4324" w:rsidR="0016438C">
        <w:rPr>
          <w:rFonts w:hint="cs"/>
          <w:rtl/>
        </w:rPr>
        <w:t>שקיעים מ</w:t>
      </w:r>
      <w:r w:rsidRPr="00DA4324" w:rsidR="0016438C">
        <w:rPr>
          <w:rtl/>
        </w:rPr>
        <w:t>וסדיים בהנפקה פרטית ואג"ח המונפק</w:t>
      </w:r>
      <w:r w:rsidRPr="00DA4324" w:rsidR="0016438C">
        <w:rPr>
          <w:rFonts w:hint="cs"/>
          <w:rtl/>
        </w:rPr>
        <w:t>ות</w:t>
      </w:r>
      <w:r w:rsidRPr="00DA4324" w:rsidR="0016438C">
        <w:rPr>
          <w:rtl/>
        </w:rPr>
        <w:t xml:space="preserve"> בבורסה בהנפקה ציבורית.</w:t>
      </w:r>
      <w:r w:rsidRPr="00DA4324" w:rsidR="0016438C">
        <w:rPr>
          <w:rFonts w:hint="cs"/>
          <w:rtl/>
        </w:rPr>
        <w:t xml:space="preserve"> הבדיקה נעשתה בגופים האלו: במשרד הפנים - באגף בכיר לתאגידים </w:t>
      </w:r>
      <w:r w:rsidRPr="00DA4324" w:rsidR="0016438C">
        <w:rPr>
          <w:rFonts w:hint="cs"/>
          <w:rtl/>
        </w:rPr>
        <w:t>עירוניים ובאגף בכיר לתקציבים;  במשרד האוצר - באגף החשב הכללי  ובאגף התקציבים; במשרד הבריאות - באגף לפיקוח על הקופות ושירותי בריאות נוספים (</w:t>
      </w:r>
      <w:r w:rsidRPr="00DA4324" w:rsidR="0016438C">
        <w:rPr>
          <w:rFonts w:hint="cs"/>
          <w:rtl/>
        </w:rPr>
        <w:t>שב"ן</w:t>
      </w:r>
      <w:r w:rsidRPr="00DA4324" w:rsidR="0016438C">
        <w:rPr>
          <w:rFonts w:hint="cs"/>
          <w:rtl/>
        </w:rPr>
        <w:t>); ברשות החברות הממשלתית, לרבות יחידת ההנפקות וברשות שדות התעופה. בדיקות השלמה נעשו ברשות ניירות ערך ובמרכז השלטון המקומי</w:t>
      </w:r>
      <w:r>
        <w:rPr>
          <w:rFonts w:hint="cs"/>
          <w:rtl/>
        </w:rPr>
        <w:t>.</w:t>
      </w:r>
      <w:r w:rsidRPr="001F3363">
        <w:rPr>
          <w:rFonts w:hint="cs"/>
          <w:rtl/>
        </w:rPr>
        <w:t xml:space="preserve"> </w:t>
      </w:r>
    </w:p>
    <w:p w:rsidR="00566B7E" w:rsidP="00566B7E" w14:paraId="1EC61A49" w14:textId="77777777">
      <w:pPr>
        <w:pStyle w:val="7317"/>
        <w:spacing w:after="0"/>
        <w:rPr>
          <w:rtl/>
        </w:rPr>
      </w:pPr>
    </w:p>
    <w:p w:rsidR="002753C7" w:rsidRPr="00662020" w:rsidP="002753C7" w14:paraId="690F076D" w14:textId="308A57BF">
      <w:pPr>
        <w:pStyle w:val="7327"/>
        <w:rPr>
          <w:rtl/>
        </w:rPr>
      </w:pPr>
      <w:r w:rsidRPr="00362C00">
        <w:rPr>
          <w:noProof/>
          <w:rtl/>
        </w:rPr>
        <w:drawing>
          <wp:anchor distT="0" distB="0" distL="114300" distR="114300" simplePos="0" relativeHeight="251683840" behindDoc="0" locked="0" layoutInCell="1" allowOverlap="1">
            <wp:simplePos x="0" y="0"/>
            <wp:positionH relativeFrom="column">
              <wp:posOffset>2778760</wp:posOffset>
            </wp:positionH>
            <wp:positionV relativeFrom="paragraph">
              <wp:posOffset>725170</wp:posOffset>
            </wp:positionV>
            <wp:extent cx="1910080" cy="182880"/>
            <wp:effectExtent l="0" t="0" r="0" b="0"/>
            <wp:wrapTopAndBottom/>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10080" cy="182880"/>
                    </a:xfrm>
                    <a:prstGeom prst="rect">
                      <a:avLst/>
                    </a:prstGeom>
                  </pic:spPr>
                </pic:pic>
              </a:graphicData>
            </a:graphic>
            <wp14:sizeRelH relativeFrom="margin">
              <wp14:pctWidth>0</wp14:pctWidth>
            </wp14:sizeRelH>
            <wp14:sizeRelV relativeFrom="margin">
              <wp14:pctHeight>0</wp14:pctHeight>
            </wp14:sizeRelV>
          </wp:anchor>
        </w:drawing>
      </w:r>
      <w:r w:rsidRPr="00662020">
        <w:rPr>
          <w:rFonts w:hint="cs"/>
          <w:rtl/>
        </w:rPr>
        <w:t>תמונת המצב העולה מן הביקורת</w:t>
      </w:r>
    </w:p>
    <w:p w:rsidR="00420374" w:rsidRPr="0093709F" w:rsidP="008B6FBD" w14:paraId="18555822" w14:textId="0C0CF750">
      <w:pPr>
        <w:pStyle w:val="7392"/>
        <w:spacing w:before="360"/>
        <w:ind w:left="424"/>
        <w:rPr>
          <w:rtl/>
        </w:rPr>
      </w:pPr>
      <w:r w:rsidRPr="00B02658">
        <w:rPr>
          <w:rFonts w:hint="cs"/>
          <w:b/>
          <w:bCs/>
          <w:noProof/>
          <w:rtl/>
        </w:rPr>
        <w:drawing>
          <wp:anchor distT="0" distB="720090" distL="114300" distR="114300" simplePos="0" relativeHeight="251697152" behindDoc="1" locked="0" layoutInCell="1" allowOverlap="1">
            <wp:simplePos x="0" y="0"/>
            <wp:positionH relativeFrom="column">
              <wp:posOffset>4526752</wp:posOffset>
            </wp:positionH>
            <wp:positionV relativeFrom="paragraph">
              <wp:posOffset>385445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6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D18C6" w:rsidR="0016438C">
        <w:rPr>
          <w:rStyle w:val="7340"/>
          <w:rFonts w:hint="cs"/>
          <w:rtl/>
        </w:rPr>
        <w:t>יחסי החוב של הרשויות המקומיות</w:t>
      </w:r>
      <w:r w:rsidRPr="00DA4324" w:rsidR="0016438C">
        <w:rPr>
          <w:rFonts w:hint="cs"/>
          <w:rtl/>
        </w:rPr>
        <w:t xml:space="preserve"> </w:t>
      </w:r>
      <w:r w:rsidR="00DA2198">
        <w:rPr>
          <w:rtl/>
        </w:rPr>
        <w:t>–</w:t>
      </w:r>
      <w:r w:rsidRPr="00DA4324" w:rsidR="0016438C">
        <w:rPr>
          <w:rFonts w:hint="cs"/>
          <w:rtl/>
        </w:rPr>
        <w:t xml:space="preserve"> י</w:t>
      </w:r>
      <w:r w:rsidRPr="00DA4324" w:rsidR="0016438C">
        <w:rPr>
          <w:rtl/>
        </w:rPr>
        <w:t>תרת</w:t>
      </w:r>
      <w:r w:rsidR="00DA2198">
        <w:t xml:space="preserve"> </w:t>
      </w:r>
      <w:r w:rsidRPr="00DA4324" w:rsidR="0016438C">
        <w:rPr>
          <w:rtl/>
        </w:rPr>
        <w:t>המלוות</w:t>
      </w:r>
      <w:r w:rsidR="00DA2198">
        <w:t xml:space="preserve"> </w:t>
      </w:r>
      <w:r w:rsidRPr="00DA4324" w:rsidR="0016438C">
        <w:rPr>
          <w:rtl/>
        </w:rPr>
        <w:t xml:space="preserve">שעל </w:t>
      </w:r>
      <w:r w:rsidRPr="00DA4324" w:rsidR="0016438C">
        <w:rPr>
          <w:rFonts w:hint="cs"/>
          <w:rtl/>
        </w:rPr>
        <w:t>ה</w:t>
      </w:r>
      <w:r w:rsidRPr="00DA4324" w:rsidR="0016438C">
        <w:rPr>
          <w:rtl/>
        </w:rPr>
        <w:t>רשו</w:t>
      </w:r>
      <w:r w:rsidRPr="00DA4324" w:rsidR="0016438C">
        <w:rPr>
          <w:rFonts w:hint="cs"/>
          <w:rtl/>
        </w:rPr>
        <w:t>יו</w:t>
      </w:r>
      <w:r w:rsidRPr="00DA4324" w:rsidR="0016438C">
        <w:rPr>
          <w:rtl/>
        </w:rPr>
        <w:t xml:space="preserve">ת </w:t>
      </w:r>
      <w:r w:rsidRPr="00DA4324" w:rsidR="0016438C">
        <w:rPr>
          <w:rFonts w:hint="cs"/>
          <w:rtl/>
        </w:rPr>
        <w:t>ה</w:t>
      </w:r>
      <w:r w:rsidRPr="00DA4324" w:rsidR="0016438C">
        <w:rPr>
          <w:rtl/>
        </w:rPr>
        <w:t>מקומי</w:t>
      </w:r>
      <w:r w:rsidRPr="00DA4324" w:rsidR="0016438C">
        <w:rPr>
          <w:rFonts w:hint="cs"/>
          <w:rtl/>
        </w:rPr>
        <w:t>ו</w:t>
      </w:r>
      <w:r w:rsidRPr="00DA4324" w:rsidR="0016438C">
        <w:rPr>
          <w:rtl/>
        </w:rPr>
        <w:t>ת להחזיר בשנים הבאות</w:t>
      </w:r>
      <w:r w:rsidRPr="00DA4324" w:rsidR="0016438C">
        <w:rPr>
          <w:rFonts w:hint="cs"/>
          <w:rtl/>
        </w:rPr>
        <w:t xml:space="preserve"> (עומס המלוות) ב-31.12.19 הייתה כ-15 מיליארד ש"ח; רובו המוחלט של עומס המלוות מבוסס על אשראי בנקאי. </w:t>
      </w:r>
      <w:r w:rsidRPr="00DA4324" w:rsidR="0016438C">
        <w:rPr>
          <w:rFonts w:hint="eastAsia"/>
          <w:rtl/>
        </w:rPr>
        <w:t>עבור</w:t>
      </w:r>
      <w:r w:rsidRPr="00DA4324" w:rsidR="0016438C">
        <w:rPr>
          <w:rtl/>
        </w:rPr>
        <w:t xml:space="preserve"> </w:t>
      </w:r>
      <w:r w:rsidRPr="00DA4324" w:rsidR="0016438C">
        <w:rPr>
          <w:rFonts w:hint="eastAsia"/>
          <w:rtl/>
        </w:rPr>
        <w:t>הרשויות</w:t>
      </w:r>
      <w:r w:rsidRPr="00DA4324" w:rsidR="0016438C">
        <w:rPr>
          <w:rtl/>
        </w:rPr>
        <w:t xml:space="preserve"> </w:t>
      </w:r>
      <w:r w:rsidRPr="00DA4324" w:rsidR="0016438C">
        <w:rPr>
          <w:rFonts w:hint="eastAsia"/>
          <w:rtl/>
        </w:rPr>
        <w:t>המקומיות</w:t>
      </w:r>
      <w:r w:rsidRPr="00DA4324" w:rsidR="0016438C">
        <w:rPr>
          <w:rtl/>
        </w:rPr>
        <w:t xml:space="preserve"> </w:t>
      </w:r>
      <w:r w:rsidRPr="00DA4324" w:rsidR="0016438C">
        <w:rPr>
          <w:rFonts w:hint="eastAsia"/>
          <w:rtl/>
        </w:rPr>
        <w:t>האשראי</w:t>
      </w:r>
      <w:r w:rsidRPr="00DA4324" w:rsidR="0016438C">
        <w:rPr>
          <w:rtl/>
        </w:rPr>
        <w:t xml:space="preserve"> </w:t>
      </w:r>
      <w:r w:rsidRPr="00DA4324" w:rsidR="0016438C">
        <w:rPr>
          <w:rFonts w:hint="eastAsia"/>
          <w:rtl/>
        </w:rPr>
        <w:t>הוא</w:t>
      </w:r>
      <w:r w:rsidRPr="00DA4324" w:rsidR="0016438C">
        <w:rPr>
          <w:rtl/>
        </w:rPr>
        <w:t xml:space="preserve"> </w:t>
      </w:r>
      <w:r w:rsidRPr="00DA4324" w:rsidR="0016438C">
        <w:rPr>
          <w:rFonts w:hint="eastAsia"/>
          <w:rtl/>
        </w:rPr>
        <w:t>מקור</w:t>
      </w:r>
      <w:r w:rsidRPr="00DA4324" w:rsidR="0016438C">
        <w:rPr>
          <w:rtl/>
        </w:rPr>
        <w:t xml:space="preserve"> </w:t>
      </w:r>
      <w:r w:rsidRPr="00DA4324" w:rsidR="0016438C">
        <w:rPr>
          <w:rFonts w:hint="eastAsia"/>
          <w:rtl/>
        </w:rPr>
        <w:t>מימון</w:t>
      </w:r>
      <w:r w:rsidRPr="00DA4324" w:rsidR="0016438C">
        <w:rPr>
          <w:rtl/>
        </w:rPr>
        <w:t xml:space="preserve"> </w:t>
      </w:r>
      <w:r w:rsidRPr="00DA4324" w:rsidR="0016438C">
        <w:rPr>
          <w:rFonts w:hint="eastAsia"/>
          <w:rtl/>
        </w:rPr>
        <w:t>לשם</w:t>
      </w:r>
      <w:r w:rsidRPr="00DA4324" w:rsidR="0016438C">
        <w:rPr>
          <w:rtl/>
        </w:rPr>
        <w:t xml:space="preserve"> </w:t>
      </w:r>
      <w:r w:rsidRPr="00DA4324" w:rsidR="0016438C">
        <w:rPr>
          <w:rFonts w:hint="eastAsia"/>
          <w:rtl/>
        </w:rPr>
        <w:t>השגת</w:t>
      </w:r>
      <w:r w:rsidRPr="00DA4324" w:rsidR="0016438C">
        <w:rPr>
          <w:rtl/>
        </w:rPr>
        <w:t xml:space="preserve"> </w:t>
      </w:r>
      <w:r w:rsidRPr="00DA4324" w:rsidR="0016438C">
        <w:rPr>
          <w:rFonts w:hint="eastAsia"/>
          <w:rtl/>
        </w:rPr>
        <w:t>יעדים</w:t>
      </w:r>
      <w:r w:rsidRPr="00DA4324" w:rsidR="0016438C">
        <w:rPr>
          <w:rtl/>
        </w:rPr>
        <w:t xml:space="preserve"> </w:t>
      </w:r>
      <w:r w:rsidRPr="00DA4324" w:rsidR="0016438C">
        <w:rPr>
          <w:rFonts w:hint="eastAsia"/>
          <w:rtl/>
        </w:rPr>
        <w:t>של</w:t>
      </w:r>
      <w:r w:rsidRPr="00DA4324" w:rsidR="0016438C">
        <w:rPr>
          <w:rtl/>
        </w:rPr>
        <w:t xml:space="preserve"> </w:t>
      </w:r>
      <w:r w:rsidRPr="00DA4324" w:rsidR="0016438C">
        <w:rPr>
          <w:rFonts w:hint="eastAsia"/>
          <w:rtl/>
        </w:rPr>
        <w:t>התייעלות</w:t>
      </w:r>
      <w:r w:rsidRPr="00DA4324" w:rsidR="0016438C">
        <w:rPr>
          <w:rtl/>
        </w:rPr>
        <w:t xml:space="preserve"> </w:t>
      </w:r>
      <w:r w:rsidRPr="00DA4324" w:rsidR="0016438C">
        <w:rPr>
          <w:rFonts w:hint="eastAsia"/>
          <w:rtl/>
        </w:rPr>
        <w:t>פיננסית</w:t>
      </w:r>
      <w:r w:rsidRPr="00DA4324" w:rsidR="0016438C">
        <w:rPr>
          <w:rtl/>
        </w:rPr>
        <w:t xml:space="preserve"> </w:t>
      </w:r>
      <w:r w:rsidRPr="00DA4324" w:rsidR="0016438C">
        <w:rPr>
          <w:rFonts w:hint="eastAsia"/>
          <w:rtl/>
        </w:rPr>
        <w:t>ותפעולית</w:t>
      </w:r>
      <w:r w:rsidRPr="00DA4324" w:rsidR="0016438C">
        <w:rPr>
          <w:rtl/>
        </w:rPr>
        <w:t xml:space="preserve"> </w:t>
      </w:r>
      <w:r w:rsidRPr="00DA4324" w:rsidR="0016438C">
        <w:rPr>
          <w:rFonts w:hint="eastAsia"/>
          <w:rtl/>
        </w:rPr>
        <w:t>וכן</w:t>
      </w:r>
      <w:r w:rsidRPr="00DA4324" w:rsidR="0016438C">
        <w:rPr>
          <w:rtl/>
        </w:rPr>
        <w:t xml:space="preserve"> </w:t>
      </w:r>
      <w:r w:rsidRPr="00DA4324" w:rsidR="0016438C">
        <w:rPr>
          <w:rFonts w:hint="eastAsia"/>
          <w:rtl/>
        </w:rPr>
        <w:t>לשם</w:t>
      </w:r>
      <w:r w:rsidRPr="00DA4324" w:rsidR="0016438C">
        <w:rPr>
          <w:rtl/>
        </w:rPr>
        <w:t xml:space="preserve"> </w:t>
      </w:r>
      <w:r w:rsidRPr="00DA4324" w:rsidR="0016438C">
        <w:rPr>
          <w:rFonts w:hint="eastAsia"/>
          <w:rtl/>
        </w:rPr>
        <w:t>ביצוע</w:t>
      </w:r>
      <w:r w:rsidRPr="00DA4324" w:rsidR="0016438C">
        <w:rPr>
          <w:rtl/>
        </w:rPr>
        <w:t xml:space="preserve"> </w:t>
      </w:r>
      <w:r w:rsidRPr="00DA4324" w:rsidR="0016438C">
        <w:rPr>
          <w:rFonts w:hint="eastAsia"/>
          <w:rtl/>
        </w:rPr>
        <w:t>פרויקטי</w:t>
      </w:r>
      <w:r w:rsidRPr="00DA4324" w:rsidR="0016438C">
        <w:rPr>
          <w:rtl/>
        </w:rPr>
        <w:t xml:space="preserve"> </w:t>
      </w:r>
      <w:r w:rsidRPr="00DA4324" w:rsidR="0016438C">
        <w:rPr>
          <w:rFonts w:hint="eastAsia"/>
          <w:rtl/>
        </w:rPr>
        <w:t>פיתוח</w:t>
      </w:r>
      <w:r w:rsidRPr="00DA4324" w:rsidR="0016438C">
        <w:rPr>
          <w:rtl/>
        </w:rPr>
        <w:t xml:space="preserve"> </w:t>
      </w:r>
      <w:r w:rsidRPr="00DA4324" w:rsidR="0016438C">
        <w:rPr>
          <w:rFonts w:hint="eastAsia"/>
          <w:rtl/>
        </w:rPr>
        <w:t>התורמים</w:t>
      </w:r>
      <w:r w:rsidRPr="00DA4324" w:rsidR="0016438C">
        <w:rPr>
          <w:rtl/>
        </w:rPr>
        <w:t xml:space="preserve"> </w:t>
      </w:r>
      <w:r w:rsidRPr="00DA4324" w:rsidR="0016438C">
        <w:rPr>
          <w:rFonts w:hint="eastAsia"/>
          <w:rtl/>
        </w:rPr>
        <w:t>לצמיחה</w:t>
      </w:r>
      <w:r w:rsidRPr="00DA4324" w:rsidR="0016438C">
        <w:rPr>
          <w:rtl/>
        </w:rPr>
        <w:t xml:space="preserve"> </w:t>
      </w:r>
      <w:r w:rsidRPr="00DA4324" w:rsidR="0016438C">
        <w:rPr>
          <w:rFonts w:hint="eastAsia"/>
          <w:rtl/>
        </w:rPr>
        <w:t>הכלכלית</w:t>
      </w:r>
      <w:r w:rsidRPr="00DA4324" w:rsidR="0016438C">
        <w:rPr>
          <w:rtl/>
        </w:rPr>
        <w:t xml:space="preserve"> </w:t>
      </w:r>
      <w:r w:rsidRPr="00DA4324" w:rsidR="0016438C">
        <w:rPr>
          <w:rFonts w:hint="eastAsia"/>
          <w:rtl/>
        </w:rPr>
        <w:t>של</w:t>
      </w:r>
      <w:r w:rsidRPr="00DA4324" w:rsidR="0016438C">
        <w:rPr>
          <w:rtl/>
        </w:rPr>
        <w:t xml:space="preserve"> </w:t>
      </w:r>
      <w:r w:rsidRPr="00DA4324" w:rsidR="0016438C">
        <w:rPr>
          <w:rFonts w:hint="eastAsia"/>
          <w:rtl/>
        </w:rPr>
        <w:t>הרשות</w:t>
      </w:r>
      <w:r w:rsidRPr="00DA4324" w:rsidR="0016438C">
        <w:rPr>
          <w:rFonts w:hint="cs"/>
          <w:rtl/>
        </w:rPr>
        <w:t>.</w:t>
      </w:r>
      <w:r w:rsidRPr="00DA4324" w:rsidR="0016438C">
        <w:rPr>
          <w:rtl/>
        </w:rPr>
        <w:t xml:space="preserve"> היחס בין החוב של הרשויות המקומיות לתוצר בישראל (2.01%)</w:t>
      </w:r>
      <w:r>
        <w:rPr>
          <w:vertAlign w:val="superscript"/>
          <w:rtl/>
        </w:rPr>
        <w:footnoteReference w:id="4"/>
      </w:r>
      <w:r w:rsidRPr="00DA4324" w:rsidR="0016438C">
        <w:rPr>
          <w:rFonts w:hint="cs"/>
          <w:rtl/>
        </w:rPr>
        <w:t xml:space="preserve"> </w:t>
      </w:r>
      <w:r w:rsidRPr="00DA4324" w:rsidR="0016438C">
        <w:rPr>
          <w:rtl/>
        </w:rPr>
        <w:t>נמוך בהשוואה לרוב מדינות ה-</w:t>
      </w:r>
      <w:r w:rsidRPr="00DA4324" w:rsidR="0016438C">
        <w:t>OECD</w:t>
      </w:r>
      <w:r w:rsidRPr="00DA4324" w:rsidR="0016438C">
        <w:rPr>
          <w:rtl/>
        </w:rPr>
        <w:t xml:space="preserve">. גם היחס בין החוב של הרשויות המקומיות </w:t>
      </w:r>
      <w:r w:rsidRPr="00DA4324" w:rsidR="0016438C">
        <w:rPr>
          <w:rFonts w:hint="cs"/>
          <w:rtl/>
        </w:rPr>
        <w:t>לחוב הציבורי</w:t>
      </w:r>
      <w:r w:rsidRPr="00DA4324" w:rsidR="0016438C">
        <w:rPr>
          <w:rtl/>
        </w:rPr>
        <w:t xml:space="preserve"> בישראל (2.83%) נמוך בהשוואה לרוב מדינות ה-</w:t>
      </w:r>
      <w:r w:rsidRPr="00DA4324" w:rsidR="0016438C">
        <w:t>OECD</w:t>
      </w:r>
      <w:r w:rsidRPr="0093709F">
        <w:rPr>
          <w:rtl/>
        </w:rPr>
        <w:t>.</w:t>
      </w:r>
    </w:p>
    <w:p w:rsidR="00420374" w:rsidRPr="0093709F" w:rsidP="008B6FBD" w14:paraId="1D22E15A" w14:textId="7284B211">
      <w:pPr>
        <w:pStyle w:val="7392"/>
        <w:ind w:left="424"/>
      </w:pPr>
      <w:r w:rsidRPr="00B02658">
        <w:rPr>
          <w:rFonts w:hint="cs"/>
          <w:b/>
          <w:bCs/>
          <w:noProof/>
          <w:rtl/>
        </w:rPr>
        <w:drawing>
          <wp:anchor distT="0" distB="720090" distL="114300" distR="114300" simplePos="0" relativeHeight="251696128" behindDoc="1" locked="0" layoutInCell="1" allowOverlap="1">
            <wp:simplePos x="0" y="0"/>
            <wp:positionH relativeFrom="column">
              <wp:posOffset>4526752</wp:posOffset>
            </wp:positionH>
            <wp:positionV relativeFrom="paragraph">
              <wp:posOffset>29210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6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D18C6" w:rsidR="0016438C">
        <w:rPr>
          <w:rStyle w:val="7340"/>
          <w:rFonts w:hint="eastAsia"/>
          <w:rtl/>
        </w:rPr>
        <w:t>הליך</w:t>
      </w:r>
      <w:r w:rsidRPr="007D18C6" w:rsidR="0016438C">
        <w:rPr>
          <w:rStyle w:val="7340"/>
          <w:rtl/>
        </w:rPr>
        <w:t xml:space="preserve"> </w:t>
      </w:r>
      <w:r w:rsidRPr="007D18C6" w:rsidR="0016438C">
        <w:rPr>
          <w:rStyle w:val="7340"/>
          <w:rFonts w:hint="eastAsia"/>
          <w:rtl/>
        </w:rPr>
        <w:t>האישור</w:t>
      </w:r>
      <w:r w:rsidRPr="007D18C6" w:rsidR="0016438C">
        <w:rPr>
          <w:rStyle w:val="7340"/>
          <w:rFonts w:hint="cs"/>
          <w:rtl/>
        </w:rPr>
        <w:t xml:space="preserve"> והבקרה למתן היתר אשראי לרשויות המקומיות על ידי משרד הפנים</w:t>
      </w:r>
      <w:r w:rsidRPr="00DA4324" w:rsidR="0016438C">
        <w:rPr>
          <w:rFonts w:hint="cs"/>
          <w:rtl/>
        </w:rPr>
        <w:t xml:space="preserve"> - </w:t>
      </w:r>
      <w:r w:rsidRPr="00DA4324" w:rsidR="0016438C">
        <w:rPr>
          <w:rtl/>
        </w:rPr>
        <w:t xml:space="preserve">בשנים </w:t>
      </w:r>
      <w:r w:rsidRPr="00DA4324" w:rsidR="0016438C">
        <w:rPr>
          <w:rFonts w:hint="cs"/>
          <w:rtl/>
        </w:rPr>
        <w:t xml:space="preserve"> 2019 - 2021</w:t>
      </w:r>
      <w:r w:rsidRPr="00DA4324" w:rsidR="0016438C">
        <w:rPr>
          <w:rtl/>
        </w:rPr>
        <w:t xml:space="preserve"> אישר </w:t>
      </w:r>
      <w:r w:rsidRPr="00DA4324" w:rsidR="0016438C">
        <w:rPr>
          <w:rFonts w:hint="eastAsia"/>
          <w:rtl/>
        </w:rPr>
        <w:t>משרד</w:t>
      </w:r>
      <w:r w:rsidRPr="00DA4324" w:rsidR="0016438C">
        <w:rPr>
          <w:rFonts w:hint="cs"/>
          <w:rtl/>
        </w:rPr>
        <w:t xml:space="preserve"> הפנים</w:t>
      </w:r>
      <w:r w:rsidRPr="00DA4324" w:rsidR="0016438C">
        <w:rPr>
          <w:rtl/>
        </w:rPr>
        <w:t xml:space="preserve"> לרשויות המקומיות היתרים למלוות בסכום כולל של כ-</w:t>
      </w:r>
      <w:r w:rsidRPr="00DA4324" w:rsidR="0016438C">
        <w:rPr>
          <w:rFonts w:hint="cs"/>
          <w:rtl/>
        </w:rPr>
        <w:t>15</w:t>
      </w:r>
      <w:r w:rsidRPr="00DA4324" w:rsidR="0016438C">
        <w:rPr>
          <w:rtl/>
        </w:rPr>
        <w:t xml:space="preserve"> מיליארד ש"ח</w:t>
      </w:r>
      <w:r w:rsidRPr="00DA4324" w:rsidR="0016438C">
        <w:rPr>
          <w:rFonts w:hint="cs"/>
          <w:rtl/>
        </w:rPr>
        <w:t xml:space="preserve">. בביקורת </w:t>
      </w:r>
      <w:r w:rsidRPr="00DA4324" w:rsidR="0016438C">
        <w:rPr>
          <w:rFonts w:hint="eastAsia"/>
          <w:rtl/>
        </w:rPr>
        <w:t>עלה</w:t>
      </w:r>
      <w:r w:rsidRPr="00DA4324" w:rsidR="0016438C">
        <w:rPr>
          <w:rtl/>
        </w:rPr>
        <w:t xml:space="preserve"> </w:t>
      </w:r>
      <w:r w:rsidRPr="00DA4324" w:rsidR="0016438C">
        <w:rPr>
          <w:rFonts w:hint="eastAsia"/>
          <w:rtl/>
        </w:rPr>
        <w:t>כי</w:t>
      </w:r>
      <w:r w:rsidRPr="00DA4324" w:rsidR="0016438C">
        <w:rPr>
          <w:rFonts w:hint="cs"/>
          <w:rtl/>
        </w:rPr>
        <w:t xml:space="preserve"> (א) </w:t>
      </w:r>
      <w:r w:rsidRPr="00DA4324" w:rsidR="0016438C">
        <w:rPr>
          <w:rFonts w:hint="eastAsia"/>
          <w:rtl/>
        </w:rPr>
        <w:t>נוהל</w:t>
      </w:r>
      <w:r w:rsidRPr="00DA4324" w:rsidR="0016438C">
        <w:rPr>
          <w:rtl/>
        </w:rPr>
        <w:t xml:space="preserve"> </w:t>
      </w:r>
      <w:r w:rsidRPr="00DA4324" w:rsidR="0016438C">
        <w:rPr>
          <w:rFonts w:hint="eastAsia"/>
          <w:rtl/>
        </w:rPr>
        <w:t>העבודה</w:t>
      </w:r>
      <w:r w:rsidRPr="00DA4324" w:rsidR="0016438C">
        <w:rPr>
          <w:rtl/>
        </w:rPr>
        <w:t xml:space="preserve"> </w:t>
      </w:r>
      <w:r w:rsidRPr="00DA4324" w:rsidR="0016438C">
        <w:rPr>
          <w:rFonts w:hint="eastAsia"/>
          <w:rtl/>
        </w:rPr>
        <w:t>של</w:t>
      </w:r>
      <w:r w:rsidRPr="00DA4324" w:rsidR="0016438C">
        <w:rPr>
          <w:rtl/>
        </w:rPr>
        <w:t xml:space="preserve"> </w:t>
      </w:r>
      <w:r w:rsidRPr="00DA4324" w:rsidR="0016438C">
        <w:rPr>
          <w:rFonts w:hint="eastAsia"/>
          <w:rtl/>
        </w:rPr>
        <w:t>משרד</w:t>
      </w:r>
      <w:r w:rsidRPr="00DA4324" w:rsidR="0016438C">
        <w:rPr>
          <w:rtl/>
        </w:rPr>
        <w:t xml:space="preserve"> </w:t>
      </w:r>
      <w:r w:rsidRPr="00DA4324" w:rsidR="0016438C">
        <w:rPr>
          <w:rFonts w:hint="eastAsia"/>
          <w:rtl/>
        </w:rPr>
        <w:t>הפנים</w:t>
      </w:r>
      <w:r w:rsidRPr="00DA4324" w:rsidR="0016438C">
        <w:rPr>
          <w:rtl/>
        </w:rPr>
        <w:t xml:space="preserve"> </w:t>
      </w:r>
      <w:r w:rsidRPr="00DA4324" w:rsidR="0016438C">
        <w:rPr>
          <w:rFonts w:hint="eastAsia"/>
          <w:rtl/>
        </w:rPr>
        <w:t>לאישור</w:t>
      </w:r>
      <w:r w:rsidRPr="00DA4324" w:rsidR="0016438C">
        <w:rPr>
          <w:rtl/>
        </w:rPr>
        <w:t xml:space="preserve"> </w:t>
      </w:r>
      <w:r w:rsidRPr="00DA4324" w:rsidR="0016438C">
        <w:rPr>
          <w:rFonts w:hint="eastAsia"/>
          <w:rtl/>
        </w:rPr>
        <w:t>אשראי</w:t>
      </w:r>
      <w:r w:rsidRPr="00DA4324" w:rsidR="0016438C">
        <w:rPr>
          <w:rtl/>
        </w:rPr>
        <w:t xml:space="preserve"> </w:t>
      </w:r>
      <w:r w:rsidRPr="00DA4324" w:rsidR="0016438C">
        <w:rPr>
          <w:rFonts w:hint="eastAsia"/>
          <w:rtl/>
        </w:rPr>
        <w:t>לא</w:t>
      </w:r>
      <w:r w:rsidRPr="00DA4324" w:rsidR="0016438C">
        <w:rPr>
          <w:rtl/>
        </w:rPr>
        <w:t xml:space="preserve"> </w:t>
      </w:r>
      <w:r w:rsidRPr="00DA4324" w:rsidR="0016438C">
        <w:rPr>
          <w:rFonts w:hint="eastAsia"/>
          <w:rtl/>
        </w:rPr>
        <w:t>הופץ</w:t>
      </w:r>
      <w:r w:rsidRPr="00DA4324" w:rsidR="0016438C">
        <w:rPr>
          <w:rtl/>
        </w:rPr>
        <w:t xml:space="preserve"> </w:t>
      </w:r>
      <w:r w:rsidRPr="00DA4324" w:rsidR="0016438C">
        <w:rPr>
          <w:rFonts w:hint="eastAsia"/>
          <w:rtl/>
        </w:rPr>
        <w:t>לרשויות</w:t>
      </w:r>
      <w:r w:rsidRPr="00DA4324" w:rsidR="0016438C">
        <w:rPr>
          <w:rtl/>
        </w:rPr>
        <w:t xml:space="preserve"> </w:t>
      </w:r>
      <w:r w:rsidRPr="00DA4324" w:rsidR="0016438C">
        <w:rPr>
          <w:rFonts w:hint="eastAsia"/>
          <w:rtl/>
        </w:rPr>
        <w:t>המקומיות</w:t>
      </w:r>
      <w:r w:rsidRPr="00DA4324" w:rsidR="0016438C">
        <w:rPr>
          <w:rtl/>
        </w:rPr>
        <w:t xml:space="preserve"> </w:t>
      </w:r>
      <w:r w:rsidRPr="00DA4324" w:rsidR="0016438C">
        <w:rPr>
          <w:rFonts w:hint="cs"/>
          <w:rtl/>
        </w:rPr>
        <w:t>ואינו</w:t>
      </w:r>
      <w:r w:rsidRPr="00DA4324" w:rsidR="0016438C">
        <w:rPr>
          <w:rtl/>
        </w:rPr>
        <w:t xml:space="preserve"> </w:t>
      </w:r>
      <w:r w:rsidRPr="00DA4324" w:rsidR="0016438C">
        <w:rPr>
          <w:rFonts w:hint="eastAsia"/>
          <w:rtl/>
        </w:rPr>
        <w:t>מפורסם</w:t>
      </w:r>
      <w:r w:rsidRPr="00DA4324" w:rsidR="0016438C">
        <w:rPr>
          <w:rtl/>
        </w:rPr>
        <w:t xml:space="preserve"> </w:t>
      </w:r>
      <w:r w:rsidRPr="00DA4324" w:rsidR="0016438C">
        <w:rPr>
          <w:rFonts w:hint="eastAsia"/>
          <w:rtl/>
        </w:rPr>
        <w:t>באתר</w:t>
      </w:r>
      <w:r w:rsidRPr="00DA4324" w:rsidR="0016438C">
        <w:rPr>
          <w:rtl/>
        </w:rPr>
        <w:t xml:space="preserve"> </w:t>
      </w:r>
      <w:r w:rsidRPr="00DA4324" w:rsidR="0016438C">
        <w:rPr>
          <w:rFonts w:hint="eastAsia"/>
          <w:rtl/>
        </w:rPr>
        <w:t>משר</w:t>
      </w:r>
      <w:r w:rsidRPr="00DA4324" w:rsidR="0016438C">
        <w:rPr>
          <w:rFonts w:hint="cs"/>
          <w:rtl/>
        </w:rPr>
        <w:t>ד הפנים;</w:t>
      </w:r>
      <w:r w:rsidRPr="00DA4324" w:rsidR="0016438C">
        <w:rPr>
          <w:rtl/>
        </w:rPr>
        <w:t xml:space="preserve"> </w:t>
      </w:r>
      <w:r w:rsidRPr="00DA4324" w:rsidR="0016438C">
        <w:rPr>
          <w:rFonts w:hint="cs"/>
          <w:rtl/>
        </w:rPr>
        <w:t>(ב)</w:t>
      </w:r>
      <w:r w:rsidRPr="00DA4324" w:rsidR="0016438C">
        <w:rPr>
          <w:rtl/>
        </w:rPr>
        <w:t xml:space="preserve"> הנוהל לא עודכן משנת 2010</w:t>
      </w:r>
      <w:r w:rsidRPr="00DA4324" w:rsidR="0016438C">
        <w:rPr>
          <w:rFonts w:hint="cs"/>
          <w:rtl/>
        </w:rPr>
        <w:t>,</w:t>
      </w:r>
      <w:r w:rsidRPr="00DA4324" w:rsidR="0016438C">
        <w:rPr>
          <w:rtl/>
        </w:rPr>
        <w:t xml:space="preserve"> וזאת למרות התמורות והשינויים שחלו בשוק האשראי</w:t>
      </w:r>
      <w:r w:rsidRPr="00DA4324" w:rsidR="0016438C">
        <w:rPr>
          <w:rFonts w:hint="cs"/>
          <w:rtl/>
        </w:rPr>
        <w:t xml:space="preserve">; (ג) </w:t>
      </w:r>
      <w:r w:rsidRPr="00DA4324" w:rsidR="0016438C">
        <w:rPr>
          <w:rFonts w:hint="eastAsia"/>
          <w:rtl/>
        </w:rPr>
        <w:t>מטה</w:t>
      </w:r>
      <w:r w:rsidRPr="00DA4324" w:rsidR="0016438C">
        <w:rPr>
          <w:rtl/>
        </w:rPr>
        <w:t xml:space="preserve"> </w:t>
      </w:r>
      <w:r w:rsidRPr="00DA4324" w:rsidR="0016438C">
        <w:rPr>
          <w:rFonts w:hint="eastAsia"/>
          <w:rtl/>
        </w:rPr>
        <w:t>משרד</w:t>
      </w:r>
      <w:r w:rsidRPr="00DA4324" w:rsidR="0016438C">
        <w:rPr>
          <w:rtl/>
        </w:rPr>
        <w:t xml:space="preserve"> </w:t>
      </w:r>
      <w:r w:rsidRPr="00DA4324" w:rsidR="0016438C">
        <w:rPr>
          <w:rFonts w:hint="eastAsia"/>
          <w:rtl/>
        </w:rPr>
        <w:t>הפנים</w:t>
      </w:r>
      <w:r w:rsidRPr="00DA4324" w:rsidR="0016438C">
        <w:rPr>
          <w:rtl/>
        </w:rPr>
        <w:t xml:space="preserve"> </w:t>
      </w:r>
      <w:r w:rsidRPr="00DA4324" w:rsidR="0016438C">
        <w:rPr>
          <w:rFonts w:hint="eastAsia"/>
          <w:rtl/>
        </w:rPr>
        <w:t>לא</w:t>
      </w:r>
      <w:r w:rsidRPr="00DA4324" w:rsidR="0016438C">
        <w:rPr>
          <w:rtl/>
        </w:rPr>
        <w:t xml:space="preserve"> </w:t>
      </w:r>
      <w:r w:rsidRPr="00DA4324" w:rsidR="0016438C">
        <w:rPr>
          <w:rFonts w:hint="eastAsia"/>
          <w:rtl/>
        </w:rPr>
        <w:t>גיבש</w:t>
      </w:r>
      <w:r w:rsidRPr="00DA4324" w:rsidR="0016438C">
        <w:rPr>
          <w:rtl/>
        </w:rPr>
        <w:t xml:space="preserve"> </w:t>
      </w:r>
      <w:r w:rsidRPr="00DA4324" w:rsidR="0016438C">
        <w:rPr>
          <w:rFonts w:hint="eastAsia"/>
          <w:rtl/>
        </w:rPr>
        <w:t>נוהל</w:t>
      </w:r>
      <w:r w:rsidRPr="00DA4324" w:rsidR="0016438C">
        <w:rPr>
          <w:rtl/>
        </w:rPr>
        <w:t xml:space="preserve"> </w:t>
      </w:r>
      <w:r w:rsidRPr="00DA4324" w:rsidR="0016438C">
        <w:rPr>
          <w:rFonts w:hint="eastAsia"/>
          <w:rtl/>
        </w:rPr>
        <w:t>לכלל</w:t>
      </w:r>
      <w:r w:rsidRPr="00DA4324" w:rsidR="0016438C">
        <w:rPr>
          <w:rtl/>
        </w:rPr>
        <w:t xml:space="preserve"> </w:t>
      </w:r>
      <w:r w:rsidRPr="00DA4324" w:rsidR="0016438C">
        <w:rPr>
          <w:rFonts w:hint="eastAsia"/>
          <w:rtl/>
        </w:rPr>
        <w:t>המחוזות</w:t>
      </w:r>
      <w:r w:rsidRPr="00DA4324" w:rsidR="0016438C">
        <w:rPr>
          <w:rtl/>
        </w:rPr>
        <w:t xml:space="preserve"> </w:t>
      </w:r>
      <w:r w:rsidRPr="00DA4324" w:rsidR="0016438C">
        <w:rPr>
          <w:rFonts w:hint="eastAsia"/>
          <w:rtl/>
        </w:rPr>
        <w:t>לגבי</w:t>
      </w:r>
      <w:r w:rsidRPr="00DA4324" w:rsidR="0016438C">
        <w:rPr>
          <w:rtl/>
        </w:rPr>
        <w:t xml:space="preserve"> </w:t>
      </w:r>
      <w:r w:rsidRPr="00DA4324" w:rsidR="0016438C">
        <w:rPr>
          <w:rFonts w:hint="eastAsia"/>
          <w:rtl/>
        </w:rPr>
        <w:t>אופן</w:t>
      </w:r>
      <w:r w:rsidRPr="00DA4324" w:rsidR="0016438C">
        <w:rPr>
          <w:rtl/>
        </w:rPr>
        <w:t xml:space="preserve"> </w:t>
      </w:r>
      <w:r w:rsidRPr="00DA4324" w:rsidR="0016438C">
        <w:rPr>
          <w:rFonts w:hint="eastAsia"/>
          <w:rtl/>
        </w:rPr>
        <w:t>בדיקת</w:t>
      </w:r>
      <w:r w:rsidRPr="00DA4324" w:rsidR="0016438C">
        <w:rPr>
          <w:rtl/>
        </w:rPr>
        <w:t xml:space="preserve"> </w:t>
      </w:r>
      <w:r w:rsidRPr="00DA4324" w:rsidR="0016438C">
        <w:rPr>
          <w:rFonts w:hint="eastAsia"/>
          <w:rtl/>
        </w:rPr>
        <w:t>הבקשה</w:t>
      </w:r>
      <w:r w:rsidRPr="00DA4324" w:rsidR="0016438C">
        <w:rPr>
          <w:rtl/>
        </w:rPr>
        <w:t xml:space="preserve"> </w:t>
      </w:r>
      <w:r w:rsidRPr="00DA4324" w:rsidR="0016438C">
        <w:rPr>
          <w:rFonts w:hint="eastAsia"/>
          <w:rtl/>
        </w:rPr>
        <w:t>להיתרי</w:t>
      </w:r>
      <w:r w:rsidRPr="00DA4324" w:rsidR="0016438C">
        <w:rPr>
          <w:rtl/>
        </w:rPr>
        <w:t xml:space="preserve"> </w:t>
      </w:r>
      <w:r w:rsidRPr="00DA4324" w:rsidR="0016438C">
        <w:rPr>
          <w:rFonts w:hint="eastAsia"/>
          <w:rtl/>
        </w:rPr>
        <w:t>אשראי</w:t>
      </w:r>
      <w:r w:rsidRPr="00DA4324" w:rsidR="0016438C">
        <w:rPr>
          <w:rtl/>
        </w:rPr>
        <w:t xml:space="preserve"> </w:t>
      </w:r>
      <w:r w:rsidRPr="00DA4324" w:rsidR="0016438C">
        <w:rPr>
          <w:rFonts w:hint="cs"/>
          <w:rtl/>
        </w:rPr>
        <w:t xml:space="preserve">- </w:t>
      </w:r>
      <w:r w:rsidRPr="00DA4324" w:rsidR="0016438C">
        <w:rPr>
          <w:rFonts w:hint="eastAsia"/>
          <w:rtl/>
        </w:rPr>
        <w:t>מרגע</w:t>
      </w:r>
      <w:r w:rsidRPr="00DA4324" w:rsidR="0016438C">
        <w:rPr>
          <w:rtl/>
        </w:rPr>
        <w:t xml:space="preserve"> </w:t>
      </w:r>
      <w:r w:rsidRPr="00DA4324" w:rsidR="0016438C">
        <w:rPr>
          <w:rFonts w:hint="eastAsia"/>
          <w:rtl/>
        </w:rPr>
        <w:t>הגשת</w:t>
      </w:r>
      <w:r w:rsidRPr="00DA4324" w:rsidR="0016438C">
        <w:rPr>
          <w:rtl/>
        </w:rPr>
        <w:t xml:space="preserve"> </w:t>
      </w:r>
      <w:r w:rsidRPr="00DA4324" w:rsidR="0016438C">
        <w:rPr>
          <w:rFonts w:hint="eastAsia"/>
          <w:rtl/>
        </w:rPr>
        <w:t>הבקשה</w:t>
      </w:r>
      <w:r w:rsidRPr="00DA4324" w:rsidR="0016438C">
        <w:rPr>
          <w:rtl/>
        </w:rPr>
        <w:t xml:space="preserve"> </w:t>
      </w:r>
      <w:r w:rsidRPr="00DA4324" w:rsidR="0016438C">
        <w:rPr>
          <w:rFonts w:hint="eastAsia"/>
          <w:rtl/>
        </w:rPr>
        <w:t>על</w:t>
      </w:r>
      <w:r w:rsidRPr="00DA4324" w:rsidR="0016438C">
        <w:rPr>
          <w:rtl/>
        </w:rPr>
        <w:t xml:space="preserve"> </w:t>
      </w:r>
      <w:r w:rsidRPr="00DA4324" w:rsidR="0016438C">
        <w:rPr>
          <w:rFonts w:hint="eastAsia"/>
          <w:rtl/>
        </w:rPr>
        <w:t>ידי</w:t>
      </w:r>
      <w:r w:rsidRPr="00DA4324" w:rsidR="0016438C">
        <w:rPr>
          <w:rtl/>
        </w:rPr>
        <w:t xml:space="preserve"> </w:t>
      </w:r>
      <w:r w:rsidRPr="00DA4324" w:rsidR="0016438C">
        <w:rPr>
          <w:rFonts w:hint="eastAsia"/>
          <w:rtl/>
        </w:rPr>
        <w:t>הרשות</w:t>
      </w:r>
      <w:r w:rsidRPr="00DA4324" w:rsidR="0016438C">
        <w:rPr>
          <w:rtl/>
        </w:rPr>
        <w:t xml:space="preserve"> </w:t>
      </w:r>
      <w:r w:rsidRPr="00DA4324" w:rsidR="0016438C">
        <w:rPr>
          <w:rFonts w:hint="eastAsia"/>
          <w:rtl/>
        </w:rPr>
        <w:t>המקומית</w:t>
      </w:r>
      <w:r w:rsidRPr="00DA4324" w:rsidR="0016438C">
        <w:rPr>
          <w:rtl/>
        </w:rPr>
        <w:t xml:space="preserve"> </w:t>
      </w:r>
      <w:r w:rsidRPr="00DA4324" w:rsidR="0016438C">
        <w:rPr>
          <w:rFonts w:hint="eastAsia"/>
          <w:rtl/>
        </w:rPr>
        <w:t>ועד</w:t>
      </w:r>
      <w:r w:rsidRPr="00DA4324" w:rsidR="0016438C">
        <w:rPr>
          <w:rtl/>
        </w:rPr>
        <w:t xml:space="preserve"> </w:t>
      </w:r>
      <w:r w:rsidRPr="00DA4324" w:rsidR="0016438C">
        <w:rPr>
          <w:rFonts w:hint="eastAsia"/>
          <w:rtl/>
        </w:rPr>
        <w:t>אישורה</w:t>
      </w:r>
      <w:r w:rsidRPr="00DA4324" w:rsidR="0016438C">
        <w:rPr>
          <w:rtl/>
        </w:rPr>
        <w:t xml:space="preserve"> </w:t>
      </w:r>
      <w:r w:rsidRPr="00DA4324" w:rsidR="0016438C">
        <w:rPr>
          <w:rFonts w:hint="eastAsia"/>
          <w:rtl/>
        </w:rPr>
        <w:t>על</w:t>
      </w:r>
      <w:r w:rsidRPr="00DA4324" w:rsidR="0016438C">
        <w:rPr>
          <w:rtl/>
        </w:rPr>
        <w:t xml:space="preserve"> </w:t>
      </w:r>
      <w:r w:rsidRPr="00DA4324" w:rsidR="0016438C">
        <w:rPr>
          <w:rFonts w:hint="eastAsia"/>
          <w:rtl/>
        </w:rPr>
        <w:t>ידי</w:t>
      </w:r>
      <w:r w:rsidRPr="00DA4324" w:rsidR="0016438C">
        <w:rPr>
          <w:rtl/>
        </w:rPr>
        <w:t xml:space="preserve"> </w:t>
      </w:r>
      <w:r w:rsidRPr="00DA4324" w:rsidR="0016438C">
        <w:rPr>
          <w:rFonts w:hint="eastAsia"/>
          <w:rtl/>
        </w:rPr>
        <w:t>הגורם</w:t>
      </w:r>
      <w:r w:rsidRPr="00DA4324" w:rsidR="0016438C">
        <w:rPr>
          <w:rtl/>
        </w:rPr>
        <w:t xml:space="preserve"> </w:t>
      </w:r>
      <w:r w:rsidRPr="00DA4324" w:rsidR="0016438C">
        <w:rPr>
          <w:rFonts w:hint="eastAsia"/>
          <w:rtl/>
        </w:rPr>
        <w:t>המוסמך</w:t>
      </w:r>
      <w:r w:rsidRPr="00DA4324" w:rsidR="0016438C">
        <w:rPr>
          <w:rFonts w:hint="cs"/>
          <w:rtl/>
        </w:rPr>
        <w:t xml:space="preserve"> -</w:t>
      </w:r>
      <w:r w:rsidRPr="00DA4324" w:rsidR="0016438C">
        <w:rPr>
          <w:rtl/>
        </w:rPr>
        <w:t xml:space="preserve"> </w:t>
      </w:r>
      <w:r w:rsidRPr="00DA4324" w:rsidR="0016438C">
        <w:rPr>
          <w:rFonts w:hint="eastAsia"/>
          <w:rtl/>
        </w:rPr>
        <w:t>וכל</w:t>
      </w:r>
      <w:r w:rsidRPr="00DA4324" w:rsidR="0016438C">
        <w:rPr>
          <w:rtl/>
        </w:rPr>
        <w:t xml:space="preserve"> </w:t>
      </w:r>
      <w:r w:rsidRPr="00DA4324" w:rsidR="0016438C">
        <w:rPr>
          <w:rFonts w:hint="eastAsia"/>
          <w:rtl/>
        </w:rPr>
        <w:t>מחוז</w:t>
      </w:r>
      <w:r w:rsidRPr="00DA4324" w:rsidR="0016438C">
        <w:rPr>
          <w:rtl/>
        </w:rPr>
        <w:t xml:space="preserve"> </w:t>
      </w:r>
      <w:r w:rsidRPr="00DA4324" w:rsidR="0016438C">
        <w:rPr>
          <w:rFonts w:hint="eastAsia"/>
          <w:rtl/>
        </w:rPr>
        <w:t>במשרד</w:t>
      </w:r>
      <w:r w:rsidRPr="00DA4324" w:rsidR="0016438C">
        <w:rPr>
          <w:rtl/>
        </w:rPr>
        <w:t xml:space="preserve"> </w:t>
      </w:r>
      <w:r w:rsidRPr="00DA4324" w:rsidR="0016438C">
        <w:rPr>
          <w:rFonts w:hint="eastAsia"/>
          <w:rtl/>
        </w:rPr>
        <w:t>הפנים</w:t>
      </w:r>
      <w:r w:rsidRPr="00DA4324" w:rsidR="0016438C">
        <w:rPr>
          <w:rtl/>
        </w:rPr>
        <w:t xml:space="preserve"> </w:t>
      </w:r>
      <w:r w:rsidRPr="00DA4324" w:rsidR="0016438C">
        <w:rPr>
          <w:rFonts w:hint="eastAsia"/>
          <w:rtl/>
        </w:rPr>
        <w:t>בודק</w:t>
      </w:r>
      <w:r w:rsidRPr="00DA4324" w:rsidR="0016438C">
        <w:rPr>
          <w:rtl/>
        </w:rPr>
        <w:t xml:space="preserve"> </w:t>
      </w:r>
      <w:r w:rsidRPr="00DA4324" w:rsidR="0016438C">
        <w:rPr>
          <w:rFonts w:hint="eastAsia"/>
          <w:rtl/>
        </w:rPr>
        <w:t>את</w:t>
      </w:r>
      <w:r w:rsidRPr="00DA4324" w:rsidR="0016438C">
        <w:rPr>
          <w:rtl/>
        </w:rPr>
        <w:t xml:space="preserve"> </w:t>
      </w:r>
      <w:r w:rsidRPr="00DA4324" w:rsidR="0016438C">
        <w:rPr>
          <w:rFonts w:hint="eastAsia"/>
          <w:rtl/>
        </w:rPr>
        <w:t>ההיתר</w:t>
      </w:r>
      <w:r w:rsidRPr="00DA4324" w:rsidR="0016438C">
        <w:rPr>
          <w:rtl/>
        </w:rPr>
        <w:t xml:space="preserve"> </w:t>
      </w:r>
      <w:r w:rsidRPr="00DA4324" w:rsidR="0016438C">
        <w:rPr>
          <w:rFonts w:hint="eastAsia"/>
          <w:rtl/>
        </w:rPr>
        <w:t>על</w:t>
      </w:r>
      <w:r w:rsidRPr="00DA4324" w:rsidR="0016438C">
        <w:rPr>
          <w:rtl/>
        </w:rPr>
        <w:t xml:space="preserve"> </w:t>
      </w:r>
      <w:r w:rsidRPr="00DA4324" w:rsidR="0016438C">
        <w:rPr>
          <w:rFonts w:hint="eastAsia"/>
          <w:rtl/>
        </w:rPr>
        <w:t>פי</w:t>
      </w:r>
      <w:r w:rsidRPr="00DA4324" w:rsidR="0016438C">
        <w:rPr>
          <w:rtl/>
        </w:rPr>
        <w:t xml:space="preserve"> </w:t>
      </w:r>
      <w:r w:rsidRPr="00DA4324" w:rsidR="0016438C">
        <w:rPr>
          <w:rFonts w:hint="eastAsia"/>
          <w:rtl/>
        </w:rPr>
        <w:t>שיקול</w:t>
      </w:r>
      <w:r w:rsidRPr="00DA4324" w:rsidR="0016438C">
        <w:rPr>
          <w:rtl/>
        </w:rPr>
        <w:t xml:space="preserve"> </w:t>
      </w:r>
      <w:r w:rsidRPr="00DA4324" w:rsidR="0016438C">
        <w:rPr>
          <w:rFonts w:hint="eastAsia"/>
          <w:rtl/>
        </w:rPr>
        <w:t>דעתו</w:t>
      </w:r>
      <w:r w:rsidRPr="00DA4324" w:rsidR="0016438C">
        <w:rPr>
          <w:rtl/>
        </w:rPr>
        <w:t xml:space="preserve"> </w:t>
      </w:r>
      <w:r w:rsidRPr="00DA4324" w:rsidR="0016438C">
        <w:rPr>
          <w:rFonts w:hint="eastAsia"/>
          <w:rtl/>
        </w:rPr>
        <w:t>המקצועי</w:t>
      </w:r>
      <w:r w:rsidRPr="00DA4324" w:rsidR="0016438C">
        <w:rPr>
          <w:rFonts w:hint="cs"/>
          <w:rtl/>
        </w:rPr>
        <w:t>; (</w:t>
      </w:r>
      <w:r w:rsidRPr="00DA4324" w:rsidR="0016438C">
        <w:rPr>
          <w:rFonts w:hint="eastAsia"/>
          <w:rtl/>
        </w:rPr>
        <w:t>ד</w:t>
      </w:r>
      <w:r w:rsidRPr="00DA4324" w:rsidR="0016438C">
        <w:rPr>
          <w:rFonts w:hint="cs"/>
          <w:rtl/>
        </w:rPr>
        <w:t xml:space="preserve">) </w:t>
      </w:r>
      <w:r w:rsidRPr="00DA4324" w:rsidR="0016438C">
        <w:rPr>
          <w:rtl/>
        </w:rPr>
        <w:t xml:space="preserve">הבדיקה </w:t>
      </w:r>
      <w:r w:rsidRPr="00DA4324" w:rsidR="0016438C">
        <w:rPr>
          <w:rFonts w:hint="cs"/>
          <w:rtl/>
        </w:rPr>
        <w:t>של</w:t>
      </w:r>
      <w:r w:rsidRPr="00DA4324" w:rsidR="0016438C">
        <w:rPr>
          <w:rtl/>
        </w:rPr>
        <w:t xml:space="preserve"> </w:t>
      </w:r>
      <w:r w:rsidRPr="00DA4324" w:rsidR="0016438C">
        <w:rPr>
          <w:rFonts w:hint="cs"/>
          <w:rtl/>
        </w:rPr>
        <w:t>משרד הפנים</w:t>
      </w:r>
      <w:r w:rsidRPr="00DA4324" w:rsidR="0016438C">
        <w:rPr>
          <w:rtl/>
        </w:rPr>
        <w:t xml:space="preserve"> </w:t>
      </w:r>
      <w:r w:rsidRPr="00DA4324" w:rsidR="0016438C">
        <w:rPr>
          <w:rFonts w:hint="cs"/>
          <w:rtl/>
        </w:rPr>
        <w:t>לגבי</w:t>
      </w:r>
      <w:r w:rsidRPr="00DA4324" w:rsidR="0016438C">
        <w:rPr>
          <w:rtl/>
        </w:rPr>
        <w:t xml:space="preserve"> ההלוואה כמעט זהה לבדיקה </w:t>
      </w:r>
      <w:r w:rsidRPr="00DA4324" w:rsidR="0016438C">
        <w:rPr>
          <w:rFonts w:hint="cs"/>
          <w:rtl/>
        </w:rPr>
        <w:t>שמבצעים</w:t>
      </w:r>
      <w:r w:rsidRPr="00DA4324" w:rsidR="0016438C">
        <w:rPr>
          <w:rtl/>
        </w:rPr>
        <w:t xml:space="preserve"> המחוזות עצמם</w:t>
      </w:r>
      <w:r w:rsidRPr="00DA4324" w:rsidR="0016438C">
        <w:rPr>
          <w:rFonts w:hint="cs"/>
          <w:rtl/>
        </w:rPr>
        <w:t xml:space="preserve"> ויוצרת בירוקרטיה מיותרת</w:t>
      </w:r>
      <w:r w:rsidRPr="0093709F">
        <w:rPr>
          <w:rFonts w:hint="cs"/>
          <w:rtl/>
        </w:rPr>
        <w:t xml:space="preserve">. </w:t>
      </w:r>
    </w:p>
    <w:p w:rsidR="00420374" w:rsidRPr="0093709F" w:rsidP="008B6FBD" w14:paraId="5E2BFABB" w14:textId="1E4FAB03">
      <w:pPr>
        <w:pStyle w:val="7392"/>
        <w:ind w:left="424"/>
        <w:rPr>
          <w:rtl/>
        </w:rPr>
      </w:pPr>
      <w:r w:rsidRPr="00B02658">
        <w:rPr>
          <w:rFonts w:hint="cs"/>
          <w:b/>
          <w:bCs/>
          <w:noProof/>
          <w:rtl/>
        </w:rPr>
        <w:drawing>
          <wp:anchor distT="0" distB="720090" distL="114300" distR="114300" simplePos="0" relativeHeight="251695104" behindDoc="1" locked="0" layoutInCell="1" allowOverlap="1">
            <wp:simplePos x="0" y="0"/>
            <wp:positionH relativeFrom="column">
              <wp:posOffset>4526752</wp:posOffset>
            </wp:positionH>
            <wp:positionV relativeFrom="paragraph">
              <wp:posOffset>29210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6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D18C6" w:rsidR="0016438C">
        <w:rPr>
          <w:rStyle w:val="7340"/>
          <w:rFonts w:hint="cs"/>
          <w:rtl/>
        </w:rPr>
        <w:t xml:space="preserve">משך הזמן של אישור בקשות הרשויות המקומיות לנטילת הלוואה על ידי משרד הפנים </w:t>
      </w:r>
      <w:r w:rsidRPr="00DA4324" w:rsidR="0016438C">
        <w:rPr>
          <w:rFonts w:hint="cs"/>
          <w:rtl/>
        </w:rPr>
        <w:t xml:space="preserve">- </w:t>
      </w:r>
      <w:r w:rsidRPr="00DA4324" w:rsidR="0016438C">
        <w:rPr>
          <w:rFonts w:hint="eastAsia"/>
          <w:rtl/>
        </w:rPr>
        <w:t>עולה</w:t>
      </w:r>
      <w:r w:rsidRPr="00DA4324" w:rsidR="0016438C">
        <w:rPr>
          <w:rtl/>
        </w:rPr>
        <w:t xml:space="preserve"> כי משך </w:t>
      </w:r>
      <w:r w:rsidRPr="00DA4324" w:rsidR="0016438C">
        <w:rPr>
          <w:rFonts w:hint="cs"/>
          <w:rtl/>
        </w:rPr>
        <w:t>ה</w:t>
      </w:r>
      <w:r w:rsidRPr="00DA4324" w:rsidR="0016438C">
        <w:rPr>
          <w:rtl/>
        </w:rPr>
        <w:t xml:space="preserve">זמן הממוצע של אישור בקשה </w:t>
      </w:r>
      <w:r w:rsidRPr="00DA4324" w:rsidR="0016438C">
        <w:rPr>
          <w:rFonts w:hint="cs"/>
          <w:rtl/>
        </w:rPr>
        <w:t xml:space="preserve">כאמור - </w:t>
      </w:r>
      <w:r w:rsidRPr="00DA4324" w:rsidR="0016438C">
        <w:rPr>
          <w:rtl/>
        </w:rPr>
        <w:t xml:space="preserve">ממועד הגשתה על ידי מחוז הצפון למטה </w:t>
      </w:r>
      <w:r w:rsidRPr="00DA4324" w:rsidR="0016438C">
        <w:rPr>
          <w:rtl/>
        </w:rPr>
        <w:t>מ</w:t>
      </w:r>
      <w:r w:rsidRPr="00DA4324" w:rsidR="0016438C">
        <w:rPr>
          <w:rFonts w:hint="cs"/>
          <w:rtl/>
        </w:rPr>
        <w:t>י</w:t>
      </w:r>
      <w:r w:rsidRPr="00DA4324" w:rsidR="0016438C">
        <w:rPr>
          <w:rtl/>
        </w:rPr>
        <w:t>נהל</w:t>
      </w:r>
      <w:r w:rsidRPr="00DA4324" w:rsidR="0016438C">
        <w:rPr>
          <w:rtl/>
        </w:rPr>
        <w:t xml:space="preserve"> משרד הפנים ועד למועד אישורה על ידי מטה </w:t>
      </w:r>
      <w:r w:rsidRPr="00DA4324" w:rsidR="0016438C">
        <w:rPr>
          <w:rtl/>
        </w:rPr>
        <w:t>מ</w:t>
      </w:r>
      <w:r w:rsidRPr="00DA4324" w:rsidR="0016438C">
        <w:rPr>
          <w:rFonts w:hint="cs"/>
          <w:rtl/>
        </w:rPr>
        <w:t>י</w:t>
      </w:r>
      <w:r w:rsidRPr="00DA4324" w:rsidR="0016438C">
        <w:rPr>
          <w:rtl/>
        </w:rPr>
        <w:t>נהל</w:t>
      </w:r>
      <w:r w:rsidRPr="00DA4324" w:rsidR="0016438C">
        <w:rPr>
          <w:rtl/>
        </w:rPr>
        <w:t xml:space="preserve"> משרד הפנים </w:t>
      </w:r>
      <w:r w:rsidRPr="00DA4324" w:rsidR="0016438C">
        <w:rPr>
          <w:rFonts w:hint="cs"/>
          <w:rtl/>
        </w:rPr>
        <w:t>- הוא</w:t>
      </w:r>
      <w:r w:rsidRPr="00DA4324" w:rsidR="0016438C">
        <w:rPr>
          <w:rtl/>
        </w:rPr>
        <w:t xml:space="preserve"> 49 ימים. יש לציין כי משך זמן זה אינו כולל את משך זמן </w:t>
      </w:r>
      <w:r w:rsidRPr="00DA4324" w:rsidR="0016438C">
        <w:rPr>
          <w:rFonts w:hint="cs"/>
          <w:rtl/>
        </w:rPr>
        <w:t>ה</w:t>
      </w:r>
      <w:r w:rsidRPr="00DA4324" w:rsidR="0016438C">
        <w:rPr>
          <w:rtl/>
        </w:rPr>
        <w:t>בדיק</w:t>
      </w:r>
      <w:r w:rsidRPr="00DA4324" w:rsidR="0016438C">
        <w:rPr>
          <w:rFonts w:hint="cs"/>
          <w:rtl/>
        </w:rPr>
        <w:t>ה של</w:t>
      </w:r>
      <w:r w:rsidRPr="00DA4324" w:rsidR="0016438C">
        <w:rPr>
          <w:rtl/>
        </w:rPr>
        <w:t xml:space="preserve"> בקשת ההלוואה על ידי המחוז עצמו. </w:t>
      </w:r>
      <w:r w:rsidRPr="00DA4324" w:rsidR="0016438C">
        <w:rPr>
          <w:rFonts w:hint="cs"/>
          <w:rtl/>
        </w:rPr>
        <w:t xml:space="preserve">כמו כן, </w:t>
      </w:r>
      <w:r w:rsidRPr="00DA4324" w:rsidR="0016438C">
        <w:rPr>
          <w:rFonts w:hint="eastAsia"/>
          <w:rtl/>
        </w:rPr>
        <w:t>אותרו</w:t>
      </w:r>
      <w:r w:rsidRPr="00DA4324" w:rsidR="0016438C">
        <w:rPr>
          <w:rtl/>
        </w:rPr>
        <w:t xml:space="preserve"> </w:t>
      </w:r>
      <w:r w:rsidRPr="00DA4324" w:rsidR="0016438C">
        <w:rPr>
          <w:rFonts w:hint="cs"/>
          <w:rtl/>
        </w:rPr>
        <w:t>חמישה</w:t>
      </w:r>
      <w:r w:rsidRPr="00DA4324" w:rsidR="0016438C">
        <w:rPr>
          <w:rtl/>
        </w:rPr>
        <w:t xml:space="preserve"> </w:t>
      </w:r>
      <w:r w:rsidRPr="00DA4324" w:rsidR="0016438C">
        <w:rPr>
          <w:rFonts w:hint="eastAsia"/>
          <w:rtl/>
        </w:rPr>
        <w:t>מקרים</w:t>
      </w:r>
      <w:r w:rsidRPr="00DA4324" w:rsidR="0016438C">
        <w:rPr>
          <w:rtl/>
        </w:rPr>
        <w:t xml:space="preserve"> (13%) </w:t>
      </w:r>
      <w:r w:rsidRPr="00DA4324" w:rsidR="0016438C">
        <w:rPr>
          <w:rFonts w:hint="cs"/>
          <w:rtl/>
        </w:rPr>
        <w:t>ש</w:t>
      </w:r>
      <w:r w:rsidRPr="00DA4324" w:rsidR="0016438C">
        <w:rPr>
          <w:rtl/>
        </w:rPr>
        <w:t>בהם אושרה בקשה לאחר 100 יום</w:t>
      </w:r>
      <w:r w:rsidRPr="00DA4324" w:rsidR="0016438C">
        <w:rPr>
          <w:rFonts w:hint="cs"/>
          <w:rtl/>
        </w:rPr>
        <w:t xml:space="preserve">. </w:t>
      </w:r>
      <w:r w:rsidRPr="00DA4324" w:rsidR="0016438C">
        <w:rPr>
          <w:rFonts w:hint="eastAsia"/>
          <w:rtl/>
        </w:rPr>
        <w:t>אישור</w:t>
      </w:r>
      <w:r w:rsidRPr="00DA4324" w:rsidR="0016438C">
        <w:rPr>
          <w:rtl/>
        </w:rPr>
        <w:t xml:space="preserve"> בקשת הלוואה לאחר פרק זמן </w:t>
      </w:r>
      <w:r w:rsidRPr="00DA4324" w:rsidR="0016438C">
        <w:rPr>
          <w:rFonts w:hint="eastAsia"/>
          <w:rtl/>
        </w:rPr>
        <w:t>ממושך</w:t>
      </w:r>
      <w:r w:rsidRPr="00DA4324" w:rsidR="0016438C">
        <w:rPr>
          <w:rtl/>
        </w:rPr>
        <w:t xml:space="preserve"> מעכב את הליך קבלת ההלוואה. </w:t>
      </w:r>
      <w:r w:rsidRPr="00DA4324" w:rsidR="0016438C">
        <w:rPr>
          <w:rFonts w:hint="cs"/>
          <w:rtl/>
        </w:rPr>
        <w:t xml:space="preserve">כמו כן, </w:t>
      </w:r>
      <w:r w:rsidRPr="00DA4324" w:rsidR="0016438C">
        <w:rPr>
          <w:rtl/>
        </w:rPr>
        <w:t xml:space="preserve">בפרקי זמן שכאלה תנאי ההלוואה </w:t>
      </w:r>
      <w:r w:rsidRPr="00DA4324" w:rsidR="0016438C">
        <w:rPr>
          <w:rFonts w:hint="cs"/>
          <w:rtl/>
        </w:rPr>
        <w:t>שמציעים</w:t>
      </w:r>
      <w:r w:rsidRPr="00DA4324" w:rsidR="0016438C">
        <w:rPr>
          <w:rtl/>
        </w:rPr>
        <w:t xml:space="preserve"> הבנקים יכולים להשתנות מהותית</w:t>
      </w:r>
      <w:r w:rsidRPr="00DA4324" w:rsidR="0016438C">
        <w:rPr>
          <w:rFonts w:hint="cs"/>
          <w:rtl/>
        </w:rPr>
        <w:t>,</w:t>
      </w:r>
      <w:r w:rsidRPr="00DA4324" w:rsidR="0016438C">
        <w:rPr>
          <w:rtl/>
        </w:rPr>
        <w:t xml:space="preserve"> והבנקים אף יכולים לבקש להתחיל את תהליך אישור ההלוואה מחדש ולעכב שוב את ההליך</w:t>
      </w:r>
      <w:r w:rsidRPr="0093709F">
        <w:rPr>
          <w:rFonts w:hint="cs"/>
          <w:rtl/>
        </w:rPr>
        <w:t>.</w:t>
      </w:r>
    </w:p>
    <w:p w:rsidR="00420374" w:rsidRPr="0093709F" w:rsidP="008B6FBD" w14:paraId="583ECB3F" w14:textId="3A824B83">
      <w:pPr>
        <w:pStyle w:val="7392"/>
        <w:ind w:left="424"/>
      </w:pPr>
      <w:r w:rsidRPr="00B02658">
        <w:rPr>
          <w:rFonts w:hint="cs"/>
          <w:b/>
          <w:bCs/>
          <w:noProof/>
          <w:rtl/>
        </w:rPr>
        <w:drawing>
          <wp:anchor distT="0" distB="720090" distL="114300" distR="114300" simplePos="0" relativeHeight="251694080" behindDoc="1" locked="0" layoutInCell="1" allowOverlap="1">
            <wp:simplePos x="0" y="0"/>
            <wp:positionH relativeFrom="column">
              <wp:posOffset>4526280</wp:posOffset>
            </wp:positionH>
            <wp:positionV relativeFrom="paragraph">
              <wp:posOffset>19213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6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D18C6" w:rsidR="0016438C">
        <w:rPr>
          <w:rStyle w:val="7340"/>
          <w:rFonts w:hint="cs"/>
          <w:rtl/>
        </w:rPr>
        <w:t>קביעת פרמטרים או מגבלות על ידי משרד הפנים לגבי מסלולי הלוואות שלוקחות רשויות מקומיות</w:t>
      </w:r>
      <w:r w:rsidRPr="00DA4324" w:rsidR="0016438C">
        <w:rPr>
          <w:rFonts w:hint="cs"/>
          <w:rtl/>
        </w:rPr>
        <w:t xml:space="preserve"> - </w:t>
      </w:r>
      <w:r w:rsidRPr="00DA4324" w:rsidR="0016438C">
        <w:rPr>
          <w:rFonts w:hint="eastAsia"/>
          <w:rtl/>
        </w:rPr>
        <w:t>עלה</w:t>
      </w:r>
      <w:r w:rsidRPr="00DA4324" w:rsidR="0016438C">
        <w:rPr>
          <w:rtl/>
        </w:rPr>
        <w:t xml:space="preserve"> </w:t>
      </w:r>
      <w:r w:rsidRPr="00DA4324" w:rsidR="0016438C">
        <w:rPr>
          <w:rFonts w:hint="eastAsia"/>
          <w:rtl/>
        </w:rPr>
        <w:t>כי</w:t>
      </w:r>
      <w:r w:rsidRPr="00DA4324" w:rsidR="0016438C">
        <w:rPr>
          <w:rtl/>
        </w:rPr>
        <w:t xml:space="preserve"> </w:t>
      </w:r>
      <w:r w:rsidRPr="00DA4324" w:rsidR="0016438C">
        <w:rPr>
          <w:rFonts w:hint="eastAsia"/>
          <w:rtl/>
        </w:rPr>
        <w:t>קיימת</w:t>
      </w:r>
      <w:r w:rsidRPr="00DA4324" w:rsidR="0016438C">
        <w:rPr>
          <w:rtl/>
        </w:rPr>
        <w:t xml:space="preserve"> </w:t>
      </w:r>
      <w:r w:rsidRPr="00DA4324" w:rsidR="0016438C">
        <w:rPr>
          <w:rFonts w:hint="eastAsia"/>
          <w:rtl/>
        </w:rPr>
        <w:t>שונות</w:t>
      </w:r>
      <w:r w:rsidRPr="00DA4324" w:rsidR="0016438C">
        <w:rPr>
          <w:rtl/>
        </w:rPr>
        <w:t xml:space="preserve"> </w:t>
      </w:r>
      <w:r w:rsidRPr="00DA4324" w:rsidR="0016438C">
        <w:rPr>
          <w:rFonts w:hint="eastAsia"/>
          <w:rtl/>
        </w:rPr>
        <w:t>בין</w:t>
      </w:r>
      <w:r w:rsidRPr="00DA4324" w:rsidR="0016438C">
        <w:rPr>
          <w:rtl/>
        </w:rPr>
        <w:t xml:space="preserve"> </w:t>
      </w:r>
      <w:r w:rsidRPr="00DA4324" w:rsidR="0016438C">
        <w:rPr>
          <w:rFonts w:hint="eastAsia"/>
          <w:rtl/>
        </w:rPr>
        <w:t>תנאי</w:t>
      </w:r>
      <w:r w:rsidRPr="00DA4324" w:rsidR="0016438C">
        <w:rPr>
          <w:rtl/>
        </w:rPr>
        <w:t xml:space="preserve"> </w:t>
      </w:r>
      <w:r w:rsidRPr="00DA4324" w:rsidR="0016438C">
        <w:rPr>
          <w:rFonts w:hint="eastAsia"/>
          <w:rtl/>
        </w:rPr>
        <w:t>ההלוואות</w:t>
      </w:r>
      <w:r w:rsidRPr="00DA4324" w:rsidR="0016438C">
        <w:rPr>
          <w:rtl/>
        </w:rPr>
        <w:t xml:space="preserve"> </w:t>
      </w:r>
      <w:r w:rsidRPr="00DA4324" w:rsidR="0016438C">
        <w:rPr>
          <w:rFonts w:hint="eastAsia"/>
          <w:rtl/>
        </w:rPr>
        <w:t>אשר</w:t>
      </w:r>
      <w:r w:rsidRPr="00DA4324" w:rsidR="0016438C">
        <w:rPr>
          <w:rtl/>
        </w:rPr>
        <w:t xml:space="preserve"> </w:t>
      </w:r>
      <w:r w:rsidRPr="00DA4324" w:rsidR="0016438C">
        <w:rPr>
          <w:rFonts w:hint="cs"/>
          <w:rtl/>
        </w:rPr>
        <w:t>אושרו</w:t>
      </w:r>
      <w:r w:rsidRPr="00DA4324" w:rsidR="0016438C">
        <w:rPr>
          <w:rtl/>
        </w:rPr>
        <w:t xml:space="preserve"> </w:t>
      </w:r>
      <w:r w:rsidRPr="00DA4324" w:rsidR="0016438C">
        <w:rPr>
          <w:rFonts w:hint="cs"/>
          <w:rtl/>
        </w:rPr>
        <w:t>ל</w:t>
      </w:r>
      <w:r w:rsidRPr="00DA4324" w:rsidR="0016438C">
        <w:rPr>
          <w:rFonts w:hint="eastAsia"/>
          <w:rtl/>
        </w:rPr>
        <w:t>רשויות</w:t>
      </w:r>
      <w:r w:rsidRPr="00DA4324" w:rsidR="0016438C">
        <w:rPr>
          <w:rtl/>
        </w:rPr>
        <w:t xml:space="preserve"> </w:t>
      </w:r>
      <w:r w:rsidRPr="00DA4324" w:rsidR="0016438C">
        <w:rPr>
          <w:rFonts w:hint="eastAsia"/>
          <w:rtl/>
        </w:rPr>
        <w:t>המקומיות</w:t>
      </w:r>
      <w:r w:rsidRPr="00DA4324" w:rsidR="0016438C">
        <w:rPr>
          <w:rtl/>
        </w:rPr>
        <w:t>; כך</w:t>
      </w:r>
      <w:r w:rsidRPr="00DA4324" w:rsidR="0016438C">
        <w:rPr>
          <w:rFonts w:hint="cs"/>
          <w:rtl/>
        </w:rPr>
        <w:t>,</w:t>
      </w:r>
      <w:r w:rsidRPr="00DA4324" w:rsidR="0016438C">
        <w:rPr>
          <w:rtl/>
        </w:rPr>
        <w:t xml:space="preserve"> </w:t>
      </w:r>
      <w:r w:rsidRPr="00DA4324" w:rsidR="0016438C">
        <w:rPr>
          <w:rFonts w:hint="eastAsia"/>
          <w:rtl/>
        </w:rPr>
        <w:t>נמצא</w:t>
      </w:r>
      <w:r w:rsidRPr="00DA4324" w:rsidR="0016438C">
        <w:rPr>
          <w:rtl/>
        </w:rPr>
        <w:t xml:space="preserve"> </w:t>
      </w:r>
      <w:r w:rsidRPr="00DA4324" w:rsidR="0016438C">
        <w:rPr>
          <w:rFonts w:hint="eastAsia"/>
          <w:rtl/>
        </w:rPr>
        <w:t>כי</w:t>
      </w:r>
      <w:r w:rsidRPr="00DA4324" w:rsidR="0016438C">
        <w:rPr>
          <w:rtl/>
        </w:rPr>
        <w:t xml:space="preserve"> הריבית </w:t>
      </w:r>
      <w:r w:rsidRPr="00DA4324" w:rsidR="0016438C">
        <w:rPr>
          <w:rFonts w:hint="cs"/>
          <w:rtl/>
        </w:rPr>
        <w:t>המרבית</w:t>
      </w:r>
      <w:r w:rsidRPr="00DA4324" w:rsidR="0016438C">
        <w:rPr>
          <w:rtl/>
        </w:rPr>
        <w:t xml:space="preserve"> שניתנה על הלוואות שאינן על בסיס ריבית משתנה לפי פריים </w:t>
      </w:r>
      <w:r w:rsidRPr="00DA4324" w:rsidR="0016438C">
        <w:rPr>
          <w:rFonts w:hint="cs"/>
          <w:rtl/>
        </w:rPr>
        <w:t>היא</w:t>
      </w:r>
      <w:r w:rsidRPr="00DA4324" w:rsidR="0016438C">
        <w:rPr>
          <w:rtl/>
        </w:rPr>
        <w:t xml:space="preserve"> 7%</w:t>
      </w:r>
      <w:r w:rsidRPr="00DA4324" w:rsidR="0016438C">
        <w:rPr>
          <w:rFonts w:hint="cs"/>
          <w:rtl/>
        </w:rPr>
        <w:t>,</w:t>
      </w:r>
      <w:r w:rsidRPr="00DA4324" w:rsidR="0016438C">
        <w:rPr>
          <w:rtl/>
        </w:rPr>
        <w:t xml:space="preserve"> ואלו הריבית </w:t>
      </w:r>
      <w:r w:rsidRPr="00DA4324" w:rsidR="0016438C">
        <w:rPr>
          <w:rFonts w:hint="cs"/>
          <w:rtl/>
        </w:rPr>
        <w:t>המרבית</w:t>
      </w:r>
      <w:r w:rsidRPr="00DA4324" w:rsidR="0016438C">
        <w:rPr>
          <w:rtl/>
        </w:rPr>
        <w:t xml:space="preserve"> שניתנה בגין הלוואה שהי</w:t>
      </w:r>
      <w:r w:rsidRPr="00DA4324" w:rsidR="0016438C">
        <w:rPr>
          <w:rFonts w:hint="cs"/>
          <w:rtl/>
        </w:rPr>
        <w:t>א</w:t>
      </w:r>
      <w:r w:rsidRPr="00DA4324" w:rsidR="0016438C">
        <w:rPr>
          <w:rtl/>
        </w:rPr>
        <w:t xml:space="preserve"> על בסיס משתנה לפי פריים היא 3.38%. </w:t>
      </w:r>
      <w:r w:rsidRPr="00DA4324" w:rsidR="0016438C">
        <w:rPr>
          <w:rFonts w:hint="eastAsia"/>
          <w:rtl/>
        </w:rPr>
        <w:t>עם</w:t>
      </w:r>
      <w:r w:rsidRPr="00DA4324" w:rsidR="0016438C">
        <w:rPr>
          <w:rtl/>
        </w:rPr>
        <w:t xml:space="preserve"> </w:t>
      </w:r>
      <w:r w:rsidRPr="00DA4324" w:rsidR="0016438C">
        <w:rPr>
          <w:rFonts w:hint="eastAsia"/>
          <w:rtl/>
        </w:rPr>
        <w:t>זאת</w:t>
      </w:r>
      <w:r w:rsidRPr="00DA4324" w:rsidR="0016438C">
        <w:rPr>
          <w:rtl/>
        </w:rPr>
        <w:t>,</w:t>
      </w:r>
      <w:r w:rsidRPr="00DA4324" w:rsidR="0016438C">
        <w:rPr>
          <w:rFonts w:hint="cs"/>
          <w:rtl/>
        </w:rPr>
        <w:t xml:space="preserve"> </w:t>
      </w:r>
      <w:r w:rsidRPr="00DA4324" w:rsidR="0016438C">
        <w:rPr>
          <w:rtl/>
        </w:rPr>
        <w:t xml:space="preserve">משרד הפנים לא קבע פרמטרים או מגבלות לגבי מסלולי ההלוואות שנוטלות הרשויות המקומיות. מסלול ההלוואה (הצמדה למדד, ריבית משתנה וכד') עלול להשפיע על איתנותה הפיננסית של הרשות </w:t>
      </w:r>
      <w:r w:rsidRPr="00DA4324" w:rsidR="0016438C">
        <w:rPr>
          <w:rFonts w:hint="cs"/>
          <w:rtl/>
        </w:rPr>
        <w:t xml:space="preserve">המקומית </w:t>
      </w:r>
      <w:r w:rsidRPr="00DA4324" w:rsidR="0016438C">
        <w:rPr>
          <w:rtl/>
        </w:rPr>
        <w:t xml:space="preserve">ועל הסיכון שהיא חשופה אליו. לדוגמה, הלוואות לפיתוח הן לרוב הלוואות הניתנות בהיקפים </w:t>
      </w:r>
      <w:r w:rsidRPr="00DA4324" w:rsidR="0016438C">
        <w:rPr>
          <w:rFonts w:hint="cs"/>
          <w:rtl/>
        </w:rPr>
        <w:t>ניכרים</w:t>
      </w:r>
      <w:r w:rsidRPr="00DA4324" w:rsidR="0016438C">
        <w:rPr>
          <w:rtl/>
        </w:rPr>
        <w:t xml:space="preserve"> ולתקופות ארוכות. </w:t>
      </w:r>
      <w:r w:rsidRPr="00DA4324" w:rsidR="0016438C">
        <w:rPr>
          <w:rFonts w:hint="cs"/>
          <w:rtl/>
        </w:rPr>
        <w:t>במשך</w:t>
      </w:r>
      <w:r w:rsidRPr="00DA4324" w:rsidR="0016438C">
        <w:rPr>
          <w:rtl/>
        </w:rPr>
        <w:t xml:space="preserve"> תקופה </w:t>
      </w:r>
      <w:r w:rsidRPr="00DA4324" w:rsidR="0016438C">
        <w:rPr>
          <w:rFonts w:hint="cs"/>
          <w:rtl/>
        </w:rPr>
        <w:t>ההלוואה</w:t>
      </w:r>
      <w:r w:rsidRPr="00DA4324" w:rsidR="0016438C">
        <w:rPr>
          <w:rtl/>
        </w:rPr>
        <w:t xml:space="preserve"> צפויים שינויים רבים בשוק, למשל שינויים בריבית בנק ישראל, שינויים בשיעורי האינפלציה או שינויים בתשואות </w:t>
      </w:r>
      <w:r w:rsidRPr="00DA4324" w:rsidR="0016438C">
        <w:rPr>
          <w:rtl/>
        </w:rPr>
        <w:t>האג"ח</w:t>
      </w:r>
      <w:r w:rsidRPr="00DA4324" w:rsidR="0016438C">
        <w:rPr>
          <w:rtl/>
        </w:rPr>
        <w:t xml:space="preserve"> הממשלתיות, והם עשויים להשפיע באופן ישיר על תמחור ההלוואות</w:t>
      </w:r>
      <w:r w:rsidRPr="0093709F">
        <w:rPr>
          <w:rFonts w:hint="cs"/>
          <w:rtl/>
        </w:rPr>
        <w:t xml:space="preserve">. </w:t>
      </w:r>
    </w:p>
    <w:p w:rsidR="00420374" w:rsidRPr="0093709F" w:rsidP="008B6FBD" w14:paraId="7C081EA1" w14:textId="3B56730D">
      <w:pPr>
        <w:pStyle w:val="7392"/>
        <w:ind w:left="424"/>
      </w:pPr>
      <w:r w:rsidRPr="00B02658">
        <w:rPr>
          <w:rFonts w:hint="cs"/>
          <w:b/>
          <w:bCs/>
          <w:noProof/>
          <w:rtl/>
        </w:rPr>
        <w:drawing>
          <wp:anchor distT="0" distB="720090" distL="114300" distR="114300" simplePos="0" relativeHeight="251693056" behindDoc="1" locked="0" layoutInCell="1" allowOverlap="1">
            <wp:simplePos x="0" y="0"/>
            <wp:positionH relativeFrom="column">
              <wp:posOffset>4526280</wp:posOffset>
            </wp:positionH>
            <wp:positionV relativeFrom="paragraph">
              <wp:posOffset>19213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D18C6" w:rsidR="0016438C">
        <w:rPr>
          <w:rStyle w:val="7340"/>
          <w:rFonts w:hint="cs"/>
          <w:rtl/>
        </w:rPr>
        <w:t xml:space="preserve">גיוון מקורות האשראי </w:t>
      </w:r>
      <w:r w:rsidRPr="007D18C6" w:rsidR="0016438C">
        <w:rPr>
          <w:rStyle w:val="7340"/>
          <w:rFonts w:hint="eastAsia"/>
          <w:rtl/>
        </w:rPr>
        <w:t>מהבנקים</w:t>
      </w:r>
      <w:r w:rsidRPr="007D18C6" w:rsidR="0016438C">
        <w:rPr>
          <w:rStyle w:val="7340"/>
          <w:rtl/>
        </w:rPr>
        <w:t xml:space="preserve"> </w:t>
      </w:r>
      <w:r w:rsidRPr="007D18C6" w:rsidR="0016438C">
        <w:rPr>
          <w:rStyle w:val="7340"/>
          <w:rFonts w:hint="eastAsia"/>
          <w:rtl/>
        </w:rPr>
        <w:t>על</w:t>
      </w:r>
      <w:r w:rsidRPr="007D18C6" w:rsidR="0016438C">
        <w:rPr>
          <w:rStyle w:val="7340"/>
          <w:rtl/>
        </w:rPr>
        <w:t xml:space="preserve"> </w:t>
      </w:r>
      <w:r w:rsidRPr="007D18C6" w:rsidR="0016438C">
        <w:rPr>
          <w:rStyle w:val="7340"/>
          <w:rFonts w:hint="eastAsia"/>
          <w:rtl/>
        </w:rPr>
        <w:t>ידי</w:t>
      </w:r>
      <w:r w:rsidRPr="007D18C6" w:rsidR="0016438C">
        <w:rPr>
          <w:rStyle w:val="7340"/>
          <w:rtl/>
        </w:rPr>
        <w:t xml:space="preserve"> </w:t>
      </w:r>
      <w:r w:rsidRPr="007D18C6" w:rsidR="0016438C">
        <w:rPr>
          <w:rStyle w:val="7340"/>
          <w:rFonts w:hint="eastAsia"/>
          <w:rtl/>
        </w:rPr>
        <w:t>הרשויות</w:t>
      </w:r>
      <w:r w:rsidRPr="007D18C6" w:rsidR="0016438C">
        <w:rPr>
          <w:rStyle w:val="7340"/>
          <w:rtl/>
        </w:rPr>
        <w:t xml:space="preserve"> </w:t>
      </w:r>
      <w:r w:rsidRPr="007D18C6" w:rsidR="0016438C">
        <w:rPr>
          <w:rStyle w:val="7340"/>
          <w:rFonts w:hint="eastAsia"/>
          <w:rtl/>
        </w:rPr>
        <w:t>המקומיות</w:t>
      </w:r>
      <w:r w:rsidRPr="007D18C6" w:rsidR="0016438C">
        <w:rPr>
          <w:rStyle w:val="7340"/>
          <w:rFonts w:hint="cs"/>
          <w:rtl/>
        </w:rPr>
        <w:t xml:space="preserve"> </w:t>
      </w:r>
      <w:r w:rsidRPr="007D18C6" w:rsidR="0016438C">
        <w:rPr>
          <w:rStyle w:val="7340"/>
          <w:rFonts w:hint="cs"/>
          <w:rtl/>
        </w:rPr>
        <w:t>ומיחזור</w:t>
      </w:r>
      <w:r w:rsidRPr="007D18C6" w:rsidR="0016438C">
        <w:rPr>
          <w:rStyle w:val="7340"/>
          <w:rFonts w:hint="cs"/>
          <w:rtl/>
        </w:rPr>
        <w:t xml:space="preserve"> הלוואות</w:t>
      </w:r>
      <w:r w:rsidRPr="00DA4324" w:rsidR="0016438C">
        <w:rPr>
          <w:rFonts w:hint="cs"/>
          <w:rtl/>
        </w:rPr>
        <w:t xml:space="preserve"> - </w:t>
      </w:r>
      <w:r w:rsidRPr="00DA4324" w:rsidR="0016438C">
        <w:rPr>
          <w:rFonts w:hint="eastAsia"/>
          <w:rtl/>
        </w:rPr>
        <w:t>הרשויות</w:t>
      </w:r>
      <w:r w:rsidRPr="00DA4324" w:rsidR="0016438C">
        <w:rPr>
          <w:rtl/>
        </w:rPr>
        <w:t xml:space="preserve"> המקומיות </w:t>
      </w:r>
      <w:r w:rsidRPr="00DA4324" w:rsidR="0016438C">
        <w:rPr>
          <w:rFonts w:hint="cs"/>
          <w:rtl/>
        </w:rPr>
        <w:t>ביקשו לקחת</w:t>
      </w:r>
      <w:r w:rsidRPr="00DA4324" w:rsidR="0016438C">
        <w:rPr>
          <w:rtl/>
        </w:rPr>
        <w:t xml:space="preserve"> </w:t>
      </w:r>
      <w:r w:rsidRPr="00DA4324" w:rsidR="0016438C">
        <w:rPr>
          <w:rFonts w:hint="eastAsia"/>
          <w:rtl/>
        </w:rPr>
        <w:t>כ</w:t>
      </w:r>
      <w:r w:rsidRPr="00DA4324" w:rsidR="0016438C">
        <w:rPr>
          <w:rtl/>
        </w:rPr>
        <w:t xml:space="preserve">-82% מהלוואות שלהן מארבעה בנקים: </w:t>
      </w:r>
      <w:r w:rsidRPr="00DA4324" w:rsidR="0016438C">
        <w:rPr>
          <w:rFonts w:hint="cs"/>
          <w:rtl/>
        </w:rPr>
        <w:t>בנק א'</w:t>
      </w:r>
      <w:r w:rsidRPr="00DA4324" w:rsidR="0016438C">
        <w:rPr>
          <w:rtl/>
        </w:rPr>
        <w:t xml:space="preserve">, </w:t>
      </w:r>
      <w:r w:rsidRPr="00DA4324" w:rsidR="0016438C">
        <w:rPr>
          <w:rFonts w:hint="cs"/>
          <w:rtl/>
        </w:rPr>
        <w:t>בנק ב'</w:t>
      </w:r>
      <w:r w:rsidRPr="00DA4324" w:rsidR="0016438C">
        <w:rPr>
          <w:rtl/>
        </w:rPr>
        <w:t xml:space="preserve">, </w:t>
      </w:r>
      <w:r w:rsidRPr="00DA4324" w:rsidR="0016438C">
        <w:rPr>
          <w:rFonts w:hint="cs"/>
          <w:rtl/>
        </w:rPr>
        <w:t>בנק ג'</w:t>
      </w:r>
      <w:r w:rsidRPr="00DA4324" w:rsidR="0016438C">
        <w:rPr>
          <w:rtl/>
        </w:rPr>
        <w:t xml:space="preserve"> ו</w:t>
      </w:r>
      <w:r w:rsidRPr="00DA4324" w:rsidR="0016438C">
        <w:rPr>
          <w:rFonts w:hint="cs"/>
          <w:rtl/>
        </w:rPr>
        <w:t>בנק ד</w:t>
      </w:r>
      <w:r>
        <w:rPr>
          <w:vertAlign w:val="superscript"/>
          <w:rtl/>
        </w:rPr>
        <w:footnoteReference w:id="5"/>
      </w:r>
      <w:r w:rsidRPr="00076F3C" w:rsidR="0016438C">
        <w:rPr>
          <w:rFonts w:hint="cs"/>
          <w:vertAlign w:val="superscript"/>
          <w:rtl/>
        </w:rPr>
        <w:t>,</w:t>
      </w:r>
      <w:r w:rsidRPr="00DA4324" w:rsidR="0016438C">
        <w:rPr>
          <w:rFonts w:hint="cs"/>
          <w:rtl/>
        </w:rPr>
        <w:t xml:space="preserve"> זאת מבין 15 בנקים קיימים.</w:t>
      </w:r>
      <w:r w:rsidRPr="00DA4324" w:rsidR="0016438C">
        <w:rPr>
          <w:rtl/>
        </w:rPr>
        <w:t xml:space="preserve"> </w:t>
      </w:r>
      <w:r w:rsidRPr="00DA4324" w:rsidR="0016438C">
        <w:rPr>
          <w:rFonts w:hint="eastAsia"/>
          <w:rtl/>
        </w:rPr>
        <w:t>נמצא</w:t>
      </w:r>
      <w:r w:rsidRPr="00DA4324" w:rsidR="0016438C">
        <w:rPr>
          <w:rtl/>
        </w:rPr>
        <w:t xml:space="preserve"> כי אין הנחיות </w:t>
      </w:r>
      <w:r w:rsidRPr="00DA4324" w:rsidR="0016438C">
        <w:rPr>
          <w:rFonts w:hint="eastAsia"/>
          <w:rtl/>
        </w:rPr>
        <w:t>של</w:t>
      </w:r>
      <w:r w:rsidRPr="00DA4324" w:rsidR="0016438C">
        <w:rPr>
          <w:rtl/>
        </w:rPr>
        <w:t xml:space="preserve"> </w:t>
      </w:r>
      <w:r w:rsidRPr="00DA4324" w:rsidR="0016438C">
        <w:rPr>
          <w:rFonts w:hint="eastAsia"/>
          <w:rtl/>
        </w:rPr>
        <w:t>משרד</w:t>
      </w:r>
      <w:r w:rsidRPr="00DA4324" w:rsidR="0016438C">
        <w:rPr>
          <w:rtl/>
        </w:rPr>
        <w:t xml:space="preserve"> </w:t>
      </w:r>
      <w:r w:rsidRPr="00DA4324" w:rsidR="0016438C">
        <w:rPr>
          <w:rFonts w:hint="eastAsia"/>
          <w:rtl/>
        </w:rPr>
        <w:t>הפנים</w:t>
      </w:r>
      <w:r w:rsidRPr="00DA4324" w:rsidR="0016438C">
        <w:rPr>
          <w:rtl/>
        </w:rPr>
        <w:t xml:space="preserve"> </w:t>
      </w:r>
      <w:r w:rsidRPr="00DA4324" w:rsidR="0016438C">
        <w:rPr>
          <w:rFonts w:hint="eastAsia"/>
          <w:rtl/>
        </w:rPr>
        <w:t>לרשויות</w:t>
      </w:r>
      <w:r w:rsidRPr="00DA4324" w:rsidR="0016438C">
        <w:rPr>
          <w:rtl/>
        </w:rPr>
        <w:t xml:space="preserve"> המקומיות השונות </w:t>
      </w:r>
      <w:r w:rsidRPr="00DA4324" w:rsidR="0016438C">
        <w:rPr>
          <w:rFonts w:hint="eastAsia"/>
          <w:rtl/>
        </w:rPr>
        <w:t>בדבר</w:t>
      </w:r>
      <w:r w:rsidRPr="00DA4324" w:rsidR="0016438C">
        <w:rPr>
          <w:rtl/>
        </w:rPr>
        <w:t xml:space="preserve"> </w:t>
      </w:r>
      <w:r w:rsidRPr="00DA4324" w:rsidR="0016438C">
        <w:rPr>
          <w:rFonts w:hint="eastAsia"/>
          <w:rtl/>
        </w:rPr>
        <w:t>הצורך</w:t>
      </w:r>
      <w:r w:rsidRPr="00DA4324" w:rsidR="0016438C">
        <w:rPr>
          <w:rtl/>
        </w:rPr>
        <w:t xml:space="preserve"> </w:t>
      </w:r>
      <w:r w:rsidRPr="00DA4324" w:rsidR="0016438C">
        <w:rPr>
          <w:rFonts w:hint="eastAsia"/>
          <w:rtl/>
        </w:rPr>
        <w:t>בביצוע</w:t>
      </w:r>
      <w:r w:rsidRPr="00DA4324" w:rsidR="0016438C">
        <w:rPr>
          <w:rtl/>
        </w:rPr>
        <w:t xml:space="preserve"> </w:t>
      </w:r>
      <w:r w:rsidRPr="00DA4324" w:rsidR="0016438C">
        <w:rPr>
          <w:rFonts w:hint="eastAsia"/>
          <w:rtl/>
        </w:rPr>
        <w:t>השוואה</w:t>
      </w:r>
      <w:r w:rsidRPr="00DA4324" w:rsidR="0016438C">
        <w:rPr>
          <w:rtl/>
        </w:rPr>
        <w:t xml:space="preserve"> </w:t>
      </w:r>
      <w:r w:rsidRPr="00DA4324" w:rsidR="0016438C">
        <w:rPr>
          <w:rFonts w:hint="eastAsia"/>
          <w:rtl/>
        </w:rPr>
        <w:t>בין</w:t>
      </w:r>
      <w:r w:rsidRPr="00DA4324" w:rsidR="0016438C">
        <w:rPr>
          <w:rtl/>
        </w:rPr>
        <w:t xml:space="preserve"> </w:t>
      </w:r>
      <w:r w:rsidRPr="00DA4324" w:rsidR="0016438C">
        <w:rPr>
          <w:rFonts w:hint="eastAsia"/>
          <w:rtl/>
        </w:rPr>
        <w:t>הבנקים</w:t>
      </w:r>
      <w:r w:rsidRPr="00DA4324" w:rsidR="0016438C">
        <w:rPr>
          <w:rtl/>
        </w:rPr>
        <w:t xml:space="preserve"> </w:t>
      </w:r>
      <w:r w:rsidRPr="00DA4324" w:rsidR="0016438C">
        <w:rPr>
          <w:rFonts w:hint="eastAsia"/>
          <w:rtl/>
        </w:rPr>
        <w:t>השונים</w:t>
      </w:r>
      <w:r w:rsidRPr="00DA4324" w:rsidR="0016438C">
        <w:rPr>
          <w:rtl/>
        </w:rPr>
        <w:t xml:space="preserve"> </w:t>
      </w:r>
      <w:r w:rsidRPr="00DA4324" w:rsidR="0016438C">
        <w:rPr>
          <w:rFonts w:hint="eastAsia"/>
          <w:rtl/>
        </w:rPr>
        <w:t>בטרם</w:t>
      </w:r>
      <w:r w:rsidRPr="00DA4324" w:rsidR="0016438C">
        <w:rPr>
          <w:rtl/>
        </w:rPr>
        <w:t xml:space="preserve"> </w:t>
      </w:r>
      <w:r w:rsidRPr="00DA4324" w:rsidR="0016438C">
        <w:rPr>
          <w:rFonts w:hint="eastAsia"/>
          <w:rtl/>
        </w:rPr>
        <w:t>לקיחת</w:t>
      </w:r>
      <w:r w:rsidRPr="00DA4324" w:rsidR="0016438C">
        <w:rPr>
          <w:rtl/>
        </w:rPr>
        <w:t xml:space="preserve"> </w:t>
      </w:r>
      <w:r w:rsidRPr="00DA4324" w:rsidR="0016438C">
        <w:rPr>
          <w:rFonts w:hint="eastAsia"/>
          <w:rtl/>
        </w:rPr>
        <w:t>האשראי</w:t>
      </w:r>
      <w:r w:rsidRPr="00DA4324" w:rsidR="0016438C">
        <w:rPr>
          <w:rtl/>
        </w:rPr>
        <w:t xml:space="preserve">, </w:t>
      </w:r>
      <w:r w:rsidRPr="00DA4324" w:rsidR="0016438C">
        <w:rPr>
          <w:rFonts w:hint="cs"/>
          <w:rtl/>
        </w:rPr>
        <w:t>ו</w:t>
      </w:r>
      <w:r w:rsidRPr="00DA4324" w:rsidR="0016438C">
        <w:rPr>
          <w:rtl/>
        </w:rPr>
        <w:t>למעשה רשות מקומית יכולה לפנות רק לבנק אחד ולקחת ממנו הלוואה</w:t>
      </w:r>
      <w:r w:rsidRPr="00DA4324" w:rsidR="0016438C">
        <w:rPr>
          <w:rFonts w:hint="cs"/>
          <w:rtl/>
        </w:rPr>
        <w:t>,</w:t>
      </w:r>
      <w:r w:rsidRPr="00DA4324" w:rsidR="0016438C">
        <w:rPr>
          <w:rtl/>
        </w:rPr>
        <w:t xml:space="preserve"> בלי לבדוק הצעות מחיר מבנקים אחרים</w:t>
      </w:r>
      <w:r w:rsidRPr="00DA4324" w:rsidR="0016438C">
        <w:rPr>
          <w:rFonts w:hint="cs"/>
          <w:rtl/>
        </w:rPr>
        <w:t xml:space="preserve">. עוד עלה </w:t>
      </w:r>
      <w:r w:rsidRPr="00DA4324" w:rsidR="0016438C">
        <w:rPr>
          <w:rtl/>
        </w:rPr>
        <w:t xml:space="preserve">כי </w:t>
      </w:r>
      <w:r w:rsidRPr="00DA4324" w:rsidR="0016438C">
        <w:rPr>
          <w:rFonts w:hint="cs"/>
          <w:rtl/>
        </w:rPr>
        <w:t>מ</w:t>
      </w:r>
      <w:r w:rsidRPr="00DA4324" w:rsidR="0016438C">
        <w:rPr>
          <w:rtl/>
        </w:rPr>
        <w:t xml:space="preserve">הלוואות </w:t>
      </w:r>
      <w:r w:rsidRPr="00DA4324" w:rsidR="0016438C">
        <w:rPr>
          <w:rFonts w:hint="cs"/>
          <w:rtl/>
        </w:rPr>
        <w:t>בסך</w:t>
      </w:r>
      <w:r w:rsidRPr="00DA4324" w:rsidR="0016438C">
        <w:rPr>
          <w:rtl/>
        </w:rPr>
        <w:t xml:space="preserve"> כ-15 מיליארד ש"ח שנטלו הרשויות המקומיות, 48 רשויות ביצ</w:t>
      </w:r>
      <w:r w:rsidRPr="00DA4324" w:rsidR="0016438C">
        <w:rPr>
          <w:rFonts w:hint="cs"/>
          <w:rtl/>
        </w:rPr>
        <w:t>ע</w:t>
      </w:r>
      <w:r w:rsidRPr="00DA4324" w:rsidR="0016438C">
        <w:rPr>
          <w:rtl/>
        </w:rPr>
        <w:t xml:space="preserve">ו </w:t>
      </w:r>
      <w:r w:rsidRPr="00DA4324" w:rsidR="0016438C">
        <w:rPr>
          <w:rtl/>
        </w:rPr>
        <w:t>מ</w:t>
      </w:r>
      <w:r w:rsidRPr="00DA4324" w:rsidR="0016438C">
        <w:rPr>
          <w:rFonts w:hint="cs"/>
          <w:rtl/>
        </w:rPr>
        <w:t>י</w:t>
      </w:r>
      <w:r w:rsidRPr="00DA4324" w:rsidR="0016438C">
        <w:rPr>
          <w:rtl/>
        </w:rPr>
        <w:t>חזור</w:t>
      </w:r>
      <w:r w:rsidRPr="00DA4324" w:rsidR="0016438C">
        <w:rPr>
          <w:rtl/>
        </w:rPr>
        <w:t xml:space="preserve"> חוב </w:t>
      </w:r>
      <w:r w:rsidRPr="00DA4324" w:rsidR="0016438C">
        <w:rPr>
          <w:rFonts w:hint="cs"/>
          <w:rtl/>
        </w:rPr>
        <w:t>בסכום</w:t>
      </w:r>
      <w:r w:rsidRPr="00DA4324" w:rsidR="0016438C">
        <w:rPr>
          <w:rtl/>
        </w:rPr>
        <w:t xml:space="preserve"> של כ-2.1 מיליארד</w:t>
      </w:r>
      <w:r w:rsidRPr="00DA4324" w:rsidR="0016438C">
        <w:rPr>
          <w:rFonts w:hint="cs"/>
          <w:rtl/>
        </w:rPr>
        <w:t xml:space="preserve"> ש"ח</w:t>
      </w:r>
      <w:r w:rsidRPr="00DA4324" w:rsidR="0016438C">
        <w:rPr>
          <w:rtl/>
        </w:rPr>
        <w:t xml:space="preserve"> </w:t>
      </w:r>
      <w:r w:rsidRPr="00DA4324" w:rsidR="0016438C">
        <w:rPr>
          <w:rFonts w:hint="cs"/>
          <w:rtl/>
        </w:rPr>
        <w:t>(כ-</w:t>
      </w:r>
      <w:r w:rsidRPr="00DA4324" w:rsidR="0016438C">
        <w:rPr>
          <w:rtl/>
        </w:rPr>
        <w:t>15%</w:t>
      </w:r>
      <w:r w:rsidRPr="00DA4324" w:rsidR="0016438C">
        <w:rPr>
          <w:rFonts w:hint="cs"/>
          <w:rtl/>
        </w:rPr>
        <w:t xml:space="preserve"> מכלל היקף ההלוואות שנלקחו</w:t>
      </w:r>
      <w:r w:rsidRPr="00DA4324" w:rsidR="0016438C">
        <w:rPr>
          <w:rtl/>
        </w:rPr>
        <w:t xml:space="preserve">) בשנים </w:t>
      </w:r>
      <w:r w:rsidRPr="00DA4324" w:rsidR="0016438C">
        <w:rPr>
          <w:rFonts w:hint="cs"/>
          <w:rtl/>
        </w:rPr>
        <w:t xml:space="preserve">2021 </w:t>
      </w:r>
      <w:r w:rsidRPr="00DA4324" w:rsidR="0016438C">
        <w:rPr>
          <w:rtl/>
        </w:rPr>
        <w:t>-</w:t>
      </w:r>
      <w:r w:rsidRPr="00DA4324" w:rsidR="0016438C">
        <w:rPr>
          <w:rFonts w:hint="cs"/>
          <w:rtl/>
        </w:rPr>
        <w:t xml:space="preserve"> </w:t>
      </w:r>
      <w:r w:rsidRPr="00DA4324" w:rsidR="0016438C">
        <w:rPr>
          <w:rtl/>
        </w:rPr>
        <w:t>2019</w:t>
      </w:r>
      <w:r w:rsidRPr="00DA4324" w:rsidR="0016438C">
        <w:rPr>
          <w:rFonts w:hint="cs"/>
          <w:rtl/>
        </w:rPr>
        <w:t xml:space="preserve">. </w:t>
      </w:r>
      <w:r w:rsidRPr="00DA4324" w:rsidR="0016438C">
        <w:rPr>
          <w:rtl/>
        </w:rPr>
        <w:t xml:space="preserve">משרד הפנים לא הוציא בשנים האחרונות הנחיות רוחביות לרשויות המקומיות </w:t>
      </w:r>
      <w:r w:rsidRPr="00DA4324" w:rsidR="0016438C">
        <w:rPr>
          <w:rFonts w:hint="eastAsia"/>
          <w:rtl/>
        </w:rPr>
        <w:t>בדבר</w:t>
      </w:r>
      <w:r w:rsidRPr="00DA4324" w:rsidR="0016438C">
        <w:rPr>
          <w:rtl/>
        </w:rPr>
        <w:t xml:space="preserve"> </w:t>
      </w:r>
      <w:r w:rsidRPr="00DA4324" w:rsidR="0016438C">
        <w:rPr>
          <w:rFonts w:hint="eastAsia"/>
          <w:rtl/>
        </w:rPr>
        <w:t>אפשרויות</w:t>
      </w:r>
      <w:r w:rsidRPr="00DA4324" w:rsidR="0016438C">
        <w:rPr>
          <w:rtl/>
        </w:rPr>
        <w:t xml:space="preserve"> </w:t>
      </w:r>
      <w:r w:rsidRPr="00DA4324" w:rsidR="0016438C">
        <w:rPr>
          <w:rFonts w:hint="eastAsia"/>
          <w:rtl/>
        </w:rPr>
        <w:t>לחיסכון</w:t>
      </w:r>
      <w:r w:rsidRPr="00DA4324" w:rsidR="0016438C">
        <w:rPr>
          <w:rtl/>
        </w:rPr>
        <w:t xml:space="preserve"> </w:t>
      </w:r>
      <w:r w:rsidRPr="00DA4324" w:rsidR="0016438C">
        <w:rPr>
          <w:rFonts w:hint="eastAsia"/>
          <w:rtl/>
        </w:rPr>
        <w:t>בהוצאות</w:t>
      </w:r>
      <w:r w:rsidRPr="00DA4324" w:rsidR="0016438C">
        <w:rPr>
          <w:rtl/>
        </w:rPr>
        <w:t xml:space="preserve"> </w:t>
      </w:r>
      <w:r w:rsidRPr="00DA4324" w:rsidR="0016438C">
        <w:rPr>
          <w:rFonts w:hint="cs"/>
          <w:rtl/>
        </w:rPr>
        <w:t>ה</w:t>
      </w:r>
      <w:r w:rsidRPr="00DA4324" w:rsidR="0016438C">
        <w:rPr>
          <w:rFonts w:hint="eastAsia"/>
          <w:rtl/>
        </w:rPr>
        <w:t>מימון</w:t>
      </w:r>
      <w:r w:rsidRPr="00DA4324" w:rsidR="0016438C">
        <w:rPr>
          <w:rtl/>
        </w:rPr>
        <w:t xml:space="preserve"> על ידי </w:t>
      </w:r>
      <w:r w:rsidRPr="00DA4324" w:rsidR="0016438C">
        <w:rPr>
          <w:rtl/>
        </w:rPr>
        <w:t>מ</w:t>
      </w:r>
      <w:r w:rsidRPr="00DA4324" w:rsidR="0016438C">
        <w:rPr>
          <w:rFonts w:hint="cs"/>
          <w:rtl/>
        </w:rPr>
        <w:t>י</w:t>
      </w:r>
      <w:r w:rsidRPr="00DA4324" w:rsidR="0016438C">
        <w:rPr>
          <w:rtl/>
        </w:rPr>
        <w:t>חזור</w:t>
      </w:r>
      <w:r w:rsidRPr="00DA4324" w:rsidR="0016438C">
        <w:rPr>
          <w:rtl/>
        </w:rPr>
        <w:t xml:space="preserve"> הלוואה בשל סביבת ריבית נמוכה</w:t>
      </w:r>
      <w:r w:rsidRPr="0093709F">
        <w:rPr>
          <w:rFonts w:hint="cs"/>
          <w:rtl/>
        </w:rPr>
        <w:t xml:space="preserve">. </w:t>
      </w:r>
    </w:p>
    <w:p w:rsidR="00420374" w:rsidRPr="0093709F" w:rsidP="008B6FBD" w14:paraId="5E8BF229" w14:textId="5B23A92A">
      <w:pPr>
        <w:pStyle w:val="7392"/>
        <w:ind w:left="424"/>
        <w:rPr>
          <w:rtl/>
        </w:rPr>
      </w:pPr>
      <w:r w:rsidRPr="00B02658">
        <w:rPr>
          <w:rFonts w:hint="cs"/>
          <w:b/>
          <w:bCs/>
          <w:noProof/>
          <w:rtl/>
        </w:rPr>
        <w:drawing>
          <wp:anchor distT="0" distB="720090" distL="114300" distR="114300" simplePos="0" relativeHeight="251692032" behindDoc="1" locked="0" layoutInCell="1" allowOverlap="1">
            <wp:simplePos x="0" y="0"/>
            <wp:positionH relativeFrom="column">
              <wp:posOffset>4526280</wp:posOffset>
            </wp:positionH>
            <wp:positionV relativeFrom="paragraph">
              <wp:posOffset>19213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D18C6" w:rsidR="0016438C">
        <w:rPr>
          <w:rStyle w:val="7340"/>
          <w:rFonts w:hint="cs"/>
          <w:rtl/>
        </w:rPr>
        <w:t>הנפקת אג"ח על ידי רשויות מקומיות</w:t>
      </w:r>
      <w:r w:rsidRPr="00DA4324" w:rsidR="0016438C">
        <w:rPr>
          <w:rFonts w:hint="cs"/>
          <w:rtl/>
        </w:rPr>
        <w:t xml:space="preserve"> - משנת 2006 לא הונפקו אג"ח מוניציפליות על ידי רשויות מקומיות. </w:t>
      </w:r>
      <w:r w:rsidRPr="00DA4324" w:rsidR="0016438C">
        <w:rPr>
          <w:rtl/>
        </w:rPr>
        <w:t>רק ארבע מ</w:t>
      </w:r>
      <w:r w:rsidRPr="00DA4324" w:rsidR="0016438C">
        <w:rPr>
          <w:rFonts w:hint="cs"/>
          <w:rtl/>
        </w:rPr>
        <w:t>-</w:t>
      </w:r>
      <w:r w:rsidRPr="00DA4324" w:rsidR="0016438C">
        <w:rPr>
          <w:rtl/>
        </w:rPr>
        <w:t>257 רשויות מקומיות גייסו חוב באמצעות הנפקת א</w:t>
      </w:r>
      <w:r w:rsidRPr="00DA4324" w:rsidR="0016438C">
        <w:rPr>
          <w:rFonts w:hint="cs"/>
          <w:rtl/>
        </w:rPr>
        <w:t>ג"ח</w:t>
      </w:r>
      <w:r w:rsidRPr="00DA4324" w:rsidR="0016438C">
        <w:rPr>
          <w:rtl/>
        </w:rPr>
        <w:t xml:space="preserve"> מוניציפליות</w:t>
      </w:r>
      <w:r w:rsidRPr="00DA4324" w:rsidR="0016438C">
        <w:rPr>
          <w:rFonts w:hint="cs"/>
          <w:rtl/>
        </w:rPr>
        <w:t>.</w:t>
      </w:r>
      <w:r w:rsidRPr="00DA4324" w:rsidR="0016438C">
        <w:rPr>
          <w:rtl/>
        </w:rPr>
        <w:t xml:space="preserve"> </w:t>
      </w:r>
      <w:r w:rsidRPr="00DA4324" w:rsidR="0016438C">
        <w:rPr>
          <w:rFonts w:hint="cs"/>
          <w:rtl/>
        </w:rPr>
        <w:t>ה</w:t>
      </w:r>
      <w:r w:rsidRPr="00DA4324" w:rsidR="0016438C">
        <w:rPr>
          <w:rtl/>
        </w:rPr>
        <w:t xml:space="preserve">גיוסים </w:t>
      </w:r>
      <w:r w:rsidRPr="00DA4324" w:rsidR="0016438C">
        <w:rPr>
          <w:rFonts w:hint="cs"/>
          <w:rtl/>
        </w:rPr>
        <w:t>האמורים</w:t>
      </w:r>
      <w:r w:rsidRPr="00DA4324" w:rsidR="0016438C">
        <w:rPr>
          <w:rtl/>
        </w:rPr>
        <w:t xml:space="preserve"> בוצעו רק בשנים 2005 - 2006. סך הערך הנקוב שהונפק </w:t>
      </w:r>
      <w:r w:rsidRPr="00DA4324" w:rsidR="0016438C">
        <w:rPr>
          <w:rFonts w:hint="cs"/>
          <w:rtl/>
        </w:rPr>
        <w:t>היה</w:t>
      </w:r>
      <w:r w:rsidRPr="00DA4324" w:rsidR="0016438C">
        <w:rPr>
          <w:rtl/>
        </w:rPr>
        <w:t xml:space="preserve"> כ-470 מיליון ש"ח</w:t>
      </w:r>
      <w:r w:rsidRPr="00DA4324" w:rsidR="0016438C">
        <w:rPr>
          <w:rFonts w:hint="cs"/>
          <w:rtl/>
        </w:rPr>
        <w:t xml:space="preserve">, זאת לעומת שוק אג"ח מוניציפלי בארה"ב בסכום של כ-4 טריליון דולר בשנת 2021. </w:t>
      </w:r>
      <w:r w:rsidRPr="00DA4324" w:rsidR="0016438C">
        <w:rPr>
          <w:rFonts w:hint="eastAsia"/>
          <w:rtl/>
        </w:rPr>
        <w:t>עוד</w:t>
      </w:r>
      <w:r w:rsidRPr="00DA4324" w:rsidR="0016438C">
        <w:rPr>
          <w:rtl/>
        </w:rPr>
        <w:t xml:space="preserve"> עלה כי כדי להנפיק אג"ח נדרשת הרשות המקומית לפרסם תשקיף שיכלול דוחות כספיים הערוכים על פי כללי החשבונאות המקובלים. </w:t>
      </w:r>
      <w:r w:rsidRPr="00DA4324" w:rsidR="0016438C">
        <w:rPr>
          <w:rFonts w:hint="eastAsia"/>
          <w:rtl/>
        </w:rPr>
        <w:t>עם</w:t>
      </w:r>
      <w:r w:rsidRPr="00DA4324" w:rsidR="0016438C">
        <w:rPr>
          <w:rtl/>
        </w:rPr>
        <w:t xml:space="preserve"> </w:t>
      </w:r>
      <w:r w:rsidRPr="00DA4324" w:rsidR="0016438C">
        <w:rPr>
          <w:rFonts w:hint="eastAsia"/>
          <w:rtl/>
        </w:rPr>
        <w:t>זאת</w:t>
      </w:r>
      <w:r w:rsidRPr="00DA4324" w:rsidR="0016438C">
        <w:rPr>
          <w:rtl/>
        </w:rPr>
        <w:t xml:space="preserve">, </w:t>
      </w:r>
      <w:r w:rsidRPr="00DA4324" w:rsidR="0016438C">
        <w:rPr>
          <w:rFonts w:hint="eastAsia"/>
          <w:rtl/>
        </w:rPr>
        <w:t>עלה</w:t>
      </w:r>
      <w:r w:rsidRPr="00DA4324" w:rsidR="0016438C">
        <w:rPr>
          <w:rtl/>
        </w:rPr>
        <w:t xml:space="preserve"> </w:t>
      </w:r>
      <w:r w:rsidRPr="00DA4324" w:rsidR="0016438C">
        <w:rPr>
          <w:rFonts w:hint="eastAsia"/>
          <w:rtl/>
        </w:rPr>
        <w:t>כי</w:t>
      </w:r>
      <w:r w:rsidRPr="00DA4324" w:rsidR="0016438C">
        <w:rPr>
          <w:rtl/>
        </w:rPr>
        <w:t xml:space="preserve"> הדוחות הכספיים של הרשויות המקומיות אינם ערוכים על פי כללי החשבונאות המקובלים, ולכן לא ניתן להגישם לצורך </w:t>
      </w:r>
      <w:r w:rsidRPr="00DA4324" w:rsidR="0016438C">
        <w:rPr>
          <w:rFonts w:hint="cs"/>
          <w:rtl/>
        </w:rPr>
        <w:t xml:space="preserve">פרסום </w:t>
      </w:r>
      <w:r w:rsidRPr="00DA4324" w:rsidR="0016438C">
        <w:rPr>
          <w:rtl/>
        </w:rPr>
        <w:t>תשקיף</w:t>
      </w:r>
      <w:r w:rsidRPr="00DA4324" w:rsidR="0016438C">
        <w:rPr>
          <w:rFonts w:hint="cs"/>
          <w:rtl/>
        </w:rPr>
        <w:t xml:space="preserve"> לשם הנפקת אג"ח</w:t>
      </w:r>
      <w:r w:rsidRPr="0093709F">
        <w:rPr>
          <w:rFonts w:hint="cs"/>
          <w:rtl/>
        </w:rPr>
        <w:t>.</w:t>
      </w:r>
    </w:p>
    <w:p w:rsidR="0016438C" w:rsidP="008B6FBD" w14:paraId="0A6E9555" w14:textId="0B6F4E9E">
      <w:pPr>
        <w:pStyle w:val="7392"/>
        <w:ind w:left="424"/>
        <w:rPr>
          <w:noProof/>
        </w:rPr>
      </w:pPr>
      <w:r w:rsidRPr="00B02658">
        <w:rPr>
          <w:rFonts w:hint="cs"/>
          <w:b/>
          <w:bCs/>
          <w:noProof/>
          <w:rtl/>
        </w:rPr>
        <w:drawing>
          <wp:anchor distT="0" distB="720090" distL="114300" distR="114300" simplePos="0" relativeHeight="251691008" behindDoc="1" locked="0" layoutInCell="1" allowOverlap="1">
            <wp:simplePos x="0" y="0"/>
            <wp:positionH relativeFrom="column">
              <wp:posOffset>4526280</wp:posOffset>
            </wp:positionH>
            <wp:positionV relativeFrom="paragraph">
              <wp:posOffset>19213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D7BB5">
        <w:rPr>
          <w:rStyle w:val="7340"/>
          <w:rFonts w:hint="cs"/>
          <w:rtl/>
        </w:rPr>
        <w:t>היתרי אשראי לתאגידים עירוניים</w:t>
      </w:r>
      <w:r w:rsidRPr="00DA4324">
        <w:rPr>
          <w:rFonts w:hint="cs"/>
          <w:rtl/>
        </w:rPr>
        <w:t xml:space="preserve"> - </w:t>
      </w:r>
      <w:r w:rsidRPr="00DA4324">
        <w:rPr>
          <w:rtl/>
        </w:rPr>
        <w:t xml:space="preserve">59% מסכום היתרי ההלוואות </w:t>
      </w:r>
      <w:r w:rsidRPr="00DA4324">
        <w:rPr>
          <w:rFonts w:hint="cs"/>
          <w:rtl/>
        </w:rPr>
        <w:t>ש</w:t>
      </w:r>
      <w:r w:rsidRPr="00DA4324">
        <w:rPr>
          <w:rtl/>
        </w:rPr>
        <w:t>ניתנו לתאגידים עירוניים בשנת 2020</w:t>
      </w:r>
      <w:r w:rsidRPr="00DA4324">
        <w:rPr>
          <w:rFonts w:hint="cs"/>
          <w:rtl/>
        </w:rPr>
        <w:t xml:space="preserve"> הם של</w:t>
      </w:r>
      <w:r w:rsidRPr="00DA4324">
        <w:rPr>
          <w:rtl/>
        </w:rPr>
        <w:t xml:space="preserve"> עיריית תל אביב-יפו.</w:t>
      </w:r>
      <w:r w:rsidRPr="00DA4324">
        <w:rPr>
          <w:rFonts w:hint="cs"/>
          <w:rtl/>
        </w:rPr>
        <w:t xml:space="preserve"> כמו כן עלה כי </w:t>
      </w:r>
      <w:r w:rsidRPr="00DA4324">
        <w:rPr>
          <w:rtl/>
        </w:rPr>
        <w:t>ארבעה תאגידים עירוניים איתנים נדרשו לפנות למשרד הפנים בבקשה לקבלת היתרי אשראי להנפקת ערבויות בסכומים שאינם מהותיים (בין 9,000 ש"ח ל-47,000 ש"ח) ל</w:t>
      </w:r>
      <w:r w:rsidRPr="00DA4324">
        <w:rPr>
          <w:rFonts w:hint="cs"/>
          <w:rtl/>
        </w:rPr>
        <w:t xml:space="preserve">עומת </w:t>
      </w:r>
      <w:r w:rsidRPr="00DA4324">
        <w:rPr>
          <w:rtl/>
        </w:rPr>
        <w:t>היקף פעילותן הכספי</w:t>
      </w:r>
      <w:r w:rsidRPr="00DA4324">
        <w:rPr>
          <w:rFonts w:hint="cs"/>
          <w:rtl/>
        </w:rPr>
        <w:t>ת,</w:t>
      </w:r>
      <w:r w:rsidRPr="00DA4324">
        <w:rPr>
          <w:rtl/>
        </w:rPr>
        <w:t xml:space="preserve"> המסתכ</w:t>
      </w:r>
      <w:r w:rsidRPr="00DA4324">
        <w:rPr>
          <w:rFonts w:hint="cs"/>
          <w:rtl/>
        </w:rPr>
        <w:t>מת</w:t>
      </w:r>
      <w:r w:rsidRPr="00DA4324">
        <w:rPr>
          <w:rtl/>
        </w:rPr>
        <w:t xml:space="preserve"> בעשרות עד מאות מיליוני ש"ח </w:t>
      </w:r>
      <w:r w:rsidRPr="00DA4324">
        <w:rPr>
          <w:rFonts w:hint="cs"/>
          <w:rtl/>
        </w:rPr>
        <w:t>ו</w:t>
      </w:r>
      <w:r w:rsidRPr="00DA4324">
        <w:rPr>
          <w:rtl/>
        </w:rPr>
        <w:t>זאת לשם השתתפות בקולות קוראים ו</w:t>
      </w:r>
      <w:r w:rsidRPr="00DA4324">
        <w:rPr>
          <w:rFonts w:hint="cs"/>
          <w:rtl/>
        </w:rPr>
        <w:t>ב</w:t>
      </w:r>
      <w:r w:rsidRPr="00DA4324">
        <w:rPr>
          <w:rtl/>
        </w:rPr>
        <w:t>מכרזים ממשלתיים</w:t>
      </w:r>
      <w:r w:rsidRPr="0093709F" w:rsidR="00420374">
        <w:rPr>
          <w:rFonts w:hint="cs"/>
          <w:rtl/>
        </w:rPr>
        <w:t>.</w:t>
      </w:r>
    </w:p>
    <w:p w:rsidR="0016438C" w:rsidP="008B6FBD" w14:paraId="10606430" w14:textId="3E2B9902">
      <w:pPr>
        <w:pStyle w:val="7392"/>
        <w:ind w:left="424"/>
        <w:rPr>
          <w:noProof/>
        </w:rPr>
      </w:pPr>
      <w:r w:rsidRPr="00B02658">
        <w:rPr>
          <w:rFonts w:hint="cs"/>
          <w:b/>
          <w:bCs/>
          <w:noProof/>
          <w:rtl/>
        </w:rPr>
        <w:drawing>
          <wp:anchor distT="0" distB="720090" distL="114300" distR="114300" simplePos="0" relativeHeight="251689984" behindDoc="1" locked="0" layoutInCell="1" allowOverlap="1">
            <wp:simplePos x="0" y="0"/>
            <wp:positionH relativeFrom="column">
              <wp:posOffset>4526752</wp:posOffset>
            </wp:positionH>
            <wp:positionV relativeFrom="paragraph">
              <wp:posOffset>38735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D7BB5">
        <w:rPr>
          <w:rStyle w:val="7340"/>
          <w:rFonts w:hint="cs"/>
          <w:rtl/>
        </w:rPr>
        <w:t>דרכי המימון של קופות החולים</w:t>
      </w:r>
      <w:r w:rsidRPr="00DA4324">
        <w:rPr>
          <w:rFonts w:hint="cs"/>
          <w:rtl/>
        </w:rPr>
        <w:t xml:space="preserve"> - </w:t>
      </w:r>
      <w:r w:rsidRPr="00DA4324">
        <w:rPr>
          <w:rFonts w:hint="eastAsia"/>
          <w:rtl/>
        </w:rPr>
        <w:t>קופות</w:t>
      </w:r>
      <w:r w:rsidRPr="00DA4324">
        <w:rPr>
          <w:rtl/>
        </w:rPr>
        <w:t xml:space="preserve"> החולים אינן </w:t>
      </w:r>
      <w:r w:rsidRPr="00DA4324">
        <w:rPr>
          <w:rFonts w:hint="cs"/>
          <w:rtl/>
        </w:rPr>
        <w:t>משתמשות</w:t>
      </w:r>
      <w:r w:rsidRPr="00DA4324">
        <w:rPr>
          <w:rtl/>
        </w:rPr>
        <w:t xml:space="preserve"> בחלופות מימון נוספות מלבד הסדרת מסגרות אשראי לטווח קצר בסך כולל של 709 </w:t>
      </w:r>
      <w:r w:rsidRPr="00DA4324">
        <w:rPr>
          <w:rFonts w:hint="cs"/>
          <w:rtl/>
        </w:rPr>
        <w:t>מיליון ש"ח</w:t>
      </w:r>
      <w:r w:rsidRPr="00DA4324">
        <w:rPr>
          <w:rtl/>
        </w:rPr>
        <w:t xml:space="preserve"> נכון </w:t>
      </w:r>
      <w:r w:rsidRPr="00DA4324">
        <w:rPr>
          <w:rFonts w:hint="cs"/>
          <w:rtl/>
        </w:rPr>
        <w:t>ל-</w:t>
      </w:r>
      <w:r w:rsidRPr="00DA4324">
        <w:rPr>
          <w:rtl/>
        </w:rPr>
        <w:t>31.12.</w:t>
      </w:r>
      <w:r w:rsidRPr="00DA4324">
        <w:rPr>
          <w:rFonts w:hint="cs"/>
          <w:rtl/>
        </w:rPr>
        <w:t>20</w:t>
      </w:r>
      <w:r w:rsidRPr="00DA4324">
        <w:rPr>
          <w:rtl/>
        </w:rPr>
        <w:t xml:space="preserve">. </w:t>
      </w:r>
      <w:r w:rsidRPr="00DA4324">
        <w:rPr>
          <w:rFonts w:hint="cs"/>
          <w:rtl/>
        </w:rPr>
        <w:t xml:space="preserve">מכבי שירותי בריאות </w:t>
      </w:r>
      <w:r w:rsidRPr="00DA4324">
        <w:rPr>
          <w:rtl/>
        </w:rPr>
        <w:t xml:space="preserve">היא </w:t>
      </w:r>
      <w:r w:rsidRPr="00DA4324">
        <w:rPr>
          <w:rFonts w:hint="eastAsia"/>
          <w:rtl/>
        </w:rPr>
        <w:t>היחידה</w:t>
      </w:r>
      <w:r w:rsidRPr="00DA4324">
        <w:rPr>
          <w:rtl/>
        </w:rPr>
        <w:t xml:space="preserve"> </w:t>
      </w:r>
      <w:r w:rsidRPr="00DA4324">
        <w:rPr>
          <w:rFonts w:hint="eastAsia"/>
          <w:rtl/>
        </w:rPr>
        <w:t>מבין</w:t>
      </w:r>
      <w:r w:rsidRPr="00DA4324">
        <w:rPr>
          <w:rtl/>
        </w:rPr>
        <w:t xml:space="preserve"> </w:t>
      </w:r>
      <w:r w:rsidRPr="00DA4324">
        <w:rPr>
          <w:rFonts w:hint="eastAsia"/>
          <w:rtl/>
        </w:rPr>
        <w:t>קופות</w:t>
      </w:r>
      <w:r w:rsidRPr="00DA4324">
        <w:rPr>
          <w:rtl/>
        </w:rPr>
        <w:t xml:space="preserve"> </w:t>
      </w:r>
      <w:r w:rsidRPr="00DA4324">
        <w:rPr>
          <w:rFonts w:hint="eastAsia"/>
          <w:rtl/>
        </w:rPr>
        <w:t>החולים</w:t>
      </w:r>
      <w:r w:rsidRPr="00DA4324">
        <w:rPr>
          <w:rtl/>
        </w:rPr>
        <w:t xml:space="preserve"> </w:t>
      </w:r>
      <w:r w:rsidRPr="00DA4324">
        <w:rPr>
          <w:rFonts w:hint="eastAsia"/>
          <w:rtl/>
        </w:rPr>
        <w:t>המציגה</w:t>
      </w:r>
      <w:r w:rsidRPr="00DA4324">
        <w:rPr>
          <w:rtl/>
        </w:rPr>
        <w:t xml:space="preserve"> </w:t>
      </w:r>
      <w:r w:rsidRPr="00DA4324">
        <w:rPr>
          <w:rFonts w:hint="eastAsia"/>
          <w:rtl/>
        </w:rPr>
        <w:t>בדוחותיה</w:t>
      </w:r>
      <w:r w:rsidRPr="00DA4324">
        <w:rPr>
          <w:rtl/>
        </w:rPr>
        <w:t xml:space="preserve"> </w:t>
      </w:r>
      <w:r w:rsidRPr="00DA4324">
        <w:rPr>
          <w:rFonts w:hint="eastAsia"/>
          <w:rtl/>
        </w:rPr>
        <w:t>הכספיים</w:t>
      </w:r>
      <w:r w:rsidRPr="00DA4324">
        <w:rPr>
          <w:rtl/>
        </w:rPr>
        <w:t xml:space="preserve"> </w:t>
      </w:r>
      <w:r w:rsidRPr="00DA4324">
        <w:rPr>
          <w:rFonts w:hint="eastAsia"/>
          <w:rtl/>
        </w:rPr>
        <w:t>הלוואות</w:t>
      </w:r>
      <w:r w:rsidRPr="00DA4324">
        <w:rPr>
          <w:rtl/>
        </w:rPr>
        <w:t xml:space="preserve"> </w:t>
      </w:r>
      <w:r w:rsidRPr="00DA4324">
        <w:rPr>
          <w:rFonts w:hint="eastAsia"/>
          <w:rtl/>
        </w:rPr>
        <w:t>לטווח</w:t>
      </w:r>
      <w:r w:rsidRPr="00DA4324">
        <w:rPr>
          <w:rtl/>
        </w:rPr>
        <w:t xml:space="preserve"> </w:t>
      </w:r>
      <w:r w:rsidRPr="00DA4324">
        <w:rPr>
          <w:rFonts w:hint="eastAsia"/>
          <w:rtl/>
        </w:rPr>
        <w:t>ארוך</w:t>
      </w:r>
      <w:r w:rsidRPr="00DA4324">
        <w:rPr>
          <w:rFonts w:hint="cs"/>
          <w:rtl/>
        </w:rPr>
        <w:t>,</w:t>
      </w:r>
      <w:r w:rsidRPr="00DA4324">
        <w:rPr>
          <w:rtl/>
        </w:rPr>
        <w:t xml:space="preserve"> שכן חברות המוחזקות על ידה לוקחות הלוואות לטווח ארוך</w:t>
      </w:r>
      <w:r w:rsidRPr="00DA4324">
        <w:rPr>
          <w:rFonts w:hint="cs"/>
          <w:rtl/>
        </w:rPr>
        <w:t>,</w:t>
      </w:r>
      <w:r w:rsidRPr="00DA4324">
        <w:rPr>
          <w:rtl/>
        </w:rPr>
        <w:t xml:space="preserve"> ו</w:t>
      </w:r>
      <w:r w:rsidRPr="00DA4324">
        <w:rPr>
          <w:rFonts w:hint="cs"/>
          <w:rtl/>
        </w:rPr>
        <w:t>ב</w:t>
      </w:r>
      <w:r w:rsidRPr="00DA4324">
        <w:rPr>
          <w:rtl/>
        </w:rPr>
        <w:t>-31.12.</w:t>
      </w:r>
      <w:r w:rsidRPr="00DA4324">
        <w:rPr>
          <w:rFonts w:hint="cs"/>
          <w:rtl/>
        </w:rPr>
        <w:t>20</w:t>
      </w:r>
      <w:r w:rsidRPr="00DA4324">
        <w:rPr>
          <w:rtl/>
        </w:rPr>
        <w:t xml:space="preserve"> הסתכמה יתרת הלוואות אלו בכ-</w:t>
      </w:r>
      <w:r w:rsidRPr="00DA4324">
        <w:rPr>
          <w:rFonts w:hint="cs"/>
          <w:rtl/>
        </w:rPr>
        <w:t>461 מיליוני</w:t>
      </w:r>
      <w:r w:rsidRPr="00DA4324">
        <w:rPr>
          <w:rtl/>
        </w:rPr>
        <w:t xml:space="preserve"> ש"ח. הבדל זה באופן לקיחת ההלוואות יכול ליצור בטווח הארוך פער בין שירותי הבריאות הניתנים לציבור המטופלים, שכן קופה </w:t>
      </w:r>
      <w:r w:rsidRPr="00DA4324">
        <w:rPr>
          <w:rFonts w:hint="cs"/>
          <w:rtl/>
        </w:rPr>
        <w:t>הלוקחת</w:t>
      </w:r>
      <w:r w:rsidRPr="00DA4324">
        <w:rPr>
          <w:rtl/>
        </w:rPr>
        <w:t xml:space="preserve"> הלוואות</w:t>
      </w:r>
      <w:r w:rsidRPr="00DA4324">
        <w:rPr>
          <w:rFonts w:hint="cs"/>
          <w:rtl/>
        </w:rPr>
        <w:t xml:space="preserve"> לטווח ארוך</w:t>
      </w:r>
      <w:r w:rsidRPr="00DA4324">
        <w:rPr>
          <w:rtl/>
        </w:rPr>
        <w:t xml:space="preserve"> </w:t>
      </w:r>
      <w:r w:rsidRPr="00DA4324">
        <w:rPr>
          <w:rFonts w:hint="cs"/>
          <w:rtl/>
        </w:rPr>
        <w:t>תוכל</w:t>
      </w:r>
      <w:r w:rsidRPr="00DA4324">
        <w:rPr>
          <w:rtl/>
        </w:rPr>
        <w:t xml:space="preserve"> לבצע מינוף נכון ולאפשר את הרחבת שירותי הבריאות לכלל מבוטחיה, ואילו קופה שאינה לוקחת הלוואות לטווח ארוך תתקשה יותר בבניית פרויקטים ארוכי טווח</w:t>
      </w:r>
      <w:r>
        <w:rPr>
          <w:rFonts w:hint="cs"/>
          <w:rtl/>
        </w:rPr>
        <w:t>.</w:t>
      </w:r>
    </w:p>
    <w:p w:rsidR="0016438C" w:rsidP="008B6FBD" w14:paraId="3E653BA8" w14:textId="2FCBF259">
      <w:pPr>
        <w:pStyle w:val="7392"/>
        <w:ind w:left="424"/>
        <w:rPr>
          <w:noProof/>
        </w:rPr>
      </w:pPr>
      <w:r w:rsidRPr="00B02658">
        <w:rPr>
          <w:rFonts w:hint="cs"/>
          <w:b/>
          <w:bCs/>
          <w:noProof/>
          <w:rtl/>
        </w:rPr>
        <w:drawing>
          <wp:anchor distT="0" distB="720090" distL="114300" distR="114300" simplePos="0" relativeHeight="251688960" behindDoc="1" locked="0" layoutInCell="1" allowOverlap="1">
            <wp:simplePos x="0" y="0"/>
            <wp:positionH relativeFrom="column">
              <wp:posOffset>4526752</wp:posOffset>
            </wp:positionH>
            <wp:positionV relativeFrom="paragraph">
              <wp:posOffset>38735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D7BB5">
        <w:rPr>
          <w:rStyle w:val="7340"/>
          <w:rFonts w:hint="cs"/>
          <w:rtl/>
        </w:rPr>
        <w:t xml:space="preserve">דרכי המימון של </w:t>
      </w:r>
      <w:r w:rsidRPr="002D7BB5">
        <w:rPr>
          <w:rStyle w:val="7340"/>
          <w:rFonts w:hint="eastAsia"/>
          <w:rtl/>
        </w:rPr>
        <w:t>רשות</w:t>
      </w:r>
      <w:r w:rsidRPr="002D7BB5">
        <w:rPr>
          <w:rStyle w:val="7340"/>
          <w:rtl/>
        </w:rPr>
        <w:t xml:space="preserve"> </w:t>
      </w:r>
      <w:r w:rsidRPr="002D7BB5">
        <w:rPr>
          <w:rStyle w:val="7340"/>
          <w:rFonts w:hint="eastAsia"/>
          <w:rtl/>
        </w:rPr>
        <w:t>שדות</w:t>
      </w:r>
      <w:r w:rsidRPr="002D7BB5">
        <w:rPr>
          <w:rStyle w:val="7340"/>
          <w:rtl/>
        </w:rPr>
        <w:t xml:space="preserve"> </w:t>
      </w:r>
      <w:r w:rsidRPr="002D7BB5">
        <w:rPr>
          <w:rStyle w:val="7340"/>
          <w:rFonts w:hint="eastAsia"/>
          <w:rtl/>
        </w:rPr>
        <w:t>התעופה</w:t>
      </w:r>
      <w:r w:rsidRPr="00DA4324">
        <w:rPr>
          <w:rFonts w:hint="cs"/>
          <w:rtl/>
        </w:rPr>
        <w:t xml:space="preserve"> - </w:t>
      </w:r>
      <w:r w:rsidRPr="00DA4324">
        <w:rPr>
          <w:rtl/>
        </w:rPr>
        <w:t xml:space="preserve">הגם שוועדת הכספים של רשות שדות התעופה המליצה בספטמבר 2020 להיערך לגיוס אג"ח רצף מוסדי לטווח הארוך, </w:t>
      </w:r>
      <w:r w:rsidRPr="00DA4324">
        <w:rPr>
          <w:rFonts w:hint="eastAsia"/>
          <w:rtl/>
        </w:rPr>
        <w:t>עד</w:t>
      </w:r>
      <w:r w:rsidRPr="00DA4324">
        <w:rPr>
          <w:rtl/>
        </w:rPr>
        <w:t xml:space="preserve"> </w:t>
      </w:r>
      <w:r w:rsidRPr="00DA4324">
        <w:rPr>
          <w:rFonts w:hint="eastAsia"/>
          <w:rtl/>
        </w:rPr>
        <w:t>ל</w:t>
      </w:r>
      <w:r w:rsidRPr="00DA4324">
        <w:rPr>
          <w:rtl/>
        </w:rPr>
        <w:t>-24.5.</w:t>
      </w:r>
      <w:r w:rsidRPr="00DA4324">
        <w:rPr>
          <w:rFonts w:hint="cs"/>
          <w:rtl/>
        </w:rPr>
        <w:t>21</w:t>
      </w:r>
      <w:r w:rsidRPr="00DA4324">
        <w:rPr>
          <w:rtl/>
        </w:rPr>
        <w:t xml:space="preserve"> </w:t>
      </w:r>
      <w:r w:rsidRPr="00DA4324">
        <w:rPr>
          <w:rFonts w:hint="eastAsia"/>
          <w:rtl/>
        </w:rPr>
        <w:t>נוצל</w:t>
      </w:r>
      <w:r w:rsidRPr="00DA4324">
        <w:rPr>
          <w:rtl/>
        </w:rPr>
        <w:t xml:space="preserve"> </w:t>
      </w:r>
      <w:r w:rsidRPr="00DA4324">
        <w:rPr>
          <w:rFonts w:hint="eastAsia"/>
          <w:rtl/>
        </w:rPr>
        <w:t>על</w:t>
      </w:r>
      <w:r w:rsidRPr="00DA4324">
        <w:rPr>
          <w:rtl/>
        </w:rPr>
        <w:t xml:space="preserve"> </w:t>
      </w:r>
      <w:r w:rsidRPr="00DA4324">
        <w:rPr>
          <w:rFonts w:hint="eastAsia"/>
          <w:rtl/>
        </w:rPr>
        <w:t>ידי</w:t>
      </w:r>
      <w:r w:rsidRPr="00DA4324">
        <w:rPr>
          <w:rtl/>
        </w:rPr>
        <w:t xml:space="preserve"> </w:t>
      </w:r>
      <w:r w:rsidRPr="00DA4324">
        <w:rPr>
          <w:rFonts w:hint="eastAsia"/>
          <w:rtl/>
        </w:rPr>
        <w:t>הרשות</w:t>
      </w:r>
      <w:r w:rsidRPr="00DA4324">
        <w:rPr>
          <w:rtl/>
        </w:rPr>
        <w:t xml:space="preserve"> </w:t>
      </w:r>
      <w:r w:rsidRPr="00DA4324">
        <w:rPr>
          <w:rFonts w:hint="eastAsia"/>
          <w:rtl/>
        </w:rPr>
        <w:t>סכום</w:t>
      </w:r>
      <w:r w:rsidRPr="00DA4324">
        <w:rPr>
          <w:rtl/>
        </w:rPr>
        <w:t xml:space="preserve"> </w:t>
      </w:r>
      <w:r w:rsidRPr="00DA4324">
        <w:rPr>
          <w:rFonts w:hint="eastAsia"/>
          <w:rtl/>
        </w:rPr>
        <w:t>של</w:t>
      </w:r>
      <w:r w:rsidRPr="00DA4324">
        <w:rPr>
          <w:rtl/>
        </w:rPr>
        <w:t xml:space="preserve"> 465 </w:t>
      </w:r>
      <w:r w:rsidRPr="00DA4324">
        <w:rPr>
          <w:rFonts w:hint="eastAsia"/>
          <w:rtl/>
        </w:rPr>
        <w:t>מיליוני</w:t>
      </w:r>
      <w:r w:rsidRPr="00DA4324">
        <w:rPr>
          <w:rtl/>
        </w:rPr>
        <w:t xml:space="preserve"> ש"ח ממסגרות האשראי </w:t>
      </w:r>
      <w:r w:rsidRPr="00DA4324">
        <w:rPr>
          <w:rFonts w:hint="eastAsia"/>
          <w:rtl/>
        </w:rPr>
        <w:t>לטווח</w:t>
      </w:r>
      <w:r w:rsidRPr="00DA4324">
        <w:rPr>
          <w:rtl/>
        </w:rPr>
        <w:t xml:space="preserve"> </w:t>
      </w:r>
      <w:r w:rsidRPr="00DA4324">
        <w:rPr>
          <w:rFonts w:hint="eastAsia"/>
          <w:rtl/>
        </w:rPr>
        <w:t>קצר</w:t>
      </w:r>
      <w:r w:rsidRPr="00DA4324">
        <w:rPr>
          <w:rFonts w:hint="cs"/>
          <w:rtl/>
        </w:rPr>
        <w:t>.</w:t>
      </w:r>
      <w:r w:rsidRPr="00DA4324">
        <w:rPr>
          <w:rtl/>
        </w:rPr>
        <w:t xml:space="preserve"> </w:t>
      </w:r>
      <w:r w:rsidRPr="00DA4324">
        <w:rPr>
          <w:rFonts w:hint="eastAsia"/>
          <w:rtl/>
        </w:rPr>
        <w:t>יצוין</w:t>
      </w:r>
      <w:r w:rsidRPr="00DA4324">
        <w:rPr>
          <w:rtl/>
        </w:rPr>
        <w:t xml:space="preserve"> </w:t>
      </w:r>
      <w:r w:rsidRPr="00DA4324">
        <w:rPr>
          <w:rFonts w:hint="eastAsia"/>
          <w:rtl/>
        </w:rPr>
        <w:t>כי</w:t>
      </w:r>
      <w:r w:rsidRPr="00DA4324">
        <w:rPr>
          <w:rFonts w:hint="cs"/>
          <w:rtl/>
        </w:rPr>
        <w:t xml:space="preserve"> לאחר</w:t>
      </w:r>
      <w:r w:rsidRPr="00DA4324">
        <w:rPr>
          <w:rtl/>
        </w:rPr>
        <w:t xml:space="preserve"> </w:t>
      </w:r>
      <w:r w:rsidRPr="00DA4324">
        <w:rPr>
          <w:rFonts w:hint="cs"/>
          <w:rtl/>
        </w:rPr>
        <w:t>מועד</w:t>
      </w:r>
      <w:r w:rsidRPr="00DA4324">
        <w:rPr>
          <w:rtl/>
        </w:rPr>
        <w:t xml:space="preserve"> סיום הביקורת,</w:t>
      </w:r>
      <w:r w:rsidRPr="00DA4324">
        <w:rPr>
          <w:rFonts w:hint="cs"/>
          <w:rtl/>
        </w:rPr>
        <w:t xml:space="preserve"> בסוף חודש יוני 2022</w:t>
      </w:r>
      <w:r w:rsidRPr="00DA4324">
        <w:rPr>
          <w:rtl/>
        </w:rPr>
        <w:t xml:space="preserve"> </w:t>
      </w:r>
      <w:r w:rsidRPr="00DA4324">
        <w:rPr>
          <w:rFonts w:hint="eastAsia"/>
          <w:rtl/>
        </w:rPr>
        <w:t>יצאה</w:t>
      </w:r>
      <w:r w:rsidRPr="00DA4324">
        <w:rPr>
          <w:rtl/>
        </w:rPr>
        <w:t xml:space="preserve"> הרשות להנפקה למשקיעים מוסדיים</w:t>
      </w:r>
      <w:r>
        <w:rPr>
          <w:rFonts w:hint="cs"/>
          <w:rtl/>
        </w:rPr>
        <w:t>.</w:t>
      </w:r>
    </w:p>
    <w:p w:rsidR="0016438C" w:rsidP="008B6FBD" w14:paraId="7E6F12C2" w14:textId="5881515C">
      <w:pPr>
        <w:pStyle w:val="7392"/>
        <w:ind w:left="424"/>
        <w:rPr>
          <w:noProof/>
        </w:rPr>
      </w:pPr>
      <w:r w:rsidRPr="00B02658">
        <w:rPr>
          <w:rFonts w:hint="cs"/>
          <w:b/>
          <w:bCs/>
          <w:noProof/>
          <w:rtl/>
        </w:rPr>
        <w:drawing>
          <wp:anchor distT="0" distB="720090" distL="114300" distR="114300" simplePos="0" relativeHeight="251687936" behindDoc="1" locked="0" layoutInCell="1" allowOverlap="1">
            <wp:simplePos x="0" y="0"/>
            <wp:positionH relativeFrom="column">
              <wp:posOffset>4526752</wp:posOffset>
            </wp:positionH>
            <wp:positionV relativeFrom="paragraph">
              <wp:posOffset>38735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D7BB5">
        <w:rPr>
          <w:rStyle w:val="7340"/>
          <w:rFonts w:hint="eastAsia"/>
          <w:rtl/>
        </w:rPr>
        <w:t>עלויות</w:t>
      </w:r>
      <w:r w:rsidRPr="002D7BB5">
        <w:rPr>
          <w:rStyle w:val="7340"/>
          <w:rtl/>
        </w:rPr>
        <w:t xml:space="preserve"> </w:t>
      </w:r>
      <w:r w:rsidRPr="002D7BB5">
        <w:rPr>
          <w:rStyle w:val="7340"/>
          <w:rFonts w:hint="eastAsia"/>
          <w:rtl/>
        </w:rPr>
        <w:t>הנפקת</w:t>
      </w:r>
      <w:r w:rsidRPr="002D7BB5">
        <w:rPr>
          <w:rStyle w:val="7340"/>
          <w:rtl/>
        </w:rPr>
        <w:t xml:space="preserve"> </w:t>
      </w:r>
      <w:r w:rsidRPr="002D7BB5">
        <w:rPr>
          <w:rStyle w:val="7340"/>
          <w:rFonts w:hint="eastAsia"/>
          <w:rtl/>
        </w:rPr>
        <w:t>אג</w:t>
      </w:r>
      <w:r w:rsidRPr="002D7BB5">
        <w:rPr>
          <w:rStyle w:val="7340"/>
          <w:rtl/>
        </w:rPr>
        <w:t>"ח</w:t>
      </w:r>
      <w:r w:rsidRPr="002D7BB5">
        <w:rPr>
          <w:rStyle w:val="7340"/>
          <w:rFonts w:hint="cs"/>
          <w:rtl/>
        </w:rPr>
        <w:t xml:space="preserve"> בחברות ממשלתיות לעומת הנפקת אג"ח מדינה</w:t>
      </w:r>
      <w:r w:rsidRPr="00DA4324">
        <w:rPr>
          <w:rFonts w:hint="cs"/>
          <w:rtl/>
        </w:rPr>
        <w:t xml:space="preserve"> - ב-</w:t>
      </w:r>
      <w:r w:rsidRPr="00DA4324">
        <w:rPr>
          <w:rtl/>
        </w:rPr>
        <w:t>31.12.</w:t>
      </w:r>
      <w:r w:rsidRPr="00DA4324">
        <w:rPr>
          <w:rFonts w:hint="cs"/>
          <w:rtl/>
        </w:rPr>
        <w:t>21</w:t>
      </w:r>
      <w:r w:rsidRPr="00DA4324">
        <w:rPr>
          <w:rtl/>
        </w:rPr>
        <w:t xml:space="preserve">, </w:t>
      </w:r>
      <w:r w:rsidRPr="00DA4324">
        <w:rPr>
          <w:rFonts w:hint="cs"/>
          <w:rtl/>
        </w:rPr>
        <w:t>היקף</w:t>
      </w:r>
      <w:r w:rsidRPr="00DA4324">
        <w:rPr>
          <w:rtl/>
        </w:rPr>
        <w:t xml:space="preserve"> </w:t>
      </w:r>
      <w:r w:rsidRPr="00DA4324">
        <w:rPr>
          <w:rFonts w:hint="cs"/>
          <w:rtl/>
        </w:rPr>
        <w:t>האג"ח</w:t>
      </w:r>
      <w:r w:rsidRPr="00DA4324">
        <w:rPr>
          <w:rtl/>
        </w:rPr>
        <w:t xml:space="preserve"> </w:t>
      </w:r>
      <w:r w:rsidRPr="00DA4324">
        <w:rPr>
          <w:rFonts w:hint="cs"/>
          <w:rtl/>
        </w:rPr>
        <w:t>של ה</w:t>
      </w:r>
      <w:r w:rsidRPr="00DA4324">
        <w:rPr>
          <w:rtl/>
        </w:rPr>
        <w:t xml:space="preserve">חברות </w:t>
      </w:r>
      <w:r w:rsidRPr="00DA4324">
        <w:rPr>
          <w:rFonts w:hint="cs"/>
          <w:rtl/>
        </w:rPr>
        <w:t>ה</w:t>
      </w:r>
      <w:r w:rsidRPr="00DA4324">
        <w:rPr>
          <w:rtl/>
        </w:rPr>
        <w:t>ממשלתיות</w:t>
      </w:r>
      <w:r w:rsidRPr="00DA4324">
        <w:rPr>
          <w:rFonts w:hint="cs"/>
          <w:rtl/>
        </w:rPr>
        <w:t xml:space="preserve"> </w:t>
      </w:r>
      <w:r w:rsidRPr="00DA4324">
        <w:rPr>
          <w:rFonts w:hint="eastAsia"/>
          <w:rtl/>
        </w:rPr>
        <w:t>עומד</w:t>
      </w:r>
      <w:r w:rsidRPr="00DA4324">
        <w:rPr>
          <w:rtl/>
        </w:rPr>
        <w:t xml:space="preserve"> על כ-32 מיליארד ש"ח. </w:t>
      </w:r>
      <w:r w:rsidRPr="00DA4324">
        <w:rPr>
          <w:rFonts w:hint="eastAsia"/>
          <w:rtl/>
        </w:rPr>
        <w:t>מניתוח</w:t>
      </w:r>
      <w:r w:rsidRPr="00DA4324">
        <w:rPr>
          <w:rtl/>
        </w:rPr>
        <w:t xml:space="preserve"> </w:t>
      </w:r>
      <w:r w:rsidRPr="00DA4324">
        <w:rPr>
          <w:rFonts w:hint="eastAsia"/>
          <w:rtl/>
        </w:rPr>
        <w:t>הנפקות</w:t>
      </w:r>
      <w:r w:rsidRPr="00DA4324">
        <w:rPr>
          <w:rtl/>
        </w:rPr>
        <w:t xml:space="preserve"> </w:t>
      </w:r>
      <w:r w:rsidRPr="00DA4324">
        <w:rPr>
          <w:rFonts w:hint="eastAsia"/>
          <w:rtl/>
        </w:rPr>
        <w:t>של</w:t>
      </w:r>
      <w:r w:rsidRPr="00DA4324">
        <w:rPr>
          <w:rFonts w:hint="cs"/>
          <w:rtl/>
        </w:rPr>
        <w:t xml:space="preserve"> </w:t>
      </w:r>
      <w:r w:rsidRPr="00DA4324">
        <w:rPr>
          <w:rtl/>
        </w:rPr>
        <w:t>חברות ממשלתיות</w:t>
      </w:r>
      <w:r w:rsidRPr="00DA4324">
        <w:rPr>
          <w:rFonts w:hint="cs"/>
          <w:rtl/>
        </w:rPr>
        <w:t xml:space="preserve"> (</w:t>
      </w:r>
      <w:r w:rsidRPr="00DA4324">
        <w:rPr>
          <w:rFonts w:hint="cs"/>
          <w:rtl/>
        </w:rPr>
        <w:t>חנ"י</w:t>
      </w:r>
      <w:r w:rsidRPr="00DA4324">
        <w:rPr>
          <w:rFonts w:hint="cs"/>
          <w:rtl/>
        </w:rPr>
        <w:t xml:space="preserve">, </w:t>
      </w:r>
      <w:r w:rsidRPr="00DA4324">
        <w:rPr>
          <w:rFonts w:hint="cs"/>
          <w:rtl/>
        </w:rPr>
        <w:t>חח"י</w:t>
      </w:r>
      <w:r w:rsidRPr="00DA4324">
        <w:rPr>
          <w:rFonts w:hint="cs"/>
          <w:rtl/>
        </w:rPr>
        <w:t xml:space="preserve">, מקורות, רפאל, </w:t>
      </w:r>
      <w:r w:rsidRPr="00DA4324">
        <w:rPr>
          <w:rFonts w:hint="cs"/>
          <w:rtl/>
        </w:rPr>
        <w:t>נתג"ז</w:t>
      </w:r>
      <w:r w:rsidRPr="00DA4324">
        <w:rPr>
          <w:rFonts w:hint="cs"/>
          <w:rtl/>
        </w:rPr>
        <w:t xml:space="preserve">, </w:t>
      </w:r>
      <w:r w:rsidRPr="00DA4324">
        <w:rPr>
          <w:rFonts w:hint="cs"/>
          <w:rtl/>
        </w:rPr>
        <w:t>תש"ן</w:t>
      </w:r>
      <w:r w:rsidRPr="00DA4324">
        <w:rPr>
          <w:rFonts w:hint="cs"/>
          <w:rtl/>
        </w:rPr>
        <w:t xml:space="preserve"> ורכבת ישראל)</w:t>
      </w:r>
      <w:r w:rsidRPr="00DA4324">
        <w:rPr>
          <w:rtl/>
        </w:rPr>
        <w:t xml:space="preserve"> בשנים 2019 - 2021 עולה כי </w:t>
      </w:r>
      <w:r w:rsidRPr="00DA4324">
        <w:rPr>
          <w:rFonts w:hint="eastAsia"/>
          <w:rtl/>
        </w:rPr>
        <w:t>ממוצע</w:t>
      </w:r>
      <w:r w:rsidRPr="00DA4324">
        <w:rPr>
          <w:rtl/>
        </w:rPr>
        <w:t xml:space="preserve"> </w:t>
      </w:r>
      <w:r w:rsidRPr="00DA4324">
        <w:rPr>
          <w:rFonts w:hint="eastAsia"/>
          <w:rtl/>
        </w:rPr>
        <w:t>המרווחים</w:t>
      </w:r>
      <w:r w:rsidRPr="00DA4324">
        <w:rPr>
          <w:rtl/>
        </w:rPr>
        <w:t xml:space="preserve"> </w:t>
      </w:r>
      <w:r w:rsidRPr="00DA4324">
        <w:rPr>
          <w:rFonts w:hint="eastAsia"/>
          <w:rtl/>
        </w:rPr>
        <w:t>שלהן</w:t>
      </w:r>
      <w:r w:rsidRPr="00DA4324">
        <w:rPr>
          <w:rtl/>
        </w:rPr>
        <w:t xml:space="preserve"> </w:t>
      </w:r>
      <w:r w:rsidRPr="00DA4324">
        <w:rPr>
          <w:rFonts w:hint="eastAsia"/>
          <w:rtl/>
        </w:rPr>
        <w:t>לעומת</w:t>
      </w:r>
      <w:r w:rsidRPr="00DA4324">
        <w:rPr>
          <w:rtl/>
        </w:rPr>
        <w:t xml:space="preserve"> תשואת אג"ח ממשלתית </w:t>
      </w:r>
      <w:r w:rsidRPr="00DA4324">
        <w:rPr>
          <w:rFonts w:hint="eastAsia"/>
          <w:rtl/>
        </w:rPr>
        <w:t>הוא</w:t>
      </w:r>
      <w:r w:rsidRPr="00DA4324">
        <w:rPr>
          <w:rtl/>
        </w:rPr>
        <w:t xml:space="preserve"> 0.73%. </w:t>
      </w:r>
      <w:r w:rsidRPr="00DA4324">
        <w:rPr>
          <w:rFonts w:hint="eastAsia"/>
          <w:rtl/>
        </w:rPr>
        <w:t>עקב</w:t>
      </w:r>
      <w:r w:rsidRPr="00DA4324">
        <w:rPr>
          <w:rtl/>
        </w:rPr>
        <w:t xml:space="preserve"> </w:t>
      </w:r>
      <w:r w:rsidRPr="00DA4324">
        <w:rPr>
          <w:rFonts w:hint="eastAsia"/>
          <w:rtl/>
        </w:rPr>
        <w:t>כך</w:t>
      </w:r>
      <w:r w:rsidRPr="00DA4324">
        <w:rPr>
          <w:rtl/>
        </w:rPr>
        <w:t xml:space="preserve"> </w:t>
      </w:r>
      <w:r w:rsidRPr="00DA4324">
        <w:rPr>
          <w:rFonts w:hint="eastAsia"/>
          <w:rtl/>
        </w:rPr>
        <w:t>העלות</w:t>
      </w:r>
      <w:r w:rsidRPr="00DA4324">
        <w:rPr>
          <w:rtl/>
        </w:rPr>
        <w:t xml:space="preserve"> </w:t>
      </w:r>
      <w:r w:rsidRPr="00DA4324">
        <w:rPr>
          <w:rFonts w:hint="eastAsia"/>
          <w:rtl/>
        </w:rPr>
        <w:t>המימונית</w:t>
      </w:r>
      <w:r w:rsidRPr="00DA4324">
        <w:rPr>
          <w:rtl/>
        </w:rPr>
        <w:t xml:space="preserve"> </w:t>
      </w:r>
      <w:r w:rsidRPr="00DA4324">
        <w:rPr>
          <w:rFonts w:hint="eastAsia"/>
          <w:rtl/>
        </w:rPr>
        <w:t>של</w:t>
      </w:r>
      <w:r w:rsidRPr="00DA4324">
        <w:rPr>
          <w:rtl/>
        </w:rPr>
        <w:t xml:space="preserve"> </w:t>
      </w:r>
      <w:r w:rsidRPr="00DA4324">
        <w:rPr>
          <w:rFonts w:hint="eastAsia"/>
          <w:rtl/>
        </w:rPr>
        <w:t>גיוס</w:t>
      </w:r>
      <w:r w:rsidRPr="00DA4324">
        <w:rPr>
          <w:rFonts w:hint="cs"/>
          <w:rtl/>
        </w:rPr>
        <w:t>ים אלו</w:t>
      </w:r>
      <w:r w:rsidRPr="00DA4324">
        <w:rPr>
          <w:rtl/>
        </w:rPr>
        <w:t xml:space="preserve"> </w:t>
      </w:r>
      <w:r w:rsidRPr="00DA4324">
        <w:rPr>
          <w:rFonts w:hint="cs"/>
          <w:rtl/>
        </w:rPr>
        <w:t xml:space="preserve">בחברות הממשלתיות </w:t>
      </w:r>
      <w:r w:rsidRPr="00DA4324">
        <w:rPr>
          <w:rFonts w:hint="eastAsia"/>
          <w:rtl/>
        </w:rPr>
        <w:t>ולא</w:t>
      </w:r>
      <w:r w:rsidRPr="00DA4324">
        <w:rPr>
          <w:rtl/>
        </w:rPr>
        <w:t xml:space="preserve"> </w:t>
      </w:r>
      <w:r w:rsidRPr="00DA4324">
        <w:rPr>
          <w:rFonts w:hint="eastAsia"/>
          <w:rtl/>
        </w:rPr>
        <w:t>באמצעות</w:t>
      </w:r>
      <w:r w:rsidRPr="00DA4324">
        <w:rPr>
          <w:rtl/>
        </w:rPr>
        <w:t xml:space="preserve"> </w:t>
      </w:r>
      <w:r w:rsidRPr="00DA4324">
        <w:rPr>
          <w:rFonts w:hint="eastAsia"/>
          <w:rtl/>
        </w:rPr>
        <w:t>המדינה</w:t>
      </w:r>
      <w:r w:rsidRPr="00DA4324">
        <w:rPr>
          <w:rtl/>
        </w:rPr>
        <w:t xml:space="preserve"> </w:t>
      </w:r>
      <w:r w:rsidRPr="00DA4324">
        <w:rPr>
          <w:rFonts w:hint="eastAsia"/>
          <w:rtl/>
        </w:rPr>
        <w:t>מוערכת</w:t>
      </w:r>
      <w:r w:rsidRPr="00DA4324">
        <w:rPr>
          <w:rtl/>
        </w:rPr>
        <w:t xml:space="preserve"> </w:t>
      </w:r>
      <w:r w:rsidRPr="00DA4324">
        <w:rPr>
          <w:rFonts w:hint="eastAsia"/>
          <w:rtl/>
        </w:rPr>
        <w:t>במיליוני</w:t>
      </w:r>
      <w:r w:rsidRPr="00DA4324">
        <w:rPr>
          <w:rtl/>
        </w:rPr>
        <w:t xml:space="preserve"> </w:t>
      </w:r>
      <w:r w:rsidRPr="00DA4324">
        <w:rPr>
          <w:rFonts w:hint="eastAsia"/>
          <w:rtl/>
        </w:rPr>
        <w:t>ש</w:t>
      </w:r>
      <w:r w:rsidRPr="00DA4324">
        <w:rPr>
          <w:rtl/>
        </w:rPr>
        <w:t>"ח</w:t>
      </w:r>
      <w:r>
        <w:rPr>
          <w:rFonts w:hint="cs"/>
          <w:rtl/>
        </w:rPr>
        <w:t>.</w:t>
      </w:r>
    </w:p>
    <w:p w:rsidR="00566B7E" w:rsidP="008B6FBD" w14:paraId="74789552" w14:textId="57E1AA5E">
      <w:pPr>
        <w:pStyle w:val="7392"/>
        <w:ind w:left="424"/>
        <w:rPr>
          <w:noProof/>
        </w:rPr>
      </w:pPr>
      <w:r w:rsidRPr="00B02658">
        <w:rPr>
          <w:rFonts w:hint="cs"/>
          <w:b/>
          <w:bCs/>
          <w:noProof/>
          <w:rtl/>
        </w:rPr>
        <w:drawing>
          <wp:anchor distT="0" distB="720090" distL="114300" distR="114300" simplePos="0" relativeHeight="251686912" behindDoc="1" locked="0" layoutInCell="1" allowOverlap="1">
            <wp:simplePos x="0" y="0"/>
            <wp:positionH relativeFrom="column">
              <wp:posOffset>4526752</wp:posOffset>
            </wp:positionH>
            <wp:positionV relativeFrom="paragraph">
              <wp:posOffset>38735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66B7E">
        <w:rPr>
          <w:rFonts w:hint="cs"/>
          <w:b/>
          <w:bCs/>
          <w:rtl/>
        </w:rPr>
        <w:t>נוהל להפצת תשקיף מדף בחברות ממשלתיות</w:t>
      </w:r>
      <w:r w:rsidRPr="00AB670A">
        <w:rPr>
          <w:rFonts w:hint="cs"/>
          <w:rtl/>
        </w:rPr>
        <w:t xml:space="preserve"> - </w:t>
      </w:r>
      <w:r w:rsidRPr="00AB670A">
        <w:rPr>
          <w:rFonts w:hint="eastAsia"/>
          <w:rtl/>
        </w:rPr>
        <w:t>אחד</w:t>
      </w:r>
      <w:r w:rsidRPr="00AB670A">
        <w:rPr>
          <w:rtl/>
        </w:rPr>
        <w:t xml:space="preserve"> </w:t>
      </w:r>
      <w:r w:rsidRPr="00AB670A">
        <w:rPr>
          <w:rFonts w:hint="eastAsia"/>
          <w:rtl/>
        </w:rPr>
        <w:t>האמצעים</w:t>
      </w:r>
      <w:r w:rsidRPr="00AB670A">
        <w:rPr>
          <w:rtl/>
        </w:rPr>
        <w:t xml:space="preserve"> </w:t>
      </w:r>
      <w:r w:rsidRPr="00AB670A">
        <w:rPr>
          <w:rFonts w:hint="eastAsia"/>
          <w:rtl/>
        </w:rPr>
        <w:t>להגדלת</w:t>
      </w:r>
      <w:r w:rsidRPr="00AB670A">
        <w:rPr>
          <w:rtl/>
        </w:rPr>
        <w:t xml:space="preserve"> </w:t>
      </w:r>
      <w:r w:rsidRPr="00AB670A">
        <w:rPr>
          <w:rFonts w:hint="eastAsia"/>
          <w:rtl/>
        </w:rPr>
        <w:t>נגישות</w:t>
      </w:r>
      <w:r w:rsidRPr="00AB670A">
        <w:rPr>
          <w:rtl/>
        </w:rPr>
        <w:t xml:space="preserve"> </w:t>
      </w:r>
      <w:r w:rsidRPr="00AB670A">
        <w:rPr>
          <w:rFonts w:hint="eastAsia"/>
          <w:rtl/>
        </w:rPr>
        <w:t>התאגידים</w:t>
      </w:r>
      <w:r w:rsidRPr="00AB670A">
        <w:rPr>
          <w:rtl/>
        </w:rPr>
        <w:t xml:space="preserve"> </w:t>
      </w:r>
      <w:r w:rsidRPr="00AB670A">
        <w:rPr>
          <w:rFonts w:hint="eastAsia"/>
          <w:rtl/>
        </w:rPr>
        <w:t>לשוק</w:t>
      </w:r>
      <w:r w:rsidRPr="00AB670A">
        <w:rPr>
          <w:rtl/>
        </w:rPr>
        <w:t xml:space="preserve"> </w:t>
      </w:r>
      <w:r w:rsidRPr="00AB670A">
        <w:rPr>
          <w:rFonts w:hint="eastAsia"/>
          <w:rtl/>
        </w:rPr>
        <w:t>ההון</w:t>
      </w:r>
      <w:r w:rsidRPr="00AB670A">
        <w:rPr>
          <w:rtl/>
        </w:rPr>
        <w:t xml:space="preserve"> </w:t>
      </w:r>
      <w:r w:rsidRPr="00AB670A">
        <w:rPr>
          <w:rFonts w:hint="eastAsia"/>
          <w:rtl/>
        </w:rPr>
        <w:t>ולהקלת</w:t>
      </w:r>
      <w:r w:rsidRPr="00AB670A">
        <w:rPr>
          <w:rtl/>
        </w:rPr>
        <w:t xml:space="preserve"> </w:t>
      </w:r>
      <w:r w:rsidRPr="00AB670A">
        <w:rPr>
          <w:rFonts w:hint="eastAsia"/>
          <w:rtl/>
        </w:rPr>
        <w:t>המגבלות</w:t>
      </w:r>
      <w:r w:rsidRPr="00AB670A">
        <w:rPr>
          <w:rtl/>
        </w:rPr>
        <w:t xml:space="preserve"> </w:t>
      </w:r>
      <w:r w:rsidRPr="00AB670A">
        <w:rPr>
          <w:rFonts w:hint="eastAsia"/>
          <w:rtl/>
        </w:rPr>
        <w:t>הוא</w:t>
      </w:r>
      <w:r w:rsidRPr="00AB670A">
        <w:rPr>
          <w:rtl/>
        </w:rPr>
        <w:t xml:space="preserve"> </w:t>
      </w:r>
      <w:r w:rsidRPr="00AB670A">
        <w:rPr>
          <w:rFonts w:hint="eastAsia"/>
          <w:rtl/>
        </w:rPr>
        <w:t>פרסום</w:t>
      </w:r>
      <w:r w:rsidRPr="00AB670A">
        <w:rPr>
          <w:rtl/>
        </w:rPr>
        <w:t xml:space="preserve"> </w:t>
      </w:r>
      <w:r w:rsidRPr="00AB670A">
        <w:rPr>
          <w:rFonts w:hint="eastAsia"/>
          <w:rtl/>
        </w:rPr>
        <w:t>תשקיף</w:t>
      </w:r>
      <w:r w:rsidRPr="00AB670A">
        <w:rPr>
          <w:rtl/>
        </w:rPr>
        <w:t xml:space="preserve"> </w:t>
      </w:r>
      <w:r w:rsidRPr="00AB670A">
        <w:rPr>
          <w:rFonts w:hint="eastAsia"/>
          <w:rtl/>
        </w:rPr>
        <w:t>מדף</w:t>
      </w:r>
      <w:r w:rsidRPr="00AB670A">
        <w:rPr>
          <w:rtl/>
        </w:rPr>
        <w:t xml:space="preserve"> </w:t>
      </w:r>
      <w:r w:rsidRPr="00AB670A">
        <w:rPr>
          <w:rFonts w:hint="eastAsia"/>
          <w:rtl/>
        </w:rPr>
        <w:t>שמאפשר</w:t>
      </w:r>
      <w:r w:rsidRPr="00AB670A">
        <w:rPr>
          <w:rtl/>
        </w:rPr>
        <w:t xml:space="preserve"> </w:t>
      </w:r>
      <w:r w:rsidRPr="00AB670A">
        <w:rPr>
          <w:rFonts w:hint="eastAsia"/>
          <w:rtl/>
        </w:rPr>
        <w:t>לתאגיד</w:t>
      </w:r>
      <w:r w:rsidRPr="00AB670A">
        <w:rPr>
          <w:rtl/>
        </w:rPr>
        <w:t xml:space="preserve"> </w:t>
      </w:r>
      <w:r w:rsidRPr="00AB670A">
        <w:rPr>
          <w:rFonts w:hint="eastAsia"/>
          <w:rtl/>
        </w:rPr>
        <w:t>להציע</w:t>
      </w:r>
      <w:r w:rsidRPr="00AB670A">
        <w:rPr>
          <w:rtl/>
        </w:rPr>
        <w:t xml:space="preserve"> </w:t>
      </w:r>
      <w:r w:rsidRPr="00AB670A">
        <w:rPr>
          <w:rFonts w:hint="eastAsia"/>
          <w:rtl/>
        </w:rPr>
        <w:t>על</w:t>
      </w:r>
      <w:r w:rsidRPr="00AB670A">
        <w:rPr>
          <w:rtl/>
        </w:rPr>
        <w:t xml:space="preserve"> </w:t>
      </w:r>
      <w:r w:rsidRPr="00AB670A">
        <w:rPr>
          <w:rFonts w:hint="eastAsia"/>
          <w:rtl/>
        </w:rPr>
        <w:t>בסיסו</w:t>
      </w:r>
      <w:r w:rsidRPr="00AB670A">
        <w:rPr>
          <w:rtl/>
        </w:rPr>
        <w:t xml:space="preserve"> </w:t>
      </w:r>
      <w:r w:rsidRPr="00AB670A">
        <w:rPr>
          <w:rFonts w:hint="eastAsia"/>
          <w:rtl/>
        </w:rPr>
        <w:t>ניירות</w:t>
      </w:r>
      <w:r w:rsidRPr="00AB670A">
        <w:rPr>
          <w:rtl/>
        </w:rPr>
        <w:t xml:space="preserve"> </w:t>
      </w:r>
      <w:r w:rsidRPr="00AB670A">
        <w:rPr>
          <w:rFonts w:hint="eastAsia"/>
          <w:rtl/>
        </w:rPr>
        <w:t>ערך</w:t>
      </w:r>
      <w:r w:rsidRPr="00AB670A">
        <w:rPr>
          <w:rtl/>
        </w:rPr>
        <w:t xml:space="preserve"> </w:t>
      </w:r>
      <w:r w:rsidRPr="00AB670A">
        <w:rPr>
          <w:rFonts w:hint="eastAsia"/>
          <w:rtl/>
        </w:rPr>
        <w:t>לציבור</w:t>
      </w:r>
      <w:r w:rsidRPr="00AB670A">
        <w:rPr>
          <w:rtl/>
        </w:rPr>
        <w:t xml:space="preserve"> </w:t>
      </w:r>
      <w:r w:rsidRPr="00AB670A">
        <w:rPr>
          <w:rFonts w:hint="eastAsia"/>
          <w:rtl/>
        </w:rPr>
        <w:t>בכל</w:t>
      </w:r>
      <w:r w:rsidRPr="00AB670A">
        <w:rPr>
          <w:rtl/>
        </w:rPr>
        <w:t xml:space="preserve"> </w:t>
      </w:r>
      <w:r w:rsidRPr="00AB670A">
        <w:rPr>
          <w:rFonts w:hint="eastAsia"/>
          <w:rtl/>
        </w:rPr>
        <w:t>עת</w:t>
      </w:r>
      <w:r w:rsidRPr="00AB670A">
        <w:rPr>
          <w:rtl/>
        </w:rPr>
        <w:t xml:space="preserve"> </w:t>
      </w:r>
      <w:r w:rsidRPr="00AB670A">
        <w:rPr>
          <w:rFonts w:hint="cs"/>
          <w:rtl/>
        </w:rPr>
        <w:t>במהלך</w:t>
      </w:r>
      <w:r w:rsidRPr="00AB670A">
        <w:rPr>
          <w:rtl/>
        </w:rPr>
        <w:t xml:space="preserve"> </w:t>
      </w:r>
      <w:r w:rsidRPr="00AB670A">
        <w:rPr>
          <w:rFonts w:hint="eastAsia"/>
          <w:rtl/>
        </w:rPr>
        <w:t>תקופה</w:t>
      </w:r>
      <w:r w:rsidRPr="00AB670A">
        <w:rPr>
          <w:rtl/>
        </w:rPr>
        <w:t xml:space="preserve"> </w:t>
      </w:r>
      <w:r w:rsidRPr="00AB670A">
        <w:rPr>
          <w:rFonts w:hint="eastAsia"/>
          <w:rtl/>
        </w:rPr>
        <w:t>של</w:t>
      </w:r>
      <w:r w:rsidRPr="00AB670A">
        <w:rPr>
          <w:rtl/>
        </w:rPr>
        <w:t xml:space="preserve"> 24 </w:t>
      </w:r>
      <w:r w:rsidRPr="00AB670A">
        <w:rPr>
          <w:rFonts w:hint="eastAsia"/>
          <w:rtl/>
        </w:rPr>
        <w:t>חודשים</w:t>
      </w:r>
      <w:r w:rsidRPr="00AB670A">
        <w:rPr>
          <w:rtl/>
        </w:rPr>
        <w:t xml:space="preserve"> </w:t>
      </w:r>
      <w:r w:rsidRPr="00AB670A">
        <w:rPr>
          <w:rFonts w:hint="eastAsia"/>
          <w:rtl/>
        </w:rPr>
        <w:t>ממועד</w:t>
      </w:r>
      <w:r w:rsidRPr="00AB670A">
        <w:rPr>
          <w:rtl/>
        </w:rPr>
        <w:t xml:space="preserve"> </w:t>
      </w:r>
      <w:r w:rsidRPr="00AB670A">
        <w:rPr>
          <w:rFonts w:hint="eastAsia"/>
          <w:rtl/>
        </w:rPr>
        <w:t>פרסומו</w:t>
      </w:r>
      <w:r w:rsidRPr="00AB670A">
        <w:rPr>
          <w:rFonts w:hint="cs"/>
          <w:rtl/>
        </w:rPr>
        <w:t xml:space="preserve">. </w:t>
      </w:r>
      <w:r w:rsidRPr="00AB670A">
        <w:rPr>
          <w:rtl/>
        </w:rPr>
        <w:t>על פי תקנות ניירות ערך</w:t>
      </w:r>
      <w:r w:rsidRPr="00AB670A">
        <w:rPr>
          <w:rFonts w:hint="cs"/>
          <w:rtl/>
        </w:rPr>
        <w:t xml:space="preserve"> </w:t>
      </w:r>
      <w:r w:rsidRPr="00AB670A">
        <w:rPr>
          <w:rtl/>
        </w:rPr>
        <w:t xml:space="preserve">(תקופה </w:t>
      </w:r>
      <w:r w:rsidRPr="00AB670A">
        <w:rPr>
          <w:rFonts w:hint="eastAsia"/>
          <w:rtl/>
        </w:rPr>
        <w:t>להגשת</w:t>
      </w:r>
      <w:r w:rsidRPr="00AB670A">
        <w:rPr>
          <w:rtl/>
        </w:rPr>
        <w:t xml:space="preserve"> </w:t>
      </w:r>
      <w:r w:rsidRPr="00AB670A">
        <w:rPr>
          <w:rFonts w:hint="eastAsia"/>
          <w:rtl/>
        </w:rPr>
        <w:t>הזמנות</w:t>
      </w:r>
      <w:r w:rsidRPr="00AB670A">
        <w:rPr>
          <w:rtl/>
        </w:rPr>
        <w:t xml:space="preserve"> </w:t>
      </w:r>
      <w:r w:rsidRPr="00AB670A">
        <w:rPr>
          <w:rFonts w:hint="eastAsia"/>
          <w:rtl/>
        </w:rPr>
        <w:t>לניירות</w:t>
      </w:r>
      <w:r w:rsidRPr="00AB670A">
        <w:rPr>
          <w:rtl/>
        </w:rPr>
        <w:t xml:space="preserve"> </w:t>
      </w:r>
      <w:r w:rsidRPr="00AB670A">
        <w:rPr>
          <w:rFonts w:hint="eastAsia"/>
          <w:rtl/>
        </w:rPr>
        <w:t>ערך</w:t>
      </w:r>
      <w:r w:rsidRPr="00AB670A">
        <w:rPr>
          <w:rtl/>
        </w:rPr>
        <w:t xml:space="preserve"> </w:t>
      </w:r>
      <w:r w:rsidRPr="00AB670A">
        <w:rPr>
          <w:rFonts w:hint="eastAsia"/>
          <w:rtl/>
        </w:rPr>
        <w:t>המוצעים</w:t>
      </w:r>
      <w:r w:rsidRPr="00AB670A">
        <w:rPr>
          <w:rtl/>
        </w:rPr>
        <w:t xml:space="preserve"> </w:t>
      </w:r>
      <w:r w:rsidRPr="00AB670A">
        <w:rPr>
          <w:rFonts w:hint="eastAsia"/>
          <w:rtl/>
        </w:rPr>
        <w:t>בתשקיף</w:t>
      </w:r>
      <w:r w:rsidRPr="00AB670A">
        <w:rPr>
          <w:rtl/>
        </w:rPr>
        <w:t xml:space="preserve">), </w:t>
      </w:r>
      <w:r w:rsidRPr="00AB670A">
        <w:rPr>
          <w:rFonts w:hint="eastAsia"/>
          <w:rtl/>
        </w:rPr>
        <w:t>התשס</w:t>
      </w:r>
      <w:r w:rsidRPr="00AB670A">
        <w:rPr>
          <w:rtl/>
        </w:rPr>
        <w:t>"ו-2005</w:t>
      </w:r>
      <w:r w:rsidRPr="00AB670A">
        <w:rPr>
          <w:rFonts w:hint="cs"/>
          <w:rtl/>
        </w:rPr>
        <w:t>,</w:t>
      </w:r>
      <w:r w:rsidRPr="00AB670A">
        <w:rPr>
          <w:rtl/>
        </w:rPr>
        <w:t xml:space="preserve"> בהרחבת סדרה של ניירות ערך חברה יכולה לבצע הנפקה בתום שבע שעות</w:t>
      </w:r>
      <w:r w:rsidRPr="00AB670A">
        <w:rPr>
          <w:rFonts w:hint="cs"/>
          <w:rtl/>
        </w:rPr>
        <w:t>,</w:t>
      </w:r>
      <w:r w:rsidRPr="00AB670A">
        <w:rPr>
          <w:rtl/>
        </w:rPr>
        <w:t xml:space="preserve"> מ</w:t>
      </w:r>
      <w:r w:rsidRPr="00AB670A">
        <w:rPr>
          <w:rFonts w:hint="cs"/>
          <w:rtl/>
        </w:rPr>
        <w:t>ה</w:t>
      </w:r>
      <w:r w:rsidRPr="00AB670A">
        <w:rPr>
          <w:rtl/>
        </w:rPr>
        <w:t xml:space="preserve">ן חמש שעות למסחר, כלומר מדובר בהליך שאמור להיות קצר מיסודו. </w:t>
      </w:r>
      <w:r w:rsidRPr="00AB670A">
        <w:rPr>
          <w:rFonts w:hint="cs"/>
          <w:rtl/>
        </w:rPr>
        <w:t xml:space="preserve">עם זאת, ברשות החברות הממשלתית אין נוהל לגבי הגורמים שלהם יש להפיץ את תשקיף המדף ואת כל המסמכים הרלוונטיים. כמו כן, רשות החברות הממשלתית אינה קוצבת זמנים לקבלת תשובות משרדי הממשלה הרלוונטיים, ותהליך האישור יכול להתארך. עקב כך תוספת הזמנים </w:t>
      </w:r>
      <w:r w:rsidRPr="00AB670A">
        <w:rPr>
          <w:rtl/>
        </w:rPr>
        <w:t>להנפקה על בסיס תשקיף המדף עבור</w:t>
      </w:r>
      <w:r w:rsidRPr="00AB670A">
        <w:rPr>
          <w:rFonts w:hint="cs"/>
          <w:rtl/>
        </w:rPr>
        <w:t xml:space="preserve"> חברות ממשלתיות היא בפועל כעשרה ימים עד שבועיים, ואף יותר מכך במקרים שבהם מתקבלות הערות מן המשרדים הרלוונטיים</w:t>
      </w:r>
      <w:r>
        <w:rPr>
          <w:rFonts w:hint="cs"/>
          <w:rtl/>
        </w:rPr>
        <w:t>.</w:t>
      </w:r>
    </w:p>
    <w:p w:rsidR="00420374" w:rsidP="008B6FBD" w14:paraId="39D5E97C" w14:textId="50D39426">
      <w:pPr>
        <w:pStyle w:val="7392"/>
        <w:ind w:left="424"/>
        <w:rPr>
          <w:noProof/>
          <w:rtl/>
        </w:rPr>
      </w:pPr>
      <w:r w:rsidRPr="00B02658">
        <w:rPr>
          <w:rFonts w:hint="cs"/>
          <w:b/>
          <w:bCs/>
          <w:noProof/>
          <w:rtl/>
        </w:rPr>
        <w:drawing>
          <wp:anchor distT="0" distB="720090" distL="114300" distR="114300" simplePos="0" relativeHeight="251685888" behindDoc="1" locked="0" layoutInCell="1" allowOverlap="1">
            <wp:simplePos x="0" y="0"/>
            <wp:positionH relativeFrom="column">
              <wp:posOffset>4526752</wp:posOffset>
            </wp:positionH>
            <wp:positionV relativeFrom="paragraph">
              <wp:posOffset>38735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D7BB5" w:rsidR="002D7BB5">
        <w:rPr>
          <w:rStyle w:val="7371"/>
          <w:rFonts w:hint="cs"/>
          <w:rtl/>
        </w:rPr>
        <w:t>שיעור אג"ח סחיר של חברות ממשלתיות</w:t>
      </w:r>
      <w:r w:rsidRPr="00DA4324" w:rsidR="002D7BB5">
        <w:rPr>
          <w:rFonts w:hint="cs"/>
          <w:rtl/>
        </w:rPr>
        <w:t xml:space="preserve"> </w:t>
      </w:r>
      <w:r w:rsidRPr="00DA4324" w:rsidR="002D7BB5">
        <w:rPr>
          <w:rtl/>
        </w:rPr>
        <w:t>-</w:t>
      </w:r>
      <w:r w:rsidRPr="00DA4324" w:rsidR="002D7BB5">
        <w:rPr>
          <w:rFonts w:hint="cs"/>
          <w:rtl/>
        </w:rPr>
        <w:t xml:space="preserve"> בסוף שנת 2021</w:t>
      </w:r>
      <w:r w:rsidRPr="00DA4324" w:rsidR="002D7BB5">
        <w:rPr>
          <w:rtl/>
        </w:rPr>
        <w:t xml:space="preserve"> שיעור </w:t>
      </w:r>
      <w:r w:rsidRPr="00DA4324" w:rsidR="002D7BB5">
        <w:rPr>
          <w:rtl/>
        </w:rPr>
        <w:t>האג"ח</w:t>
      </w:r>
      <w:r w:rsidRPr="00DA4324" w:rsidR="002D7BB5">
        <w:rPr>
          <w:rtl/>
        </w:rPr>
        <w:t xml:space="preserve"> שמנפיקות החברות הממשלתיות לציבור </w:t>
      </w:r>
      <w:r w:rsidRPr="00DA4324" w:rsidR="002D7BB5">
        <w:rPr>
          <w:rFonts w:hint="cs"/>
          <w:rtl/>
        </w:rPr>
        <w:t>הוא</w:t>
      </w:r>
      <w:r w:rsidRPr="00DA4324" w:rsidR="002D7BB5">
        <w:rPr>
          <w:rtl/>
        </w:rPr>
        <w:t xml:space="preserve"> </w:t>
      </w:r>
      <w:r w:rsidRPr="00DA4324" w:rsidR="002D7BB5">
        <w:rPr>
          <w:rFonts w:hint="cs"/>
          <w:rtl/>
        </w:rPr>
        <w:t>52</w:t>
      </w:r>
      <w:r w:rsidRPr="00DA4324" w:rsidR="002D7BB5">
        <w:rPr>
          <w:rtl/>
        </w:rPr>
        <w:t>%, ואילו 36.59% מונפקים ברצף מוסדיים</w:t>
      </w:r>
      <w:r w:rsidRPr="00DA4324" w:rsidR="002D7BB5">
        <w:rPr>
          <w:rFonts w:hint="cs"/>
          <w:rtl/>
        </w:rPr>
        <w:t xml:space="preserve">. זאת לעומת </w:t>
      </w:r>
      <w:r w:rsidRPr="00DA4324" w:rsidR="002D7BB5">
        <w:rPr>
          <w:rtl/>
        </w:rPr>
        <w:t xml:space="preserve">שיעור החוב הנסחר של </w:t>
      </w:r>
      <w:r w:rsidRPr="00DA4324" w:rsidR="002D7BB5">
        <w:rPr>
          <w:rtl/>
        </w:rPr>
        <w:t>האג"ח</w:t>
      </w:r>
      <w:r w:rsidRPr="00DA4324" w:rsidR="002D7BB5">
        <w:rPr>
          <w:rtl/>
        </w:rPr>
        <w:t xml:space="preserve"> </w:t>
      </w:r>
      <w:r w:rsidRPr="00DA4324" w:rsidR="002D7BB5">
        <w:rPr>
          <w:rtl/>
        </w:rPr>
        <w:t>הקונצרני</w:t>
      </w:r>
      <w:r w:rsidRPr="00DA4324" w:rsidR="002D7BB5">
        <w:rPr>
          <w:rFonts w:hint="cs"/>
          <w:rtl/>
        </w:rPr>
        <w:t>,</w:t>
      </w:r>
      <w:r w:rsidRPr="00DA4324" w:rsidR="002D7BB5">
        <w:rPr>
          <w:rtl/>
        </w:rPr>
        <w:t xml:space="preserve"> </w:t>
      </w:r>
      <w:r w:rsidRPr="00DA4324" w:rsidR="002D7BB5">
        <w:rPr>
          <w:rFonts w:hint="cs"/>
          <w:rtl/>
        </w:rPr>
        <w:t>שהיה</w:t>
      </w:r>
      <w:r w:rsidRPr="00DA4324" w:rsidR="002D7BB5">
        <w:rPr>
          <w:rtl/>
        </w:rPr>
        <w:t xml:space="preserve"> 92% בשנת 2021</w:t>
      </w:r>
      <w:r w:rsidRPr="00DA4324" w:rsidR="002D7BB5">
        <w:rPr>
          <w:rFonts w:hint="cs"/>
          <w:rtl/>
        </w:rPr>
        <w:t xml:space="preserve">. </w:t>
      </w:r>
      <w:r w:rsidRPr="00DA4324" w:rsidR="002D7BB5">
        <w:rPr>
          <w:rtl/>
        </w:rPr>
        <w:t>עם זאת</w:t>
      </w:r>
      <w:r w:rsidRPr="00DA4324" w:rsidR="002D7BB5">
        <w:rPr>
          <w:rFonts w:hint="cs"/>
          <w:rtl/>
        </w:rPr>
        <w:t>, יצוין כי</w:t>
      </w:r>
      <w:r w:rsidRPr="00DA4324" w:rsidR="002D7BB5">
        <w:rPr>
          <w:rtl/>
        </w:rPr>
        <w:t xml:space="preserve"> ב</w:t>
      </w:r>
      <w:r w:rsidRPr="00DA4324" w:rsidR="002D7BB5">
        <w:rPr>
          <w:rFonts w:hint="cs"/>
          <w:rtl/>
        </w:rPr>
        <w:t>שבע</w:t>
      </w:r>
      <w:r w:rsidRPr="00DA4324" w:rsidR="002D7BB5">
        <w:rPr>
          <w:rtl/>
        </w:rPr>
        <w:t xml:space="preserve"> השנים האחרונות גדל שיעור החוב הנסחר של החברות הממשלתיות פי </w:t>
      </w:r>
      <w:r w:rsidRPr="00DA4324" w:rsidR="002D7BB5">
        <w:rPr>
          <w:rFonts w:hint="cs"/>
          <w:rtl/>
        </w:rPr>
        <w:t xml:space="preserve">3.25, </w:t>
      </w:r>
      <w:r w:rsidRPr="00DA4324" w:rsidR="002D7BB5">
        <w:rPr>
          <w:rtl/>
        </w:rPr>
        <w:t xml:space="preserve">משיעור של 16% לשיעור של </w:t>
      </w:r>
      <w:r w:rsidRPr="00DA4324" w:rsidR="002D7BB5">
        <w:rPr>
          <w:rFonts w:hint="cs"/>
          <w:rtl/>
        </w:rPr>
        <w:t>52</w:t>
      </w:r>
      <w:r w:rsidRPr="00DA4324" w:rsidR="002D7BB5">
        <w:rPr>
          <w:rtl/>
        </w:rPr>
        <w:t>%</w:t>
      </w:r>
      <w:r w:rsidR="004E0E5A">
        <w:rPr>
          <w:rFonts w:hint="cs"/>
          <w:noProof/>
          <w:rtl/>
        </w:rPr>
        <w:t>.</w:t>
      </w:r>
    </w:p>
    <w:p w:rsidR="00420374" w:rsidRPr="00411396" w:rsidP="00566B7E" w14:paraId="5E6B04AD" w14:textId="1E8C142E">
      <w:pPr>
        <w:pStyle w:val="7392"/>
        <w:spacing w:before="360" w:after="840"/>
        <w:rPr>
          <w:rtl/>
        </w:rPr>
      </w:pPr>
      <w:r w:rsidRPr="002D7BB5">
        <w:rPr>
          <w:rStyle w:val="7371"/>
          <w:rFonts w:hint="cs"/>
          <w:noProof/>
          <w:rtl/>
        </w:rPr>
        <w:drawing>
          <wp:anchor distT="0" distB="0" distL="114300" distR="114300" simplePos="0" relativeHeight="251681792" behindDoc="0" locked="0" layoutInCell="1" allowOverlap="1">
            <wp:simplePos x="0" y="0"/>
            <wp:positionH relativeFrom="column">
              <wp:posOffset>2442750</wp:posOffset>
            </wp:positionH>
            <wp:positionV relativeFrom="paragraph">
              <wp:posOffset>0</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2D7BB5" w:rsidR="002D7BB5">
        <w:rPr>
          <w:rFonts w:hint="cs"/>
          <w:b/>
          <w:bCs/>
          <w:rtl/>
        </w:rPr>
        <w:t>פעילותה של יחידת ההנפקות ברשות החברות הממשלתיות</w:t>
      </w:r>
      <w:r w:rsidRPr="00DA4324" w:rsidR="002D7BB5">
        <w:rPr>
          <w:rFonts w:hint="cs"/>
          <w:rtl/>
        </w:rPr>
        <w:t xml:space="preserve"> - </w:t>
      </w:r>
      <w:r w:rsidRPr="00DA4324" w:rsidR="002D7BB5">
        <w:rPr>
          <w:rFonts w:hint="eastAsia"/>
          <w:rtl/>
        </w:rPr>
        <w:t>משרד</w:t>
      </w:r>
      <w:r w:rsidRPr="00DA4324" w:rsidR="002D7BB5">
        <w:rPr>
          <w:rtl/>
        </w:rPr>
        <w:t xml:space="preserve"> מבקר המדינה רואה בחיוב את פעילות</w:t>
      </w:r>
      <w:r w:rsidRPr="00DA4324" w:rsidR="002D7BB5">
        <w:rPr>
          <w:rFonts w:hint="cs"/>
          <w:rtl/>
        </w:rPr>
        <w:t>ה של</w:t>
      </w:r>
      <w:r w:rsidRPr="00DA4324" w:rsidR="002D7BB5">
        <w:rPr>
          <w:rtl/>
        </w:rPr>
        <w:t xml:space="preserve"> יחידת ההנפקות </w:t>
      </w:r>
      <w:r w:rsidRPr="00DA4324" w:rsidR="002D7BB5">
        <w:rPr>
          <w:rFonts w:hint="cs"/>
          <w:rtl/>
        </w:rPr>
        <w:t>לעודד</w:t>
      </w:r>
      <w:r w:rsidRPr="00DA4324" w:rsidR="002D7BB5">
        <w:rPr>
          <w:rtl/>
        </w:rPr>
        <w:t xml:space="preserve"> חברות ממשלתיות לגוון את מקורות האשראי שלה</w:t>
      </w:r>
      <w:r w:rsidRPr="00DA4324" w:rsidR="002D7BB5">
        <w:rPr>
          <w:rFonts w:hint="cs"/>
          <w:rtl/>
        </w:rPr>
        <w:t>ן</w:t>
      </w:r>
      <w:r w:rsidRPr="00DA4324" w:rsidR="002D7BB5">
        <w:rPr>
          <w:rtl/>
        </w:rPr>
        <w:t xml:space="preserve">. היתרון הגלום ביחידה האמורה </w:t>
      </w:r>
      <w:r w:rsidRPr="00DA4324" w:rsidR="002D7BB5">
        <w:rPr>
          <w:rFonts w:hint="cs"/>
          <w:rtl/>
        </w:rPr>
        <w:t>הוא</w:t>
      </w:r>
      <w:r w:rsidRPr="00DA4324" w:rsidR="002D7BB5">
        <w:rPr>
          <w:rtl/>
        </w:rPr>
        <w:t xml:space="preserve"> </w:t>
      </w:r>
      <w:r w:rsidRPr="00DA4324" w:rsidR="002D7BB5">
        <w:rPr>
          <w:rFonts w:hint="cs"/>
          <w:rtl/>
        </w:rPr>
        <w:t>ה</w:t>
      </w:r>
      <w:r w:rsidRPr="00DA4324" w:rsidR="002D7BB5">
        <w:rPr>
          <w:rtl/>
        </w:rPr>
        <w:t>ייעוץ</w:t>
      </w:r>
      <w:r w:rsidRPr="00DA4324" w:rsidR="002D7BB5">
        <w:rPr>
          <w:rFonts w:hint="cs"/>
          <w:rtl/>
        </w:rPr>
        <w:t xml:space="preserve"> שהיא נותנת</w:t>
      </w:r>
      <w:r w:rsidRPr="00DA4324" w:rsidR="002D7BB5">
        <w:rPr>
          <w:rtl/>
        </w:rPr>
        <w:t xml:space="preserve"> לחברות ממשלתיות </w:t>
      </w:r>
      <w:r w:rsidRPr="00DA4324" w:rsidR="002D7BB5">
        <w:rPr>
          <w:rFonts w:hint="cs"/>
          <w:rtl/>
        </w:rPr>
        <w:t>בשאיפה ל</w:t>
      </w:r>
      <w:r w:rsidRPr="00DA4324" w:rsidR="002D7BB5">
        <w:rPr>
          <w:rtl/>
        </w:rPr>
        <w:t xml:space="preserve">השאת תשואות </w:t>
      </w:r>
      <w:r w:rsidRPr="00DA4324" w:rsidR="002D7BB5">
        <w:rPr>
          <w:rFonts w:hint="cs"/>
          <w:rtl/>
        </w:rPr>
        <w:t>מרביות</w:t>
      </w:r>
      <w:r w:rsidRPr="00DA4324" w:rsidR="002D7BB5">
        <w:rPr>
          <w:rtl/>
        </w:rPr>
        <w:t xml:space="preserve"> </w:t>
      </w:r>
      <w:r w:rsidRPr="00DA4324" w:rsidR="002D7BB5">
        <w:rPr>
          <w:rFonts w:hint="eastAsia"/>
          <w:rtl/>
        </w:rPr>
        <w:t>ו</w:t>
      </w:r>
      <w:r w:rsidRPr="00DA4324" w:rsidR="002D7BB5">
        <w:rPr>
          <w:rFonts w:hint="cs"/>
          <w:rtl/>
        </w:rPr>
        <w:t>ל</w:t>
      </w:r>
      <w:r w:rsidRPr="00DA4324" w:rsidR="002D7BB5">
        <w:rPr>
          <w:rFonts w:hint="eastAsia"/>
          <w:rtl/>
        </w:rPr>
        <w:t>הגבלות</w:t>
      </w:r>
      <w:r w:rsidRPr="00DA4324" w:rsidR="002D7BB5">
        <w:rPr>
          <w:rtl/>
        </w:rPr>
        <w:t xml:space="preserve"> פחותות ככל </w:t>
      </w:r>
      <w:r w:rsidRPr="00DA4324" w:rsidR="002D7BB5">
        <w:rPr>
          <w:rFonts w:hint="eastAsia"/>
          <w:rtl/>
        </w:rPr>
        <w:t>האפשר</w:t>
      </w:r>
      <w:r w:rsidRPr="00411396">
        <w:rPr>
          <w:rtl/>
        </w:rPr>
        <w:t>.</w:t>
      </w:r>
    </w:p>
    <w:p w:rsidR="002753C7" w:rsidRPr="00662020" w:rsidP="002753C7" w14:paraId="7C748CCB" w14:textId="77777777">
      <w:pPr>
        <w:pStyle w:val="7327"/>
        <w:spacing w:before="480"/>
        <w:rPr>
          <w:rtl/>
        </w:rPr>
      </w:pPr>
      <w:r w:rsidRPr="00662020">
        <w:rPr>
          <w:rFonts w:hint="cs"/>
          <w:rtl/>
        </w:rPr>
        <w:t>עיקרי המלצות הביקורת</w:t>
      </w:r>
    </w:p>
    <w:p w:rsidR="004A45B7" w:rsidRPr="004E0E5A" w:rsidP="004E0E5A" w14:paraId="2F54C541" w14:textId="006C5086">
      <w:pPr>
        <w:pStyle w:val="7317"/>
      </w:pPr>
      <w:r w:rsidRPr="004E0E5A">
        <w:rPr>
          <w:rFonts w:hint="cs"/>
          <w:noProof/>
          <w:rtl/>
        </w:rPr>
        <w:drawing>
          <wp:anchor distT="0" distB="1080135" distL="0" distR="0" simplePos="0" relativeHeight="251702272" behindDoc="1" locked="0" layoutInCell="1" allowOverlap="1">
            <wp:simplePos x="0" y="0"/>
            <wp:positionH relativeFrom="column">
              <wp:posOffset>4561019</wp:posOffset>
            </wp:positionH>
            <wp:positionV relativeFrom="paragraph">
              <wp:posOffset>20955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E0E5A">
        <w:rPr>
          <w:rtl/>
        </w:rPr>
        <w:t xml:space="preserve">מומלץ </w:t>
      </w:r>
      <w:r w:rsidRPr="004E0E5A">
        <w:rPr>
          <w:rFonts w:hint="eastAsia"/>
          <w:rtl/>
        </w:rPr>
        <w:t>כי</w:t>
      </w:r>
      <w:r w:rsidRPr="004E0E5A">
        <w:rPr>
          <w:rtl/>
        </w:rPr>
        <w:t xml:space="preserve"> משרד הפנים </w:t>
      </w:r>
      <w:r w:rsidRPr="004E0E5A">
        <w:rPr>
          <w:rFonts w:hint="cs"/>
          <w:rtl/>
        </w:rPr>
        <w:t>יבחן את</w:t>
      </w:r>
      <w:r w:rsidRPr="004E0E5A">
        <w:rPr>
          <w:rtl/>
        </w:rPr>
        <w:t xml:space="preserve"> נחיצות בדיקת המלוות הן על ידי המחוז עצמו והן על ידי המטה, כ</w:t>
      </w:r>
      <w:r w:rsidRPr="004E0E5A">
        <w:rPr>
          <w:rFonts w:hint="cs"/>
          <w:rtl/>
        </w:rPr>
        <w:t>די</w:t>
      </w:r>
      <w:r w:rsidRPr="004E0E5A">
        <w:rPr>
          <w:rtl/>
        </w:rPr>
        <w:t xml:space="preserve"> שהליך אישור המלוות יתבצע בצורה יעילה שאין בה כדי לגרום לנטל בירוקרטי עודף על הרשויות. </w:t>
      </w:r>
      <w:r w:rsidRPr="004E0E5A">
        <w:rPr>
          <w:rFonts w:hint="cs"/>
          <w:rtl/>
        </w:rPr>
        <w:t xml:space="preserve">כמו כן, </w:t>
      </w:r>
      <w:r w:rsidRPr="004E0E5A">
        <w:rPr>
          <w:rtl/>
        </w:rPr>
        <w:t xml:space="preserve">מומלץ למטה משרד הפנים לבחון </w:t>
      </w:r>
      <w:r w:rsidRPr="004E0E5A">
        <w:rPr>
          <w:rFonts w:hint="cs"/>
          <w:rtl/>
        </w:rPr>
        <w:t>מדי פעם בפעם</w:t>
      </w:r>
      <w:r w:rsidRPr="004E0E5A">
        <w:rPr>
          <w:rtl/>
        </w:rPr>
        <w:t xml:space="preserve"> את המדיניות בנוגע לאישור ההלוואות ואת הפרמטרים לאישורן</w:t>
      </w:r>
      <w:r w:rsidRPr="004E0E5A">
        <w:rPr>
          <w:rFonts w:hint="cs"/>
          <w:rtl/>
        </w:rPr>
        <w:t>,</w:t>
      </w:r>
      <w:r w:rsidRPr="004E0E5A">
        <w:rPr>
          <w:rtl/>
        </w:rPr>
        <w:t xml:space="preserve"> לפרסם נוהל לכלל המחוזות והרשויות בנושא ולפקח על מימוש המדיניות במחוזות</w:t>
      </w:r>
      <w:r w:rsidRPr="004E0E5A">
        <w:t>.</w:t>
      </w:r>
    </w:p>
    <w:p w:rsidR="004A45B7" w:rsidRPr="004E0E5A" w:rsidP="004E0E5A" w14:paraId="521BBD5D" w14:textId="482C3D3A">
      <w:pPr>
        <w:pStyle w:val="7317"/>
      </w:pPr>
      <w:r w:rsidRPr="004E0E5A">
        <w:rPr>
          <w:rFonts w:hint="cs"/>
          <w:noProof/>
          <w:rtl/>
        </w:rPr>
        <w:drawing>
          <wp:anchor distT="0" distB="360045" distL="0" distR="0" simplePos="0" relativeHeight="251698176" behindDoc="1" locked="0" layoutInCell="1" allowOverlap="1">
            <wp:simplePos x="0" y="0"/>
            <wp:positionH relativeFrom="column">
              <wp:posOffset>4561019</wp:posOffset>
            </wp:positionH>
            <wp:positionV relativeFrom="paragraph">
              <wp:posOffset>19685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E0E5A">
        <w:rPr>
          <w:rtl/>
        </w:rPr>
        <w:t>מומלץ כי משרד הפנים יבחן גיבוש מדיניות לגבי תמהיל ההלוואות של הרשויות המקומיות והחשיפה שלהן לשינויים בגובה הריבית ובמדד (בדומה למגבלות שקבע בנק ישראל בתחום המשכנתאות</w:t>
      </w:r>
      <w:r w:rsidRPr="004E0E5A">
        <w:rPr>
          <w:rFonts w:hint="cs"/>
          <w:rtl/>
        </w:rPr>
        <w:t>).</w:t>
      </w:r>
    </w:p>
    <w:p w:rsidR="004A45B7" w:rsidRPr="004E0E5A" w:rsidP="004E0E5A" w14:paraId="3E1B8F5D" w14:textId="42BAAC8C">
      <w:pPr>
        <w:pStyle w:val="7317"/>
      </w:pPr>
      <w:r w:rsidRPr="004E0E5A">
        <w:rPr>
          <w:rFonts w:hint="cs"/>
          <w:noProof/>
          <w:rtl/>
        </w:rPr>
        <w:drawing>
          <wp:anchor distT="0" distB="360045" distL="0" distR="0" simplePos="0" relativeHeight="251699200" behindDoc="1" locked="0" layoutInCell="1" allowOverlap="1">
            <wp:simplePos x="0" y="0"/>
            <wp:positionH relativeFrom="column">
              <wp:posOffset>4561019</wp:posOffset>
            </wp:positionH>
            <wp:positionV relativeFrom="paragraph">
              <wp:posOffset>26670</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E0E5A">
        <w:rPr>
          <w:rtl/>
        </w:rPr>
        <w:t>מ</w:t>
      </w:r>
      <w:r w:rsidRPr="004E0E5A">
        <w:rPr>
          <w:rFonts w:hint="eastAsia"/>
          <w:rtl/>
        </w:rPr>
        <w:t>ו</w:t>
      </w:r>
      <w:r w:rsidRPr="004E0E5A">
        <w:rPr>
          <w:rtl/>
        </w:rPr>
        <w:t xml:space="preserve">מלץ </w:t>
      </w:r>
      <w:r w:rsidRPr="004E0E5A">
        <w:rPr>
          <w:rFonts w:hint="eastAsia"/>
          <w:rtl/>
        </w:rPr>
        <w:t>כי</w:t>
      </w:r>
      <w:r w:rsidRPr="004E0E5A">
        <w:rPr>
          <w:rtl/>
        </w:rPr>
        <w:t xml:space="preserve"> משרד הפנים </w:t>
      </w:r>
      <w:r w:rsidRPr="004E0E5A">
        <w:rPr>
          <w:rFonts w:hint="eastAsia"/>
          <w:rtl/>
        </w:rPr>
        <w:t>י</w:t>
      </w:r>
      <w:r w:rsidRPr="004E0E5A">
        <w:rPr>
          <w:rtl/>
        </w:rPr>
        <w:t xml:space="preserve">שקול מתן הנחיות לכלל הרשויות המקומיות לקבל הצעת מחיר </w:t>
      </w:r>
      <w:r w:rsidRPr="004E0E5A">
        <w:rPr>
          <w:rFonts w:hint="cs"/>
          <w:rtl/>
        </w:rPr>
        <w:t>מכמה</w:t>
      </w:r>
      <w:r w:rsidRPr="004E0E5A">
        <w:rPr>
          <w:rtl/>
        </w:rPr>
        <w:t xml:space="preserve"> נותני אשראי, וזאת </w:t>
      </w:r>
      <w:r w:rsidRPr="004E0E5A">
        <w:rPr>
          <w:rFonts w:hint="cs"/>
          <w:rtl/>
        </w:rPr>
        <w:t>כדי</w:t>
      </w:r>
      <w:r w:rsidRPr="004E0E5A">
        <w:rPr>
          <w:rtl/>
        </w:rPr>
        <w:t xml:space="preserve"> לקבל את תנאי האשראי הטובים ביותר. עוד מומלץ כי משרד הפנים יבחן הקלה בדרישות מתאגידים עירוניים המבקשים היתרים להלוואות או לאשראי</w:t>
      </w:r>
      <w:r w:rsidRPr="004E0E5A">
        <w:rPr>
          <w:rFonts w:hint="cs"/>
          <w:rtl/>
        </w:rPr>
        <w:t>,</w:t>
      </w:r>
      <w:r w:rsidRPr="004E0E5A">
        <w:rPr>
          <w:rtl/>
        </w:rPr>
        <w:t xml:space="preserve"> ובפרט בסכומים נמוכים</w:t>
      </w:r>
      <w:r w:rsidRPr="004E0E5A">
        <w:rPr>
          <w:rFonts w:hint="cs"/>
          <w:rtl/>
        </w:rPr>
        <w:t>,</w:t>
      </w:r>
      <w:r w:rsidRPr="004E0E5A">
        <w:rPr>
          <w:rtl/>
        </w:rPr>
        <w:t xml:space="preserve"> </w:t>
      </w:r>
      <w:r w:rsidRPr="004E0E5A">
        <w:rPr>
          <w:rFonts w:hint="cs"/>
          <w:rtl/>
        </w:rPr>
        <w:t>ויקבע</w:t>
      </w:r>
      <w:r w:rsidRPr="004E0E5A">
        <w:rPr>
          <w:rtl/>
        </w:rPr>
        <w:t xml:space="preserve"> קריטריונים שונים</w:t>
      </w:r>
      <w:r w:rsidRPr="004E0E5A">
        <w:rPr>
          <w:rFonts w:hint="cs"/>
          <w:rtl/>
        </w:rPr>
        <w:t>,</w:t>
      </w:r>
      <w:r w:rsidRPr="004E0E5A">
        <w:rPr>
          <w:rtl/>
        </w:rPr>
        <w:t xml:space="preserve"> כגון סכום ההלוואה וסוג התאגיד העירוני (כפי שקיים ברשויות המקומיות</w:t>
      </w:r>
      <w:r w:rsidRPr="004E0E5A">
        <w:rPr>
          <w:rFonts w:hint="cs"/>
          <w:rtl/>
        </w:rPr>
        <w:t>,</w:t>
      </w:r>
      <w:r w:rsidRPr="004E0E5A">
        <w:rPr>
          <w:rtl/>
        </w:rPr>
        <w:t xml:space="preserve"> המחולקות לרשויות איתנות ושאינן איתנות</w:t>
      </w:r>
      <w:r w:rsidRPr="004E0E5A">
        <w:rPr>
          <w:rFonts w:hint="cs"/>
          <w:rtl/>
        </w:rPr>
        <w:t>).</w:t>
      </w:r>
    </w:p>
    <w:p w:rsidR="00706096" w:rsidRPr="004E0E5A" w:rsidP="004E0E5A" w14:paraId="3F6A2BE4" w14:textId="467E2E42">
      <w:pPr>
        <w:pStyle w:val="7317"/>
        <w:rPr>
          <w:rtl/>
        </w:rPr>
      </w:pPr>
      <w:r w:rsidRPr="004E0E5A">
        <w:rPr>
          <w:rFonts w:hint="cs"/>
          <w:noProof/>
          <w:rtl/>
        </w:rPr>
        <w:drawing>
          <wp:anchor distT="0" distB="360045" distL="0" distR="0" simplePos="0" relativeHeight="251700224" behindDoc="1" locked="0" layoutInCell="1" allowOverlap="1">
            <wp:simplePos x="0" y="0"/>
            <wp:positionH relativeFrom="column">
              <wp:posOffset>4561019</wp:posOffset>
            </wp:positionH>
            <wp:positionV relativeFrom="paragraph">
              <wp:posOffset>18415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E0E5A" w:rsidR="00076F3C">
        <w:rPr>
          <w:rtl/>
        </w:rPr>
        <w:t xml:space="preserve">מומלץ כי רשות החברות הממשלתית ומשרד האוצר יבחנו מודלים להפחתת העלויות העודפות של חברות ממשלתיות למול גיוס ההון באמצעות המדינה. </w:t>
      </w:r>
      <w:r w:rsidRPr="004E0E5A" w:rsidR="00076F3C">
        <w:rPr>
          <w:rFonts w:hint="eastAsia"/>
          <w:rtl/>
        </w:rPr>
        <w:t>עוד</w:t>
      </w:r>
      <w:r w:rsidRPr="004E0E5A" w:rsidR="00076F3C">
        <w:rPr>
          <w:rtl/>
        </w:rPr>
        <w:t xml:space="preserve"> מומלץ כי רשות החברות הממשלתיות</w:t>
      </w:r>
      <w:r w:rsidRPr="004E0E5A" w:rsidR="00076F3C">
        <w:rPr>
          <w:rFonts w:hint="cs"/>
          <w:rtl/>
        </w:rPr>
        <w:t xml:space="preserve"> </w:t>
      </w:r>
      <w:r w:rsidRPr="004E0E5A" w:rsidR="00076F3C">
        <w:rPr>
          <w:rFonts w:hint="eastAsia"/>
          <w:rtl/>
        </w:rPr>
        <w:t>תמשיך</w:t>
      </w:r>
      <w:r w:rsidRPr="004E0E5A" w:rsidR="00076F3C">
        <w:rPr>
          <w:rtl/>
        </w:rPr>
        <w:t xml:space="preserve"> </w:t>
      </w:r>
      <w:r w:rsidRPr="004E0E5A" w:rsidR="00076F3C">
        <w:rPr>
          <w:rFonts w:hint="eastAsia"/>
          <w:rtl/>
        </w:rPr>
        <w:t>לעודד</w:t>
      </w:r>
      <w:r w:rsidRPr="004E0E5A" w:rsidR="00076F3C">
        <w:rPr>
          <w:rtl/>
        </w:rPr>
        <w:t xml:space="preserve"> </w:t>
      </w:r>
      <w:r w:rsidRPr="004E0E5A" w:rsidR="00076F3C">
        <w:rPr>
          <w:rFonts w:hint="eastAsia"/>
          <w:rtl/>
        </w:rPr>
        <w:t>חברות</w:t>
      </w:r>
      <w:r w:rsidRPr="004E0E5A" w:rsidR="00076F3C">
        <w:rPr>
          <w:rtl/>
        </w:rPr>
        <w:t xml:space="preserve"> </w:t>
      </w:r>
      <w:r w:rsidRPr="004E0E5A" w:rsidR="00076F3C">
        <w:rPr>
          <w:rFonts w:hint="eastAsia"/>
          <w:rtl/>
        </w:rPr>
        <w:t>ממשלתיות</w:t>
      </w:r>
      <w:r w:rsidRPr="004E0E5A" w:rsidR="00076F3C">
        <w:rPr>
          <w:rtl/>
        </w:rPr>
        <w:t xml:space="preserve"> </w:t>
      </w:r>
      <w:r w:rsidRPr="004E0E5A" w:rsidR="00076F3C">
        <w:rPr>
          <w:rFonts w:hint="eastAsia"/>
          <w:rtl/>
        </w:rPr>
        <w:t>להנפיק</w:t>
      </w:r>
      <w:r w:rsidRPr="004E0E5A" w:rsidR="00076F3C">
        <w:rPr>
          <w:rtl/>
        </w:rPr>
        <w:t xml:space="preserve"> </w:t>
      </w:r>
      <w:r w:rsidRPr="004E0E5A" w:rsidR="00076F3C">
        <w:rPr>
          <w:rFonts w:hint="eastAsia"/>
          <w:rtl/>
        </w:rPr>
        <w:t>אג</w:t>
      </w:r>
      <w:r w:rsidRPr="004E0E5A" w:rsidR="00076F3C">
        <w:rPr>
          <w:rtl/>
        </w:rPr>
        <w:t xml:space="preserve">"ח </w:t>
      </w:r>
      <w:r w:rsidRPr="004E0E5A" w:rsidR="00076F3C">
        <w:rPr>
          <w:rFonts w:hint="eastAsia"/>
          <w:rtl/>
        </w:rPr>
        <w:t>לציבור</w:t>
      </w:r>
      <w:r w:rsidRPr="004E0E5A" w:rsidR="00076F3C">
        <w:rPr>
          <w:rtl/>
        </w:rPr>
        <w:t xml:space="preserve"> </w:t>
      </w:r>
      <w:r w:rsidRPr="004E0E5A" w:rsidR="00076F3C">
        <w:rPr>
          <w:rFonts w:hint="eastAsia"/>
          <w:rtl/>
        </w:rPr>
        <w:t>במקרים</w:t>
      </w:r>
      <w:r w:rsidRPr="004E0E5A" w:rsidR="00076F3C">
        <w:rPr>
          <w:rtl/>
        </w:rPr>
        <w:t xml:space="preserve"> </w:t>
      </w:r>
      <w:r w:rsidRPr="004E0E5A" w:rsidR="00076F3C">
        <w:rPr>
          <w:rFonts w:hint="eastAsia"/>
          <w:rtl/>
        </w:rPr>
        <w:t>המתאימים</w:t>
      </w:r>
      <w:r w:rsidRPr="004E0E5A" w:rsidR="00076F3C">
        <w:rPr>
          <w:rtl/>
        </w:rPr>
        <w:t xml:space="preserve"> </w:t>
      </w:r>
      <w:r w:rsidRPr="004E0E5A" w:rsidR="00076F3C">
        <w:rPr>
          <w:rFonts w:hint="cs"/>
          <w:rtl/>
        </w:rPr>
        <w:t>ו</w:t>
      </w:r>
      <w:r w:rsidRPr="004E0E5A" w:rsidR="00076F3C">
        <w:rPr>
          <w:rFonts w:hint="eastAsia"/>
          <w:rtl/>
        </w:rPr>
        <w:t>ת</w:t>
      </w:r>
      <w:r w:rsidRPr="004E0E5A" w:rsidR="00076F3C">
        <w:rPr>
          <w:rtl/>
        </w:rPr>
        <w:t>גבש נוהל עבודה</w:t>
      </w:r>
      <w:r w:rsidRPr="004E0E5A" w:rsidR="00076F3C">
        <w:rPr>
          <w:rFonts w:hint="cs"/>
          <w:rtl/>
        </w:rPr>
        <w:t xml:space="preserve"> </w:t>
      </w:r>
      <w:r w:rsidRPr="004E0E5A" w:rsidR="00076F3C">
        <w:rPr>
          <w:rtl/>
        </w:rPr>
        <w:t xml:space="preserve">כדי לייעל את הליך קבלת אישורי המשרדים הממשלתיים הרלוונטיים בעת הנפקת </w:t>
      </w:r>
      <w:r w:rsidRPr="004E0E5A" w:rsidR="00076F3C">
        <w:rPr>
          <w:rFonts w:hint="cs"/>
          <w:rtl/>
        </w:rPr>
        <w:t>אג"ח</w:t>
      </w:r>
      <w:r w:rsidRPr="004E0E5A" w:rsidR="00076F3C">
        <w:rPr>
          <w:rtl/>
        </w:rPr>
        <w:t xml:space="preserve"> של חברות ממשלתיות בכל הנוגע לפרט מטעה</w:t>
      </w:r>
      <w:r w:rsidRPr="004E0E5A">
        <w:rPr>
          <w:rFonts w:hint="cs"/>
          <w:rtl/>
        </w:rPr>
        <w:t>.</w:t>
      </w:r>
    </w:p>
    <w:p w:rsidR="00706096" w:rsidRPr="004E0E5A" w:rsidP="004E0E5A" w14:paraId="36B4D251" w14:textId="2827366F">
      <w:pPr>
        <w:pStyle w:val="7317"/>
      </w:pPr>
      <w:r w:rsidRPr="004E0E5A">
        <w:rPr>
          <w:rFonts w:hint="cs"/>
          <w:noProof/>
          <w:rtl/>
        </w:rPr>
        <w:drawing>
          <wp:anchor distT="0" distB="360045" distL="0" distR="0" simplePos="0" relativeHeight="251701248" behindDoc="1" locked="0" layoutInCell="1" allowOverlap="1">
            <wp:simplePos x="0" y="0"/>
            <wp:positionH relativeFrom="column">
              <wp:posOffset>4561019</wp:posOffset>
            </wp:positionH>
            <wp:positionV relativeFrom="paragraph">
              <wp:posOffset>19685</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E0E5A" w:rsidR="00076F3C">
        <w:rPr>
          <w:rFonts w:hint="cs"/>
          <w:rtl/>
        </w:rPr>
        <w:t xml:space="preserve">מומלץ כי </w:t>
      </w:r>
      <w:r w:rsidRPr="004E0E5A" w:rsidR="00076F3C">
        <w:rPr>
          <w:rtl/>
        </w:rPr>
        <w:t>משרד הפנים</w:t>
      </w:r>
      <w:r w:rsidRPr="004E0E5A" w:rsidR="00076F3C">
        <w:rPr>
          <w:rFonts w:hint="cs"/>
          <w:rtl/>
        </w:rPr>
        <w:t xml:space="preserve"> -</w:t>
      </w:r>
      <w:r w:rsidRPr="004E0E5A" w:rsidR="00076F3C">
        <w:rPr>
          <w:rtl/>
        </w:rPr>
        <w:t xml:space="preserve"> </w:t>
      </w:r>
      <w:r w:rsidRPr="004E0E5A" w:rsidR="00076F3C">
        <w:rPr>
          <w:rFonts w:hint="cs"/>
          <w:rtl/>
        </w:rPr>
        <w:t>בשיתוף</w:t>
      </w:r>
      <w:r w:rsidRPr="004E0E5A" w:rsidR="00076F3C">
        <w:rPr>
          <w:rtl/>
        </w:rPr>
        <w:t xml:space="preserve"> החשב הכללי, אגף התקציבים והגורמים הרלוונטיים בשלטון המקומי</w:t>
      </w:r>
      <w:r w:rsidRPr="004E0E5A" w:rsidR="00076F3C">
        <w:rPr>
          <w:rFonts w:hint="cs"/>
          <w:rtl/>
        </w:rPr>
        <w:t xml:space="preserve"> -</w:t>
      </w:r>
      <w:r w:rsidRPr="004E0E5A" w:rsidR="00076F3C">
        <w:rPr>
          <w:rtl/>
        </w:rPr>
        <w:t xml:space="preserve"> </w:t>
      </w:r>
      <w:r w:rsidRPr="004E0E5A" w:rsidR="00076F3C">
        <w:rPr>
          <w:rFonts w:hint="cs"/>
          <w:rtl/>
        </w:rPr>
        <w:t>יבחן</w:t>
      </w:r>
      <w:r w:rsidRPr="004E0E5A" w:rsidR="00076F3C">
        <w:rPr>
          <w:rtl/>
        </w:rPr>
        <w:t xml:space="preserve"> מתווה להנפקות אג"ח של רשויות מקומיות, דבר שיכול להביא לגיוון מקורות המימון לשלטון המקומי. </w:t>
      </w:r>
      <w:r w:rsidRPr="004E0E5A" w:rsidR="00076F3C">
        <w:rPr>
          <w:rFonts w:hint="eastAsia"/>
          <w:rtl/>
        </w:rPr>
        <w:t>עוד</w:t>
      </w:r>
      <w:r w:rsidRPr="004E0E5A" w:rsidR="00076F3C">
        <w:rPr>
          <w:rtl/>
        </w:rPr>
        <w:t xml:space="preserve"> </w:t>
      </w:r>
      <w:r w:rsidRPr="004E0E5A" w:rsidR="00076F3C">
        <w:rPr>
          <w:rFonts w:hint="eastAsia"/>
          <w:rtl/>
        </w:rPr>
        <w:t>מומלץ</w:t>
      </w:r>
      <w:r w:rsidRPr="004E0E5A" w:rsidR="00076F3C">
        <w:rPr>
          <w:rtl/>
        </w:rPr>
        <w:t xml:space="preserve"> כי משרד הפנים יבחן את מעבר הרשויות המקומיות לדיווח על בסיס תקינה חשבונאית ממשלתית ויציג את הנתונים</w:t>
      </w:r>
      <w:r w:rsidRPr="004E0E5A" w:rsidR="00076F3C">
        <w:rPr>
          <w:rFonts w:hint="cs"/>
          <w:rtl/>
        </w:rPr>
        <w:t xml:space="preserve"> בדוחות הכספיים</w:t>
      </w:r>
      <w:r w:rsidRPr="004E0E5A" w:rsidR="00076F3C">
        <w:rPr>
          <w:rtl/>
        </w:rPr>
        <w:t xml:space="preserve"> על בסיס מצטבר. הדבר</w:t>
      </w:r>
      <w:r w:rsidRPr="004E0E5A" w:rsidR="00076F3C">
        <w:rPr>
          <w:rFonts w:hint="cs"/>
          <w:rtl/>
        </w:rPr>
        <w:t>, בין היתר,</w:t>
      </w:r>
      <w:r w:rsidRPr="004E0E5A" w:rsidR="00076F3C">
        <w:rPr>
          <w:rtl/>
        </w:rPr>
        <w:t xml:space="preserve"> יקל על הרשויות לעמוד בתנאים הנדרשים להנפקת ניירות ערך בבורסה. לחלופין</w:t>
      </w:r>
      <w:r w:rsidRPr="004E0E5A" w:rsidR="00076F3C">
        <w:rPr>
          <w:rFonts w:hint="cs"/>
          <w:rtl/>
        </w:rPr>
        <w:t>,</w:t>
      </w:r>
      <w:r w:rsidRPr="004E0E5A" w:rsidR="00076F3C">
        <w:rPr>
          <w:rtl/>
        </w:rPr>
        <w:t xml:space="preserve"> מומלץ כי רשות ניירות ערך תשקול</w:t>
      </w:r>
      <w:r w:rsidRPr="004E0E5A" w:rsidR="00076F3C">
        <w:rPr>
          <w:rFonts w:hint="cs"/>
          <w:rtl/>
        </w:rPr>
        <w:t>,</w:t>
      </w:r>
      <w:r w:rsidRPr="004E0E5A" w:rsidR="00076F3C">
        <w:rPr>
          <w:rtl/>
        </w:rPr>
        <w:t xml:space="preserve"> בשיתוף משרד הפנים</w:t>
      </w:r>
      <w:r w:rsidRPr="004E0E5A" w:rsidR="00076F3C">
        <w:rPr>
          <w:rFonts w:hint="cs"/>
          <w:rtl/>
        </w:rPr>
        <w:t>,</w:t>
      </w:r>
      <w:r w:rsidRPr="004E0E5A" w:rsidR="00076F3C">
        <w:rPr>
          <w:rtl/>
        </w:rPr>
        <w:t xml:space="preserve"> אסדרה ייעודית ל</w:t>
      </w:r>
      <w:r w:rsidRPr="004E0E5A" w:rsidR="00076F3C">
        <w:rPr>
          <w:rFonts w:hint="cs"/>
          <w:rtl/>
        </w:rPr>
        <w:t xml:space="preserve">גבי </w:t>
      </w:r>
      <w:r w:rsidRPr="004E0E5A" w:rsidR="00076F3C">
        <w:rPr>
          <w:rtl/>
        </w:rPr>
        <w:t>גיוס אג"ח מוניציפלי</w:t>
      </w:r>
      <w:r w:rsidRPr="004E0E5A" w:rsidR="00076F3C">
        <w:rPr>
          <w:rFonts w:hint="cs"/>
          <w:rtl/>
        </w:rPr>
        <w:t>,</w:t>
      </w:r>
      <w:r w:rsidRPr="004E0E5A" w:rsidR="00076F3C">
        <w:rPr>
          <w:rtl/>
        </w:rPr>
        <w:t xml:space="preserve"> תוך שימת לב לחשבונאות המקובלת כיום ברשויות המקומיות</w:t>
      </w:r>
      <w:r w:rsidRPr="004E0E5A">
        <w:rPr>
          <w:rFonts w:hint="cs"/>
          <w:rtl/>
        </w:rPr>
        <w:t>.</w:t>
      </w:r>
    </w:p>
    <w:p w:rsidR="00076F3C" w:rsidRPr="004E0E5A" w:rsidP="004E0E5A" w14:paraId="4E46C2A8" w14:textId="225AA6AB">
      <w:pPr>
        <w:pStyle w:val="7317"/>
        <w:rPr>
          <w:rtl/>
        </w:rPr>
      </w:pPr>
    </w:p>
    <w:p w:rsidR="005D0F8C" w:rsidP="00706096" w14:paraId="24125138" w14:textId="1CCBC8FE">
      <w:pPr>
        <w:tabs>
          <w:tab w:val="right" w:pos="7370"/>
        </w:tabs>
        <w:bidi w:val="0"/>
        <w:spacing w:after="200" w:line="276" w:lineRule="auto"/>
        <w:rPr>
          <w:rtl/>
        </w:rPr>
      </w:pP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146050</wp:posOffset>
                </wp:positionH>
                <wp:positionV relativeFrom="paragraph">
                  <wp:posOffset>-65405</wp:posOffset>
                </wp:positionV>
                <wp:extent cx="4436745" cy="66611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66115"/>
                        </a:xfrm>
                        <a:prstGeom prst="rect">
                          <a:avLst/>
                        </a:prstGeom>
                        <a:solidFill>
                          <a:srgbClr val="F05260"/>
                        </a:solidFill>
                        <a:ln w="9525">
                          <a:noFill/>
                          <a:miter lim="800000"/>
                          <a:headEnd/>
                          <a:tailEnd/>
                        </a:ln>
                      </wps:spPr>
                      <wps:txbx>
                        <w:txbxContent>
                          <w:p w:rsidR="005D0F8C" w:rsidRPr="005C7ABF" w:rsidP="00076F3C" w14:textId="7A2DD123">
                            <w:pPr>
                              <w:spacing w:line="240" w:lineRule="auto"/>
                              <w:ind w:right="113"/>
                              <w:jc w:val="left"/>
                              <w:rPr>
                                <w:rFonts w:ascii="Tahoma" w:hAnsi="Tahoma" w:cs="Tahoma"/>
                                <w:b/>
                                <w:bCs/>
                                <w:color w:val="FFFFFF" w:themeColor="background1"/>
                                <w:spacing w:val="-4"/>
                                <w:sz w:val="22"/>
                                <w:szCs w:val="22"/>
                                <w:rtl/>
                              </w:rPr>
                            </w:pPr>
                            <w:r w:rsidRPr="006A4754">
                              <w:rPr>
                                <w:rFonts w:ascii="Tahoma" w:hAnsi="Tahoma" w:cs="Tahoma"/>
                                <w:b/>
                                <w:bCs/>
                                <w:color w:val="FFFFFF" w:themeColor="background1"/>
                                <w:spacing w:val="-4"/>
                                <w:sz w:val="22"/>
                                <w:szCs w:val="22"/>
                                <w:rtl/>
                              </w:rPr>
                              <w:t xml:space="preserve">התפתחות החוב של הרשויות המקומיות </w:t>
                            </w:r>
                            <w:r w:rsidRPr="006A4754">
                              <w:rPr>
                                <w:rFonts w:ascii="Tahoma" w:hAnsi="Tahoma" w:cs="Tahoma" w:hint="cs"/>
                                <w:b/>
                                <w:bCs/>
                                <w:color w:val="FFFFFF" w:themeColor="background1"/>
                                <w:spacing w:val="-4"/>
                                <w:sz w:val="22"/>
                                <w:szCs w:val="22"/>
                                <w:rtl/>
                              </w:rPr>
                              <w:t>ו</w:t>
                            </w:r>
                            <w:r w:rsidRPr="006A4754">
                              <w:rPr>
                                <w:rFonts w:ascii="Tahoma" w:hAnsi="Tahoma" w:cs="Tahoma"/>
                                <w:b/>
                                <w:bCs/>
                                <w:color w:val="FFFFFF" w:themeColor="background1"/>
                                <w:spacing w:val="-4"/>
                                <w:sz w:val="22"/>
                                <w:szCs w:val="22"/>
                                <w:rtl/>
                              </w:rPr>
                              <w:t xml:space="preserve">תאגידים ציבוריים נוספים שחובותיהם נכללים בחוב הציבורי, 2010 - </w:t>
                            </w:r>
                            <w:r w:rsidRPr="006A4754">
                              <w:rPr>
                                <w:rFonts w:ascii="Tahoma" w:hAnsi="Tahoma" w:cs="Tahoma" w:hint="cs"/>
                                <w:b/>
                                <w:bCs/>
                                <w:color w:val="FFFFFF" w:themeColor="background1"/>
                                <w:spacing w:val="-4"/>
                                <w:sz w:val="22"/>
                                <w:szCs w:val="22"/>
                                <w:rtl/>
                              </w:rPr>
                              <w:t>2021</w:t>
                            </w:r>
                            <w:r w:rsidRPr="006A4754">
                              <w:rPr>
                                <w:rFonts w:ascii="Tahoma" w:hAnsi="Tahoma" w:cs="Tahoma"/>
                                <w:b/>
                                <w:bCs/>
                                <w:color w:val="FFFFFF" w:themeColor="background1"/>
                                <w:spacing w:val="-4"/>
                                <w:sz w:val="22"/>
                                <w:szCs w:val="22"/>
                                <w:rtl/>
                              </w:rPr>
                              <w:t xml:space="preserve"> (במיליארדי ש"ח) </w:t>
                            </w:r>
                            <w:r w:rsidRPr="006A4754">
                              <w:rPr>
                                <w:rFonts w:ascii="Tahoma" w:hAnsi="Tahoma" w:cs="Tahoma" w:hint="cs"/>
                                <w:b/>
                                <w:bCs/>
                                <w:color w:val="FFFFFF" w:themeColor="background1"/>
                                <w:spacing w:val="-4"/>
                                <w:sz w:val="22"/>
                                <w:szCs w:val="22"/>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8" type="#_x0000_t202" style="width:349.35pt;height:52.45pt;margin-top:-5.15pt;margin-left:11.5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076F3C" w14:paraId="1D5D7976" w14:textId="7A2DD123">
                      <w:pPr>
                        <w:spacing w:line="240" w:lineRule="auto"/>
                        <w:ind w:right="113"/>
                        <w:jc w:val="left"/>
                        <w:rPr>
                          <w:rFonts w:ascii="Tahoma" w:hAnsi="Tahoma" w:cs="Tahoma"/>
                          <w:b/>
                          <w:bCs/>
                          <w:color w:val="FFFFFF" w:themeColor="background1"/>
                          <w:spacing w:val="-4"/>
                          <w:sz w:val="22"/>
                          <w:szCs w:val="22"/>
                          <w:rtl/>
                        </w:rPr>
                      </w:pPr>
                      <w:r w:rsidRPr="006A4754">
                        <w:rPr>
                          <w:rFonts w:ascii="Tahoma" w:hAnsi="Tahoma" w:cs="Tahoma"/>
                          <w:b/>
                          <w:bCs/>
                          <w:color w:val="FFFFFF" w:themeColor="background1"/>
                          <w:spacing w:val="-4"/>
                          <w:sz w:val="22"/>
                          <w:szCs w:val="22"/>
                          <w:rtl/>
                        </w:rPr>
                        <w:t xml:space="preserve">התפתחות החוב של הרשויות המקומיות </w:t>
                      </w:r>
                      <w:r w:rsidRPr="006A4754">
                        <w:rPr>
                          <w:rFonts w:ascii="Tahoma" w:hAnsi="Tahoma" w:cs="Tahoma" w:hint="cs"/>
                          <w:b/>
                          <w:bCs/>
                          <w:color w:val="FFFFFF" w:themeColor="background1"/>
                          <w:spacing w:val="-4"/>
                          <w:sz w:val="22"/>
                          <w:szCs w:val="22"/>
                          <w:rtl/>
                        </w:rPr>
                        <w:t>ו</w:t>
                      </w:r>
                      <w:r w:rsidRPr="006A4754">
                        <w:rPr>
                          <w:rFonts w:ascii="Tahoma" w:hAnsi="Tahoma" w:cs="Tahoma"/>
                          <w:b/>
                          <w:bCs/>
                          <w:color w:val="FFFFFF" w:themeColor="background1"/>
                          <w:spacing w:val="-4"/>
                          <w:sz w:val="22"/>
                          <w:szCs w:val="22"/>
                          <w:rtl/>
                        </w:rPr>
                        <w:t xml:space="preserve">תאגידים ציבוריים נוספים שחובותיהם נכללים בחוב הציבורי, 2010 - </w:t>
                      </w:r>
                      <w:r w:rsidRPr="006A4754">
                        <w:rPr>
                          <w:rFonts w:ascii="Tahoma" w:hAnsi="Tahoma" w:cs="Tahoma" w:hint="cs"/>
                          <w:b/>
                          <w:bCs/>
                          <w:color w:val="FFFFFF" w:themeColor="background1"/>
                          <w:spacing w:val="-4"/>
                          <w:sz w:val="22"/>
                          <w:szCs w:val="22"/>
                          <w:rtl/>
                        </w:rPr>
                        <w:t>2021</w:t>
                      </w:r>
                      <w:r w:rsidRPr="006A4754">
                        <w:rPr>
                          <w:rFonts w:ascii="Tahoma" w:hAnsi="Tahoma" w:cs="Tahoma"/>
                          <w:b/>
                          <w:bCs/>
                          <w:color w:val="FFFFFF" w:themeColor="background1"/>
                          <w:spacing w:val="-4"/>
                          <w:sz w:val="22"/>
                          <w:szCs w:val="22"/>
                          <w:rtl/>
                        </w:rPr>
                        <w:t xml:space="preserve"> (במיליארדי ש"ח) </w:t>
                      </w:r>
                      <w:r w:rsidRPr="006A4754">
                        <w:rPr>
                          <w:rFonts w:ascii="Tahoma" w:hAnsi="Tahoma" w:cs="Tahoma" w:hint="cs"/>
                          <w:b/>
                          <w:bCs/>
                          <w:color w:val="FFFFFF" w:themeColor="background1"/>
                          <w:spacing w:val="-4"/>
                          <w:sz w:val="22"/>
                          <w:szCs w:val="22"/>
                          <w:rtl/>
                        </w:rPr>
                        <w:t xml:space="preserve"> </w:t>
                      </w:r>
                    </w:p>
                  </w:txbxContent>
                </v:textbox>
              </v:shape>
            </w:pict>
          </mc:Fallback>
        </mc:AlternateContent>
      </w:r>
      <w:r w:rsidRPr="00D527BD">
        <w:rPr>
          <w:noProof/>
          <w:szCs w:val="20"/>
          <w:rtl/>
        </w:rPr>
        <w:drawing>
          <wp:anchor distT="0" distB="0" distL="114300" distR="114300" simplePos="0" relativeHeight="251678720" behindDoc="0" locked="0" layoutInCell="1" allowOverlap="1">
            <wp:simplePos x="0" y="0"/>
            <wp:positionH relativeFrom="column">
              <wp:posOffset>-45255</wp:posOffset>
            </wp:positionH>
            <wp:positionV relativeFrom="paragraph">
              <wp:posOffset>-161103</wp:posOffset>
            </wp:positionV>
            <wp:extent cx="4728807" cy="1061472"/>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28807" cy="1061472"/>
                    </a:xfrm>
                    <a:prstGeom prst="rect">
                      <a:avLst/>
                    </a:prstGeom>
                  </pic:spPr>
                </pic:pic>
              </a:graphicData>
            </a:graphic>
            <wp14:sizeRelV relativeFrom="margin">
              <wp14:pctHeight>0</wp14:pctHeight>
            </wp14:sizeRelV>
          </wp:anchor>
        </w:drawing>
      </w:r>
    </w:p>
    <w:p w:rsidR="005D0F8C" w:rsidP="005D0F8C" w14:paraId="6DC28C4F" w14:textId="68EC595C">
      <w:pPr>
        <w:pStyle w:val="7317"/>
        <w:rPr>
          <w:rtl/>
        </w:rPr>
      </w:pPr>
      <w:r>
        <w:rPr>
          <w:rtl/>
        </w:rPr>
        <w:t xml:space="preserve"> </w:t>
      </w:r>
    </w:p>
    <w:p w:rsidR="005D0F8C" w:rsidP="005D0F8C" w14:paraId="5B8DB107" w14:textId="19351F1E">
      <w:pPr>
        <w:pStyle w:val="7317"/>
        <w:rPr>
          <w:rtl/>
        </w:rPr>
      </w:pPr>
    </w:p>
    <w:p w:rsidR="00076F3C" w:rsidRPr="00076F3C" w:rsidP="00076F3C" w14:paraId="76BE29F3" w14:textId="25F78902">
      <w:pPr>
        <w:pStyle w:val="738"/>
        <w:spacing w:before="360"/>
        <w:rPr>
          <w:rtl/>
        </w:rPr>
      </w:pPr>
      <w:r w:rsidRPr="00D74730">
        <w:rPr>
          <w:noProof/>
          <w:sz w:val="19"/>
          <w:szCs w:val="19"/>
        </w:rPr>
        <w:drawing>
          <wp:anchor distT="0" distB="0" distL="114300" distR="114300" simplePos="0" relativeHeight="251684864" behindDoc="1" locked="0" layoutInCell="1" allowOverlap="1">
            <wp:simplePos x="0" y="0"/>
            <wp:positionH relativeFrom="page">
              <wp:posOffset>1550035</wp:posOffset>
            </wp:positionH>
            <wp:positionV relativeFrom="paragraph">
              <wp:posOffset>39370</wp:posOffset>
            </wp:positionV>
            <wp:extent cx="4448810" cy="2676525"/>
            <wp:effectExtent l="0" t="0" r="0" b="0"/>
            <wp:wrapTopAndBottom/>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תמונה 37"/>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4448810" cy="2676525"/>
                    </a:xfrm>
                    <a:prstGeom prst="rect">
                      <a:avLst/>
                    </a:prstGeom>
                    <a:noFill/>
                  </pic:spPr>
                </pic:pic>
              </a:graphicData>
            </a:graphic>
            <wp14:sizeRelH relativeFrom="page">
              <wp14:pctWidth>0</wp14:pctWidth>
            </wp14:sizeRelH>
            <wp14:sizeRelV relativeFrom="page">
              <wp14:pctHeight>0</wp14:pctHeight>
            </wp14:sizeRelV>
          </wp:anchor>
        </w:drawing>
      </w:r>
      <w:r w:rsidRPr="00076F3C">
        <w:rPr>
          <w:rFonts w:hint="cs"/>
          <w:rtl/>
        </w:rPr>
        <w:t xml:space="preserve">על פי נתוני </w:t>
      </w:r>
      <w:r w:rsidRPr="00076F3C">
        <w:rPr>
          <w:rtl/>
        </w:rPr>
        <w:t xml:space="preserve">משרד האוצר, בעיבוד משרד המבקר המדינה. </w:t>
      </w:r>
    </w:p>
    <w:p w:rsidR="000B31AA" w:rsidP="005D0F8C" w14:paraId="70881590" w14:textId="2FB01EF6">
      <w:pPr>
        <w:pStyle w:val="738"/>
        <w:spacing w:before="360" w:after="0"/>
        <w:rPr>
          <w:b/>
          <w:bCs/>
          <w:noProof/>
          <w:color w:val="FFFFFF" w:themeColor="background1"/>
          <w:sz w:val="22"/>
          <w:szCs w:val="22"/>
        </w:rPr>
      </w:pPr>
    </w:p>
    <w:p w:rsidR="000B31AA" w:rsidRPr="000B31AA" w:rsidP="00662020" w14:paraId="1001632A" w14:textId="51A9F9A1">
      <w:pPr>
        <w:pStyle w:val="738"/>
        <w:spacing w:before="0" w:after="0"/>
        <w:rPr>
          <w:rtl/>
        </w:rPr>
      </w:pPr>
    </w:p>
    <w:p w:rsidR="000B31AA" w:rsidRPr="003A253B" w:rsidP="000B31AA" w14:paraId="5C1AE375" w14:textId="00DDF82D">
      <w:pPr>
        <w:pStyle w:val="7317"/>
        <w:rPr>
          <w:rtl/>
        </w:rPr>
      </w:pPr>
    </w:p>
    <w:p w:rsidR="000B31AA" w:rsidRPr="00827841" w:rsidP="000B31AA" w14:paraId="0E94D97F" w14:textId="77777777">
      <w:pPr>
        <w:pStyle w:val="7317"/>
        <w:spacing w:before="360" w:after="360"/>
        <w:rPr>
          <w:rtl/>
        </w:rPr>
        <w:sectPr w:rsidSect="00CF6474">
          <w:footerReference w:type="even" r:id="rId28"/>
          <w:footerReference w:type="default" r:id="rId29"/>
          <w:headerReference w:type="first" r:id="rId30"/>
          <w:footerReference w:type="first" r:id="rId31"/>
          <w:pgSz w:w="11906" w:h="16838" w:code="9"/>
          <w:pgMar w:top="3062" w:right="2268" w:bottom="2552" w:left="2268" w:header="1134" w:footer="1361" w:gutter="0"/>
          <w:pgNumType w:start="27"/>
          <w:cols w:space="708"/>
          <w:bidi/>
          <w:rtlGutter/>
          <w:docGrid w:linePitch="360"/>
        </w:sectPr>
      </w:pPr>
    </w:p>
    <w:p w:rsidR="005D0F8C" w:rsidP="00520550" w14:paraId="3B41E678" w14:textId="7096B259">
      <w:pPr>
        <w:pStyle w:val="73"/>
        <w:rPr>
          <w:rtl/>
        </w:rPr>
      </w:pPr>
      <w:r w:rsidRPr="00EF3061">
        <w:rPr>
          <w:rFonts w:hint="cs"/>
          <w:rtl/>
        </w:rPr>
        <w:t>סיכום</w:t>
      </w:r>
    </w:p>
    <w:p w:rsidR="00076F3C" w:rsidRPr="006A4754" w:rsidP="00076F3C" w14:paraId="4338F69B" w14:textId="77777777">
      <w:pPr>
        <w:widowControl w:val="0"/>
        <w:spacing w:before="240" w:line="276" w:lineRule="auto"/>
        <w:ind w:left="-1"/>
        <w:rPr>
          <w:rFonts w:ascii="Tahoma" w:hAnsi="Tahoma" w:cs="Tahoma"/>
          <w:sz w:val="18"/>
          <w:szCs w:val="18"/>
          <w:rtl/>
        </w:rPr>
      </w:pPr>
      <w:r w:rsidRPr="006A4754">
        <w:rPr>
          <w:rFonts w:ascii="Tahoma" w:hAnsi="Tahoma" w:cs="Tahoma"/>
          <w:sz w:val="18"/>
          <w:szCs w:val="18"/>
          <w:rtl/>
        </w:rPr>
        <w:t>הרחבתם של מקורות המימון של הישויות הממשלתיות השונות וגיוונם חשובים ביותר לשם חיזוק הצמיחה במשק</w:t>
      </w:r>
      <w:r w:rsidRPr="006A4754">
        <w:rPr>
          <w:rFonts w:ascii="Tahoma" w:hAnsi="Tahoma" w:cs="Tahoma" w:hint="cs"/>
          <w:sz w:val="18"/>
          <w:szCs w:val="18"/>
          <w:rtl/>
        </w:rPr>
        <w:t>,</w:t>
      </w:r>
      <w:r w:rsidRPr="006A4754">
        <w:rPr>
          <w:rFonts w:ascii="Tahoma" w:hAnsi="Tahoma" w:cs="Tahoma"/>
          <w:sz w:val="18"/>
          <w:szCs w:val="18"/>
          <w:rtl/>
        </w:rPr>
        <w:t xml:space="preserve"> עידוד ושכלול </w:t>
      </w:r>
      <w:r w:rsidRPr="006A4754">
        <w:rPr>
          <w:rFonts w:ascii="Tahoma" w:hAnsi="Tahoma" w:cs="Tahoma" w:hint="cs"/>
          <w:sz w:val="18"/>
          <w:szCs w:val="18"/>
          <w:rtl/>
        </w:rPr>
        <w:t xml:space="preserve">של </w:t>
      </w:r>
      <w:r w:rsidRPr="006A4754">
        <w:rPr>
          <w:rFonts w:ascii="Tahoma" w:hAnsi="Tahoma" w:cs="Tahoma"/>
          <w:sz w:val="18"/>
          <w:szCs w:val="18"/>
          <w:rtl/>
        </w:rPr>
        <w:t xml:space="preserve">שוק ההון הסחיר והבלתי סחיר ויצירת חלופה נוספת למימון הבנקאי. שכלול ופיתוח </w:t>
      </w:r>
      <w:r w:rsidRPr="006A4754">
        <w:rPr>
          <w:rFonts w:ascii="Tahoma" w:hAnsi="Tahoma" w:cs="Tahoma" w:hint="cs"/>
          <w:sz w:val="18"/>
          <w:szCs w:val="18"/>
          <w:rtl/>
        </w:rPr>
        <w:t xml:space="preserve">של </w:t>
      </w:r>
      <w:r w:rsidRPr="006A4754">
        <w:rPr>
          <w:rFonts w:ascii="Tahoma" w:hAnsi="Tahoma" w:cs="Tahoma"/>
          <w:sz w:val="18"/>
          <w:szCs w:val="18"/>
          <w:rtl/>
        </w:rPr>
        <w:t>שוק ההון בישראל צפוי</w:t>
      </w:r>
      <w:r w:rsidRPr="006A4754">
        <w:rPr>
          <w:rFonts w:ascii="Tahoma" w:hAnsi="Tahoma" w:cs="Tahoma" w:hint="cs"/>
          <w:sz w:val="18"/>
          <w:szCs w:val="18"/>
          <w:rtl/>
        </w:rPr>
        <w:t>ים</w:t>
      </w:r>
      <w:r w:rsidRPr="006A4754">
        <w:rPr>
          <w:rFonts w:ascii="Tahoma" w:hAnsi="Tahoma" w:cs="Tahoma"/>
          <w:sz w:val="18"/>
          <w:szCs w:val="18"/>
          <w:rtl/>
        </w:rPr>
        <w:t xml:space="preserve"> לקדם את הנזילות בשוק ההון הישראלי, להגדיל את מחזורי המסחר בבורסה ולשפר את רמת האטרקטיביות של שוק ההון המקומי למשקיעים.</w:t>
      </w:r>
      <w:r w:rsidRPr="006A4754">
        <w:rPr>
          <w:rFonts w:ascii="Tahoma" w:hAnsi="Tahoma" w:cs="Tahoma" w:hint="cs"/>
          <w:sz w:val="18"/>
          <w:szCs w:val="18"/>
          <w:rtl/>
        </w:rPr>
        <w:t xml:space="preserve"> שימוש של כלל הישויות הממשלתיות במקורות מימון כגון מימון מהגופים המוסדיים ומציבור המשקיעים בשוק ההון יכול ליצור חלופה למימון הבנקאי ובכך להגדיל את התחרות בשוקי החוב ולהביא לשיפור גם בתהליך קביעת הריבית במסלולים הבנקאיים. </w:t>
      </w:r>
    </w:p>
    <w:p w:rsidR="00076F3C" w:rsidRPr="006A4754" w:rsidP="00076F3C" w14:paraId="7B597644" w14:textId="77777777">
      <w:pPr>
        <w:widowControl w:val="0"/>
        <w:spacing w:before="240" w:line="276" w:lineRule="auto"/>
        <w:ind w:left="-1"/>
        <w:rPr>
          <w:rFonts w:ascii="Tahoma" w:hAnsi="Tahoma" w:cs="Tahoma"/>
          <w:sz w:val="18"/>
          <w:szCs w:val="18"/>
          <w:rtl/>
        </w:rPr>
      </w:pPr>
      <w:r w:rsidRPr="006A4754">
        <w:rPr>
          <w:rFonts w:ascii="Tahoma" w:hAnsi="Tahoma" w:cs="Tahoma" w:hint="cs"/>
          <w:sz w:val="18"/>
          <w:szCs w:val="18"/>
          <w:rtl/>
        </w:rPr>
        <w:t>הביקורת העלתה חסמים שונים ובירוקרטיה המוטלת על הישויות הממשלתיות, הגורמים לכך שמרבית הישויות הממשלתיות (מלבד החברות הממשלתיו</w:t>
      </w:r>
      <w:r w:rsidRPr="006A4754">
        <w:rPr>
          <w:rFonts w:ascii="Tahoma" w:hAnsi="Tahoma" w:cs="Tahoma" w:hint="eastAsia"/>
          <w:sz w:val="18"/>
          <w:szCs w:val="18"/>
          <w:rtl/>
        </w:rPr>
        <w:t>ת</w:t>
      </w:r>
      <w:r w:rsidRPr="006A4754">
        <w:rPr>
          <w:rFonts w:ascii="Tahoma" w:hAnsi="Tahoma" w:cs="Tahoma" w:hint="cs"/>
          <w:sz w:val="18"/>
          <w:szCs w:val="18"/>
          <w:rtl/>
        </w:rPr>
        <w:t xml:space="preserve">) בוחרות בחלופת המימון הקלָסית - הלוואות מהבנקים. כמו כן, חלק </w:t>
      </w:r>
      <w:r w:rsidRPr="006A4754">
        <w:rPr>
          <w:rFonts w:ascii="Tahoma" w:hAnsi="Tahoma" w:cs="Tahoma" w:hint="cs"/>
          <w:sz w:val="18"/>
          <w:szCs w:val="18"/>
          <w:rtl/>
        </w:rPr>
        <w:t>מהמאסדרים</w:t>
      </w:r>
      <w:r w:rsidRPr="006A4754">
        <w:rPr>
          <w:rFonts w:ascii="Tahoma" w:hAnsi="Tahoma" w:cs="Tahoma" w:hint="cs"/>
          <w:sz w:val="18"/>
          <w:szCs w:val="18"/>
          <w:rtl/>
        </w:rPr>
        <w:t xml:space="preserve"> האחראים לישויות הממשלתיות אינם מעודדים מציאת פתרונות מימוניים אחרים מלבד נטילת הלוואות מהבנקים. </w:t>
      </w:r>
    </w:p>
    <w:p w:rsidR="005B2BF5" w:rsidP="00076F3C" w14:paraId="4937660D" w14:textId="420F2E22">
      <w:pPr>
        <w:widowControl w:val="0"/>
        <w:spacing w:before="240" w:line="276" w:lineRule="auto"/>
        <w:ind w:left="-1"/>
        <w:rPr>
          <w:rFonts w:ascii="Tahoma" w:hAnsi="Tahoma" w:cs="Tahoma"/>
          <w:sz w:val="18"/>
          <w:szCs w:val="18"/>
          <w:rtl/>
        </w:rPr>
      </w:pPr>
      <w:r w:rsidRPr="006A4754">
        <w:rPr>
          <w:rFonts w:ascii="Tahoma" w:hAnsi="Tahoma" w:cs="Tahoma" w:hint="cs"/>
          <w:sz w:val="18"/>
          <w:szCs w:val="18"/>
          <w:rtl/>
        </w:rPr>
        <w:t xml:space="preserve">מומלץ כי משרד האוצר, רשות החברות הממשלתית, משרד הפנים </w:t>
      </w:r>
      <w:r w:rsidRPr="006A4754">
        <w:rPr>
          <w:rFonts w:ascii="Tahoma" w:hAnsi="Tahoma" w:cs="Tahoma" w:hint="cs"/>
          <w:sz w:val="18"/>
          <w:szCs w:val="18"/>
          <w:rtl/>
        </w:rPr>
        <w:t>והמאסדרים</w:t>
      </w:r>
      <w:r w:rsidRPr="006A4754">
        <w:rPr>
          <w:rFonts w:ascii="Tahoma" w:hAnsi="Tahoma" w:cs="Tahoma" w:hint="cs"/>
          <w:sz w:val="18"/>
          <w:szCs w:val="18"/>
          <w:rtl/>
        </w:rPr>
        <w:t xml:space="preserve"> הרלוונטיים של הישויות הממשלתיות השונות יבצעו חשיבה משותפת לצורך מציאת אלטרנטיבות מימוניות נוספות עבור הישויות הממשלתיות ויפעלו לאתר את החסמים המונעים מישויות אלו פנייה לאפיקי מימון נוספים (גודל הישות הממשלתית, דרישות סף גבוהות מדי, חוסר התאמה בין עלויות האסדרה הקיימות לגודל הישות הממשלתית וכו')</w:t>
      </w:r>
      <w:r w:rsidRPr="006615C6">
        <w:rPr>
          <w:rFonts w:ascii="Tahoma" w:hAnsi="Tahoma" w:cs="Tahoma" w:hint="cs"/>
          <w:sz w:val="18"/>
          <w:szCs w:val="18"/>
          <w:rtl/>
        </w:rPr>
        <w:t xml:space="preserve">. </w:t>
      </w:r>
    </w:p>
    <w:sectPr w:rsidSect="00932BEA">
      <w:headerReference w:type="even" r:id="rId32"/>
      <w:footerReference w:type="even" r:id="rId33"/>
      <w:pgSz w:w="11906" w:h="16838" w:code="9"/>
      <w:pgMar w:top="3062" w:right="2268" w:bottom="2552" w:left="2268" w:header="1134" w:footer="1361" w:gutter="0"/>
      <w:pgNumType w:start="3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85FEA" w14:paraId="38958BDB" w14:textId="77777777">
      <w:pPr>
        <w:spacing w:line="240" w:lineRule="auto"/>
      </w:pPr>
      <w:r>
        <w:separator/>
      </w:r>
    </w:p>
    <w:p w:rsidR="00685FEA" w14:paraId="5C23168A" w14:textId="77777777"/>
    <w:p w:rsidR="00685FEA" w14:paraId="49249EFF" w14:textId="77777777"/>
    <w:p w:rsidR="00685FEA" w14:paraId="1CF487F0" w14:textId="77777777"/>
  </w:endnote>
  <w:endnote w:type="continuationSeparator" w:id="1">
    <w:p w:rsidR="00685FEA" w14:paraId="325A0530" w14:textId="77777777">
      <w:pPr>
        <w:spacing w:line="240" w:lineRule="auto"/>
      </w:pPr>
      <w:r>
        <w:continuationSeparator/>
      </w:r>
    </w:p>
    <w:p w:rsidR="00685FEA" w14:paraId="4285DB61" w14:textId="77777777"/>
    <w:p w:rsidR="00685FEA" w14:paraId="243DE305" w14:textId="77777777"/>
    <w:p w:rsidR="00685FEA" w14:paraId="753AF4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50F" w14:paraId="227569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9A1489" w14:paraId="78F1745A" w14:textId="77777777">
    <w:pPr>
      <w:pStyle w:val="Footer"/>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F73EE0"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750F" w14:paraId="4F2B490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337C4E" w14:paraId="0591AE04" w14:textId="77777777">
    <w:pPr>
      <w:pStyle w:val="Footer"/>
      <w:spacing w:after="120" w:line="312" w:lineRule="auto"/>
      <w:ind w:left="-510"/>
      <w:jc w:val="left"/>
      <w:rPr>
        <w:rFonts w:ascii="Tahoma" w:hAnsi="Tahoma" w:cs="Tahoma"/>
        <w:sz w:val="18"/>
        <w:szCs w:val="18"/>
        <w:rtl/>
      </w:rPr>
    </w:pPr>
  </w:p>
  <w:p w:rsidR="000B31AA" w:rsidP="00024391" w14:paraId="40CD8FF7"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0B31AA" w:rsidRPr="00F94EB4" w:rsidP="00337C4E" w14:paraId="2918DFA2" w14:textId="77777777">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P="00024391" w14:paraId="78833D87"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B31AA" w:rsidP="00851F62" w14:paraId="5DDC5735" w14:textId="77777777">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D15500" w14:paraId="7EF16D20" w14:textId="77777777">
    <w:pPr>
      <w:pStyle w:val="Footer"/>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497" w:rsidP="008B3497" w14:paraId="0C894924" w14:textId="77777777">
    <w:pPr>
      <w:pStyle w:val="Footer"/>
      <w:spacing w:after="120" w:line="312" w:lineRule="auto"/>
      <w:ind w:left="-510"/>
      <w:jc w:val="left"/>
      <w:rPr>
        <w:rFonts w:ascii="Tahoma" w:hAnsi="Tahoma" w:cs="Tahoma"/>
        <w:sz w:val="18"/>
        <w:szCs w:val="18"/>
        <w:rtl/>
      </w:rPr>
    </w:pPr>
  </w:p>
  <w:p w:rsidR="008B3497" w:rsidP="008B3497" w14:paraId="09C7B3BC"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8B694B" w:rsidRPr="008B3497" w:rsidP="008B3497"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85FEA" w:rsidP="00E7235E" w14:paraId="6AC44D94" w14:textId="77777777">
      <w:pPr>
        <w:spacing w:line="240" w:lineRule="auto"/>
      </w:pPr>
      <w:r>
        <w:separator/>
      </w:r>
    </w:p>
  </w:footnote>
  <w:footnote w:type="continuationSeparator" w:id="1">
    <w:p w:rsidR="00685FEA" w:rsidP="00C23CC9" w14:paraId="62A3D538" w14:textId="77777777">
      <w:pPr>
        <w:spacing w:line="240" w:lineRule="auto"/>
      </w:pPr>
      <w:r>
        <w:continuationSeparator/>
      </w:r>
    </w:p>
    <w:p w:rsidR="00685FEA" w14:paraId="4237B716" w14:textId="77777777"/>
    <w:p w:rsidR="00685FEA" w14:paraId="6E77967D" w14:textId="77777777"/>
    <w:p w:rsidR="00685FEA" w14:paraId="7CD52EE5" w14:textId="77777777"/>
  </w:footnote>
  <w:footnote w:id="2">
    <w:p w:rsidR="00654B48" w:rsidRPr="0016438C" w:rsidP="00CC6034" w14:paraId="14559758" w14:textId="77777777">
      <w:pPr>
        <w:pStyle w:val="733"/>
        <w:rPr>
          <w:rtl/>
        </w:rPr>
      </w:pPr>
      <w:r w:rsidRPr="0016438C">
        <w:footnoteRef/>
      </w:r>
      <w:r w:rsidRPr="0016438C">
        <w:rPr>
          <w:rtl/>
        </w:rPr>
        <w:t xml:space="preserve"> </w:t>
      </w:r>
      <w:r w:rsidRPr="0016438C">
        <w:rPr>
          <w:rtl/>
        </w:rPr>
        <w:tab/>
      </w:r>
      <w:r w:rsidRPr="0016438C">
        <w:rPr>
          <w:rFonts w:hint="eastAsia"/>
          <w:rtl/>
        </w:rPr>
        <w:t>יתרת</w:t>
      </w:r>
      <w:r w:rsidRPr="0016438C">
        <w:rPr>
          <w:rtl/>
        </w:rPr>
        <w:t xml:space="preserve"> המלוות שעל כל רשות מקומית להחזיר בשנים הבאות</w:t>
      </w:r>
      <w:r w:rsidRPr="0016438C">
        <w:rPr>
          <w:rFonts w:hint="cs"/>
          <w:rtl/>
        </w:rPr>
        <w:t>.</w:t>
      </w:r>
    </w:p>
  </w:footnote>
  <w:footnote w:id="3">
    <w:p w:rsidR="00654B48" w:rsidRPr="0016438C" w:rsidP="00CC6034" w14:paraId="46D60997" w14:textId="77777777">
      <w:pPr>
        <w:pStyle w:val="733"/>
      </w:pPr>
      <w:r w:rsidRPr="0016438C">
        <w:footnoteRef/>
      </w:r>
      <w:r w:rsidRPr="0016438C">
        <w:rPr>
          <w:rtl/>
        </w:rPr>
        <w:t xml:space="preserve">  </w:t>
      </w:r>
      <w:r w:rsidRPr="0016438C">
        <w:rPr>
          <w:rtl/>
        </w:rPr>
        <w:tab/>
      </w:r>
      <w:r w:rsidRPr="0016438C">
        <w:rPr>
          <w:rFonts w:hint="eastAsia"/>
          <w:rtl/>
        </w:rPr>
        <w:t>נתונים</w:t>
      </w:r>
      <w:r w:rsidRPr="0016438C">
        <w:rPr>
          <w:rtl/>
        </w:rPr>
        <w:t xml:space="preserve"> </w:t>
      </w:r>
      <w:r w:rsidRPr="0016438C">
        <w:rPr>
          <w:rFonts w:hint="eastAsia"/>
          <w:rtl/>
        </w:rPr>
        <w:t>הנכונים</w:t>
      </w:r>
      <w:r w:rsidRPr="0016438C">
        <w:rPr>
          <w:rtl/>
        </w:rPr>
        <w:t xml:space="preserve"> </w:t>
      </w:r>
      <w:r w:rsidRPr="0016438C">
        <w:rPr>
          <w:rFonts w:hint="eastAsia"/>
          <w:rtl/>
        </w:rPr>
        <w:t>לשנת</w:t>
      </w:r>
      <w:r w:rsidRPr="0016438C">
        <w:rPr>
          <w:rtl/>
        </w:rPr>
        <w:t xml:space="preserve"> 2018. </w:t>
      </w:r>
      <w:r w:rsidRPr="0016438C">
        <w:rPr>
          <w:rtl/>
        </w:rPr>
        <w:tab/>
      </w:r>
    </w:p>
  </w:footnote>
  <w:footnote w:id="4">
    <w:p w:rsidR="0016438C" w:rsidRPr="007D18C6" w:rsidP="00CC6034" w14:paraId="60E39B1C" w14:textId="77777777">
      <w:pPr>
        <w:pStyle w:val="733"/>
        <w:rPr>
          <w:rtl/>
        </w:rPr>
      </w:pPr>
      <w:r w:rsidRPr="007D18C6">
        <w:rPr>
          <w:rStyle w:val="FootnoteReference0"/>
          <w:vertAlign w:val="baseline"/>
        </w:rPr>
        <w:footnoteRef/>
      </w:r>
      <w:r w:rsidRPr="007D18C6">
        <w:rPr>
          <w:rStyle w:val="FootnoteReference0"/>
          <w:vertAlign w:val="baseline"/>
          <w:rtl/>
        </w:rPr>
        <w:t xml:space="preserve"> </w:t>
      </w:r>
      <w:r w:rsidRPr="007D18C6">
        <w:rPr>
          <w:rtl/>
        </w:rPr>
        <w:tab/>
      </w:r>
      <w:r w:rsidRPr="007D18C6">
        <w:rPr>
          <w:rFonts w:hint="cs"/>
          <w:rtl/>
        </w:rPr>
        <w:t>ה</w:t>
      </w:r>
      <w:r w:rsidRPr="007D18C6">
        <w:rPr>
          <w:rFonts w:hint="eastAsia"/>
          <w:rtl/>
        </w:rPr>
        <w:t>נתונים</w:t>
      </w:r>
      <w:r w:rsidRPr="007D18C6">
        <w:rPr>
          <w:rtl/>
        </w:rPr>
        <w:t xml:space="preserve"> </w:t>
      </w:r>
      <w:r w:rsidRPr="007D18C6">
        <w:rPr>
          <w:rFonts w:hint="cs"/>
          <w:rtl/>
        </w:rPr>
        <w:t>נכונים</w:t>
      </w:r>
      <w:r w:rsidRPr="007D18C6">
        <w:rPr>
          <w:rtl/>
        </w:rPr>
        <w:t xml:space="preserve"> </w:t>
      </w:r>
      <w:r w:rsidRPr="007D18C6">
        <w:rPr>
          <w:rFonts w:hint="cs"/>
          <w:rtl/>
        </w:rPr>
        <w:t>ל</w:t>
      </w:r>
      <w:r w:rsidRPr="007D18C6">
        <w:rPr>
          <w:rFonts w:hint="eastAsia"/>
          <w:rtl/>
        </w:rPr>
        <w:t>שנת</w:t>
      </w:r>
      <w:r w:rsidRPr="007D18C6">
        <w:rPr>
          <w:rtl/>
        </w:rPr>
        <w:t xml:space="preserve"> </w:t>
      </w:r>
      <w:r w:rsidRPr="007D18C6">
        <w:rPr>
          <w:rFonts w:hint="cs"/>
          <w:rtl/>
        </w:rPr>
        <w:t>2018.</w:t>
      </w:r>
    </w:p>
  </w:footnote>
  <w:footnote w:id="5">
    <w:p w:rsidR="0016438C" w:rsidRPr="007D18C6" w:rsidP="00CC6034" w14:paraId="30F2CBD2" w14:textId="77777777">
      <w:pPr>
        <w:pStyle w:val="733"/>
        <w:rPr>
          <w:rtl/>
        </w:rPr>
      </w:pPr>
      <w:r w:rsidRPr="007D18C6">
        <w:rPr>
          <w:rStyle w:val="FootnoteReference0"/>
          <w:vertAlign w:val="baseline"/>
        </w:rPr>
        <w:footnoteRef/>
      </w:r>
      <w:r w:rsidRPr="007D18C6">
        <w:rPr>
          <w:rtl/>
        </w:rPr>
        <w:t xml:space="preserve"> </w:t>
      </w:r>
      <w:r w:rsidRPr="007D18C6">
        <w:rPr>
          <w:rtl/>
        </w:rPr>
        <w:tab/>
        <w:t>י</w:t>
      </w:r>
      <w:r w:rsidRPr="007D18C6">
        <w:rPr>
          <w:rFonts w:hint="cs"/>
          <w:rtl/>
        </w:rPr>
        <w:t>צוין</w:t>
      </w:r>
      <w:r w:rsidRPr="007D18C6">
        <w:rPr>
          <w:rtl/>
        </w:rPr>
        <w:t xml:space="preserve"> כי בנק </w:t>
      </w:r>
      <w:r w:rsidRPr="007D18C6">
        <w:rPr>
          <w:rFonts w:hint="cs"/>
          <w:rtl/>
        </w:rPr>
        <w:t>ד'</w:t>
      </w:r>
      <w:r w:rsidRPr="007D18C6">
        <w:rPr>
          <w:rtl/>
        </w:rPr>
        <w:t xml:space="preserve"> מעמיד הלוואות לרשויות </w:t>
      </w:r>
      <w:r w:rsidRPr="007D18C6">
        <w:rPr>
          <w:rFonts w:hint="cs"/>
          <w:rtl/>
        </w:rPr>
        <w:t>ה</w:t>
      </w:r>
      <w:r w:rsidRPr="007D18C6">
        <w:rPr>
          <w:rtl/>
        </w:rPr>
        <w:t xml:space="preserve">מקומיות אשר </w:t>
      </w:r>
      <w:r w:rsidRPr="007D18C6">
        <w:rPr>
          <w:rFonts w:hint="cs"/>
          <w:rtl/>
        </w:rPr>
        <w:t>מצויות</w:t>
      </w:r>
      <w:r w:rsidRPr="007D18C6">
        <w:rPr>
          <w:rtl/>
        </w:rPr>
        <w:t xml:space="preserve"> בתוכניות הבראה</w:t>
      </w:r>
      <w:r w:rsidRPr="007D18C6">
        <w:rPr>
          <w:rFonts w:hint="cs"/>
          <w:rtl/>
        </w:rPr>
        <w:t>,</w:t>
      </w:r>
      <w:r w:rsidRPr="007D18C6">
        <w:rPr>
          <w:rtl/>
        </w:rPr>
        <w:t xml:space="preserve"> </w:t>
      </w:r>
      <w:r w:rsidRPr="007D18C6">
        <w:rPr>
          <w:rFonts w:hint="cs"/>
          <w:rtl/>
        </w:rPr>
        <w:t>ו</w:t>
      </w:r>
      <w:r w:rsidRPr="007D18C6">
        <w:rPr>
          <w:rtl/>
        </w:rPr>
        <w:t>כנגד</w:t>
      </w:r>
      <w:r w:rsidRPr="007D18C6">
        <w:rPr>
          <w:rFonts w:hint="eastAsia"/>
          <w:rtl/>
        </w:rPr>
        <w:t>ן</w:t>
      </w:r>
      <w:r w:rsidRPr="007D18C6">
        <w:rPr>
          <w:rtl/>
        </w:rPr>
        <w:t xml:space="preserve"> ניתנו</w:t>
      </w:r>
      <w:r w:rsidRPr="007D18C6">
        <w:rPr>
          <w:rFonts w:hint="eastAsia"/>
          <w:rtl/>
        </w:rPr>
        <w:t>ת</w:t>
      </w:r>
      <w:r w:rsidRPr="007D18C6">
        <w:rPr>
          <w:rtl/>
        </w:rPr>
        <w:t xml:space="preserve"> לו המחאות זכות</w:t>
      </w:r>
      <w:r w:rsidRPr="007D18C6">
        <w:rPr>
          <w:rFonts w:hint="cs"/>
          <w:rtl/>
        </w:rPr>
        <w:t xml:space="preserve"> בשיעור</w:t>
      </w:r>
      <w:r w:rsidRPr="007D18C6">
        <w:rPr>
          <w:rtl/>
        </w:rPr>
        <w:t xml:space="preserve"> 25%</w:t>
      </w:r>
      <w:r w:rsidRPr="007D18C6">
        <w:rPr>
          <w:rFonts w:hint="cs"/>
          <w:rtl/>
        </w:rPr>
        <w:t xml:space="preserve"> </w:t>
      </w:r>
      <w:r w:rsidRPr="007D18C6">
        <w:rPr>
          <w:rtl/>
        </w:rPr>
        <w:t>-</w:t>
      </w:r>
      <w:r w:rsidRPr="007D18C6">
        <w:rPr>
          <w:rFonts w:hint="cs"/>
          <w:rtl/>
        </w:rPr>
        <w:t xml:space="preserve"> </w:t>
      </w:r>
      <w:r w:rsidRPr="007D18C6">
        <w:rPr>
          <w:rtl/>
        </w:rPr>
        <w:t>45% ממענק האיזון של הרשויות המקומיות מקבלות ההלוואה.</w:t>
      </w:r>
      <w:r w:rsidRPr="007D18C6">
        <w:rPr>
          <w:rFonts w:hint="cs"/>
          <w:rtl/>
        </w:rPr>
        <w:t xml:space="preserve"> </w:t>
      </w:r>
    </w:p>
    <w:p w:rsidR="0016438C" w:rsidRPr="006E575D" w:rsidP="00CC6034" w14:paraId="6D81F4E1" w14:textId="77777777">
      <w:pPr>
        <w:pStyle w:val="73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49D68C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DA6B46" w:rsidR="00DA6B46">
                            <w:rPr>
                              <w:rFonts w:ascii="Tahoma" w:hAnsi="Tahoma" w:cs="Tahoma"/>
                              <w:b/>
                              <w:bCs/>
                              <w:rtl/>
                            </w:rPr>
                            <w:t>הלוואות ומקורות אשראי של גופים שונים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49D68C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DA6B46" w:rsidR="00DA6B46">
                      <w:rPr>
                        <w:rFonts w:ascii="Tahoma" w:hAnsi="Tahoma" w:cs="Tahoma"/>
                        <w:b/>
                        <w:bCs/>
                        <w:rtl/>
                      </w:rPr>
                      <w:t>הלוואות ומקורות אשראי של גופים שונים</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5C13F47B">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CF64A4" w:rsidR="00CF64A4">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5C13F47B">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CF64A4" w:rsidR="00CF64A4">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4A82BB24">
                          <w:pPr>
                            <w:pStyle w:val="Heading1"/>
                            <w:spacing w:line="269" w:lineRule="auto"/>
                            <w:jc w:val="left"/>
                            <w:rPr>
                              <w:rFonts w:ascii="Tahoma" w:hAnsi="Tahoma" w:eastAsiaTheme="minorHAnsi" w:cs="Tahoma"/>
                              <w:bCs w:val="0"/>
                              <w:color w:val="0D0D0D" w:themeColor="text1" w:themeTint="F2"/>
                              <w:sz w:val="16"/>
                              <w:szCs w:val="16"/>
                              <w:u w:val="none"/>
                            </w:rPr>
                          </w:pPr>
                          <w:r w:rsidRPr="00DA6B46">
                            <w:rPr>
                              <w:rFonts w:ascii="Tahoma" w:hAnsi="Tahoma" w:eastAsiaTheme="minorHAnsi" w:cs="Tahoma"/>
                              <w:bCs w:val="0"/>
                              <w:color w:val="0D0D0D" w:themeColor="text1" w:themeTint="F2"/>
                              <w:sz w:val="16"/>
                              <w:szCs w:val="16"/>
                              <w:u w:val="none"/>
                              <w:rtl/>
                            </w:rPr>
                            <w:t>הלוואות ומקורות אשראי של גופים שונים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4A82BB24">
                    <w:pPr>
                      <w:pStyle w:val="Heading1"/>
                      <w:spacing w:line="269" w:lineRule="auto"/>
                      <w:jc w:val="left"/>
                      <w:rPr>
                        <w:rFonts w:ascii="Tahoma" w:hAnsi="Tahoma" w:eastAsiaTheme="minorHAnsi" w:cs="Tahoma"/>
                        <w:bCs w:val="0"/>
                        <w:color w:val="0D0D0D" w:themeColor="text1" w:themeTint="F2"/>
                        <w:sz w:val="16"/>
                        <w:szCs w:val="16"/>
                        <w:u w:val="none"/>
                      </w:rPr>
                    </w:pPr>
                    <w:r w:rsidRPr="00DA6B46">
                      <w:rPr>
                        <w:rFonts w:ascii="Tahoma" w:hAnsi="Tahoma" w:eastAsiaTheme="minorHAnsi" w:cs="Tahoma"/>
                        <w:bCs w:val="0"/>
                        <w:color w:val="0D0D0D" w:themeColor="text1" w:themeTint="F2"/>
                        <w:sz w:val="16"/>
                        <w:szCs w:val="16"/>
                        <w:u w:val="none"/>
                        <w:rtl/>
                      </w:rPr>
                      <w:t>הלוואות ומקורות אשראי של גופים שונים</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1AA" w:rsidRPr="00D15500" w:rsidP="005B4811" w14:paraId="5009AC3C"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81792"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14510666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6"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79744"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170" name="תיבת טקסט 1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0B31AA"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70"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0768" stroked="f">
              <v:textbox>
                <w:txbxContent>
                  <w:p w:rsidR="000B31AA" w:rsidRPr="005B4811" w:rsidP="005B4811" w14:paraId="620D61BD"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77696"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17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0B31AA"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תיבת טקסט 2" o:sp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78720" stroked="f">
              <v:textbox style="mso-fit-shape-to-text:t">
                <w:txbxContent>
                  <w:p w:rsidR="000B31AA" w:rsidRPr="005B4811" w:rsidP="005B4811" w14:paraId="556FBA7E"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82816"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451066647"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7"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497" w:rsidP="008B3497" w14:paraId="32E4B5FD" w14:textId="77777777">
    <w:pPr>
      <w:pStyle w:val="Header"/>
      <w:rPr>
        <w:rtl/>
      </w:rPr>
    </w:pP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51066652"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8B3497" w:rsidRPr="00FD02CC" w:rsidP="008B3497"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7520" filled="f" strokecolor="#a5a5a5" strokeweight="0.25pt">
              <v:stroke dashstyle="longDash"/>
              <v:textbox>
                <w:txbxContent>
                  <w:p w:rsidR="008B3497" w:rsidRPr="00FD02CC" w:rsidP="008B3497" w14:paraId="63A6D317"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8B3497" w:rsidP="008B3497" w14:paraId="0B26795D" w14:textId="77777777">
    <w:pPr>
      <w:pStyle w:val="Header"/>
      <w:ind w:firstLine="720"/>
      <w:rPr>
        <w:rtl/>
      </w:rPr>
    </w:pPr>
  </w:p>
  <w:p w:rsidR="008B3497" w:rsidP="008B3497" w14:paraId="5E0A9F14" w14:textId="77777777">
    <w:pPr>
      <w:pStyle w:val="Header"/>
      <w:rPr>
        <w:rtl/>
      </w:rPr>
    </w:pPr>
  </w:p>
  <w:p w:rsidR="008B3497" w:rsidP="008B3497" w14:paraId="5885A83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588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45106665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8B3497" w:rsidRPr="003D62C4" w:rsidP="008B3497"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DA6B46">
                            <w:rPr>
                              <w:rFonts w:ascii="Tahoma" w:hAnsi="Tahoma" w:eastAsiaTheme="minorHAnsi" w:cs="Tahoma"/>
                              <w:bCs w:val="0"/>
                              <w:color w:val="0D0D0D" w:themeColor="text1" w:themeTint="F2"/>
                              <w:sz w:val="16"/>
                              <w:szCs w:val="16"/>
                              <w:u w:val="none"/>
                              <w:rtl/>
                            </w:rPr>
                            <w:t>הלוואות ומקורות אשראי של גופים שונים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686912" stroked="f">
              <v:textbox style="mso-fit-shape-to-text:t">
                <w:txbxContent>
                  <w:p w:rsidR="008B3497" w:rsidRPr="003D62C4" w:rsidP="008B3497" w14:paraId="11FD063B"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DA6B46">
                      <w:rPr>
                        <w:rFonts w:ascii="Tahoma" w:hAnsi="Tahoma" w:eastAsiaTheme="minorHAnsi" w:cs="Tahoma"/>
                        <w:bCs w:val="0"/>
                        <w:color w:val="0D0D0D" w:themeColor="text1" w:themeTint="F2"/>
                        <w:sz w:val="16"/>
                        <w:szCs w:val="16"/>
                        <w:u w:val="none"/>
                        <w:rtl/>
                      </w:rPr>
                      <w:t>הלוואות ומקורות אשראי של גופים שונים</w:t>
                    </w:r>
                  </w:p>
                </w:txbxContent>
              </v:textbox>
              <w10:wrap type="square"/>
            </v:shape>
          </w:pict>
        </mc:Fallback>
      </mc:AlternateContent>
    </w:r>
  </w:p>
  <w:p w:rsidR="008B3497" w:rsidP="008B3497" w14:paraId="1A943488" w14:textId="77777777">
    <w:pPr>
      <w:pStyle w:val="Header"/>
      <w:rPr>
        <w:rtl/>
      </w:rPr>
    </w:pPr>
    <w:r>
      <w:rPr>
        <w:rFonts w:ascii="Tahoma" w:hAnsi="Tahoma" w:cs="Tahoma"/>
        <w:noProof/>
        <w:color w:val="002060"/>
        <w:sz w:val="18"/>
        <w:szCs w:val="18"/>
      </w:rPr>
      <w:drawing>
        <wp:anchor distT="0" distB="0" distL="114300" distR="114300" simplePos="0" relativeHeight="251689984"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45106665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5"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45106665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2" style="flip:x;mso-height-percent:0;mso-height-relative:margin;mso-width-percent:0;mso-width-relative:margin;mso-wrap-distance-bottom:0;mso-wrap-distance-left:9pt;mso-wrap-distance-right:9pt;mso-wrap-distance-top:0;mso-wrap-style:square;position:absolute;visibility:visible;z-index:251684864" from="-109.7pt,27.8pt" to="367.9pt,27.8pt" strokecolor="#0d0d0d" strokeweight="0.25pt"/>
          </w:pict>
        </mc:Fallback>
      </mc:AlternateContent>
    </w:r>
  </w:p>
  <w:p w:rsidR="008B694B" w:rsidRPr="008B3497" w:rsidP="008B3497" w14:paraId="4E47EA6D" w14:textId="324E80B4">
    <w:pPr>
      <w:pStyle w:val="Header"/>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9pt" o:bullet="t">
        <v:imagedata r:id="rId1" o:title="icon-menura copy"/>
      </v:shape>
    </w:pict>
  </w:numPicBullet>
  <w:numPicBullet w:numPicBulletId="1">
    <w:pict>
      <v:shape id="_x0000_i1027" type="#_x0000_t75" style="width:49pt;height:55.5pt" o:bullet="t">
        <v:imagedata r:id="rId2" o:title="yad-red"/>
      </v:shape>
    </w:pict>
  </w:numPicBullet>
  <w:numPicBullet w:numPicBulletId="2">
    <w:pict>
      <v:shape id="_x0000_i1028" type="#_x0000_t75" style="width:52.5pt;height:59pt" o:bullet="t">
        <v:imagedata r:id="rId3" o:title="icon-menura"/>
      </v:shape>
    </w:pict>
  </w:numPicBullet>
  <w:numPicBullet w:numPicBulletId="3">
    <w:pict>
      <v:shape id="_x0000_i1029" type="#_x0000_t75" style="width:29.5pt;height:33pt" o:bullet="t">
        <v:imagedata r:id="rId4" o:title="icon-menura small"/>
      </v:shape>
    </w:pict>
  </w:numPicBullet>
  <w:abstractNum w:abstractNumId="0">
    <w:nsid w:val="FFFFFF7C"/>
    <w:multiLevelType w:val="singleLevel"/>
    <w:tmpl w:val="0172C6F4"/>
    <w:lvl w:ilvl="0">
      <w:start w:val="1"/>
      <w:numFmt w:val="decimal"/>
      <w:lvlText w:val="%1."/>
      <w:lvlJc w:val="left"/>
      <w:pPr>
        <w:tabs>
          <w:tab w:val="num" w:pos="1492"/>
        </w:tabs>
        <w:ind w:left="1492" w:hanging="360"/>
      </w:pPr>
    </w:lvl>
  </w:abstractNum>
  <w:abstractNum w:abstractNumId="1">
    <w:nsid w:val="FFFFFF7D"/>
    <w:multiLevelType w:val="singleLevel"/>
    <w:tmpl w:val="0E342066"/>
    <w:lvl w:ilvl="0">
      <w:start w:val="1"/>
      <w:numFmt w:val="decimal"/>
      <w:lvlText w:val="%1."/>
      <w:lvlJc w:val="left"/>
      <w:pPr>
        <w:tabs>
          <w:tab w:val="num" w:pos="1209"/>
        </w:tabs>
        <w:ind w:left="1209" w:hanging="360"/>
      </w:pPr>
    </w:lvl>
  </w:abstractNum>
  <w:abstractNum w:abstractNumId="2">
    <w:nsid w:val="FFFFFF7F"/>
    <w:multiLevelType w:val="singleLevel"/>
    <w:tmpl w:val="54C0C77C"/>
    <w:lvl w:ilvl="0">
      <w:start w:val="1"/>
      <w:numFmt w:val="decimal"/>
      <w:lvlText w:val="%1."/>
      <w:lvlJc w:val="left"/>
      <w:pPr>
        <w:tabs>
          <w:tab w:val="num" w:pos="643"/>
        </w:tabs>
        <w:ind w:left="643" w:hanging="360"/>
      </w:pPr>
    </w:lvl>
  </w:abstractNum>
  <w:abstractNum w:abstractNumId="3">
    <w:nsid w:val="FFFFFF80"/>
    <w:multiLevelType w:val="singleLevel"/>
    <w:tmpl w:val="4CE2D25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1AD822F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FA48662C"/>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416AE0E6"/>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7F2C3984"/>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7E476E6"/>
    <w:multiLevelType w:val="hybridMultilevel"/>
    <w:tmpl w:val="2BB08C28"/>
    <w:lvl w:ilvl="0">
      <w:start w:val="1"/>
      <w:numFmt w:val="bullet"/>
      <w:lvlText w:val=""/>
      <w:lvlPicBulletId w:val="2"/>
      <w:lvlJc w:val="left"/>
      <w:pPr>
        <w:ind w:left="717"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DED7D0D"/>
    <w:multiLevelType w:val="hybridMultilevel"/>
    <w:tmpl w:val="5A9EDCF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074133"/>
    <w:multiLevelType w:val="hybridMultilevel"/>
    <w:tmpl w:val="ED4C3644"/>
    <w:lvl w:ilvl="0">
      <w:start w:val="1"/>
      <w:numFmt w:val="bullet"/>
      <w:lvlText w:val=""/>
      <w:lvlPicBulletId w:val="0"/>
      <w:lvlJc w:val="left"/>
      <w:pPr>
        <w:ind w:left="760" w:hanging="403"/>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2FF04FB"/>
    <w:multiLevelType w:val="hybridMultilevel"/>
    <w:tmpl w:val="04BCFB86"/>
    <w:lvl w:ilvl="0">
      <w:start w:val="1"/>
      <w:numFmt w:val="bullet"/>
      <w:lvlText w:val=""/>
      <w:lvlPicBulletId w:val="3"/>
      <w:lvlJc w:val="left"/>
      <w:pPr>
        <w:ind w:left="397" w:hanging="397"/>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090B93"/>
    <w:multiLevelType w:val="hybridMultilevel"/>
    <w:tmpl w:val="10723784"/>
    <w:lvl w:ilvl="0">
      <w:start w:val="1"/>
      <w:numFmt w:val="bullet"/>
      <w:lvlText w:val=""/>
      <w:lvlPicBulletId w:val="3"/>
      <w:lvlJc w:val="left"/>
      <w:pPr>
        <w:ind w:left="397" w:hanging="397"/>
      </w:pPr>
      <w:rPr>
        <w:rFonts w:ascii="Symbol" w:hAnsi="Symbol" w:hint="default"/>
        <w:color w:val="auto"/>
        <w:sz w:val="28"/>
        <w:szCs w:val="2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5">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2B16139F"/>
    <w:multiLevelType w:val="hybridMultilevel"/>
    <w:tmpl w:val="D06C34BA"/>
    <w:lvl w:ilvl="0">
      <w:start w:val="1"/>
      <w:numFmt w:val="bullet"/>
      <w:lvlText w:val=""/>
      <w:lvlPicBulletId w:val="1"/>
      <w:lvlJc w:val="left"/>
      <w:pPr>
        <w:ind w:left="360" w:hanging="360"/>
      </w:pPr>
      <w:rPr>
        <w:rFonts w:ascii="Symbol" w:hAnsi="Symbol" w:hint="default"/>
        <w:color w:val="auto"/>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B406E2E"/>
    <w:multiLevelType w:val="hybridMultilevel"/>
    <w:tmpl w:val="124657E8"/>
    <w:lvl w:ilvl="0">
      <w:start w:val="1"/>
      <w:numFmt w:val="bullet"/>
      <w:lvlText w:val=""/>
      <w:lvlPicBulletId w:val="2"/>
      <w:lvlJc w:val="left"/>
      <w:pPr>
        <w:ind w:left="717"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9">
    <w:nsid w:val="349504B8"/>
    <w:multiLevelType w:val="hybridMultilevel"/>
    <w:tmpl w:val="DD7EE75C"/>
    <w:lvl w:ilvl="0">
      <w:start w:val="1"/>
      <w:numFmt w:val="bullet"/>
      <w:lvlText w:val=""/>
      <w:lvlPicBulletId w:val="3"/>
      <w:lvlJc w:val="left"/>
      <w:pPr>
        <w:ind w:left="717" w:hanging="360"/>
      </w:pPr>
      <w:rPr>
        <w:rFonts w:ascii="Symbol" w:hAnsi="Symbol" w:hint="default"/>
        <w:color w:val="auto"/>
        <w:sz w:val="28"/>
        <w:szCs w:val="28"/>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2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40844DF5"/>
    <w:multiLevelType w:val="hybridMultilevel"/>
    <w:tmpl w:val="85EAC6EC"/>
    <w:lvl w:ilvl="0">
      <w:start w:val="1"/>
      <w:numFmt w:val="bullet"/>
      <w:lvlText w:val=""/>
      <w:lvlPicBulletId w:val="2"/>
      <w:lvlJc w:val="left"/>
      <w:pPr>
        <w:ind w:left="397" w:hanging="397"/>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6BA0DF1"/>
    <w:multiLevelType w:val="hybridMultilevel"/>
    <w:tmpl w:val="A288C688"/>
    <w:lvl w:ilvl="0">
      <w:start w:val="1"/>
      <w:numFmt w:val="bullet"/>
      <w:lvlText w:val=""/>
      <w:lvlPicBulletId w:val="0"/>
      <w:lvlJc w:val="left"/>
      <w:pPr>
        <w:ind w:left="717"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EBC4D1D"/>
    <w:multiLevelType w:val="hybridMultilevel"/>
    <w:tmpl w:val="431CF97E"/>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1E165CD"/>
    <w:multiLevelType w:val="hybridMultilevel"/>
    <w:tmpl w:val="FEA46B02"/>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4AF0838"/>
    <w:multiLevelType w:val="hybridMultilevel"/>
    <w:tmpl w:val="12B86D86"/>
    <w:lvl w:ilvl="0">
      <w:start w:val="1"/>
      <w:numFmt w:val="bullet"/>
      <w:lvlText w:val=""/>
      <w:lvlPicBulletId w:val="3"/>
      <w:lvlJc w:val="left"/>
      <w:pPr>
        <w:ind w:left="357" w:hanging="357"/>
      </w:pPr>
      <w:rPr>
        <w:rFonts w:ascii="Symbol" w:hAnsi="Symbol" w:hint="default"/>
        <w:color w:val="auto"/>
        <w:sz w:val="28"/>
        <w:szCs w:val="28"/>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28">
    <w:nsid w:val="57841E35"/>
    <w:multiLevelType w:val="hybridMultilevel"/>
    <w:tmpl w:val="2286FA48"/>
    <w:lvl w:ilvl="0">
      <w:start w:val="1"/>
      <w:numFmt w:val="bullet"/>
      <w:lvlText w:val=""/>
      <w:lvlPicBulletId w:val="3"/>
      <w:lvlJc w:val="left"/>
      <w:pPr>
        <w:ind w:left="860" w:hanging="360"/>
      </w:pPr>
      <w:rPr>
        <w:rFonts w:ascii="Symbol" w:hAnsi="Symbol" w:hint="default"/>
        <w:color w:val="auto"/>
        <w:sz w:val="28"/>
        <w:szCs w:val="28"/>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2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0">
    <w:nsid w:val="5EAE002F"/>
    <w:multiLevelType w:val="hybridMultilevel"/>
    <w:tmpl w:val="7A569088"/>
    <w:lvl w:ilvl="0">
      <w:start w:val="1"/>
      <w:numFmt w:val="bullet"/>
      <w:lvlText w:val=""/>
      <w:lvlPicBulletId w:val="3"/>
      <w:lvlJc w:val="left"/>
      <w:pPr>
        <w:ind w:left="794" w:hanging="397"/>
      </w:pPr>
      <w:rPr>
        <w:rFonts w:ascii="Symbol" w:hAnsi="Symbol" w:hint="default"/>
        <w:color w:val="auto"/>
        <w:sz w:val="28"/>
        <w:szCs w:val="2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2">
    <w:nsid w:val="632B2801"/>
    <w:multiLevelType w:val="hybridMultilevel"/>
    <w:tmpl w:val="76806954"/>
    <w:lvl w:ilvl="0">
      <w:start w:val="1"/>
      <w:numFmt w:val="bullet"/>
      <w:lvlText w:val=""/>
      <w:lvlPicBulletId w:val="0"/>
      <w:lvlJc w:val="left"/>
      <w:pPr>
        <w:ind w:left="717"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3FD2F63"/>
    <w:multiLevelType w:val="hybridMultilevel"/>
    <w:tmpl w:val="FCB683B0"/>
    <w:lvl w:ilvl="0">
      <w:start w:val="1"/>
      <w:numFmt w:val="bullet"/>
      <w:lvlText w:val=""/>
      <w:lvlPicBulletId w:val="3"/>
      <w:lvlJc w:val="left"/>
      <w:pPr>
        <w:ind w:left="760" w:hanging="403"/>
      </w:pPr>
      <w:rPr>
        <w:rFonts w:ascii="Symbol" w:hAnsi="Symbol" w:hint="default"/>
        <w:color w:val="auto"/>
        <w:sz w:val="28"/>
        <w:szCs w:val="28"/>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34">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5"/>
  </w:num>
  <w:num w:numId="2">
    <w:abstractNumId w:val="21"/>
  </w:num>
  <w:num w:numId="3">
    <w:abstractNumId w:val="29"/>
  </w:num>
  <w:num w:numId="4">
    <w:abstractNumId w:val="18"/>
  </w:num>
  <w:num w:numId="5">
    <w:abstractNumId w:val="20"/>
  </w:num>
  <w:num w:numId="6">
    <w:abstractNumId w:val="34"/>
  </w:num>
  <w:num w:numId="7">
    <w:abstractNumId w:val="8"/>
  </w:num>
  <w:num w:numId="8">
    <w:abstractNumId w:val="23"/>
  </w:num>
  <w:num w:numId="9">
    <w:abstractNumId w:val="31"/>
  </w:num>
  <w:num w:numId="10">
    <w:abstractNumId w:val="10"/>
  </w:num>
  <w:num w:numId="11">
    <w:abstractNumId w:val="12"/>
  </w:num>
  <w:num w:numId="12">
    <w:abstractNumId w:val="16"/>
  </w:num>
  <w:num w:numId="13">
    <w:abstractNumId w:val="26"/>
  </w:num>
  <w:num w:numId="14">
    <w:abstractNumId w:val="11"/>
  </w:num>
  <w:num w:numId="15">
    <w:abstractNumId w:val="25"/>
  </w:num>
  <w:num w:numId="16">
    <w:abstractNumId w:val="3"/>
  </w:num>
  <w:num w:numId="17">
    <w:abstractNumId w:val="4"/>
  </w:num>
  <w:num w:numId="18">
    <w:abstractNumId w:val="5"/>
  </w:num>
  <w:num w:numId="19">
    <w:abstractNumId w:val="6"/>
  </w:num>
  <w:num w:numId="20">
    <w:abstractNumId w:val="7"/>
  </w:num>
  <w:num w:numId="21">
    <w:abstractNumId w:val="0"/>
  </w:num>
  <w:num w:numId="22">
    <w:abstractNumId w:val="1"/>
  </w:num>
  <w:num w:numId="23">
    <w:abstractNumId w:val="2"/>
  </w:num>
  <w:num w:numId="24">
    <w:abstractNumId w:val="17"/>
  </w:num>
  <w:num w:numId="25">
    <w:abstractNumId w:val="32"/>
  </w:num>
  <w:num w:numId="26">
    <w:abstractNumId w:val="24"/>
  </w:num>
  <w:num w:numId="27">
    <w:abstractNumId w:val="9"/>
  </w:num>
  <w:num w:numId="28">
    <w:abstractNumId w:val="22"/>
  </w:num>
  <w:num w:numId="29">
    <w:abstractNumId w:val="13"/>
  </w:num>
  <w:num w:numId="30">
    <w:abstractNumId w:val="30"/>
  </w:num>
  <w:num w:numId="31">
    <w:abstractNumId w:val="14"/>
  </w:num>
  <w:num w:numId="32">
    <w:abstractNumId w:val="28"/>
  </w:num>
  <w:num w:numId="33">
    <w:abstractNumId w:val="33"/>
  </w:num>
  <w:num w:numId="34">
    <w:abstractNumId w:val="19"/>
  </w:num>
  <w:num w:numId="3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71"/>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077DE"/>
    <w:rsid w:val="000100D8"/>
    <w:rsid w:val="0001014C"/>
    <w:rsid w:val="000107D8"/>
    <w:rsid w:val="00011BFC"/>
    <w:rsid w:val="00011DF7"/>
    <w:rsid w:val="0001215F"/>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8FB"/>
    <w:rsid w:val="00021ED5"/>
    <w:rsid w:val="00021FFB"/>
    <w:rsid w:val="000224FF"/>
    <w:rsid w:val="00023E81"/>
    <w:rsid w:val="0002420C"/>
    <w:rsid w:val="0002439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2A"/>
    <w:rsid w:val="00036EB8"/>
    <w:rsid w:val="00037373"/>
    <w:rsid w:val="000406E3"/>
    <w:rsid w:val="00040918"/>
    <w:rsid w:val="00040C4D"/>
    <w:rsid w:val="000413AB"/>
    <w:rsid w:val="000414A8"/>
    <w:rsid w:val="000419ED"/>
    <w:rsid w:val="00042609"/>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70B"/>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8AE"/>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AA3"/>
    <w:rsid w:val="00073B6B"/>
    <w:rsid w:val="00073D9F"/>
    <w:rsid w:val="0007429C"/>
    <w:rsid w:val="00074533"/>
    <w:rsid w:val="00074F31"/>
    <w:rsid w:val="00076452"/>
    <w:rsid w:val="00076758"/>
    <w:rsid w:val="00076ED7"/>
    <w:rsid w:val="00076F3C"/>
    <w:rsid w:val="0007717F"/>
    <w:rsid w:val="0007762A"/>
    <w:rsid w:val="000779CE"/>
    <w:rsid w:val="00077B79"/>
    <w:rsid w:val="00080072"/>
    <w:rsid w:val="000803F2"/>
    <w:rsid w:val="00080C22"/>
    <w:rsid w:val="00081D0E"/>
    <w:rsid w:val="00081DC1"/>
    <w:rsid w:val="000821CA"/>
    <w:rsid w:val="000824F8"/>
    <w:rsid w:val="0008345D"/>
    <w:rsid w:val="00083692"/>
    <w:rsid w:val="000837F2"/>
    <w:rsid w:val="00083DA1"/>
    <w:rsid w:val="00083FD0"/>
    <w:rsid w:val="00084E3A"/>
    <w:rsid w:val="00085086"/>
    <w:rsid w:val="00085A22"/>
    <w:rsid w:val="00085B99"/>
    <w:rsid w:val="0008625B"/>
    <w:rsid w:val="00086738"/>
    <w:rsid w:val="00086866"/>
    <w:rsid w:val="00086BCD"/>
    <w:rsid w:val="00087176"/>
    <w:rsid w:val="00087686"/>
    <w:rsid w:val="000901C8"/>
    <w:rsid w:val="0009042C"/>
    <w:rsid w:val="00090633"/>
    <w:rsid w:val="000907D0"/>
    <w:rsid w:val="00091397"/>
    <w:rsid w:val="00091811"/>
    <w:rsid w:val="00091A72"/>
    <w:rsid w:val="0009349C"/>
    <w:rsid w:val="0009392F"/>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3E26"/>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6E96"/>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91E"/>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0A29"/>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131"/>
    <w:rsid w:val="00161717"/>
    <w:rsid w:val="00161DA5"/>
    <w:rsid w:val="001627BA"/>
    <w:rsid w:val="00162EAF"/>
    <w:rsid w:val="001630E8"/>
    <w:rsid w:val="001637C1"/>
    <w:rsid w:val="001639FB"/>
    <w:rsid w:val="00163D00"/>
    <w:rsid w:val="0016438C"/>
    <w:rsid w:val="001643E4"/>
    <w:rsid w:val="00164534"/>
    <w:rsid w:val="001648F4"/>
    <w:rsid w:val="00164B64"/>
    <w:rsid w:val="00164C99"/>
    <w:rsid w:val="00165294"/>
    <w:rsid w:val="00165EE0"/>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3BC"/>
    <w:rsid w:val="00186BD2"/>
    <w:rsid w:val="00186E40"/>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45F9"/>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D13"/>
    <w:rsid w:val="001C00D8"/>
    <w:rsid w:val="001C057E"/>
    <w:rsid w:val="001C1B42"/>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47B7"/>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36"/>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969"/>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7DF"/>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6FED"/>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0757"/>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574"/>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BB5"/>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5A9"/>
    <w:rsid w:val="002F06E7"/>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2CCD"/>
    <w:rsid w:val="00343B0B"/>
    <w:rsid w:val="00343D49"/>
    <w:rsid w:val="00344346"/>
    <w:rsid w:val="00344842"/>
    <w:rsid w:val="00344BBF"/>
    <w:rsid w:val="00344BC9"/>
    <w:rsid w:val="003451F8"/>
    <w:rsid w:val="00345827"/>
    <w:rsid w:val="00345868"/>
    <w:rsid w:val="0034637E"/>
    <w:rsid w:val="003466B0"/>
    <w:rsid w:val="00346930"/>
    <w:rsid w:val="00347011"/>
    <w:rsid w:val="00347612"/>
    <w:rsid w:val="0034769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03"/>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309"/>
    <w:rsid w:val="00397B41"/>
    <w:rsid w:val="00397C56"/>
    <w:rsid w:val="00397EF3"/>
    <w:rsid w:val="003A042B"/>
    <w:rsid w:val="003A0852"/>
    <w:rsid w:val="003A08AE"/>
    <w:rsid w:val="003A22C1"/>
    <w:rsid w:val="003A239E"/>
    <w:rsid w:val="003A253B"/>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3F1"/>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0E3"/>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138"/>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8D6"/>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B7"/>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8B8"/>
    <w:rsid w:val="004E0BE3"/>
    <w:rsid w:val="004E0E03"/>
    <w:rsid w:val="004E0E5A"/>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4212"/>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570"/>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5D4D"/>
    <w:rsid w:val="005164BC"/>
    <w:rsid w:val="00516835"/>
    <w:rsid w:val="005168A5"/>
    <w:rsid w:val="005169B9"/>
    <w:rsid w:val="00516FB8"/>
    <w:rsid w:val="00517613"/>
    <w:rsid w:val="00517AA9"/>
    <w:rsid w:val="00517AB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4F5"/>
    <w:rsid w:val="00564813"/>
    <w:rsid w:val="0056546C"/>
    <w:rsid w:val="0056563A"/>
    <w:rsid w:val="00565966"/>
    <w:rsid w:val="00565B05"/>
    <w:rsid w:val="00565BD3"/>
    <w:rsid w:val="00565F1B"/>
    <w:rsid w:val="00566629"/>
    <w:rsid w:val="00566B7E"/>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4660"/>
    <w:rsid w:val="005A504A"/>
    <w:rsid w:val="005A57D6"/>
    <w:rsid w:val="005A5A70"/>
    <w:rsid w:val="005A6072"/>
    <w:rsid w:val="005A7389"/>
    <w:rsid w:val="005A78EE"/>
    <w:rsid w:val="005A7CA2"/>
    <w:rsid w:val="005A7E48"/>
    <w:rsid w:val="005A7FD3"/>
    <w:rsid w:val="005B02F2"/>
    <w:rsid w:val="005B095F"/>
    <w:rsid w:val="005B0B51"/>
    <w:rsid w:val="005B1071"/>
    <w:rsid w:val="005B113B"/>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6FD"/>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2A6"/>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607"/>
    <w:rsid w:val="006229D3"/>
    <w:rsid w:val="006241BE"/>
    <w:rsid w:val="006244E5"/>
    <w:rsid w:val="0062456C"/>
    <w:rsid w:val="00625009"/>
    <w:rsid w:val="00625523"/>
    <w:rsid w:val="00625759"/>
    <w:rsid w:val="006259EF"/>
    <w:rsid w:val="00625B32"/>
    <w:rsid w:val="00625B8F"/>
    <w:rsid w:val="00625DD0"/>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795"/>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0D16"/>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B48"/>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5FEA"/>
    <w:rsid w:val="006860D5"/>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754"/>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201"/>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48"/>
    <w:rsid w:val="006D0087"/>
    <w:rsid w:val="006D04D2"/>
    <w:rsid w:val="006D08AA"/>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5D"/>
    <w:rsid w:val="006E57B4"/>
    <w:rsid w:val="006E585B"/>
    <w:rsid w:val="006E5CA2"/>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71B"/>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C9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588"/>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D01B9"/>
    <w:rsid w:val="007D0632"/>
    <w:rsid w:val="007D0E2D"/>
    <w:rsid w:val="007D15AE"/>
    <w:rsid w:val="007D16B5"/>
    <w:rsid w:val="007D189C"/>
    <w:rsid w:val="007D18C6"/>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7841"/>
    <w:rsid w:val="008303D0"/>
    <w:rsid w:val="00830B48"/>
    <w:rsid w:val="0083121F"/>
    <w:rsid w:val="00831AF4"/>
    <w:rsid w:val="00831C86"/>
    <w:rsid w:val="00831FC6"/>
    <w:rsid w:val="008327D7"/>
    <w:rsid w:val="00832A1F"/>
    <w:rsid w:val="008330E7"/>
    <w:rsid w:val="008335D1"/>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2F3"/>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15D"/>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225"/>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497"/>
    <w:rsid w:val="008B3522"/>
    <w:rsid w:val="008B3869"/>
    <w:rsid w:val="008B3966"/>
    <w:rsid w:val="008B3D4A"/>
    <w:rsid w:val="008B411B"/>
    <w:rsid w:val="008B4256"/>
    <w:rsid w:val="008B468D"/>
    <w:rsid w:val="008B4F41"/>
    <w:rsid w:val="008B5F0A"/>
    <w:rsid w:val="008B694B"/>
    <w:rsid w:val="008B6972"/>
    <w:rsid w:val="008B6FBD"/>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1A"/>
    <w:rsid w:val="008C7627"/>
    <w:rsid w:val="008C76BC"/>
    <w:rsid w:val="008D043E"/>
    <w:rsid w:val="008D0443"/>
    <w:rsid w:val="008D0D42"/>
    <w:rsid w:val="008D111E"/>
    <w:rsid w:val="008D12BF"/>
    <w:rsid w:val="008D1B62"/>
    <w:rsid w:val="008D1B9E"/>
    <w:rsid w:val="008D1F9A"/>
    <w:rsid w:val="008D2082"/>
    <w:rsid w:val="008D2290"/>
    <w:rsid w:val="008D2388"/>
    <w:rsid w:val="008D24C9"/>
    <w:rsid w:val="008D26B5"/>
    <w:rsid w:val="008D359A"/>
    <w:rsid w:val="008D4146"/>
    <w:rsid w:val="008D42F6"/>
    <w:rsid w:val="008D5013"/>
    <w:rsid w:val="008D56C0"/>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BFC"/>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27EC8"/>
    <w:rsid w:val="0093051C"/>
    <w:rsid w:val="00930866"/>
    <w:rsid w:val="0093107E"/>
    <w:rsid w:val="009313EE"/>
    <w:rsid w:val="00931A9D"/>
    <w:rsid w:val="00931E55"/>
    <w:rsid w:val="009328F8"/>
    <w:rsid w:val="00932B22"/>
    <w:rsid w:val="00932BEA"/>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954"/>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0E42"/>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B7F81"/>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50F"/>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37"/>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5E25"/>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48E"/>
    <w:rsid w:val="00A926F4"/>
    <w:rsid w:val="00A93F51"/>
    <w:rsid w:val="00A940CD"/>
    <w:rsid w:val="00A94153"/>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88F"/>
    <w:rsid w:val="00AB5B77"/>
    <w:rsid w:val="00AB670A"/>
    <w:rsid w:val="00AB763D"/>
    <w:rsid w:val="00AB7891"/>
    <w:rsid w:val="00AB7B94"/>
    <w:rsid w:val="00AB7D08"/>
    <w:rsid w:val="00AB7F83"/>
    <w:rsid w:val="00AC0B81"/>
    <w:rsid w:val="00AC1493"/>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91F"/>
    <w:rsid w:val="00AE1BC1"/>
    <w:rsid w:val="00AE1BD1"/>
    <w:rsid w:val="00AE1DBE"/>
    <w:rsid w:val="00AE276C"/>
    <w:rsid w:val="00AE3DF4"/>
    <w:rsid w:val="00AE41D4"/>
    <w:rsid w:val="00AE4788"/>
    <w:rsid w:val="00AE4953"/>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3A"/>
    <w:rsid w:val="00AF3889"/>
    <w:rsid w:val="00AF39DC"/>
    <w:rsid w:val="00AF3BD3"/>
    <w:rsid w:val="00AF3F13"/>
    <w:rsid w:val="00AF3FE3"/>
    <w:rsid w:val="00AF4442"/>
    <w:rsid w:val="00AF4A53"/>
    <w:rsid w:val="00AF4F33"/>
    <w:rsid w:val="00AF52DC"/>
    <w:rsid w:val="00AF5D65"/>
    <w:rsid w:val="00AF6195"/>
    <w:rsid w:val="00AF6305"/>
    <w:rsid w:val="00AF6608"/>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880"/>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520"/>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1CB"/>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BA7"/>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87E"/>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4AF7"/>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329"/>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C90"/>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6CD4"/>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D5E"/>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46B"/>
    <w:rsid w:val="00C86543"/>
    <w:rsid w:val="00C8683F"/>
    <w:rsid w:val="00C86967"/>
    <w:rsid w:val="00C87D19"/>
    <w:rsid w:val="00C9003B"/>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2A"/>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6034"/>
    <w:rsid w:val="00CC6C2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474"/>
    <w:rsid w:val="00CF64A4"/>
    <w:rsid w:val="00CF7C31"/>
    <w:rsid w:val="00CF7CF3"/>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244"/>
    <w:rsid w:val="00D17570"/>
    <w:rsid w:val="00D17643"/>
    <w:rsid w:val="00D17911"/>
    <w:rsid w:val="00D17FB4"/>
    <w:rsid w:val="00D20188"/>
    <w:rsid w:val="00D201E3"/>
    <w:rsid w:val="00D2027A"/>
    <w:rsid w:val="00D20B23"/>
    <w:rsid w:val="00D20C94"/>
    <w:rsid w:val="00D2140F"/>
    <w:rsid w:val="00D218EF"/>
    <w:rsid w:val="00D21F65"/>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276"/>
    <w:rsid w:val="00D40A47"/>
    <w:rsid w:val="00D41051"/>
    <w:rsid w:val="00D410F8"/>
    <w:rsid w:val="00D417AE"/>
    <w:rsid w:val="00D419F5"/>
    <w:rsid w:val="00D41B6F"/>
    <w:rsid w:val="00D41D33"/>
    <w:rsid w:val="00D446AE"/>
    <w:rsid w:val="00D457ED"/>
    <w:rsid w:val="00D463C3"/>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0DFC"/>
    <w:rsid w:val="00DA1D77"/>
    <w:rsid w:val="00DA2198"/>
    <w:rsid w:val="00DA23AB"/>
    <w:rsid w:val="00DA2B4B"/>
    <w:rsid w:val="00DA4324"/>
    <w:rsid w:val="00DA4512"/>
    <w:rsid w:val="00DA4D03"/>
    <w:rsid w:val="00DA4EAF"/>
    <w:rsid w:val="00DA5A16"/>
    <w:rsid w:val="00DA6949"/>
    <w:rsid w:val="00DA6B46"/>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99F"/>
    <w:rsid w:val="00DE6C5F"/>
    <w:rsid w:val="00DE6E8C"/>
    <w:rsid w:val="00DE70EA"/>
    <w:rsid w:val="00DF0175"/>
    <w:rsid w:val="00DF0B89"/>
    <w:rsid w:val="00DF0CFA"/>
    <w:rsid w:val="00DF131B"/>
    <w:rsid w:val="00DF152E"/>
    <w:rsid w:val="00DF164A"/>
    <w:rsid w:val="00DF299E"/>
    <w:rsid w:val="00DF2BC6"/>
    <w:rsid w:val="00DF3044"/>
    <w:rsid w:val="00DF353C"/>
    <w:rsid w:val="00DF37BD"/>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3B54"/>
    <w:rsid w:val="00E2406F"/>
    <w:rsid w:val="00E2429A"/>
    <w:rsid w:val="00E244F7"/>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37"/>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F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748"/>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65C"/>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6C38"/>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5D0F"/>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09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6D5A"/>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120A29"/>
    <w:pPr>
      <w:keepNext/>
      <w:keepLines/>
      <w:pageBreakBefore/>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8A2225"/>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662020"/>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662020"/>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DA2198"/>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342CCD"/>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342CCD"/>
    <w:rPr>
      <w:rFonts w:ascii="Tahoma" w:hAnsi="Tahoma" w:eastAsiaTheme="minorEastAsia" w:cs="Tahoma"/>
      <w:b w:val="0"/>
      <w:bCs/>
      <w:color w:val="00305F"/>
      <w:sz w:val="31"/>
      <w:szCs w:val="31"/>
    </w:rPr>
  </w:style>
  <w:style w:type="paragraph" w:customStyle="1" w:styleId="7329">
    <w:name w:val="73א כותרת 2"/>
    <w:link w:val="73210"/>
    <w:qFormat/>
    <w:rsid w:val="00120A29"/>
    <w:pPr>
      <w:keepNext/>
      <w:keepLines/>
      <w:spacing w:before="360" w:after="240" w:line="240" w:lineRule="atLeast"/>
      <w:jc w:val="right"/>
      <w:outlineLvl w:val="1"/>
    </w:pPr>
    <w:rPr>
      <w:rFonts w:ascii="Tahoma" w:hAnsi="Tahoma" w:cs="Tahoma"/>
      <w:b/>
      <w:bCs/>
      <w:color w:val="00305F"/>
      <w:sz w:val="40"/>
      <w:szCs w:val="34"/>
    </w:rPr>
  </w:style>
  <w:style w:type="character" w:customStyle="1" w:styleId="73210">
    <w:name w:val="73א כותרת 2 תו"/>
    <w:basedOn w:val="DefaultParagraphFont"/>
    <w:link w:val="7329"/>
    <w:rsid w:val="00120A29"/>
    <w:rPr>
      <w:rFonts w:ascii="Tahoma" w:hAnsi="Tahoma" w:cs="Tahoma"/>
      <w:b/>
      <w:bCs/>
      <w:color w:val="00305F"/>
      <w:sz w:val="40"/>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662020"/>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DA2198"/>
    <w:rPr>
      <w:color w:val="0D0D0D" w:themeColor="text1" w:themeTint="F2"/>
      <w:sz w:val="18"/>
    </w:rPr>
  </w:style>
  <w:style w:type="character" w:customStyle="1" w:styleId="7393">
    <w:name w:val="73א טקסט רץ 9 תו"/>
    <w:basedOn w:val="Char4"/>
    <w:link w:val="7392"/>
    <w:rsid w:val="00DA2198"/>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1F3363"/>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jr">
    <w:name w:val="jr"/>
    <w:basedOn w:val="Normal"/>
    <w:rsid w:val="0089115D"/>
    <w:pPr>
      <w:bidi w:val="0"/>
      <w:spacing w:before="100" w:beforeAutospacing="1" w:after="100" w:afterAutospacing="1" w:line="240" w:lineRule="auto"/>
      <w:jc w:val="left"/>
    </w:pPr>
    <w:rPr>
      <w:rFonts w:eastAsia="Times New Roman" w:cs="Times New Roman"/>
      <w:sz w:val="24"/>
    </w:rPr>
  </w:style>
  <w:style w:type="paragraph" w:customStyle="1" w:styleId="t-body-text">
    <w:name w:val="t-body-text"/>
    <w:basedOn w:val="Normal"/>
    <w:rsid w:val="0089115D"/>
    <w:pPr>
      <w:bidi w:val="0"/>
      <w:spacing w:before="100" w:beforeAutospacing="1" w:after="100" w:afterAutospacing="1" w:line="240" w:lineRule="auto"/>
      <w:jc w:val="left"/>
    </w:pPr>
    <w:rPr>
      <w:rFonts w:eastAsia="Times New Roman" w:cs="Times New Roman"/>
      <w:sz w:val="24"/>
    </w:rPr>
  </w:style>
  <w:style w:type="character" w:customStyle="1" w:styleId="hebrewchar">
    <w:name w:val="hebrewchar"/>
    <w:basedOn w:val="DefaultParagraphFont"/>
    <w:rsid w:val="0089115D"/>
  </w:style>
  <w:style w:type="table" w:styleId="MediumList2Accent1">
    <w:name w:val="Medium List 2 Accent 1"/>
    <w:basedOn w:val="TableNormal"/>
    <w:uiPriority w:val="66"/>
    <w:rsid w:val="0089115D"/>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single" w:sz="8" w:space="0" w:color="1CADE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89115D"/>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je">
    <w:name w:val="je"/>
    <w:basedOn w:val="Normal"/>
    <w:rsid w:val="0089115D"/>
    <w:pPr>
      <w:bidi w:val="0"/>
      <w:spacing w:before="100" w:beforeAutospacing="1" w:after="100" w:afterAutospacing="1" w:line="240" w:lineRule="auto"/>
      <w:jc w:val="left"/>
    </w:pPr>
    <w:rPr>
      <w:rFonts w:eastAsia="Times New Roman" w:cs="Times New Roman"/>
      <w:sz w:val="24"/>
    </w:rPr>
  </w:style>
  <w:style w:type="paragraph" w:customStyle="1" w:styleId="blanktag">
    <w:name w:val="blanktag"/>
    <w:basedOn w:val="Normal"/>
    <w:rsid w:val="0089115D"/>
    <w:pPr>
      <w:bidi w:val="0"/>
      <w:spacing w:before="100" w:beforeAutospacing="1" w:after="100" w:afterAutospacing="1" w:line="240" w:lineRule="auto"/>
      <w:jc w:val="left"/>
    </w:pPr>
    <w:rPr>
      <w:rFonts w:eastAsia="Times New Roman" w:cs="Times New Roman"/>
      <w:sz w:val="24"/>
    </w:rPr>
  </w:style>
  <w:style w:type="paragraph" w:customStyle="1" w:styleId="711">
    <w:name w:val="71ג מקרא+הערות לתרשים/לוח/תמונה"/>
    <w:basedOn w:val="Normal"/>
    <w:link w:val="71Char"/>
    <w:qFormat/>
    <w:rsid w:val="002C0757"/>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DefaultParagraphFont"/>
    <w:link w:val="711"/>
    <w:rsid w:val="002C0757"/>
    <w:rPr>
      <w:rFonts w:ascii="Tahoma" w:hAnsi="Tahoma" w:cs="Tahoma"/>
      <w:color w:val="0D0D0D" w:themeColor="text1" w:themeTint="F2"/>
      <w:sz w:val="16"/>
      <w:szCs w:val="16"/>
    </w:rPr>
  </w:style>
  <w:style w:type="paragraph" w:customStyle="1" w:styleId="a35">
    <w:name w:val="כותרת ראשית לדוח"/>
    <w:qFormat/>
    <w:rsid w:val="00C21C90"/>
    <w:pPr>
      <w:spacing w:before="360" w:line="600" w:lineRule="exact"/>
      <w:ind w:left="2268"/>
      <w:jc w:val="left"/>
    </w:pPr>
    <w:rPr>
      <w:rFonts w:ascii="Tahoma" w:hAnsi="Tahoma" w:cs="Tahoma"/>
      <w:b/>
      <w:bCs/>
      <w:sz w:val="44"/>
      <w:szCs w:val="44"/>
    </w:rPr>
  </w:style>
  <w:style w:type="paragraph" w:customStyle="1" w:styleId="a36">
    <w:name w:val="תאריך הדוח"/>
    <w:qFormat/>
    <w:rsid w:val="00C46CD4"/>
    <w:pPr>
      <w:ind w:left="2268"/>
      <w:jc w:val="left"/>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footer" Target="footer4.xml" /><Relationship Id="rId29" Type="http://schemas.openxmlformats.org/officeDocument/2006/relationships/footer" Target="footer5.xml"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footer" Target="footer6.xml" /><Relationship Id="rId32" Type="http://schemas.openxmlformats.org/officeDocument/2006/relationships/header" Target="header6.xml" /><Relationship Id="rId33" Type="http://schemas.openxmlformats.org/officeDocument/2006/relationships/footer" Target="footer7.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13.jpeg" /><Relationship Id="rId2"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15.png" /><Relationship Id="rId2" Type="http://schemas.openxmlformats.org/officeDocument/2006/relationships/image" Target="media/image16.jpeg" /><Relationship Id="rId3" Type="http://schemas.openxmlformats.org/officeDocument/2006/relationships/image" Target="media/image17.png" /><Relationship Id="rId4" Type="http://schemas.openxmlformats.org/officeDocument/2006/relationships/image" Target="media/image18.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9.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652C3CE-E085-419E-A3EF-EC3BADF7088C}"/>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