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30"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1"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32"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1BD4C094">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3066429</wp:posOffset>
                </wp:positionH>
                <wp:positionV relativeFrom="paragraph">
                  <wp:posOffset>262498</wp:posOffset>
                </wp:positionV>
                <wp:extent cx="0" cy="3174365"/>
                <wp:effectExtent l="25400" t="0" r="25400" b="2603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17436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3" style="mso-height-percent:0;mso-height-relative:margin;mso-width-percent:0;mso-width-relative:margin;mso-wrap-distance-bottom:0;mso-wrap-distance-left:9pt;mso-wrap-distance-right:9pt;mso-wrap-distance-top:0;mso-wrap-style:square;position:absolute;visibility:visible;z-index:251667456" from="241.45pt,20.65pt" to="241.45pt,270.6pt" strokecolor="white" strokeweight="4pt"/>
            </w:pict>
          </mc:Fallback>
        </mc:AlternateContent>
      </w:r>
      <w:r w:rsidR="008D250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198119</wp:posOffset>
                </wp:positionH>
                <wp:positionV relativeFrom="paragraph">
                  <wp:posOffset>1934845</wp:posOffset>
                </wp:positionV>
                <wp:extent cx="2734945"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3494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4" style="flip:x;mso-height-percent:0;mso-height-relative:margin;mso-width-percent:0;mso-width-relative:margin;mso-wrap-distance-bottom:0;mso-wrap-distance-left:9pt;mso-wrap-distance-right:9pt;mso-wrap-distance-top:0;mso-wrap-style:square;position:absolute;visibility:visible;z-index:251669504" from="15.6pt,152.35pt" to="230.95pt,152.35pt" strokecolor="white" strokeweight="1.5pt"/>
            </w:pict>
          </mc:Fallback>
        </mc:AlternateContent>
      </w:r>
      <w:r w:rsidRPr="0030415A" w:rsidR="00723263">
        <w:rPr>
          <w:rFonts w:ascii="Tahoma" w:hAnsi="Tahoma" w:cs="Tahoma"/>
          <w:noProof/>
          <w:sz w:val="22"/>
          <w:szCs w:val="22"/>
          <w:rtl/>
        </w:rPr>
        <mc:AlternateContent>
          <mc:Choice Requires="wps">
            <w:drawing>
              <wp:anchor distT="45720" distB="45720" distL="114300" distR="114300" simplePos="0" relativeHeight="251663360" behindDoc="0" locked="0" layoutInCell="1" allowOverlap="1">
                <wp:simplePos x="0" y="0"/>
                <wp:positionH relativeFrom="column">
                  <wp:posOffset>-82550</wp:posOffset>
                </wp:positionH>
                <wp:positionV relativeFrom="paragraph">
                  <wp:posOffset>346710</wp:posOffset>
                </wp:positionV>
                <wp:extent cx="4556760" cy="4273550"/>
                <wp:effectExtent l="0" t="0" r="254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676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2329DB" w14:textId="6D825F3C">
                            <w:pPr>
                              <w:pStyle w:val="a41"/>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Pr="00BF04C5" w:rsidR="00BF04C5">
                              <w:rPr>
                                <w:rtl/>
                              </w:rPr>
                              <w:t>נובמבר</w:t>
                            </w:r>
                            <w:r w:rsidR="00BF04C5">
                              <w:rPr>
                                <w:rFonts w:hint="cs"/>
                                <w:rtl/>
                              </w:rPr>
                              <w:t xml:space="preserve"> </w:t>
                            </w:r>
                            <w:r>
                              <w:rPr>
                                <w:rFonts w:hint="cs"/>
                                <w:rtl/>
                              </w:rPr>
                              <w:t xml:space="preserve">2022 </w:t>
                            </w:r>
                          </w:p>
                          <w:p w:rsidR="00F73EE0" w:rsidP="0052031E" w14:textId="4F5A48BD">
                            <w:pPr>
                              <w:ind w:left="2268"/>
                              <w:rPr>
                                <w:rtl/>
                              </w:rPr>
                            </w:pPr>
                          </w:p>
                          <w:p w:rsidR="00F01B25" w:rsidP="0052031E" w14:textId="77777777">
                            <w:pPr>
                              <w:ind w:left="2268"/>
                              <w:rPr>
                                <w:rtl/>
                              </w:rPr>
                            </w:pPr>
                          </w:p>
                          <w:p w:rsidR="00F73EE0" w:rsidP="0052031E" w14:textId="77777777">
                            <w:pPr>
                              <w:ind w:left="2268"/>
                              <w:rPr>
                                <w:rtl/>
                              </w:rPr>
                            </w:pPr>
                          </w:p>
                          <w:p w:rsidR="005D0F8C" w:rsidRPr="000A3ED4" w:rsidP="002329DB" w14:textId="7A92A0D2">
                            <w:pPr>
                              <w:pStyle w:val="-2"/>
                              <w:rPr>
                                <w:rtl/>
                              </w:rPr>
                            </w:pPr>
                            <w:r>
                              <w:rPr>
                                <w:rFonts w:hint="cs"/>
                                <w:rtl/>
                              </w:rPr>
                              <w:t xml:space="preserve">משרד </w:t>
                            </w:r>
                            <w:r w:rsidR="00157923">
                              <w:rPr>
                                <w:rFonts w:hint="cs"/>
                                <w:rtl/>
                              </w:rPr>
                              <w:t>האוצר</w:t>
                            </w:r>
                          </w:p>
                          <w:p w:rsidR="00C30482" w:rsidRPr="002329DB" w:rsidP="00645AD6" w14:textId="61F9C988">
                            <w:pPr>
                              <w:pStyle w:val="a42"/>
                              <w:bidi/>
                              <w:spacing w:before="120"/>
                            </w:pPr>
                            <w:r w:rsidRPr="00723263">
                              <w:rPr>
                                <w:rtl/>
                              </w:rPr>
                              <w:t>מינהל</w:t>
                            </w:r>
                            <w:r w:rsidRPr="00723263">
                              <w:rPr>
                                <w:rtl/>
                              </w:rPr>
                              <w:t xml:space="preserve"> הרכב הממשלתי</w:t>
                            </w:r>
                            <w:r>
                              <w:rPr>
                                <w:rFonts w:hint="cs"/>
                                <w:rtl/>
                              </w:rPr>
                              <w:t xml:space="preserve"> </w:t>
                            </w:r>
                          </w:p>
                          <w:p w:rsidR="00723263" w:rsidRPr="00723263" w:rsidP="00723263" w14:textId="77777777">
                            <w:pPr>
                              <w:spacing w:before="360" w:line="600" w:lineRule="exact"/>
                              <w:ind w:left="2268"/>
                              <w:jc w:val="left"/>
                              <w:rPr>
                                <w:rFonts w:ascii="Tahoma" w:hAnsi="Tahoma" w:cs="Tahoma"/>
                                <w:b/>
                                <w:bCs/>
                                <w:sz w:val="44"/>
                                <w:szCs w:val="44"/>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width:358.8pt;height:336.5pt;margin-top:27.3pt;margin-left:-6.5pt;mso-height-percent:0;mso-height-relative:margin;mso-width-percent:0;mso-width-relative:margin;mso-wrap-distance-bottom:3.6pt;mso-wrap-distance-left:9pt;mso-wrap-distance-right:9pt;mso-wrap-distance-top:3.6pt;position:absolute;v-text-anchor:top;z-index:251662336" fillcolor="#00305f" stroked="f" strokeweight="0.75pt">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2329DB" w14:paraId="6680A7A9" w14:textId="6D825F3C">
                      <w:pPr>
                        <w:pStyle w:val="a41"/>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Pr="00BF04C5" w:rsidR="00BF04C5">
                        <w:rPr>
                          <w:rtl/>
                        </w:rPr>
                        <w:t>נובמבר</w:t>
                      </w:r>
                      <w:r w:rsidR="00BF04C5">
                        <w:rPr>
                          <w:rFonts w:hint="cs"/>
                          <w:rtl/>
                        </w:rPr>
                        <w:t xml:space="preserve"> </w:t>
                      </w:r>
                      <w:r>
                        <w:rPr>
                          <w:rFonts w:hint="cs"/>
                          <w:rtl/>
                        </w:rPr>
                        <w:t xml:space="preserve">2022 </w:t>
                      </w:r>
                    </w:p>
                    <w:p w:rsidR="00F73EE0" w:rsidP="0052031E" w14:paraId="7A4F68DA" w14:textId="4F5A48BD">
                      <w:pPr>
                        <w:ind w:left="2268"/>
                        <w:rPr>
                          <w:rtl/>
                        </w:rPr>
                      </w:pPr>
                    </w:p>
                    <w:p w:rsidR="00F01B25" w:rsidP="0052031E" w14:paraId="55A55087" w14:textId="77777777">
                      <w:pPr>
                        <w:ind w:left="2268"/>
                        <w:rPr>
                          <w:rtl/>
                        </w:rPr>
                      </w:pPr>
                    </w:p>
                    <w:p w:rsidR="00F73EE0" w:rsidP="0052031E" w14:paraId="537675A5" w14:textId="77777777">
                      <w:pPr>
                        <w:ind w:left="2268"/>
                        <w:rPr>
                          <w:rtl/>
                        </w:rPr>
                      </w:pPr>
                    </w:p>
                    <w:p w:rsidR="005D0F8C" w:rsidRPr="000A3ED4" w:rsidP="002329DB" w14:paraId="361EED1E" w14:textId="7A92A0D2">
                      <w:pPr>
                        <w:pStyle w:val="-2"/>
                        <w:rPr>
                          <w:rtl/>
                        </w:rPr>
                      </w:pPr>
                      <w:r>
                        <w:rPr>
                          <w:rFonts w:hint="cs"/>
                          <w:rtl/>
                        </w:rPr>
                        <w:t xml:space="preserve">משרד </w:t>
                      </w:r>
                      <w:r w:rsidR="00157923">
                        <w:rPr>
                          <w:rFonts w:hint="cs"/>
                          <w:rtl/>
                        </w:rPr>
                        <w:t>האוצר</w:t>
                      </w:r>
                    </w:p>
                    <w:p w:rsidR="00C30482" w:rsidRPr="002329DB" w:rsidP="00645AD6" w14:paraId="5BE5E625" w14:textId="61F9C988">
                      <w:pPr>
                        <w:pStyle w:val="a42"/>
                        <w:bidi/>
                        <w:spacing w:before="120"/>
                      </w:pPr>
                      <w:r w:rsidRPr="00723263">
                        <w:rPr>
                          <w:rtl/>
                        </w:rPr>
                        <w:t>מינהל</w:t>
                      </w:r>
                      <w:r w:rsidRPr="00723263">
                        <w:rPr>
                          <w:rtl/>
                        </w:rPr>
                        <w:t xml:space="preserve"> הרכב הממשלתי</w:t>
                      </w:r>
                      <w:r>
                        <w:rPr>
                          <w:rFonts w:hint="cs"/>
                          <w:rtl/>
                        </w:rPr>
                        <w:t xml:space="preserve"> </w:t>
                      </w:r>
                    </w:p>
                    <w:p w:rsidR="00723263" w:rsidRPr="00723263" w:rsidP="00723263" w14:paraId="46B56470" w14:textId="77777777">
                      <w:pPr>
                        <w:spacing w:before="360" w:line="600" w:lineRule="exact"/>
                        <w:ind w:left="2268"/>
                        <w:jc w:val="left"/>
                        <w:rPr>
                          <w:rFonts w:ascii="Tahoma" w:hAnsi="Tahoma" w:cs="Tahoma"/>
                          <w:b/>
                          <w:bCs/>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-1469056</wp:posOffset>
                </wp:positionH>
                <wp:positionV relativeFrom="paragraph">
                  <wp:posOffset>-1453482</wp:posOffset>
                </wp:positionV>
                <wp:extent cx="7601578" cy="2832836"/>
                <wp:effectExtent l="0" t="0" r="635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28328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6" style="width:598.55pt;height:223.05pt;margin-top:-114.45pt;margin-left:-115.6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B94865">
          <w:headerReference w:type="even" r:id="rId18"/>
          <w:pgSz w:w="11906" w:h="16838" w:code="9"/>
          <w:pgMar w:top="3062" w:right="2268" w:bottom="2552" w:left="2268" w:header="709" w:footer="709" w:gutter="0"/>
          <w:cols w:space="720"/>
          <w:bidi/>
          <w:rtlGutter/>
          <w:docGrid w:linePitch="272"/>
        </w:sectPr>
      </w:pPr>
    </w:p>
    <w:p w:rsidR="00B93C72" w:rsidRPr="001F3363" w:rsidP="001F3363" w14:paraId="4ED3AA37" w14:textId="2B08E30E">
      <w:pPr>
        <w:pStyle w:val="7329"/>
        <w:rPr>
          <w:rtl/>
        </w:rPr>
      </w:pPr>
      <w:r w:rsidRP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660179</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F3363" w:rsidR="00586851">
        <w:rPr>
          <w:noProof/>
          <w:rtl/>
        </w:rPr>
        <mc:AlternateContent>
          <mc:Choice Requires="wps">
            <w:drawing>
              <wp:anchor distT="0" distB="0" distL="114300" distR="114300" simplePos="0" relativeHeight="251675648" behindDoc="0" locked="0" layoutInCell="1" allowOverlap="1">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7" style="width:15.3pt;height:438.6pt;margin-top:25.05pt;margin-left:-51.4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723263" w:rsidR="00723263">
        <w:rPr>
          <w:noProof/>
          <w:rtl/>
        </w:rPr>
        <w:t>מינהל הרכב הממשלתי</w:t>
      </w:r>
    </w:p>
    <w:p w:rsidR="007F4A20" w:rsidP="007F4A20" w14:paraId="0B41EED6" w14:textId="45D27019">
      <w:pPr>
        <w:pStyle w:val="7392"/>
        <w:spacing w:before="360"/>
        <w:rPr>
          <w:rtl/>
        </w:rPr>
      </w:pPr>
      <w:r w:rsidRPr="00D2400F">
        <w:rPr>
          <w:rtl/>
        </w:rPr>
        <w:t>מינהל</w:t>
      </w:r>
      <w:r w:rsidRPr="00D2400F">
        <w:rPr>
          <w:rtl/>
        </w:rPr>
        <w:t xml:space="preserve"> הרכב הממשלתי (</w:t>
      </w:r>
      <w:r w:rsidRPr="00D2400F">
        <w:rPr>
          <w:rtl/>
        </w:rPr>
        <w:t>מינהל</w:t>
      </w:r>
      <w:r w:rsidRPr="00D2400F">
        <w:rPr>
          <w:rtl/>
        </w:rPr>
        <w:t xml:space="preserve"> הרכב או </w:t>
      </w:r>
      <w:r w:rsidRPr="00D2400F">
        <w:rPr>
          <w:rtl/>
        </w:rPr>
        <w:t>המינהל</w:t>
      </w:r>
      <w:r w:rsidRPr="00D2400F">
        <w:rPr>
          <w:rtl/>
        </w:rPr>
        <w:t>) הוא יחידה בחטיבת נכסים, רכש ולוגיסטיקה שבאגף החשב הכללי במשרד האוצר (</w:t>
      </w:r>
      <w:r w:rsidRPr="00D2400F">
        <w:rPr>
          <w:rtl/>
        </w:rPr>
        <w:t>החשכ״ל</w:t>
      </w:r>
      <w:r w:rsidRPr="00D2400F">
        <w:rPr>
          <w:rtl/>
        </w:rPr>
        <w:t xml:space="preserve">). תפקידו לספק שירותי רכב לכלל משרדי הממשלה ויחידות הסמך שלהם. תקציב </w:t>
      </w:r>
      <w:r w:rsidRPr="00D2400F">
        <w:rPr>
          <w:rtl/>
        </w:rPr>
        <w:t>מינהל</w:t>
      </w:r>
      <w:r w:rsidRPr="00D2400F">
        <w:rPr>
          <w:rtl/>
        </w:rPr>
        <w:t xml:space="preserve"> הרכב מבוסס על השתתפות תקציבית שמועברת </w:t>
      </w:r>
      <w:r w:rsidRPr="00D2400F">
        <w:rPr>
          <w:rtl/>
        </w:rPr>
        <w:t>למינהל</w:t>
      </w:r>
      <w:r w:rsidRPr="00D2400F">
        <w:rPr>
          <w:rtl/>
        </w:rPr>
        <w:t xml:space="preserve"> ממשרדי הממשלה ומיועדת לארבעה סוגי הוצאות: לרכישת כלי רכב; לתחזוקת רכבים; לביטוח; ולתקורה למימון ההוצאות המנהליות של </w:t>
      </w:r>
      <w:r w:rsidRPr="00D2400F">
        <w:rPr>
          <w:rtl/>
        </w:rPr>
        <w:t>המינהל</w:t>
      </w:r>
      <w:r w:rsidRPr="00D2400F">
        <w:rPr>
          <w:rtl/>
        </w:rPr>
        <w:t xml:space="preserve">. בהתאם לדוחות הכספיים של </w:t>
      </w:r>
      <w:r w:rsidRPr="00D2400F">
        <w:rPr>
          <w:rtl/>
        </w:rPr>
        <w:t>המינהל</w:t>
      </w:r>
      <w:r w:rsidRPr="00D2400F">
        <w:rPr>
          <w:rtl/>
        </w:rPr>
        <w:t xml:space="preserve">, בשנת 2021 עמדו הוצאות </w:t>
      </w:r>
      <w:r w:rsidRPr="00D2400F">
        <w:rPr>
          <w:rtl/>
        </w:rPr>
        <w:t>המינהל</w:t>
      </w:r>
      <w:r w:rsidRPr="00D2400F">
        <w:rPr>
          <w:rtl/>
        </w:rPr>
        <w:t xml:space="preserve"> על 178 מיליון ש"ח. כמו-כן, בהתאם לדוחות אלה, צי הרכב הממשלתי במשרדי הממשלה מנה כ-5,100 כלי רכב, שבהם מורשים לנהוג כ-12,000 נהגים. ההחלטה על הצמדת רכב לבעלי תפקידים במשרד ממשלתי מתקבלת על ידי ועדת ההצמדות, שבראשה עומד החשב הכללי או מי מטעמו</w:t>
      </w:r>
      <w:r>
        <w:rPr>
          <w:vertAlign w:val="superscript"/>
          <w:rtl/>
        </w:rPr>
        <w:footnoteReference w:id="2"/>
      </w:r>
      <w:r w:rsidRPr="00D2400F">
        <w:rPr>
          <w:rtl/>
        </w:rPr>
        <w:t>.</w:t>
      </w:r>
      <w:r w:rsidRPr="001F3363"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592</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2"/>
        <w:gridCol w:w="227"/>
        <w:gridCol w:w="1523"/>
        <w:gridCol w:w="227"/>
        <w:gridCol w:w="1921"/>
        <w:gridCol w:w="227"/>
        <w:gridCol w:w="1634"/>
      </w:tblGrid>
      <w:tr w14:paraId="58B4726B" w14:textId="77777777" w:rsidTr="007472C4">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41" w:type="pct"/>
            <w:tcBorders>
              <w:bottom w:val="single" w:sz="12" w:space="0" w:color="000000"/>
            </w:tcBorders>
            <w:vAlign w:val="bottom"/>
          </w:tcPr>
          <w:p w:rsidR="00420374" w:rsidRPr="004562F8" w:rsidP="000B0C0B" w14:paraId="23EB689E" w14:textId="299E9B93">
            <w:pPr>
              <w:spacing w:after="60" w:line="240" w:lineRule="auto"/>
              <w:jc w:val="left"/>
              <w:rPr>
                <w:b/>
                <w:bCs/>
                <w:spacing w:val="-28"/>
                <w:rtl/>
              </w:rPr>
            </w:pPr>
            <w:r>
              <w:rPr>
                <w:rFonts w:ascii="Tahoma" w:hAnsi="Tahoma" w:eastAsiaTheme="minorEastAsia" w:cs="Tahoma"/>
                <w:b/>
                <w:bCs/>
                <w:color w:val="0D0D0D" w:themeColor="text1" w:themeTint="F2"/>
                <w:spacing w:val="-10"/>
                <w:sz w:val="36"/>
                <w:szCs w:val="36"/>
              </w:rPr>
              <w:t>226</w:t>
            </w:r>
            <w:r>
              <w:rPr>
                <w:rFonts w:ascii="Tahoma" w:hAnsi="Tahoma" w:eastAsiaTheme="minorEastAsia" w:cs="Tahoma" w:hint="cs"/>
                <w:b/>
                <w:bCs/>
                <w:color w:val="0D0D0D" w:themeColor="text1" w:themeTint="F2"/>
                <w:spacing w:val="-10"/>
                <w:sz w:val="36"/>
                <w:szCs w:val="36"/>
                <w:rtl/>
              </w:rPr>
              <w:t xml:space="preserve"> </w:t>
            </w:r>
            <w:r>
              <w:rPr>
                <w:rFonts w:ascii="Tahoma" w:hAnsi="Tahoma" w:eastAsiaTheme="minorEastAsia" w:cs="Tahoma" w:hint="cs"/>
                <w:b/>
                <w:bCs/>
                <w:color w:val="0D0D0D" w:themeColor="text1" w:themeTint="F2"/>
                <w:spacing w:val="-10"/>
                <w:sz w:val="26"/>
                <w:szCs w:val="26"/>
                <w:rtl/>
              </w:rPr>
              <w:t>מילי</w:t>
            </w:r>
            <w:r>
              <w:rPr>
                <w:rFonts w:ascii="Tahoma" w:hAnsi="Tahoma" w:eastAsiaTheme="minorEastAsia" w:cs="Tahoma" w:hint="cs"/>
                <w:b/>
                <w:bCs/>
                <w:color w:val="0D0D0D" w:themeColor="text1" w:themeTint="F2"/>
                <w:spacing w:val="-10"/>
                <w:sz w:val="26"/>
                <w:szCs w:val="26"/>
                <w:rtl/>
              </w:rPr>
              <w:t>וני</w:t>
            </w:r>
            <w:r>
              <w:rPr>
                <w:rFonts w:ascii="Tahoma" w:hAnsi="Tahoma" w:eastAsiaTheme="minorEastAsia" w:cs="Tahoma" w:hint="cs"/>
                <w:b/>
                <w:bCs/>
                <w:color w:val="0D0D0D" w:themeColor="text1" w:themeTint="F2"/>
                <w:spacing w:val="-10"/>
                <w:sz w:val="26"/>
                <w:szCs w:val="26"/>
                <w:rtl/>
              </w:rPr>
              <w:t xml:space="preserve"> ש״ח</w:t>
            </w:r>
          </w:p>
        </w:tc>
        <w:tc>
          <w:tcPr>
            <w:tcW w:w="158" w:type="pct"/>
            <w:vAlign w:val="bottom"/>
          </w:tcPr>
          <w:p w:rsidR="00420374" w:rsidP="000B0C0B" w14:paraId="19192EA5" w14:textId="77777777">
            <w:pPr>
              <w:spacing w:before="120" w:after="60" w:line="240" w:lineRule="auto"/>
              <w:jc w:val="left"/>
              <w:rPr>
                <w:rtl/>
              </w:rPr>
            </w:pPr>
          </w:p>
        </w:tc>
        <w:tc>
          <w:tcPr>
            <w:tcW w:w="1027" w:type="pct"/>
            <w:tcBorders>
              <w:bottom w:val="single" w:sz="12" w:space="0" w:color="000000"/>
            </w:tcBorders>
            <w:vAlign w:val="bottom"/>
          </w:tcPr>
          <w:p w:rsidR="00420374" w:rsidRPr="005C7ABF" w:rsidP="000B0C0B" w14:paraId="761F4116" w14:textId="4A4EE763">
            <w:pPr>
              <w:pStyle w:val="2021"/>
              <w:spacing w:before="0" w:after="60"/>
              <w:rPr>
                <w:spacing w:val="-10"/>
                <w:rtl/>
              </w:rPr>
            </w:pPr>
            <w:r>
              <w:rPr>
                <w:rFonts w:hint="cs"/>
                <w:spacing w:val="-10"/>
                <w:rtl/>
              </w:rPr>
              <w:t>40%</w:t>
            </w:r>
            <w:r>
              <w:rPr>
                <w:rFonts w:hint="cs"/>
                <w:spacing w:val="-10"/>
                <w:rtl/>
              </w:rPr>
              <w:t xml:space="preserve"> </w:t>
            </w:r>
          </w:p>
        </w:tc>
        <w:tc>
          <w:tcPr>
            <w:tcW w:w="157" w:type="pct"/>
            <w:vAlign w:val="bottom"/>
          </w:tcPr>
          <w:p w:rsidR="00420374" w:rsidP="000B0C0B" w14:paraId="2810DE55" w14:textId="77777777">
            <w:pPr>
              <w:spacing w:before="120" w:after="60" w:line="240" w:lineRule="auto"/>
              <w:jc w:val="left"/>
              <w:rPr>
                <w:rtl/>
              </w:rPr>
            </w:pPr>
          </w:p>
        </w:tc>
        <w:tc>
          <w:tcPr>
            <w:tcW w:w="1294" w:type="pct"/>
            <w:tcBorders>
              <w:bottom w:val="single" w:sz="12" w:space="0" w:color="000000"/>
            </w:tcBorders>
            <w:vAlign w:val="bottom"/>
          </w:tcPr>
          <w:p w:rsidR="00420374" w:rsidRPr="00340353" w:rsidP="000B0C0B" w14:paraId="2A2E27BD" w14:textId="5A7D79CB">
            <w:pPr>
              <w:pStyle w:val="2021"/>
              <w:spacing w:before="0" w:after="60"/>
              <w:rPr>
                <w:b w:val="0"/>
                <w:bCs w:val="0"/>
                <w:spacing w:val="-20"/>
                <w:sz w:val="24"/>
                <w:rtl/>
              </w:rPr>
            </w:pPr>
            <w:r w:rsidRPr="000B0C0B">
              <w:rPr>
                <w:rFonts w:hint="cs"/>
                <w:spacing w:val="-20"/>
                <w:sz w:val="26"/>
                <w:szCs w:val="26"/>
                <w:rtl/>
              </w:rPr>
              <w:t>יותר מ-</w:t>
            </w:r>
            <w:r w:rsidRPr="000B0C0B">
              <w:rPr>
                <w:rFonts w:hint="cs"/>
                <w:spacing w:val="-20"/>
                <w:rtl/>
              </w:rPr>
              <w:t>500</w:t>
            </w:r>
            <w:r>
              <w:rPr>
                <w:rFonts w:hint="cs"/>
                <w:spacing w:val="-10"/>
                <w:rtl/>
              </w:rPr>
              <w:t xml:space="preserve"> </w:t>
            </w:r>
            <w:r w:rsidRPr="000B0C0B">
              <w:rPr>
                <w:rFonts w:hint="cs"/>
                <w:spacing w:val="-10"/>
                <w:sz w:val="26"/>
                <w:szCs w:val="26"/>
                <w:rtl/>
              </w:rPr>
              <w:t>מיליוני ש״ח</w:t>
            </w:r>
            <w:r>
              <w:rPr>
                <w:rFonts w:hint="cs"/>
                <w:spacing w:val="-10"/>
                <w:rtl/>
              </w:rPr>
              <w:t xml:space="preserve"> </w:t>
            </w:r>
          </w:p>
        </w:tc>
        <w:tc>
          <w:tcPr>
            <w:tcW w:w="157" w:type="pct"/>
          </w:tcPr>
          <w:p w:rsidR="00420374" w:rsidP="000B0C0B" w14:paraId="47B754BA" w14:textId="77777777">
            <w:pPr>
              <w:pStyle w:val="2021"/>
              <w:spacing w:before="0" w:after="60"/>
              <w:rPr>
                <w:spacing w:val="-10"/>
                <w:rtl/>
              </w:rPr>
            </w:pPr>
          </w:p>
        </w:tc>
        <w:tc>
          <w:tcPr>
            <w:tcW w:w="1065" w:type="pct"/>
            <w:tcBorders>
              <w:bottom w:val="single" w:sz="12" w:space="0" w:color="000000"/>
            </w:tcBorders>
            <w:vAlign w:val="bottom"/>
          </w:tcPr>
          <w:p w:rsidR="00420374" w:rsidP="000B0C0B" w14:paraId="5F3A3FF5" w14:textId="1EEB7E07">
            <w:pPr>
              <w:pStyle w:val="2021"/>
              <w:spacing w:before="0" w:after="60"/>
              <w:rPr>
                <w:spacing w:val="-10"/>
                <w:rtl/>
              </w:rPr>
            </w:pPr>
            <w:r w:rsidRPr="000B0C0B">
              <w:rPr>
                <w:rFonts w:hint="cs"/>
                <w:spacing w:val="-10"/>
                <w:sz w:val="26"/>
                <w:szCs w:val="26"/>
                <w:rtl/>
              </w:rPr>
              <w:t>כ-</w:t>
            </w:r>
            <w:r>
              <w:rPr>
                <w:rFonts w:hint="cs"/>
                <w:spacing w:val="-10"/>
                <w:rtl/>
              </w:rPr>
              <w:t xml:space="preserve">6 </w:t>
            </w:r>
            <w:r w:rsidRPr="000B0C0B">
              <w:rPr>
                <w:rFonts w:hint="cs"/>
                <w:spacing w:val="-10"/>
                <w:sz w:val="26"/>
                <w:szCs w:val="26"/>
                <w:rtl/>
              </w:rPr>
              <w:t>מיליוני ש״ח</w:t>
            </w:r>
            <w:r>
              <w:rPr>
                <w:rFonts w:hint="cs"/>
                <w:spacing w:val="-10"/>
                <w:rtl/>
              </w:rPr>
              <w:t xml:space="preserve"> </w:t>
            </w:r>
          </w:p>
        </w:tc>
      </w:tr>
      <w:tr w14:paraId="6DFAF81C" w14:textId="77777777" w:rsidTr="007472C4">
        <w:tblPrEx>
          <w:tblW w:w="5055" w:type="pct"/>
          <w:tblLook w:val="04A0"/>
        </w:tblPrEx>
        <w:tc>
          <w:tcPr>
            <w:tcW w:w="1141" w:type="pct"/>
            <w:tcBorders>
              <w:top w:val="single" w:sz="12" w:space="0" w:color="000000"/>
            </w:tcBorders>
          </w:tcPr>
          <w:p w:rsidR="00420374" w:rsidRPr="00E52143" w:rsidP="00937056" w14:paraId="1D96599A" w14:textId="4C635EB2">
            <w:pPr>
              <w:pStyle w:val="732021"/>
              <w:spacing w:before="0"/>
              <w:rPr>
                <w:rtl/>
              </w:rPr>
            </w:pPr>
            <w:r w:rsidRPr="00D2400F">
              <w:rPr>
                <w:rtl/>
              </w:rPr>
              <w:t xml:space="preserve">הממוצע השנתי של הוצאות </w:t>
            </w:r>
            <w:r w:rsidRPr="00D2400F">
              <w:rPr>
                <w:rtl/>
              </w:rPr>
              <w:t>מינהל</w:t>
            </w:r>
            <w:r w:rsidRPr="00D2400F">
              <w:rPr>
                <w:rtl/>
              </w:rPr>
              <w:t xml:space="preserve"> הרכב בשנים 2011 - 2021, בהתאם לדוחות הכספיים</w:t>
            </w:r>
          </w:p>
        </w:tc>
        <w:tc>
          <w:tcPr>
            <w:tcW w:w="158" w:type="pct"/>
          </w:tcPr>
          <w:p w:rsidR="00420374" w:rsidRPr="00E52143" w:rsidP="00937056" w14:paraId="2BF81D8C" w14:textId="77777777">
            <w:pPr>
              <w:pStyle w:val="732021"/>
              <w:spacing w:before="0"/>
              <w:rPr>
                <w:rtl/>
              </w:rPr>
            </w:pPr>
          </w:p>
        </w:tc>
        <w:tc>
          <w:tcPr>
            <w:tcW w:w="1027" w:type="pct"/>
            <w:tcBorders>
              <w:top w:val="single" w:sz="12" w:space="0" w:color="000000"/>
            </w:tcBorders>
          </w:tcPr>
          <w:p w:rsidR="00420374" w:rsidRPr="00E52143" w:rsidP="000B0C0B" w14:paraId="68924AF7" w14:textId="6F5396D2">
            <w:pPr>
              <w:pStyle w:val="732021"/>
              <w:spacing w:before="0"/>
              <w:rPr>
                <w:rtl/>
              </w:rPr>
            </w:pPr>
            <w:r w:rsidRPr="00D2400F">
              <w:rPr>
                <w:rtl/>
              </w:rPr>
              <w:t xml:space="preserve">מכלי הרכב הפעילים חורגים בגילם ממודל גיל הרכבים שקבע </w:t>
            </w:r>
            <w:r w:rsidRPr="00D2400F">
              <w:rPr>
                <w:rtl/>
              </w:rPr>
              <w:t>המינהל</w:t>
            </w:r>
            <w:r w:rsidRPr="00D2400F">
              <w:rPr>
                <w:rtl/>
              </w:rPr>
              <w:t xml:space="preserve"> (יותר מ-2,000 רכבים מתוך כ- 5,200 רכבים פעילים</w:t>
            </w:r>
            <w:r w:rsidRPr="000B0C0B">
              <w:rPr>
                <w:rtl/>
              </w:rPr>
              <w:t>)</w:t>
            </w:r>
            <w:r>
              <w:rPr>
                <w:vertAlign w:val="superscript"/>
                <w:rtl/>
              </w:rPr>
              <w:footnoteReference w:id="3"/>
            </w:r>
          </w:p>
        </w:tc>
        <w:tc>
          <w:tcPr>
            <w:tcW w:w="157" w:type="pct"/>
          </w:tcPr>
          <w:p w:rsidR="00420374" w:rsidRPr="00E52143" w:rsidP="00937056" w14:paraId="4F52CE08" w14:textId="77777777">
            <w:pPr>
              <w:pStyle w:val="732021"/>
              <w:spacing w:before="0"/>
              <w:rPr>
                <w:rtl/>
              </w:rPr>
            </w:pPr>
          </w:p>
        </w:tc>
        <w:tc>
          <w:tcPr>
            <w:tcW w:w="1294" w:type="pct"/>
            <w:tcBorders>
              <w:top w:val="single" w:sz="12" w:space="0" w:color="000000"/>
            </w:tcBorders>
          </w:tcPr>
          <w:p w:rsidR="00420374" w:rsidRPr="000B0C0B" w:rsidP="00D40232" w14:paraId="203F9568" w14:textId="5631639F">
            <w:pPr>
              <w:pStyle w:val="732021"/>
              <w:spacing w:before="0" w:after="120"/>
              <w:rPr>
                <w:spacing w:val="-6"/>
                <w:rtl/>
              </w:rPr>
            </w:pPr>
            <w:r w:rsidRPr="000B0C0B">
              <w:rPr>
                <w:spacing w:val="-6"/>
                <w:rtl/>
              </w:rPr>
              <w:t>פוטנציאל הכנסה חד-פעמית שיכול להיווצר ממעבר של צי רכבי הנוסעים לשיטת הליסינג. מקורות סכום זה הם מכירת צי רכבי הנוסעים של המדינה, העברת כספי קרן החידוש שנצברו בגינם לאוצר המדינה וצמצום כריות הביטחון שבחברת ענבל חברה לביטוח בע"</w:t>
            </w:r>
            <w:r w:rsidRPr="000B0C0B">
              <w:rPr>
                <w:rFonts w:hint="cs"/>
                <w:spacing w:val="-6"/>
                <w:rtl/>
              </w:rPr>
              <w:t>מ</w:t>
            </w:r>
          </w:p>
        </w:tc>
        <w:tc>
          <w:tcPr>
            <w:tcW w:w="157" w:type="pct"/>
          </w:tcPr>
          <w:p w:rsidR="00420374" w:rsidRPr="00E52143" w:rsidP="00937056" w14:paraId="42538096" w14:textId="77777777">
            <w:pPr>
              <w:pStyle w:val="732021"/>
              <w:spacing w:before="0"/>
              <w:rPr>
                <w:rtl/>
              </w:rPr>
            </w:pPr>
          </w:p>
        </w:tc>
        <w:tc>
          <w:tcPr>
            <w:tcW w:w="1065" w:type="pct"/>
            <w:tcBorders>
              <w:top w:val="single" w:sz="12" w:space="0" w:color="000000"/>
            </w:tcBorders>
          </w:tcPr>
          <w:p w:rsidR="00420374" w:rsidRPr="00E52143" w:rsidP="00937056" w14:paraId="1878D11D" w14:textId="1352B54B">
            <w:pPr>
              <w:pStyle w:val="732021"/>
              <w:spacing w:before="0"/>
              <w:rPr>
                <w:rtl/>
              </w:rPr>
            </w:pPr>
            <w:r w:rsidRPr="00D2400F">
              <w:rPr>
                <w:rtl/>
              </w:rPr>
              <w:t xml:space="preserve">אומדן משרד מבקר המדינה לחיסכון הכספי השנתי הפוטנציאלי שבין שיטת </w:t>
            </w:r>
            <w:r w:rsidRPr="00D2400F">
              <w:rPr>
                <w:rtl/>
              </w:rPr>
              <w:t>מינהל</w:t>
            </w:r>
            <w:r w:rsidRPr="00D2400F">
              <w:rPr>
                <w:rtl/>
              </w:rPr>
              <w:t xml:space="preserve"> הרכב לחלופת הליסינג, הנובע משיפור ברמת השירות והקטנת גיל הרכבים</w:t>
            </w:r>
            <w:r>
              <w:rPr>
                <w:vertAlign w:val="superscript"/>
                <w:rtl/>
              </w:rPr>
              <w:footnoteReference w:id="4"/>
            </w:r>
          </w:p>
        </w:tc>
      </w:tr>
      <w:tr w14:paraId="1BD5A20C" w14:textId="77777777" w:rsidTr="007472C4">
        <w:tblPrEx>
          <w:tblW w:w="5055" w:type="pct"/>
          <w:tblLook w:val="04A0"/>
        </w:tblPrEx>
        <w:tc>
          <w:tcPr>
            <w:tcW w:w="1141" w:type="pct"/>
            <w:tcBorders>
              <w:bottom w:val="single" w:sz="12" w:space="0" w:color="000000"/>
            </w:tcBorders>
            <w:vAlign w:val="bottom"/>
          </w:tcPr>
          <w:p w:rsidR="00420374" w:rsidRPr="00411396" w:rsidP="007472C4" w14:paraId="500D3B50" w14:textId="412F6016">
            <w:pPr>
              <w:spacing w:after="60"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3 </w:t>
            </w:r>
            <w:r w:rsidRPr="000B0C0B">
              <w:rPr>
                <w:rFonts w:ascii="Tahoma" w:hAnsi="Tahoma" w:eastAsiaTheme="minorEastAsia" w:cs="Tahoma" w:hint="cs"/>
                <w:b/>
                <w:bCs/>
                <w:color w:val="0D0D0D" w:themeColor="text1" w:themeTint="F2"/>
                <w:spacing w:val="-10"/>
                <w:sz w:val="26"/>
                <w:szCs w:val="26"/>
                <w:rtl/>
              </w:rPr>
              <w:t>קציני בטיחות רכב בלבד</w:t>
            </w:r>
          </w:p>
        </w:tc>
        <w:tc>
          <w:tcPr>
            <w:tcW w:w="158" w:type="pct"/>
            <w:vAlign w:val="bottom"/>
          </w:tcPr>
          <w:p w:rsidR="00420374" w:rsidRPr="00E52143" w:rsidP="007472C4"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27" w:type="pct"/>
            <w:tcBorders>
              <w:bottom w:val="single" w:sz="12" w:space="0" w:color="000000"/>
            </w:tcBorders>
            <w:vAlign w:val="bottom"/>
          </w:tcPr>
          <w:p w:rsidR="00420374" w:rsidRPr="008D750B" w:rsidP="007472C4" w14:paraId="48896DF7" w14:textId="67601F17">
            <w:pPr>
              <w:pStyle w:val="2021"/>
              <w:spacing w:before="0" w:after="60"/>
              <w:rPr>
                <w:spacing w:val="-10"/>
                <w:rtl/>
              </w:rPr>
            </w:pPr>
            <w:r>
              <w:rPr>
                <w:rFonts w:hint="cs"/>
                <w:spacing w:val="-10"/>
                <w:rtl/>
              </w:rPr>
              <w:t xml:space="preserve">371 </w:t>
            </w:r>
            <w:r w:rsidRPr="000B0C0B">
              <w:rPr>
                <w:rFonts w:hint="cs"/>
                <w:spacing w:val="-10"/>
                <w:sz w:val="26"/>
                <w:szCs w:val="26"/>
                <w:rtl/>
              </w:rPr>
              <w:t>מלש״ח</w:t>
            </w:r>
          </w:p>
        </w:tc>
        <w:tc>
          <w:tcPr>
            <w:tcW w:w="157" w:type="pct"/>
            <w:vAlign w:val="bottom"/>
          </w:tcPr>
          <w:p w:rsidR="00420374" w:rsidP="007472C4" w14:paraId="5B4C8A80" w14:textId="77777777">
            <w:pPr>
              <w:spacing w:after="60" w:line="240" w:lineRule="auto"/>
              <w:jc w:val="left"/>
              <w:rPr>
                <w:rtl/>
              </w:rPr>
            </w:pPr>
          </w:p>
        </w:tc>
        <w:tc>
          <w:tcPr>
            <w:tcW w:w="1294" w:type="pct"/>
            <w:tcBorders>
              <w:bottom w:val="single" w:sz="12" w:space="0" w:color="000000"/>
            </w:tcBorders>
            <w:vAlign w:val="bottom"/>
          </w:tcPr>
          <w:p w:rsidR="00420374" w:rsidRPr="0062456C" w:rsidP="007472C4" w14:paraId="226A2E50" w14:textId="4B2E5FA7">
            <w:pPr>
              <w:spacing w:after="60" w:line="192"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2.6 </w:t>
            </w:r>
            <w:r w:rsidRPr="000B0C0B">
              <w:rPr>
                <w:rFonts w:ascii="Tahoma" w:hAnsi="Tahoma" w:eastAsiaTheme="minorEastAsia" w:cs="Tahoma" w:hint="cs"/>
                <w:b/>
                <w:bCs/>
                <w:color w:val="0D0D0D" w:themeColor="text1" w:themeTint="F2"/>
                <w:spacing w:val="-10"/>
                <w:sz w:val="26"/>
                <w:szCs w:val="26"/>
                <w:rtl/>
              </w:rPr>
              <w:t>ו-</w:t>
            </w:r>
            <w:r>
              <w:rPr>
                <w:rFonts w:ascii="Tahoma" w:hAnsi="Tahoma" w:eastAsiaTheme="minorEastAsia" w:cs="Tahoma" w:hint="cs"/>
                <w:b/>
                <w:bCs/>
                <w:color w:val="0D0D0D" w:themeColor="text1" w:themeTint="F2"/>
                <w:spacing w:val="-10"/>
                <w:sz w:val="36"/>
                <w:szCs w:val="36"/>
                <w:rtl/>
              </w:rPr>
              <w:t xml:space="preserve">2.9 </w:t>
            </w:r>
            <w:r w:rsidRPr="000B0C0B">
              <w:rPr>
                <w:rFonts w:ascii="Tahoma" w:hAnsi="Tahoma" w:eastAsiaTheme="minorEastAsia" w:cs="Tahoma" w:hint="cs"/>
                <w:b/>
                <w:bCs/>
                <w:color w:val="0D0D0D" w:themeColor="text1" w:themeTint="F2"/>
                <w:spacing w:val="-10"/>
                <w:sz w:val="26"/>
                <w:szCs w:val="26"/>
                <w:rtl/>
              </w:rPr>
              <w:t>(מתוך 5)</w:t>
            </w:r>
          </w:p>
        </w:tc>
        <w:tc>
          <w:tcPr>
            <w:tcW w:w="157" w:type="pct"/>
          </w:tcPr>
          <w:p w:rsidR="00420374" w:rsidP="007472C4"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065" w:type="pct"/>
            <w:tcBorders>
              <w:bottom w:val="single" w:sz="12" w:space="0" w:color="000000"/>
            </w:tcBorders>
            <w:vAlign w:val="bottom"/>
          </w:tcPr>
          <w:p w:rsidR="00420374" w:rsidP="007472C4" w14:paraId="5AEEF263" w14:textId="3009C644">
            <w:pPr>
              <w:spacing w:after="60"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2</w:t>
            </w:r>
            <w:r w:rsidR="000B0C0B">
              <w:rPr>
                <w:rFonts w:ascii="Tahoma" w:hAnsi="Tahoma" w:eastAsiaTheme="minorEastAsia" w:cs="Tahoma" w:hint="cs"/>
                <w:b/>
                <w:bCs/>
                <w:color w:val="0D0D0D" w:themeColor="text1" w:themeTint="F2"/>
                <w:spacing w:val="-10"/>
                <w:sz w:val="36"/>
                <w:szCs w:val="36"/>
                <w:rtl/>
              </w:rPr>
              <w:t xml:space="preserve">46,000 </w:t>
            </w:r>
            <w:r w:rsidRPr="000B0C0B" w:rsidR="000B0C0B">
              <w:rPr>
                <w:rFonts w:ascii="Tahoma" w:hAnsi="Tahoma" w:eastAsiaTheme="minorEastAsia" w:cs="Tahoma" w:hint="cs"/>
                <w:b/>
                <w:bCs/>
                <w:color w:val="0D0D0D" w:themeColor="text1" w:themeTint="F2"/>
                <w:spacing w:val="-10"/>
                <w:sz w:val="26"/>
                <w:szCs w:val="26"/>
                <w:rtl/>
              </w:rPr>
              <w:t>ש״ח</w:t>
            </w:r>
          </w:p>
        </w:tc>
      </w:tr>
      <w:tr w14:paraId="54154FA5" w14:textId="77777777" w:rsidTr="007472C4">
        <w:tblPrEx>
          <w:tblW w:w="5055" w:type="pct"/>
          <w:tblLook w:val="04A0"/>
        </w:tblPrEx>
        <w:tc>
          <w:tcPr>
            <w:tcW w:w="1141" w:type="pct"/>
            <w:tcBorders>
              <w:top w:val="single" w:sz="12" w:space="0" w:color="000000"/>
            </w:tcBorders>
          </w:tcPr>
          <w:p w:rsidR="00420374" w:rsidRPr="004562F8" w:rsidP="00937056" w14:paraId="6DB67748" w14:textId="31D18F6C">
            <w:pPr>
              <w:pStyle w:val="732021"/>
              <w:spacing w:before="0" w:after="0"/>
              <w:rPr>
                <w:rtl/>
              </w:rPr>
            </w:pPr>
            <w:r w:rsidRPr="00D2400F">
              <w:rPr>
                <w:rtl/>
              </w:rPr>
              <w:t xml:space="preserve">אחראים על כ-4,500 כלי רכב המשמשים כ-12,000 נהגים ובכללם כ-480 אוטובוסים ורכבי משא כבדים ובינוניים. בשנים 2018 - 2021 </w:t>
            </w:r>
            <w:r w:rsidRPr="00D2400F">
              <w:rPr>
                <w:rtl/>
              </w:rPr>
              <w:t>המינהל</w:t>
            </w:r>
            <w:r w:rsidRPr="00D2400F">
              <w:rPr>
                <w:rtl/>
              </w:rPr>
              <w:t xml:space="preserve"> לא ביצע ביקורות שנתיות בתחומי הבטיחות והתקינה</w:t>
            </w:r>
          </w:p>
        </w:tc>
        <w:tc>
          <w:tcPr>
            <w:tcW w:w="158" w:type="pct"/>
          </w:tcPr>
          <w:p w:rsidR="00420374" w:rsidRPr="008D750B" w:rsidP="00937056" w14:paraId="0C0AE598" w14:textId="77777777">
            <w:pPr>
              <w:pStyle w:val="732021"/>
              <w:spacing w:before="0" w:after="0"/>
              <w:rPr>
                <w:rtl/>
              </w:rPr>
            </w:pPr>
          </w:p>
        </w:tc>
        <w:tc>
          <w:tcPr>
            <w:tcW w:w="1027" w:type="pct"/>
            <w:tcBorders>
              <w:top w:val="single" w:sz="12" w:space="0" w:color="000000"/>
            </w:tcBorders>
          </w:tcPr>
          <w:p w:rsidR="00420374" w:rsidRPr="004562F8" w:rsidP="00937056" w14:paraId="1916A301" w14:textId="2127C7BF">
            <w:pPr>
              <w:pStyle w:val="732021"/>
              <w:spacing w:before="0" w:after="0"/>
              <w:rPr>
                <w:rtl/>
              </w:rPr>
            </w:pPr>
            <w:r w:rsidRPr="00D2400F">
              <w:rPr>
                <w:rtl/>
              </w:rPr>
              <w:t>הפער הלא מוסבר, נכון לינואר 2022, שבין ההון הקיים בקרן החידוש</w:t>
            </w:r>
            <w:r>
              <w:rPr>
                <w:vertAlign w:val="superscript"/>
                <w:rtl/>
              </w:rPr>
              <w:footnoteReference w:id="5"/>
            </w:r>
            <w:r w:rsidRPr="00D2400F">
              <w:rPr>
                <w:rtl/>
              </w:rPr>
              <w:t xml:space="preserve"> (בהתאם לדוחות הכספיים) להתחייבויות הקרן כלפי משרדי הממשלה (בהתאם לנתוני מערכת </w:t>
            </w:r>
            <w:r w:rsidRPr="00D2400F">
              <w:rPr>
                <w:rtl/>
              </w:rPr>
              <w:t>מרכב"ה</w:t>
            </w:r>
            <w:r w:rsidRPr="00D2400F">
              <w:rPr>
                <w:rtl/>
              </w:rPr>
              <w:t>)</w:t>
            </w:r>
          </w:p>
        </w:tc>
        <w:tc>
          <w:tcPr>
            <w:tcW w:w="157" w:type="pct"/>
          </w:tcPr>
          <w:p w:rsidR="00420374" w:rsidP="00937056" w14:paraId="14782C57" w14:textId="77777777">
            <w:pPr>
              <w:pStyle w:val="732021"/>
              <w:spacing w:before="0" w:after="0"/>
              <w:rPr>
                <w:rtl/>
              </w:rPr>
            </w:pPr>
          </w:p>
        </w:tc>
        <w:tc>
          <w:tcPr>
            <w:tcW w:w="1294" w:type="pct"/>
            <w:tcBorders>
              <w:top w:val="single" w:sz="12" w:space="0" w:color="000000"/>
            </w:tcBorders>
          </w:tcPr>
          <w:p w:rsidR="00420374" w:rsidRPr="000B0C0B" w:rsidP="00937056" w14:paraId="6149CA50" w14:textId="1E8AE9DB">
            <w:pPr>
              <w:pStyle w:val="732021"/>
              <w:spacing w:before="0" w:after="0"/>
              <w:rPr>
                <w:spacing w:val="-8"/>
                <w:rtl/>
              </w:rPr>
            </w:pPr>
            <w:r w:rsidRPr="000B0C0B">
              <w:rPr>
                <w:spacing w:val="-8"/>
                <w:rtl/>
              </w:rPr>
              <w:t>התחומים שבהם שביעות הרצון של המשרדים היא הנמוכה ביותר, בהתאם לשאלון שביעות רצון ששלח משרד מבקר המדינה. ציונים אלה ניתנו על משך הזמן לקבלת המענה מוועדת ההצמדות, ועל השקיפות והבהירות של ההתחשבנות התקציבית (בהתאמה)</w:t>
            </w:r>
          </w:p>
        </w:tc>
        <w:tc>
          <w:tcPr>
            <w:tcW w:w="157" w:type="pct"/>
          </w:tcPr>
          <w:p w:rsidR="00420374" w:rsidRPr="00C92141" w:rsidP="00937056" w14:paraId="66E34E8E" w14:textId="77777777">
            <w:pPr>
              <w:pStyle w:val="732021"/>
              <w:spacing w:before="0" w:after="0"/>
              <w:rPr>
                <w:rtl/>
              </w:rPr>
            </w:pPr>
          </w:p>
        </w:tc>
        <w:tc>
          <w:tcPr>
            <w:tcW w:w="1065" w:type="pct"/>
            <w:tcBorders>
              <w:top w:val="single" w:sz="12" w:space="0" w:color="000000"/>
            </w:tcBorders>
          </w:tcPr>
          <w:p w:rsidR="00420374" w:rsidRPr="00C92141" w:rsidP="00937056" w14:paraId="39498237" w14:textId="7C171265">
            <w:pPr>
              <w:pStyle w:val="732021"/>
              <w:spacing w:before="0" w:after="0"/>
              <w:rPr>
                <w:rtl/>
              </w:rPr>
            </w:pPr>
            <w:r w:rsidRPr="00D2400F">
              <w:rPr>
                <w:rtl/>
              </w:rPr>
              <w:t>סך הקנסות בגין 202 דוחות תנועה שניתנו לרכבים ממשלתיים ולא הוסבו לנהגים שביצעו את העבירות, אלא שולמו על ידי משרדי הממשלה (בשנים 2019 - 2021)</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420374" w:rsidP="00420374" w14:paraId="0AF4CED3" w14:textId="7E853EC4">
      <w:pPr>
        <w:pStyle w:val="7317"/>
        <w:rPr>
          <w:rtl/>
        </w:rPr>
      </w:pPr>
      <w:r w:rsidRPr="001F3363">
        <w:rPr>
          <w:noProof/>
        </w:rPr>
        <w:drawing>
          <wp:anchor distT="0" distB="0" distL="114300" distR="114300" simplePos="0" relativeHeight="251683840"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00F" w:rsidR="000B0C0B">
        <w:rPr>
          <w:rtl/>
        </w:rPr>
        <w:t xml:space="preserve">בחודשים אפריל 2021 - ינואר 2022 בדק משרד מבקר המדינה את אופן ניהולו והפעלתו של צי הרכב הממשלתי. עיקר הבדיקה נעשתה </w:t>
      </w:r>
      <w:r w:rsidRPr="00D2400F" w:rsidR="000B0C0B">
        <w:rPr>
          <w:rtl/>
        </w:rPr>
        <w:t>במינהל</w:t>
      </w:r>
      <w:r w:rsidRPr="00D2400F" w:rsidR="000B0C0B">
        <w:rPr>
          <w:rtl/>
        </w:rPr>
        <w:t xml:space="preserve"> הרכב שבאגף </w:t>
      </w:r>
      <w:r w:rsidRPr="00D2400F" w:rsidR="000B0C0B">
        <w:rPr>
          <w:rtl/>
        </w:rPr>
        <w:t>החשכ"ל</w:t>
      </w:r>
      <w:r w:rsidRPr="00D2400F" w:rsidR="000B0C0B">
        <w:rPr>
          <w:rtl/>
        </w:rPr>
        <w:t xml:space="preserve">. בדיקות השלמה נעשו בחברת ענבל, </w:t>
      </w:r>
      <w:r w:rsidRPr="00D2400F" w:rsidR="000B0C0B">
        <w:rPr>
          <w:rtl/>
        </w:rPr>
        <w:t>במינהל</w:t>
      </w:r>
      <w:r w:rsidRPr="00D2400F" w:rsidR="000B0C0B">
        <w:rPr>
          <w:rtl/>
        </w:rPr>
        <w:t xml:space="preserve"> הדיור הממשלתי שבאגף </w:t>
      </w:r>
      <w:r w:rsidRPr="00D2400F" w:rsidR="000B0C0B">
        <w:rPr>
          <w:rtl/>
        </w:rPr>
        <w:t>החשכ"ל</w:t>
      </w:r>
      <w:r w:rsidRPr="00D2400F" w:rsidR="000B0C0B">
        <w:rPr>
          <w:rtl/>
        </w:rPr>
        <w:t>, באגף התקציבים במשרד האוצר (</w:t>
      </w:r>
      <w:r w:rsidRPr="00D2400F" w:rsidR="000B0C0B">
        <w:rPr>
          <w:rtl/>
        </w:rPr>
        <w:t>אג"ת</w:t>
      </w:r>
      <w:r w:rsidRPr="00D2400F" w:rsidR="000B0C0B">
        <w:rPr>
          <w:rtl/>
        </w:rPr>
        <w:t>) וברשות הארצית לכבאות והצלה. במסגרת הבדיקה נשלחו שאלונים ל-35 משרדי ממשלה שונים</w:t>
      </w:r>
      <w:r w:rsidR="000B0C0B">
        <w:rPr>
          <w:rFonts w:hint="cs"/>
          <w:rtl/>
        </w:rPr>
        <w:t>.</w:t>
      </w:r>
      <w:r w:rsidRPr="0062254D">
        <w:rPr>
          <w:rFonts w:hint="cs"/>
          <w:rtl/>
        </w:rPr>
        <w:t xml:space="preserve"> </w:t>
      </w:r>
      <w:r w:rsidRPr="001F3363">
        <w:rPr>
          <w:rFonts w:hint="cs"/>
          <w:rtl/>
        </w:rPr>
        <w:t xml:space="preserve"> </w:t>
      </w:r>
    </w:p>
    <w:p w:rsidR="002753C7" w:rsidRPr="00662020" w:rsidP="002753C7" w14:paraId="690F076D" w14:textId="575492BC">
      <w:pPr>
        <w:pStyle w:val="7327"/>
        <w:rPr>
          <w:rtl/>
        </w:rPr>
      </w:pPr>
      <w:r w:rsidRPr="00662020">
        <w:rPr>
          <w:rFonts w:hint="cs"/>
          <w:rtl/>
        </w:rPr>
        <w:t>תמונת המצב העולה מן הביקורת</w:t>
      </w:r>
    </w:p>
    <w:p w:rsidR="002753C7" w:rsidRPr="001F3363" w:rsidP="00420374" w14:paraId="0B2F822B" w14:textId="5DD81FFD">
      <w:pPr>
        <w:pStyle w:val="7317"/>
        <w:rPr>
          <w:rtl/>
        </w:rPr>
      </w:pPr>
      <w:r w:rsidRPr="00362C00">
        <w:rPr>
          <w:noProof/>
          <w:rtl/>
        </w:rPr>
        <w:drawing>
          <wp:anchor distT="0" distB="0" distL="114300" distR="114300" simplePos="0" relativeHeight="251699200" behindDoc="0" locked="0" layoutInCell="1" allowOverlap="1">
            <wp:simplePos x="0" y="0"/>
            <wp:positionH relativeFrom="column">
              <wp:posOffset>2578735</wp:posOffset>
            </wp:positionH>
            <wp:positionV relativeFrom="paragraph">
              <wp:posOffset>48394</wp:posOffset>
            </wp:positionV>
            <wp:extent cx="2101215" cy="172085"/>
            <wp:effectExtent l="0" t="0" r="0" b="5715"/>
            <wp:wrapSquare wrapText="bothSides"/>
            <wp:docPr id="6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034C80" w14:paraId="18555822" w14:textId="6B8A4EC9">
      <w:pPr>
        <w:pStyle w:val="7392"/>
        <w:spacing w:before="360"/>
        <w:ind w:left="424"/>
        <w:rPr>
          <w:rtl/>
        </w:rPr>
      </w:pPr>
      <w:r w:rsidRPr="00B02658">
        <w:rPr>
          <w:rFonts w:hint="cs"/>
          <w:b/>
          <w:bCs/>
          <w:noProof/>
          <w:rtl/>
        </w:rPr>
        <w:drawing>
          <wp:anchor distT="0" distB="720090" distL="114300" distR="114300" simplePos="0" relativeHeight="251692032" behindDoc="1" locked="0" layoutInCell="1" allowOverlap="1">
            <wp:simplePos x="0" y="0"/>
            <wp:positionH relativeFrom="column">
              <wp:posOffset>4526280</wp:posOffset>
            </wp:positionH>
            <wp:positionV relativeFrom="paragraph">
              <wp:posOffset>155103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B0C0B" w:rsidR="000B0C0B">
        <w:rPr>
          <w:b/>
          <w:bCs/>
          <w:rtl/>
        </w:rPr>
        <w:t>זמן המתנה לדיון בוועדת ההצמדות</w:t>
      </w:r>
      <w:r w:rsidRPr="00D2400F" w:rsidR="000B0C0B">
        <w:rPr>
          <w:rtl/>
        </w:rPr>
        <w:t xml:space="preserve"> - ועדת ההצמדות ממונה על ידי שר האוצר, ותפקידה לדון בתקנים להצמדת רכבים לבעלי תפקידים במשרדי הממשלה ולאשרם. בשנים 2018 - 2021 נדונו בוועדה כ-450 בקשות בממוצע בכל שנה ומספר ימי ההמתנה לדיון בבקשות נמצא במגמת עלייה והגיע ל-56 ימים בממוצע בשנת 2021. נמצא כי קיימת הלימה שלילית בין מספר ישיבות הוועדה בשנה למספר ימי ההמתנה לוועדה, ושוועדת ההצמדות אינה מגדילה את היקף הישיבות בהתאם למספר הבקשות הממתינות או למשך ההמתנה של המשרדים לדיון בהן</w:t>
      </w:r>
      <w:r w:rsidRPr="0093709F">
        <w:rPr>
          <w:rtl/>
        </w:rPr>
        <w:t>.</w:t>
      </w:r>
    </w:p>
    <w:p w:rsidR="00420374" w:rsidRPr="0093709F" w:rsidP="00034C80" w14:paraId="1D22E15A" w14:textId="5F0ABCC5">
      <w:pPr>
        <w:pStyle w:val="7392"/>
        <w:ind w:left="424"/>
      </w:pPr>
      <w:r w:rsidRPr="00B02658">
        <w:rPr>
          <w:rFonts w:hint="cs"/>
          <w:b/>
          <w:bCs/>
          <w:noProof/>
          <w:rtl/>
        </w:rPr>
        <w:drawing>
          <wp:anchor distT="0" distB="720090" distL="114300" distR="114300" simplePos="0" relativeHeight="251691008" behindDoc="1" locked="0" layoutInCell="1" allowOverlap="1">
            <wp:simplePos x="0" y="0"/>
            <wp:positionH relativeFrom="column">
              <wp:posOffset>4526280</wp:posOffset>
            </wp:positionH>
            <wp:positionV relativeFrom="paragraph">
              <wp:posOffset>52705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B0C0B" w:rsidR="000B0C0B">
        <w:rPr>
          <w:b/>
          <w:bCs/>
          <w:rtl/>
        </w:rPr>
        <w:t xml:space="preserve">השוואה בין הוצאות המדינה בגין תשלום החזקת רכב לעובדי המדינה לבין עלות הרכבים </w:t>
      </w:r>
      <w:r w:rsidRPr="000B0C0B" w:rsidR="000B0C0B">
        <w:rPr>
          <w:b/>
          <w:bCs/>
          <w:rtl/>
        </w:rPr>
        <w:t>במינהל</w:t>
      </w:r>
      <w:r w:rsidRPr="000B0C0B" w:rsidR="000B0C0B">
        <w:rPr>
          <w:b/>
          <w:bCs/>
          <w:rtl/>
        </w:rPr>
        <w:t xml:space="preserve"> הרכב</w:t>
      </w:r>
      <w:r w:rsidRPr="00D2400F" w:rsidR="000B0C0B">
        <w:rPr>
          <w:rtl/>
        </w:rPr>
        <w:t xml:space="preserve"> - ועדת ההצמדות אינה מבצעת השוואה בין עלות מתן רכבים צמודים לעובדי המדינה לעומת החלופה של תשלום עלות החזקת הרכב בשכר העובדים. זאת אף שבכל רמת שירות, ובפרט ברמות השירות הגבוהות (ג' וד'), קיימים כמה סוגי רכבים שעלותם החודשית נמוכה מעלות תשלום רכיב השכר בגין החזקת רכב ביותר מ-1,000 ש"ח לחודש</w:t>
      </w:r>
      <w:r w:rsidRPr="0093709F">
        <w:rPr>
          <w:rFonts w:hint="cs"/>
          <w:rtl/>
        </w:rPr>
        <w:t xml:space="preserve">. </w:t>
      </w:r>
    </w:p>
    <w:p w:rsidR="00420374" w:rsidRPr="0093709F" w:rsidP="00034C80" w14:paraId="5E2BFABB" w14:textId="69D5F7D5">
      <w:pPr>
        <w:pStyle w:val="7392"/>
        <w:ind w:left="424"/>
        <w:rPr>
          <w:rtl/>
        </w:rPr>
      </w:pPr>
      <w:r w:rsidRPr="00B02658">
        <w:rPr>
          <w:rFonts w:hint="cs"/>
          <w:b/>
          <w:bCs/>
          <w:noProof/>
          <w:rtl/>
        </w:rPr>
        <w:drawing>
          <wp:anchor distT="0" distB="720090" distL="114300" distR="114300" simplePos="0" relativeHeight="251689984" behindDoc="1" locked="0" layoutInCell="1" allowOverlap="1">
            <wp:simplePos x="0" y="0"/>
            <wp:positionH relativeFrom="column">
              <wp:posOffset>4526280</wp:posOffset>
            </wp:positionH>
            <wp:positionV relativeFrom="paragraph">
              <wp:posOffset>37628</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B0C0B" w:rsidR="000B0C0B">
        <w:rPr>
          <w:b/>
          <w:bCs/>
          <w:rtl/>
        </w:rPr>
        <w:t xml:space="preserve">גיל רכבי </w:t>
      </w:r>
      <w:r w:rsidRPr="000B0C0B" w:rsidR="000B0C0B">
        <w:rPr>
          <w:b/>
          <w:bCs/>
          <w:rtl/>
        </w:rPr>
        <w:t>המינהל</w:t>
      </w:r>
      <w:r w:rsidRPr="00D2400F" w:rsidR="000B0C0B">
        <w:rPr>
          <w:rtl/>
        </w:rPr>
        <w:t xml:space="preserve"> - צי הרכבים של </w:t>
      </w:r>
      <w:r w:rsidRPr="00D2400F" w:rsidR="000B0C0B">
        <w:rPr>
          <w:rtl/>
        </w:rPr>
        <w:t>מינהל</w:t>
      </w:r>
      <w:r w:rsidRPr="00D2400F" w:rsidR="000B0C0B">
        <w:rPr>
          <w:rtl/>
        </w:rPr>
        <w:t xml:space="preserve"> הרכב מיושן ברובו. ישנם יותר מ-2,000 רכבים (כ-40% מכלי הרכב הפעילים), שיש להחליפם כדי שגיל הרכבים יעמוד במודל גיל הרכבים הרצוי שקבע </w:t>
      </w:r>
      <w:r w:rsidRPr="00D2400F" w:rsidR="000B0C0B">
        <w:rPr>
          <w:rtl/>
        </w:rPr>
        <w:t>המינהל</w:t>
      </w:r>
      <w:r w:rsidRPr="00D2400F" w:rsidR="000B0C0B">
        <w:rPr>
          <w:rtl/>
        </w:rPr>
        <w:t xml:space="preserve">. ממוצע גיל כלל רכבי </w:t>
      </w:r>
      <w:r w:rsidRPr="00D2400F" w:rsidR="000B0C0B">
        <w:rPr>
          <w:rtl/>
        </w:rPr>
        <w:t>המינהל</w:t>
      </w:r>
      <w:r w:rsidRPr="00D2400F" w:rsidR="000B0C0B">
        <w:rPr>
          <w:rtl/>
        </w:rPr>
        <w:t>, נכון לינואר 2022, שש שנים (ממוצע גיל רכבי הנוסעים הוא חמש שנים</w:t>
      </w:r>
      <w:r>
        <w:rPr>
          <w:vertAlign w:val="superscript"/>
          <w:rtl/>
        </w:rPr>
        <w:footnoteReference w:id="6"/>
      </w:r>
      <w:r w:rsidRPr="00D2400F" w:rsidR="000B0C0B">
        <w:rPr>
          <w:rtl/>
        </w:rPr>
        <w:t>). נוסף על כך, יש כ-200 רכבים שגילם נמוך אך הנסועה שלהם גדולה יותר מ-200,000 ק"מ</w:t>
      </w:r>
      <w:r w:rsidRPr="0093709F">
        <w:rPr>
          <w:rFonts w:hint="cs"/>
          <w:rtl/>
        </w:rPr>
        <w:t>.</w:t>
      </w:r>
    </w:p>
    <w:p w:rsidR="00420374" w:rsidRPr="0093709F" w:rsidP="00034C80" w14:paraId="583ECB3F" w14:textId="0D6E51BB">
      <w:pPr>
        <w:pStyle w:val="7392"/>
        <w:ind w:left="424"/>
      </w:pPr>
      <w:r w:rsidRPr="00B02658">
        <w:rPr>
          <w:rFonts w:hint="cs"/>
          <w:b/>
          <w:bCs/>
          <w:noProof/>
          <w:rtl/>
        </w:rPr>
        <w:drawing>
          <wp:anchor distT="0" distB="720090" distL="114300" distR="114300" simplePos="0" relativeHeight="251688960" behindDoc="1" locked="0" layoutInCell="1" allowOverlap="1">
            <wp:simplePos x="0" y="0"/>
            <wp:positionH relativeFrom="column">
              <wp:posOffset>4526280</wp:posOffset>
            </wp:positionH>
            <wp:positionV relativeFrom="paragraph">
              <wp:posOffset>37628</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B0C0B" w:rsidR="000B0C0B">
        <w:rPr>
          <w:b/>
          <w:bCs/>
          <w:rtl/>
        </w:rPr>
        <w:t>רכבים חשמליים</w:t>
      </w:r>
      <w:r w:rsidRPr="00D2400F" w:rsidR="000B0C0B">
        <w:rPr>
          <w:rtl/>
        </w:rPr>
        <w:t xml:space="preserve"> - צי רכבי הנוסעים הפעיל של </w:t>
      </w:r>
      <w:r w:rsidRPr="00D2400F" w:rsidR="000B0C0B">
        <w:rPr>
          <w:rtl/>
        </w:rPr>
        <w:t>מינהל</w:t>
      </w:r>
      <w:r w:rsidRPr="00D2400F" w:rsidR="000B0C0B">
        <w:rPr>
          <w:rtl/>
        </w:rPr>
        <w:t xml:space="preserve"> הרכב מושתת על רכבים מזהמים, ו-75% מרכבי הנוסעים אינם היברידיים או חשמליים. כמו כן, במשרדי הממשלה מותקנות רק שש עמדות טעינה לרכבים חשמליים דבר המקשה לעמוד ביעדים שנקבעו בהחלטות הממשלה בדבר מעבר מלא לרכבים חשמליים משנת 2025</w:t>
      </w:r>
      <w:r w:rsidRPr="0093709F">
        <w:rPr>
          <w:rFonts w:hint="cs"/>
          <w:rtl/>
        </w:rPr>
        <w:t xml:space="preserve">. </w:t>
      </w:r>
    </w:p>
    <w:p w:rsidR="00420374" w:rsidRPr="0093709F" w:rsidP="00034C80" w14:paraId="7C081EA1" w14:textId="6BCCE789">
      <w:pPr>
        <w:pStyle w:val="7392"/>
        <w:ind w:left="424"/>
      </w:pPr>
      <w:r w:rsidRPr="00B02658">
        <w:rPr>
          <w:rFonts w:hint="cs"/>
          <w:b/>
          <w:bCs/>
          <w:noProof/>
          <w:rtl/>
        </w:rPr>
        <w:drawing>
          <wp:anchor distT="0" distB="720090" distL="114300" distR="114300" simplePos="0" relativeHeight="251693056" behindDoc="1" locked="0" layoutInCell="1" allowOverlap="1">
            <wp:simplePos x="0" y="0"/>
            <wp:positionH relativeFrom="column">
              <wp:posOffset>4526280</wp:posOffset>
            </wp:positionH>
            <wp:positionV relativeFrom="paragraph">
              <wp:posOffset>41910</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B0C0B" w:rsidR="000B0C0B">
        <w:rPr>
          <w:b/>
          <w:bCs/>
          <w:rtl/>
        </w:rPr>
        <w:t>בטיחות</w:t>
      </w:r>
      <w:r w:rsidRPr="00D2400F" w:rsidR="000B0C0B">
        <w:rPr>
          <w:rtl/>
        </w:rPr>
        <w:t xml:space="preserve"> - משנת 2018, </w:t>
      </w:r>
      <w:r w:rsidRPr="00D2400F" w:rsidR="000B0C0B">
        <w:rPr>
          <w:rtl/>
        </w:rPr>
        <w:t>מינהל</w:t>
      </w:r>
      <w:r w:rsidRPr="00D2400F" w:rsidR="000B0C0B">
        <w:rPr>
          <w:rtl/>
        </w:rPr>
        <w:t xml:space="preserve"> הרכב לא ביצע ביקורות בתחום הבטיחות במשרדי הממשלה, לא תיחקר תאונות דרכים שבוצעו ברכבי </w:t>
      </w:r>
      <w:r w:rsidRPr="00D2400F" w:rsidR="000B0C0B">
        <w:rPr>
          <w:rtl/>
        </w:rPr>
        <w:t>המינהל</w:t>
      </w:r>
      <w:r w:rsidRPr="00D2400F" w:rsidR="000B0C0B">
        <w:rPr>
          <w:rtl/>
        </w:rPr>
        <w:t xml:space="preserve">, לא גבה השתתפות עצמית מהנהגים לגבי נזק שנגרם מנהיגה רשלנית וכן לא בדק תלונות שהתקבלו בגין נהיגה חריגה ברכבי </w:t>
      </w:r>
      <w:r w:rsidRPr="00D2400F" w:rsidR="000B0C0B">
        <w:rPr>
          <w:rtl/>
        </w:rPr>
        <w:t>המינהל</w:t>
      </w:r>
      <w:r w:rsidRPr="00D2400F" w:rsidR="000B0C0B">
        <w:rPr>
          <w:rtl/>
        </w:rPr>
        <w:t xml:space="preserve">. במועד סיום הביקורת היו מועסקים </w:t>
      </w:r>
      <w:r w:rsidRPr="00D2400F" w:rsidR="000B0C0B">
        <w:rPr>
          <w:rtl/>
        </w:rPr>
        <w:t>במינהל</w:t>
      </w:r>
      <w:r w:rsidRPr="00D2400F" w:rsidR="000B0C0B">
        <w:rPr>
          <w:rtl/>
        </w:rPr>
        <w:t xml:space="preserve"> הרכב שלושה קציני בטיחות, </w:t>
      </w:r>
      <w:r w:rsidRPr="00D2400F" w:rsidR="000B0C0B">
        <w:rPr>
          <w:rtl/>
        </w:rPr>
        <w:t>והמינהל</w:t>
      </w:r>
      <w:r w:rsidRPr="00D2400F" w:rsidR="000B0C0B">
        <w:rPr>
          <w:rtl/>
        </w:rPr>
        <w:t xml:space="preserve"> לא מינה 9 קציני רכב כאמור בהנחיות משרד התחבורה והבטיחות בדרכים מאפריל ומאי 2021. עקב כך, שלושת קציני הרכב אחראים לכ-4,500 כלי רכב המשמשים כ-12,000 נהגים, ובכללם כ-480 אוטובוסים ורכבי משא כבדים ובינוניים</w:t>
      </w:r>
      <w:r w:rsidRPr="0093709F">
        <w:rPr>
          <w:rFonts w:hint="cs"/>
          <w:rtl/>
        </w:rPr>
        <w:t xml:space="preserve">. </w:t>
      </w:r>
    </w:p>
    <w:p w:rsidR="00420374" w:rsidRPr="0093709F" w:rsidP="00034C80" w14:paraId="5E8BF229" w14:textId="35366FD0">
      <w:pPr>
        <w:pStyle w:val="7392"/>
        <w:ind w:left="424"/>
        <w:rPr>
          <w:rtl/>
        </w:rPr>
      </w:pPr>
      <w:r w:rsidRPr="00B02658">
        <w:rPr>
          <w:rFonts w:hint="cs"/>
          <w:b/>
          <w:bCs/>
          <w:noProof/>
          <w:rtl/>
        </w:rPr>
        <w:drawing>
          <wp:anchor distT="0" distB="720090" distL="114300" distR="114300" simplePos="0" relativeHeight="251694080" behindDoc="1" locked="0" layoutInCell="1" allowOverlap="1">
            <wp:simplePos x="0" y="0"/>
            <wp:positionH relativeFrom="column">
              <wp:posOffset>4526280</wp:posOffset>
            </wp:positionH>
            <wp:positionV relativeFrom="paragraph">
              <wp:posOffset>38735</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B0C0B" w:rsidR="000B0C0B">
        <w:rPr>
          <w:b/>
          <w:bCs/>
          <w:rtl/>
        </w:rPr>
        <w:t>תחזוקת כלי הרכב</w:t>
      </w:r>
      <w:r w:rsidRPr="00D2400F" w:rsidR="000B0C0B">
        <w:rPr>
          <w:rtl/>
        </w:rPr>
        <w:t xml:space="preserve"> - בהתאם לתוצאות שאלון מבקר המדינה, רמת שביעות הרצון של משרדי הממשלה והנהגים מאיכות השירות של מוקד השירות ומהטיפולים במוסכים עמדה הייתה 3.5 (מתוך 5). עוד עלה כי הגם </w:t>
      </w:r>
      <w:r w:rsidRPr="00D2400F" w:rsidR="000B0C0B">
        <w:rPr>
          <w:rtl/>
        </w:rPr>
        <w:t>שמינהל</w:t>
      </w:r>
      <w:r w:rsidRPr="00D2400F" w:rsidR="000B0C0B">
        <w:rPr>
          <w:rtl/>
        </w:rPr>
        <w:t xml:space="preserve"> הרכב פועל משנת 2018 להסדרת אמנת שירות מול חברת ענבל והמוסכים, ואולם עד כה לא הוסדר הסכם מחייב בין חברת ענבל </w:t>
      </w:r>
      <w:r w:rsidRPr="00D2400F" w:rsidR="000B0C0B">
        <w:rPr>
          <w:rtl/>
        </w:rPr>
        <w:t>למינהל</w:t>
      </w:r>
      <w:r w:rsidRPr="00D2400F" w:rsidR="000B0C0B">
        <w:rPr>
          <w:rtl/>
        </w:rPr>
        <w:t xml:space="preserve"> הרכב, הכולל</w:t>
      </w:r>
      <w:r w:rsidRPr="00D2400F" w:rsidR="000B0C0B">
        <w:t xml:space="preserve"> </w:t>
      </w:r>
      <w:r w:rsidRPr="00D2400F" w:rsidR="000B0C0B">
        <w:rPr>
          <w:rtl/>
        </w:rPr>
        <w:t>נורמות שירות בתחום תחזוקת כלי הרכב ותיקון תאונות</w:t>
      </w:r>
      <w:r w:rsidRPr="0093709F">
        <w:rPr>
          <w:rFonts w:hint="cs"/>
          <w:rtl/>
        </w:rPr>
        <w:t>.</w:t>
      </w:r>
    </w:p>
    <w:p w:rsidR="000B0C0B" w:rsidP="00034C80" w14:paraId="7D7E71B7" w14:textId="1C760D57">
      <w:pPr>
        <w:pStyle w:val="7392"/>
        <w:ind w:left="424"/>
        <w:rPr>
          <w:noProof/>
        </w:rPr>
      </w:pPr>
      <w:r w:rsidRPr="00B02658">
        <w:rPr>
          <w:rFonts w:hint="cs"/>
          <w:b/>
          <w:bCs/>
          <w:noProof/>
          <w:rtl/>
        </w:rPr>
        <w:drawing>
          <wp:anchor distT="0" distB="720090" distL="114300" distR="114300" simplePos="0" relativeHeight="251695104" behindDoc="1" locked="0" layoutInCell="1" allowOverlap="1">
            <wp:simplePos x="0" y="0"/>
            <wp:positionH relativeFrom="column">
              <wp:posOffset>4526280</wp:posOffset>
            </wp:positionH>
            <wp:positionV relativeFrom="paragraph">
              <wp:posOffset>29845</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5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B0C0B">
        <w:rPr>
          <w:b/>
          <w:bCs/>
          <w:rtl/>
        </w:rPr>
        <w:t>מכירת כלי רכב</w:t>
      </w:r>
      <w:r w:rsidRPr="00D2400F">
        <w:rPr>
          <w:rtl/>
        </w:rPr>
        <w:t xml:space="preserve"> - בשנים 2018 - 2020 נמכרו 3,411 כלי רכב ל-535 רוכשים שזכו במכרזי </w:t>
      </w:r>
      <w:r w:rsidRPr="00D2400F">
        <w:rPr>
          <w:rtl/>
        </w:rPr>
        <w:t>מינהל</w:t>
      </w:r>
      <w:r w:rsidRPr="00D2400F">
        <w:rPr>
          <w:rtl/>
        </w:rPr>
        <w:t xml:space="preserve"> הרכב, בתמורה כוללת של כ-138 מיליון ש"ח, דהיינו כ-40,000 ש"ח לרכב בממוצע. נמצא כי סוחרי רכבים רכשו 92% מהרכבים שנמכרו במכרז וכי 16 סוחרים גדולים (3% מסך המציעים) רכשו 34% מסך הרכבים של </w:t>
      </w:r>
      <w:r w:rsidRPr="00D2400F">
        <w:rPr>
          <w:rtl/>
        </w:rPr>
        <w:t>המינהל</w:t>
      </w:r>
      <w:r w:rsidRPr="00D2400F">
        <w:rPr>
          <w:rtl/>
        </w:rPr>
        <w:t>. עוד עלה כי 64% מהמכירות היו במחירים הנמוכים מ-70% ממחיר המחירון, וכי 15% מהמכירות היו במחירים הנמוכים מ-50% ממחיר המחירון, כך שגם לאחר הפחתה של 30% ממחיר המחירון של רכבים ממשלתיים (לעומת מחיר המחירון הנהוג בשוק), מחיר המכירה של רכבים אלו נמוך ממחיר המחירון הרלוונטי לרכבים ממשלתיים</w:t>
      </w:r>
      <w:r w:rsidRPr="0093709F" w:rsidR="00420374">
        <w:rPr>
          <w:rFonts w:hint="cs"/>
          <w:rtl/>
        </w:rPr>
        <w:t>.</w:t>
      </w:r>
    </w:p>
    <w:p w:rsidR="000B0C0B" w:rsidP="00034C80" w14:paraId="3EA3EFC6" w14:textId="6EF9B4D6">
      <w:pPr>
        <w:pStyle w:val="7392"/>
        <w:ind w:left="424"/>
        <w:rPr>
          <w:noProof/>
        </w:rPr>
      </w:pPr>
      <w:r w:rsidRPr="00B02658">
        <w:rPr>
          <w:rFonts w:hint="cs"/>
          <w:b/>
          <w:bCs/>
          <w:noProof/>
          <w:rtl/>
        </w:rPr>
        <w:drawing>
          <wp:anchor distT="0" distB="720090" distL="114300" distR="114300" simplePos="0" relativeHeight="251696128" behindDoc="1" locked="0" layoutInCell="1" allowOverlap="1">
            <wp:simplePos x="0" y="0"/>
            <wp:positionH relativeFrom="column">
              <wp:posOffset>4526280</wp:posOffset>
            </wp:positionH>
            <wp:positionV relativeFrom="paragraph">
              <wp:posOffset>29845</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B0C0B">
        <w:rPr>
          <w:b/>
          <w:bCs/>
          <w:rtl/>
        </w:rPr>
        <w:t>רכישת כלי רכב (קרן החידוש)</w:t>
      </w:r>
      <w:r w:rsidRPr="00D2400F">
        <w:rPr>
          <w:rtl/>
        </w:rPr>
        <w:t xml:space="preserve"> - בהתאם לרישומי מערכת </w:t>
      </w:r>
      <w:r w:rsidRPr="00D2400F">
        <w:rPr>
          <w:rtl/>
        </w:rPr>
        <w:t>מרכב"ה</w:t>
      </w:r>
      <w:r w:rsidRPr="00D2400F">
        <w:rPr>
          <w:rtl/>
        </w:rPr>
        <w:t xml:space="preserve"> יתרת הזכות העומדת לטובת המשרדים בקרן החידוש נכון לינואר 2022 היא כ-516 </w:t>
      </w:r>
      <w:r w:rsidRPr="00D2400F">
        <w:rPr>
          <w:rtl/>
        </w:rPr>
        <w:t>מלש"ח</w:t>
      </w:r>
      <w:r w:rsidRPr="00D2400F">
        <w:rPr>
          <w:rtl/>
        </w:rPr>
        <w:t xml:space="preserve">. ואולם לפי הדוחות הכספיים, יתרת קרן החידוש העומדת לזכות המשרדים היא כ-145 </w:t>
      </w:r>
      <w:r w:rsidRPr="00D2400F">
        <w:rPr>
          <w:rtl/>
        </w:rPr>
        <w:t>מלש"ח</w:t>
      </w:r>
      <w:r w:rsidRPr="00D2400F">
        <w:rPr>
          <w:rtl/>
        </w:rPr>
        <w:t xml:space="preserve">, בתוספת סכום של 100 </w:t>
      </w:r>
      <w:r w:rsidRPr="00D2400F">
        <w:rPr>
          <w:rtl/>
        </w:rPr>
        <w:t>מלש"ח</w:t>
      </w:r>
      <w:r w:rsidRPr="00D2400F">
        <w:rPr>
          <w:rtl/>
        </w:rPr>
        <w:t xml:space="preserve"> אשר הועברו בשנת 2017 </w:t>
      </w:r>
      <w:r w:rsidRPr="00D2400F">
        <w:rPr>
          <w:rtl/>
        </w:rPr>
        <w:t>לאג"ת</w:t>
      </w:r>
      <w:r w:rsidRPr="00D2400F">
        <w:rPr>
          <w:rtl/>
        </w:rPr>
        <w:t xml:space="preserve"> בהתאם לסיכום התקציבי - ובסה"כ 245 </w:t>
      </w:r>
      <w:r w:rsidRPr="00D2400F">
        <w:rPr>
          <w:rtl/>
        </w:rPr>
        <w:t>מלש"ח</w:t>
      </w:r>
      <w:r w:rsidRPr="00D2400F">
        <w:rPr>
          <w:rtl/>
        </w:rPr>
        <w:t xml:space="preserve">. דהיינו, יש פער של כ-371 </w:t>
      </w:r>
      <w:r w:rsidRPr="00D2400F">
        <w:rPr>
          <w:rtl/>
        </w:rPr>
        <w:t>מלש"ח</w:t>
      </w:r>
      <w:r w:rsidRPr="00D2400F">
        <w:rPr>
          <w:rtl/>
        </w:rPr>
        <w:t xml:space="preserve"> בין הנתונים במערכת </w:t>
      </w:r>
      <w:r w:rsidRPr="00D2400F">
        <w:rPr>
          <w:rtl/>
        </w:rPr>
        <w:t>מרכב"ה</w:t>
      </w:r>
      <w:r w:rsidRPr="00D2400F">
        <w:rPr>
          <w:rtl/>
        </w:rPr>
        <w:t xml:space="preserve"> ובין הנתונים בדוחות הכספיים. עוד נמצא כי המשיכה לטובת אגף התקציבים בסכום של 100 מילוני ש"ח שעוגנה בסיכום תקציבי משנת 2018 שחתמו עליו אגף התקציבים ואגף </w:t>
      </w:r>
      <w:r w:rsidRPr="00D2400F">
        <w:rPr>
          <w:rtl/>
        </w:rPr>
        <w:t>החשכ"ל</w:t>
      </w:r>
      <w:r w:rsidRPr="00D2400F">
        <w:rPr>
          <w:rtl/>
        </w:rPr>
        <w:t xml:space="preserve"> משנה באופן מהותי את שיטת המימון של רכישת הרכבים, מייצרת תלות בתקציב המדינה ואינה עולה בקנה אחד עם הוראת החשבונאי הראשי משנת, 2011 שלפיה אין להעביר את הכספים שיצטברו בקרן החידוש לשימושים אחרים</w:t>
      </w:r>
      <w:r>
        <w:rPr>
          <w:rFonts w:hint="cs"/>
          <w:rtl/>
        </w:rPr>
        <w:t>.</w:t>
      </w:r>
    </w:p>
    <w:p w:rsidR="000B0C0B" w:rsidP="00034C80" w14:paraId="525E76A6" w14:textId="582A0AE5">
      <w:pPr>
        <w:pStyle w:val="7392"/>
        <w:ind w:left="424"/>
        <w:rPr>
          <w:noProof/>
        </w:rPr>
      </w:pPr>
      <w:r w:rsidRPr="00B02658">
        <w:rPr>
          <w:rFonts w:hint="cs"/>
          <w:b/>
          <w:bCs/>
          <w:noProof/>
          <w:rtl/>
        </w:rPr>
        <w:drawing>
          <wp:anchor distT="0" distB="720090" distL="114300" distR="114300" simplePos="0" relativeHeight="251697152" behindDoc="1" locked="0" layoutInCell="1" allowOverlap="1">
            <wp:simplePos x="0" y="0"/>
            <wp:positionH relativeFrom="column">
              <wp:posOffset>4526280</wp:posOffset>
            </wp:positionH>
            <wp:positionV relativeFrom="paragraph">
              <wp:posOffset>29845</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6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B0C0B">
        <w:rPr>
          <w:b/>
          <w:bCs/>
          <w:rtl/>
        </w:rPr>
        <w:t>רכבי איגום</w:t>
      </w:r>
      <w:r w:rsidRPr="00D2400F">
        <w:rPr>
          <w:rtl/>
        </w:rPr>
        <w:t xml:space="preserve"> - רכבי איגום הם רכבים המשמשים את משרדי הממשלה בימי הפעילות של המשרד בלבד ואינם מוצמדים לאדם אחד. נכון לינואר 2022 קיימים 1,161 רכבי איגום מסוג נוסעים ועלותם השנתית היא כ-32 </w:t>
      </w:r>
      <w:r w:rsidRPr="00D2400F">
        <w:rPr>
          <w:rtl/>
        </w:rPr>
        <w:t>מלש"ח</w:t>
      </w:r>
      <w:r w:rsidRPr="00D2400F">
        <w:rPr>
          <w:rtl/>
        </w:rPr>
        <w:t xml:space="preserve"> בשנה. בנוגע ל-48% מרכבי האיגום שנבדקו על ידי חטיבת הביקורת </w:t>
      </w:r>
      <w:r w:rsidRPr="00D2400F">
        <w:rPr>
          <w:rtl/>
        </w:rPr>
        <w:t>בחשכ"ל</w:t>
      </w:r>
      <w:r w:rsidRPr="00D2400F">
        <w:rPr>
          <w:rtl/>
        </w:rPr>
        <w:t xml:space="preserve">, קיים פוטנציאל לחיסכון אם ויהיה מעבר לשיטת השכרה יומית. שיעור החיסכון המרבי בגין מעבר זה, נאמד ב-21% מההוצאות על רכבי האיגום (כ-6.8 </w:t>
      </w:r>
      <w:r w:rsidRPr="00D2400F">
        <w:rPr>
          <w:rtl/>
        </w:rPr>
        <w:t>מלש"ח</w:t>
      </w:r>
      <w:r w:rsidRPr="00D2400F">
        <w:rPr>
          <w:rtl/>
        </w:rPr>
        <w:t xml:space="preserve"> חיסכון שנתי</w:t>
      </w:r>
      <w:r>
        <w:rPr>
          <w:rFonts w:hint="cs"/>
          <w:rtl/>
        </w:rPr>
        <w:t>).</w:t>
      </w:r>
    </w:p>
    <w:p w:rsidR="00420374" w:rsidP="00034C80" w14:paraId="39D5E97C" w14:textId="35BB1D87">
      <w:pPr>
        <w:pStyle w:val="7392"/>
        <w:ind w:left="424"/>
        <w:rPr>
          <w:noProof/>
          <w:rtl/>
        </w:rPr>
      </w:pPr>
      <w:r w:rsidRPr="00B02658">
        <w:rPr>
          <w:rFonts w:hint="cs"/>
          <w:b/>
          <w:bCs/>
          <w:noProof/>
          <w:rtl/>
        </w:rPr>
        <w:drawing>
          <wp:anchor distT="0" distB="720090" distL="114300" distR="114300" simplePos="0" relativeHeight="251698176" behindDoc="1" locked="0" layoutInCell="1" allowOverlap="1">
            <wp:simplePos x="0" y="0"/>
            <wp:positionH relativeFrom="column">
              <wp:posOffset>4526280</wp:posOffset>
            </wp:positionH>
            <wp:positionV relativeFrom="paragraph">
              <wp:posOffset>29845</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6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B0C0B" w:rsidR="000B0C0B">
        <w:rPr>
          <w:b/>
          <w:bCs/>
          <w:rtl/>
        </w:rPr>
        <w:t>בדיקות כלכליות לבחינת חלופת הליסינג</w:t>
      </w:r>
      <w:r w:rsidRPr="00D2400F" w:rsidR="000B0C0B">
        <w:rPr>
          <w:rtl/>
        </w:rPr>
        <w:t xml:space="preserve"> - </w:t>
      </w:r>
      <w:r w:rsidRPr="00D2400F" w:rsidR="000B0C0B">
        <w:rPr>
          <w:rtl/>
        </w:rPr>
        <w:t>מינהל</w:t>
      </w:r>
      <w:r w:rsidRPr="00D2400F" w:rsidR="000B0C0B">
        <w:rPr>
          <w:rtl/>
        </w:rPr>
        <w:t xml:space="preserve"> הרכב </w:t>
      </w:r>
      <w:r w:rsidRPr="00D2400F" w:rsidR="000B0C0B">
        <w:rPr>
          <w:rtl/>
        </w:rPr>
        <w:t>והחשכ"ל</w:t>
      </w:r>
      <w:r w:rsidRPr="00D2400F" w:rsidR="000B0C0B">
        <w:rPr>
          <w:rtl/>
        </w:rPr>
        <w:t xml:space="preserve"> ביצעו בדיקות כלכליות לבחינת כדאיות חלופת הליסינג על בסיס הנחות שאינן תואמות את המציאות. לדוגמה, הוספו שלא לצורך עלויות לחברות הליסינג בסך כ-3,000 ש"ח בשנה לרכב (כ-</w:t>
      </w:r>
      <w:r w:rsidRPr="00D2400F" w:rsidR="000B0C0B">
        <w:rPr>
          <w:rtl/>
        </w:rPr>
        <w:t xml:space="preserve">250 ש"ח לחודש), ובמקביל לא שוקללו שירותים בהיקף של כ-14,000 ש"ח בשנה </w:t>
      </w:r>
      <w:r w:rsidR="00FC4C5A">
        <w:rPr>
          <w:rtl/>
        </w:rPr>
        <w:br/>
      </w:r>
      <w:r w:rsidRPr="00D2400F" w:rsidR="000B0C0B">
        <w:rPr>
          <w:rtl/>
        </w:rPr>
        <w:t xml:space="preserve">(כ-1,150 ש"ח לחודש) הניתנים על ידי חברות הליסינג בלבד. השוואת העלויות שבוצעה על ידי משרד מבקר המדינה, הכוללת את השוואת השירותים, מעלה כי עלות </w:t>
      </w:r>
      <w:r w:rsidRPr="00D2400F" w:rsidR="000B0C0B">
        <w:rPr>
          <w:rtl/>
        </w:rPr>
        <w:t>מינהל</w:t>
      </w:r>
      <w:r w:rsidRPr="00D2400F" w:rsidR="000B0C0B">
        <w:rPr>
          <w:rtl/>
        </w:rPr>
        <w:t xml:space="preserve"> הרכב </w:t>
      </w:r>
      <w:r w:rsidRPr="00B4206F" w:rsidR="00EA778A">
        <w:rPr>
          <w:rStyle w:val="7371"/>
          <w:rFonts w:hint="cs"/>
          <w:noProof/>
          <w:rtl/>
        </w:rPr>
        <w:drawing>
          <wp:anchor distT="0" distB="0" distL="114300" distR="114300" simplePos="0" relativeHeight="251682816" behindDoc="0" locked="0" layoutInCell="1" allowOverlap="1">
            <wp:simplePos x="0" y="0"/>
            <wp:positionH relativeFrom="column">
              <wp:posOffset>2474355</wp:posOffset>
            </wp:positionH>
            <wp:positionV relativeFrom="paragraph">
              <wp:posOffset>924560</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D2400F" w:rsidR="000B0C0B">
        <w:rPr>
          <w:rtl/>
        </w:rPr>
        <w:t>גבוהה בכ-10% מעלות חלופת הליסינג</w:t>
      </w:r>
      <w:r w:rsidR="000B0C0B">
        <w:rPr>
          <w:rFonts w:hint="cs"/>
          <w:rtl/>
        </w:rPr>
        <w:t>.</w:t>
      </w:r>
      <w:r w:rsidRPr="0093709F">
        <w:rPr>
          <w:rFonts w:hint="cs"/>
          <w:rtl/>
        </w:rPr>
        <w:t xml:space="preserve"> </w:t>
      </w:r>
    </w:p>
    <w:p w:rsidR="00420374" w:rsidRPr="00411396" w:rsidP="00420374" w14:paraId="5E6B04AD" w14:textId="3A205F4C">
      <w:pPr>
        <w:pStyle w:val="7392"/>
        <w:spacing w:before="360"/>
        <w:rPr>
          <w:rtl/>
        </w:rPr>
      </w:pPr>
      <w:r w:rsidRPr="000B0C0B">
        <w:rPr>
          <w:b/>
          <w:bCs/>
          <w:rtl/>
        </w:rPr>
        <w:t>מעבר לשיטת מכרזי מסגרת</w:t>
      </w:r>
      <w:r w:rsidRPr="00D2400F">
        <w:rPr>
          <w:rtl/>
        </w:rPr>
        <w:t xml:space="preserve"> - בהתאם לחסרונות </w:t>
      </w:r>
      <w:r w:rsidRPr="00D2400F">
        <w:rPr>
          <w:rtl/>
        </w:rPr>
        <w:t>שהמינהל</w:t>
      </w:r>
      <w:r w:rsidRPr="00D2400F">
        <w:rPr>
          <w:rtl/>
        </w:rPr>
        <w:t xml:space="preserve"> זיהה בשיטת המכרזים לרכישת כלי רכב, ולצורך קיצור תהליכי הרכש והגברת התחרותיות במכרזים, </w:t>
      </w:r>
      <w:r w:rsidRPr="00D2400F">
        <w:rPr>
          <w:rtl/>
        </w:rPr>
        <w:t>המינהל</w:t>
      </w:r>
      <w:r w:rsidRPr="00D2400F">
        <w:rPr>
          <w:rtl/>
        </w:rPr>
        <w:t xml:space="preserve"> פרסם מכרז חדש בשנת 2021 לרכישת הרכבים בשיטת מכרזי מסגרת. עם זאת, עלה כי נוהל העבודה בנושא טרם עודכן</w:t>
      </w:r>
      <w:r w:rsidRPr="00411396">
        <w:rPr>
          <w:rtl/>
        </w:rPr>
        <w:t>.</w:t>
      </w:r>
    </w:p>
    <w:p w:rsidR="002753C7" w:rsidRPr="00662020" w:rsidP="002753C7" w14:paraId="7C748CCB" w14:textId="1DF17743">
      <w:pPr>
        <w:pStyle w:val="7327"/>
        <w:spacing w:before="480"/>
        <w:rPr>
          <w:rtl/>
        </w:rPr>
      </w:pPr>
      <w:r w:rsidRPr="00B02658">
        <w:rPr>
          <w:rFonts w:hint="cs"/>
          <w:b/>
          <w:bCs w:val="0"/>
          <w:noProof/>
          <w:rtl/>
        </w:rPr>
        <w:drawing>
          <wp:anchor distT="0" distB="1440180" distL="107950" distR="114300" simplePos="0" relativeHeight="251700224" behindDoc="1" locked="0" layoutInCell="1" allowOverlap="1">
            <wp:simplePos x="0" y="0"/>
            <wp:positionH relativeFrom="column">
              <wp:posOffset>4536440</wp:posOffset>
            </wp:positionH>
            <wp:positionV relativeFrom="paragraph">
              <wp:posOffset>625475</wp:posOffset>
            </wp:positionV>
            <wp:extent cx="143510" cy="161925"/>
            <wp:effectExtent l="0" t="0" r="0" b="3175"/>
            <wp:wrapTight wrapText="bothSides">
              <wp:wrapPolygon>
                <wp:start x="1912" y="0"/>
                <wp:lineTo x="0" y="1694"/>
                <wp:lineTo x="0" y="20329"/>
                <wp:lineTo x="19115" y="20329"/>
                <wp:lineTo x="19115" y="0"/>
                <wp:lineTo x="1912" y="0"/>
              </wp:wrapPolygon>
            </wp:wrapTight>
            <wp:docPr id="1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662020">
        <w:rPr>
          <w:rFonts w:hint="cs"/>
          <w:rtl/>
        </w:rPr>
        <w:t>עיקרי המלצות הביקורת</w:t>
      </w:r>
    </w:p>
    <w:p w:rsidR="0093709F" w:rsidP="00EB5B49" w14:paraId="0466320B" w14:textId="26DA40B7">
      <w:pPr>
        <w:pStyle w:val="7317"/>
        <w:ind w:left="360"/>
      </w:pPr>
      <w:r w:rsidRPr="00D2400F">
        <w:rPr>
          <w:rFonts w:hint="cs"/>
          <w:rtl/>
        </w:rPr>
        <w:t xml:space="preserve">מומלץ כי </w:t>
      </w:r>
      <w:r w:rsidRPr="00D2400F">
        <w:rPr>
          <w:rtl/>
        </w:rPr>
        <w:t>החשכ"ל</w:t>
      </w:r>
      <w:r w:rsidRPr="00D2400F">
        <w:rPr>
          <w:rtl/>
        </w:rPr>
        <w:t xml:space="preserve"> יבחן את האפשרות לגיבוש מדיניות כוללת לעניין היקף השימוש ברכבים פרטיים על ידי עובדי המגזר הציבורי, בשים לב לחשיבות עידוד המעבר של עובדי המגזר הציבורי לתחבורה ציבורית ושל הפחתת הנסועה בכבישי הארץ. עוד מומלץ כי ועדת ההצמדות תקבע יעדים בדבר משך ההמתנה הסביר לדיון בבקשה ותתאים את תדירות ישיבותיה למספר הבקשות הממתינות לדיון בוועדה ולמשך ההמתנה לדיון בבקשות בוועדה</w:t>
      </w:r>
      <w:r w:rsidRPr="008E57FE" w:rsidR="005D0F8C">
        <w:rPr>
          <w:rFonts w:hint="cs"/>
          <w:rtl/>
        </w:rPr>
        <w:t xml:space="preserve">. </w:t>
      </w:r>
    </w:p>
    <w:p w:rsidR="005D0F8C" w:rsidRPr="008E57FE" w:rsidP="00EB5B49" w14:paraId="6C626C68" w14:textId="53790374">
      <w:pPr>
        <w:pStyle w:val="7317"/>
        <w:ind w:left="360"/>
      </w:pPr>
      <w:r w:rsidRPr="00B02658">
        <w:rPr>
          <w:rFonts w:hint="cs"/>
          <w:b/>
          <w:bCs/>
          <w:noProof/>
          <w:rtl/>
        </w:rPr>
        <w:drawing>
          <wp:anchor distT="0" distB="1440180" distL="107950" distR="114300" simplePos="0" relativeHeight="251701248" behindDoc="1" locked="0" layoutInCell="1" allowOverlap="1">
            <wp:simplePos x="0" y="0"/>
            <wp:positionH relativeFrom="column">
              <wp:posOffset>4536440</wp:posOffset>
            </wp:positionH>
            <wp:positionV relativeFrom="paragraph">
              <wp:posOffset>5844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2400F" w:rsidR="000B0C0B">
        <w:rPr>
          <w:rFonts w:hint="cs"/>
          <w:rtl/>
        </w:rPr>
        <w:t>מומלץ</w:t>
      </w:r>
      <w:r w:rsidRPr="00D2400F" w:rsidR="000B0C0B">
        <w:rPr>
          <w:rtl/>
        </w:rPr>
        <w:t xml:space="preserve"> </w:t>
      </w:r>
      <w:r w:rsidRPr="00D2400F" w:rsidR="000B0C0B">
        <w:rPr>
          <w:rtl/>
        </w:rPr>
        <w:t>למינהל</w:t>
      </w:r>
      <w:r w:rsidRPr="00D2400F" w:rsidR="000B0C0B">
        <w:rPr>
          <w:rtl/>
        </w:rPr>
        <w:t xml:space="preserve"> הרכב להיערך ארגונית ותקציבית לרכישה ומסירה של רכבים חדשים בהיקף הנדרש כדי לרענן את צי הרכב בהתאם למודל גיל הרכבים הרצוי ולשם יישום החלטת הממשלה למעבר לכלי רכב לא מזהמים ולרכבים חשמליים</w:t>
      </w:r>
      <w:r w:rsidRPr="008E57FE">
        <w:rPr>
          <w:rtl/>
        </w:rPr>
        <w:t xml:space="preserve">. </w:t>
      </w:r>
    </w:p>
    <w:p w:rsidR="005D0F8C" w:rsidP="00EB5B49" w14:paraId="16E5BFEE" w14:textId="111958E9">
      <w:pPr>
        <w:pStyle w:val="7317"/>
        <w:ind w:left="360"/>
        <w:rPr>
          <w:rtl/>
        </w:rPr>
      </w:pPr>
      <w:r w:rsidRPr="00B02658">
        <w:rPr>
          <w:rFonts w:hint="cs"/>
          <w:b/>
          <w:bCs/>
          <w:noProof/>
          <w:rtl/>
        </w:rPr>
        <w:drawing>
          <wp:anchor distT="0" distB="1440180" distL="107950" distR="114300" simplePos="0" relativeHeight="251702272" behindDoc="1" locked="0" layoutInCell="1" allowOverlap="1">
            <wp:simplePos x="0" y="0"/>
            <wp:positionH relativeFrom="column">
              <wp:posOffset>4536440</wp:posOffset>
            </wp:positionH>
            <wp:positionV relativeFrom="paragraph">
              <wp:posOffset>5844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1135758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8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2400F" w:rsidR="000B0C0B">
        <w:rPr>
          <w:rtl/>
        </w:rPr>
        <w:t xml:space="preserve">מומלץ כי </w:t>
      </w:r>
      <w:r w:rsidRPr="00D2400F" w:rsidR="000B0C0B">
        <w:rPr>
          <w:rtl/>
        </w:rPr>
        <w:t>מינהל</w:t>
      </w:r>
      <w:r w:rsidRPr="00D2400F" w:rsidR="000B0C0B">
        <w:rPr>
          <w:rtl/>
        </w:rPr>
        <w:t xml:space="preserve"> הדיור יקדם את הקמת עמדות הטעינה החשמליות במשרדי הממשלה, בהיקף אשר יתמוך בהגדלת מספר הרכבים החשמליים שבצי הממשלתי. עוד מומלץ כי נוכח הקשיים הקיימים כיום בהקמת עמדות הטעינה, יבחן </w:t>
      </w:r>
      <w:r w:rsidRPr="00D2400F" w:rsidR="000B0C0B">
        <w:rPr>
          <w:rtl/>
        </w:rPr>
        <w:t>מינהל</w:t>
      </w:r>
      <w:r w:rsidRPr="00D2400F" w:rsidR="000B0C0B">
        <w:rPr>
          <w:rtl/>
        </w:rPr>
        <w:t xml:space="preserve"> הרכב, בשיתוף משרד האנרגיה, את התנאים להקצאת רכבים חשמליים לעובדים הזכאים לכך, ויפעל למימוש החלטת הממשלה למעבר מלא לרכבים חשמליים משנת 2025</w:t>
      </w:r>
      <w:r w:rsidRPr="008E57FE">
        <w:rPr>
          <w:rFonts w:hint="cs"/>
          <w:rtl/>
        </w:rPr>
        <w:t>.</w:t>
      </w:r>
    </w:p>
    <w:p w:rsidR="00706096" w:rsidP="00EB5B49" w14:paraId="3F6A2BE4" w14:textId="08BFA31B">
      <w:pPr>
        <w:pStyle w:val="7317"/>
        <w:ind w:left="360"/>
        <w:rPr>
          <w:rtl/>
        </w:rPr>
      </w:pPr>
      <w:r w:rsidRPr="00B02658">
        <w:rPr>
          <w:rFonts w:hint="cs"/>
          <w:b/>
          <w:bCs/>
          <w:noProof/>
          <w:rtl/>
        </w:rPr>
        <w:drawing>
          <wp:anchor distT="0" distB="1440180" distL="107950" distR="114300" simplePos="0" relativeHeight="251703296" behindDoc="1" locked="0" layoutInCell="1" allowOverlap="1">
            <wp:simplePos x="0" y="0"/>
            <wp:positionH relativeFrom="column">
              <wp:posOffset>4536440</wp:posOffset>
            </wp:positionH>
            <wp:positionV relativeFrom="paragraph">
              <wp:posOffset>5715</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11357589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97"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B02658">
        <w:rPr>
          <w:rFonts w:hint="cs"/>
          <w:b/>
          <w:bCs/>
          <w:noProof/>
          <w:rtl/>
        </w:rPr>
        <w:drawing>
          <wp:anchor distT="0" distB="1440180" distL="107950" distR="114300" simplePos="0" relativeHeight="251704320" behindDoc="1" locked="0" layoutInCell="1" allowOverlap="1">
            <wp:simplePos x="0" y="0"/>
            <wp:positionH relativeFrom="column">
              <wp:posOffset>4536440</wp:posOffset>
            </wp:positionH>
            <wp:positionV relativeFrom="paragraph">
              <wp:posOffset>772795</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11357589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9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D2400F" w:rsidR="000B0C0B">
        <w:rPr>
          <w:rtl/>
        </w:rPr>
        <w:t xml:space="preserve">על </w:t>
      </w:r>
      <w:r w:rsidRPr="00D2400F" w:rsidR="000B0C0B">
        <w:rPr>
          <w:rtl/>
        </w:rPr>
        <w:t>מינהל</w:t>
      </w:r>
      <w:r w:rsidRPr="00D2400F" w:rsidR="000B0C0B">
        <w:rPr>
          <w:rtl/>
        </w:rPr>
        <w:t xml:space="preserve"> הרכב לבצע ביקורות בתחומי הבטיחות והתקינה במשרדים כחלק מתוכנית העבודה השגרתית של </w:t>
      </w:r>
      <w:r w:rsidRPr="00D2400F" w:rsidR="000B0C0B">
        <w:rPr>
          <w:rtl/>
        </w:rPr>
        <w:t>המינהל</w:t>
      </w:r>
      <w:r w:rsidRPr="00D2400F" w:rsidR="000B0C0B">
        <w:rPr>
          <w:rtl/>
        </w:rPr>
        <w:t xml:space="preserve"> ובהתאם להוראות </w:t>
      </w:r>
      <w:r w:rsidRPr="00D2400F" w:rsidR="000B0C0B">
        <w:rPr>
          <w:rtl/>
        </w:rPr>
        <w:t>התכ"ם</w:t>
      </w:r>
      <w:r w:rsidRPr="00D2400F" w:rsidR="000B0C0B">
        <w:rPr>
          <w:rtl/>
        </w:rPr>
        <w:t xml:space="preserve">, כדי להביא לכשירות מרבית של הרכבים הממשלתיים ולתרום לבטיחות הנהיגה בהם. כמו כן, על </w:t>
      </w:r>
      <w:r w:rsidRPr="00D2400F" w:rsidR="000B0C0B">
        <w:rPr>
          <w:rtl/>
        </w:rPr>
        <w:t>מינהל</w:t>
      </w:r>
      <w:r w:rsidRPr="00D2400F" w:rsidR="000B0C0B">
        <w:rPr>
          <w:rtl/>
        </w:rPr>
        <w:t xml:space="preserve"> הרכב להשלים את תהליך גיוס קציני הבטיחות ולתחקר תאונות שבוצעו ברכבי </w:t>
      </w:r>
      <w:r w:rsidRPr="00D2400F" w:rsidR="000B0C0B">
        <w:rPr>
          <w:rtl/>
        </w:rPr>
        <w:t>המינהל</w:t>
      </w:r>
      <w:r w:rsidRPr="008E57FE">
        <w:rPr>
          <w:rFonts w:hint="cs"/>
          <w:rtl/>
        </w:rPr>
        <w:t>.</w:t>
      </w:r>
    </w:p>
    <w:p w:rsidR="00706096" w:rsidRPr="00662020" w:rsidP="00EB5B49" w14:paraId="36B4D251" w14:textId="5D280C34">
      <w:pPr>
        <w:pStyle w:val="ListParagraph"/>
        <w:widowControl w:val="0"/>
        <w:spacing w:after="60" w:line="276" w:lineRule="auto"/>
        <w:ind w:left="360"/>
        <w:rPr>
          <w:rFonts w:ascii="Tahoma" w:hAnsi="Tahoma" w:cs="Tahoma"/>
          <w:color w:val="0D0D0D" w:themeColor="text1" w:themeTint="F2"/>
          <w:sz w:val="18"/>
          <w:szCs w:val="18"/>
        </w:rPr>
      </w:pPr>
      <w:r w:rsidRPr="00D2400F">
        <w:rPr>
          <w:rFonts w:ascii="Tahoma" w:hAnsi="Tahoma" w:cs="Tahoma"/>
          <w:sz w:val="18"/>
          <w:szCs w:val="18"/>
          <w:rtl/>
        </w:rPr>
        <w:t xml:space="preserve">מומלץ </w:t>
      </w:r>
      <w:r w:rsidRPr="00D2400F">
        <w:rPr>
          <w:rFonts w:ascii="Tahoma" w:hAnsi="Tahoma" w:cs="Tahoma"/>
          <w:sz w:val="18"/>
          <w:szCs w:val="18"/>
          <w:rtl/>
        </w:rPr>
        <w:t>למינהל</w:t>
      </w:r>
      <w:r w:rsidRPr="00D2400F">
        <w:rPr>
          <w:rFonts w:ascii="Tahoma" w:hAnsi="Tahoma" w:cs="Tahoma"/>
          <w:sz w:val="18"/>
          <w:szCs w:val="18"/>
          <w:rtl/>
        </w:rPr>
        <w:t xml:space="preserve"> הרכב ולאף התקציבים לבחון את הסיבות להיווצרות העודפים בקרן החידוש. לדוגמה, יש לבחון אם מקור הכספים הוא גביית יתר מהמשרדים או עודף זמני שנוצר עקב תת-יישום של תוכנית ההחלפה בהתאם למודל ההחלפה. כמו כן, מומלץ </w:t>
      </w:r>
      <w:r w:rsidRPr="00D2400F">
        <w:rPr>
          <w:rFonts w:ascii="Tahoma" w:hAnsi="Tahoma" w:cs="Tahoma"/>
          <w:sz w:val="18"/>
          <w:szCs w:val="18"/>
          <w:rtl/>
        </w:rPr>
        <w:t>למינהל</w:t>
      </w:r>
      <w:r w:rsidRPr="00D2400F">
        <w:rPr>
          <w:rFonts w:ascii="Tahoma" w:hAnsi="Tahoma" w:cs="Tahoma"/>
          <w:sz w:val="18"/>
          <w:szCs w:val="18"/>
          <w:rtl/>
        </w:rPr>
        <w:t xml:space="preserve"> הרכב ולאגף התקציבים להקפיד כי השימוש בכספים אלו יהיה למטרה שלשמה נועדו - חידוש כלי רכב - בהתאם להנחיית החשבונאי הראשי</w:t>
      </w:r>
      <w:r w:rsidRPr="00662020">
        <w:rPr>
          <w:rFonts w:ascii="Tahoma" w:hAnsi="Tahoma" w:cs="Tahoma" w:hint="cs"/>
          <w:color w:val="0D0D0D" w:themeColor="text1" w:themeTint="F2"/>
          <w:sz w:val="18"/>
          <w:szCs w:val="18"/>
          <w:rtl/>
        </w:rPr>
        <w:t>.</w:t>
      </w:r>
    </w:p>
    <w:p w:rsidR="00706096" w:rsidP="00EB5B49" w14:paraId="30F30DD7" w14:textId="2BAA8B85">
      <w:pPr>
        <w:pStyle w:val="7317"/>
        <w:ind w:left="360"/>
        <w:rPr>
          <w:rtl/>
        </w:rPr>
      </w:pPr>
      <w:r w:rsidRPr="00B02658">
        <w:rPr>
          <w:rFonts w:hint="cs"/>
          <w:b/>
          <w:bCs/>
          <w:noProof/>
          <w:rtl/>
        </w:rPr>
        <w:drawing>
          <wp:anchor distT="0" distB="1440180" distL="107950" distR="114300" simplePos="0" relativeHeight="251705344" behindDoc="1" locked="0" layoutInCell="1" allowOverlap="1">
            <wp:simplePos x="0" y="0"/>
            <wp:positionH relativeFrom="column">
              <wp:posOffset>4536440</wp:posOffset>
            </wp:positionH>
            <wp:positionV relativeFrom="paragraph">
              <wp:posOffset>30986</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11357589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99"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2400F" w:rsidR="000B0C0B">
        <w:rPr>
          <w:rtl/>
        </w:rPr>
        <w:t xml:space="preserve">מומלץ </w:t>
      </w:r>
      <w:r w:rsidRPr="00D2400F" w:rsidR="000B0C0B">
        <w:rPr>
          <w:rtl/>
        </w:rPr>
        <w:t>לחשכ"ל</w:t>
      </w:r>
      <w:r w:rsidRPr="00D2400F" w:rsidR="000B0C0B">
        <w:rPr>
          <w:rtl/>
        </w:rPr>
        <w:t xml:space="preserve"> </w:t>
      </w:r>
      <w:r w:rsidRPr="00D2400F" w:rsidR="000B0C0B">
        <w:rPr>
          <w:rtl/>
        </w:rPr>
        <w:t>ולמינהל</w:t>
      </w:r>
      <w:r w:rsidRPr="00D2400F" w:rsidR="000B0C0B">
        <w:rPr>
          <w:rtl/>
        </w:rPr>
        <w:t xml:space="preserve"> הרכב לקיים בחינה חוזרת של חלופת הליסינג, שתתבסס על תחשיבים והנחות התואמות את הנתונים הקיימים ואת המצב בפועל, ובכלל זה בחינה של סוגי הרכבים שבהם קיימת כדאיות להפעיל מודל כזה ובהתאם לתוצאות הבחינה לבחון מעבר חלקי או מלא למודל הליסינג</w:t>
      </w:r>
      <w:r w:rsidRPr="008E57FE">
        <w:rPr>
          <w:rFonts w:hint="cs"/>
          <w:rtl/>
        </w:rPr>
        <w:t>.</w:t>
      </w:r>
    </w:p>
    <w:p w:rsidR="005D0F8C" w:rsidP="00706096" w14:paraId="24125138" w14:textId="0AEAE99B">
      <w:pPr>
        <w:tabs>
          <w:tab w:val="right" w:pos="7370"/>
        </w:tabs>
        <w:bidi w:val="0"/>
        <w:spacing w:after="200" w:line="276" w:lineRule="auto"/>
        <w:rPr>
          <w:rtl/>
        </w:rPr>
      </w:pPr>
      <w:r w:rsidRPr="00D527BD">
        <w:rPr>
          <w:noProof/>
          <w:szCs w:val="20"/>
          <w:rtl/>
        </w:rPr>
        <w:drawing>
          <wp:anchor distT="0" distB="0" distL="114300" distR="114300" simplePos="0" relativeHeight="251678720" behindDoc="0" locked="0" layoutInCell="1" allowOverlap="1">
            <wp:simplePos x="0" y="0"/>
            <wp:positionH relativeFrom="column">
              <wp:posOffset>-71733</wp:posOffset>
            </wp:positionH>
            <wp:positionV relativeFrom="paragraph">
              <wp:posOffset>178762</wp:posOffset>
            </wp:positionV>
            <wp:extent cx="4731385" cy="763051"/>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5921" cy="76539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1680768" behindDoc="0" locked="0" layoutInCell="1" allowOverlap="1">
                <wp:simplePos x="0" y="0"/>
                <wp:positionH relativeFrom="column">
                  <wp:posOffset>123759</wp:posOffset>
                </wp:positionH>
                <wp:positionV relativeFrom="paragraph">
                  <wp:posOffset>273358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0B0C0B" w:rsidRPr="00D2400F" w:rsidP="000B0C0B" w14:textId="77777777">
                            <w:pPr>
                              <w:spacing w:line="240" w:lineRule="auto"/>
                              <w:ind w:right="113"/>
                              <w:suppressOverlap/>
                              <w:jc w:val="left"/>
                              <w:rPr>
                                <w:rFonts w:ascii="Tahoma" w:hAnsi="Tahoma" w:cs="Tahoma"/>
                                <w:b/>
                                <w:bCs/>
                                <w:color w:val="FFFFFF" w:themeColor="background1"/>
                                <w:spacing w:val="-4"/>
                                <w:sz w:val="22"/>
                                <w:szCs w:val="22"/>
                                <w:rtl/>
                              </w:rPr>
                            </w:pPr>
                            <w:r w:rsidRPr="00D2400F">
                              <w:rPr>
                                <w:rFonts w:ascii="Tahoma" w:hAnsi="Tahoma" w:cs="Tahoma"/>
                                <w:b/>
                                <w:bCs/>
                                <w:color w:val="FFFFFF" w:themeColor="background1"/>
                                <w:spacing w:val="-4"/>
                                <w:sz w:val="22"/>
                                <w:szCs w:val="22"/>
                                <w:rtl/>
                              </w:rPr>
                              <w:t xml:space="preserve">מצבת הרכבים הפעילים של </w:t>
                            </w:r>
                            <w:r w:rsidRPr="00D2400F">
                              <w:rPr>
                                <w:rFonts w:ascii="Tahoma" w:hAnsi="Tahoma" w:cs="Tahoma"/>
                                <w:b/>
                                <w:bCs/>
                                <w:color w:val="FFFFFF" w:themeColor="background1"/>
                                <w:spacing w:val="-4"/>
                                <w:sz w:val="22"/>
                                <w:szCs w:val="22"/>
                                <w:rtl/>
                              </w:rPr>
                              <w:t>מינהל</w:t>
                            </w:r>
                            <w:r w:rsidRPr="00D2400F">
                              <w:rPr>
                                <w:rFonts w:ascii="Tahoma" w:hAnsi="Tahoma" w:cs="Tahoma"/>
                                <w:b/>
                                <w:bCs/>
                                <w:color w:val="FFFFFF" w:themeColor="background1"/>
                                <w:spacing w:val="-4"/>
                                <w:sz w:val="22"/>
                                <w:szCs w:val="22"/>
                                <w:rtl/>
                              </w:rPr>
                              <w:t xml:space="preserve"> הרכב, לפי גיל הרכב וסוג הרכב, ינואר 2022</w:t>
                            </w:r>
                          </w:p>
                          <w:p w:rsidR="005D0F8C" w:rsidRPr="005C7ABF" w:rsidP="00662020" w14:textId="51DC87E6">
                            <w:pPr>
                              <w:spacing w:line="240" w:lineRule="auto"/>
                              <w:ind w:right="113"/>
                              <w:suppressOverlap/>
                              <w:jc w:val="left"/>
                              <w:rPr>
                                <w:rFonts w:ascii="Tahoma" w:hAnsi="Tahoma" w:cs="Tahoma"/>
                                <w:b/>
                                <w:bCs/>
                                <w:color w:val="FFFFFF" w:themeColor="background1"/>
                                <w:spacing w:val="-4"/>
                                <w:sz w:val="22"/>
                                <w:szCs w:val="22"/>
                                <w:rtl/>
                              </w:rPr>
                            </w:pP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Text Box 2" o:spid="_x0000_s1038" type="#_x0000_t202" style="width:349.35pt;height:34.26pt;margin-top:21.52pt;margin-left:9.74pt;mso-height-percent:0;mso-height-relative:margin;mso-width-percent:0;mso-width-relative:margin;mso-wrap-distance-bottom:0;mso-wrap-distance-left:9pt;mso-wrap-distance-right:9pt;mso-wrap-distance-top:0;position:absolute;v-text-anchor:middle;z-index:251679744" fillcolor="#f05260" stroked="f" strokeweight="0.75pt">
                <v:textbox>
                  <w:txbxContent>
                    <w:p w:rsidR="000B0C0B" w:rsidRPr="00D2400F" w:rsidP="000B0C0B" w14:paraId="14567439" w14:textId="77777777">
                      <w:pPr>
                        <w:spacing w:line="240" w:lineRule="auto"/>
                        <w:ind w:right="113"/>
                        <w:suppressOverlap/>
                        <w:jc w:val="left"/>
                        <w:rPr>
                          <w:rFonts w:ascii="Tahoma" w:hAnsi="Tahoma" w:cs="Tahoma"/>
                          <w:b/>
                          <w:bCs/>
                          <w:color w:val="FFFFFF" w:themeColor="background1"/>
                          <w:spacing w:val="-4"/>
                          <w:sz w:val="22"/>
                          <w:szCs w:val="22"/>
                          <w:rtl/>
                        </w:rPr>
                      </w:pPr>
                      <w:r w:rsidRPr="00D2400F">
                        <w:rPr>
                          <w:rFonts w:ascii="Tahoma" w:hAnsi="Tahoma" w:cs="Tahoma"/>
                          <w:b/>
                          <w:bCs/>
                          <w:color w:val="FFFFFF" w:themeColor="background1"/>
                          <w:spacing w:val="-4"/>
                          <w:sz w:val="22"/>
                          <w:szCs w:val="22"/>
                          <w:rtl/>
                        </w:rPr>
                        <w:t xml:space="preserve">מצבת הרכבים הפעילים של </w:t>
                      </w:r>
                      <w:r w:rsidRPr="00D2400F">
                        <w:rPr>
                          <w:rFonts w:ascii="Tahoma" w:hAnsi="Tahoma" w:cs="Tahoma"/>
                          <w:b/>
                          <w:bCs/>
                          <w:color w:val="FFFFFF" w:themeColor="background1"/>
                          <w:spacing w:val="-4"/>
                          <w:sz w:val="22"/>
                          <w:szCs w:val="22"/>
                          <w:rtl/>
                        </w:rPr>
                        <w:t>מינהל</w:t>
                      </w:r>
                      <w:r w:rsidRPr="00D2400F">
                        <w:rPr>
                          <w:rFonts w:ascii="Tahoma" w:hAnsi="Tahoma" w:cs="Tahoma"/>
                          <w:b/>
                          <w:bCs/>
                          <w:color w:val="FFFFFF" w:themeColor="background1"/>
                          <w:spacing w:val="-4"/>
                          <w:sz w:val="22"/>
                          <w:szCs w:val="22"/>
                          <w:rtl/>
                        </w:rPr>
                        <w:t xml:space="preserve"> הרכב, לפי גיל הרכב וסוג הרכב, ינואר 2022</w:t>
                      </w:r>
                    </w:p>
                    <w:p w:rsidR="005D0F8C" w:rsidRPr="005C7ABF" w:rsidP="00662020" w14:paraId="1D5D7976" w14:textId="51DC87E6">
                      <w:pPr>
                        <w:spacing w:line="240" w:lineRule="auto"/>
                        <w:ind w:right="113"/>
                        <w:suppressOverlap/>
                        <w:jc w:val="left"/>
                        <w:rPr>
                          <w:rFonts w:ascii="Tahoma" w:hAnsi="Tahoma" w:cs="Tahoma"/>
                          <w:b/>
                          <w:bCs/>
                          <w:color w:val="FFFFFF" w:themeColor="background1"/>
                          <w:spacing w:val="-4"/>
                          <w:sz w:val="22"/>
                          <w:szCs w:val="22"/>
                          <w:rtl/>
                        </w:rPr>
                      </w:pPr>
                    </w:p>
                  </w:txbxContent>
                </v:textbox>
              </v:shape>
            </w:pict>
          </mc:Fallback>
        </mc:AlternateContent>
      </w:r>
    </w:p>
    <w:p w:rsidR="005D0F8C" w:rsidP="005D0F8C" w14:paraId="6DC28C4F" w14:textId="68EC595C">
      <w:pPr>
        <w:pStyle w:val="7317"/>
        <w:rPr>
          <w:rtl/>
        </w:rPr>
      </w:pPr>
      <w:r>
        <w:rPr>
          <w:rtl/>
        </w:rPr>
        <w:t xml:space="preserve"> </w:t>
      </w:r>
    </w:p>
    <w:p w:rsidR="005D0F8C" w:rsidP="005D0F8C" w14:paraId="5B8DB107" w14:textId="5337F41E">
      <w:pPr>
        <w:pStyle w:val="7317"/>
        <w:rPr>
          <w:rtl/>
        </w:rPr>
      </w:pPr>
      <w:r>
        <w:rPr>
          <w:noProof/>
          <w:sz w:val="19"/>
          <w:szCs w:val="19"/>
        </w:rPr>
        <w:drawing>
          <wp:anchor distT="0" distB="0" distL="114300" distR="114300" simplePos="0" relativeHeight="251681792" behindDoc="0" locked="0" layoutInCell="1" allowOverlap="1">
            <wp:simplePos x="0" y="0"/>
            <wp:positionH relativeFrom="column">
              <wp:posOffset>-43180</wp:posOffset>
            </wp:positionH>
            <wp:positionV relativeFrom="paragraph">
              <wp:posOffset>403860</wp:posOffset>
            </wp:positionV>
            <wp:extent cx="4717415" cy="3478530"/>
            <wp:effectExtent l="0" t="0" r="0" b="0"/>
            <wp:wrapTopAndBottom/>
            <wp:docPr id="2052772050" name="תמונה 20527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50" name="תמונה 2052772050"/>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4717415" cy="3478530"/>
                    </a:xfrm>
                    <a:prstGeom prst="rect">
                      <a:avLst/>
                    </a:prstGeom>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0F8C" w:rsidRPr="000B0C0B" w:rsidP="000B0C0B" w14:paraId="0DA8F7B9" w14:textId="3E5EBAFB">
      <w:pPr>
        <w:pStyle w:val="738"/>
      </w:pPr>
      <w:r w:rsidRPr="000B0C0B">
        <w:rPr>
          <w:rtl/>
        </w:rPr>
        <w:t xml:space="preserve">על פי נתוני </w:t>
      </w:r>
      <w:r w:rsidRPr="000B0C0B">
        <w:rPr>
          <w:rtl/>
        </w:rPr>
        <w:t>מינהל</w:t>
      </w:r>
      <w:r w:rsidRPr="000B0C0B">
        <w:rPr>
          <w:rtl/>
        </w:rPr>
        <w:t xml:space="preserve"> הרכב (כולל רכבי שירות בתי הסוהר), בעיבוד משרד מבקר המדינה</w:t>
      </w:r>
      <w:r w:rsidRPr="000B0C0B">
        <w:rPr>
          <w:rFonts w:hint="cs"/>
          <w:rtl/>
        </w:rPr>
        <w:t>.</w:t>
      </w:r>
    </w:p>
    <w:p w:rsidR="000B31AA" w:rsidP="005D0F8C" w14:paraId="70881590" w14:textId="2FB01EF6">
      <w:pPr>
        <w:pStyle w:val="738"/>
        <w:spacing w:before="360" w:after="0"/>
        <w:rPr>
          <w:b/>
          <w:bCs/>
          <w:noProof/>
          <w:color w:val="FFFFFF" w:themeColor="background1"/>
          <w:sz w:val="22"/>
          <w:szCs w:val="22"/>
        </w:rPr>
      </w:pPr>
    </w:p>
    <w:p w:rsidR="000B31AA" w:rsidRPr="000B31AA" w:rsidP="00662020" w14:paraId="1001632A" w14:textId="203C627A">
      <w:pPr>
        <w:pStyle w:val="738"/>
        <w:spacing w:before="0" w:after="0"/>
        <w:rPr>
          <w:rtl/>
        </w:rPr>
      </w:pPr>
    </w:p>
    <w:p w:rsidR="000B31AA" w:rsidRPr="003A253B" w:rsidP="000B31AA" w14:paraId="5C1AE375" w14:textId="00DDF82D">
      <w:pPr>
        <w:pStyle w:val="7317"/>
        <w:rPr>
          <w:rtl/>
        </w:rPr>
      </w:pPr>
    </w:p>
    <w:p w:rsidR="000B31AA" w:rsidRPr="00827841" w:rsidP="000B31AA" w14:paraId="0E94D97F" w14:textId="77777777">
      <w:pPr>
        <w:pStyle w:val="7317"/>
        <w:spacing w:before="360" w:after="360"/>
        <w:rPr>
          <w:rtl/>
        </w:rPr>
        <w:sectPr w:rsidSect="00A571AD">
          <w:footerReference w:type="even" r:id="rId28"/>
          <w:footerReference w:type="default" r:id="rId29"/>
          <w:headerReference w:type="first" r:id="rId30"/>
          <w:footerReference w:type="first" r:id="rId31"/>
          <w:pgSz w:w="11906" w:h="16838" w:code="9"/>
          <w:pgMar w:top="3062" w:right="2268" w:bottom="2552" w:left="2268" w:header="1134" w:footer="1361" w:gutter="0"/>
          <w:pgNumType w:start="263"/>
          <w:cols w:space="708"/>
          <w:bidi/>
          <w:rtlGutter/>
          <w:docGrid w:linePitch="360"/>
        </w:sectPr>
      </w:pPr>
    </w:p>
    <w:p w:rsidR="005D0F8C" w:rsidP="00520550" w14:paraId="3B41E678" w14:textId="7096B259">
      <w:pPr>
        <w:pStyle w:val="73"/>
        <w:rPr>
          <w:rtl/>
        </w:rPr>
      </w:pPr>
      <w:r w:rsidRPr="00EF3061">
        <w:rPr>
          <w:rFonts w:hint="cs"/>
          <w:rtl/>
        </w:rPr>
        <w:t>סיכום</w:t>
      </w:r>
    </w:p>
    <w:p w:rsidR="005B2BF5" w:rsidP="005B2BF5" w14:paraId="4937660D" w14:textId="6586C051">
      <w:pPr>
        <w:widowControl w:val="0"/>
        <w:spacing w:before="240" w:line="276" w:lineRule="auto"/>
        <w:ind w:left="-1"/>
        <w:rPr>
          <w:rFonts w:ascii="Tahoma" w:hAnsi="Tahoma" w:cs="Tahoma"/>
          <w:sz w:val="18"/>
          <w:szCs w:val="18"/>
          <w:rtl/>
        </w:rPr>
      </w:pPr>
      <w:r w:rsidRPr="00D2400F">
        <w:rPr>
          <w:rFonts w:ascii="Tahoma" w:hAnsi="Tahoma" w:cs="Tahoma"/>
          <w:sz w:val="18"/>
          <w:szCs w:val="18"/>
          <w:rtl/>
        </w:rPr>
        <w:t xml:space="preserve">הממצאים העולים מדוח זה מלמדים על ליקויים במגוון תחומים הנוגעים </w:t>
      </w:r>
      <w:r w:rsidRPr="00D2400F">
        <w:rPr>
          <w:rFonts w:ascii="Tahoma" w:hAnsi="Tahoma" w:cs="Tahoma"/>
          <w:sz w:val="18"/>
          <w:szCs w:val="18"/>
          <w:rtl/>
        </w:rPr>
        <w:t>למינהל</w:t>
      </w:r>
      <w:r w:rsidRPr="00D2400F">
        <w:rPr>
          <w:rFonts w:ascii="Tahoma" w:hAnsi="Tahoma" w:cs="Tahoma"/>
          <w:sz w:val="18"/>
          <w:szCs w:val="18"/>
          <w:rtl/>
        </w:rPr>
        <w:t xml:space="preserve"> הרכב הממשלתי שהוא הגורם האחראי להספקת שירותי רכב למשרדי הממשלה. לגבי צי הרכב הממשלתי, הכולל כ-4,500 רכבים פעילים, מהדוח עולה כי יש חריגה במידה ניכרת מהחלטת הממשלה בדבר גיל הרכבים הרצוי, וכי צי הרכבים נשען על רכבים מזהמים. עוד עולה כי הוראות </w:t>
      </w:r>
      <w:r w:rsidRPr="00D2400F">
        <w:rPr>
          <w:rFonts w:ascii="Tahoma" w:hAnsi="Tahoma" w:cs="Tahoma"/>
          <w:sz w:val="18"/>
          <w:szCs w:val="18"/>
          <w:rtl/>
        </w:rPr>
        <w:t>תכ"ם</w:t>
      </w:r>
      <w:r w:rsidRPr="00D2400F">
        <w:rPr>
          <w:rFonts w:ascii="Tahoma" w:hAnsi="Tahoma" w:cs="Tahoma"/>
          <w:sz w:val="18"/>
          <w:szCs w:val="18"/>
          <w:rtl/>
        </w:rPr>
        <w:t xml:space="preserve"> בתחומי הבטיחות, התקינה וניהול התקציב אינן מיושמות בפועל, דבר אשר גורם לעלויות כספיות גבוהות הניתנות לחיסכון. על </w:t>
      </w:r>
      <w:r w:rsidRPr="00D2400F">
        <w:rPr>
          <w:rFonts w:ascii="Tahoma" w:hAnsi="Tahoma" w:cs="Tahoma"/>
          <w:sz w:val="18"/>
          <w:szCs w:val="18"/>
          <w:rtl/>
        </w:rPr>
        <w:t>מינהל</w:t>
      </w:r>
      <w:r w:rsidRPr="00D2400F">
        <w:rPr>
          <w:rFonts w:ascii="Tahoma" w:hAnsi="Tahoma" w:cs="Tahoma"/>
          <w:sz w:val="18"/>
          <w:szCs w:val="18"/>
          <w:rtl/>
        </w:rPr>
        <w:t xml:space="preserve"> הרכב לפעול לשיפור התפעול של צי הרכב, לרבות עמידה במודל גיל הרכבים שנקבע; שיפור מנגנון המכירה; ופיקוח ובקרה נאותים על צי הרכב ועל הנהגים המורשים לנהוג ברכבי </w:t>
      </w:r>
      <w:r w:rsidRPr="00D2400F">
        <w:rPr>
          <w:rFonts w:ascii="Tahoma" w:hAnsi="Tahoma" w:cs="Tahoma"/>
          <w:sz w:val="18"/>
          <w:szCs w:val="18"/>
          <w:rtl/>
        </w:rPr>
        <w:t>המינהל</w:t>
      </w:r>
      <w:r w:rsidRPr="00D2400F">
        <w:rPr>
          <w:rFonts w:ascii="Tahoma" w:hAnsi="Tahoma" w:cs="Tahoma"/>
          <w:sz w:val="18"/>
          <w:szCs w:val="18"/>
          <w:rtl/>
        </w:rPr>
        <w:t xml:space="preserve">. כן מומלץ כי </w:t>
      </w:r>
      <w:r w:rsidRPr="00D2400F">
        <w:rPr>
          <w:rFonts w:ascii="Tahoma" w:hAnsi="Tahoma" w:cs="Tahoma"/>
          <w:sz w:val="18"/>
          <w:szCs w:val="18"/>
          <w:rtl/>
        </w:rPr>
        <w:t>המינהל</w:t>
      </w:r>
      <w:r w:rsidRPr="00D2400F">
        <w:rPr>
          <w:rFonts w:ascii="Tahoma" w:hAnsi="Tahoma" w:cs="Tahoma"/>
          <w:sz w:val="18"/>
          <w:szCs w:val="18"/>
          <w:rtl/>
        </w:rPr>
        <w:t xml:space="preserve"> יפעל לקליטת רכבים חשמליים בצי הרכב הממשלתי שהוא מפעיל וכן יבחן את החלופות הקיימות לניהול צי הרכב, לרבות מעבר לשיטת ליסינג. זאת במטרה להביא לחיסכון בעלויות, לצד שיפור באיכות הרכבים הפעילים ובטיב השירות הניתן לנהגים</w:t>
      </w:r>
      <w:r w:rsidRPr="006615C6">
        <w:rPr>
          <w:rFonts w:ascii="Tahoma" w:hAnsi="Tahoma" w:cs="Tahoma" w:hint="cs"/>
          <w:sz w:val="18"/>
          <w:szCs w:val="18"/>
          <w:rtl/>
        </w:rPr>
        <w:t xml:space="preserve">. </w:t>
      </w:r>
    </w:p>
    <w:p w:rsidR="00670B59" w:rsidP="005B2BF5" w14:paraId="7D8CCBF3" w14:textId="1D791208">
      <w:pPr>
        <w:widowControl w:val="0"/>
        <w:spacing w:before="240" w:line="276" w:lineRule="auto"/>
        <w:ind w:left="-1"/>
        <w:rPr>
          <w:rFonts w:ascii="Tahoma" w:hAnsi="Tahoma" w:cs="Tahoma"/>
          <w:sz w:val="18"/>
          <w:szCs w:val="18"/>
          <w:rtl/>
        </w:rPr>
      </w:pPr>
    </w:p>
    <w:p w:rsidR="00670B59" w:rsidRPr="006615C6" w:rsidP="005B2BF5" w14:paraId="48B56DFC" w14:textId="77777777">
      <w:pPr>
        <w:widowControl w:val="0"/>
        <w:spacing w:before="240" w:line="276" w:lineRule="auto"/>
        <w:ind w:left="-1"/>
        <w:rPr>
          <w:rFonts w:ascii="Tahoma" w:hAnsi="Tahoma" w:cs="Tahoma"/>
          <w:sz w:val="18"/>
          <w:szCs w:val="18"/>
          <w:rtl/>
        </w:rPr>
      </w:pPr>
    </w:p>
    <w:p w:rsidR="00CE2619" w:rsidP="00180A11" w14:paraId="4BD422E0" w14:textId="78EFA492">
      <w:pPr>
        <w:pStyle w:val="738"/>
        <w:spacing w:before="0" w:after="360"/>
        <w:rPr>
          <w:sz w:val="18"/>
          <w:szCs w:val="18"/>
          <w:rtl/>
        </w:rPr>
      </w:pPr>
    </w:p>
    <w:p w:rsidR="00AB1717" w:rsidRPr="00DD4656" w:rsidP="00ED025B" w14:paraId="3CC61AEA" w14:textId="77777777">
      <w:pPr>
        <w:rPr>
          <w:rtl/>
        </w:rPr>
        <w:sectPr w:rsidSect="00A571AD">
          <w:headerReference w:type="even" r:id="rId32"/>
          <w:headerReference w:type="default" r:id="rId33"/>
          <w:footerReference w:type="even" r:id="rId34"/>
          <w:footerReference w:type="default" r:id="rId35"/>
          <w:headerReference w:type="first" r:id="rId36"/>
          <w:footerReference w:type="first" r:id="rId37"/>
          <w:pgSz w:w="11906" w:h="16838" w:code="9"/>
          <w:pgMar w:top="3062" w:right="2268" w:bottom="2552" w:left="2268" w:header="1134" w:footer="1361" w:gutter="0"/>
          <w:pgNumType w:start="269"/>
          <w:cols w:space="708"/>
          <w:bidi/>
          <w:rtlGutter/>
          <w:docGrid w:linePitch="360"/>
        </w:sectPr>
      </w:pPr>
    </w:p>
    <w:p w:rsidR="00265067" w14:paraId="63996729" w14:textId="6FA4656E">
      <w:pPr>
        <w:bidi w:val="0"/>
        <w:spacing w:after="200" w:line="276" w:lineRule="auto"/>
        <w:rPr>
          <w:rFonts w:ascii="Tahoma" w:hAnsi="Tahoma" w:cs="Tahoma"/>
          <w:b/>
          <w:bCs/>
          <w:noProof/>
          <w:color w:val="00305F"/>
          <w:sz w:val="40"/>
          <w:szCs w:val="36"/>
          <w:rtl/>
        </w:rPr>
      </w:pPr>
      <w:r>
        <w:rPr>
          <w:noProof/>
          <w:rtl/>
          <w:lang w:val="he-IL"/>
        </w:rPr>
        <mc:AlternateContent>
          <mc:Choice Requires="wps">
            <w:drawing>
              <wp:anchor distT="0" distB="0" distL="114300" distR="114300" simplePos="0" relativeHeight="251686912" behindDoc="0" locked="0" layoutInCell="1" allowOverlap="1">
                <wp:simplePos x="0" y="0"/>
                <wp:positionH relativeFrom="column">
                  <wp:posOffset>4067002</wp:posOffset>
                </wp:positionH>
                <wp:positionV relativeFrom="paragraph">
                  <wp:posOffset>6901757</wp:posOffset>
                </wp:positionV>
                <wp:extent cx="1385454" cy="969818"/>
                <wp:effectExtent l="0" t="0" r="0" b="0"/>
                <wp:wrapNone/>
                <wp:docPr id="1113575875" name="מלבן 1113575875"/>
                <wp:cNvGraphicFramePr/>
                <a:graphic xmlns:a="http://schemas.openxmlformats.org/drawingml/2006/main">
                  <a:graphicData uri="http://schemas.microsoft.com/office/word/2010/wordprocessingShape">
                    <wps:wsp xmlns:wps="http://schemas.microsoft.com/office/word/2010/wordprocessingShape">
                      <wps:cNvSpPr/>
                      <wps:spPr>
                        <a:xfrm>
                          <a:off x="0" y="0"/>
                          <a:ext cx="1385454" cy="96981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113575875" o:spid="_x0000_s1039" style="width:109.1pt;height:76.35pt;margin-top:543.45pt;margin-left:320.25pt;mso-wrap-distance-bottom:0;mso-wrap-distance-left:9pt;mso-wrap-distance-right:9pt;mso-wrap-distance-top:0;mso-wrap-style:square;position:absolute;visibility:visible;v-text-anchor:middle;z-index:251687936" fillcolor="white" stroked="f" strokeweight="1.25pt"/>
            </w:pict>
          </mc:Fallback>
        </mc:AlternateContent>
      </w:r>
      <w:r>
        <w:rPr>
          <w:noProof/>
          <w:rtl/>
          <w:lang w:val="he-IL"/>
        </w:rPr>
        <mc:AlternateContent>
          <mc:Choice Requires="wps">
            <w:drawing>
              <wp:anchor distT="0" distB="0" distL="114300" distR="114300" simplePos="0" relativeHeight="251684864" behindDoc="0" locked="0" layoutInCell="1" allowOverlap="1">
                <wp:simplePos x="0" y="0"/>
                <wp:positionH relativeFrom="column">
                  <wp:posOffset>-1391689</wp:posOffset>
                </wp:positionH>
                <wp:positionV relativeFrom="paragraph">
                  <wp:posOffset>-655897</wp:posOffset>
                </wp:positionV>
                <wp:extent cx="6227618" cy="976745"/>
                <wp:effectExtent l="0" t="0" r="0" b="1270"/>
                <wp:wrapNone/>
                <wp:docPr id="1113575874" name="מלבן 1113575874"/>
                <wp:cNvGraphicFramePr/>
                <a:graphic xmlns:a="http://schemas.openxmlformats.org/drawingml/2006/main">
                  <a:graphicData uri="http://schemas.microsoft.com/office/word/2010/wordprocessingShape">
                    <wps:wsp xmlns:wps="http://schemas.microsoft.com/office/word/2010/wordprocessingShape">
                      <wps:cNvSpPr/>
                      <wps:spPr>
                        <a:xfrm>
                          <a:off x="0" y="0"/>
                          <a:ext cx="6227618" cy="976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113575874" o:spid="_x0000_s1040" style="width:490.35pt;height:76.9pt;margin-top:-51.65pt;margin-left:-109.6pt;mso-wrap-distance-bottom:0;mso-wrap-distance-left:9pt;mso-wrap-distance-right:9pt;mso-wrap-distance-top:0;mso-wrap-style:square;position:absolute;visibility:visible;v-text-anchor:middle;z-index:251685888" fillcolor="white" stroked="f" strokeweight="1.25pt"/>
            </w:pict>
          </mc:Fallback>
        </mc:AlternateContent>
      </w:r>
    </w:p>
    <w:sectPr w:rsidSect="00F35B8C">
      <w:headerReference w:type="even" r:id="rId38"/>
      <w:footerReference w:type="even" r:id="rId39"/>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66CDB" w14:paraId="56CD2758" w14:textId="77777777">
      <w:pPr>
        <w:spacing w:line="240" w:lineRule="auto"/>
      </w:pPr>
      <w:r>
        <w:separator/>
      </w:r>
    </w:p>
    <w:p w:rsidR="00766CDB" w14:paraId="176B40E0" w14:textId="77777777"/>
    <w:p w:rsidR="00766CDB" w14:paraId="08A4860E" w14:textId="77777777"/>
    <w:p w:rsidR="00766CDB" w14:paraId="2AB76ECD" w14:textId="77777777"/>
  </w:endnote>
  <w:endnote w:type="continuationSeparator" w:id="1">
    <w:p w:rsidR="00766CDB" w14:paraId="75A12719" w14:textId="77777777">
      <w:pPr>
        <w:spacing w:line="240" w:lineRule="auto"/>
      </w:pPr>
      <w:r>
        <w:continuationSeparator/>
      </w:r>
    </w:p>
    <w:p w:rsidR="00766CDB" w14:paraId="4265F094" w14:textId="77777777"/>
    <w:p w:rsidR="00766CDB" w14:paraId="5BCB3967" w14:textId="77777777"/>
    <w:p w:rsidR="00766CDB" w14:paraId="1E6603E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5F9C" w14:paraId="2680E17D"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694B" w:rsidRPr="00F94EB4" w:rsidP="00337C4E" w14:paraId="71472E75" w14:textId="77777777">
    <w:pPr>
      <w:pStyle w:val="Footer"/>
      <w:spacing w:after="120" w:line="312" w:lineRule="auto"/>
      <w:ind w:left="-510"/>
      <w:jc w:val="left"/>
      <w:rPr>
        <w:rFonts w:ascii="Tahoma" w:hAnsi="Tahoma" w:cs="Tahoma"/>
        <w:color w:val="004E6C"/>
        <w:sz w:val="18"/>
        <w:szCs w:val="18"/>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9A1489" w14:paraId="78F1745A" w14:textId="77777777">
    <w:pPr>
      <w:pStyle w:val="Footer"/>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F73EE0"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5F9C" w14:paraId="647CE41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P="00337C4E" w14:paraId="0591AE04" w14:textId="77777777">
    <w:pPr>
      <w:pStyle w:val="Footer"/>
      <w:spacing w:after="120" w:line="312" w:lineRule="auto"/>
      <w:ind w:left="-510"/>
      <w:jc w:val="left"/>
      <w:rPr>
        <w:rFonts w:ascii="Tahoma" w:hAnsi="Tahoma" w:cs="Tahoma"/>
        <w:sz w:val="18"/>
        <w:szCs w:val="18"/>
        <w:rtl/>
      </w:rPr>
    </w:pPr>
  </w:p>
  <w:p w:rsidR="000B31AA" w:rsidP="00024391" w14:paraId="40CD8FF7"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0B31AA" w:rsidRPr="00F94EB4" w:rsidP="00337C4E" w14:paraId="2918DFA2" w14:textId="77777777">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P="00024391" w14:paraId="78833D87"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B31AA" w:rsidP="00851F62" w14:paraId="5DDC5735" w14:textId="77777777">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RPr="00D15500" w:rsidP="00D15500" w14:paraId="7EF16D20" w14:textId="77777777">
    <w:pPr>
      <w:pStyle w:val="Footer"/>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337C4E" w14:paraId="56186361" w14:textId="28EA07C9">
    <w:pPr>
      <w:pStyle w:val="Footer"/>
      <w:spacing w:after="120" w:line="312" w:lineRule="auto"/>
      <w:ind w:left="-510"/>
      <w:jc w:val="left"/>
      <w:rPr>
        <w:rFonts w:ascii="Tahoma" w:hAnsi="Tahoma" w:cs="Tahoma"/>
        <w:sz w:val="18"/>
        <w:szCs w:val="18"/>
        <w:rtl/>
      </w:rPr>
    </w:pPr>
  </w:p>
  <w:p w:rsidR="00F73EE0" w:rsidP="005D0F8C" w14:paraId="55F954A2" w14:textId="6FAB6609">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sidR="00DA1D77">
      <w:rPr>
        <w:rFonts w:ascii="Tahoma" w:hAnsi="Tahoma" w:cs="Tahoma"/>
        <w:color w:val="004E6C"/>
        <w:sz w:val="18"/>
        <w:szCs w:val="18"/>
        <w:rtl/>
      </w:rPr>
      <w:tab/>
    </w:r>
    <w:r w:rsidR="005D0F8C">
      <w:rPr>
        <w:rFonts w:ascii="Tahoma" w:hAnsi="Tahoma" w:cs="Tahoma"/>
        <w:color w:val="004E6C"/>
        <w:sz w:val="18"/>
        <w:szCs w:val="18"/>
        <w:rtl/>
      </w:rPr>
      <w:tab/>
    </w:r>
  </w:p>
  <w:p w:rsidR="00F73EE0"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E0306" w14:paraId="2C2A80D5" w14:textId="60A84A1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F73EE0" w:rsidP="00851F62" w14:paraId="12CBD4D4" w14:textId="6E77634B">
    <w:pPr>
      <w:pStyle w:val="Footer"/>
      <w:spacing w:after="120" w:line="312" w:lineRule="auto"/>
      <w:ind w:right="-567"/>
      <w:jc w:val="right"/>
      <w:rPr>
        <w:rFonts w:ascii="Tahoma" w:hAnsi="Tahoma" w:cs="Tahoma"/>
        <w:sz w:val="18"/>
        <w:szCs w:val="18"/>
        <w:rt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66CDB" w:rsidP="00E7235E" w14:paraId="63F8C0ED" w14:textId="77777777">
      <w:pPr>
        <w:spacing w:line="240" w:lineRule="auto"/>
      </w:pPr>
      <w:r>
        <w:separator/>
      </w:r>
    </w:p>
  </w:footnote>
  <w:footnote w:type="continuationSeparator" w:id="1">
    <w:p w:rsidR="00766CDB" w:rsidP="00C23CC9" w14:paraId="114E2772" w14:textId="77777777">
      <w:pPr>
        <w:spacing w:line="240" w:lineRule="auto"/>
      </w:pPr>
      <w:r>
        <w:continuationSeparator/>
      </w:r>
    </w:p>
    <w:p w:rsidR="00766CDB" w14:paraId="7E4BEA72" w14:textId="77777777"/>
    <w:p w:rsidR="00766CDB" w14:paraId="416E13CC" w14:textId="77777777"/>
    <w:p w:rsidR="00766CDB" w14:paraId="36FA40AB" w14:textId="77777777"/>
  </w:footnote>
  <w:footnote w:id="2">
    <w:p w:rsidR="000B0C0B" w:rsidRPr="00A0321A" w:rsidP="009F0DCA" w14:paraId="35233D9C" w14:textId="77777777">
      <w:pPr>
        <w:pStyle w:val="733"/>
        <w:rPr>
          <w:rtl/>
        </w:rPr>
      </w:pPr>
      <w:r w:rsidRPr="00303DC9">
        <w:footnoteRef/>
      </w:r>
      <w:r w:rsidRPr="00303DC9">
        <w:rPr>
          <w:rtl/>
        </w:rPr>
        <w:t xml:space="preserve"> </w:t>
      </w:r>
      <w:r w:rsidRPr="00303DC9">
        <w:rPr>
          <w:rtl/>
        </w:rPr>
        <w:tab/>
      </w:r>
      <w:r w:rsidRPr="00A0321A">
        <w:rPr>
          <w:rtl/>
        </w:rPr>
        <w:t>חברי הוועדה הם אלה: סגן בכיר לחשכ"ל, מנהל חטיבת נכסים ולוגיסטיקה (ממלא מקום היו"ר); סגן בכיר לחשכ"ל, מנהל חטיבת שכר ותנאי שירות; מנהל מינהל הרכב הממשלתי; סגן הממונה על התקציבים או נציגו.</w:t>
      </w:r>
    </w:p>
  </w:footnote>
  <w:footnote w:id="3">
    <w:p w:rsidR="000B0C0B" w:rsidRPr="000B0C0B" w:rsidP="009F0DCA" w14:paraId="2050C365" w14:textId="77777777">
      <w:pPr>
        <w:pStyle w:val="733"/>
        <w:rPr>
          <w:spacing w:val="-4"/>
          <w:rtl/>
        </w:rPr>
      </w:pPr>
      <w:r w:rsidRPr="000B0C0B">
        <w:rPr>
          <w:rStyle w:val="FootnoteReference0"/>
          <w:vertAlign w:val="baseline"/>
        </w:rPr>
        <w:footnoteRef/>
      </w:r>
      <w:r w:rsidRPr="000B0C0B">
        <w:rPr>
          <w:rtl/>
        </w:rPr>
        <w:t xml:space="preserve"> </w:t>
      </w:r>
      <w:r w:rsidRPr="000B0C0B">
        <w:rPr>
          <w:rtl/>
        </w:rPr>
        <w:tab/>
      </w:r>
      <w:r w:rsidRPr="000B0C0B">
        <w:rPr>
          <w:spacing w:val="-4"/>
          <w:rtl/>
        </w:rPr>
        <w:t xml:space="preserve">בהתאם לנתוני מערכת </w:t>
      </w:r>
      <w:r w:rsidRPr="000B0C0B">
        <w:rPr>
          <w:spacing w:val="-4"/>
          <w:rtl/>
        </w:rPr>
        <w:t>מרכב"ה (מערכת רוחבית כוללת במשרדי הממשלה) נכון לינואר 2022, למינהל הרכב יש כ-5,200 כלי רכב פעילים, מהם כ-1,000 רכבי שירות בתי הסוהר אשר נרכשים ונמכרים על ידי המינהל, אך אינם מתוחזקים על ידו.</w:t>
      </w:r>
    </w:p>
  </w:footnote>
  <w:footnote w:id="4">
    <w:p w:rsidR="000B0C0B" w:rsidRPr="000B0C0B" w:rsidP="009F0DCA" w14:paraId="6701B577" w14:textId="77777777">
      <w:pPr>
        <w:pStyle w:val="733"/>
        <w:rPr>
          <w:rtl/>
        </w:rPr>
      </w:pPr>
      <w:r w:rsidRPr="000B0C0B">
        <w:rPr>
          <w:rStyle w:val="FootnoteReference0"/>
          <w:vertAlign w:val="baseline"/>
        </w:rPr>
        <w:footnoteRef/>
      </w:r>
      <w:r w:rsidRPr="000B0C0B">
        <w:rPr>
          <w:rtl/>
        </w:rPr>
        <w:t xml:space="preserve"> </w:t>
      </w:r>
      <w:r w:rsidRPr="000B0C0B">
        <w:rPr>
          <w:rtl/>
        </w:rPr>
        <w:tab/>
        <w:t xml:space="preserve">בהתבסס על הנחה שמרנית לפיה הגיל הממוצע של רכבי </w:t>
      </w:r>
      <w:r w:rsidRPr="000B0C0B">
        <w:rPr>
          <w:rtl/>
        </w:rPr>
        <w:t>המינהל הינו שנתיים, ולא 5 שנים (ממוצע גיל רכבי הנוסעים הפעילים, נכון לינואר 2022).</w:t>
      </w:r>
    </w:p>
  </w:footnote>
  <w:footnote w:id="5">
    <w:p w:rsidR="000B0C0B" w:rsidRPr="000B0C0B" w:rsidP="009F0DCA" w14:paraId="0E26B6D1" w14:textId="77777777">
      <w:pPr>
        <w:pStyle w:val="733"/>
        <w:rPr>
          <w:rtl/>
        </w:rPr>
      </w:pPr>
      <w:r w:rsidRPr="000B0C0B">
        <w:rPr>
          <w:rStyle w:val="FootnoteReference0"/>
          <w:vertAlign w:val="baseline"/>
        </w:rPr>
        <w:footnoteRef/>
      </w:r>
      <w:r w:rsidRPr="000B0C0B">
        <w:rPr>
          <w:rtl/>
        </w:rPr>
        <w:t xml:space="preserve"> </w:t>
      </w:r>
      <w:r w:rsidRPr="000B0C0B">
        <w:rPr>
          <w:rtl/>
        </w:rPr>
        <w:tab/>
        <w:t xml:space="preserve">קרן החידוש הוקמה ע"י </w:t>
      </w:r>
      <w:r w:rsidRPr="000B0C0B">
        <w:rPr>
          <w:rtl/>
        </w:rPr>
        <w:t>החשכ"ל בשנת 2011, ומטרתה לצבור כספים שהתקבלו ממשרדי הממשלה לפני הרכישה בפועל של הרכבים ולרכוש ולחדש רכבים מכספים הנמצאים מחוץ לתקציב. סכום החיוב השנתי שווה לכ-25% משווי הרכב בניכוי ערך הגרט לתום ארבע שנים ממועד רכישתו.</w:t>
      </w:r>
    </w:p>
  </w:footnote>
  <w:footnote w:id="6">
    <w:p w:rsidR="000B0C0B" w:rsidRPr="00A0321A" w:rsidP="002F3311" w14:paraId="1A78D668" w14:textId="72527B83">
      <w:pPr>
        <w:pStyle w:val="733"/>
      </w:pPr>
      <w:r w:rsidRPr="000B0C0B">
        <w:rPr>
          <w:rStyle w:val="FootnoteReference0"/>
          <w:vertAlign w:val="baseline"/>
        </w:rPr>
        <w:footnoteRef/>
      </w:r>
      <w:r w:rsidRPr="000B0C0B">
        <w:rPr>
          <w:rtl/>
        </w:rPr>
        <w:t xml:space="preserve"> </w:t>
      </w:r>
      <w:r w:rsidRPr="000B0C0B">
        <w:rPr>
          <w:rtl/>
        </w:rPr>
        <w:tab/>
        <w:t xml:space="preserve">במידה ותחלופת רכבי הנוסעים הייתה מתבצעת בהתאם למודל החלפת הרכב של </w:t>
      </w:r>
      <w:r w:rsidRPr="000B0C0B">
        <w:rPr>
          <w:rtl/>
        </w:rPr>
        <w:t>מינהל הרכב, בכל 4 שנים, הגיל הממוצע של רכבי הנוסעים היה עומד על שנתיים ולא על 5 שנים הממוצע בפועל.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2576"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1552"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62870D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723263" w:rsidR="00723263">
                            <w:rPr>
                              <w:rFonts w:ascii="Tahoma" w:hAnsi="Tahoma" w:cs="Tahoma"/>
                              <w:b/>
                              <w:bCs/>
                              <w:rtl/>
                            </w:rPr>
                            <w:t>מינהל הרכב הממשלתי</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9504" fillcolor="#00305f" strokecolor="#00305f">
              <v:textbox style="layout-flow:vertical;mso-layout-flow-alt:bottom-to-top" inset="0,0,0,0">
                <w:txbxContent>
                  <w:p w:rsidR="00F73EE0" w:rsidRPr="009B7D1B" w:rsidP="00586851" w14:paraId="77809697" w14:textId="762870D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723263" w:rsidR="00723263">
                      <w:rPr>
                        <w:rFonts w:ascii="Tahoma" w:hAnsi="Tahoma" w:cs="Tahoma"/>
                        <w:b/>
                        <w:bCs/>
                        <w:rtl/>
                      </w:rPr>
                      <w:t>מינהל</w:t>
                    </w:r>
                    <w:r w:rsidRPr="00723263" w:rsidR="00723263">
                      <w:rPr>
                        <w:rFonts w:ascii="Tahoma" w:hAnsi="Tahoma" w:cs="Tahoma"/>
                        <w:b/>
                        <w:bCs/>
                        <w:rtl/>
                      </w:rPr>
                      <w:t xml:space="preserve"> הרכב הממשלתי</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4E50DA67">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 xml:space="preserve">התשפ״ג | </w:t>
                          </w:r>
                          <w:r w:rsidRPr="00BF04C5" w:rsidR="00BF04C5">
                            <w:rPr>
                              <w:rFonts w:ascii="Tahoma" w:hAnsi="Tahoma" w:cs="Tahoma"/>
                              <w:color w:val="0D0D0D"/>
                              <w:sz w:val="16"/>
                              <w:szCs w:val="16"/>
                              <w:rtl/>
                            </w:rPr>
                            <w:t>נובמבר</w:t>
                          </w:r>
                          <w:r w:rsidR="00BF04C5">
                            <w:rPr>
                              <w:rFonts w:ascii="Tahoma" w:hAnsi="Tahoma" w:cs="Tahoma" w:hint="cs"/>
                              <w:color w:val="0D0D0D"/>
                              <w:sz w:val="16"/>
                              <w:szCs w:val="16"/>
                              <w:rtl/>
                            </w:rPr>
                            <w:t xml:space="preserve"> </w:t>
                          </w:r>
                          <w:r w:rsidRPr="00A80DC3">
                            <w:rPr>
                              <w:rFonts w:ascii="Tahoma" w:hAnsi="Tahoma" w:cs="Tahoma"/>
                              <w:color w:val="0D0D0D"/>
                              <w:sz w:val="16"/>
                              <w:szCs w:val="16"/>
                              <w:rtl/>
                            </w:rPr>
                            <w:t>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E50DA67">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BF04C5" w:rsidR="00BF04C5">
                      <w:rPr>
                        <w:rFonts w:ascii="Tahoma" w:hAnsi="Tahoma" w:cs="Tahoma"/>
                        <w:color w:val="0D0D0D"/>
                        <w:sz w:val="16"/>
                        <w:szCs w:val="16"/>
                        <w:rtl/>
                      </w:rPr>
                      <w:t>נובמבר</w:t>
                    </w:r>
                    <w:r w:rsidR="00BF04C5">
                      <w:rPr>
                        <w:rFonts w:ascii="Tahoma" w:hAnsi="Tahoma" w:cs="Tahoma" w:hint="cs"/>
                        <w:color w:val="0D0D0D"/>
                        <w:sz w:val="16"/>
                        <w:szCs w:val="16"/>
                        <w:rtl/>
                      </w:rPr>
                      <w:t xml:space="preserve"> </w:t>
                    </w:r>
                    <w:r w:rsidRPr="00A80DC3">
                      <w:rPr>
                        <w:rFonts w:ascii="Tahoma" w:hAnsi="Tahoma" w:cs="Tahoma"/>
                        <w:color w:val="0D0D0D"/>
                        <w:sz w:val="16"/>
                        <w:szCs w:val="16"/>
                        <w:rtl/>
                      </w:rPr>
                      <w:t>2022</w:t>
                    </w:r>
                  </w:p>
                </w:txbxContent>
              </v:textbox>
            </v:shape>
          </w:pict>
        </mc:Fallback>
      </mc:AlternateContent>
    </w: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7456"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807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4688"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667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206E4FF6">
                          <w:pPr>
                            <w:pStyle w:val="Heading1"/>
                            <w:spacing w:line="269" w:lineRule="auto"/>
                            <w:jc w:val="left"/>
                            <w:rPr>
                              <w:rFonts w:ascii="Tahoma" w:hAnsi="Tahoma" w:eastAsiaTheme="minorHAnsi" w:cs="Tahoma"/>
                              <w:bCs w:val="0"/>
                              <w:color w:val="0D0D0D" w:themeColor="text1" w:themeTint="F2"/>
                              <w:sz w:val="16"/>
                              <w:szCs w:val="16"/>
                              <w:u w:val="none"/>
                            </w:rPr>
                          </w:pPr>
                          <w:r w:rsidRPr="00723263">
                            <w:rPr>
                              <w:rFonts w:ascii="Tahoma" w:hAnsi="Tahoma" w:eastAsiaTheme="minorHAnsi" w:cs="Tahoma"/>
                              <w:bCs w:val="0"/>
                              <w:color w:val="0D0D0D" w:themeColor="text1" w:themeTint="F2"/>
                              <w:sz w:val="16"/>
                              <w:szCs w:val="16"/>
                              <w:u w:val="none"/>
                              <w:rtl/>
                            </w:rPr>
                            <w:t>מינהל הרכב הממשלתי</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7696" stroked="f">
              <v:textbox style="mso-fit-shape-to-text:t">
                <w:txbxContent>
                  <w:p w:rsidR="00F73EE0" w:rsidRPr="003D62C4" w:rsidP="00F559D6" w14:paraId="111D0894" w14:textId="206E4FF6">
                    <w:pPr>
                      <w:pStyle w:val="Heading1"/>
                      <w:spacing w:line="269" w:lineRule="auto"/>
                      <w:jc w:val="left"/>
                      <w:rPr>
                        <w:rFonts w:ascii="Tahoma" w:hAnsi="Tahoma" w:eastAsiaTheme="minorHAnsi" w:cs="Tahoma"/>
                        <w:bCs w:val="0"/>
                        <w:color w:val="0D0D0D" w:themeColor="text1" w:themeTint="F2"/>
                        <w:sz w:val="16"/>
                        <w:szCs w:val="16"/>
                        <w:u w:val="none"/>
                      </w:rPr>
                    </w:pPr>
                    <w:r w:rsidRPr="00723263">
                      <w:rPr>
                        <w:rFonts w:ascii="Tahoma" w:hAnsi="Tahoma" w:eastAsiaTheme="minorHAnsi" w:cs="Tahoma"/>
                        <w:bCs w:val="0"/>
                        <w:color w:val="0D0D0D" w:themeColor="text1" w:themeTint="F2"/>
                        <w:sz w:val="16"/>
                        <w:szCs w:val="16"/>
                        <w:u w:val="none"/>
                        <w:rtl/>
                      </w:rPr>
                      <w:t>מינהל</w:t>
                    </w:r>
                    <w:r w:rsidRPr="00723263">
                      <w:rPr>
                        <w:rFonts w:ascii="Tahoma" w:hAnsi="Tahoma" w:eastAsiaTheme="minorHAnsi" w:cs="Tahoma"/>
                        <w:bCs w:val="0"/>
                        <w:color w:val="0D0D0D" w:themeColor="text1" w:themeTint="F2"/>
                        <w:sz w:val="16"/>
                        <w:szCs w:val="16"/>
                        <w:u w:val="none"/>
                        <w:rtl/>
                      </w:rPr>
                      <w:t xml:space="preserve"> הרכב הממשלתי</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8281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4624"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RPr="00D15500" w:rsidP="005B4811" w14:paraId="5009AC3C"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704320"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702272"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170" name="תיבת טקסט 1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0B31AA"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70"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03296" stroked="f">
              <v:textbox>
                <w:txbxContent>
                  <w:p w:rsidR="000B31AA" w:rsidRPr="005B4811" w:rsidP="005B4811" w14:paraId="620D61BD"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700224"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17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0B31AA"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תיבת טקסט 2" o:sp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701248" stroked="f">
              <v:textbox style="mso-fit-shape-to-text:t">
                <w:txbxContent>
                  <w:p w:rsidR="000B31AA" w:rsidRPr="005B4811" w:rsidP="005B4811" w14:paraId="556FBA7E"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705344"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0967" w14:paraId="5B3F5A34" w14:textId="77777777">
    <w:pPr>
      <w:pStyle w:val="Header"/>
      <w:rPr>
        <w:rtl/>
      </w:rPr>
    </w:pPr>
    <w:r>
      <w:rPr>
        <w:noProof/>
        <w:rtl/>
        <w:lang w:val="he-IL"/>
      </w:rPr>
      <mc:AlternateContent>
        <mc:Choice Requires="wps">
          <w:drawing>
            <wp:anchor distT="0" distB="0" distL="114300" distR="114300" simplePos="0" relativeHeight="25169715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52770944"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E0967"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8304" filled="f" strokecolor="#a5a5a5" strokeweight="0.25pt">
              <v:stroke dashstyle="longDash"/>
              <v:textbox>
                <w:txbxContent>
                  <w:p w:rsidR="00AE0967" w:rsidRPr="00FD02CC" w:rsidP="006E67D8" w14:paraId="639CB30D"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AE0967" w:rsidP="00FD02CC" w14:paraId="28746DA9" w14:textId="77777777">
    <w:pPr>
      <w:pStyle w:val="Header"/>
      <w:ind w:firstLine="720"/>
      <w:rPr>
        <w:rtl/>
      </w:rPr>
    </w:pPr>
  </w:p>
  <w:p w:rsidR="00AE0967" w14:paraId="159FC50A" w14:textId="77777777">
    <w:pPr>
      <w:pStyle w:val="Header"/>
      <w:rPr>
        <w:rtl/>
      </w:rPr>
    </w:pPr>
  </w:p>
  <w:p w:rsidR="00AE0967" w14:paraId="2D56BF8A"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95104"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20527709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AE0967" w:rsidRPr="003D62C4" w:rsidP="00F559D6" w14:textId="309E913F">
                          <w:pPr>
                            <w:pStyle w:val="Heading1"/>
                            <w:spacing w:line="269" w:lineRule="auto"/>
                            <w:jc w:val="left"/>
                            <w:rPr>
                              <w:rFonts w:ascii="Tahoma" w:hAnsi="Tahoma" w:eastAsiaTheme="minorHAnsi" w:cs="Tahoma"/>
                              <w:bCs w:val="0"/>
                              <w:color w:val="0D0D0D" w:themeColor="text1" w:themeTint="F2"/>
                              <w:sz w:val="16"/>
                              <w:szCs w:val="16"/>
                              <w:u w:val="none"/>
                            </w:rPr>
                          </w:pPr>
                          <w:r w:rsidRPr="00723263">
                            <w:rPr>
                              <w:rFonts w:ascii="Tahoma" w:hAnsi="Tahoma" w:eastAsiaTheme="minorHAnsi" w:cs="Tahoma"/>
                              <w:bCs w:val="0"/>
                              <w:color w:val="0D0D0D" w:themeColor="text1" w:themeTint="F2"/>
                              <w:sz w:val="16"/>
                              <w:szCs w:val="16"/>
                              <w:u w:val="none"/>
                              <w:rtl/>
                            </w:rPr>
                            <w:t>מינהל הרכב הממשלתי</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696128" stroked="f">
              <v:textbox style="mso-fit-shape-to-text:t">
                <w:txbxContent>
                  <w:p w:rsidR="00AE0967" w:rsidRPr="003D62C4" w:rsidP="00F559D6" w14:paraId="16923A9F" w14:textId="309E913F">
                    <w:pPr>
                      <w:pStyle w:val="Heading1"/>
                      <w:spacing w:line="269" w:lineRule="auto"/>
                      <w:jc w:val="left"/>
                      <w:rPr>
                        <w:rFonts w:ascii="Tahoma" w:hAnsi="Tahoma" w:eastAsiaTheme="minorHAnsi" w:cs="Tahoma"/>
                        <w:bCs w:val="0"/>
                        <w:color w:val="0D0D0D" w:themeColor="text1" w:themeTint="F2"/>
                        <w:sz w:val="16"/>
                        <w:szCs w:val="16"/>
                        <w:u w:val="none"/>
                      </w:rPr>
                    </w:pPr>
                    <w:r w:rsidRPr="00723263">
                      <w:rPr>
                        <w:rFonts w:ascii="Tahoma" w:hAnsi="Tahoma" w:eastAsiaTheme="minorHAnsi" w:cs="Tahoma"/>
                        <w:bCs w:val="0"/>
                        <w:color w:val="0D0D0D" w:themeColor="text1" w:themeTint="F2"/>
                        <w:sz w:val="16"/>
                        <w:szCs w:val="16"/>
                        <w:u w:val="none"/>
                        <w:rtl/>
                      </w:rPr>
                      <w:t>מינהל</w:t>
                    </w:r>
                    <w:r w:rsidRPr="00723263">
                      <w:rPr>
                        <w:rFonts w:ascii="Tahoma" w:hAnsi="Tahoma" w:eastAsiaTheme="minorHAnsi" w:cs="Tahoma"/>
                        <w:bCs w:val="0"/>
                        <w:color w:val="0D0D0D" w:themeColor="text1" w:themeTint="F2"/>
                        <w:sz w:val="16"/>
                        <w:szCs w:val="16"/>
                        <w:u w:val="none"/>
                        <w:rtl/>
                      </w:rPr>
                      <w:t xml:space="preserve"> הרכב הממשלתי</w:t>
                    </w:r>
                  </w:p>
                </w:txbxContent>
              </v:textbox>
              <w10:wrap type="square"/>
            </v:shape>
          </w:pict>
        </mc:Fallback>
      </mc:AlternateContent>
    </w:r>
  </w:p>
  <w:p w:rsidR="00AE0967" w:rsidP="009620E7" w14:paraId="73FEDFBB" w14:textId="77777777">
    <w:pPr>
      <w:pStyle w:val="Header"/>
      <w:rPr>
        <w:rtl/>
      </w:rPr>
    </w:pPr>
    <w:r>
      <w:rPr>
        <w:rFonts w:ascii="Tahoma" w:hAnsi="Tahoma" w:cs="Tahoma"/>
        <w:noProof/>
        <w:color w:val="002060"/>
        <w:sz w:val="18"/>
        <w:szCs w:val="18"/>
      </w:rPr>
      <w:drawing>
        <wp:anchor distT="0" distB="0" distL="114300" distR="114300" simplePos="0" relativeHeight="25169920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9"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052770946"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2" style="flip:x;mso-height-percent:0;mso-height-relative:margin;mso-width-percent:0;mso-width-relative:margin;mso-wrap-distance-bottom:0;mso-wrap-distance-left:9pt;mso-wrap-distance-right:9pt;mso-wrap-distance-top:0;mso-wrap-style:square;position:absolute;visibility:visible;z-index:251694080"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0967" w:rsidP="001526AC" w14:paraId="0C925539" w14:textId="5F835BDA">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87936" behindDoc="0" locked="0" layoutInCell="1" allowOverlap="1">
              <wp:simplePos x="0" y="0"/>
              <wp:positionH relativeFrom="column">
                <wp:posOffset>-714375</wp:posOffset>
              </wp:positionH>
              <wp:positionV relativeFrom="paragraph">
                <wp:posOffset>-726440</wp:posOffset>
              </wp:positionV>
              <wp:extent cx="304800" cy="8305800"/>
              <wp:effectExtent l="0" t="0" r="12700" b="12700"/>
              <wp:wrapSquare wrapText="bothSides"/>
              <wp:docPr id="49"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305800"/>
                      </a:xfrm>
                      <a:prstGeom prst="rect">
                        <a:avLst/>
                      </a:prstGeom>
                      <a:solidFill>
                        <a:srgbClr val="00305F"/>
                      </a:solidFill>
                      <a:ln>
                        <a:solidFill>
                          <a:srgbClr val="00305F"/>
                        </a:solidFill>
                      </a:ln>
                    </wps:spPr>
                    <wps:txbx>
                      <w:txbxContent>
                        <w:p w:rsidR="00502C7D" w:rsidRPr="009B7D1B" w:rsidP="00502C7D"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723263">
                            <w:rPr>
                              <w:rFonts w:ascii="Tahoma" w:hAnsi="Tahoma" w:cs="Tahoma"/>
                              <w:b/>
                              <w:bCs/>
                              <w:rtl/>
                            </w:rPr>
                            <w:t>מינהל הרכב הממשלתי</w:t>
                          </w:r>
                        </w:p>
                        <w:p w:rsidR="00AE0967" w:rsidRPr="00DE30DA" w:rsidP="006F4F50" w14:textId="0656BFA7">
                          <w:pPr>
                            <w:pStyle w:val="Bodytext70"/>
                            <w:shd w:val="clear" w:color="auto" w:fill="003060"/>
                            <w:rPr>
                              <w:rFonts w:ascii="Tahoma" w:hAnsi="Tahoma" w:cs="Tahoma"/>
                              <w:rtl/>
                            </w:rPr>
                          </w:pP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3" type="#_x0000_t202" style="width:24pt;height:654pt;margin-top:-57.2pt;margin-left:-56.25pt;mso-height-percent:0;mso-height-relative:margin;mso-width-percent:0;mso-width-relative:margin;mso-wrap-distance-bottom:0;mso-wrap-distance-left:9pt;mso-wrap-distance-right:9pt;mso-wrap-distance-top:0;mso-wrap-style:square;position:absolute;visibility:visible;v-text-anchor:top;z-index:251688960" fillcolor="#00305f" strokecolor="#00305f">
              <v:textbox style="layout-flow:vertical;mso-layout-flow-alt:bottom-to-top" inset="0,0,0,0">
                <w:txbxContent>
                  <w:p w:rsidR="00502C7D" w:rsidRPr="009B7D1B" w:rsidP="00502C7D" w14:paraId="1237EB9E"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723263">
                      <w:rPr>
                        <w:rFonts w:ascii="Tahoma" w:hAnsi="Tahoma" w:cs="Tahoma"/>
                        <w:b/>
                        <w:bCs/>
                        <w:rtl/>
                      </w:rPr>
                      <w:t>מינהל</w:t>
                    </w:r>
                    <w:r w:rsidRPr="00723263">
                      <w:rPr>
                        <w:rFonts w:ascii="Tahoma" w:hAnsi="Tahoma" w:cs="Tahoma"/>
                        <w:b/>
                        <w:bCs/>
                        <w:rtl/>
                      </w:rPr>
                      <w:t xml:space="preserve"> הרכב הממשלתי</w:t>
                    </w:r>
                  </w:p>
                  <w:p w:rsidR="00AE0967" w:rsidRPr="00DE30DA" w:rsidP="006F4F50" w14:paraId="729CC74D" w14:textId="0656BFA7">
                    <w:pPr>
                      <w:pStyle w:val="Bodytext70"/>
                      <w:shd w:val="clear" w:color="auto" w:fill="003060"/>
                      <w:rPr>
                        <w:rFonts w:ascii="Tahoma" w:hAnsi="Tahoma" w:cs="Tahoma"/>
                        <w:rtl/>
                      </w:rPr>
                    </w:pPr>
                  </w:p>
                </w:txbxContent>
              </v:textbox>
              <w10:wrap type="square"/>
            </v:shape>
          </w:pict>
        </mc:Fallback>
      </mc:AlternateContent>
    </w: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44"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E0967"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4"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AE0967" w:rsidRPr="00FD02CC" w:rsidP="006E67D8" w14:paraId="3FF43572"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AE0967" w:rsidP="001526AC" w14:paraId="64DC27DF" w14:textId="77777777">
    <w:pPr>
      <w:pStyle w:val="Header"/>
      <w:tabs>
        <w:tab w:val="left" w:pos="493"/>
        <w:tab w:val="center" w:pos="4111"/>
        <w:tab w:val="clear" w:pos="4153"/>
        <w:tab w:val="right" w:pos="7478"/>
        <w:tab w:val="right" w:pos="8222"/>
        <w:tab w:val="clear" w:pos="8306"/>
      </w:tabs>
      <w:jc w:val="left"/>
      <w:rPr>
        <w:rtl/>
      </w:rPr>
    </w:pPr>
  </w:p>
  <w:p w:rsidR="00AE0967" w:rsidRPr="001526AC" w:rsidP="00005B23" w14:paraId="6CF290BE"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38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D40232" w:rsidRPr="00136A3E" w:rsidP="00D40232"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 xml:space="preserve">התשפ״ג | </w:t>
                          </w:r>
                          <w:r w:rsidRPr="00D54916">
                            <w:rPr>
                              <w:rFonts w:ascii="Tahoma" w:hAnsi="Tahoma" w:cs="Tahoma"/>
                              <w:color w:val="0D0D0D"/>
                              <w:sz w:val="16"/>
                              <w:szCs w:val="16"/>
                              <w:rtl/>
                            </w:rPr>
                            <w:t>נובמבר</w:t>
                          </w:r>
                          <w:r>
                            <w:rPr>
                              <w:rFonts w:ascii="Tahoma" w:hAnsi="Tahoma" w:cs="Tahoma" w:hint="cs"/>
                              <w:color w:val="0D0D0D"/>
                              <w:sz w:val="16"/>
                              <w:szCs w:val="16"/>
                              <w:rtl/>
                            </w:rPr>
                            <w:t xml:space="preserve"> </w:t>
                          </w:r>
                          <w:r w:rsidRPr="00A80DC3">
                            <w:rPr>
                              <w:rFonts w:ascii="Tahoma" w:hAnsi="Tahoma" w:cs="Tahoma"/>
                              <w:color w:val="0D0D0D"/>
                              <w:sz w:val="16"/>
                              <w:szCs w:val="16"/>
                              <w:rtl/>
                            </w:rPr>
                            <w:t>2022</w:t>
                          </w:r>
                        </w:p>
                        <w:p w:rsidR="00AE0967" w:rsidRPr="00D40232" w:rsidP="00136A3E" w14:textId="06F0180D">
                          <w:pPr>
                            <w:jc w:val="right"/>
                            <w:rPr>
                              <w:color w:val="0D0D0D"/>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D40232" w:rsidRPr="00136A3E" w:rsidP="00D40232" w14:paraId="43D75EA6"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D54916">
                      <w:rPr>
                        <w:rFonts w:ascii="Tahoma" w:hAnsi="Tahoma" w:cs="Tahoma"/>
                        <w:color w:val="0D0D0D"/>
                        <w:sz w:val="16"/>
                        <w:szCs w:val="16"/>
                        <w:rtl/>
                      </w:rPr>
                      <w:t>נובמבר</w:t>
                    </w:r>
                    <w:r>
                      <w:rPr>
                        <w:rFonts w:ascii="Tahoma" w:hAnsi="Tahoma" w:cs="Tahoma" w:hint="cs"/>
                        <w:color w:val="0D0D0D"/>
                        <w:sz w:val="16"/>
                        <w:szCs w:val="16"/>
                        <w:rtl/>
                      </w:rPr>
                      <w:t xml:space="preserve"> </w:t>
                    </w:r>
                    <w:r w:rsidRPr="00A80DC3">
                      <w:rPr>
                        <w:rFonts w:ascii="Tahoma" w:hAnsi="Tahoma" w:cs="Tahoma"/>
                        <w:color w:val="0D0D0D"/>
                        <w:sz w:val="16"/>
                        <w:szCs w:val="16"/>
                        <w:rtl/>
                      </w:rPr>
                      <w:t>2022</w:t>
                    </w:r>
                  </w:p>
                  <w:p w:rsidR="00AE0967" w:rsidRPr="00D40232" w:rsidP="00136A3E" w14:paraId="66B791C1" w14:textId="06F0180D">
                    <w:pPr>
                      <w:jc w:val="right"/>
                      <w:rPr>
                        <w:color w:val="0D0D0D"/>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998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3"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6" style="flip:x;mso-height-percent:0;mso-height-relative:margin;mso-width-percent:0;mso-width-relative:margin;mso-wrap-distance-bottom:0;mso-wrap-distance-left:9pt;mso-wrap-distance-right:9pt;mso-wrap-distance-top:0;mso-wrap-style:square;position:absolute;visibility:visible;z-index:251686912" from="-4.4pt,50.4pt" to="524.85pt,50.4pt" strokecolor="#0d0d0d" strokeweight="0.25p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F73EE0"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7"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F73EE0"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F73EE0"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68"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F73EE0"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3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694B" w14:paraId="34B5B807" w14:textId="790E3D31">
    <w:pPr>
      <w:pStyle w:val="Header"/>
      <w:rPr>
        <w:rtl/>
      </w:rPr>
    </w:pPr>
  </w:p>
  <w:p w:rsidR="008B694B" w:rsidP="00FD02CC" w14:paraId="3A61C6D9" w14:textId="77777777">
    <w:pPr>
      <w:pStyle w:val="Header"/>
      <w:ind w:firstLine="720"/>
      <w:rPr>
        <w:rtl/>
      </w:rPr>
    </w:pPr>
  </w:p>
  <w:p w:rsidR="008B694B" w:rsidP="009620E7" w14:paraId="4E47EA6D" w14:textId="324E80B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9pt" o:bullet="t">
        <v:imagedata r:id="rId1" o:title="icon-menura copy"/>
      </v:shape>
    </w:pict>
  </w:numPicBullet>
  <w:numPicBullet w:numPicBulletId="1">
    <w:pict>
      <v:shape id="_x0000_i1027" type="#_x0000_t75" style="width:49pt;height:55.5pt" o:bullet="t">
        <v:imagedata r:id="rId2" o:title="yad-red"/>
      </v:shape>
    </w:pict>
  </w:numPicBullet>
  <w:numPicBullet w:numPicBulletId="2">
    <w:pict>
      <v:shape id="_x0000_i1028" type="#_x0000_t75" style="width:29.5pt;height:33pt" o:bullet="t">
        <v:imagedata r:id="rId3" o:title="icon-menura small"/>
      </v:shape>
    </w:pict>
  </w:numPicBullet>
  <w:numPicBullet w:numPicBulletId="3">
    <w:pict>
      <v:shape id="_x0000_i1029" type="#_x0000_t75" style="width:17.5pt;height:20pt" o:bullet="t">
        <v:imagedata r:id="rId4" o:title="icon-menura small_2"/>
      </v:shape>
    </w:pict>
  </w:numPicBullet>
  <w:abstractNum w:abstractNumId="0">
    <w:nsid w:val="FFFFFF7C"/>
    <w:multiLevelType w:val="singleLevel"/>
    <w:tmpl w:val="C6846578"/>
    <w:lvl w:ilvl="0">
      <w:start w:val="1"/>
      <w:numFmt w:val="decimal"/>
      <w:lvlText w:val="%1."/>
      <w:lvlJc w:val="left"/>
      <w:pPr>
        <w:tabs>
          <w:tab w:val="num" w:pos="1492"/>
        </w:tabs>
        <w:ind w:left="1492" w:hanging="360"/>
      </w:pPr>
    </w:lvl>
  </w:abstractNum>
  <w:abstractNum w:abstractNumId="1">
    <w:nsid w:val="FFFFFF7D"/>
    <w:multiLevelType w:val="singleLevel"/>
    <w:tmpl w:val="21FE563A"/>
    <w:lvl w:ilvl="0">
      <w:start w:val="1"/>
      <w:numFmt w:val="decimal"/>
      <w:lvlText w:val="%1."/>
      <w:lvlJc w:val="left"/>
      <w:pPr>
        <w:tabs>
          <w:tab w:val="num" w:pos="1209"/>
        </w:tabs>
        <w:ind w:left="1209" w:hanging="360"/>
      </w:pPr>
    </w:lvl>
  </w:abstractNum>
  <w:abstractNum w:abstractNumId="2">
    <w:nsid w:val="FFFFFF7F"/>
    <w:multiLevelType w:val="singleLevel"/>
    <w:tmpl w:val="4F5832F6"/>
    <w:lvl w:ilvl="0">
      <w:start w:val="1"/>
      <w:numFmt w:val="decimal"/>
      <w:lvlText w:val="%1."/>
      <w:lvlJc w:val="left"/>
      <w:pPr>
        <w:tabs>
          <w:tab w:val="num" w:pos="643"/>
        </w:tabs>
        <w:ind w:left="643" w:hanging="360"/>
      </w:pPr>
    </w:lvl>
  </w:abstractNum>
  <w:abstractNum w:abstractNumId="3">
    <w:nsid w:val="FFFFFF80"/>
    <w:multiLevelType w:val="singleLevel"/>
    <w:tmpl w:val="7A3A8C3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9FCE0FB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A5073A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3AE821CC"/>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052A9342"/>
    <w:lvl w:ilvl="0">
      <w:start w:val="1"/>
      <w:numFmt w:val="bullet"/>
      <w:lvlText w:val=""/>
      <w:lvlJc w:val="left"/>
      <w:pPr>
        <w:tabs>
          <w:tab w:val="num" w:pos="360"/>
        </w:tabs>
        <w:ind w:left="360" w:hanging="360"/>
      </w:pPr>
      <w:rPr>
        <w:rFonts w:ascii="Symbol" w:hAnsi="Symbol" w:hint="default"/>
      </w:rPr>
    </w:lvl>
  </w:abstractNum>
  <w:abstractNum w:abstractNumId="8">
    <w:nsid w:val="03D001C8"/>
    <w:multiLevelType w:val="hybridMultilevel"/>
    <w:tmpl w:val="2BFEFDE2"/>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7A27548"/>
    <w:multiLevelType w:val="hybridMultilevel"/>
    <w:tmpl w:val="49FCD1FC"/>
    <w:lvl w:ilvl="0">
      <w:start w:val="1"/>
      <w:numFmt w:val="decimal"/>
      <w:pStyle w:val="4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2074133"/>
    <w:multiLevelType w:val="hybridMultilevel"/>
    <w:tmpl w:val="ED4C3644"/>
    <w:lvl w:ilvl="0">
      <w:start w:val="1"/>
      <w:numFmt w:val="bullet"/>
      <w:lvlText w:val=""/>
      <w:lvlPicBulletId w:val="0"/>
      <w:lvlJc w:val="left"/>
      <w:pPr>
        <w:ind w:left="760" w:hanging="403"/>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3AC59B3"/>
    <w:multiLevelType w:val="hybridMultilevel"/>
    <w:tmpl w:val="EEDE77EA"/>
    <w:lvl w:ilvl="0">
      <w:start w:val="1"/>
      <w:numFmt w:val="bullet"/>
      <w:lvlText w:val=""/>
      <w:lvlPicBulletId w:val="3"/>
      <w:lvlJc w:val="left"/>
      <w:pPr>
        <w:ind w:left="36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993536B"/>
    <w:multiLevelType w:val="hybridMultilevel"/>
    <w:tmpl w:val="F92807DC"/>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CCB5BF3"/>
    <w:multiLevelType w:val="multilevel"/>
    <w:tmpl w:val="646C0440"/>
    <w:lvl w:ilvl="0">
      <w:start w:val="1"/>
      <w:numFmt w:val="decimal"/>
      <w:lvlText w:val="%1."/>
      <w:lvlJc w:val="left"/>
      <w:pPr>
        <w:ind w:left="340" w:hanging="340"/>
      </w:pPr>
      <w:rPr>
        <w:rFonts w:hint="default"/>
      </w:rPr>
    </w:lvl>
    <w:lvl w:ilvl="1">
      <w:start w:val="1"/>
      <w:numFmt w:val="none"/>
      <w:pStyle w:val="737"/>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22E55D56"/>
    <w:multiLevelType w:val="hybridMultilevel"/>
    <w:tmpl w:val="81E4866E"/>
    <w:lvl w:ilvl="0">
      <w:start w:val="1"/>
      <w:numFmt w:val="decimal"/>
      <w:pStyle w:val="a35"/>
      <w:suff w:val="nothing"/>
      <w:lvlText w:val="תרשים %1"/>
      <w:lvlJc w:val="left"/>
      <w:pPr>
        <w:ind w:left="360" w:hanging="360"/>
      </w:pPr>
      <w:rPr>
        <w:rFonts w:ascii="David" w:hAnsi="David" w:cs="David" w:hint="cs"/>
        <w:b w:val="0"/>
        <w:bCs w:val="0"/>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16139F"/>
    <w:multiLevelType w:val="hybridMultilevel"/>
    <w:tmpl w:val="D06C34BA"/>
    <w:lvl w:ilvl="0">
      <w:start w:val="1"/>
      <w:numFmt w:val="bullet"/>
      <w:lvlText w:val=""/>
      <w:lvlPicBulletId w:val="1"/>
      <w:lvlJc w:val="left"/>
      <w:pPr>
        <w:ind w:left="360" w:hanging="360"/>
      </w:pPr>
      <w:rPr>
        <w:rFonts w:ascii="Symbol" w:hAnsi="Symbol" w:hint="default"/>
        <w:color w:val="auto"/>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9">
    <w:nsid w:val="38CE65F7"/>
    <w:multiLevelType w:val="hybridMultilevel"/>
    <w:tmpl w:val="F6024E52"/>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BC1088C"/>
    <w:multiLevelType w:val="multilevel"/>
    <w:tmpl w:val="1EAC27C8"/>
    <w:lvl w:ilvl="0">
      <w:start w:val="1"/>
      <w:numFmt w:val="decimal"/>
      <w:pStyle w:val="73110"/>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3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4C1F0A6C"/>
    <w:multiLevelType w:val="hybridMultilevel"/>
    <w:tmpl w:val="348658C8"/>
    <w:lvl w:ilvl="0">
      <w:start w:val="1"/>
      <w:numFmt w:val="bullet"/>
      <w:lvlText w:val=""/>
      <w:lvlPicBulletId w:val="3"/>
      <w:lvlJc w:val="left"/>
      <w:pPr>
        <w:ind w:left="36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FD85B1C"/>
    <w:multiLevelType w:val="hybridMultilevel"/>
    <w:tmpl w:val="C47422F8"/>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41F7A61"/>
    <w:multiLevelType w:val="hybridMultilevel"/>
    <w:tmpl w:val="EF4AAA78"/>
    <w:lvl w:ilvl="0">
      <w:start w:val="1"/>
      <w:numFmt w:val="bullet"/>
      <w:lvlText w:val=""/>
      <w:lvlJc w:val="left"/>
      <w:pPr>
        <w:ind w:left="36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9BD63E3"/>
    <w:multiLevelType w:val="hybridMultilevel"/>
    <w:tmpl w:val="26969DB4"/>
    <w:lvl w:ilvl="0">
      <w:start w:val="1"/>
      <w:numFmt w:val="decimal"/>
      <w:pStyle w:val="a36"/>
      <w:suff w:val="nothing"/>
      <w:lvlText w:val="לוח %1"/>
      <w:lvlJc w:val="left"/>
      <w:pPr>
        <w:ind w:left="927"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8">
    <w:nsid w:val="5DFF3BA4"/>
    <w:multiLevelType w:val="hybridMultilevel"/>
    <w:tmpl w:val="7DE8A5E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0">
    <w:nsid w:val="60001EBE"/>
    <w:multiLevelType w:val="hybridMultilevel"/>
    <w:tmpl w:val="F5B6D886"/>
    <w:lvl w:ilvl="0">
      <w:start w:val="1"/>
      <w:numFmt w:val="bullet"/>
      <w:lvlText w:val=""/>
      <w:lvlPicBulletId w:val="2"/>
      <w:lvlJc w:val="left"/>
      <w:pPr>
        <w:ind w:left="36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1302D6E"/>
    <w:multiLevelType w:val="hybridMultilevel"/>
    <w:tmpl w:val="E670ED1A"/>
    <w:lvl w:ilvl="0">
      <w:start w:val="1"/>
      <w:numFmt w:val="bullet"/>
      <w:lvlText w:val=""/>
      <w:lvlPicBulletId w:val="2"/>
      <w:lvlJc w:val="left"/>
      <w:pPr>
        <w:ind w:left="397" w:hanging="397"/>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3812761"/>
    <w:multiLevelType w:val="hybridMultilevel"/>
    <w:tmpl w:val="077C9FBE"/>
    <w:lvl w:ilvl="0">
      <w:start w:val="1"/>
      <w:numFmt w:val="decimal"/>
      <w:pStyle w:val="a38"/>
      <w:suff w:val="nothing"/>
      <w:lvlText w:val="תמונה %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64A6B10"/>
    <w:multiLevelType w:val="hybridMultilevel"/>
    <w:tmpl w:val="0F06B4D8"/>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27F4037"/>
    <w:multiLevelType w:val="hybridMultilevel"/>
    <w:tmpl w:val="EA928746"/>
    <w:lvl w:ilvl="0">
      <w:start w:val="1"/>
      <w:numFmt w:val="bullet"/>
      <w:lvlText w:val=""/>
      <w:lvlPicBulletId w:val="2"/>
      <w:lvlJc w:val="left"/>
      <w:pPr>
        <w:ind w:left="717"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5"/>
  </w:num>
  <w:num w:numId="2">
    <w:abstractNumId w:val="21"/>
  </w:num>
  <w:num w:numId="3">
    <w:abstractNumId w:val="27"/>
  </w:num>
  <w:num w:numId="4">
    <w:abstractNumId w:val="18"/>
  </w:num>
  <w:num w:numId="5">
    <w:abstractNumId w:val="20"/>
  </w:num>
  <w:num w:numId="6">
    <w:abstractNumId w:val="35"/>
  </w:num>
  <w:num w:numId="7">
    <w:abstractNumId w:val="10"/>
  </w:num>
  <w:num w:numId="8">
    <w:abstractNumId w:val="22"/>
  </w:num>
  <w:num w:numId="9">
    <w:abstractNumId w:val="29"/>
  </w:num>
  <w:num w:numId="10">
    <w:abstractNumId w:val="11"/>
  </w:num>
  <w:num w:numId="11">
    <w:abstractNumId w:val="12"/>
  </w:num>
  <w:num w:numId="12">
    <w:abstractNumId w:val="17"/>
  </w:num>
  <w:num w:numId="13">
    <w:abstractNumId w:val="9"/>
  </w:num>
  <w:num w:numId="14">
    <w:abstractNumId w:val="16"/>
  </w:num>
  <w:num w:numId="15">
    <w:abstractNumId w:val="26"/>
  </w:num>
  <w:num w:numId="16">
    <w:abstractNumId w:val="32"/>
  </w:num>
  <w:num w:numId="17">
    <w:abstractNumId w:val="24"/>
  </w:num>
  <w:num w:numId="18">
    <w:abstractNumId w:val="19"/>
  </w:num>
  <w:num w:numId="19">
    <w:abstractNumId w:val="33"/>
  </w:num>
  <w:num w:numId="20">
    <w:abstractNumId w:val="8"/>
  </w:num>
  <w:num w:numId="21">
    <w:abstractNumId w:val="28"/>
  </w:num>
  <w:num w:numId="22">
    <w:abstractNumId w:val="14"/>
  </w:num>
  <w:num w:numId="23">
    <w:abstractNumId w:val="3"/>
  </w:num>
  <w:num w:numId="24">
    <w:abstractNumId w:val="4"/>
  </w:num>
  <w:num w:numId="25">
    <w:abstractNumId w:val="5"/>
  </w:num>
  <w:num w:numId="26">
    <w:abstractNumId w:val="6"/>
  </w:num>
  <w:num w:numId="27">
    <w:abstractNumId w:val="7"/>
  </w:num>
  <w:num w:numId="28">
    <w:abstractNumId w:val="0"/>
  </w:num>
  <w:num w:numId="29">
    <w:abstractNumId w:val="1"/>
  </w:num>
  <w:num w:numId="30">
    <w:abstractNumId w:val="2"/>
  </w:num>
  <w:num w:numId="31">
    <w:abstractNumId w:val="34"/>
  </w:num>
  <w:num w:numId="32">
    <w:abstractNumId w:val="31"/>
  </w:num>
  <w:num w:numId="33">
    <w:abstractNumId w:val="30"/>
  </w:num>
  <w:num w:numId="34">
    <w:abstractNumId w:val="13"/>
  </w:num>
  <w:num w:numId="35">
    <w:abstractNumId w:val="25"/>
  </w:num>
  <w:num w:numId="3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9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39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4C80"/>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3AB"/>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370"/>
    <w:rsid w:val="000A567C"/>
    <w:rsid w:val="000A5B75"/>
    <w:rsid w:val="000A65A9"/>
    <w:rsid w:val="000A69A7"/>
    <w:rsid w:val="000A6D5B"/>
    <w:rsid w:val="000A7523"/>
    <w:rsid w:val="000B03E7"/>
    <w:rsid w:val="000B0915"/>
    <w:rsid w:val="000B0929"/>
    <w:rsid w:val="000B0AB9"/>
    <w:rsid w:val="000B0C0B"/>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88E"/>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2D03"/>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D46"/>
    <w:rsid w:val="000F5EDB"/>
    <w:rsid w:val="000F60AB"/>
    <w:rsid w:val="000F62A9"/>
    <w:rsid w:val="000F68B6"/>
    <w:rsid w:val="000F6F38"/>
    <w:rsid w:val="000F76A8"/>
    <w:rsid w:val="000F7725"/>
    <w:rsid w:val="000F78AE"/>
    <w:rsid w:val="00101157"/>
    <w:rsid w:val="00101681"/>
    <w:rsid w:val="00101BB0"/>
    <w:rsid w:val="00101D0F"/>
    <w:rsid w:val="00102185"/>
    <w:rsid w:val="0010231B"/>
    <w:rsid w:val="0010237C"/>
    <w:rsid w:val="0010285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923"/>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81C"/>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828"/>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403"/>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1FAB"/>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29B"/>
    <w:rsid w:val="0021135F"/>
    <w:rsid w:val="0021150C"/>
    <w:rsid w:val="00212144"/>
    <w:rsid w:val="002127FD"/>
    <w:rsid w:val="00212B04"/>
    <w:rsid w:val="00212EEA"/>
    <w:rsid w:val="002130B4"/>
    <w:rsid w:val="0021348C"/>
    <w:rsid w:val="00214BC0"/>
    <w:rsid w:val="00214CAA"/>
    <w:rsid w:val="002154D1"/>
    <w:rsid w:val="00215BEE"/>
    <w:rsid w:val="0021654E"/>
    <w:rsid w:val="0021696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630"/>
    <w:rsid w:val="00230B94"/>
    <w:rsid w:val="00230F6F"/>
    <w:rsid w:val="00231C3C"/>
    <w:rsid w:val="00231DC5"/>
    <w:rsid w:val="00232836"/>
    <w:rsid w:val="002329DB"/>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5E69"/>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067"/>
    <w:rsid w:val="0026519B"/>
    <w:rsid w:val="00265213"/>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20"/>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1AFF"/>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0991"/>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141"/>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311"/>
    <w:rsid w:val="002F3B2B"/>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3DC9"/>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3395"/>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01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53B"/>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7E"/>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8A3"/>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980"/>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A90"/>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83C"/>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C7D"/>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89"/>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54D"/>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AD6"/>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C0C"/>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5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263"/>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450C"/>
    <w:rsid w:val="00744632"/>
    <w:rsid w:val="00744A32"/>
    <w:rsid w:val="00744A94"/>
    <w:rsid w:val="007452B3"/>
    <w:rsid w:val="007467DE"/>
    <w:rsid w:val="0074683C"/>
    <w:rsid w:val="00746F21"/>
    <w:rsid w:val="00746F99"/>
    <w:rsid w:val="0074714A"/>
    <w:rsid w:val="007472C4"/>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6CDB"/>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0B66"/>
    <w:rsid w:val="007C1372"/>
    <w:rsid w:val="007C16E1"/>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7841"/>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0C2"/>
    <w:rsid w:val="008D111E"/>
    <w:rsid w:val="008D12BF"/>
    <w:rsid w:val="008D1B62"/>
    <w:rsid w:val="008D1B9E"/>
    <w:rsid w:val="008D1F9A"/>
    <w:rsid w:val="008D2082"/>
    <w:rsid w:val="008D2388"/>
    <w:rsid w:val="008D24C9"/>
    <w:rsid w:val="008D2504"/>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3DA"/>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49A8"/>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35C7"/>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984"/>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9C9"/>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4AC"/>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4B26"/>
    <w:rsid w:val="009C5D49"/>
    <w:rsid w:val="009C67B4"/>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0DCA"/>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21A"/>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803"/>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074"/>
    <w:rsid w:val="00A2617B"/>
    <w:rsid w:val="00A264EE"/>
    <w:rsid w:val="00A27672"/>
    <w:rsid w:val="00A27DBB"/>
    <w:rsid w:val="00A27EBC"/>
    <w:rsid w:val="00A27EF7"/>
    <w:rsid w:val="00A30028"/>
    <w:rsid w:val="00A301EF"/>
    <w:rsid w:val="00A3040F"/>
    <w:rsid w:val="00A3123A"/>
    <w:rsid w:val="00A3168A"/>
    <w:rsid w:val="00A31CD2"/>
    <w:rsid w:val="00A32B70"/>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28"/>
    <w:rsid w:val="00A53FB6"/>
    <w:rsid w:val="00A5498C"/>
    <w:rsid w:val="00A549E2"/>
    <w:rsid w:val="00A54FE4"/>
    <w:rsid w:val="00A5541A"/>
    <w:rsid w:val="00A55854"/>
    <w:rsid w:val="00A56092"/>
    <w:rsid w:val="00A567CB"/>
    <w:rsid w:val="00A571AD"/>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B66"/>
    <w:rsid w:val="00A915F4"/>
    <w:rsid w:val="00A916EF"/>
    <w:rsid w:val="00A917A9"/>
    <w:rsid w:val="00A91C36"/>
    <w:rsid w:val="00A91D41"/>
    <w:rsid w:val="00A926F4"/>
    <w:rsid w:val="00A93F51"/>
    <w:rsid w:val="00A940CD"/>
    <w:rsid w:val="00A94153"/>
    <w:rsid w:val="00A94C08"/>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2C8C"/>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5664"/>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6D8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865"/>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38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5C8"/>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7FC"/>
    <w:rsid w:val="00BE4BE8"/>
    <w:rsid w:val="00BE4E51"/>
    <w:rsid w:val="00BE57E3"/>
    <w:rsid w:val="00BE5D07"/>
    <w:rsid w:val="00BE61FC"/>
    <w:rsid w:val="00BE7A1E"/>
    <w:rsid w:val="00BF0159"/>
    <w:rsid w:val="00BF03E8"/>
    <w:rsid w:val="00BF04C5"/>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5FC9"/>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525"/>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0B2"/>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286F"/>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AAF"/>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07B42"/>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7AF"/>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00F"/>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232"/>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62F"/>
    <w:rsid w:val="00D517FA"/>
    <w:rsid w:val="00D51AD6"/>
    <w:rsid w:val="00D51C50"/>
    <w:rsid w:val="00D525C5"/>
    <w:rsid w:val="00D5266D"/>
    <w:rsid w:val="00D52BBA"/>
    <w:rsid w:val="00D52C1C"/>
    <w:rsid w:val="00D53BD6"/>
    <w:rsid w:val="00D5456F"/>
    <w:rsid w:val="00D548A9"/>
    <w:rsid w:val="00D54916"/>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7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101"/>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39B"/>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652"/>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A778A"/>
    <w:rsid w:val="00EB0265"/>
    <w:rsid w:val="00EB05FE"/>
    <w:rsid w:val="00EB0AA6"/>
    <w:rsid w:val="00EB1273"/>
    <w:rsid w:val="00EB1636"/>
    <w:rsid w:val="00EB1C22"/>
    <w:rsid w:val="00EB1ED2"/>
    <w:rsid w:val="00EB22C0"/>
    <w:rsid w:val="00EB396F"/>
    <w:rsid w:val="00EB400B"/>
    <w:rsid w:val="00EB4B77"/>
    <w:rsid w:val="00EB4F3B"/>
    <w:rsid w:val="00EB50F0"/>
    <w:rsid w:val="00EB5B49"/>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BE6"/>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0B1"/>
    <w:rsid w:val="00F44398"/>
    <w:rsid w:val="00F44758"/>
    <w:rsid w:val="00F448C3"/>
    <w:rsid w:val="00F44C53"/>
    <w:rsid w:val="00F45085"/>
    <w:rsid w:val="00F450F4"/>
    <w:rsid w:val="00F45564"/>
    <w:rsid w:val="00F45F9C"/>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42"/>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C5A"/>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7AF"/>
    <w:pPr>
      <w:bidi/>
      <w:spacing w:after="0" w:line="312" w:lineRule="auto"/>
    </w:pPr>
  </w:style>
  <w:style w:type="paragraph" w:styleId="Heading1">
    <w:name w:val="heading 1"/>
    <w:basedOn w:val="Normal"/>
    <w:next w:val="Normal"/>
    <w:link w:val="1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E5539B"/>
    <w:pPr>
      <w:keepNext/>
      <w:keepLines/>
      <w:pageBreakBefore/>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D167AF"/>
    <w:pPr>
      <w:pBdr>
        <w:top w:val="double" w:sz="12" w:space="5" w:color="auto"/>
      </w:pBdr>
      <w:spacing w:before="360"/>
      <w:outlineLvl w:val="9"/>
    </w:pPr>
    <w:rPr>
      <w:b/>
      <w:noProof/>
      <w:sz w:val="31"/>
      <w:szCs w:val="31"/>
      <w:lang w:val="he-IL"/>
    </w:rPr>
  </w:style>
  <w:style w:type="character" w:styleId="Hyperlink">
    <w:name w:val="Hyperlink"/>
    <w:basedOn w:val="DefaultParagraphFont"/>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662020"/>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662020"/>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D167AF"/>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D167AF"/>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D167AF"/>
    <w:rPr>
      <w:rFonts w:ascii="Tahoma" w:hAnsi="Tahoma" w:eastAsiaTheme="minorEastAsia" w:cs="Tahoma"/>
      <w:b w:val="0"/>
      <w:bCs/>
      <w:color w:val="00305F"/>
      <w:sz w:val="31"/>
      <w:szCs w:val="31"/>
    </w:rPr>
  </w:style>
  <w:style w:type="paragraph" w:customStyle="1" w:styleId="7329">
    <w:name w:val="73א כותרת 2"/>
    <w:basedOn w:val="Normal"/>
    <w:link w:val="73210"/>
    <w:qFormat/>
    <w:rsid w:val="001F3363"/>
    <w:pPr>
      <w:keepNext/>
      <w:keepLines/>
      <w:spacing w:before="360" w:after="240" w:line="240" w:lineRule="atLeast"/>
      <w:jc w:val="left"/>
      <w:outlineLvl w:val="1"/>
    </w:pPr>
    <w:rPr>
      <w:rFonts w:ascii="Tahoma" w:hAnsi="Tahoma" w:cs="Tahoma"/>
      <w:b/>
      <w:bCs/>
      <w:color w:val="00305F"/>
      <w:sz w:val="40"/>
      <w:szCs w:val="34"/>
    </w:rPr>
  </w:style>
  <w:style w:type="character" w:customStyle="1" w:styleId="73210">
    <w:name w:val="73א כותרת 2 תו"/>
    <w:basedOn w:val="DefaultParagraphFont"/>
    <w:link w:val="7329"/>
    <w:rsid w:val="001F3363"/>
    <w:rPr>
      <w:rFonts w:ascii="Tahoma" w:hAnsi="Tahoma" w:cs="Tahoma"/>
      <w:b/>
      <w:bCs/>
      <w:color w:val="00305F"/>
      <w:sz w:val="40"/>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662020"/>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D167AF"/>
    <w:rPr>
      <w:color w:val="0D0D0D" w:themeColor="text1" w:themeTint="F2"/>
      <w:sz w:val="18"/>
    </w:rPr>
  </w:style>
  <w:style w:type="character" w:customStyle="1" w:styleId="7393">
    <w:name w:val="73א טקסט רץ 9 תו"/>
    <w:basedOn w:val="Char4"/>
    <w:link w:val="7392"/>
    <w:rsid w:val="00D167AF"/>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DefaultParagraphFont"/>
    <w:link w:val="73612"/>
    <w:rsid w:val="001F3363"/>
    <w:rPr>
      <w:rFonts w:ascii="Tahoma" w:hAnsi="Tahom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219">
    <w:name w:val="סעיף רמה 2"/>
    <w:basedOn w:val="Normal"/>
    <w:link w:val="220"/>
    <w:qFormat/>
    <w:rsid w:val="009F0DCA"/>
    <w:pPr>
      <w:spacing w:line="360" w:lineRule="auto"/>
      <w:ind w:left="567" w:hanging="567"/>
    </w:pPr>
    <w:rPr>
      <w:rFonts w:ascii="Arial" w:eastAsia="Times New Roman" w:hAnsi="Arial" w:cstheme="minorBidi"/>
      <w:sz w:val="22"/>
      <w:szCs w:val="22"/>
    </w:rPr>
  </w:style>
  <w:style w:type="character" w:customStyle="1" w:styleId="220">
    <w:name w:val="סעיף רמה 2 תו"/>
    <w:basedOn w:val="DefaultParagraphFont"/>
    <w:link w:val="219"/>
    <w:rsid w:val="009F0DCA"/>
    <w:rPr>
      <w:rFonts w:ascii="Arial" w:eastAsia="Times New Roman" w:hAnsi="Arial" w:cstheme="minorBidi"/>
      <w:sz w:val="22"/>
      <w:szCs w:val="22"/>
    </w:rPr>
  </w:style>
  <w:style w:type="paragraph" w:customStyle="1" w:styleId="35">
    <w:name w:val="סעיף רמה 3"/>
    <w:basedOn w:val="Normal"/>
    <w:link w:val="36"/>
    <w:qFormat/>
    <w:rsid w:val="009F0DCA"/>
    <w:pPr>
      <w:tabs>
        <w:tab w:val="left" w:pos="1371"/>
      </w:tabs>
      <w:spacing w:line="360" w:lineRule="auto"/>
      <w:ind w:left="1371" w:hanging="804"/>
    </w:pPr>
    <w:rPr>
      <w:rFonts w:ascii="Arial" w:eastAsia="Times New Roman" w:hAnsi="Arial" w:cstheme="minorBidi"/>
      <w:sz w:val="22"/>
      <w:szCs w:val="22"/>
    </w:rPr>
  </w:style>
  <w:style w:type="character" w:customStyle="1" w:styleId="36">
    <w:name w:val="סעיף רמה 3 תו"/>
    <w:basedOn w:val="220"/>
    <w:link w:val="35"/>
    <w:rsid w:val="009F0DCA"/>
    <w:rPr>
      <w:rFonts w:ascii="Arial" w:eastAsia="Times New Roman" w:hAnsi="Arial" w:cstheme="minorBidi"/>
      <w:sz w:val="22"/>
      <w:szCs w:val="22"/>
    </w:rPr>
  </w:style>
  <w:style w:type="paragraph" w:customStyle="1" w:styleId="221">
    <w:name w:val="מא2"/>
    <w:basedOn w:val="Normal"/>
    <w:link w:val="222"/>
    <w:rsid w:val="009F0DCA"/>
    <w:pPr>
      <w:tabs>
        <w:tab w:val="left" w:pos="1134"/>
        <w:tab w:val="left" w:pos="1701"/>
      </w:tabs>
      <w:overflowPunct w:val="0"/>
      <w:autoSpaceDE w:val="0"/>
      <w:autoSpaceDN w:val="0"/>
      <w:adjustRightInd w:val="0"/>
      <w:spacing w:line="264" w:lineRule="auto"/>
      <w:ind w:left="1701" w:hanging="567"/>
      <w:textAlignment w:val="baseline"/>
    </w:pPr>
    <w:rPr>
      <w:rFonts w:eastAsia="Times New Roman" w:cs="Narkisim"/>
      <w:caps/>
    </w:rPr>
  </w:style>
  <w:style w:type="character" w:customStyle="1" w:styleId="222">
    <w:name w:val="מא2 תו"/>
    <w:link w:val="221"/>
    <w:locked/>
    <w:rsid w:val="009F0DCA"/>
    <w:rPr>
      <w:rFonts w:eastAsia="Times New Roman" w:cs="Narkisim"/>
      <w:caps/>
    </w:rPr>
  </w:style>
  <w:style w:type="character" w:customStyle="1" w:styleId="Footnote">
    <w:name w:val="Footnote_"/>
    <w:basedOn w:val="DefaultParagraphFont"/>
    <w:link w:val="Footnote0"/>
    <w:rsid w:val="009F0DCA"/>
    <w:rPr>
      <w:rFonts w:ascii="David" w:eastAsia="David" w:hAnsi="David"/>
      <w:sz w:val="17"/>
      <w:szCs w:val="17"/>
      <w:shd w:val="clear" w:color="auto" w:fill="FFFFFF"/>
    </w:rPr>
  </w:style>
  <w:style w:type="paragraph" w:customStyle="1" w:styleId="Footnote0">
    <w:name w:val="Footnote"/>
    <w:basedOn w:val="Normal"/>
    <w:link w:val="Footnote"/>
    <w:rsid w:val="009F0DCA"/>
    <w:pPr>
      <w:widowControl w:val="0"/>
      <w:shd w:val="clear" w:color="auto" w:fill="FFFFFF"/>
      <w:spacing w:line="197" w:lineRule="exact"/>
      <w:ind w:hanging="440"/>
    </w:pPr>
    <w:rPr>
      <w:rFonts w:ascii="David" w:eastAsia="David" w:hAnsi="David"/>
      <w:sz w:val="17"/>
      <w:szCs w:val="17"/>
    </w:rPr>
  </w:style>
  <w:style w:type="paragraph" w:customStyle="1" w:styleId="42">
    <w:name w:val="סעיף רמה 4"/>
    <w:basedOn w:val="35"/>
    <w:link w:val="43"/>
    <w:autoRedefine/>
    <w:qFormat/>
    <w:rsid w:val="009F0DCA"/>
    <w:pPr>
      <w:numPr>
        <w:numId w:val="13"/>
      </w:numPr>
      <w:tabs>
        <w:tab w:val="left" w:pos="1304"/>
        <w:tab w:val="clear" w:pos="1371"/>
      </w:tabs>
      <w:ind w:left="312"/>
    </w:pPr>
    <w:rPr>
      <w:rFonts w:cs="David"/>
      <w:b/>
      <w:bCs/>
      <w:sz w:val="24"/>
      <w:szCs w:val="24"/>
    </w:rPr>
  </w:style>
  <w:style w:type="paragraph" w:customStyle="1" w:styleId="52">
    <w:name w:val="סעיף רמה 5"/>
    <w:basedOn w:val="42"/>
    <w:autoRedefine/>
    <w:qFormat/>
    <w:rsid w:val="009F0DCA"/>
    <w:pPr>
      <w:tabs>
        <w:tab w:val="left" w:pos="3402"/>
      </w:tabs>
      <w:ind w:left="3402" w:hanging="1134"/>
    </w:pPr>
  </w:style>
  <w:style w:type="paragraph" w:customStyle="1" w:styleId="62">
    <w:name w:val="סעיף רמה 6"/>
    <w:basedOn w:val="52"/>
    <w:qFormat/>
    <w:rsid w:val="009F0DCA"/>
    <w:pPr>
      <w:ind w:left="4820" w:hanging="1418"/>
    </w:pPr>
  </w:style>
  <w:style w:type="table" w:styleId="GridTable1Light">
    <w:name w:val="Grid Table 1 Light"/>
    <w:basedOn w:val="TableNormal"/>
    <w:uiPriority w:val="46"/>
    <w:rsid w:val="009F0D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3">
    <w:name w:val="סעיף רמה 4 תו"/>
    <w:basedOn w:val="DefaultParagraphFont"/>
    <w:link w:val="42"/>
    <w:rsid w:val="009F0DCA"/>
    <w:rPr>
      <w:rFonts w:ascii="Arial" w:eastAsia="Times New Roman" w:hAnsi="Arial"/>
      <w:b/>
      <w:bCs/>
      <w:sz w:val="24"/>
    </w:rPr>
  </w:style>
  <w:style w:type="table" w:styleId="ListTable2Accent1">
    <w:name w:val="List Table 2 Accent 1"/>
    <w:basedOn w:val="TableNormal"/>
    <w:uiPriority w:val="47"/>
    <w:rsid w:val="009F0DCA"/>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2-110">
    <w:name w:val="טבלת רשימה 2 - הדגשה 11"/>
    <w:basedOn w:val="TableNormal"/>
    <w:uiPriority w:val="47"/>
    <w:rsid w:val="009F0DCA"/>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customStyle="1" w:styleId="a35">
    <w:name w:val="כותרת תרשים"/>
    <w:basedOn w:val="Normal"/>
    <w:next w:val="Normal"/>
    <w:link w:val="a37"/>
    <w:qFormat/>
    <w:rsid w:val="009F0DCA"/>
    <w:pPr>
      <w:keepNext/>
      <w:keepLines/>
      <w:numPr>
        <w:numId w:val="14"/>
      </w:numPr>
      <w:ind w:left="717"/>
      <w:jc w:val="center"/>
    </w:pPr>
    <w:rPr>
      <w:bCs/>
    </w:rPr>
  </w:style>
  <w:style w:type="paragraph" w:customStyle="1" w:styleId="a36">
    <w:name w:val="כותרת לוח"/>
    <w:basedOn w:val="Normal"/>
    <w:next w:val="Normal"/>
    <w:link w:val="a39"/>
    <w:qFormat/>
    <w:rsid w:val="009F0DCA"/>
    <w:pPr>
      <w:keepNext/>
      <w:keepLines/>
      <w:numPr>
        <w:numId w:val="15"/>
      </w:numPr>
      <w:jc w:val="center"/>
    </w:pPr>
    <w:rPr>
      <w:bCs/>
    </w:rPr>
  </w:style>
  <w:style w:type="character" w:customStyle="1" w:styleId="a37">
    <w:name w:val="כותרת תרשים תו"/>
    <w:basedOn w:val="DefaultParagraphFont"/>
    <w:link w:val="a35"/>
    <w:rsid w:val="009F0DCA"/>
    <w:rPr>
      <w:bCs/>
    </w:rPr>
  </w:style>
  <w:style w:type="paragraph" w:customStyle="1" w:styleId="a38">
    <w:name w:val="כותרת איור"/>
    <w:basedOn w:val="Normal"/>
    <w:next w:val="Normal"/>
    <w:link w:val="a40"/>
    <w:qFormat/>
    <w:rsid w:val="009F0DCA"/>
    <w:pPr>
      <w:keepNext/>
      <w:keepLines/>
      <w:numPr>
        <w:numId w:val="16"/>
      </w:numPr>
      <w:jc w:val="center"/>
    </w:pPr>
    <w:rPr>
      <w:bCs/>
    </w:rPr>
  </w:style>
  <w:style w:type="character" w:customStyle="1" w:styleId="a39">
    <w:name w:val="כותרת לוח תו"/>
    <w:basedOn w:val="DefaultParagraphFont"/>
    <w:link w:val="a36"/>
    <w:rsid w:val="009F0DCA"/>
    <w:rPr>
      <w:bCs/>
    </w:rPr>
  </w:style>
  <w:style w:type="character" w:customStyle="1" w:styleId="a40">
    <w:name w:val="כותרת איור תו"/>
    <w:basedOn w:val="DefaultParagraphFont"/>
    <w:link w:val="a38"/>
    <w:rsid w:val="009F0DCA"/>
    <w:rPr>
      <w:bCs/>
    </w:rPr>
  </w:style>
  <w:style w:type="character" w:customStyle="1" w:styleId="Bodytext285pt">
    <w:name w:val="Body text (2) + 8.5 pt"/>
    <w:aliases w:val="Spacing 0 pt"/>
    <w:basedOn w:val="Bodytext2"/>
    <w:rsid w:val="009F0DCA"/>
    <w:rPr>
      <w:rFonts w:ascii="Tahoma" w:eastAsia="Tahoma" w:hAnsi="Tahoma" w:cs="Tahoma"/>
      <w:b/>
      <w:bCs/>
      <w:i w:val="0"/>
      <w:iCs w:val="0"/>
      <w:smallCaps w:val="0"/>
      <w:strike w:val="0"/>
      <w:color w:val="000000"/>
      <w:spacing w:val="-10"/>
      <w:w w:val="100"/>
      <w:position w:val="0"/>
      <w:sz w:val="17"/>
      <w:szCs w:val="17"/>
      <w:u w:val="none"/>
      <w:shd w:val="clear" w:color="auto" w:fill="FFFFFF"/>
      <w:lang w:val="he-IL" w:eastAsia="he-IL" w:bidi="he-IL"/>
    </w:rPr>
  </w:style>
  <w:style w:type="paragraph" w:customStyle="1" w:styleId="711">
    <w:name w:val="71ג מקרא+הערות לתרשים/לוח/תמונה"/>
    <w:basedOn w:val="Normal"/>
    <w:link w:val="71Char"/>
    <w:qFormat/>
    <w:rsid w:val="009F0DCA"/>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DefaultParagraphFont"/>
    <w:link w:val="711"/>
    <w:rsid w:val="009F0DCA"/>
    <w:rPr>
      <w:rFonts w:ascii="Tahoma" w:hAnsi="Tahoma" w:cs="Tahoma"/>
      <w:color w:val="0D0D0D" w:themeColor="text1" w:themeTint="F2"/>
      <w:sz w:val="16"/>
      <w:szCs w:val="16"/>
    </w:rPr>
  </w:style>
  <w:style w:type="paragraph" w:customStyle="1" w:styleId="a41">
    <w:name w:val="תאריך הדוח"/>
    <w:qFormat/>
    <w:rsid w:val="002329DB"/>
    <w:pPr>
      <w:ind w:left="2268"/>
      <w:jc w:val="left"/>
    </w:pPr>
    <w:rPr>
      <w:rFonts w:ascii="Tahoma" w:hAnsi="Tahoma" w:cs="Tahoma"/>
      <w:sz w:val="18"/>
      <w:szCs w:val="18"/>
    </w:rPr>
  </w:style>
  <w:style w:type="paragraph" w:customStyle="1" w:styleId="a42">
    <w:name w:val="כותרת ראשית לדוח"/>
    <w:qFormat/>
    <w:rsid w:val="002329DB"/>
    <w:pPr>
      <w:spacing w:before="360" w:line="600" w:lineRule="exact"/>
      <w:ind w:left="2268"/>
      <w:jc w:val="left"/>
    </w:pPr>
    <w:rPr>
      <w:rFonts w:ascii="Tahoma" w:hAnsi="Tahoma" w:cs="Tahoma"/>
      <w:b/>
      <w:bCs/>
      <w:sz w:val="44"/>
      <w:szCs w:val="44"/>
    </w:rPr>
  </w:style>
  <w:style w:type="paragraph" w:customStyle="1" w:styleId="70">
    <w:name w:val="סגנון7"/>
    <w:qFormat/>
    <w:rsid w:val="00E5539B"/>
    <w:pPr>
      <w:keepNext/>
      <w:keepLines/>
      <w:spacing w:before="360" w:after="240"/>
      <w:jc w:val="right"/>
      <w:outlineLvl w:val="1"/>
    </w:pPr>
    <w:rPr>
      <w:rFonts w:ascii="Tahoma" w:hAnsi="Tahoma" w:cs="Tahoma"/>
      <w:b/>
      <w:bCs/>
      <w:noProof/>
      <w:color w:val="00305F"/>
      <w:sz w:val="40"/>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footer" Target="footer4.xml" /><Relationship Id="rId29" Type="http://schemas.openxmlformats.org/officeDocument/2006/relationships/footer" Target="footer5.xml"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footer" Target="footer6.xml" /><Relationship Id="rId32" Type="http://schemas.openxmlformats.org/officeDocument/2006/relationships/header" Target="header6.xml" /><Relationship Id="rId33" Type="http://schemas.openxmlformats.org/officeDocument/2006/relationships/header" Target="header7.xml" /><Relationship Id="rId34" Type="http://schemas.openxmlformats.org/officeDocument/2006/relationships/footer" Target="footer7.xml" /><Relationship Id="rId35" Type="http://schemas.openxmlformats.org/officeDocument/2006/relationships/footer" Target="footer8.xml" /><Relationship Id="rId36" Type="http://schemas.openxmlformats.org/officeDocument/2006/relationships/header" Target="header8.xml" /><Relationship Id="rId37" Type="http://schemas.openxmlformats.org/officeDocument/2006/relationships/footer" Target="footer9.xml" /><Relationship Id="rId38" Type="http://schemas.openxmlformats.org/officeDocument/2006/relationships/header" Target="header9.xml" /><Relationship Id="rId39" Type="http://schemas.openxmlformats.org/officeDocument/2006/relationships/footer" Target="footer10.xml" /><Relationship Id="rId4" Type="http://schemas.openxmlformats.org/officeDocument/2006/relationships/webSettings" Target="webSettings.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13.jpeg" /><Relationship Id="rId2" Type="http://schemas.openxmlformats.org/officeDocument/2006/relationships/image" Target="media/image14.jpeg" /></Relationships>
</file>

<file path=word/_rels/header6.xml.rels><?xml version="1.0" encoding="utf-8" standalone="yes"?><Relationships xmlns="http://schemas.openxmlformats.org/package/2006/relationships"><Relationship Id="rId1" Type="http://schemas.openxmlformats.org/officeDocument/2006/relationships/image" Target="media/image3.jpeg" /></Relationships>
</file>

<file path=word/_rels/header7.xml.rels><?xml version="1.0" encoding="utf-8" standalone="yes"?><Relationships xmlns="http://schemas.openxmlformats.org/package/2006/relationships"><Relationship Id="rId1" Type="http://schemas.openxmlformats.org/officeDocument/2006/relationships/image" Target="media/image2.jpeg" /></Relationships>
</file>

<file path=word/_rels/header8.xml.rels><?xml version="1.0" encoding="utf-8" standalone="yes"?><Relationships xmlns="http://schemas.openxmlformats.org/package/2006/relationships"><Relationship Id="rId1" Type="http://schemas.openxmlformats.org/officeDocument/2006/relationships/image" Target="media/image13.jpeg" /><Relationship Id="rId2" Type="http://schemas.openxmlformats.org/officeDocument/2006/relationships/image" Target="media/image14.jpeg" /></Relationships>
</file>

<file path=word/_rels/numbering.xml.rels><?xml version="1.0" encoding="utf-8" standalone="yes"?><Relationships xmlns="http://schemas.openxmlformats.org/package/2006/relationships"><Relationship Id="rId1" Type="http://schemas.openxmlformats.org/officeDocument/2006/relationships/image" Target="media/image15.png" /><Relationship Id="rId2" Type="http://schemas.openxmlformats.org/officeDocument/2006/relationships/image" Target="media/image16.jpeg" /><Relationship Id="rId3" Type="http://schemas.openxmlformats.org/officeDocument/2006/relationships/image" Target="media/image17.png" /><Relationship Id="rId4" Type="http://schemas.openxmlformats.org/officeDocument/2006/relationships/image" Target="media/image18.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9.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AE7ED48-C872-41C7-9DD1-56FE63A511ED}"/>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