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7"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8"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9"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4212E4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3066430</wp:posOffset>
                </wp:positionH>
                <wp:positionV relativeFrom="paragraph">
                  <wp:posOffset>262498</wp:posOffset>
                </wp:positionV>
                <wp:extent cx="0" cy="3505200"/>
                <wp:effectExtent l="25400" t="0" r="25400" b="254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052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45pt,20.65pt" to="241.45pt,296.65pt" strokecolor="white" strokeweight="4pt"/>
            </w:pict>
          </mc:Fallback>
        </mc:AlternateContent>
      </w:r>
      <w:r w:rsidR="002D5F05">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-82550</wp:posOffset>
                </wp:positionH>
                <wp:positionV relativeFrom="paragraph">
                  <wp:posOffset>2035304</wp:posOffset>
                </wp:positionV>
                <wp:extent cx="3019425" cy="0"/>
                <wp:effectExtent l="12700" t="12700" r="317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01942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6.5pt,160.25pt" to="231.25pt,160.25pt" strokecolor="white" strokeweight="1.5pt"/>
            </w:pict>
          </mc:Fallback>
        </mc:AlternateContent>
      </w:r>
      <w:r w:rsidRPr="0030415A" w:rsidR="00047607">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-82550</wp:posOffset>
                </wp:positionH>
                <wp:positionV relativeFrom="paragraph">
                  <wp:posOffset>346710</wp:posOffset>
                </wp:positionV>
                <wp:extent cx="4556760" cy="4273550"/>
                <wp:effectExtent l="0" t="0" r="254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676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2D5F05" w14:textId="294C1880">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5355BA" w:rsidR="005355BA">
                              <w:rPr>
                                <w:rtl/>
                              </w:rPr>
                              <w:t>נובמבר</w:t>
                            </w:r>
                            <w:r w:rsidR="005355BA">
                              <w:rPr>
                                <w:rFonts w:hint="cs"/>
                                <w:rtl/>
                              </w:rPr>
                              <w:t xml:space="preserve"> </w:t>
                            </w:r>
                            <w:r>
                              <w:rPr>
                                <w:rFonts w:hint="cs"/>
                                <w:rtl/>
                              </w:rPr>
                              <w:t xml:space="preserve">2022 </w:t>
                            </w:r>
                          </w:p>
                          <w:p w:rsidR="00F73EE0" w:rsidP="002D5F05" w14:textId="4F5A48BD">
                            <w:pPr>
                              <w:pStyle w:val="a35"/>
                              <w:bidi/>
                              <w:rPr>
                                <w:rtl/>
                              </w:rPr>
                            </w:pPr>
                          </w:p>
                          <w:p w:rsidR="00F01B25" w:rsidP="0052031E" w14:textId="77777777">
                            <w:pPr>
                              <w:ind w:left="2268"/>
                              <w:rPr>
                                <w:rtl/>
                              </w:rPr>
                            </w:pPr>
                          </w:p>
                          <w:p w:rsidR="00F73EE0" w:rsidP="0052031E" w14:textId="77777777">
                            <w:pPr>
                              <w:ind w:left="2268"/>
                              <w:rPr>
                                <w:rtl/>
                              </w:rPr>
                            </w:pPr>
                          </w:p>
                          <w:p w:rsidR="005D0F8C" w:rsidRPr="000A3ED4" w:rsidP="002D5F05" w14:textId="78FD2F21">
                            <w:pPr>
                              <w:pStyle w:val="-2"/>
                              <w:rPr>
                                <w:rtl/>
                              </w:rPr>
                            </w:pPr>
                            <w:r w:rsidRPr="00CD0350">
                              <w:rPr>
                                <w:rtl/>
                              </w:rPr>
                              <w:t>רשות המיסים בישראל</w:t>
                            </w:r>
                            <w:r w:rsidRPr="00CD0350">
                              <w:rPr>
                                <w:rFonts w:hint="cs"/>
                                <w:rtl/>
                              </w:rPr>
                              <w:t xml:space="preserve"> </w:t>
                            </w:r>
                          </w:p>
                          <w:p w:rsidR="00C30482" w:rsidRPr="002D5F05" w:rsidP="000A41E2" w14:textId="35D05BC3">
                            <w:pPr>
                              <w:pStyle w:val="a36"/>
                              <w:bidi/>
                              <w:spacing w:before="120"/>
                              <w:rPr>
                                <w:rtl/>
                              </w:rPr>
                            </w:pPr>
                            <w:r w:rsidRPr="00047607">
                              <w:rPr>
                                <w:rtl/>
                              </w:rPr>
                              <w:t>פעילות יחידת שירות עיבודים ממוכנים ברשות המיסים</w:t>
                            </w:r>
                          </w:p>
                          <w:p w:rsidR="00C30482" w:rsidRPr="002D5F05" w:rsidP="002D5F05" w14:textId="77777777">
                            <w:pPr>
                              <w:pStyle w:val="a36"/>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width:358.8pt;height:336.5pt;margin-top:27.3pt;margin-left:-6.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2D5F05" w14:paraId="6680A7A9" w14:textId="294C1880">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5355BA" w:rsidR="005355BA">
                        <w:rPr>
                          <w:rtl/>
                        </w:rPr>
                        <w:t>נובמבר</w:t>
                      </w:r>
                      <w:r w:rsidR="005355BA">
                        <w:rPr>
                          <w:rFonts w:hint="cs"/>
                          <w:rtl/>
                        </w:rPr>
                        <w:t xml:space="preserve"> </w:t>
                      </w:r>
                      <w:r>
                        <w:rPr>
                          <w:rFonts w:hint="cs"/>
                          <w:rtl/>
                        </w:rPr>
                        <w:t xml:space="preserve">2022 </w:t>
                      </w:r>
                    </w:p>
                    <w:p w:rsidR="00F73EE0" w:rsidP="002D5F05" w14:paraId="7A4F68DA" w14:textId="4F5A48BD">
                      <w:pPr>
                        <w:pStyle w:val="a35"/>
                        <w:bidi/>
                        <w:rPr>
                          <w:rtl/>
                        </w:rPr>
                      </w:pPr>
                    </w:p>
                    <w:p w:rsidR="00F01B25" w:rsidP="0052031E" w14:paraId="55A55087" w14:textId="77777777">
                      <w:pPr>
                        <w:ind w:left="2268"/>
                        <w:rPr>
                          <w:rtl/>
                        </w:rPr>
                      </w:pPr>
                    </w:p>
                    <w:p w:rsidR="00F73EE0" w:rsidP="0052031E" w14:paraId="537675A5" w14:textId="77777777">
                      <w:pPr>
                        <w:ind w:left="2268"/>
                        <w:rPr>
                          <w:rtl/>
                        </w:rPr>
                      </w:pPr>
                    </w:p>
                    <w:p w:rsidR="005D0F8C" w:rsidRPr="000A3ED4" w:rsidP="002D5F05" w14:paraId="361EED1E" w14:textId="78FD2F21">
                      <w:pPr>
                        <w:pStyle w:val="-2"/>
                        <w:rPr>
                          <w:rtl/>
                        </w:rPr>
                      </w:pPr>
                      <w:r w:rsidRPr="00CD0350">
                        <w:rPr>
                          <w:rtl/>
                        </w:rPr>
                        <w:t>רשות המיסים בישראל</w:t>
                      </w:r>
                      <w:r w:rsidRPr="00CD0350">
                        <w:rPr>
                          <w:rFonts w:hint="cs"/>
                          <w:rtl/>
                        </w:rPr>
                        <w:t xml:space="preserve"> </w:t>
                      </w:r>
                    </w:p>
                    <w:p w:rsidR="00C30482" w:rsidRPr="002D5F05" w:rsidP="000A41E2" w14:paraId="005557EF" w14:textId="35D05BC3">
                      <w:pPr>
                        <w:pStyle w:val="a36"/>
                        <w:bidi/>
                        <w:spacing w:before="120"/>
                        <w:rPr>
                          <w:rtl/>
                        </w:rPr>
                      </w:pPr>
                      <w:r w:rsidRPr="00047607">
                        <w:rPr>
                          <w:rtl/>
                        </w:rPr>
                        <w:t>פעילות יחידת שירות עיבודים ממוכנים ברשות המיסים</w:t>
                      </w:r>
                    </w:p>
                    <w:p w:rsidR="00C30482" w:rsidRPr="002D5F05" w:rsidP="002D5F05" w14:paraId="5BE5E625" w14:textId="77777777">
                      <w:pPr>
                        <w:pStyle w:val="a36"/>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-1468755</wp:posOffset>
                </wp:positionH>
                <wp:positionV relativeFrom="paragraph">
                  <wp:posOffset>-1233805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7.15pt;margin-left:-115.6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006E77">
          <w:headerReference w:type="even" r:id="rId18"/>
          <w:pgSz w:w="11906" w:h="16838" w:code="9"/>
          <w:pgMar w:top="3062" w:right="2268" w:bottom="2552" w:left="2268" w:header="709" w:footer="709" w:gutter="0"/>
          <w:cols w:space="720"/>
          <w:bidi/>
          <w:rtlGutter/>
          <w:docGrid w:linePitch="272"/>
        </w:sectPr>
      </w:pPr>
    </w:p>
    <w:p w:rsidR="00B93C72" w:rsidRPr="001F3363" w:rsidP="004A1076" w14:paraId="4ED3AA37" w14:textId="63B8A0CF">
      <w:pPr>
        <w:pStyle w:val="7329"/>
        <w:bidi/>
        <w:jc w:val="left"/>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586851">
        <w:rPr>
          <w:noProof/>
          <w:rtl/>
        </w:rPr>
        <mc:AlternateContent>
          <mc:Choice Requires="wps">
            <w:drawing>
              <wp:anchor distT="0" distB="0" distL="114300" distR="114300" simplePos="0" relativeHeight="251675648"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047607" w:rsidR="00047607">
        <w:rPr>
          <w:noProof/>
          <w:rtl/>
        </w:rPr>
        <w:t>פעילות יחידת שירות עיבודים ממוכנים ברשות המיסים</w:t>
      </w:r>
    </w:p>
    <w:p w:rsidR="007F4A20" w:rsidP="007F4A20" w14:paraId="0B41EED6" w14:textId="520CAA53">
      <w:pPr>
        <w:pStyle w:val="7392"/>
        <w:spacing w:before="360"/>
        <w:rPr>
          <w:rtl/>
        </w:rPr>
      </w:pPr>
      <w:r w:rsidRPr="00D9734C">
        <w:rPr>
          <w:rtl/>
        </w:rPr>
        <w:t>שירות עיבודים ממוכנים (</w:t>
      </w:r>
      <w:r w:rsidRPr="00D9734C">
        <w:rPr>
          <w:rtl/>
        </w:rPr>
        <w:t>שע"ם</w:t>
      </w:r>
      <w:r w:rsidRPr="00D9734C">
        <w:rPr>
          <w:rtl/>
        </w:rPr>
        <w:t xml:space="preserve">) הוא גוף המשמש כמערך המחשוב הפנימי של רשות המיסים בישראל (רשות המיסים או הרשות) ונותן לה שירותי מחשוב לצורך גבייה ואכיפה, ליצירת הרתעה ראויה ולמיצוי זכויותיהם של הנישומים. </w:t>
      </w:r>
      <w:r w:rsidRPr="00D9734C">
        <w:rPr>
          <w:rtl/>
        </w:rPr>
        <w:t>שע"ם</w:t>
      </w:r>
      <w:r w:rsidRPr="00D9734C">
        <w:rPr>
          <w:rtl/>
        </w:rPr>
        <w:t xml:space="preserve"> משרת כ-1.3 מיליון "לקוחות": חברות, תאגידים מסוגים אחרים, עצמאים, בעלי שליטה, שכירים, מקבלי מענקי עבודה, שכירים המבצעים תיאומי מס והחזרי מס, 6,000 העובדים של רשות המיסים, 13,000 משרדי מייצגים ו-7,000 עורכי דין.</w:t>
      </w:r>
      <w:r w:rsidRPr="00D9734C">
        <w:rPr>
          <w:rFonts w:hint="cs"/>
          <w:rtl/>
        </w:rPr>
        <w:t xml:space="preserve"> </w:t>
      </w:r>
      <w:r w:rsidRPr="00D9734C">
        <w:rPr>
          <w:rtl/>
        </w:rPr>
        <w:t>שע"ם</w:t>
      </w:r>
      <w:r w:rsidRPr="00D9734C">
        <w:rPr>
          <w:rtl/>
        </w:rPr>
        <w:t xml:space="preserve"> מנהל מאות פרויקטים בכל שנה, החל מפרויקטים לביצוע </w:t>
      </w:r>
      <w:r w:rsidRPr="00D9734C">
        <w:rPr>
          <w:rtl/>
        </w:rPr>
        <w:t>מיידי</w:t>
      </w:r>
      <w:r w:rsidRPr="00D9734C">
        <w:rPr>
          <w:rtl/>
        </w:rPr>
        <w:t xml:space="preserve"> וכלה בפרויקטים שביצועם נמשך שנים מספר. רשות המיסים קובעת בכל שנה תוכנית עבודה וכלולים בה בין היתר פרויקטים לתחזוקה של המערכות הקיימות, לשינויים בהן, לפיתוחן ולשיפורן וכן להקמת מערכות חדשות. תרומתן של המערכות הממוחשבות חשובה לייעול עבודתה של רשות המיסים, לקיצור התהליכים, להגברת אמינות הפעולות, לתיעוד, למעקב ולבקרה שוטפת על התהליכים ועל ההחלטות</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237"/>
        <w:gridCol w:w="1530"/>
        <w:gridCol w:w="237"/>
        <w:gridCol w:w="1697"/>
        <w:gridCol w:w="268"/>
        <w:gridCol w:w="1686"/>
      </w:tblGrid>
      <w:tr w14:paraId="58B4726B" w14:textId="77777777" w:rsidTr="00230DB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3" w:type="pct"/>
            <w:tcBorders>
              <w:bottom w:val="single" w:sz="12" w:space="0" w:color="000000"/>
            </w:tcBorders>
            <w:vAlign w:val="bottom"/>
          </w:tcPr>
          <w:p w:rsidR="00420374" w:rsidRPr="004562F8" w:rsidP="00937056" w14:paraId="23EB689E" w14:textId="26361DB1">
            <w:pPr>
              <w:spacing w:after="60" w:line="240" w:lineRule="auto"/>
              <w:rPr>
                <w:b/>
                <w:bCs/>
                <w:spacing w:val="-28"/>
                <w:rtl/>
              </w:rPr>
            </w:pPr>
            <w:r>
              <w:rPr>
                <w:rFonts w:ascii="Tahoma" w:hAnsi="Tahoma" w:eastAsiaTheme="minorEastAsia" w:cs="Tahoma"/>
                <w:b/>
                <w:bCs/>
                <w:color w:val="0D0D0D" w:themeColor="text1" w:themeTint="F2"/>
                <w:spacing w:val="-10"/>
                <w:sz w:val="36"/>
                <w:szCs w:val="36"/>
              </w:rPr>
              <w:t>333</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b/>
                <w:bCs/>
                <w:color w:val="0D0D0D" w:themeColor="text1" w:themeTint="F2"/>
                <w:spacing w:val="-10"/>
                <w:sz w:val="26"/>
                <w:szCs w:val="26"/>
                <w:rtl/>
              </w:rPr>
              <w:br/>
            </w:r>
            <w:r>
              <w:rPr>
                <w:rFonts w:ascii="Tahoma" w:hAnsi="Tahoma" w:eastAsiaTheme="minorEastAsia" w:cs="Tahoma" w:hint="cs"/>
                <w:b/>
                <w:bCs/>
                <w:color w:val="0D0D0D" w:themeColor="text1" w:themeTint="F2"/>
                <w:spacing w:val="-10"/>
                <w:sz w:val="26"/>
                <w:szCs w:val="26"/>
                <w:rtl/>
              </w:rPr>
              <w:t>מילי</w:t>
            </w:r>
            <w:r>
              <w:rPr>
                <w:rFonts w:ascii="Tahoma" w:hAnsi="Tahoma" w:eastAsiaTheme="minorEastAsia" w:cs="Tahoma" w:hint="cs"/>
                <w:b/>
                <w:bCs/>
                <w:color w:val="0D0D0D" w:themeColor="text1" w:themeTint="F2"/>
                <w:spacing w:val="-10"/>
                <w:sz w:val="26"/>
                <w:szCs w:val="26"/>
                <w:rtl/>
              </w:rPr>
              <w:t>ון</w:t>
            </w:r>
            <w:r>
              <w:rPr>
                <w:rFonts w:ascii="Tahoma" w:hAnsi="Tahoma" w:eastAsiaTheme="minorEastAsia" w:cs="Tahoma" w:hint="cs"/>
                <w:b/>
                <w:bCs/>
                <w:color w:val="0D0D0D" w:themeColor="text1" w:themeTint="F2"/>
                <w:spacing w:val="-10"/>
                <w:sz w:val="26"/>
                <w:szCs w:val="26"/>
                <w:rtl/>
              </w:rPr>
              <w:t xml:space="preserve"> ש״ח</w:t>
            </w:r>
          </w:p>
        </w:tc>
        <w:tc>
          <w:tcPr>
            <w:tcW w:w="161" w:type="pct"/>
            <w:vAlign w:val="bottom"/>
          </w:tcPr>
          <w:p w:rsidR="00420374" w:rsidP="00937056" w14:paraId="19192EA5" w14:textId="77777777">
            <w:pPr>
              <w:spacing w:before="120" w:after="60" w:line="240" w:lineRule="auto"/>
              <w:rPr>
                <w:rtl/>
              </w:rPr>
            </w:pPr>
          </w:p>
        </w:tc>
        <w:tc>
          <w:tcPr>
            <w:tcW w:w="1038" w:type="pct"/>
            <w:tcBorders>
              <w:bottom w:val="single" w:sz="12" w:space="0" w:color="000000"/>
            </w:tcBorders>
            <w:vAlign w:val="bottom"/>
          </w:tcPr>
          <w:p w:rsidR="00420374" w:rsidRPr="005C7ABF" w:rsidP="00937056" w14:paraId="761F4116" w14:textId="76B0C1BE">
            <w:pPr>
              <w:pStyle w:val="2021"/>
              <w:spacing w:before="0" w:after="60"/>
              <w:rPr>
                <w:spacing w:val="-10"/>
                <w:rtl/>
              </w:rPr>
            </w:pPr>
            <w:r>
              <w:rPr>
                <w:rFonts w:hint="cs"/>
                <w:spacing w:val="-10"/>
                <w:rtl/>
              </w:rPr>
              <w:t>221</w:t>
            </w:r>
            <w:r>
              <w:rPr>
                <w:rFonts w:hint="cs"/>
                <w:spacing w:val="-10"/>
                <w:rtl/>
              </w:rPr>
              <w:t xml:space="preserve"> </w:t>
            </w:r>
          </w:p>
        </w:tc>
        <w:tc>
          <w:tcPr>
            <w:tcW w:w="161" w:type="pct"/>
            <w:vAlign w:val="bottom"/>
          </w:tcPr>
          <w:p w:rsidR="00420374" w:rsidP="00937056" w14:paraId="2810DE55" w14:textId="77777777">
            <w:pPr>
              <w:spacing w:before="120" w:after="60" w:line="240" w:lineRule="auto"/>
              <w:rPr>
                <w:rtl/>
              </w:rPr>
            </w:pPr>
          </w:p>
        </w:tc>
        <w:tc>
          <w:tcPr>
            <w:tcW w:w="1151" w:type="pct"/>
            <w:tcBorders>
              <w:bottom w:val="single" w:sz="12" w:space="0" w:color="000000"/>
            </w:tcBorders>
            <w:vAlign w:val="bottom"/>
          </w:tcPr>
          <w:p w:rsidR="00420374" w:rsidRPr="00340353" w:rsidP="00937056" w14:paraId="2A2E27BD" w14:textId="5645CE6F">
            <w:pPr>
              <w:pStyle w:val="2021"/>
              <w:spacing w:before="0" w:after="60"/>
              <w:rPr>
                <w:b w:val="0"/>
                <w:bCs w:val="0"/>
                <w:spacing w:val="-20"/>
                <w:sz w:val="24"/>
                <w:rtl/>
              </w:rPr>
            </w:pPr>
            <w:r>
              <w:rPr>
                <w:rFonts w:hint="cs"/>
                <w:spacing w:val="-10"/>
                <w:rtl/>
              </w:rPr>
              <w:t>119</w:t>
            </w:r>
            <w:r>
              <w:rPr>
                <w:rFonts w:hint="cs"/>
                <w:spacing w:val="-10"/>
                <w:rtl/>
              </w:rPr>
              <w:t xml:space="preserve"> </w:t>
            </w:r>
          </w:p>
        </w:tc>
        <w:tc>
          <w:tcPr>
            <w:tcW w:w="182" w:type="pct"/>
          </w:tcPr>
          <w:p w:rsidR="00420374" w:rsidP="00937056" w14:paraId="47B754BA" w14:textId="77777777">
            <w:pPr>
              <w:pStyle w:val="2021"/>
              <w:spacing w:before="0" w:after="60"/>
              <w:rPr>
                <w:spacing w:val="-10"/>
                <w:rtl/>
              </w:rPr>
            </w:pPr>
          </w:p>
        </w:tc>
        <w:tc>
          <w:tcPr>
            <w:tcW w:w="1145" w:type="pct"/>
            <w:tcBorders>
              <w:bottom w:val="single" w:sz="12" w:space="0" w:color="000000"/>
            </w:tcBorders>
            <w:vAlign w:val="bottom"/>
          </w:tcPr>
          <w:p w:rsidR="00420374" w:rsidP="00937056" w14:paraId="5F3A3FF5" w14:textId="57D7DBEA">
            <w:pPr>
              <w:pStyle w:val="2021"/>
              <w:spacing w:before="0" w:after="60"/>
              <w:rPr>
                <w:spacing w:val="-10"/>
                <w:rtl/>
              </w:rPr>
            </w:pPr>
            <w:r>
              <w:rPr>
                <w:rFonts w:hint="cs"/>
                <w:spacing w:val="-10"/>
                <w:rtl/>
              </w:rPr>
              <w:t>55</w:t>
            </w:r>
            <w:r>
              <w:rPr>
                <w:rFonts w:hint="cs"/>
                <w:spacing w:val="-10"/>
                <w:rtl/>
              </w:rPr>
              <w:t xml:space="preserve">% </w:t>
            </w:r>
          </w:p>
        </w:tc>
      </w:tr>
      <w:tr w14:paraId="6DFAF81C" w14:textId="77777777" w:rsidTr="00230DB3">
        <w:tblPrEx>
          <w:tblW w:w="5000" w:type="pct"/>
          <w:tblLook w:val="04A0"/>
        </w:tblPrEx>
        <w:tc>
          <w:tcPr>
            <w:tcW w:w="1163" w:type="pct"/>
            <w:tcBorders>
              <w:top w:val="single" w:sz="12" w:space="0" w:color="000000"/>
            </w:tcBorders>
          </w:tcPr>
          <w:p w:rsidR="00420374" w:rsidRPr="00E52143" w:rsidP="00937056" w14:paraId="1D96599A" w14:textId="0138AEF6">
            <w:pPr>
              <w:pStyle w:val="732021"/>
              <w:spacing w:before="0"/>
              <w:rPr>
                <w:rtl/>
              </w:rPr>
            </w:pPr>
            <w:r w:rsidRPr="00165950">
              <w:rPr>
                <w:rtl/>
              </w:rPr>
              <w:t xml:space="preserve">תקציב </w:t>
            </w:r>
            <w:r w:rsidRPr="00165950">
              <w:rPr>
                <w:rtl/>
              </w:rPr>
              <w:t>שע"ם</w:t>
            </w:r>
            <w:r w:rsidRPr="00165950">
              <w:rPr>
                <w:rtl/>
              </w:rPr>
              <w:t xml:space="preserve"> לשנת 2021</w:t>
            </w:r>
          </w:p>
        </w:tc>
        <w:tc>
          <w:tcPr>
            <w:tcW w:w="161" w:type="pct"/>
          </w:tcPr>
          <w:p w:rsidR="00420374" w:rsidRPr="00E52143" w:rsidP="00937056" w14:paraId="2BF81D8C" w14:textId="77777777">
            <w:pPr>
              <w:pStyle w:val="732021"/>
              <w:spacing w:before="0"/>
              <w:rPr>
                <w:rtl/>
              </w:rPr>
            </w:pPr>
          </w:p>
        </w:tc>
        <w:tc>
          <w:tcPr>
            <w:tcW w:w="1038" w:type="pct"/>
            <w:tcBorders>
              <w:top w:val="single" w:sz="12" w:space="0" w:color="000000"/>
            </w:tcBorders>
          </w:tcPr>
          <w:p w:rsidR="00420374" w:rsidRPr="00E52143" w:rsidP="00937056" w14:paraId="68924AF7" w14:textId="3EA0B302">
            <w:pPr>
              <w:pStyle w:val="732021"/>
              <w:spacing w:before="0"/>
              <w:rPr>
                <w:rtl/>
              </w:rPr>
            </w:pPr>
            <w:r w:rsidRPr="00165950">
              <w:rPr>
                <w:rtl/>
              </w:rPr>
              <w:t xml:space="preserve">מספר פרויקטים חדשים ושוטפים </w:t>
            </w:r>
            <w:r w:rsidRPr="00165950">
              <w:rPr>
                <w:rtl/>
              </w:rPr>
              <w:br/>
              <w:t xml:space="preserve">בשנת 2021 </w:t>
            </w:r>
            <w:r w:rsidRPr="00165950">
              <w:rPr>
                <w:rtl/>
              </w:rPr>
              <w:br/>
              <w:t xml:space="preserve">המנוהלים </w:t>
            </w:r>
            <w:r w:rsidRPr="00165950">
              <w:rPr>
                <w:rtl/>
              </w:rPr>
              <w:t>בשע"ם</w:t>
            </w:r>
          </w:p>
        </w:tc>
        <w:tc>
          <w:tcPr>
            <w:tcW w:w="161" w:type="pct"/>
          </w:tcPr>
          <w:p w:rsidR="00420374" w:rsidRPr="00E52143" w:rsidP="00937056" w14:paraId="4F52CE08" w14:textId="77777777">
            <w:pPr>
              <w:pStyle w:val="732021"/>
              <w:spacing w:before="0"/>
              <w:rPr>
                <w:rtl/>
              </w:rPr>
            </w:pPr>
          </w:p>
        </w:tc>
        <w:tc>
          <w:tcPr>
            <w:tcW w:w="1151" w:type="pct"/>
            <w:tcBorders>
              <w:top w:val="single" w:sz="12" w:space="0" w:color="000000"/>
            </w:tcBorders>
          </w:tcPr>
          <w:p w:rsidR="00420374" w:rsidRPr="00E52143" w:rsidP="00937056" w14:paraId="203F9568" w14:textId="6F8E00D1">
            <w:pPr>
              <w:pStyle w:val="732021"/>
              <w:spacing w:before="0"/>
              <w:rPr>
                <w:rtl/>
              </w:rPr>
            </w:pPr>
            <w:r>
              <w:rPr>
                <w:rFonts w:hint="cs"/>
                <w:rtl/>
              </w:rPr>
              <w:t xml:space="preserve">מספר </w:t>
            </w:r>
            <w:r w:rsidRPr="00165950" w:rsidR="007803E4">
              <w:rPr>
                <w:rtl/>
              </w:rPr>
              <w:t>פרויקטי</w:t>
            </w:r>
            <w:r w:rsidRPr="00165950" w:rsidR="007803E4">
              <w:rPr>
                <w:rtl/>
              </w:rPr>
              <w:t xml:space="preserve"> שיפורים ושינויים במערכות הקיימות בשנת 2021 המנוהלים </w:t>
            </w:r>
            <w:r w:rsidRPr="00165950" w:rsidR="007803E4">
              <w:rPr>
                <w:rtl/>
              </w:rPr>
              <w:t>בשע"ם</w:t>
            </w:r>
            <w:r w:rsidRPr="00E52143" w:rsidR="007803E4">
              <w:rPr>
                <w:rtl/>
              </w:rPr>
              <w:t xml:space="preserve"> </w:t>
            </w:r>
          </w:p>
        </w:tc>
        <w:tc>
          <w:tcPr>
            <w:tcW w:w="182" w:type="pct"/>
          </w:tcPr>
          <w:p w:rsidR="00420374" w:rsidRPr="00E52143" w:rsidP="00937056" w14:paraId="42538096" w14:textId="77777777">
            <w:pPr>
              <w:pStyle w:val="732021"/>
              <w:spacing w:before="0"/>
              <w:rPr>
                <w:rtl/>
              </w:rPr>
            </w:pPr>
          </w:p>
        </w:tc>
        <w:tc>
          <w:tcPr>
            <w:tcW w:w="1145" w:type="pct"/>
            <w:tcBorders>
              <w:top w:val="single" w:sz="12" w:space="0" w:color="000000"/>
            </w:tcBorders>
          </w:tcPr>
          <w:p w:rsidR="00420374" w:rsidRPr="00E52143" w:rsidP="00937056" w14:paraId="1878D11D" w14:textId="4BD7144F">
            <w:pPr>
              <w:pStyle w:val="732021"/>
              <w:spacing w:before="0"/>
              <w:rPr>
                <w:rtl/>
              </w:rPr>
            </w:pPr>
            <w:r w:rsidRPr="00165950">
              <w:rPr>
                <w:rtl/>
              </w:rPr>
              <w:t xml:space="preserve">שיעור הפרויקטים </w:t>
            </w:r>
            <w:r w:rsidRPr="00165950">
              <w:rPr>
                <w:rFonts w:hint="cs"/>
                <w:rtl/>
              </w:rPr>
              <w:t>ש</w:t>
            </w:r>
            <w:r w:rsidRPr="00165950">
              <w:rPr>
                <w:rtl/>
              </w:rPr>
              <w:t>בהם היו חריגות של יותר מ-100% במספר ימי העבודה שהוקצו לפרויקט</w:t>
            </w:r>
            <w:r>
              <w:rPr>
                <w:vertAlign w:val="superscript"/>
                <w:rtl/>
              </w:rPr>
              <w:footnoteReference w:id="2"/>
            </w:r>
          </w:p>
        </w:tc>
      </w:tr>
      <w:tr w14:paraId="1BD5A20C" w14:textId="77777777" w:rsidTr="00230DB3">
        <w:tblPrEx>
          <w:tblW w:w="5000" w:type="pct"/>
          <w:tblLook w:val="04A0"/>
        </w:tblPrEx>
        <w:tc>
          <w:tcPr>
            <w:tcW w:w="1163" w:type="pct"/>
            <w:tcBorders>
              <w:bottom w:val="single" w:sz="12" w:space="0" w:color="000000"/>
            </w:tcBorders>
            <w:vAlign w:val="bottom"/>
          </w:tcPr>
          <w:p w:rsidR="00420374" w:rsidRPr="00411396" w:rsidP="00230DB3" w14:paraId="500D3B50" w14:textId="2918FA3A">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583</w:t>
            </w:r>
          </w:p>
        </w:tc>
        <w:tc>
          <w:tcPr>
            <w:tcW w:w="161" w:type="pct"/>
            <w:vAlign w:val="bottom"/>
          </w:tcPr>
          <w:p w:rsidR="00420374" w:rsidRPr="00E52143" w:rsidP="00230DB3"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cBorders>
            <w:vAlign w:val="bottom"/>
          </w:tcPr>
          <w:p w:rsidR="00420374" w:rsidRPr="008D750B" w:rsidP="00230DB3" w14:paraId="48896DF7" w14:textId="59DCDE6C">
            <w:pPr>
              <w:pStyle w:val="2021"/>
              <w:spacing w:before="0" w:after="60"/>
              <w:rPr>
                <w:spacing w:val="-10"/>
                <w:rtl/>
              </w:rPr>
            </w:pPr>
            <w:r>
              <w:rPr>
                <w:rFonts w:hint="cs"/>
                <w:spacing w:val="-10"/>
                <w:rtl/>
              </w:rPr>
              <w:t>56</w:t>
            </w:r>
            <w:r w:rsidRPr="008D750B">
              <w:rPr>
                <w:spacing w:val="-10"/>
                <w:rtl/>
              </w:rPr>
              <w:t>%</w:t>
            </w:r>
          </w:p>
        </w:tc>
        <w:tc>
          <w:tcPr>
            <w:tcW w:w="161" w:type="pct"/>
            <w:vAlign w:val="bottom"/>
          </w:tcPr>
          <w:p w:rsidR="00420374" w:rsidP="00230DB3" w14:paraId="5B4C8A80" w14:textId="77777777">
            <w:pPr>
              <w:spacing w:after="60" w:line="240" w:lineRule="auto"/>
              <w:jc w:val="left"/>
              <w:rPr>
                <w:rtl/>
              </w:rPr>
            </w:pPr>
          </w:p>
        </w:tc>
        <w:tc>
          <w:tcPr>
            <w:tcW w:w="1151" w:type="pct"/>
            <w:tcBorders>
              <w:bottom w:val="single" w:sz="12" w:space="0" w:color="000000"/>
            </w:tcBorders>
            <w:vAlign w:val="bottom"/>
          </w:tcPr>
          <w:p w:rsidR="00420374" w:rsidRPr="0062456C" w:rsidP="00230DB3" w14:paraId="226A2E50" w14:textId="36D1ADB0">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120,000</w:t>
            </w:r>
          </w:p>
        </w:tc>
        <w:tc>
          <w:tcPr>
            <w:tcW w:w="182" w:type="pct"/>
          </w:tcPr>
          <w:p w:rsidR="00420374" w:rsidP="00230DB3"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45" w:type="pct"/>
            <w:tcBorders>
              <w:bottom w:val="single" w:sz="12" w:space="0" w:color="000000"/>
            </w:tcBorders>
            <w:vAlign w:val="bottom"/>
          </w:tcPr>
          <w:p w:rsidR="00420374" w:rsidP="00230DB3" w14:paraId="5AEEF263" w14:textId="34834965">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66%</w:t>
            </w:r>
          </w:p>
        </w:tc>
      </w:tr>
      <w:tr w14:paraId="54154FA5" w14:textId="77777777" w:rsidTr="00230DB3">
        <w:tblPrEx>
          <w:tblW w:w="5000" w:type="pct"/>
          <w:tblLook w:val="04A0"/>
        </w:tblPrEx>
        <w:tc>
          <w:tcPr>
            <w:tcW w:w="1163" w:type="pct"/>
            <w:tcBorders>
              <w:top w:val="single" w:sz="12" w:space="0" w:color="000000"/>
            </w:tcBorders>
          </w:tcPr>
          <w:p w:rsidR="00420374" w:rsidRPr="004562F8" w:rsidP="00937056" w14:paraId="6DB67748" w14:textId="66F92907">
            <w:pPr>
              <w:pStyle w:val="732021"/>
              <w:spacing w:before="0" w:after="0"/>
              <w:rPr>
                <w:rtl/>
              </w:rPr>
            </w:pPr>
            <w:r w:rsidRPr="00165950">
              <w:rPr>
                <w:rtl/>
              </w:rPr>
              <w:t xml:space="preserve">עובדים </w:t>
            </w:r>
            <w:r w:rsidRPr="00165950">
              <w:rPr>
                <w:rtl/>
              </w:rPr>
              <w:t>בשע"ם</w:t>
            </w:r>
            <w:r w:rsidRPr="00165950">
              <w:rPr>
                <w:rtl/>
              </w:rPr>
              <w:t xml:space="preserve"> נכון לינואר 2022</w:t>
            </w:r>
          </w:p>
        </w:tc>
        <w:tc>
          <w:tcPr>
            <w:tcW w:w="161" w:type="pct"/>
          </w:tcPr>
          <w:p w:rsidR="00420374" w:rsidRPr="008D750B" w:rsidP="00937056" w14:paraId="0C0AE598" w14:textId="77777777">
            <w:pPr>
              <w:pStyle w:val="732021"/>
              <w:spacing w:before="0" w:after="0"/>
              <w:rPr>
                <w:rtl/>
              </w:rPr>
            </w:pPr>
          </w:p>
        </w:tc>
        <w:tc>
          <w:tcPr>
            <w:tcW w:w="1038" w:type="pct"/>
            <w:tcBorders>
              <w:top w:val="single" w:sz="12" w:space="0" w:color="000000"/>
            </w:tcBorders>
          </w:tcPr>
          <w:p w:rsidR="00420374" w:rsidRPr="004562F8" w:rsidP="00937056" w14:paraId="1916A301" w14:textId="6084D3ED">
            <w:pPr>
              <w:pStyle w:val="732021"/>
              <w:spacing w:before="0" w:after="0"/>
              <w:rPr>
                <w:rtl/>
              </w:rPr>
            </w:pPr>
            <w:r w:rsidRPr="00165950">
              <w:rPr>
                <w:rtl/>
              </w:rPr>
              <w:t xml:space="preserve">שיעור עובדי המדינה מקרב המועסקים </w:t>
            </w:r>
            <w:r w:rsidRPr="00165950">
              <w:rPr>
                <w:rtl/>
              </w:rPr>
              <w:t>בשע"ם</w:t>
            </w:r>
            <w:r w:rsidRPr="00165950">
              <w:rPr>
                <w:rtl/>
              </w:rPr>
              <w:t xml:space="preserve"> נכון לינואר 2022</w:t>
            </w:r>
          </w:p>
        </w:tc>
        <w:tc>
          <w:tcPr>
            <w:tcW w:w="161" w:type="pct"/>
          </w:tcPr>
          <w:p w:rsidR="00420374" w:rsidP="00937056" w14:paraId="14782C57" w14:textId="77777777">
            <w:pPr>
              <w:pStyle w:val="732021"/>
              <w:spacing w:before="0" w:after="0"/>
              <w:rPr>
                <w:rtl/>
              </w:rPr>
            </w:pPr>
          </w:p>
        </w:tc>
        <w:tc>
          <w:tcPr>
            <w:tcW w:w="1151" w:type="pct"/>
            <w:tcBorders>
              <w:top w:val="single" w:sz="12" w:space="0" w:color="000000"/>
            </w:tcBorders>
          </w:tcPr>
          <w:p w:rsidR="00420374" w:rsidRPr="0062456C" w:rsidP="00937056" w14:paraId="6149CA50" w14:textId="6F2EEDD3">
            <w:pPr>
              <w:pStyle w:val="732021"/>
              <w:spacing w:before="0" w:after="0"/>
              <w:rPr>
                <w:rtl/>
              </w:rPr>
            </w:pPr>
            <w:r w:rsidRPr="00165950">
              <w:rPr>
                <w:rtl/>
              </w:rPr>
              <w:t>מספר הפניות שהתקבלו בדלפק הסיוע</w:t>
            </w:r>
            <w:r>
              <w:rPr>
                <w:vertAlign w:val="superscript"/>
                <w:rtl/>
              </w:rPr>
              <w:footnoteReference w:id="3"/>
            </w:r>
            <w:r w:rsidRPr="00165950">
              <w:rPr>
                <w:rtl/>
              </w:rPr>
              <w:t xml:space="preserve"> </w:t>
            </w:r>
            <w:r w:rsidRPr="00165950">
              <w:rPr>
                <w:rtl/>
              </w:rPr>
              <w:t>בשע"ם</w:t>
            </w:r>
            <w:r w:rsidRPr="00165950">
              <w:rPr>
                <w:rtl/>
              </w:rPr>
              <w:t xml:space="preserve"> בממוצע בשנים </w:t>
            </w:r>
            <w:r w:rsidRPr="00165950">
              <w:rPr>
                <w:rtl/>
              </w:rPr>
              <w:br/>
              <w:t>2019 - 2021</w:t>
            </w:r>
          </w:p>
        </w:tc>
        <w:tc>
          <w:tcPr>
            <w:tcW w:w="182" w:type="pct"/>
          </w:tcPr>
          <w:p w:rsidR="00420374" w:rsidRPr="00C92141" w:rsidP="00937056" w14:paraId="66E34E8E" w14:textId="77777777">
            <w:pPr>
              <w:pStyle w:val="732021"/>
              <w:spacing w:before="0" w:after="0"/>
              <w:rPr>
                <w:rtl/>
              </w:rPr>
            </w:pPr>
          </w:p>
        </w:tc>
        <w:tc>
          <w:tcPr>
            <w:tcW w:w="1145" w:type="pct"/>
            <w:tcBorders>
              <w:top w:val="single" w:sz="12" w:space="0" w:color="000000"/>
            </w:tcBorders>
          </w:tcPr>
          <w:p w:rsidR="00420374" w:rsidRPr="00C92141" w:rsidP="00937056" w14:paraId="39498237" w14:textId="065C6015">
            <w:pPr>
              <w:pStyle w:val="732021"/>
              <w:spacing w:before="0" w:after="0"/>
              <w:rPr>
                <w:rtl/>
              </w:rPr>
            </w:pPr>
            <w:r w:rsidRPr="00165950">
              <w:rPr>
                <w:rtl/>
              </w:rPr>
              <w:t>שיעור הטפסים שאינם מקוונים מתוך כלל הטפסים המוצגים באתר האינטרנט של רשות המיסים</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7803E4" w:rsidP="00420374" w14:paraId="0AF4CED3" w14:textId="2D4F13CE">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5950">
        <w:rPr>
          <w:rFonts w:hint="cs"/>
          <w:rtl/>
        </w:rPr>
        <w:t xml:space="preserve">בחודשים </w:t>
      </w:r>
      <w:r w:rsidRPr="00165950">
        <w:rPr>
          <w:rtl/>
        </w:rPr>
        <w:t xml:space="preserve">נובמבר 2021 - פברואר 2022 בדק משרד מבקר המדינה את פעילות </w:t>
      </w:r>
      <w:r w:rsidRPr="00165950">
        <w:rPr>
          <w:rtl/>
        </w:rPr>
        <w:t>שע"ם</w:t>
      </w:r>
      <w:r w:rsidRPr="00165950">
        <w:rPr>
          <w:rtl/>
        </w:rPr>
        <w:t xml:space="preserve">, שהוא גוף מערכות המידע של רשות המיסים. במסגרת הביקורת נבדקו היבטים ארגוניים - השירות ללקוחות </w:t>
      </w:r>
      <w:r w:rsidRPr="00165950">
        <w:rPr>
          <w:rtl/>
        </w:rPr>
        <w:t>שע"ם</w:t>
      </w:r>
      <w:r w:rsidRPr="00165950">
        <w:rPr>
          <w:rtl/>
        </w:rPr>
        <w:t xml:space="preserve"> והטיפול בתקלות מערכתיות. כמו כן נבדקו אופן ניהול הפרויקטים </w:t>
      </w:r>
      <w:r w:rsidRPr="00165950">
        <w:rPr>
          <w:rtl/>
        </w:rPr>
        <w:t>בשע"ם</w:t>
      </w:r>
      <w:r w:rsidRPr="00165950">
        <w:rPr>
          <w:rtl/>
        </w:rPr>
        <w:t xml:space="preserve"> והמעקב והבקרה על ביצועם. הביקורת כללה גם בחינה של תהליכים עסקיים עיקריים ברשות המיסים ואת אופן מיכונם</w:t>
      </w:r>
      <w:r>
        <w:rPr>
          <w:rFonts w:hint="cs"/>
          <w:rtl/>
        </w:rPr>
        <w:t>.</w:t>
      </w:r>
    </w:p>
    <w:p w:rsidR="007803E4" w14:paraId="579E67C4" w14:textId="43E58D60">
      <w:pPr>
        <w:bidi w:val="0"/>
        <w:spacing w:after="200" w:line="276" w:lineRule="auto"/>
        <w:rPr>
          <w:rFonts w:ascii="Tahoma" w:hAnsi="Tahoma" w:cs="Tahoma"/>
          <w:color w:val="0D0D0D" w:themeColor="text1" w:themeTint="F2"/>
          <w:sz w:val="18"/>
          <w:szCs w:val="18"/>
          <w:rtl/>
        </w:rPr>
      </w:pPr>
      <w:r>
        <w:rPr>
          <w:rtl/>
        </w:rPr>
        <w:br w:type="page"/>
      </w:r>
    </w:p>
    <w:p w:rsidR="002753C7" w:rsidRPr="00662020" w:rsidP="002753C7" w14:paraId="690F076D" w14:textId="1221AEE7">
      <w:pPr>
        <w:pStyle w:val="7327"/>
        <w:rPr>
          <w:rtl/>
        </w:rPr>
      </w:pPr>
      <w:r w:rsidRPr="00362C00">
        <w:rPr>
          <w:noProof/>
          <w:rtl/>
        </w:rPr>
        <w:drawing>
          <wp:anchor distT="0" distB="0" distL="114300" distR="114300" simplePos="0" relativeHeight="251689984" behindDoc="0" locked="0" layoutInCell="1" allowOverlap="1">
            <wp:simplePos x="0" y="0"/>
            <wp:positionH relativeFrom="column">
              <wp:posOffset>2578735</wp:posOffset>
            </wp:positionH>
            <wp:positionV relativeFrom="paragraph">
              <wp:posOffset>433070</wp:posOffset>
            </wp:positionV>
            <wp:extent cx="2101215" cy="172085"/>
            <wp:effectExtent l="0" t="0" r="0" b="5715"/>
            <wp:wrapSquare wrapText="bothSides"/>
            <wp:docPr id="4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תמונת המצב העולה מן הביקורת</w:t>
      </w:r>
    </w:p>
    <w:p w:rsidR="002753C7" w:rsidRPr="001F3363" w:rsidP="00420374" w14:paraId="0B2F822B" w14:textId="096A3950">
      <w:pPr>
        <w:pStyle w:val="7317"/>
        <w:rPr>
          <w:rtl/>
        </w:rPr>
      </w:pPr>
    </w:p>
    <w:p w:rsidR="00420374" w:rsidP="00584C90" w14:paraId="18555822" w14:textId="52B93641">
      <w:pPr>
        <w:pStyle w:val="7392"/>
        <w:spacing w:before="240"/>
        <w:ind w:left="424"/>
      </w:pPr>
      <w:r w:rsidRPr="00B02658">
        <w:rPr>
          <w:rFonts w:hint="cs"/>
          <w:b/>
          <w:bCs/>
          <w:noProof/>
          <w:rtl/>
        </w:rPr>
        <w:drawing>
          <wp:anchor distT="0" distB="720090" distL="114300" distR="114300" simplePos="0" relativeHeight="251684864" behindDoc="1" locked="0" layoutInCell="1" allowOverlap="1">
            <wp:simplePos x="0" y="0"/>
            <wp:positionH relativeFrom="column">
              <wp:posOffset>4525173</wp:posOffset>
            </wp:positionH>
            <wp:positionV relativeFrom="paragraph">
              <wp:posOffset>66040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70408" w:rsidR="007803E4">
        <w:rPr>
          <w:b/>
          <w:bCs/>
          <w:rtl/>
        </w:rPr>
        <w:t xml:space="preserve">התוכנית האסטרטגית של </w:t>
      </w:r>
      <w:r w:rsidRPr="00C70408" w:rsidR="007803E4">
        <w:rPr>
          <w:b/>
          <w:bCs/>
          <w:rtl/>
        </w:rPr>
        <w:t>שע"ם</w:t>
      </w:r>
      <w:r w:rsidRPr="00165950" w:rsidR="007803E4">
        <w:rPr>
          <w:rtl/>
        </w:rPr>
        <w:t xml:space="preserve"> - בביקורת לא נמצאו מסמכים המעידים כי במהלך גיבוש התוכנית נדונו בהנהלת </w:t>
      </w:r>
      <w:r w:rsidRPr="00165950" w:rsidR="007803E4">
        <w:rPr>
          <w:rtl/>
        </w:rPr>
        <w:t>שע"ם</w:t>
      </w:r>
      <w:r w:rsidRPr="00165950" w:rsidR="007803E4">
        <w:rPr>
          <w:rtl/>
        </w:rPr>
        <w:t xml:space="preserve"> חלופות שונות לתוכנית או לעקרונותיה. בנוסף, בבדיקה שביצע צוות הביקורת במהלך הביקורת בקרב המנהלים הבכירים </w:t>
      </w:r>
      <w:r w:rsidRPr="00165950" w:rsidR="007803E4">
        <w:rPr>
          <w:rtl/>
        </w:rPr>
        <w:t>בשע"ם</w:t>
      </w:r>
      <w:r w:rsidR="00563AA0">
        <w:rPr>
          <w:rFonts w:hint="cs"/>
          <w:rtl/>
        </w:rPr>
        <w:t>,</w:t>
      </w:r>
      <w:r w:rsidRPr="00165950" w:rsidR="007803E4">
        <w:rPr>
          <w:rtl/>
        </w:rPr>
        <w:t xml:space="preserve"> ציינו כל המרואיינים כי לא היו שותפים לגיבוש התוכנית האסטרטגית </w:t>
      </w:r>
      <w:r w:rsidRPr="00165950" w:rsidR="007803E4">
        <w:rPr>
          <w:rtl/>
        </w:rPr>
        <w:t>לשע"ם</w:t>
      </w:r>
      <w:r w:rsidRPr="0093709F">
        <w:rPr>
          <w:rtl/>
        </w:rPr>
        <w:t>.</w:t>
      </w:r>
    </w:p>
    <w:p w:rsidR="007803E4" w:rsidRPr="007803E4" w:rsidP="00584C90" w14:paraId="32D8D8AC" w14:textId="76EEC588">
      <w:pPr>
        <w:pStyle w:val="7392"/>
        <w:ind w:left="424"/>
      </w:pPr>
      <w:r w:rsidRPr="00B02658">
        <w:rPr>
          <w:rFonts w:hint="cs"/>
          <w:b/>
          <w:bCs/>
          <w:noProof/>
          <w:rtl/>
        </w:rPr>
        <w:drawing>
          <wp:anchor distT="0" distB="720090" distL="114300" distR="114300" simplePos="0" relativeHeight="251685888" behindDoc="1" locked="0" layoutInCell="1" allowOverlap="1">
            <wp:simplePos x="0" y="0"/>
            <wp:positionH relativeFrom="column">
              <wp:posOffset>4525173</wp:posOffset>
            </wp:positionH>
            <wp:positionV relativeFrom="paragraph">
              <wp:posOffset>33020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70408">
        <w:rPr>
          <w:b/>
          <w:bCs/>
          <w:rtl/>
        </w:rPr>
        <w:t>תכנון תוכניות העבודה, ניהול הפרויקטים והבקרה עליהם</w:t>
      </w:r>
    </w:p>
    <w:p w:rsidR="007803E4" w:rsidRPr="00A30C92" w14:paraId="43FD200B" w14:textId="77777777">
      <w:pPr>
        <w:numPr>
          <w:ilvl w:val="0"/>
          <w:numId w:val="11"/>
        </w:numPr>
        <w:spacing w:after="60" w:line="288" w:lineRule="auto"/>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תיעדוף הפרויקטים</w:t>
      </w:r>
      <w:r w:rsidRPr="00A30C92">
        <w:rPr>
          <w:rFonts w:ascii="Tahoma" w:hAnsi="Tahoma" w:cs="Tahoma"/>
          <w:b/>
          <w:bCs/>
          <w:color w:val="0D0D0D" w:themeColor="text1" w:themeTint="F2"/>
          <w:sz w:val="18"/>
          <w:szCs w:val="18"/>
          <w:rtl/>
        </w:rPr>
        <w:t xml:space="preserve"> </w:t>
      </w:r>
      <w:r w:rsidRPr="000F26CD">
        <w:rPr>
          <w:rFonts w:ascii="Tahoma" w:hAnsi="Tahoma" w:cs="Tahoma"/>
          <w:color w:val="0D0D0D" w:themeColor="text1" w:themeTint="F2"/>
          <w:sz w:val="18"/>
          <w:szCs w:val="18"/>
          <w:rtl/>
        </w:rPr>
        <w:t>-</w:t>
      </w:r>
      <w:r w:rsidRPr="00A30C92">
        <w:rPr>
          <w:rFonts w:ascii="Tahoma" w:hAnsi="Tahoma" w:cs="Tahoma"/>
          <w:b/>
          <w:bCs/>
          <w:color w:val="0D0D0D" w:themeColor="text1" w:themeTint="F2"/>
          <w:sz w:val="18"/>
          <w:szCs w:val="18"/>
          <w:rtl/>
        </w:rPr>
        <w:t xml:space="preserve"> </w:t>
      </w:r>
      <w:r w:rsidRPr="00A30C92">
        <w:rPr>
          <w:rFonts w:ascii="Tahoma" w:hAnsi="Tahoma" w:cs="Tahoma"/>
          <w:color w:val="0D0D0D" w:themeColor="text1" w:themeTint="F2"/>
          <w:sz w:val="18"/>
          <w:szCs w:val="18"/>
          <w:rtl/>
        </w:rPr>
        <w:t>בשע"ם</w:t>
      </w:r>
      <w:r w:rsidRPr="00A30C92">
        <w:rPr>
          <w:rFonts w:ascii="Tahoma" w:hAnsi="Tahoma" w:cs="Tahoma"/>
          <w:color w:val="0D0D0D" w:themeColor="text1" w:themeTint="F2"/>
          <w:sz w:val="18"/>
          <w:szCs w:val="18"/>
          <w:rtl/>
        </w:rPr>
        <w:t xml:space="preserve"> לא בוצעו התהליכים הנדרשים לצורך קבלת החלטות מושכלות על בסיס נתונים מעודכנים ולצורך תיעדוף הפרויקטים בהתאם לנוהל המתודולוגיה, לרבות קביעת אומדנים ובחינת יחס עלות - תועלת.</w:t>
      </w:r>
    </w:p>
    <w:p w:rsidR="007803E4" w:rsidRPr="00A30C92" w14:paraId="60C30C80" w14:textId="6EEB3819">
      <w:pPr>
        <w:numPr>
          <w:ilvl w:val="0"/>
          <w:numId w:val="11"/>
        </w:numPr>
        <w:spacing w:after="60" w:line="288" w:lineRule="auto"/>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תוכנית בסיס</w:t>
      </w:r>
      <w:r w:rsidRPr="00A30C92">
        <w:rPr>
          <w:rFonts w:ascii="Tahoma" w:hAnsi="Tahoma" w:cs="Tahoma"/>
          <w:b/>
          <w:bCs/>
          <w:color w:val="0D0D0D" w:themeColor="text1" w:themeTint="F2"/>
          <w:sz w:val="18"/>
          <w:szCs w:val="18"/>
          <w:rtl/>
        </w:rPr>
        <w:t xml:space="preserve"> </w:t>
      </w:r>
      <w:r w:rsidRPr="000F26CD">
        <w:rPr>
          <w:rFonts w:ascii="Tahoma" w:hAnsi="Tahoma" w:cs="Tahoma"/>
          <w:color w:val="0D0D0D" w:themeColor="text1" w:themeTint="F2"/>
          <w:sz w:val="18"/>
          <w:szCs w:val="18"/>
          <w:rtl/>
        </w:rPr>
        <w:t>-</w:t>
      </w:r>
      <w:r w:rsidRPr="00A30C92">
        <w:rPr>
          <w:rFonts w:ascii="Tahoma" w:hAnsi="Tahoma" w:cs="Tahoma"/>
          <w:b/>
          <w:bCs/>
          <w:color w:val="0D0D0D" w:themeColor="text1" w:themeTint="F2"/>
          <w:sz w:val="18"/>
          <w:szCs w:val="18"/>
          <w:rtl/>
        </w:rPr>
        <w:t xml:space="preserve"> </w:t>
      </w:r>
      <w:r w:rsidRPr="00A30C92">
        <w:rPr>
          <w:rFonts w:ascii="Tahoma" w:hAnsi="Tahoma" w:cs="Tahoma"/>
          <w:color w:val="0D0D0D" w:themeColor="text1" w:themeTint="F2"/>
          <w:sz w:val="18"/>
          <w:szCs w:val="18"/>
          <w:rtl/>
        </w:rPr>
        <w:t>שלא בהתאם לנדרש על פי נוהל המתודולוגיה והנחיית רשות התקשוב הממשלתי, לכל 16 הפרויקטים שאינם אסטרטגיים שנדגמו על ידי צוות הביקורת ול-6 פרויקטים אסטרטגיים אין תוכנית בסיס הכוללת את הגדרת הפעולות, לוחות הזמנים, המשאבים והעלויות. בהיעדר נתוני תוכנית בסיס הכולל</w:t>
      </w:r>
      <w:r w:rsidR="001E7F63">
        <w:rPr>
          <w:rFonts w:ascii="Tahoma" w:hAnsi="Tahoma" w:cs="Tahoma" w:hint="cs"/>
          <w:color w:val="0D0D0D" w:themeColor="text1" w:themeTint="F2"/>
          <w:sz w:val="18"/>
          <w:szCs w:val="18"/>
          <w:rtl/>
        </w:rPr>
        <w:t>ים</w:t>
      </w:r>
      <w:r w:rsidRPr="00A30C92">
        <w:rPr>
          <w:rFonts w:ascii="Tahoma" w:hAnsi="Tahoma" w:cs="Tahoma"/>
          <w:color w:val="0D0D0D" w:themeColor="text1" w:themeTint="F2"/>
          <w:sz w:val="18"/>
          <w:szCs w:val="18"/>
          <w:rtl/>
        </w:rPr>
        <w:t xml:space="preserve"> תאריכי סיום משוערים ומשאבי כוח אדם משוערים, לא ניתן לבצע מעקב ובקרה כנדרש בהנחיות רשות התקשוב הממשלתי ובנוהל המתודולוגיה, ואין ביכולתה של הנהלת הארגון לקבל תמונת מצב עדכנית על התקדמות הפרויקטים, על השינויים שנוצרו בהם ועל השפעתם ביחס לתכנון המקורי.</w:t>
      </w:r>
    </w:p>
    <w:p w:rsidR="009E3CEC" w:rsidRPr="00A30C92" w14:paraId="3703469C" w14:textId="09DA6B76">
      <w:pPr>
        <w:numPr>
          <w:ilvl w:val="0"/>
          <w:numId w:val="14"/>
        </w:numPr>
        <w:spacing w:after="60" w:line="288" w:lineRule="auto"/>
        <w:ind w:hanging="281"/>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הזנת נתוני הפרויקטים במערכת לפיד</w:t>
      </w:r>
      <w:r w:rsidRPr="00A30C92">
        <w:rPr>
          <w:rFonts w:ascii="Tahoma" w:hAnsi="Tahoma" w:cs="Tahoma"/>
          <w:b/>
          <w:bCs/>
          <w:color w:val="0D0D0D" w:themeColor="text1" w:themeTint="F2"/>
          <w:sz w:val="18"/>
          <w:szCs w:val="18"/>
          <w:rtl/>
        </w:rPr>
        <w:t xml:space="preserve"> </w:t>
      </w:r>
      <w:r w:rsidRPr="000F26CD">
        <w:rPr>
          <w:rFonts w:ascii="Tahoma" w:hAnsi="Tahoma" w:cs="Tahoma"/>
          <w:color w:val="0D0D0D" w:themeColor="text1" w:themeTint="F2"/>
          <w:sz w:val="18"/>
          <w:szCs w:val="18"/>
          <w:rtl/>
        </w:rPr>
        <w:t>-</w:t>
      </w:r>
      <w:r w:rsidRPr="00A30C92">
        <w:rPr>
          <w:rFonts w:ascii="Tahoma" w:hAnsi="Tahoma" w:cs="Tahoma"/>
          <w:b/>
          <w:bCs/>
          <w:color w:val="0D0D0D" w:themeColor="text1" w:themeTint="F2"/>
          <w:sz w:val="18"/>
          <w:szCs w:val="18"/>
          <w:rtl/>
        </w:rPr>
        <w:t xml:space="preserve"> </w:t>
      </w:r>
      <w:r w:rsidRPr="00A30C92">
        <w:rPr>
          <w:rFonts w:ascii="Tahoma" w:hAnsi="Tahoma" w:cs="Tahoma"/>
          <w:color w:val="0D0D0D" w:themeColor="text1" w:themeTint="F2"/>
          <w:sz w:val="18"/>
          <w:szCs w:val="18"/>
          <w:rtl/>
        </w:rPr>
        <w:t xml:space="preserve">לקראת בניית תוכנית העבודה לשנת 2020 החלו </w:t>
      </w:r>
      <w:r w:rsidRPr="00A30C92">
        <w:rPr>
          <w:rFonts w:ascii="Tahoma" w:hAnsi="Tahoma" w:cs="Tahoma"/>
          <w:color w:val="0D0D0D" w:themeColor="text1" w:themeTint="F2"/>
          <w:sz w:val="18"/>
          <w:szCs w:val="18"/>
          <w:rtl/>
        </w:rPr>
        <w:t>בשע"ם</w:t>
      </w:r>
      <w:r w:rsidRPr="00A30C92">
        <w:rPr>
          <w:rFonts w:ascii="Tahoma" w:hAnsi="Tahoma" w:cs="Tahoma"/>
          <w:color w:val="0D0D0D" w:themeColor="text1" w:themeTint="F2"/>
          <w:sz w:val="18"/>
          <w:szCs w:val="18"/>
          <w:rtl/>
        </w:rPr>
        <w:t xml:space="preserve"> לעבוד במערכת "לפיד" אליה מוזנים נתוני הפרויקטים לצורך ניהול, מעקב ובקרה</w:t>
      </w:r>
      <w:r w:rsidRPr="00A30C92">
        <w:rPr>
          <w:rFonts w:ascii="Tahoma" w:hAnsi="Tahoma" w:cs="Tahoma" w:hint="cs"/>
          <w:color w:val="0D0D0D" w:themeColor="text1" w:themeTint="F2"/>
          <w:sz w:val="18"/>
          <w:szCs w:val="18"/>
          <w:rtl/>
        </w:rPr>
        <w:t>.</w:t>
      </w:r>
    </w:p>
    <w:p w:rsidR="007803E4" w:rsidRPr="00165950" w14:paraId="293CD21C" w14:textId="77777777">
      <w:pPr>
        <w:numPr>
          <w:ilvl w:val="1"/>
          <w:numId w:val="13"/>
        </w:numPr>
        <w:spacing w:after="40" w:line="288" w:lineRule="auto"/>
        <w:rPr>
          <w:rFonts w:ascii="Tahoma" w:hAnsi="Tahoma" w:cs="Tahoma"/>
          <w:color w:val="0D0D0D" w:themeColor="text1" w:themeTint="F2"/>
          <w:sz w:val="18"/>
          <w:szCs w:val="18"/>
        </w:rPr>
      </w:pPr>
      <w:r w:rsidRPr="00165950">
        <w:rPr>
          <w:rFonts w:ascii="Tahoma" w:hAnsi="Tahoma" w:cs="Tahoma"/>
          <w:color w:val="0D0D0D" w:themeColor="text1" w:themeTint="F2"/>
          <w:sz w:val="18"/>
          <w:szCs w:val="18"/>
          <w:rtl/>
        </w:rPr>
        <w:t xml:space="preserve">במערכת אין תהליך מובנה לפרויקטים שאינם אסטרטגיים המאגד את כל תתי-הפרויקטים לפרויקט-על, ולא ניתן לבצע מעקב ובקרה על התקדמות הפרויקטים ועל חריגות מלוחות הזמנים ומעלותם הכוללת. </w:t>
      </w:r>
    </w:p>
    <w:p w:rsidR="007803E4" w:rsidRPr="00165950" w14:paraId="1D553678" w14:textId="77777777">
      <w:pPr>
        <w:numPr>
          <w:ilvl w:val="1"/>
          <w:numId w:val="13"/>
        </w:numPr>
        <w:spacing w:after="40" w:line="288" w:lineRule="auto"/>
        <w:rPr>
          <w:rFonts w:ascii="Tahoma" w:hAnsi="Tahoma" w:cs="Tahoma"/>
          <w:color w:val="0D0D0D" w:themeColor="text1" w:themeTint="F2"/>
          <w:sz w:val="18"/>
          <w:szCs w:val="18"/>
        </w:rPr>
      </w:pPr>
      <w:r w:rsidRPr="00165950">
        <w:rPr>
          <w:rFonts w:ascii="Tahoma" w:hAnsi="Tahoma" w:cs="Tahoma"/>
          <w:color w:val="0D0D0D" w:themeColor="text1" w:themeTint="F2"/>
          <w:sz w:val="18"/>
          <w:szCs w:val="18"/>
          <w:rtl/>
        </w:rPr>
        <w:t xml:space="preserve">נתוני תאריכי הסיום של הפרויקטים וימי הפרויקטים מתעדכנים במערכת לפיד בהתאם למשימות שמזינים מנהלי הפרויקטים ולשינויים בהם ואין דרך לוודא כי תכנון הפרויקט מלא וכי הוזנו כל המשימות הנדרשות לצורך השלמתו, ולא ניתן להציג תכנון מול ביצוע של הפרויקטים במערכת לפיד בכל הנוגע לעמידה בלוחות הזמנים. </w:t>
      </w:r>
    </w:p>
    <w:p w:rsidR="007803E4" w:rsidRPr="00165950" w14:paraId="69175935" w14:textId="77777777">
      <w:pPr>
        <w:numPr>
          <w:ilvl w:val="1"/>
          <w:numId w:val="13"/>
        </w:numPr>
        <w:spacing w:after="60" w:line="288" w:lineRule="auto"/>
        <w:rPr>
          <w:rFonts w:ascii="Tahoma" w:hAnsi="Tahoma" w:cs="Tahoma"/>
          <w:color w:val="0D0D0D" w:themeColor="text1" w:themeTint="F2"/>
          <w:sz w:val="18"/>
          <w:szCs w:val="18"/>
        </w:rPr>
      </w:pPr>
      <w:r w:rsidRPr="00165950">
        <w:rPr>
          <w:rFonts w:ascii="Tahoma" w:hAnsi="Tahoma" w:cs="Tahoma"/>
          <w:color w:val="0D0D0D" w:themeColor="text1" w:themeTint="F2"/>
          <w:sz w:val="18"/>
          <w:szCs w:val="18"/>
          <w:rtl/>
        </w:rPr>
        <w:t xml:space="preserve">אין דיווח על מספר ימי הביצוע בפועל של העובדים; שיעור הביצוע מחושב על פי ההערכה של שיעור ביצוע המשימה, שנעשית בידי מנהלי הפרויקטים. אין חישוב המציג את עלות כוח האדם המושקע בפרויקטים השונים בהתאם לתפקיד ולסוג ההעסקה, אין קישור לתקציב הכולל נתונים על עלויות יועצים חיצוניים ואין נתונים על רכש תשתיות רלוונטיות. </w:t>
      </w:r>
    </w:p>
    <w:p w:rsidR="009E3CEC" w:rsidRPr="009E3CEC" w14:paraId="351C06B4" w14:textId="52FA3B28">
      <w:pPr>
        <w:pStyle w:val="ListParagraph"/>
        <w:numPr>
          <w:ilvl w:val="0"/>
          <w:numId w:val="15"/>
        </w:numPr>
        <w:spacing w:after="60" w:line="288" w:lineRule="auto"/>
        <w:ind w:hanging="293"/>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חריגות בפרויקטים</w:t>
      </w:r>
      <w:r w:rsidRPr="009E3CEC">
        <w:rPr>
          <w:rFonts w:ascii="Tahoma" w:hAnsi="Tahoma" w:cs="Tahoma"/>
          <w:color w:val="0D0D0D" w:themeColor="text1" w:themeTint="F2"/>
          <w:sz w:val="18"/>
          <w:szCs w:val="18"/>
          <w:rtl/>
        </w:rPr>
        <w:t xml:space="preserve"> - ב-32% מהפרויקטים החדשים </w:t>
      </w:r>
      <w:r w:rsidR="00936BD8">
        <w:rPr>
          <w:rFonts w:ascii="Tahoma" w:hAnsi="Tahoma" w:cs="Tahoma" w:hint="cs"/>
          <w:color w:val="0D0D0D" w:themeColor="text1" w:themeTint="F2"/>
          <w:sz w:val="18"/>
          <w:szCs w:val="18"/>
          <w:rtl/>
        </w:rPr>
        <w:t>והשוטפים</w:t>
      </w:r>
      <w:r w:rsidRPr="009E3CEC" w:rsidR="00936BD8">
        <w:rPr>
          <w:rFonts w:ascii="Tahoma" w:hAnsi="Tahoma" w:cs="Tahoma"/>
          <w:color w:val="0D0D0D" w:themeColor="text1" w:themeTint="F2"/>
          <w:sz w:val="18"/>
          <w:szCs w:val="18"/>
          <w:rtl/>
        </w:rPr>
        <w:t xml:space="preserve"> </w:t>
      </w:r>
      <w:r w:rsidRPr="009E3CEC">
        <w:rPr>
          <w:rFonts w:ascii="Tahoma" w:hAnsi="Tahoma" w:cs="Tahoma"/>
          <w:color w:val="0D0D0D" w:themeColor="text1" w:themeTint="F2"/>
          <w:sz w:val="18"/>
          <w:szCs w:val="18"/>
          <w:rtl/>
        </w:rPr>
        <w:t xml:space="preserve">בשנת 2021 נמצאו חריגות בשיעורים מהותיים (מעל 20%) בין הימים המשוערים לפרויקט לצורך פגישות התיעדוף לבין ימי הפרויקט המעודכנים במערכת המעידות כי לא נעשה תכנון ראשוני מספק טרם הערכת מספר הימים הנדרש לביצוע הפרויקטים. כמו כן, נמצאו חריגות </w:t>
      </w:r>
      <w:r w:rsidRPr="009E3CEC">
        <w:rPr>
          <w:rFonts w:ascii="Tahoma" w:hAnsi="Tahoma" w:cs="Tahoma"/>
          <w:color w:val="0D0D0D" w:themeColor="text1" w:themeTint="F2"/>
          <w:sz w:val="18"/>
          <w:szCs w:val="18"/>
          <w:rtl/>
        </w:rPr>
        <w:t>בתכולה ב-34 מתוך 221 הפרויקטים בשנת 2021. ב-17 מפרויקטים אלה סטטוס התכולה נרשם "כמתוכנן" ובהערות מנהל תוכניות עבודה נרשם כי קיימות חריגות בתכולה.</w:t>
      </w:r>
    </w:p>
    <w:p w:rsidR="009E3CEC" w:rsidRPr="00165950" w14:paraId="0F3A00A2" w14:textId="10D7C210">
      <w:pPr>
        <w:numPr>
          <w:ilvl w:val="0"/>
          <w:numId w:val="16"/>
        </w:numPr>
        <w:spacing w:after="120" w:line="288" w:lineRule="auto"/>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בקרות על ניהול פרויקטים</w:t>
      </w:r>
      <w:r w:rsidRPr="00165950">
        <w:rPr>
          <w:rFonts w:ascii="Tahoma" w:hAnsi="Tahoma" w:cs="Tahoma"/>
          <w:color w:val="0D0D0D" w:themeColor="text1" w:themeTint="F2"/>
          <w:sz w:val="18"/>
          <w:szCs w:val="18"/>
          <w:rtl/>
        </w:rPr>
        <w:t xml:space="preserve"> - </w:t>
      </w:r>
      <w:r w:rsidRPr="00165950">
        <w:rPr>
          <w:rFonts w:ascii="Tahoma" w:hAnsi="Tahoma" w:cs="Tahoma"/>
          <w:color w:val="0D0D0D" w:themeColor="text1" w:themeTint="F2"/>
          <w:sz w:val="18"/>
          <w:szCs w:val="18"/>
          <w:rtl/>
        </w:rPr>
        <w:t>בשע"ם</w:t>
      </w:r>
      <w:r w:rsidRPr="00165950">
        <w:rPr>
          <w:rFonts w:ascii="Tahoma" w:hAnsi="Tahoma" w:cs="Tahoma"/>
          <w:color w:val="0D0D0D" w:themeColor="text1" w:themeTint="F2"/>
          <w:sz w:val="18"/>
          <w:szCs w:val="18"/>
          <w:rtl/>
        </w:rPr>
        <w:t xml:space="preserve"> וברשות המיסים לא נעשות בתום השנה בקרות המנתחות את יישום תוכנית העבודה השנתית </w:t>
      </w:r>
      <w:r w:rsidRPr="00165950">
        <w:rPr>
          <w:rFonts w:ascii="Tahoma" w:hAnsi="Tahoma" w:cs="Tahoma"/>
          <w:color w:val="0D0D0D" w:themeColor="text1" w:themeTint="F2"/>
          <w:sz w:val="18"/>
          <w:szCs w:val="18"/>
          <w:rtl/>
        </w:rPr>
        <w:t>בשע"ם</w:t>
      </w:r>
      <w:r w:rsidRPr="00165950">
        <w:rPr>
          <w:rFonts w:ascii="Tahoma" w:hAnsi="Tahoma" w:cs="Tahoma"/>
          <w:color w:val="0D0D0D" w:themeColor="text1" w:themeTint="F2"/>
          <w:sz w:val="18"/>
          <w:szCs w:val="18"/>
          <w:rtl/>
        </w:rPr>
        <w:t xml:space="preserve"> ואין מפיקים לקחים. יתרה מכך, אין </w:t>
      </w:r>
      <w:r w:rsidRPr="00165950">
        <w:rPr>
          <w:rFonts w:ascii="Tahoma" w:hAnsi="Tahoma" w:cs="Tahoma"/>
          <w:color w:val="0D0D0D" w:themeColor="text1" w:themeTint="F2"/>
          <w:sz w:val="18"/>
          <w:szCs w:val="18"/>
          <w:rtl/>
        </w:rPr>
        <w:t>בשע"ם</w:t>
      </w:r>
      <w:r w:rsidRPr="00165950">
        <w:rPr>
          <w:rFonts w:ascii="Tahoma" w:hAnsi="Tahoma" w:cs="Tahoma"/>
          <w:color w:val="0D0D0D" w:themeColor="text1" w:themeTint="F2"/>
          <w:sz w:val="18"/>
          <w:szCs w:val="18"/>
          <w:rtl/>
        </w:rPr>
        <w:t xml:space="preserve"> נתונים שנתיים לגבי כל שנה אלא נתונים חלקיים בלבד שעודכנו על ידי מנהלי הפרויקטים.</w:t>
      </w:r>
    </w:p>
    <w:p w:rsidR="009E3CEC" w:rsidP="00584C90" w14:paraId="326E0741" w14:textId="3EC4A2FE">
      <w:pPr>
        <w:spacing w:after="60" w:line="288" w:lineRule="auto"/>
        <w:ind w:left="360" w:right="-567"/>
        <w:rPr>
          <w:rFonts w:ascii="Tahoma" w:hAnsi="Tahoma" w:cs="Tahoma"/>
          <w:color w:val="0D0D0D" w:themeColor="text1" w:themeTint="F2"/>
          <w:sz w:val="18"/>
          <w:szCs w:val="18"/>
        </w:rPr>
      </w:pPr>
      <w:r w:rsidRPr="00B02658">
        <w:rPr>
          <w:rFonts w:hint="cs"/>
          <w:b/>
          <w:bCs/>
          <w:noProof/>
          <w:rtl/>
        </w:rPr>
        <w:drawing>
          <wp:anchor distT="0" distB="720090" distL="114300" distR="114300" simplePos="0" relativeHeight="251686912" behindDoc="1" locked="0" layoutInCell="1" allowOverlap="1">
            <wp:simplePos x="0" y="0"/>
            <wp:positionH relativeFrom="column">
              <wp:posOffset>4570258</wp:posOffset>
            </wp:positionH>
            <wp:positionV relativeFrom="paragraph">
              <wp:posOffset>17145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30C92" w:rsidR="00C70408">
        <w:rPr>
          <w:rFonts w:ascii="Tahoma" w:hAnsi="Tahoma" w:cs="Tahoma" w:hint="cs"/>
          <w:b/>
          <w:bCs/>
          <w:color w:val="0D0D0D" w:themeColor="text1" w:themeTint="F2"/>
          <w:sz w:val="18"/>
          <w:szCs w:val="18"/>
          <w:rtl/>
        </w:rPr>
        <w:t xml:space="preserve">תמיכת </w:t>
      </w:r>
      <w:r w:rsidRPr="00A30C92" w:rsidR="00C70408">
        <w:rPr>
          <w:rFonts w:ascii="Tahoma" w:hAnsi="Tahoma" w:cs="Tahoma" w:hint="cs"/>
          <w:b/>
          <w:bCs/>
          <w:color w:val="0D0D0D" w:themeColor="text1" w:themeTint="F2"/>
          <w:sz w:val="18"/>
          <w:szCs w:val="18"/>
          <w:rtl/>
        </w:rPr>
        <w:t>שע״ם</w:t>
      </w:r>
      <w:r w:rsidRPr="00A30C92" w:rsidR="00C70408">
        <w:rPr>
          <w:rFonts w:ascii="Tahoma" w:hAnsi="Tahoma" w:cs="Tahoma" w:hint="cs"/>
          <w:b/>
          <w:bCs/>
          <w:color w:val="0D0D0D" w:themeColor="text1" w:themeTint="F2"/>
          <w:sz w:val="18"/>
          <w:szCs w:val="18"/>
          <w:rtl/>
        </w:rPr>
        <w:t xml:space="preserve"> בתהליכים עסקיים ומיכון תהליכים</w:t>
      </w:r>
      <w:r w:rsidR="00C70408">
        <w:rPr>
          <w:rFonts w:ascii="Tahoma" w:hAnsi="Tahoma" w:cs="Tahoma" w:hint="cs"/>
          <w:color w:val="0D0D0D" w:themeColor="text1" w:themeTint="F2"/>
          <w:sz w:val="18"/>
          <w:szCs w:val="18"/>
          <w:rtl/>
        </w:rPr>
        <w:t xml:space="preserve"> </w:t>
      </w:r>
      <w:r w:rsidRPr="00A30C92" w:rsidR="00C70408">
        <w:rPr>
          <w:rFonts w:ascii="Tahoma" w:hAnsi="Tahoma" w:cs="Tahoma" w:hint="cs"/>
          <w:b/>
          <w:bCs/>
          <w:color w:val="0D0D0D" w:themeColor="text1" w:themeTint="F2"/>
          <w:sz w:val="18"/>
          <w:szCs w:val="18"/>
          <w:rtl/>
        </w:rPr>
        <w:t>ידניים</w:t>
      </w:r>
      <w:r w:rsidRPr="00165950">
        <w:rPr>
          <w:rFonts w:ascii="Tahoma" w:hAnsi="Tahoma" w:cs="Tahoma"/>
          <w:color w:val="0D0D0D" w:themeColor="text1" w:themeTint="F2"/>
          <w:sz w:val="18"/>
          <w:szCs w:val="18"/>
          <w:rtl/>
        </w:rPr>
        <w:t xml:space="preserve"> </w:t>
      </w:r>
    </w:p>
    <w:p w:rsidR="009E3CEC" w:rsidRPr="00610FCF" w14:paraId="50E0D3B4" w14:textId="77777777">
      <w:pPr>
        <w:numPr>
          <w:ilvl w:val="0"/>
          <w:numId w:val="17"/>
        </w:numPr>
        <w:spacing w:after="120" w:line="288" w:lineRule="auto"/>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כריית מידע</w:t>
      </w:r>
      <w:r w:rsidRPr="00610FCF">
        <w:rPr>
          <w:rFonts w:ascii="Tahoma" w:hAnsi="Tahoma" w:cs="Tahoma"/>
          <w:color w:val="0D0D0D" w:themeColor="text1" w:themeTint="F2"/>
          <w:sz w:val="18"/>
          <w:szCs w:val="18"/>
          <w:rtl/>
        </w:rPr>
        <w:t xml:space="preserve"> - לצורך קביעת השומה עובדי הרשות נדרשים לבחון מידע רב הנוגע להכנסות ולנישומים. בין היתר, דיווחי הנישום, מס שנוכה לו, מידע על עובדיו ותשלומי משכורת, מידע מודיעיני ועוד. אף שהמידע קיים במאגרי המידע של הרשות, מפקחי המס ניגשים לחלק מהמידע באמצעות שאילתות פרטניות וללא תהליך אוטומטי של איסוף מידע ממוחשב והשוואתו. יתרה מכך, לא מתנהל תהליך של כריית מידע של עיבוד אלפי הנתונים הפיננסיים והחשבונאיים המצויים במקורות המידע השונים לגבי אותו נישום</w:t>
      </w:r>
      <w:r w:rsidRPr="00610FCF">
        <w:rPr>
          <w:rFonts w:ascii="Tahoma" w:hAnsi="Tahoma" w:cs="Tahoma" w:hint="cs"/>
          <w:color w:val="0D0D0D" w:themeColor="text1" w:themeTint="F2"/>
          <w:sz w:val="18"/>
          <w:szCs w:val="18"/>
          <w:rtl/>
        </w:rPr>
        <w:t>.</w:t>
      </w:r>
    </w:p>
    <w:p w:rsidR="009E3CEC" w:rsidRPr="00610FCF" w14:paraId="5C2679EE" w14:textId="71442F45">
      <w:pPr>
        <w:numPr>
          <w:ilvl w:val="0"/>
          <w:numId w:val="17"/>
        </w:numPr>
        <w:spacing w:after="120" w:line="288" w:lineRule="auto"/>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הצהרות הון</w:t>
      </w:r>
      <w:r w:rsidRPr="00610FCF">
        <w:rPr>
          <w:rFonts w:ascii="Tahoma" w:hAnsi="Tahoma" w:cs="Tahoma"/>
          <w:color w:val="0D0D0D" w:themeColor="text1" w:themeTint="F2"/>
          <w:sz w:val="18"/>
          <w:szCs w:val="18"/>
          <w:rtl/>
        </w:rPr>
        <w:t xml:space="preserve"> - הצהרת הון היא כלי חשוב המשמש את פקיד השומה בבואו לבדוק את דיווחיו של הנישום. עובדי רשות המיסים מבצעים תהליך של השוואת הון, שהיא השוואה בין הצהרות הון שהוגשו לאורך כמה שנים. מיכון הצהרות ההון יאפשר להשוות את ההון באופן אוטומטי, וכך ייחסך זמן עבודה של עובד הרשות. כמו כן, יהיה ניתן לבצע את השוואות ההון של כלל הנישומים החייבים להגיש הצהרות הון, ולהציף לבדיקה פרטנית רק נישומים אשר בבדיקה האוטומטית נמצא בהצהרותיהם הפרש הון בלתי מוסבר. בביקורת נמצא כי ברשות המיסים בדיקות השוואות ההון נעשות באופן ידני. כמו כן נמצא כי הרשות לא קידמה את </w:t>
      </w:r>
      <w:r w:rsidRPr="00610FCF" w:rsidR="00563AA0">
        <w:rPr>
          <w:rFonts w:ascii="Tahoma" w:hAnsi="Tahoma" w:cs="Tahoma"/>
          <w:color w:val="0D0D0D" w:themeColor="text1" w:themeTint="F2"/>
          <w:sz w:val="18"/>
          <w:szCs w:val="18"/>
          <w:rtl/>
        </w:rPr>
        <w:t xml:space="preserve">פרויקט הצהרות הון מקוונות </w:t>
      </w:r>
      <w:r w:rsidRPr="00610FCF">
        <w:rPr>
          <w:rFonts w:ascii="Tahoma" w:hAnsi="Tahoma" w:cs="Tahoma"/>
          <w:color w:val="0D0D0D" w:themeColor="text1" w:themeTint="F2"/>
          <w:sz w:val="18"/>
          <w:szCs w:val="18"/>
          <w:rtl/>
        </w:rPr>
        <w:t>לאחר אפיונו על ידי ועדה ייעודית בשנת 2013, ובמועד סיום הביקורת</w:t>
      </w:r>
      <w:r w:rsidR="00563AA0">
        <w:rPr>
          <w:rFonts w:ascii="Tahoma" w:hAnsi="Tahoma" w:cs="Tahoma" w:hint="cs"/>
          <w:color w:val="0D0D0D" w:themeColor="text1" w:themeTint="F2"/>
          <w:sz w:val="18"/>
          <w:szCs w:val="18"/>
          <w:rtl/>
        </w:rPr>
        <w:t xml:space="preserve"> </w:t>
      </w:r>
      <w:r w:rsidRPr="00610FCF" w:rsidR="00563AA0">
        <w:rPr>
          <w:rFonts w:ascii="Tahoma" w:hAnsi="Tahoma" w:cs="Tahoma"/>
          <w:color w:val="0D0D0D" w:themeColor="text1" w:themeTint="F2"/>
          <w:sz w:val="18"/>
          <w:szCs w:val="18"/>
          <w:rtl/>
        </w:rPr>
        <w:t>הפרויקט</w:t>
      </w:r>
      <w:r w:rsidRPr="00610FCF">
        <w:rPr>
          <w:rFonts w:ascii="Tahoma" w:hAnsi="Tahoma" w:cs="Tahoma"/>
          <w:color w:val="0D0D0D" w:themeColor="text1" w:themeTint="F2"/>
          <w:sz w:val="18"/>
          <w:szCs w:val="18"/>
          <w:rtl/>
        </w:rPr>
        <w:t xml:space="preserve"> אינו מופיע במערכת הממוחשבת לניהול תוכניות העבודה של </w:t>
      </w:r>
      <w:r w:rsidRPr="00610FCF">
        <w:rPr>
          <w:rFonts w:ascii="Tahoma" w:hAnsi="Tahoma" w:cs="Tahoma"/>
          <w:color w:val="0D0D0D" w:themeColor="text1" w:themeTint="F2"/>
          <w:sz w:val="18"/>
          <w:szCs w:val="18"/>
          <w:rtl/>
        </w:rPr>
        <w:t>שע"ם</w:t>
      </w:r>
      <w:r w:rsidRPr="00610FCF">
        <w:rPr>
          <w:rFonts w:ascii="Tahoma" w:hAnsi="Tahoma" w:cs="Tahoma"/>
          <w:color w:val="0D0D0D" w:themeColor="text1" w:themeTint="F2"/>
          <w:sz w:val="18"/>
          <w:szCs w:val="18"/>
          <w:rtl/>
        </w:rPr>
        <w:t xml:space="preserve"> (מערכת לפיד).</w:t>
      </w:r>
    </w:p>
    <w:p w:rsidR="009E3CEC" w:rsidRPr="00610FCF" w14:paraId="4B207B9F" w14:textId="2D340236">
      <w:pPr>
        <w:numPr>
          <w:ilvl w:val="0"/>
          <w:numId w:val="17"/>
        </w:numPr>
        <w:spacing w:after="120" w:line="288" w:lineRule="auto"/>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ניכוי מס במקור</w:t>
      </w:r>
      <w:r w:rsidRPr="00610FCF">
        <w:rPr>
          <w:rFonts w:ascii="Tahoma" w:hAnsi="Tahoma" w:cs="Tahoma"/>
          <w:color w:val="0D0D0D" w:themeColor="text1" w:themeTint="F2"/>
          <w:sz w:val="18"/>
          <w:szCs w:val="18"/>
          <w:rtl/>
        </w:rPr>
        <w:t xml:space="preserve"> - ניכוי מס במקור הוא סכום המס לקיזוז מתקבולי ההכנסה. המשלם מנכה סכום זה ומעבירו ישירות למס הכנסה. הנישום שנוכה לו מס מדווח על המס שנוכה לו. סך הפערים בערך מוחלט בין הניכויים המדווחים על ידי המנכים לבין אלו המדווחים על ידי נישומים יחידים היה 8.65 מיליארד בשנת 2017 ו- 3.64 מיליארד בשנת 2018 (ירידה של 58%). ביחס לנישומים שהם חברות, סך הפערים בערך מוחלט </w:t>
      </w:r>
      <w:r w:rsidR="00563AA0">
        <w:rPr>
          <w:rFonts w:ascii="Tahoma" w:hAnsi="Tahoma" w:cs="Tahoma" w:hint="cs"/>
          <w:color w:val="0D0D0D" w:themeColor="text1" w:themeTint="F2"/>
          <w:sz w:val="18"/>
          <w:szCs w:val="18"/>
          <w:rtl/>
        </w:rPr>
        <w:t>היה</w:t>
      </w:r>
      <w:r w:rsidRPr="00610FCF">
        <w:rPr>
          <w:rFonts w:ascii="Tahoma" w:hAnsi="Tahoma" w:cs="Tahoma"/>
          <w:color w:val="0D0D0D" w:themeColor="text1" w:themeTint="F2"/>
          <w:sz w:val="18"/>
          <w:szCs w:val="18"/>
          <w:rtl/>
        </w:rPr>
        <w:t xml:space="preserve"> 3.02 מיליארד בשנת 2017 ו-1.89 מיליארד בשנת 2018 (ירידה של 37%). סך הפער המצטבר (בערך מוחלט) בשנים 2017 - 2019 הסתכם בכ-18.6 מיליארד. ברשות יש מערכת ממוחשבת חדשה המאפשרת בקרה מובנית לזיהוי הפערים אך השימוש בה טרם מתאפשר לכל מפקחי המס ורכזי החוליות, ותהליך העבודה המקובל ברשות הוא בדיקה ידנית על ידי מפקחי המס רק של מקצת התיקים שהוכנסו לתוכנית העבודה והמטופלים לצורך שומה.</w:t>
      </w:r>
    </w:p>
    <w:p w:rsidR="009E3CEC" w:rsidRPr="00610FCF" w14:paraId="38336CA3" w14:textId="5ABED070">
      <w:pPr>
        <w:numPr>
          <w:ilvl w:val="0"/>
          <w:numId w:val="17"/>
        </w:numPr>
        <w:spacing w:after="120" w:line="288" w:lineRule="auto"/>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מחשוב טופסי הרשות</w:t>
      </w:r>
      <w:r w:rsidRPr="00610FCF">
        <w:rPr>
          <w:rFonts w:ascii="Tahoma" w:hAnsi="Tahoma" w:cs="Tahoma"/>
          <w:color w:val="0D0D0D" w:themeColor="text1" w:themeTint="F2"/>
          <w:sz w:val="18"/>
          <w:szCs w:val="18"/>
          <w:rtl/>
        </w:rPr>
        <w:t xml:space="preserve"> - לרשות המיסים מאגר הכולל 322 טפסים בכלל מערכי המס: מס הכנסה, </w:t>
      </w:r>
      <w:r w:rsidRPr="00610FCF">
        <w:rPr>
          <w:rFonts w:ascii="Tahoma" w:hAnsi="Tahoma" w:cs="Tahoma"/>
          <w:color w:val="0D0D0D" w:themeColor="text1" w:themeTint="F2"/>
          <w:sz w:val="18"/>
          <w:szCs w:val="18"/>
          <w:rtl/>
        </w:rPr>
        <w:t>מע"ם</w:t>
      </w:r>
      <w:r w:rsidRPr="00610FCF">
        <w:rPr>
          <w:rFonts w:ascii="Tahoma" w:hAnsi="Tahoma" w:cs="Tahoma"/>
          <w:color w:val="0D0D0D" w:themeColor="text1" w:themeTint="F2"/>
          <w:sz w:val="18"/>
          <w:szCs w:val="18"/>
          <w:rtl/>
        </w:rPr>
        <w:t xml:space="preserve">, מיסוי מקרקעין, מיסי יבוא ומכס, מיסים עקיפים אחרים ומענקי עבודה וקורונה. 111 מהם הם טפסים מקוונים. לנוכח השיעור של 63% של טופסי המכס ומיסי היבוא שמוחשבו (מתוך כלל טופסי המכס ומיסי היבוא) בולט </w:t>
      </w:r>
      <w:r w:rsidRPr="00610FCF">
        <w:rPr>
          <w:rFonts w:ascii="Tahoma" w:hAnsi="Tahoma" w:cs="Tahoma"/>
          <w:color w:val="0D0D0D" w:themeColor="text1" w:themeTint="F2"/>
          <w:sz w:val="18"/>
          <w:szCs w:val="18"/>
          <w:rtl/>
        </w:rPr>
        <w:t>השיעור הקטן (24%) של טופסי מס הכנסה שמוחשבו (מתוך כלל טופסי מס הכנסה). כמו כן, שיעור טופסי המכס ומיסי היבוא שמוחשבו מתוך כלל טופסי הרשות שמוחשבו הוא</w:t>
      </w:r>
      <w:r w:rsidRPr="00610FCF">
        <w:rPr>
          <w:rFonts w:ascii="Tahoma" w:hAnsi="Tahoma" w:cs="Tahoma"/>
          <w:color w:val="0D0D0D" w:themeColor="text1" w:themeTint="F2"/>
          <w:sz w:val="18"/>
          <w:szCs w:val="18"/>
        </w:rPr>
        <w:t xml:space="preserve"> </w:t>
      </w:r>
      <w:r w:rsidRPr="00610FCF">
        <w:rPr>
          <w:rFonts w:ascii="Tahoma" w:hAnsi="Tahoma" w:cs="Tahoma"/>
          <w:color w:val="0D0D0D" w:themeColor="text1" w:themeTint="F2"/>
          <w:sz w:val="18"/>
          <w:szCs w:val="18"/>
          <w:rtl/>
        </w:rPr>
        <w:t>45% , ואילו שיעור טופסי מס הכנסה הממוחשבים (מתוך כלל טופסי הרשות שמוחשבו)  קטן יותר (35%) , וזאת אף שליבת הפעילות של הרשות היא גביית מס הכנסה.</w:t>
      </w:r>
    </w:p>
    <w:p w:rsidR="009E3CEC" w:rsidRPr="00C70408" w:rsidP="00584C90" w14:paraId="3102BB86" w14:textId="502C76D8">
      <w:pPr>
        <w:spacing w:after="60" w:line="288" w:lineRule="auto"/>
        <w:ind w:left="360" w:right="-567"/>
        <w:rPr>
          <w:rFonts w:ascii="Tahoma" w:hAnsi="Tahoma" w:cs="Tahoma"/>
          <w:b/>
          <w:bCs/>
          <w:color w:val="0D0D0D" w:themeColor="text1" w:themeTint="F2"/>
          <w:sz w:val="18"/>
          <w:szCs w:val="18"/>
        </w:rPr>
      </w:pPr>
      <w:r w:rsidRPr="00B02658">
        <w:rPr>
          <w:rFonts w:hint="cs"/>
          <w:b/>
          <w:bCs/>
          <w:noProof/>
          <w:rtl/>
        </w:rPr>
        <w:drawing>
          <wp:anchor distT="0" distB="720090" distL="114300" distR="114300" simplePos="0" relativeHeight="251687936" behindDoc="1" locked="0" layoutInCell="1" allowOverlap="1">
            <wp:simplePos x="0" y="0"/>
            <wp:positionH relativeFrom="column">
              <wp:posOffset>4550410</wp:posOffset>
            </wp:positionH>
            <wp:positionV relativeFrom="paragraph">
              <wp:posOffset>23332</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70408" w:rsidR="00C70408">
        <w:rPr>
          <w:rFonts w:ascii="Tahoma" w:hAnsi="Tahoma" w:cs="Tahoma" w:hint="cs"/>
          <w:b/>
          <w:bCs/>
          <w:color w:val="0D0D0D" w:themeColor="text1" w:themeTint="F2"/>
          <w:sz w:val="18"/>
          <w:szCs w:val="18"/>
          <w:rtl/>
        </w:rPr>
        <w:t xml:space="preserve">היבטים ארגוניים בפעילות </w:t>
      </w:r>
      <w:r w:rsidRPr="00C70408" w:rsidR="00C70408">
        <w:rPr>
          <w:rFonts w:ascii="Tahoma" w:hAnsi="Tahoma" w:cs="Tahoma" w:hint="cs"/>
          <w:b/>
          <w:bCs/>
          <w:color w:val="0D0D0D" w:themeColor="text1" w:themeTint="F2"/>
          <w:sz w:val="18"/>
          <w:szCs w:val="18"/>
          <w:rtl/>
        </w:rPr>
        <w:t>שע״ם</w:t>
      </w:r>
    </w:p>
    <w:p w:rsidR="009E3CEC" w:rsidRPr="00165950" w14:paraId="37C9E48E" w14:textId="54CCAE03">
      <w:pPr>
        <w:numPr>
          <w:ilvl w:val="0"/>
          <w:numId w:val="18"/>
        </w:numPr>
        <w:spacing w:after="60" w:line="288" w:lineRule="auto"/>
        <w:ind w:left="696" w:hanging="299"/>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עיצומי עובדים</w:t>
      </w:r>
      <w:r w:rsidRPr="00165950">
        <w:rPr>
          <w:rFonts w:ascii="Tahoma" w:hAnsi="Tahoma" w:cs="Tahoma"/>
          <w:color w:val="0D0D0D" w:themeColor="text1" w:themeTint="F2"/>
          <w:sz w:val="18"/>
          <w:szCs w:val="18"/>
          <w:rtl/>
        </w:rPr>
        <w:t xml:space="preserve"> - נוכח היעדר הסכמה בין העובדים </w:t>
      </w:r>
      <w:r w:rsidRPr="00165950">
        <w:rPr>
          <w:rFonts w:ascii="Tahoma" w:hAnsi="Tahoma" w:cs="Tahoma"/>
          <w:color w:val="0D0D0D" w:themeColor="text1" w:themeTint="F2"/>
          <w:sz w:val="18"/>
          <w:szCs w:val="18"/>
          <w:rtl/>
        </w:rPr>
        <w:t>בשע"ם</w:t>
      </w:r>
      <w:r w:rsidRPr="00165950">
        <w:rPr>
          <w:rFonts w:ascii="Tahoma" w:hAnsi="Tahoma" w:cs="Tahoma"/>
          <w:color w:val="0D0D0D" w:themeColor="text1" w:themeTint="F2"/>
          <w:sz w:val="18"/>
          <w:szCs w:val="18"/>
          <w:rtl/>
        </w:rPr>
        <w:t xml:space="preserve"> לבין ההנהלה בעניין העסקת עובדים במיקור חוץ ושימוש ביועצים חיצוניים, נקט ועד העובדים עיצומים. ממסמכי הנהלת </w:t>
      </w:r>
      <w:r w:rsidRPr="00165950">
        <w:rPr>
          <w:rFonts w:ascii="Tahoma" w:hAnsi="Tahoma" w:cs="Tahoma"/>
          <w:color w:val="0D0D0D" w:themeColor="text1" w:themeTint="F2"/>
          <w:sz w:val="18"/>
          <w:szCs w:val="18"/>
          <w:rtl/>
        </w:rPr>
        <w:t>שע"ם</w:t>
      </w:r>
      <w:r w:rsidRPr="00165950">
        <w:rPr>
          <w:rFonts w:ascii="Tahoma" w:hAnsi="Tahoma" w:cs="Tahoma"/>
          <w:color w:val="0D0D0D" w:themeColor="text1" w:themeTint="F2"/>
          <w:sz w:val="18"/>
          <w:szCs w:val="18"/>
          <w:rtl/>
        </w:rPr>
        <w:t xml:space="preserve"> עולה כי עיצומים אלה כללו פעולות שונות, ובהן אי-שיתוף פעולה עם החממה</w:t>
      </w:r>
      <w:r>
        <w:rPr>
          <w:rFonts w:ascii="Tahoma" w:hAnsi="Tahoma" w:cs="Tahoma"/>
          <w:color w:val="0D0D0D" w:themeColor="text1" w:themeTint="F2"/>
          <w:sz w:val="18"/>
          <w:szCs w:val="18"/>
          <w:vertAlign w:val="superscript"/>
          <w:rtl/>
        </w:rPr>
        <w:footnoteReference w:id="4"/>
      </w:r>
      <w:r w:rsidRPr="00165950">
        <w:rPr>
          <w:rFonts w:ascii="Tahoma" w:hAnsi="Tahoma" w:cs="Tahoma"/>
          <w:color w:val="0D0D0D" w:themeColor="text1" w:themeTint="F2"/>
          <w:sz w:val="18"/>
          <w:szCs w:val="18"/>
          <w:rtl/>
        </w:rPr>
        <w:t xml:space="preserve">, ומניעת הקצאת משתמשים במערכות </w:t>
      </w:r>
      <w:r w:rsidRPr="00165950">
        <w:rPr>
          <w:rFonts w:ascii="Tahoma" w:hAnsi="Tahoma" w:cs="Tahoma"/>
          <w:color w:val="0D0D0D" w:themeColor="text1" w:themeTint="F2"/>
          <w:sz w:val="18"/>
          <w:szCs w:val="18"/>
          <w:rtl/>
        </w:rPr>
        <w:t>שע"ם</w:t>
      </w:r>
      <w:r w:rsidRPr="00165950">
        <w:rPr>
          <w:rFonts w:ascii="Tahoma" w:hAnsi="Tahoma" w:cs="Tahoma"/>
          <w:color w:val="0D0D0D" w:themeColor="text1" w:themeTint="F2"/>
          <w:sz w:val="18"/>
          <w:szCs w:val="18"/>
          <w:rtl/>
        </w:rPr>
        <w:t xml:space="preserve"> לעובדים חדשים שאינם עובדים קבועים בתקן. עוד עולה ממסמכי הנהלת </w:t>
      </w:r>
      <w:r w:rsidRPr="00165950">
        <w:rPr>
          <w:rFonts w:ascii="Tahoma" w:hAnsi="Tahoma" w:cs="Tahoma"/>
          <w:color w:val="0D0D0D" w:themeColor="text1" w:themeTint="F2"/>
          <w:sz w:val="18"/>
          <w:szCs w:val="18"/>
          <w:rtl/>
        </w:rPr>
        <w:t>שע"ם</w:t>
      </w:r>
      <w:r w:rsidRPr="00165950">
        <w:rPr>
          <w:rFonts w:ascii="Tahoma" w:hAnsi="Tahoma" w:cs="Tahoma"/>
          <w:color w:val="0D0D0D" w:themeColor="text1" w:themeTint="F2"/>
          <w:sz w:val="18"/>
          <w:szCs w:val="18"/>
          <w:rtl/>
        </w:rPr>
        <w:t xml:space="preserve"> כי עקב עיצומי ועד העובדים חלו עיכובים בפרויקטים שנכללו בתוכנית העבודה של </w:t>
      </w:r>
      <w:r w:rsidRPr="00165950">
        <w:rPr>
          <w:rFonts w:ascii="Tahoma" w:hAnsi="Tahoma" w:cs="Tahoma"/>
          <w:color w:val="0D0D0D" w:themeColor="text1" w:themeTint="F2"/>
          <w:sz w:val="18"/>
          <w:szCs w:val="18"/>
          <w:rtl/>
        </w:rPr>
        <w:t>שע"ם</w:t>
      </w:r>
      <w:r w:rsidRPr="00165950">
        <w:rPr>
          <w:rFonts w:ascii="Tahoma" w:hAnsi="Tahoma" w:cs="Tahoma"/>
          <w:color w:val="0D0D0D" w:themeColor="text1" w:themeTint="F2"/>
          <w:sz w:val="18"/>
          <w:szCs w:val="18"/>
          <w:rtl/>
        </w:rPr>
        <w:t>.</w:t>
      </w:r>
    </w:p>
    <w:p w:rsidR="009E3CEC" w:rsidRPr="00165950" w14:paraId="5751E8B0" w14:textId="5873877B">
      <w:pPr>
        <w:numPr>
          <w:ilvl w:val="0"/>
          <w:numId w:val="18"/>
        </w:numPr>
        <w:spacing w:after="120" w:line="288" w:lineRule="auto"/>
        <w:ind w:left="696" w:hanging="299"/>
        <w:rPr>
          <w:rFonts w:ascii="Tahoma" w:hAnsi="Tahoma" w:cs="Tahoma"/>
          <w:color w:val="0D0D0D" w:themeColor="text1" w:themeTint="F2"/>
          <w:sz w:val="18"/>
          <w:szCs w:val="18"/>
        </w:rPr>
      </w:pPr>
      <w:r w:rsidRPr="00A30C92">
        <w:rPr>
          <w:rFonts w:ascii="Tahoma" w:hAnsi="Tahoma" w:cs="Tahoma"/>
          <w:b/>
          <w:bCs/>
          <w:color w:val="0D0D0D" w:themeColor="text1" w:themeTint="F2"/>
          <w:sz w:val="18"/>
          <w:szCs w:val="18"/>
          <w:rtl/>
        </w:rPr>
        <w:t>מחסור בכוח אדם</w:t>
      </w:r>
      <w:r w:rsidRPr="00165950">
        <w:rPr>
          <w:rFonts w:ascii="Tahoma" w:hAnsi="Tahoma" w:cs="Tahoma"/>
          <w:color w:val="0D0D0D" w:themeColor="text1" w:themeTint="F2"/>
          <w:sz w:val="18"/>
          <w:szCs w:val="18"/>
          <w:rtl/>
        </w:rPr>
        <w:t xml:space="preserve"> - במועד סיום הביקורת 40 תקנים של עובדי מדינה, המהווים כ-11% מ-367 התקנים הקיימים, אינם מאוישים בדרך קבע. כמו כן, 19 תקנים של סטודנטים המהווים כ-32% מ-60 התקנים הקיימים אינם מאוישים. המחסור מחריף עם השנים בשל עזיבת תוכניתנים ועקב אי-גיוס חדשים במקומם. סך התקנים הבלתי מאוישים בדרך קבע הוא 59, ומהווה כ-10% מסך 606 עובדי </w:t>
      </w:r>
      <w:r w:rsidRPr="00165950">
        <w:rPr>
          <w:rFonts w:ascii="Tahoma" w:hAnsi="Tahoma" w:cs="Tahoma"/>
          <w:color w:val="0D0D0D" w:themeColor="text1" w:themeTint="F2"/>
          <w:sz w:val="18"/>
          <w:szCs w:val="18"/>
          <w:rtl/>
        </w:rPr>
        <w:t>שע"ם</w:t>
      </w:r>
      <w:r w:rsidRPr="00165950">
        <w:rPr>
          <w:rFonts w:ascii="Tahoma" w:hAnsi="Tahoma" w:cs="Tahoma"/>
          <w:color w:val="0D0D0D" w:themeColor="text1" w:themeTint="F2"/>
          <w:sz w:val="18"/>
          <w:szCs w:val="18"/>
          <w:rtl/>
        </w:rPr>
        <w:t xml:space="preserve"> מכל סוגי העסקה.</w:t>
      </w:r>
    </w:p>
    <w:p w:rsidR="009E3CEC" w:rsidRPr="00C70408" w:rsidP="00584C90" w14:paraId="7C587E40" w14:textId="63214C54">
      <w:pPr>
        <w:pStyle w:val="ListParagraph"/>
        <w:spacing w:after="60" w:line="288" w:lineRule="auto"/>
        <w:ind w:left="380" w:right="-567"/>
        <w:rPr>
          <w:rFonts w:ascii="Tahoma" w:hAnsi="Tahoma" w:cs="Tahoma"/>
          <w:b/>
          <w:bCs/>
          <w:color w:val="0D0D0D" w:themeColor="text1" w:themeTint="F2"/>
          <w:sz w:val="18"/>
          <w:szCs w:val="18"/>
        </w:rPr>
      </w:pPr>
      <w:r w:rsidRPr="00B02658">
        <w:rPr>
          <w:rFonts w:hint="cs"/>
          <w:b/>
          <w:bCs/>
          <w:noProof/>
          <w:rtl/>
        </w:rPr>
        <w:drawing>
          <wp:anchor distT="0" distB="720090" distL="114300" distR="114300" simplePos="0" relativeHeight="251688960" behindDoc="1" locked="0" layoutInCell="1" allowOverlap="1">
            <wp:simplePos x="0" y="0"/>
            <wp:positionH relativeFrom="column">
              <wp:posOffset>4550410</wp:posOffset>
            </wp:positionH>
            <wp:positionV relativeFrom="paragraph">
              <wp:posOffset>7148</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70408">
        <w:rPr>
          <w:rFonts w:ascii="Tahoma" w:hAnsi="Tahoma" w:cs="Tahoma"/>
          <w:b/>
          <w:bCs/>
          <w:color w:val="0D0D0D" w:themeColor="text1" w:themeTint="F2"/>
          <w:sz w:val="18"/>
          <w:szCs w:val="18"/>
          <w:rtl/>
        </w:rPr>
        <w:t xml:space="preserve">שירות לקוחות </w:t>
      </w:r>
    </w:p>
    <w:p w:rsidR="009E3CEC" w:rsidRPr="00165950" w14:paraId="69F0670A" w14:textId="77777777">
      <w:pPr>
        <w:numPr>
          <w:ilvl w:val="0"/>
          <w:numId w:val="19"/>
        </w:numPr>
        <w:spacing w:after="60" w:line="288" w:lineRule="auto"/>
        <w:ind w:left="757"/>
        <w:rPr>
          <w:rFonts w:ascii="Tahoma" w:hAnsi="Tahoma" w:cs="Tahoma"/>
          <w:color w:val="0D0D0D" w:themeColor="text1" w:themeTint="F2"/>
          <w:sz w:val="18"/>
          <w:szCs w:val="18"/>
        </w:rPr>
      </w:pPr>
      <w:r w:rsidRPr="00C70408">
        <w:rPr>
          <w:rFonts w:ascii="Tahoma" w:hAnsi="Tahoma" w:cs="Tahoma"/>
          <w:b/>
          <w:bCs/>
          <w:color w:val="0D0D0D" w:themeColor="text1" w:themeTint="F2"/>
          <w:sz w:val="18"/>
          <w:szCs w:val="18"/>
          <w:rtl/>
        </w:rPr>
        <w:t>פיזור השירות בין כמה גורמים</w:t>
      </w:r>
      <w:r w:rsidRPr="00165950">
        <w:rPr>
          <w:rFonts w:ascii="Tahoma" w:hAnsi="Tahoma" w:cs="Tahoma"/>
          <w:color w:val="0D0D0D" w:themeColor="text1" w:themeTint="F2"/>
          <w:sz w:val="18"/>
          <w:szCs w:val="18"/>
          <w:rtl/>
        </w:rPr>
        <w:t xml:space="preserve"> - אף שבתוכנית האסטרטגית דובר על מענה ללקוחות בכתובת אחת, נכון למועד הביקורת הטיפול בתמיכה במייצגים מפוזר בין 3 גורמים (דלפק הסיוע, מוקד שירות הלקוחות ומחלקת מרשם מייצגים) המעניקים למייצגים שירותים שונים. עקב כך, יש מייצגים הפונים בטעות למוקד שירות הלקוחות של רשות המיסים, שאינו הגורם המתאים למתן השירות.</w:t>
      </w:r>
    </w:p>
    <w:p w:rsidR="00420374" w:rsidRPr="00C70408" w14:paraId="39D5E97C" w14:textId="586522B8">
      <w:pPr>
        <w:numPr>
          <w:ilvl w:val="0"/>
          <w:numId w:val="19"/>
        </w:numPr>
        <w:spacing w:line="288" w:lineRule="auto"/>
        <w:ind w:left="757"/>
        <w:rPr>
          <w:rFonts w:ascii="Tahoma" w:hAnsi="Tahoma" w:cs="Tahoma"/>
          <w:color w:val="0D0D0D" w:themeColor="text1" w:themeTint="F2"/>
          <w:sz w:val="18"/>
          <w:szCs w:val="18"/>
          <w:rtl/>
        </w:rPr>
      </w:pPr>
      <w:r w:rsidRPr="00C70408">
        <w:rPr>
          <w:rFonts w:ascii="Tahoma" w:hAnsi="Tahoma" w:cs="Tahoma"/>
          <w:b/>
          <w:bCs/>
          <w:color w:val="0D0D0D" w:themeColor="text1" w:themeTint="F2"/>
          <w:sz w:val="18"/>
          <w:szCs w:val="18"/>
          <w:rtl/>
        </w:rPr>
        <w:t>דלפק הסיוע</w:t>
      </w:r>
      <w:r w:rsidRPr="00165950">
        <w:rPr>
          <w:rFonts w:ascii="Tahoma" w:hAnsi="Tahoma" w:cs="Tahoma"/>
          <w:color w:val="0D0D0D" w:themeColor="text1" w:themeTint="F2"/>
          <w:sz w:val="18"/>
          <w:szCs w:val="18"/>
          <w:rtl/>
        </w:rPr>
        <w:t xml:space="preserve"> - דלפק הסיוע תומך באלפי לקוחות בחודש ומשיב על פניות מסוגים רבים אשר נדרש לגביהן ידע רב. שיעור הפניות המתקבלות בטלפון הוא 82% - 87% והיתר מתקבלות באמצעות הפורטל. בשנים 2019 - 2021 התקבלו ממייצגים כ-24,000 פניות עקב קשיי התחברות, כ-5,800 פניות עקב בעיות בתפעול המחשב אצל הלקוח לאחר התחברות למערכת, וכ-10,000 פניות לצורך תמיכה טכנית. לאגף אין מערכת לניהול ידע המאפשרת לתומך לאתר את המידע הרלוונטי בלחיצת כפתור. הדוחות הניהוליים של דלפק הסיוע אינם כוללים דיווח על ימים של שיא פניות או על מאפיינים תקופתיים של הפניות, כגון שיא דיווחים על קשיי התחברות לקראת מועדי הדיווח על פי החוק - היום ה-15 בחודש, מועדי הדיווח של הדוחות השנתיים וכן בעת עלייה לאוויר של יישום חדש.</w:t>
      </w:r>
      <w:r w:rsidRPr="00165950">
        <w:rPr>
          <w:rFonts w:ascii="Tahoma" w:hAnsi="Tahoma" w:cs="Tahoma" w:hint="cs"/>
          <w:color w:val="0D0D0D" w:themeColor="text1" w:themeTint="F2"/>
          <w:sz w:val="18"/>
          <w:szCs w:val="18"/>
          <w:rtl/>
        </w:rPr>
        <w:t xml:space="preserve"> </w:t>
      </w:r>
      <w:r w:rsidRPr="00165950">
        <w:rPr>
          <w:rFonts w:ascii="Tahoma" w:hAnsi="Tahoma" w:cs="Tahoma"/>
          <w:color w:val="0D0D0D" w:themeColor="text1" w:themeTint="F2"/>
          <w:sz w:val="18"/>
          <w:szCs w:val="18"/>
          <w:rtl/>
        </w:rPr>
        <w:t>בשנים 2019, 2020 ו-2021 נסגרו 72%, 73% ו-75% מהפניות במוקד בהתאמה, ללא העברה לגורמים חיצוניים. הגורמים שאליהם מועברות הפניות מהדלפק אינם מקפידים לסגור את הפנייה במערכת לאחר סיום הטיפול בה. לדלפק הסיוע חסר מידע על סיום הטיפול ברבע מהפניות אליו בקירוב.</w:t>
      </w:r>
      <w:r w:rsidRPr="0093709F">
        <w:rPr>
          <w:rFonts w:hint="cs"/>
          <w:rtl/>
        </w:rPr>
        <w:t xml:space="preserve"> </w:t>
      </w:r>
    </w:p>
    <w:p w:rsidR="00420374" w:rsidRPr="00411396" w:rsidP="00420374" w14:paraId="5E6B04AD" w14:textId="3AF1E302">
      <w:pPr>
        <w:pStyle w:val="7392"/>
        <w:spacing w:before="360"/>
        <w:rPr>
          <w:rtl/>
        </w:rPr>
      </w:pPr>
      <w:r w:rsidRPr="00B4206F">
        <w:rPr>
          <w:rStyle w:val="7371"/>
          <w:rFonts w:hint="cs"/>
          <w:noProof/>
          <w:rtl/>
        </w:rPr>
        <w:drawing>
          <wp:anchor distT="0" distB="0" distL="114300" distR="114300" simplePos="0" relativeHeight="251681792" behindDoc="0" locked="0" layoutInCell="1" allowOverlap="1">
            <wp:simplePos x="0" y="0"/>
            <wp:positionH relativeFrom="column">
              <wp:posOffset>2447925</wp:posOffset>
            </wp:positionH>
            <wp:positionV relativeFrom="paragraph">
              <wp:posOffset>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165950" w:rsidR="009E3CEC">
        <w:rPr>
          <w:rtl/>
        </w:rPr>
        <w:t xml:space="preserve">משרד מבקר המדינה רואה בחיוב את פעולות הרשות לקיצור הניכר של זמני ההמתנה לפניות המגיעות לדלפק </w:t>
      </w:r>
      <w:r w:rsidRPr="00165950" w:rsidR="009E3CEC">
        <w:rPr>
          <w:rtl/>
        </w:rPr>
        <w:t>שע"ם</w:t>
      </w:r>
      <w:r w:rsidRPr="00165950" w:rsidR="009E3CEC">
        <w:rPr>
          <w:rtl/>
        </w:rPr>
        <w:t xml:space="preserve"> וממליץ לדלפק להמשיך לפעול לטיוב הש</w:t>
      </w:r>
      <w:r w:rsidRPr="00165950" w:rsidR="009E3CEC">
        <w:rPr>
          <w:rFonts w:hint="cs"/>
          <w:rtl/>
        </w:rPr>
        <w:t>י</w:t>
      </w:r>
      <w:r w:rsidRPr="00165950" w:rsidR="009E3CEC">
        <w:rPr>
          <w:rtl/>
        </w:rPr>
        <w:t>רות</w:t>
      </w:r>
      <w:r w:rsidRPr="00411396">
        <w:rPr>
          <w:rtl/>
        </w:rPr>
        <w:t>.</w:t>
      </w:r>
    </w:p>
    <w:p w:rsidR="00420374" w:rsidRPr="00411396" w:rsidP="00420374" w14:paraId="4A9F3764" w14:textId="553DCBCE">
      <w:pPr>
        <w:pStyle w:val="7392"/>
        <w:rPr>
          <w:rtl/>
        </w:rPr>
      </w:pPr>
      <w:r w:rsidRPr="00165950">
        <w:rPr>
          <w:rtl/>
        </w:rPr>
        <w:t>משרד מבקר המדינה מציין לחיוב את צעדי הרשות להקמת מאגר מידע המהווה תנאי סף לביצוע כריית מידע וממליץ לרשות לפעול לקידום הנגשת והשוואת מידע נוסף באופן אוטומטי ולהשלמת קידום מהיר של תהליך כריית המידע</w:t>
      </w:r>
      <w:r w:rsidRPr="00411396">
        <w:rPr>
          <w:rFonts w:hint="cs"/>
          <w:rtl/>
        </w:rPr>
        <w:t>.</w:t>
      </w:r>
    </w:p>
    <w:p w:rsidR="002753C7" w:rsidRPr="00662020" w:rsidP="0099557F" w14:paraId="7C748CCB" w14:textId="77777777">
      <w:pPr>
        <w:pStyle w:val="7327"/>
        <w:spacing w:before="480" w:after="240"/>
        <w:rPr>
          <w:rtl/>
        </w:rPr>
      </w:pPr>
      <w:r w:rsidRPr="00662020">
        <w:rPr>
          <w:rFonts w:hint="cs"/>
          <w:rtl/>
        </w:rPr>
        <w:t>עיקרי המלצות הביקורת</w:t>
      </w:r>
    </w:p>
    <w:p w:rsidR="0093709F" w:rsidP="0099557F" w14:paraId="0466320B" w14:textId="3A5214E9">
      <w:pPr>
        <w:pStyle w:val="7317"/>
        <w:ind w:left="566"/>
      </w:pPr>
      <w:r w:rsidRPr="00B02658">
        <w:rPr>
          <w:rFonts w:hint="cs"/>
          <w:b/>
          <w:bCs/>
          <w:noProof/>
          <w:rtl/>
        </w:rPr>
        <w:drawing>
          <wp:anchor distT="0" distB="1440180" distL="107950" distR="114300" simplePos="0" relativeHeight="251691008" behindDoc="1" locked="0" layoutInCell="1" allowOverlap="1">
            <wp:simplePos x="0" y="0"/>
            <wp:positionH relativeFrom="column">
              <wp:posOffset>4511675</wp:posOffset>
            </wp:positionH>
            <wp:positionV relativeFrom="paragraph">
              <wp:posOffset>15111</wp:posOffset>
            </wp:positionV>
            <wp:extent cx="144000" cy="162000"/>
            <wp:effectExtent l="0" t="0" r="0" b="3175"/>
            <wp:wrapTight wrapText="bothSides">
              <wp:wrapPolygon>
                <wp:start x="1912" y="0"/>
                <wp:lineTo x="0" y="1694"/>
                <wp:lineTo x="0" y="20329"/>
                <wp:lineTo x="19115" y="20329"/>
                <wp:lineTo x="19115" y="0"/>
                <wp:lineTo x="1912"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10FCF" w:rsidR="000F26CD">
        <w:rPr>
          <w:rtl/>
        </w:rPr>
        <w:t xml:space="preserve">על </w:t>
      </w:r>
      <w:r w:rsidRPr="00610FCF" w:rsidR="000F26CD">
        <w:rPr>
          <w:rtl/>
        </w:rPr>
        <w:t>שע"ם</w:t>
      </w:r>
      <w:r w:rsidRPr="00610FCF" w:rsidR="000F26CD">
        <w:rPr>
          <w:rtl/>
        </w:rPr>
        <w:t xml:space="preserve"> להכין תוכניות בסיס לכל הפרויקטים עם תחילת ביצוע הפרויקט, בהתאם לנוהל המתודולוגיה והנח</w:t>
      </w:r>
      <w:r w:rsidRPr="00610FCF" w:rsidR="000F26CD">
        <w:rPr>
          <w:rFonts w:hint="cs"/>
          <w:rtl/>
        </w:rPr>
        <w:t>י</w:t>
      </w:r>
      <w:r w:rsidRPr="00610FCF" w:rsidR="000F26CD">
        <w:rPr>
          <w:rtl/>
        </w:rPr>
        <w:t>ית רשות התקשוב הממשלתי</w:t>
      </w:r>
      <w:r w:rsidRPr="008E57FE" w:rsidR="005D0F8C">
        <w:rPr>
          <w:rFonts w:hint="cs"/>
          <w:rtl/>
        </w:rPr>
        <w:t xml:space="preserve">. </w:t>
      </w:r>
    </w:p>
    <w:p w:rsidR="005D0F8C" w:rsidRPr="008E57FE" w:rsidP="0099557F" w14:paraId="6C626C68" w14:textId="71EAFFAE">
      <w:pPr>
        <w:pStyle w:val="7317"/>
        <w:ind w:left="566"/>
      </w:pPr>
      <w:r w:rsidRPr="00B02658">
        <w:rPr>
          <w:rFonts w:hint="cs"/>
          <w:b/>
          <w:bCs/>
          <w:noProof/>
          <w:rtl/>
        </w:rPr>
        <w:drawing>
          <wp:anchor distT="0" distB="1440180" distL="107950" distR="114300" simplePos="0" relativeHeight="251692032" behindDoc="1" locked="0" layoutInCell="1" allowOverlap="1">
            <wp:simplePos x="0" y="0"/>
            <wp:positionH relativeFrom="column">
              <wp:posOffset>4511675</wp:posOffset>
            </wp:positionH>
            <wp:positionV relativeFrom="paragraph">
              <wp:posOffset>31244</wp:posOffset>
            </wp:positionV>
            <wp:extent cx="144000" cy="162000"/>
            <wp:effectExtent l="0" t="0" r="0" b="3175"/>
            <wp:wrapTight wrapText="bothSides">
              <wp:wrapPolygon>
                <wp:start x="1912" y="0"/>
                <wp:lineTo x="0" y="1694"/>
                <wp:lineTo x="0" y="20329"/>
                <wp:lineTo x="19115" y="20329"/>
                <wp:lineTo x="19115" y="0"/>
                <wp:lineTo x="1912" y="0"/>
              </wp:wrapPolygon>
            </wp:wrapTight>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10FCF" w:rsidR="000F26CD">
        <w:rPr>
          <w:rtl/>
        </w:rPr>
        <w:t xml:space="preserve">מומלץ כי בעת ההמרה לפרויקט </w:t>
      </w:r>
      <w:r w:rsidRPr="00610FCF" w:rsidR="000F26CD">
        <w:rPr>
          <w:rtl/>
        </w:rPr>
        <w:t>שע"ם</w:t>
      </w:r>
      <w:r w:rsidRPr="00610FCF" w:rsidR="000F26CD">
        <w:rPr>
          <w:rtl/>
        </w:rPr>
        <w:t xml:space="preserve"> ינחה להזין את המשימות לביצוע הפרויקט כולו, למעט שינויים בלתי צפויים. עוד מומלץ לבצע מעקב על תאריכי תחילת הביצוע בפועל למול תאריכי ההתחלה בתוכניות הבסיס. כמו כן, מומלץ לוודא ששיעור הביצוע המוצג במערכת תואם את כלל המשימות הנדרשות לרבות אלו שנוספו</w:t>
      </w:r>
      <w:r w:rsidRPr="008E57FE">
        <w:rPr>
          <w:rtl/>
        </w:rPr>
        <w:t xml:space="preserve">. </w:t>
      </w:r>
    </w:p>
    <w:p w:rsidR="005D0F8C" w:rsidP="0099557F" w14:paraId="16E5BFEE" w14:textId="751ABCD9">
      <w:pPr>
        <w:pStyle w:val="7317"/>
        <w:ind w:left="566"/>
        <w:rPr>
          <w:rtl/>
        </w:rPr>
      </w:pPr>
      <w:r w:rsidRPr="00B02658">
        <w:rPr>
          <w:rFonts w:hint="cs"/>
          <w:b/>
          <w:bCs/>
          <w:noProof/>
          <w:rtl/>
        </w:rPr>
        <w:drawing>
          <wp:anchor distT="0" distB="1440180" distL="107950" distR="114300" simplePos="0" relativeHeight="251693056" behindDoc="1" locked="0" layoutInCell="1" allowOverlap="1">
            <wp:simplePos x="0" y="0"/>
            <wp:positionH relativeFrom="column">
              <wp:posOffset>4511675</wp:posOffset>
            </wp:positionH>
            <wp:positionV relativeFrom="paragraph">
              <wp:posOffset>31244</wp:posOffset>
            </wp:positionV>
            <wp:extent cx="144000" cy="162000"/>
            <wp:effectExtent l="0" t="0" r="0" b="3175"/>
            <wp:wrapTight wrapText="bothSides">
              <wp:wrapPolygon>
                <wp:start x="1912" y="0"/>
                <wp:lineTo x="0" y="1694"/>
                <wp:lineTo x="0" y="20329"/>
                <wp:lineTo x="19115" y="20329"/>
                <wp:lineTo x="19115" y="0"/>
                <wp:lineTo x="1912"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10FCF" w:rsidR="000F26CD">
        <w:rPr>
          <w:rtl/>
        </w:rPr>
        <w:t xml:space="preserve">על </w:t>
      </w:r>
      <w:r w:rsidRPr="00610FCF" w:rsidR="000F26CD">
        <w:rPr>
          <w:rtl/>
        </w:rPr>
        <w:t>שע"ם</w:t>
      </w:r>
      <w:r w:rsidRPr="00610FCF" w:rsidR="000F26CD">
        <w:rPr>
          <w:rtl/>
        </w:rPr>
        <w:t xml:space="preserve"> לכלול במערכת לפיד את כל עלויות הפרויקטים, לרבות ימי עבודה המושקעים בהתאם לביצועם בפועל ועלויות יועצים חיצוניים. כמו כן, על </w:t>
      </w:r>
      <w:r w:rsidRPr="00610FCF" w:rsidR="000F26CD">
        <w:rPr>
          <w:rtl/>
        </w:rPr>
        <w:t>שע"ם</w:t>
      </w:r>
      <w:r w:rsidRPr="00610FCF" w:rsidR="000F26CD">
        <w:rPr>
          <w:rtl/>
        </w:rPr>
        <w:t xml:space="preserve"> לכלול את תמחור העלויות המושפע מתפקידי כוח האדם המשויך לפרויקטים ומסוג ההעסקה. בשלב המרת הדרישה לפרויקט יוזנו למערכת לפיד כל המשימות הנדרשות לביצועו ותיקבע הערכת ימים כוללת הנדרשת עד לסיום הפרויקט וזאת לצורך קבלת מידע על עלויותיהם של הפרויקטים ולצורך מעקב אחר ביצועם. עוד מומלץ כי רשות המיסים </w:t>
      </w:r>
      <w:r w:rsidRPr="00610FCF" w:rsidR="000F26CD">
        <w:rPr>
          <w:rtl/>
        </w:rPr>
        <w:t>ושע"ם</w:t>
      </w:r>
      <w:r w:rsidRPr="00610FCF" w:rsidR="000F26CD">
        <w:rPr>
          <w:rtl/>
        </w:rPr>
        <w:t xml:space="preserve"> יערכו בקרה שנתית על הנתונים העדכניים של כל הפרויקטים לצורך ניתוח שנתי על עמידת </w:t>
      </w:r>
      <w:r w:rsidRPr="00610FCF" w:rsidR="000F26CD">
        <w:rPr>
          <w:rtl/>
        </w:rPr>
        <w:t>שע"ם</w:t>
      </w:r>
      <w:r w:rsidRPr="00610FCF" w:rsidR="000F26CD">
        <w:rPr>
          <w:rtl/>
        </w:rPr>
        <w:t xml:space="preserve"> בתוכניות העבודה ולשם הפקת לקחים</w:t>
      </w:r>
      <w:r w:rsidRPr="008E57FE">
        <w:rPr>
          <w:rFonts w:hint="cs"/>
          <w:rtl/>
        </w:rPr>
        <w:t>.</w:t>
      </w:r>
    </w:p>
    <w:p w:rsidR="00706096" w:rsidP="0099557F" w14:paraId="3F6A2BE4" w14:textId="37F2A537">
      <w:pPr>
        <w:pStyle w:val="7317"/>
        <w:ind w:left="566"/>
        <w:rPr>
          <w:rtl/>
        </w:rPr>
      </w:pPr>
      <w:r w:rsidRPr="00B02658">
        <w:rPr>
          <w:rFonts w:hint="cs"/>
          <w:b/>
          <w:bCs/>
          <w:noProof/>
          <w:rtl/>
        </w:rPr>
        <w:drawing>
          <wp:anchor distT="0" distB="1440180" distL="107950" distR="114300" simplePos="0" relativeHeight="251694080" behindDoc="1" locked="0" layoutInCell="1" allowOverlap="1">
            <wp:simplePos x="0" y="0"/>
            <wp:positionH relativeFrom="column">
              <wp:posOffset>4511675</wp:posOffset>
            </wp:positionH>
            <wp:positionV relativeFrom="paragraph">
              <wp:posOffset>31244</wp:posOffset>
            </wp:positionV>
            <wp:extent cx="144000" cy="162000"/>
            <wp:effectExtent l="0" t="0" r="0" b="3175"/>
            <wp:wrapTight wrapText="bothSides">
              <wp:wrapPolygon>
                <wp:start x="1912" y="0"/>
                <wp:lineTo x="0" y="1694"/>
                <wp:lineTo x="0" y="20329"/>
                <wp:lineTo x="19115" y="20329"/>
                <wp:lineTo x="19115" y="0"/>
                <wp:lineTo x="1912" y="0"/>
              </wp:wrapPolygon>
            </wp:wrapTight>
            <wp:docPr id="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10FCF" w:rsidR="000F26CD">
        <w:rPr>
          <w:rtl/>
        </w:rPr>
        <w:t>מומלץ כי הרשות תפתח פלטפורמה לקליטת דוחות למערכות המחשוב שלה, ולשליפת דוחות, וביצוע ניתוחים והצלבות של המידע לצורך שיפור תהליכי השומה. עוד מומלץ כי רשות המיסים תפעל למיכון השוואות ההון שיאפשר להשוות את ההון באופן אוטומטי וכך ייחסך זמן עבודה של עובד הרשות. יתר על כן, יהיה אפשר לבצע את השוואות ההון של כלל הנישומים החייבים להגיש הצהרות הון ולהציף נישומים אשר מלכתחילה יש בהצהרותיהם הפרש הון בלתי מוסבר</w:t>
      </w:r>
      <w:r w:rsidRPr="008E57FE">
        <w:rPr>
          <w:rFonts w:hint="cs"/>
          <w:rtl/>
        </w:rPr>
        <w:t>.</w:t>
      </w:r>
    </w:p>
    <w:p w:rsidR="00706096" w:rsidRPr="00662020" w:rsidP="0099557F" w14:paraId="36B4D251" w14:textId="4888166B">
      <w:pPr>
        <w:pStyle w:val="ListParagraph"/>
        <w:widowControl w:val="0"/>
        <w:spacing w:after="60" w:line="276" w:lineRule="auto"/>
        <w:ind w:left="566"/>
        <w:rPr>
          <w:rFonts w:ascii="Tahoma" w:hAnsi="Tahoma" w:cs="Tahoma"/>
          <w:color w:val="0D0D0D" w:themeColor="text1" w:themeTint="F2"/>
          <w:sz w:val="18"/>
          <w:szCs w:val="18"/>
        </w:rPr>
      </w:pPr>
      <w:r w:rsidRPr="00B02658">
        <w:rPr>
          <w:rFonts w:hint="cs"/>
          <w:b/>
          <w:bCs/>
          <w:noProof/>
          <w:rtl/>
        </w:rPr>
        <w:drawing>
          <wp:anchor distT="0" distB="1440180" distL="107950" distR="114300" simplePos="0" relativeHeight="251695104" behindDoc="1" locked="0" layoutInCell="1" allowOverlap="1">
            <wp:simplePos x="0" y="0"/>
            <wp:positionH relativeFrom="column">
              <wp:posOffset>4511675</wp:posOffset>
            </wp:positionH>
            <wp:positionV relativeFrom="paragraph">
              <wp:posOffset>23624</wp:posOffset>
            </wp:positionV>
            <wp:extent cx="144000" cy="162000"/>
            <wp:effectExtent l="0" t="0" r="0" b="3175"/>
            <wp:wrapTight wrapText="bothSides">
              <wp:wrapPolygon>
                <wp:start x="1912" y="0"/>
                <wp:lineTo x="0" y="1694"/>
                <wp:lineTo x="0" y="20329"/>
                <wp:lineTo x="19115" y="20329"/>
                <wp:lineTo x="19115" y="0"/>
                <wp:lineTo x="1912" y="0"/>
              </wp:wrapPolygon>
            </wp:wrapTight>
            <wp:docPr id="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10FCF" w:rsidR="000F26CD">
        <w:rPr>
          <w:rFonts w:ascii="Tahoma" w:hAnsi="Tahoma" w:cs="Tahoma"/>
          <w:sz w:val="18"/>
          <w:szCs w:val="18"/>
          <w:rtl/>
        </w:rPr>
        <w:t xml:space="preserve">מומלץ לרשות לרכז את המענה למייצגים תחת קורת גג אחת כדי לייעל את השירות. עוד מומלץ כי </w:t>
      </w:r>
      <w:r w:rsidRPr="00610FCF" w:rsidR="000F26CD">
        <w:rPr>
          <w:rFonts w:ascii="Tahoma" w:hAnsi="Tahoma" w:cs="Tahoma"/>
          <w:sz w:val="18"/>
          <w:szCs w:val="18"/>
          <w:rtl/>
        </w:rPr>
        <w:t>שע"ם</w:t>
      </w:r>
      <w:r w:rsidRPr="00610FCF" w:rsidR="000F26CD">
        <w:rPr>
          <w:rFonts w:ascii="Tahoma" w:hAnsi="Tahoma" w:cs="Tahoma"/>
          <w:sz w:val="18"/>
          <w:szCs w:val="18"/>
          <w:rtl/>
        </w:rPr>
        <w:t xml:space="preserve"> ימשיך לנהל קשר שוטף עם ועדת הקשר של לשכת רואי החשבון כדי להשלים טיפול בסוגיות המועלות על ידה</w:t>
      </w:r>
      <w:r w:rsidRPr="00662020">
        <w:rPr>
          <w:rFonts w:ascii="Tahoma" w:hAnsi="Tahoma" w:cs="Tahoma" w:hint="cs"/>
          <w:color w:val="0D0D0D" w:themeColor="text1" w:themeTint="F2"/>
          <w:sz w:val="18"/>
          <w:szCs w:val="18"/>
          <w:rtl/>
        </w:rPr>
        <w:t>.</w:t>
      </w:r>
    </w:p>
    <w:p w:rsidR="000F26CD" w14:paraId="1FE82C78" w14:textId="70A2E935">
      <w:pPr>
        <w:bidi w:val="0"/>
        <w:spacing w:after="200" w:line="276" w:lineRule="auto"/>
        <w:rPr>
          <w:rFonts w:ascii="Tahoma" w:hAnsi="Tahoma" w:cs="Tahoma"/>
          <w:color w:val="0D0D0D" w:themeColor="text1" w:themeTint="F2"/>
          <w:sz w:val="18"/>
          <w:szCs w:val="18"/>
          <w:rtl/>
        </w:rPr>
      </w:pPr>
      <w:r>
        <w:rPr>
          <w:rtl/>
        </w:rPr>
        <w:br w:type="page"/>
      </w:r>
    </w:p>
    <w:p w:rsidR="005D0F8C" w:rsidP="001B0CB2" w14:paraId="6DC28C4F" w14:textId="4DCB8803">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simplePos x="0" y="0"/>
            <wp:positionH relativeFrom="column">
              <wp:posOffset>-68580</wp:posOffset>
            </wp:positionH>
            <wp:positionV relativeFrom="paragraph">
              <wp:posOffset>-175895</wp:posOffset>
            </wp:positionV>
            <wp:extent cx="4728210" cy="100012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28210" cy="100012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123190</wp:posOffset>
                </wp:positionH>
                <wp:positionV relativeFrom="paragraph">
                  <wp:posOffset>-76228</wp:posOffset>
                </wp:positionV>
                <wp:extent cx="4436745" cy="589722"/>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589722"/>
                        </a:xfrm>
                        <a:prstGeom prst="rect">
                          <a:avLst/>
                        </a:prstGeom>
                        <a:solidFill>
                          <a:srgbClr val="F05260"/>
                        </a:solidFill>
                        <a:ln w="9525">
                          <a:noFill/>
                          <a:miter lim="800000"/>
                          <a:headEnd/>
                          <a:tailEnd/>
                        </a:ln>
                      </wps:spPr>
                      <wps:txbx>
                        <w:txbxContent>
                          <w:p w:rsidR="000F26CD" w:rsidRPr="00610FCF" w:rsidP="000F26CD" w14:textId="495E1850">
                            <w:pPr>
                              <w:spacing w:line="240" w:lineRule="auto"/>
                              <w:ind w:right="113"/>
                              <w:jc w:val="left"/>
                              <w:rPr>
                                <w:rFonts w:ascii="Tahoma" w:hAnsi="Tahoma" w:cs="Tahoma"/>
                                <w:b/>
                                <w:bCs/>
                                <w:color w:val="FFFFFF" w:themeColor="background1"/>
                                <w:spacing w:val="-4"/>
                                <w:sz w:val="22"/>
                                <w:szCs w:val="22"/>
                                <w:rtl/>
                              </w:rPr>
                            </w:pPr>
                            <w:r w:rsidRPr="00610FCF">
                              <w:rPr>
                                <w:rFonts w:ascii="Tahoma" w:hAnsi="Tahoma" w:cs="Tahoma"/>
                                <w:b/>
                                <w:bCs/>
                                <w:color w:val="FFFFFF" w:themeColor="background1"/>
                                <w:spacing w:val="-4"/>
                                <w:sz w:val="22"/>
                                <w:szCs w:val="22"/>
                                <w:rtl/>
                              </w:rPr>
                              <w:t>התפלגות פרויקטים בשנת 2021 שבהם שיעור החריגות בין ימים משוערים לפרויקט</w:t>
                            </w:r>
                            <w:r w:rsidRPr="00610FCF">
                              <w:rPr>
                                <w:rFonts w:ascii="Tahoma" w:hAnsi="Tahoma" w:cs="Tahoma" w:hint="cs"/>
                                <w:b/>
                                <w:bCs/>
                                <w:color w:val="FFFFFF" w:themeColor="background1"/>
                                <w:spacing w:val="-4"/>
                                <w:sz w:val="22"/>
                                <w:szCs w:val="22"/>
                                <w:rtl/>
                              </w:rPr>
                              <w:t xml:space="preserve"> לבין</w:t>
                            </w:r>
                            <w:r w:rsidRPr="00610FCF">
                              <w:rPr>
                                <w:rFonts w:ascii="Tahoma" w:hAnsi="Tahoma" w:cs="Tahoma"/>
                                <w:b/>
                                <w:bCs/>
                                <w:color w:val="FFFFFF" w:themeColor="background1"/>
                                <w:spacing w:val="-4"/>
                                <w:sz w:val="22"/>
                                <w:szCs w:val="22"/>
                                <w:rtl/>
                              </w:rPr>
                              <w:t xml:space="preserve"> ימי העבודה מעודכנים במערכת לפיד עולה על 20% והתפלגות הסיבות לחריגות אלה</w:t>
                            </w:r>
                            <w:r w:rsidR="009A287F">
                              <w:rPr>
                                <w:rFonts w:ascii="Tahoma" w:hAnsi="Tahoma" w:cs="Tahoma"/>
                                <w:b/>
                                <w:bCs/>
                                <w:color w:val="FFFFFF" w:themeColor="background1"/>
                                <w:spacing w:val="-4"/>
                                <w:sz w:val="22"/>
                                <w:szCs w:val="22"/>
                              </w:rPr>
                              <w:t>*</w:t>
                            </w:r>
                            <w:r w:rsidRPr="00610FCF">
                              <w:rPr>
                                <w:rFonts w:ascii="Tahoma" w:hAnsi="Tahoma" w:cs="Tahoma"/>
                                <w:b/>
                                <w:bCs/>
                                <w:color w:val="FFFFFF" w:themeColor="background1"/>
                                <w:spacing w:val="-4"/>
                                <w:sz w:val="22"/>
                                <w:szCs w:val="22"/>
                                <w:rtl/>
                              </w:rPr>
                              <w:t xml:space="preserve"> </w:t>
                            </w:r>
                          </w:p>
                          <w:p w:rsidR="005D0F8C" w:rsidRPr="005C7ABF" w:rsidP="00662020" w14:textId="4EA1DD96">
                            <w:pPr>
                              <w:spacing w:line="240" w:lineRule="auto"/>
                              <w:ind w:right="113"/>
                              <w:suppressOverlap/>
                              <w:jc w:val="left"/>
                              <w:rPr>
                                <w:rFonts w:ascii="Tahoma" w:hAnsi="Tahoma" w:cs="Tahoma"/>
                                <w:b/>
                                <w:bCs/>
                                <w:color w:val="FFFFFF" w:themeColor="background1"/>
                                <w:spacing w:val="-4"/>
                                <w:sz w:val="22"/>
                                <w:szCs w:val="22"/>
                                <w:rtl/>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46.45pt;margin-top:-6pt;margin-left:9.7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0F26CD" w:rsidRPr="00610FCF" w:rsidP="000F26CD" w14:paraId="32BEAE31" w14:textId="495E1850">
                      <w:pPr>
                        <w:spacing w:line="240" w:lineRule="auto"/>
                        <w:ind w:right="113"/>
                        <w:jc w:val="left"/>
                        <w:rPr>
                          <w:rFonts w:ascii="Tahoma" w:hAnsi="Tahoma" w:cs="Tahoma"/>
                          <w:b/>
                          <w:bCs/>
                          <w:color w:val="FFFFFF" w:themeColor="background1"/>
                          <w:spacing w:val="-4"/>
                          <w:sz w:val="22"/>
                          <w:szCs w:val="22"/>
                          <w:rtl/>
                        </w:rPr>
                      </w:pPr>
                      <w:r w:rsidRPr="00610FCF">
                        <w:rPr>
                          <w:rFonts w:ascii="Tahoma" w:hAnsi="Tahoma" w:cs="Tahoma"/>
                          <w:b/>
                          <w:bCs/>
                          <w:color w:val="FFFFFF" w:themeColor="background1"/>
                          <w:spacing w:val="-4"/>
                          <w:sz w:val="22"/>
                          <w:szCs w:val="22"/>
                          <w:rtl/>
                        </w:rPr>
                        <w:t>התפלגות פרויקטים בשנת 2021 שבהם שיעור החריגות בין ימים משוערים לפרויקט</w:t>
                      </w:r>
                      <w:r w:rsidRPr="00610FCF">
                        <w:rPr>
                          <w:rFonts w:ascii="Tahoma" w:hAnsi="Tahoma" w:cs="Tahoma" w:hint="cs"/>
                          <w:b/>
                          <w:bCs/>
                          <w:color w:val="FFFFFF" w:themeColor="background1"/>
                          <w:spacing w:val="-4"/>
                          <w:sz w:val="22"/>
                          <w:szCs w:val="22"/>
                          <w:rtl/>
                        </w:rPr>
                        <w:t xml:space="preserve"> לבין</w:t>
                      </w:r>
                      <w:r w:rsidRPr="00610FCF">
                        <w:rPr>
                          <w:rFonts w:ascii="Tahoma" w:hAnsi="Tahoma" w:cs="Tahoma"/>
                          <w:b/>
                          <w:bCs/>
                          <w:color w:val="FFFFFF" w:themeColor="background1"/>
                          <w:spacing w:val="-4"/>
                          <w:sz w:val="22"/>
                          <w:szCs w:val="22"/>
                          <w:rtl/>
                        </w:rPr>
                        <w:t xml:space="preserve"> ימי העבודה מעודכנים במערכת לפיד עולה על 20% והתפלגות הסיבות לחריגות אלה</w:t>
                      </w:r>
                      <w:r w:rsidR="009A287F">
                        <w:rPr>
                          <w:rFonts w:ascii="Tahoma" w:hAnsi="Tahoma" w:cs="Tahoma"/>
                          <w:b/>
                          <w:bCs/>
                          <w:color w:val="FFFFFF" w:themeColor="background1"/>
                          <w:spacing w:val="-4"/>
                          <w:sz w:val="22"/>
                          <w:szCs w:val="22"/>
                        </w:rPr>
                        <w:t>*</w:t>
                      </w:r>
                      <w:r w:rsidRPr="00610FCF">
                        <w:rPr>
                          <w:rFonts w:ascii="Tahoma" w:hAnsi="Tahoma" w:cs="Tahoma"/>
                          <w:b/>
                          <w:bCs/>
                          <w:color w:val="FFFFFF" w:themeColor="background1"/>
                          <w:spacing w:val="-4"/>
                          <w:sz w:val="22"/>
                          <w:szCs w:val="22"/>
                          <w:rtl/>
                        </w:rPr>
                        <w:t xml:space="preserve"> </w:t>
                      </w:r>
                    </w:p>
                    <w:p w:rsidR="005D0F8C" w:rsidRPr="005C7ABF" w:rsidP="00662020" w14:paraId="1D5D7976" w14:textId="4EA1DD96">
                      <w:pPr>
                        <w:spacing w:line="240" w:lineRule="auto"/>
                        <w:ind w:right="113"/>
                        <w:suppressOverlap/>
                        <w:jc w:val="left"/>
                        <w:rPr>
                          <w:rFonts w:ascii="Tahoma" w:hAnsi="Tahoma" w:cs="Tahoma"/>
                          <w:b/>
                          <w:bCs/>
                          <w:color w:val="FFFFFF" w:themeColor="background1"/>
                          <w:spacing w:val="-4"/>
                          <w:sz w:val="22"/>
                          <w:szCs w:val="22"/>
                          <w:rtl/>
                        </w:rPr>
                      </w:pPr>
                    </w:p>
                  </w:txbxContent>
                </v:textbox>
              </v:shape>
            </w:pict>
          </mc:Fallback>
        </mc:AlternateContent>
      </w:r>
      <w:r>
        <w:rPr>
          <w:rtl/>
        </w:rPr>
        <w:t xml:space="preserve"> </w:t>
      </w:r>
    </w:p>
    <w:p w:rsidR="005D0F8C" w:rsidP="005D0F8C" w14:paraId="5B8DB107" w14:textId="20FFFE4E">
      <w:pPr>
        <w:pStyle w:val="7317"/>
        <w:rPr>
          <w:rtl/>
        </w:rPr>
      </w:pPr>
    </w:p>
    <w:p w:rsidR="005D0F8C" w:rsidP="005D0F8C" w14:paraId="65CD3CF9" w14:textId="453BA671">
      <w:pPr>
        <w:pStyle w:val="7317"/>
        <w:rPr>
          <w:rtl/>
        </w:rPr>
      </w:pPr>
    </w:p>
    <w:p w:rsidR="002862BC" w:rsidRPr="00412A27" w:rsidP="002862BC" w14:paraId="1C5C67D8" w14:textId="7EB97679">
      <w:pPr>
        <w:spacing w:line="288" w:lineRule="auto"/>
        <w:jc w:val="center"/>
        <w:rPr>
          <w:rFonts w:ascii="Tahoma" w:hAnsi="Tahoma" w:cs="Tahoma"/>
          <w:sz w:val="22"/>
          <w:szCs w:val="22"/>
          <w:rtl/>
        </w:rPr>
      </w:pPr>
      <w:r w:rsidRPr="00412A27">
        <w:rPr>
          <w:rFonts w:ascii="Tahoma" w:hAnsi="Tahoma" w:cs="Tahoma"/>
          <w:noProof/>
          <w:sz w:val="22"/>
          <w:szCs w:val="22"/>
        </w:rPr>
        <w:drawing>
          <wp:anchor distT="0" distB="0" distL="114300" distR="114300" simplePos="0" relativeHeight="251683840" behindDoc="1" locked="0" layoutInCell="1" allowOverlap="1">
            <wp:simplePos x="0" y="0"/>
            <wp:positionH relativeFrom="column">
              <wp:posOffset>314960</wp:posOffset>
            </wp:positionH>
            <wp:positionV relativeFrom="paragraph">
              <wp:posOffset>2515235</wp:posOffset>
            </wp:positionV>
            <wp:extent cx="4095750" cy="2716530"/>
            <wp:effectExtent l="0" t="0" r="6350" b="0"/>
            <wp:wrapTopAndBottom/>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תמונה 22"/>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rcRect l="9753" r="9753"/>
                    <a:stretch>
                      <a:fillRect/>
                    </a:stretch>
                  </pic:blipFill>
                  <pic:spPr bwMode="auto">
                    <a:xfrm>
                      <a:off x="0" y="0"/>
                      <a:ext cx="4095750" cy="271653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2A27">
        <w:rPr>
          <w:rFonts w:ascii="Tahoma" w:hAnsi="Tahoma" w:cs="Tahoma"/>
          <w:noProof/>
          <w:sz w:val="22"/>
          <w:szCs w:val="22"/>
        </w:rPr>
        <w:drawing>
          <wp:inline distT="0" distB="0" distL="0" distR="0">
            <wp:extent cx="4229579" cy="2326842"/>
            <wp:effectExtent l="0" t="0" r="0" b="0"/>
            <wp:docPr id="56" name="תמונה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תמונה 56"/>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4229579" cy="2326842"/>
                    </a:xfrm>
                    <a:prstGeom prst="rect">
                      <a:avLst/>
                    </a:prstGeom>
                    <a:noFill/>
                  </pic:spPr>
                </pic:pic>
              </a:graphicData>
            </a:graphic>
          </wp:inline>
        </w:drawing>
      </w:r>
    </w:p>
    <w:p w:rsidR="005D0F8C" w:rsidRPr="002862BC" w:rsidP="002862BC" w14:paraId="0DA8F7B9" w14:textId="380A9194">
      <w:pPr>
        <w:pStyle w:val="738"/>
        <w:spacing w:before="360"/>
      </w:pPr>
      <w:r>
        <w:t>*</w:t>
      </w:r>
      <w:r>
        <w:tab/>
      </w:r>
      <w:r w:rsidRPr="002862BC" w:rsidR="002862BC">
        <w:rPr>
          <w:rtl/>
        </w:rPr>
        <w:t>על פי הערותיו של מנהל תוכניות העבודה</w:t>
      </w:r>
      <w:r w:rsidRPr="002862BC">
        <w:rPr>
          <w:rFonts w:hint="cs"/>
          <w:rtl/>
        </w:rPr>
        <w:t>.</w:t>
      </w:r>
    </w:p>
    <w:p w:rsidR="000B31AA" w:rsidRPr="000B31AA" w:rsidP="00662020" w14:paraId="1001632A" w14:textId="6B1384CD">
      <w:pPr>
        <w:pStyle w:val="738"/>
        <w:spacing w:before="0" w:after="0"/>
        <w:rPr>
          <w:rtl/>
        </w:rPr>
      </w:pPr>
    </w:p>
    <w:p w:rsidR="000B31AA" w:rsidRPr="003A253B" w:rsidP="000B31AA" w14:paraId="5C1AE375" w14:textId="61FFCF06">
      <w:pPr>
        <w:pStyle w:val="7317"/>
        <w:rPr>
          <w:rtl/>
        </w:rPr>
      </w:pPr>
    </w:p>
    <w:p w:rsidR="000B31AA" w:rsidRPr="00827841" w:rsidP="000B31AA" w14:paraId="0E94D97F" w14:textId="77777777">
      <w:pPr>
        <w:pStyle w:val="7317"/>
        <w:spacing w:before="360" w:after="360"/>
        <w:rPr>
          <w:rtl/>
        </w:rPr>
        <w:sectPr w:rsidSect="00BC2611">
          <w:footerReference w:type="even" r:id="rId29"/>
          <w:footerReference w:type="default" r:id="rId30"/>
          <w:headerReference w:type="first" r:id="rId31"/>
          <w:footerReference w:type="first" r:id="rId32"/>
          <w:pgSz w:w="11906" w:h="16838" w:code="9"/>
          <w:pgMar w:top="3062" w:right="2268" w:bottom="2552" w:left="2268" w:header="1134" w:footer="1361" w:gutter="0"/>
          <w:pgNumType w:start="599"/>
          <w:cols w:space="708"/>
          <w:bidi/>
          <w:rtlGutter/>
          <w:docGrid w:linePitch="360"/>
        </w:sectPr>
      </w:pPr>
    </w:p>
    <w:p w:rsidR="005D0F8C" w:rsidP="00520550" w14:paraId="3B41E678" w14:textId="7096B259">
      <w:pPr>
        <w:pStyle w:val="73"/>
        <w:rPr>
          <w:rtl/>
        </w:rPr>
      </w:pPr>
      <w:r w:rsidRPr="00EF3061">
        <w:rPr>
          <w:rFonts w:hint="cs"/>
          <w:rtl/>
        </w:rPr>
        <w:t>סיכום</w:t>
      </w:r>
    </w:p>
    <w:p w:rsidR="005B2BF5" w:rsidRPr="006615C6" w:rsidP="005B2BF5" w14:paraId="4937660D" w14:textId="0461188F">
      <w:pPr>
        <w:widowControl w:val="0"/>
        <w:spacing w:before="240" w:line="276" w:lineRule="auto"/>
        <w:ind w:left="-1"/>
        <w:rPr>
          <w:rFonts w:ascii="Tahoma" w:hAnsi="Tahoma" w:cs="Tahoma"/>
          <w:sz w:val="18"/>
          <w:szCs w:val="18"/>
          <w:rtl/>
        </w:rPr>
      </w:pPr>
      <w:r w:rsidRPr="00610FCF">
        <w:rPr>
          <w:rFonts w:ascii="Tahoma" w:hAnsi="Tahoma" w:cs="Tahoma"/>
          <w:sz w:val="18"/>
          <w:szCs w:val="18"/>
          <w:rtl/>
        </w:rPr>
        <w:t xml:space="preserve">ממצאי הדוח מראים כי </w:t>
      </w:r>
      <w:r w:rsidRPr="00610FCF">
        <w:rPr>
          <w:rFonts w:ascii="Tahoma" w:hAnsi="Tahoma" w:cs="Tahoma"/>
          <w:sz w:val="18"/>
          <w:szCs w:val="18"/>
          <w:rtl/>
        </w:rPr>
        <w:t>שע"ם</w:t>
      </w:r>
      <w:r w:rsidRPr="00610FCF">
        <w:rPr>
          <w:rFonts w:ascii="Tahoma" w:hAnsi="Tahoma" w:cs="Tahoma"/>
          <w:sz w:val="18"/>
          <w:szCs w:val="18"/>
          <w:rtl/>
        </w:rPr>
        <w:t xml:space="preserve"> מתקשה לעמוד בדרישות הפיתוח של רשות המיסים ובהיערכותה המיטבית לחירום. התאוצה בהתפתחות הטכנולוגיה צפויה להגדיל את צרכיה של רשות המיסים בפיתוחים נוספים. בהיעדר פתרון לצמצום הפער בין צורכי המחשוב של רשות המיסים לבין יכולות הפיתוח של </w:t>
      </w:r>
      <w:r w:rsidRPr="00610FCF">
        <w:rPr>
          <w:rFonts w:ascii="Tahoma" w:hAnsi="Tahoma" w:cs="Tahoma"/>
          <w:sz w:val="18"/>
          <w:szCs w:val="18"/>
          <w:rtl/>
        </w:rPr>
        <w:t>שע"ם</w:t>
      </w:r>
      <w:r w:rsidRPr="00610FCF">
        <w:rPr>
          <w:rFonts w:ascii="Tahoma" w:hAnsi="Tahoma" w:cs="Tahoma"/>
          <w:sz w:val="18"/>
          <w:szCs w:val="18"/>
          <w:rtl/>
        </w:rPr>
        <w:t>, ייפגעו יכולות הגבייה ואכיפה, יצירת ההרתעה ומיצוי הזכויות של הנישומים ברשות המיסים</w:t>
      </w:r>
      <w:r w:rsidRPr="006615C6">
        <w:rPr>
          <w:rFonts w:ascii="Tahoma" w:hAnsi="Tahoma" w:cs="Tahoma" w:hint="cs"/>
          <w:sz w:val="18"/>
          <w:szCs w:val="18"/>
          <w:rtl/>
        </w:rPr>
        <w:t xml:space="preserve">. </w:t>
      </w:r>
    </w:p>
    <w:p w:rsidR="005B2BF5" w:rsidRPr="006615C6" w:rsidP="005B2BF5" w14:paraId="6D52DDEE" w14:textId="180E17EA">
      <w:pPr>
        <w:widowControl w:val="0"/>
        <w:spacing w:before="240" w:line="276" w:lineRule="auto"/>
        <w:ind w:left="-1"/>
        <w:rPr>
          <w:rFonts w:ascii="Tahoma" w:hAnsi="Tahoma" w:cs="Tahoma"/>
          <w:sz w:val="18"/>
          <w:szCs w:val="18"/>
          <w:rtl/>
        </w:rPr>
      </w:pPr>
      <w:r w:rsidRPr="00610FCF">
        <w:rPr>
          <w:rFonts w:ascii="Tahoma" w:hAnsi="Tahoma" w:cs="Tahoma"/>
          <w:sz w:val="18"/>
          <w:szCs w:val="18"/>
          <w:rtl/>
        </w:rPr>
        <w:t>מומלץ כי רשות המיסים תפעל לתיקון הליקויים שעלו בדוח זה ולבחינת ההמלצות לשם קידום מחשובה ולשיפור הש</w:t>
      </w:r>
      <w:r w:rsidRPr="00610FCF">
        <w:rPr>
          <w:rFonts w:ascii="Tahoma" w:hAnsi="Tahoma" w:cs="Tahoma" w:hint="cs"/>
          <w:sz w:val="18"/>
          <w:szCs w:val="18"/>
          <w:rtl/>
        </w:rPr>
        <w:t>י</w:t>
      </w:r>
      <w:r w:rsidRPr="00610FCF">
        <w:rPr>
          <w:rFonts w:ascii="Tahoma" w:hAnsi="Tahoma" w:cs="Tahoma"/>
          <w:sz w:val="18"/>
          <w:szCs w:val="18"/>
          <w:rtl/>
        </w:rPr>
        <w:t xml:space="preserve">רות לנישומים, </w:t>
      </w:r>
      <w:r w:rsidRPr="00610FCF">
        <w:rPr>
          <w:rFonts w:ascii="Tahoma" w:hAnsi="Tahoma" w:cs="Tahoma"/>
          <w:sz w:val="18"/>
          <w:szCs w:val="18"/>
          <w:rtl/>
        </w:rPr>
        <w:t>למ</w:t>
      </w:r>
      <w:r w:rsidRPr="00610FCF">
        <w:rPr>
          <w:rFonts w:ascii="Tahoma" w:hAnsi="Tahoma" w:cs="Tahoma" w:hint="cs"/>
          <w:sz w:val="18"/>
          <w:szCs w:val="18"/>
          <w:rtl/>
        </w:rPr>
        <w:t>י</w:t>
      </w:r>
      <w:r w:rsidRPr="00610FCF">
        <w:rPr>
          <w:rFonts w:ascii="Tahoma" w:hAnsi="Tahoma" w:cs="Tahoma"/>
          <w:sz w:val="18"/>
          <w:szCs w:val="18"/>
          <w:rtl/>
        </w:rPr>
        <w:t>יצגיהם</w:t>
      </w:r>
      <w:r w:rsidRPr="00610FCF">
        <w:rPr>
          <w:rFonts w:ascii="Tahoma" w:hAnsi="Tahoma" w:cs="Tahoma"/>
          <w:sz w:val="18"/>
          <w:szCs w:val="18"/>
          <w:rtl/>
        </w:rPr>
        <w:t xml:space="preserve"> ולעובדי הרשות</w:t>
      </w:r>
      <w:r w:rsidRPr="006615C6">
        <w:rPr>
          <w:rFonts w:ascii="Tahoma" w:hAnsi="Tahoma" w:cs="Tahoma" w:hint="cs"/>
          <w:sz w:val="18"/>
          <w:szCs w:val="18"/>
          <w:rtl/>
        </w:rPr>
        <w:t xml:space="preserve">. </w:t>
      </w:r>
    </w:p>
    <w:sectPr w:rsidSect="00133F35">
      <w:headerReference w:type="even" r:id="rId33"/>
      <w:footerReference w:type="even" r:id="rId34"/>
      <w:pgSz w:w="11906" w:h="16838" w:code="9"/>
      <w:pgMar w:top="3062" w:right="2268" w:bottom="2552" w:left="2268" w:header="1134" w:footer="1361" w:gutter="0"/>
      <w:pgNumType w:start="606"/>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9391C" w14:paraId="3FF7A55C" w14:textId="77777777">
      <w:pPr>
        <w:spacing w:line="240" w:lineRule="auto"/>
      </w:pPr>
      <w:r>
        <w:separator/>
      </w:r>
    </w:p>
    <w:p w:rsidR="0089391C" w14:paraId="1A8F8295" w14:textId="77777777"/>
    <w:p w:rsidR="0089391C" w14:paraId="0E913E89" w14:textId="77777777"/>
    <w:p w:rsidR="0089391C" w14:paraId="7518CE48" w14:textId="77777777"/>
  </w:endnote>
  <w:endnote w:type="continuationSeparator" w:id="1">
    <w:p w:rsidR="0089391C" w14:paraId="69CCC350" w14:textId="77777777">
      <w:pPr>
        <w:spacing w:line="240" w:lineRule="auto"/>
      </w:pPr>
      <w:r>
        <w:continuationSeparator/>
      </w:r>
    </w:p>
    <w:p w:rsidR="0089391C" w14:paraId="6F6DBD1C" w14:textId="77777777"/>
    <w:p w:rsidR="0089391C" w14:paraId="5FFCCE56" w14:textId="77777777"/>
    <w:p w:rsidR="0089391C" w14:paraId="00849A2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7F63" w14:paraId="54B137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7F63" w14:paraId="507008B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337C4E" w14:paraId="0591AE04" w14:textId="77777777">
    <w:pPr>
      <w:pStyle w:val="Footer"/>
      <w:spacing w:after="120" w:line="312" w:lineRule="auto"/>
      <w:ind w:left="-510"/>
      <w:jc w:val="left"/>
      <w:rPr>
        <w:rFonts w:ascii="Tahoma" w:hAnsi="Tahoma" w:cs="Tahoma"/>
        <w:sz w:val="18"/>
        <w:szCs w:val="18"/>
        <w:rtl/>
      </w:rPr>
    </w:pPr>
  </w:p>
  <w:p w:rsidR="000B31AA" w:rsidP="00024391" w14:paraId="40CD8FF7"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0B31AA" w:rsidRPr="00F94EB4" w:rsidP="00337C4E" w14:paraId="2918DFA2" w14:textId="77777777">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024391" w14:paraId="78833D87"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B31AA" w:rsidP="00851F62" w14:paraId="5DDC5735" w14:textId="77777777">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D15500" w14:paraId="7EF16D20"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913" w:rsidP="00D12913" w14:paraId="2FC1BAC9" w14:textId="77777777">
    <w:pPr>
      <w:pStyle w:val="Footer"/>
      <w:spacing w:after="120" w:line="312" w:lineRule="auto"/>
      <w:ind w:left="-510"/>
      <w:jc w:val="left"/>
      <w:rPr>
        <w:rFonts w:ascii="Tahoma" w:hAnsi="Tahoma" w:cs="Tahoma"/>
        <w:sz w:val="18"/>
        <w:szCs w:val="18"/>
        <w:rtl/>
      </w:rPr>
    </w:pPr>
  </w:p>
  <w:p w:rsidR="00D12913" w:rsidP="00D12913" w14:paraId="3627784F"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586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D12913" w:rsidP="00D12913"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9391C" w:rsidP="00E7235E" w14:paraId="27A3D13F" w14:textId="77777777">
      <w:pPr>
        <w:spacing w:line="240" w:lineRule="auto"/>
      </w:pPr>
      <w:r>
        <w:separator/>
      </w:r>
    </w:p>
  </w:footnote>
  <w:footnote w:type="continuationSeparator" w:id="1">
    <w:p w:rsidR="0089391C" w:rsidP="00C23CC9" w14:paraId="3D60F7D3" w14:textId="77777777">
      <w:pPr>
        <w:spacing w:line="240" w:lineRule="auto"/>
      </w:pPr>
      <w:r>
        <w:continuationSeparator/>
      </w:r>
    </w:p>
    <w:p w:rsidR="0089391C" w14:paraId="4C103AC2" w14:textId="77777777"/>
    <w:p w:rsidR="0089391C" w14:paraId="25AB0DE7" w14:textId="77777777"/>
    <w:p w:rsidR="0089391C" w14:paraId="2E412033" w14:textId="77777777"/>
  </w:footnote>
  <w:footnote w:id="2">
    <w:p w:rsidR="007803E4" w:rsidRPr="000F26CD" w:rsidP="004353F8" w14:paraId="1533082C" w14:textId="77777777">
      <w:pPr>
        <w:pStyle w:val="733"/>
      </w:pPr>
      <w:r w:rsidRPr="000F26CD">
        <w:rPr>
          <w:rStyle w:val="FootnoteReference0"/>
          <w:vertAlign w:val="baseline"/>
        </w:rPr>
        <w:footnoteRef/>
      </w:r>
      <w:r w:rsidRPr="000F26CD">
        <w:rPr>
          <w:rtl/>
        </w:rPr>
        <w:t xml:space="preserve"> </w:t>
      </w:r>
      <w:r w:rsidRPr="000F26CD">
        <w:rPr>
          <w:rtl/>
        </w:rPr>
        <w:tab/>
        <w:t>מתוך הפרויקטים בהם היה שיעור ההפרש בין מספר הימים המשוער לפרויקט לבין מספר הימים לפרויקט המעודכן במערכת גבוה מ-20%.</w:t>
      </w:r>
    </w:p>
  </w:footnote>
  <w:footnote w:id="3">
    <w:p w:rsidR="007803E4" w:rsidRPr="000F26CD" w:rsidP="004353F8" w14:paraId="7666A6C5" w14:textId="77777777">
      <w:pPr>
        <w:pStyle w:val="733"/>
      </w:pPr>
      <w:r w:rsidRPr="000F26CD">
        <w:rPr>
          <w:rStyle w:val="FootnoteReference0"/>
          <w:vertAlign w:val="baseline"/>
        </w:rPr>
        <w:footnoteRef/>
      </w:r>
      <w:r w:rsidRPr="000F26CD">
        <w:rPr>
          <w:rtl/>
        </w:rPr>
        <w:t xml:space="preserve"> </w:t>
      </w:r>
      <w:r w:rsidRPr="000F26CD">
        <w:rPr>
          <w:rtl/>
        </w:rPr>
        <w:tab/>
        <w:t xml:space="preserve">יחידה האחראית על הממשק בין שע"ם ללקוחותיו. </w:t>
      </w:r>
    </w:p>
  </w:footnote>
  <w:footnote w:id="4">
    <w:p w:rsidR="009E3CEC" w:rsidRPr="000F26CD" w:rsidP="004353F8" w14:paraId="195062D5" w14:textId="77777777">
      <w:pPr>
        <w:pStyle w:val="733"/>
        <w:rPr>
          <w:rtl/>
        </w:rPr>
      </w:pPr>
      <w:r w:rsidRPr="000F26CD">
        <w:rPr>
          <w:rStyle w:val="FootnoteReference0"/>
          <w:vertAlign w:val="baseline"/>
        </w:rPr>
        <w:footnoteRef/>
      </w:r>
      <w:r w:rsidRPr="000F26CD">
        <w:rPr>
          <w:rtl/>
        </w:rPr>
        <w:t xml:space="preserve"> </w:t>
      </w:r>
      <w:r w:rsidRPr="000F26CD">
        <w:rPr>
          <w:rtl/>
        </w:rPr>
        <w:tab/>
      </w:r>
      <w:r w:rsidRPr="000F26CD">
        <w:rPr>
          <w:rtl/>
        </w:rPr>
        <w:t xml:space="preserve">גוף פיתוח </w:t>
      </w:r>
      <w:r w:rsidRPr="000F26CD">
        <w:rPr>
          <w:rtl/>
        </w:rPr>
        <w:t>בשע"ם</w:t>
      </w:r>
      <w:r w:rsidRPr="000F26CD">
        <w:rPr>
          <w:rtl/>
        </w:rPr>
        <w:t xml:space="preserve"> שבו עובדים בעלי ידע בטכנולוגיות חדשות; הגוף פועל בשיטת פיתוח זריז - </w:t>
      </w:r>
      <w:r w:rsidRPr="000F26CD">
        <w:t>Agile</w:t>
      </w:r>
      <w:r w:rsidRPr="000F26CD">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26E6C08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47607" w:rsidR="00047607">
                            <w:rPr>
                              <w:rFonts w:ascii="Tahoma" w:hAnsi="Tahoma" w:cs="Tahoma"/>
                              <w:b/>
                              <w:bCs/>
                              <w:rtl/>
                            </w:rPr>
                            <w:t>פעילות יחידת שירות עיבודים ממוכנים ברשות המיסים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26E6C08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47607" w:rsidR="00047607">
                      <w:rPr>
                        <w:rFonts w:ascii="Tahoma" w:hAnsi="Tahoma" w:cs="Tahoma"/>
                        <w:b/>
                        <w:bCs/>
                        <w:rtl/>
                      </w:rPr>
                      <w:t>פעילות יחידת שירות עיבודים ממוכנים ברשות המיסים</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47CE823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5355BA" w:rsidR="005355BA">
                            <w:rPr>
                              <w:rFonts w:ascii="Tahoma" w:hAnsi="Tahoma" w:cs="Tahoma"/>
                              <w:color w:val="0D0D0D"/>
                              <w:sz w:val="16"/>
                              <w:szCs w:val="16"/>
                              <w:rtl/>
                            </w:rPr>
                            <w:t>נובמבר</w:t>
                          </w:r>
                          <w:r w:rsidR="005355BA">
                            <w:rPr>
                              <w:rFonts w:ascii="Tahoma" w:hAnsi="Tahoma" w:cs="Tahoma" w:hint="cs"/>
                              <w:color w:val="0D0D0D"/>
                              <w:sz w:val="16"/>
                              <w:szCs w:val="16"/>
                              <w:rtl/>
                            </w:rPr>
                            <w:t xml:space="preserve">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7CE823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5355BA" w:rsidR="005355BA">
                      <w:rPr>
                        <w:rFonts w:ascii="Tahoma" w:hAnsi="Tahoma" w:cs="Tahoma"/>
                        <w:color w:val="0D0D0D"/>
                        <w:sz w:val="16"/>
                        <w:szCs w:val="16"/>
                        <w:rtl/>
                      </w:rPr>
                      <w:t>נובמבר</w:t>
                    </w:r>
                    <w:r w:rsidR="005355BA">
                      <w:rPr>
                        <w:rFonts w:ascii="Tahoma" w:hAnsi="Tahoma" w:cs="Tahoma" w:hint="cs"/>
                        <w:color w:val="0D0D0D"/>
                        <w:sz w:val="16"/>
                        <w:szCs w:val="16"/>
                        <w:rtl/>
                      </w:rPr>
                      <w:t xml:space="preserve">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408FB8D">
                          <w:pPr>
                            <w:pStyle w:val="Heading1"/>
                            <w:spacing w:line="269" w:lineRule="auto"/>
                            <w:jc w:val="left"/>
                            <w:rPr>
                              <w:rFonts w:ascii="Tahoma" w:hAnsi="Tahoma" w:eastAsiaTheme="minorHAnsi" w:cs="Tahoma"/>
                              <w:bCs w:val="0"/>
                              <w:color w:val="0D0D0D" w:themeColor="text1" w:themeTint="F2"/>
                              <w:sz w:val="16"/>
                              <w:szCs w:val="16"/>
                              <w:u w:val="none"/>
                            </w:rPr>
                          </w:pPr>
                          <w:r w:rsidRPr="00047607">
                            <w:rPr>
                              <w:rFonts w:ascii="Tahoma" w:hAnsi="Tahoma" w:eastAsiaTheme="minorHAnsi" w:cs="Tahoma"/>
                              <w:bCs w:val="0"/>
                              <w:color w:val="0D0D0D" w:themeColor="text1" w:themeTint="F2"/>
                              <w:sz w:val="16"/>
                              <w:szCs w:val="16"/>
                              <w:u w:val="none"/>
                              <w:rtl/>
                            </w:rPr>
                            <w:t>פעילות יחידת שירות עיבודים ממוכנים ברשות המיסים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7408FB8D">
                    <w:pPr>
                      <w:pStyle w:val="Heading1"/>
                      <w:spacing w:line="269" w:lineRule="auto"/>
                      <w:jc w:val="left"/>
                      <w:rPr>
                        <w:rFonts w:ascii="Tahoma" w:hAnsi="Tahoma" w:eastAsiaTheme="minorHAnsi" w:cs="Tahoma"/>
                        <w:bCs w:val="0"/>
                        <w:color w:val="0D0D0D" w:themeColor="text1" w:themeTint="F2"/>
                        <w:sz w:val="16"/>
                        <w:szCs w:val="16"/>
                        <w:u w:val="none"/>
                      </w:rPr>
                    </w:pPr>
                    <w:r w:rsidRPr="00047607">
                      <w:rPr>
                        <w:rFonts w:ascii="Tahoma" w:hAnsi="Tahoma" w:eastAsiaTheme="minorHAnsi" w:cs="Tahoma"/>
                        <w:bCs w:val="0"/>
                        <w:color w:val="0D0D0D" w:themeColor="text1" w:themeTint="F2"/>
                        <w:sz w:val="16"/>
                        <w:szCs w:val="16"/>
                        <w:u w:val="none"/>
                        <w:rtl/>
                      </w:rPr>
                      <w:t>פעילות יחידת שירות עיבודים ממוכנים ברשות המיסים</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5B4811" w14:paraId="5009AC3C"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81792"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79744"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0B31AA"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70"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0768" stroked="f">
              <v:textbox>
                <w:txbxContent>
                  <w:p w:rsidR="000B31AA" w:rsidRPr="005B4811" w:rsidP="005B4811" w14:paraId="620D61BD"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77696"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17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0B31AA"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78720" stroked="f">
              <v:textbox style="mso-fit-shape-to-text:t">
                <w:txbxContent>
                  <w:p w:rsidR="000B31AA" w:rsidRPr="005B4811" w:rsidP="005B4811" w14:paraId="556FBA7E"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82816"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9"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913" w:rsidP="00D12913" w14:paraId="760B0883" w14:textId="77777777">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5"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12913" w:rsidRPr="00FD02CC" w:rsidP="00D12913"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D12913" w:rsidRPr="00FD02CC" w:rsidP="00D12913" w14:paraId="5380279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D12913" w:rsidP="00D12913" w14:paraId="20527C28" w14:textId="77777777">
    <w:pPr>
      <w:pStyle w:val="Header"/>
      <w:ind w:firstLine="720"/>
      <w:rPr>
        <w:rtl/>
      </w:rPr>
    </w:pPr>
  </w:p>
  <w:p w:rsidR="00D12913" w:rsidP="00D12913" w14:paraId="1771DA08" w14:textId="77777777">
    <w:pPr>
      <w:pStyle w:val="Header"/>
      <w:rPr>
        <w:rtl/>
      </w:rPr>
    </w:pPr>
  </w:p>
  <w:p w:rsidR="00D12913" w:rsidP="00D12913" w14:paraId="05C63409"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588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D12913" w:rsidRPr="003D62C4" w:rsidP="00D12913"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047607">
                            <w:rPr>
                              <w:rFonts w:ascii="Tahoma" w:hAnsi="Tahoma" w:eastAsiaTheme="minorHAnsi" w:cs="Tahoma"/>
                              <w:bCs w:val="0"/>
                              <w:color w:val="0D0D0D" w:themeColor="text1" w:themeTint="F2"/>
                              <w:sz w:val="16"/>
                              <w:szCs w:val="16"/>
                              <w:u w:val="none"/>
                              <w:rtl/>
                            </w:rPr>
                            <w:t>פעילות יחידת שירות עיבודים ממוכנים ברשות המיסים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686912" stroked="f">
              <v:textbox style="mso-fit-shape-to-text:t">
                <w:txbxContent>
                  <w:p w:rsidR="00D12913" w:rsidRPr="003D62C4" w:rsidP="00D12913" w14:paraId="767B5F7C"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047607">
                      <w:rPr>
                        <w:rFonts w:ascii="Tahoma" w:hAnsi="Tahoma" w:eastAsiaTheme="minorHAnsi" w:cs="Tahoma"/>
                        <w:bCs w:val="0"/>
                        <w:color w:val="0D0D0D" w:themeColor="text1" w:themeTint="F2"/>
                        <w:sz w:val="16"/>
                        <w:szCs w:val="16"/>
                        <w:u w:val="none"/>
                        <w:rtl/>
                      </w:rPr>
                      <w:t>פעילות יחידת שירות עיבודים ממוכנים ברשות המיסים</w:t>
                    </w:r>
                  </w:p>
                </w:txbxContent>
              </v:textbox>
              <w10:wrap type="square"/>
            </v:shape>
          </w:pict>
        </mc:Fallback>
      </mc:AlternateContent>
    </w:r>
  </w:p>
  <w:p w:rsidR="00D12913" w:rsidP="00D12913" w14:paraId="1FC6E98E" w14:textId="77777777">
    <w:pPr>
      <w:pStyle w:val="Header"/>
      <w:rPr>
        <w:rtl/>
      </w:rPr>
    </w:pPr>
    <w:r>
      <w:rPr>
        <w:rFonts w:ascii="Tahoma" w:hAnsi="Tahoma" w:cs="Tahoma"/>
        <w:noProof/>
        <w:color w:val="002060"/>
        <w:sz w:val="18"/>
        <w:szCs w:val="18"/>
      </w:rPr>
      <w:drawing>
        <wp:anchor distT="0" distB="0" distL="114300" distR="114300" simplePos="0" relativeHeight="251689984"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5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50"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2" style="flip:x;mso-height-percent:0;mso-height-relative:margin;mso-width-percent:0;mso-width-relative:margin;mso-wrap-distance-bottom:0;mso-wrap-distance-left:9pt;mso-wrap-distance-right:9pt;mso-wrap-distance-top:0;mso-wrap-style:square;position:absolute;visibility:visible;z-index:251684864" from="-109.7pt,27.8pt" to="367.9pt,27.8pt" strokecolor="#0d0d0d" strokeweight="0.25pt"/>
          </w:pict>
        </mc:Fallback>
      </mc:AlternateContent>
    </w:r>
  </w:p>
  <w:p w:rsidR="008B694B" w:rsidRPr="00D12913" w:rsidP="00D12913" w14:paraId="4E47EA6D" w14:textId="324E80B4">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pt;height:55.5pt" o:bullet="t">
        <v:imagedata r:id="rId1" o:title="yad-red"/>
      </v:shape>
    </w:pict>
  </w:numPicBullet>
  <w:abstractNum w:abstractNumId="0">
    <w:nsid w:val="0560561A"/>
    <w:multiLevelType w:val="hybridMultilevel"/>
    <w:tmpl w:val="C1C089B2"/>
    <w:lvl w:ilvl="0">
      <w:start w:val="5"/>
      <w:numFmt w:val="bullet"/>
      <w:lvlText w:val=""/>
      <w:lvlJc w:val="left"/>
      <w:pPr>
        <w:ind w:left="717" w:hanging="360"/>
      </w:pPr>
      <w:rPr>
        <w:rFonts w:ascii="Symbol" w:eastAsia="Calibri" w:hAnsi="Symbol" w:cs="David"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B862CE"/>
    <w:multiLevelType w:val="hybridMultilevel"/>
    <w:tmpl w:val="52749526"/>
    <w:lvl w:ilvl="0">
      <w:start w:val="1"/>
      <w:numFmt w:val="bullet"/>
      <w:lvlText w:val=""/>
      <w:lvlJc w:val="left"/>
      <w:pPr>
        <w:ind w:left="717" w:hanging="360"/>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275B04D2"/>
    <w:multiLevelType w:val="hybridMultilevel"/>
    <w:tmpl w:val="5E288A3E"/>
    <w:lvl w:ilvl="0">
      <w:start w:val="1"/>
      <w:numFmt w:val="bullet"/>
      <w:lvlText w:val=""/>
      <w:lvlJc w:val="left"/>
      <w:pPr>
        <w:ind w:left="723" w:hanging="360"/>
      </w:pPr>
      <w:rPr>
        <w:rFonts w:ascii="Symbol" w:hAnsi="Symbol" w:hint="default"/>
        <w:color w:val="auto"/>
        <w:sz w:val="18"/>
        <w:szCs w:val="1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BCB4D9B"/>
    <w:multiLevelType w:val="hybridMultilevel"/>
    <w:tmpl w:val="93BAACF0"/>
    <w:lvl w:ilvl="0">
      <w:start w:val="1"/>
      <w:numFmt w:val="bullet"/>
      <w:lvlText w:val=""/>
      <w:lvlJc w:val="left"/>
      <w:pPr>
        <w:ind w:left="723" w:hanging="360"/>
      </w:pPr>
      <w:rPr>
        <w:rFonts w:ascii="Symbol" w:hAnsi="Symbol" w:hint="default"/>
        <w:color w:val="auto"/>
        <w:sz w:val="18"/>
        <w:szCs w:val="18"/>
      </w:rPr>
    </w:lvl>
    <w:lvl w:ilvl="1">
      <w:start w:val="1"/>
      <w:numFmt w:val="bullet"/>
      <w:lvlText w:val="o"/>
      <w:lvlJc w:val="left"/>
      <w:pPr>
        <w:ind w:left="873" w:hanging="360"/>
      </w:pPr>
      <w:rPr>
        <w:rFonts w:ascii="Courier New" w:hAnsi="Courier New" w:cs="Courier New" w:hint="default"/>
      </w:rPr>
    </w:lvl>
    <w:lvl w:ilvl="2" w:tentative="1">
      <w:start w:val="1"/>
      <w:numFmt w:val="bullet"/>
      <w:lvlText w:val=""/>
      <w:lvlJc w:val="left"/>
      <w:pPr>
        <w:ind w:left="1593" w:hanging="360"/>
      </w:pPr>
      <w:rPr>
        <w:rFonts w:ascii="Wingdings" w:hAnsi="Wingdings" w:hint="default"/>
      </w:rPr>
    </w:lvl>
    <w:lvl w:ilvl="3" w:tentative="1">
      <w:start w:val="1"/>
      <w:numFmt w:val="bullet"/>
      <w:lvlText w:val=""/>
      <w:lvlJc w:val="left"/>
      <w:pPr>
        <w:ind w:left="2313" w:hanging="360"/>
      </w:pPr>
      <w:rPr>
        <w:rFonts w:ascii="Symbol" w:hAnsi="Symbol" w:hint="default"/>
      </w:rPr>
    </w:lvl>
    <w:lvl w:ilvl="4" w:tentative="1">
      <w:start w:val="1"/>
      <w:numFmt w:val="bullet"/>
      <w:lvlText w:val="o"/>
      <w:lvlJc w:val="left"/>
      <w:pPr>
        <w:ind w:left="3033" w:hanging="360"/>
      </w:pPr>
      <w:rPr>
        <w:rFonts w:ascii="Courier New" w:hAnsi="Courier New" w:cs="Courier New" w:hint="default"/>
      </w:rPr>
    </w:lvl>
    <w:lvl w:ilvl="5" w:tentative="1">
      <w:start w:val="1"/>
      <w:numFmt w:val="bullet"/>
      <w:lvlText w:val=""/>
      <w:lvlJc w:val="left"/>
      <w:pPr>
        <w:ind w:left="3753" w:hanging="360"/>
      </w:pPr>
      <w:rPr>
        <w:rFonts w:ascii="Wingdings" w:hAnsi="Wingdings" w:hint="default"/>
      </w:rPr>
    </w:lvl>
    <w:lvl w:ilvl="6" w:tentative="1">
      <w:start w:val="1"/>
      <w:numFmt w:val="bullet"/>
      <w:lvlText w:val=""/>
      <w:lvlJc w:val="left"/>
      <w:pPr>
        <w:ind w:left="4473" w:hanging="360"/>
      </w:pPr>
      <w:rPr>
        <w:rFonts w:ascii="Symbol" w:hAnsi="Symbol" w:hint="default"/>
      </w:rPr>
    </w:lvl>
    <w:lvl w:ilvl="7" w:tentative="1">
      <w:start w:val="1"/>
      <w:numFmt w:val="bullet"/>
      <w:lvlText w:val="o"/>
      <w:lvlJc w:val="left"/>
      <w:pPr>
        <w:ind w:left="5193" w:hanging="360"/>
      </w:pPr>
      <w:rPr>
        <w:rFonts w:ascii="Courier New" w:hAnsi="Courier New" w:cs="Courier New" w:hint="default"/>
      </w:rPr>
    </w:lvl>
    <w:lvl w:ilvl="8" w:tentative="1">
      <w:start w:val="1"/>
      <w:numFmt w:val="bullet"/>
      <w:lvlText w:val=""/>
      <w:lvlJc w:val="left"/>
      <w:pPr>
        <w:ind w:left="5913" w:hanging="360"/>
      </w:pPr>
      <w:rPr>
        <w:rFonts w:ascii="Wingdings" w:hAnsi="Wingdings" w:hint="default"/>
      </w:rPr>
    </w:lvl>
  </w:abstractNum>
  <w:abstractNum w:abstractNumId="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477E7C17"/>
    <w:multiLevelType w:val="hybridMultilevel"/>
    <w:tmpl w:val="1E90FFA2"/>
    <w:lvl w:ilvl="0">
      <w:start w:val="1"/>
      <w:numFmt w:val="bullet"/>
      <w:lvlText w:val=""/>
      <w:lvlPicBulletId w:val="0"/>
      <w:lvlJc w:val="left"/>
      <w:pPr>
        <w:ind w:left="360" w:hanging="360"/>
      </w:pPr>
      <w:rPr>
        <w:rFonts w:ascii="Symbol" w:hAnsi="Symbol" w:hint="default"/>
        <w:color w:val="auto"/>
        <w:sz w:val="30"/>
        <w:szCs w:val="30"/>
      </w:rPr>
    </w:lvl>
    <w:lvl w:ilvl="1">
      <w:start w:val="1"/>
      <w:numFmt w:val="bullet"/>
      <w:lvlText w:val="o"/>
      <w:lvlJc w:val="left"/>
      <w:pPr>
        <w:ind w:left="1080" w:hanging="377"/>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4">
    <w:nsid w:val="5FD07B3B"/>
    <w:multiLevelType w:val="hybridMultilevel"/>
    <w:tmpl w:val="3A4E13FE"/>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center"/>
      <w:pPr>
        <w:ind w:left="1080" w:hanging="360"/>
      </w:pPr>
      <w:rPr>
        <w:b w:val="0"/>
        <w:bCs w:val="0"/>
        <w:i w:val="0"/>
        <w:iCs w:val="0"/>
        <w:sz w:val="24"/>
        <w:szCs w:val="24"/>
      </w:rPr>
    </w:lvl>
    <w:lvl w:ilvl="2">
      <w:start w:val="1"/>
      <w:numFmt w:val="decimal"/>
      <w:pStyle w:val="35"/>
      <w:lvlText w:val="%3)"/>
      <w:lvlJc w:val="left"/>
      <w:pPr>
        <w:ind w:left="1800" w:hanging="180"/>
      </w:pPr>
      <w:rPr>
        <w:b w:val="0"/>
        <w:bCs w:val="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1CA44D6"/>
    <w:multiLevelType w:val="hybridMultilevel"/>
    <w:tmpl w:val="8864F744"/>
    <w:lvl w:ilvl="0">
      <w:start w:val="1"/>
      <w:numFmt w:val="bullet"/>
      <w:lvlText w:val=""/>
      <w:lvlJc w:val="left"/>
      <w:pPr>
        <w:ind w:left="723" w:hanging="360"/>
      </w:pPr>
      <w:rPr>
        <w:rFonts w:ascii="Symbol" w:hAnsi="Symbol" w:hint="default"/>
        <w:color w:val="auto"/>
        <w:sz w:val="18"/>
        <w:szCs w:val="18"/>
      </w:rPr>
    </w:lvl>
    <w:lvl w:ilvl="1">
      <w:start w:val="1"/>
      <w:numFmt w:val="bullet"/>
      <w:lvlText w:val="o"/>
      <w:lvlJc w:val="left"/>
      <w:pPr>
        <w:ind w:left="1148" w:hanging="360"/>
      </w:pPr>
      <w:rPr>
        <w:rFonts w:ascii="Courier New" w:hAnsi="Courier New" w:cs="Courier New" w:hint="default"/>
      </w:rPr>
    </w:lvl>
    <w:lvl w:ilvl="2" w:tentative="1">
      <w:start w:val="1"/>
      <w:numFmt w:val="bullet"/>
      <w:lvlText w:val=""/>
      <w:lvlJc w:val="left"/>
      <w:pPr>
        <w:ind w:left="1868" w:hanging="360"/>
      </w:pPr>
      <w:rPr>
        <w:rFonts w:ascii="Wingdings" w:hAnsi="Wingdings" w:hint="default"/>
      </w:rPr>
    </w:lvl>
    <w:lvl w:ilvl="3" w:tentative="1">
      <w:start w:val="1"/>
      <w:numFmt w:val="bullet"/>
      <w:lvlText w:val=""/>
      <w:lvlJc w:val="left"/>
      <w:pPr>
        <w:ind w:left="2588" w:hanging="360"/>
      </w:pPr>
      <w:rPr>
        <w:rFonts w:ascii="Symbol" w:hAnsi="Symbol" w:hint="default"/>
      </w:rPr>
    </w:lvl>
    <w:lvl w:ilvl="4" w:tentative="1">
      <w:start w:val="1"/>
      <w:numFmt w:val="bullet"/>
      <w:lvlText w:val="o"/>
      <w:lvlJc w:val="left"/>
      <w:pPr>
        <w:ind w:left="3308" w:hanging="360"/>
      </w:pPr>
      <w:rPr>
        <w:rFonts w:ascii="Courier New" w:hAnsi="Courier New" w:cs="Courier New" w:hint="default"/>
      </w:rPr>
    </w:lvl>
    <w:lvl w:ilvl="5" w:tentative="1">
      <w:start w:val="1"/>
      <w:numFmt w:val="bullet"/>
      <w:lvlText w:val=""/>
      <w:lvlJc w:val="left"/>
      <w:pPr>
        <w:ind w:left="4028" w:hanging="360"/>
      </w:pPr>
      <w:rPr>
        <w:rFonts w:ascii="Wingdings" w:hAnsi="Wingdings" w:hint="default"/>
      </w:rPr>
    </w:lvl>
    <w:lvl w:ilvl="6" w:tentative="1">
      <w:start w:val="1"/>
      <w:numFmt w:val="bullet"/>
      <w:lvlText w:val=""/>
      <w:lvlJc w:val="left"/>
      <w:pPr>
        <w:ind w:left="4748" w:hanging="360"/>
      </w:pPr>
      <w:rPr>
        <w:rFonts w:ascii="Symbol" w:hAnsi="Symbol" w:hint="default"/>
      </w:rPr>
    </w:lvl>
    <w:lvl w:ilvl="7" w:tentative="1">
      <w:start w:val="1"/>
      <w:numFmt w:val="bullet"/>
      <w:lvlText w:val="o"/>
      <w:lvlJc w:val="left"/>
      <w:pPr>
        <w:ind w:left="5468" w:hanging="360"/>
      </w:pPr>
      <w:rPr>
        <w:rFonts w:ascii="Courier New" w:hAnsi="Courier New" w:cs="Courier New" w:hint="default"/>
      </w:rPr>
    </w:lvl>
    <w:lvl w:ilvl="8" w:tentative="1">
      <w:start w:val="1"/>
      <w:numFmt w:val="bullet"/>
      <w:lvlText w:val=""/>
      <w:lvlJc w:val="left"/>
      <w:pPr>
        <w:ind w:left="6188" w:hanging="360"/>
      </w:pPr>
      <w:rPr>
        <w:rFonts w:ascii="Wingdings" w:hAnsi="Wingdings" w:hint="default"/>
      </w:rPr>
    </w:lvl>
  </w:abstractNum>
  <w:abstractNum w:abstractNumId="16">
    <w:nsid w:val="75B45C3A"/>
    <w:multiLevelType w:val="hybridMultilevel"/>
    <w:tmpl w:val="E32CA738"/>
    <w:lvl w:ilvl="0">
      <w:start w:val="1"/>
      <w:numFmt w:val="bullet"/>
      <w:lvlText w:val=""/>
      <w:lvlJc w:val="left"/>
      <w:pPr>
        <w:ind w:left="705" w:hanging="348"/>
      </w:pPr>
      <w:rPr>
        <w:rFonts w:ascii="Symbol" w:hAnsi="Symbol" w:hint="default"/>
        <w:color w:val="auto"/>
        <w:sz w:val="18"/>
        <w:szCs w:val="1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8">
    <w:nsid w:val="7E6959D7"/>
    <w:multiLevelType w:val="hybridMultilevel"/>
    <w:tmpl w:val="50F08B08"/>
    <w:lvl w:ilvl="0">
      <w:start w:val="1"/>
      <w:numFmt w:val="bullet"/>
      <w:lvlText w:val=""/>
      <w:lvlJc w:val="left"/>
      <w:pPr>
        <w:ind w:left="717" w:hanging="354"/>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7"/>
  </w:num>
  <w:num w:numId="5">
    <w:abstractNumId w:val="8"/>
  </w:num>
  <w:num w:numId="6">
    <w:abstractNumId w:val="17"/>
  </w:num>
  <w:num w:numId="7">
    <w:abstractNumId w:val="1"/>
  </w:num>
  <w:num w:numId="8">
    <w:abstractNumId w:val="10"/>
  </w:num>
  <w:num w:numId="9">
    <w:abstractNumId w:val="13"/>
  </w:num>
  <w:num w:numId="10">
    <w:abstractNumId w:val="2"/>
  </w:num>
  <w:num w:numId="11">
    <w:abstractNumId w:val="0"/>
  </w:num>
  <w:num w:numId="12">
    <w:abstractNumId w:val="14"/>
  </w:num>
  <w:num w:numId="13">
    <w:abstractNumId w:val="11"/>
  </w:num>
  <w:num w:numId="14">
    <w:abstractNumId w:val="16"/>
  </w:num>
  <w:num w:numId="15">
    <w:abstractNumId w:val="3"/>
  </w:num>
  <w:num w:numId="16">
    <w:abstractNumId w:val="18"/>
  </w:num>
  <w:num w:numId="17">
    <w:abstractNumId w:val="15"/>
  </w:num>
  <w:num w:numId="18">
    <w:abstractNumId w:val="6"/>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9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6E77"/>
    <w:rsid w:val="000071AD"/>
    <w:rsid w:val="000100D8"/>
    <w:rsid w:val="0001014C"/>
    <w:rsid w:val="000107D8"/>
    <w:rsid w:val="00011BFC"/>
    <w:rsid w:val="00011DF7"/>
    <w:rsid w:val="00012269"/>
    <w:rsid w:val="00012487"/>
    <w:rsid w:val="00012657"/>
    <w:rsid w:val="00012A18"/>
    <w:rsid w:val="00012B3A"/>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39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607"/>
    <w:rsid w:val="00047976"/>
    <w:rsid w:val="00047A92"/>
    <w:rsid w:val="00047CF6"/>
    <w:rsid w:val="000501A4"/>
    <w:rsid w:val="000501DF"/>
    <w:rsid w:val="00050419"/>
    <w:rsid w:val="00050995"/>
    <w:rsid w:val="00050BDE"/>
    <w:rsid w:val="00050DDE"/>
    <w:rsid w:val="0005218A"/>
    <w:rsid w:val="00052281"/>
    <w:rsid w:val="00052A8C"/>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5270"/>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7FE"/>
    <w:rsid w:val="00084E3A"/>
    <w:rsid w:val="00085086"/>
    <w:rsid w:val="00085A22"/>
    <w:rsid w:val="00085B99"/>
    <w:rsid w:val="0008625B"/>
    <w:rsid w:val="00086738"/>
    <w:rsid w:val="00086BCD"/>
    <w:rsid w:val="00087176"/>
    <w:rsid w:val="00087686"/>
    <w:rsid w:val="000901C8"/>
    <w:rsid w:val="0009042C"/>
    <w:rsid w:val="00090633"/>
    <w:rsid w:val="000907D0"/>
    <w:rsid w:val="00091392"/>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117"/>
    <w:rsid w:val="000A134E"/>
    <w:rsid w:val="000A1533"/>
    <w:rsid w:val="000A15B1"/>
    <w:rsid w:val="000A1610"/>
    <w:rsid w:val="000A22CF"/>
    <w:rsid w:val="000A26F1"/>
    <w:rsid w:val="000A2BD8"/>
    <w:rsid w:val="000A3690"/>
    <w:rsid w:val="000A3E74"/>
    <w:rsid w:val="000A3ED4"/>
    <w:rsid w:val="000A41E2"/>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646"/>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834"/>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6CD"/>
    <w:rsid w:val="000F2A10"/>
    <w:rsid w:val="000F2E36"/>
    <w:rsid w:val="000F2F7E"/>
    <w:rsid w:val="000F3700"/>
    <w:rsid w:val="000F38D3"/>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4EF"/>
    <w:rsid w:val="0011483D"/>
    <w:rsid w:val="00114C7A"/>
    <w:rsid w:val="00114E4E"/>
    <w:rsid w:val="00115432"/>
    <w:rsid w:val="001157CE"/>
    <w:rsid w:val="00115E66"/>
    <w:rsid w:val="00116816"/>
    <w:rsid w:val="00116E1B"/>
    <w:rsid w:val="001172DF"/>
    <w:rsid w:val="00117408"/>
    <w:rsid w:val="00117C0E"/>
    <w:rsid w:val="00117DC2"/>
    <w:rsid w:val="00120B89"/>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3F35"/>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56E"/>
    <w:rsid w:val="001637C1"/>
    <w:rsid w:val="001639FB"/>
    <w:rsid w:val="00163D00"/>
    <w:rsid w:val="001643E4"/>
    <w:rsid w:val="00164534"/>
    <w:rsid w:val="001648F4"/>
    <w:rsid w:val="00164B64"/>
    <w:rsid w:val="00164C99"/>
    <w:rsid w:val="00165294"/>
    <w:rsid w:val="00165950"/>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CB2"/>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49B"/>
    <w:rsid w:val="001D461F"/>
    <w:rsid w:val="001D46D3"/>
    <w:rsid w:val="001D544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E7F63"/>
    <w:rsid w:val="001F068F"/>
    <w:rsid w:val="001F0BBB"/>
    <w:rsid w:val="001F0DE8"/>
    <w:rsid w:val="001F209B"/>
    <w:rsid w:val="001F2E3B"/>
    <w:rsid w:val="001F3363"/>
    <w:rsid w:val="001F3815"/>
    <w:rsid w:val="001F4057"/>
    <w:rsid w:val="001F407D"/>
    <w:rsid w:val="001F4183"/>
    <w:rsid w:val="001F53CE"/>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5BE"/>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2FAD"/>
    <w:rsid w:val="002237A5"/>
    <w:rsid w:val="00224723"/>
    <w:rsid w:val="002248C1"/>
    <w:rsid w:val="00224AFB"/>
    <w:rsid w:val="00224C04"/>
    <w:rsid w:val="00224EF7"/>
    <w:rsid w:val="002251A4"/>
    <w:rsid w:val="00225489"/>
    <w:rsid w:val="00225718"/>
    <w:rsid w:val="00225CAE"/>
    <w:rsid w:val="00225E16"/>
    <w:rsid w:val="0022615B"/>
    <w:rsid w:val="002263E1"/>
    <w:rsid w:val="00226528"/>
    <w:rsid w:val="0022685E"/>
    <w:rsid w:val="00226C31"/>
    <w:rsid w:val="0022705A"/>
    <w:rsid w:val="00227BBA"/>
    <w:rsid w:val="00227E88"/>
    <w:rsid w:val="0023004B"/>
    <w:rsid w:val="002301B6"/>
    <w:rsid w:val="00230B94"/>
    <w:rsid w:val="00230DB3"/>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4D6"/>
    <w:rsid w:val="00241958"/>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3E"/>
    <w:rsid w:val="002739B2"/>
    <w:rsid w:val="00273FDF"/>
    <w:rsid w:val="0027424D"/>
    <w:rsid w:val="00275141"/>
    <w:rsid w:val="00275330"/>
    <w:rsid w:val="002753C7"/>
    <w:rsid w:val="00275A79"/>
    <w:rsid w:val="002763F9"/>
    <w:rsid w:val="00276D55"/>
    <w:rsid w:val="00277114"/>
    <w:rsid w:val="002774D4"/>
    <w:rsid w:val="0028138F"/>
    <w:rsid w:val="002813A0"/>
    <w:rsid w:val="00281848"/>
    <w:rsid w:val="00281F46"/>
    <w:rsid w:val="00282151"/>
    <w:rsid w:val="00282C5A"/>
    <w:rsid w:val="00282D4B"/>
    <w:rsid w:val="00283FFC"/>
    <w:rsid w:val="002841CB"/>
    <w:rsid w:val="00284ABA"/>
    <w:rsid w:val="00284B06"/>
    <w:rsid w:val="00285362"/>
    <w:rsid w:val="00285B61"/>
    <w:rsid w:val="00285EC0"/>
    <w:rsid w:val="002862BC"/>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5AB3"/>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B7D91"/>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5F05"/>
    <w:rsid w:val="002D65CF"/>
    <w:rsid w:val="002D6964"/>
    <w:rsid w:val="002D69A4"/>
    <w:rsid w:val="002D6DBD"/>
    <w:rsid w:val="002D6EF5"/>
    <w:rsid w:val="002D79C7"/>
    <w:rsid w:val="002D7F23"/>
    <w:rsid w:val="002E0151"/>
    <w:rsid w:val="002E01CC"/>
    <w:rsid w:val="002E07C7"/>
    <w:rsid w:val="002E0A57"/>
    <w:rsid w:val="002E160F"/>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4C95"/>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5FE"/>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B2"/>
    <w:rsid w:val="003640C2"/>
    <w:rsid w:val="00364581"/>
    <w:rsid w:val="003647C7"/>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4"/>
    <w:rsid w:val="003A769E"/>
    <w:rsid w:val="003A780A"/>
    <w:rsid w:val="003A7F68"/>
    <w:rsid w:val="003B0B84"/>
    <w:rsid w:val="003B0BB0"/>
    <w:rsid w:val="003B0E50"/>
    <w:rsid w:val="003B1053"/>
    <w:rsid w:val="003B166B"/>
    <w:rsid w:val="003B1F61"/>
    <w:rsid w:val="003B23BE"/>
    <w:rsid w:val="003B30AD"/>
    <w:rsid w:val="003B376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758"/>
    <w:rsid w:val="00401ED1"/>
    <w:rsid w:val="00402817"/>
    <w:rsid w:val="004029B9"/>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2A27"/>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3F8"/>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332"/>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076"/>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3FF"/>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424"/>
    <w:rsid w:val="004E0BE3"/>
    <w:rsid w:val="004E0E03"/>
    <w:rsid w:val="004E0F37"/>
    <w:rsid w:val="004E13FA"/>
    <w:rsid w:val="004E1450"/>
    <w:rsid w:val="004E1AA9"/>
    <w:rsid w:val="004E1D0E"/>
    <w:rsid w:val="004E1DB7"/>
    <w:rsid w:val="004E1FE7"/>
    <w:rsid w:val="004E221D"/>
    <w:rsid w:val="004E229B"/>
    <w:rsid w:val="004E2601"/>
    <w:rsid w:val="004E2AAD"/>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8B2"/>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6F"/>
    <w:rsid w:val="00510973"/>
    <w:rsid w:val="00510A6C"/>
    <w:rsid w:val="00510D89"/>
    <w:rsid w:val="00511F6D"/>
    <w:rsid w:val="005125A5"/>
    <w:rsid w:val="00512DCB"/>
    <w:rsid w:val="00512E01"/>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3F13"/>
    <w:rsid w:val="00534021"/>
    <w:rsid w:val="005342AA"/>
    <w:rsid w:val="00534623"/>
    <w:rsid w:val="005346A1"/>
    <w:rsid w:val="00534A74"/>
    <w:rsid w:val="00534EB1"/>
    <w:rsid w:val="005352B7"/>
    <w:rsid w:val="005355BA"/>
    <w:rsid w:val="00535691"/>
    <w:rsid w:val="00535B83"/>
    <w:rsid w:val="00535D72"/>
    <w:rsid w:val="00536216"/>
    <w:rsid w:val="0053634C"/>
    <w:rsid w:val="005364E8"/>
    <w:rsid w:val="005369F8"/>
    <w:rsid w:val="00536D35"/>
    <w:rsid w:val="005372F8"/>
    <w:rsid w:val="005373BF"/>
    <w:rsid w:val="005379CF"/>
    <w:rsid w:val="005379F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8B"/>
    <w:rsid w:val="005608B2"/>
    <w:rsid w:val="0056099A"/>
    <w:rsid w:val="00560A43"/>
    <w:rsid w:val="00560FD3"/>
    <w:rsid w:val="00561000"/>
    <w:rsid w:val="00561471"/>
    <w:rsid w:val="0056270E"/>
    <w:rsid w:val="00562ECE"/>
    <w:rsid w:val="00563749"/>
    <w:rsid w:val="00563AA0"/>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29"/>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4C90"/>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71"/>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0C3A"/>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BD6"/>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0FCF"/>
    <w:rsid w:val="00611216"/>
    <w:rsid w:val="006112E4"/>
    <w:rsid w:val="006113B9"/>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67DEE"/>
    <w:rsid w:val="006708C9"/>
    <w:rsid w:val="00670B88"/>
    <w:rsid w:val="00670E84"/>
    <w:rsid w:val="00671904"/>
    <w:rsid w:val="0067240D"/>
    <w:rsid w:val="006726E0"/>
    <w:rsid w:val="006729DF"/>
    <w:rsid w:val="00672BE3"/>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87AD8"/>
    <w:rsid w:val="0069093D"/>
    <w:rsid w:val="00690E56"/>
    <w:rsid w:val="00691B4D"/>
    <w:rsid w:val="00692056"/>
    <w:rsid w:val="00692151"/>
    <w:rsid w:val="0069225F"/>
    <w:rsid w:val="006923B1"/>
    <w:rsid w:val="0069249C"/>
    <w:rsid w:val="00692613"/>
    <w:rsid w:val="00692D8D"/>
    <w:rsid w:val="0069335D"/>
    <w:rsid w:val="00694A48"/>
    <w:rsid w:val="00694C3C"/>
    <w:rsid w:val="00696ADE"/>
    <w:rsid w:val="0069765A"/>
    <w:rsid w:val="00697E8B"/>
    <w:rsid w:val="006A040F"/>
    <w:rsid w:val="006A04FC"/>
    <w:rsid w:val="006A0863"/>
    <w:rsid w:val="006A1039"/>
    <w:rsid w:val="006A1952"/>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182"/>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56F"/>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2B6"/>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6C47"/>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1E45"/>
    <w:rsid w:val="0072219B"/>
    <w:rsid w:val="00722424"/>
    <w:rsid w:val="0072288D"/>
    <w:rsid w:val="00722DED"/>
    <w:rsid w:val="00722EEE"/>
    <w:rsid w:val="00722F08"/>
    <w:rsid w:val="00722F8A"/>
    <w:rsid w:val="00723C1D"/>
    <w:rsid w:val="00723CC5"/>
    <w:rsid w:val="007240CE"/>
    <w:rsid w:val="007244C8"/>
    <w:rsid w:val="00724A11"/>
    <w:rsid w:val="00724B22"/>
    <w:rsid w:val="00725154"/>
    <w:rsid w:val="007253B8"/>
    <w:rsid w:val="007255AF"/>
    <w:rsid w:val="0072589E"/>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867"/>
    <w:rsid w:val="00756E22"/>
    <w:rsid w:val="00756E3A"/>
    <w:rsid w:val="0075719C"/>
    <w:rsid w:val="007574FF"/>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3D0"/>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3E4"/>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858"/>
    <w:rsid w:val="007D4F9F"/>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6C91"/>
    <w:rsid w:val="00827841"/>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0AB5"/>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C55"/>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BA7"/>
    <w:rsid w:val="00852CAB"/>
    <w:rsid w:val="0085318D"/>
    <w:rsid w:val="008535F5"/>
    <w:rsid w:val="00853A58"/>
    <w:rsid w:val="008547B9"/>
    <w:rsid w:val="008565BC"/>
    <w:rsid w:val="00856648"/>
    <w:rsid w:val="00856A67"/>
    <w:rsid w:val="00856B26"/>
    <w:rsid w:val="00856B71"/>
    <w:rsid w:val="00856C36"/>
    <w:rsid w:val="00856C93"/>
    <w:rsid w:val="008573F9"/>
    <w:rsid w:val="00857485"/>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91C"/>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B7BCD"/>
    <w:rsid w:val="008B7D2F"/>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648"/>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6B"/>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BD8"/>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557F"/>
    <w:rsid w:val="00996FFF"/>
    <w:rsid w:val="009974A8"/>
    <w:rsid w:val="009975C9"/>
    <w:rsid w:val="009A04A0"/>
    <w:rsid w:val="009A0A09"/>
    <w:rsid w:val="009A0A9F"/>
    <w:rsid w:val="009A1489"/>
    <w:rsid w:val="009A245B"/>
    <w:rsid w:val="009A24A2"/>
    <w:rsid w:val="009A2516"/>
    <w:rsid w:val="009A2845"/>
    <w:rsid w:val="009A287F"/>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1A4"/>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3CEC"/>
    <w:rsid w:val="009E41D0"/>
    <w:rsid w:val="009E47B9"/>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28D"/>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0E2"/>
    <w:rsid w:val="00A25467"/>
    <w:rsid w:val="00A2551C"/>
    <w:rsid w:val="00A25C16"/>
    <w:rsid w:val="00A2617B"/>
    <w:rsid w:val="00A264EE"/>
    <w:rsid w:val="00A27672"/>
    <w:rsid w:val="00A27DBB"/>
    <w:rsid w:val="00A27EBC"/>
    <w:rsid w:val="00A27EF7"/>
    <w:rsid w:val="00A30028"/>
    <w:rsid w:val="00A301EF"/>
    <w:rsid w:val="00A3040F"/>
    <w:rsid w:val="00A30C92"/>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711"/>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716"/>
    <w:rsid w:val="00AA4B32"/>
    <w:rsid w:val="00AA4CFF"/>
    <w:rsid w:val="00AA4D52"/>
    <w:rsid w:val="00AA4F04"/>
    <w:rsid w:val="00AA5773"/>
    <w:rsid w:val="00AA60AB"/>
    <w:rsid w:val="00AA6669"/>
    <w:rsid w:val="00AA690A"/>
    <w:rsid w:val="00AA6AB3"/>
    <w:rsid w:val="00AA6D26"/>
    <w:rsid w:val="00AA74C0"/>
    <w:rsid w:val="00AA7764"/>
    <w:rsid w:val="00AB0541"/>
    <w:rsid w:val="00AB09EE"/>
    <w:rsid w:val="00AB1065"/>
    <w:rsid w:val="00AB1717"/>
    <w:rsid w:val="00AB19B4"/>
    <w:rsid w:val="00AB2400"/>
    <w:rsid w:val="00AB25DF"/>
    <w:rsid w:val="00AB2FCB"/>
    <w:rsid w:val="00AB328F"/>
    <w:rsid w:val="00AB4DCD"/>
    <w:rsid w:val="00AB4F87"/>
    <w:rsid w:val="00AB5377"/>
    <w:rsid w:val="00AB5B77"/>
    <w:rsid w:val="00AB5C15"/>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67"/>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0D"/>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1B4"/>
    <w:rsid w:val="00B04817"/>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5E77"/>
    <w:rsid w:val="00B366E5"/>
    <w:rsid w:val="00B36B6D"/>
    <w:rsid w:val="00B3756E"/>
    <w:rsid w:val="00B401AE"/>
    <w:rsid w:val="00B402BB"/>
    <w:rsid w:val="00B403A3"/>
    <w:rsid w:val="00B414AF"/>
    <w:rsid w:val="00B41708"/>
    <w:rsid w:val="00B4206F"/>
    <w:rsid w:val="00B42998"/>
    <w:rsid w:val="00B42DF1"/>
    <w:rsid w:val="00B4301A"/>
    <w:rsid w:val="00B434F0"/>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636"/>
    <w:rsid w:val="00B707AF"/>
    <w:rsid w:val="00B70882"/>
    <w:rsid w:val="00B709B8"/>
    <w:rsid w:val="00B72D75"/>
    <w:rsid w:val="00B72F97"/>
    <w:rsid w:val="00B741EF"/>
    <w:rsid w:val="00B743E0"/>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2611"/>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2DD7"/>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45D"/>
    <w:rsid w:val="00C0264E"/>
    <w:rsid w:val="00C03CC9"/>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5BE"/>
    <w:rsid w:val="00C26EDD"/>
    <w:rsid w:val="00C27400"/>
    <w:rsid w:val="00C27BF6"/>
    <w:rsid w:val="00C27C80"/>
    <w:rsid w:val="00C27C9C"/>
    <w:rsid w:val="00C30482"/>
    <w:rsid w:val="00C30577"/>
    <w:rsid w:val="00C30B3D"/>
    <w:rsid w:val="00C30BEF"/>
    <w:rsid w:val="00C30D62"/>
    <w:rsid w:val="00C30DC6"/>
    <w:rsid w:val="00C31631"/>
    <w:rsid w:val="00C31684"/>
    <w:rsid w:val="00C316BC"/>
    <w:rsid w:val="00C31E72"/>
    <w:rsid w:val="00C32004"/>
    <w:rsid w:val="00C323BD"/>
    <w:rsid w:val="00C326FE"/>
    <w:rsid w:val="00C32DB9"/>
    <w:rsid w:val="00C33180"/>
    <w:rsid w:val="00C33462"/>
    <w:rsid w:val="00C33AE2"/>
    <w:rsid w:val="00C34138"/>
    <w:rsid w:val="00C34324"/>
    <w:rsid w:val="00C344E9"/>
    <w:rsid w:val="00C3492B"/>
    <w:rsid w:val="00C34B08"/>
    <w:rsid w:val="00C3521D"/>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408"/>
    <w:rsid w:val="00C70669"/>
    <w:rsid w:val="00C707E1"/>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7F8"/>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656"/>
    <w:rsid w:val="00CA0837"/>
    <w:rsid w:val="00CA0BD9"/>
    <w:rsid w:val="00CA11E9"/>
    <w:rsid w:val="00CA12B2"/>
    <w:rsid w:val="00CA14DD"/>
    <w:rsid w:val="00CA20C7"/>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2958"/>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350"/>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B08"/>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913"/>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48A"/>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4EF"/>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725"/>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BD1"/>
    <w:rsid w:val="00D81F77"/>
    <w:rsid w:val="00D828DF"/>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958"/>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34C"/>
    <w:rsid w:val="00D9778A"/>
    <w:rsid w:val="00D97B59"/>
    <w:rsid w:val="00D97C16"/>
    <w:rsid w:val="00D97D49"/>
    <w:rsid w:val="00DA025F"/>
    <w:rsid w:val="00DA04E9"/>
    <w:rsid w:val="00DA0755"/>
    <w:rsid w:val="00DA08A5"/>
    <w:rsid w:val="00DA1D77"/>
    <w:rsid w:val="00DA23AB"/>
    <w:rsid w:val="00DA2621"/>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1B1"/>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92"/>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0B0"/>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0D3"/>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8AC"/>
    <w:rsid w:val="00E75BCD"/>
    <w:rsid w:val="00E76031"/>
    <w:rsid w:val="00E76714"/>
    <w:rsid w:val="00E779C5"/>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D88"/>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18A"/>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4D0"/>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D2F"/>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4C8"/>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34C"/>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1371"/>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D9E"/>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DED"/>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6B9"/>
    <w:rsid w:val="00FE7FB9"/>
    <w:rsid w:val="00FF041F"/>
    <w:rsid w:val="00FF0C06"/>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 Mika,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574FF"/>
    <w:pPr>
      <w:keepNext/>
      <w:keepLines/>
      <w:pageBreakBefore/>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0501DF"/>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66202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 Mika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0501DF"/>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0501DF"/>
    <w:rPr>
      <w:rFonts w:ascii="Tahoma" w:hAnsi="Tahoma" w:eastAsiaTheme="minorEastAsia" w:cs="Tahoma"/>
      <w:b w:val="0"/>
      <w:bCs/>
      <w:color w:val="00305F"/>
      <w:sz w:val="31"/>
      <w:szCs w:val="31"/>
    </w:rPr>
  </w:style>
  <w:style w:type="paragraph" w:customStyle="1" w:styleId="7329">
    <w:name w:val="73א כותרת 2"/>
    <w:link w:val="73210"/>
    <w:qFormat/>
    <w:rsid w:val="007574FF"/>
    <w:pPr>
      <w:keepNext/>
      <w:keepLines/>
      <w:spacing w:before="360" w:after="240" w:line="240" w:lineRule="atLeast"/>
      <w:jc w:val="right"/>
      <w:outlineLvl w:val="1"/>
    </w:pPr>
    <w:rPr>
      <w:rFonts w:ascii="Tahoma" w:hAnsi="Tahoma" w:cs="Tahoma"/>
      <w:b/>
      <w:bCs/>
      <w:color w:val="00305F"/>
      <w:sz w:val="40"/>
      <w:szCs w:val="34"/>
    </w:rPr>
  </w:style>
  <w:style w:type="character" w:customStyle="1" w:styleId="73210">
    <w:name w:val="73א כותרת 2 תו"/>
    <w:basedOn w:val="DefaultParagraphFont"/>
    <w:link w:val="7329"/>
    <w:rsid w:val="007574FF"/>
    <w:rPr>
      <w:rFonts w:ascii="Tahoma" w:hAnsi="Tahoma" w:cs="Tahoma"/>
      <w:b/>
      <w:bCs/>
      <w:color w:val="00305F"/>
      <w:sz w:val="40"/>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0501DF"/>
    <w:rPr>
      <w:color w:val="0D0D0D" w:themeColor="text1" w:themeTint="F2"/>
      <w:sz w:val="18"/>
    </w:rPr>
  </w:style>
  <w:style w:type="character" w:customStyle="1" w:styleId="7393">
    <w:name w:val="73א טקסט רץ 9 תו"/>
    <w:basedOn w:val="Char4"/>
    <w:link w:val="7392"/>
    <w:rsid w:val="000501DF"/>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Para2">
    <w:name w:val="Para2"/>
    <w:basedOn w:val="Normal"/>
    <w:rsid w:val="002A5AB3"/>
    <w:pPr>
      <w:spacing w:before="120" w:after="160" w:line="320" w:lineRule="exact"/>
      <w:ind w:left="720"/>
    </w:pPr>
    <w:rPr>
      <w:rFonts w:eastAsia="Times New Roman"/>
      <w:sz w:val="22"/>
      <w:lang w:eastAsia="he-IL"/>
    </w:rPr>
  </w:style>
  <w:style w:type="paragraph" w:customStyle="1" w:styleId="35">
    <w:name w:val="מספור 3"/>
    <w:basedOn w:val="Normal"/>
    <w:autoRedefine/>
    <w:qFormat/>
    <w:rsid w:val="002A5AB3"/>
    <w:pPr>
      <w:numPr>
        <w:ilvl w:val="2"/>
        <w:numId w:val="12"/>
      </w:numPr>
      <w:spacing w:line="360" w:lineRule="auto"/>
      <w:ind w:left="1700" w:hanging="425"/>
    </w:pPr>
    <w:rPr>
      <w:rFonts w:ascii="Calibri" w:eastAsia="Times New Roman" w:hAnsi="Calibri"/>
      <w:sz w:val="24"/>
    </w:rPr>
  </w:style>
  <w:style w:type="table" w:styleId="LightListAccent1">
    <w:name w:val="Light List Accent 1"/>
    <w:basedOn w:val="TableNormal"/>
    <w:uiPriority w:val="61"/>
    <w:rsid w:val="002A5AB3"/>
    <w:pPr>
      <w:spacing w:after="0" w:line="240" w:lineRule="auto"/>
      <w:jc w:val="left"/>
    </w:pPr>
    <w:rPr>
      <w:rFonts w:ascii="Calibri" w:eastAsia="Times New Roman" w:hAnsi="Calibri" w:cs="Arial"/>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6">
    <w:name w:val="רשת טבלה3"/>
    <w:basedOn w:val="TableNormal"/>
    <w:next w:val="TableGrid"/>
    <w:uiPriority w:val="39"/>
    <w:rsid w:val="002A5AB3"/>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רשת טבלה4"/>
    <w:basedOn w:val="TableNormal"/>
    <w:next w:val="TableGrid"/>
    <w:uiPriority w:val="59"/>
    <w:rsid w:val="002A5AB3"/>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1">
    <w:name w:val="71ג מקרא+הערות לתרשים/לוח/תמונה"/>
    <w:basedOn w:val="Normal"/>
    <w:link w:val="71Char"/>
    <w:qFormat/>
    <w:rsid w:val="00826C91"/>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826C91"/>
    <w:rPr>
      <w:rFonts w:ascii="Tahoma" w:hAnsi="Tahoma" w:cs="Tahoma"/>
      <w:color w:val="0D0D0D" w:themeColor="text1" w:themeTint="F2"/>
      <w:sz w:val="16"/>
      <w:szCs w:val="16"/>
    </w:rPr>
  </w:style>
  <w:style w:type="paragraph" w:customStyle="1" w:styleId="a35">
    <w:name w:val="תאריך הדוח"/>
    <w:qFormat/>
    <w:rsid w:val="002D5F05"/>
    <w:pPr>
      <w:ind w:left="2268"/>
      <w:jc w:val="left"/>
    </w:pPr>
    <w:rPr>
      <w:rFonts w:ascii="Tahoma" w:hAnsi="Tahoma" w:cs="Tahoma"/>
      <w:sz w:val="18"/>
      <w:szCs w:val="18"/>
    </w:rPr>
  </w:style>
  <w:style w:type="paragraph" w:customStyle="1" w:styleId="a36">
    <w:name w:val="כותרת ראשית לדוח"/>
    <w:qFormat/>
    <w:rsid w:val="002D5F05"/>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image" Target="media/image13.emf"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footer" Target="footer5.xml" /><Relationship Id="rId31" Type="http://schemas.openxmlformats.org/officeDocument/2006/relationships/header" Target="header5.xml" /><Relationship Id="rId32" Type="http://schemas.openxmlformats.org/officeDocument/2006/relationships/footer" Target="footer6.xml" /><Relationship Id="rId33" Type="http://schemas.openxmlformats.org/officeDocument/2006/relationships/header" Target="header6.xml" /><Relationship Id="rId34" Type="http://schemas.openxmlformats.org/officeDocument/2006/relationships/footer" Target="footer7.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 Id="rId2" Type="http://schemas.openxmlformats.org/officeDocument/2006/relationships/image" Target="media/image15.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16.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7A4EC-5178-4B57-9502-3B0CDAC7F742}"/>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