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ackground w:color="ffffff">
    <v:background id="_x0000_s1025" filled="t"/>
  </w:background>
  <w:body>
    <w:bookmarkStart w:id="0" w:name="_Hlk63775048"/>
    <w:bookmarkEnd w:id="0"/>
    <w:p w:rsidR="008B2E28" w:rsidP="001F3363" w14:paraId="1815C0C8" w14:textId="21250BD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0" b="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gradFill rotWithShape="1">
                            <a:gsLst>
                              <a:gs pos="0">
                                <a:srgbClr val="0D0D0D"/>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8" style="flip:x;mso-height-percent:0;mso-height-relative:margin;mso-width-percent:0;mso-width-relative:margin;mso-wrap-distance-bottom:0;mso-wrap-distance-left:9pt;mso-wrap-distance-right:9pt;mso-wrap-distance-top:0;mso-wrap-style:square;position:absolute;visibility:visible;z-index:-251642880" from="-46.45pt,-19.2pt" to="482.8pt,-19.2pt"/>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9" style="width:0.75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435DCB" w14:textId="77777777">
      <w:pPr>
        <w:rPr>
          <w:rtl/>
        </w:rPr>
      </w:pPr>
    </w:p>
    <w:p w:rsidR="008B2E28" w:rsidP="008D2388"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30"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4127C7C1">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B704871">
      <w:pPr>
        <w:spacing w:line="240" w:lineRule="atLeast"/>
        <w:jc w:val="center"/>
        <w:rPr>
          <w:rFonts w:ascii="Tahoma" w:hAnsi="Tahoma" w:cs="Tahoma"/>
          <w:szCs w:val="18"/>
          <w:rtl/>
        </w:rPr>
      </w:pPr>
    </w:p>
    <w:p w:rsidR="003C32FE" w:rsidP="003C32FE" w14:paraId="7A26D94A" w14:textId="535E57EE">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4445</wp:posOffset>
                </wp:positionH>
                <wp:positionV relativeFrom="paragraph">
                  <wp:posOffset>379095</wp:posOffset>
                </wp:positionV>
                <wp:extent cx="4469765" cy="4273550"/>
                <wp:effectExtent l="0" t="0" r="635" b="6350"/>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69765"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136A3E" w:rsidRPr="0052031E" w:rsidP="00F51227" w14:textId="051C5B44">
                            <w:pPr>
                              <w:pStyle w:val="a38"/>
                              <w:bidi/>
                              <w:rPr>
                                <w:rtl/>
                              </w:rPr>
                            </w:pPr>
                            <w:r>
                              <w:rPr>
                                <w:rFonts w:hint="cs"/>
                                <w:rtl/>
                              </w:rPr>
                              <w:t xml:space="preserve">דוח </w:t>
                            </w:r>
                            <w:r w:rsidRPr="0052031E">
                              <w:rPr>
                                <w:rtl/>
                              </w:rPr>
                              <w:t>מבקר המדינה</w:t>
                            </w:r>
                            <w:r>
                              <w:rPr>
                                <w:rFonts w:hint="cs"/>
                                <w:rtl/>
                              </w:rPr>
                              <w:t xml:space="preserve"> </w:t>
                            </w:r>
                            <w:r w:rsidRPr="0052031E">
                              <w:rPr>
                                <w:rtl/>
                              </w:rPr>
                              <w:t>|</w:t>
                            </w:r>
                            <w:r>
                              <w:rPr>
                                <w:rFonts w:hint="cs"/>
                                <w:rtl/>
                              </w:rPr>
                              <w:t xml:space="preserve"> </w:t>
                            </w:r>
                            <w:r w:rsidR="00C30482">
                              <w:rPr>
                                <w:rFonts w:hint="cs"/>
                                <w:rtl/>
                              </w:rPr>
                              <w:t>חשוון</w:t>
                            </w:r>
                            <w:r>
                              <w:rPr>
                                <w:rFonts w:hint="cs"/>
                                <w:rtl/>
                              </w:rPr>
                              <w:t xml:space="preserve"> </w:t>
                            </w:r>
                            <w:r>
                              <w:rPr>
                                <w:rFonts w:hint="cs"/>
                                <w:rtl/>
                              </w:rPr>
                              <w:t>התשפ״</w:t>
                            </w:r>
                            <w:r w:rsidR="00C30482">
                              <w:rPr>
                                <w:rFonts w:hint="cs"/>
                                <w:rtl/>
                              </w:rPr>
                              <w:t>ג</w:t>
                            </w:r>
                            <w:r w:rsidR="001C1B42">
                              <w:rPr>
                                <w:rFonts w:hint="cs"/>
                                <w:rtl/>
                              </w:rPr>
                              <w:t xml:space="preserve"> </w:t>
                            </w:r>
                            <w:r w:rsidRPr="0052031E">
                              <w:rPr>
                                <w:rtl/>
                              </w:rPr>
                              <w:t>|</w:t>
                            </w:r>
                            <w:r>
                              <w:rPr>
                                <w:rFonts w:hint="cs"/>
                                <w:rtl/>
                              </w:rPr>
                              <w:t xml:space="preserve"> </w:t>
                            </w:r>
                            <w:r w:rsidRPr="002D38F6" w:rsidR="002D38F6">
                              <w:rPr>
                                <w:rtl/>
                              </w:rPr>
                              <w:t>נובמבר</w:t>
                            </w:r>
                            <w:r w:rsidR="002D38F6">
                              <w:rPr>
                                <w:rFonts w:hint="cs"/>
                                <w:rtl/>
                              </w:rPr>
                              <w:t xml:space="preserve"> </w:t>
                            </w:r>
                            <w:r>
                              <w:rPr>
                                <w:rFonts w:hint="cs"/>
                                <w:rtl/>
                              </w:rPr>
                              <w:t xml:space="preserve">2022 </w:t>
                            </w:r>
                          </w:p>
                          <w:p w:rsidR="00F73EE0" w:rsidP="0052031E" w14:textId="4F5A48BD">
                            <w:pPr>
                              <w:ind w:left="2268"/>
                              <w:rPr>
                                <w:rtl/>
                              </w:rPr>
                            </w:pPr>
                          </w:p>
                          <w:p w:rsidR="00F01B25" w:rsidP="0052031E" w14:textId="77777777">
                            <w:pPr>
                              <w:ind w:left="2268"/>
                              <w:rPr>
                                <w:rtl/>
                              </w:rPr>
                            </w:pPr>
                          </w:p>
                          <w:p w:rsidR="00F73EE0" w:rsidP="0052031E" w14:textId="77777777">
                            <w:pPr>
                              <w:ind w:left="2268"/>
                              <w:rPr>
                                <w:rtl/>
                              </w:rPr>
                            </w:pPr>
                          </w:p>
                          <w:p w:rsidR="005D0F8C" w:rsidRPr="000A3ED4" w:rsidP="00F51227" w14:textId="3250B0BF">
                            <w:pPr>
                              <w:pStyle w:val="-2"/>
                              <w:rPr>
                                <w:rtl/>
                              </w:rPr>
                            </w:pPr>
                            <w:r>
                              <w:rPr>
                                <w:rFonts w:hint="cs"/>
                                <w:rtl/>
                              </w:rPr>
                              <w:t>רשות הגז הטבעי</w:t>
                            </w:r>
                          </w:p>
                          <w:p w:rsidR="00C30482" w:rsidRPr="00F51227" w:rsidP="00E92343" w14:textId="29CA43A5">
                            <w:pPr>
                              <w:pStyle w:val="a39"/>
                              <w:bidi/>
                              <w:spacing w:before="120"/>
                              <w:rPr>
                                <w:rtl/>
                              </w:rPr>
                            </w:pPr>
                            <w:r w:rsidRPr="00140DFE">
                              <w:rPr>
                                <w:rtl/>
                              </w:rPr>
                              <w:t>רשת החלוקה של הגז הטבעי</w:t>
                            </w:r>
                          </w:p>
                          <w:p w:rsidR="00C30482" w:rsidRPr="00F51227" w:rsidP="00F51227" w14:textId="77777777">
                            <w:pPr>
                              <w:pStyle w:val="a39"/>
                              <w:bidi/>
                              <w:rPr>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width:351.95pt;height:336.5pt;margin-top:29.85pt;margin-left:0.35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136A3E" w:rsidRPr="0052031E" w:rsidP="00F51227" w14:paraId="6680A7A9" w14:textId="051C5B44">
                      <w:pPr>
                        <w:pStyle w:val="a38"/>
                        <w:bidi/>
                        <w:rPr>
                          <w:rtl/>
                        </w:rPr>
                      </w:pPr>
                      <w:r>
                        <w:rPr>
                          <w:rFonts w:hint="cs"/>
                          <w:rtl/>
                        </w:rPr>
                        <w:t xml:space="preserve">דוח </w:t>
                      </w:r>
                      <w:r w:rsidRPr="0052031E">
                        <w:rPr>
                          <w:rtl/>
                        </w:rPr>
                        <w:t>מבקר המדינה</w:t>
                      </w:r>
                      <w:r>
                        <w:rPr>
                          <w:rFonts w:hint="cs"/>
                          <w:rtl/>
                        </w:rPr>
                        <w:t xml:space="preserve"> </w:t>
                      </w:r>
                      <w:r w:rsidRPr="0052031E">
                        <w:rPr>
                          <w:rtl/>
                        </w:rPr>
                        <w:t>|</w:t>
                      </w:r>
                      <w:r>
                        <w:rPr>
                          <w:rFonts w:hint="cs"/>
                          <w:rtl/>
                        </w:rPr>
                        <w:t xml:space="preserve"> </w:t>
                      </w:r>
                      <w:r w:rsidR="00C30482">
                        <w:rPr>
                          <w:rFonts w:hint="cs"/>
                          <w:rtl/>
                        </w:rPr>
                        <w:t>חשוון</w:t>
                      </w:r>
                      <w:r>
                        <w:rPr>
                          <w:rFonts w:hint="cs"/>
                          <w:rtl/>
                        </w:rPr>
                        <w:t xml:space="preserve"> </w:t>
                      </w:r>
                      <w:r>
                        <w:rPr>
                          <w:rFonts w:hint="cs"/>
                          <w:rtl/>
                        </w:rPr>
                        <w:t>התשפ״</w:t>
                      </w:r>
                      <w:r w:rsidR="00C30482">
                        <w:rPr>
                          <w:rFonts w:hint="cs"/>
                          <w:rtl/>
                        </w:rPr>
                        <w:t>ג</w:t>
                      </w:r>
                      <w:r w:rsidR="001C1B42">
                        <w:rPr>
                          <w:rFonts w:hint="cs"/>
                          <w:rtl/>
                        </w:rPr>
                        <w:t xml:space="preserve"> </w:t>
                      </w:r>
                      <w:r w:rsidRPr="0052031E">
                        <w:rPr>
                          <w:rtl/>
                        </w:rPr>
                        <w:t>|</w:t>
                      </w:r>
                      <w:r>
                        <w:rPr>
                          <w:rFonts w:hint="cs"/>
                          <w:rtl/>
                        </w:rPr>
                        <w:t xml:space="preserve"> </w:t>
                      </w:r>
                      <w:r w:rsidRPr="002D38F6" w:rsidR="002D38F6">
                        <w:rPr>
                          <w:rtl/>
                        </w:rPr>
                        <w:t>נובמבר</w:t>
                      </w:r>
                      <w:r w:rsidR="002D38F6">
                        <w:rPr>
                          <w:rFonts w:hint="cs"/>
                          <w:rtl/>
                        </w:rPr>
                        <w:t xml:space="preserve"> </w:t>
                      </w:r>
                      <w:r>
                        <w:rPr>
                          <w:rFonts w:hint="cs"/>
                          <w:rtl/>
                        </w:rPr>
                        <w:t xml:space="preserve">2022 </w:t>
                      </w:r>
                    </w:p>
                    <w:p w:rsidR="00F73EE0" w:rsidP="0052031E" w14:paraId="7A4F68DA" w14:textId="4F5A48BD">
                      <w:pPr>
                        <w:ind w:left="2268"/>
                        <w:rPr>
                          <w:rtl/>
                        </w:rPr>
                      </w:pPr>
                    </w:p>
                    <w:p w:rsidR="00F01B25" w:rsidP="0052031E" w14:paraId="55A55087" w14:textId="77777777">
                      <w:pPr>
                        <w:ind w:left="2268"/>
                        <w:rPr>
                          <w:rtl/>
                        </w:rPr>
                      </w:pPr>
                    </w:p>
                    <w:p w:rsidR="00F73EE0" w:rsidP="0052031E" w14:paraId="537675A5" w14:textId="77777777">
                      <w:pPr>
                        <w:ind w:left="2268"/>
                        <w:rPr>
                          <w:rtl/>
                        </w:rPr>
                      </w:pPr>
                    </w:p>
                    <w:p w:rsidR="005D0F8C" w:rsidRPr="000A3ED4" w:rsidP="00F51227" w14:paraId="361EED1E" w14:textId="3250B0BF">
                      <w:pPr>
                        <w:pStyle w:val="-2"/>
                        <w:rPr>
                          <w:rtl/>
                        </w:rPr>
                      </w:pPr>
                      <w:r>
                        <w:rPr>
                          <w:rFonts w:hint="cs"/>
                          <w:rtl/>
                        </w:rPr>
                        <w:t>רשות הגז הטבעי</w:t>
                      </w:r>
                    </w:p>
                    <w:p w:rsidR="00C30482" w:rsidRPr="00F51227" w:rsidP="00E92343" w14:paraId="005557EF" w14:textId="29CA43A5">
                      <w:pPr>
                        <w:pStyle w:val="a39"/>
                        <w:bidi/>
                        <w:spacing w:before="120"/>
                        <w:rPr>
                          <w:rtl/>
                        </w:rPr>
                      </w:pPr>
                      <w:r w:rsidRPr="00140DFE">
                        <w:rPr>
                          <w:rtl/>
                        </w:rPr>
                        <w:t>רשת החלוקה של הגז הטבעי</w:t>
                      </w:r>
                    </w:p>
                    <w:p w:rsidR="00C30482" w:rsidRPr="00F51227" w:rsidP="00F51227" w14:paraId="5BE5E625" w14:textId="77777777">
                      <w:pPr>
                        <w:pStyle w:val="a39"/>
                        <w:bidi/>
                        <w:rPr>
                          <w:rtl/>
                        </w:rPr>
                      </w:pPr>
                    </w:p>
                  </w:txbxContent>
                </v:textbox>
                <w10:wrap type="square"/>
              </v:shape>
            </w:pict>
          </mc:Fallback>
        </mc:AlternateContent>
      </w: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266155</wp:posOffset>
                </wp:positionH>
                <wp:positionV relativeFrom="paragraph">
                  <wp:posOffset>1934845</wp:posOffset>
                </wp:positionV>
                <wp:extent cx="2672896" cy="0"/>
                <wp:effectExtent l="12700" t="12700" r="6985" b="127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672896"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2" style="flip:x;mso-height-percent:0;mso-height-relative:margin;mso-width-percent:0;mso-width-relative:margin;mso-wrap-distance-bottom:0;mso-wrap-distance-left:9pt;mso-wrap-distance-right:9pt;mso-wrap-distance-top:0;mso-wrap-style:square;position:absolute;visibility:visible;z-index:251669504" from="20.95pt,152.35pt" to="231.4pt,152.35pt" strokecolor="white" strokeweight="1.5pt"/>
            </w:pict>
          </mc:Fallback>
        </mc:AlternateContent>
      </w:r>
      <w:r w:rsidR="00140DFE">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3063778</wp:posOffset>
                </wp:positionH>
                <wp:positionV relativeFrom="paragraph">
                  <wp:posOffset>263729</wp:posOffset>
                </wp:positionV>
                <wp:extent cx="39451" cy="3244433"/>
                <wp:effectExtent l="25400" t="12700" r="36830" b="3238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39451" cy="3244433"/>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3" style="mso-height-percent:0;mso-height-relative:margin;mso-width-percent:0;mso-width-relative:margin;mso-wrap-distance-bottom:0;mso-wrap-distance-left:9pt;mso-wrap-distance-right:9pt;mso-wrap-distance-top:0;mso-wrap-style:square;position:absolute;visibility:visible;z-index:251667456" from="241.25pt,20.75pt" to="244.35pt,276.2pt" strokecolor="white" strokeweight="4pt"/>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14:paraId="3F6AF12E" w14:textId="4A1467E9">
      <w:pPr>
        <w:spacing w:line="240" w:lineRule="atLeast"/>
        <w:jc w:val="center"/>
        <w:rPr>
          <w:rFonts w:ascii="Tahoma" w:hAnsi="Tahoma" w:cs="Tahoma"/>
          <w:sz w:val="22"/>
          <w:szCs w:val="22"/>
          <w:rtl/>
        </w:rPr>
      </w:pPr>
    </w:p>
    <w:p w:rsidR="00E35DF9" w:rsidRPr="00406E80" w:rsidP="008D2388" w14:paraId="5F398D7B" w14:textId="4F30E2B5">
      <w:pPr>
        <w:spacing w:line="240" w:lineRule="atLeast"/>
        <w:jc w:val="center"/>
        <w:rPr>
          <w:rFonts w:ascii="Tahoma" w:hAnsi="Tahoma" w:cs="Tahoma"/>
          <w:color w:val="C6D9F1"/>
          <w:sz w:val="22"/>
          <w:szCs w:val="22"/>
          <w:rtl/>
        </w:rPr>
      </w:pPr>
    </w:p>
    <w:p w:rsidR="008C0B8B" w:rsidP="008D2388" w14:paraId="1D311F15" w14:textId="47FC2C8F">
      <w:pPr>
        <w:spacing w:line="240" w:lineRule="atLeast"/>
        <w:jc w:val="center"/>
        <w:rPr>
          <w:rFonts w:ascii="Tahoma" w:hAnsi="Tahoma" w:cs="Tahoma"/>
          <w:sz w:val="22"/>
          <w:szCs w:val="22"/>
          <w:rtl/>
        </w:rPr>
      </w:pPr>
    </w:p>
    <w:p w:rsidR="008C0B8B" w:rsidP="008D2388" w14:paraId="1AC7C61F" w14:textId="7EB27B86">
      <w:pPr>
        <w:spacing w:line="240" w:lineRule="atLeast"/>
        <w:jc w:val="center"/>
        <w:rPr>
          <w:rFonts w:ascii="Tahoma" w:hAnsi="Tahoma" w:cs="Tahoma"/>
          <w:sz w:val="22"/>
          <w:szCs w:val="22"/>
          <w:rtl/>
        </w:rPr>
      </w:pPr>
    </w:p>
    <w:p w:rsidR="00E35DF9" w:rsidP="008D2388" w14:paraId="1081EBD1" w14:textId="1102587C">
      <w:pPr>
        <w:spacing w:line="240" w:lineRule="atLeast"/>
        <w:jc w:val="center"/>
        <w:rPr>
          <w:rFonts w:ascii="Tahoma" w:hAnsi="Tahoma" w:cs="Tahoma"/>
          <w:sz w:val="22"/>
          <w:szCs w:val="22"/>
          <w:rtl/>
        </w:rPr>
      </w:pP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14:paraId="67CE1943" w14:textId="0F8F3485">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-1468755</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4" style="width:598.55pt;height:121.5pt;margin-top:-93.1pt;margin-left:-115.65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P="000E64A1" w14:paraId="291315C1" w14:textId="514133F9">
      <w:pPr>
        <w:jc w:val="left"/>
        <w:rPr>
          <w:rFonts w:ascii="Tahoma" w:hAnsi="Tahoma" w:cs="Tahoma"/>
          <w:sz w:val="22"/>
          <w:szCs w:val="22"/>
          <w:rtl/>
        </w:rPr>
        <w:sectPr w:rsidSect="009C314B">
          <w:headerReference w:type="even" r:id="rId18"/>
          <w:pgSz w:w="11906" w:h="16838" w:code="9"/>
          <w:pgMar w:top="3062" w:right="2268" w:bottom="2552" w:left="2268" w:header="709" w:footer="709" w:gutter="0"/>
          <w:cols w:space="720"/>
          <w:bidi/>
          <w:rtlGutter/>
          <w:docGrid w:linePitch="272"/>
        </w:sectPr>
      </w:pPr>
    </w:p>
    <w:p w:rsidR="00B93C72" w:rsidRPr="001F3363" w:rsidP="00962A25" w14:paraId="4ED3AA37" w14:textId="733F6237">
      <w:pPr>
        <w:pStyle w:val="7329"/>
        <w:bidi/>
        <w:jc w:val="left"/>
        <w:rPr>
          <w:rtl/>
        </w:rPr>
      </w:pPr>
      <w:r w:rsidRPr="001F3363">
        <w:rPr>
          <w:noProof/>
          <w:rtl/>
        </w:rPr>
        <w:drawing>
          <wp:anchor distT="0" distB="0" distL="114300" distR="114300" simplePos="0" relativeHeight="251674624" behindDoc="0" locked="0" layoutInCell="1" allowOverlap="1">
            <wp:simplePos x="0" y="0"/>
            <wp:positionH relativeFrom="column">
              <wp:posOffset>3290169</wp:posOffset>
            </wp:positionH>
            <wp:positionV relativeFrom="paragraph">
              <wp:posOffset>651510</wp:posOffset>
            </wp:positionV>
            <wp:extent cx="1386840" cy="4216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1F3363" w:rsidR="00586851">
        <w:rPr>
          <w:noProof/>
          <w:rtl/>
        </w:rPr>
        <mc:AlternateContent>
          <mc:Choice Requires="wps">
            <w:drawing>
              <wp:anchor distT="0" distB="0" distL="114300" distR="114300" simplePos="0" relativeHeight="251675648" behindDoc="0" locked="0" layoutInCell="1" allowOverlap="1">
                <wp:simplePos x="0" y="0"/>
                <wp:positionH relativeFrom="column">
                  <wp:posOffset>-652595</wp:posOffset>
                </wp:positionH>
                <wp:positionV relativeFrom="paragraph">
                  <wp:posOffset>318268</wp:posOffset>
                </wp:positionV>
                <wp:extent cx="194310" cy="5570397"/>
                <wp:effectExtent l="0" t="0" r="0" b="5080"/>
                <wp:wrapNone/>
                <wp:docPr id="21"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94310" cy="5570397"/>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5" style="width:15.3pt;height:438.6pt;margin-top:25.05pt;margin-left:-51.4pt;flip:y;mso-height-percent:0;mso-height-relative:margin;mso-width-percent:0;mso-width-relative:margin;mso-wrap-distance-bottom:0;mso-wrap-distance-left:9pt;mso-wrap-distance-right:9pt;mso-wrap-distance-top:0;mso-wrap-style:square;position:absolute;visibility:visible;v-text-anchor:middle;z-index:251676672" fillcolor="#00305f" stroked="f" strokeweight="1.25pt"/>
            </w:pict>
          </mc:Fallback>
        </mc:AlternateContent>
      </w:r>
      <w:r w:rsidRPr="00140DFE" w:rsidR="00140DFE">
        <w:rPr>
          <w:noProof/>
          <w:rtl/>
        </w:rPr>
        <w:t>רשת החלוקה של הגז הטבעי</w:t>
      </w:r>
    </w:p>
    <w:p w:rsidR="006903C5" w:rsidRPr="006903C5" w:rsidP="006903C5" w14:paraId="57FB6AC6" w14:textId="77777777">
      <w:pPr>
        <w:pStyle w:val="7392"/>
        <w:spacing w:before="480"/>
        <w:rPr>
          <w:rtl/>
        </w:rPr>
      </w:pPr>
      <w:r w:rsidRPr="006903C5">
        <w:rPr>
          <w:rtl/>
        </w:rPr>
        <w:t xml:space="preserve">בתחילת שנות האלפיים התגלו לאורך חופי ישראל כמה מאגרי גז טבעי, והגז הטבעי הפך לדלק המרכזי בישראל, בעיקר לייצור חשמל מקומי ולתעשייה הכבדה. נכון לשנת 2021, הצריכה השנתית של גז טבעי היא כ-12 </w:t>
      </w:r>
      <w:r w:rsidRPr="006903C5">
        <w:t>BCM</w:t>
      </w:r>
      <w:r>
        <w:rPr>
          <w:vertAlign w:val="superscript"/>
          <w:rtl/>
        </w:rPr>
        <w:footnoteReference w:id="2"/>
      </w:r>
      <w:r w:rsidRPr="006903C5">
        <w:rPr>
          <w:rtl/>
        </w:rPr>
        <w:t>. הגז הטבעי הביא חיסכון בעלויות למשק בהשוואה למחירי הנפט, צמצם את התלות בנפט המיובא וכן הביא תועלת סביבתית ניכרת בהשוואה לתזקיקי הנפט שנעשה בהם שימוש נרחב עד כניסתו של הגז.</w:t>
      </w:r>
    </w:p>
    <w:p w:rsidR="006903C5" w:rsidRPr="006903C5" w:rsidP="006903C5" w14:paraId="146CBAED" w14:textId="7ECCDACA">
      <w:pPr>
        <w:pStyle w:val="7392"/>
        <w:rPr>
          <w:rtl/>
        </w:rPr>
      </w:pPr>
      <w:r w:rsidRPr="006903C5">
        <w:rPr>
          <w:rtl/>
        </w:rPr>
        <w:t>הגז הטבעי מהמאגרים בים התיכון מגיע אל הצרכנים באמצעות שתי מערכות גז - מערכת ההולכה שבאחריות חברת נתיבי גז לישראל בע"מ (</w:t>
      </w:r>
      <w:r w:rsidRPr="006903C5">
        <w:rPr>
          <w:rtl/>
        </w:rPr>
        <w:t>נתג"ז</w:t>
      </w:r>
      <w:r w:rsidRPr="006903C5">
        <w:rPr>
          <w:rtl/>
        </w:rPr>
        <w:t>) ורשת החלוקה שמפותחת על ידי זכיינים פרטיים שזכו במכרז רשות הגז</w:t>
      </w:r>
      <w:r w:rsidR="00782DE6">
        <w:rPr>
          <w:rFonts w:hint="cs"/>
          <w:rtl/>
        </w:rPr>
        <w:t xml:space="preserve"> הטבעי</w:t>
      </w:r>
      <w:r w:rsidRPr="006903C5">
        <w:rPr>
          <w:rtl/>
        </w:rPr>
        <w:t>.</w:t>
      </w:r>
    </w:p>
    <w:p w:rsidR="007F4A20" w:rsidRPr="006903C5" w:rsidP="006903C5" w14:paraId="0B41EED6" w14:textId="3A698817">
      <w:pPr>
        <w:pStyle w:val="7392"/>
        <w:rPr>
          <w:rtl/>
        </w:rPr>
      </w:pPr>
      <w:r w:rsidRPr="006903C5">
        <w:rPr>
          <w:rtl/>
        </w:rPr>
        <w:t>בשנת 2016 פרסם משרד מבקר המדינה דוח ביקורת בנושא חיבור צרכנים לרשת החלוקה של הגז הטבעי (הדוח הקודם)</w:t>
      </w:r>
      <w:r>
        <w:rPr>
          <w:vertAlign w:val="superscript"/>
          <w:rtl/>
        </w:rPr>
        <w:footnoteReference w:id="3"/>
      </w:r>
      <w:r w:rsidRPr="006903C5">
        <w:rPr>
          <w:vertAlign w:val="superscript"/>
          <w:rtl/>
        </w:rPr>
        <w:t>.</w:t>
      </w:r>
      <w:r w:rsidRPr="006903C5">
        <w:rPr>
          <w:rtl/>
        </w:rPr>
        <w:t xml:space="preserve"> בדוח זה נעשה, בין היתר, מעקב על תיקון הליקויים מהדוח הקודם</w:t>
      </w:r>
      <w:r w:rsidRPr="006903C5" w:rsidR="0036097F">
        <w:rPr>
          <w:rFonts w:hint="cs"/>
          <w:rtl/>
        </w:rPr>
        <w:t>.</w:t>
      </w:r>
      <w:r w:rsidRPr="006903C5" w:rsidR="00B61DE7">
        <w:rPr>
          <w:rtl/>
        </w:rPr>
        <w:t xml:space="preserve"> </w:t>
      </w:r>
    </w:p>
    <w:p w:rsidR="007F4A20" w14:paraId="37B9E65E" w14:textId="77777777">
      <w:pPr>
        <w:bidi w:val="0"/>
        <w:spacing w:after="200" w:line="276" w:lineRule="auto"/>
        <w:rPr>
          <w:rFonts w:ascii="Tahoma" w:hAnsi="Tahoma" w:cs="Tahoma"/>
          <w:color w:val="0D0D0D" w:themeColor="text1" w:themeTint="F2"/>
          <w:sz w:val="18"/>
          <w:szCs w:val="18"/>
          <w:rtl/>
        </w:rPr>
      </w:pPr>
      <w:r>
        <w:rPr>
          <w:rtl/>
        </w:rPr>
        <w:br w:type="page"/>
      </w:r>
    </w:p>
    <w:p w:rsidR="005D0F8C" w:rsidP="007F4A20" w14:paraId="087C7BAD" w14:textId="0A8743A0">
      <w:pPr>
        <w:pStyle w:val="7392"/>
        <w:spacing w:before="360"/>
        <w:rPr>
          <w:b/>
          <w:bCs/>
          <w:color w:val="00305F"/>
          <w:sz w:val="32"/>
          <w:szCs w:val="32"/>
          <w:rtl/>
        </w:rPr>
      </w:pPr>
      <w:r w:rsidRPr="001F3363">
        <w:rPr>
          <w:noProof/>
          <w:rtl/>
        </w:rPr>
        <w:drawing>
          <wp:anchor distT="0" distB="0" distL="114300" distR="114300" simplePos="0" relativeHeight="251677696"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P="007F4A20" w14:paraId="2AA141C4" w14:textId="77777777">
      <w:pPr>
        <w:pStyle w:val="100"/>
        <w:tabs>
          <w:tab w:val="center" w:pos="3685"/>
        </w:tabs>
        <w:spacing w:before="360" w:after="0" w:line="240" w:lineRule="exact"/>
        <w:rPr>
          <w:b/>
          <w:bCs/>
          <w:color w:val="00305F"/>
          <w:sz w:val="32"/>
          <w:szCs w:val="32"/>
          <w:rtl/>
        </w:rPr>
      </w:pPr>
    </w:p>
    <w:tbl>
      <w:tblPr>
        <w:tblStyle w:val="TableGrid"/>
        <w:bidiVisual/>
        <w:tblW w:w="50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57"/>
        <w:gridCol w:w="237"/>
        <w:gridCol w:w="1530"/>
        <w:gridCol w:w="237"/>
        <w:gridCol w:w="1697"/>
        <w:gridCol w:w="268"/>
        <w:gridCol w:w="1685"/>
      </w:tblGrid>
      <w:tr w14:paraId="58B4726B" w14:textId="77777777" w:rsidTr="004863B3">
        <w:tblPrEx>
          <w:tblW w:w="50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85" w:type="pct"/>
            <w:tcBorders>
              <w:bottom w:val="single" w:sz="12" w:space="0" w:color="000000"/>
            </w:tcBorders>
            <w:vAlign w:val="bottom"/>
          </w:tcPr>
          <w:p w:rsidR="00420374" w:rsidRPr="004562F8" w:rsidP="00937056" w14:paraId="23EB689E" w14:textId="29C0AB13">
            <w:pPr>
              <w:spacing w:after="60" w:line="240" w:lineRule="auto"/>
              <w:rPr>
                <w:b/>
                <w:bCs/>
                <w:spacing w:val="-28"/>
                <w:rtl/>
              </w:rPr>
            </w:pPr>
            <w:r>
              <w:rPr>
                <w:rFonts w:ascii="Tahoma" w:hAnsi="Tahoma" w:eastAsiaTheme="minorEastAsia" w:cs="Tahoma" w:hint="cs"/>
                <w:b/>
                <w:bCs/>
                <w:color w:val="0D0D0D" w:themeColor="text1" w:themeTint="F2"/>
                <w:spacing w:val="-10"/>
                <w:sz w:val="36"/>
                <w:szCs w:val="36"/>
                <w:rtl/>
              </w:rPr>
              <w:t>22%</w:t>
            </w:r>
            <w:r>
              <w:rPr>
                <w:rFonts w:ascii="Tahoma" w:hAnsi="Tahoma" w:eastAsiaTheme="minorEastAsia" w:cs="Tahoma" w:hint="cs"/>
                <w:b/>
                <w:bCs/>
                <w:color w:val="0D0D0D" w:themeColor="text1" w:themeTint="F2"/>
                <w:spacing w:val="-10"/>
                <w:sz w:val="36"/>
                <w:szCs w:val="36"/>
                <w:rtl/>
              </w:rPr>
              <w:t xml:space="preserve"> </w:t>
            </w:r>
          </w:p>
        </w:tc>
        <w:tc>
          <w:tcPr>
            <w:tcW w:w="160" w:type="pct"/>
            <w:vAlign w:val="bottom"/>
          </w:tcPr>
          <w:p w:rsidR="00420374" w:rsidP="00937056" w14:paraId="19192EA5" w14:textId="77777777">
            <w:pPr>
              <w:spacing w:before="120" w:after="60" w:line="240" w:lineRule="auto"/>
              <w:rPr>
                <w:rtl/>
              </w:rPr>
            </w:pPr>
          </w:p>
        </w:tc>
        <w:tc>
          <w:tcPr>
            <w:tcW w:w="1032" w:type="pct"/>
            <w:tcBorders>
              <w:bottom w:val="single" w:sz="12" w:space="0" w:color="000000"/>
            </w:tcBorders>
            <w:vAlign w:val="bottom"/>
          </w:tcPr>
          <w:p w:rsidR="00420374" w:rsidRPr="005C7ABF" w:rsidP="00937056" w14:paraId="761F4116" w14:textId="6A923E17">
            <w:pPr>
              <w:pStyle w:val="2021"/>
              <w:spacing w:before="0" w:after="60"/>
              <w:rPr>
                <w:spacing w:val="-10"/>
                <w:rtl/>
              </w:rPr>
            </w:pPr>
            <w:r>
              <w:rPr>
                <w:rFonts w:hint="cs"/>
                <w:spacing w:val="-10"/>
                <w:rtl/>
              </w:rPr>
              <w:t>1.9-0.8</w:t>
            </w:r>
            <w:r>
              <w:rPr>
                <w:rFonts w:hint="cs"/>
                <w:spacing w:val="-10"/>
                <w:rtl/>
              </w:rPr>
              <w:t xml:space="preserve"> </w:t>
            </w:r>
            <w:r w:rsidRPr="00411396">
              <w:rPr>
                <w:rFonts w:hint="cs"/>
                <w:spacing w:val="-10"/>
                <w:sz w:val="26"/>
                <w:szCs w:val="26"/>
                <w:rtl/>
              </w:rPr>
              <w:t>מיליארד ש״ח</w:t>
            </w:r>
          </w:p>
        </w:tc>
        <w:tc>
          <w:tcPr>
            <w:tcW w:w="160" w:type="pct"/>
            <w:vAlign w:val="bottom"/>
          </w:tcPr>
          <w:p w:rsidR="00420374" w:rsidP="00937056" w14:paraId="2810DE55" w14:textId="77777777">
            <w:pPr>
              <w:spacing w:before="120" w:after="60" w:line="240" w:lineRule="auto"/>
              <w:rPr>
                <w:rtl/>
              </w:rPr>
            </w:pPr>
          </w:p>
        </w:tc>
        <w:tc>
          <w:tcPr>
            <w:tcW w:w="1145" w:type="pct"/>
            <w:tcBorders>
              <w:bottom w:val="single" w:sz="12" w:space="0" w:color="000000"/>
            </w:tcBorders>
            <w:vAlign w:val="bottom"/>
          </w:tcPr>
          <w:p w:rsidR="00420374" w:rsidRPr="00340353" w:rsidP="00937056" w14:paraId="2A2E27BD" w14:textId="3349164E">
            <w:pPr>
              <w:pStyle w:val="2021"/>
              <w:spacing w:before="0" w:after="60"/>
              <w:rPr>
                <w:b w:val="0"/>
                <w:bCs w:val="0"/>
                <w:spacing w:val="-20"/>
                <w:sz w:val="24"/>
                <w:rtl/>
              </w:rPr>
            </w:pPr>
            <w:r w:rsidRPr="006903C5">
              <w:rPr>
                <w:rFonts w:hint="cs"/>
                <w:spacing w:val="-10"/>
                <w:sz w:val="26"/>
                <w:szCs w:val="26"/>
                <w:rtl/>
              </w:rPr>
              <w:t>כ-</w:t>
            </w:r>
            <w:r>
              <w:rPr>
                <w:rFonts w:hint="cs"/>
                <w:spacing w:val="-10"/>
                <w:rtl/>
              </w:rPr>
              <w:t>50%</w:t>
            </w:r>
            <w:r>
              <w:rPr>
                <w:rFonts w:hint="cs"/>
                <w:spacing w:val="-10"/>
                <w:rtl/>
              </w:rPr>
              <w:t xml:space="preserve"> </w:t>
            </w:r>
          </w:p>
        </w:tc>
        <w:tc>
          <w:tcPr>
            <w:tcW w:w="181" w:type="pct"/>
          </w:tcPr>
          <w:p w:rsidR="00420374" w:rsidP="00937056" w14:paraId="47B754BA" w14:textId="77777777">
            <w:pPr>
              <w:pStyle w:val="2021"/>
              <w:spacing w:before="0" w:after="60"/>
              <w:rPr>
                <w:spacing w:val="-10"/>
                <w:rtl/>
              </w:rPr>
            </w:pPr>
          </w:p>
        </w:tc>
        <w:tc>
          <w:tcPr>
            <w:tcW w:w="1137" w:type="pct"/>
            <w:tcBorders>
              <w:bottom w:val="single" w:sz="12" w:space="0" w:color="000000"/>
            </w:tcBorders>
            <w:vAlign w:val="bottom"/>
          </w:tcPr>
          <w:p w:rsidR="00420374" w:rsidP="00937056" w14:paraId="5F3A3FF5" w14:textId="0E2D827B">
            <w:pPr>
              <w:pStyle w:val="2021"/>
              <w:spacing w:before="0" w:after="60"/>
              <w:rPr>
                <w:spacing w:val="-10"/>
                <w:rtl/>
              </w:rPr>
            </w:pPr>
            <w:r>
              <w:rPr>
                <w:rFonts w:hint="cs"/>
                <w:spacing w:val="-10"/>
                <w:rtl/>
              </w:rPr>
              <w:t xml:space="preserve">217 </w:t>
            </w:r>
            <w:r>
              <w:rPr>
                <w:spacing w:val="-10"/>
                <w:sz w:val="26"/>
                <w:szCs w:val="26"/>
                <w:rtl/>
              </w:rPr>
              <w:br/>
            </w:r>
            <w:r w:rsidRPr="006903C5">
              <w:rPr>
                <w:rFonts w:hint="cs"/>
                <w:spacing w:val="-10"/>
                <w:sz w:val="26"/>
                <w:szCs w:val="26"/>
                <w:rtl/>
              </w:rPr>
              <w:t>מיליון ש״ח</w:t>
            </w:r>
            <w:r>
              <w:rPr>
                <w:rFonts w:hint="cs"/>
                <w:spacing w:val="-10"/>
                <w:rtl/>
              </w:rPr>
              <w:t xml:space="preserve"> </w:t>
            </w:r>
          </w:p>
        </w:tc>
      </w:tr>
      <w:tr w14:paraId="6DFAF81C" w14:textId="77777777" w:rsidTr="004863B3">
        <w:tblPrEx>
          <w:tblW w:w="5028" w:type="pct"/>
          <w:tblLook w:val="04A0"/>
        </w:tblPrEx>
        <w:tc>
          <w:tcPr>
            <w:tcW w:w="1185" w:type="pct"/>
            <w:tcBorders>
              <w:top w:val="single" w:sz="12" w:space="0" w:color="000000"/>
            </w:tcBorders>
          </w:tcPr>
          <w:p w:rsidR="00420374" w:rsidRPr="004863B3" w:rsidP="00937056" w14:paraId="1D96599A" w14:textId="37A2EF1B">
            <w:pPr>
              <w:pStyle w:val="732021"/>
              <w:spacing w:before="0"/>
              <w:rPr>
                <w:spacing w:val="-4"/>
                <w:rtl/>
              </w:rPr>
            </w:pPr>
            <w:r w:rsidRPr="004863B3">
              <w:rPr>
                <w:spacing w:val="-4"/>
                <w:rtl/>
              </w:rPr>
              <w:t xml:space="preserve">שיעור הצרכנים בפועל של גז טבעי ברשת החלוקה בשנת 2021 (102 צרכנים, שההיקף הכולל של צריכתם השנתית היה 0.3 </w:t>
            </w:r>
            <w:r w:rsidRPr="004863B3">
              <w:rPr>
                <w:spacing w:val="-4"/>
              </w:rPr>
              <w:t>BCM</w:t>
            </w:r>
            <w:r w:rsidRPr="004863B3">
              <w:rPr>
                <w:spacing w:val="-4"/>
                <w:rtl/>
              </w:rPr>
              <w:t>) מהיעד שקבעה הממשלה עד לשנת 2020 (450 צרכנים)</w:t>
            </w:r>
          </w:p>
        </w:tc>
        <w:tc>
          <w:tcPr>
            <w:tcW w:w="160" w:type="pct"/>
          </w:tcPr>
          <w:p w:rsidR="00420374" w:rsidRPr="00E52143" w:rsidP="00937056" w14:paraId="2BF81D8C" w14:textId="77777777">
            <w:pPr>
              <w:pStyle w:val="732021"/>
              <w:spacing w:before="0"/>
              <w:rPr>
                <w:rtl/>
              </w:rPr>
            </w:pPr>
          </w:p>
        </w:tc>
        <w:tc>
          <w:tcPr>
            <w:tcW w:w="1032" w:type="pct"/>
            <w:tcBorders>
              <w:top w:val="single" w:sz="12" w:space="0" w:color="000000"/>
            </w:tcBorders>
          </w:tcPr>
          <w:p w:rsidR="00420374" w:rsidRPr="00E52143" w:rsidP="00937056" w14:paraId="68924AF7" w14:textId="463D3ED5">
            <w:pPr>
              <w:pStyle w:val="732021"/>
              <w:spacing w:before="0"/>
              <w:rPr>
                <w:rtl/>
              </w:rPr>
            </w:pPr>
            <w:r w:rsidRPr="0058052C">
              <w:rPr>
                <w:rtl/>
              </w:rPr>
              <w:t>אובדן החיסכון המצטבר למשק בשנים 2020 - 2025 בגין הקצב האיטי של חיבור הצרכנים, הפחתת היעד ודחיית שנת השלמת היעד בחמש שנים</w:t>
            </w:r>
          </w:p>
        </w:tc>
        <w:tc>
          <w:tcPr>
            <w:tcW w:w="160" w:type="pct"/>
          </w:tcPr>
          <w:p w:rsidR="00420374" w:rsidRPr="00E52143" w:rsidP="00937056" w14:paraId="4F52CE08" w14:textId="77777777">
            <w:pPr>
              <w:pStyle w:val="732021"/>
              <w:spacing w:before="0"/>
              <w:rPr>
                <w:rtl/>
              </w:rPr>
            </w:pPr>
          </w:p>
        </w:tc>
        <w:tc>
          <w:tcPr>
            <w:tcW w:w="1145" w:type="pct"/>
            <w:tcBorders>
              <w:top w:val="single" w:sz="12" w:space="0" w:color="000000"/>
            </w:tcBorders>
          </w:tcPr>
          <w:p w:rsidR="00420374" w:rsidRPr="00E52143" w:rsidP="00937056" w14:paraId="203F9568" w14:textId="39CAB4B7">
            <w:pPr>
              <w:pStyle w:val="732021"/>
              <w:spacing w:before="0"/>
              <w:rPr>
                <w:rtl/>
              </w:rPr>
            </w:pPr>
            <w:r w:rsidRPr="0058052C">
              <w:rPr>
                <w:rtl/>
              </w:rPr>
              <w:t xml:space="preserve">השיעור שהפחיתה רשות הגז הטבעי מהיעד שנקבע בהחלטת ממשלה משנת 2015 לגבי מספר הצרכנים שצפויים להתחבר ולצרוך גז טבעי מרשת החלוקה עד לשנת 2020 </w:t>
            </w:r>
          </w:p>
        </w:tc>
        <w:tc>
          <w:tcPr>
            <w:tcW w:w="181" w:type="pct"/>
          </w:tcPr>
          <w:p w:rsidR="00420374" w:rsidRPr="00E52143" w:rsidP="00937056" w14:paraId="42538096" w14:textId="77777777">
            <w:pPr>
              <w:pStyle w:val="732021"/>
              <w:spacing w:before="0"/>
              <w:rPr>
                <w:rtl/>
              </w:rPr>
            </w:pPr>
          </w:p>
        </w:tc>
        <w:tc>
          <w:tcPr>
            <w:tcW w:w="1137" w:type="pct"/>
            <w:tcBorders>
              <w:top w:val="single" w:sz="12" w:space="0" w:color="000000"/>
            </w:tcBorders>
          </w:tcPr>
          <w:p w:rsidR="00420374" w:rsidRPr="00E52143" w:rsidP="00937056" w14:paraId="1878D11D" w14:textId="0CF97A11">
            <w:pPr>
              <w:pStyle w:val="732021"/>
              <w:spacing w:before="0"/>
              <w:rPr>
                <w:rtl/>
              </w:rPr>
            </w:pPr>
            <w:r w:rsidRPr="0058052C">
              <w:rPr>
                <w:rtl/>
              </w:rPr>
              <w:t>סיוע ישיר ועקיף (באמצעות תעריפי מערכת ההולכה), זאת שלא בהתאם לעקרונות מכרזי רישיונות החלוקה, שבהם נקבע שחברות החלוקה יישאו במלוא עלויות רשת החלוקה</w:t>
            </w:r>
          </w:p>
        </w:tc>
      </w:tr>
      <w:tr w14:paraId="1BD5A20C" w14:textId="77777777" w:rsidTr="004863B3">
        <w:tblPrEx>
          <w:tblW w:w="5028" w:type="pct"/>
          <w:tblLook w:val="04A0"/>
        </w:tblPrEx>
        <w:tc>
          <w:tcPr>
            <w:tcW w:w="1185" w:type="pct"/>
            <w:tcBorders>
              <w:bottom w:val="single" w:sz="12" w:space="0" w:color="000000"/>
            </w:tcBorders>
            <w:vAlign w:val="bottom"/>
          </w:tcPr>
          <w:p w:rsidR="00420374" w:rsidRPr="004863B3" w:rsidP="00C47002" w14:paraId="500D3B50" w14:textId="04C0CA16">
            <w:pPr>
              <w:spacing w:after="60" w:line="240" w:lineRule="auto"/>
              <w:jc w:val="left"/>
              <w:rPr>
                <w:rFonts w:ascii="Tahoma" w:hAnsi="Tahoma" w:eastAsiaTheme="minorEastAsia" w:cs="Tahoma"/>
                <w:b/>
                <w:bCs/>
                <w:color w:val="0D0D0D" w:themeColor="text1" w:themeTint="F2"/>
                <w:spacing w:val="-12"/>
                <w:sz w:val="36"/>
                <w:szCs w:val="36"/>
                <w:rtl/>
              </w:rPr>
            </w:pPr>
            <w:r w:rsidRPr="004863B3">
              <w:rPr>
                <w:rFonts w:ascii="Tahoma" w:hAnsi="Tahoma" w:eastAsiaTheme="minorEastAsia" w:cs="Tahoma" w:hint="cs"/>
                <w:b/>
                <w:bCs/>
                <w:color w:val="0D0D0D" w:themeColor="text1" w:themeTint="F2"/>
                <w:spacing w:val="-12"/>
                <w:sz w:val="36"/>
                <w:szCs w:val="36"/>
                <w:rtl/>
              </w:rPr>
              <w:t xml:space="preserve">4 </w:t>
            </w:r>
            <w:r w:rsidRPr="004863B3">
              <w:rPr>
                <w:rFonts w:ascii="Tahoma" w:hAnsi="Tahoma" w:eastAsiaTheme="minorEastAsia" w:cs="Tahoma" w:hint="cs"/>
                <w:b/>
                <w:bCs/>
                <w:color w:val="0D0D0D" w:themeColor="text1" w:themeTint="F2"/>
                <w:spacing w:val="-12"/>
                <w:sz w:val="26"/>
                <w:szCs w:val="26"/>
                <w:rtl/>
              </w:rPr>
              <w:t>שכונות מגורים ויישוב אחד בלבד</w:t>
            </w:r>
          </w:p>
        </w:tc>
        <w:tc>
          <w:tcPr>
            <w:tcW w:w="160" w:type="pct"/>
            <w:vAlign w:val="bottom"/>
          </w:tcPr>
          <w:p w:rsidR="00420374" w:rsidRPr="00E52143" w:rsidP="00C47002" w14:paraId="26A950B1" w14:textId="77777777">
            <w:pPr>
              <w:spacing w:after="60"/>
              <w:jc w:val="left"/>
              <w:rPr>
                <w:rFonts w:ascii="Tahoma" w:hAnsi="Tahoma" w:eastAsiaTheme="minorEastAsia" w:cs="Tahoma"/>
                <w:b/>
                <w:bCs/>
                <w:color w:val="0D0D0D" w:themeColor="text1" w:themeTint="F2"/>
                <w:spacing w:val="-10"/>
                <w:sz w:val="36"/>
                <w:szCs w:val="36"/>
                <w:rtl/>
              </w:rPr>
            </w:pPr>
          </w:p>
        </w:tc>
        <w:tc>
          <w:tcPr>
            <w:tcW w:w="1032" w:type="pct"/>
            <w:tcBorders>
              <w:bottom w:val="single" w:sz="12" w:space="0" w:color="000000"/>
            </w:tcBorders>
            <w:vAlign w:val="bottom"/>
          </w:tcPr>
          <w:p w:rsidR="00420374" w:rsidRPr="008D750B" w:rsidP="00C47002" w14:paraId="48896DF7" w14:textId="01E03A41">
            <w:pPr>
              <w:pStyle w:val="2021"/>
              <w:spacing w:before="0" w:after="60"/>
              <w:rPr>
                <w:spacing w:val="-10"/>
                <w:rtl/>
              </w:rPr>
            </w:pPr>
            <w:r w:rsidRPr="006903C5">
              <w:rPr>
                <w:rFonts w:hint="cs"/>
                <w:spacing w:val="-10"/>
                <w:sz w:val="26"/>
                <w:szCs w:val="26"/>
                <w:rtl/>
              </w:rPr>
              <w:t>כ-</w:t>
            </w:r>
            <w:r>
              <w:rPr>
                <w:rFonts w:hint="cs"/>
                <w:spacing w:val="-10"/>
                <w:rtl/>
              </w:rPr>
              <w:t>55%</w:t>
            </w:r>
          </w:p>
        </w:tc>
        <w:tc>
          <w:tcPr>
            <w:tcW w:w="160" w:type="pct"/>
            <w:vAlign w:val="bottom"/>
          </w:tcPr>
          <w:p w:rsidR="00420374" w:rsidP="00C47002" w14:paraId="5B4C8A80" w14:textId="77777777">
            <w:pPr>
              <w:spacing w:after="60" w:line="240" w:lineRule="auto"/>
              <w:jc w:val="left"/>
              <w:rPr>
                <w:rtl/>
              </w:rPr>
            </w:pPr>
          </w:p>
        </w:tc>
        <w:tc>
          <w:tcPr>
            <w:tcW w:w="1145" w:type="pct"/>
            <w:tcBorders>
              <w:bottom w:val="single" w:sz="12" w:space="0" w:color="000000"/>
            </w:tcBorders>
            <w:vAlign w:val="bottom"/>
          </w:tcPr>
          <w:p w:rsidR="00420374" w:rsidRPr="0062456C" w:rsidP="00C47002" w14:paraId="226A2E50" w14:textId="433B5B3E">
            <w:pPr>
              <w:spacing w:after="60" w:line="192" w:lineRule="auto"/>
              <w:rPr>
                <w:rFonts w:ascii="Tahoma" w:hAnsi="Tahoma" w:eastAsiaTheme="minorEastAsia" w:cs="Tahoma"/>
                <w:b/>
                <w:bCs/>
                <w:color w:val="0D0D0D" w:themeColor="text1" w:themeTint="F2"/>
                <w:spacing w:val="-10"/>
                <w:sz w:val="36"/>
                <w:szCs w:val="36"/>
                <w:rtl/>
              </w:rPr>
            </w:pPr>
            <w:r w:rsidRPr="006903C5">
              <w:rPr>
                <w:rFonts w:ascii="Tahoma" w:hAnsi="Tahoma" w:eastAsiaTheme="minorEastAsia" w:cs="Tahoma" w:hint="cs"/>
                <w:b/>
                <w:bCs/>
                <w:color w:val="0D0D0D" w:themeColor="text1" w:themeTint="F2"/>
                <w:spacing w:val="-10"/>
                <w:sz w:val="26"/>
                <w:szCs w:val="26"/>
                <w:rtl/>
              </w:rPr>
              <w:t>כ-</w:t>
            </w:r>
            <w:r>
              <w:rPr>
                <w:rFonts w:ascii="Tahoma" w:hAnsi="Tahoma" w:eastAsiaTheme="minorEastAsia" w:cs="Tahoma" w:hint="cs"/>
                <w:b/>
                <w:bCs/>
                <w:color w:val="0D0D0D" w:themeColor="text1" w:themeTint="F2"/>
                <w:spacing w:val="-10"/>
                <w:sz w:val="36"/>
                <w:szCs w:val="36"/>
                <w:rtl/>
              </w:rPr>
              <w:t>4%</w:t>
            </w:r>
          </w:p>
        </w:tc>
        <w:tc>
          <w:tcPr>
            <w:tcW w:w="181" w:type="pct"/>
          </w:tcPr>
          <w:p w:rsidR="00420374" w:rsidP="00C47002" w14:paraId="5E7F766C" w14:textId="77777777">
            <w:pPr>
              <w:spacing w:after="60" w:line="240" w:lineRule="auto"/>
              <w:rPr>
                <w:rFonts w:ascii="Tahoma" w:hAnsi="Tahoma" w:eastAsiaTheme="minorEastAsia" w:cs="Tahoma"/>
                <w:b/>
                <w:bCs/>
                <w:color w:val="0D0D0D" w:themeColor="text1" w:themeTint="F2"/>
                <w:spacing w:val="-10"/>
                <w:sz w:val="36"/>
                <w:szCs w:val="36"/>
                <w:rtl/>
              </w:rPr>
            </w:pPr>
          </w:p>
        </w:tc>
        <w:tc>
          <w:tcPr>
            <w:tcW w:w="1137" w:type="pct"/>
            <w:tcBorders>
              <w:bottom w:val="single" w:sz="12" w:space="0" w:color="000000"/>
            </w:tcBorders>
            <w:vAlign w:val="bottom"/>
          </w:tcPr>
          <w:p w:rsidR="00420374" w:rsidP="00C47002" w14:paraId="5AEEF263" w14:textId="19E82455">
            <w:pPr>
              <w:spacing w:after="60" w:line="240" w:lineRule="auto"/>
              <w:jc w:val="left"/>
              <w:rPr>
                <w:rFonts w:ascii="Tahoma" w:hAnsi="Tahoma" w:eastAsiaTheme="minorEastAsia" w:cs="Tahoma"/>
                <w:b/>
                <w:bCs/>
                <w:color w:val="0D0D0D" w:themeColor="text1" w:themeTint="F2"/>
                <w:spacing w:val="-10"/>
                <w:sz w:val="36"/>
                <w:szCs w:val="36"/>
                <w:rtl/>
              </w:rPr>
            </w:pPr>
            <w:r>
              <w:rPr>
                <w:rFonts w:ascii="Tahoma" w:hAnsi="Tahoma" w:eastAsiaTheme="minorEastAsia" w:cs="Tahoma" w:hint="cs"/>
                <w:b/>
                <w:bCs/>
                <w:color w:val="0D0D0D" w:themeColor="text1" w:themeTint="F2"/>
                <w:spacing w:val="-10"/>
                <w:sz w:val="36"/>
                <w:szCs w:val="36"/>
                <w:rtl/>
              </w:rPr>
              <w:t xml:space="preserve">170 </w:t>
            </w:r>
            <w:r>
              <w:rPr>
                <w:rFonts w:ascii="Tahoma" w:hAnsi="Tahoma" w:eastAsiaTheme="minorEastAsia" w:cs="Tahoma"/>
                <w:b/>
                <w:bCs/>
                <w:color w:val="0D0D0D" w:themeColor="text1" w:themeTint="F2"/>
                <w:spacing w:val="-10"/>
                <w:sz w:val="36"/>
                <w:szCs w:val="36"/>
                <w:rtl/>
              </w:rPr>
              <w:br/>
            </w:r>
            <w:r w:rsidRPr="006903C5">
              <w:rPr>
                <w:rFonts w:ascii="Tahoma" w:hAnsi="Tahoma" w:eastAsiaTheme="minorEastAsia" w:cs="Tahoma" w:hint="cs"/>
                <w:b/>
                <w:bCs/>
                <w:color w:val="0D0D0D" w:themeColor="text1" w:themeTint="F2"/>
                <w:spacing w:val="-10"/>
                <w:sz w:val="26"/>
                <w:szCs w:val="26"/>
                <w:rtl/>
              </w:rPr>
              <w:t>כלי רכב בלבד</w:t>
            </w:r>
          </w:p>
        </w:tc>
      </w:tr>
      <w:tr w14:paraId="54154FA5" w14:textId="77777777" w:rsidTr="004863B3">
        <w:tblPrEx>
          <w:tblW w:w="5028" w:type="pct"/>
          <w:tblLook w:val="04A0"/>
        </w:tblPrEx>
        <w:tc>
          <w:tcPr>
            <w:tcW w:w="1185" w:type="pct"/>
            <w:tcBorders>
              <w:top w:val="single" w:sz="12" w:space="0" w:color="000000"/>
            </w:tcBorders>
          </w:tcPr>
          <w:p w:rsidR="00420374" w:rsidRPr="004863B3" w:rsidP="00937056" w14:paraId="6DB67748" w14:textId="44C93B86">
            <w:pPr>
              <w:pStyle w:val="732021"/>
              <w:spacing w:before="0" w:after="0"/>
              <w:rPr>
                <w:spacing w:val="-4"/>
                <w:rtl/>
              </w:rPr>
            </w:pPr>
            <w:r w:rsidRPr="004863B3">
              <w:rPr>
                <w:spacing w:val="-4"/>
                <w:rtl/>
              </w:rPr>
              <w:t xml:space="preserve">חוברו לרשת החלוקה בישראל (באזור הנגב), נכון למרץ 2022. היישוב שחובר בעבר ברובו בצנרת למאגר גז יבשתי, הוסב לרשת החלוקה האזורית. נוסף על כך, במסגרת ניסוי משותף של רשות מקרקעי ישראל ורשות הגז הטבעי לחיבור 18 שכונות מגורים, החלו עבודות להנחת רשת החלוקה בשלוש </w:t>
            </w:r>
            <w:r w:rsidRPr="004863B3">
              <w:rPr>
                <w:spacing w:val="-4"/>
                <w:rtl/>
              </w:rPr>
              <w:br/>
              <w:t>מ-18 שכונות אלה</w:t>
            </w:r>
          </w:p>
        </w:tc>
        <w:tc>
          <w:tcPr>
            <w:tcW w:w="160" w:type="pct"/>
          </w:tcPr>
          <w:p w:rsidR="00420374" w:rsidRPr="008D750B" w:rsidP="00937056" w14:paraId="0C0AE598" w14:textId="77777777">
            <w:pPr>
              <w:pStyle w:val="732021"/>
              <w:spacing w:before="0" w:after="0"/>
              <w:rPr>
                <w:rtl/>
              </w:rPr>
            </w:pPr>
          </w:p>
        </w:tc>
        <w:tc>
          <w:tcPr>
            <w:tcW w:w="1032" w:type="pct"/>
            <w:tcBorders>
              <w:top w:val="single" w:sz="12" w:space="0" w:color="000000"/>
            </w:tcBorders>
          </w:tcPr>
          <w:p w:rsidR="00420374" w:rsidRPr="004562F8" w:rsidP="00937056" w14:paraId="1916A301" w14:textId="509B3596">
            <w:pPr>
              <w:pStyle w:val="732021"/>
              <w:spacing w:before="0" w:after="0"/>
              <w:rPr>
                <w:rtl/>
              </w:rPr>
            </w:pPr>
            <w:r w:rsidRPr="0058052C">
              <w:rPr>
                <w:rtl/>
              </w:rPr>
              <w:t xml:space="preserve">מהמפעלים (82 </w:t>
            </w:r>
            <w:r w:rsidRPr="0058052C">
              <w:rPr>
                <w:rtl/>
              </w:rPr>
              <w:br/>
              <w:t>מ-149) שקיבלו מענקי חיבור והסבה מהרשות להשקעות ולפיתוח התעשייה והכלכלה שבמשרד הכלכלה לא חוברו בפועל לרשת החלוקה</w:t>
            </w:r>
          </w:p>
        </w:tc>
        <w:tc>
          <w:tcPr>
            <w:tcW w:w="160" w:type="pct"/>
          </w:tcPr>
          <w:p w:rsidR="00420374" w:rsidP="00937056" w14:paraId="14782C57" w14:textId="77777777">
            <w:pPr>
              <w:pStyle w:val="732021"/>
              <w:spacing w:before="0" w:after="0"/>
              <w:rPr>
                <w:rtl/>
              </w:rPr>
            </w:pPr>
          </w:p>
        </w:tc>
        <w:tc>
          <w:tcPr>
            <w:tcW w:w="1145" w:type="pct"/>
            <w:tcBorders>
              <w:top w:val="single" w:sz="12" w:space="0" w:color="000000"/>
            </w:tcBorders>
          </w:tcPr>
          <w:p w:rsidR="00420374" w:rsidRPr="0062456C" w:rsidP="00937056" w14:paraId="6149CA50" w14:textId="1D4E3B2F">
            <w:pPr>
              <w:pStyle w:val="732021"/>
              <w:spacing w:before="0" w:after="0"/>
              <w:rPr>
                <w:rtl/>
              </w:rPr>
            </w:pPr>
            <w:r w:rsidRPr="0058052C">
              <w:rPr>
                <w:rtl/>
              </w:rPr>
              <w:t>מ-471 מגה-ואט שהוקצו באסדרה של רשות החשמל משנת 2018 מיוצרים במועד סיום הביקורת במתקני ייצור חשמל מגז טבעי ברשת חלוקת החשמל</w:t>
            </w:r>
          </w:p>
        </w:tc>
        <w:tc>
          <w:tcPr>
            <w:tcW w:w="181" w:type="pct"/>
          </w:tcPr>
          <w:p w:rsidR="00420374" w:rsidRPr="00C92141" w:rsidP="00937056" w14:paraId="66E34E8E" w14:textId="77777777">
            <w:pPr>
              <w:pStyle w:val="732021"/>
              <w:spacing w:before="0" w:after="0"/>
              <w:rPr>
                <w:rtl/>
              </w:rPr>
            </w:pPr>
          </w:p>
        </w:tc>
        <w:tc>
          <w:tcPr>
            <w:tcW w:w="1137" w:type="pct"/>
            <w:tcBorders>
              <w:top w:val="single" w:sz="12" w:space="0" w:color="000000"/>
            </w:tcBorders>
          </w:tcPr>
          <w:p w:rsidR="00420374" w:rsidRPr="00C92141" w:rsidP="00937056" w14:paraId="39498237" w14:textId="3E6506F8">
            <w:pPr>
              <w:pStyle w:val="732021"/>
              <w:spacing w:before="0" w:after="0"/>
              <w:rPr>
                <w:rtl/>
              </w:rPr>
            </w:pPr>
            <w:r w:rsidRPr="0058052C">
              <w:rPr>
                <w:rtl/>
              </w:rPr>
              <w:t xml:space="preserve">מונעים בגז טבעי דחוס היו בישראל בשנת 2020 </w:t>
            </w:r>
            <w:r>
              <w:rPr>
                <w:rtl/>
              </w:rPr>
              <w:br/>
            </w:r>
            <w:r w:rsidRPr="0058052C">
              <w:rPr>
                <w:rtl/>
              </w:rPr>
              <w:t>(כ-0.05% מכלל כלי הרכב הכבדים באותה שנה), וזאת על אף תוכניות הממשלה לעבור להנעה באמצעות גז טבעי</w:t>
            </w:r>
          </w:p>
        </w:tc>
      </w:tr>
    </w:tbl>
    <w:p w:rsidR="004863B3" w:rsidP="00C87BAE" w14:paraId="1F371865" w14:textId="77777777">
      <w:pPr>
        <w:pStyle w:val="7392"/>
        <w:ind w:left="424"/>
        <w:rPr>
          <w:b/>
          <w:bCs/>
          <w:rtl/>
        </w:rPr>
      </w:pPr>
    </w:p>
    <w:p w:rsidR="004863B3" w14:paraId="314EE6DB" w14:textId="77777777">
      <w:pPr>
        <w:bidi w:val="0"/>
        <w:spacing w:after="200" w:line="276" w:lineRule="auto"/>
        <w:rPr>
          <w:rFonts w:ascii="Tahoma" w:hAnsi="Tahoma" w:cs="Tahoma"/>
          <w:b/>
          <w:bCs/>
          <w:color w:val="0D0D0D" w:themeColor="text1" w:themeTint="F2"/>
          <w:sz w:val="18"/>
          <w:szCs w:val="18"/>
          <w:rtl/>
        </w:rPr>
      </w:pPr>
      <w:r>
        <w:rPr>
          <w:b/>
          <w:bCs/>
          <w:rtl/>
        </w:rPr>
        <w:br w:type="page"/>
      </w:r>
    </w:p>
    <w:p w:rsidR="004863B3" w:rsidRPr="00C62692" w:rsidP="004863B3" w14:paraId="5DCA702F" w14:textId="77777777">
      <w:pPr>
        <w:pStyle w:val="73"/>
        <w:rPr>
          <w:rtl/>
        </w:rPr>
      </w:pPr>
      <w:r w:rsidRPr="00C62692">
        <w:rPr>
          <w:rtl/>
        </w:rPr>
        <w:t>פעולות הביקורת</w:t>
      </w:r>
    </w:p>
    <w:p w:rsidR="004863B3" w:rsidP="004863B3" w14:paraId="3A3E991C" w14:textId="77777777">
      <w:pPr>
        <w:pStyle w:val="7317"/>
        <w:rPr>
          <w:rtl/>
        </w:rPr>
      </w:pPr>
      <w:r w:rsidRPr="001F3363">
        <w:rPr>
          <w:noProof/>
        </w:rPr>
        <w:drawing>
          <wp:anchor distT="0" distB="0" distL="114300" distR="114300" simplePos="0" relativeHeight="251693056" behindDoc="0" locked="0" layoutInCell="1" allowOverlap="1">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052C">
        <w:rPr>
          <w:rtl/>
        </w:rPr>
        <w:t>בחודשים יוני 2021 עד מרץ 2022 (תקופת הביקורת) בדק משרד מבקר המדינה את מצב פריסת רשת החלוקה נכון ל</w:t>
      </w:r>
      <w:r w:rsidRPr="0058052C">
        <w:rPr>
          <w:rFonts w:hint="cs"/>
          <w:rtl/>
        </w:rPr>
        <w:t xml:space="preserve">סיום </w:t>
      </w:r>
      <w:r w:rsidRPr="0058052C">
        <w:rPr>
          <w:rtl/>
        </w:rPr>
        <w:t xml:space="preserve">תקופת הביקורת, ובכלל זה את מדיניות פיתוח רשת החלוקה, הסיוע הממשלתי לחברות החלוקה ולצרכני הקצה, החסמים הבירוקרטיים לפיתוח רשת החלוקה והמודל הכלכלי שלה. הביקורת נעשתה במשרד </w:t>
      </w:r>
      <w:r w:rsidRPr="0058052C">
        <w:rPr>
          <w:rtl/>
        </w:rPr>
        <w:t>האנרגייה</w:t>
      </w:r>
      <w:r w:rsidRPr="0058052C">
        <w:rPr>
          <w:rtl/>
        </w:rPr>
        <w:t>, ברשות הגז הטבעי, במשרד האוצר, ברשות לשירותים ציבוריים (חשמל), במשרד הכלכלה והתעשייה, במשרד להגנת הסביבה, במשרד התחבורה והבטיחות בדרכים, בחברת החשמל לישראל בע"מ, בחברת נגה - ניהול מערכת החשמל בע"מ</w:t>
      </w:r>
      <w:r>
        <w:rPr>
          <w:rFonts w:hint="cs"/>
          <w:rtl/>
        </w:rPr>
        <w:t>.</w:t>
      </w:r>
      <w:r w:rsidRPr="001F3363">
        <w:rPr>
          <w:rFonts w:hint="cs"/>
          <w:rtl/>
        </w:rPr>
        <w:t xml:space="preserve"> </w:t>
      </w:r>
    </w:p>
    <w:p w:rsidR="004863B3" w:rsidP="004863B3" w14:paraId="0E849F71" w14:textId="77777777">
      <w:pPr>
        <w:pStyle w:val="7317"/>
        <w:rPr>
          <w:rtl/>
        </w:rPr>
      </w:pPr>
      <w:r w:rsidRPr="001259EA">
        <w:rPr>
          <w:sz w:val="19"/>
          <w:szCs w:val="19"/>
          <w:rtl/>
        </w:rPr>
        <w:t>בדיקות השלמה נעשו במשרד הבריאות, בשירותי בריאות כללית, במכון התקנים הישראלי, בחברת נתיבי הגז הטבעי לישראל בע"מ וברשות הכבאות וההצלה. כמו כן התקבלו נתונים ונבחנה התייחסותן של חברות החלוקה שהינן זכייניות פרטיות, הפועלות כחברות בתחום התשתיות, אשר זכו במכרזים שפרסמה רשות הגז</w:t>
      </w:r>
      <w:r>
        <w:rPr>
          <w:rFonts w:hint="cs"/>
          <w:sz w:val="19"/>
          <w:szCs w:val="19"/>
          <w:rtl/>
        </w:rPr>
        <w:t xml:space="preserve"> הטבעי</w:t>
      </w:r>
      <w:r w:rsidRPr="001259EA">
        <w:rPr>
          <w:sz w:val="19"/>
          <w:szCs w:val="19"/>
          <w:rtl/>
        </w:rPr>
        <w:t xml:space="preserve"> להקמת רשת החלוקה. יודגש כי הגם שחברות אלה </w:t>
      </w:r>
      <w:r w:rsidRPr="001259EA">
        <w:rPr>
          <w:sz w:val="19"/>
          <w:szCs w:val="19"/>
          <w:rtl/>
        </w:rPr>
        <w:t>מחוייבות</w:t>
      </w:r>
      <w:r w:rsidRPr="001259EA">
        <w:rPr>
          <w:sz w:val="19"/>
          <w:szCs w:val="19"/>
          <w:rtl/>
        </w:rPr>
        <w:t xml:space="preserve"> להקמת רשת החלוקה, הן חברות פרטיות, אינן מהוות גופים מבוקרים ועל כן תחולת הביקורת אינה משתרעת על עבודתן</w:t>
      </w:r>
      <w:r>
        <w:rPr>
          <w:rFonts w:hint="cs"/>
          <w:sz w:val="19"/>
          <w:szCs w:val="19"/>
          <w:rtl/>
        </w:rPr>
        <w:t>.</w:t>
      </w:r>
    </w:p>
    <w:p w:rsidR="004863B3" w:rsidRPr="00662020" w:rsidP="004863B3" w14:paraId="10E5647B" w14:textId="56600E83">
      <w:pPr>
        <w:pStyle w:val="7327"/>
        <w:rPr>
          <w:rtl/>
        </w:rPr>
      </w:pPr>
      <w:r w:rsidRPr="00662020">
        <w:rPr>
          <w:rFonts w:hint="cs"/>
          <w:rtl/>
        </w:rPr>
        <w:t>תמונת המצב העולה מן הביקורת</w:t>
      </w:r>
    </w:p>
    <w:p w:rsidR="004863B3" w:rsidRPr="001F3363" w:rsidP="004863B3" w14:paraId="4B4C7F86" w14:textId="3E198E5C">
      <w:pPr>
        <w:pStyle w:val="7317"/>
        <w:rPr>
          <w:rtl/>
        </w:rPr>
      </w:pPr>
      <w:r w:rsidRPr="00362C00">
        <w:rPr>
          <w:noProof/>
          <w:rtl/>
        </w:rPr>
        <w:drawing>
          <wp:anchor distT="0" distB="0" distL="114300" distR="114300" simplePos="0" relativeHeight="251695104" behindDoc="0" locked="0" layoutInCell="1" allowOverlap="1">
            <wp:simplePos x="0" y="0"/>
            <wp:positionH relativeFrom="column">
              <wp:posOffset>2536190</wp:posOffset>
            </wp:positionH>
            <wp:positionV relativeFrom="paragraph">
              <wp:posOffset>53106</wp:posOffset>
            </wp:positionV>
            <wp:extent cx="2101215" cy="172085"/>
            <wp:effectExtent l="0" t="0" r="0" b="5715"/>
            <wp:wrapSquare wrapText="bothSides"/>
            <wp:docPr id="6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תמונה 2"/>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p>
    <w:p w:rsidR="004863B3" w:rsidRPr="0093709F" w:rsidP="004863B3" w14:paraId="50C52466" w14:textId="77777777">
      <w:pPr>
        <w:pStyle w:val="7392"/>
        <w:spacing w:before="240"/>
        <w:ind w:left="424"/>
        <w:rPr>
          <w:rtl/>
        </w:rPr>
      </w:pPr>
      <w:r w:rsidRPr="00B02658">
        <w:rPr>
          <w:rFonts w:hint="cs"/>
          <w:b/>
          <w:bCs/>
          <w:noProof/>
          <w:rtl/>
        </w:rPr>
        <w:drawing>
          <wp:anchor distT="0" distB="720090" distL="114300" distR="114300" simplePos="0" relativeHeight="251694080" behindDoc="1" locked="0" layoutInCell="1" allowOverlap="1">
            <wp:simplePos x="0" y="0"/>
            <wp:positionH relativeFrom="column">
              <wp:posOffset>4526280</wp:posOffset>
            </wp:positionH>
            <wp:positionV relativeFrom="paragraph">
              <wp:posOffset>28738</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903C5">
        <w:rPr>
          <w:b/>
          <w:bCs/>
          <w:rtl/>
        </w:rPr>
        <w:t>אי-עמידה ביעדים לגבי חיבור הצרכנים לרשת החלוקה</w:t>
      </w:r>
      <w:r w:rsidRPr="0058052C">
        <w:rPr>
          <w:rtl/>
        </w:rPr>
        <w:t xml:space="preserve"> - בחלוף 13 שנים ממתן רישיונות החלוקה הראשונים, שיעור הצרכנים שצרכו בפועל גז טבעי ברשת החלוקה הוא כ-22% בלבד מהיעד שנקבע (102 מ-450 צרכנים). אי-העמידה ביעד ודחיית המועד לחיבור מחצית מספר הצרכנים שנקבעו בהחלטת הממשלה משמעותן אובדן חיסכון למשק בסכום של 0.8 - 1.9 מיליארד ש"ח</w:t>
      </w:r>
      <w:r>
        <w:rPr>
          <w:vertAlign w:val="superscript"/>
          <w:rtl/>
        </w:rPr>
        <w:footnoteReference w:id="4"/>
      </w:r>
      <w:r w:rsidRPr="0093709F">
        <w:rPr>
          <w:rtl/>
        </w:rPr>
        <w:t>.</w:t>
      </w:r>
    </w:p>
    <w:p w:rsidR="00420374" w:rsidRPr="0093709F" w:rsidP="00C87BAE" w14:paraId="1D22E15A" w14:textId="1FAFAB64">
      <w:pPr>
        <w:pStyle w:val="7392"/>
        <w:ind w:left="424"/>
      </w:pPr>
      <w:r w:rsidRPr="00B02658">
        <w:rPr>
          <w:rFonts w:hint="cs"/>
          <w:b/>
          <w:bCs/>
          <w:noProof/>
          <w:rtl/>
        </w:rPr>
        <w:drawing>
          <wp:anchor distT="0" distB="720090" distL="114300" distR="114300" simplePos="0" relativeHeight="251683840" behindDoc="1" locked="0" layoutInCell="1" allowOverlap="1">
            <wp:simplePos x="0" y="0"/>
            <wp:positionH relativeFrom="column">
              <wp:posOffset>4526280</wp:posOffset>
            </wp:positionH>
            <wp:positionV relativeFrom="paragraph">
              <wp:posOffset>28738</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4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903C5" w:rsidR="006903C5">
        <w:rPr>
          <w:b/>
          <w:bCs/>
          <w:rtl/>
        </w:rPr>
        <w:t>הליך להפחתת היעדים לחיבור צרכנים</w:t>
      </w:r>
      <w:r w:rsidRPr="0058052C" w:rsidR="006903C5">
        <w:rPr>
          <w:rtl/>
        </w:rPr>
        <w:t xml:space="preserve"> - בנובמבר 2020 צמצמה רשות הגז הטבעי את היעד למספר הצרכנים הצפויים להתחבר ולצרוך בפועל גז טבעי מרשת החלוקה בכ-50% (225 צרכנים) בהשוואה ליעד שנקבע עד לשנת 2020 (450 צרכנים), בהחלטת הממשלה מס' 352 משנת 2015 ודחתה את חיבורם של צרכנים אלה בחמש שנים, לשנת 2025, כל זאת ללא דיון סדור או אישור שינוי היעדים בהחלטות ממשלה</w:t>
      </w:r>
      <w:r w:rsidRPr="0093709F">
        <w:rPr>
          <w:rFonts w:hint="cs"/>
          <w:rtl/>
        </w:rPr>
        <w:t xml:space="preserve">. </w:t>
      </w:r>
    </w:p>
    <w:p w:rsidR="00420374" w:rsidRPr="0093709F" w:rsidP="00C87BAE" w14:paraId="5E2BFABB" w14:textId="3C3997FF">
      <w:pPr>
        <w:pStyle w:val="7392"/>
        <w:ind w:left="424"/>
        <w:rPr>
          <w:rtl/>
        </w:rPr>
      </w:pPr>
      <w:r w:rsidRPr="00B02658">
        <w:rPr>
          <w:rFonts w:hint="cs"/>
          <w:b/>
          <w:bCs/>
          <w:noProof/>
          <w:rtl/>
        </w:rPr>
        <w:drawing>
          <wp:anchor distT="0" distB="720090" distL="114300" distR="114300" simplePos="0" relativeHeight="251684864" behindDoc="1" locked="0" layoutInCell="1" allowOverlap="1">
            <wp:simplePos x="0" y="0"/>
            <wp:positionH relativeFrom="column">
              <wp:posOffset>4526280</wp:posOffset>
            </wp:positionH>
            <wp:positionV relativeFrom="paragraph">
              <wp:posOffset>28738</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5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903C5" w:rsidR="006903C5">
        <w:rPr>
          <w:b/>
          <w:bCs/>
          <w:rtl/>
        </w:rPr>
        <w:t>מימון ממשלתי של רשת החלוקה</w:t>
      </w:r>
      <w:r w:rsidRPr="0058052C" w:rsidR="006903C5">
        <w:rPr>
          <w:rtl/>
        </w:rPr>
        <w:t xml:space="preserve"> - עד מועד סיום הביקורת השקיעה המדינה בפרויקט רשת החלוקה 537 מיליון ש"ח - 40% מהם (217 מיליון ש"ח) שלא בהתאם לעקרונות מכרזי רישיונות החלוקה שבהם נקבע שחברות החלוקה יישאו במלוא עלויות רשת החלוקה, 23% (124 מיליון ש"ח) בהתאם לעקרונות מכרזי רישיונות החלוקה, 25% (136 מיליון ש"ח) סיוע </w:t>
      </w:r>
      <w:r w:rsidRPr="0058052C" w:rsidR="006903C5">
        <w:rPr>
          <w:rtl/>
        </w:rPr>
        <w:t>לחיבור צרכנים מרוחקים וצרכנים מסוימים, ו-11% (60 מיליון ש"ח) מענקי הסבה לצרכני הקצה</w:t>
      </w:r>
      <w:r w:rsidRPr="0093709F">
        <w:rPr>
          <w:rFonts w:hint="cs"/>
          <w:rtl/>
        </w:rPr>
        <w:t>.</w:t>
      </w:r>
    </w:p>
    <w:p w:rsidR="00420374" w:rsidRPr="0093709F" w:rsidP="00C87BAE" w14:paraId="583ECB3F" w14:textId="5FA81A40">
      <w:pPr>
        <w:pStyle w:val="7392"/>
        <w:ind w:left="424"/>
      </w:pPr>
      <w:r w:rsidRPr="00B02658">
        <w:rPr>
          <w:rFonts w:hint="cs"/>
          <w:b/>
          <w:bCs/>
          <w:noProof/>
          <w:rtl/>
        </w:rPr>
        <w:drawing>
          <wp:anchor distT="0" distB="720090" distL="114300" distR="114300" simplePos="0" relativeHeight="251685888" behindDoc="1" locked="0" layoutInCell="1" allowOverlap="1">
            <wp:simplePos x="0" y="0"/>
            <wp:positionH relativeFrom="column">
              <wp:posOffset>4526280</wp:posOffset>
            </wp:positionH>
            <wp:positionV relativeFrom="paragraph">
              <wp:posOffset>47462</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5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903C5" w:rsidR="006903C5">
        <w:rPr>
          <w:b/>
          <w:bCs/>
          <w:rtl/>
        </w:rPr>
        <w:t>מידע על השקעות חברות החלוקה</w:t>
      </w:r>
      <w:r w:rsidRPr="0058052C" w:rsidR="006903C5">
        <w:rPr>
          <w:rtl/>
        </w:rPr>
        <w:t xml:space="preserve"> - נכון למועד סיום הביקורת אין בידי רשות הגז הטבעי מידע מעודכן בנוגע להיקפי ההשקעה של חברות החלוקה ולא מצוי בידה מידע על היקף ההשקעה של חברות החלוקה בניכוי מענקי סיוע שהעבירה המדינה ובניכוי תקציבים שהוסטו </w:t>
      </w:r>
      <w:r w:rsidRPr="0058052C" w:rsidR="006903C5">
        <w:rPr>
          <w:rtl/>
        </w:rPr>
        <w:t>מנתג"ז</w:t>
      </w:r>
      <w:r w:rsidRPr="0058052C" w:rsidR="006903C5">
        <w:rPr>
          <w:rtl/>
        </w:rPr>
        <w:t>. עוד עלה כי אף שחוק משק הגז הטבעי מקנה לרשות הגז הטבעי סמכות לדרוש מידע שלדעתה עשוי להיות מהותי לצורך פיקוח על ביצוע הוראות החוק והרישיונות, הרשות הסתפקה במידע שמסרו לה חברות החלוקה במועדים שהן סברו שהן עמדו באבני הדרך</w:t>
      </w:r>
      <w:r w:rsidRPr="0093709F">
        <w:rPr>
          <w:rFonts w:hint="cs"/>
          <w:rtl/>
        </w:rPr>
        <w:t xml:space="preserve">. </w:t>
      </w:r>
    </w:p>
    <w:p w:rsidR="00420374" w:rsidRPr="0093709F" w:rsidP="00C87BAE" w14:paraId="7C081EA1" w14:textId="6054F866">
      <w:pPr>
        <w:pStyle w:val="7392"/>
        <w:ind w:left="424"/>
      </w:pPr>
      <w:r w:rsidRPr="00B02658">
        <w:rPr>
          <w:rFonts w:hint="cs"/>
          <w:b/>
          <w:bCs/>
          <w:noProof/>
          <w:rtl/>
        </w:rPr>
        <w:drawing>
          <wp:anchor distT="0" distB="720090" distL="114300" distR="114300" simplePos="0" relativeHeight="251686912" behindDoc="1" locked="0" layoutInCell="1" allowOverlap="1">
            <wp:simplePos x="0" y="0"/>
            <wp:positionH relativeFrom="column">
              <wp:posOffset>4526280</wp:posOffset>
            </wp:positionH>
            <wp:positionV relativeFrom="paragraph">
              <wp:posOffset>47462</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5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903C5" w:rsidR="006903C5">
        <w:rPr>
          <w:b/>
          <w:bCs/>
          <w:rtl/>
        </w:rPr>
        <w:t xml:space="preserve">חיבור מפעלים שקיבלו מענקי חיבור והסבה לרשת החלוקה </w:t>
      </w:r>
      <w:r w:rsidRPr="0058052C" w:rsidR="006903C5">
        <w:rPr>
          <w:rtl/>
        </w:rPr>
        <w:t xml:space="preserve">- </w:t>
      </w:r>
      <w:r w:rsidRPr="0058052C" w:rsidR="006903C5">
        <w:t>82</w:t>
      </w:r>
      <w:r w:rsidRPr="0058052C" w:rsidR="006903C5">
        <w:rPr>
          <w:rtl/>
        </w:rPr>
        <w:t xml:space="preserve"> מפעלים מתוך 149 שקיבלו מענקים מרשות ההשקעות ופיתוח התעשייה והכלכלה במשרד הכלכלה (כ-55% מכלל המפעלים שקיבלו מענקי חיבור והסבה) לא חוברו בפועל לרשת החלוקה. רשות ההשקעות בחנה את יעילות מסלול המענקים פעם אחת, ביולי 2017 ומאז לא בוצעה בחינה של יעילות המסלולים. עם זאת, רשות הגז הטבעי ביצעה סקירה של מימון עלויות ההסבה לגז טבעי באוגוסט 2021 ורשות ההשקעות ורשות הגז הטבעי קידמו התאמות של הוראת המנכ"ל וביצוע שינויים נדרשים בה כמה פעמים, בהתאם לתוצאות בחינת יעילות מסלול המענקים משנת 2017 וסקירת מימון עלויות ההסבה משנת 2021. יצוין כי הליקוי עלה בדוח הקודם ולא תוקן</w:t>
      </w:r>
      <w:r w:rsidRPr="0093709F">
        <w:rPr>
          <w:rFonts w:hint="cs"/>
          <w:rtl/>
        </w:rPr>
        <w:t xml:space="preserve">. </w:t>
      </w:r>
    </w:p>
    <w:p w:rsidR="00420374" w:rsidRPr="0093709F" w:rsidP="00C87BAE" w14:paraId="5E8BF229" w14:textId="64660578">
      <w:pPr>
        <w:pStyle w:val="7392"/>
        <w:ind w:left="424"/>
        <w:rPr>
          <w:rtl/>
        </w:rPr>
      </w:pPr>
      <w:r w:rsidRPr="00B02658">
        <w:rPr>
          <w:rFonts w:hint="cs"/>
          <w:b/>
          <w:bCs/>
          <w:noProof/>
          <w:rtl/>
        </w:rPr>
        <w:drawing>
          <wp:anchor distT="0" distB="720090" distL="114300" distR="114300" simplePos="0" relativeHeight="251687936" behindDoc="1" locked="0" layoutInCell="1" allowOverlap="1">
            <wp:simplePos x="0" y="0"/>
            <wp:positionH relativeFrom="column">
              <wp:posOffset>4526280</wp:posOffset>
            </wp:positionH>
            <wp:positionV relativeFrom="paragraph">
              <wp:posOffset>47462</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5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903C5" w:rsidR="006903C5">
        <w:rPr>
          <w:b/>
          <w:bCs/>
          <w:rtl/>
        </w:rPr>
        <w:t>חסמי פיתוח הנובעים מהמודל הכלכלי ברישיונות החלוקה</w:t>
      </w:r>
      <w:r w:rsidRPr="0058052C" w:rsidR="006903C5">
        <w:rPr>
          <w:rtl/>
        </w:rPr>
        <w:t xml:space="preserve"> - אף שרישיונות החלוקה ניתנו לראשונה חמש שנים לאחר רישיון ההולכה ואף שרישיונות החלוקה וההולכה ניתנים לתקופה של 30-25 שנים, רשת החלוקה התפתחה בקצב איטי יחסית ליעדים שהציבה הממשלה ובהשוואה לפיתוח מערכת ההולכה. המודל הכלכלי של רשת החלוקה, ובפרט הקשיחות בעדכון תעריפי החלוקה, היעדר צרכני עוגן והיכולת לגבות תעריפים בגין שימוש בפועל בלבד, לעומת המודל הכלכלי של מערכת ההולכה, עלולים להפחית את הכדאיות הכלכלית שבהרחבת פריסת הרשת. יצוין כי עיקרי מודל זה נקבעו במכרזי החלוקה והיו ידועים למי שנטל בהם חלק</w:t>
      </w:r>
      <w:r w:rsidRPr="0093709F">
        <w:rPr>
          <w:rFonts w:hint="cs"/>
          <w:rtl/>
        </w:rPr>
        <w:t>.</w:t>
      </w:r>
    </w:p>
    <w:p w:rsidR="00420374" w:rsidP="00C87BAE" w14:paraId="39D5E97C" w14:textId="61D2EB74">
      <w:pPr>
        <w:pStyle w:val="7392"/>
        <w:ind w:left="424"/>
        <w:rPr>
          <w:noProof/>
        </w:rPr>
      </w:pPr>
      <w:r w:rsidRPr="00B02658">
        <w:rPr>
          <w:rFonts w:hint="cs"/>
          <w:b/>
          <w:bCs/>
          <w:noProof/>
          <w:rtl/>
        </w:rPr>
        <w:drawing>
          <wp:anchor distT="0" distB="720090" distL="114300" distR="114300" simplePos="0" relativeHeight="251688960" behindDoc="1" locked="0" layoutInCell="1" allowOverlap="1">
            <wp:simplePos x="0" y="0"/>
            <wp:positionH relativeFrom="column">
              <wp:posOffset>4526280</wp:posOffset>
            </wp:positionH>
            <wp:positionV relativeFrom="paragraph">
              <wp:posOffset>47462</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5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903C5" w:rsidR="006903C5">
        <w:rPr>
          <w:b/>
          <w:bCs/>
          <w:rtl/>
        </w:rPr>
        <w:t>השפעות השינויים באסדרה של רשות החשמל</w:t>
      </w:r>
      <w:r w:rsidRPr="0058052C" w:rsidR="006903C5">
        <w:rPr>
          <w:rtl/>
        </w:rPr>
        <w:t xml:space="preserve"> - בנובמבר 2019 פרסמה רשות החשמל את רשימת 166 יצרני החשמל הזוכים בהליך התחרותי להקמת מתקני ייצור חשמל ואת ההספק המוקצה להם - 471 מגה-ואט. בשנים 2018 - 2021 עשרה זוכים הקימו מתקני ייצור חשמל בהיקף כולל של כ-20 מגה-ואט (4.2% מתוך 471 מגה-ואט שהוקצו). במועד סיום הביקורת אף לא אחד מהמתקנים שזכו באסדרה והוקמו שולב ברשת החשמל. האסדרה במתכונתה הנוכחית עלולה לפגוע בצרכני רשת החלוקה שהתכוונו להקים מתקני ייצור חשמל בפרט ובפיתוח רשת חלוקת הגז הטבעי בכלל. לטענת חלק מחברות החלוקה, אם רשות החשמל תעדכן את מקבצי שעות הביקוש, הדבר עלול לפגוע בכדאיות שבהקמת מתקנים אלו</w:t>
      </w:r>
      <w:r w:rsidRPr="0093709F">
        <w:rPr>
          <w:rFonts w:hint="cs"/>
          <w:rtl/>
        </w:rPr>
        <w:t xml:space="preserve">. </w:t>
      </w:r>
    </w:p>
    <w:p w:rsidR="006903C5" w:rsidP="00C87BAE" w14:paraId="706F3AE3" w14:textId="12A14876">
      <w:pPr>
        <w:pStyle w:val="7392"/>
        <w:ind w:left="424"/>
        <w:rPr>
          <w:noProof/>
        </w:rPr>
      </w:pPr>
      <w:r w:rsidRPr="00B02658">
        <w:rPr>
          <w:rFonts w:hint="cs"/>
          <w:b/>
          <w:bCs/>
          <w:noProof/>
          <w:rtl/>
        </w:rPr>
        <w:drawing>
          <wp:anchor distT="0" distB="720090" distL="114300" distR="114300" simplePos="0" relativeHeight="251689984" behindDoc="1" locked="0" layoutInCell="1" allowOverlap="1">
            <wp:simplePos x="0" y="0"/>
            <wp:positionH relativeFrom="column">
              <wp:posOffset>4526280</wp:posOffset>
            </wp:positionH>
            <wp:positionV relativeFrom="paragraph">
              <wp:posOffset>47462</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5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903C5">
        <w:rPr>
          <w:b/>
          <w:bCs/>
          <w:rtl/>
        </w:rPr>
        <w:t>הסבת מגזר התחבורה הכבדה לשימוש בגז טבעי</w:t>
      </w:r>
      <w:r w:rsidRPr="0058052C">
        <w:rPr>
          <w:rtl/>
        </w:rPr>
        <w:t xml:space="preserve"> - על אף היעדים שנקבעו בהחלטות הממשלה ובתוכניות השונות, נכון לשנת 2020 נסעו בישראל כ-170 כלי רכב מונעים </w:t>
      </w:r>
      <w:r w:rsidRPr="0058052C">
        <w:rPr>
          <w:rtl/>
        </w:rPr>
        <w:t>בגט"ד</w:t>
      </w:r>
      <w:r w:rsidRPr="0058052C">
        <w:rPr>
          <w:rtl/>
        </w:rPr>
        <w:t xml:space="preserve"> (גז טבעי דחוס), מהם כ-130 אוטובוסים, כ-15 משאיות לפינוי אשפה ועוד מספר מצומצם של כלי רכב כבדים מסוגים שונים, כך ששיעורם עומד על כ-0.05% מתוך כ-340,000 </w:t>
      </w:r>
      <w:r w:rsidRPr="0058052C">
        <w:rPr>
          <w:rtl/>
        </w:rPr>
        <w:t xml:space="preserve">רכבים כבדים שנעו בישראל נכון לשנת 2019, וכ-1.5% מהתחזית שהעריך משרד </w:t>
      </w:r>
      <w:r w:rsidRPr="0058052C">
        <w:rPr>
          <w:rtl/>
        </w:rPr>
        <w:t>האנרגייה</w:t>
      </w:r>
      <w:r w:rsidRPr="0058052C">
        <w:rPr>
          <w:rtl/>
        </w:rPr>
        <w:t xml:space="preserve"> לשנת 2030 (11,600 כלי רכב מונעים </w:t>
      </w:r>
      <w:r w:rsidRPr="0058052C">
        <w:rPr>
          <w:rtl/>
        </w:rPr>
        <w:t>בגט"ד</w:t>
      </w:r>
      <w:r w:rsidRPr="0058052C">
        <w:rPr>
          <w:rtl/>
        </w:rPr>
        <w:t xml:space="preserve">). כמו כן, עד מועד סיום הביקורת הוקמו שמונה תחנות תדלוק </w:t>
      </w:r>
      <w:r w:rsidRPr="0058052C">
        <w:rPr>
          <w:rtl/>
        </w:rPr>
        <w:t>בגט"ד</w:t>
      </w:r>
      <w:r w:rsidRPr="0058052C">
        <w:rPr>
          <w:rtl/>
        </w:rPr>
        <w:t xml:space="preserve"> - שש תחנות ניידות לתדלוק </w:t>
      </w:r>
      <w:r w:rsidRPr="0058052C">
        <w:rPr>
          <w:rtl/>
        </w:rPr>
        <w:t>בגט"ד</w:t>
      </w:r>
      <w:r w:rsidRPr="0058052C">
        <w:rPr>
          <w:rtl/>
        </w:rPr>
        <w:t xml:space="preserve"> ושתי תחנות תדלוק </w:t>
      </w:r>
      <w:r w:rsidRPr="0058052C">
        <w:rPr>
          <w:rtl/>
        </w:rPr>
        <w:t>בגט"ד</w:t>
      </w:r>
      <w:r w:rsidRPr="0058052C">
        <w:rPr>
          <w:rtl/>
        </w:rPr>
        <w:t xml:space="preserve"> שחוברו למערכת ההולכה. החלטת הממשלה 3080 הטילה על משרד </w:t>
      </w:r>
      <w:r w:rsidRPr="0058052C">
        <w:rPr>
          <w:rtl/>
        </w:rPr>
        <w:t>האנרגייה</w:t>
      </w:r>
      <w:r w:rsidRPr="0058052C">
        <w:rPr>
          <w:rtl/>
        </w:rPr>
        <w:t xml:space="preserve"> ורשות הגז הטבעי להגביר ולהרחיב את הביקוש לגז טבעי ברשת החלוקה באמצעות מגזרים פוטנציאליים נוספים. כמו כן, בשורת החלטות ממשלה שהתקבלו במשך העשור הקודם הוחלט להסב לגז טבעי את מגזר התחבורה הכבדה - מגזר חדש שהיה צפוי לייצר ביקוש ניכר לגז טבעי ברשת החלוקה. ואולם משרד </w:t>
      </w:r>
      <w:r w:rsidRPr="0058052C">
        <w:rPr>
          <w:rtl/>
        </w:rPr>
        <w:t>האנרגייה</w:t>
      </w:r>
      <w:r w:rsidRPr="0058052C">
        <w:rPr>
          <w:rtl/>
        </w:rPr>
        <w:t xml:space="preserve"> ורשות הגז הטבעי לא הצליחו לרתום את המשרד להגנת הסביבה ואת משרד התחבורה להסבת מגזר התחבורה הכבדה לשימוש בגז טבעי בהיקף משמעותי</w:t>
      </w:r>
      <w:r>
        <w:rPr>
          <w:rFonts w:hint="cs"/>
          <w:noProof/>
          <w:rtl/>
        </w:rPr>
        <w:t>.</w:t>
      </w:r>
    </w:p>
    <w:p w:rsidR="006903C5" w:rsidP="00C87BAE" w14:paraId="216341E5" w14:textId="50658AB8">
      <w:pPr>
        <w:pStyle w:val="7392"/>
        <w:ind w:left="424"/>
        <w:rPr>
          <w:noProof/>
        </w:rPr>
      </w:pPr>
      <w:r w:rsidRPr="00B02658">
        <w:rPr>
          <w:rFonts w:hint="cs"/>
          <w:b/>
          <w:bCs/>
          <w:noProof/>
          <w:rtl/>
        </w:rPr>
        <w:drawing>
          <wp:anchor distT="0" distB="720090" distL="114300" distR="114300" simplePos="0" relativeHeight="251691008" behindDoc="1" locked="0" layoutInCell="1" allowOverlap="1">
            <wp:simplePos x="0" y="0"/>
            <wp:positionH relativeFrom="column">
              <wp:posOffset>4526280</wp:posOffset>
            </wp:positionH>
            <wp:positionV relativeFrom="paragraph">
              <wp:posOffset>10160</wp:posOffset>
            </wp:positionV>
            <wp:extent cx="161925" cy="161925"/>
            <wp:effectExtent l="0" t="0" r="3175" b="3175"/>
            <wp:wrapTight wrapText="bothSides">
              <wp:wrapPolygon>
                <wp:start x="0" y="0"/>
                <wp:lineTo x="0" y="15247"/>
                <wp:lineTo x="5082" y="20329"/>
                <wp:lineTo x="16941" y="20329"/>
                <wp:lineTo x="20329" y="15247"/>
                <wp:lineTo x="20329"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6903C5">
        <w:rPr>
          <w:b/>
          <w:bCs/>
          <w:rtl/>
        </w:rPr>
        <w:t>הסבת המגזר הביתי לגז הטבעי</w:t>
      </w:r>
      <w:r w:rsidRPr="0058052C">
        <w:rPr>
          <w:rtl/>
        </w:rPr>
        <w:t xml:space="preserve"> - נכון למועד סיום הביקורת חוברו לרשת חלוקת הגז הטבעי ארבע שכונות מגורים בישראל, וכן חובר לרשת החלוקה יישוב שבעבר חובר בצנרת למאגר גז יבשתי - כולם באזור הנגב. בעוד שלוש מ-18 שכונות שהוגדרו בפיילוט בנובמבר 2019 הוחל בהנחת רשת החלוקה. בשנים האחרונות משרד </w:t>
      </w:r>
      <w:r w:rsidRPr="0058052C">
        <w:rPr>
          <w:rtl/>
        </w:rPr>
        <w:t>האנרגייה</w:t>
      </w:r>
      <w:r w:rsidRPr="0058052C">
        <w:rPr>
          <w:rtl/>
        </w:rPr>
        <w:t xml:space="preserve"> ורשות הגז הטבעי, שהיא יחידת סמך בו, פעלו בחוסר תיאום בעניין הסבת המגזר הביתי לגז טבעי. רשות הגז הטבעי קידמה בארבע השנים האחרונות את חיבור המגזר הביתי לרשת חלוקת הגז הטבעי, ולעומת זאת משרד </w:t>
      </w:r>
      <w:r w:rsidRPr="0058052C">
        <w:rPr>
          <w:rtl/>
        </w:rPr>
        <w:t>האנרגייה</w:t>
      </w:r>
      <w:r w:rsidRPr="0058052C">
        <w:rPr>
          <w:rtl/>
        </w:rPr>
        <w:t xml:space="preserve"> ביצע בחינות כדאיות למעבר לטכנולוגיה חשמלית, בלי לבחון את חלופת הגז הטבעי</w:t>
      </w:r>
      <w:r>
        <w:rPr>
          <w:rFonts w:hint="cs"/>
          <w:noProof/>
          <w:rtl/>
        </w:rPr>
        <w:t>.</w:t>
      </w:r>
    </w:p>
    <w:p w:rsidR="006903C5" w:rsidP="00C87BAE" w14:paraId="30293EF0" w14:textId="23CE332C">
      <w:pPr>
        <w:pStyle w:val="7392"/>
        <w:ind w:left="424"/>
        <w:rPr>
          <w:noProof/>
          <w:rtl/>
        </w:rPr>
      </w:pPr>
      <w:r w:rsidRPr="006903C5">
        <w:rPr>
          <w:rStyle w:val="7371"/>
          <w:rFonts w:hint="cs"/>
          <w:noProof/>
          <w:rtl/>
        </w:rPr>
        <w:drawing>
          <wp:anchor distT="0" distB="0" distL="114300" distR="114300" simplePos="0" relativeHeight="251681792" behindDoc="0" locked="0" layoutInCell="1" allowOverlap="1">
            <wp:simplePos x="0" y="0"/>
            <wp:positionH relativeFrom="column">
              <wp:posOffset>2453640</wp:posOffset>
            </wp:positionH>
            <wp:positionV relativeFrom="paragraph">
              <wp:posOffset>993140</wp:posOffset>
            </wp:positionV>
            <wp:extent cx="2199640" cy="180340"/>
            <wp:effectExtent l="0" t="0" r="0" b="0"/>
            <wp:wrapTopAndBottom/>
            <wp:docPr id="2052770957"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7" name="תמונה 23"/>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r w:rsidRPr="00B02658" w:rsidR="00C87BAE">
        <w:rPr>
          <w:rFonts w:hint="cs"/>
          <w:b/>
          <w:bCs/>
          <w:noProof/>
          <w:rtl/>
        </w:rPr>
        <w:drawing>
          <wp:anchor distT="0" distB="720090" distL="114300" distR="114300" simplePos="0" relativeHeight="251692032" behindDoc="1" locked="0" layoutInCell="1" allowOverlap="1">
            <wp:simplePos x="0" y="0"/>
            <wp:positionH relativeFrom="column">
              <wp:posOffset>4526280</wp:posOffset>
            </wp:positionH>
            <wp:positionV relativeFrom="paragraph">
              <wp:posOffset>10323</wp:posOffset>
            </wp:positionV>
            <wp:extent cx="161925" cy="161925"/>
            <wp:effectExtent l="0" t="0" r="3175" b="3175"/>
            <wp:wrapTight wrapText="bothSides">
              <wp:wrapPolygon>
                <wp:start x="0" y="0"/>
                <wp:lineTo x="0" y="15247"/>
                <wp:lineTo x="5082" y="20329"/>
                <wp:lineTo x="16941" y="20329"/>
                <wp:lineTo x="20329" y="15247"/>
                <wp:lineTo x="20329" y="0"/>
                <wp:lineTo x="0" y="0"/>
              </wp:wrapPolygon>
            </wp:wrapTight>
            <wp:docPr id="6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6903C5">
        <w:rPr>
          <w:rStyle w:val="7371"/>
          <w:rtl/>
        </w:rPr>
        <w:t>חסמים בירוקרטיים לפריסת הרשת</w:t>
      </w:r>
      <w:r w:rsidRPr="0058052C">
        <w:rPr>
          <w:rtl/>
        </w:rPr>
        <w:t xml:space="preserve"> - בשנים שחלפו מאז ניתנו הרישיונות לחברות החלוקה, נתקלו החברות בקשיים שונים: התנגדויות מצד רשויות מקומיות וחברות תשתית לפריסת הרשת; דרישות תשלום של חברות תשתית; אי-ריכוז המידע הנדרש לצורך תכנון התוואי במערכת כלל-ארצית. החסמים הבירוקרטיים מקשים על חיבור הצרכנים לרשת החלוקה ומעכבים את פיתוחה</w:t>
      </w:r>
      <w:r>
        <w:rPr>
          <w:rFonts w:hint="cs"/>
          <w:noProof/>
          <w:rtl/>
        </w:rPr>
        <w:t>.</w:t>
      </w:r>
    </w:p>
    <w:p w:rsidR="00420374" w:rsidRPr="00411396" w:rsidP="00420374" w14:paraId="5E6B04AD" w14:textId="5EB68E9E">
      <w:pPr>
        <w:pStyle w:val="7392"/>
        <w:spacing w:before="360"/>
        <w:rPr>
          <w:rtl/>
        </w:rPr>
      </w:pPr>
      <w:r w:rsidRPr="006903C5">
        <w:rPr>
          <w:b/>
          <w:bCs/>
          <w:rtl/>
        </w:rPr>
        <w:t>שינוי התנאים לעדכון ולהוספת תעריפים חדשים</w:t>
      </w:r>
      <w:r w:rsidRPr="0058052C">
        <w:rPr>
          <w:rtl/>
        </w:rPr>
        <w:t xml:space="preserve"> - בסיום הביקורת אגף תקציבים במשרד האוצר ורשות הגז הטבעי קידמו שינוי חקיקה, ולפיו מועצת הגז תהיה רשאית לעדכן את תעריפי החלוקה ואף להוסיף תעריפים מערכתיים שונים מדי פעם בפעם, ולא רק בכל חמש שנים, כפי </w:t>
      </w:r>
      <w:r w:rsidR="00782DE6">
        <w:rPr>
          <w:rFonts w:hint="cs"/>
          <w:rtl/>
        </w:rPr>
        <w:t>ש</w:t>
      </w:r>
      <w:r w:rsidRPr="0058052C">
        <w:rPr>
          <w:rtl/>
        </w:rPr>
        <w:t>היה נהוג עד כה. שינויים אלה הוטמעו בחוק משק הגז הטבעי, התשס"ב-2002, בנובמבר 2021</w:t>
      </w:r>
      <w:r w:rsidRPr="00411396">
        <w:rPr>
          <w:rtl/>
        </w:rPr>
        <w:t>.</w:t>
      </w:r>
    </w:p>
    <w:p w:rsidR="006903C5" w:rsidP="00420374" w14:paraId="4A9F3764" w14:textId="1767CD73">
      <w:pPr>
        <w:pStyle w:val="7392"/>
        <w:rPr>
          <w:rtl/>
        </w:rPr>
      </w:pPr>
      <w:r w:rsidRPr="006903C5">
        <w:rPr>
          <w:b/>
          <w:bCs/>
          <w:rtl/>
        </w:rPr>
        <w:t>הקצאת מענקים להאצת פריסת הרשת באזורים פריפריאליים</w:t>
      </w:r>
      <w:r w:rsidRPr="0058052C">
        <w:rPr>
          <w:rtl/>
        </w:rPr>
        <w:t xml:space="preserve"> - עלה כי בשנת 2019 לשם חיבור אזורים פריפריאליים </w:t>
      </w:r>
      <w:r w:rsidR="00782DE6">
        <w:rPr>
          <w:rFonts w:hint="cs"/>
          <w:rtl/>
        </w:rPr>
        <w:t>ב</w:t>
      </w:r>
      <w:r w:rsidRPr="0058052C">
        <w:rPr>
          <w:rtl/>
        </w:rPr>
        <w:t>חיפה</w:t>
      </w:r>
      <w:r w:rsidR="00782DE6">
        <w:rPr>
          <w:rFonts w:hint="cs"/>
          <w:rtl/>
        </w:rPr>
        <w:t xml:space="preserve"> והגליל</w:t>
      </w:r>
      <w:r w:rsidRPr="0058052C">
        <w:rPr>
          <w:rtl/>
        </w:rPr>
        <w:t xml:space="preserve"> ו</w:t>
      </w:r>
      <w:r w:rsidR="00782DE6">
        <w:rPr>
          <w:rFonts w:hint="cs"/>
          <w:rtl/>
        </w:rPr>
        <w:t>ב</w:t>
      </w:r>
      <w:r w:rsidRPr="0058052C">
        <w:rPr>
          <w:rtl/>
        </w:rPr>
        <w:t xml:space="preserve">חדרה והעמקים לרשת החלוקה, הקצו משרד </w:t>
      </w:r>
      <w:r w:rsidRPr="0058052C">
        <w:rPr>
          <w:rtl/>
        </w:rPr>
        <w:t>הארנגייה</w:t>
      </w:r>
      <w:r w:rsidRPr="0058052C">
        <w:rPr>
          <w:rtl/>
        </w:rPr>
        <w:t xml:space="preserve"> ורשות הגז הטבעי 33% מסכומי המענקים שהם 29 מיליוני ש"ח מתוכנית ההאצה השנייה ובשנת 2021 הם הקצו 97% מסכומי המענקים שהם 97 מיליוני ש"ח מתוכנית ההאצה השלישית. הקצאת מענקים אלה עולה בקנה אחד עם תוכניות הממשלה לקידום ופיתוח של אזורים פריפריאליים בישראל</w:t>
      </w:r>
      <w:r w:rsidRPr="00411396" w:rsidR="00420374">
        <w:rPr>
          <w:rFonts w:hint="cs"/>
          <w:rtl/>
        </w:rPr>
        <w:t>.</w:t>
      </w:r>
    </w:p>
    <w:p w:rsidR="006903C5" w14:paraId="326A485B" w14:textId="77777777">
      <w:pPr>
        <w:bidi w:val="0"/>
        <w:spacing w:after="200" w:line="276" w:lineRule="auto"/>
        <w:rPr>
          <w:rFonts w:ascii="Tahoma" w:hAnsi="Tahoma" w:cs="Tahoma"/>
          <w:color w:val="0D0D0D" w:themeColor="text1" w:themeTint="F2"/>
          <w:sz w:val="18"/>
          <w:szCs w:val="18"/>
          <w:rtl/>
        </w:rPr>
      </w:pPr>
      <w:r>
        <w:rPr>
          <w:rtl/>
        </w:rPr>
        <w:br w:type="page"/>
      </w:r>
    </w:p>
    <w:p w:rsidR="002753C7" w:rsidRPr="00662020" w:rsidP="00DB08CF" w14:paraId="7C748CCB" w14:textId="77777777">
      <w:pPr>
        <w:pStyle w:val="7327"/>
        <w:spacing w:before="480" w:after="240"/>
        <w:rPr>
          <w:rtl/>
        </w:rPr>
      </w:pPr>
      <w:r w:rsidRPr="00662020">
        <w:rPr>
          <w:rFonts w:hint="cs"/>
          <w:rtl/>
        </w:rPr>
        <w:t>עיקרי המלצות הביקורת</w:t>
      </w:r>
    </w:p>
    <w:p w:rsidR="0093709F" w:rsidP="00DB08CF" w14:paraId="0466320B" w14:textId="43F83FE7">
      <w:pPr>
        <w:pStyle w:val="7317"/>
        <w:ind w:left="566"/>
      </w:pPr>
      <w:r w:rsidRPr="00B02658">
        <w:rPr>
          <w:rFonts w:hint="cs"/>
          <w:b/>
          <w:bCs/>
          <w:noProof/>
          <w:rtl/>
        </w:rPr>
        <w:drawing>
          <wp:anchor distT="0" distB="1440180" distL="107950" distR="114300" simplePos="0" relativeHeight="251700224" behindDoc="1" locked="0" layoutInCell="1" allowOverlap="1">
            <wp:simplePos x="0" y="0"/>
            <wp:positionH relativeFrom="column">
              <wp:posOffset>4511675</wp:posOffset>
            </wp:positionH>
            <wp:positionV relativeFrom="paragraph">
              <wp:posOffset>18921</wp:posOffset>
            </wp:positionV>
            <wp:extent cx="144000" cy="162000"/>
            <wp:effectExtent l="0" t="0" r="0" b="3175"/>
            <wp:wrapTight wrapText="bothSides">
              <wp:wrapPolygon>
                <wp:start x="1912" y="0"/>
                <wp:lineTo x="0" y="1694"/>
                <wp:lineTo x="0" y="20329"/>
                <wp:lineTo x="19115" y="20329"/>
                <wp:lineTo x="19115" y="0"/>
                <wp:lineTo x="1912" y="0"/>
              </wp:wrapPolygon>
            </wp:wrapTight>
            <wp:docPr id="4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58052C" w:rsidR="006903C5">
        <w:rPr>
          <w:rtl/>
        </w:rPr>
        <w:t>מומלץ כי רשות הגז הטבעי תבחן את יעדי רשת החלוקה, תעדכן אותם ותאשר אותם בהליך סדור בהחלטות ממשלה</w:t>
      </w:r>
      <w:r w:rsidRPr="008E57FE" w:rsidR="005D0F8C">
        <w:rPr>
          <w:rFonts w:hint="cs"/>
          <w:rtl/>
        </w:rPr>
        <w:t xml:space="preserve">. </w:t>
      </w:r>
    </w:p>
    <w:p w:rsidR="005D0F8C" w:rsidRPr="008E57FE" w:rsidP="00DB08CF" w14:paraId="6C626C68" w14:textId="42C933C0">
      <w:pPr>
        <w:pStyle w:val="7317"/>
        <w:ind w:left="566"/>
      </w:pPr>
      <w:r w:rsidRPr="00B02658">
        <w:rPr>
          <w:rFonts w:hint="cs"/>
          <w:b/>
          <w:bCs/>
          <w:noProof/>
          <w:rtl/>
        </w:rPr>
        <w:drawing>
          <wp:anchor distT="0" distB="1440180" distL="107950" distR="114300" simplePos="0" relativeHeight="251699200" behindDoc="1" locked="0" layoutInCell="1" allowOverlap="1">
            <wp:simplePos x="0" y="0"/>
            <wp:positionH relativeFrom="column">
              <wp:posOffset>4511675</wp:posOffset>
            </wp:positionH>
            <wp:positionV relativeFrom="paragraph">
              <wp:posOffset>18921</wp:posOffset>
            </wp:positionV>
            <wp:extent cx="143510" cy="161925"/>
            <wp:effectExtent l="0" t="0" r="0" b="3175"/>
            <wp:wrapTight wrapText="bothSides">
              <wp:wrapPolygon>
                <wp:start x="1912" y="0"/>
                <wp:lineTo x="0" y="1694"/>
                <wp:lineTo x="0" y="20329"/>
                <wp:lineTo x="19115" y="20329"/>
                <wp:lineTo x="19115" y="0"/>
                <wp:lineTo x="1912" y="0"/>
              </wp:wrapPolygon>
            </wp:wrapTight>
            <wp:docPr id="4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58052C" w:rsidR="006903C5">
        <w:rPr>
          <w:rtl/>
        </w:rPr>
        <w:t>מומלץ כי משרד האנרגיה ורשות הגז הטבעי יבחנו אם חברות החלוקה מבצעות את חלקן בפיתוח רשת החלוקה ובקצב שהתחייבו עליו בקבלת הרישיון באופן תדיר ויזום, לשם זיהוי חסמים וטיפול בהם. עוד מומלץ כי רשות הגז הטבעי תדרוש מכלל החברות את היקפי ההשקעה שלהן באופן עיתי וסדור ותתקף את המידע הקיים בידה על אודות היקפי ההשקעות, גם לצורך גיבוש תוכניות סיוע שונות</w:t>
      </w:r>
      <w:r w:rsidRPr="008E57FE">
        <w:rPr>
          <w:rtl/>
        </w:rPr>
        <w:t xml:space="preserve">. </w:t>
      </w:r>
    </w:p>
    <w:p w:rsidR="005D0F8C" w:rsidP="00DB08CF" w14:paraId="16E5BFEE" w14:textId="2FB06328">
      <w:pPr>
        <w:pStyle w:val="7317"/>
        <w:ind w:left="566"/>
        <w:rPr>
          <w:rtl/>
        </w:rPr>
      </w:pPr>
      <w:r w:rsidRPr="00B02658">
        <w:rPr>
          <w:rFonts w:hint="cs"/>
          <w:b/>
          <w:bCs/>
          <w:noProof/>
          <w:rtl/>
        </w:rPr>
        <w:drawing>
          <wp:anchor distT="0" distB="1440180" distL="107950" distR="114300" simplePos="0" relativeHeight="251698176" behindDoc="1" locked="0" layoutInCell="1" allowOverlap="1">
            <wp:simplePos x="0" y="0"/>
            <wp:positionH relativeFrom="column">
              <wp:posOffset>4511675</wp:posOffset>
            </wp:positionH>
            <wp:positionV relativeFrom="paragraph">
              <wp:posOffset>18921</wp:posOffset>
            </wp:positionV>
            <wp:extent cx="144000" cy="162000"/>
            <wp:effectExtent l="0" t="0" r="0" b="3175"/>
            <wp:wrapTight wrapText="bothSides">
              <wp:wrapPolygon>
                <wp:start x="1912" y="0"/>
                <wp:lineTo x="0" y="1694"/>
                <wp:lineTo x="0" y="20329"/>
                <wp:lineTo x="19115" y="20329"/>
                <wp:lineTo x="19115" y="0"/>
                <wp:lineTo x="1912" y="0"/>
              </wp:wrapPolygon>
            </wp:wrapTight>
            <wp:docPr id="3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58052C" w:rsidR="006903C5">
        <w:rPr>
          <w:rtl/>
        </w:rPr>
        <w:t>מומלץ כי רשות החשמל ורשות הגז הטבעי יפעלו במשותף כדי שהחלטות הנוגעות למשק החשמל ולמשק הגז הטבעי יקדמו את פיתוחם של שני משקים אלו, זאת תוך בחינה של ההשפעות של שינויי האסדרה במשק החשמל על הכדאיות שבהקמת מתקני ייצור חשמל ברשת החלוקה</w:t>
      </w:r>
      <w:r w:rsidRPr="008E57FE">
        <w:rPr>
          <w:rFonts w:hint="cs"/>
          <w:rtl/>
        </w:rPr>
        <w:t>.</w:t>
      </w:r>
    </w:p>
    <w:p w:rsidR="00706096" w:rsidP="00DB08CF" w14:paraId="3F6A2BE4" w14:textId="40C0364A">
      <w:pPr>
        <w:pStyle w:val="7317"/>
        <w:ind w:left="566"/>
        <w:rPr>
          <w:rtl/>
        </w:rPr>
      </w:pPr>
      <w:r w:rsidRPr="00B02658">
        <w:rPr>
          <w:rFonts w:hint="cs"/>
          <w:b/>
          <w:bCs/>
          <w:noProof/>
          <w:rtl/>
        </w:rPr>
        <w:drawing>
          <wp:anchor distT="0" distB="1440180" distL="107950" distR="114300" simplePos="0" relativeHeight="251697152" behindDoc="1" locked="0" layoutInCell="1" allowOverlap="1">
            <wp:simplePos x="0" y="0"/>
            <wp:positionH relativeFrom="column">
              <wp:posOffset>4511675</wp:posOffset>
            </wp:positionH>
            <wp:positionV relativeFrom="paragraph">
              <wp:posOffset>18921</wp:posOffset>
            </wp:positionV>
            <wp:extent cx="144000" cy="162000"/>
            <wp:effectExtent l="0" t="0" r="0" b="3175"/>
            <wp:wrapTight wrapText="bothSides">
              <wp:wrapPolygon>
                <wp:start x="1912" y="0"/>
                <wp:lineTo x="0" y="1694"/>
                <wp:lineTo x="0" y="20329"/>
                <wp:lineTo x="19115" y="20329"/>
                <wp:lineTo x="19115" y="0"/>
                <wp:lineTo x="1912" y="0"/>
              </wp:wrapPolygon>
            </wp:wrapTight>
            <wp:docPr id="3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58052C" w:rsidR="006903C5">
        <w:rPr>
          <w:rtl/>
        </w:rPr>
        <w:t>מומלץ כי חברת נגה</w:t>
      </w:r>
      <w:r>
        <w:rPr>
          <w:vertAlign w:val="superscript"/>
          <w:rtl/>
        </w:rPr>
        <w:footnoteReference w:id="5"/>
      </w:r>
      <w:r w:rsidRPr="0058052C" w:rsidR="006903C5">
        <w:rPr>
          <w:rtl/>
        </w:rPr>
        <w:t xml:space="preserve"> וחברת החשמל לישראל בע"מ ישתפו פעולה לצורך פיתוח רשת החשמל והתאמתה לקליטת מתקני ייצור חשמל חדשים ברשת</w:t>
      </w:r>
      <w:r w:rsidRPr="008E57FE">
        <w:rPr>
          <w:rFonts w:hint="cs"/>
          <w:rtl/>
        </w:rPr>
        <w:t>.</w:t>
      </w:r>
    </w:p>
    <w:p w:rsidR="006903C5" w:rsidP="00DB08CF" w14:paraId="36B4D251" w14:textId="570B5919">
      <w:pPr>
        <w:pStyle w:val="ListParagraph"/>
        <w:widowControl w:val="0"/>
        <w:spacing w:after="60" w:line="276" w:lineRule="auto"/>
        <w:ind w:left="566"/>
        <w:rPr>
          <w:rFonts w:ascii="Tahoma" w:hAnsi="Tahoma" w:cs="Tahoma"/>
          <w:color w:val="0D0D0D" w:themeColor="text1" w:themeTint="F2"/>
          <w:sz w:val="18"/>
          <w:szCs w:val="18"/>
        </w:rPr>
      </w:pPr>
      <w:r w:rsidRPr="00B02658">
        <w:rPr>
          <w:rFonts w:hint="cs"/>
          <w:b/>
          <w:bCs/>
          <w:noProof/>
          <w:rtl/>
        </w:rPr>
        <w:drawing>
          <wp:anchor distT="0" distB="1440180" distL="107950" distR="114300" simplePos="0" relativeHeight="251696128" behindDoc="1" locked="0" layoutInCell="1" allowOverlap="1">
            <wp:simplePos x="0" y="0"/>
            <wp:positionH relativeFrom="column">
              <wp:posOffset>4511675</wp:posOffset>
            </wp:positionH>
            <wp:positionV relativeFrom="paragraph">
              <wp:posOffset>11301</wp:posOffset>
            </wp:positionV>
            <wp:extent cx="144000" cy="162000"/>
            <wp:effectExtent l="0" t="0" r="0" b="3175"/>
            <wp:wrapTight wrapText="bothSides">
              <wp:wrapPolygon>
                <wp:start x="1912" y="0"/>
                <wp:lineTo x="0" y="1694"/>
                <wp:lineTo x="0" y="20329"/>
                <wp:lineTo x="19115" y="20329"/>
                <wp:lineTo x="19115" y="0"/>
                <wp:lineTo x="1912" y="0"/>
              </wp:wrapPolygon>
            </wp:wrapTight>
            <wp:docPr id="2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58052C">
        <w:rPr>
          <w:rFonts w:ascii="Tahoma" w:hAnsi="Tahoma" w:cs="Tahoma"/>
          <w:sz w:val="18"/>
          <w:szCs w:val="18"/>
          <w:rtl/>
        </w:rPr>
        <w:t xml:space="preserve">מומלץ כי משרד </w:t>
      </w:r>
      <w:r w:rsidRPr="0058052C">
        <w:rPr>
          <w:rFonts w:ascii="Tahoma" w:hAnsi="Tahoma" w:cs="Tahoma"/>
          <w:sz w:val="18"/>
          <w:szCs w:val="18"/>
          <w:rtl/>
        </w:rPr>
        <w:t>האנרגייה</w:t>
      </w:r>
      <w:r w:rsidRPr="0058052C">
        <w:rPr>
          <w:rFonts w:ascii="Tahoma" w:hAnsi="Tahoma" w:cs="Tahoma"/>
          <w:sz w:val="18"/>
          <w:szCs w:val="18"/>
          <w:rtl/>
        </w:rPr>
        <w:t>, משרד התחבורה והמשרד להגנת הסביבה יפעלו בשיתוף פעולה ויגבשו תוכנית יעדים מוסכמת וישימה לטווח הקצר והבינוני בנוגע למגזר התחבורה הכבדה</w:t>
      </w:r>
      <w:r w:rsidRPr="00662020" w:rsidR="00706096">
        <w:rPr>
          <w:rFonts w:ascii="Tahoma" w:hAnsi="Tahoma" w:cs="Tahoma" w:hint="cs"/>
          <w:color w:val="0D0D0D" w:themeColor="text1" w:themeTint="F2"/>
          <w:sz w:val="18"/>
          <w:szCs w:val="18"/>
          <w:rtl/>
        </w:rPr>
        <w:t>.</w:t>
      </w:r>
    </w:p>
    <w:p w:rsidR="00706096" w:rsidRPr="006903C5" w:rsidP="006903C5" w14:paraId="6CF91E86" w14:textId="3B2F7313">
      <w:pPr>
        <w:bidi w:val="0"/>
        <w:spacing w:after="200" w:line="276" w:lineRule="auto"/>
        <w:rPr>
          <w:rFonts w:ascii="Tahoma" w:hAnsi="Tahoma" w:cs="Tahoma"/>
          <w:color w:val="0D0D0D" w:themeColor="text1" w:themeTint="F2"/>
          <w:sz w:val="18"/>
          <w:szCs w:val="18"/>
        </w:rPr>
      </w:pPr>
      <w:r>
        <w:rPr>
          <w:rFonts w:ascii="Tahoma" w:hAnsi="Tahoma" w:cs="Tahoma"/>
          <w:color w:val="0D0D0D" w:themeColor="text1" w:themeTint="F2"/>
          <w:sz w:val="18"/>
          <w:szCs w:val="18"/>
        </w:rPr>
        <w:br w:type="page"/>
      </w:r>
    </w:p>
    <w:p w:rsidR="005D0F8C" w:rsidP="00706096" w14:paraId="24125138" w14:textId="71B4220E">
      <w:pPr>
        <w:tabs>
          <w:tab w:val="right" w:pos="7370"/>
        </w:tabs>
        <w:bidi w:val="0"/>
        <w:spacing w:after="200" w:line="276" w:lineRule="auto"/>
        <w:rPr>
          <w:rtl/>
        </w:rPr>
      </w:pPr>
      <w:r w:rsidRPr="00D527BD">
        <w:rPr>
          <w:noProof/>
          <w:szCs w:val="20"/>
          <w:rtl/>
        </w:rPr>
        <mc:AlternateContent>
          <mc:Choice Requires="wps">
            <w:drawing>
              <wp:anchor distT="0" distB="0" distL="114300" distR="114300" simplePos="0" relativeHeight="251679744" behindDoc="0" locked="0" layoutInCell="1" allowOverlap="1">
                <wp:simplePos x="0" y="0"/>
                <wp:positionH relativeFrom="column">
                  <wp:posOffset>123577</wp:posOffset>
                </wp:positionH>
                <wp:positionV relativeFrom="paragraph">
                  <wp:posOffset>275369</wp:posOffset>
                </wp:positionV>
                <wp:extent cx="4436745" cy="430696"/>
                <wp:effectExtent l="0" t="0" r="0" b="127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0696"/>
                        </a:xfrm>
                        <a:prstGeom prst="rect">
                          <a:avLst/>
                        </a:prstGeom>
                        <a:solidFill>
                          <a:srgbClr val="F05260"/>
                        </a:solidFill>
                        <a:ln w="9525">
                          <a:noFill/>
                          <a:miter lim="800000"/>
                          <a:headEnd/>
                          <a:tailEnd/>
                        </a:ln>
                      </wps:spPr>
                      <wps:txbx>
                        <w:txbxContent>
                          <w:p w:rsidR="005D0F8C" w:rsidRPr="006903C5" w:rsidP="006903C5" w14:textId="01AA1BF5">
                            <w:pPr>
                              <w:pStyle w:val="734"/>
                              <w:spacing w:before="0" w:after="0"/>
                              <w:jc w:val="left"/>
                              <w:rPr>
                                <w:color w:val="FFFFFF" w:themeColor="background1"/>
                                <w:sz w:val="22"/>
                                <w:szCs w:val="22"/>
                                <w:rtl/>
                              </w:rPr>
                            </w:pPr>
                            <w:r w:rsidRPr="006903C5">
                              <w:rPr>
                                <w:color w:val="FFFFFF" w:themeColor="background1"/>
                                <w:sz w:val="22"/>
                                <w:szCs w:val="22"/>
                                <w:rtl/>
                              </w:rPr>
                              <w:t>מספר הצרכנים הצורכים גז טבעי בהשוואה לתכנון ברישיונות החלוקה</w:t>
                            </w:r>
                            <w:r w:rsidRPr="006903C5">
                              <w:rPr>
                                <w:rFonts w:hint="cs"/>
                                <w:color w:val="FFFFFF" w:themeColor="background1"/>
                                <w:sz w:val="22"/>
                                <w:szCs w:val="22"/>
                                <w:rtl/>
                              </w:rPr>
                              <w:t xml:space="preserve"> </w:t>
                            </w:r>
                            <w:r w:rsidRPr="006903C5">
                              <w:rPr>
                                <w:color w:val="FFFFFF" w:themeColor="background1"/>
                                <w:sz w:val="22"/>
                                <w:szCs w:val="22"/>
                                <w:rtl/>
                              </w:rPr>
                              <w:t>בכל אזור חלוקה, דצמבר 2021</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6" type="#_x0000_t202" style="width:349.35pt;height:33.9pt;margin-top:21.7pt;margin-left:9.75pt;mso-height-percent:0;mso-height-relative:margin;mso-width-percent:0;mso-width-relative:margin;mso-wrap-distance-bottom:0;mso-wrap-distance-left:9pt;mso-wrap-distance-right:9pt;mso-wrap-distance-top:0;mso-wrap-style:square;position:absolute;visibility:visible;v-text-anchor:middle;z-index:251680768" fillcolor="#f05260" stroked="f">
                <v:textbox>
                  <w:txbxContent>
                    <w:p w:rsidR="005D0F8C" w:rsidRPr="006903C5" w:rsidP="006903C5" w14:paraId="1D5D7976" w14:textId="01AA1BF5">
                      <w:pPr>
                        <w:pStyle w:val="734"/>
                        <w:spacing w:before="0" w:after="0"/>
                        <w:jc w:val="left"/>
                        <w:rPr>
                          <w:color w:val="FFFFFF" w:themeColor="background1"/>
                          <w:sz w:val="22"/>
                          <w:szCs w:val="22"/>
                          <w:rtl/>
                        </w:rPr>
                      </w:pPr>
                      <w:r w:rsidRPr="006903C5">
                        <w:rPr>
                          <w:color w:val="FFFFFF" w:themeColor="background1"/>
                          <w:sz w:val="22"/>
                          <w:szCs w:val="22"/>
                          <w:rtl/>
                        </w:rPr>
                        <w:t>מספר הצרכנים הצורכים גז טבעי בהשוואה לתכנון ברישיונות החלוקה</w:t>
                      </w:r>
                      <w:r w:rsidRPr="006903C5">
                        <w:rPr>
                          <w:rFonts w:hint="cs"/>
                          <w:color w:val="FFFFFF" w:themeColor="background1"/>
                          <w:sz w:val="22"/>
                          <w:szCs w:val="22"/>
                          <w:rtl/>
                        </w:rPr>
                        <w:t xml:space="preserve"> </w:t>
                      </w:r>
                      <w:r w:rsidRPr="006903C5">
                        <w:rPr>
                          <w:color w:val="FFFFFF" w:themeColor="background1"/>
                          <w:sz w:val="22"/>
                          <w:szCs w:val="22"/>
                          <w:rtl/>
                        </w:rPr>
                        <w:t>בכל אזור חלוקה, דצמבר 2021</w:t>
                      </w:r>
                    </w:p>
                  </w:txbxContent>
                </v:textbox>
              </v:shape>
            </w:pict>
          </mc:Fallback>
        </mc:AlternateContent>
      </w:r>
      <w:r w:rsidRPr="00D527BD" w:rsidR="00BF5598">
        <w:rPr>
          <w:noProof/>
          <w:szCs w:val="20"/>
          <w:rtl/>
        </w:rPr>
        <w:drawing>
          <wp:anchor distT="0" distB="0" distL="114300" distR="114300" simplePos="0" relativeHeight="251678720" behindDoc="0" locked="0" layoutInCell="1" allowOverlap="1">
            <wp:simplePos x="0" y="0"/>
            <wp:positionH relativeFrom="column">
              <wp:posOffset>-71733</wp:posOffset>
            </wp:positionH>
            <wp:positionV relativeFrom="paragraph">
              <wp:posOffset>178762</wp:posOffset>
            </wp:positionV>
            <wp:extent cx="4731385" cy="763051"/>
            <wp:effectExtent l="0" t="0" r="0" b="0"/>
            <wp:wrapNone/>
            <wp:docPr id="145106664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21"/>
                    <pic:cNvPicPr>
                      <a:picLocks noChangeAspect="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31385" cy="763051"/>
                    </a:xfrm>
                    <a:prstGeom prst="rect">
                      <a:avLst/>
                    </a:prstGeom>
                  </pic:spPr>
                </pic:pic>
              </a:graphicData>
            </a:graphic>
            <wp14:sizeRelV relativeFrom="margin">
              <wp14:pctHeight>0</wp14:pctHeight>
            </wp14:sizeRelV>
          </wp:anchor>
        </w:drawing>
      </w:r>
    </w:p>
    <w:p w:rsidR="005D0F8C" w:rsidP="005D0F8C" w14:paraId="6DC28C4F" w14:textId="68EC595C">
      <w:pPr>
        <w:pStyle w:val="7317"/>
        <w:rPr>
          <w:rtl/>
        </w:rPr>
      </w:pPr>
      <w:r>
        <w:rPr>
          <w:rtl/>
        </w:rPr>
        <w:t xml:space="preserve"> </w:t>
      </w:r>
    </w:p>
    <w:p w:rsidR="005D0F8C" w:rsidP="005D0F8C" w14:paraId="5B8DB107" w14:textId="0FD036C4">
      <w:pPr>
        <w:pStyle w:val="7317"/>
        <w:rPr>
          <w:rtl/>
        </w:rPr>
      </w:pPr>
      <w:r w:rsidRPr="00D204D5">
        <w:rPr>
          <w:noProof/>
        </w:rPr>
        <w:drawing>
          <wp:anchor distT="0" distB="0" distL="114300" distR="114300" simplePos="0" relativeHeight="251682816" behindDoc="0" locked="0" layoutInCell="1" allowOverlap="1">
            <wp:simplePos x="0" y="0"/>
            <wp:positionH relativeFrom="column">
              <wp:posOffset>31750</wp:posOffset>
            </wp:positionH>
            <wp:positionV relativeFrom="paragraph">
              <wp:posOffset>442595</wp:posOffset>
            </wp:positionV>
            <wp:extent cx="4831080" cy="3613150"/>
            <wp:effectExtent l="0" t="0" r="0" b="0"/>
            <wp:wrapTopAndBottom/>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תמונה 17"/>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4831080" cy="3613150"/>
                    </a:xfrm>
                    <a:prstGeom prst="rect">
                      <a:avLst/>
                    </a:prstGeom>
                    <a:noFill/>
                  </pic:spPr>
                </pic:pic>
              </a:graphicData>
            </a:graphic>
            <wp14:sizeRelH relativeFrom="page">
              <wp14:pctWidth>0</wp14:pctWidth>
            </wp14:sizeRelH>
            <wp14:sizeRelV relativeFrom="page">
              <wp14:pctHeight>0</wp14:pctHeight>
            </wp14:sizeRelV>
          </wp:anchor>
        </w:drawing>
      </w:r>
    </w:p>
    <w:p w:rsidR="005D0F8C" w:rsidP="005D0F8C" w14:paraId="0DA8F7B9" w14:textId="094C7055">
      <w:pPr>
        <w:pStyle w:val="738"/>
        <w:spacing w:before="360" w:after="0"/>
        <w:rPr>
          <w:b/>
          <w:bCs/>
          <w:noProof/>
          <w:color w:val="FFFFFF" w:themeColor="background1"/>
          <w:sz w:val="22"/>
          <w:szCs w:val="22"/>
        </w:rPr>
      </w:pPr>
      <w:r w:rsidRPr="001259EA">
        <w:rPr>
          <w:rtl/>
        </w:rPr>
        <w:t>על פי נתוני רשות הגז הטבעי, בעיבוד משרד מבקר המדינה</w:t>
      </w:r>
      <w:r>
        <w:rPr>
          <w:rStyle w:val="FootnoteReference0"/>
          <w:rtl/>
        </w:rPr>
        <w:footnoteReference w:id="6"/>
      </w:r>
      <w:r w:rsidRPr="00BE0973">
        <w:rPr>
          <w:rFonts w:hint="cs"/>
          <w:rtl/>
        </w:rPr>
        <w:t>.</w:t>
      </w:r>
    </w:p>
    <w:p w:rsidR="000B31AA" w:rsidRPr="003A253B" w:rsidP="000B31AA" w14:paraId="5C1AE375" w14:textId="00DDF82D">
      <w:pPr>
        <w:pStyle w:val="7317"/>
        <w:rPr>
          <w:rtl/>
        </w:rPr>
      </w:pPr>
    </w:p>
    <w:p w:rsidR="000B31AA" w:rsidRPr="00827841" w:rsidP="000B31AA" w14:paraId="0E94D97F" w14:textId="77777777">
      <w:pPr>
        <w:pStyle w:val="7317"/>
        <w:spacing w:before="360" w:after="360"/>
        <w:rPr>
          <w:rtl/>
        </w:rPr>
        <w:sectPr w:rsidSect="00175683">
          <w:footerReference w:type="even" r:id="rId28"/>
          <w:footerReference w:type="default" r:id="rId29"/>
          <w:headerReference w:type="first" r:id="rId30"/>
          <w:footerReference w:type="first" r:id="rId31"/>
          <w:pgSz w:w="11906" w:h="16838" w:code="9"/>
          <w:pgMar w:top="3062" w:right="2268" w:bottom="2552" w:left="2268" w:header="1134" w:footer="1361" w:gutter="0"/>
          <w:pgNumType w:start="703"/>
          <w:cols w:space="708"/>
          <w:bidi/>
          <w:rtlGutter/>
          <w:docGrid w:linePitch="360"/>
        </w:sectPr>
      </w:pPr>
    </w:p>
    <w:p w:rsidR="005D0F8C" w:rsidP="00520550" w14:paraId="3B41E678" w14:textId="7096B259">
      <w:pPr>
        <w:pStyle w:val="73"/>
        <w:rPr>
          <w:rtl/>
        </w:rPr>
      </w:pPr>
      <w:r w:rsidRPr="00EF3061">
        <w:rPr>
          <w:rFonts w:hint="cs"/>
          <w:rtl/>
        </w:rPr>
        <w:t>סיכום</w:t>
      </w:r>
    </w:p>
    <w:p w:rsidR="005B2BF5" w:rsidRPr="006903C5" w:rsidP="006903C5" w14:paraId="4937660D" w14:textId="05E4DD5B">
      <w:pPr>
        <w:pStyle w:val="7392"/>
        <w:rPr>
          <w:rtl/>
        </w:rPr>
      </w:pPr>
      <w:r w:rsidRPr="006903C5">
        <w:rPr>
          <w:rtl/>
        </w:rPr>
        <w:t xml:space="preserve">המעבר לשימוש בגז טבעי כמקור </w:t>
      </w:r>
      <w:r w:rsidRPr="006903C5">
        <w:rPr>
          <w:rtl/>
        </w:rPr>
        <w:t>אנרגייה</w:t>
      </w:r>
      <w:r w:rsidRPr="006903C5">
        <w:rPr>
          <w:rtl/>
        </w:rPr>
        <w:t xml:space="preserve"> מרכזי בישראל הוא מיזם בעל חשיבות לאומית מכיוון שיש לו יתרונות כלכליים, מדיניים וסביבתיים. ואולם יותר מעשור מראשית פרויקט רשת החלוקה נמצא כי הפרויקט מתקדם בקצב איטי לעומת התכנון והתחזיות. תחזיות הביקוש של רשות הגז הטבעי וחברות החלוקה בראשית הפרויקט, שעל בסיסן גובשו יעדים לפריסת הרשת בהמשך, לא התממשו הן בנוגע למספר הצרכנים שהתחברו לרשת החלוקה והן בנוגע להיקף הצריכה. אי-התממשות תחזיות הביקוש נובעת בין השאר מהתמשכות הפרויקט מעבר ללוחות הזמנים שנקבעו ברישיונות וליעדים שהציבה הממשלה בנוגע להשלמת הפריסה, בין היתר עקב עיכובים בירוקרטיים של חברות תשתית ורשויות מקומיות, עניינים הנוגעים לתיאום העבודה עם חברות החלוקה; התרחשותם של שינויים טכנולוגיים במשק </w:t>
      </w:r>
      <w:r w:rsidRPr="006903C5">
        <w:rPr>
          <w:rtl/>
        </w:rPr>
        <w:t>האנרגייה</w:t>
      </w:r>
      <w:r w:rsidRPr="006903C5">
        <w:rPr>
          <w:rtl/>
        </w:rPr>
        <w:t>; קביעת יעדים שאפתניים למעבר לכלכלה דלת פחמן</w:t>
      </w:r>
      <w:r w:rsidRPr="006903C5">
        <w:rPr>
          <w:rFonts w:hint="cs"/>
          <w:rtl/>
        </w:rPr>
        <w:t xml:space="preserve">. </w:t>
      </w:r>
    </w:p>
    <w:p w:rsidR="005B2BF5" w:rsidRPr="006903C5" w:rsidP="006903C5" w14:paraId="6D52DDEE" w14:textId="25E5525C">
      <w:pPr>
        <w:pStyle w:val="7392"/>
        <w:rPr>
          <w:rtl/>
        </w:rPr>
      </w:pPr>
      <w:r w:rsidRPr="006903C5">
        <w:rPr>
          <w:rtl/>
        </w:rPr>
        <w:t xml:space="preserve">הסבת מגזרי ביקוש חדשים, כגון מגזר התחבורה הכבדה והמגזר הביתי, לשימוש בגז טבעי, שהייתה עשויה להגביר את הביקוש לגז טבעי ברשת החלוקה, נעשתה באיטיות, כך שנכון לסיום הביקורת יישוב אחד וארבע שכונות מגורים בלבד חוברו לרשת החלוקה ואין תחנת תדלוק בגז טבעי שחוברה לרשת החלוקה. ההסבה האיטית של מגזרים אלו לצד שינויים טכנולוגיים בתמהיל מקורות </w:t>
      </w:r>
      <w:r w:rsidRPr="006903C5">
        <w:rPr>
          <w:rtl/>
        </w:rPr>
        <w:t>האנרגייה</w:t>
      </w:r>
      <w:r w:rsidRPr="006903C5">
        <w:rPr>
          <w:rtl/>
        </w:rPr>
        <w:t xml:space="preserve"> ובמשק הגז הטבעי בפרט מעלים ספק לגבי היתכנות ההסבה בהיקף משמעותי. כל זאת, בשעה שהמודל הכלכלי שברישיונות החלוקה נותר קשיח למדי למרות שינויים אלו. ואולם המודל הכלכלי שנקבע ברישיונות החלוקה היה ידוע לחברות החלוקה בשלבי הגשת הצעות למכרזים. זאת ועוד, מגבלות המודל הכלכלי לא גורעות מקיום התנאים והחובות שנקבעו ברישיונות. חלק מהעיכובים האמורים נבדקו בדוח הביקורת הקודם של משרד מבקר המדינה, שפורסם בשנת 2016</w:t>
      </w:r>
      <w:r w:rsidRPr="006903C5">
        <w:rPr>
          <w:rFonts w:hint="cs"/>
          <w:rtl/>
        </w:rPr>
        <w:t xml:space="preserve">. </w:t>
      </w:r>
    </w:p>
    <w:p w:rsidR="002F44B2" w:rsidRPr="006903C5" w:rsidP="006903C5" w14:paraId="6994F728" w14:textId="04A304B1">
      <w:pPr>
        <w:pStyle w:val="7392"/>
      </w:pPr>
      <w:r w:rsidRPr="006903C5">
        <w:rPr>
          <w:rtl/>
        </w:rPr>
        <w:t>בביקורת זו עלה כי עד דצמבר 2021 צרכו גז טבעי בפועל רק כ-22% ממספר צרכני רשת החלוקה לפי היעד שנקבע לשנת 2020 בהחלטת הממשלה מס' 352. אי-העמידה ביעד שנקבע, שיעור הצרכנים בפועל, הפחתת היעד ב-50% ודחייתו בחמש שנים - כל אלה צפויים להביא לאובדן חיסכון במשק בהיקף של 0.8 עד 1.9 מיליארד ש"ח</w:t>
      </w:r>
      <w:r w:rsidRPr="006903C5" w:rsidR="005B2BF5">
        <w:rPr>
          <w:rFonts w:hint="cs"/>
          <w:rtl/>
        </w:rPr>
        <w:t xml:space="preserve">. </w:t>
      </w:r>
    </w:p>
    <w:p w:rsidR="0056270E" w:rsidRPr="006903C5" w:rsidP="006903C5" w14:paraId="43C982FD" w14:textId="5A3ED2CC">
      <w:pPr>
        <w:pStyle w:val="7392"/>
        <w:rPr>
          <w:rtl/>
        </w:rPr>
      </w:pPr>
      <w:r w:rsidRPr="006903C5">
        <w:rPr>
          <w:rtl/>
        </w:rPr>
        <w:t xml:space="preserve">על משרד </w:t>
      </w:r>
      <w:r w:rsidRPr="006903C5">
        <w:rPr>
          <w:rtl/>
        </w:rPr>
        <w:t>האנרגייה</w:t>
      </w:r>
      <w:r w:rsidRPr="006903C5">
        <w:rPr>
          <w:rtl/>
        </w:rPr>
        <w:t xml:space="preserve">, בשיתוף משרדי האוצר, הכלכלה והגנת הסביבה, לנצל את חלון ההזדמנויות שנותר לניצול הגז הטבעי, לקדם את השימוש במשאב זה ולפתח את רשת החלוקה בצורה מיטבית בהתאם להחלטות הממשלה, לשם חיסכון בעלויות </w:t>
      </w:r>
      <w:r w:rsidRPr="006903C5">
        <w:rPr>
          <w:rtl/>
        </w:rPr>
        <w:t>האנרגייה</w:t>
      </w:r>
      <w:r w:rsidRPr="006903C5">
        <w:rPr>
          <w:rtl/>
        </w:rPr>
        <w:t xml:space="preserve"> לתעשייה היצרנית בישראל וצמצום זיהום האוויר</w:t>
      </w:r>
      <w:r w:rsidRPr="006903C5" w:rsidR="005D0F8C">
        <w:rPr>
          <w:rtl/>
        </w:rPr>
        <w:t>.</w:t>
      </w:r>
    </w:p>
    <w:sectPr w:rsidSect="00366512">
      <w:headerReference w:type="even" r:id="rId32"/>
      <w:footerReference w:type="even" r:id="rId33"/>
      <w:pgSz w:w="11906" w:h="16838" w:code="9"/>
      <w:pgMar w:top="3062" w:right="2268" w:bottom="2552" w:left="2268" w:header="1134" w:footer="1361" w:gutter="0"/>
      <w:pgNumType w:start="71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00A0B" w14:paraId="4715016A" w14:textId="77777777">
      <w:pPr>
        <w:spacing w:line="240" w:lineRule="auto"/>
      </w:pPr>
      <w:r>
        <w:separator/>
      </w:r>
    </w:p>
    <w:p w:rsidR="00200A0B" w14:paraId="0BE407E4" w14:textId="77777777"/>
    <w:p w:rsidR="00200A0B" w14:paraId="460F7B23" w14:textId="77777777"/>
    <w:p w:rsidR="00200A0B" w14:paraId="5AF3C83A" w14:textId="77777777"/>
  </w:endnote>
  <w:endnote w:type="continuationSeparator" w:id="1">
    <w:p w:rsidR="00200A0B" w14:paraId="42FBCA62" w14:textId="77777777">
      <w:pPr>
        <w:spacing w:line="240" w:lineRule="auto"/>
      </w:pPr>
      <w:r>
        <w:continuationSeparator/>
      </w:r>
    </w:p>
    <w:p w:rsidR="00200A0B" w14:paraId="508FE333" w14:textId="77777777"/>
    <w:p w:rsidR="00200A0B" w14:paraId="3B0BEDF3" w14:textId="77777777"/>
    <w:p w:rsidR="00200A0B" w14:paraId="53B4559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pitch w:val="default"/>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3712" w14:paraId="620712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9A1489" w14:paraId="78F1745A" w14:textId="77777777">
    <w:pPr>
      <w:pStyle w:val="Footer"/>
      <w:pBdr>
        <w:top w:val="single" w:sz="4" w:space="0" w:color="1CADE4"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rsidR="00F73EE0" w:rsidRPr="006668CA" w:rsidP="006668CA" w14:paraId="0C89F632" w14:textId="3FBAB653">
    <w:pPr>
      <w:pStyle w:val="Footer"/>
      <w:spacing w:after="120" w:line="312" w:lineRule="auto"/>
      <w:jc w:val="right"/>
      <w:rPr>
        <w:rFonts w:ascii="Tahoma" w:hAnsi="Tahoma" w:cs="Tahoma"/>
        <w:color w:val="00206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3712" w14:paraId="68D2FBF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31AA" w:rsidP="00337C4E" w14:paraId="0591AE04" w14:textId="77777777">
    <w:pPr>
      <w:pStyle w:val="Footer"/>
      <w:spacing w:after="120" w:line="312" w:lineRule="auto"/>
      <w:ind w:left="-510"/>
      <w:jc w:val="left"/>
      <w:rPr>
        <w:rFonts w:ascii="Tahoma" w:hAnsi="Tahoma" w:cs="Tahoma"/>
        <w:sz w:val="18"/>
        <w:szCs w:val="18"/>
        <w:rtl/>
      </w:rPr>
    </w:pPr>
  </w:p>
  <w:p w:rsidR="000B31AA" w:rsidP="00024391" w14:paraId="40CD8FF7" w14:textId="77777777">
    <w:pPr>
      <w:pStyle w:val="Footer"/>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sidRPr="00F94EB4">
      <w:rPr>
        <w:rFonts w:ascii="Tahoma" w:hAnsi="Tahoma" w:cs="Tahoma"/>
        <w:sz w:val="18"/>
        <w:szCs w:val="18"/>
        <w:rtl/>
      </w:rPr>
      <w:t>9</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p>
  <w:p w:rsidR="000B31AA" w:rsidRPr="00F94EB4" w:rsidP="00337C4E" w14:paraId="2918DFA2" w14:textId="77777777">
    <w:pPr>
      <w:pStyle w:val="Footer"/>
      <w:spacing w:after="120" w:line="312" w:lineRule="auto"/>
      <w:ind w:left="-510"/>
      <w:jc w:val="left"/>
      <w:rPr>
        <w:rFonts w:ascii="Tahoma" w:hAnsi="Tahoma" w:cs="Tahoma"/>
        <w:color w:val="004E6C"/>
        <w:sz w:val="18"/>
        <w:szCs w:val="18"/>
        <w:rt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31AA" w:rsidP="00024391" w14:paraId="78833D87" w14:textId="7777777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sidRPr="00F94EB4">
      <w:rPr>
        <w:rFonts w:ascii="Tahoma" w:hAnsi="Tahoma" w:cs="Tahoma"/>
        <w:sz w:val="18"/>
        <w:szCs w:val="18"/>
        <w:rtl/>
      </w:rPr>
      <w:t>7</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0B31AA" w:rsidP="00851F62" w14:paraId="5DDC5735" w14:textId="77777777">
    <w:pPr>
      <w:pStyle w:val="Footer"/>
      <w:spacing w:after="120" w:line="312" w:lineRule="auto"/>
      <w:ind w:right="-567"/>
      <w:jc w:val="right"/>
      <w:rPr>
        <w:rFonts w:ascii="Tahoma" w:hAnsi="Tahoma" w:cs="Tahoma"/>
        <w:sz w:val="18"/>
        <w:szCs w:val="18"/>
        <w:rt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31AA" w:rsidRPr="00D15500" w:rsidP="00D15500" w14:paraId="7EF16D20" w14:textId="77777777">
    <w:pPr>
      <w:pStyle w:val="Footer"/>
      <w:spacing w:after="120" w:line="312" w:lineRule="auto"/>
      <w:jc w:val="right"/>
      <w:rPr>
        <w:rFonts w:ascii="Tahoma" w:hAnsi="Tahoma" w:cs="Tahoma"/>
        <w:color w:val="002060"/>
        <w:sz w:val="18"/>
        <w:szCs w:val="18"/>
      </w:rPr>
    </w:pPr>
    <w:r w:rsidRPr="00D15500">
      <w:rPr>
        <w:rFonts w:ascii="Tahoma" w:hAnsi="Tahoma" w:cs="Tahoma"/>
        <w:color w:val="002060"/>
        <w:sz w:val="18"/>
        <w:szCs w:val="18"/>
        <w:rtl/>
      </w:rPr>
      <w:t>ה</w:t>
    </w:r>
    <w:r>
      <w:rPr>
        <w:rFonts w:ascii="Tahoma" w:hAnsi="Tahoma" w:cs="Tahoma"/>
        <w:color w:val="002060"/>
        <w:sz w:val="18"/>
        <w:szCs w:val="18"/>
        <w:rtl/>
      </w:rPr>
      <w:t>היערכות לתחרות בנמלי הים</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7354" w:rsidP="00BF7354" w14:paraId="26984E73" w14:textId="77777777">
    <w:pPr>
      <w:pStyle w:val="Footer"/>
      <w:spacing w:after="120" w:line="312" w:lineRule="auto"/>
      <w:ind w:left="-510"/>
      <w:jc w:val="left"/>
      <w:rPr>
        <w:rFonts w:ascii="Tahoma" w:hAnsi="Tahoma" w:cs="Tahoma"/>
        <w:sz w:val="18"/>
        <w:szCs w:val="18"/>
        <w:rtl/>
      </w:rPr>
    </w:pPr>
  </w:p>
  <w:p w:rsidR="00BF7354" w:rsidP="00BF7354" w14:paraId="3C064E78" w14:textId="77777777">
    <w:pPr>
      <w:pStyle w:val="Footer"/>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686</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p>
  <w:p w:rsidR="008B694B" w:rsidRPr="00BF7354" w:rsidP="00BF7354" w14:paraId="71472E75" w14:textId="77777777">
    <w:pPr>
      <w:pStyle w:val="Footer"/>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00A0B" w:rsidP="00E7235E" w14:paraId="055123D9" w14:textId="77777777">
      <w:pPr>
        <w:spacing w:line="240" w:lineRule="auto"/>
      </w:pPr>
      <w:r>
        <w:separator/>
      </w:r>
    </w:p>
  </w:footnote>
  <w:footnote w:type="continuationSeparator" w:id="1">
    <w:p w:rsidR="00200A0B" w:rsidP="00C23CC9" w14:paraId="601E19EB" w14:textId="77777777">
      <w:pPr>
        <w:spacing w:line="240" w:lineRule="auto"/>
      </w:pPr>
      <w:r>
        <w:continuationSeparator/>
      </w:r>
    </w:p>
    <w:p w:rsidR="00200A0B" w14:paraId="7DD53C33" w14:textId="77777777"/>
    <w:p w:rsidR="00200A0B" w14:paraId="7873615E" w14:textId="77777777"/>
    <w:p w:rsidR="00200A0B" w14:paraId="7D6B4244" w14:textId="77777777"/>
  </w:footnote>
  <w:footnote w:id="2">
    <w:p w:rsidR="006903C5" w:rsidRPr="006903C5" w:rsidP="006903C5" w14:paraId="7D96A9B3" w14:textId="77777777">
      <w:pPr>
        <w:pStyle w:val="733"/>
        <w:rPr>
          <w:rtl/>
        </w:rPr>
      </w:pPr>
      <w:r w:rsidRPr="006903C5">
        <w:rPr>
          <w:rStyle w:val="FootnoteReference0"/>
          <w:vertAlign w:val="baseline"/>
        </w:rPr>
        <w:footnoteRef/>
      </w:r>
      <w:r w:rsidRPr="006903C5">
        <w:rPr>
          <w:rtl/>
        </w:rPr>
        <w:t xml:space="preserve"> </w:t>
      </w:r>
      <w:r w:rsidRPr="006903C5">
        <w:rPr>
          <w:rtl/>
        </w:rPr>
        <w:tab/>
      </w:r>
      <w:r w:rsidRPr="006903C5">
        <w:t>BCM - Billion cubic meters</w:t>
      </w:r>
      <w:r w:rsidRPr="006903C5">
        <w:rPr>
          <w:rtl/>
        </w:rPr>
        <w:t xml:space="preserve"> - מיליארד מטר מעוקב.</w:t>
      </w:r>
    </w:p>
  </w:footnote>
  <w:footnote w:id="3">
    <w:p w:rsidR="006903C5" w:rsidRPr="006903C5" w:rsidP="006903C5" w14:paraId="17F945F2" w14:textId="03BB49B4">
      <w:pPr>
        <w:pStyle w:val="733"/>
        <w:rPr>
          <w:rtl/>
        </w:rPr>
      </w:pPr>
      <w:r w:rsidRPr="006903C5">
        <w:rPr>
          <w:rStyle w:val="FootnoteReference0"/>
          <w:vertAlign w:val="baseline"/>
        </w:rPr>
        <w:footnoteRef/>
      </w:r>
      <w:r w:rsidRPr="006903C5">
        <w:rPr>
          <w:rtl/>
        </w:rPr>
        <w:t xml:space="preserve"> </w:t>
      </w:r>
      <w:r w:rsidRPr="006903C5">
        <w:rPr>
          <w:rtl/>
        </w:rPr>
        <w:tab/>
      </w:r>
      <w:r w:rsidRPr="006903C5">
        <w:rPr>
          <w:rtl/>
        </w:rPr>
        <w:t xml:space="preserve">מבקר המדינה, </w:t>
      </w:r>
      <w:r w:rsidRPr="006903C5">
        <w:rPr>
          <w:b/>
          <w:bCs/>
          <w:rtl/>
        </w:rPr>
        <w:t>דוח</w:t>
      </w:r>
      <w:r w:rsidR="00782DE6">
        <w:rPr>
          <w:rFonts w:hint="cs"/>
          <w:b/>
          <w:bCs/>
          <w:rtl/>
        </w:rPr>
        <w:t xml:space="preserve"> שנתי</w:t>
      </w:r>
      <w:r w:rsidRPr="006903C5">
        <w:rPr>
          <w:b/>
          <w:bCs/>
          <w:rtl/>
        </w:rPr>
        <w:t xml:space="preserve"> 67א</w:t>
      </w:r>
      <w:r w:rsidRPr="006903C5">
        <w:rPr>
          <w:rtl/>
        </w:rPr>
        <w:t xml:space="preserve"> (2016), "חיבור צרכנים לרשת החלוקה של הגז הטבעי", עמ' 903.</w:t>
      </w:r>
    </w:p>
  </w:footnote>
  <w:footnote w:id="4">
    <w:p w:rsidR="004863B3" w:rsidRPr="00BF5807" w:rsidP="004863B3" w14:paraId="3D70E0F0" w14:textId="77777777">
      <w:pPr>
        <w:pStyle w:val="733"/>
        <w:rPr>
          <w:sz w:val="16"/>
          <w:szCs w:val="16"/>
          <w:rtl/>
        </w:rPr>
      </w:pPr>
      <w:r w:rsidRPr="006903C5">
        <w:rPr>
          <w:rStyle w:val="7330"/>
        </w:rPr>
        <w:footnoteRef/>
      </w:r>
      <w:r w:rsidRPr="006903C5">
        <w:rPr>
          <w:rStyle w:val="7330"/>
          <w:rtl/>
        </w:rPr>
        <w:t xml:space="preserve"> </w:t>
      </w:r>
      <w:r w:rsidRPr="00BF5807">
        <w:rPr>
          <w:sz w:val="16"/>
          <w:szCs w:val="16"/>
          <w:rtl/>
        </w:rPr>
        <w:tab/>
      </w:r>
      <w:r w:rsidRPr="00BF5807">
        <w:rPr>
          <w:sz w:val="16"/>
          <w:szCs w:val="16"/>
          <w:rtl/>
        </w:rPr>
        <w:t>ראו תחשיב בפרק "התפתחות בפריסת רשת החלוקה בשנים 2016 - 2021"</w:t>
      </w:r>
      <w:r>
        <w:rPr>
          <w:rFonts w:hint="cs"/>
          <w:sz w:val="16"/>
          <w:szCs w:val="16"/>
          <w:rtl/>
        </w:rPr>
        <w:t>.</w:t>
      </w:r>
    </w:p>
  </w:footnote>
  <w:footnote w:id="5">
    <w:p w:rsidR="006903C5" w:rsidP="006903C5" w14:paraId="2E45C8FB" w14:textId="77777777">
      <w:pPr>
        <w:pStyle w:val="733"/>
        <w:rPr>
          <w:sz w:val="16"/>
          <w:szCs w:val="16"/>
        </w:rPr>
      </w:pPr>
    </w:p>
    <w:p w:rsidR="006903C5" w:rsidRPr="006903C5" w:rsidP="006903C5" w14:paraId="463C19C7" w14:textId="77777777">
      <w:pPr>
        <w:pStyle w:val="733"/>
        <w:rPr>
          <w:rtl/>
        </w:rPr>
      </w:pPr>
      <w:r w:rsidRPr="006903C5">
        <w:rPr>
          <w:rStyle w:val="FootnoteReference0"/>
          <w:vertAlign w:val="baseline"/>
        </w:rPr>
        <w:footnoteRef/>
      </w:r>
      <w:r w:rsidRPr="006903C5">
        <w:rPr>
          <w:rtl/>
        </w:rPr>
        <w:t xml:space="preserve"> </w:t>
      </w:r>
      <w:r w:rsidRPr="006903C5">
        <w:rPr>
          <w:rtl/>
        </w:rPr>
        <w:tab/>
      </w:r>
      <w:r w:rsidRPr="006903C5">
        <w:rPr>
          <w:rtl/>
        </w:rPr>
        <w:t xml:space="preserve">חברה ממשלתית חדשה האחראית על ניהול, תכנון ופיתוח מערכת החשמל. החברה פועלת להבטחת אספקת חשמל סדירה באמינות ובאיכות הנדרשים לכלל הצרכנים במשק החשמל, בשגרה ובחירום, ומנהלת את הסחר בחשמל בתנאים תחרותיים ושוויוניים. </w:t>
      </w:r>
    </w:p>
  </w:footnote>
  <w:footnote w:id="6">
    <w:p w:rsidR="006903C5" w:rsidRPr="006903C5" w:rsidP="006903C5" w14:paraId="547E17A9" w14:textId="04082F51">
      <w:pPr>
        <w:pStyle w:val="733"/>
      </w:pPr>
      <w:r w:rsidRPr="006903C5">
        <w:rPr>
          <w:rStyle w:val="FootnoteReference0"/>
          <w:vertAlign w:val="baseline"/>
        </w:rPr>
        <w:footnoteRef/>
      </w:r>
      <w:r w:rsidRPr="006903C5">
        <w:rPr>
          <w:rtl/>
        </w:rPr>
        <w:t xml:space="preserve"> </w:t>
      </w:r>
      <w:r w:rsidRPr="006903C5">
        <w:rPr>
          <w:rtl/>
        </w:rPr>
        <w:tab/>
      </w:r>
      <w:r w:rsidRPr="006903C5">
        <w:rPr>
          <w:rtl/>
        </w:rPr>
        <w:t xml:space="preserve">באזור </w:t>
      </w:r>
      <w:r w:rsidRPr="006903C5">
        <w:rPr>
          <w:rFonts w:hint="cs"/>
          <w:rtl/>
        </w:rPr>
        <w:t xml:space="preserve">הנגב </w:t>
      </w:r>
      <w:r w:rsidRPr="006903C5">
        <w:rPr>
          <w:rtl/>
        </w:rPr>
        <w:t>לא נקבעה רשימת צרכנים שיש חובה לחברם ברישיון</w:t>
      </w:r>
      <w:r w:rsidRPr="006903C5">
        <w:rPr>
          <w:rFonts w:hint="cs"/>
          <w:rtl/>
        </w:rPr>
        <w:t>,</w:t>
      </w:r>
      <w:r w:rsidRPr="006903C5">
        <w:rPr>
          <w:rtl/>
        </w:rPr>
        <w:t xml:space="preserve"> ועל כן לא מוצג יחס </w:t>
      </w:r>
      <w:r w:rsidRPr="006903C5">
        <w:rPr>
          <w:rFonts w:hint="cs"/>
          <w:rtl/>
        </w:rPr>
        <w:t>ה</w:t>
      </w:r>
      <w:r w:rsidRPr="006903C5">
        <w:rPr>
          <w:rtl/>
        </w:rPr>
        <w:t>ביצוע בהשוואה לרישיון. צרכנים שנקבע שיש לחברם ברישיון - צרכנים שחברות החלוקה התחייבו לחבר לרשת החלוקה האזורית. רשימת צרכנים זו נוספה כנספח ג' לרישיונות החלוקה (ראו הבהרות בקשר לנספח זה בפרק "תמונת המצב של רשת החלוקה לפי אזורים"); צרכנים חתומים - צרכנים שחתמו על הסכם לחיבור לרשת החלוקה עם חברות החלוקה; צרכנים מחוברים - צרכנים שחוברו לרשת החלוקה; צרכנים שהחלו לצרוך - צרכנים שצורכים בפועל גז טבעי ברשת החלוקה נכון למועד סיום הביקורת. נתוני התרשים מתבססים על הנתונים המפורטים (בחלוקה לאזורים) העדכניים ביותר שמסרה רשות הגז</w:t>
      </w:r>
      <w:r w:rsidR="00782DE6">
        <w:rPr>
          <w:rFonts w:hint="cs"/>
          <w:rtl/>
        </w:rPr>
        <w:t xml:space="preserve"> הטבעי</w:t>
      </w:r>
      <w:r w:rsidRPr="006903C5">
        <w:rPr>
          <w:rtl/>
        </w:rPr>
        <w:t>. ראו עדכונים קלים שמסרו חלק מחברות החלוקה לנתוני התרשים בפרק "תמונת המצב של רשת החלוקה לפי אזורים</w:t>
      </w:r>
      <w:r w:rsidRPr="006903C5">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1526AC" w14:paraId="1C6E1265" w14:textId="57D3164D">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586851" w14:textId="3510D2D8">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140DFE" w:rsidR="00140DFE">
                            <w:rPr>
                              <w:rFonts w:ascii="Tahoma" w:hAnsi="Tahoma" w:cs="Tahoma"/>
                              <w:b/>
                              <w:bCs/>
                              <w:rtl/>
                            </w:rPr>
                            <w:t>רשת החלוקה של הגז הטבעי</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3510D2D8">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140DFE" w:rsidR="00140DFE">
                      <w:rPr>
                        <w:rFonts w:ascii="Tahoma" w:hAnsi="Tahoma" w:cs="Tahoma"/>
                        <w:b/>
                        <w:bCs/>
                        <w:rtl/>
                      </w:rPr>
                      <w:t>רשת החלוקה של הגז הטבעי</w:t>
                    </w:r>
                  </w:p>
                </w:txbxContent>
              </v:textbox>
              <w10:wrap type="square"/>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F73EE0" w:rsidRPr="00136A3E" w:rsidP="00B244B0" w14:textId="690DEC50">
                          <w:pPr>
                            <w:jc w:val="right"/>
                            <w:rPr>
                              <w:color w:val="0D0D0D" w:themeColor="text1" w:themeTint="F2"/>
                              <w:sz w:val="16"/>
                              <w:szCs w:val="16"/>
                            </w:rPr>
                          </w:pPr>
                          <w:r w:rsidRPr="00A80DC3">
                            <w:rPr>
                              <w:rFonts w:ascii="Tahoma" w:hAnsi="Tahoma" w:cs="Tahoma"/>
                              <w:color w:val="0D0D0D"/>
                              <w:sz w:val="16"/>
                              <w:szCs w:val="16"/>
                              <w:rtl/>
                            </w:rPr>
                            <w:t xml:space="preserve">דוח מבקר המדינה | חשוון </w:t>
                          </w:r>
                          <w:r w:rsidRPr="00A80DC3">
                            <w:rPr>
                              <w:rFonts w:ascii="Tahoma" w:hAnsi="Tahoma" w:cs="Tahoma"/>
                              <w:color w:val="0D0D0D"/>
                              <w:sz w:val="16"/>
                              <w:szCs w:val="16"/>
                              <w:rtl/>
                            </w:rPr>
                            <w:t>התשפ״ג</w:t>
                          </w:r>
                          <w:r w:rsidRPr="00A80DC3">
                            <w:rPr>
                              <w:rFonts w:ascii="Tahoma" w:hAnsi="Tahoma" w:cs="Tahoma"/>
                              <w:color w:val="0D0D0D"/>
                              <w:sz w:val="16"/>
                              <w:szCs w:val="16"/>
                              <w:rtl/>
                            </w:rPr>
                            <w:t xml:space="preserve"> | </w:t>
                          </w:r>
                          <w:r w:rsidRPr="002D38F6" w:rsidR="002D38F6">
                            <w:rPr>
                              <w:rFonts w:ascii="Tahoma" w:hAnsi="Tahoma" w:cs="Tahoma"/>
                              <w:color w:val="0D0D0D"/>
                              <w:sz w:val="16"/>
                              <w:szCs w:val="16"/>
                              <w:rtl/>
                            </w:rPr>
                            <w:t>נובמבר</w:t>
                          </w:r>
                          <w:r w:rsidR="002D38F6">
                            <w:rPr>
                              <w:rFonts w:ascii="Tahoma" w:hAnsi="Tahoma" w:cs="Tahoma" w:hint="cs"/>
                              <w:color w:val="0D0D0D"/>
                              <w:sz w:val="16"/>
                              <w:szCs w:val="16"/>
                              <w:rtl/>
                            </w:rPr>
                            <w:t xml:space="preserve"> </w:t>
                          </w:r>
                          <w:r w:rsidRPr="00A80DC3">
                            <w:rPr>
                              <w:rFonts w:ascii="Tahoma" w:hAnsi="Tahoma" w:cs="Tahoma"/>
                              <w:color w:val="0D0D0D"/>
                              <w:sz w:val="16"/>
                              <w:szCs w:val="16"/>
                              <w:rtl/>
                            </w:rPr>
                            <w:t>2022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690DEC50">
                    <w:pPr>
                      <w:jc w:val="right"/>
                      <w:rPr>
                        <w:color w:val="0D0D0D" w:themeColor="text1" w:themeTint="F2"/>
                        <w:sz w:val="16"/>
                        <w:szCs w:val="16"/>
                      </w:rPr>
                    </w:pPr>
                    <w:r w:rsidRPr="00A80DC3">
                      <w:rPr>
                        <w:rFonts w:ascii="Tahoma" w:hAnsi="Tahoma" w:cs="Tahoma"/>
                        <w:color w:val="0D0D0D"/>
                        <w:sz w:val="16"/>
                        <w:szCs w:val="16"/>
                        <w:rtl/>
                      </w:rPr>
                      <w:t xml:space="preserve">דוח מבקר המדינה | חשוון </w:t>
                    </w:r>
                    <w:r w:rsidRPr="00A80DC3">
                      <w:rPr>
                        <w:rFonts w:ascii="Tahoma" w:hAnsi="Tahoma" w:cs="Tahoma"/>
                        <w:color w:val="0D0D0D"/>
                        <w:sz w:val="16"/>
                        <w:szCs w:val="16"/>
                        <w:rtl/>
                      </w:rPr>
                      <w:t>התשפ״ג</w:t>
                    </w:r>
                    <w:r w:rsidRPr="00A80DC3">
                      <w:rPr>
                        <w:rFonts w:ascii="Tahoma" w:hAnsi="Tahoma" w:cs="Tahoma"/>
                        <w:color w:val="0D0D0D"/>
                        <w:sz w:val="16"/>
                        <w:szCs w:val="16"/>
                        <w:rtl/>
                      </w:rPr>
                      <w:t xml:space="preserve"> | </w:t>
                    </w:r>
                    <w:r w:rsidRPr="002D38F6" w:rsidR="002D38F6">
                      <w:rPr>
                        <w:rFonts w:ascii="Tahoma" w:hAnsi="Tahoma" w:cs="Tahoma"/>
                        <w:color w:val="0D0D0D"/>
                        <w:sz w:val="16"/>
                        <w:szCs w:val="16"/>
                        <w:rtl/>
                      </w:rPr>
                      <w:t>נובמבר</w:t>
                    </w:r>
                    <w:r w:rsidR="002D38F6">
                      <w:rPr>
                        <w:rFonts w:ascii="Tahoma" w:hAnsi="Tahoma" w:cs="Tahoma" w:hint="cs"/>
                        <w:color w:val="0D0D0D"/>
                        <w:sz w:val="16"/>
                        <w:szCs w:val="16"/>
                        <w:rtl/>
                      </w:rPr>
                      <w:t xml:space="preserve"> </w:t>
                    </w:r>
                    <w:r w:rsidRPr="00A80DC3">
                      <w:rPr>
                        <w:rFonts w:ascii="Tahoma" w:hAnsi="Tahoma" w:cs="Tahoma"/>
                        <w:color w:val="0D0D0D"/>
                        <w:sz w:val="16"/>
                        <w:szCs w:val="16"/>
                        <w:rtl/>
                      </w:rPr>
                      <w:t>2022</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72952521">
                          <w:pPr>
                            <w:pStyle w:val="Heading1"/>
                            <w:spacing w:line="269" w:lineRule="auto"/>
                            <w:jc w:val="left"/>
                            <w:rPr>
                              <w:rFonts w:ascii="Tahoma" w:hAnsi="Tahoma" w:eastAsiaTheme="minorHAnsi" w:cs="Tahoma"/>
                              <w:bCs w:val="0"/>
                              <w:color w:val="0D0D0D" w:themeColor="text1" w:themeTint="F2"/>
                              <w:sz w:val="16"/>
                              <w:szCs w:val="16"/>
                              <w:u w:val="none"/>
                            </w:rPr>
                          </w:pPr>
                          <w:r w:rsidRPr="00140DFE">
                            <w:rPr>
                              <w:rFonts w:ascii="Tahoma" w:hAnsi="Tahoma" w:eastAsiaTheme="minorHAnsi" w:cs="Tahoma"/>
                              <w:bCs w:val="0"/>
                              <w:color w:val="0D0D0D" w:themeColor="text1" w:themeTint="F2"/>
                              <w:sz w:val="16"/>
                              <w:szCs w:val="16"/>
                              <w:u w:val="none"/>
                              <w:rtl/>
                            </w:rPr>
                            <w:t>רשת החלוקה של הגז הטבעי</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72952521">
                    <w:pPr>
                      <w:pStyle w:val="Heading1"/>
                      <w:spacing w:line="269" w:lineRule="auto"/>
                      <w:jc w:val="left"/>
                      <w:rPr>
                        <w:rFonts w:ascii="Tahoma" w:hAnsi="Tahoma" w:eastAsiaTheme="minorHAnsi" w:cs="Tahoma"/>
                        <w:bCs w:val="0"/>
                        <w:color w:val="0D0D0D" w:themeColor="text1" w:themeTint="F2"/>
                        <w:sz w:val="16"/>
                        <w:szCs w:val="16"/>
                        <w:u w:val="none"/>
                      </w:rPr>
                    </w:pPr>
                    <w:r w:rsidRPr="00140DFE">
                      <w:rPr>
                        <w:rFonts w:ascii="Tahoma" w:hAnsi="Tahoma" w:eastAsiaTheme="minorHAnsi" w:cs="Tahoma"/>
                        <w:bCs w:val="0"/>
                        <w:color w:val="0D0D0D" w:themeColor="text1" w:themeTint="F2"/>
                        <w:sz w:val="16"/>
                        <w:szCs w:val="16"/>
                        <w:u w:val="none"/>
                        <w:rtl/>
                      </w:rPr>
                      <w:t>רשת החלוקה של הגז הטבעי</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31AA" w:rsidRPr="00D15500" w:rsidP="005B4811" w14:paraId="5009AC3C" w14:textId="77777777">
    <w:pPr>
      <w:pStyle w:val="Header"/>
      <w:tabs>
        <w:tab w:val="center" w:pos="457"/>
        <w:tab w:val="clear" w:pos="4153"/>
        <w:tab w:val="clear" w:pos="8306"/>
      </w:tabs>
      <w:spacing w:line="312" w:lineRule="auto"/>
      <w:jc w:val="left"/>
      <w:rPr>
        <w:rFonts w:ascii="Tahoma" w:hAnsi="Tahoma" w:cs="Tahoma"/>
        <w:color w:val="002060"/>
        <w:sz w:val="18"/>
        <w:szCs w:val="18"/>
        <w:rtl/>
      </w:rPr>
    </w:pPr>
    <w:r>
      <w:rPr>
        <w:rFonts w:ascii="Tahoma" w:hAnsi="Tahoma" w:cs="Tahoma"/>
        <w:noProof/>
        <w:sz w:val="24"/>
      </w:rPr>
      <w:drawing>
        <wp:anchor distT="0" distB="0" distL="114300" distR="114300" simplePos="0" relativeHeight="251681792" behindDoc="0" locked="0" layoutInCell="1" allowOverlap="1">
          <wp:simplePos x="0" y="0"/>
          <wp:positionH relativeFrom="column">
            <wp:posOffset>1509601</wp:posOffset>
          </wp:positionH>
          <wp:positionV relativeFrom="paragraph">
            <wp:posOffset>-19685</wp:posOffset>
          </wp:positionV>
          <wp:extent cx="379095" cy="250190"/>
          <wp:effectExtent l="0" t="0" r="1905" b="0"/>
          <wp:wrapTopAndBottom/>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evaker-semel.new-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79095" cy="250190"/>
                  </a:xfrm>
                  <a:prstGeom prst="rect">
                    <a:avLst/>
                  </a:prstGeom>
                </pic:spPr>
              </pic:pic>
            </a:graphicData>
          </a:graphic>
          <wp14:sizeRelH relativeFrom="page">
            <wp14:pctWidth>0</wp14:pctWidth>
          </wp14:sizeRelH>
          <wp14:sizeRelV relativeFrom="page">
            <wp14:pctHeight>0</wp14:pctHeight>
          </wp14:sizeRelV>
        </wp:anchor>
      </w:drawing>
    </w:r>
    <w:r w:rsidRPr="005B4811">
      <w:rPr>
        <w:rFonts w:ascii="Tahoma" w:hAnsi="Tahoma" w:cs="Tahoma"/>
        <w:noProof/>
        <w:color w:val="002060"/>
        <w:sz w:val="18"/>
        <w:szCs w:val="18"/>
        <w:rtl/>
      </w:rPr>
      <mc:AlternateContent>
        <mc:Choice Requires="wps">
          <w:drawing>
            <wp:anchor distT="45720" distB="45720" distL="114300" distR="114300" simplePos="0" relativeHeight="251679744" behindDoc="0" locked="0" layoutInCell="1" allowOverlap="1">
              <wp:simplePos x="0" y="0"/>
              <wp:positionH relativeFrom="margin">
                <wp:posOffset>-87836</wp:posOffset>
              </wp:positionH>
              <wp:positionV relativeFrom="paragraph">
                <wp:posOffset>-17145</wp:posOffset>
              </wp:positionV>
              <wp:extent cx="1641475" cy="284480"/>
              <wp:effectExtent l="0" t="0" r="0" b="1270"/>
              <wp:wrapSquare wrapText="bothSides"/>
              <wp:docPr id="170" name="תיבת טקסט 1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41475" cy="284480"/>
                      </a:xfrm>
                      <a:prstGeom prst="rect">
                        <a:avLst/>
                      </a:prstGeom>
                      <a:solidFill>
                        <a:srgbClr val="FFFFFF"/>
                      </a:solidFill>
                      <a:ln w="9525">
                        <a:noFill/>
                        <a:miter lim="800000"/>
                        <a:headEnd/>
                        <a:tailEnd/>
                      </a:ln>
                    </wps:spPr>
                    <wps:txbx>
                      <w:txbxContent>
                        <w:p w:rsidR="000B31AA" w:rsidRPr="005B4811" w:rsidP="005B4811" w14:textId="77777777">
                          <w:pPr>
                            <w:rPr>
                              <w:rtl/>
                            </w:rPr>
                          </w:pPr>
                          <w:r w:rsidRPr="00D15500">
                            <w:rPr>
                              <w:rFonts w:ascii="Tahoma" w:hAnsi="Tahoma" w:cs="Tahoma" w:hint="cs"/>
                              <w:color w:val="002060"/>
                              <w:sz w:val="18"/>
                              <w:szCs w:val="18"/>
                              <w:rtl/>
                            </w:rPr>
                            <w:t xml:space="preserve">מבקר המדינה, </w:t>
                          </w:r>
                          <w:r w:rsidRPr="00D15500">
                            <w:rPr>
                              <w:rFonts w:ascii="Tahoma" w:hAnsi="Tahoma" w:cs="Tahoma"/>
                              <w:color w:val="002060"/>
                              <w:sz w:val="18"/>
                              <w:szCs w:val="18"/>
                              <w:rtl/>
                            </w:rPr>
                            <w:t>דוח</w:t>
                          </w:r>
                          <w:r w:rsidRPr="00D15500">
                            <w:rPr>
                              <w:rFonts w:ascii="Tahoma" w:hAnsi="Tahoma" w:cs="Tahoma" w:hint="cs"/>
                              <w:color w:val="002060"/>
                              <w:sz w:val="18"/>
                              <w:szCs w:val="18"/>
                              <w:rtl/>
                            </w:rPr>
                            <w:t xml:space="preserve"> שנתי</w:t>
                          </w:r>
                          <w:r w:rsidRPr="00D15500">
                            <w:rPr>
                              <w:rFonts w:ascii="Tahoma" w:hAnsi="Tahoma" w:cs="Tahoma"/>
                              <w:color w:val="002060"/>
                              <w:sz w:val="18"/>
                              <w:szCs w:val="18"/>
                              <w:rtl/>
                            </w:rPr>
                            <w:t xml:space="preserve"> 70א</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70" o:spid="_x0000_s2058" type="#_x0000_t202" style="width:129.25pt;height:22.4pt;margin-top:-1.35pt;margin-left:-6.9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0768" stroked="f">
              <v:textbox>
                <w:txbxContent>
                  <w:p w:rsidR="000B31AA" w:rsidRPr="005B4811" w:rsidP="005B4811" w14:paraId="620D61BD" w14:textId="77777777">
                    <w:pPr>
                      <w:rPr>
                        <w:rtl/>
                      </w:rPr>
                    </w:pPr>
                    <w:r w:rsidRPr="00D15500">
                      <w:rPr>
                        <w:rFonts w:ascii="Tahoma" w:hAnsi="Tahoma" w:cs="Tahoma" w:hint="cs"/>
                        <w:color w:val="002060"/>
                        <w:sz w:val="18"/>
                        <w:szCs w:val="18"/>
                        <w:rtl/>
                      </w:rPr>
                      <w:t xml:space="preserve">מבקר המדינה, </w:t>
                    </w:r>
                    <w:r w:rsidRPr="00D15500">
                      <w:rPr>
                        <w:rFonts w:ascii="Tahoma" w:hAnsi="Tahoma" w:cs="Tahoma"/>
                        <w:color w:val="002060"/>
                        <w:sz w:val="18"/>
                        <w:szCs w:val="18"/>
                        <w:rtl/>
                      </w:rPr>
                      <w:t>דוח</w:t>
                    </w:r>
                    <w:r w:rsidRPr="00D15500">
                      <w:rPr>
                        <w:rFonts w:ascii="Tahoma" w:hAnsi="Tahoma" w:cs="Tahoma" w:hint="cs"/>
                        <w:color w:val="002060"/>
                        <w:sz w:val="18"/>
                        <w:szCs w:val="18"/>
                        <w:rtl/>
                      </w:rPr>
                      <w:t xml:space="preserve"> שנתי</w:t>
                    </w:r>
                    <w:r w:rsidRPr="00D15500">
                      <w:rPr>
                        <w:rFonts w:ascii="Tahoma" w:hAnsi="Tahoma" w:cs="Tahoma"/>
                        <w:color w:val="002060"/>
                        <w:sz w:val="18"/>
                        <w:szCs w:val="18"/>
                        <w:rtl/>
                      </w:rPr>
                      <w:t xml:space="preserve"> 70א</w:t>
                    </w:r>
                  </w:p>
                </w:txbxContent>
              </v:textbox>
              <w10:wrap type="square"/>
            </v:shape>
          </w:pict>
        </mc:Fallback>
      </mc:AlternateContent>
    </w:r>
    <w:r w:rsidRPr="005B4811">
      <w:rPr>
        <w:rFonts w:ascii="Tahoma" w:hAnsi="Tahoma" w:cs="Tahoma"/>
        <w:noProof/>
        <w:color w:val="002060"/>
        <w:sz w:val="18"/>
        <w:szCs w:val="18"/>
        <w:rtl/>
      </w:rPr>
      <mc:AlternateContent>
        <mc:Choice Requires="wps">
          <w:drawing>
            <wp:anchor distT="45720" distB="45720" distL="114300" distR="114300" simplePos="0" relativeHeight="251677696" behindDoc="0" locked="0" layoutInCell="1" allowOverlap="1">
              <wp:simplePos x="0" y="0"/>
              <wp:positionH relativeFrom="column">
                <wp:posOffset>4078399</wp:posOffset>
              </wp:positionH>
              <wp:positionV relativeFrom="paragraph">
                <wp:posOffset>-11430</wp:posOffset>
              </wp:positionV>
              <wp:extent cx="895985" cy="1419098"/>
              <wp:effectExtent l="0" t="0" r="0" b="6350"/>
              <wp:wrapSquare wrapText="bothSides"/>
              <wp:docPr id="17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895985" cy="1419098"/>
                      </a:xfrm>
                      <a:prstGeom prst="rect">
                        <a:avLst/>
                      </a:prstGeom>
                      <a:solidFill>
                        <a:srgbClr val="FFFFFF"/>
                      </a:solidFill>
                      <a:ln w="9525">
                        <a:noFill/>
                        <a:miter lim="800000"/>
                        <a:headEnd/>
                        <a:tailEnd/>
                      </a:ln>
                    </wps:spPr>
                    <wps:txbx>
                      <w:txbxContent>
                        <w:p w:rsidR="000B31AA" w:rsidRPr="005B4811" w:rsidP="005B4811" w14:textId="77777777">
                          <w:pPr>
                            <w:rPr>
                              <w:rtl/>
                              <w:cs/>
                            </w:rPr>
                          </w:pPr>
                          <w:r w:rsidRPr="005B4811">
                            <w:rPr>
                              <w:rFonts w:ascii="Tahoma" w:hAnsi="Tahoma" w:cs="Tahoma" w:hint="cs"/>
                              <w:color w:val="002060"/>
                              <w:sz w:val="18"/>
                              <w:szCs w:val="18"/>
                              <w:rtl/>
                            </w:rPr>
                            <w:t>מדינת ישראל</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תיבת טקסט 2" o:spid="_x0000_s2059" type="#_x0000_t202" style="width:70.55pt;height:123.65pt;margin-top:-0.9pt;margin-left:321.15pt;flip:x;mso-height-percent:200;mso-height-relative:margin;mso-width-percent:0;mso-width-relative:margin;mso-wrap-distance-bottom:3.6pt;mso-wrap-distance-left:9pt;mso-wrap-distance-right:9pt;mso-wrap-distance-top:3.6pt;mso-wrap-style:square;position:absolute;visibility:visible;v-text-anchor:top;z-index:251678720" stroked="f">
              <v:textbox style="mso-fit-shape-to-text:t">
                <w:txbxContent>
                  <w:p w:rsidR="000B31AA" w:rsidRPr="005B4811" w:rsidP="005B4811" w14:paraId="556FBA7E" w14:textId="77777777">
                    <w:pPr>
                      <w:rPr>
                        <w:rtl/>
                        <w:cs/>
                      </w:rPr>
                    </w:pPr>
                    <w:r w:rsidRPr="005B4811">
                      <w:rPr>
                        <w:rFonts w:ascii="Tahoma" w:hAnsi="Tahoma" w:cs="Tahoma" w:hint="cs"/>
                        <w:color w:val="002060"/>
                        <w:sz w:val="18"/>
                        <w:szCs w:val="18"/>
                        <w:rtl/>
                      </w:rPr>
                      <w:t>מדינת ישראל</w:t>
                    </w:r>
                  </w:p>
                </w:txbxContent>
              </v:textbox>
              <w10:wrap type="square"/>
            </v:shape>
          </w:pict>
        </mc:Fallback>
      </mc:AlternateContent>
    </w:r>
    <w:r>
      <w:rPr>
        <w:rFonts w:ascii="Tahoma" w:hAnsi="Tahoma" w:cs="Tahoma"/>
        <w:noProof/>
        <w:szCs w:val="18"/>
      </w:rPr>
      <w:drawing>
        <wp:anchor distT="0" distB="0" distL="114300" distR="114300" simplePos="0" relativeHeight="251682816" behindDoc="0" locked="0" layoutInCell="1" allowOverlap="1">
          <wp:simplePos x="0" y="0"/>
          <wp:positionH relativeFrom="column">
            <wp:posOffset>4955969</wp:posOffset>
          </wp:positionH>
          <wp:positionV relativeFrom="paragraph">
            <wp:posOffset>-43815</wp:posOffset>
          </wp:positionV>
          <wp:extent cx="245110" cy="301625"/>
          <wp:effectExtent l="0" t="0" r="2540" b="3175"/>
          <wp:wrapSquare wrapText="bothSides"/>
          <wp:docPr id="22" name="Picture 76591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srael-blue.1.png"/>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5110" cy="3016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7354" w:rsidP="00BF7354" w14:paraId="2B9018FE" w14:textId="77777777">
    <w:pPr>
      <w:pStyle w:val="Header"/>
      <w:rPr>
        <w:rtl/>
      </w:rPr>
    </w:pPr>
    <w:r>
      <w:rPr>
        <w:noProof/>
        <w:rtl/>
        <w:lang w:val="he-IL"/>
      </w:rPr>
      <mc:AlternateContent>
        <mc:Choice Requires="wps">
          <w:drawing>
            <wp:anchor distT="0" distB="0" distL="114300" distR="114300" simplePos="0" relativeHeight="25168793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15"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BF7354" w:rsidRPr="00FD02CC" w:rsidP="00BF7354"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0"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7520" filled="f" strokecolor="#a5a5a5" strokeweight="0.25pt">
              <v:stroke dashstyle="longDash"/>
              <v:textbox>
                <w:txbxContent>
                  <w:p w:rsidR="00BF7354" w:rsidRPr="00FD02CC" w:rsidP="00BF7354" w14:paraId="59407D53"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BF7354" w:rsidP="00BF7354" w14:paraId="521B9539" w14:textId="77777777">
    <w:pPr>
      <w:pStyle w:val="Header"/>
      <w:ind w:firstLine="720"/>
      <w:rPr>
        <w:rtl/>
      </w:rPr>
    </w:pPr>
  </w:p>
  <w:p w:rsidR="00BF7354" w:rsidP="00BF7354" w14:paraId="07389A74" w14:textId="77777777">
    <w:pPr>
      <w:pStyle w:val="Header"/>
      <w:rPr>
        <w:rtl/>
      </w:rPr>
    </w:pPr>
  </w:p>
  <w:p w:rsidR="00BF7354" w:rsidP="00BF7354" w14:paraId="218A1974"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588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6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BF7354" w:rsidRPr="003D62C4" w:rsidP="00BF7354" w14:textId="77777777">
                          <w:pPr>
                            <w:pStyle w:val="Heading1"/>
                            <w:spacing w:line="269" w:lineRule="auto"/>
                            <w:jc w:val="left"/>
                            <w:rPr>
                              <w:rFonts w:ascii="Tahoma" w:hAnsi="Tahoma" w:eastAsiaTheme="minorHAnsi" w:cs="Tahoma"/>
                              <w:bCs w:val="0"/>
                              <w:color w:val="0D0D0D" w:themeColor="text1" w:themeTint="F2"/>
                              <w:sz w:val="16"/>
                              <w:szCs w:val="16"/>
                              <w:u w:val="none"/>
                            </w:rPr>
                          </w:pPr>
                          <w:r w:rsidRPr="00140DFE">
                            <w:rPr>
                              <w:rFonts w:ascii="Tahoma" w:hAnsi="Tahoma" w:eastAsiaTheme="minorHAnsi" w:cs="Tahoma"/>
                              <w:bCs w:val="0"/>
                              <w:color w:val="0D0D0D" w:themeColor="text1" w:themeTint="F2"/>
                              <w:sz w:val="16"/>
                              <w:szCs w:val="16"/>
                              <w:u w:val="none"/>
                              <w:rtl/>
                            </w:rPr>
                            <w:t>רשת החלוקה של הגז הטבעי</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61" type="#_x0000_t202" style="width:357.2pt;height:22.1pt;margin-top:16.15pt;margin-left:-8.4pt;mso-width-percent:0;mso-width-relative:margin;mso-wrap-distance-bottom:0;mso-wrap-distance-left:9pt;mso-wrap-distance-right:9pt;mso-wrap-distance-top:0;mso-wrap-style:square;position:absolute;visibility:visible;v-text-anchor:top;z-index:251686912" stroked="f">
              <v:textbox style="mso-fit-shape-to-text:t">
                <w:txbxContent>
                  <w:p w:rsidR="00BF7354" w:rsidRPr="003D62C4" w:rsidP="00BF7354" w14:paraId="1A14D084" w14:textId="77777777">
                    <w:pPr>
                      <w:pStyle w:val="Heading1"/>
                      <w:spacing w:line="269" w:lineRule="auto"/>
                      <w:jc w:val="left"/>
                      <w:rPr>
                        <w:rFonts w:ascii="Tahoma" w:hAnsi="Tahoma" w:eastAsiaTheme="minorHAnsi" w:cs="Tahoma"/>
                        <w:bCs w:val="0"/>
                        <w:color w:val="0D0D0D" w:themeColor="text1" w:themeTint="F2"/>
                        <w:sz w:val="16"/>
                        <w:szCs w:val="16"/>
                        <w:u w:val="none"/>
                      </w:rPr>
                    </w:pPr>
                    <w:r w:rsidRPr="00140DFE">
                      <w:rPr>
                        <w:rFonts w:ascii="Tahoma" w:hAnsi="Tahoma" w:eastAsiaTheme="minorHAnsi" w:cs="Tahoma"/>
                        <w:bCs w:val="0"/>
                        <w:color w:val="0D0D0D" w:themeColor="text1" w:themeTint="F2"/>
                        <w:sz w:val="16"/>
                        <w:szCs w:val="16"/>
                        <w:u w:val="none"/>
                        <w:rtl/>
                      </w:rPr>
                      <w:t>רשת החלוקה של הגז הטבעי</w:t>
                    </w:r>
                  </w:p>
                </w:txbxContent>
              </v:textbox>
              <w10:wrap type="square"/>
            </v:shape>
          </w:pict>
        </mc:Fallback>
      </mc:AlternateContent>
    </w:r>
  </w:p>
  <w:p w:rsidR="00BF7354" w:rsidP="00BF7354" w14:paraId="49FF2B4A" w14:textId="77777777">
    <w:pPr>
      <w:pStyle w:val="Header"/>
      <w:rPr>
        <w:rtl/>
      </w:rPr>
    </w:pPr>
    <w:r>
      <w:rPr>
        <w:rFonts w:ascii="Tahoma" w:hAnsi="Tahoma" w:cs="Tahoma"/>
        <w:noProof/>
        <w:color w:val="002060"/>
        <w:sz w:val="18"/>
        <w:szCs w:val="18"/>
      </w:rPr>
      <w:drawing>
        <wp:anchor distT="0" distB="0" distL="114300" distR="114300" simplePos="0" relativeHeight="251689984"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451066625"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5"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3840"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145106662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2" style="flip:x;mso-height-percent:0;mso-height-relative:margin;mso-width-percent:0;mso-width-relative:margin;mso-wrap-distance-bottom:0;mso-wrap-distance-left:9pt;mso-wrap-distance-right:9pt;mso-wrap-distance-top:0;mso-wrap-style:square;position:absolute;visibility:visible;z-index:251684864" from="-109.7pt,27.8pt" to="367.9pt,27.8pt" strokecolor="#0d0d0d" strokeweight="0.25pt"/>
          </w:pict>
        </mc:Fallback>
      </mc:AlternateContent>
    </w:r>
  </w:p>
  <w:p w:rsidR="008B694B" w:rsidRPr="00BF7354" w:rsidP="00BF7354" w14:paraId="4E47EA6D" w14:textId="324E80B4">
    <w:pPr>
      <w:pStyle w:val="Header"/>
      <w:rPr>
        <w:szCs w:val="20"/>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59pt" o:bullet="t">
        <v:imagedata r:id="rId1" o:title="icon-menura copy"/>
      </v:shape>
    </w:pict>
  </w:numPicBullet>
  <w:numPicBullet w:numPicBulletId="1">
    <w:pict>
      <v:shape id="_x0000_i1027" type="#_x0000_t75" style="width:49pt;height:55.5pt" o:bullet="t">
        <v:imagedata r:id="rId2" o:title="yad-red"/>
      </v:shape>
    </w:pict>
  </w:numPicBullet>
  <w:abstractNum w:abstractNumId="0">
    <w:nsid w:val="FFFFFF7C"/>
    <w:multiLevelType w:val="singleLevel"/>
    <w:tmpl w:val="C13A6F2A"/>
    <w:lvl w:ilvl="0">
      <w:start w:val="1"/>
      <w:numFmt w:val="decimal"/>
      <w:lvlText w:val="%1."/>
      <w:lvlJc w:val="left"/>
      <w:pPr>
        <w:tabs>
          <w:tab w:val="num" w:pos="1492"/>
        </w:tabs>
        <w:ind w:left="1492" w:hanging="360"/>
      </w:pPr>
    </w:lvl>
  </w:abstractNum>
  <w:abstractNum w:abstractNumId="1">
    <w:nsid w:val="FFFFFF7D"/>
    <w:multiLevelType w:val="singleLevel"/>
    <w:tmpl w:val="07826AE0"/>
    <w:lvl w:ilvl="0">
      <w:start w:val="1"/>
      <w:numFmt w:val="decimal"/>
      <w:lvlText w:val="%1."/>
      <w:lvlJc w:val="left"/>
      <w:pPr>
        <w:tabs>
          <w:tab w:val="num" w:pos="1209"/>
        </w:tabs>
        <w:ind w:left="1209" w:hanging="360"/>
      </w:pPr>
    </w:lvl>
  </w:abstractNum>
  <w:abstractNum w:abstractNumId="2">
    <w:nsid w:val="FFFFFF7F"/>
    <w:multiLevelType w:val="singleLevel"/>
    <w:tmpl w:val="B0FE740E"/>
    <w:lvl w:ilvl="0">
      <w:start w:val="1"/>
      <w:numFmt w:val="decimal"/>
      <w:lvlText w:val="%1."/>
      <w:lvlJc w:val="left"/>
      <w:pPr>
        <w:tabs>
          <w:tab w:val="num" w:pos="643"/>
        </w:tabs>
        <w:ind w:left="643" w:hanging="360"/>
      </w:pPr>
    </w:lvl>
  </w:abstractNum>
  <w:abstractNum w:abstractNumId="3">
    <w:nsid w:val="FFFFFF80"/>
    <w:multiLevelType w:val="singleLevel"/>
    <w:tmpl w:val="F5E634B6"/>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9DFAEF10"/>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D548AE60"/>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14EAD708"/>
    <w:lvl w:ilvl="0">
      <w:start w:val="1"/>
      <w:numFmt w:val="bullet"/>
      <w:lvlText w:val=""/>
      <w:lvlJc w:val="left"/>
      <w:pPr>
        <w:tabs>
          <w:tab w:val="num" w:pos="643"/>
        </w:tabs>
        <w:ind w:left="643" w:hanging="360"/>
      </w:pPr>
      <w:rPr>
        <w:rFonts w:ascii="Symbol" w:hAnsi="Symbol" w:hint="default"/>
      </w:rPr>
    </w:lvl>
  </w:abstractNum>
  <w:abstractNum w:abstractNumId="7">
    <w:nsid w:val="FFFFFF89"/>
    <w:multiLevelType w:val="singleLevel"/>
    <w:tmpl w:val="041C034C"/>
    <w:lvl w:ilvl="0">
      <w:start w:val="1"/>
      <w:numFmt w:val="bullet"/>
      <w:lvlText w:val=""/>
      <w:lvlJc w:val="left"/>
      <w:pPr>
        <w:tabs>
          <w:tab w:val="num" w:pos="360"/>
        </w:tabs>
        <w:ind w:left="360" w:hanging="360"/>
      </w:pPr>
      <w:rPr>
        <w:rFonts w:ascii="Symbol" w:hAnsi="Symbol" w:hint="default"/>
      </w:rPr>
    </w:lvl>
  </w:abstractNum>
  <w:abstractNum w:abstractNumId="8">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9">
    <w:nsid w:val="0D860853"/>
    <w:multiLevelType w:val="hybridMultilevel"/>
    <w:tmpl w:val="F3A2278E"/>
    <w:lvl w:ilvl="0">
      <w:start w:val="1"/>
      <w:numFmt w:val="decimal"/>
      <w:lvlText w:val="%1."/>
      <w:lvlJc w:val="left"/>
      <w:pPr>
        <w:ind w:left="357" w:hanging="357"/>
      </w:pPr>
      <w:rPr>
        <w:rFonts w:hint="default"/>
      </w:rPr>
    </w:lvl>
    <w:lvl w:ilvl="1" w:tentative="1">
      <w:start w:val="1"/>
      <w:numFmt w:val="lowerLetter"/>
      <w:lvlText w:val="%2."/>
      <w:lvlJc w:val="left"/>
      <w:pPr>
        <w:ind w:left="1837" w:hanging="360"/>
      </w:pPr>
    </w:lvl>
    <w:lvl w:ilvl="2" w:tentative="1">
      <w:start w:val="1"/>
      <w:numFmt w:val="lowerRoman"/>
      <w:lvlText w:val="%3."/>
      <w:lvlJc w:val="right"/>
      <w:pPr>
        <w:ind w:left="2557" w:hanging="180"/>
      </w:pPr>
    </w:lvl>
    <w:lvl w:ilvl="3" w:tentative="1">
      <w:start w:val="1"/>
      <w:numFmt w:val="decimal"/>
      <w:lvlText w:val="%4."/>
      <w:lvlJc w:val="left"/>
      <w:pPr>
        <w:ind w:left="3277" w:hanging="360"/>
      </w:pPr>
    </w:lvl>
    <w:lvl w:ilvl="4" w:tentative="1">
      <w:start w:val="1"/>
      <w:numFmt w:val="lowerLetter"/>
      <w:lvlText w:val="%5."/>
      <w:lvlJc w:val="left"/>
      <w:pPr>
        <w:ind w:left="3997" w:hanging="360"/>
      </w:pPr>
    </w:lvl>
    <w:lvl w:ilvl="5" w:tentative="1">
      <w:start w:val="1"/>
      <w:numFmt w:val="lowerRoman"/>
      <w:lvlText w:val="%6."/>
      <w:lvlJc w:val="right"/>
      <w:pPr>
        <w:ind w:left="4717" w:hanging="180"/>
      </w:pPr>
    </w:lvl>
    <w:lvl w:ilvl="6" w:tentative="1">
      <w:start w:val="1"/>
      <w:numFmt w:val="decimal"/>
      <w:lvlText w:val="%7."/>
      <w:lvlJc w:val="left"/>
      <w:pPr>
        <w:ind w:left="5437" w:hanging="360"/>
      </w:pPr>
    </w:lvl>
    <w:lvl w:ilvl="7" w:tentative="1">
      <w:start w:val="1"/>
      <w:numFmt w:val="lowerLetter"/>
      <w:lvlText w:val="%8."/>
      <w:lvlJc w:val="left"/>
      <w:pPr>
        <w:ind w:left="6157" w:hanging="360"/>
      </w:pPr>
    </w:lvl>
    <w:lvl w:ilvl="8" w:tentative="1">
      <w:start w:val="1"/>
      <w:numFmt w:val="lowerRoman"/>
      <w:lvlText w:val="%9."/>
      <w:lvlJc w:val="right"/>
      <w:pPr>
        <w:ind w:left="6877" w:hanging="180"/>
      </w:pPr>
    </w:lvl>
  </w:abstractNum>
  <w:abstractNum w:abstractNumId="10">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FA69B7"/>
    <w:multiLevelType w:val="hybridMultilevel"/>
    <w:tmpl w:val="E57A33B8"/>
    <w:lvl w:ilvl="0">
      <w:start w:val="1"/>
      <w:numFmt w:val="decimal"/>
      <w:lvlText w:val="%1."/>
      <w:lvlJc w:val="left"/>
      <w:pPr>
        <w:ind w:left="357" w:hanging="357"/>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074133"/>
    <w:multiLevelType w:val="hybridMultilevel"/>
    <w:tmpl w:val="ED4C3644"/>
    <w:lvl w:ilvl="0">
      <w:start w:val="1"/>
      <w:numFmt w:val="bullet"/>
      <w:lvlText w:val=""/>
      <w:lvlPicBulletId w:val="0"/>
      <w:lvlJc w:val="left"/>
      <w:pPr>
        <w:ind w:left="760" w:hanging="403"/>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5B45A7"/>
    <w:multiLevelType w:val="hybridMultilevel"/>
    <w:tmpl w:val="9640A432"/>
    <w:lvl w:ilvl="0">
      <w:start w:val="1"/>
      <w:numFmt w:val="decimal"/>
      <w:lvlText w:val="%1."/>
      <w:lvlJc w:val="left"/>
      <w:pPr>
        <w:ind w:left="357" w:hanging="35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7C17070"/>
    <w:multiLevelType w:val="hybridMultilevel"/>
    <w:tmpl w:val="193A49BE"/>
    <w:lvl w:ilvl="0">
      <w:start w:val="1"/>
      <w:numFmt w:val="decimal"/>
      <w:lvlText w:val="%1."/>
      <w:lvlJc w:val="left"/>
      <w:pPr>
        <w:ind w:left="357" w:hanging="35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FD297B"/>
    <w:multiLevelType w:val="hybridMultilevel"/>
    <w:tmpl w:val="0C242206"/>
    <w:lvl w:ilvl="0">
      <w:start w:val="1"/>
      <w:numFmt w:val="decimal"/>
      <w:lvlText w:val="%1."/>
      <w:lvlJc w:val="left"/>
      <w:pPr>
        <w:ind w:left="357" w:hanging="35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702A82"/>
    <w:multiLevelType w:val="hybridMultilevel"/>
    <w:tmpl w:val="166CB5D4"/>
    <w:lvl w:ilvl="0">
      <w:start w:val="1"/>
      <w:numFmt w:val="decimal"/>
      <w:lvlText w:val="%1."/>
      <w:lvlJc w:val="left"/>
      <w:pPr>
        <w:ind w:left="357" w:hanging="35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CB5BF3"/>
    <w:multiLevelType w:val="multilevel"/>
    <w:tmpl w:val="646C0440"/>
    <w:lvl w:ilvl="0">
      <w:start w:val="1"/>
      <w:numFmt w:val="decimal"/>
      <w:lvlText w:val="%1."/>
      <w:lvlJc w:val="left"/>
      <w:pPr>
        <w:ind w:left="340" w:hanging="340"/>
      </w:pPr>
      <w:rPr>
        <w:rFonts w:hint="default"/>
      </w:rPr>
    </w:lvl>
    <w:lvl w:ilvl="1">
      <w:start w:val="1"/>
      <w:numFmt w:val="none"/>
      <w:pStyle w:val="737"/>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8">
    <w:nsid w:val="2B16139F"/>
    <w:multiLevelType w:val="hybridMultilevel"/>
    <w:tmpl w:val="D06C34BA"/>
    <w:lvl w:ilvl="0">
      <w:start w:val="1"/>
      <w:numFmt w:val="bullet"/>
      <w:lvlText w:val=""/>
      <w:lvlPicBulletId w:val="1"/>
      <w:lvlJc w:val="left"/>
      <w:pPr>
        <w:ind w:left="360" w:hanging="360"/>
      </w:pPr>
      <w:rPr>
        <w:rFonts w:ascii="Symbol" w:hAnsi="Symbol" w:hint="default"/>
        <w:color w:val="auto"/>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20">
    <w:nsid w:val="371133C6"/>
    <w:multiLevelType w:val="hybridMultilevel"/>
    <w:tmpl w:val="E8CC6D4C"/>
    <w:lvl w:ilvl="0">
      <w:start w:val="1"/>
      <w:numFmt w:val="decimal"/>
      <w:lvlText w:val="%1."/>
      <w:lvlJc w:val="left"/>
      <w:pPr>
        <w:ind w:left="357" w:hanging="35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3BC1088C"/>
    <w:multiLevelType w:val="multilevel"/>
    <w:tmpl w:val="1EAC27C8"/>
    <w:lvl w:ilvl="0">
      <w:start w:val="1"/>
      <w:numFmt w:val="decimal"/>
      <w:pStyle w:val="73110"/>
      <w:lvlText w:val="%1."/>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pStyle w:val="73110"/>
      <w:lvlText w:val="%2."/>
      <w:lvlJc w:val="left"/>
      <w:pPr>
        <w:ind w:left="765" w:hanging="340"/>
      </w:pPr>
      <w:rPr>
        <w:rFonts w:hint="default"/>
        <w:lang w:val="en-US"/>
      </w:rPr>
    </w:lvl>
    <w:lvl w:ilvl="2">
      <w:start w:val="1"/>
      <w:numFmt w:val="decimal"/>
      <w:pStyle w:val="a3"/>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3">
    <w:nsid w:val="445D57B9"/>
    <w:multiLevelType w:val="hybridMultilevel"/>
    <w:tmpl w:val="5F1E73BC"/>
    <w:lvl w:ilvl="0">
      <w:start w:val="1"/>
      <w:numFmt w:val="decimal"/>
      <w:lvlText w:val="%1."/>
      <w:lvlJc w:val="left"/>
      <w:pPr>
        <w:ind w:left="357" w:hanging="35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5">
    <w:nsid w:val="490D3AF6"/>
    <w:multiLevelType w:val="hybridMultilevel"/>
    <w:tmpl w:val="45A2E25C"/>
    <w:lvl w:ilvl="0">
      <w:start w:val="1"/>
      <w:numFmt w:val="decimal"/>
      <w:lvlText w:val="%1."/>
      <w:lvlJc w:val="left"/>
      <w:pPr>
        <w:ind w:left="357" w:hanging="35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BDF6C48"/>
    <w:multiLevelType w:val="hybridMultilevel"/>
    <w:tmpl w:val="C5FCE3A4"/>
    <w:lvl w:ilvl="0">
      <w:start w:val="1"/>
      <w:numFmt w:val="decimal"/>
      <w:lvlText w:val="%1."/>
      <w:lvlJc w:val="left"/>
      <w:pPr>
        <w:ind w:left="357" w:hanging="35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EA30AD"/>
    <w:multiLevelType w:val="hybridMultilevel"/>
    <w:tmpl w:val="36F4A60E"/>
    <w:lvl w:ilvl="0">
      <w:start w:val="1"/>
      <w:numFmt w:val="decimal"/>
      <w:lvlText w:val="%1."/>
      <w:lvlJc w:val="left"/>
      <w:pPr>
        <w:ind w:left="357" w:hanging="35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3054003"/>
    <w:multiLevelType w:val="hybridMultilevel"/>
    <w:tmpl w:val="DD0238F0"/>
    <w:lvl w:ilvl="0">
      <w:start w:val="1"/>
      <w:numFmt w:val="decimal"/>
      <w:lvlText w:val="%1."/>
      <w:lvlJc w:val="left"/>
      <w:pPr>
        <w:ind w:left="357" w:hanging="35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7E65361"/>
    <w:multiLevelType w:val="hybridMultilevel"/>
    <w:tmpl w:val="E41ED096"/>
    <w:lvl w:ilvl="0">
      <w:start w:val="1"/>
      <w:numFmt w:val="decimal"/>
      <w:lvlText w:val="%1."/>
      <w:lvlJc w:val="left"/>
      <w:pPr>
        <w:ind w:left="357" w:hanging="35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31">
    <w:nsid w:val="5E326346"/>
    <w:multiLevelType w:val="hybridMultilevel"/>
    <w:tmpl w:val="8C5C30FE"/>
    <w:lvl w:ilvl="0">
      <w:start w:val="1"/>
      <w:numFmt w:val="decimal"/>
      <w:lvlText w:val="%1."/>
      <w:lvlJc w:val="left"/>
      <w:pPr>
        <w:ind w:left="357" w:hanging="35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F743717"/>
    <w:multiLevelType w:val="multilevel"/>
    <w:tmpl w:val="54B40DD4"/>
    <w:lvl w:ilvl="0">
      <w:start w:val="1"/>
      <w:numFmt w:val="decimal"/>
      <w:pStyle w:val="a23"/>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33">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17"/>
  </w:num>
  <w:num w:numId="2">
    <w:abstractNumId w:val="22"/>
  </w:num>
  <w:num w:numId="3">
    <w:abstractNumId w:val="30"/>
  </w:num>
  <w:num w:numId="4">
    <w:abstractNumId w:val="19"/>
  </w:num>
  <w:num w:numId="5">
    <w:abstractNumId w:val="21"/>
  </w:num>
  <w:num w:numId="6">
    <w:abstractNumId w:val="33"/>
  </w:num>
  <w:num w:numId="7">
    <w:abstractNumId w:val="8"/>
  </w:num>
  <w:num w:numId="8">
    <w:abstractNumId w:val="24"/>
  </w:num>
  <w:num w:numId="9">
    <w:abstractNumId w:val="32"/>
  </w:num>
  <w:num w:numId="10">
    <w:abstractNumId w:val="10"/>
  </w:num>
  <w:num w:numId="11">
    <w:abstractNumId w:val="12"/>
  </w:num>
  <w:num w:numId="12">
    <w:abstractNumId w:val="18"/>
  </w:num>
  <w:num w:numId="13">
    <w:abstractNumId w:val="29"/>
  </w:num>
  <w:num w:numId="14">
    <w:abstractNumId w:val="14"/>
  </w:num>
  <w:num w:numId="15">
    <w:abstractNumId w:val="20"/>
  </w:num>
  <w:num w:numId="16">
    <w:abstractNumId w:val="13"/>
  </w:num>
  <w:num w:numId="17">
    <w:abstractNumId w:val="27"/>
  </w:num>
  <w:num w:numId="18">
    <w:abstractNumId w:val="25"/>
  </w:num>
  <w:num w:numId="19">
    <w:abstractNumId w:val="16"/>
  </w:num>
  <w:num w:numId="20">
    <w:abstractNumId w:val="26"/>
  </w:num>
  <w:num w:numId="21">
    <w:abstractNumId w:val="9"/>
  </w:num>
  <w:num w:numId="22">
    <w:abstractNumId w:val="23"/>
  </w:num>
  <w:num w:numId="23">
    <w:abstractNumId w:val="31"/>
  </w:num>
  <w:num w:numId="24">
    <w:abstractNumId w:val="28"/>
  </w:num>
  <w:num w:numId="25">
    <w:abstractNumId w:val="11"/>
  </w:num>
  <w:num w:numId="26">
    <w:abstractNumId w:val="15"/>
  </w:num>
  <w:num w:numId="27">
    <w:abstractNumId w:val="3"/>
  </w:num>
  <w:num w:numId="28">
    <w:abstractNumId w:val="4"/>
  </w:num>
  <w:num w:numId="29">
    <w:abstractNumId w:val="5"/>
  </w:num>
  <w:num w:numId="30">
    <w:abstractNumId w:val="6"/>
  </w:num>
  <w:num w:numId="31">
    <w:abstractNumId w:val="7"/>
  </w:num>
  <w:num w:numId="32">
    <w:abstractNumId w:val="0"/>
  </w:num>
  <w:num w:numId="33">
    <w:abstractNumId w:val="1"/>
  </w:num>
  <w:num w:numId="34">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71"/>
  <w:displayBackgroundShape/>
  <w:gutterAtTop/>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45AC"/>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431C"/>
    <w:rsid w:val="0001482C"/>
    <w:rsid w:val="00014D29"/>
    <w:rsid w:val="000155F0"/>
    <w:rsid w:val="000157CF"/>
    <w:rsid w:val="00015A22"/>
    <w:rsid w:val="000166CA"/>
    <w:rsid w:val="000168DE"/>
    <w:rsid w:val="0001735B"/>
    <w:rsid w:val="00020441"/>
    <w:rsid w:val="000206F1"/>
    <w:rsid w:val="00021298"/>
    <w:rsid w:val="00021ED5"/>
    <w:rsid w:val="00021FFB"/>
    <w:rsid w:val="000224FF"/>
    <w:rsid w:val="00023E81"/>
    <w:rsid w:val="0002439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378"/>
    <w:rsid w:val="00085A22"/>
    <w:rsid w:val="00085B99"/>
    <w:rsid w:val="0008625B"/>
    <w:rsid w:val="00086738"/>
    <w:rsid w:val="00086BCD"/>
    <w:rsid w:val="00087176"/>
    <w:rsid w:val="00087686"/>
    <w:rsid w:val="000901C8"/>
    <w:rsid w:val="0009042C"/>
    <w:rsid w:val="00090633"/>
    <w:rsid w:val="000907D0"/>
    <w:rsid w:val="00091397"/>
    <w:rsid w:val="00091811"/>
    <w:rsid w:val="00091A72"/>
    <w:rsid w:val="0009349C"/>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164B"/>
    <w:rsid w:val="000C16F6"/>
    <w:rsid w:val="000C1D0D"/>
    <w:rsid w:val="000C27DC"/>
    <w:rsid w:val="000C2AB9"/>
    <w:rsid w:val="000C3303"/>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5CFD"/>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F158C"/>
    <w:rsid w:val="000F1DEA"/>
    <w:rsid w:val="000F23C7"/>
    <w:rsid w:val="000F2408"/>
    <w:rsid w:val="000F2A10"/>
    <w:rsid w:val="000F2E36"/>
    <w:rsid w:val="000F2F7E"/>
    <w:rsid w:val="000F3700"/>
    <w:rsid w:val="000F441E"/>
    <w:rsid w:val="000F4578"/>
    <w:rsid w:val="000F4B6E"/>
    <w:rsid w:val="000F4C79"/>
    <w:rsid w:val="000F53C2"/>
    <w:rsid w:val="000F5EDB"/>
    <w:rsid w:val="000F60AB"/>
    <w:rsid w:val="000F62A9"/>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59EA"/>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0DFE"/>
    <w:rsid w:val="00141160"/>
    <w:rsid w:val="00141BD6"/>
    <w:rsid w:val="00141E09"/>
    <w:rsid w:val="00142206"/>
    <w:rsid w:val="00143176"/>
    <w:rsid w:val="001431D6"/>
    <w:rsid w:val="00143388"/>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683"/>
    <w:rsid w:val="00175FE2"/>
    <w:rsid w:val="00176411"/>
    <w:rsid w:val="00176B96"/>
    <w:rsid w:val="00177D09"/>
    <w:rsid w:val="00177D2F"/>
    <w:rsid w:val="00180392"/>
    <w:rsid w:val="00180A11"/>
    <w:rsid w:val="001814DD"/>
    <w:rsid w:val="00181A6A"/>
    <w:rsid w:val="001821A3"/>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09EB"/>
    <w:rsid w:val="001C1B42"/>
    <w:rsid w:val="001C2CAD"/>
    <w:rsid w:val="001C308D"/>
    <w:rsid w:val="001C3187"/>
    <w:rsid w:val="001C3232"/>
    <w:rsid w:val="001C34D5"/>
    <w:rsid w:val="001C3ED9"/>
    <w:rsid w:val="001C450A"/>
    <w:rsid w:val="001C45D9"/>
    <w:rsid w:val="001C49B8"/>
    <w:rsid w:val="001C5A02"/>
    <w:rsid w:val="001C5BF5"/>
    <w:rsid w:val="001C5C3E"/>
    <w:rsid w:val="001C5C9D"/>
    <w:rsid w:val="001C5EB7"/>
    <w:rsid w:val="001C5FEF"/>
    <w:rsid w:val="001C6FC8"/>
    <w:rsid w:val="001C72B2"/>
    <w:rsid w:val="001D0073"/>
    <w:rsid w:val="001D0955"/>
    <w:rsid w:val="001D1192"/>
    <w:rsid w:val="001D223A"/>
    <w:rsid w:val="001D2243"/>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A0B"/>
    <w:rsid w:val="00200E5B"/>
    <w:rsid w:val="00200FE9"/>
    <w:rsid w:val="002014C8"/>
    <w:rsid w:val="00202068"/>
    <w:rsid w:val="00202878"/>
    <w:rsid w:val="00202F8B"/>
    <w:rsid w:val="0020302A"/>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8C"/>
    <w:rsid w:val="00214BC0"/>
    <w:rsid w:val="00214CAA"/>
    <w:rsid w:val="002154D1"/>
    <w:rsid w:val="00215BEE"/>
    <w:rsid w:val="0021654E"/>
    <w:rsid w:val="00217B31"/>
    <w:rsid w:val="002202E4"/>
    <w:rsid w:val="0022072A"/>
    <w:rsid w:val="00220B3D"/>
    <w:rsid w:val="0022100A"/>
    <w:rsid w:val="00221160"/>
    <w:rsid w:val="002213EE"/>
    <w:rsid w:val="00221922"/>
    <w:rsid w:val="00221B94"/>
    <w:rsid w:val="00221E3A"/>
    <w:rsid w:val="00222AA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337"/>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8F6"/>
    <w:rsid w:val="002D3AC8"/>
    <w:rsid w:val="002D4617"/>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42B0"/>
    <w:rsid w:val="002F430E"/>
    <w:rsid w:val="002F44B2"/>
    <w:rsid w:val="002F4761"/>
    <w:rsid w:val="002F4824"/>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A"/>
    <w:rsid w:val="003020D6"/>
    <w:rsid w:val="00302134"/>
    <w:rsid w:val="00302C17"/>
    <w:rsid w:val="00302DC7"/>
    <w:rsid w:val="0030338B"/>
    <w:rsid w:val="003038A7"/>
    <w:rsid w:val="0030415A"/>
    <w:rsid w:val="0030451F"/>
    <w:rsid w:val="00304D83"/>
    <w:rsid w:val="00304E57"/>
    <w:rsid w:val="003050D0"/>
    <w:rsid w:val="0030516B"/>
    <w:rsid w:val="00305A00"/>
    <w:rsid w:val="00305B53"/>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53"/>
    <w:rsid w:val="0034038A"/>
    <w:rsid w:val="003405D2"/>
    <w:rsid w:val="003405E7"/>
    <w:rsid w:val="0034070F"/>
    <w:rsid w:val="00340C7C"/>
    <w:rsid w:val="00340D4D"/>
    <w:rsid w:val="0034149F"/>
    <w:rsid w:val="003417BA"/>
    <w:rsid w:val="003419FB"/>
    <w:rsid w:val="00341C37"/>
    <w:rsid w:val="00343424"/>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2387"/>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12"/>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4F47"/>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53B"/>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41CF"/>
    <w:rsid w:val="003C4F30"/>
    <w:rsid w:val="003C5044"/>
    <w:rsid w:val="003C5153"/>
    <w:rsid w:val="003C5BB1"/>
    <w:rsid w:val="003C5BC7"/>
    <w:rsid w:val="003C5ED9"/>
    <w:rsid w:val="003C66BE"/>
    <w:rsid w:val="003C6AE0"/>
    <w:rsid w:val="003C6C20"/>
    <w:rsid w:val="003C6C2D"/>
    <w:rsid w:val="003C73F8"/>
    <w:rsid w:val="003C7457"/>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396"/>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EC1"/>
    <w:rsid w:val="0043791D"/>
    <w:rsid w:val="00437CB8"/>
    <w:rsid w:val="00437D9B"/>
    <w:rsid w:val="00440A6B"/>
    <w:rsid w:val="00440C19"/>
    <w:rsid w:val="004413C7"/>
    <w:rsid w:val="004414E6"/>
    <w:rsid w:val="004417D2"/>
    <w:rsid w:val="00441D68"/>
    <w:rsid w:val="004424B2"/>
    <w:rsid w:val="004428A8"/>
    <w:rsid w:val="00442E2D"/>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73C"/>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559"/>
    <w:rsid w:val="0048280E"/>
    <w:rsid w:val="00482C33"/>
    <w:rsid w:val="00482CB5"/>
    <w:rsid w:val="004830BE"/>
    <w:rsid w:val="004833CE"/>
    <w:rsid w:val="00483526"/>
    <w:rsid w:val="004836A0"/>
    <w:rsid w:val="00483BD1"/>
    <w:rsid w:val="00483D0D"/>
    <w:rsid w:val="00484018"/>
    <w:rsid w:val="004845B2"/>
    <w:rsid w:val="00485309"/>
    <w:rsid w:val="00485787"/>
    <w:rsid w:val="00486172"/>
    <w:rsid w:val="004863B3"/>
    <w:rsid w:val="004865D8"/>
    <w:rsid w:val="0048673E"/>
    <w:rsid w:val="00486D58"/>
    <w:rsid w:val="00487169"/>
    <w:rsid w:val="004875EB"/>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B21"/>
    <w:rsid w:val="004A581E"/>
    <w:rsid w:val="004A5AE0"/>
    <w:rsid w:val="004A5D89"/>
    <w:rsid w:val="004A5FCA"/>
    <w:rsid w:val="004A60D6"/>
    <w:rsid w:val="004A6B9E"/>
    <w:rsid w:val="004A6C9C"/>
    <w:rsid w:val="004A6CC0"/>
    <w:rsid w:val="004A6FE6"/>
    <w:rsid w:val="004A715C"/>
    <w:rsid w:val="004A7203"/>
    <w:rsid w:val="004A7751"/>
    <w:rsid w:val="004A77C4"/>
    <w:rsid w:val="004A7ABE"/>
    <w:rsid w:val="004B0303"/>
    <w:rsid w:val="004B09A3"/>
    <w:rsid w:val="004B117A"/>
    <w:rsid w:val="004B1291"/>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717"/>
    <w:rsid w:val="004E694F"/>
    <w:rsid w:val="004E6D72"/>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71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3E0"/>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4C2D"/>
    <w:rsid w:val="0056546C"/>
    <w:rsid w:val="0056563A"/>
    <w:rsid w:val="00565966"/>
    <w:rsid w:val="00565B05"/>
    <w:rsid w:val="00565BD3"/>
    <w:rsid w:val="00565F1B"/>
    <w:rsid w:val="00566629"/>
    <w:rsid w:val="005674D2"/>
    <w:rsid w:val="00567686"/>
    <w:rsid w:val="005676DC"/>
    <w:rsid w:val="005702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52C"/>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F44"/>
    <w:rsid w:val="005B20D0"/>
    <w:rsid w:val="005B21E1"/>
    <w:rsid w:val="005B2AC2"/>
    <w:rsid w:val="005B2BF5"/>
    <w:rsid w:val="005B2DAB"/>
    <w:rsid w:val="005B3945"/>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B86"/>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6F1F"/>
    <w:rsid w:val="006278CC"/>
    <w:rsid w:val="00627912"/>
    <w:rsid w:val="00627CB1"/>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4FD9"/>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3C5"/>
    <w:rsid w:val="0069093D"/>
    <w:rsid w:val="00690E56"/>
    <w:rsid w:val="00691B4D"/>
    <w:rsid w:val="00691F87"/>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21AF"/>
    <w:rsid w:val="006A2D1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ABF"/>
    <w:rsid w:val="006C1BD3"/>
    <w:rsid w:val="006C1C44"/>
    <w:rsid w:val="006C1C92"/>
    <w:rsid w:val="006C1D80"/>
    <w:rsid w:val="006C2017"/>
    <w:rsid w:val="006C2950"/>
    <w:rsid w:val="006C2C47"/>
    <w:rsid w:val="006C34ED"/>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A1E"/>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072F4"/>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9D"/>
    <w:rsid w:val="0072219B"/>
    <w:rsid w:val="00722424"/>
    <w:rsid w:val="0072288D"/>
    <w:rsid w:val="00722DED"/>
    <w:rsid w:val="00722F8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2601"/>
    <w:rsid w:val="00742E54"/>
    <w:rsid w:val="00742F99"/>
    <w:rsid w:val="0074450C"/>
    <w:rsid w:val="00744632"/>
    <w:rsid w:val="00744A32"/>
    <w:rsid w:val="00744A94"/>
    <w:rsid w:val="007452B3"/>
    <w:rsid w:val="00745EEC"/>
    <w:rsid w:val="007467DE"/>
    <w:rsid w:val="0074683C"/>
    <w:rsid w:val="00746F21"/>
    <w:rsid w:val="00746F99"/>
    <w:rsid w:val="0074714A"/>
    <w:rsid w:val="007474F0"/>
    <w:rsid w:val="00747AC3"/>
    <w:rsid w:val="00747B67"/>
    <w:rsid w:val="00750052"/>
    <w:rsid w:val="00750E46"/>
    <w:rsid w:val="00750F58"/>
    <w:rsid w:val="00752307"/>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094"/>
    <w:rsid w:val="007761EE"/>
    <w:rsid w:val="0077697F"/>
    <w:rsid w:val="00776A46"/>
    <w:rsid w:val="0077727E"/>
    <w:rsid w:val="007772C8"/>
    <w:rsid w:val="00777388"/>
    <w:rsid w:val="00777BAD"/>
    <w:rsid w:val="00777C16"/>
    <w:rsid w:val="00777DAD"/>
    <w:rsid w:val="00780097"/>
    <w:rsid w:val="007809A9"/>
    <w:rsid w:val="00780C36"/>
    <w:rsid w:val="00780D40"/>
    <w:rsid w:val="00781125"/>
    <w:rsid w:val="00781F3B"/>
    <w:rsid w:val="007824AB"/>
    <w:rsid w:val="00782DE6"/>
    <w:rsid w:val="00783850"/>
    <w:rsid w:val="00783CD9"/>
    <w:rsid w:val="00784D2F"/>
    <w:rsid w:val="00784F53"/>
    <w:rsid w:val="00785D0A"/>
    <w:rsid w:val="00786364"/>
    <w:rsid w:val="00787591"/>
    <w:rsid w:val="007877E8"/>
    <w:rsid w:val="00787AC0"/>
    <w:rsid w:val="00787EAD"/>
    <w:rsid w:val="0079068D"/>
    <w:rsid w:val="00790A1C"/>
    <w:rsid w:val="00790BF1"/>
    <w:rsid w:val="00791581"/>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C7D"/>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3382"/>
    <w:rsid w:val="00803CE5"/>
    <w:rsid w:val="00804642"/>
    <w:rsid w:val="008050A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3639"/>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27229"/>
    <w:rsid w:val="00827841"/>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64C"/>
    <w:rsid w:val="00844CA1"/>
    <w:rsid w:val="00844E79"/>
    <w:rsid w:val="00845656"/>
    <w:rsid w:val="00845894"/>
    <w:rsid w:val="008459A9"/>
    <w:rsid w:val="00845E79"/>
    <w:rsid w:val="00845E9A"/>
    <w:rsid w:val="0084668B"/>
    <w:rsid w:val="00846E79"/>
    <w:rsid w:val="008472FB"/>
    <w:rsid w:val="00847373"/>
    <w:rsid w:val="008474A5"/>
    <w:rsid w:val="008477E8"/>
    <w:rsid w:val="008478AA"/>
    <w:rsid w:val="00847989"/>
    <w:rsid w:val="00847B0A"/>
    <w:rsid w:val="00847B8A"/>
    <w:rsid w:val="00847C79"/>
    <w:rsid w:val="00847D4E"/>
    <w:rsid w:val="0085005C"/>
    <w:rsid w:val="00850080"/>
    <w:rsid w:val="00850599"/>
    <w:rsid w:val="0085066D"/>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3CC"/>
    <w:rsid w:val="008535F5"/>
    <w:rsid w:val="00853A58"/>
    <w:rsid w:val="008547B9"/>
    <w:rsid w:val="008565BC"/>
    <w:rsid w:val="00856648"/>
    <w:rsid w:val="00856A67"/>
    <w:rsid w:val="00856B26"/>
    <w:rsid w:val="00856B71"/>
    <w:rsid w:val="00856C36"/>
    <w:rsid w:val="00856C93"/>
    <w:rsid w:val="008573F9"/>
    <w:rsid w:val="00857D59"/>
    <w:rsid w:val="00860AE7"/>
    <w:rsid w:val="00861572"/>
    <w:rsid w:val="00861731"/>
    <w:rsid w:val="0086190F"/>
    <w:rsid w:val="00861EB1"/>
    <w:rsid w:val="0086219D"/>
    <w:rsid w:val="00862402"/>
    <w:rsid w:val="00862862"/>
    <w:rsid w:val="00862BAF"/>
    <w:rsid w:val="00862D12"/>
    <w:rsid w:val="00863B4F"/>
    <w:rsid w:val="00863CC0"/>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94D"/>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E18"/>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F0B"/>
    <w:rsid w:val="008E1159"/>
    <w:rsid w:val="008E1580"/>
    <w:rsid w:val="008E1A9C"/>
    <w:rsid w:val="008E20F1"/>
    <w:rsid w:val="008E2F17"/>
    <w:rsid w:val="008E3175"/>
    <w:rsid w:val="008E32CE"/>
    <w:rsid w:val="008E3CC4"/>
    <w:rsid w:val="008E3DDC"/>
    <w:rsid w:val="008E417F"/>
    <w:rsid w:val="008E4F24"/>
    <w:rsid w:val="008E5512"/>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3F25"/>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652"/>
    <w:rsid w:val="00907A2C"/>
    <w:rsid w:val="00907C3D"/>
    <w:rsid w:val="0091051D"/>
    <w:rsid w:val="00910533"/>
    <w:rsid w:val="00910C50"/>
    <w:rsid w:val="00911371"/>
    <w:rsid w:val="009117BF"/>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56"/>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4408"/>
    <w:rsid w:val="00954D0E"/>
    <w:rsid w:val="00954FE1"/>
    <w:rsid w:val="0095542B"/>
    <w:rsid w:val="009556AE"/>
    <w:rsid w:val="00955DD9"/>
    <w:rsid w:val="009565BD"/>
    <w:rsid w:val="00956939"/>
    <w:rsid w:val="00956AAC"/>
    <w:rsid w:val="00956AB0"/>
    <w:rsid w:val="00956BC0"/>
    <w:rsid w:val="00961878"/>
    <w:rsid w:val="00961B62"/>
    <w:rsid w:val="00961EF6"/>
    <w:rsid w:val="009620E7"/>
    <w:rsid w:val="00962780"/>
    <w:rsid w:val="00962A25"/>
    <w:rsid w:val="00962B87"/>
    <w:rsid w:val="00962E13"/>
    <w:rsid w:val="00962FF1"/>
    <w:rsid w:val="009630CE"/>
    <w:rsid w:val="00963209"/>
    <w:rsid w:val="009641AD"/>
    <w:rsid w:val="009642EC"/>
    <w:rsid w:val="009645C8"/>
    <w:rsid w:val="009647A2"/>
    <w:rsid w:val="00964E73"/>
    <w:rsid w:val="00965248"/>
    <w:rsid w:val="00965427"/>
    <w:rsid w:val="00965842"/>
    <w:rsid w:val="00966017"/>
    <w:rsid w:val="0096653F"/>
    <w:rsid w:val="009679D9"/>
    <w:rsid w:val="009703F8"/>
    <w:rsid w:val="0097067B"/>
    <w:rsid w:val="009712AE"/>
    <w:rsid w:val="009715BE"/>
    <w:rsid w:val="0097174E"/>
    <w:rsid w:val="00971BE0"/>
    <w:rsid w:val="00971EFA"/>
    <w:rsid w:val="0097253D"/>
    <w:rsid w:val="009725A2"/>
    <w:rsid w:val="00972CE5"/>
    <w:rsid w:val="00973313"/>
    <w:rsid w:val="00973381"/>
    <w:rsid w:val="00973E62"/>
    <w:rsid w:val="00974130"/>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23EE"/>
    <w:rsid w:val="009B257E"/>
    <w:rsid w:val="009B3610"/>
    <w:rsid w:val="009B37D3"/>
    <w:rsid w:val="009B4C61"/>
    <w:rsid w:val="009B4CB0"/>
    <w:rsid w:val="009B4CE0"/>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14B"/>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1BBB"/>
    <w:rsid w:val="009D2A1F"/>
    <w:rsid w:val="009D2BAC"/>
    <w:rsid w:val="009D33BC"/>
    <w:rsid w:val="009D41AC"/>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8C9"/>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6B78"/>
    <w:rsid w:val="00A470FF"/>
    <w:rsid w:val="00A47100"/>
    <w:rsid w:val="00A472D1"/>
    <w:rsid w:val="00A47335"/>
    <w:rsid w:val="00A47902"/>
    <w:rsid w:val="00A47B8B"/>
    <w:rsid w:val="00A50258"/>
    <w:rsid w:val="00A5085F"/>
    <w:rsid w:val="00A51149"/>
    <w:rsid w:val="00A52796"/>
    <w:rsid w:val="00A53AB4"/>
    <w:rsid w:val="00A53DBB"/>
    <w:rsid w:val="00A53FB6"/>
    <w:rsid w:val="00A542A0"/>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327"/>
    <w:rsid w:val="00A6533E"/>
    <w:rsid w:val="00A653AC"/>
    <w:rsid w:val="00A65632"/>
    <w:rsid w:val="00A65BF7"/>
    <w:rsid w:val="00A65DCD"/>
    <w:rsid w:val="00A66506"/>
    <w:rsid w:val="00A66C99"/>
    <w:rsid w:val="00A66E2A"/>
    <w:rsid w:val="00A6769C"/>
    <w:rsid w:val="00A67E65"/>
    <w:rsid w:val="00A67E6C"/>
    <w:rsid w:val="00A67FE1"/>
    <w:rsid w:val="00A70081"/>
    <w:rsid w:val="00A703C1"/>
    <w:rsid w:val="00A70642"/>
    <w:rsid w:val="00A7067D"/>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915F4"/>
    <w:rsid w:val="00A916EF"/>
    <w:rsid w:val="00A917A9"/>
    <w:rsid w:val="00A91C36"/>
    <w:rsid w:val="00A91D41"/>
    <w:rsid w:val="00A926F4"/>
    <w:rsid w:val="00A93F51"/>
    <w:rsid w:val="00A940CD"/>
    <w:rsid w:val="00A94153"/>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A7563"/>
    <w:rsid w:val="00AA7D4A"/>
    <w:rsid w:val="00AB0541"/>
    <w:rsid w:val="00AB09EE"/>
    <w:rsid w:val="00AB1065"/>
    <w:rsid w:val="00AB1717"/>
    <w:rsid w:val="00AB19B4"/>
    <w:rsid w:val="00AB1E85"/>
    <w:rsid w:val="00AB2400"/>
    <w:rsid w:val="00AB25DF"/>
    <w:rsid w:val="00AB2FCB"/>
    <w:rsid w:val="00AB4DCD"/>
    <w:rsid w:val="00AB4F87"/>
    <w:rsid w:val="00AB5377"/>
    <w:rsid w:val="00AB5B77"/>
    <w:rsid w:val="00AB763D"/>
    <w:rsid w:val="00AB7891"/>
    <w:rsid w:val="00AB7B94"/>
    <w:rsid w:val="00AB7D08"/>
    <w:rsid w:val="00AB7F83"/>
    <w:rsid w:val="00AC0B81"/>
    <w:rsid w:val="00AC1A40"/>
    <w:rsid w:val="00AC1D7C"/>
    <w:rsid w:val="00AC2090"/>
    <w:rsid w:val="00AC2300"/>
    <w:rsid w:val="00AC328A"/>
    <w:rsid w:val="00AC3451"/>
    <w:rsid w:val="00AC3506"/>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39A"/>
    <w:rsid w:val="00B3756E"/>
    <w:rsid w:val="00B401AE"/>
    <w:rsid w:val="00B402BB"/>
    <w:rsid w:val="00B403A3"/>
    <w:rsid w:val="00B414AF"/>
    <w:rsid w:val="00B41708"/>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50CE"/>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CCE"/>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973"/>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D84"/>
    <w:rsid w:val="00BF1423"/>
    <w:rsid w:val="00BF18FE"/>
    <w:rsid w:val="00BF1C55"/>
    <w:rsid w:val="00BF1F5C"/>
    <w:rsid w:val="00BF224A"/>
    <w:rsid w:val="00BF272F"/>
    <w:rsid w:val="00BF28A4"/>
    <w:rsid w:val="00BF37C5"/>
    <w:rsid w:val="00BF3AAA"/>
    <w:rsid w:val="00BF42FD"/>
    <w:rsid w:val="00BF4810"/>
    <w:rsid w:val="00BF497A"/>
    <w:rsid w:val="00BF4AC8"/>
    <w:rsid w:val="00BF4E3E"/>
    <w:rsid w:val="00BF5598"/>
    <w:rsid w:val="00BF5807"/>
    <w:rsid w:val="00BF5BF6"/>
    <w:rsid w:val="00BF5E37"/>
    <w:rsid w:val="00BF6983"/>
    <w:rsid w:val="00BF70D4"/>
    <w:rsid w:val="00BF71E4"/>
    <w:rsid w:val="00BF7354"/>
    <w:rsid w:val="00BF7831"/>
    <w:rsid w:val="00BF7B13"/>
    <w:rsid w:val="00BF7F37"/>
    <w:rsid w:val="00C000A0"/>
    <w:rsid w:val="00C00865"/>
    <w:rsid w:val="00C010A6"/>
    <w:rsid w:val="00C0153B"/>
    <w:rsid w:val="00C0163D"/>
    <w:rsid w:val="00C017CA"/>
    <w:rsid w:val="00C02152"/>
    <w:rsid w:val="00C0264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103"/>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F64"/>
    <w:rsid w:val="00C47002"/>
    <w:rsid w:val="00C47D44"/>
    <w:rsid w:val="00C50B1E"/>
    <w:rsid w:val="00C51C72"/>
    <w:rsid w:val="00C51CB1"/>
    <w:rsid w:val="00C521B4"/>
    <w:rsid w:val="00C52914"/>
    <w:rsid w:val="00C539F2"/>
    <w:rsid w:val="00C544CC"/>
    <w:rsid w:val="00C546E7"/>
    <w:rsid w:val="00C55114"/>
    <w:rsid w:val="00C56262"/>
    <w:rsid w:val="00C57198"/>
    <w:rsid w:val="00C578CE"/>
    <w:rsid w:val="00C60676"/>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BAE"/>
    <w:rsid w:val="00C87D19"/>
    <w:rsid w:val="00C9003B"/>
    <w:rsid w:val="00C9085E"/>
    <w:rsid w:val="00C9091D"/>
    <w:rsid w:val="00C90D2F"/>
    <w:rsid w:val="00C90FA2"/>
    <w:rsid w:val="00C91CA5"/>
    <w:rsid w:val="00C91D26"/>
    <w:rsid w:val="00C92141"/>
    <w:rsid w:val="00C92267"/>
    <w:rsid w:val="00C94857"/>
    <w:rsid w:val="00C950BE"/>
    <w:rsid w:val="00C959C2"/>
    <w:rsid w:val="00C95BC5"/>
    <w:rsid w:val="00C95DEA"/>
    <w:rsid w:val="00C95FCA"/>
    <w:rsid w:val="00C974ED"/>
    <w:rsid w:val="00C976AC"/>
    <w:rsid w:val="00C97A8D"/>
    <w:rsid w:val="00C97E8D"/>
    <w:rsid w:val="00C97F02"/>
    <w:rsid w:val="00CA0083"/>
    <w:rsid w:val="00CA04B6"/>
    <w:rsid w:val="00CA04C0"/>
    <w:rsid w:val="00CA0837"/>
    <w:rsid w:val="00CA0BD9"/>
    <w:rsid w:val="00CA11E9"/>
    <w:rsid w:val="00CA12B2"/>
    <w:rsid w:val="00CA14DD"/>
    <w:rsid w:val="00CA2FBE"/>
    <w:rsid w:val="00CA4064"/>
    <w:rsid w:val="00CA41D2"/>
    <w:rsid w:val="00CA4753"/>
    <w:rsid w:val="00CA4D9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5CE"/>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5E6"/>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875"/>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188"/>
    <w:rsid w:val="00D3746F"/>
    <w:rsid w:val="00D376AA"/>
    <w:rsid w:val="00D40043"/>
    <w:rsid w:val="00D40A47"/>
    <w:rsid w:val="00D41051"/>
    <w:rsid w:val="00D410F8"/>
    <w:rsid w:val="00D417AE"/>
    <w:rsid w:val="00D419F5"/>
    <w:rsid w:val="00D41B6F"/>
    <w:rsid w:val="00D41D33"/>
    <w:rsid w:val="00D446AE"/>
    <w:rsid w:val="00D457ED"/>
    <w:rsid w:val="00D468B0"/>
    <w:rsid w:val="00D46AEF"/>
    <w:rsid w:val="00D46D32"/>
    <w:rsid w:val="00D46EB7"/>
    <w:rsid w:val="00D46FA2"/>
    <w:rsid w:val="00D476EB"/>
    <w:rsid w:val="00D478AA"/>
    <w:rsid w:val="00D47E0F"/>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5F"/>
    <w:rsid w:val="00DA04E9"/>
    <w:rsid w:val="00DA0755"/>
    <w:rsid w:val="00DA08A5"/>
    <w:rsid w:val="00DA1D77"/>
    <w:rsid w:val="00DA23AB"/>
    <w:rsid w:val="00DA2B4B"/>
    <w:rsid w:val="00DA4512"/>
    <w:rsid w:val="00DA4D03"/>
    <w:rsid w:val="00DA4EAF"/>
    <w:rsid w:val="00DA5A16"/>
    <w:rsid w:val="00DA6949"/>
    <w:rsid w:val="00DA7D0B"/>
    <w:rsid w:val="00DB07CA"/>
    <w:rsid w:val="00DB0823"/>
    <w:rsid w:val="00DB08CF"/>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6E10"/>
    <w:rsid w:val="00DC723A"/>
    <w:rsid w:val="00DC7C31"/>
    <w:rsid w:val="00DD0C3F"/>
    <w:rsid w:val="00DD1CDA"/>
    <w:rsid w:val="00DD1F41"/>
    <w:rsid w:val="00DD26CC"/>
    <w:rsid w:val="00DD3543"/>
    <w:rsid w:val="00DD3766"/>
    <w:rsid w:val="00DD380F"/>
    <w:rsid w:val="00DD4656"/>
    <w:rsid w:val="00DD4999"/>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20A2"/>
    <w:rsid w:val="00DE261E"/>
    <w:rsid w:val="00DE269D"/>
    <w:rsid w:val="00DE2C35"/>
    <w:rsid w:val="00DE30DA"/>
    <w:rsid w:val="00DE3288"/>
    <w:rsid w:val="00DE4BC3"/>
    <w:rsid w:val="00DE4BE6"/>
    <w:rsid w:val="00DE4E52"/>
    <w:rsid w:val="00DE50B8"/>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63DE"/>
    <w:rsid w:val="00E0671B"/>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028"/>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6DA0"/>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343"/>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AC0"/>
    <w:rsid w:val="00EA61F0"/>
    <w:rsid w:val="00EA6854"/>
    <w:rsid w:val="00EA7391"/>
    <w:rsid w:val="00EB0265"/>
    <w:rsid w:val="00EB05FE"/>
    <w:rsid w:val="00EB0AA6"/>
    <w:rsid w:val="00EB1273"/>
    <w:rsid w:val="00EB1636"/>
    <w:rsid w:val="00EB1C22"/>
    <w:rsid w:val="00EB1ED2"/>
    <w:rsid w:val="00EB22C0"/>
    <w:rsid w:val="00EB396F"/>
    <w:rsid w:val="00EB400B"/>
    <w:rsid w:val="00EB4B77"/>
    <w:rsid w:val="00EB4F3B"/>
    <w:rsid w:val="00EB50F0"/>
    <w:rsid w:val="00EB5C40"/>
    <w:rsid w:val="00EB5DB5"/>
    <w:rsid w:val="00EB600D"/>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5B42"/>
    <w:rsid w:val="00EC6229"/>
    <w:rsid w:val="00EC6B44"/>
    <w:rsid w:val="00EC73C2"/>
    <w:rsid w:val="00EC749B"/>
    <w:rsid w:val="00EC760C"/>
    <w:rsid w:val="00EC7CED"/>
    <w:rsid w:val="00ED025B"/>
    <w:rsid w:val="00ED0541"/>
    <w:rsid w:val="00ED0A14"/>
    <w:rsid w:val="00ED0D39"/>
    <w:rsid w:val="00ED0EA7"/>
    <w:rsid w:val="00ED172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096"/>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106E4"/>
    <w:rsid w:val="00F10B1D"/>
    <w:rsid w:val="00F10ECA"/>
    <w:rsid w:val="00F11011"/>
    <w:rsid w:val="00F115D6"/>
    <w:rsid w:val="00F1171C"/>
    <w:rsid w:val="00F119FB"/>
    <w:rsid w:val="00F11F70"/>
    <w:rsid w:val="00F12333"/>
    <w:rsid w:val="00F1255D"/>
    <w:rsid w:val="00F12F5F"/>
    <w:rsid w:val="00F145D4"/>
    <w:rsid w:val="00F14AEC"/>
    <w:rsid w:val="00F14ED0"/>
    <w:rsid w:val="00F15ED6"/>
    <w:rsid w:val="00F15F5B"/>
    <w:rsid w:val="00F16210"/>
    <w:rsid w:val="00F164D5"/>
    <w:rsid w:val="00F1792F"/>
    <w:rsid w:val="00F17A56"/>
    <w:rsid w:val="00F20151"/>
    <w:rsid w:val="00F20474"/>
    <w:rsid w:val="00F209A2"/>
    <w:rsid w:val="00F20E9E"/>
    <w:rsid w:val="00F21AB6"/>
    <w:rsid w:val="00F223D4"/>
    <w:rsid w:val="00F223D5"/>
    <w:rsid w:val="00F2283A"/>
    <w:rsid w:val="00F22A84"/>
    <w:rsid w:val="00F22A8F"/>
    <w:rsid w:val="00F22ED6"/>
    <w:rsid w:val="00F234F8"/>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B2C"/>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227"/>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2588"/>
    <w:rsid w:val="00F627EB"/>
    <w:rsid w:val="00F629BF"/>
    <w:rsid w:val="00F632EA"/>
    <w:rsid w:val="00F633D8"/>
    <w:rsid w:val="00F63951"/>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C7B"/>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1FF4"/>
    <w:rsid w:val="00FE291B"/>
    <w:rsid w:val="00FE330C"/>
    <w:rsid w:val="00FE33D4"/>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character" w:styleId="FootnoteReference0">
    <w:name w:val="footnote reference"/>
    <w:aliases w:val="Footnote Reference_0,Footnote Reference_0_0,Footnote Reference_0_0_0,Footnote Reference_1,Footnote Reference_1_0,Footnote Reference_2,Footnote Reference_2_0,Footnote Reference_3,Footnote Reference_4,fr,הפניה להערת שוליים חדש,מ"/>
    <w:basedOn w:val="DefaultParagraphFont"/>
    <w:uiPriority w:val="99"/>
    <w:unhideWhenUsed/>
    <w:rsid w:val="00566629"/>
    <w:rPr>
      <w:vertAlign w:val="superscript"/>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31">
    <w:name w:val="73א כותרת 1"/>
    <w:qFormat/>
    <w:rsid w:val="00745EEC"/>
    <w:pPr>
      <w:keepNext/>
      <w:keepLines/>
      <w:pageBreakBefore/>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6"/>
    <w:qFormat/>
    <w:rsid w:val="00D37188"/>
    <w:pPr>
      <w:pBdr>
        <w:top w:val="double" w:sz="12" w:space="5" w:color="auto"/>
      </w:pBdr>
      <w:spacing w:before="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FF6AD9"/>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styleId="Emphasis">
    <w:name w:val="Emphasis"/>
    <w:basedOn w:val="DefaultParagraphFont"/>
    <w:uiPriority w:val="20"/>
    <w:qFormat/>
    <w:rsid w:val="00417266"/>
    <w:rPr>
      <w:i/>
      <w:iCs/>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1F3363"/>
    <w:pPr>
      <w:spacing w:before="360" w:after="180" w:line="240" w:lineRule="atLeast"/>
      <w:jc w:val="left"/>
    </w:pPr>
    <w:rPr>
      <w:rFonts w:ascii="Tahoma" w:eastAsia="Times New Roman" w:hAnsi="Tahoma" w:cs="Tahoma"/>
      <w:b/>
      <w:color w:val="00305F"/>
      <w:sz w:val="32"/>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1F3363"/>
    <w:rPr>
      <w:rFonts w:ascii="Tahoma" w:eastAsia="Times New Roman" w:hAnsi="Tahoma" w:cs="Tahoma"/>
      <w:b/>
      <w:bCs/>
      <w:color w:val="00305F"/>
      <w:sz w:val="32"/>
      <w:szCs w:val="31"/>
      <w:u w:val="single"/>
    </w:rPr>
  </w:style>
  <w:style w:type="paragraph" w:customStyle="1" w:styleId="733">
    <w:name w:val="73א הערות שוליים"/>
    <w:basedOn w:val="FootnoteText"/>
    <w:link w:val="7330"/>
    <w:qFormat/>
    <w:rsid w:val="001F3363"/>
    <w:pPr>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662020"/>
    <w:pPr>
      <w:keepNext/>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35">
    <w:name w:val="73א הזחה ראשונה מספר"/>
    <w:basedOn w:val="ListParagraph"/>
    <w:link w:val="7337"/>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662020"/>
    <w:pPr>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520550"/>
    <w:pPr>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numPr>
        <w:ilvl w:val="2"/>
        <w:numId w:val="2"/>
      </w:numPr>
      <w:spacing w:after="12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D37188"/>
    <w:pPr>
      <w:ind w:left="397"/>
    </w:pPr>
  </w:style>
  <w:style w:type="paragraph" w:customStyle="1" w:styleId="7318">
    <w:name w:val="73א קוביה רצה"/>
    <w:basedOn w:val="7310"/>
    <w:link w:val="732"/>
    <w:qFormat/>
    <w:rsid w:val="00FF6AD9"/>
    <w:pPr>
      <w:ind w:left="227"/>
    </w:pPr>
  </w:style>
  <w:style w:type="paragraph" w:customStyle="1" w:styleId="73414">
    <w:name w:val="73א כותרת 4_14"/>
    <w:basedOn w:val="Heading4"/>
    <w:qFormat/>
    <w:rsid w:val="001F3363"/>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1F3363"/>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pPr>
      <w:numPr>
        <w:numId w:val="2"/>
      </w:numPr>
    </w:pPr>
  </w:style>
  <w:style w:type="numbering" w:customStyle="1" w:styleId="-">
    <w:name w:val="משרד האוצר - מדורג"/>
    <w:uiPriority w:val="99"/>
    <w:rsid w:val="006D5CCE"/>
    <w:pPr>
      <w:numPr>
        <w:numId w:val="3"/>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11">
    <w:name w:val="הפניה להערת שוליים1"/>
    <w:unhideWhenUsed/>
    <w:rsid w:val="002516DF"/>
    <w:rPr>
      <w:vertAlign w:val="superscript"/>
    </w:rPr>
  </w:style>
  <w:style w:type="paragraph" w:customStyle="1" w:styleId="112">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3">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3"/>
    <w:uiPriority w:val="99"/>
    <w:semiHidden/>
    <w:rsid w:val="002516DF"/>
    <w:rPr>
      <w:rFonts w:ascii="Tahoma" w:eastAsia="Calibri" w:hAnsi="Tahoma" w:cs="Tahoma"/>
      <w:sz w:val="18"/>
      <w:szCs w:val="18"/>
    </w:rPr>
  </w:style>
  <w:style w:type="paragraph" w:customStyle="1" w:styleId="114">
    <w:name w:val="גוף טקסט1"/>
    <w:basedOn w:val="Normal"/>
    <w:link w:val="115"/>
    <w:uiPriority w:val="99"/>
    <w:rsid w:val="002516DF"/>
    <w:pPr>
      <w:spacing w:before="180" w:after="120" w:line="230" w:lineRule="exact"/>
    </w:pPr>
    <w:rPr>
      <w:rFonts w:eastAsia="Times New Roman" w:cs="FrankRuehl"/>
      <w:sz w:val="22"/>
      <w:szCs w:val="22"/>
    </w:rPr>
  </w:style>
  <w:style w:type="character" w:customStyle="1" w:styleId="a12">
    <w:name w:val="גוף טקסט תו"/>
    <w:basedOn w:val="DefaultParagraphFont"/>
    <w:rsid w:val="002516DF"/>
  </w:style>
  <w:style w:type="character" w:customStyle="1" w:styleId="115">
    <w:name w:val="גוף טקסט תו1"/>
    <w:link w:val="114"/>
    <w:uiPriority w:val="99"/>
    <w:rsid w:val="002516DF"/>
    <w:rPr>
      <w:rFonts w:eastAsia="Times New Roman" w:cs="FrankRuehl"/>
      <w:sz w:val="22"/>
      <w:szCs w:val="22"/>
    </w:rPr>
  </w:style>
  <w:style w:type="character" w:customStyle="1" w:styleId="116">
    <w:name w:val="כותרת תחתונה תו1"/>
    <w:uiPriority w:val="99"/>
    <w:rsid w:val="002516DF"/>
    <w:rPr>
      <w:rFonts w:cs="David"/>
      <w:sz w:val="24"/>
      <w:szCs w:val="24"/>
    </w:rPr>
  </w:style>
  <w:style w:type="character" w:customStyle="1" w:styleId="117">
    <w:name w:val="טקסט הערת שוליים תו1"/>
    <w:aliases w:val="Sharp - Footnote Text1 Char תו"/>
    <w:uiPriority w:val="99"/>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4"/>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5"/>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8">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19">
    <w:name w:val="הפניה להערה1"/>
    <w:uiPriority w:val="99"/>
    <w:semiHidden/>
    <w:unhideWhenUsed/>
    <w:rsid w:val="002516DF"/>
    <w:rPr>
      <w:sz w:val="16"/>
      <w:szCs w:val="16"/>
    </w:rPr>
  </w:style>
  <w:style w:type="paragraph" w:customStyle="1" w:styleId="120">
    <w:name w:val="טקסט הערה1"/>
    <w:basedOn w:val="Normal"/>
    <w:link w:val="a13"/>
    <w:uiPriority w:val="99"/>
    <w:unhideWhenUsed/>
    <w:rsid w:val="002516DF"/>
    <w:pPr>
      <w:spacing w:line="240" w:lineRule="auto"/>
    </w:pPr>
    <w:rPr>
      <w:rFonts w:eastAsia="Calibri"/>
      <w:szCs w:val="20"/>
    </w:rPr>
  </w:style>
  <w:style w:type="character" w:customStyle="1" w:styleId="a13">
    <w:name w:val="טקסט הערה תו"/>
    <w:link w:val="120"/>
    <w:uiPriority w:val="99"/>
    <w:rsid w:val="002516DF"/>
    <w:rPr>
      <w:rFonts w:eastAsia="Calibri"/>
      <w:szCs w:val="20"/>
    </w:rPr>
  </w:style>
  <w:style w:type="paragraph" w:customStyle="1" w:styleId="122">
    <w:name w:val="נושא הערה1"/>
    <w:basedOn w:val="120"/>
    <w:next w:val="120"/>
    <w:link w:val="a14"/>
    <w:uiPriority w:val="99"/>
    <w:semiHidden/>
    <w:unhideWhenUsed/>
    <w:rsid w:val="002516DF"/>
    <w:rPr>
      <w:b/>
      <w:bCs/>
    </w:rPr>
  </w:style>
  <w:style w:type="character" w:customStyle="1" w:styleId="a14">
    <w:name w:val="נושא הערה תו"/>
    <w:link w:val="122"/>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23">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6"/>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7"/>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5">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28"/>
    <w:unhideWhenUsed/>
    <w:rsid w:val="00114E4E"/>
    <w:pPr>
      <w:spacing w:after="120"/>
    </w:pPr>
  </w:style>
  <w:style w:type="character" w:customStyle="1" w:styleId="28">
    <w:name w:val="גוף טקסט תו2"/>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6"/>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6">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7"/>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7">
    <w:name w:val="ללא מרווח תו"/>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8">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8"/>
      </w:numPr>
      <w:spacing w:after="180" w:line="260" w:lineRule="exact"/>
    </w:pPr>
    <w:rPr>
      <w:rFonts w:ascii="Tahoma" w:hAnsi="Tahoma" w:cs="Tahoma"/>
      <w:color w:val="0D0D0D" w:themeColor="text1" w:themeTint="F2"/>
      <w:sz w:val="18"/>
      <w:szCs w:val="18"/>
    </w:rPr>
  </w:style>
  <w:style w:type="paragraph" w:customStyle="1" w:styleId="a19">
    <w:name w:val="אורח"/>
    <w:basedOn w:val="Normal"/>
    <w:next w:val="Normal"/>
    <w:rsid w:val="00CF1EB5"/>
    <w:pPr>
      <w:spacing w:line="240" w:lineRule="exact"/>
    </w:pPr>
    <w:rPr>
      <w:rFonts w:ascii="David" w:eastAsia="Times New Roman" w:hAnsi="David"/>
      <w:sz w:val="24"/>
      <w:u w:val="single"/>
    </w:rPr>
  </w:style>
  <w:style w:type="paragraph" w:customStyle="1" w:styleId="a20">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21">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2"/>
    <w:locked/>
    <w:rsid w:val="00CF1EB5"/>
    <w:rPr>
      <w:bCs/>
      <w:noProof/>
      <w:sz w:val="24"/>
      <w:lang w:eastAsia="he-IL"/>
    </w:rPr>
  </w:style>
  <w:style w:type="paragraph" w:customStyle="1" w:styleId="a22">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2">
    <w:name w:val="73א כותרת 6_12"/>
    <w:basedOn w:val="73512"/>
    <w:link w:val="736120"/>
    <w:qFormat/>
    <w:rsid w:val="001F3363"/>
    <w:pPr>
      <w:outlineLvl w:val="5"/>
    </w:pPr>
    <w:rPr>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4">
    <w:name w:val="כותרת טקסט1"/>
    <w:basedOn w:val="DefaultParagraphFont"/>
    <w:rsid w:val="00D81F77"/>
  </w:style>
  <w:style w:type="paragraph" w:customStyle="1" w:styleId="a23">
    <w:name w:val="כותרת סעיף"/>
    <w:basedOn w:val="Normal"/>
    <w:rsid w:val="005F7321"/>
    <w:pPr>
      <w:numPr>
        <w:numId w:val="9"/>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10"/>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4">
    <w:name w:val="טקסט רץ"/>
    <w:basedOn w:val="100"/>
    <w:link w:val="Char4"/>
    <w:qFormat/>
    <w:rsid w:val="00D17911"/>
    <w:pPr>
      <w:spacing w:after="180" w:line="260" w:lineRule="exact"/>
    </w:pPr>
    <w:rPr>
      <w:color w:val="0D0D0D"/>
      <w:szCs w:val="18"/>
    </w:rPr>
  </w:style>
  <w:style w:type="paragraph" w:customStyle="1" w:styleId="213">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4"/>
    <w:rsid w:val="00D17911"/>
    <w:rPr>
      <w:rFonts w:ascii="Tahoma" w:hAnsi="Tahoma" w:cs="Tahoma"/>
      <w:color w:val="0D0D0D"/>
      <w:szCs w:val="18"/>
    </w:rPr>
  </w:style>
  <w:style w:type="character" w:customStyle="1" w:styleId="21Char">
    <w:name w:val="הערות שוליים 21 Char"/>
    <w:basedOn w:val="3"/>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paragraph" w:customStyle="1" w:styleId="a25">
    <w:name w:val="אייקון טורקיז רקע"/>
    <w:basedOn w:val="121"/>
    <w:link w:val="Char5"/>
    <w:qFormat/>
    <w:rsid w:val="00C51CB1"/>
    <w:pPr>
      <w:spacing w:before="360" w:after="240" w:line="440" w:lineRule="exact"/>
      <w:jc w:val="left"/>
      <w:outlineLvl w:val="1"/>
    </w:pPr>
    <w:rPr>
      <w:b/>
      <w:bCs/>
      <w:noProof/>
      <w:color w:val="00305F"/>
      <w:sz w:val="22"/>
      <w:szCs w:val="22"/>
      <w:lang w:val="he-IL"/>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character" w:customStyle="1" w:styleId="Char5">
    <w:name w:val="אייקון טורקיז רקע Char"/>
    <w:basedOn w:val="121Char"/>
    <w:link w:val="a25"/>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4">
    <w:name w:val="סיכום תקציר 21"/>
    <w:basedOn w:val="Normal"/>
    <w:link w:val="21Char0"/>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5">
    <w:name w:val="עיקרי המלצות הביקורת 21"/>
    <w:basedOn w:val="Normal"/>
    <w:link w:val="21Char1"/>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0">
    <w:name w:val="סיכום תקציר 21 Char"/>
    <w:basedOn w:val="DefaultParagraphFont"/>
    <w:link w:val="214"/>
    <w:rsid w:val="00454096"/>
    <w:rPr>
      <w:rFonts w:ascii="Tahoma" w:hAnsi="Tahoma" w:eastAsiaTheme="minorEastAsia" w:cs="Tahoma"/>
      <w:b/>
      <w:bCs/>
      <w:color w:val="00305F"/>
      <w:sz w:val="34"/>
      <w:szCs w:val="32"/>
    </w:rPr>
  </w:style>
  <w:style w:type="paragraph" w:customStyle="1" w:styleId="216">
    <w:name w:val="פעולות הביקורת 21"/>
    <w:basedOn w:val="Normal"/>
    <w:link w:val="21Char2"/>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1">
    <w:name w:val="עיקרי המלצות הביקורת 21 Char"/>
    <w:basedOn w:val="DefaultParagraphFont"/>
    <w:link w:val="215"/>
    <w:rsid w:val="00454096"/>
    <w:rPr>
      <w:rFonts w:ascii="Tahoma" w:hAnsi="Tahoma" w:eastAsiaTheme="minorEastAsia" w:cs="Tahoma"/>
      <w:b/>
      <w:bCs/>
      <w:color w:val="002E5F"/>
      <w:sz w:val="34"/>
      <w:szCs w:val="32"/>
    </w:rPr>
  </w:style>
  <w:style w:type="character" w:customStyle="1" w:styleId="21Char2">
    <w:name w:val="פעולות הביקורת 21 Char"/>
    <w:basedOn w:val="DefaultParagraphFont"/>
    <w:link w:val="216"/>
    <w:rsid w:val="00454096"/>
    <w:rPr>
      <w:rFonts w:ascii="Tahoma" w:hAnsi="Tahoma" w:eastAsiaTheme="minorEastAsia" w:cs="Tahoma"/>
      <w:b w:val="0"/>
      <w:bCs/>
      <w:color w:val="00305F"/>
      <w:sz w:val="32"/>
      <w:szCs w:val="32"/>
    </w:rPr>
  </w:style>
  <w:style w:type="paragraph" w:customStyle="1" w:styleId="217">
    <w:name w:val="פעולות הביקורת21"/>
    <w:basedOn w:val="Normal"/>
    <w:link w:val="21Char3"/>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6">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sz w:val="31"/>
    </w:rPr>
  </w:style>
  <w:style w:type="paragraph" w:customStyle="1" w:styleId="7327">
    <w:name w:val="73א תמונת המצב העולה מן הביקורת"/>
    <w:basedOn w:val="216"/>
    <w:link w:val="7328"/>
    <w:qFormat/>
    <w:rsid w:val="00D37188"/>
    <w:pPr>
      <w:keepNext/>
      <w:keepLines/>
      <w:pBdr>
        <w:top w:val="single" w:sz="12" w:space="5" w:color="auto"/>
      </w:pBdr>
      <w:spacing w:before="360"/>
      <w:outlineLvl w:val="9"/>
    </w:pPr>
    <w:rPr>
      <w:sz w:val="31"/>
      <w:szCs w:val="31"/>
    </w:rPr>
  </w:style>
  <w:style w:type="character" w:customStyle="1" w:styleId="7328">
    <w:name w:val="73א תמונת המצב העולה מן הביקורת תו"/>
    <w:basedOn w:val="21Char2"/>
    <w:link w:val="7327"/>
    <w:rsid w:val="00D37188"/>
    <w:rPr>
      <w:rFonts w:ascii="Tahoma" w:hAnsi="Tahoma" w:eastAsiaTheme="minorEastAsia" w:cs="Tahoma"/>
      <w:b w:val="0"/>
      <w:bCs/>
      <w:color w:val="00305F"/>
      <w:sz w:val="31"/>
      <w:szCs w:val="31"/>
    </w:rPr>
  </w:style>
  <w:style w:type="paragraph" w:customStyle="1" w:styleId="7329">
    <w:name w:val="73א כותרת 2"/>
    <w:link w:val="73210"/>
    <w:qFormat/>
    <w:rsid w:val="001C09EB"/>
    <w:pPr>
      <w:keepNext/>
      <w:keepLines/>
      <w:spacing w:before="360" w:after="240" w:line="240" w:lineRule="atLeast"/>
      <w:jc w:val="right"/>
      <w:outlineLvl w:val="1"/>
    </w:pPr>
    <w:rPr>
      <w:rFonts w:ascii="Tahoma" w:hAnsi="Tahoma" w:cs="Tahoma"/>
      <w:b/>
      <w:bCs/>
      <w:color w:val="00305F"/>
      <w:sz w:val="40"/>
      <w:szCs w:val="34"/>
    </w:rPr>
  </w:style>
  <w:style w:type="character" w:customStyle="1" w:styleId="73210">
    <w:name w:val="73א כותרת 2 תו"/>
    <w:basedOn w:val="DefaultParagraphFont"/>
    <w:link w:val="7329"/>
    <w:rsid w:val="001C09EB"/>
    <w:rPr>
      <w:rFonts w:ascii="Tahoma" w:hAnsi="Tahoma" w:cs="Tahoma"/>
      <w:b/>
      <w:bCs/>
      <w:color w:val="00305F"/>
      <w:sz w:val="40"/>
      <w:szCs w:val="34"/>
    </w:rPr>
  </w:style>
  <w:style w:type="character" w:customStyle="1" w:styleId="7330">
    <w:name w:val="73א הערות שוליים תו"/>
    <w:basedOn w:val="3"/>
    <w:link w:val="733"/>
    <w:rsid w:val="001F3363"/>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662020"/>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7"/>
    <w:link w:val="7391"/>
    <w:qFormat/>
    <w:rsid w:val="00FF6AD9"/>
    <w:pPr>
      <w:ind w:left="397"/>
    </w:pPr>
    <w:rPr>
      <w:bCs/>
      <w:noProof/>
      <w:color w:val="0D0D0D" w:themeColor="text1" w:themeTint="F2"/>
      <w:lang w:val="he-IL"/>
    </w:rPr>
  </w:style>
  <w:style w:type="character" w:customStyle="1" w:styleId="21Char3">
    <w:name w:val="פעולות הביקורת21 Char"/>
    <w:basedOn w:val="DefaultParagraphFont"/>
    <w:link w:val="217"/>
    <w:rsid w:val="001F3363"/>
    <w:rPr>
      <w:rFonts w:ascii="Tahoma" w:hAnsi="Tahoma" w:cs="Tahoma"/>
      <w:color w:val="0D0D0D" w:themeColor="text1" w:themeTint="F2"/>
      <w:sz w:val="18"/>
      <w:szCs w:val="18"/>
    </w:rPr>
  </w:style>
  <w:style w:type="character" w:customStyle="1" w:styleId="7391">
    <w:name w:val="73א בולד 9 בתוך שורה תו"/>
    <w:basedOn w:val="21Char3"/>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7">
    <w:name w:val="כותרת לבנה בתוך תבנית אדומה בתקציר"/>
    <w:basedOn w:val="Normal"/>
    <w:link w:val="Char6"/>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7"/>
    <w:link w:val="7333"/>
    <w:qFormat/>
    <w:rsid w:val="009D41AC"/>
  </w:style>
  <w:style w:type="character" w:customStyle="1" w:styleId="Char6">
    <w:name w:val="כותרת לבנה בתוך תבנית אדומה בתקציר Char"/>
    <w:basedOn w:val="DefaultParagraphFont"/>
    <w:link w:val="a27"/>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6"/>
    <w:link w:val="7332"/>
    <w:rsid w:val="009D41AC"/>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character" w:styleId="UnresolvedMention">
    <w:name w:val="Unresolved Mention"/>
    <w:basedOn w:val="DefaultParagraphFont"/>
    <w:uiPriority w:val="99"/>
    <w:semiHidden/>
    <w:unhideWhenUsed/>
    <w:rsid w:val="00965248"/>
    <w:rPr>
      <w:color w:val="605E5C"/>
      <w:shd w:val="clear" w:color="auto" w:fill="E1DFDD"/>
    </w:rPr>
  </w:style>
  <w:style w:type="paragraph" w:customStyle="1" w:styleId="7334">
    <w:name w:val="73א היפרלינק"/>
    <w:basedOn w:val="733"/>
    <w:link w:val="7335"/>
    <w:qFormat/>
    <w:rsid w:val="00973E62"/>
    <w:pPr>
      <w:bidi w:val="0"/>
    </w:pPr>
    <w:rPr>
      <w:color w:val="0000FF"/>
      <w:u w:val="single"/>
    </w:rPr>
  </w:style>
  <w:style w:type="character" w:customStyle="1" w:styleId="7335">
    <w:name w:val="73א היפרלינק תו"/>
    <w:basedOn w:val="7330"/>
    <w:link w:val="7334"/>
    <w:rsid w:val="00973E62"/>
    <w:rPr>
      <w:rFonts w:ascii="Tahoma" w:hAnsi="Tahoma" w:cs="Tahoma"/>
      <w:color w:val="0000FF"/>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BE57E3"/>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2E6467"/>
    <w:rPr>
      <w:bCs/>
    </w:rPr>
  </w:style>
  <w:style w:type="character" w:customStyle="1" w:styleId="7371">
    <w:name w:val="73א כותרת 7 בתוך טקסט תו"/>
    <w:basedOn w:val="7337"/>
    <w:link w:val="7370"/>
    <w:rsid w:val="002E6467"/>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8">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9">
    <w:name w:val="נבנצאל תו"/>
    <w:basedOn w:val="DefaultParagraphFont"/>
    <w:link w:val="a30"/>
    <w:uiPriority w:val="99"/>
    <w:locked/>
    <w:rsid w:val="00905FB1"/>
    <w:rPr>
      <w:szCs w:val="20"/>
    </w:rPr>
  </w:style>
  <w:style w:type="paragraph" w:customStyle="1" w:styleId="a30">
    <w:name w:val="נבנצאל"/>
    <w:basedOn w:val="Normal"/>
    <w:next w:val="Normal"/>
    <w:link w:val="a29"/>
    <w:uiPriority w:val="99"/>
    <w:rsid w:val="00905FB1"/>
    <w:pPr>
      <w:ind w:left="-567"/>
    </w:pPr>
    <w:rPr>
      <w:szCs w:val="20"/>
    </w:rPr>
  </w:style>
  <w:style w:type="paragraph" w:styleId="DocumentMap">
    <w:name w:val="Document Map"/>
    <w:basedOn w:val="Normal"/>
    <w:link w:val="a31"/>
    <w:uiPriority w:val="99"/>
    <w:semiHidden/>
    <w:unhideWhenUsed/>
    <w:rsid w:val="0030451F"/>
    <w:pPr>
      <w:spacing w:line="240" w:lineRule="auto"/>
    </w:pPr>
    <w:rPr>
      <w:rFonts w:ascii="Tahoma" w:hAnsi="Tahoma" w:cs="Tahoma"/>
      <w:sz w:val="16"/>
      <w:szCs w:val="16"/>
    </w:rPr>
  </w:style>
  <w:style w:type="character" w:customStyle="1" w:styleId="a31">
    <w:name w:val="מפת מסמך תו"/>
    <w:basedOn w:val="DefaultParagraphFont"/>
    <w:link w:val="DocumentMap"/>
    <w:uiPriority w:val="99"/>
    <w:semiHidden/>
    <w:rsid w:val="0030451F"/>
    <w:rPr>
      <w:rFonts w:ascii="Tahoma" w:hAnsi="Tahoma" w:cs="Tahoma"/>
      <w:sz w:val="16"/>
      <w:szCs w:val="16"/>
    </w:rPr>
  </w:style>
  <w:style w:type="paragraph" w:customStyle="1" w:styleId="125">
    <w:name w:val="סגנון1"/>
    <w:basedOn w:val="Caption"/>
    <w:qFormat/>
    <w:rsid w:val="0030451F"/>
    <w:pPr>
      <w:jc w:val="center"/>
    </w:pPr>
    <w:rPr>
      <w:b/>
      <w:bCs/>
      <w:iCs w:val="0"/>
      <w:color w:val="000000" w:themeColor="text1"/>
      <w:sz w:val="24"/>
      <w:szCs w:val="24"/>
    </w:rPr>
  </w:style>
  <w:style w:type="paragraph" w:customStyle="1" w:styleId="29">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32">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1F3363"/>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1F3363"/>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3">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1">
    <w:name w:val="מבקר המדינה - עמוד שער(לבן)"/>
    <w:basedOn w:val="Normal"/>
    <w:qFormat/>
    <w:rsid w:val="003570AC"/>
    <w:pPr>
      <w:ind w:left="2268"/>
    </w:pPr>
    <w:rPr>
      <w:rFonts w:ascii="Tahoma" w:hAnsi="Tahoma" w:cs="Tahoma"/>
      <w:sz w:val="18"/>
      <w:szCs w:val="18"/>
    </w:rPr>
  </w:style>
  <w:style w:type="paragraph" w:customStyle="1" w:styleId="-2">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3">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4">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4"/>
    <w:link w:val="7393"/>
    <w:qFormat/>
    <w:rsid w:val="004863B3"/>
    <w:rPr>
      <w:color w:val="0D0D0D" w:themeColor="text1" w:themeTint="F2"/>
      <w:sz w:val="18"/>
    </w:rPr>
  </w:style>
  <w:style w:type="character" w:customStyle="1" w:styleId="7393">
    <w:name w:val="73א טקסט רץ 9 תו"/>
    <w:basedOn w:val="Char4"/>
    <w:link w:val="7392"/>
    <w:rsid w:val="004863B3"/>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20">
    <w:name w:val="73א כותרת 6_12 תו"/>
    <w:basedOn w:val="DefaultParagraphFont"/>
    <w:link w:val="73612"/>
    <w:rsid w:val="001F3363"/>
    <w:rPr>
      <w:rFonts w:ascii="Tahoma" w:hAnsi="Tahoma" w:cs="Tahoma"/>
      <w:b/>
      <w:bCs/>
      <w:color w:val="00305F"/>
      <w:sz w:val="24"/>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6">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numbering" w:customStyle="1" w:styleId="127">
    <w:name w:val="ללא רשימה1"/>
    <w:next w:val="NoList"/>
    <w:uiPriority w:val="99"/>
    <w:semiHidden/>
    <w:unhideWhenUsed/>
    <w:rsid w:val="006903C5"/>
  </w:style>
  <w:style w:type="paragraph" w:customStyle="1" w:styleId="a35">
    <w:name w:val="הערות שוליים"/>
    <w:basedOn w:val="FootnoteText"/>
    <w:qFormat/>
    <w:rsid w:val="006903C5"/>
    <w:pPr>
      <w:spacing w:after="60" w:line="312" w:lineRule="auto"/>
      <w:ind w:left="397" w:hanging="397"/>
    </w:pPr>
    <w:rPr>
      <w:rFonts w:ascii="Tahoma" w:hAnsi="Tahoma" w:cs="Tahoma"/>
      <w:sz w:val="16"/>
      <w:szCs w:val="16"/>
    </w:rPr>
  </w:style>
  <w:style w:type="character" w:customStyle="1" w:styleId="highlight">
    <w:name w:val="highlight"/>
    <w:basedOn w:val="DefaultParagraphFont"/>
    <w:rsid w:val="006903C5"/>
  </w:style>
  <w:style w:type="table" w:customStyle="1" w:styleId="1111">
    <w:name w:val="רשת טבלה11"/>
    <w:basedOn w:val="TableNormal"/>
    <w:next w:val="TableGrid"/>
    <w:uiPriority w:val="59"/>
    <w:rsid w:val="006903C5"/>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6">
    <w:name w:val="מקור לתרשים"/>
    <w:basedOn w:val="Normal"/>
    <w:link w:val="a37"/>
    <w:qFormat/>
    <w:rsid w:val="006903C5"/>
    <w:rPr>
      <w:rFonts w:ascii="David" w:hAnsi="David"/>
      <w:sz w:val="28"/>
      <w:szCs w:val="22"/>
    </w:rPr>
  </w:style>
  <w:style w:type="character" w:customStyle="1" w:styleId="a37">
    <w:name w:val="מקור לתרשים תו"/>
    <w:basedOn w:val="DefaultParagraphFont"/>
    <w:link w:val="a36"/>
    <w:rsid w:val="006903C5"/>
    <w:rPr>
      <w:rFonts w:ascii="David" w:hAnsi="David"/>
      <w:sz w:val="28"/>
      <w:szCs w:val="22"/>
    </w:rPr>
  </w:style>
  <w:style w:type="table" w:styleId="GridTable2">
    <w:name w:val="Grid Table 2"/>
    <w:basedOn w:val="TableNormal"/>
    <w:uiPriority w:val="47"/>
    <w:rsid w:val="006903C5"/>
    <w:pPr>
      <w:spacing w:after="0" w:line="240" w:lineRule="auto"/>
    </w:pPr>
    <w:rPr>
      <w:rFonts w:ascii="David" w:hAnsi="David"/>
      <w:sz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6903C5"/>
    <w:pPr>
      <w:spacing w:after="0" w:line="240" w:lineRule="auto"/>
    </w:pPr>
    <w:rPr>
      <w:rFonts w:ascii="David" w:hAnsi="David"/>
      <w:sz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903C5"/>
    <w:pPr>
      <w:spacing w:after="0" w:line="240" w:lineRule="auto"/>
    </w:pPr>
    <w:rPr>
      <w:rFonts w:ascii="David" w:hAnsi="David"/>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711">
    <w:name w:val="71ג מקרא+הערות לתרשים/לוח/תמונה"/>
    <w:basedOn w:val="Normal"/>
    <w:link w:val="71Char"/>
    <w:qFormat/>
    <w:rsid w:val="00AC1A40"/>
    <w:pPr>
      <w:spacing w:before="120" w:after="240" w:line="260" w:lineRule="exact"/>
      <w:ind w:left="397" w:hanging="397"/>
    </w:pPr>
    <w:rPr>
      <w:rFonts w:ascii="Tahoma" w:hAnsi="Tahoma" w:cs="Tahoma"/>
      <w:color w:val="0D0D0D" w:themeColor="text1" w:themeTint="F2"/>
      <w:sz w:val="16"/>
      <w:szCs w:val="16"/>
    </w:rPr>
  </w:style>
  <w:style w:type="character" w:customStyle="1" w:styleId="71Char">
    <w:name w:val="71ג מקרא+הערות לתרשים/לוח/תמונה Char"/>
    <w:basedOn w:val="DefaultParagraphFont"/>
    <w:link w:val="711"/>
    <w:rsid w:val="00AC1A40"/>
    <w:rPr>
      <w:rFonts w:ascii="Tahoma" w:hAnsi="Tahoma" w:cs="Tahoma"/>
      <w:color w:val="0D0D0D" w:themeColor="text1" w:themeTint="F2"/>
      <w:sz w:val="16"/>
      <w:szCs w:val="16"/>
    </w:rPr>
  </w:style>
  <w:style w:type="paragraph" w:customStyle="1" w:styleId="a38">
    <w:name w:val="תאריך הדוח"/>
    <w:qFormat/>
    <w:rsid w:val="00F51227"/>
    <w:pPr>
      <w:ind w:left="2268"/>
      <w:jc w:val="left"/>
    </w:pPr>
    <w:rPr>
      <w:rFonts w:ascii="Tahoma" w:hAnsi="Tahoma" w:cs="Tahoma"/>
      <w:sz w:val="18"/>
      <w:szCs w:val="18"/>
    </w:rPr>
  </w:style>
  <w:style w:type="paragraph" w:customStyle="1" w:styleId="a39">
    <w:name w:val="כותרת ראשית לדוח"/>
    <w:qFormat/>
    <w:rsid w:val="00F51227"/>
    <w:pPr>
      <w:spacing w:before="360" w:line="600" w:lineRule="exact"/>
      <w:ind w:left="2268"/>
      <w:jc w:val="left"/>
    </w:pPr>
    <w:rPr>
      <w:rFonts w:ascii="Tahoma" w:hAnsi="Tahoma" w:cs="Tahoma"/>
      <w:b/>
      <w:bCs/>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image" Target="media/image4.jpeg" /><Relationship Id="rId2" Type="http://schemas.openxmlformats.org/officeDocument/2006/relationships/endnotes" Target="endnote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image" Target="media/image9.jpeg" /><Relationship Id="rId25" Type="http://schemas.openxmlformats.org/officeDocument/2006/relationships/image" Target="media/image10.jpeg" /><Relationship Id="rId26" Type="http://schemas.openxmlformats.org/officeDocument/2006/relationships/image" Target="media/image11.jpeg" /><Relationship Id="rId27" Type="http://schemas.openxmlformats.org/officeDocument/2006/relationships/image" Target="media/image12.emf" /><Relationship Id="rId28" Type="http://schemas.openxmlformats.org/officeDocument/2006/relationships/footer" Target="footer4.xml" /><Relationship Id="rId29" Type="http://schemas.openxmlformats.org/officeDocument/2006/relationships/footer" Target="footer5.xml" /><Relationship Id="rId3" Type="http://schemas.openxmlformats.org/officeDocument/2006/relationships/settings" Target="settings.xml" /><Relationship Id="rId30" Type="http://schemas.openxmlformats.org/officeDocument/2006/relationships/header" Target="header5.xml" /><Relationship Id="rId31" Type="http://schemas.openxmlformats.org/officeDocument/2006/relationships/footer" Target="footer6.xml" /><Relationship Id="rId32" Type="http://schemas.openxmlformats.org/officeDocument/2006/relationships/header" Target="header6.xml" /><Relationship Id="rId33" Type="http://schemas.openxmlformats.org/officeDocument/2006/relationships/footer" Target="footer7.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13.jpeg" /><Relationship Id="rId2" Type="http://schemas.openxmlformats.org/officeDocument/2006/relationships/image" Target="media/image14.jpeg" /></Relationships>
</file>

<file path=word/_rels/header6.xml.rels><?xml version="1.0" encoding="utf-8" standalone="yes"?><Relationships xmlns="http://schemas.openxmlformats.org/package/2006/relationships"><Relationship Id="rId1" Type="http://schemas.openxmlformats.org/officeDocument/2006/relationships/image" Target="media/image3.jpeg" /></Relationships>
</file>

<file path=word/_rels/numbering.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media/image16.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7.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3.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4.xml><?xml version="1.0" encoding="utf-8"?>
<ds:datastoreItem xmlns:ds="http://schemas.openxmlformats.org/officeDocument/2006/customXml" ds:itemID="{CCBB93A2-662F-4403-8D14-1E0A18FAC68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