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1815C0C8" w14:textId="40784A8D">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9"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0"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bookmarkStart w:id="0" w:name="_Hlk63775048"/>
      <w:bookmarkEnd w:id="0"/>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1"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671611F">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3066430</wp:posOffset>
                </wp:positionH>
                <wp:positionV relativeFrom="paragraph">
                  <wp:posOffset>262498</wp:posOffset>
                </wp:positionV>
                <wp:extent cx="0" cy="3877945"/>
                <wp:effectExtent l="25400" t="0" r="25400" b="3365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87794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2" style="mso-height-percent:0;mso-height-relative:margin;mso-width-percent:0;mso-width-relative:margin;mso-wrap-distance-bottom:0;mso-wrap-distance-left:9pt;mso-wrap-distance-right:9pt;mso-wrap-distance-top:0;mso-wrap-style:square;position:absolute;visibility:visible;z-index:251667456" from="241.45pt,20.65pt" to="241.45pt,326pt" strokecolor="white" strokeweight="4pt"/>
            </w:pict>
          </mc:Fallback>
        </mc:AlternateContent>
      </w:r>
      <w:r w:rsidR="00B266D1">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122219</wp:posOffset>
                </wp:positionH>
                <wp:positionV relativeFrom="paragraph">
                  <wp:posOffset>1937545</wp:posOffset>
                </wp:positionV>
                <wp:extent cx="2816125" cy="0"/>
                <wp:effectExtent l="12700" t="12700" r="381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1612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3" style="flip:x;mso-height-percent:0;mso-height-relative:margin;mso-width-percent:0;mso-width-relative:margin;mso-wrap-distance-bottom:0;mso-wrap-distance-left:9pt;mso-wrap-distance-right:9pt;mso-wrap-distance-top:0;mso-wrap-style:square;position:absolute;visibility:visible;z-index:251669504" from="9.6pt,152.55pt" to="231.35pt,152.55pt" strokecolor="white" strokeweight="1.5pt"/>
            </w:pict>
          </mc:Fallback>
        </mc:AlternateContent>
      </w:r>
      <w:r w:rsidRPr="0030415A" w:rsidR="002D5FD5">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-85090</wp:posOffset>
                </wp:positionH>
                <wp:positionV relativeFrom="paragraph">
                  <wp:posOffset>346710</wp:posOffset>
                </wp:positionV>
                <wp:extent cx="455930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930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9D576A" w14:textId="7FC0D628">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DB179C" w:rsidR="00DB179C">
                              <w:rPr>
                                <w:rtl/>
                              </w:rPr>
                              <w:t xml:space="preserve">נובמבר </w:t>
                            </w:r>
                            <w:r>
                              <w:rPr>
                                <w:rFonts w:hint="cs"/>
                                <w:rtl/>
                              </w:rPr>
                              <w:t xml:space="preserve">2022 </w:t>
                            </w:r>
                          </w:p>
                          <w:p w:rsidR="00F73EE0" w:rsidP="0052031E" w14:textId="4F5A48BD">
                            <w:pPr>
                              <w:ind w:left="2268"/>
                              <w:rPr>
                                <w:rtl/>
                              </w:rPr>
                            </w:pPr>
                          </w:p>
                          <w:p w:rsidR="00F01B25" w:rsidP="0052031E" w14:textId="77777777">
                            <w:pPr>
                              <w:ind w:left="2268"/>
                              <w:rPr>
                                <w:rtl/>
                              </w:rPr>
                            </w:pPr>
                          </w:p>
                          <w:p w:rsidR="00F73EE0" w:rsidP="0052031E" w14:textId="77777777">
                            <w:pPr>
                              <w:ind w:left="2268"/>
                              <w:rPr>
                                <w:rtl/>
                              </w:rPr>
                            </w:pPr>
                          </w:p>
                          <w:p w:rsidR="005D0F8C" w:rsidRPr="000A3ED4" w:rsidP="009D576A" w14:textId="3581703C">
                            <w:pPr>
                              <w:pStyle w:val="-2"/>
                              <w:rPr>
                                <w:rtl/>
                              </w:rPr>
                            </w:pPr>
                            <w:r>
                              <w:rPr>
                                <w:rFonts w:hint="cs"/>
                                <w:rtl/>
                              </w:rPr>
                              <w:t>משרד הכלכלה והתעשייה</w:t>
                            </w:r>
                          </w:p>
                          <w:p w:rsidR="00C30482" w:rsidRPr="009D576A" w:rsidP="00AF1BFF" w14:textId="5E1053B9">
                            <w:pPr>
                              <w:pStyle w:val="a36"/>
                              <w:bidi/>
                              <w:spacing w:before="120"/>
                              <w:rPr>
                                <w:rtl/>
                              </w:rPr>
                            </w:pPr>
                            <w:r w:rsidRPr="002D5FD5">
                              <w:rPr>
                                <w:rtl/>
                              </w:rPr>
                              <w:t xml:space="preserve">התמודדות הממשלה עם הגידול במסחר המקוון - </w:t>
                            </w:r>
                            <w:r>
                              <w:rPr>
                                <w:rtl/>
                              </w:rPr>
                              <w:br/>
                            </w:r>
                            <w:r w:rsidRPr="002D5FD5">
                              <w:rPr>
                                <w:rtl/>
                              </w:rPr>
                              <w:t>ביקורת מעקב</w:t>
                            </w:r>
                          </w:p>
                          <w:p w:rsidR="00C30482" w:rsidRPr="001F3363" w:rsidP="005D0F8C"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width:359pt;height:336.5pt;margin-top:27.3pt;margin-left:-6.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9D576A" w14:paraId="6680A7A9" w14:textId="7FC0D628">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DB179C" w:rsidR="00DB179C">
                        <w:rPr>
                          <w:rtl/>
                        </w:rPr>
                        <w:t xml:space="preserve">נובמבר </w:t>
                      </w:r>
                      <w:r>
                        <w:rPr>
                          <w:rFonts w:hint="cs"/>
                          <w:rtl/>
                        </w:rPr>
                        <w:t xml:space="preserve">2022 </w:t>
                      </w:r>
                    </w:p>
                    <w:p w:rsidR="00F73EE0" w:rsidP="0052031E" w14:paraId="7A4F68DA" w14:textId="4F5A48BD">
                      <w:pPr>
                        <w:ind w:left="2268"/>
                        <w:rPr>
                          <w:rtl/>
                        </w:rPr>
                      </w:pPr>
                    </w:p>
                    <w:p w:rsidR="00F01B25" w:rsidP="0052031E" w14:paraId="55A55087" w14:textId="77777777">
                      <w:pPr>
                        <w:ind w:left="2268"/>
                        <w:rPr>
                          <w:rtl/>
                        </w:rPr>
                      </w:pPr>
                    </w:p>
                    <w:p w:rsidR="00F73EE0" w:rsidP="0052031E" w14:paraId="537675A5" w14:textId="77777777">
                      <w:pPr>
                        <w:ind w:left="2268"/>
                        <w:rPr>
                          <w:rtl/>
                        </w:rPr>
                      </w:pPr>
                    </w:p>
                    <w:p w:rsidR="005D0F8C" w:rsidRPr="000A3ED4" w:rsidP="009D576A" w14:paraId="361EED1E" w14:textId="3581703C">
                      <w:pPr>
                        <w:pStyle w:val="-2"/>
                        <w:rPr>
                          <w:rtl/>
                        </w:rPr>
                      </w:pPr>
                      <w:r>
                        <w:rPr>
                          <w:rFonts w:hint="cs"/>
                          <w:rtl/>
                        </w:rPr>
                        <w:t>משרד הכלכלה והתעשייה</w:t>
                      </w:r>
                    </w:p>
                    <w:p w:rsidR="00C30482" w:rsidRPr="009D576A" w:rsidP="00AF1BFF" w14:paraId="005557EF" w14:textId="5E1053B9">
                      <w:pPr>
                        <w:pStyle w:val="a36"/>
                        <w:bidi/>
                        <w:spacing w:before="120"/>
                        <w:rPr>
                          <w:rtl/>
                        </w:rPr>
                      </w:pPr>
                      <w:r w:rsidRPr="002D5FD5">
                        <w:rPr>
                          <w:rtl/>
                        </w:rPr>
                        <w:t xml:space="preserve">התמודדות הממשלה עם הגידול במסחר המקוון - </w:t>
                      </w:r>
                      <w:r>
                        <w:rPr>
                          <w:rtl/>
                        </w:rPr>
                        <w:br/>
                      </w:r>
                      <w:r w:rsidRPr="002D5FD5">
                        <w:rPr>
                          <w:rtl/>
                        </w:rPr>
                        <w:t>ביקורת מעקב</w:t>
                      </w:r>
                    </w:p>
                    <w:p w:rsidR="00C30482" w:rsidRPr="001F3363" w:rsidP="005D0F8C" w14:paraId="5BE5E625"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5"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2D1788">
          <w:headerReference w:type="even" r:id="rId18"/>
          <w:pgSz w:w="11906" w:h="16838" w:code="9"/>
          <w:pgMar w:top="3062" w:right="2268" w:bottom="2552" w:left="2268" w:header="709" w:footer="709" w:gutter="0"/>
          <w:cols w:space="720"/>
          <w:bidi/>
          <w:rtlGutter/>
          <w:docGrid w:linePitch="272"/>
        </w:sectPr>
      </w:pPr>
    </w:p>
    <w:p w:rsidR="00B93C72" w:rsidRPr="001F3363" w:rsidP="006763C6" w14:paraId="4ED3AA37" w14:textId="43057FE1">
      <w:pPr>
        <w:pStyle w:val="7329"/>
        <w:bidi/>
        <w:jc w:val="left"/>
        <w:rPr>
          <w:rtl/>
        </w:rPr>
      </w:pP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586851">
        <w:rPr>
          <w:noProof/>
          <w:rtl/>
        </w:rPr>
        <mc:AlternateContent>
          <mc:Choice Requires="wps">
            <w:drawing>
              <wp:anchor distT="0" distB="0" distL="114300" distR="114300" simplePos="0" relativeHeight="251675648"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6"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2D5FD5" w:rsidR="002D5FD5">
        <w:rPr>
          <w:noProof/>
          <w:rtl/>
        </w:rPr>
        <w:t>התמודדות הממשלה עם הגידול במסחר המקוון - ביקורת מעקב</w:t>
      </w:r>
    </w:p>
    <w:p w:rsidR="002D5FD5" w:rsidP="002D5FD5" w14:paraId="38C76D2D" w14:textId="77777777">
      <w:pPr>
        <w:pStyle w:val="7392"/>
        <w:spacing w:before="360"/>
        <w:rPr>
          <w:rtl/>
        </w:rPr>
      </w:pPr>
      <w:r w:rsidRPr="00F6324E">
        <w:rPr>
          <w:rtl/>
        </w:rPr>
        <w:t xml:space="preserve">הכלכלה הדיגיטלית היא תופעה המעוררת בשנים האחרונות עניין רב בהיבטי </w:t>
      </w:r>
      <w:r w:rsidRPr="00F6324E">
        <w:rPr>
          <w:rFonts w:hint="cs"/>
          <w:rtl/>
        </w:rPr>
        <w:t>ה</w:t>
      </w:r>
      <w:r w:rsidRPr="00F6324E">
        <w:rPr>
          <w:rtl/>
        </w:rPr>
        <w:t xml:space="preserve">צרכנות, </w:t>
      </w:r>
      <w:r w:rsidRPr="00F6324E">
        <w:rPr>
          <w:rFonts w:hint="cs"/>
          <w:rtl/>
        </w:rPr>
        <w:t>ה</w:t>
      </w:r>
      <w:r w:rsidRPr="00F6324E">
        <w:rPr>
          <w:rtl/>
        </w:rPr>
        <w:t>תחרות ו</w:t>
      </w:r>
      <w:r w:rsidRPr="00F6324E">
        <w:rPr>
          <w:rFonts w:hint="cs"/>
          <w:rtl/>
        </w:rPr>
        <w:t>ה</w:t>
      </w:r>
      <w:r w:rsidRPr="00F6324E">
        <w:rPr>
          <w:rtl/>
        </w:rPr>
        <w:t>פרטיות</w:t>
      </w:r>
      <w:r w:rsidRPr="00F6324E">
        <w:rPr>
          <w:rFonts w:hint="cs"/>
          <w:rtl/>
        </w:rPr>
        <w:t>,</w:t>
      </w:r>
      <w:r w:rsidRPr="00F6324E">
        <w:rPr>
          <w:rtl/>
        </w:rPr>
        <w:t xml:space="preserve"> ו</w:t>
      </w:r>
      <w:r w:rsidRPr="00F6324E">
        <w:rPr>
          <w:rFonts w:hint="cs"/>
          <w:rtl/>
        </w:rPr>
        <w:t xml:space="preserve">היא נמצאת </w:t>
      </w:r>
      <w:r w:rsidRPr="00F6324E">
        <w:rPr>
          <w:rtl/>
        </w:rPr>
        <w:t xml:space="preserve">על סדר יומן של רשויות רבות בעולם, בין היתר לאור </w:t>
      </w:r>
      <w:r w:rsidRPr="00F6324E">
        <w:rPr>
          <w:rFonts w:hint="cs"/>
          <w:rtl/>
        </w:rPr>
        <w:t xml:space="preserve">העלייה בכוחן </w:t>
      </w:r>
      <w:r w:rsidRPr="00F6324E">
        <w:rPr>
          <w:rtl/>
        </w:rPr>
        <w:t xml:space="preserve">של ענקיות </w:t>
      </w:r>
      <w:r w:rsidRPr="00F6324E">
        <w:rPr>
          <w:rFonts w:hint="cs"/>
          <w:rtl/>
        </w:rPr>
        <w:t>המרשתת (</w:t>
      </w:r>
      <w:r w:rsidRPr="00F6324E">
        <w:rPr>
          <w:rtl/>
        </w:rPr>
        <w:t>אינטרנט</w:t>
      </w:r>
      <w:r w:rsidRPr="00F6324E">
        <w:rPr>
          <w:rFonts w:hint="cs"/>
          <w:rtl/>
        </w:rPr>
        <w:t>),</w:t>
      </w:r>
      <w:r w:rsidRPr="00F6324E">
        <w:rPr>
          <w:rtl/>
        </w:rPr>
        <w:t xml:space="preserve"> </w:t>
      </w:r>
      <w:r w:rsidRPr="00F6324E">
        <w:rPr>
          <w:rFonts w:hint="cs"/>
          <w:rtl/>
        </w:rPr>
        <w:t>ה</w:t>
      </w:r>
      <w:r w:rsidRPr="00F6324E">
        <w:rPr>
          <w:rtl/>
        </w:rPr>
        <w:t xml:space="preserve">רשתות </w:t>
      </w:r>
      <w:r w:rsidRPr="00F6324E">
        <w:rPr>
          <w:rFonts w:hint="cs"/>
          <w:rtl/>
        </w:rPr>
        <w:t>ה</w:t>
      </w:r>
      <w:r w:rsidRPr="00F6324E">
        <w:rPr>
          <w:rtl/>
        </w:rPr>
        <w:t>חברתיות ו</w:t>
      </w:r>
      <w:r w:rsidRPr="00F6324E">
        <w:rPr>
          <w:rFonts w:hint="cs"/>
          <w:rtl/>
        </w:rPr>
        <w:t>ה</w:t>
      </w:r>
      <w:r w:rsidRPr="00F6324E">
        <w:rPr>
          <w:rtl/>
        </w:rPr>
        <w:t xml:space="preserve">פלטפורמות </w:t>
      </w:r>
      <w:r w:rsidRPr="00F6324E">
        <w:rPr>
          <w:rFonts w:hint="cs"/>
          <w:rtl/>
        </w:rPr>
        <w:t>ה</w:t>
      </w:r>
      <w:r w:rsidRPr="00F6324E">
        <w:rPr>
          <w:rtl/>
        </w:rPr>
        <w:t>דיגיטליות. מ</w:t>
      </w:r>
      <w:r w:rsidRPr="00F6324E">
        <w:rPr>
          <w:rFonts w:hint="cs"/>
          <w:rtl/>
        </w:rPr>
        <w:t>-</w:t>
      </w:r>
      <w:r w:rsidRPr="00F6324E">
        <w:rPr>
          <w:rtl/>
        </w:rPr>
        <w:t xml:space="preserve">2017 עד 2020 </w:t>
      </w:r>
      <w:r w:rsidRPr="00F6324E">
        <w:rPr>
          <w:rFonts w:hint="cs"/>
          <w:rtl/>
        </w:rPr>
        <w:t xml:space="preserve">עלה </w:t>
      </w:r>
      <w:r w:rsidRPr="00F6324E">
        <w:rPr>
          <w:rtl/>
        </w:rPr>
        <w:t>שיעור הפדיון הממוצע</w:t>
      </w:r>
      <w:r w:rsidRPr="00F6324E">
        <w:rPr>
          <w:rFonts w:hint="cs"/>
          <w:rtl/>
        </w:rPr>
        <w:t xml:space="preserve"> השנתי בעולם למשתמש</w:t>
      </w:r>
      <w:r w:rsidRPr="00F6324E">
        <w:rPr>
          <w:rtl/>
        </w:rPr>
        <w:t xml:space="preserve">, במסחר </w:t>
      </w:r>
      <w:r w:rsidRPr="00F6324E">
        <w:rPr>
          <w:rFonts w:hint="cs"/>
          <w:rtl/>
        </w:rPr>
        <w:t>ה</w:t>
      </w:r>
      <w:r w:rsidRPr="00F6324E">
        <w:rPr>
          <w:rtl/>
        </w:rPr>
        <w:t>מקוון, בכ-</w:t>
      </w:r>
      <w:r w:rsidRPr="00F6324E">
        <w:rPr>
          <w:rFonts w:hint="cs"/>
          <w:rtl/>
        </w:rPr>
        <w:t>1</w:t>
      </w:r>
      <w:r w:rsidRPr="00F6324E">
        <w:rPr>
          <w:rtl/>
        </w:rPr>
        <w:t>% בשנה, וב</w:t>
      </w:r>
      <w:r w:rsidRPr="00F6324E">
        <w:rPr>
          <w:rFonts w:hint="cs"/>
          <w:rtl/>
        </w:rPr>
        <w:t>-2021</w:t>
      </w:r>
      <w:r w:rsidRPr="00F6324E">
        <w:rPr>
          <w:rtl/>
        </w:rPr>
        <w:t xml:space="preserve"> </w:t>
      </w:r>
      <w:r w:rsidRPr="00F6324E">
        <w:rPr>
          <w:rFonts w:hint="cs"/>
          <w:rtl/>
        </w:rPr>
        <w:t>היה גובהו</w:t>
      </w:r>
      <w:r w:rsidRPr="00F6324E">
        <w:rPr>
          <w:rtl/>
        </w:rPr>
        <w:t xml:space="preserve"> כ-</w:t>
      </w:r>
      <w:r w:rsidRPr="00F6324E">
        <w:rPr>
          <w:rFonts w:hint="cs"/>
          <w:rtl/>
        </w:rPr>
        <w:t>1,000</w:t>
      </w:r>
      <w:r w:rsidRPr="00F6324E">
        <w:rPr>
          <w:rtl/>
        </w:rPr>
        <w:t xml:space="preserve"> דולר. ב</w:t>
      </w:r>
      <w:r w:rsidRPr="00F6324E">
        <w:rPr>
          <w:rFonts w:hint="cs"/>
          <w:rtl/>
        </w:rPr>
        <w:t>-</w:t>
      </w:r>
      <w:r w:rsidRPr="00F6324E">
        <w:rPr>
          <w:rtl/>
        </w:rPr>
        <w:t xml:space="preserve">2025 </w:t>
      </w:r>
      <w:r w:rsidRPr="00F6324E">
        <w:rPr>
          <w:rFonts w:hint="cs"/>
          <w:rtl/>
        </w:rPr>
        <w:t xml:space="preserve">הוא </w:t>
      </w:r>
      <w:r w:rsidRPr="00F6324E">
        <w:rPr>
          <w:rtl/>
        </w:rPr>
        <w:t xml:space="preserve">צפוי </w:t>
      </w:r>
      <w:r w:rsidRPr="00F6324E">
        <w:rPr>
          <w:rFonts w:hint="cs"/>
          <w:rtl/>
        </w:rPr>
        <w:t xml:space="preserve">לעמוד על </w:t>
      </w:r>
      <w:r w:rsidRPr="00F6324E">
        <w:rPr>
          <w:rtl/>
        </w:rPr>
        <w:t>כ-</w:t>
      </w:r>
      <w:r w:rsidRPr="00F6324E">
        <w:rPr>
          <w:rFonts w:hint="cs"/>
          <w:rtl/>
        </w:rPr>
        <w:t>1,174</w:t>
      </w:r>
      <w:r w:rsidRPr="00F6324E">
        <w:rPr>
          <w:rtl/>
        </w:rPr>
        <w:t xml:space="preserve"> דולר. הפדיון הממוצע </w:t>
      </w:r>
      <w:r w:rsidRPr="00F6324E">
        <w:rPr>
          <w:rFonts w:hint="cs"/>
          <w:rtl/>
        </w:rPr>
        <w:t xml:space="preserve">השנתי </w:t>
      </w:r>
      <w:r w:rsidRPr="00F6324E">
        <w:rPr>
          <w:rtl/>
        </w:rPr>
        <w:t>במסחר המקוון למשתמש בישראל צפוי לעלות מכ-</w:t>
      </w:r>
      <w:r w:rsidRPr="00F6324E">
        <w:rPr>
          <w:rFonts w:hint="cs"/>
          <w:rtl/>
        </w:rPr>
        <w:t>1,101</w:t>
      </w:r>
      <w:r w:rsidRPr="00F6324E">
        <w:rPr>
          <w:rtl/>
        </w:rPr>
        <w:t xml:space="preserve"> דולר ב</w:t>
      </w:r>
      <w:r w:rsidRPr="00F6324E">
        <w:rPr>
          <w:rFonts w:hint="cs"/>
          <w:rtl/>
        </w:rPr>
        <w:t>-</w:t>
      </w:r>
      <w:r w:rsidRPr="00F6324E">
        <w:rPr>
          <w:rtl/>
        </w:rPr>
        <w:t>2017 לכ-</w:t>
      </w:r>
      <w:r w:rsidRPr="00F6324E">
        <w:rPr>
          <w:rFonts w:hint="cs"/>
          <w:rtl/>
        </w:rPr>
        <w:t>2,311</w:t>
      </w:r>
      <w:r w:rsidRPr="00F6324E">
        <w:rPr>
          <w:rtl/>
        </w:rPr>
        <w:t xml:space="preserve"> דולר</w:t>
      </w:r>
      <w:r w:rsidRPr="00F6324E">
        <w:rPr>
          <w:rFonts w:hint="cs"/>
          <w:rtl/>
        </w:rPr>
        <w:t xml:space="preserve"> </w:t>
      </w:r>
      <w:r w:rsidRPr="00F6324E">
        <w:rPr>
          <w:rFonts w:hint="eastAsia"/>
          <w:rtl/>
        </w:rPr>
        <w:t>ב</w:t>
      </w:r>
      <w:r w:rsidRPr="00F6324E">
        <w:rPr>
          <w:rtl/>
        </w:rPr>
        <w:t>-</w:t>
      </w:r>
      <w:r w:rsidRPr="00F6324E">
        <w:rPr>
          <w:rFonts w:hint="cs"/>
          <w:rtl/>
        </w:rPr>
        <w:t>2025</w:t>
      </w:r>
      <w:r w:rsidRPr="00F6324E">
        <w:rPr>
          <w:rtl/>
        </w:rPr>
        <w:t>.</w:t>
      </w:r>
      <w:r w:rsidRPr="00F6324E">
        <w:rPr>
          <w:rFonts w:hint="cs"/>
          <w:rtl/>
        </w:rPr>
        <w:t xml:space="preserve"> </w:t>
      </w:r>
      <w:r w:rsidRPr="00F6324E">
        <w:rPr>
          <w:rtl/>
        </w:rPr>
        <w:t>שיעור השימוש ברכישה מקוונת</w:t>
      </w:r>
      <w:r w:rsidRPr="00F6324E">
        <w:rPr>
          <w:rFonts w:hint="cs"/>
          <w:rtl/>
        </w:rPr>
        <w:t>,</w:t>
      </w:r>
      <w:r w:rsidRPr="00F6324E">
        <w:rPr>
          <w:rtl/>
        </w:rPr>
        <w:t xml:space="preserve"> </w:t>
      </w:r>
      <w:r w:rsidRPr="00F6324E">
        <w:rPr>
          <w:rFonts w:hint="cs"/>
          <w:rtl/>
        </w:rPr>
        <w:t>ש</w:t>
      </w:r>
      <w:r w:rsidRPr="00F6324E">
        <w:rPr>
          <w:rtl/>
        </w:rPr>
        <w:t>עמד על כ-28%</w:t>
      </w:r>
      <w:r w:rsidRPr="00F6324E">
        <w:rPr>
          <w:rFonts w:hint="cs"/>
          <w:rtl/>
        </w:rPr>
        <w:t xml:space="preserve"> ב-2017,</w:t>
      </w:r>
      <w:r w:rsidRPr="00F6324E">
        <w:rPr>
          <w:rtl/>
        </w:rPr>
        <w:t xml:space="preserve"> </w:t>
      </w:r>
      <w:r w:rsidRPr="00F6324E">
        <w:rPr>
          <w:rFonts w:hint="cs"/>
          <w:rtl/>
        </w:rPr>
        <w:t xml:space="preserve">עלה </w:t>
      </w:r>
      <w:r w:rsidRPr="00F6324E">
        <w:rPr>
          <w:rtl/>
        </w:rPr>
        <w:t>ב</w:t>
      </w:r>
      <w:r w:rsidRPr="00F6324E">
        <w:rPr>
          <w:rFonts w:hint="cs"/>
          <w:rtl/>
        </w:rPr>
        <w:t>-</w:t>
      </w:r>
      <w:r w:rsidRPr="00F6324E">
        <w:rPr>
          <w:rtl/>
        </w:rPr>
        <w:t>2020 לכ-45%.</w:t>
      </w:r>
      <w:r w:rsidRPr="00F6324E">
        <w:rPr>
          <w:rFonts w:hint="eastAsia"/>
          <w:rtl/>
        </w:rPr>
        <w:t xml:space="preserve"> בשנת</w:t>
      </w:r>
      <w:r w:rsidRPr="00F6324E">
        <w:rPr>
          <w:rtl/>
        </w:rPr>
        <w:t xml:space="preserve"> 2022 בוטל הפטור </w:t>
      </w:r>
      <w:r w:rsidRPr="00F6324E">
        <w:rPr>
          <w:rtl/>
        </w:rPr>
        <w:t>ממע"</w:t>
      </w:r>
      <w:r w:rsidRPr="00F6324E">
        <w:rPr>
          <w:rFonts w:hint="eastAsia"/>
          <w:rtl/>
        </w:rPr>
        <w:t>ם</w:t>
      </w:r>
      <w:r w:rsidRPr="00F6324E">
        <w:rPr>
          <w:rtl/>
        </w:rPr>
        <w:t xml:space="preserve"> </w:t>
      </w:r>
      <w:r w:rsidRPr="00F6324E">
        <w:rPr>
          <w:rFonts w:hint="eastAsia"/>
          <w:rtl/>
        </w:rPr>
        <w:t>על</w:t>
      </w:r>
      <w:r w:rsidRPr="00F6324E">
        <w:rPr>
          <w:rtl/>
        </w:rPr>
        <w:t xml:space="preserve"> יבוא אישי במדינות האיחוד האירופי </w:t>
      </w:r>
      <w:hyperlink r:id="rId20" w:history="1">
        <w:r w:rsidRPr="00F6324E">
          <w:rPr>
            <w:rFonts w:hint="eastAsia"/>
            <w:rtl/>
          </w:rPr>
          <w:t>ובאוסטרליה</w:t>
        </w:r>
        <w:r w:rsidRPr="00F6324E">
          <w:rPr>
            <w:rtl/>
          </w:rPr>
          <w:t>.</w:t>
        </w:r>
      </w:hyperlink>
      <w:r w:rsidRPr="00F6324E">
        <w:rPr>
          <w:rtl/>
        </w:rPr>
        <w:t xml:space="preserve"> בארה"</w:t>
      </w:r>
      <w:hyperlink r:id="rId21" w:history="1">
        <w:r w:rsidRPr="00F6324E">
          <w:rPr>
            <w:rtl/>
          </w:rPr>
          <w:t xml:space="preserve">ב הפטור </w:t>
        </w:r>
        <w:r w:rsidRPr="00F6324E">
          <w:rPr>
            <w:rtl/>
          </w:rPr>
          <w:t>ממע"</w:t>
        </w:r>
        <w:r w:rsidRPr="00F6324E">
          <w:rPr>
            <w:rFonts w:hint="eastAsia"/>
            <w:rtl/>
          </w:rPr>
          <w:t>ם</w:t>
        </w:r>
        <w:r w:rsidRPr="00F6324E">
          <w:rPr>
            <w:rtl/>
          </w:rPr>
          <w:t xml:space="preserve"> ומכס עומד על 800 דולר</w:t>
        </w:r>
      </w:hyperlink>
      <w:r w:rsidRPr="00F6324E">
        <w:rPr>
          <w:rtl/>
        </w:rPr>
        <w:t>. בישראל, משלוח המכיל סחורות שערכן הכולל עד 75 דולר פטור לחלוטין ממיסי יבוא, ובסכומים גבוהים יותר המיסוי מדורג.</w:t>
      </w:r>
    </w:p>
    <w:p w:rsidR="002D5FD5" w:rsidRPr="00F6324E" w:rsidP="00583CB8" w14:paraId="55B42B6B" w14:textId="77777777">
      <w:pPr>
        <w:pStyle w:val="7392"/>
        <w:rPr>
          <w:rtl/>
        </w:rPr>
      </w:pPr>
      <w:r w:rsidRPr="00F6324E">
        <w:rPr>
          <w:rFonts w:hint="cs"/>
          <w:rtl/>
        </w:rPr>
        <w:t>ל</w:t>
      </w:r>
      <w:r w:rsidRPr="00F6324E">
        <w:rPr>
          <w:rtl/>
        </w:rPr>
        <w:t xml:space="preserve">כלכלה הדיגיטלית </w:t>
      </w:r>
      <w:r w:rsidRPr="00F6324E">
        <w:rPr>
          <w:rFonts w:hint="cs"/>
          <w:rtl/>
        </w:rPr>
        <w:t>השלכות</w:t>
      </w:r>
      <w:r w:rsidRPr="00F6324E">
        <w:rPr>
          <w:rtl/>
        </w:rPr>
        <w:t xml:space="preserve"> </w:t>
      </w:r>
      <w:r w:rsidRPr="00F6324E">
        <w:rPr>
          <w:rFonts w:hint="cs"/>
          <w:rtl/>
        </w:rPr>
        <w:t>חשובות</w:t>
      </w:r>
      <w:r w:rsidRPr="00F6324E">
        <w:rPr>
          <w:rtl/>
        </w:rPr>
        <w:t xml:space="preserve"> </w:t>
      </w:r>
      <w:r w:rsidRPr="00F6324E">
        <w:rPr>
          <w:rFonts w:hint="cs"/>
          <w:rtl/>
        </w:rPr>
        <w:t xml:space="preserve">לנוכח </w:t>
      </w:r>
      <w:r w:rsidRPr="00F6324E">
        <w:rPr>
          <w:rtl/>
        </w:rPr>
        <w:t>התמורות ה</w:t>
      </w:r>
      <w:r w:rsidRPr="00F6324E">
        <w:rPr>
          <w:rFonts w:hint="cs"/>
          <w:rtl/>
        </w:rPr>
        <w:t>גדולות</w:t>
      </w:r>
      <w:r w:rsidRPr="00F6324E">
        <w:rPr>
          <w:rtl/>
        </w:rPr>
        <w:t xml:space="preserve"> שהתרחשו בעולמות המסחר והצרכנות, בשירותים דיגיטליים, במנועי חיפוש, ברשתות חברתיות, בשירותי ענן ועוד</w:t>
      </w:r>
      <w:r w:rsidRPr="00F6324E">
        <w:rPr>
          <w:rFonts w:hint="cs"/>
          <w:rtl/>
        </w:rPr>
        <w:t>, ולנוכח איסוף</w:t>
      </w:r>
      <w:r w:rsidRPr="00F6324E">
        <w:rPr>
          <w:rtl/>
        </w:rPr>
        <w:t xml:space="preserve"> </w:t>
      </w:r>
      <w:r w:rsidRPr="00F6324E">
        <w:rPr>
          <w:rFonts w:hint="cs"/>
          <w:rtl/>
        </w:rPr>
        <w:t>ה</w:t>
      </w:r>
      <w:r w:rsidRPr="00F6324E">
        <w:rPr>
          <w:rtl/>
        </w:rPr>
        <w:t xml:space="preserve">מידע על הרגלי צריכה והעדפות של צרכנים. כל אלה מציבים אתגרים לאומיים וגלובליים </w:t>
      </w:r>
      <w:r w:rsidRPr="00F6324E">
        <w:rPr>
          <w:rFonts w:hint="cs"/>
          <w:rtl/>
        </w:rPr>
        <w:t>ניכרים</w:t>
      </w:r>
      <w:r w:rsidRPr="00F6324E">
        <w:rPr>
          <w:rtl/>
        </w:rPr>
        <w:t>, המחייבים בחינה מחודשת של האסדרה הקיימת, וכן פיתוח ושילוב של כלי</w:t>
      </w:r>
      <w:r w:rsidRPr="00F6324E">
        <w:rPr>
          <w:rFonts w:hint="cs"/>
          <w:rtl/>
        </w:rPr>
        <w:t>ם מתקדמים</w:t>
      </w:r>
      <w:r w:rsidRPr="00F6324E">
        <w:rPr>
          <w:rtl/>
        </w:rPr>
        <w:t xml:space="preserve"> </w:t>
      </w:r>
      <w:r w:rsidRPr="00F6324E">
        <w:rPr>
          <w:rFonts w:hint="cs"/>
          <w:rtl/>
        </w:rPr>
        <w:t>ל</w:t>
      </w:r>
      <w:r w:rsidRPr="00F6324E">
        <w:rPr>
          <w:rtl/>
        </w:rPr>
        <w:t>ניתוח ואכיפה.</w:t>
      </w:r>
    </w:p>
    <w:p w:rsidR="002D5FD5" w:rsidRPr="00F6324E" w:rsidP="00583CB8" w14:paraId="7BF27A10" w14:textId="77777777">
      <w:pPr>
        <w:pStyle w:val="7392"/>
        <w:rPr>
          <w:rtl/>
        </w:rPr>
      </w:pPr>
      <w:r w:rsidRPr="00F6324E">
        <w:rPr>
          <w:rFonts w:hint="cs"/>
          <w:rtl/>
        </w:rPr>
        <w:t xml:space="preserve">בשנת </w:t>
      </w:r>
      <w:r w:rsidRPr="00F6324E">
        <w:rPr>
          <w:rtl/>
        </w:rPr>
        <w:t xml:space="preserve">2018 פרסם משרד מבקר </w:t>
      </w:r>
      <w:r w:rsidRPr="00021493">
        <w:rPr>
          <w:color w:val="000000" w:themeColor="text1"/>
          <w:rtl/>
        </w:rPr>
        <w:t xml:space="preserve">המדינה </w:t>
      </w:r>
      <w:r w:rsidRPr="00142230">
        <w:rPr>
          <w:color w:val="000000" w:themeColor="text1"/>
          <w:rtl/>
        </w:rPr>
        <w:t xml:space="preserve">דוח בנושא </w:t>
      </w:r>
      <w:hyperlink r:id="rId22" w:history="1">
        <w:r w:rsidRPr="00142230">
          <w:rPr>
            <w:color w:val="000000" w:themeColor="text1"/>
            <w:rtl/>
          </w:rPr>
          <w:t>התמודדות הממשלה עם הגידול במסחר המקוון</w:t>
        </w:r>
      </w:hyperlink>
      <w:r w:rsidRPr="00021493">
        <w:rPr>
          <w:color w:val="000000" w:themeColor="text1"/>
          <w:rtl/>
        </w:rPr>
        <w:t xml:space="preserve"> (</w:t>
      </w:r>
      <w:r w:rsidRPr="00021493">
        <w:rPr>
          <w:rFonts w:hint="cs"/>
          <w:color w:val="000000" w:themeColor="text1"/>
          <w:rtl/>
        </w:rPr>
        <w:t xml:space="preserve">להלן - </w:t>
      </w:r>
      <w:r w:rsidRPr="00021493">
        <w:rPr>
          <w:color w:val="000000" w:themeColor="text1"/>
          <w:rtl/>
        </w:rPr>
        <w:t>הדוח הקודם)</w:t>
      </w:r>
      <w:r>
        <w:rPr>
          <w:color w:val="000000" w:themeColor="text1"/>
          <w:vertAlign w:val="superscript"/>
          <w:rtl/>
        </w:rPr>
        <w:footnoteReference w:id="2"/>
      </w:r>
      <w:r w:rsidRPr="00021493">
        <w:rPr>
          <w:color w:val="000000" w:themeColor="text1"/>
          <w:rtl/>
        </w:rPr>
        <w:t xml:space="preserve">. </w:t>
      </w:r>
      <w:r w:rsidRPr="00021493">
        <w:rPr>
          <w:rFonts w:hint="cs"/>
          <w:color w:val="000000" w:themeColor="text1"/>
          <w:rtl/>
        </w:rPr>
        <w:t xml:space="preserve">הדוח העלה ליקויים בהתמודדות הממשלה עם נושא זה, ובהם: </w:t>
      </w:r>
      <w:r w:rsidRPr="00021493">
        <w:rPr>
          <w:color w:val="000000" w:themeColor="text1"/>
          <w:rtl/>
        </w:rPr>
        <w:t xml:space="preserve">הרשויות המוסמכות </w:t>
      </w:r>
      <w:r w:rsidRPr="00021493">
        <w:rPr>
          <w:rFonts w:hint="cs"/>
          <w:color w:val="000000" w:themeColor="text1"/>
          <w:rtl/>
        </w:rPr>
        <w:t>טרם</w:t>
      </w:r>
      <w:r w:rsidRPr="00021493">
        <w:rPr>
          <w:color w:val="000000" w:themeColor="text1"/>
          <w:rtl/>
        </w:rPr>
        <w:t xml:space="preserve"> השלימו שינויי אסדר</w:t>
      </w:r>
      <w:r w:rsidRPr="00021493">
        <w:rPr>
          <w:rFonts w:hint="cs"/>
          <w:color w:val="000000" w:themeColor="text1"/>
          <w:rtl/>
        </w:rPr>
        <w:t>ה</w:t>
      </w:r>
      <w:r w:rsidRPr="00021493">
        <w:rPr>
          <w:color w:val="000000" w:themeColor="text1"/>
          <w:rtl/>
        </w:rPr>
        <w:t xml:space="preserve"> הנוגעים </w:t>
      </w:r>
      <w:r w:rsidRPr="00F6324E">
        <w:rPr>
          <w:rtl/>
        </w:rPr>
        <w:t xml:space="preserve">ליבוא אישי ולחוקיות היבוא, וצו יבוא </w:t>
      </w:r>
      <w:r w:rsidRPr="00F6324E">
        <w:rPr>
          <w:rFonts w:hint="cs"/>
          <w:rtl/>
        </w:rPr>
        <w:t>אישי</w:t>
      </w:r>
      <w:r w:rsidRPr="00F6324E">
        <w:rPr>
          <w:rtl/>
        </w:rPr>
        <w:t xml:space="preserve"> לא תוקן באופן ש</w:t>
      </w:r>
      <w:r w:rsidRPr="00F6324E">
        <w:rPr>
          <w:rFonts w:hint="cs"/>
          <w:rtl/>
        </w:rPr>
        <w:t>יקל יבוא מסוג זה;</w:t>
      </w:r>
      <w:r w:rsidRPr="00F6324E">
        <w:rPr>
          <w:rtl/>
        </w:rPr>
        <w:t xml:space="preserve"> לרשות להגנת הפרטיות</w:t>
      </w:r>
      <w:r w:rsidRPr="00F6324E">
        <w:rPr>
          <w:rFonts w:hint="cs"/>
          <w:rtl/>
        </w:rPr>
        <w:t xml:space="preserve"> במשרד המשפטים</w:t>
      </w:r>
      <w:r w:rsidRPr="00F6324E">
        <w:rPr>
          <w:rtl/>
        </w:rPr>
        <w:t xml:space="preserve"> לא היה פתרון טכנולוגי המאפשר שליפה אוטומטית של נתונים על סעיפי החוק שבגינם נקבעו הפרות בתיקי האכיפה ועל היקף השימוש ש</w:t>
      </w:r>
      <w:r w:rsidRPr="00F6324E">
        <w:rPr>
          <w:rFonts w:hint="cs"/>
          <w:rtl/>
        </w:rPr>
        <w:t>ל</w:t>
      </w:r>
      <w:r w:rsidRPr="00F6324E">
        <w:rPr>
          <w:rtl/>
        </w:rPr>
        <w:t>ה בסמכותה להטיל קנס כספי על המפ</w:t>
      </w:r>
      <w:r w:rsidRPr="00F6324E">
        <w:rPr>
          <w:rFonts w:hint="cs"/>
          <w:rtl/>
        </w:rPr>
        <w:t>י</w:t>
      </w:r>
      <w:r w:rsidRPr="00F6324E">
        <w:rPr>
          <w:rtl/>
        </w:rPr>
        <w:t>רים</w:t>
      </w:r>
      <w:r w:rsidRPr="00F6324E">
        <w:rPr>
          <w:rFonts w:hint="cs"/>
          <w:rtl/>
        </w:rPr>
        <w:t>;</w:t>
      </w:r>
      <w:r w:rsidRPr="00F6324E">
        <w:rPr>
          <w:rtl/>
        </w:rPr>
        <w:t xml:space="preserve"> </w:t>
      </w:r>
      <w:r w:rsidRPr="00F6324E">
        <w:rPr>
          <w:rFonts w:hint="cs"/>
          <w:rtl/>
        </w:rPr>
        <w:t>ו</w:t>
      </w:r>
      <w:r w:rsidRPr="00F6324E">
        <w:rPr>
          <w:rtl/>
        </w:rPr>
        <w:t xml:space="preserve">משרד החינוך לא </w:t>
      </w:r>
      <w:r w:rsidRPr="00F6324E">
        <w:rPr>
          <w:rFonts w:hint="cs"/>
          <w:rtl/>
        </w:rPr>
        <w:t>לימד</w:t>
      </w:r>
      <w:r w:rsidRPr="00F6324E">
        <w:rPr>
          <w:rtl/>
        </w:rPr>
        <w:t xml:space="preserve"> בבתי ספר יסודיים ועל-יסודיים תוכניות לחינוך פיננסי ו</w:t>
      </w:r>
      <w:r w:rsidRPr="00F6324E">
        <w:rPr>
          <w:rFonts w:hint="cs"/>
          <w:rtl/>
        </w:rPr>
        <w:t>ל</w:t>
      </w:r>
      <w:r w:rsidRPr="00F6324E">
        <w:rPr>
          <w:rtl/>
        </w:rPr>
        <w:t xml:space="preserve">צרכנות נבונה במרשתת. </w:t>
      </w:r>
    </w:p>
    <w:p w:rsidR="007F4A20" w:rsidP="00583CB8" w14:paraId="0B41EED6" w14:textId="2B47D41A">
      <w:pPr>
        <w:pStyle w:val="7392"/>
        <w:rPr>
          <w:rtl/>
        </w:rPr>
      </w:pPr>
      <w:r w:rsidRPr="00F6324E">
        <w:rPr>
          <w:rFonts w:hint="eastAsia"/>
          <w:rtl/>
        </w:rPr>
        <w:t>דוח</w:t>
      </w:r>
      <w:r w:rsidRPr="00F6324E">
        <w:rPr>
          <w:rtl/>
        </w:rPr>
        <w:t xml:space="preserve"> </w:t>
      </w:r>
      <w:r w:rsidRPr="00F6324E">
        <w:rPr>
          <w:rFonts w:hint="eastAsia"/>
          <w:rtl/>
        </w:rPr>
        <w:t>זה</w:t>
      </w:r>
      <w:r w:rsidRPr="00F6324E">
        <w:rPr>
          <w:rtl/>
        </w:rPr>
        <w:t xml:space="preserve"> </w:t>
      </w:r>
      <w:r w:rsidRPr="00F6324E">
        <w:rPr>
          <w:rFonts w:hint="eastAsia"/>
          <w:rtl/>
        </w:rPr>
        <w:t>עוקב</w:t>
      </w:r>
      <w:r w:rsidRPr="00F6324E">
        <w:rPr>
          <w:rtl/>
        </w:rPr>
        <w:t xml:space="preserve"> </w:t>
      </w:r>
      <w:r w:rsidRPr="00F6324E">
        <w:rPr>
          <w:rFonts w:hint="eastAsia"/>
          <w:rtl/>
        </w:rPr>
        <w:t>אחר</w:t>
      </w:r>
      <w:r w:rsidRPr="00F6324E">
        <w:rPr>
          <w:rtl/>
        </w:rPr>
        <w:t xml:space="preserve"> </w:t>
      </w:r>
      <w:r w:rsidRPr="00F6324E">
        <w:rPr>
          <w:rFonts w:hint="eastAsia"/>
          <w:rtl/>
        </w:rPr>
        <w:t>תיקון</w:t>
      </w:r>
      <w:r w:rsidRPr="00F6324E">
        <w:rPr>
          <w:rtl/>
        </w:rPr>
        <w:t xml:space="preserve"> </w:t>
      </w:r>
      <w:r w:rsidRPr="00F6324E">
        <w:rPr>
          <w:rFonts w:hint="eastAsia"/>
          <w:rtl/>
        </w:rPr>
        <w:t>הליקויים</w:t>
      </w:r>
      <w:r w:rsidRPr="00F6324E">
        <w:rPr>
          <w:rtl/>
        </w:rPr>
        <w:t xml:space="preserve"> </w:t>
      </w:r>
      <w:r w:rsidRPr="00F6324E">
        <w:rPr>
          <w:rFonts w:hint="eastAsia"/>
          <w:rtl/>
        </w:rPr>
        <w:t>שעלו</w:t>
      </w:r>
      <w:r w:rsidRPr="00F6324E">
        <w:rPr>
          <w:rtl/>
        </w:rPr>
        <w:t xml:space="preserve"> </w:t>
      </w:r>
      <w:r w:rsidRPr="00F6324E">
        <w:rPr>
          <w:rFonts w:hint="eastAsia"/>
          <w:rtl/>
        </w:rPr>
        <w:t>בדוח</w:t>
      </w:r>
      <w:r w:rsidRPr="00F6324E">
        <w:rPr>
          <w:rtl/>
        </w:rPr>
        <w:t xml:space="preserve"> </w:t>
      </w:r>
      <w:r w:rsidRPr="00F6324E">
        <w:rPr>
          <w:rFonts w:hint="eastAsia"/>
          <w:rtl/>
        </w:rPr>
        <w:t>הקודם</w:t>
      </w:r>
      <w:r w:rsidRPr="00F6324E">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237"/>
        <w:gridCol w:w="1530"/>
        <w:gridCol w:w="237"/>
        <w:gridCol w:w="1697"/>
        <w:gridCol w:w="268"/>
        <w:gridCol w:w="1686"/>
      </w:tblGrid>
      <w:tr w14:paraId="58B4726B" w14:textId="77777777" w:rsidTr="009F3C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3" w:type="pct"/>
            <w:tcBorders>
              <w:bottom w:val="single" w:sz="12" w:space="0" w:color="000000"/>
            </w:tcBorders>
            <w:vAlign w:val="bottom"/>
          </w:tcPr>
          <w:p w:rsidR="00420374" w:rsidRPr="004562F8" w:rsidP="009F3C20" w14:paraId="23EB689E" w14:textId="7B350A5E">
            <w:pPr>
              <w:spacing w:after="60" w:line="240" w:lineRule="auto"/>
              <w:jc w:val="left"/>
              <w:rPr>
                <w:b/>
                <w:bCs/>
                <w:spacing w:val="-28"/>
                <w:rtl/>
              </w:rPr>
            </w:pPr>
            <w:r>
              <w:rPr>
                <w:rFonts w:ascii="Tahoma" w:hAnsi="Tahoma" w:eastAsiaTheme="minorEastAsia" w:cs="Tahoma" w:hint="cs"/>
                <w:b/>
                <w:bCs/>
                <w:color w:val="0D0D0D" w:themeColor="text1" w:themeTint="F2"/>
                <w:spacing w:val="-10"/>
                <w:sz w:val="36"/>
                <w:szCs w:val="36"/>
                <w:rtl/>
              </w:rPr>
              <w:t>5</w:t>
            </w:r>
            <w:r>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hint="cs"/>
                <w:b/>
                <w:bCs/>
                <w:color w:val="0D0D0D" w:themeColor="text1" w:themeTint="F2"/>
                <w:spacing w:val="-10"/>
                <w:sz w:val="26"/>
                <w:szCs w:val="26"/>
                <w:rtl/>
              </w:rPr>
              <w:t>מיליארד ש״ח</w:t>
            </w:r>
          </w:p>
        </w:tc>
        <w:tc>
          <w:tcPr>
            <w:tcW w:w="161" w:type="pct"/>
            <w:vAlign w:val="bottom"/>
          </w:tcPr>
          <w:p w:rsidR="00420374" w:rsidP="00937056" w14:paraId="19192EA5" w14:textId="77777777">
            <w:pPr>
              <w:spacing w:before="120" w:after="60" w:line="240" w:lineRule="auto"/>
              <w:rPr>
                <w:rtl/>
              </w:rPr>
            </w:pPr>
          </w:p>
        </w:tc>
        <w:tc>
          <w:tcPr>
            <w:tcW w:w="1038" w:type="pct"/>
            <w:tcBorders>
              <w:bottom w:val="single" w:sz="12" w:space="0" w:color="000000"/>
            </w:tcBorders>
            <w:vAlign w:val="bottom"/>
          </w:tcPr>
          <w:p w:rsidR="00420374" w:rsidRPr="005C7ABF" w:rsidP="00937056" w14:paraId="761F4116" w14:textId="43019C6B">
            <w:pPr>
              <w:pStyle w:val="2021"/>
              <w:spacing w:before="0" w:after="60"/>
              <w:rPr>
                <w:spacing w:val="-10"/>
                <w:rtl/>
              </w:rPr>
            </w:pPr>
            <w:r>
              <w:rPr>
                <w:rFonts w:hint="cs"/>
                <w:spacing w:val="-10"/>
                <w:rtl/>
              </w:rPr>
              <w:t>12</w:t>
            </w:r>
            <w:r>
              <w:rPr>
                <w:rFonts w:hint="cs"/>
                <w:spacing w:val="-10"/>
                <w:rtl/>
              </w:rPr>
              <w:t xml:space="preserve"> </w:t>
            </w:r>
            <w:r w:rsidRPr="00411396">
              <w:rPr>
                <w:rFonts w:hint="cs"/>
                <w:spacing w:val="-10"/>
                <w:sz w:val="26"/>
                <w:szCs w:val="26"/>
                <w:rtl/>
              </w:rPr>
              <w:t>מיליארד ש״ח</w:t>
            </w:r>
          </w:p>
        </w:tc>
        <w:tc>
          <w:tcPr>
            <w:tcW w:w="161" w:type="pct"/>
            <w:vAlign w:val="bottom"/>
          </w:tcPr>
          <w:p w:rsidR="00420374" w:rsidP="00937056" w14:paraId="2810DE55" w14:textId="77777777">
            <w:pPr>
              <w:spacing w:before="120" w:after="60" w:line="240" w:lineRule="auto"/>
              <w:rPr>
                <w:rtl/>
              </w:rPr>
            </w:pPr>
          </w:p>
        </w:tc>
        <w:tc>
          <w:tcPr>
            <w:tcW w:w="1151" w:type="pct"/>
            <w:tcBorders>
              <w:bottom w:val="single" w:sz="12" w:space="0" w:color="000000"/>
            </w:tcBorders>
            <w:vAlign w:val="bottom"/>
          </w:tcPr>
          <w:p w:rsidR="00420374" w:rsidRPr="00340353" w:rsidP="00937056" w14:paraId="2A2E27BD" w14:textId="2C51FD66">
            <w:pPr>
              <w:pStyle w:val="2021"/>
              <w:spacing w:before="0" w:after="60"/>
              <w:rPr>
                <w:b w:val="0"/>
                <w:bCs w:val="0"/>
                <w:spacing w:val="-20"/>
                <w:sz w:val="24"/>
                <w:rtl/>
              </w:rPr>
            </w:pPr>
            <w:r>
              <w:rPr>
                <w:rFonts w:hint="cs"/>
                <w:spacing w:val="-10"/>
                <w:rtl/>
              </w:rPr>
              <w:t>53</w:t>
            </w:r>
            <w:r>
              <w:rPr>
                <w:rFonts w:hint="cs"/>
                <w:spacing w:val="-10"/>
                <w:rtl/>
              </w:rPr>
              <w:t xml:space="preserve">% </w:t>
            </w:r>
          </w:p>
        </w:tc>
        <w:tc>
          <w:tcPr>
            <w:tcW w:w="182" w:type="pct"/>
          </w:tcPr>
          <w:p w:rsidR="00420374" w:rsidP="00937056" w14:paraId="47B754BA" w14:textId="77777777">
            <w:pPr>
              <w:pStyle w:val="2021"/>
              <w:spacing w:before="0" w:after="60"/>
              <w:rPr>
                <w:spacing w:val="-10"/>
                <w:rtl/>
              </w:rPr>
            </w:pPr>
          </w:p>
        </w:tc>
        <w:tc>
          <w:tcPr>
            <w:tcW w:w="1145" w:type="pct"/>
            <w:tcBorders>
              <w:bottom w:val="single" w:sz="12" w:space="0" w:color="000000"/>
            </w:tcBorders>
            <w:vAlign w:val="bottom"/>
          </w:tcPr>
          <w:p w:rsidR="00420374" w:rsidP="00937056" w14:paraId="5F3A3FF5" w14:textId="5B12B346">
            <w:pPr>
              <w:pStyle w:val="2021"/>
              <w:spacing w:before="0" w:after="60"/>
              <w:rPr>
                <w:spacing w:val="-10"/>
                <w:rtl/>
              </w:rPr>
            </w:pPr>
            <w:r>
              <w:rPr>
                <w:rFonts w:hint="cs"/>
                <w:spacing w:val="-10"/>
                <w:rtl/>
              </w:rPr>
              <w:t>59</w:t>
            </w:r>
            <w:r>
              <w:rPr>
                <w:rFonts w:hint="cs"/>
                <w:spacing w:val="-10"/>
                <w:rtl/>
              </w:rPr>
              <w:t xml:space="preserve">% </w:t>
            </w:r>
          </w:p>
        </w:tc>
      </w:tr>
      <w:tr w14:paraId="6DFAF81C" w14:textId="77777777" w:rsidTr="009F3C20">
        <w:tblPrEx>
          <w:tblW w:w="5000" w:type="pct"/>
          <w:tblLook w:val="04A0"/>
        </w:tblPrEx>
        <w:tc>
          <w:tcPr>
            <w:tcW w:w="1163" w:type="pct"/>
            <w:tcBorders>
              <w:top w:val="single" w:sz="12" w:space="0" w:color="000000"/>
            </w:tcBorders>
          </w:tcPr>
          <w:p w:rsidR="00420374" w:rsidRPr="00E52143" w:rsidP="00937056" w14:paraId="1D96599A" w14:textId="1C9D9C42">
            <w:pPr>
              <w:pStyle w:val="732021"/>
              <w:spacing w:before="0"/>
              <w:rPr>
                <w:rtl/>
              </w:rPr>
            </w:pPr>
            <w:r w:rsidRPr="00F6324E">
              <w:rPr>
                <w:rFonts w:hint="cs"/>
                <w:rtl/>
              </w:rPr>
              <w:t>ה</w:t>
            </w:r>
            <w:r w:rsidRPr="00F6324E">
              <w:rPr>
                <w:rtl/>
              </w:rPr>
              <w:t>הכנסות מהמסחר המקוון בישראל</w:t>
            </w:r>
            <w:r w:rsidRPr="00F6324E">
              <w:rPr>
                <w:rFonts w:hint="cs"/>
                <w:rtl/>
              </w:rPr>
              <w:t xml:space="preserve"> ב</w:t>
            </w:r>
            <w:r w:rsidRPr="00F6324E">
              <w:rPr>
                <w:rtl/>
              </w:rPr>
              <w:t>-</w:t>
            </w:r>
            <w:r w:rsidRPr="00F6324E">
              <w:rPr>
                <w:rFonts w:hint="cs"/>
                <w:rtl/>
              </w:rPr>
              <w:t>2020</w:t>
            </w:r>
          </w:p>
        </w:tc>
        <w:tc>
          <w:tcPr>
            <w:tcW w:w="161" w:type="pct"/>
          </w:tcPr>
          <w:p w:rsidR="00420374" w:rsidRPr="00E52143" w:rsidP="00937056" w14:paraId="2BF81D8C" w14:textId="77777777">
            <w:pPr>
              <w:pStyle w:val="732021"/>
              <w:spacing w:before="0"/>
              <w:rPr>
                <w:rtl/>
              </w:rPr>
            </w:pPr>
          </w:p>
        </w:tc>
        <w:tc>
          <w:tcPr>
            <w:tcW w:w="1038" w:type="pct"/>
            <w:tcBorders>
              <w:top w:val="single" w:sz="12" w:space="0" w:color="000000"/>
            </w:tcBorders>
          </w:tcPr>
          <w:p w:rsidR="00420374" w:rsidRPr="00E52143" w:rsidP="00937056" w14:paraId="68924AF7" w14:textId="08483D8E">
            <w:pPr>
              <w:pStyle w:val="732021"/>
              <w:spacing w:before="0"/>
              <w:rPr>
                <w:rtl/>
              </w:rPr>
            </w:pPr>
            <w:r w:rsidRPr="00F6324E">
              <w:rPr>
                <w:rFonts w:hint="cs"/>
                <w:rtl/>
              </w:rPr>
              <w:t>תחזית ההכנסות מהמסחר המקוון בישראל ב-2025</w:t>
            </w:r>
          </w:p>
        </w:tc>
        <w:tc>
          <w:tcPr>
            <w:tcW w:w="161" w:type="pct"/>
          </w:tcPr>
          <w:p w:rsidR="00420374" w:rsidRPr="00E52143" w:rsidP="00937056" w14:paraId="4F52CE08" w14:textId="77777777">
            <w:pPr>
              <w:pStyle w:val="732021"/>
              <w:spacing w:before="0"/>
              <w:rPr>
                <w:rtl/>
              </w:rPr>
            </w:pPr>
          </w:p>
        </w:tc>
        <w:tc>
          <w:tcPr>
            <w:tcW w:w="1151" w:type="pct"/>
            <w:tcBorders>
              <w:top w:val="single" w:sz="12" w:space="0" w:color="000000"/>
            </w:tcBorders>
          </w:tcPr>
          <w:p w:rsidR="00420374" w:rsidRPr="00E52143" w:rsidP="00937056" w14:paraId="203F9568" w14:textId="64D6495F">
            <w:pPr>
              <w:pStyle w:val="732021"/>
              <w:spacing w:before="0"/>
              <w:rPr>
                <w:rtl/>
              </w:rPr>
            </w:pPr>
            <w:r w:rsidRPr="00F6324E">
              <w:rPr>
                <w:rFonts w:hint="cs"/>
                <w:rtl/>
              </w:rPr>
              <w:t xml:space="preserve">שיעור </w:t>
            </w:r>
            <w:r w:rsidRPr="00F6324E">
              <w:rPr>
                <w:rtl/>
              </w:rPr>
              <w:t>העסקים</w:t>
            </w:r>
            <w:r w:rsidRPr="00F6324E">
              <w:rPr>
                <w:rFonts w:hint="cs"/>
                <w:rtl/>
              </w:rPr>
              <w:t xml:space="preserve"> בישראל</w:t>
            </w:r>
            <w:r w:rsidRPr="00F6324E">
              <w:rPr>
                <w:rtl/>
              </w:rPr>
              <w:t xml:space="preserve"> </w:t>
            </w:r>
            <w:r w:rsidRPr="00F6324E">
              <w:rPr>
                <w:rFonts w:hint="cs"/>
                <w:rtl/>
              </w:rPr>
              <w:t>שרשמו גידול מתון (עד 25%) ב</w:t>
            </w:r>
            <w:r w:rsidRPr="00F6324E">
              <w:rPr>
                <w:rtl/>
              </w:rPr>
              <w:t xml:space="preserve">היקף </w:t>
            </w:r>
            <w:r w:rsidRPr="00F6324E">
              <w:rPr>
                <w:rFonts w:hint="cs"/>
                <w:rtl/>
              </w:rPr>
              <w:t xml:space="preserve">הפעילות במסחר </w:t>
            </w:r>
            <w:r w:rsidRPr="00F6324E">
              <w:rPr>
                <w:rtl/>
              </w:rPr>
              <w:t>מקוו</w:t>
            </w:r>
            <w:r w:rsidRPr="00F6324E">
              <w:rPr>
                <w:rFonts w:hint="cs"/>
                <w:rtl/>
              </w:rPr>
              <w:t>ן</w:t>
            </w:r>
            <w:r w:rsidRPr="00F6324E">
              <w:rPr>
                <w:rtl/>
              </w:rPr>
              <w:t xml:space="preserve"> בעקבות מגפת הקורונה</w:t>
            </w:r>
            <w:r w:rsidRPr="00F6324E">
              <w:rPr>
                <w:rFonts w:hint="cs"/>
                <w:rtl/>
              </w:rPr>
              <w:t xml:space="preserve"> </w:t>
            </w:r>
          </w:p>
        </w:tc>
        <w:tc>
          <w:tcPr>
            <w:tcW w:w="182" w:type="pct"/>
          </w:tcPr>
          <w:p w:rsidR="00420374" w:rsidRPr="00E52143" w:rsidP="00937056" w14:paraId="42538096" w14:textId="77777777">
            <w:pPr>
              <w:pStyle w:val="732021"/>
              <w:spacing w:before="0"/>
              <w:rPr>
                <w:rtl/>
              </w:rPr>
            </w:pPr>
          </w:p>
        </w:tc>
        <w:tc>
          <w:tcPr>
            <w:tcW w:w="1145" w:type="pct"/>
            <w:tcBorders>
              <w:top w:val="single" w:sz="12" w:space="0" w:color="000000"/>
            </w:tcBorders>
          </w:tcPr>
          <w:p w:rsidR="00420374" w:rsidRPr="00E52143" w:rsidP="00937056" w14:paraId="1878D11D" w14:textId="316D6520">
            <w:pPr>
              <w:pStyle w:val="732021"/>
              <w:spacing w:before="0"/>
              <w:rPr>
                <w:rtl/>
              </w:rPr>
            </w:pPr>
            <w:r w:rsidRPr="00F6324E">
              <w:rPr>
                <w:rtl/>
              </w:rPr>
              <w:t xml:space="preserve">שיעור </w:t>
            </w:r>
            <w:r w:rsidRPr="00F6324E">
              <w:rPr>
                <w:rFonts w:hint="cs"/>
                <w:rtl/>
              </w:rPr>
              <w:t>הצרכנים שסבלו מ</w:t>
            </w:r>
            <w:r w:rsidRPr="00F6324E">
              <w:rPr>
                <w:rtl/>
              </w:rPr>
              <w:t>עוולות</w:t>
            </w:r>
            <w:r>
              <w:rPr>
                <w:vertAlign w:val="superscript"/>
                <w:rtl/>
              </w:rPr>
              <w:footnoteReference w:id="3"/>
            </w:r>
            <w:r w:rsidRPr="00F6324E">
              <w:rPr>
                <w:rtl/>
              </w:rPr>
              <w:t xml:space="preserve"> בעסקאות ב</w:t>
            </w:r>
            <w:r w:rsidRPr="00F6324E">
              <w:rPr>
                <w:rFonts w:hint="cs"/>
                <w:rtl/>
              </w:rPr>
              <w:t>מרשתת בתחום המזון,</w:t>
            </w:r>
            <w:r w:rsidRPr="00F6324E">
              <w:rPr>
                <w:rtl/>
              </w:rPr>
              <w:t xml:space="preserve"> מ</w:t>
            </w:r>
            <w:r w:rsidRPr="00F6324E">
              <w:rPr>
                <w:rFonts w:hint="cs"/>
                <w:rtl/>
              </w:rPr>
              <w:t>בין</w:t>
            </w:r>
            <w:r w:rsidRPr="00F6324E">
              <w:rPr>
                <w:rtl/>
              </w:rPr>
              <w:t xml:space="preserve"> הקונים </w:t>
            </w:r>
            <w:r w:rsidRPr="00F6324E">
              <w:rPr>
                <w:rFonts w:hint="cs"/>
                <w:rtl/>
              </w:rPr>
              <w:t>ב</w:t>
            </w:r>
            <w:r w:rsidRPr="00F6324E">
              <w:rPr>
                <w:rtl/>
              </w:rPr>
              <w:t>תחום</w:t>
            </w:r>
            <w:r w:rsidRPr="00F6324E">
              <w:rPr>
                <w:rFonts w:hint="cs"/>
                <w:rtl/>
              </w:rPr>
              <w:t xml:space="preserve"> (כפי שעלה בסקר משרד מבקר המדינה)</w:t>
            </w:r>
          </w:p>
        </w:tc>
      </w:tr>
      <w:tr w14:paraId="1BD5A20C" w14:textId="77777777" w:rsidTr="009F3C20">
        <w:tblPrEx>
          <w:tblW w:w="5000" w:type="pct"/>
          <w:tblLook w:val="04A0"/>
        </w:tblPrEx>
        <w:tc>
          <w:tcPr>
            <w:tcW w:w="1163" w:type="pct"/>
            <w:tcBorders>
              <w:bottom w:val="single" w:sz="12" w:space="0" w:color="000000"/>
            </w:tcBorders>
            <w:vAlign w:val="bottom"/>
          </w:tcPr>
          <w:p w:rsidR="00420374" w:rsidRPr="00411396" w:rsidP="00410CE7" w14:paraId="500D3B50" w14:textId="61302065">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35</w:t>
            </w:r>
            <w:r>
              <w:rPr>
                <w:rFonts w:ascii="Tahoma" w:hAnsi="Tahoma" w:eastAsiaTheme="minorEastAsia" w:cs="Tahoma" w:hint="cs"/>
                <w:b/>
                <w:bCs/>
                <w:color w:val="0D0D0D" w:themeColor="text1" w:themeTint="F2"/>
                <w:spacing w:val="-10"/>
                <w:sz w:val="36"/>
                <w:szCs w:val="36"/>
                <w:rtl/>
              </w:rPr>
              <w:t>%</w:t>
            </w:r>
          </w:p>
        </w:tc>
        <w:tc>
          <w:tcPr>
            <w:tcW w:w="161" w:type="pct"/>
            <w:vAlign w:val="bottom"/>
          </w:tcPr>
          <w:p w:rsidR="00420374" w:rsidRPr="00E52143" w:rsidP="00410CE7"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cBorders>
            <w:vAlign w:val="bottom"/>
          </w:tcPr>
          <w:p w:rsidR="00420374" w:rsidRPr="008D750B" w:rsidP="00410CE7" w14:paraId="48896DF7" w14:textId="025323BC">
            <w:pPr>
              <w:pStyle w:val="2021"/>
              <w:spacing w:before="0" w:after="60"/>
              <w:rPr>
                <w:spacing w:val="-10"/>
                <w:rtl/>
              </w:rPr>
            </w:pPr>
            <w:r>
              <w:rPr>
                <w:rFonts w:hint="cs"/>
                <w:spacing w:val="-10"/>
                <w:rtl/>
              </w:rPr>
              <w:t>107</w:t>
            </w:r>
          </w:p>
        </w:tc>
        <w:tc>
          <w:tcPr>
            <w:tcW w:w="161" w:type="pct"/>
            <w:vAlign w:val="bottom"/>
          </w:tcPr>
          <w:p w:rsidR="00420374" w:rsidP="00410CE7" w14:paraId="5B4C8A80" w14:textId="77777777">
            <w:pPr>
              <w:spacing w:after="60" w:line="240" w:lineRule="auto"/>
              <w:jc w:val="left"/>
              <w:rPr>
                <w:rtl/>
              </w:rPr>
            </w:pPr>
          </w:p>
        </w:tc>
        <w:tc>
          <w:tcPr>
            <w:tcW w:w="1151" w:type="pct"/>
            <w:tcBorders>
              <w:bottom w:val="single" w:sz="12" w:space="0" w:color="000000"/>
            </w:tcBorders>
            <w:vAlign w:val="bottom"/>
          </w:tcPr>
          <w:p w:rsidR="00420374" w:rsidRPr="0062456C" w:rsidP="00410CE7" w14:paraId="226A2E50" w14:textId="7A0B9E25">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50%</w:t>
            </w:r>
          </w:p>
        </w:tc>
        <w:tc>
          <w:tcPr>
            <w:tcW w:w="182" w:type="pct"/>
          </w:tcPr>
          <w:p w:rsidR="00420374" w:rsidP="00410CE7"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145" w:type="pct"/>
            <w:tcBorders>
              <w:bottom w:val="single" w:sz="12" w:space="0" w:color="000000"/>
            </w:tcBorders>
            <w:vAlign w:val="bottom"/>
          </w:tcPr>
          <w:p w:rsidR="00420374" w:rsidP="00410CE7" w14:paraId="5AEEF263" w14:textId="6ED752C3">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36%</w:t>
            </w:r>
          </w:p>
        </w:tc>
      </w:tr>
      <w:tr w14:paraId="54154FA5" w14:textId="77777777" w:rsidTr="009F3C20">
        <w:tblPrEx>
          <w:tblW w:w="5000" w:type="pct"/>
          <w:tblLook w:val="04A0"/>
        </w:tblPrEx>
        <w:tc>
          <w:tcPr>
            <w:tcW w:w="1163" w:type="pct"/>
            <w:tcBorders>
              <w:top w:val="single" w:sz="12" w:space="0" w:color="000000"/>
            </w:tcBorders>
          </w:tcPr>
          <w:p w:rsidR="00420374" w:rsidRPr="004562F8" w:rsidP="00937056" w14:paraId="6DB67748" w14:textId="21AE8CC3">
            <w:pPr>
              <w:pStyle w:val="732021"/>
              <w:spacing w:before="0" w:after="0"/>
              <w:rPr>
                <w:rtl/>
              </w:rPr>
            </w:pPr>
            <w:r w:rsidRPr="00F6324E">
              <w:rPr>
                <w:rFonts w:hint="cs"/>
                <w:rtl/>
              </w:rPr>
              <w:t>השיעור הממוצע של הצרכנים שסבלו מעוולות, מבין הקונים בכל התחומים (</w:t>
            </w:r>
            <w:r w:rsidRPr="00F6324E">
              <w:rPr>
                <w:rtl/>
              </w:rPr>
              <w:t>כפי שעלה בסקר משרד מבקר המדינה</w:t>
            </w:r>
            <w:r w:rsidRPr="00F6324E">
              <w:rPr>
                <w:rFonts w:hint="cs"/>
                <w:rtl/>
              </w:rPr>
              <w:t>)</w:t>
            </w:r>
          </w:p>
        </w:tc>
        <w:tc>
          <w:tcPr>
            <w:tcW w:w="161" w:type="pct"/>
          </w:tcPr>
          <w:p w:rsidR="00420374" w:rsidRPr="008D750B" w:rsidP="00937056" w14:paraId="0C0AE598" w14:textId="77777777">
            <w:pPr>
              <w:pStyle w:val="732021"/>
              <w:spacing w:before="0" w:after="0"/>
              <w:rPr>
                <w:rtl/>
              </w:rPr>
            </w:pPr>
          </w:p>
        </w:tc>
        <w:tc>
          <w:tcPr>
            <w:tcW w:w="1038" w:type="pct"/>
            <w:tcBorders>
              <w:top w:val="single" w:sz="12" w:space="0" w:color="000000"/>
            </w:tcBorders>
          </w:tcPr>
          <w:p w:rsidR="00420374" w:rsidRPr="004562F8" w:rsidP="00937056" w14:paraId="1916A301" w14:textId="0256286E">
            <w:pPr>
              <w:pStyle w:val="732021"/>
              <w:spacing w:before="0" w:after="0"/>
              <w:rPr>
                <w:rtl/>
              </w:rPr>
            </w:pPr>
            <w:r w:rsidRPr="00F6324E">
              <w:rPr>
                <w:rtl/>
              </w:rPr>
              <w:t xml:space="preserve">הליכי </w:t>
            </w:r>
            <w:r w:rsidRPr="00F6324E">
              <w:rPr>
                <w:rFonts w:hint="cs"/>
                <w:rtl/>
              </w:rPr>
              <w:t>ה</w:t>
            </w:r>
            <w:r w:rsidRPr="00F6324E">
              <w:rPr>
                <w:rtl/>
              </w:rPr>
              <w:t>אכיפה</w:t>
            </w:r>
            <w:r w:rsidRPr="00F6324E">
              <w:rPr>
                <w:rFonts w:hint="cs"/>
                <w:rtl/>
              </w:rPr>
              <w:t xml:space="preserve"> </w:t>
            </w:r>
            <w:r w:rsidRPr="00F6324E">
              <w:rPr>
                <w:rFonts w:hint="cs"/>
                <w:rtl/>
              </w:rPr>
              <w:t>ה</w:t>
            </w:r>
            <w:r w:rsidRPr="00F6324E">
              <w:rPr>
                <w:rtl/>
              </w:rPr>
              <w:t>מ</w:t>
            </w:r>
            <w:r w:rsidRPr="00F6324E">
              <w:rPr>
                <w:rFonts w:hint="cs"/>
                <w:rtl/>
              </w:rPr>
              <w:t>י</w:t>
            </w:r>
            <w:r w:rsidRPr="00F6324E">
              <w:rPr>
                <w:rtl/>
              </w:rPr>
              <w:t>נהליים</w:t>
            </w:r>
            <w:r w:rsidRPr="00F6324E">
              <w:rPr>
                <w:rFonts w:hint="cs"/>
                <w:rtl/>
              </w:rPr>
              <w:t xml:space="preserve"> שביצעה ה</w:t>
            </w:r>
            <w:r w:rsidRPr="00F6324E">
              <w:rPr>
                <w:rtl/>
              </w:rPr>
              <w:t xml:space="preserve">רשות להגנת הפרטיות </w:t>
            </w:r>
            <w:r w:rsidRPr="00F6324E">
              <w:rPr>
                <w:rFonts w:hint="cs"/>
                <w:rtl/>
              </w:rPr>
              <w:t xml:space="preserve">ב-2020 </w:t>
            </w:r>
            <w:r w:rsidRPr="00F6324E">
              <w:rPr>
                <w:rtl/>
              </w:rPr>
              <w:t>כנגד מפ</w:t>
            </w:r>
            <w:r w:rsidRPr="00F6324E">
              <w:rPr>
                <w:rFonts w:hint="cs"/>
                <w:rtl/>
              </w:rPr>
              <w:t>י</w:t>
            </w:r>
            <w:r w:rsidRPr="00F6324E">
              <w:rPr>
                <w:rtl/>
              </w:rPr>
              <w:t>רי הוראות החוק</w:t>
            </w:r>
          </w:p>
        </w:tc>
        <w:tc>
          <w:tcPr>
            <w:tcW w:w="161" w:type="pct"/>
          </w:tcPr>
          <w:p w:rsidR="00420374" w:rsidP="00937056" w14:paraId="14782C57" w14:textId="77777777">
            <w:pPr>
              <w:pStyle w:val="732021"/>
              <w:spacing w:before="0" w:after="0"/>
              <w:rPr>
                <w:rtl/>
              </w:rPr>
            </w:pPr>
          </w:p>
        </w:tc>
        <w:tc>
          <w:tcPr>
            <w:tcW w:w="1151" w:type="pct"/>
            <w:tcBorders>
              <w:top w:val="single" w:sz="12" w:space="0" w:color="000000"/>
            </w:tcBorders>
          </w:tcPr>
          <w:p w:rsidR="00420374" w:rsidRPr="0062456C" w:rsidP="00937056" w14:paraId="6149CA50" w14:textId="75A0E284">
            <w:pPr>
              <w:pStyle w:val="732021"/>
              <w:spacing w:before="0" w:after="0"/>
              <w:rPr>
                <w:rtl/>
              </w:rPr>
            </w:pPr>
            <w:r w:rsidRPr="00F6324E">
              <w:rPr>
                <w:rFonts w:hint="cs"/>
                <w:rtl/>
              </w:rPr>
              <w:t xml:space="preserve">שיעור </w:t>
            </w:r>
            <w:r w:rsidRPr="00F6324E">
              <w:rPr>
                <w:rtl/>
              </w:rPr>
              <w:t xml:space="preserve">בני </w:t>
            </w:r>
            <w:r w:rsidRPr="00F6324E">
              <w:rPr>
                <w:rFonts w:hint="cs"/>
                <w:rtl/>
              </w:rPr>
              <w:t>ה-16 - 18 שקונים</w:t>
            </w:r>
            <w:r w:rsidRPr="00F6324E">
              <w:rPr>
                <w:rtl/>
              </w:rPr>
              <w:t xml:space="preserve"> במרשתת יותר מפעם בחודש</w:t>
            </w:r>
          </w:p>
        </w:tc>
        <w:tc>
          <w:tcPr>
            <w:tcW w:w="182" w:type="pct"/>
          </w:tcPr>
          <w:p w:rsidR="00420374" w:rsidRPr="00C92141" w:rsidP="00937056" w14:paraId="66E34E8E" w14:textId="77777777">
            <w:pPr>
              <w:pStyle w:val="732021"/>
              <w:spacing w:before="0" w:after="0"/>
              <w:rPr>
                <w:rtl/>
              </w:rPr>
            </w:pPr>
          </w:p>
        </w:tc>
        <w:tc>
          <w:tcPr>
            <w:tcW w:w="1145" w:type="pct"/>
            <w:tcBorders>
              <w:top w:val="single" w:sz="12" w:space="0" w:color="000000"/>
            </w:tcBorders>
          </w:tcPr>
          <w:p w:rsidR="00420374" w:rsidRPr="00C92141" w:rsidP="00937056" w14:paraId="39498237" w14:textId="45C7EB3B">
            <w:pPr>
              <w:pStyle w:val="732021"/>
              <w:spacing w:before="0" w:after="0"/>
              <w:rPr>
                <w:rtl/>
              </w:rPr>
            </w:pPr>
            <w:r w:rsidRPr="00F6324E">
              <w:rPr>
                <w:rtl/>
              </w:rPr>
              <w:t>שיעור</w:t>
            </w:r>
            <w:r w:rsidRPr="00F6324E">
              <w:rPr>
                <w:rFonts w:hint="cs"/>
                <w:rtl/>
              </w:rPr>
              <w:t xml:space="preserve"> ה</w:t>
            </w:r>
            <w:r w:rsidRPr="00F6324E">
              <w:rPr>
                <w:rtl/>
              </w:rPr>
              <w:t>עסק</w:t>
            </w:r>
            <w:r w:rsidRPr="00F6324E">
              <w:rPr>
                <w:rFonts w:hint="cs"/>
                <w:rtl/>
              </w:rPr>
              <w:t>ים הקטנים והבינוניים</w:t>
            </w:r>
            <w:r w:rsidRPr="00F6324E">
              <w:rPr>
                <w:rtl/>
              </w:rPr>
              <w:t xml:space="preserve"> </w:t>
            </w:r>
            <w:r w:rsidRPr="00F6324E">
              <w:rPr>
                <w:rFonts w:hint="cs"/>
                <w:rtl/>
              </w:rPr>
              <w:t>ש</w:t>
            </w:r>
            <w:r w:rsidRPr="00F6324E">
              <w:rPr>
                <w:rtl/>
              </w:rPr>
              <w:t>המסחר המקוון</w:t>
            </w:r>
            <w:r w:rsidRPr="00F6324E">
              <w:rPr>
                <w:rFonts w:hint="cs"/>
                <w:rtl/>
              </w:rPr>
              <w:t xml:space="preserve"> היה יותר מ-50% </w:t>
            </w:r>
            <w:r w:rsidRPr="00F6324E">
              <w:rPr>
                <w:rtl/>
              </w:rPr>
              <w:t>מסך המחזור</w:t>
            </w:r>
            <w:r w:rsidRPr="00F6324E">
              <w:rPr>
                <w:rFonts w:hint="cs"/>
                <w:rtl/>
              </w:rPr>
              <w:t xml:space="preserve"> שלהם </w:t>
            </w:r>
            <w:r w:rsidRPr="00F6324E">
              <w:rPr>
                <w:rtl/>
              </w:rPr>
              <w:t>ב</w:t>
            </w:r>
            <w:r w:rsidRPr="00F6324E">
              <w:rPr>
                <w:rFonts w:hint="cs"/>
                <w:rtl/>
              </w:rPr>
              <w:t>-</w:t>
            </w:r>
            <w:r w:rsidRPr="00F6324E">
              <w:rPr>
                <w:rtl/>
              </w:rPr>
              <w:t>2021</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420374" w:rsidP="00420374" w14:paraId="0AF4CED3" w14:textId="5AABDDA1">
      <w:pPr>
        <w:pStyle w:val="7317"/>
        <w:rPr>
          <w:rtl/>
        </w:rPr>
      </w:pPr>
      <w:r w:rsidRPr="001F3363">
        <w:rPr>
          <w:noProof/>
        </w:rPr>
        <w:drawing>
          <wp:anchor distT="0" distB="0" distL="114300" distR="114300" simplePos="0" relativeHeight="251681792"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324E" w:rsidR="002D5FD5">
        <w:rPr>
          <w:rtl/>
        </w:rPr>
        <w:t>בחודשים אוגוסט 2021 - דצמבר 2021 (</w:t>
      </w:r>
      <w:r w:rsidRPr="00F6324E" w:rsidR="002D5FD5">
        <w:rPr>
          <w:rFonts w:hint="cs"/>
          <w:rtl/>
        </w:rPr>
        <w:t xml:space="preserve">להלן - </w:t>
      </w:r>
      <w:r w:rsidRPr="00F6324E" w:rsidR="002D5FD5">
        <w:rPr>
          <w:rtl/>
        </w:rPr>
        <w:t>מועד סיום הביקורת) ביצע משרד מבקר המדינה ביקורת מעקב ובה נבדקו הפעולות שנקטו משרדי ממשלה שונים לתיקון הליקויים שעלו בדוח הקודם ומידת השיפור שחלה לאחר התיקון. ביקורת המעקב נעשתה בעיקר ביחידת הממונה על חוקיות היבוא, בסוכנות לעסקים קטנים ובינוניים (</w:t>
      </w:r>
      <w:r w:rsidRPr="00F6324E" w:rsidR="002D5FD5">
        <w:rPr>
          <w:rFonts w:hint="cs"/>
          <w:rtl/>
        </w:rPr>
        <w:t xml:space="preserve">להלן - </w:t>
      </w:r>
      <w:r w:rsidRPr="00F6324E" w:rsidR="002D5FD5">
        <w:rPr>
          <w:rtl/>
        </w:rPr>
        <w:t>הסוכנות לעסקים קטנים) ובאגף הבכיר להכשרה מקצועית ולפיתוח ההון האנושי שבמשרד הכלכלה והתעשייה (</w:t>
      </w:r>
      <w:r w:rsidRPr="00F6324E" w:rsidR="002D5FD5">
        <w:rPr>
          <w:rFonts w:hint="cs"/>
          <w:rtl/>
        </w:rPr>
        <w:t xml:space="preserve">להלן - </w:t>
      </w:r>
      <w:r w:rsidRPr="00F6324E" w:rsidR="002D5FD5">
        <w:rPr>
          <w:rtl/>
        </w:rPr>
        <w:t>משרד הכלכלה). בדיקות השלמה נעשו במשרד המשפטים, בנציבות שוויון זכויות לאנשים עם מוגבלות וברשות להגנת הפרטיות שבמשרד המשפטים (הרשות להגנת הפרטיות), במזכירות הפדגוגית במשרד החינוך (</w:t>
      </w:r>
      <w:r w:rsidRPr="00F6324E" w:rsidR="002D5FD5">
        <w:rPr>
          <w:rFonts w:hint="cs"/>
          <w:rtl/>
        </w:rPr>
        <w:t xml:space="preserve">להלן - </w:t>
      </w:r>
      <w:r w:rsidRPr="00F6324E" w:rsidR="002D5FD5">
        <w:rPr>
          <w:rtl/>
        </w:rPr>
        <w:t xml:space="preserve">משרד החינוך), במועצה הישראלית לצרכנות, ברשות לפיתוח כלכלי של מגזר המיעוטים שבמשרד לשוויון </w:t>
      </w:r>
      <w:r w:rsidRPr="00F6324E" w:rsidR="002D5FD5">
        <w:rPr>
          <w:rtl/>
        </w:rPr>
        <w:t xml:space="preserve">חברתי, </w:t>
      </w:r>
      <w:r w:rsidRPr="00F6324E" w:rsidR="002D5FD5">
        <w:rPr>
          <w:rtl/>
        </w:rPr>
        <w:t>במינהל</w:t>
      </w:r>
      <w:r w:rsidRPr="00F6324E" w:rsidR="002D5FD5">
        <w:rPr>
          <w:rtl/>
        </w:rPr>
        <w:t xml:space="preserve"> התכנון במשרד הפנים, ברשות התחרות, </w:t>
      </w:r>
      <w:r w:rsidRPr="00F6324E" w:rsidR="002D5FD5">
        <w:rPr>
          <w:rtl/>
        </w:rPr>
        <w:t>במינהל</w:t>
      </w:r>
      <w:r w:rsidRPr="00F6324E" w:rsidR="002D5FD5">
        <w:rPr>
          <w:rtl/>
        </w:rPr>
        <w:t xml:space="preserve"> סחר חוץ במשרד הכלכלה, במשרד התחבורה והבטיחות בדרכים (</w:t>
      </w:r>
      <w:r w:rsidRPr="00F6324E" w:rsidR="002D5FD5">
        <w:rPr>
          <w:rFonts w:hint="cs"/>
          <w:rtl/>
        </w:rPr>
        <w:t xml:space="preserve">להלן - </w:t>
      </w:r>
      <w:r w:rsidRPr="00F6324E" w:rsidR="002D5FD5">
        <w:rPr>
          <w:rtl/>
        </w:rPr>
        <w:t xml:space="preserve">משרד התחבורה), במשרד הבריאות, במשרד התקשורת, במשרד התשתיות הלאומיות, </w:t>
      </w:r>
      <w:r w:rsidRPr="00F6324E" w:rsidR="002D5FD5">
        <w:rPr>
          <w:rtl/>
        </w:rPr>
        <w:t>האנרגייה</w:t>
      </w:r>
      <w:r w:rsidRPr="00F6324E" w:rsidR="002D5FD5">
        <w:rPr>
          <w:rtl/>
        </w:rPr>
        <w:t xml:space="preserve"> והמים (</w:t>
      </w:r>
      <w:r w:rsidRPr="00F6324E" w:rsidR="002D5FD5">
        <w:rPr>
          <w:rFonts w:hint="cs"/>
          <w:rtl/>
        </w:rPr>
        <w:t xml:space="preserve">להלן - </w:t>
      </w:r>
      <w:r w:rsidRPr="00F6324E" w:rsidR="002D5FD5">
        <w:rPr>
          <w:rtl/>
        </w:rPr>
        <w:t>משרד האנרגיה), במשרד החקלאות ופיתוח הכפר (</w:t>
      </w:r>
      <w:r w:rsidRPr="00F6324E" w:rsidR="002D5FD5">
        <w:rPr>
          <w:rFonts w:hint="cs"/>
          <w:rtl/>
        </w:rPr>
        <w:t xml:space="preserve">להלן - </w:t>
      </w:r>
      <w:r w:rsidRPr="00F6324E" w:rsidR="002D5FD5">
        <w:rPr>
          <w:rtl/>
        </w:rPr>
        <w:t>משרד החקלאות), במכון היצוא הישראלי (</w:t>
      </w:r>
      <w:r w:rsidRPr="00F6324E" w:rsidR="002D5FD5">
        <w:rPr>
          <w:rFonts w:hint="cs"/>
          <w:rtl/>
        </w:rPr>
        <w:t xml:space="preserve">להלן - </w:t>
      </w:r>
      <w:r w:rsidRPr="00F6324E" w:rsidR="002D5FD5">
        <w:rPr>
          <w:rtl/>
        </w:rPr>
        <w:t>מכון היצוא), ובעיריות באר שבע, ראשון לציון, כפר סבא ואשדוד. ביקורת המעקב הורחבה לבדיקת חוזים אחידים והנגשת מסחר מקוון למגזר החרדי. במסגרת הליכי הביקורת, משרד מבקר המדינה ביצע סקר שיתוף ציבור במרשתת בנושא "סוגיות בצרכנות"</w:t>
      </w:r>
      <w:r w:rsidR="002D5FD5">
        <w:rPr>
          <w:rFonts w:hint="cs"/>
          <w:rtl/>
        </w:rPr>
        <w:t>.</w:t>
      </w:r>
      <w:r w:rsidRPr="0062254D">
        <w:rPr>
          <w:rFonts w:hint="cs"/>
          <w:rtl/>
        </w:rPr>
        <w:t xml:space="preserve"> </w:t>
      </w:r>
      <w:r w:rsidRPr="001F3363">
        <w:rPr>
          <w:rFonts w:hint="cs"/>
          <w:rtl/>
        </w:rPr>
        <w:t xml:space="preserve"> </w:t>
      </w:r>
    </w:p>
    <w:p w:rsidR="002753C7" w:rsidRPr="00662020" w:rsidP="002753C7" w14:paraId="690F076D" w14:textId="756A77C5">
      <w:pPr>
        <w:pStyle w:val="7327"/>
        <w:rPr>
          <w:rtl/>
        </w:rPr>
      </w:pPr>
      <w:r w:rsidRPr="00662020">
        <w:rPr>
          <w:rFonts w:hint="cs"/>
          <w:rtl/>
        </w:rPr>
        <w:t>תמונת המצב העולה מן הביקורת</w:t>
      </w:r>
    </w:p>
    <w:p w:rsidR="00420374" w:rsidRPr="002539B8" w:rsidP="00420374" w14:paraId="6CAF3371" w14:textId="1081C02C">
      <w:pPr>
        <w:pStyle w:val="7317"/>
        <w:spacing w:after="240"/>
        <w:rPr>
          <w:sz w:val="10"/>
          <w:szCs w:val="10"/>
          <w:rtl/>
        </w:rPr>
      </w:pPr>
      <w:r w:rsidRPr="00362C00">
        <w:rPr>
          <w:noProof/>
          <w:rtl/>
        </w:rPr>
        <w:drawing>
          <wp:anchor distT="0" distB="0" distL="114300" distR="114300" simplePos="0" relativeHeight="251711488" behindDoc="0" locked="0" layoutInCell="1" allowOverlap="1">
            <wp:simplePos x="0" y="0"/>
            <wp:positionH relativeFrom="column">
              <wp:posOffset>2578735</wp:posOffset>
            </wp:positionH>
            <wp:positionV relativeFrom="paragraph">
              <wp:posOffset>9525</wp:posOffset>
            </wp:positionV>
            <wp:extent cx="2101215" cy="172085"/>
            <wp:effectExtent l="0" t="0" r="0" b="5715"/>
            <wp:wrapSquare wrapText="bothSides"/>
            <wp:docPr id="5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תמונה 2"/>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2D5FD5" w:rsidRPr="00F830E2" w:rsidP="00F830E2" w14:paraId="256A23CA" w14:textId="77777777">
      <w:pPr>
        <w:pStyle w:val="73612"/>
        <w:rPr>
          <w:rtl/>
        </w:rPr>
      </w:pPr>
      <w:r w:rsidRPr="00F830E2">
        <w:rPr>
          <w:rFonts w:hint="eastAsia"/>
          <w:rtl/>
        </w:rPr>
        <w:t>ממצאים</w:t>
      </w:r>
      <w:r w:rsidRPr="00F830E2">
        <w:rPr>
          <w:rtl/>
        </w:rPr>
        <w:t xml:space="preserve"> </w:t>
      </w:r>
      <w:r w:rsidRPr="00F830E2">
        <w:rPr>
          <w:rFonts w:hint="eastAsia"/>
          <w:rtl/>
        </w:rPr>
        <w:t>שעלו</w:t>
      </w:r>
      <w:r w:rsidRPr="00F830E2">
        <w:rPr>
          <w:rtl/>
        </w:rPr>
        <w:t xml:space="preserve"> </w:t>
      </w:r>
      <w:r w:rsidRPr="00F830E2">
        <w:rPr>
          <w:rFonts w:hint="eastAsia"/>
          <w:rtl/>
        </w:rPr>
        <w:t>בביקורת</w:t>
      </w:r>
      <w:r w:rsidRPr="00F830E2">
        <w:rPr>
          <w:rtl/>
        </w:rPr>
        <w:t xml:space="preserve"> </w:t>
      </w:r>
      <w:r w:rsidRPr="00F830E2">
        <w:rPr>
          <w:rFonts w:hint="eastAsia"/>
          <w:rtl/>
        </w:rPr>
        <w:t>הנוכחית</w:t>
      </w:r>
    </w:p>
    <w:p w:rsidR="00420374" w:rsidRPr="0093709F" w:rsidP="00F830E2" w14:paraId="18555822" w14:textId="70069AC6">
      <w:pPr>
        <w:pStyle w:val="7392"/>
        <w:ind w:left="424"/>
        <w:rPr>
          <w:rtl/>
        </w:rPr>
      </w:pPr>
      <w:r w:rsidRPr="00B02658">
        <w:rPr>
          <w:rFonts w:hint="cs"/>
          <w:b/>
          <w:bCs/>
          <w:noProof/>
          <w:rtl/>
        </w:rPr>
        <w:drawing>
          <wp:anchor distT="0" distB="720090" distL="114300" distR="114300" simplePos="0" relativeHeight="251707392" behindDoc="1" locked="0" layoutInCell="1" allowOverlap="1">
            <wp:simplePos x="0" y="0"/>
            <wp:positionH relativeFrom="column">
              <wp:posOffset>4526280</wp:posOffset>
            </wp:positionH>
            <wp:positionV relativeFrom="paragraph">
              <wp:posOffset>39533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5FD5" w:rsidR="002D5FD5">
        <w:rPr>
          <w:rFonts w:hint="cs"/>
          <w:b/>
          <w:bCs/>
          <w:rtl/>
        </w:rPr>
        <w:t>שיעור קוראי תנאי השימוש והעוולות בקרב צרכנים במסחר מקוון</w:t>
      </w:r>
      <w:r w:rsidRPr="00F6324E" w:rsidR="002D5FD5">
        <w:rPr>
          <w:rFonts w:hint="cs"/>
          <w:rtl/>
        </w:rPr>
        <w:t xml:space="preserve"> - </w:t>
      </w:r>
      <w:r w:rsidRPr="00F6324E" w:rsidR="002D5FD5">
        <w:rPr>
          <w:rFonts w:hint="eastAsia"/>
          <w:rtl/>
        </w:rPr>
        <w:t>בהתאם</w:t>
      </w:r>
      <w:r w:rsidRPr="00F6324E" w:rsidR="002D5FD5">
        <w:rPr>
          <w:rtl/>
        </w:rPr>
        <w:t xml:space="preserve"> לממצאי סקר מבקר המדינה מדצמבר 2021 </w:t>
      </w:r>
      <w:r w:rsidRPr="00F6324E" w:rsidR="002D5FD5">
        <w:rPr>
          <w:rFonts w:hint="cs"/>
          <w:rtl/>
        </w:rPr>
        <w:t>92% ממשתתפי הסקר מבצעים רכישות במרשתת, ו-56</w:t>
      </w:r>
      <w:r w:rsidRPr="00F6324E" w:rsidR="002D5FD5">
        <w:rPr>
          <w:rtl/>
        </w:rPr>
        <w:t>% מהמשתתפים</w:t>
      </w:r>
      <w:r w:rsidRPr="00F6324E" w:rsidR="002D5FD5">
        <w:rPr>
          <w:rFonts w:hint="cs"/>
          <w:rtl/>
        </w:rPr>
        <w:t xml:space="preserve"> אינם</w:t>
      </w:r>
      <w:r w:rsidRPr="00F6324E" w:rsidR="002D5FD5">
        <w:rPr>
          <w:rtl/>
        </w:rPr>
        <w:t xml:space="preserve"> קוראים את תנאי השימוש באתר הקנייה</w:t>
      </w:r>
      <w:r w:rsidRPr="00F6324E" w:rsidR="002D5FD5">
        <w:rPr>
          <w:rFonts w:hint="cs"/>
          <w:rtl/>
        </w:rPr>
        <w:t xml:space="preserve">. </w:t>
      </w:r>
      <w:r w:rsidRPr="00F6324E" w:rsidR="002D5FD5">
        <w:rPr>
          <w:rtl/>
        </w:rPr>
        <w:t xml:space="preserve">שיעור הצרכנים הרוכשים ביגוד והנעלה במרשתת עומד על 58%, ו-45% מהם דיווחו שנעשתה להם עוולה. בענף המזון שיעור הצרכנים הרוכשים במרשתת </w:t>
      </w:r>
      <w:r w:rsidRPr="00F6324E" w:rsidR="002D5FD5">
        <w:rPr>
          <w:rFonts w:hint="eastAsia"/>
          <w:rtl/>
        </w:rPr>
        <w:t>עומד</w:t>
      </w:r>
      <w:r w:rsidRPr="00F6324E" w:rsidR="002D5FD5">
        <w:rPr>
          <w:rtl/>
        </w:rPr>
        <w:t xml:space="preserve"> על 42%, ו-59% מהם דיווחו שנגרמה להם עוולה</w:t>
      </w:r>
      <w:r w:rsidRPr="0093709F">
        <w:rPr>
          <w:rtl/>
        </w:rPr>
        <w:t>.</w:t>
      </w:r>
    </w:p>
    <w:p w:rsidR="00420374" w:rsidRPr="0093709F" w:rsidP="00F830E2" w14:paraId="1D22E15A" w14:textId="3B2AE00F">
      <w:pPr>
        <w:pStyle w:val="7392"/>
        <w:ind w:left="424"/>
      </w:pPr>
      <w:r w:rsidRPr="00B02658">
        <w:rPr>
          <w:rFonts w:hint="cs"/>
          <w:b/>
          <w:bCs/>
          <w:noProof/>
          <w:rtl/>
        </w:rPr>
        <w:drawing>
          <wp:anchor distT="0" distB="720090" distL="114300" distR="114300" simplePos="0" relativeHeight="251708416" behindDoc="1" locked="0" layoutInCell="1" allowOverlap="1">
            <wp:simplePos x="0" y="0"/>
            <wp:positionH relativeFrom="column">
              <wp:posOffset>4526280</wp:posOffset>
            </wp:positionH>
            <wp:positionV relativeFrom="paragraph">
              <wp:posOffset>39533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5FD5" w:rsidR="002D5FD5">
        <w:rPr>
          <w:rFonts w:hint="cs"/>
          <w:b/>
          <w:bCs/>
          <w:rtl/>
        </w:rPr>
        <w:t>מסחר מקוון במגזר החרדי</w:t>
      </w:r>
      <w:r w:rsidRPr="00F6324E" w:rsidR="002D5FD5">
        <w:rPr>
          <w:rFonts w:hint="cs"/>
          <w:rtl/>
        </w:rPr>
        <w:t xml:space="preserve"> - </w:t>
      </w:r>
      <w:r w:rsidRPr="00F6324E" w:rsidR="002D5FD5">
        <w:rPr>
          <w:rFonts w:hint="eastAsia"/>
          <w:rtl/>
        </w:rPr>
        <w:t>עלה</w:t>
      </w:r>
      <w:r w:rsidRPr="00F6324E" w:rsidR="002D5FD5">
        <w:rPr>
          <w:rtl/>
        </w:rPr>
        <w:t xml:space="preserve"> כי </w:t>
      </w:r>
      <w:r w:rsidRPr="00F6324E" w:rsidR="002D5FD5">
        <w:rPr>
          <w:rFonts w:hint="eastAsia"/>
          <w:rtl/>
        </w:rPr>
        <w:t>נכון</w:t>
      </w:r>
      <w:r w:rsidRPr="00F6324E" w:rsidR="002D5FD5">
        <w:rPr>
          <w:rtl/>
        </w:rPr>
        <w:t xml:space="preserve"> לשנת 2020 רק כרבע מהאוכלוסייה החרדית הבוגרת מבצעת רכישות מקוונות, לעומת יותר ממחצית משאר האוכלוסייה וכן נמצאו חסמים בכישורי האוריינות הדיגיטלית בקרב אוכלוס</w:t>
      </w:r>
      <w:r w:rsidRPr="00F6324E" w:rsidR="002D5FD5">
        <w:rPr>
          <w:rFonts w:hint="cs"/>
          <w:rtl/>
        </w:rPr>
        <w:t>י</w:t>
      </w:r>
      <w:r w:rsidRPr="00F6324E" w:rsidR="002D5FD5">
        <w:rPr>
          <w:rFonts w:hint="eastAsia"/>
          <w:rtl/>
        </w:rPr>
        <w:t>יה</w:t>
      </w:r>
      <w:r w:rsidRPr="00F6324E" w:rsidR="002D5FD5">
        <w:rPr>
          <w:rtl/>
        </w:rPr>
        <w:t xml:space="preserve"> </w:t>
      </w:r>
      <w:r w:rsidRPr="00F6324E" w:rsidR="002D5FD5">
        <w:rPr>
          <w:rFonts w:hint="eastAsia"/>
          <w:rtl/>
        </w:rPr>
        <w:t>זו</w:t>
      </w:r>
      <w:r w:rsidRPr="0093709F">
        <w:rPr>
          <w:rFonts w:hint="cs"/>
          <w:rtl/>
        </w:rPr>
        <w:t xml:space="preserve">. </w:t>
      </w:r>
    </w:p>
    <w:p w:rsidR="00420374" w:rsidRPr="0093709F" w:rsidP="00F830E2" w14:paraId="5E2BFABB" w14:textId="7272ED9E">
      <w:pPr>
        <w:pStyle w:val="7392"/>
        <w:ind w:left="424"/>
        <w:rPr>
          <w:rtl/>
        </w:rPr>
      </w:pPr>
      <w:r w:rsidRPr="00B02658">
        <w:rPr>
          <w:rFonts w:hint="cs"/>
          <w:b/>
          <w:bCs/>
          <w:noProof/>
          <w:rtl/>
        </w:rPr>
        <w:drawing>
          <wp:anchor distT="0" distB="720090" distL="114300" distR="114300" simplePos="0" relativeHeight="251709440" behindDoc="1" locked="0" layoutInCell="1" allowOverlap="1">
            <wp:simplePos x="0" y="0"/>
            <wp:positionH relativeFrom="column">
              <wp:posOffset>4526280</wp:posOffset>
            </wp:positionH>
            <wp:positionV relativeFrom="paragraph">
              <wp:posOffset>39533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5FD5" w:rsidR="002D5FD5">
        <w:rPr>
          <w:rFonts w:hint="cs"/>
          <w:b/>
          <w:bCs/>
          <w:rtl/>
        </w:rPr>
        <w:t xml:space="preserve">בחינת </w:t>
      </w:r>
      <w:r w:rsidRPr="002D5FD5" w:rsidR="002D5FD5">
        <w:rPr>
          <w:rFonts w:hint="eastAsia"/>
          <w:b/>
          <w:bCs/>
          <w:rtl/>
        </w:rPr>
        <w:t>חוזים</w:t>
      </w:r>
      <w:r w:rsidRPr="002D5FD5" w:rsidR="002D5FD5">
        <w:rPr>
          <w:b/>
          <w:bCs/>
          <w:rtl/>
        </w:rPr>
        <w:t xml:space="preserve"> </w:t>
      </w:r>
      <w:r w:rsidRPr="002D5FD5" w:rsidR="002D5FD5">
        <w:rPr>
          <w:rFonts w:hint="eastAsia"/>
          <w:b/>
          <w:bCs/>
          <w:rtl/>
        </w:rPr>
        <w:t>אחידים</w:t>
      </w:r>
      <w:r w:rsidRPr="002D5FD5" w:rsidR="002D5FD5">
        <w:rPr>
          <w:rFonts w:hint="cs"/>
          <w:b/>
          <w:bCs/>
          <w:rtl/>
        </w:rPr>
        <w:t xml:space="preserve"> של אתרי הסחר המקוון ע"י משרד המשפטים</w:t>
      </w:r>
      <w:r w:rsidRPr="00F6324E" w:rsidR="002D5FD5">
        <w:rPr>
          <w:rFonts w:hint="cs"/>
          <w:rtl/>
        </w:rPr>
        <w:t xml:space="preserve"> - עלה כי מ</w:t>
      </w:r>
      <w:r w:rsidRPr="00F6324E" w:rsidR="002D5FD5">
        <w:rPr>
          <w:rtl/>
        </w:rPr>
        <w:t>שרד המשפטים פועל באמצעות הגשת התייצבויות של היועץ המשפטי לממשלה והגשת התנגדויות להסדרי פשרה בתובענות ייצוגיות רלוונטיות. עם זאת אין הוא פועל לבדיקת חוזים אחידים-תקנונים של אתרי הסחר המקוון באופן יזום מבעוד מועד</w:t>
      </w:r>
      <w:r w:rsidRPr="0093709F">
        <w:rPr>
          <w:rFonts w:hint="cs"/>
          <w:rtl/>
        </w:rPr>
        <w:t>.</w:t>
      </w:r>
    </w:p>
    <w:p w:rsidR="00420374" w:rsidP="00F830E2" w14:paraId="583ECB3F" w14:textId="5A3BE78D">
      <w:pPr>
        <w:pStyle w:val="7392"/>
        <w:ind w:left="424"/>
      </w:pPr>
      <w:r w:rsidRPr="00B02658">
        <w:rPr>
          <w:rFonts w:hint="cs"/>
          <w:b/>
          <w:bCs/>
          <w:noProof/>
          <w:rtl/>
        </w:rPr>
        <w:drawing>
          <wp:anchor distT="0" distB="720090" distL="114300" distR="114300" simplePos="0" relativeHeight="251710464" behindDoc="1" locked="0" layoutInCell="1" allowOverlap="1">
            <wp:simplePos x="0" y="0"/>
            <wp:positionH relativeFrom="column">
              <wp:posOffset>4526280</wp:posOffset>
            </wp:positionH>
            <wp:positionV relativeFrom="paragraph">
              <wp:posOffset>39533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5FD5" w:rsidR="002D5FD5">
        <w:rPr>
          <w:rFonts w:hint="cs"/>
          <w:b/>
          <w:bCs/>
          <w:rtl/>
        </w:rPr>
        <w:t>היקף הליכי אכיפה על ידי הרשות להגנת הפרטיות</w:t>
      </w:r>
      <w:r w:rsidRPr="00F6324E" w:rsidR="002D5FD5">
        <w:rPr>
          <w:rFonts w:hint="cs"/>
          <w:rtl/>
        </w:rPr>
        <w:t xml:space="preserve"> - עלה כי </w:t>
      </w:r>
      <w:r w:rsidRPr="00F6324E" w:rsidR="002D5FD5">
        <w:rPr>
          <w:rtl/>
        </w:rPr>
        <w:t xml:space="preserve">ב-2020 מחד גיסא חלה עלייה של 22% בפתיחת תיקי הליכי אכיפה </w:t>
      </w:r>
      <w:r w:rsidRPr="00F6324E" w:rsidR="002D5FD5">
        <w:rPr>
          <w:rtl/>
        </w:rPr>
        <w:t>מינהליים</w:t>
      </w:r>
      <w:r w:rsidRPr="00F6324E" w:rsidR="002D5FD5">
        <w:rPr>
          <w:rtl/>
        </w:rPr>
        <w:t xml:space="preserve"> מ-88 תיקים ב-2019 ל-107 תיקים ב-2020 על ידי הרשות להגנת הפרטיות, ומאידך גיסא חלה ירידה של 40% בהשלמת הטיפול בהליכי אכיפה מ-58 תיקים ב-2019 ל-35 ב-2020. כמו כן, חלה עלייה בפתיחה של הליכי אכיפה פליליים ובהשלמת הטיפול בהם. עם זאת, נמצא כי היקף הקנסות הכולל שניתן עמד על כ-135 </w:t>
      </w:r>
      <w:r w:rsidRPr="00F6324E" w:rsidR="002D5FD5">
        <w:rPr>
          <w:rtl/>
        </w:rPr>
        <w:t>אש"ח</w:t>
      </w:r>
      <w:r w:rsidRPr="00F6324E" w:rsidR="002D5FD5">
        <w:rPr>
          <w:rtl/>
        </w:rPr>
        <w:t xml:space="preserve">, זאת אל מול סחר מקוון בישראל בשנת 2020 בהיקף של </w:t>
      </w:r>
      <w:r w:rsidR="002D5FD5">
        <w:rPr>
          <w:rtl/>
        </w:rPr>
        <w:br/>
      </w:r>
      <w:r w:rsidRPr="00F6324E" w:rsidR="002D5FD5">
        <w:rPr>
          <w:rtl/>
        </w:rPr>
        <w:t xml:space="preserve">כ-5 מיליארד דולר. חוק הגנת הפרטיות כולל הגדרות לא עדכניות של מושגי מפתח, ואינו נותן מענה לסוגיות משמעותיות במסחר מקוון. עם זאת נמצא כי משרד המשפטים פעל </w:t>
      </w:r>
      <w:r w:rsidRPr="00F6324E" w:rsidR="002D5FD5">
        <w:rPr>
          <w:rtl/>
        </w:rPr>
        <w:t>לאסדרת</w:t>
      </w:r>
      <w:r w:rsidRPr="00F6324E" w:rsidR="002D5FD5">
        <w:rPr>
          <w:rtl/>
        </w:rPr>
        <w:t xml:space="preserve"> הנושא וכי ביוני 2021, החל משרד המשפטים לקדם את חקיקתו של חוק הגנת הפרטיות (תיקון מס׳ 14) ובנובמבר 2021 אישרה ועדת השרים לחקיקה את הצעת החוק. בינואר 2022 הונחה על שולחן הכנסת ואושרה בקריאה ראשונה.</w:t>
      </w:r>
      <w:r w:rsidRPr="00F6324E" w:rsidR="002D5FD5">
        <w:rPr>
          <w:rFonts w:hint="cs"/>
          <w:rtl/>
        </w:rPr>
        <w:t xml:space="preserve"> </w:t>
      </w:r>
      <w:r w:rsidRPr="00F6324E" w:rsidR="002D5FD5">
        <w:rPr>
          <w:rtl/>
        </w:rPr>
        <w:t>כן נמצא כי משרד המשפטים פרסם נייר עמדה בנושא הזכות לניוד מידע</w:t>
      </w:r>
      <w:r w:rsidRPr="0093709F">
        <w:rPr>
          <w:rFonts w:hint="cs"/>
          <w:rtl/>
        </w:rPr>
        <w:t xml:space="preserve">. </w:t>
      </w:r>
    </w:p>
    <w:p w:rsidR="002D5FD5" w:rsidRPr="00F830E2" w:rsidP="00F830E2" w14:paraId="391CB2CD" w14:textId="6CC008B3">
      <w:pPr>
        <w:pStyle w:val="73612"/>
        <w:rPr>
          <w:rtl/>
        </w:rPr>
      </w:pPr>
      <w:r w:rsidRPr="00F830E2">
        <w:rPr>
          <w:rFonts w:hint="eastAsia"/>
          <w:rtl/>
        </w:rPr>
        <w:t>תיקון</w:t>
      </w:r>
      <w:r w:rsidRPr="00F830E2">
        <w:rPr>
          <w:rtl/>
        </w:rPr>
        <w:t xml:space="preserve"> </w:t>
      </w:r>
      <w:r w:rsidRPr="00F830E2">
        <w:rPr>
          <w:rFonts w:hint="eastAsia"/>
          <w:rtl/>
        </w:rPr>
        <w:t>הליקויים</w:t>
      </w:r>
      <w:r w:rsidRPr="00F830E2">
        <w:rPr>
          <w:rtl/>
        </w:rPr>
        <w:t xml:space="preserve"> </w:t>
      </w:r>
      <w:r w:rsidRPr="00F830E2">
        <w:rPr>
          <w:rFonts w:hint="eastAsia"/>
          <w:rtl/>
        </w:rPr>
        <w:t>מהביקורת</w:t>
      </w:r>
      <w:r w:rsidRPr="00F830E2">
        <w:rPr>
          <w:rtl/>
        </w:rPr>
        <w:t xml:space="preserve"> </w:t>
      </w:r>
      <w:r w:rsidRPr="00F830E2">
        <w:rPr>
          <w:rFonts w:hint="eastAsia"/>
          <w:rtl/>
        </w:rPr>
        <w:t>הקודמת</w:t>
      </w:r>
    </w:p>
    <w:p w:rsidR="00420374" w:rsidRPr="0093709F" w:rsidP="00F830E2" w14:paraId="7C081EA1" w14:textId="1E1AAE6B">
      <w:pPr>
        <w:pStyle w:val="7392"/>
        <w:ind w:left="424"/>
      </w:pPr>
      <w:r w:rsidRPr="00B02658">
        <w:rPr>
          <w:rFonts w:hint="cs"/>
          <w:b/>
          <w:bCs/>
          <w:noProof/>
          <w:rtl/>
        </w:rPr>
        <w:drawing>
          <wp:anchor distT="0" distB="720090" distL="114300" distR="114300" simplePos="0" relativeHeight="251704320" behindDoc="1" locked="0" layoutInCell="1" allowOverlap="1">
            <wp:simplePos x="0" y="0"/>
            <wp:positionH relativeFrom="column">
              <wp:posOffset>4518025</wp:posOffset>
            </wp:positionH>
            <wp:positionV relativeFrom="paragraph">
              <wp:posOffset>24928</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D5FD5" w:rsidR="002D5FD5">
        <w:rPr>
          <w:b/>
          <w:bCs/>
          <w:rtl/>
        </w:rPr>
        <w:t>ת</w:t>
      </w:r>
      <w:r w:rsidRPr="002D5FD5" w:rsidR="002D5FD5">
        <w:rPr>
          <w:rFonts w:hint="cs"/>
          <w:b/>
          <w:bCs/>
          <w:rtl/>
        </w:rPr>
        <w:t>ו</w:t>
      </w:r>
      <w:r w:rsidRPr="002D5FD5" w:rsidR="002D5FD5">
        <w:rPr>
          <w:b/>
          <w:bCs/>
          <w:rtl/>
        </w:rPr>
        <w:t>כני</w:t>
      </w:r>
      <w:r w:rsidRPr="002D5FD5" w:rsidR="002D5FD5">
        <w:rPr>
          <w:rFonts w:hint="cs"/>
          <w:b/>
          <w:bCs/>
          <w:rtl/>
        </w:rPr>
        <w:t>ו</w:t>
      </w:r>
      <w:r w:rsidRPr="002D5FD5" w:rsidR="002D5FD5">
        <w:rPr>
          <w:b/>
          <w:bCs/>
          <w:rtl/>
        </w:rPr>
        <w:t xml:space="preserve">ת </w:t>
      </w:r>
      <w:r w:rsidRPr="002D5FD5" w:rsidR="002D5FD5">
        <w:rPr>
          <w:rFonts w:hint="cs"/>
          <w:b/>
          <w:bCs/>
          <w:rtl/>
        </w:rPr>
        <w:t>לחינוך פיננסי במשרד החינוך</w:t>
      </w:r>
      <w:r w:rsidRPr="00F6324E" w:rsidR="002D5FD5">
        <w:rPr>
          <w:rFonts w:hint="cs"/>
          <w:rtl/>
        </w:rPr>
        <w:t xml:space="preserve"> - בביקורת הקודמת</w:t>
      </w:r>
      <w:r w:rsidRPr="00F6324E" w:rsidR="002D5FD5">
        <w:rPr>
          <w:rtl/>
        </w:rPr>
        <w:t xml:space="preserve"> נמצא כי </w:t>
      </w:r>
      <w:r w:rsidRPr="00F6324E" w:rsidR="002D5FD5">
        <w:rPr>
          <w:rFonts w:hint="cs"/>
          <w:rtl/>
        </w:rPr>
        <w:t xml:space="preserve">כל התוכניות לחינוך פיננסי, אינן עוסקות בנושא צרכנות נבונה במרשתת. בביקורת הנוכחית נמצא כי </w:t>
      </w:r>
      <w:r w:rsidRPr="002D5FD5" w:rsidR="002D5FD5">
        <w:rPr>
          <w:rFonts w:hint="cs"/>
          <w:b/>
          <w:bCs/>
          <w:rtl/>
        </w:rPr>
        <w:t>הליקוי תוקן במידה מועטה</w:t>
      </w:r>
      <w:r w:rsidRPr="002D5FD5" w:rsidR="002D5FD5">
        <w:rPr>
          <w:rFonts w:hint="cs"/>
          <w:rtl/>
        </w:rPr>
        <w:t>:</w:t>
      </w:r>
      <w:r w:rsidRPr="00F6324E" w:rsidR="002D5FD5">
        <w:rPr>
          <w:rFonts w:hint="cs"/>
          <w:rtl/>
        </w:rPr>
        <w:t xml:space="preserve"> עלה מדוח הרגלי קניה (יוני 2019) כי</w:t>
      </w:r>
      <w:r w:rsidRPr="00F6324E" w:rsidR="002D5FD5">
        <w:rPr>
          <w:rtl/>
        </w:rPr>
        <w:t xml:space="preserve"> בגילי 16 - 18 ישנה מעורבות הורית בולטת בתשלום עבור הקניות במרשתת, ועם זאת כשליש מהנוער בגילים אלו שנוהג לקנות במרשתת משלם על הקנייה בעצמו. עוד עלה מהסקר כי עצמאות פיננסית בולטת יותר בקרב הבנים ועולה עם הגיל, ונמצא קשר בין תדירות הקנייה לעלייה בדיווח על תשלום עצמאי. </w:t>
      </w:r>
      <w:r w:rsidR="00542652">
        <w:rPr>
          <w:rFonts w:hint="cs"/>
          <w:rtl/>
        </w:rPr>
        <w:t>מ</w:t>
      </w:r>
      <w:r w:rsidRPr="00F6324E" w:rsidR="002D5FD5">
        <w:rPr>
          <w:rFonts w:hint="cs"/>
          <w:rtl/>
        </w:rPr>
        <w:t xml:space="preserve">ממצאי הביקורת </w:t>
      </w:r>
      <w:r w:rsidRPr="00F6324E" w:rsidR="002D5FD5">
        <w:rPr>
          <w:rtl/>
        </w:rPr>
        <w:t>עולה כי מספר המשתתפים בשבוע גלישה בטוחה ש</w:t>
      </w:r>
      <w:r w:rsidRPr="00F6324E" w:rsidR="002D5FD5">
        <w:rPr>
          <w:rFonts w:hint="cs"/>
          <w:rtl/>
        </w:rPr>
        <w:t xml:space="preserve">ערך משרד החינוך </w:t>
      </w:r>
      <w:r w:rsidRPr="00F6324E" w:rsidR="002D5FD5">
        <w:rPr>
          <w:rtl/>
        </w:rPr>
        <w:t xml:space="preserve">בפברואר 2022 עמד על 191 אלף תלמידים ובשבוע הכסף שנערך במרץ 2022 השתתפו רק 4,000 תלמידים מתוך סך כולל של כ-758 אלף תלמידים בחטיבת הביניים ובחטיבה העליונה במערכת החינוך בשנת הלימודים תש"פ. עוד </w:t>
      </w:r>
      <w:r w:rsidRPr="00F6324E" w:rsidR="002D5FD5">
        <w:rPr>
          <w:rFonts w:hint="cs"/>
          <w:rtl/>
        </w:rPr>
        <w:t>עולה</w:t>
      </w:r>
      <w:r w:rsidRPr="00F6324E" w:rsidR="002D5FD5">
        <w:rPr>
          <w:rtl/>
        </w:rPr>
        <w:t xml:space="preserve"> כי, עד מועד סיום הביקורת, משרד החינוך </w:t>
      </w:r>
      <w:r w:rsidRPr="00F6324E" w:rsidR="002D5FD5">
        <w:rPr>
          <w:rFonts w:hint="eastAsia"/>
          <w:rtl/>
        </w:rPr>
        <w:t>גבש</w:t>
      </w:r>
      <w:r w:rsidRPr="00F6324E" w:rsidR="002D5FD5">
        <w:rPr>
          <w:rtl/>
        </w:rPr>
        <w:t xml:space="preserve"> תכנים בנושא סחר מקוון שאמורים להשתלב במסגרת </w:t>
      </w:r>
      <w:r w:rsidRPr="00F6324E" w:rsidR="002D5FD5">
        <w:rPr>
          <w:rtl/>
        </w:rPr>
        <w:t>התכנית</w:t>
      </w:r>
      <w:r w:rsidRPr="00F6324E" w:rsidR="002D5FD5">
        <w:rPr>
          <w:rtl/>
        </w:rPr>
        <w:t xml:space="preserve"> המשרדית הרב גילית</w:t>
      </w:r>
      <w:r w:rsidRPr="00F6324E" w:rsidR="002D5FD5">
        <w:rPr>
          <w:rFonts w:hint="cs"/>
          <w:rtl/>
        </w:rPr>
        <w:t xml:space="preserve"> </w:t>
      </w:r>
      <w:r w:rsidRPr="00F6324E" w:rsidR="002D5FD5">
        <w:rPr>
          <w:rFonts w:hint="eastAsia"/>
          <w:rtl/>
        </w:rPr>
        <w:t>אך</w:t>
      </w:r>
      <w:r w:rsidRPr="00F6324E" w:rsidR="002D5FD5">
        <w:rPr>
          <w:rtl/>
        </w:rPr>
        <w:t xml:space="preserve"> טרם </w:t>
      </w:r>
      <w:r w:rsidRPr="00F6324E" w:rsidR="002D5FD5">
        <w:rPr>
          <w:rFonts w:hint="eastAsia"/>
          <w:rtl/>
        </w:rPr>
        <w:t>השלים</w:t>
      </w:r>
      <w:r w:rsidRPr="00F6324E" w:rsidR="002D5FD5">
        <w:rPr>
          <w:rtl/>
        </w:rPr>
        <w:t xml:space="preserve"> </w:t>
      </w:r>
      <w:r w:rsidRPr="00F6324E" w:rsidR="002D5FD5">
        <w:rPr>
          <w:rFonts w:hint="eastAsia"/>
          <w:rtl/>
        </w:rPr>
        <w:t>אשור</w:t>
      </w:r>
      <w:r w:rsidRPr="00F6324E" w:rsidR="002D5FD5">
        <w:rPr>
          <w:rtl/>
        </w:rPr>
        <w:t xml:space="preserve"> </w:t>
      </w:r>
      <w:r w:rsidRPr="00F6324E" w:rsidR="002D5FD5">
        <w:rPr>
          <w:rFonts w:hint="eastAsia"/>
          <w:rtl/>
        </w:rPr>
        <w:t>התכנים</w:t>
      </w:r>
      <w:r w:rsidRPr="00F6324E" w:rsidR="002D5FD5">
        <w:rPr>
          <w:rtl/>
        </w:rPr>
        <w:t xml:space="preserve"> והטמעת</w:t>
      </w:r>
      <w:r w:rsidRPr="00F6324E" w:rsidR="002D5FD5">
        <w:rPr>
          <w:rFonts w:hint="eastAsia"/>
          <w:rtl/>
        </w:rPr>
        <w:t>ם</w:t>
      </w:r>
      <w:r w:rsidRPr="00F6324E" w:rsidR="002D5FD5">
        <w:rPr>
          <w:rtl/>
        </w:rPr>
        <w:t>.</w:t>
      </w:r>
      <w:r w:rsidRPr="00F6324E" w:rsidR="002D5FD5">
        <w:rPr>
          <w:rFonts w:hint="cs"/>
          <w:rtl/>
        </w:rPr>
        <w:t xml:space="preserve"> </w:t>
      </w:r>
      <w:r w:rsidRPr="00F6324E" w:rsidR="002D5FD5">
        <w:rPr>
          <w:rFonts w:hint="eastAsia"/>
          <w:rtl/>
        </w:rPr>
        <w:t>כן</w:t>
      </w:r>
      <w:r w:rsidRPr="00F6324E" w:rsidR="002D5FD5">
        <w:rPr>
          <w:rtl/>
        </w:rPr>
        <w:t xml:space="preserve"> נמצא כי בתוכנית העתידית </w:t>
      </w:r>
      <w:r w:rsidRPr="00F6324E" w:rsidR="002D5FD5">
        <w:rPr>
          <w:rFonts w:hint="eastAsia"/>
          <w:rtl/>
        </w:rPr>
        <w:t>של</w:t>
      </w:r>
      <w:r w:rsidRPr="00F6324E" w:rsidR="002D5FD5">
        <w:rPr>
          <w:rtl/>
        </w:rPr>
        <w:t xml:space="preserve"> משרד החינוך </w:t>
      </w:r>
      <w:r w:rsidRPr="00F6324E" w:rsidR="002D5FD5">
        <w:rPr>
          <w:rFonts w:hint="eastAsia"/>
          <w:rtl/>
        </w:rPr>
        <w:t>בנושא</w:t>
      </w:r>
      <w:r w:rsidRPr="00F6324E" w:rsidR="002D5FD5">
        <w:rPr>
          <w:rtl/>
        </w:rPr>
        <w:t xml:space="preserve"> </w:t>
      </w:r>
      <w:r w:rsidRPr="00F6324E" w:rsidR="002D5FD5">
        <w:rPr>
          <w:rFonts w:hint="eastAsia"/>
          <w:rtl/>
        </w:rPr>
        <w:t>המסחר</w:t>
      </w:r>
      <w:r w:rsidRPr="00F6324E" w:rsidR="002D5FD5">
        <w:rPr>
          <w:rtl/>
        </w:rPr>
        <w:t xml:space="preserve"> </w:t>
      </w:r>
      <w:r w:rsidRPr="00F6324E" w:rsidR="002D5FD5">
        <w:rPr>
          <w:rFonts w:hint="eastAsia"/>
          <w:rtl/>
        </w:rPr>
        <w:t>המקוון</w:t>
      </w:r>
      <w:r w:rsidRPr="00F6324E" w:rsidR="002D5FD5">
        <w:rPr>
          <w:rtl/>
        </w:rPr>
        <w:t xml:space="preserve"> </w:t>
      </w:r>
      <w:r w:rsidRPr="00F6324E" w:rsidR="002D5FD5">
        <w:rPr>
          <w:rFonts w:hint="eastAsia"/>
          <w:rtl/>
        </w:rPr>
        <w:t>אין</w:t>
      </w:r>
      <w:r w:rsidRPr="00F6324E" w:rsidR="002D5FD5">
        <w:rPr>
          <w:rtl/>
        </w:rPr>
        <w:t xml:space="preserve"> </w:t>
      </w:r>
      <w:r w:rsidRPr="00F6324E" w:rsidR="002D5FD5">
        <w:rPr>
          <w:rFonts w:hint="eastAsia"/>
          <w:rtl/>
        </w:rPr>
        <w:t>התייחסות</w:t>
      </w:r>
      <w:r w:rsidRPr="00F6324E" w:rsidR="002D5FD5">
        <w:rPr>
          <w:rtl/>
        </w:rPr>
        <w:t xml:space="preserve"> </w:t>
      </w:r>
      <w:r w:rsidRPr="00F6324E" w:rsidR="002D5FD5">
        <w:rPr>
          <w:rFonts w:hint="eastAsia"/>
          <w:rtl/>
        </w:rPr>
        <w:t>לנושא</w:t>
      </w:r>
      <w:r w:rsidRPr="00F6324E" w:rsidR="002D5FD5">
        <w:rPr>
          <w:rtl/>
        </w:rPr>
        <w:t xml:space="preserve"> </w:t>
      </w:r>
      <w:r w:rsidRPr="00F6324E" w:rsidR="002D5FD5">
        <w:rPr>
          <w:rFonts w:hint="eastAsia"/>
          <w:rtl/>
        </w:rPr>
        <w:t>ההגנה</w:t>
      </w:r>
      <w:r w:rsidRPr="00F6324E" w:rsidR="002D5FD5">
        <w:rPr>
          <w:rtl/>
        </w:rPr>
        <w:t xml:space="preserve"> </w:t>
      </w:r>
      <w:r w:rsidRPr="00F6324E" w:rsidR="002D5FD5">
        <w:rPr>
          <w:rFonts w:hint="eastAsia"/>
          <w:rtl/>
        </w:rPr>
        <w:t>על</w:t>
      </w:r>
      <w:r w:rsidRPr="00F6324E" w:rsidR="002D5FD5">
        <w:rPr>
          <w:rtl/>
        </w:rPr>
        <w:t xml:space="preserve"> </w:t>
      </w:r>
      <w:r w:rsidRPr="00F6324E" w:rsidR="002D5FD5">
        <w:rPr>
          <w:rFonts w:hint="eastAsia"/>
          <w:rtl/>
        </w:rPr>
        <w:t>הפרטיות</w:t>
      </w:r>
      <w:r w:rsidRPr="00F6324E" w:rsidR="002D5FD5">
        <w:rPr>
          <w:rtl/>
        </w:rPr>
        <w:t xml:space="preserve"> </w:t>
      </w:r>
      <w:r w:rsidRPr="00F6324E" w:rsidR="002D5FD5">
        <w:rPr>
          <w:rFonts w:hint="eastAsia"/>
          <w:rtl/>
        </w:rPr>
        <w:t>וההונאות</w:t>
      </w:r>
      <w:r w:rsidRPr="00F6324E" w:rsidR="002D5FD5">
        <w:rPr>
          <w:rtl/>
        </w:rPr>
        <w:t xml:space="preserve"> </w:t>
      </w:r>
      <w:r w:rsidRPr="00F6324E" w:rsidR="002D5FD5">
        <w:rPr>
          <w:rFonts w:hint="eastAsia"/>
          <w:rtl/>
        </w:rPr>
        <w:t>במרשתת</w:t>
      </w:r>
      <w:r w:rsidRPr="0093709F">
        <w:rPr>
          <w:rFonts w:hint="cs"/>
          <w:rtl/>
        </w:rPr>
        <w:t xml:space="preserve">. </w:t>
      </w:r>
    </w:p>
    <w:p w:rsidR="00420374" w:rsidRPr="0093709F" w:rsidP="00F830E2" w14:paraId="5E8BF229" w14:textId="5C1C5432">
      <w:pPr>
        <w:pStyle w:val="7392"/>
        <w:ind w:left="424"/>
        <w:rPr>
          <w:rtl/>
        </w:rPr>
      </w:pPr>
      <w:r w:rsidRPr="00B02658">
        <w:rPr>
          <w:rFonts w:hint="cs"/>
          <w:b/>
          <w:bCs/>
          <w:noProof/>
          <w:rtl/>
        </w:rPr>
        <w:drawing>
          <wp:anchor distT="0" distB="720090" distL="114300" distR="114300" simplePos="0" relativeHeight="251703296" behindDoc="1" locked="0" layoutInCell="1" allowOverlap="1">
            <wp:simplePos x="0" y="0"/>
            <wp:positionH relativeFrom="column">
              <wp:posOffset>4518025</wp:posOffset>
            </wp:positionH>
            <wp:positionV relativeFrom="paragraph">
              <wp:posOffset>21427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5FD5" w:rsidR="002D5FD5">
        <w:rPr>
          <w:b/>
          <w:bCs/>
          <w:rtl/>
        </w:rPr>
        <w:t>אזרחים ותיקים</w:t>
      </w:r>
      <w:r w:rsidRPr="00F6324E" w:rsidR="002D5FD5">
        <w:rPr>
          <w:rFonts w:hint="cs"/>
          <w:rtl/>
        </w:rPr>
        <w:t xml:space="preserve"> -</w:t>
      </w:r>
      <w:r w:rsidRPr="00F6324E" w:rsidR="002D5FD5">
        <w:rPr>
          <w:rtl/>
        </w:rPr>
        <w:t xml:space="preserve"> </w:t>
      </w:r>
      <w:r w:rsidRPr="00F6324E" w:rsidR="002D5FD5">
        <w:rPr>
          <w:rFonts w:hint="cs"/>
          <w:rtl/>
        </w:rPr>
        <w:t>בביקורת הקודמת</w:t>
      </w:r>
      <w:r w:rsidRPr="00F6324E" w:rsidR="002D5FD5">
        <w:rPr>
          <w:rtl/>
        </w:rPr>
        <w:t xml:space="preserve"> נמצא כי סדנאות </w:t>
      </w:r>
      <w:r w:rsidRPr="00F6324E" w:rsidR="002D5FD5">
        <w:rPr>
          <w:rFonts w:hint="cs"/>
          <w:rtl/>
        </w:rPr>
        <w:t xml:space="preserve">הסברה בנושא "צרכנות נבונה" </w:t>
      </w:r>
      <w:r w:rsidRPr="00F6324E" w:rsidR="002D5FD5">
        <w:rPr>
          <w:rtl/>
        </w:rPr>
        <w:t xml:space="preserve">אינן שמות דגש על נושא צרכנות נבונה במרשתת. בביקורת </w:t>
      </w:r>
      <w:r w:rsidRPr="00F6324E" w:rsidR="002D5FD5">
        <w:rPr>
          <w:rFonts w:hint="cs"/>
          <w:rtl/>
        </w:rPr>
        <w:t>הנוכחית נמצא כי</w:t>
      </w:r>
      <w:r w:rsidRPr="00F6324E" w:rsidR="002D5FD5">
        <w:rPr>
          <w:rtl/>
        </w:rPr>
        <w:t xml:space="preserve"> </w:t>
      </w:r>
      <w:r w:rsidRPr="002D5FD5" w:rsidR="002D5FD5">
        <w:rPr>
          <w:b/>
          <w:bCs/>
          <w:rtl/>
        </w:rPr>
        <w:t>הליקוי לא תוקן</w:t>
      </w:r>
      <w:r w:rsidRPr="00F6324E" w:rsidR="002D5FD5">
        <w:rPr>
          <w:rFonts w:hint="cs"/>
          <w:rtl/>
        </w:rPr>
        <w:t>:</w:t>
      </w:r>
      <w:r w:rsidRPr="00F6324E" w:rsidR="002D5FD5">
        <w:rPr>
          <w:rtl/>
        </w:rPr>
        <w:t xml:space="preserve"> סך המודרכים במסגרת תכנית ישראל </w:t>
      </w:r>
      <w:r w:rsidRPr="00F6324E" w:rsidR="002D5FD5">
        <w:rPr>
          <w:rFonts w:hint="cs"/>
          <w:rtl/>
        </w:rPr>
        <w:t>דיגיטלי</w:t>
      </w:r>
      <w:r w:rsidRPr="00F6324E" w:rsidR="002D5FD5">
        <w:rPr>
          <w:rFonts w:hint="eastAsia"/>
          <w:rtl/>
        </w:rPr>
        <w:t>ת</w:t>
      </w:r>
      <w:r w:rsidRPr="00F6324E" w:rsidR="002D5FD5">
        <w:rPr>
          <w:rtl/>
        </w:rPr>
        <w:t xml:space="preserve"> בשנים 2018 - 2021 שהם אזרחים ותיקים עמד על כ-8,400 בתחום צרכנות נבונה וכ-5,000 בתחום שמירה על פרטיות ובטיחות במרשתת</w:t>
      </w:r>
      <w:r w:rsidR="00542652">
        <w:rPr>
          <w:rFonts w:hint="cs"/>
          <w:rtl/>
        </w:rPr>
        <w:t>,</w:t>
      </w:r>
      <w:r w:rsidRPr="00F6324E" w:rsidR="002D5FD5">
        <w:rPr>
          <w:rtl/>
        </w:rPr>
        <w:t xml:space="preserve"> מתוך אוכלוסיית האזרחים הוותיקים במדינה המוערכת בכ-1,128,000 נכון לשנת 2020. </w:t>
      </w:r>
      <w:r w:rsidRPr="00F6324E" w:rsidR="002D5FD5">
        <w:rPr>
          <w:rFonts w:hint="cs"/>
          <w:rtl/>
        </w:rPr>
        <w:t xml:space="preserve">עם זאת, </w:t>
      </w:r>
      <w:r w:rsidRPr="00F6324E" w:rsidR="002D5FD5">
        <w:rPr>
          <w:rtl/>
        </w:rPr>
        <w:t>המשרד לשוויון חברתי והמועצה הישר</w:t>
      </w:r>
      <w:r w:rsidRPr="00F6324E" w:rsidR="002D5FD5">
        <w:rPr>
          <w:rFonts w:hint="eastAsia"/>
          <w:rtl/>
        </w:rPr>
        <w:t>א</w:t>
      </w:r>
      <w:r w:rsidRPr="00F6324E" w:rsidR="002D5FD5">
        <w:rPr>
          <w:rtl/>
        </w:rPr>
        <w:t xml:space="preserve">לית לצרכנות </w:t>
      </w:r>
      <w:r w:rsidRPr="00F6324E" w:rsidR="002D5FD5">
        <w:rPr>
          <w:rFonts w:hint="eastAsia"/>
          <w:rtl/>
        </w:rPr>
        <w:t>לא</w:t>
      </w:r>
      <w:r w:rsidRPr="00F6324E" w:rsidR="002D5FD5">
        <w:rPr>
          <w:rtl/>
        </w:rPr>
        <w:t xml:space="preserve"> </w:t>
      </w:r>
      <w:r w:rsidRPr="00F6324E" w:rsidR="002D5FD5">
        <w:rPr>
          <w:rFonts w:hint="eastAsia"/>
          <w:rtl/>
        </w:rPr>
        <w:t>מ</w:t>
      </w:r>
      <w:r w:rsidRPr="00F6324E" w:rsidR="002D5FD5">
        <w:rPr>
          <w:rtl/>
        </w:rPr>
        <w:t>יפ</w:t>
      </w:r>
      <w:r w:rsidRPr="00F6324E" w:rsidR="002D5FD5">
        <w:rPr>
          <w:rFonts w:hint="eastAsia"/>
          <w:rtl/>
        </w:rPr>
        <w:t>ו</w:t>
      </w:r>
      <w:r w:rsidRPr="00F6324E" w:rsidR="002D5FD5">
        <w:rPr>
          <w:rtl/>
        </w:rPr>
        <w:t xml:space="preserve"> </w:t>
      </w:r>
      <w:r w:rsidRPr="00F6324E" w:rsidR="002D5FD5">
        <w:rPr>
          <w:rFonts w:hint="eastAsia"/>
          <w:rtl/>
        </w:rPr>
        <w:t>את</w:t>
      </w:r>
      <w:r w:rsidRPr="00F6324E" w:rsidR="002D5FD5">
        <w:rPr>
          <w:rtl/>
        </w:rPr>
        <w:t xml:space="preserve"> הצרכים והחסמים של אוכלוסיית האזרחים הוותיקים ו</w:t>
      </w:r>
      <w:r w:rsidRPr="00F6324E" w:rsidR="002D5FD5">
        <w:rPr>
          <w:rFonts w:hint="eastAsia"/>
          <w:rtl/>
        </w:rPr>
        <w:t>לא</w:t>
      </w:r>
      <w:r w:rsidRPr="00F6324E" w:rsidR="002D5FD5">
        <w:rPr>
          <w:rtl/>
        </w:rPr>
        <w:t xml:space="preserve"> השלימ</w:t>
      </w:r>
      <w:r w:rsidRPr="00F6324E" w:rsidR="002D5FD5">
        <w:rPr>
          <w:rFonts w:hint="eastAsia"/>
          <w:rtl/>
        </w:rPr>
        <w:t>ו</w:t>
      </w:r>
      <w:r w:rsidRPr="00F6324E" w:rsidR="002D5FD5">
        <w:rPr>
          <w:rtl/>
        </w:rPr>
        <w:t xml:space="preserve"> גיבוש תכנית לנושא הצרכנות במרשתת בקרב האוכלוסייה הוותיקה</w:t>
      </w:r>
      <w:r w:rsidRPr="0093709F">
        <w:rPr>
          <w:rFonts w:hint="cs"/>
          <w:rtl/>
        </w:rPr>
        <w:t>.</w:t>
      </w:r>
    </w:p>
    <w:p w:rsidR="002D5FD5" w:rsidP="00F830E2" w14:paraId="75EA0090" w14:textId="3EA755FB">
      <w:pPr>
        <w:pStyle w:val="7392"/>
        <w:ind w:left="424"/>
        <w:rPr>
          <w:noProof/>
        </w:rPr>
      </w:pPr>
      <w:r w:rsidRPr="00B02658">
        <w:rPr>
          <w:rFonts w:hint="cs"/>
          <w:b/>
          <w:bCs/>
          <w:noProof/>
          <w:rtl/>
        </w:rPr>
        <w:drawing>
          <wp:anchor distT="0" distB="720090" distL="114300" distR="114300" simplePos="0" relativeHeight="251705344" behindDoc="1" locked="0" layoutInCell="1" allowOverlap="1">
            <wp:simplePos x="0" y="0"/>
            <wp:positionH relativeFrom="column">
              <wp:posOffset>4518025</wp:posOffset>
            </wp:positionH>
            <wp:positionV relativeFrom="paragraph">
              <wp:posOffset>39842</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D5FD5">
        <w:rPr>
          <w:b/>
          <w:bCs/>
          <w:rtl/>
        </w:rPr>
        <w:t xml:space="preserve">עסקים קטנים </w:t>
      </w:r>
      <w:r w:rsidRPr="002D5FD5">
        <w:rPr>
          <w:rFonts w:hint="cs"/>
          <w:b/>
          <w:bCs/>
          <w:rtl/>
        </w:rPr>
        <w:t>ב</w:t>
      </w:r>
      <w:r w:rsidRPr="002D5FD5">
        <w:rPr>
          <w:b/>
          <w:bCs/>
          <w:rtl/>
        </w:rPr>
        <w:t>מגזר הערבי</w:t>
      </w:r>
      <w:r w:rsidRPr="00F6324E">
        <w:rPr>
          <w:rFonts w:hint="cs"/>
          <w:rtl/>
        </w:rPr>
        <w:t xml:space="preserve"> -</w:t>
      </w:r>
      <w:r w:rsidRPr="00F6324E">
        <w:rPr>
          <w:rtl/>
        </w:rPr>
        <w:t xml:space="preserve"> בדוח הקודם נמצא כי אין גוף פרטי או ממשלתי המחזיק בנתונים על מספר העסקים הקטנים מהמגזר הערבי המוכרים במרשתת. גם הרשות לפיתוח כלכלי של מגזר המיעוטים שבמשרד לשוויון חברתי אינה מחזיקה במידע כזה, ואין היא מקיימת מחקרים לאיתור הקשיים והצרכים של המגזר בנושא המסחר המקוון.</w:t>
      </w:r>
      <w:r w:rsidRPr="00F6324E">
        <w:rPr>
          <w:rFonts w:hint="cs"/>
          <w:rtl/>
        </w:rPr>
        <w:t xml:space="preserve"> </w:t>
      </w:r>
      <w:r w:rsidRPr="00F6324E">
        <w:rPr>
          <w:rtl/>
        </w:rPr>
        <w:t xml:space="preserve">בביקורת המעקב עלה כי </w:t>
      </w:r>
      <w:r w:rsidRPr="006B7DE9">
        <w:rPr>
          <w:b/>
          <w:bCs/>
          <w:rtl/>
        </w:rPr>
        <w:t>הליקוי תוקן במידה מועטה</w:t>
      </w:r>
      <w:r w:rsidRPr="00F6324E">
        <w:rPr>
          <w:rtl/>
        </w:rPr>
        <w:t xml:space="preserve">: </w:t>
      </w:r>
      <w:r w:rsidRPr="00F6324E">
        <w:rPr>
          <w:rFonts w:hint="eastAsia"/>
          <w:rtl/>
        </w:rPr>
        <w:t>על</w:t>
      </w:r>
      <w:r w:rsidRPr="00F6324E">
        <w:rPr>
          <w:rtl/>
        </w:rPr>
        <w:t xml:space="preserve"> פי סקר איגוד האינטרנט הישראל</w:t>
      </w:r>
      <w:r w:rsidRPr="00F6324E">
        <w:rPr>
          <w:rFonts w:hint="cs"/>
          <w:rtl/>
        </w:rPr>
        <w:t>י</w:t>
      </w:r>
      <w:r w:rsidRPr="00F6324E">
        <w:rPr>
          <w:rtl/>
        </w:rPr>
        <w:t xml:space="preserve"> ב-2020 היה שיעור האנשים שלא ביצעו קניות במרשתת בקרב האוכלוסייה הערבית גבוה פי 11 משיעורם באוכלוסייה היהודית ועומד על 57%. </w:t>
      </w:r>
      <w:r w:rsidRPr="00F6324E">
        <w:rPr>
          <w:rFonts w:hint="eastAsia"/>
          <w:rtl/>
        </w:rPr>
        <w:t>עם</w:t>
      </w:r>
      <w:r w:rsidRPr="00F6324E">
        <w:rPr>
          <w:rtl/>
        </w:rPr>
        <w:t xml:space="preserve"> זאת, </w:t>
      </w:r>
      <w:r w:rsidRPr="00F6324E">
        <w:rPr>
          <w:rFonts w:hint="eastAsia"/>
          <w:rtl/>
        </w:rPr>
        <w:t>ה</w:t>
      </w:r>
      <w:r w:rsidRPr="00F6324E">
        <w:rPr>
          <w:rtl/>
        </w:rPr>
        <w:t xml:space="preserve">סוכנות לעסקים קטנים </w:t>
      </w:r>
      <w:r w:rsidRPr="00F6324E">
        <w:rPr>
          <w:rFonts w:hint="cs"/>
          <w:rtl/>
        </w:rPr>
        <w:t>ו</w:t>
      </w:r>
      <w:r w:rsidRPr="00F6324E">
        <w:rPr>
          <w:rtl/>
        </w:rPr>
        <w:t>הרשות לפיתוח כלכלי של מגזר המיעוטים</w:t>
      </w:r>
      <w:r w:rsidRPr="00F6324E">
        <w:rPr>
          <w:rFonts w:hint="cs"/>
          <w:rtl/>
        </w:rPr>
        <w:t xml:space="preserve"> לא אספו </w:t>
      </w:r>
      <w:r w:rsidRPr="00F6324E">
        <w:rPr>
          <w:rtl/>
        </w:rPr>
        <w:t xml:space="preserve">מידע </w:t>
      </w:r>
      <w:r w:rsidRPr="00F6324E">
        <w:rPr>
          <w:rFonts w:hint="cs"/>
          <w:rtl/>
        </w:rPr>
        <w:t xml:space="preserve">על </w:t>
      </w:r>
      <w:r w:rsidRPr="00F6324E">
        <w:rPr>
          <w:rtl/>
        </w:rPr>
        <w:t>מספר העסקים הקטנים מהמגזר הערבי המוכרים במרשתת.</w:t>
      </w:r>
      <w:r w:rsidRPr="00F6324E">
        <w:rPr>
          <w:rFonts w:hint="cs"/>
          <w:rtl/>
        </w:rPr>
        <w:t xml:space="preserve"> ל</w:t>
      </w:r>
      <w:r w:rsidRPr="00F6324E">
        <w:rPr>
          <w:rtl/>
        </w:rPr>
        <w:t xml:space="preserve">רשות </w:t>
      </w:r>
      <w:r w:rsidRPr="00F6324E">
        <w:rPr>
          <w:rFonts w:hint="cs"/>
          <w:rtl/>
        </w:rPr>
        <w:t xml:space="preserve">אין </w:t>
      </w:r>
      <w:r w:rsidRPr="00F6324E">
        <w:rPr>
          <w:rtl/>
        </w:rPr>
        <w:t>ת</w:t>
      </w:r>
      <w:r w:rsidRPr="00F6324E">
        <w:rPr>
          <w:rFonts w:hint="cs"/>
          <w:rtl/>
        </w:rPr>
        <w:t>ו</w:t>
      </w:r>
      <w:r w:rsidRPr="00F6324E">
        <w:rPr>
          <w:rtl/>
        </w:rPr>
        <w:t>כנית</w:t>
      </w:r>
      <w:r w:rsidRPr="00F6324E">
        <w:rPr>
          <w:rFonts w:hint="cs"/>
          <w:rtl/>
        </w:rPr>
        <w:t xml:space="preserve"> למגזר זה</w:t>
      </w:r>
      <w:r w:rsidRPr="00F6324E">
        <w:rPr>
          <w:rtl/>
        </w:rPr>
        <w:t xml:space="preserve"> בנושא המסחר המקוון</w:t>
      </w:r>
      <w:r w:rsidRPr="00F6324E">
        <w:rPr>
          <w:rFonts w:hint="cs"/>
          <w:rtl/>
        </w:rPr>
        <w:t xml:space="preserve">, </w:t>
      </w:r>
      <w:r w:rsidRPr="00F6324E">
        <w:rPr>
          <w:rFonts w:hint="eastAsia"/>
          <w:rtl/>
        </w:rPr>
        <w:t>ו</w:t>
      </w:r>
      <w:r w:rsidRPr="00F6324E">
        <w:rPr>
          <w:rtl/>
        </w:rPr>
        <w:t>הסוכנות פועלת באמצעות סניפי מעו"ף, אך בהיעדר מידע על מספר העסקים הקטנים במגזר היא איננה מודדות האם פעולותיה יעילות</w:t>
      </w:r>
      <w:r w:rsidRPr="0093709F" w:rsidR="00420374">
        <w:rPr>
          <w:rFonts w:hint="cs"/>
          <w:rtl/>
        </w:rPr>
        <w:t>.</w:t>
      </w:r>
    </w:p>
    <w:p w:rsidR="00420374" w:rsidP="00F830E2" w14:paraId="39D5E97C" w14:textId="73DF47DF">
      <w:pPr>
        <w:pStyle w:val="7392"/>
        <w:ind w:left="424"/>
        <w:rPr>
          <w:noProof/>
          <w:rtl/>
        </w:rPr>
      </w:pPr>
      <w:r w:rsidRPr="00B02658">
        <w:rPr>
          <w:rFonts w:hint="cs"/>
          <w:b/>
          <w:bCs/>
          <w:noProof/>
          <w:rtl/>
        </w:rPr>
        <w:drawing>
          <wp:anchor distT="0" distB="720090" distL="114300" distR="114300" simplePos="0" relativeHeight="251706368" behindDoc="1" locked="0" layoutInCell="1" allowOverlap="1">
            <wp:simplePos x="0" y="0"/>
            <wp:positionH relativeFrom="column">
              <wp:posOffset>4518025</wp:posOffset>
            </wp:positionH>
            <wp:positionV relativeFrom="paragraph">
              <wp:posOffset>39842</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B7DE9" w:rsidR="002D5FD5">
        <w:rPr>
          <w:rFonts w:hint="cs"/>
          <w:b/>
          <w:bCs/>
          <w:rtl/>
        </w:rPr>
        <w:t xml:space="preserve">איסוף </w:t>
      </w:r>
      <w:r w:rsidRPr="006B7DE9" w:rsidR="002D5FD5">
        <w:rPr>
          <w:b/>
          <w:bCs/>
          <w:rtl/>
        </w:rPr>
        <w:t>נתונים על הפעילות בתחום המסחר המקוון</w:t>
      </w:r>
      <w:r w:rsidRPr="006B7DE9" w:rsidR="002D5FD5">
        <w:rPr>
          <w:rFonts w:hint="cs"/>
          <w:b/>
          <w:bCs/>
          <w:rtl/>
        </w:rPr>
        <w:t xml:space="preserve"> ע"י רשויות מקומיות</w:t>
      </w:r>
      <w:r w:rsidRPr="00F6324E" w:rsidR="002D5FD5">
        <w:rPr>
          <w:rFonts w:hint="cs"/>
          <w:rtl/>
        </w:rPr>
        <w:t xml:space="preserve"> -</w:t>
      </w:r>
      <w:r w:rsidRPr="00F6324E" w:rsidR="002D5FD5">
        <w:rPr>
          <w:rtl/>
        </w:rPr>
        <w:t xml:space="preserve"> בדוח הקודם </w:t>
      </w:r>
      <w:r w:rsidRPr="00F6324E" w:rsidR="002D5FD5">
        <w:rPr>
          <w:rFonts w:hint="eastAsia"/>
          <w:rtl/>
        </w:rPr>
        <w:t>הומלץ</w:t>
      </w:r>
      <w:r w:rsidRPr="00F6324E" w:rsidR="002D5FD5">
        <w:rPr>
          <w:rFonts w:hint="cs"/>
          <w:rtl/>
        </w:rPr>
        <w:t xml:space="preserve"> </w:t>
      </w:r>
      <w:r w:rsidRPr="00F6324E" w:rsidR="002D5FD5">
        <w:rPr>
          <w:rtl/>
        </w:rPr>
        <w:t xml:space="preserve">כי </w:t>
      </w:r>
      <w:r w:rsidRPr="00F6324E" w:rsidR="002D5FD5">
        <w:rPr>
          <w:rFonts w:hint="cs"/>
          <w:rtl/>
        </w:rPr>
        <w:t>ה</w:t>
      </w:r>
      <w:r w:rsidRPr="00F6324E" w:rsidR="002D5FD5">
        <w:rPr>
          <w:rtl/>
        </w:rPr>
        <w:t xml:space="preserve">רשויות </w:t>
      </w:r>
      <w:r w:rsidRPr="00F6324E" w:rsidR="002D5FD5">
        <w:rPr>
          <w:rFonts w:hint="cs"/>
          <w:rtl/>
        </w:rPr>
        <w:t>ה</w:t>
      </w:r>
      <w:r w:rsidRPr="00F6324E" w:rsidR="002D5FD5">
        <w:rPr>
          <w:rtl/>
        </w:rPr>
        <w:t xml:space="preserve">מקומיות </w:t>
      </w:r>
      <w:r w:rsidRPr="00F6324E" w:rsidR="002D5FD5">
        <w:rPr>
          <w:rFonts w:hint="eastAsia"/>
          <w:rtl/>
        </w:rPr>
        <w:t>יתנו</w:t>
      </w:r>
      <w:r w:rsidRPr="00F6324E" w:rsidR="002D5FD5">
        <w:rPr>
          <w:rFonts w:hint="cs"/>
          <w:rtl/>
        </w:rPr>
        <w:t xml:space="preserve"> </w:t>
      </w:r>
      <w:r w:rsidRPr="00F6324E" w:rsidR="002D5FD5">
        <w:rPr>
          <w:rtl/>
        </w:rPr>
        <w:t xml:space="preserve">דעתם על השינוי בתמהיל הצריכה ועל השפעתו על מרכזי המסחר הקיימים והעתידיים במרחב הפיזי, ובעקבות זאת </w:t>
      </w:r>
      <w:r w:rsidRPr="00F6324E" w:rsidR="002D5FD5">
        <w:rPr>
          <w:rFonts w:hint="eastAsia"/>
          <w:rtl/>
        </w:rPr>
        <w:t>י</w:t>
      </w:r>
      <w:r w:rsidRPr="00F6324E" w:rsidR="002D5FD5">
        <w:rPr>
          <w:rtl/>
        </w:rPr>
        <w:t>בח</w:t>
      </w:r>
      <w:r w:rsidRPr="00F6324E" w:rsidR="002D5FD5">
        <w:rPr>
          <w:rFonts w:hint="eastAsia"/>
          <w:rtl/>
        </w:rPr>
        <w:t>נו</w:t>
      </w:r>
      <w:r w:rsidRPr="00F6324E" w:rsidR="002D5FD5">
        <w:rPr>
          <w:rtl/>
        </w:rPr>
        <w:t xml:space="preserve"> את הצורך בגיבוש קווים מנחים לתכנון אזורי מסחר בתוכניות המתאר לסוגיהן, מיקומם ופריסתם המרחבית.</w:t>
      </w:r>
      <w:r w:rsidRPr="00F6324E" w:rsidR="002D5FD5">
        <w:rPr>
          <w:rFonts w:hint="cs"/>
          <w:rtl/>
        </w:rPr>
        <w:t xml:space="preserve"> </w:t>
      </w:r>
      <w:r w:rsidRPr="00F6324E" w:rsidR="002D5FD5">
        <w:rPr>
          <w:rtl/>
        </w:rPr>
        <w:t xml:space="preserve">בביקורת המעקב עלה כי </w:t>
      </w:r>
      <w:r w:rsidRPr="006B7DE9" w:rsidR="002D5FD5">
        <w:rPr>
          <w:b/>
          <w:bCs/>
          <w:rtl/>
        </w:rPr>
        <w:t>הליקוי תוקן במידה מועטה</w:t>
      </w:r>
      <w:r w:rsidRPr="00F6324E" w:rsidR="002D5FD5">
        <w:rPr>
          <w:rtl/>
        </w:rPr>
        <w:t xml:space="preserve">: העיריות </w:t>
      </w:r>
      <w:r w:rsidRPr="00F6324E" w:rsidR="002D5FD5">
        <w:rPr>
          <w:rFonts w:hint="cs"/>
          <w:rtl/>
        </w:rPr>
        <w:t xml:space="preserve">שנבדקו </w:t>
      </w:r>
      <w:r w:rsidRPr="00F6324E" w:rsidR="002D5FD5">
        <w:rPr>
          <w:rtl/>
        </w:rPr>
        <w:t>(אשדוד, כפר</w:t>
      </w:r>
      <w:r w:rsidRPr="00F6324E" w:rsidR="002D5FD5">
        <w:rPr>
          <w:rFonts w:hint="cs"/>
          <w:rtl/>
        </w:rPr>
        <w:t xml:space="preserve"> </w:t>
      </w:r>
      <w:r w:rsidRPr="00F6324E" w:rsidR="002D5FD5">
        <w:rPr>
          <w:rtl/>
        </w:rPr>
        <w:t xml:space="preserve">סבא, באר שבע) לא אספו נתונים מסודרים על הפעילות בתחום המסחר </w:t>
      </w:r>
      <w:r w:rsidRPr="00F6324E" w:rsidR="002D5FD5">
        <w:rPr>
          <w:rtl/>
        </w:rPr>
        <w:t>המקוון בעיר</w:t>
      </w:r>
      <w:r w:rsidRPr="00F6324E" w:rsidR="002D5FD5">
        <w:rPr>
          <w:rFonts w:hint="cs"/>
          <w:rtl/>
        </w:rPr>
        <w:t>,</w:t>
      </w:r>
      <w:r w:rsidRPr="00F6324E" w:rsidR="002D5FD5">
        <w:rPr>
          <w:rtl/>
        </w:rPr>
        <w:t xml:space="preserve"> ולכן לא יכלו לבחון כיצד </w:t>
      </w:r>
      <w:r w:rsidRPr="00F6324E" w:rsidR="002D5FD5">
        <w:rPr>
          <w:rFonts w:hint="cs"/>
          <w:rtl/>
        </w:rPr>
        <w:t xml:space="preserve">הגידול במסחר מסוג זה </w:t>
      </w:r>
      <w:r w:rsidRPr="00F6324E" w:rsidR="002D5FD5">
        <w:rPr>
          <w:rtl/>
        </w:rPr>
        <w:t xml:space="preserve">משפיע על </w:t>
      </w:r>
      <w:r w:rsidRPr="00F6324E" w:rsidR="002D5FD5">
        <w:rPr>
          <w:rFonts w:hint="cs"/>
          <w:rtl/>
        </w:rPr>
        <w:t>מספרם</w:t>
      </w:r>
      <w:r w:rsidRPr="00F6324E" w:rsidR="002D5FD5">
        <w:rPr>
          <w:rtl/>
        </w:rPr>
        <w:t xml:space="preserve">, גודלם </w:t>
      </w:r>
      <w:r w:rsidRPr="00B4206F" w:rsidR="007D5A74">
        <w:rPr>
          <w:rStyle w:val="7371"/>
          <w:rFonts w:hint="cs"/>
          <w:noProof/>
          <w:rtl/>
        </w:rPr>
        <w:drawing>
          <wp:anchor distT="0" distB="0" distL="114300" distR="114300" simplePos="0" relativeHeight="251680768" behindDoc="0" locked="0" layoutInCell="1" allowOverlap="1">
            <wp:simplePos x="0" y="0"/>
            <wp:positionH relativeFrom="column">
              <wp:posOffset>2459115</wp:posOffset>
            </wp:positionH>
            <wp:positionV relativeFrom="paragraph">
              <wp:posOffset>453390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F6324E" w:rsidR="002D5FD5">
        <w:rPr>
          <w:rtl/>
        </w:rPr>
        <w:t>או מיקומם של מרכזים מסחריים מתוכננים ו</w:t>
      </w:r>
      <w:r w:rsidRPr="00F6324E" w:rsidR="002D5FD5">
        <w:rPr>
          <w:rFonts w:hint="cs"/>
          <w:rtl/>
        </w:rPr>
        <w:t xml:space="preserve">על </w:t>
      </w:r>
      <w:r w:rsidRPr="00F6324E" w:rsidR="002D5FD5">
        <w:rPr>
          <w:rtl/>
        </w:rPr>
        <w:t>הרחבה של מרכזים מסחריים קיימים</w:t>
      </w:r>
      <w:r w:rsidR="002D5FD5">
        <w:rPr>
          <w:rFonts w:hint="cs"/>
          <w:rtl/>
        </w:rPr>
        <w:t>.</w:t>
      </w:r>
      <w:r w:rsidRPr="0093709F">
        <w:rPr>
          <w:rFonts w:hint="cs"/>
          <w:rtl/>
        </w:rPr>
        <w:t xml:space="preserve"> </w:t>
      </w:r>
    </w:p>
    <w:p w:rsidR="00420374" w:rsidRPr="00411396" w:rsidP="00420374" w14:paraId="5E6B04AD" w14:textId="2827BE1A">
      <w:pPr>
        <w:pStyle w:val="7392"/>
        <w:spacing w:before="360"/>
        <w:rPr>
          <w:rtl/>
        </w:rPr>
      </w:pPr>
      <w:r w:rsidRPr="006B7DE9">
        <w:rPr>
          <w:b/>
          <w:bCs/>
          <w:rtl/>
        </w:rPr>
        <w:t>צו יבוא אישי</w:t>
      </w:r>
      <w:r w:rsidRPr="00F6324E">
        <w:rPr>
          <w:rFonts w:hint="cs"/>
          <w:rtl/>
        </w:rPr>
        <w:t xml:space="preserve"> -</w:t>
      </w:r>
      <w:r w:rsidRPr="00F6324E">
        <w:rPr>
          <w:rtl/>
        </w:rPr>
        <w:t xml:space="preserve"> בדוח הקודם נמצא כי משרדי הכלכלה והאוצר טרם השלימו את הקמת המערכת הממוחשבת ליבוא אישי, הרשויות המוסמכות עדיין לא השלימו את שינויי האסדרה הנוגעים ליבוא אישי ולחוקיות היבוא, וצו יבוא אישי התשע"ט-2018 (להלן- צו יבוא אישי) לא תוקן באופן שיאפשר הנפקת אישור על עמידה בדרישות חוקיות היבוא בתוך שני ימי עבודה.</w:t>
      </w:r>
      <w:r w:rsidRPr="00F6324E">
        <w:rPr>
          <w:rFonts w:hint="cs"/>
          <w:rtl/>
        </w:rPr>
        <w:t xml:space="preserve"> </w:t>
      </w:r>
      <w:r w:rsidRPr="00F6324E">
        <w:rPr>
          <w:rtl/>
        </w:rPr>
        <w:t xml:space="preserve">בביקורת המעקב עלה כי </w:t>
      </w:r>
      <w:r w:rsidRPr="006B7DE9">
        <w:rPr>
          <w:rFonts w:hint="eastAsia"/>
          <w:b/>
          <w:bCs/>
          <w:rtl/>
        </w:rPr>
        <w:t>הליקוי</w:t>
      </w:r>
      <w:r w:rsidRPr="006B7DE9">
        <w:rPr>
          <w:b/>
          <w:bCs/>
          <w:rtl/>
        </w:rPr>
        <w:t xml:space="preserve"> </w:t>
      </w:r>
      <w:r w:rsidRPr="006B7DE9">
        <w:rPr>
          <w:rFonts w:hint="eastAsia"/>
          <w:b/>
          <w:bCs/>
          <w:rtl/>
        </w:rPr>
        <w:t>תוקן</w:t>
      </w:r>
      <w:r w:rsidRPr="006B7DE9">
        <w:rPr>
          <w:b/>
          <w:bCs/>
          <w:rtl/>
        </w:rPr>
        <w:t xml:space="preserve"> </w:t>
      </w:r>
      <w:r w:rsidRPr="006B7DE9">
        <w:rPr>
          <w:rFonts w:hint="eastAsia"/>
          <w:b/>
          <w:bCs/>
          <w:rtl/>
        </w:rPr>
        <w:t>באופן</w:t>
      </w:r>
      <w:r w:rsidRPr="006B7DE9">
        <w:rPr>
          <w:b/>
          <w:bCs/>
          <w:rtl/>
        </w:rPr>
        <w:t xml:space="preserve"> </w:t>
      </w:r>
      <w:r w:rsidRPr="006B7DE9">
        <w:rPr>
          <w:rFonts w:hint="eastAsia"/>
          <w:b/>
          <w:bCs/>
          <w:rtl/>
        </w:rPr>
        <w:t>מלא</w:t>
      </w:r>
      <w:r w:rsidRPr="00F6324E">
        <w:rPr>
          <w:rtl/>
        </w:rPr>
        <w:t>:</w:t>
      </w:r>
      <w:r w:rsidRPr="00F6324E">
        <w:rPr>
          <w:rFonts w:hint="cs"/>
          <w:rtl/>
        </w:rPr>
        <w:t xml:space="preserve"> צו יבוא אישי </w:t>
      </w:r>
      <w:r w:rsidRPr="00F6324E">
        <w:rPr>
          <w:rtl/>
        </w:rPr>
        <w:t>תוקן באופן ש</w:t>
      </w:r>
      <w:r w:rsidRPr="00F6324E">
        <w:rPr>
          <w:rFonts w:hint="cs"/>
          <w:rtl/>
        </w:rPr>
        <w:t>מ</w:t>
      </w:r>
      <w:r w:rsidRPr="00F6324E">
        <w:rPr>
          <w:rtl/>
        </w:rPr>
        <w:t>אפשר הנפקת אישור על עמידה בדרישות חוקיות היבוא בתוך שני ימי עבודה</w:t>
      </w:r>
      <w:r w:rsidRPr="00F6324E">
        <w:rPr>
          <w:rFonts w:hint="cs"/>
          <w:rtl/>
        </w:rPr>
        <w:t>,</w:t>
      </w:r>
      <w:r w:rsidRPr="00F6324E">
        <w:rPr>
          <w:rtl/>
        </w:rPr>
        <w:t xml:space="preserve"> ו</w:t>
      </w:r>
      <w:r w:rsidRPr="00F6324E">
        <w:rPr>
          <w:rFonts w:hint="cs"/>
          <w:rtl/>
        </w:rPr>
        <w:t xml:space="preserve">כן הופעלה </w:t>
      </w:r>
      <w:r w:rsidRPr="00F6324E">
        <w:rPr>
          <w:rtl/>
        </w:rPr>
        <w:t>מערכת ממוחשבת ליבוא אישי של רשות המיסים ומשרד הכלכלה</w:t>
      </w:r>
      <w:r w:rsidRPr="00411396">
        <w:rPr>
          <w:rtl/>
        </w:rPr>
        <w:t>.</w:t>
      </w:r>
    </w:p>
    <w:p w:rsidR="002D5FD5" w:rsidP="00420374" w14:paraId="76E63E4A" w14:textId="77777777">
      <w:pPr>
        <w:pStyle w:val="7392"/>
        <w:rPr>
          <w:b/>
          <w:bCs/>
          <w:rtl/>
        </w:rPr>
      </w:pPr>
      <w:r w:rsidRPr="006B7DE9">
        <w:rPr>
          <w:rFonts w:hint="eastAsia"/>
          <w:b/>
          <w:bCs/>
          <w:rtl/>
        </w:rPr>
        <w:t>חוקיות</w:t>
      </w:r>
      <w:r w:rsidRPr="006B7DE9">
        <w:rPr>
          <w:b/>
          <w:bCs/>
          <w:rtl/>
        </w:rPr>
        <w:t xml:space="preserve"> </w:t>
      </w:r>
      <w:r w:rsidRPr="006B7DE9">
        <w:rPr>
          <w:rFonts w:hint="eastAsia"/>
          <w:b/>
          <w:bCs/>
          <w:rtl/>
        </w:rPr>
        <w:t>היבוא</w:t>
      </w:r>
      <w:r w:rsidRPr="00F6324E">
        <w:rPr>
          <w:rFonts w:hint="cs"/>
          <w:rtl/>
        </w:rPr>
        <w:t xml:space="preserve"> - </w:t>
      </w:r>
      <w:r w:rsidRPr="00F6324E">
        <w:rPr>
          <w:rtl/>
        </w:rPr>
        <w:t xml:space="preserve">בדוח הקודם נמצא כי חלק מהרשויות המוסמכות טרם החלו להתאים את יבוא המוצרים שבאחריותן לכלל היבוא האישי, ולצמצם את מספר המוצרים שיש להמציא עבור יבואם אישורים על עמידה בדרישות חוקיות היבוא. עוד </w:t>
      </w:r>
      <w:r w:rsidRPr="00F6324E">
        <w:rPr>
          <w:rFonts w:hint="cs"/>
          <w:rtl/>
        </w:rPr>
        <w:t xml:space="preserve">נמצא </w:t>
      </w:r>
      <w:r w:rsidRPr="00F6324E">
        <w:rPr>
          <w:rtl/>
        </w:rPr>
        <w:t>כי חלק מהשינויים דורשים התאמות בחקיקה ובנהלים הרלוונטיים.</w:t>
      </w:r>
      <w:r w:rsidRPr="00F6324E">
        <w:rPr>
          <w:rFonts w:hint="cs"/>
          <w:rtl/>
        </w:rPr>
        <w:t xml:space="preserve"> </w:t>
      </w:r>
      <w:r w:rsidRPr="00F6324E">
        <w:rPr>
          <w:rtl/>
        </w:rPr>
        <w:t xml:space="preserve">בביקורת המעקב עלה כי </w:t>
      </w:r>
      <w:r w:rsidRPr="006B7DE9">
        <w:rPr>
          <w:rFonts w:hint="eastAsia"/>
          <w:b/>
          <w:bCs/>
          <w:rtl/>
        </w:rPr>
        <w:t>הליקוי</w:t>
      </w:r>
      <w:r w:rsidRPr="006B7DE9">
        <w:rPr>
          <w:b/>
          <w:bCs/>
          <w:rtl/>
        </w:rPr>
        <w:t xml:space="preserve"> </w:t>
      </w:r>
      <w:r w:rsidRPr="006B7DE9">
        <w:rPr>
          <w:rFonts w:hint="eastAsia"/>
          <w:b/>
          <w:bCs/>
          <w:rtl/>
        </w:rPr>
        <w:t>תוקן</w:t>
      </w:r>
      <w:r w:rsidRPr="006B7DE9">
        <w:rPr>
          <w:b/>
          <w:bCs/>
          <w:rtl/>
        </w:rPr>
        <w:t xml:space="preserve"> </w:t>
      </w:r>
      <w:r w:rsidRPr="006B7DE9">
        <w:rPr>
          <w:rFonts w:hint="eastAsia"/>
          <w:b/>
          <w:bCs/>
          <w:rtl/>
        </w:rPr>
        <w:t>באופן</w:t>
      </w:r>
      <w:r w:rsidRPr="006B7DE9">
        <w:rPr>
          <w:b/>
          <w:bCs/>
          <w:rtl/>
        </w:rPr>
        <w:t xml:space="preserve"> </w:t>
      </w:r>
      <w:r w:rsidRPr="006B7DE9">
        <w:rPr>
          <w:rFonts w:hint="eastAsia"/>
          <w:b/>
          <w:bCs/>
          <w:rtl/>
        </w:rPr>
        <w:t>מלא</w:t>
      </w:r>
      <w:r w:rsidRPr="00F6324E">
        <w:rPr>
          <w:rtl/>
        </w:rPr>
        <w:t>: הרשויות המוסמכות</w:t>
      </w:r>
      <w:r w:rsidRPr="00F6324E">
        <w:rPr>
          <w:rFonts w:hint="cs"/>
          <w:rtl/>
        </w:rPr>
        <w:t>,</w:t>
      </w:r>
      <w:r w:rsidRPr="00F6324E">
        <w:rPr>
          <w:rtl/>
        </w:rPr>
        <w:t xml:space="preserve"> </w:t>
      </w:r>
      <w:r w:rsidRPr="00F6324E">
        <w:rPr>
          <w:rFonts w:hint="cs"/>
          <w:rtl/>
        </w:rPr>
        <w:t xml:space="preserve">ובהן משרדי הבריאות, החקלאות והתחבורה, </w:t>
      </w:r>
      <w:r w:rsidRPr="00F6324E">
        <w:rPr>
          <w:rtl/>
        </w:rPr>
        <w:t>סיימו להתאים את יבוא המוצרים שבאחריותן לכלל</w:t>
      </w:r>
      <w:r w:rsidRPr="00F6324E">
        <w:rPr>
          <w:rFonts w:hint="cs"/>
          <w:rtl/>
        </w:rPr>
        <w:t>י</w:t>
      </w:r>
      <w:r w:rsidRPr="00F6324E">
        <w:rPr>
          <w:rtl/>
        </w:rPr>
        <w:t xml:space="preserve"> היבוא האישי</w:t>
      </w:r>
      <w:r>
        <w:rPr>
          <w:rFonts w:hint="cs"/>
          <w:b/>
          <w:bCs/>
          <w:rtl/>
        </w:rPr>
        <w:t>.</w:t>
      </w:r>
    </w:p>
    <w:p w:rsidR="00420374" w:rsidRPr="00411396" w:rsidP="00420374" w14:paraId="591CC94C" w14:textId="40EB49A5">
      <w:pPr>
        <w:pStyle w:val="7392"/>
        <w:rPr>
          <w:rtl/>
        </w:rPr>
      </w:pPr>
      <w:r w:rsidRPr="006B7DE9">
        <w:rPr>
          <w:rFonts w:hint="eastAsia"/>
          <w:b/>
          <w:bCs/>
          <w:rtl/>
        </w:rPr>
        <w:t>תיקון</w:t>
      </w:r>
      <w:r w:rsidRPr="006B7DE9">
        <w:rPr>
          <w:b/>
          <w:bCs/>
          <w:rtl/>
        </w:rPr>
        <w:t xml:space="preserve"> חוק הגנת הפרטיות</w:t>
      </w:r>
      <w:r w:rsidRPr="00F6324E">
        <w:rPr>
          <w:rFonts w:hint="cs"/>
          <w:rtl/>
        </w:rPr>
        <w:t xml:space="preserve"> - בביקורת הקודמת נמצא</w:t>
      </w:r>
      <w:r w:rsidRPr="00F6324E">
        <w:rPr>
          <w:rtl/>
        </w:rPr>
        <w:t xml:space="preserve"> כי חוק הגנת הפרטיות כולל הגדרות לא עדכניות של מושגי מפתח ואינו נותן מענה לסוגיות משמעותיות במסחר המקוון. </w:t>
      </w:r>
      <w:r w:rsidRPr="00F6324E">
        <w:rPr>
          <w:rFonts w:hint="cs"/>
          <w:rtl/>
        </w:rPr>
        <w:t xml:space="preserve">בביקורת הנוכחית נמצא כי </w:t>
      </w:r>
      <w:r w:rsidRPr="006B7DE9">
        <w:rPr>
          <w:rFonts w:hint="eastAsia"/>
          <w:b/>
          <w:bCs/>
          <w:rtl/>
        </w:rPr>
        <w:t>הליקוי</w:t>
      </w:r>
      <w:r w:rsidRPr="006B7DE9">
        <w:rPr>
          <w:b/>
          <w:bCs/>
          <w:rtl/>
        </w:rPr>
        <w:t xml:space="preserve"> תוקן במידה </w:t>
      </w:r>
      <w:r w:rsidRPr="006B7DE9">
        <w:rPr>
          <w:rFonts w:hint="cs"/>
          <w:b/>
          <w:bCs/>
          <w:rtl/>
        </w:rPr>
        <w:t>רבה</w:t>
      </w:r>
      <w:r w:rsidRPr="00F6324E">
        <w:rPr>
          <w:rFonts w:hint="cs"/>
          <w:rtl/>
        </w:rPr>
        <w:t xml:space="preserve">: </w:t>
      </w:r>
      <w:r w:rsidRPr="00F6324E">
        <w:rPr>
          <w:rFonts w:hint="eastAsia"/>
          <w:rtl/>
        </w:rPr>
        <w:t>משרד</w:t>
      </w:r>
      <w:r w:rsidRPr="00F6324E">
        <w:rPr>
          <w:rtl/>
        </w:rPr>
        <w:t xml:space="preserve"> המשפטים לא תיקן</w:t>
      </w:r>
      <w:r w:rsidRPr="00F6324E">
        <w:rPr>
          <w:rFonts w:hint="cs"/>
          <w:rtl/>
        </w:rPr>
        <w:t xml:space="preserve"> את</w:t>
      </w:r>
      <w:r w:rsidRPr="00F6324E">
        <w:rPr>
          <w:rtl/>
        </w:rPr>
        <w:t xml:space="preserve"> החוק. עם זאת, משרד המשפטים פרסם נייר עמדה בנושא הזכות לניוד מידע והוא פועל </w:t>
      </w:r>
      <w:r w:rsidRPr="00F6324E">
        <w:rPr>
          <w:rtl/>
        </w:rPr>
        <w:t>לאסדרת</w:t>
      </w:r>
      <w:r w:rsidRPr="00F6324E">
        <w:rPr>
          <w:rtl/>
        </w:rPr>
        <w:t xml:space="preserve"> הנו</w:t>
      </w:r>
      <w:r w:rsidRPr="00F6324E">
        <w:rPr>
          <w:rFonts w:hint="eastAsia"/>
          <w:rtl/>
        </w:rPr>
        <w:t>שא</w:t>
      </w:r>
      <w:r w:rsidRPr="00411396">
        <w:rPr>
          <w:rFonts w:hint="cs"/>
          <w:rtl/>
        </w:rPr>
        <w:t>.</w:t>
      </w:r>
    </w:p>
    <w:p w:rsidR="00706096" w:rsidP="00420374" w14:paraId="01D52D46" w14:textId="7842A35A">
      <w:pPr>
        <w:pStyle w:val="7392"/>
        <w:rPr>
          <w:rtl/>
        </w:rPr>
      </w:pPr>
      <w:r w:rsidRPr="006B7DE9">
        <w:rPr>
          <w:rFonts w:hint="eastAsia"/>
          <w:b/>
          <w:bCs/>
          <w:rtl/>
        </w:rPr>
        <w:t>הנגשת</w:t>
      </w:r>
      <w:r w:rsidRPr="006B7DE9">
        <w:rPr>
          <w:b/>
          <w:bCs/>
          <w:rtl/>
        </w:rPr>
        <w:t xml:space="preserve"> אתרי </w:t>
      </w:r>
      <w:r w:rsidRPr="006B7DE9">
        <w:rPr>
          <w:rFonts w:hint="eastAsia"/>
          <w:b/>
          <w:bCs/>
          <w:rtl/>
        </w:rPr>
        <w:t>מסחר</w:t>
      </w:r>
      <w:r w:rsidRPr="006B7DE9">
        <w:rPr>
          <w:b/>
          <w:bCs/>
          <w:rtl/>
        </w:rPr>
        <w:t xml:space="preserve"> </w:t>
      </w:r>
      <w:r w:rsidRPr="006B7DE9">
        <w:rPr>
          <w:rFonts w:hint="eastAsia"/>
          <w:b/>
          <w:bCs/>
          <w:rtl/>
        </w:rPr>
        <w:t>מקוון</w:t>
      </w:r>
      <w:r w:rsidRPr="006B7DE9">
        <w:rPr>
          <w:b/>
          <w:bCs/>
          <w:rtl/>
        </w:rPr>
        <w:t xml:space="preserve"> </w:t>
      </w:r>
      <w:r w:rsidRPr="006B7DE9">
        <w:rPr>
          <w:rFonts w:hint="eastAsia"/>
          <w:b/>
          <w:bCs/>
          <w:rtl/>
        </w:rPr>
        <w:t>לאנשים</w:t>
      </w:r>
      <w:r w:rsidRPr="006B7DE9">
        <w:rPr>
          <w:b/>
          <w:bCs/>
          <w:rtl/>
        </w:rPr>
        <w:t xml:space="preserve"> </w:t>
      </w:r>
      <w:r w:rsidRPr="006B7DE9">
        <w:rPr>
          <w:rFonts w:hint="eastAsia"/>
          <w:b/>
          <w:bCs/>
          <w:rtl/>
        </w:rPr>
        <w:t>עם</w:t>
      </w:r>
      <w:r w:rsidRPr="006B7DE9">
        <w:rPr>
          <w:b/>
          <w:bCs/>
          <w:rtl/>
        </w:rPr>
        <w:t xml:space="preserve"> </w:t>
      </w:r>
      <w:r w:rsidRPr="006B7DE9">
        <w:rPr>
          <w:rFonts w:hint="eastAsia"/>
          <w:b/>
          <w:bCs/>
          <w:rtl/>
        </w:rPr>
        <w:t>מוגבלויות</w:t>
      </w:r>
      <w:r w:rsidRPr="00F6324E">
        <w:rPr>
          <w:rFonts w:hint="cs"/>
          <w:rtl/>
        </w:rPr>
        <w:t xml:space="preserve"> -</w:t>
      </w:r>
      <w:r w:rsidRPr="00F6324E">
        <w:rPr>
          <w:rtl/>
        </w:rPr>
        <w:t xml:space="preserve"> בדוח הקודם נמצא כי הנציבות לא אספה מידע המלמד באיזו מידה התיקון לתקנות תורם </w:t>
      </w:r>
      <w:r w:rsidRPr="00F6324E">
        <w:rPr>
          <w:rtl/>
        </w:rPr>
        <w:t>להנגשת</w:t>
      </w:r>
      <w:r w:rsidRPr="00F6324E">
        <w:rPr>
          <w:rtl/>
        </w:rPr>
        <w:t xml:space="preserve"> האתרים עבור אנשים עם מוגבלות, ומידע על שיעור האנשים עם מוגבלות המשתמשים במרשתת, לרבות אתרי מסחר מקוון. בביקורת המעקב עלה כי </w:t>
      </w:r>
      <w:r w:rsidRPr="006B7DE9">
        <w:rPr>
          <w:rFonts w:hint="eastAsia"/>
          <w:b/>
          <w:bCs/>
          <w:rtl/>
        </w:rPr>
        <w:t>הליקוי</w:t>
      </w:r>
      <w:r w:rsidRPr="006B7DE9">
        <w:rPr>
          <w:b/>
          <w:bCs/>
          <w:rtl/>
        </w:rPr>
        <w:t xml:space="preserve"> </w:t>
      </w:r>
      <w:r w:rsidRPr="006B7DE9">
        <w:rPr>
          <w:rFonts w:hint="eastAsia"/>
          <w:b/>
          <w:bCs/>
          <w:rtl/>
        </w:rPr>
        <w:t>תוקן</w:t>
      </w:r>
      <w:r w:rsidRPr="006B7DE9">
        <w:rPr>
          <w:b/>
          <w:bCs/>
          <w:rtl/>
        </w:rPr>
        <w:t xml:space="preserve"> </w:t>
      </w:r>
      <w:r w:rsidRPr="006B7DE9">
        <w:rPr>
          <w:rFonts w:hint="eastAsia"/>
          <w:b/>
          <w:bCs/>
          <w:rtl/>
        </w:rPr>
        <w:t>במידה</w:t>
      </w:r>
      <w:r w:rsidRPr="006B7DE9">
        <w:rPr>
          <w:b/>
          <w:bCs/>
          <w:rtl/>
        </w:rPr>
        <w:t xml:space="preserve"> </w:t>
      </w:r>
      <w:r w:rsidRPr="006B7DE9">
        <w:rPr>
          <w:rFonts w:hint="eastAsia"/>
          <w:b/>
          <w:bCs/>
          <w:rtl/>
        </w:rPr>
        <w:t>רבה</w:t>
      </w:r>
      <w:r w:rsidRPr="00F6324E">
        <w:rPr>
          <w:rtl/>
        </w:rPr>
        <w:t xml:space="preserve">: הנציבות מפיקה מדי שנה דוח סטטיסטי על אנשים עם מוגבלויות בישראל, הגבירה את האכיפה ובדקה 486 אתרים; עוד עלה כי אתרים חיוניים ומרכזיים הונגשו לציבור. עם זאת, הדבר לא הביא לידי עלייה בשיעור האנשים עם מוגבלות המשתמשים בהם, שכן מנתוני הנציבות </w:t>
      </w:r>
      <w:r w:rsidRPr="00F6324E">
        <w:rPr>
          <w:rFonts w:hint="cs"/>
          <w:rtl/>
        </w:rPr>
        <w:t xml:space="preserve">עולה </w:t>
      </w:r>
      <w:r w:rsidRPr="00F6324E">
        <w:rPr>
          <w:rtl/>
        </w:rPr>
        <w:t>כי שיעור האנשים עם מוגבלויות שהשתמשו במרשתת לרכישת מוצרים ושירותים נשאר דומה בשנים האחרונות ואף ירד מעט (37% ב-2017 לעומת 35% ב-2019</w:t>
      </w:r>
      <w:r>
        <w:rPr>
          <w:rFonts w:hint="cs"/>
          <w:rtl/>
        </w:rPr>
        <w:t>)</w:t>
      </w:r>
      <w:r w:rsidRPr="0093709F">
        <w:rPr>
          <w:rtl/>
        </w:rPr>
        <w:t xml:space="preserve">. </w:t>
      </w:r>
    </w:p>
    <w:p w:rsidR="002753C7" w:rsidRPr="00662020" w:rsidP="009D3320" w14:paraId="7C748CCB" w14:textId="77777777">
      <w:pPr>
        <w:pStyle w:val="7327"/>
        <w:spacing w:before="480" w:after="240"/>
        <w:rPr>
          <w:rtl/>
        </w:rPr>
      </w:pPr>
      <w:r w:rsidRPr="00662020">
        <w:rPr>
          <w:rFonts w:hint="cs"/>
          <w:rtl/>
        </w:rPr>
        <w:t>עיקרי המלצות הביקורת</w:t>
      </w:r>
    </w:p>
    <w:p w:rsidR="0093709F" w:rsidP="009D3320" w14:paraId="0466320B" w14:textId="2070E340">
      <w:pPr>
        <w:pStyle w:val="7317"/>
        <w:ind w:left="566"/>
      </w:pPr>
      <w:r w:rsidRPr="00B02658">
        <w:rPr>
          <w:rFonts w:hint="cs"/>
          <w:b/>
          <w:bCs/>
          <w:noProof/>
          <w:rtl/>
        </w:rPr>
        <w:drawing>
          <wp:anchor distT="0" distB="1440180" distL="107950" distR="114300" simplePos="0" relativeHeight="251712512" behindDoc="1" locked="0" layoutInCell="1" allowOverlap="1">
            <wp:simplePos x="0" y="0"/>
            <wp:positionH relativeFrom="column">
              <wp:posOffset>4512181</wp:posOffset>
            </wp:positionH>
            <wp:positionV relativeFrom="paragraph">
              <wp:posOffset>40640</wp:posOffset>
            </wp:positionV>
            <wp:extent cx="144000" cy="162000"/>
            <wp:effectExtent l="0" t="0" r="0" b="3175"/>
            <wp:wrapTight wrapText="bothSides">
              <wp:wrapPolygon>
                <wp:start x="1912" y="0"/>
                <wp:lineTo x="0" y="1694"/>
                <wp:lineTo x="0" y="20329"/>
                <wp:lineTo x="19115" y="20329"/>
                <wp:lineTo x="19115" y="0"/>
                <wp:lineTo x="1912"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4F4B" w:rsidR="006B7DE9">
        <w:rPr>
          <w:rtl/>
        </w:rPr>
        <w:t>על משרד הכלכלה ומשרד האוצר</w:t>
      </w:r>
      <w:r w:rsidRPr="00704F4B" w:rsidR="006B7DE9">
        <w:rPr>
          <w:rFonts w:hint="cs"/>
          <w:rtl/>
        </w:rPr>
        <w:t>,</w:t>
      </w:r>
      <w:r w:rsidRPr="00704F4B" w:rsidR="006B7DE9">
        <w:rPr>
          <w:rtl/>
        </w:rPr>
        <w:t xml:space="preserve"> המובילים את ה</w:t>
      </w:r>
      <w:r w:rsidRPr="00704F4B" w:rsidR="006B7DE9">
        <w:rPr>
          <w:rFonts w:hint="cs"/>
          <w:rtl/>
        </w:rPr>
        <w:t>מאבק</w:t>
      </w:r>
      <w:r w:rsidRPr="00704F4B" w:rsidR="006B7DE9">
        <w:rPr>
          <w:rtl/>
        </w:rPr>
        <w:t xml:space="preserve"> ביוקר המחייה, בהתייעצות עם רשות התחרות, לבחון את הגדלת הפטור ממ</w:t>
      </w:r>
      <w:r w:rsidRPr="00704F4B" w:rsidR="006B7DE9">
        <w:rPr>
          <w:rFonts w:hint="cs"/>
          <w:rtl/>
        </w:rPr>
        <w:t>י</w:t>
      </w:r>
      <w:r w:rsidRPr="00704F4B" w:rsidR="006B7DE9">
        <w:rPr>
          <w:rtl/>
        </w:rPr>
        <w:t xml:space="preserve">סים ביבוא האישי ככלי נוסף </w:t>
      </w:r>
      <w:r w:rsidRPr="00704F4B" w:rsidR="006B7DE9">
        <w:rPr>
          <w:rFonts w:hint="cs"/>
          <w:rtl/>
        </w:rPr>
        <w:t>להפחתת</w:t>
      </w:r>
      <w:r w:rsidRPr="00704F4B" w:rsidR="006B7DE9">
        <w:rPr>
          <w:rtl/>
        </w:rPr>
        <w:t xml:space="preserve"> יוקר המחיה</w:t>
      </w:r>
      <w:r w:rsidRPr="00704F4B" w:rsidR="006B7DE9">
        <w:rPr>
          <w:rFonts w:hint="cs"/>
          <w:rtl/>
        </w:rPr>
        <w:t>,</w:t>
      </w:r>
      <w:r w:rsidRPr="00704F4B" w:rsidR="006B7DE9">
        <w:rPr>
          <w:rtl/>
        </w:rPr>
        <w:t xml:space="preserve"> ו</w:t>
      </w:r>
      <w:r w:rsidRPr="00704F4B" w:rsidR="006B7DE9">
        <w:rPr>
          <w:rFonts w:hint="cs"/>
          <w:rtl/>
        </w:rPr>
        <w:t>אף</w:t>
      </w:r>
      <w:r w:rsidRPr="00704F4B" w:rsidR="006B7DE9">
        <w:rPr>
          <w:rtl/>
        </w:rPr>
        <w:t xml:space="preserve"> לשקול הגדלת הפטור ממס</w:t>
      </w:r>
      <w:r w:rsidR="006B7DE9">
        <w:rPr>
          <w:rtl/>
        </w:rPr>
        <w:t xml:space="preserve"> </w:t>
      </w:r>
      <w:r w:rsidRPr="00704F4B" w:rsidR="006B7DE9">
        <w:rPr>
          <w:rtl/>
        </w:rPr>
        <w:t>לגבי מוצרים ותחומים ומוצרים שבהם קיימים כשל שוק או ניצול לרעה וגביית מחיר מופרז של מונופולים או יבואנים בלעדיים בעלי כוח שוק משמעותי</w:t>
      </w:r>
      <w:r w:rsidRPr="008E57FE" w:rsidR="005D0F8C">
        <w:rPr>
          <w:rFonts w:hint="cs"/>
          <w:rtl/>
        </w:rPr>
        <w:t xml:space="preserve">. </w:t>
      </w:r>
    </w:p>
    <w:p w:rsidR="005D0F8C" w:rsidRPr="008E57FE" w:rsidP="009D3320" w14:paraId="6C626C68" w14:textId="2073DF6D">
      <w:pPr>
        <w:pStyle w:val="7317"/>
        <w:ind w:left="566"/>
      </w:pPr>
      <w:r w:rsidRPr="00B02658">
        <w:rPr>
          <w:rFonts w:hint="cs"/>
          <w:b/>
          <w:bCs/>
          <w:noProof/>
          <w:rtl/>
        </w:rPr>
        <w:drawing>
          <wp:anchor distT="0" distB="1440180" distL="107950" distR="114300" simplePos="0" relativeHeight="251713536" behindDoc="1" locked="0" layoutInCell="1" allowOverlap="1">
            <wp:simplePos x="0" y="0"/>
            <wp:positionH relativeFrom="column">
              <wp:posOffset>4511675</wp:posOffset>
            </wp:positionH>
            <wp:positionV relativeFrom="paragraph">
              <wp:posOffset>18921</wp:posOffset>
            </wp:positionV>
            <wp:extent cx="144000" cy="162000"/>
            <wp:effectExtent l="0" t="0" r="0" b="3175"/>
            <wp:wrapTight wrapText="bothSides">
              <wp:wrapPolygon>
                <wp:start x="1912" y="0"/>
                <wp:lineTo x="0" y="1694"/>
                <wp:lineTo x="0" y="20329"/>
                <wp:lineTo x="19115" y="20329"/>
                <wp:lineTo x="19115" y="0"/>
                <wp:lineTo x="1912" y="0"/>
              </wp:wrapPolygon>
            </wp:wrapTight>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4F4B" w:rsidR="006B7DE9">
        <w:rPr>
          <w:rtl/>
        </w:rPr>
        <w:t xml:space="preserve">על משרד המשפטים לפעול באופן יזום </w:t>
      </w:r>
      <w:r w:rsidRPr="00704F4B" w:rsidR="006B7DE9">
        <w:rPr>
          <w:rFonts w:hint="cs"/>
          <w:rtl/>
        </w:rPr>
        <w:t>לבדיקת</w:t>
      </w:r>
      <w:r w:rsidRPr="00704F4B" w:rsidR="006B7DE9">
        <w:rPr>
          <w:rtl/>
        </w:rPr>
        <w:t xml:space="preserve"> חוזים אחידים-תקנונים של אתרי </w:t>
      </w:r>
      <w:r w:rsidRPr="00704F4B" w:rsidR="006B7DE9">
        <w:rPr>
          <w:rFonts w:hint="cs"/>
          <w:rtl/>
        </w:rPr>
        <w:t>מ</w:t>
      </w:r>
      <w:r w:rsidRPr="00704F4B" w:rsidR="006B7DE9">
        <w:rPr>
          <w:rtl/>
        </w:rPr>
        <w:t>סחר מקוון</w:t>
      </w:r>
      <w:r w:rsidRPr="00814D33" w:rsidR="006B7DE9">
        <w:rPr>
          <w:rtl/>
        </w:rPr>
        <w:t xml:space="preserve"> </w:t>
      </w:r>
      <w:r w:rsidRPr="00704F4B" w:rsidR="006B7DE9">
        <w:rPr>
          <w:rFonts w:hint="cs"/>
          <w:rtl/>
        </w:rPr>
        <w:t>ול</w:t>
      </w:r>
      <w:r w:rsidRPr="00704F4B" w:rsidR="006B7DE9">
        <w:rPr>
          <w:rtl/>
        </w:rPr>
        <w:t>פע</w:t>
      </w:r>
      <w:r w:rsidRPr="00704F4B" w:rsidR="006B7DE9">
        <w:rPr>
          <w:rFonts w:hint="cs"/>
          <w:rtl/>
        </w:rPr>
        <w:t>ו</w:t>
      </w:r>
      <w:r w:rsidRPr="00704F4B" w:rsidR="006B7DE9">
        <w:rPr>
          <w:rtl/>
        </w:rPr>
        <w:t xml:space="preserve">ל להשלים את בחינת </w:t>
      </w:r>
      <w:r w:rsidRPr="00704F4B" w:rsidR="006B7DE9">
        <w:rPr>
          <w:rFonts w:hint="cs"/>
          <w:rtl/>
        </w:rPr>
        <w:t>עדכונו של חוק הגנת הפרטיות</w:t>
      </w:r>
      <w:r w:rsidRPr="00704F4B" w:rsidR="006B7DE9">
        <w:rPr>
          <w:rtl/>
        </w:rPr>
        <w:t xml:space="preserve"> לצורך מתן מענה להתפתחויות הטכנולוגיות והמסחריות, לגידול במסחר המקוון ולכל ההשלכות הנובעות מכך על הגנה על פרטיות הצרכנים</w:t>
      </w:r>
      <w:r w:rsidRPr="008E57FE">
        <w:rPr>
          <w:rtl/>
        </w:rPr>
        <w:t xml:space="preserve">. </w:t>
      </w:r>
    </w:p>
    <w:p w:rsidR="005D0F8C" w:rsidP="009D3320" w14:paraId="16E5BFEE" w14:textId="56BA31AA">
      <w:pPr>
        <w:pStyle w:val="7317"/>
        <w:ind w:left="566"/>
        <w:rPr>
          <w:rtl/>
        </w:rPr>
      </w:pPr>
      <w:r w:rsidRPr="00B02658">
        <w:rPr>
          <w:rFonts w:hint="cs"/>
          <w:b/>
          <w:bCs/>
          <w:noProof/>
          <w:rtl/>
        </w:rPr>
        <w:drawing>
          <wp:anchor distT="0" distB="1440180" distL="107950" distR="114300" simplePos="0" relativeHeight="251714560" behindDoc="1" locked="0" layoutInCell="1" allowOverlap="1">
            <wp:simplePos x="0" y="0"/>
            <wp:positionH relativeFrom="column">
              <wp:posOffset>4511675</wp:posOffset>
            </wp:positionH>
            <wp:positionV relativeFrom="paragraph">
              <wp:posOffset>18921</wp:posOffset>
            </wp:positionV>
            <wp:extent cx="144000" cy="162000"/>
            <wp:effectExtent l="0" t="0" r="0" b="3175"/>
            <wp:wrapTight wrapText="bothSides">
              <wp:wrapPolygon>
                <wp:start x="1912" y="0"/>
                <wp:lineTo x="0" y="1694"/>
                <wp:lineTo x="0" y="20329"/>
                <wp:lineTo x="19115" y="20329"/>
                <wp:lineTo x="19115" y="0"/>
                <wp:lineTo x="1912" y="0"/>
              </wp:wrapPolygon>
            </wp:wrapTight>
            <wp:docPr id="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9"/>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4F4B" w:rsidR="006B7DE9">
        <w:rPr>
          <w:rFonts w:hint="cs"/>
          <w:rtl/>
        </w:rPr>
        <w:t>על</w:t>
      </w:r>
      <w:r w:rsidRPr="00704F4B" w:rsidR="006B7DE9">
        <w:rPr>
          <w:rtl/>
        </w:rPr>
        <w:t xml:space="preserve"> הרשות להגנת הפרטיות </w:t>
      </w:r>
      <w:r w:rsidRPr="00704F4B" w:rsidR="006B7DE9">
        <w:rPr>
          <w:rFonts w:hint="cs"/>
          <w:rtl/>
        </w:rPr>
        <w:t>ל</w:t>
      </w:r>
      <w:r w:rsidRPr="00704F4B" w:rsidR="006B7DE9">
        <w:rPr>
          <w:rtl/>
        </w:rPr>
        <w:t>בחן את ההלימה בין היקף האכיפה המבוצע על ידה</w:t>
      </w:r>
      <w:r w:rsidRPr="00704F4B" w:rsidR="006B7DE9">
        <w:rPr>
          <w:rFonts w:hint="cs"/>
          <w:rtl/>
        </w:rPr>
        <w:t>,</w:t>
      </w:r>
      <w:r w:rsidRPr="00704F4B" w:rsidR="006B7DE9">
        <w:rPr>
          <w:rtl/>
        </w:rPr>
        <w:t xml:space="preserve"> למול היקפי הסחר המקוון. מומלץ לגבש תכנית אכיפה יזומה ולעודד</w:t>
      </w:r>
      <w:r w:rsidR="00542652">
        <w:rPr>
          <w:rFonts w:hint="cs"/>
          <w:rtl/>
        </w:rPr>
        <w:t xml:space="preserve"> את</w:t>
      </w:r>
      <w:r w:rsidRPr="00704F4B" w:rsidR="006B7DE9">
        <w:rPr>
          <w:rtl/>
        </w:rPr>
        <w:t xml:space="preserve"> הציבור לפנות לרשות בכל מקרה בהם הציבור חש כי נעשה שימוש במידע שנמסר על ידו שלא למטרה שלשמה הוא נמסר</w:t>
      </w:r>
      <w:r w:rsidRPr="008E57FE">
        <w:rPr>
          <w:rFonts w:hint="cs"/>
          <w:rtl/>
        </w:rPr>
        <w:t>.</w:t>
      </w:r>
    </w:p>
    <w:p w:rsidR="00706096" w:rsidP="009D3320" w14:paraId="3F6A2BE4" w14:textId="3A99961A">
      <w:pPr>
        <w:pStyle w:val="7317"/>
        <w:ind w:left="566"/>
        <w:rPr>
          <w:rtl/>
        </w:rPr>
      </w:pPr>
      <w:r w:rsidRPr="00B02658">
        <w:rPr>
          <w:rFonts w:hint="cs"/>
          <w:b/>
          <w:bCs/>
          <w:noProof/>
          <w:rtl/>
        </w:rPr>
        <w:drawing>
          <wp:anchor distT="0" distB="1440180" distL="107950" distR="114300" simplePos="0" relativeHeight="251715584" behindDoc="1" locked="0" layoutInCell="1" allowOverlap="1">
            <wp:simplePos x="0" y="0"/>
            <wp:positionH relativeFrom="column">
              <wp:posOffset>4511675</wp:posOffset>
            </wp:positionH>
            <wp:positionV relativeFrom="paragraph">
              <wp:posOffset>18921</wp:posOffset>
            </wp:positionV>
            <wp:extent cx="144000" cy="162000"/>
            <wp:effectExtent l="0" t="0" r="0" b="3175"/>
            <wp:wrapTight wrapText="bothSides">
              <wp:wrapPolygon>
                <wp:start x="1912" y="0"/>
                <wp:lineTo x="0" y="1694"/>
                <wp:lineTo x="0" y="20329"/>
                <wp:lineTo x="19115" y="20329"/>
                <wp:lineTo x="19115" y="0"/>
                <wp:lineTo x="1912" y="0"/>
              </wp:wrapPolygon>
            </wp:wrapTight>
            <wp:docPr id="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59"/>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4F4B" w:rsidR="006B7DE9">
        <w:rPr>
          <w:rtl/>
        </w:rPr>
        <w:t>על המשרד לשוויון חברתי והמועצה</w:t>
      </w:r>
      <w:r w:rsidRPr="00704F4B" w:rsidR="006B7DE9">
        <w:rPr>
          <w:rFonts w:hint="cs"/>
          <w:rtl/>
        </w:rPr>
        <w:t xml:space="preserve"> הישראלית לצרכנות</w:t>
      </w:r>
      <w:r w:rsidRPr="00704F4B" w:rsidR="006B7DE9">
        <w:rPr>
          <w:rtl/>
        </w:rPr>
        <w:t xml:space="preserve"> למפות את הצרכים והחסמים של אוכלוסיית האזרחים הוותיקים ולגבש עבורה תוכנית ייעודית לנושא הצרכנות במרשתת</w:t>
      </w:r>
      <w:r w:rsidRPr="008E57FE">
        <w:rPr>
          <w:rFonts w:hint="cs"/>
          <w:rtl/>
        </w:rPr>
        <w:t>.</w:t>
      </w:r>
    </w:p>
    <w:p w:rsidR="00706096" w:rsidRPr="00662020" w:rsidP="009D3320" w14:paraId="36B4D251" w14:textId="5941463E">
      <w:pPr>
        <w:pStyle w:val="7317"/>
        <w:ind w:left="566"/>
      </w:pPr>
      <w:r w:rsidRPr="00B02658">
        <w:rPr>
          <w:rFonts w:hint="cs"/>
          <w:b/>
          <w:bCs/>
          <w:noProof/>
          <w:rtl/>
        </w:rPr>
        <w:drawing>
          <wp:anchor distT="0" distB="1440180" distL="107950" distR="114300" simplePos="0" relativeHeight="251716608" behindDoc="1" locked="0" layoutInCell="1" allowOverlap="1">
            <wp:simplePos x="0" y="0"/>
            <wp:positionH relativeFrom="column">
              <wp:posOffset>4511675</wp:posOffset>
            </wp:positionH>
            <wp:positionV relativeFrom="paragraph">
              <wp:posOffset>18921</wp:posOffset>
            </wp:positionV>
            <wp:extent cx="144000" cy="162000"/>
            <wp:effectExtent l="0" t="0" r="0" b="3175"/>
            <wp:wrapTight wrapText="bothSides">
              <wp:wrapPolygon>
                <wp:start x="1912" y="0"/>
                <wp:lineTo x="0" y="1694"/>
                <wp:lineTo x="0" y="20329"/>
                <wp:lineTo x="19115" y="20329"/>
                <wp:lineTo x="19115" y="0"/>
                <wp:lineTo x="1912" y="0"/>
              </wp:wrapPolygon>
            </wp:wrapTight>
            <wp:docPr id="173370176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01761" name="Picture 59"/>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4F4B" w:rsidR="006B7DE9">
        <w:rPr>
          <w:rFonts w:hint="eastAsia"/>
          <w:rtl/>
        </w:rPr>
        <w:t>מומלץ</w:t>
      </w:r>
      <w:r w:rsidRPr="00704F4B" w:rsidR="006B7DE9">
        <w:rPr>
          <w:rtl/>
        </w:rPr>
        <w:t xml:space="preserve"> </w:t>
      </w:r>
      <w:r w:rsidRPr="00704F4B" w:rsidR="006B7DE9">
        <w:rPr>
          <w:rFonts w:hint="eastAsia"/>
          <w:rtl/>
        </w:rPr>
        <w:t>כי</w:t>
      </w:r>
      <w:r w:rsidRPr="00704F4B" w:rsidR="006B7DE9">
        <w:rPr>
          <w:rtl/>
        </w:rPr>
        <w:t xml:space="preserve"> </w:t>
      </w:r>
      <w:r w:rsidRPr="00704F4B" w:rsidR="006B7DE9">
        <w:rPr>
          <w:rFonts w:hint="eastAsia"/>
          <w:rtl/>
        </w:rPr>
        <w:t>משרד</w:t>
      </w:r>
      <w:r w:rsidRPr="00704F4B" w:rsidR="006B7DE9">
        <w:rPr>
          <w:rtl/>
        </w:rPr>
        <w:t xml:space="preserve"> הכלכלה </w:t>
      </w:r>
      <w:r w:rsidRPr="00704F4B" w:rsidR="006B7DE9">
        <w:rPr>
          <w:rFonts w:hint="eastAsia"/>
          <w:rtl/>
        </w:rPr>
        <w:t>והרשות</w:t>
      </w:r>
      <w:r w:rsidRPr="00704F4B" w:rsidR="006B7DE9">
        <w:rPr>
          <w:rtl/>
        </w:rPr>
        <w:t xml:space="preserve"> </w:t>
      </w:r>
      <w:r w:rsidRPr="00704F4B" w:rsidR="006B7DE9">
        <w:rPr>
          <w:rFonts w:hint="eastAsia"/>
          <w:rtl/>
        </w:rPr>
        <w:t>לפיתוח</w:t>
      </w:r>
      <w:r w:rsidRPr="00704F4B" w:rsidR="006B7DE9">
        <w:rPr>
          <w:rtl/>
        </w:rPr>
        <w:t xml:space="preserve"> </w:t>
      </w:r>
      <w:r w:rsidRPr="00704F4B" w:rsidR="006B7DE9">
        <w:rPr>
          <w:rFonts w:hint="eastAsia"/>
          <w:rtl/>
        </w:rPr>
        <w:t>כלכלי</w:t>
      </w:r>
      <w:r w:rsidRPr="00704F4B" w:rsidR="006B7DE9">
        <w:rPr>
          <w:rtl/>
        </w:rPr>
        <w:t>-</w:t>
      </w:r>
      <w:r w:rsidRPr="00704F4B" w:rsidR="006B7DE9">
        <w:rPr>
          <w:rFonts w:hint="eastAsia"/>
          <w:rtl/>
        </w:rPr>
        <w:t>חברתי</w:t>
      </w:r>
      <w:r w:rsidRPr="00704F4B" w:rsidR="006B7DE9">
        <w:rPr>
          <w:rtl/>
        </w:rPr>
        <w:t xml:space="preserve"> </w:t>
      </w:r>
      <w:r w:rsidRPr="00704F4B" w:rsidR="006B7DE9">
        <w:rPr>
          <w:rFonts w:hint="eastAsia"/>
          <w:rtl/>
        </w:rPr>
        <w:t>של</w:t>
      </w:r>
      <w:r w:rsidRPr="00704F4B" w:rsidR="006B7DE9">
        <w:rPr>
          <w:rtl/>
        </w:rPr>
        <w:t xml:space="preserve"> </w:t>
      </w:r>
      <w:r w:rsidRPr="00704F4B" w:rsidR="006B7DE9">
        <w:rPr>
          <w:rFonts w:hint="eastAsia"/>
          <w:rtl/>
        </w:rPr>
        <w:t>המגזר</w:t>
      </w:r>
      <w:r w:rsidRPr="00704F4B" w:rsidR="006B7DE9">
        <w:rPr>
          <w:rtl/>
        </w:rPr>
        <w:t xml:space="preserve"> </w:t>
      </w:r>
      <w:r w:rsidRPr="00704F4B" w:rsidR="006B7DE9">
        <w:rPr>
          <w:rFonts w:hint="eastAsia"/>
          <w:rtl/>
        </w:rPr>
        <w:t>החרדי</w:t>
      </w:r>
      <w:r w:rsidRPr="00704F4B" w:rsidR="006B7DE9">
        <w:rPr>
          <w:rtl/>
        </w:rPr>
        <w:t xml:space="preserve"> </w:t>
      </w:r>
      <w:r w:rsidRPr="00704F4B" w:rsidR="006B7DE9">
        <w:rPr>
          <w:rFonts w:hint="eastAsia"/>
          <w:rtl/>
        </w:rPr>
        <w:t>יבחנו</w:t>
      </w:r>
      <w:r w:rsidRPr="00704F4B" w:rsidR="006B7DE9">
        <w:rPr>
          <w:rtl/>
        </w:rPr>
        <w:t xml:space="preserve"> דרכים </w:t>
      </w:r>
      <w:r w:rsidRPr="00704F4B" w:rsidR="006B7DE9">
        <w:rPr>
          <w:rFonts w:hint="eastAsia"/>
          <w:rtl/>
        </w:rPr>
        <w:t>להנגיש</w:t>
      </w:r>
      <w:r w:rsidRPr="00704F4B" w:rsidR="006B7DE9">
        <w:rPr>
          <w:rtl/>
        </w:rPr>
        <w:t xml:space="preserve"> את </w:t>
      </w:r>
      <w:r w:rsidRPr="00704F4B" w:rsidR="006B7DE9">
        <w:rPr>
          <w:rFonts w:hint="eastAsia"/>
          <w:rtl/>
        </w:rPr>
        <w:t>התכנים</w:t>
      </w:r>
      <w:r w:rsidRPr="00704F4B" w:rsidR="006B7DE9">
        <w:rPr>
          <w:rtl/>
        </w:rPr>
        <w:t xml:space="preserve"> </w:t>
      </w:r>
      <w:r w:rsidRPr="00704F4B" w:rsidR="006B7DE9">
        <w:rPr>
          <w:rFonts w:hint="eastAsia"/>
          <w:rtl/>
        </w:rPr>
        <w:t>בנושא</w:t>
      </w:r>
      <w:r w:rsidRPr="00704F4B" w:rsidR="006B7DE9">
        <w:rPr>
          <w:rtl/>
        </w:rPr>
        <w:t xml:space="preserve"> </w:t>
      </w:r>
      <w:r w:rsidRPr="00704F4B" w:rsidR="006B7DE9">
        <w:rPr>
          <w:rFonts w:hint="eastAsia"/>
          <w:rtl/>
        </w:rPr>
        <w:t>מסחר</w:t>
      </w:r>
      <w:r w:rsidRPr="00704F4B" w:rsidR="006B7DE9">
        <w:rPr>
          <w:rtl/>
        </w:rPr>
        <w:t xml:space="preserve"> מקוון לציבור </w:t>
      </w:r>
      <w:r w:rsidRPr="00704F4B" w:rsidR="006B7DE9">
        <w:rPr>
          <w:rFonts w:hint="eastAsia"/>
          <w:rtl/>
        </w:rPr>
        <w:t>החרדי</w:t>
      </w:r>
      <w:r w:rsidRPr="00704F4B" w:rsidR="006B7DE9">
        <w:rPr>
          <w:rtl/>
        </w:rPr>
        <w:t xml:space="preserve">, בהתחשב </w:t>
      </w:r>
      <w:r w:rsidRPr="00704F4B" w:rsidR="006B7DE9">
        <w:rPr>
          <w:rFonts w:hint="eastAsia"/>
          <w:rtl/>
        </w:rPr>
        <w:t>בצרכיו</w:t>
      </w:r>
      <w:r w:rsidRPr="00704F4B" w:rsidR="006B7DE9">
        <w:rPr>
          <w:rtl/>
        </w:rPr>
        <w:t xml:space="preserve">. </w:t>
      </w:r>
      <w:r w:rsidRPr="00704F4B" w:rsidR="006B7DE9">
        <w:rPr>
          <w:rFonts w:hint="eastAsia"/>
          <w:rtl/>
        </w:rPr>
        <w:t>גידול</w:t>
      </w:r>
      <w:r w:rsidRPr="00704F4B" w:rsidR="006B7DE9">
        <w:rPr>
          <w:rtl/>
        </w:rPr>
        <w:t xml:space="preserve"> </w:t>
      </w:r>
      <w:r w:rsidRPr="00704F4B" w:rsidR="006B7DE9">
        <w:rPr>
          <w:rFonts w:hint="eastAsia"/>
          <w:rtl/>
        </w:rPr>
        <w:t>בשימוש</w:t>
      </w:r>
      <w:r w:rsidRPr="00704F4B" w:rsidR="006B7DE9">
        <w:rPr>
          <w:rtl/>
        </w:rPr>
        <w:t xml:space="preserve"> </w:t>
      </w:r>
      <w:r w:rsidRPr="00704F4B" w:rsidR="006B7DE9">
        <w:rPr>
          <w:rFonts w:hint="eastAsia"/>
          <w:rtl/>
        </w:rPr>
        <w:t>במרשתת</w:t>
      </w:r>
      <w:r w:rsidRPr="00704F4B" w:rsidR="006B7DE9">
        <w:rPr>
          <w:rtl/>
        </w:rPr>
        <w:t xml:space="preserve"> </w:t>
      </w:r>
      <w:r w:rsidRPr="00704F4B" w:rsidR="006B7DE9">
        <w:rPr>
          <w:rFonts w:hint="eastAsia"/>
          <w:rtl/>
        </w:rPr>
        <w:t>במגזר</w:t>
      </w:r>
      <w:r w:rsidRPr="00704F4B" w:rsidR="006B7DE9">
        <w:rPr>
          <w:rtl/>
        </w:rPr>
        <w:t xml:space="preserve"> </w:t>
      </w:r>
      <w:r w:rsidRPr="00704F4B" w:rsidR="006B7DE9">
        <w:rPr>
          <w:rFonts w:hint="eastAsia"/>
          <w:rtl/>
        </w:rPr>
        <w:t>זה</w:t>
      </w:r>
      <w:r w:rsidRPr="00704F4B" w:rsidR="006B7DE9">
        <w:rPr>
          <w:rtl/>
        </w:rPr>
        <w:t xml:space="preserve"> </w:t>
      </w:r>
      <w:r w:rsidRPr="00704F4B" w:rsidR="006B7DE9">
        <w:rPr>
          <w:rFonts w:hint="eastAsia"/>
          <w:rtl/>
        </w:rPr>
        <w:t>יכול</w:t>
      </w:r>
      <w:r w:rsidRPr="00704F4B" w:rsidR="006B7DE9">
        <w:rPr>
          <w:rtl/>
        </w:rPr>
        <w:t xml:space="preserve"> </w:t>
      </w:r>
      <w:r w:rsidRPr="00704F4B" w:rsidR="006B7DE9">
        <w:rPr>
          <w:rFonts w:hint="eastAsia"/>
          <w:rtl/>
        </w:rPr>
        <w:t>לתרום</w:t>
      </w:r>
      <w:r w:rsidRPr="00704F4B" w:rsidR="006B7DE9">
        <w:rPr>
          <w:rtl/>
        </w:rPr>
        <w:t xml:space="preserve"> </w:t>
      </w:r>
      <w:r w:rsidRPr="00704F4B" w:rsidR="006B7DE9">
        <w:rPr>
          <w:rFonts w:hint="eastAsia"/>
          <w:rtl/>
        </w:rPr>
        <w:t>לגידול</w:t>
      </w:r>
      <w:r w:rsidRPr="00704F4B" w:rsidR="006B7DE9">
        <w:rPr>
          <w:rtl/>
        </w:rPr>
        <w:t xml:space="preserve"> </w:t>
      </w:r>
      <w:r w:rsidRPr="00704F4B" w:rsidR="006B7DE9">
        <w:rPr>
          <w:rFonts w:hint="eastAsia"/>
          <w:rtl/>
        </w:rPr>
        <w:t>הפריון</w:t>
      </w:r>
      <w:r w:rsidRPr="00704F4B" w:rsidR="006B7DE9">
        <w:rPr>
          <w:rtl/>
        </w:rPr>
        <w:t xml:space="preserve"> </w:t>
      </w:r>
      <w:r w:rsidRPr="00704F4B" w:rsidR="006B7DE9">
        <w:rPr>
          <w:rFonts w:hint="eastAsia"/>
          <w:rtl/>
        </w:rPr>
        <w:t>והפדיון</w:t>
      </w:r>
      <w:r w:rsidRPr="00704F4B" w:rsidR="006B7DE9">
        <w:rPr>
          <w:rtl/>
        </w:rPr>
        <w:t xml:space="preserve"> </w:t>
      </w:r>
      <w:r w:rsidRPr="00704F4B" w:rsidR="006B7DE9">
        <w:rPr>
          <w:rFonts w:hint="eastAsia"/>
          <w:rtl/>
        </w:rPr>
        <w:t>במשק</w:t>
      </w:r>
      <w:r w:rsidRPr="00662020">
        <w:rPr>
          <w:rFonts w:hint="cs"/>
          <w:rtl/>
        </w:rPr>
        <w:t>.</w:t>
      </w:r>
    </w:p>
    <w:p w:rsidR="00706096" w:rsidP="009D3320" w14:paraId="30F30DD7" w14:textId="4B7A9DBD">
      <w:pPr>
        <w:pStyle w:val="7317"/>
        <w:ind w:left="566"/>
        <w:rPr>
          <w:rtl/>
        </w:rPr>
      </w:pPr>
      <w:r w:rsidRPr="00B02658">
        <w:rPr>
          <w:rFonts w:hint="cs"/>
          <w:b/>
          <w:bCs/>
          <w:noProof/>
          <w:rtl/>
        </w:rPr>
        <w:drawing>
          <wp:anchor distT="0" distB="1440180" distL="107950" distR="114300" simplePos="0" relativeHeight="251717632" behindDoc="1" locked="0" layoutInCell="1" allowOverlap="1">
            <wp:simplePos x="0" y="0"/>
            <wp:positionH relativeFrom="column">
              <wp:posOffset>4511675</wp:posOffset>
            </wp:positionH>
            <wp:positionV relativeFrom="paragraph">
              <wp:posOffset>18921</wp:posOffset>
            </wp:positionV>
            <wp:extent cx="144000" cy="162000"/>
            <wp:effectExtent l="0" t="0" r="0" b="3175"/>
            <wp:wrapTight wrapText="bothSides">
              <wp:wrapPolygon>
                <wp:start x="1912" y="0"/>
                <wp:lineTo x="0" y="1694"/>
                <wp:lineTo x="0" y="20329"/>
                <wp:lineTo x="19115" y="20329"/>
                <wp:lineTo x="19115" y="0"/>
                <wp:lineTo x="1912" y="0"/>
              </wp:wrapPolygon>
            </wp:wrapTight>
            <wp:docPr id="173370176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01762" name="Picture 59"/>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4F4B" w:rsidR="006B7DE9">
        <w:rPr>
          <w:rtl/>
        </w:rPr>
        <w:t>מומלץ כי הסוכנות לעסקים קטנים והרשות לפיתוח כלכלי של מגזר המיעוטים יפעלו בשיתוף פעולה לקבלת הנתונים על השתתפות המגזר הערבי במסחר המקוון ויכינו לאוכלוסייה זו תוכניות ממוקדות בנושא זה, כדי לסגור את הפערים בשימושים במרשתת לרכישות מקוונות בינם ובין המגזר הכללי.</w:t>
      </w:r>
      <w:r w:rsidR="006B7DE9">
        <w:rPr>
          <w:rtl/>
        </w:rPr>
        <w:t xml:space="preserve"> </w:t>
      </w:r>
      <w:r w:rsidRPr="00704F4B" w:rsidR="006B7DE9">
        <w:rPr>
          <w:rtl/>
        </w:rPr>
        <w:t>עוד מומלץ כי הסוכנות לעסקים קטנים תבצע את החלקים הרלוונטיים של החלטת ממשלה 550: להמשיך את פעילות הסוכנות בחברה הערבית; לפתח מסלולי ייעוץ ייחודים למגזר הערבי, מענקים ותמריצים מבוססי הצלחה שיקדמו את יכולות העסקים הקטנים והבינוניים בחברה הערבית</w:t>
      </w:r>
      <w:r w:rsidRPr="008E57FE">
        <w:rPr>
          <w:rFonts w:hint="cs"/>
          <w:rtl/>
        </w:rPr>
        <w:t>.</w:t>
      </w:r>
    </w:p>
    <w:p w:rsidR="00706096" w:rsidP="005D0F8C" w14:paraId="1FE82C78" w14:textId="56D7A40F">
      <w:pPr>
        <w:pStyle w:val="7317"/>
        <w:rPr>
          <w:rtl/>
        </w:rPr>
      </w:pPr>
    </w:p>
    <w:p w:rsidR="005D0F8C" w:rsidP="00706096" w14:paraId="24125138" w14:textId="66B62068">
      <w:pPr>
        <w:tabs>
          <w:tab w:val="right" w:pos="7370"/>
        </w:tabs>
        <w:bidi w:val="0"/>
        <w:spacing w:after="200" w:line="276" w:lineRule="auto"/>
        <w:rPr>
          <w:rtl/>
        </w:rPr>
      </w:pPr>
    </w:p>
    <w:p w:rsidR="005D0F8C" w:rsidP="006B7DE9" w14:paraId="5B8DB107" w14:textId="5F61834D">
      <w:pPr>
        <w:pStyle w:val="7317"/>
        <w:rPr>
          <w:rtl/>
        </w:rPr>
      </w:pPr>
      <w:r>
        <w:rPr>
          <w:rtl/>
        </w:rPr>
        <w:t xml:space="preserve"> </w:t>
      </w:r>
    </w:p>
    <w:p w:rsidR="005D0F8C" w:rsidP="005D0F8C" w14:paraId="65CD3CF9" w14:textId="3AF70A9F">
      <w:pPr>
        <w:pStyle w:val="7317"/>
        <w:rPr>
          <w:rtl/>
        </w:rPr>
      </w:pPr>
    </w:p>
    <w:p w:rsidR="000B31AA" w:rsidP="005D0F8C" w14:paraId="70881590" w14:textId="2FB01EF6">
      <w:pPr>
        <w:pStyle w:val="738"/>
        <w:spacing w:before="360" w:after="0"/>
        <w:rPr>
          <w:b/>
          <w:bCs/>
          <w:noProof/>
          <w:color w:val="FFFFFF" w:themeColor="background1"/>
          <w:sz w:val="22"/>
          <w:szCs w:val="22"/>
        </w:rPr>
      </w:pPr>
    </w:p>
    <w:p w:rsidR="0093709F" w14:paraId="1321409C"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542652" w:rsidP="00662020" w14:paraId="67297EEC" w14:textId="310B7FAC">
      <w:pPr>
        <w:pStyle w:val="738"/>
        <w:spacing w:before="0" w:after="0"/>
        <w:rPr>
          <w:rtl/>
        </w:rPr>
      </w:pPr>
      <w:r w:rsidRPr="00DC1D24">
        <w:rPr>
          <w:noProof/>
          <w:rtl/>
        </w:rPr>
        <mc:AlternateContent>
          <mc:Choice Requires="wpg">
            <w:drawing>
              <wp:anchor distT="0" distB="0" distL="114300" distR="114300" simplePos="0" relativeHeight="251678720" behindDoc="0" locked="0" layoutInCell="1" allowOverlap="1">
                <wp:simplePos x="0" y="0"/>
                <wp:positionH relativeFrom="margin">
                  <wp:posOffset>24130</wp:posOffset>
                </wp:positionH>
                <wp:positionV relativeFrom="paragraph">
                  <wp:posOffset>3175</wp:posOffset>
                </wp:positionV>
                <wp:extent cx="4749165" cy="76708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49165"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A47335" w:rsidP="00662020" w14:textId="09CC78C3">
                              <w:pPr>
                                <w:spacing w:before="60" w:after="60" w:line="240" w:lineRule="auto"/>
                                <w:ind w:right="113"/>
                                <w:jc w:val="left"/>
                                <w:rPr>
                                  <w:b/>
                                  <w:bCs/>
                                </w:rPr>
                              </w:pPr>
                              <w:r>
                                <w:rPr>
                                  <w:rFonts w:ascii="Tahoma" w:hAnsi="Tahoma" w:cs="Tahoma" w:hint="cs"/>
                                  <w:b/>
                                  <w:bCs/>
                                  <w:color w:val="FFFFFF" w:themeColor="background1"/>
                                  <w:spacing w:val="-4"/>
                                  <w:sz w:val="22"/>
                                  <w:szCs w:val="22"/>
                                  <w:rtl/>
                                </w:rPr>
                                <w:t>מידת תיקון עיקרי</w:t>
                              </w:r>
                              <w:r>
                                <w:rPr>
                                  <w:rFonts w:ascii="Tahoma" w:hAnsi="Tahoma" w:cs="Tahoma" w:hint="cs"/>
                                  <w:b/>
                                  <w:bCs/>
                                  <w:color w:val="FFFFFF" w:themeColor="background1"/>
                                  <w:spacing w:val="-4"/>
                                  <w:sz w:val="22"/>
                                  <w:szCs w:val="22"/>
                                  <w:rtl/>
                                </w:rPr>
                                <w:t xml:space="preserve"> הליקויים שעלו בדוח</w:t>
                              </w:r>
                              <w:r>
                                <w:rPr>
                                  <w:rFonts w:ascii="Tahoma" w:hAnsi="Tahoma" w:cs="Tahoma" w:hint="cs"/>
                                  <w:b/>
                                  <w:bCs/>
                                  <w:noProof/>
                                  <w:color w:val="FFFFFF" w:themeColor="background1"/>
                                  <w:sz w:val="22"/>
                                  <w:szCs w:val="22"/>
                                  <w:rtl/>
                                </w:rPr>
                                <w:t xml:space="preserve">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7" style="width:373.95pt;height:60.4pt;margin-top:0.25pt;margin-left:1.9pt;mso-height-relative:margin;mso-position-horizontal-relative:margin;mso-width-relative:margin;position:absolute;z-index:251679744"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8" type="#_x0000_t75" style="width:47879;height:6148;mso-wrap-style:square;position:absolute;top:1815;visibility:visible">
                  <v:imagedata r:id="rId30" o:title=""/>
                </v:shape>
                <v:shape id="_x0000_s1039" type="#_x0000_t202" style="width:44284;height:3476;left:2028;mso-wrap-style:square;position:absolute;top:2665;visibility:visible;v-text-anchor:middle" fillcolor="#f05260" stroked="f">
                  <v:textbox>
                    <w:txbxContent>
                      <w:p w:rsidR="000B31AA" w:rsidRPr="00A47335" w:rsidP="00662020" w14:paraId="64B50804" w14:textId="09CC78C3">
                        <w:pPr>
                          <w:spacing w:before="60" w:after="60" w:line="240" w:lineRule="auto"/>
                          <w:ind w:right="113"/>
                          <w:jc w:val="left"/>
                          <w:rPr>
                            <w:b/>
                            <w:bCs/>
                          </w:rPr>
                        </w:pPr>
                        <w:r>
                          <w:rPr>
                            <w:rFonts w:ascii="Tahoma" w:hAnsi="Tahoma" w:cs="Tahoma" w:hint="cs"/>
                            <w:b/>
                            <w:bCs/>
                            <w:color w:val="FFFFFF" w:themeColor="background1"/>
                            <w:spacing w:val="-4"/>
                            <w:sz w:val="22"/>
                            <w:szCs w:val="22"/>
                            <w:rtl/>
                          </w:rPr>
                          <w:t>מידת תיקון עיקרי</w:t>
                        </w:r>
                        <w:r>
                          <w:rPr>
                            <w:rFonts w:ascii="Tahoma" w:hAnsi="Tahoma" w:cs="Tahoma" w:hint="cs"/>
                            <w:b/>
                            <w:bCs/>
                            <w:color w:val="FFFFFF" w:themeColor="background1"/>
                            <w:spacing w:val="-4"/>
                            <w:sz w:val="22"/>
                            <w:szCs w:val="22"/>
                            <w:rtl/>
                          </w:rPr>
                          <w:t xml:space="preserve"> הליקויים שעלו בדוח</w:t>
                        </w:r>
                        <w:r>
                          <w:rPr>
                            <w:rFonts w:ascii="Tahoma" w:hAnsi="Tahoma" w:cs="Tahoma" w:hint="cs"/>
                            <w:b/>
                            <w:bCs/>
                            <w:noProof/>
                            <w:color w:val="FFFFFF" w:themeColor="background1"/>
                            <w:sz w:val="22"/>
                            <w:szCs w:val="22"/>
                            <w:rtl/>
                          </w:rPr>
                          <w:t xml:space="preserve"> הקודם</w:t>
                        </w:r>
                      </w:p>
                    </w:txbxContent>
                  </v:textbox>
                </v:shape>
                <w10:wrap type="square"/>
              </v:group>
            </w:pict>
          </mc:Fallback>
        </mc:AlternateContent>
      </w:r>
    </w:p>
    <w:tbl>
      <w:tblPr>
        <w:tblStyle w:val="TableGrid"/>
        <w:bidiVisual/>
        <w:tblW w:w="7302" w:type="dxa"/>
        <w:tblBorders>
          <w:top w:val="none" w:sz="0" w:space="0" w:color="auto"/>
          <w:bottom w:val="none" w:sz="0" w:space="0" w:color="auto"/>
          <w:insideH w:val="none" w:sz="0" w:space="0" w:color="auto"/>
        </w:tblBorders>
        <w:tblLook w:val="04A0"/>
      </w:tblPr>
      <w:tblGrid>
        <w:gridCol w:w="1130"/>
        <w:gridCol w:w="962"/>
        <w:gridCol w:w="2381"/>
        <w:gridCol w:w="590"/>
        <w:gridCol w:w="814"/>
        <w:gridCol w:w="733"/>
        <w:gridCol w:w="692"/>
      </w:tblGrid>
      <w:tr w14:paraId="29D75943" w14:textId="77777777" w:rsidTr="004A73F9">
        <w:tblPrEx>
          <w:tblW w:w="7302" w:type="dxa"/>
          <w:tblBorders>
            <w:top w:val="none" w:sz="0" w:space="0" w:color="auto"/>
            <w:bottom w:val="none" w:sz="0" w:space="0" w:color="auto"/>
            <w:insideH w:val="none" w:sz="0" w:space="0" w:color="auto"/>
          </w:tblBorders>
          <w:tblLook w:val="04A0"/>
        </w:tblPrEx>
        <w:trPr>
          <w:tblHeader/>
        </w:trPr>
        <w:tc>
          <w:tcPr>
            <w:tcW w:w="1130" w:type="dxa"/>
            <w:shd w:val="clear" w:color="auto" w:fill="C8DCE4"/>
            <w:vAlign w:val="bottom"/>
          </w:tcPr>
          <w:p w:rsidR="00542652" w:rsidRPr="00542652" w:rsidP="00542652" w14:paraId="7DBF98CF" w14:textId="77777777">
            <w:pPr>
              <w:pStyle w:val="73R"/>
              <w:jc w:val="center"/>
              <w:rPr>
                <w:b/>
                <w:bCs/>
                <w:rtl/>
              </w:rPr>
            </w:pPr>
          </w:p>
        </w:tc>
        <w:tc>
          <w:tcPr>
            <w:tcW w:w="962" w:type="dxa"/>
            <w:shd w:val="clear" w:color="auto" w:fill="C8DCE4"/>
            <w:vAlign w:val="bottom"/>
          </w:tcPr>
          <w:p w:rsidR="00542652" w:rsidRPr="00542652" w:rsidP="00542652" w14:paraId="3A562ECB" w14:textId="472257D0">
            <w:pPr>
              <w:pStyle w:val="73R"/>
              <w:jc w:val="center"/>
              <w:rPr>
                <w:b/>
                <w:bCs/>
                <w:rtl/>
              </w:rPr>
            </w:pPr>
          </w:p>
        </w:tc>
        <w:tc>
          <w:tcPr>
            <w:tcW w:w="2381" w:type="dxa"/>
            <w:shd w:val="clear" w:color="auto" w:fill="C8DCE4"/>
            <w:vAlign w:val="bottom"/>
          </w:tcPr>
          <w:p w:rsidR="00542652" w:rsidRPr="00542652" w:rsidP="00542652" w14:paraId="174DE350" w14:textId="77777777">
            <w:pPr>
              <w:pStyle w:val="73R"/>
              <w:jc w:val="center"/>
              <w:rPr>
                <w:b/>
                <w:bCs/>
                <w:rtl/>
              </w:rPr>
            </w:pPr>
          </w:p>
        </w:tc>
        <w:tc>
          <w:tcPr>
            <w:tcW w:w="2829" w:type="dxa"/>
            <w:gridSpan w:val="4"/>
            <w:shd w:val="clear" w:color="auto" w:fill="C8DCE4"/>
            <w:vAlign w:val="bottom"/>
          </w:tcPr>
          <w:p w:rsidR="00542652" w:rsidRPr="00542652" w:rsidP="00542652" w14:paraId="71677A9A" w14:textId="137D2CCA">
            <w:pPr>
              <w:pStyle w:val="73R"/>
              <w:jc w:val="center"/>
              <w:rPr>
                <w:b/>
                <w:bCs/>
                <w:rtl/>
              </w:rPr>
            </w:pPr>
            <w:r w:rsidRPr="00542652">
              <w:rPr>
                <w:b/>
                <w:bCs/>
                <w:rtl/>
              </w:rPr>
              <w:t>מידת תיקון הליקוי</w:t>
            </w:r>
            <w:r w:rsidRPr="00542652">
              <w:rPr>
                <w:rFonts w:hint="cs"/>
                <w:b/>
                <w:bCs/>
                <w:rtl/>
              </w:rPr>
              <w:t xml:space="preserve"> שעלה בביקורת המעקב</w:t>
            </w:r>
          </w:p>
        </w:tc>
      </w:tr>
      <w:tr w14:paraId="068D5A06" w14:textId="77777777" w:rsidTr="004A73F9">
        <w:tblPrEx>
          <w:tblW w:w="7302" w:type="dxa"/>
          <w:tblLook w:val="04A0"/>
        </w:tblPrEx>
        <w:trPr>
          <w:tblHeader/>
        </w:trPr>
        <w:tc>
          <w:tcPr>
            <w:tcW w:w="1130" w:type="dxa"/>
            <w:shd w:val="clear" w:color="auto" w:fill="C8DCE4"/>
            <w:vAlign w:val="bottom"/>
          </w:tcPr>
          <w:p w:rsidR="00542652" w:rsidRPr="00542652" w:rsidP="00542652" w14:paraId="458827CC" w14:textId="65717930">
            <w:pPr>
              <w:pStyle w:val="73R"/>
              <w:jc w:val="center"/>
              <w:rPr>
                <w:b/>
                <w:bCs/>
                <w:rtl/>
              </w:rPr>
            </w:pPr>
            <w:r w:rsidRPr="00542652">
              <w:rPr>
                <w:rFonts w:hint="cs"/>
                <w:b/>
                <w:bCs/>
                <w:rtl/>
              </w:rPr>
              <w:t>הגוף המבוקר</w:t>
            </w:r>
          </w:p>
        </w:tc>
        <w:tc>
          <w:tcPr>
            <w:tcW w:w="962" w:type="dxa"/>
            <w:shd w:val="clear" w:color="auto" w:fill="C8DCE4"/>
            <w:vAlign w:val="bottom"/>
          </w:tcPr>
          <w:p w:rsidR="00542652" w:rsidRPr="00542652" w:rsidP="00542652" w14:paraId="136B8964" w14:textId="71AD37C5">
            <w:pPr>
              <w:pStyle w:val="73R"/>
              <w:jc w:val="center"/>
              <w:rPr>
                <w:b/>
                <w:bCs/>
                <w:rtl/>
              </w:rPr>
            </w:pPr>
            <w:r w:rsidRPr="00542652">
              <w:rPr>
                <w:rFonts w:hint="cs"/>
                <w:b/>
                <w:bCs/>
                <w:rtl/>
              </w:rPr>
              <w:t>הגוף המבוקר</w:t>
            </w:r>
          </w:p>
        </w:tc>
        <w:tc>
          <w:tcPr>
            <w:tcW w:w="2381" w:type="dxa"/>
            <w:shd w:val="clear" w:color="auto" w:fill="C8DCE4"/>
            <w:vAlign w:val="bottom"/>
          </w:tcPr>
          <w:p w:rsidR="00542652" w:rsidRPr="00542652" w:rsidP="00542652" w14:paraId="1F82715C" w14:textId="32F04E8B">
            <w:pPr>
              <w:pStyle w:val="73R"/>
              <w:jc w:val="center"/>
              <w:rPr>
                <w:b/>
                <w:bCs/>
                <w:rtl/>
              </w:rPr>
            </w:pPr>
            <w:r w:rsidRPr="00542652">
              <w:rPr>
                <w:b/>
                <w:bCs/>
                <w:rtl/>
              </w:rPr>
              <w:t>הליקוי בדוח הביקורת</w:t>
            </w:r>
            <w:r w:rsidRPr="00542652">
              <w:rPr>
                <w:rFonts w:hint="cs"/>
                <w:b/>
                <w:bCs/>
                <w:rtl/>
              </w:rPr>
              <w:t xml:space="preserve"> הקודם</w:t>
            </w:r>
          </w:p>
        </w:tc>
        <w:tc>
          <w:tcPr>
            <w:tcW w:w="590" w:type="dxa"/>
            <w:shd w:val="clear" w:color="auto" w:fill="FF0100"/>
            <w:vAlign w:val="bottom"/>
          </w:tcPr>
          <w:p w:rsidR="00542652" w:rsidRPr="00542652" w:rsidP="00542652" w14:paraId="6A439A74" w14:textId="07B3F11C">
            <w:pPr>
              <w:pStyle w:val="73R"/>
              <w:jc w:val="center"/>
              <w:rPr>
                <w:b/>
                <w:bCs/>
                <w:rtl/>
              </w:rPr>
            </w:pPr>
            <w:r w:rsidRPr="00542652">
              <w:rPr>
                <w:rFonts w:hint="eastAsia"/>
                <w:b/>
                <w:bCs/>
                <w:rtl/>
              </w:rPr>
              <w:t>לא</w:t>
            </w:r>
            <w:r w:rsidRPr="00542652">
              <w:rPr>
                <w:b/>
                <w:bCs/>
                <w:rtl/>
              </w:rPr>
              <w:t xml:space="preserve"> </w:t>
            </w:r>
            <w:r w:rsidRPr="00542652">
              <w:rPr>
                <w:rFonts w:hint="eastAsia"/>
                <w:b/>
                <w:bCs/>
                <w:rtl/>
              </w:rPr>
              <w:t>תוקן</w:t>
            </w:r>
          </w:p>
        </w:tc>
        <w:tc>
          <w:tcPr>
            <w:tcW w:w="814" w:type="dxa"/>
            <w:shd w:val="clear" w:color="auto" w:fill="FFC002"/>
            <w:vAlign w:val="bottom"/>
          </w:tcPr>
          <w:p w:rsidR="00542652" w:rsidRPr="00542652" w:rsidP="00542652" w14:paraId="3E8951A5" w14:textId="4F75CE27">
            <w:pPr>
              <w:pStyle w:val="73R"/>
              <w:jc w:val="center"/>
              <w:rPr>
                <w:b/>
                <w:bCs/>
                <w:rtl/>
              </w:rPr>
            </w:pPr>
            <w:r w:rsidRPr="00542652">
              <w:rPr>
                <w:rFonts w:hint="eastAsia"/>
                <w:b/>
                <w:bCs/>
                <w:rtl/>
              </w:rPr>
              <w:t>תוקן</w:t>
            </w:r>
            <w:r w:rsidRPr="00542652">
              <w:rPr>
                <w:b/>
                <w:bCs/>
                <w:rtl/>
              </w:rPr>
              <w:t xml:space="preserve"> </w:t>
            </w:r>
            <w:r w:rsidRPr="00542652">
              <w:rPr>
                <w:rFonts w:hint="eastAsia"/>
                <w:b/>
                <w:bCs/>
                <w:rtl/>
              </w:rPr>
              <w:t>במידה</w:t>
            </w:r>
            <w:r w:rsidRPr="00542652">
              <w:rPr>
                <w:b/>
                <w:bCs/>
                <w:rtl/>
              </w:rPr>
              <w:t xml:space="preserve"> </w:t>
            </w:r>
            <w:r w:rsidRPr="00542652">
              <w:rPr>
                <w:rFonts w:hint="eastAsia"/>
                <w:b/>
                <w:bCs/>
                <w:rtl/>
              </w:rPr>
              <w:t>מועטה</w:t>
            </w:r>
          </w:p>
        </w:tc>
        <w:tc>
          <w:tcPr>
            <w:tcW w:w="733" w:type="dxa"/>
            <w:shd w:val="clear" w:color="auto" w:fill="FFFF00"/>
            <w:vAlign w:val="bottom"/>
          </w:tcPr>
          <w:p w:rsidR="00542652" w:rsidRPr="00542652" w:rsidP="00542652" w14:paraId="350E0A4C" w14:textId="75727E1D">
            <w:pPr>
              <w:pStyle w:val="73R"/>
              <w:jc w:val="center"/>
              <w:rPr>
                <w:b/>
                <w:bCs/>
                <w:rtl/>
              </w:rPr>
            </w:pPr>
            <w:r w:rsidRPr="00542652">
              <w:rPr>
                <w:rFonts w:hint="eastAsia"/>
                <w:b/>
                <w:bCs/>
                <w:rtl/>
              </w:rPr>
              <w:t>תוקן</w:t>
            </w:r>
            <w:r w:rsidRPr="00542652">
              <w:rPr>
                <w:b/>
                <w:bCs/>
                <w:rtl/>
              </w:rPr>
              <w:t xml:space="preserve"> </w:t>
            </w:r>
            <w:r w:rsidRPr="00542652">
              <w:rPr>
                <w:rFonts w:hint="eastAsia"/>
                <w:b/>
                <w:bCs/>
                <w:rtl/>
              </w:rPr>
              <w:t>במידה</w:t>
            </w:r>
            <w:r w:rsidRPr="00542652">
              <w:rPr>
                <w:b/>
                <w:bCs/>
                <w:rtl/>
              </w:rPr>
              <w:t xml:space="preserve"> </w:t>
            </w:r>
            <w:r w:rsidRPr="00542652">
              <w:rPr>
                <w:rFonts w:hint="eastAsia"/>
                <w:b/>
                <w:bCs/>
                <w:rtl/>
              </w:rPr>
              <w:t>רבה</w:t>
            </w:r>
          </w:p>
        </w:tc>
        <w:tc>
          <w:tcPr>
            <w:tcW w:w="692" w:type="dxa"/>
            <w:shd w:val="clear" w:color="auto" w:fill="92D150"/>
            <w:vAlign w:val="bottom"/>
          </w:tcPr>
          <w:p w:rsidR="00542652" w:rsidRPr="00542652" w:rsidP="00542652" w14:paraId="76ADD9E7" w14:textId="445D1778">
            <w:pPr>
              <w:pStyle w:val="73R"/>
              <w:jc w:val="center"/>
              <w:rPr>
                <w:b/>
                <w:bCs/>
                <w:rtl/>
              </w:rPr>
            </w:pPr>
            <w:r w:rsidRPr="00542652">
              <w:rPr>
                <w:rFonts w:hint="eastAsia"/>
                <w:b/>
                <w:bCs/>
                <w:rtl/>
              </w:rPr>
              <w:t>תוקן</w:t>
            </w:r>
            <w:r w:rsidRPr="00542652">
              <w:rPr>
                <w:b/>
                <w:bCs/>
                <w:rtl/>
              </w:rPr>
              <w:t xml:space="preserve"> </w:t>
            </w:r>
            <w:r w:rsidRPr="00542652">
              <w:rPr>
                <w:rFonts w:hint="eastAsia"/>
                <w:b/>
                <w:bCs/>
                <w:rtl/>
              </w:rPr>
              <w:t>באופן</w:t>
            </w:r>
            <w:r w:rsidRPr="00542652">
              <w:rPr>
                <w:b/>
                <w:bCs/>
                <w:rtl/>
              </w:rPr>
              <w:t xml:space="preserve"> </w:t>
            </w:r>
            <w:r w:rsidRPr="00542652">
              <w:rPr>
                <w:rFonts w:hint="eastAsia"/>
                <w:b/>
                <w:bCs/>
                <w:rtl/>
              </w:rPr>
              <w:t>מלא</w:t>
            </w:r>
          </w:p>
        </w:tc>
      </w:tr>
      <w:tr w14:paraId="62BDC2DD" w14:textId="77777777" w:rsidTr="004A73F9">
        <w:tblPrEx>
          <w:tblW w:w="7302" w:type="dxa"/>
          <w:tblLook w:val="04A0"/>
        </w:tblPrEx>
        <w:tc>
          <w:tcPr>
            <w:tcW w:w="1130" w:type="dxa"/>
            <w:shd w:val="clear" w:color="auto" w:fill="DFECEF"/>
          </w:tcPr>
          <w:p w:rsidR="00542652" w:rsidRPr="00542652" w:rsidP="00E613C5" w14:paraId="77C34941" w14:textId="5011659F">
            <w:pPr>
              <w:pStyle w:val="73R"/>
              <w:spacing w:before="140"/>
              <w:rPr>
                <w:rtl/>
              </w:rPr>
            </w:pPr>
            <w:r w:rsidRPr="00542652">
              <w:rPr>
                <w:rtl/>
              </w:rPr>
              <w:t>פטור ממס ביבוא אישי</w:t>
            </w:r>
          </w:p>
        </w:tc>
        <w:tc>
          <w:tcPr>
            <w:tcW w:w="962" w:type="dxa"/>
            <w:shd w:val="clear" w:color="auto" w:fill="DFECEF"/>
          </w:tcPr>
          <w:p w:rsidR="00542652" w:rsidRPr="00542652" w:rsidP="00E613C5" w14:paraId="19DE41D8" w14:textId="270989F5">
            <w:pPr>
              <w:pStyle w:val="73R"/>
              <w:spacing w:before="140"/>
              <w:rPr>
                <w:rtl/>
              </w:rPr>
            </w:pPr>
            <w:r w:rsidRPr="00704F4B">
              <w:rPr>
                <w:rtl/>
              </w:rPr>
              <w:t>משרד האוצר ומשרד הכלכלה</w:t>
            </w:r>
          </w:p>
        </w:tc>
        <w:tc>
          <w:tcPr>
            <w:tcW w:w="2381" w:type="dxa"/>
            <w:shd w:val="clear" w:color="auto" w:fill="DFECEF"/>
          </w:tcPr>
          <w:p w:rsidR="00542652" w:rsidRPr="00542652" w:rsidP="00E613C5" w14:paraId="7E90BF6D" w14:textId="181B9852">
            <w:pPr>
              <w:pStyle w:val="73R"/>
              <w:spacing w:before="140"/>
              <w:rPr>
                <w:rtl/>
              </w:rPr>
            </w:pPr>
            <w:r w:rsidRPr="00704F4B">
              <w:rPr>
                <w:rtl/>
              </w:rPr>
              <w:t>על משרד האוצר ומשרד הכלכלה לבחון אם די בצעדים שהם נוקטים כדי להביא לצמצום הפגיעה במגזר הקמעונאי</w:t>
            </w:r>
          </w:p>
        </w:tc>
        <w:tc>
          <w:tcPr>
            <w:tcW w:w="590" w:type="dxa"/>
            <w:shd w:val="clear" w:color="auto" w:fill="DFECEF"/>
          </w:tcPr>
          <w:p w:rsidR="00542652" w:rsidRPr="00542652" w:rsidP="00E613C5" w14:paraId="120CAF23" w14:textId="5BDF0C8F">
            <w:pPr>
              <w:pStyle w:val="73R"/>
              <w:spacing w:before="140"/>
              <w:rPr>
                <w:rtl/>
              </w:rPr>
            </w:pPr>
            <w:r w:rsidRPr="00973C85">
              <w:rPr>
                <w:noProof/>
                <w:rtl/>
              </w:rPr>
              <mc:AlternateContent>
                <mc:Choice Requires="wps">
                  <w:drawing>
                    <wp:anchor distT="0" distB="0" distL="114300" distR="114300" simplePos="0" relativeHeight="251682816" behindDoc="0" locked="0" layoutInCell="1" allowOverlap="1">
                      <wp:simplePos x="0" y="0"/>
                      <wp:positionH relativeFrom="column">
                        <wp:posOffset>-994450</wp:posOffset>
                      </wp:positionH>
                      <wp:positionV relativeFrom="paragraph">
                        <wp:posOffset>231775</wp:posOffset>
                      </wp:positionV>
                      <wp:extent cx="1259460" cy="218587"/>
                      <wp:effectExtent l="12700" t="12700" r="10795" b="10160"/>
                      <wp:wrapNone/>
                      <wp:docPr id="1113575896" name="חץ שמאלה 1113575896"/>
                      <wp:cNvGraphicFramePr/>
                      <a:graphic xmlns:a="http://schemas.openxmlformats.org/drawingml/2006/main">
                        <a:graphicData uri="http://schemas.microsoft.com/office/word/2010/wordprocessingShape">
                          <wps:wsp xmlns:wps="http://schemas.microsoft.com/office/word/2010/wordprocessingShape">
                            <wps:cNvSpPr/>
                            <wps:spPr>
                              <a:xfrm>
                                <a:off x="0" y="0"/>
                                <a:ext cx="1259460" cy="218587"/>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113575896" o:spid="_x0000_s1040" type="#_x0000_t66" style="width:99.15pt;height:17.2pt;margin-top:18.25pt;margin-left:-78.3pt;mso-height-percent:0;mso-height-relative:margin;mso-width-percent:0;mso-width-relative:margin;mso-wrap-distance-bottom:0;mso-wrap-distance-left:9pt;mso-wrap-distance-right:9pt;mso-wrap-distance-top:0;mso-wrap-style:square;position:absolute;visibility:visible;v-text-anchor:middle;z-index:251683840" adj="1874" fillcolor="yellow" strokecolor="yellow" strokeweight="2pt"/>
                  </w:pict>
                </mc:Fallback>
              </mc:AlternateContent>
            </w:r>
          </w:p>
        </w:tc>
        <w:tc>
          <w:tcPr>
            <w:tcW w:w="814" w:type="dxa"/>
            <w:shd w:val="clear" w:color="auto" w:fill="DFECEF"/>
          </w:tcPr>
          <w:p w:rsidR="00542652" w:rsidRPr="00542652" w:rsidP="00E613C5" w14:paraId="0BA792FB" w14:textId="08F28B84">
            <w:pPr>
              <w:pStyle w:val="73R"/>
              <w:spacing w:before="140"/>
              <w:rPr>
                <w:rtl/>
              </w:rPr>
            </w:pPr>
          </w:p>
        </w:tc>
        <w:tc>
          <w:tcPr>
            <w:tcW w:w="733" w:type="dxa"/>
            <w:shd w:val="clear" w:color="auto" w:fill="DFECEF"/>
          </w:tcPr>
          <w:p w:rsidR="00542652" w:rsidRPr="00542652" w:rsidP="00E613C5" w14:paraId="36BE62AD" w14:textId="77777777">
            <w:pPr>
              <w:pStyle w:val="73R"/>
              <w:spacing w:before="140"/>
              <w:rPr>
                <w:rtl/>
              </w:rPr>
            </w:pPr>
          </w:p>
        </w:tc>
        <w:tc>
          <w:tcPr>
            <w:tcW w:w="692" w:type="dxa"/>
            <w:shd w:val="clear" w:color="auto" w:fill="DFECEF"/>
          </w:tcPr>
          <w:p w:rsidR="00542652" w:rsidRPr="00542652" w:rsidP="00E613C5" w14:paraId="40DC693B" w14:textId="77777777">
            <w:pPr>
              <w:pStyle w:val="73R"/>
              <w:spacing w:before="140"/>
              <w:rPr>
                <w:rtl/>
              </w:rPr>
            </w:pPr>
          </w:p>
        </w:tc>
      </w:tr>
      <w:tr w14:paraId="069318D0" w14:textId="77777777" w:rsidTr="004A73F9">
        <w:tblPrEx>
          <w:tblW w:w="7302" w:type="dxa"/>
          <w:tblLook w:val="04A0"/>
        </w:tblPrEx>
        <w:tc>
          <w:tcPr>
            <w:tcW w:w="1130" w:type="dxa"/>
            <w:shd w:val="clear" w:color="auto" w:fill="F0F8F9"/>
          </w:tcPr>
          <w:p w:rsidR="00542652" w:rsidRPr="00542652" w:rsidP="00E613C5" w14:paraId="24E98E99" w14:textId="3BE5D709">
            <w:pPr>
              <w:pStyle w:val="73R"/>
              <w:spacing w:before="140"/>
              <w:rPr>
                <w:rtl/>
              </w:rPr>
            </w:pPr>
            <w:r w:rsidRPr="00542652">
              <w:rPr>
                <w:rtl/>
              </w:rPr>
              <w:t>מחשבון מכס ליבוא אישי, תיקון צו יבוא אישי</w:t>
            </w:r>
          </w:p>
        </w:tc>
        <w:tc>
          <w:tcPr>
            <w:tcW w:w="962" w:type="dxa"/>
            <w:shd w:val="clear" w:color="auto" w:fill="F0F8F9"/>
          </w:tcPr>
          <w:p w:rsidR="00542652" w:rsidRPr="00542652" w:rsidP="00E613C5" w14:paraId="2F105628" w14:textId="7B773980">
            <w:pPr>
              <w:pStyle w:val="73R"/>
              <w:spacing w:before="140"/>
              <w:rPr>
                <w:rtl/>
              </w:rPr>
            </w:pPr>
            <w:r w:rsidRPr="00704F4B">
              <w:rPr>
                <w:rtl/>
              </w:rPr>
              <w:t>משרד האוצר ומשרד הכלכלה</w:t>
            </w:r>
          </w:p>
        </w:tc>
        <w:tc>
          <w:tcPr>
            <w:tcW w:w="2381" w:type="dxa"/>
            <w:shd w:val="clear" w:color="auto" w:fill="F0F8F9"/>
          </w:tcPr>
          <w:p w:rsidR="00542652" w:rsidRPr="00542652" w:rsidP="00E613C5" w14:paraId="20C5F674" w14:textId="09C42432">
            <w:pPr>
              <w:pStyle w:val="73R"/>
              <w:spacing w:before="140"/>
              <w:rPr>
                <w:rtl/>
              </w:rPr>
            </w:pPr>
            <w:r w:rsidRPr="00704F4B">
              <w:rPr>
                <w:rtl/>
              </w:rPr>
              <w:t>משרדי הכלכלה והאוצר טרם השלימו את הקמת המערכת הממוחשבת ליבוא אישי, הרשויות המוסמכות עדיין לא השלימו את שינויי האסדרה הנוגעים ליבוא אישי ולחוקיות היבוא, וצו יבוא אישי לא תוקן באופן שתתאפשר הנפקת אישור על עמידה בדרישות חוקיות היבוא בתוך שני ימי עבודה</w:t>
            </w:r>
          </w:p>
        </w:tc>
        <w:tc>
          <w:tcPr>
            <w:tcW w:w="590" w:type="dxa"/>
            <w:shd w:val="clear" w:color="auto" w:fill="F0F8F9"/>
          </w:tcPr>
          <w:p w:rsidR="00542652" w:rsidRPr="00542652" w:rsidP="00E613C5" w14:paraId="658C8346" w14:textId="720EE0BF">
            <w:pPr>
              <w:pStyle w:val="73R"/>
              <w:spacing w:before="140"/>
              <w:rPr>
                <w:rtl/>
              </w:rPr>
            </w:pPr>
          </w:p>
        </w:tc>
        <w:tc>
          <w:tcPr>
            <w:tcW w:w="814" w:type="dxa"/>
            <w:shd w:val="clear" w:color="auto" w:fill="F0F8F9"/>
          </w:tcPr>
          <w:p w:rsidR="00542652" w:rsidRPr="00542652" w:rsidP="00E613C5" w14:paraId="5A950B0A" w14:textId="60222FAE">
            <w:pPr>
              <w:pStyle w:val="73R"/>
              <w:spacing w:before="140"/>
              <w:rPr>
                <w:rtl/>
              </w:rPr>
            </w:pPr>
          </w:p>
        </w:tc>
        <w:tc>
          <w:tcPr>
            <w:tcW w:w="733" w:type="dxa"/>
            <w:shd w:val="clear" w:color="auto" w:fill="F0F8F9"/>
          </w:tcPr>
          <w:p w:rsidR="00542652" w:rsidRPr="00542652" w:rsidP="00E613C5" w14:paraId="22D56D14" w14:textId="77777777">
            <w:pPr>
              <w:pStyle w:val="73R"/>
              <w:spacing w:before="140"/>
              <w:rPr>
                <w:rtl/>
              </w:rPr>
            </w:pPr>
          </w:p>
        </w:tc>
        <w:tc>
          <w:tcPr>
            <w:tcW w:w="692" w:type="dxa"/>
            <w:shd w:val="clear" w:color="auto" w:fill="F0F8F9"/>
          </w:tcPr>
          <w:p w:rsidR="00542652" w:rsidRPr="00542652" w:rsidP="00E613C5" w14:paraId="70C66810" w14:textId="1A8C1E19">
            <w:pPr>
              <w:pStyle w:val="73R"/>
              <w:spacing w:before="140"/>
              <w:rPr>
                <w:rtl/>
              </w:rPr>
            </w:pPr>
            <w:r w:rsidRPr="00973C85">
              <w:rPr>
                <w:noProof/>
                <w:rtl/>
              </w:rPr>
              <mc:AlternateContent>
                <mc:Choice Requires="wps">
                  <w:drawing>
                    <wp:anchor distT="0" distB="0" distL="114300" distR="114300" simplePos="0" relativeHeight="251684864" behindDoc="0" locked="0" layoutInCell="1" allowOverlap="1">
                      <wp:simplePos x="0" y="0"/>
                      <wp:positionH relativeFrom="column">
                        <wp:posOffset>8255</wp:posOffset>
                      </wp:positionH>
                      <wp:positionV relativeFrom="paragraph">
                        <wp:posOffset>491490</wp:posOffset>
                      </wp:positionV>
                      <wp:extent cx="1686560" cy="218440"/>
                      <wp:effectExtent l="12700" t="12700" r="15240" b="10160"/>
                      <wp:wrapNone/>
                      <wp:docPr id="1113575895" name="חץ שמאלה 1113575895"/>
                      <wp:cNvGraphicFramePr/>
                      <a:graphic xmlns:a="http://schemas.openxmlformats.org/drawingml/2006/main">
                        <a:graphicData uri="http://schemas.microsoft.com/office/word/2010/wordprocessingShape">
                          <wps:wsp xmlns:wps="http://schemas.microsoft.com/office/word/2010/wordprocessingShape">
                            <wps:cNvSpPr/>
                            <wps:spPr>
                              <a:xfrm>
                                <a:off x="0" y="0"/>
                                <a:ext cx="1686560" cy="218440"/>
                              </a:xfrm>
                              <a:prstGeom prst="leftArrow">
                                <a:avLst/>
                              </a:prstGeom>
                              <a:solidFill>
                                <a:srgbClr val="92D150"/>
                              </a:solidFill>
                              <a:ln w="25400">
                                <a:solidFill>
                                  <a:srgbClr val="92D1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95" o:spid="_x0000_s1041" type="#_x0000_t66" style="width:132.8pt;height:17.2pt;margin-top:38.7pt;margin-left:0.65pt;mso-height-percent:0;mso-height-relative:margin;mso-width-percent:0;mso-width-relative:margin;mso-wrap-distance-bottom:0;mso-wrap-distance-left:9pt;mso-wrap-distance-right:9pt;mso-wrap-distance-top:0;mso-wrap-style:square;position:absolute;visibility:visible;v-text-anchor:middle;z-index:251685888" adj="1399" fillcolor="#92d150" strokecolor="#92d150" strokeweight="2pt"/>
                  </w:pict>
                </mc:Fallback>
              </mc:AlternateContent>
            </w:r>
          </w:p>
        </w:tc>
      </w:tr>
      <w:tr w14:paraId="4C200C3B" w14:textId="77777777" w:rsidTr="004A73F9">
        <w:tblPrEx>
          <w:tblW w:w="7302" w:type="dxa"/>
          <w:tblLook w:val="04A0"/>
        </w:tblPrEx>
        <w:tc>
          <w:tcPr>
            <w:tcW w:w="1130" w:type="dxa"/>
            <w:shd w:val="clear" w:color="auto" w:fill="DFECEF"/>
          </w:tcPr>
          <w:p w:rsidR="00542652" w:rsidRPr="00542652" w:rsidP="00E613C5" w14:paraId="542BA5B9" w14:textId="386BCD00">
            <w:pPr>
              <w:pStyle w:val="73R"/>
              <w:spacing w:before="140"/>
              <w:rPr>
                <w:rtl/>
              </w:rPr>
            </w:pPr>
            <w:r w:rsidRPr="00542652">
              <w:rPr>
                <w:rtl/>
              </w:rPr>
              <w:t>הגנה על פרטיות הצרכן באתרי מסחר מקוון</w:t>
            </w:r>
          </w:p>
        </w:tc>
        <w:tc>
          <w:tcPr>
            <w:tcW w:w="962" w:type="dxa"/>
            <w:shd w:val="clear" w:color="auto" w:fill="DFECEF"/>
          </w:tcPr>
          <w:p w:rsidR="00542652" w:rsidRPr="00542652" w:rsidP="00E613C5" w14:paraId="298192F5" w14:textId="1AA45A42">
            <w:pPr>
              <w:pStyle w:val="73R"/>
              <w:spacing w:before="140"/>
              <w:rPr>
                <w:rtl/>
              </w:rPr>
            </w:pPr>
            <w:r w:rsidRPr="00704F4B">
              <w:rPr>
                <w:rtl/>
              </w:rPr>
              <w:t>משרד המשפטים</w:t>
            </w:r>
          </w:p>
        </w:tc>
        <w:tc>
          <w:tcPr>
            <w:tcW w:w="2381" w:type="dxa"/>
            <w:shd w:val="clear" w:color="auto" w:fill="DFECEF"/>
          </w:tcPr>
          <w:p w:rsidR="00542652" w:rsidRPr="00542652" w:rsidP="00E613C5" w14:paraId="6AEF984B" w14:textId="6B282EA1">
            <w:pPr>
              <w:pStyle w:val="73R"/>
              <w:spacing w:before="140"/>
              <w:rPr>
                <w:rtl/>
              </w:rPr>
            </w:pPr>
            <w:r w:rsidRPr="00704F4B">
              <w:rPr>
                <w:rtl/>
              </w:rPr>
              <w:t>החקיקה הקיימת בחוק הגנת הפרטיות כוללת הגדרות לא עדכניות של מושגי מפתח, ואינה נותנת מענה לסוגיות חשובות במסחר מקוון</w:t>
            </w:r>
          </w:p>
        </w:tc>
        <w:tc>
          <w:tcPr>
            <w:tcW w:w="590" w:type="dxa"/>
            <w:shd w:val="clear" w:color="auto" w:fill="DFECEF"/>
          </w:tcPr>
          <w:p w:rsidR="00542652" w:rsidRPr="00542652" w:rsidP="00E613C5" w14:paraId="04B2668B" w14:textId="749DD067">
            <w:pPr>
              <w:pStyle w:val="73R"/>
              <w:spacing w:before="140"/>
              <w:rPr>
                <w:rtl/>
              </w:rPr>
            </w:pPr>
          </w:p>
        </w:tc>
        <w:tc>
          <w:tcPr>
            <w:tcW w:w="814" w:type="dxa"/>
            <w:shd w:val="clear" w:color="auto" w:fill="DFECEF"/>
          </w:tcPr>
          <w:p w:rsidR="00542652" w:rsidRPr="00542652" w:rsidP="00E613C5" w14:paraId="4B14882F" w14:textId="6551046A">
            <w:pPr>
              <w:pStyle w:val="73R"/>
              <w:spacing w:before="140"/>
              <w:rPr>
                <w:rtl/>
              </w:rPr>
            </w:pPr>
            <w:r w:rsidRPr="00973C85">
              <w:rPr>
                <w:noProof/>
                <w:rtl/>
              </w:rPr>
              <mc:AlternateContent>
                <mc:Choice Requires="wps">
                  <w:drawing>
                    <wp:anchor distT="0" distB="0" distL="114300" distR="114300" simplePos="0" relativeHeight="251686912" behindDoc="0" locked="0" layoutInCell="1" allowOverlap="1">
                      <wp:simplePos x="0" y="0"/>
                      <wp:positionH relativeFrom="column">
                        <wp:posOffset>-466535</wp:posOffset>
                      </wp:positionH>
                      <wp:positionV relativeFrom="paragraph">
                        <wp:posOffset>236855</wp:posOffset>
                      </wp:positionV>
                      <wp:extent cx="1259460" cy="218587"/>
                      <wp:effectExtent l="12700" t="12700" r="10795" b="10160"/>
                      <wp:wrapNone/>
                      <wp:docPr id="20" name="חץ שמאלה 20"/>
                      <wp:cNvGraphicFramePr/>
                      <a:graphic xmlns:a="http://schemas.openxmlformats.org/drawingml/2006/main">
                        <a:graphicData uri="http://schemas.microsoft.com/office/word/2010/wordprocessingShape">
                          <wps:wsp xmlns:wps="http://schemas.microsoft.com/office/word/2010/wordprocessingShape">
                            <wps:cNvSpPr/>
                            <wps:spPr>
                              <a:xfrm>
                                <a:off x="0" y="0"/>
                                <a:ext cx="1259460" cy="218587"/>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0" o:spid="_x0000_s1042" type="#_x0000_t66" style="width:99.15pt;height:17.2pt;margin-top:18.65pt;margin-left:-36.75pt;mso-height-percent:0;mso-height-relative:margin;mso-width-percent:0;mso-width-relative:margin;mso-wrap-distance-bottom:0;mso-wrap-distance-left:9pt;mso-wrap-distance-right:9pt;mso-wrap-distance-top:0;mso-wrap-style:square;position:absolute;visibility:visible;v-text-anchor:middle;z-index:251687936" adj="1874" fillcolor="yellow" strokecolor="yellow" strokeweight="2pt"/>
                  </w:pict>
                </mc:Fallback>
              </mc:AlternateContent>
            </w:r>
          </w:p>
        </w:tc>
        <w:tc>
          <w:tcPr>
            <w:tcW w:w="733" w:type="dxa"/>
            <w:shd w:val="clear" w:color="auto" w:fill="DFECEF"/>
          </w:tcPr>
          <w:p w:rsidR="00542652" w:rsidRPr="00542652" w:rsidP="00E613C5" w14:paraId="6DB95AEC" w14:textId="77777777">
            <w:pPr>
              <w:pStyle w:val="73R"/>
              <w:spacing w:before="140"/>
              <w:rPr>
                <w:rtl/>
              </w:rPr>
            </w:pPr>
          </w:p>
        </w:tc>
        <w:tc>
          <w:tcPr>
            <w:tcW w:w="692" w:type="dxa"/>
            <w:shd w:val="clear" w:color="auto" w:fill="DFECEF"/>
          </w:tcPr>
          <w:p w:rsidR="00542652" w:rsidRPr="00542652" w:rsidP="00E613C5" w14:paraId="7AE2067E" w14:textId="77777777">
            <w:pPr>
              <w:pStyle w:val="73R"/>
              <w:spacing w:before="140"/>
              <w:rPr>
                <w:rtl/>
              </w:rPr>
            </w:pPr>
          </w:p>
        </w:tc>
      </w:tr>
      <w:tr w14:paraId="38848BC2" w14:textId="77777777" w:rsidTr="004A73F9">
        <w:tblPrEx>
          <w:tblW w:w="7302" w:type="dxa"/>
          <w:tblLook w:val="04A0"/>
        </w:tblPrEx>
        <w:tc>
          <w:tcPr>
            <w:tcW w:w="1130" w:type="dxa"/>
            <w:shd w:val="clear" w:color="auto" w:fill="F0F8F9"/>
          </w:tcPr>
          <w:p w:rsidR="00542652" w:rsidRPr="00542652" w:rsidP="00E613C5" w14:paraId="0482020A" w14:textId="38A645DC">
            <w:pPr>
              <w:pStyle w:val="73R"/>
              <w:spacing w:before="140"/>
              <w:rPr>
                <w:rtl/>
              </w:rPr>
            </w:pPr>
            <w:r w:rsidRPr="00542652">
              <w:rPr>
                <w:rtl/>
              </w:rPr>
              <w:t>פעולות אכיפה של הרשות להגנת הפרטיות</w:t>
            </w:r>
          </w:p>
        </w:tc>
        <w:tc>
          <w:tcPr>
            <w:tcW w:w="962" w:type="dxa"/>
            <w:shd w:val="clear" w:color="auto" w:fill="F0F8F9"/>
          </w:tcPr>
          <w:p w:rsidR="00542652" w:rsidRPr="00542652" w:rsidP="00E613C5" w14:paraId="0A94DB81" w14:textId="5DD2D5DF">
            <w:pPr>
              <w:pStyle w:val="73R"/>
              <w:spacing w:before="140"/>
              <w:rPr>
                <w:rtl/>
              </w:rPr>
            </w:pPr>
            <w:r w:rsidRPr="00704F4B">
              <w:rPr>
                <w:rtl/>
              </w:rPr>
              <w:t>הרשות להגנת הפרטיות</w:t>
            </w:r>
          </w:p>
        </w:tc>
        <w:tc>
          <w:tcPr>
            <w:tcW w:w="2381" w:type="dxa"/>
            <w:shd w:val="clear" w:color="auto" w:fill="F0F8F9"/>
          </w:tcPr>
          <w:p w:rsidR="00542652" w:rsidRPr="00542652" w:rsidP="00E613C5" w14:paraId="0BB59B3D" w14:textId="5E3C6354">
            <w:pPr>
              <w:pStyle w:val="73R"/>
              <w:spacing w:before="140"/>
              <w:rPr>
                <w:rtl/>
              </w:rPr>
            </w:pPr>
            <w:r w:rsidRPr="00704F4B">
              <w:rPr>
                <w:rtl/>
              </w:rPr>
              <w:t>הרשות להגנת הפרטיות לא מסרה למשרד מבקר המדינה מידע על היקף הפרות חוק הגנת הפרטיות שהובאו לידיעתה בנושא איסוף מידע מקוון ועל היקף השימוש שלה בסמכותה להטיל קנס כספי על המפירים</w:t>
            </w:r>
          </w:p>
        </w:tc>
        <w:tc>
          <w:tcPr>
            <w:tcW w:w="590" w:type="dxa"/>
            <w:shd w:val="clear" w:color="auto" w:fill="F0F8F9"/>
          </w:tcPr>
          <w:p w:rsidR="00542652" w:rsidRPr="00542652" w:rsidP="00E613C5" w14:paraId="51112F8D" w14:textId="4DBB634F">
            <w:pPr>
              <w:pStyle w:val="73R"/>
              <w:spacing w:before="140"/>
              <w:rPr>
                <w:rtl/>
              </w:rPr>
            </w:pPr>
            <w:r w:rsidRPr="00973C85">
              <w:rPr>
                <w:noProof/>
                <w:rtl/>
              </w:rPr>
              <mc:AlternateContent>
                <mc:Choice Requires="wps">
                  <w:drawing>
                    <wp:anchor distT="0" distB="0" distL="114300" distR="114300" simplePos="0" relativeHeight="251688960" behindDoc="0" locked="0" layoutInCell="1" allowOverlap="1">
                      <wp:simplePos x="0" y="0"/>
                      <wp:positionH relativeFrom="column">
                        <wp:posOffset>-994450</wp:posOffset>
                      </wp:positionH>
                      <wp:positionV relativeFrom="paragraph">
                        <wp:posOffset>360840</wp:posOffset>
                      </wp:positionV>
                      <wp:extent cx="1259460" cy="218587"/>
                      <wp:effectExtent l="12700" t="12700" r="10795" b="10160"/>
                      <wp:wrapNone/>
                      <wp:docPr id="28" name="חץ שמאלה 28"/>
                      <wp:cNvGraphicFramePr/>
                      <a:graphic xmlns:a="http://schemas.openxmlformats.org/drawingml/2006/main">
                        <a:graphicData uri="http://schemas.microsoft.com/office/word/2010/wordprocessingShape">
                          <wps:wsp xmlns:wps="http://schemas.microsoft.com/office/word/2010/wordprocessingShape">
                            <wps:cNvSpPr/>
                            <wps:spPr>
                              <a:xfrm>
                                <a:off x="0" y="0"/>
                                <a:ext cx="1259460" cy="218587"/>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8" o:spid="_x0000_s1043" type="#_x0000_t66" style="width:99.15pt;height:17.2pt;margin-top:28.4pt;margin-left:-78.3pt;mso-height-percent:0;mso-height-relative:margin;mso-width-percent:0;mso-width-relative:margin;mso-wrap-distance-bottom:0;mso-wrap-distance-left:9pt;mso-wrap-distance-right:9pt;mso-wrap-distance-top:0;mso-wrap-style:square;position:absolute;visibility:visible;v-text-anchor:middle;z-index:251689984" adj="1874" fillcolor="yellow" strokecolor="yellow" strokeweight="2pt"/>
                  </w:pict>
                </mc:Fallback>
              </mc:AlternateContent>
            </w:r>
          </w:p>
        </w:tc>
        <w:tc>
          <w:tcPr>
            <w:tcW w:w="814" w:type="dxa"/>
            <w:shd w:val="clear" w:color="auto" w:fill="F0F8F9"/>
          </w:tcPr>
          <w:p w:rsidR="00542652" w:rsidRPr="00542652" w:rsidP="00E613C5" w14:paraId="1B5A1D80" w14:textId="77777777">
            <w:pPr>
              <w:pStyle w:val="73R"/>
              <w:spacing w:before="140"/>
              <w:rPr>
                <w:rtl/>
              </w:rPr>
            </w:pPr>
          </w:p>
        </w:tc>
        <w:tc>
          <w:tcPr>
            <w:tcW w:w="733" w:type="dxa"/>
            <w:shd w:val="clear" w:color="auto" w:fill="F0F8F9"/>
          </w:tcPr>
          <w:p w:rsidR="00542652" w:rsidRPr="00542652" w:rsidP="00E613C5" w14:paraId="6B2A72D7" w14:textId="77777777">
            <w:pPr>
              <w:pStyle w:val="73R"/>
              <w:spacing w:before="140"/>
              <w:rPr>
                <w:rtl/>
              </w:rPr>
            </w:pPr>
          </w:p>
        </w:tc>
        <w:tc>
          <w:tcPr>
            <w:tcW w:w="692" w:type="dxa"/>
            <w:shd w:val="clear" w:color="auto" w:fill="F0F8F9"/>
          </w:tcPr>
          <w:p w:rsidR="00542652" w:rsidRPr="00542652" w:rsidP="00E613C5" w14:paraId="56849CE9" w14:textId="77777777">
            <w:pPr>
              <w:pStyle w:val="73R"/>
              <w:spacing w:before="140"/>
              <w:rPr>
                <w:rtl/>
              </w:rPr>
            </w:pPr>
          </w:p>
        </w:tc>
      </w:tr>
      <w:tr w14:paraId="7B70E0D1" w14:textId="77777777" w:rsidTr="004A73F9">
        <w:tblPrEx>
          <w:tblW w:w="7302" w:type="dxa"/>
          <w:tblLook w:val="04A0"/>
        </w:tblPrEx>
        <w:tc>
          <w:tcPr>
            <w:tcW w:w="1130" w:type="dxa"/>
            <w:shd w:val="clear" w:color="auto" w:fill="DFECEF"/>
          </w:tcPr>
          <w:p w:rsidR="00542652" w:rsidRPr="00542652" w:rsidP="00E613C5" w14:paraId="4FF267A5" w14:textId="190069CA">
            <w:pPr>
              <w:pStyle w:val="73R"/>
              <w:spacing w:before="140"/>
              <w:rPr>
                <w:rtl/>
              </w:rPr>
            </w:pPr>
            <w:r w:rsidRPr="00542652">
              <w:rPr>
                <w:rtl/>
              </w:rPr>
              <w:t>המלצות פרטניות בנוגע לחסמים הקיימים ברשויות המוסמכות</w:t>
            </w:r>
          </w:p>
        </w:tc>
        <w:tc>
          <w:tcPr>
            <w:tcW w:w="962" w:type="dxa"/>
            <w:shd w:val="clear" w:color="auto" w:fill="DFECEF"/>
          </w:tcPr>
          <w:p w:rsidR="00542652" w:rsidRPr="00542652" w:rsidP="00E613C5" w14:paraId="217EFA70" w14:textId="3FE71E9C">
            <w:pPr>
              <w:pStyle w:val="73R"/>
              <w:spacing w:before="140"/>
              <w:rPr>
                <w:rtl/>
              </w:rPr>
            </w:pPr>
            <w:r w:rsidRPr="00704F4B">
              <w:rPr>
                <w:rtl/>
              </w:rPr>
              <w:t>הרשויות המוסמכות</w:t>
            </w:r>
          </w:p>
        </w:tc>
        <w:tc>
          <w:tcPr>
            <w:tcW w:w="2381" w:type="dxa"/>
            <w:shd w:val="clear" w:color="auto" w:fill="DFECEF"/>
          </w:tcPr>
          <w:p w:rsidR="00542652" w:rsidRPr="00542652" w:rsidP="00E613C5" w14:paraId="1F5A57D5" w14:textId="3368AFBB">
            <w:pPr>
              <w:pStyle w:val="73R"/>
              <w:spacing w:before="140"/>
              <w:rPr>
                <w:rtl/>
              </w:rPr>
            </w:pPr>
            <w:r w:rsidRPr="00704F4B">
              <w:rPr>
                <w:rtl/>
              </w:rPr>
              <w:t>חלק מהרשויות המוסמכות טרם החלו להתאים את יבוא המוצרים שבאחריותן לכלל היבוא האישי, ולצמצם את מספר המוצרים שיש להמציא עבור יבואם אישורים על עמידה בדרישות חוקיות היבוא, וחלק מהשינויים דורשים התאמות בחקיקה ובנהלים הרלוונטיים</w:t>
            </w:r>
          </w:p>
        </w:tc>
        <w:tc>
          <w:tcPr>
            <w:tcW w:w="590" w:type="dxa"/>
            <w:shd w:val="clear" w:color="auto" w:fill="DFECEF"/>
          </w:tcPr>
          <w:p w:rsidR="00542652" w:rsidRPr="00542652" w:rsidP="00E613C5" w14:paraId="67E8423F" w14:textId="4C2B238F">
            <w:pPr>
              <w:pStyle w:val="73R"/>
              <w:spacing w:before="140"/>
              <w:rPr>
                <w:rtl/>
              </w:rPr>
            </w:pPr>
          </w:p>
        </w:tc>
        <w:tc>
          <w:tcPr>
            <w:tcW w:w="814" w:type="dxa"/>
            <w:shd w:val="clear" w:color="auto" w:fill="DFECEF"/>
          </w:tcPr>
          <w:p w:rsidR="00542652" w:rsidRPr="00542652" w:rsidP="00E613C5" w14:paraId="544249BF" w14:textId="2DFFFF3D">
            <w:pPr>
              <w:pStyle w:val="73R"/>
              <w:spacing w:before="140"/>
              <w:rPr>
                <w:rtl/>
              </w:rPr>
            </w:pPr>
            <w:r w:rsidRPr="00973C85">
              <w:rPr>
                <w:noProof/>
                <w:rtl/>
              </w:rPr>
              <mc:AlternateContent>
                <mc:Choice Requires="wps">
                  <w:drawing>
                    <wp:anchor distT="0" distB="0" distL="114300" distR="114300" simplePos="0" relativeHeight="251691008" behindDoc="0" locked="0" layoutInCell="1" allowOverlap="1">
                      <wp:simplePos x="0" y="0"/>
                      <wp:positionH relativeFrom="column">
                        <wp:posOffset>-461645</wp:posOffset>
                      </wp:positionH>
                      <wp:positionV relativeFrom="paragraph">
                        <wp:posOffset>483510</wp:posOffset>
                      </wp:positionV>
                      <wp:extent cx="1259460" cy="218587"/>
                      <wp:effectExtent l="12700" t="12700" r="10795" b="10160"/>
                      <wp:wrapNone/>
                      <wp:docPr id="29" name="חץ שמאלה 29"/>
                      <wp:cNvGraphicFramePr/>
                      <a:graphic xmlns:a="http://schemas.openxmlformats.org/drawingml/2006/main">
                        <a:graphicData uri="http://schemas.microsoft.com/office/word/2010/wordprocessingShape">
                          <wps:wsp xmlns:wps="http://schemas.microsoft.com/office/word/2010/wordprocessingShape">
                            <wps:cNvSpPr/>
                            <wps:spPr>
                              <a:xfrm>
                                <a:off x="0" y="0"/>
                                <a:ext cx="1259460" cy="218587"/>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9" o:spid="_x0000_s1044" type="#_x0000_t66" style="width:99.15pt;height:17.2pt;margin-top:38.05pt;margin-left:-36.35pt;mso-height-percent:0;mso-height-relative:margin;mso-width-percent:0;mso-width-relative:margin;mso-wrap-distance-bottom:0;mso-wrap-distance-left:9pt;mso-wrap-distance-right:9pt;mso-wrap-distance-top:0;mso-wrap-style:square;position:absolute;visibility:visible;v-text-anchor:middle;z-index:251692032" adj="1874" fillcolor="yellow" strokecolor="yellow" strokeweight="2pt"/>
                  </w:pict>
                </mc:Fallback>
              </mc:AlternateContent>
            </w:r>
          </w:p>
        </w:tc>
        <w:tc>
          <w:tcPr>
            <w:tcW w:w="733" w:type="dxa"/>
            <w:shd w:val="clear" w:color="auto" w:fill="DFECEF"/>
          </w:tcPr>
          <w:p w:rsidR="00542652" w:rsidRPr="00542652" w:rsidP="00E613C5" w14:paraId="0E13FC95" w14:textId="77777777">
            <w:pPr>
              <w:pStyle w:val="73R"/>
              <w:spacing w:before="140"/>
              <w:rPr>
                <w:rtl/>
              </w:rPr>
            </w:pPr>
          </w:p>
        </w:tc>
        <w:tc>
          <w:tcPr>
            <w:tcW w:w="692" w:type="dxa"/>
            <w:shd w:val="clear" w:color="auto" w:fill="DFECEF"/>
          </w:tcPr>
          <w:p w:rsidR="00542652" w:rsidRPr="00542652" w:rsidP="00E613C5" w14:paraId="2FCD8B97" w14:textId="77777777">
            <w:pPr>
              <w:pStyle w:val="73R"/>
              <w:spacing w:before="140"/>
              <w:rPr>
                <w:rtl/>
              </w:rPr>
            </w:pPr>
          </w:p>
        </w:tc>
      </w:tr>
      <w:tr w14:paraId="5B8745EA" w14:textId="77777777" w:rsidTr="004A73F9">
        <w:tblPrEx>
          <w:tblW w:w="7302" w:type="dxa"/>
          <w:tblLook w:val="04A0"/>
        </w:tblPrEx>
        <w:tc>
          <w:tcPr>
            <w:tcW w:w="1130" w:type="dxa"/>
            <w:shd w:val="clear" w:color="auto" w:fill="F0F8F9"/>
          </w:tcPr>
          <w:p w:rsidR="00542652" w:rsidRPr="00542652" w:rsidP="00E613C5" w14:paraId="4CEE490E" w14:textId="053A8D85">
            <w:pPr>
              <w:pStyle w:val="73R"/>
              <w:spacing w:before="140"/>
              <w:rPr>
                <w:rtl/>
              </w:rPr>
            </w:pPr>
            <w:r w:rsidRPr="00542652">
              <w:rPr>
                <w:rtl/>
              </w:rPr>
              <w:t>התיקון לתקנות הנגישות</w:t>
            </w:r>
          </w:p>
        </w:tc>
        <w:tc>
          <w:tcPr>
            <w:tcW w:w="962" w:type="dxa"/>
            <w:shd w:val="clear" w:color="auto" w:fill="F0F8F9"/>
          </w:tcPr>
          <w:p w:rsidR="00542652" w:rsidRPr="00542652" w:rsidP="00E613C5" w14:paraId="6C757453" w14:textId="3253D2ED">
            <w:pPr>
              <w:pStyle w:val="73R"/>
              <w:spacing w:before="140"/>
              <w:rPr>
                <w:rtl/>
              </w:rPr>
            </w:pPr>
            <w:r w:rsidRPr="00704F4B">
              <w:rPr>
                <w:rtl/>
              </w:rPr>
              <w:t>נציבות שוויון זכויות לאנשים עם מוגבלות</w:t>
            </w:r>
          </w:p>
        </w:tc>
        <w:tc>
          <w:tcPr>
            <w:tcW w:w="2381" w:type="dxa"/>
            <w:shd w:val="clear" w:color="auto" w:fill="F0F8F9"/>
          </w:tcPr>
          <w:p w:rsidR="00542652" w:rsidRPr="00542652" w:rsidP="00E613C5" w14:paraId="70FC96F9" w14:textId="5C20BC11">
            <w:pPr>
              <w:pStyle w:val="73R"/>
              <w:spacing w:before="140"/>
              <w:rPr>
                <w:rtl/>
              </w:rPr>
            </w:pPr>
            <w:r w:rsidRPr="00704F4B">
              <w:rPr>
                <w:rtl/>
              </w:rPr>
              <w:t xml:space="preserve">הנציבות לא אספה מידע המלמד באיזו מידה התיקון לתקנות תורם </w:t>
            </w:r>
            <w:r w:rsidRPr="00704F4B">
              <w:rPr>
                <w:rtl/>
              </w:rPr>
              <w:t>להנגשת</w:t>
            </w:r>
            <w:r w:rsidRPr="00704F4B">
              <w:rPr>
                <w:rtl/>
              </w:rPr>
              <w:t xml:space="preserve"> האתרים עבור אנשים עם מוגבלות, ומידע על שיעור האנשים עם מוגבלות המשתמשים במרשתת, לרבות אתרי מסחר מקוון, מכל האנשים עם מוגבלות</w:t>
            </w:r>
          </w:p>
        </w:tc>
        <w:tc>
          <w:tcPr>
            <w:tcW w:w="590" w:type="dxa"/>
            <w:shd w:val="clear" w:color="auto" w:fill="F0F8F9"/>
          </w:tcPr>
          <w:p w:rsidR="00542652" w:rsidRPr="00542652" w:rsidP="00E613C5" w14:paraId="2538D45B" w14:textId="48EA12B9">
            <w:pPr>
              <w:pStyle w:val="73R"/>
              <w:spacing w:before="140"/>
              <w:rPr>
                <w:rtl/>
              </w:rPr>
            </w:pPr>
          </w:p>
        </w:tc>
        <w:tc>
          <w:tcPr>
            <w:tcW w:w="814" w:type="dxa"/>
            <w:shd w:val="clear" w:color="auto" w:fill="F0F8F9"/>
          </w:tcPr>
          <w:p w:rsidR="00542652" w:rsidRPr="00542652" w:rsidP="00E613C5" w14:paraId="10377151" w14:textId="56DD1A46">
            <w:pPr>
              <w:pStyle w:val="73R"/>
              <w:spacing w:before="140"/>
              <w:rPr>
                <w:rtl/>
              </w:rPr>
            </w:pPr>
            <w:r w:rsidRPr="00973C85">
              <w:rPr>
                <w:noProof/>
                <w:rtl/>
              </w:rPr>
              <mc:AlternateContent>
                <mc:Choice Requires="wps">
                  <w:drawing>
                    <wp:anchor distT="0" distB="0" distL="114300" distR="114300" simplePos="0" relativeHeight="251693056" behindDoc="0" locked="0" layoutInCell="1" allowOverlap="1">
                      <wp:simplePos x="0" y="0"/>
                      <wp:positionH relativeFrom="column">
                        <wp:posOffset>-461890</wp:posOffset>
                      </wp:positionH>
                      <wp:positionV relativeFrom="paragraph">
                        <wp:posOffset>405945</wp:posOffset>
                      </wp:positionV>
                      <wp:extent cx="1259460" cy="218587"/>
                      <wp:effectExtent l="12700" t="12700" r="10795" b="10160"/>
                      <wp:wrapNone/>
                      <wp:docPr id="33" name="חץ שמאלה 33"/>
                      <wp:cNvGraphicFramePr/>
                      <a:graphic xmlns:a="http://schemas.openxmlformats.org/drawingml/2006/main">
                        <a:graphicData uri="http://schemas.microsoft.com/office/word/2010/wordprocessingShape">
                          <wps:wsp xmlns:wps="http://schemas.microsoft.com/office/word/2010/wordprocessingShape">
                            <wps:cNvSpPr/>
                            <wps:spPr>
                              <a:xfrm>
                                <a:off x="0" y="0"/>
                                <a:ext cx="1259460" cy="218587"/>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3" o:spid="_x0000_s1045" type="#_x0000_t66" style="width:99.15pt;height:17.2pt;margin-top:31.95pt;margin-left:-36.35pt;mso-height-percent:0;mso-height-relative:margin;mso-width-percent:0;mso-width-relative:margin;mso-wrap-distance-bottom:0;mso-wrap-distance-left:9pt;mso-wrap-distance-right:9pt;mso-wrap-distance-top:0;mso-wrap-style:square;position:absolute;visibility:visible;v-text-anchor:middle;z-index:251694080" adj="1874" fillcolor="yellow" strokecolor="yellow" strokeweight="2pt"/>
                  </w:pict>
                </mc:Fallback>
              </mc:AlternateContent>
            </w:r>
          </w:p>
        </w:tc>
        <w:tc>
          <w:tcPr>
            <w:tcW w:w="733" w:type="dxa"/>
            <w:shd w:val="clear" w:color="auto" w:fill="F0F8F9"/>
          </w:tcPr>
          <w:p w:rsidR="00542652" w:rsidRPr="00542652" w:rsidP="00E613C5" w14:paraId="3A02E421" w14:textId="77777777">
            <w:pPr>
              <w:pStyle w:val="73R"/>
              <w:spacing w:before="140"/>
              <w:rPr>
                <w:rtl/>
              </w:rPr>
            </w:pPr>
          </w:p>
        </w:tc>
        <w:tc>
          <w:tcPr>
            <w:tcW w:w="692" w:type="dxa"/>
            <w:shd w:val="clear" w:color="auto" w:fill="F0F8F9"/>
          </w:tcPr>
          <w:p w:rsidR="00542652" w:rsidRPr="00542652" w:rsidP="00E613C5" w14:paraId="1BF68634" w14:textId="77777777">
            <w:pPr>
              <w:pStyle w:val="73R"/>
              <w:spacing w:before="140"/>
              <w:rPr>
                <w:rtl/>
              </w:rPr>
            </w:pPr>
          </w:p>
        </w:tc>
      </w:tr>
      <w:tr w14:paraId="5EB59A6A" w14:textId="77777777" w:rsidTr="004A73F9">
        <w:tblPrEx>
          <w:tblW w:w="7302" w:type="dxa"/>
          <w:tblLook w:val="04A0"/>
        </w:tblPrEx>
        <w:tc>
          <w:tcPr>
            <w:tcW w:w="1130" w:type="dxa"/>
            <w:shd w:val="clear" w:color="auto" w:fill="DFECEF"/>
          </w:tcPr>
          <w:p w:rsidR="00542652" w:rsidRPr="00542652" w:rsidP="00542652" w14:paraId="6F9217B8" w14:textId="3BC6C6BE">
            <w:pPr>
              <w:pStyle w:val="73R"/>
              <w:rPr>
                <w:rtl/>
              </w:rPr>
            </w:pPr>
            <w:r w:rsidRPr="00542652">
              <w:rPr>
                <w:rtl/>
              </w:rPr>
              <w:t>חינוך והסברה בנושא הצרכנות המקוונת</w:t>
            </w:r>
          </w:p>
        </w:tc>
        <w:tc>
          <w:tcPr>
            <w:tcW w:w="962" w:type="dxa"/>
            <w:shd w:val="clear" w:color="auto" w:fill="DFECEF"/>
          </w:tcPr>
          <w:p w:rsidR="00542652" w:rsidRPr="00542652" w:rsidP="00542652" w14:paraId="52A4D565" w14:textId="53C33446">
            <w:pPr>
              <w:pStyle w:val="73R"/>
              <w:rPr>
                <w:rtl/>
              </w:rPr>
            </w:pPr>
            <w:r w:rsidRPr="00704F4B">
              <w:rPr>
                <w:rtl/>
              </w:rPr>
              <w:t>משרד החינוך</w:t>
            </w:r>
          </w:p>
        </w:tc>
        <w:tc>
          <w:tcPr>
            <w:tcW w:w="2381" w:type="dxa"/>
            <w:shd w:val="clear" w:color="auto" w:fill="DFECEF"/>
          </w:tcPr>
          <w:p w:rsidR="00542652" w:rsidRPr="00542652" w:rsidP="00542652" w14:paraId="189B5EBB" w14:textId="02B945B0">
            <w:pPr>
              <w:pStyle w:val="73R"/>
              <w:rPr>
                <w:rtl/>
              </w:rPr>
            </w:pPr>
            <w:r w:rsidRPr="00704F4B">
              <w:rPr>
                <w:rtl/>
              </w:rPr>
              <w:t>על משרד החינוך לקדם שילוב של חינוך לצרכנות נבונה במרשתת, על כל מאפייניה, בתוכניות קיימות נוספות</w:t>
            </w:r>
          </w:p>
        </w:tc>
        <w:tc>
          <w:tcPr>
            <w:tcW w:w="590" w:type="dxa"/>
            <w:shd w:val="clear" w:color="auto" w:fill="DFECEF"/>
          </w:tcPr>
          <w:p w:rsidR="00542652" w:rsidRPr="00542652" w:rsidP="00542652" w14:paraId="1B8DFA03" w14:textId="2C40D8B4">
            <w:pPr>
              <w:pStyle w:val="73R"/>
              <w:rPr>
                <w:rtl/>
              </w:rPr>
            </w:pPr>
            <w:r w:rsidRPr="00973C85">
              <w:rPr>
                <w:noProof/>
                <w:rtl/>
              </w:rPr>
              <mc:AlternateContent>
                <mc:Choice Requires="wps">
                  <w:drawing>
                    <wp:anchor distT="0" distB="0" distL="114300" distR="114300" simplePos="0" relativeHeight="251695104" behindDoc="0" locked="0" layoutInCell="1" allowOverlap="1">
                      <wp:simplePos x="0" y="0"/>
                      <wp:positionH relativeFrom="column">
                        <wp:posOffset>-55680</wp:posOffset>
                      </wp:positionH>
                      <wp:positionV relativeFrom="paragraph">
                        <wp:posOffset>261310</wp:posOffset>
                      </wp:positionV>
                      <wp:extent cx="325444" cy="175260"/>
                      <wp:effectExtent l="12700" t="12700" r="17780" b="15240"/>
                      <wp:wrapNone/>
                      <wp:docPr id="178" name="חץ שמאלה 178"/>
                      <wp:cNvGraphicFramePr/>
                      <a:graphic xmlns:a="http://schemas.openxmlformats.org/drawingml/2006/main">
                        <a:graphicData uri="http://schemas.microsoft.com/office/word/2010/wordprocessingShape">
                          <wps:wsp xmlns:wps="http://schemas.microsoft.com/office/word/2010/wordprocessingShape">
                            <wps:cNvSpPr/>
                            <wps:spPr>
                              <a:xfrm>
                                <a:off x="0" y="0"/>
                                <a:ext cx="325444" cy="17526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8" o:spid="_x0000_s1046" type="#_x0000_t66" style="width:25.65pt;height:13.8pt;margin-top:20.6pt;margin-left:-4.4pt;mso-height-percent:0;mso-height-relative:margin;mso-width-percent:0;mso-width-relative:margin;mso-wrap-distance-bottom:0;mso-wrap-distance-left:9pt;mso-wrap-distance-right:9pt;mso-wrap-distance-top:0;mso-wrap-style:square;position:absolute;visibility:visible;v-text-anchor:middle;z-index:251696128" adj="5816" fillcolor="red" strokecolor="red" strokeweight="2pt"/>
                  </w:pict>
                </mc:Fallback>
              </mc:AlternateContent>
            </w:r>
          </w:p>
        </w:tc>
        <w:tc>
          <w:tcPr>
            <w:tcW w:w="814" w:type="dxa"/>
            <w:shd w:val="clear" w:color="auto" w:fill="DFECEF"/>
          </w:tcPr>
          <w:p w:rsidR="00542652" w:rsidRPr="00542652" w:rsidP="00542652" w14:paraId="30BD02E8" w14:textId="77777777">
            <w:pPr>
              <w:pStyle w:val="73R"/>
              <w:rPr>
                <w:rtl/>
              </w:rPr>
            </w:pPr>
          </w:p>
        </w:tc>
        <w:tc>
          <w:tcPr>
            <w:tcW w:w="733" w:type="dxa"/>
            <w:shd w:val="clear" w:color="auto" w:fill="DFECEF"/>
          </w:tcPr>
          <w:p w:rsidR="00542652" w:rsidRPr="00542652" w:rsidP="00542652" w14:paraId="5E255280" w14:textId="77777777">
            <w:pPr>
              <w:pStyle w:val="73R"/>
              <w:rPr>
                <w:rtl/>
              </w:rPr>
            </w:pPr>
          </w:p>
        </w:tc>
        <w:tc>
          <w:tcPr>
            <w:tcW w:w="692" w:type="dxa"/>
            <w:shd w:val="clear" w:color="auto" w:fill="DFECEF"/>
          </w:tcPr>
          <w:p w:rsidR="00542652" w:rsidRPr="00542652" w:rsidP="00542652" w14:paraId="58DAD8A2" w14:textId="77777777">
            <w:pPr>
              <w:pStyle w:val="73R"/>
              <w:rPr>
                <w:rtl/>
              </w:rPr>
            </w:pPr>
          </w:p>
        </w:tc>
      </w:tr>
      <w:tr w14:paraId="0B2F4759" w14:textId="77777777" w:rsidTr="004A73F9">
        <w:tblPrEx>
          <w:tblW w:w="7302" w:type="dxa"/>
          <w:tblLook w:val="04A0"/>
        </w:tblPrEx>
        <w:tc>
          <w:tcPr>
            <w:tcW w:w="1130" w:type="dxa"/>
            <w:shd w:val="clear" w:color="auto" w:fill="F0F8F9"/>
          </w:tcPr>
          <w:p w:rsidR="00542652" w:rsidRPr="00542652" w:rsidP="00542652" w14:paraId="77F1ACFF" w14:textId="18B325C4">
            <w:pPr>
              <w:pStyle w:val="73R"/>
              <w:rPr>
                <w:rtl/>
              </w:rPr>
            </w:pPr>
            <w:r w:rsidRPr="00542652">
              <w:rPr>
                <w:rtl/>
              </w:rPr>
              <w:t>חינוך והסברה לאוכלוסיית האזרחים הוותיקים</w:t>
            </w:r>
          </w:p>
        </w:tc>
        <w:tc>
          <w:tcPr>
            <w:tcW w:w="962" w:type="dxa"/>
            <w:shd w:val="clear" w:color="auto" w:fill="F0F8F9"/>
          </w:tcPr>
          <w:p w:rsidR="00542652" w:rsidRPr="00542652" w:rsidP="00542652" w14:paraId="0D86A056" w14:textId="2BBC85DB">
            <w:pPr>
              <w:pStyle w:val="73R"/>
              <w:rPr>
                <w:rtl/>
              </w:rPr>
            </w:pPr>
            <w:r w:rsidRPr="00704F4B">
              <w:rPr>
                <w:rtl/>
              </w:rPr>
              <w:t>המשרד לשוויון חברתי והמועצה לצרכנות</w:t>
            </w:r>
          </w:p>
        </w:tc>
        <w:tc>
          <w:tcPr>
            <w:tcW w:w="2381" w:type="dxa"/>
            <w:shd w:val="clear" w:color="auto" w:fill="F0F8F9"/>
          </w:tcPr>
          <w:p w:rsidR="00542652" w:rsidRPr="00542652" w:rsidP="00542652" w14:paraId="00C1B3BA" w14:textId="7A67EF22">
            <w:pPr>
              <w:pStyle w:val="73R"/>
              <w:rPr>
                <w:rtl/>
              </w:rPr>
            </w:pPr>
            <w:r w:rsidRPr="00704F4B">
              <w:rPr>
                <w:rtl/>
              </w:rPr>
              <w:t>על המשרד לשוויון חברתי והמועצה לצרכנות לשלב ידיים ולאגם משאבים כדי למפות את הצרכים והחסמים של אוכלוסיית האזרחים הוותיקים ולגבש עבורה תוכנית ייעודית לנושא הצרכנות במרשתת. מומלץ שהמועצה תדגיש את נושא המסחר המקוון בסדנאותיה ותיתן סיוע בנושא</w:t>
            </w:r>
          </w:p>
        </w:tc>
        <w:tc>
          <w:tcPr>
            <w:tcW w:w="590" w:type="dxa"/>
            <w:shd w:val="clear" w:color="auto" w:fill="F0F8F9"/>
          </w:tcPr>
          <w:p w:rsidR="00542652" w:rsidRPr="00542652" w:rsidP="00542652" w14:paraId="221887B1" w14:textId="4A4C9DEF">
            <w:pPr>
              <w:pStyle w:val="73R"/>
              <w:rPr>
                <w:rtl/>
              </w:rPr>
            </w:pPr>
            <w:r w:rsidRPr="00973C85">
              <w:rPr>
                <w:noProof/>
                <w:rtl/>
              </w:rPr>
              <mc:AlternateContent>
                <mc:Choice Requires="wps">
                  <w:drawing>
                    <wp:anchor distT="0" distB="0" distL="114300" distR="114300" simplePos="0" relativeHeight="251697152" behindDoc="0" locked="0" layoutInCell="1" allowOverlap="1">
                      <wp:simplePos x="0" y="0"/>
                      <wp:positionH relativeFrom="column">
                        <wp:posOffset>-45985</wp:posOffset>
                      </wp:positionH>
                      <wp:positionV relativeFrom="paragraph">
                        <wp:posOffset>487685</wp:posOffset>
                      </wp:positionV>
                      <wp:extent cx="325444" cy="175260"/>
                      <wp:effectExtent l="12700" t="12700" r="17780" b="15240"/>
                      <wp:wrapNone/>
                      <wp:docPr id="35" name="חץ שמאלה 35"/>
                      <wp:cNvGraphicFramePr/>
                      <a:graphic xmlns:a="http://schemas.openxmlformats.org/drawingml/2006/main">
                        <a:graphicData uri="http://schemas.microsoft.com/office/word/2010/wordprocessingShape">
                          <wps:wsp xmlns:wps="http://schemas.microsoft.com/office/word/2010/wordprocessingShape">
                            <wps:cNvSpPr/>
                            <wps:spPr>
                              <a:xfrm>
                                <a:off x="0" y="0"/>
                                <a:ext cx="325444" cy="17526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5" o:spid="_x0000_s1047" type="#_x0000_t66" style="width:25.65pt;height:13.8pt;margin-top:38.4pt;margin-left:-3.6pt;mso-height-percent:0;mso-height-relative:margin;mso-width-percent:0;mso-width-relative:margin;mso-wrap-distance-bottom:0;mso-wrap-distance-left:9pt;mso-wrap-distance-right:9pt;mso-wrap-distance-top:0;mso-wrap-style:square;position:absolute;visibility:visible;v-text-anchor:middle;z-index:251698176" adj="5816" fillcolor="red" strokecolor="red" strokeweight="2pt"/>
                  </w:pict>
                </mc:Fallback>
              </mc:AlternateContent>
            </w:r>
          </w:p>
        </w:tc>
        <w:tc>
          <w:tcPr>
            <w:tcW w:w="814" w:type="dxa"/>
            <w:shd w:val="clear" w:color="auto" w:fill="F0F8F9"/>
          </w:tcPr>
          <w:p w:rsidR="00542652" w:rsidRPr="00542652" w:rsidP="00542652" w14:paraId="221A4FB8" w14:textId="77777777">
            <w:pPr>
              <w:pStyle w:val="73R"/>
              <w:rPr>
                <w:rtl/>
              </w:rPr>
            </w:pPr>
          </w:p>
        </w:tc>
        <w:tc>
          <w:tcPr>
            <w:tcW w:w="733" w:type="dxa"/>
            <w:shd w:val="clear" w:color="auto" w:fill="F0F8F9"/>
          </w:tcPr>
          <w:p w:rsidR="00542652" w:rsidRPr="00542652" w:rsidP="00542652" w14:paraId="66711095" w14:textId="77777777">
            <w:pPr>
              <w:pStyle w:val="73R"/>
              <w:rPr>
                <w:rtl/>
              </w:rPr>
            </w:pPr>
          </w:p>
        </w:tc>
        <w:tc>
          <w:tcPr>
            <w:tcW w:w="692" w:type="dxa"/>
            <w:shd w:val="clear" w:color="auto" w:fill="F0F8F9"/>
          </w:tcPr>
          <w:p w:rsidR="00542652" w:rsidRPr="00542652" w:rsidP="00542652" w14:paraId="1A96184F" w14:textId="77777777">
            <w:pPr>
              <w:pStyle w:val="73R"/>
              <w:rPr>
                <w:rtl/>
              </w:rPr>
            </w:pPr>
          </w:p>
        </w:tc>
      </w:tr>
      <w:tr w14:paraId="62E92225" w14:textId="77777777" w:rsidTr="004A73F9">
        <w:tblPrEx>
          <w:tblW w:w="7302" w:type="dxa"/>
          <w:tblLook w:val="04A0"/>
        </w:tblPrEx>
        <w:tc>
          <w:tcPr>
            <w:tcW w:w="1130" w:type="dxa"/>
            <w:shd w:val="clear" w:color="auto" w:fill="DFECEF"/>
          </w:tcPr>
          <w:p w:rsidR="00542652" w:rsidRPr="00542652" w:rsidP="00542652" w14:paraId="2FD0E119" w14:textId="004DDD9F">
            <w:pPr>
              <w:pStyle w:val="73R"/>
              <w:rPr>
                <w:rtl/>
              </w:rPr>
            </w:pPr>
            <w:r w:rsidRPr="00542652">
              <w:rPr>
                <w:rtl/>
              </w:rPr>
              <w:t>שיתוף פעולה בין הסוכנות לעסקים קטנים ומכון היצוא</w:t>
            </w:r>
          </w:p>
        </w:tc>
        <w:tc>
          <w:tcPr>
            <w:tcW w:w="962" w:type="dxa"/>
            <w:shd w:val="clear" w:color="auto" w:fill="DFECEF"/>
          </w:tcPr>
          <w:p w:rsidR="00542652" w:rsidRPr="00542652" w:rsidP="00542652" w14:paraId="7B5845A9" w14:textId="463BD063">
            <w:pPr>
              <w:pStyle w:val="73R"/>
              <w:rPr>
                <w:rtl/>
              </w:rPr>
            </w:pPr>
            <w:r w:rsidRPr="00704F4B">
              <w:rPr>
                <w:rtl/>
              </w:rPr>
              <w:t>הסוכנות לעסקים קטנים ומכון היצוא</w:t>
            </w:r>
          </w:p>
        </w:tc>
        <w:tc>
          <w:tcPr>
            <w:tcW w:w="2381" w:type="dxa"/>
            <w:shd w:val="clear" w:color="auto" w:fill="DFECEF"/>
          </w:tcPr>
          <w:p w:rsidR="00542652" w:rsidRPr="00542652" w:rsidP="00542652" w14:paraId="04754C79" w14:textId="2532E0D5">
            <w:pPr>
              <w:pStyle w:val="73R"/>
              <w:rPr>
                <w:rtl/>
              </w:rPr>
            </w:pPr>
            <w:r w:rsidRPr="00704F4B">
              <w:rPr>
                <w:rtl/>
              </w:rPr>
              <w:t>על הסוכנות לעסקים קטנים ומכון היצוא לבחון יחד אם יש מקום לשיתוף פעולה ביניהם או לכל הפחות לשיתוף ידע בקורסים בנושא המסחר המקוון</w:t>
            </w:r>
          </w:p>
        </w:tc>
        <w:tc>
          <w:tcPr>
            <w:tcW w:w="590" w:type="dxa"/>
            <w:shd w:val="clear" w:color="auto" w:fill="DFECEF"/>
          </w:tcPr>
          <w:p w:rsidR="00542652" w:rsidRPr="00542652" w:rsidP="00542652" w14:paraId="23037CF9" w14:textId="224CD129">
            <w:pPr>
              <w:pStyle w:val="73R"/>
              <w:rPr>
                <w:rtl/>
              </w:rPr>
            </w:pPr>
          </w:p>
        </w:tc>
        <w:tc>
          <w:tcPr>
            <w:tcW w:w="814" w:type="dxa"/>
            <w:shd w:val="clear" w:color="auto" w:fill="DFECEF"/>
          </w:tcPr>
          <w:p w:rsidR="00542652" w:rsidRPr="00542652" w:rsidP="00542652" w14:paraId="57DE2D14" w14:textId="7800D673">
            <w:pPr>
              <w:pStyle w:val="73R"/>
              <w:rPr>
                <w:rtl/>
              </w:rPr>
            </w:pPr>
            <w:r w:rsidRPr="00973C85">
              <w:rPr>
                <w:noProof/>
                <w:rtl/>
              </w:rPr>
              <mc:AlternateContent>
                <mc:Choice Requires="wps">
                  <w:drawing>
                    <wp:anchor distT="0" distB="0" distL="114300" distR="114300" simplePos="0" relativeHeight="251699200" behindDoc="0" locked="0" layoutInCell="1" allowOverlap="1">
                      <wp:simplePos x="0" y="0"/>
                      <wp:positionH relativeFrom="column">
                        <wp:posOffset>-459975</wp:posOffset>
                      </wp:positionH>
                      <wp:positionV relativeFrom="paragraph">
                        <wp:posOffset>279520</wp:posOffset>
                      </wp:positionV>
                      <wp:extent cx="1259460" cy="218587"/>
                      <wp:effectExtent l="12700" t="12700" r="10795" b="10160"/>
                      <wp:wrapNone/>
                      <wp:docPr id="38"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259460" cy="218587"/>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48" type="#_x0000_t66" style="width:99.15pt;height:17.2pt;margin-top:22pt;margin-left:-36.2pt;mso-height-percent:0;mso-height-relative:margin;mso-width-percent:0;mso-width-relative:margin;mso-wrap-distance-bottom:0;mso-wrap-distance-left:9pt;mso-wrap-distance-right:9pt;mso-wrap-distance-top:0;mso-wrap-style:square;position:absolute;visibility:visible;v-text-anchor:middle;z-index:251700224" adj="1874" fillcolor="yellow" strokecolor="yellow" strokeweight="2pt"/>
                  </w:pict>
                </mc:Fallback>
              </mc:AlternateContent>
            </w:r>
          </w:p>
        </w:tc>
        <w:tc>
          <w:tcPr>
            <w:tcW w:w="733" w:type="dxa"/>
            <w:shd w:val="clear" w:color="auto" w:fill="DFECEF"/>
          </w:tcPr>
          <w:p w:rsidR="00542652" w:rsidRPr="00542652" w:rsidP="00542652" w14:paraId="01744331" w14:textId="77777777">
            <w:pPr>
              <w:pStyle w:val="73R"/>
              <w:rPr>
                <w:rtl/>
              </w:rPr>
            </w:pPr>
          </w:p>
        </w:tc>
        <w:tc>
          <w:tcPr>
            <w:tcW w:w="692" w:type="dxa"/>
            <w:shd w:val="clear" w:color="auto" w:fill="DFECEF"/>
          </w:tcPr>
          <w:p w:rsidR="00542652" w:rsidRPr="00542652" w:rsidP="00542652" w14:paraId="644269FE" w14:textId="77777777">
            <w:pPr>
              <w:pStyle w:val="73R"/>
              <w:rPr>
                <w:rtl/>
              </w:rPr>
            </w:pPr>
          </w:p>
        </w:tc>
      </w:tr>
      <w:tr w14:paraId="13FD178D" w14:textId="77777777" w:rsidTr="004A73F9">
        <w:tblPrEx>
          <w:tblW w:w="7302" w:type="dxa"/>
          <w:tblLook w:val="04A0"/>
        </w:tblPrEx>
        <w:tc>
          <w:tcPr>
            <w:tcW w:w="1130" w:type="dxa"/>
            <w:shd w:val="clear" w:color="auto" w:fill="F0F8F9"/>
            <w:vAlign w:val="center"/>
          </w:tcPr>
          <w:p w:rsidR="00542652" w:rsidRPr="00542652" w:rsidP="00542652" w14:paraId="24CFC7D3" w14:textId="77777777">
            <w:pPr>
              <w:pStyle w:val="73R"/>
              <w:rPr>
                <w:rtl/>
              </w:rPr>
            </w:pPr>
          </w:p>
        </w:tc>
        <w:tc>
          <w:tcPr>
            <w:tcW w:w="962" w:type="dxa"/>
            <w:shd w:val="clear" w:color="auto" w:fill="F0F8F9"/>
          </w:tcPr>
          <w:p w:rsidR="00542652" w:rsidRPr="00542652" w:rsidP="00542652" w14:paraId="5231B016" w14:textId="0E97F7F0">
            <w:pPr>
              <w:pStyle w:val="73R"/>
              <w:rPr>
                <w:rtl/>
              </w:rPr>
            </w:pPr>
            <w:r w:rsidRPr="00704F4B">
              <w:rPr>
                <w:rtl/>
              </w:rPr>
              <w:t>מכון היצוא</w:t>
            </w:r>
          </w:p>
        </w:tc>
        <w:tc>
          <w:tcPr>
            <w:tcW w:w="2381" w:type="dxa"/>
            <w:shd w:val="clear" w:color="auto" w:fill="F0F8F9"/>
          </w:tcPr>
          <w:p w:rsidR="00542652" w:rsidRPr="00542652" w:rsidP="00542652" w14:paraId="573D0BF1" w14:textId="770F7C70">
            <w:pPr>
              <w:pStyle w:val="73R"/>
              <w:rPr>
                <w:rtl/>
              </w:rPr>
            </w:pPr>
            <w:r w:rsidRPr="00704F4B">
              <w:rPr>
                <w:rtl/>
              </w:rPr>
              <w:t>על מכון היצוא לבחון במהלך הזמן לא רק את שביעות רצון המשתתפים בקורסים שלו אלא גם את יעילות הקורסים בסיוע למשתתפים להשתלב במסחר המקוון</w:t>
            </w:r>
          </w:p>
        </w:tc>
        <w:tc>
          <w:tcPr>
            <w:tcW w:w="590" w:type="dxa"/>
            <w:shd w:val="clear" w:color="auto" w:fill="F0F8F9"/>
          </w:tcPr>
          <w:p w:rsidR="00542652" w:rsidRPr="00542652" w:rsidP="00542652" w14:paraId="5BFFEF1F" w14:textId="4CE0B3DF">
            <w:pPr>
              <w:pStyle w:val="73R"/>
              <w:rPr>
                <w:rtl/>
              </w:rPr>
            </w:pPr>
            <w:r w:rsidRPr="00973C85">
              <w:rPr>
                <w:noProof/>
                <w:rtl/>
              </w:rPr>
              <mc:AlternateContent>
                <mc:Choice Requires="wps">
                  <w:drawing>
                    <wp:anchor distT="0" distB="0" distL="114300" distR="114300" simplePos="0" relativeHeight="251701248" behindDoc="0" locked="0" layoutInCell="1" allowOverlap="1">
                      <wp:simplePos x="0" y="0"/>
                      <wp:positionH relativeFrom="column">
                        <wp:posOffset>-44070</wp:posOffset>
                      </wp:positionH>
                      <wp:positionV relativeFrom="paragraph">
                        <wp:posOffset>319545</wp:posOffset>
                      </wp:positionV>
                      <wp:extent cx="325444" cy="175260"/>
                      <wp:effectExtent l="12700" t="12700" r="17780" b="15240"/>
                      <wp:wrapNone/>
                      <wp:docPr id="51" name="חץ שמאלה 51"/>
                      <wp:cNvGraphicFramePr/>
                      <a:graphic xmlns:a="http://schemas.openxmlformats.org/drawingml/2006/main">
                        <a:graphicData uri="http://schemas.microsoft.com/office/word/2010/wordprocessingShape">
                          <wps:wsp xmlns:wps="http://schemas.microsoft.com/office/word/2010/wordprocessingShape">
                            <wps:cNvSpPr/>
                            <wps:spPr>
                              <a:xfrm>
                                <a:off x="0" y="0"/>
                                <a:ext cx="325444" cy="17526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1" o:spid="_x0000_s1049" type="#_x0000_t66" style="width:25.65pt;height:13.8pt;margin-top:25.15pt;margin-left:-3.45pt;mso-height-percent:0;mso-height-relative:margin;mso-width-percent:0;mso-width-relative:margin;mso-wrap-distance-bottom:0;mso-wrap-distance-left:9pt;mso-wrap-distance-right:9pt;mso-wrap-distance-top:0;mso-wrap-style:square;position:absolute;visibility:visible;v-text-anchor:middle;z-index:251702272" adj="5816" fillcolor="red" strokecolor="red" strokeweight="2pt"/>
                  </w:pict>
                </mc:Fallback>
              </mc:AlternateContent>
            </w:r>
          </w:p>
        </w:tc>
        <w:tc>
          <w:tcPr>
            <w:tcW w:w="814" w:type="dxa"/>
            <w:shd w:val="clear" w:color="auto" w:fill="F0F8F9"/>
          </w:tcPr>
          <w:p w:rsidR="00542652" w:rsidRPr="00542652" w:rsidP="00542652" w14:paraId="0485588C" w14:textId="77777777">
            <w:pPr>
              <w:pStyle w:val="73R"/>
              <w:rPr>
                <w:rtl/>
              </w:rPr>
            </w:pPr>
          </w:p>
        </w:tc>
        <w:tc>
          <w:tcPr>
            <w:tcW w:w="733" w:type="dxa"/>
            <w:shd w:val="clear" w:color="auto" w:fill="F0F8F9"/>
          </w:tcPr>
          <w:p w:rsidR="00542652" w:rsidRPr="00542652" w:rsidP="00542652" w14:paraId="0AA2B600" w14:textId="77777777">
            <w:pPr>
              <w:pStyle w:val="73R"/>
              <w:rPr>
                <w:rtl/>
              </w:rPr>
            </w:pPr>
          </w:p>
        </w:tc>
        <w:tc>
          <w:tcPr>
            <w:tcW w:w="692" w:type="dxa"/>
            <w:shd w:val="clear" w:color="auto" w:fill="F0F8F9"/>
          </w:tcPr>
          <w:p w:rsidR="00542652" w:rsidRPr="00542652" w:rsidP="00542652" w14:paraId="1F2CC7E3" w14:textId="77777777">
            <w:pPr>
              <w:pStyle w:val="73R"/>
              <w:rPr>
                <w:rtl/>
              </w:rPr>
            </w:pPr>
          </w:p>
        </w:tc>
      </w:tr>
    </w:tbl>
    <w:p w:rsidR="00542652" w:rsidP="00662020" w14:paraId="4C7E079E" w14:textId="0A352BE5">
      <w:pPr>
        <w:pStyle w:val="738"/>
        <w:spacing w:before="0" w:after="0"/>
        <w:rPr>
          <w:rtl/>
        </w:rPr>
      </w:pPr>
    </w:p>
    <w:p w:rsidR="000B31AA" w:rsidRPr="000B31AA" w:rsidP="00662020" w14:paraId="1001632A" w14:textId="2E453B95">
      <w:pPr>
        <w:pStyle w:val="738"/>
        <w:spacing w:before="0" w:after="0"/>
        <w:rPr>
          <w:rtl/>
        </w:rPr>
      </w:pPr>
    </w:p>
    <w:p w:rsidR="003C65E9" w14:paraId="5C1AE375" w14:textId="258FDAC1">
      <w:pPr>
        <w:bidi w:val="0"/>
        <w:spacing w:after="200" w:line="276" w:lineRule="auto"/>
        <w:rPr>
          <w:rFonts w:ascii="Tahoma" w:hAnsi="Tahoma" w:cs="Tahoma"/>
          <w:color w:val="0D0D0D" w:themeColor="text1" w:themeTint="F2"/>
          <w:sz w:val="18"/>
          <w:szCs w:val="18"/>
          <w:rtl/>
        </w:rPr>
      </w:pPr>
      <w:r>
        <w:rPr>
          <w:rtl/>
        </w:rPr>
        <w:br w:type="page"/>
      </w:r>
    </w:p>
    <w:p w:rsidR="003C65E9" w:rsidP="003C65E9" w14:paraId="00D9E759" w14:textId="77777777">
      <w:pPr>
        <w:pStyle w:val="73"/>
        <w:rPr>
          <w:rtl/>
        </w:rPr>
      </w:pPr>
      <w:r w:rsidRPr="00EF3061">
        <w:rPr>
          <w:rFonts w:hint="cs"/>
          <w:rtl/>
        </w:rPr>
        <w:t>סיכום</w:t>
      </w:r>
    </w:p>
    <w:p w:rsidR="003C65E9" w:rsidRPr="006615C6" w:rsidP="003C65E9" w14:paraId="428CF0FD" w14:textId="77777777">
      <w:pPr>
        <w:widowControl w:val="0"/>
        <w:spacing w:before="240" w:line="276" w:lineRule="auto"/>
        <w:ind w:left="-1"/>
        <w:rPr>
          <w:rFonts w:ascii="Tahoma" w:hAnsi="Tahoma" w:cs="Tahoma"/>
          <w:sz w:val="18"/>
          <w:szCs w:val="18"/>
          <w:rtl/>
        </w:rPr>
      </w:pPr>
      <w:r w:rsidRPr="00505C99">
        <w:rPr>
          <w:rFonts w:ascii="Tahoma" w:hAnsi="Tahoma" w:cs="Tahoma"/>
          <w:sz w:val="18"/>
          <w:szCs w:val="18"/>
          <w:rtl/>
        </w:rPr>
        <w:t xml:space="preserve">בשנים </w:t>
      </w:r>
      <w:r w:rsidRPr="00505C99">
        <w:rPr>
          <w:rFonts w:ascii="Tahoma" w:hAnsi="Tahoma" w:cs="Tahoma" w:hint="cs"/>
          <w:sz w:val="18"/>
          <w:szCs w:val="18"/>
          <w:rtl/>
        </w:rPr>
        <w:t>האחרונות</w:t>
      </w:r>
      <w:r w:rsidRPr="00505C99">
        <w:rPr>
          <w:rFonts w:ascii="Tahoma" w:hAnsi="Tahoma" w:cs="Tahoma"/>
          <w:sz w:val="18"/>
          <w:szCs w:val="18"/>
          <w:rtl/>
        </w:rPr>
        <w:t xml:space="preserve"> צמח השוק הקמעונאי המקוון בישראל בשיעור שנתי של כ-33%, ו</w:t>
      </w:r>
      <w:r w:rsidRPr="00505C99">
        <w:rPr>
          <w:rFonts w:ascii="Tahoma" w:hAnsi="Tahoma" w:cs="Tahoma" w:hint="cs"/>
          <w:sz w:val="18"/>
          <w:szCs w:val="18"/>
          <w:rtl/>
        </w:rPr>
        <w:t>מעריכים ש</w:t>
      </w:r>
      <w:r w:rsidRPr="00505C99">
        <w:rPr>
          <w:rFonts w:ascii="Tahoma" w:hAnsi="Tahoma" w:cs="Tahoma"/>
          <w:sz w:val="18"/>
          <w:szCs w:val="18"/>
          <w:rtl/>
        </w:rPr>
        <w:t xml:space="preserve">ב-2025 </w:t>
      </w:r>
      <w:r w:rsidRPr="00505C99">
        <w:rPr>
          <w:rFonts w:ascii="Tahoma" w:hAnsi="Tahoma" w:cs="Tahoma" w:hint="cs"/>
          <w:sz w:val="18"/>
          <w:szCs w:val="18"/>
          <w:rtl/>
        </w:rPr>
        <w:t>י</w:t>
      </w:r>
      <w:r w:rsidRPr="00505C99">
        <w:rPr>
          <w:rFonts w:ascii="Tahoma" w:hAnsi="Tahoma" w:cs="Tahoma"/>
          <w:sz w:val="18"/>
          <w:szCs w:val="18"/>
          <w:rtl/>
        </w:rPr>
        <w:t>גיע ל-</w:t>
      </w:r>
      <w:r w:rsidRPr="00505C99">
        <w:rPr>
          <w:rFonts w:ascii="Tahoma" w:hAnsi="Tahoma" w:cs="Tahoma" w:hint="cs"/>
          <w:sz w:val="18"/>
          <w:szCs w:val="18"/>
          <w:rtl/>
        </w:rPr>
        <w:t xml:space="preserve">12 </w:t>
      </w:r>
      <w:r w:rsidRPr="00505C99">
        <w:rPr>
          <w:rFonts w:ascii="Tahoma" w:hAnsi="Tahoma" w:cs="Tahoma"/>
          <w:sz w:val="18"/>
          <w:szCs w:val="18"/>
          <w:rtl/>
        </w:rPr>
        <w:t xml:space="preserve">מיליארד דולר. המסחר המקוון </w:t>
      </w:r>
      <w:r w:rsidRPr="00505C99">
        <w:rPr>
          <w:rFonts w:ascii="Tahoma" w:hAnsi="Tahoma" w:cs="Tahoma" w:hint="cs"/>
          <w:sz w:val="18"/>
          <w:szCs w:val="18"/>
          <w:rtl/>
        </w:rPr>
        <w:t xml:space="preserve">- </w:t>
      </w:r>
      <w:r w:rsidRPr="00505C99">
        <w:rPr>
          <w:rFonts w:ascii="Tahoma" w:hAnsi="Tahoma" w:cs="Tahoma"/>
          <w:sz w:val="18"/>
          <w:szCs w:val="18"/>
          <w:rtl/>
        </w:rPr>
        <w:t xml:space="preserve">יבוא אישי </w:t>
      </w:r>
      <w:r w:rsidRPr="00505C99">
        <w:rPr>
          <w:rFonts w:ascii="Tahoma" w:hAnsi="Tahoma" w:cs="Tahoma" w:hint="cs"/>
          <w:sz w:val="18"/>
          <w:szCs w:val="18"/>
          <w:rtl/>
        </w:rPr>
        <w:t>מ</w:t>
      </w:r>
      <w:r w:rsidRPr="00505C99">
        <w:rPr>
          <w:rFonts w:ascii="Tahoma" w:hAnsi="Tahoma" w:cs="Tahoma"/>
          <w:sz w:val="18"/>
          <w:szCs w:val="18"/>
          <w:rtl/>
        </w:rPr>
        <w:t xml:space="preserve">חו"ל ורכישות מספקים מקומיים </w:t>
      </w:r>
      <w:r w:rsidRPr="00505C99">
        <w:rPr>
          <w:rFonts w:ascii="Tahoma" w:hAnsi="Tahoma" w:cs="Tahoma" w:hint="cs"/>
          <w:sz w:val="18"/>
          <w:szCs w:val="18"/>
          <w:rtl/>
        </w:rPr>
        <w:t xml:space="preserve">- </w:t>
      </w:r>
      <w:r w:rsidRPr="00505C99">
        <w:rPr>
          <w:rFonts w:ascii="Tahoma" w:hAnsi="Tahoma" w:cs="Tahoma"/>
          <w:sz w:val="18"/>
          <w:szCs w:val="18"/>
          <w:rtl/>
        </w:rPr>
        <w:t xml:space="preserve">מאפשר לצרכנים גישה לשווקים </w:t>
      </w:r>
      <w:r w:rsidRPr="00505C99">
        <w:rPr>
          <w:rFonts w:ascii="Tahoma" w:hAnsi="Tahoma" w:cs="Tahoma" w:hint="cs"/>
          <w:sz w:val="18"/>
          <w:szCs w:val="18"/>
          <w:rtl/>
        </w:rPr>
        <w:t>חדשים</w:t>
      </w:r>
      <w:r w:rsidRPr="00505C99">
        <w:rPr>
          <w:rFonts w:ascii="Tahoma" w:hAnsi="Tahoma" w:cs="Tahoma"/>
          <w:sz w:val="18"/>
          <w:szCs w:val="18"/>
          <w:rtl/>
        </w:rPr>
        <w:t xml:space="preserve"> ו</w:t>
      </w:r>
      <w:r w:rsidRPr="00505C99">
        <w:rPr>
          <w:rFonts w:ascii="Tahoma" w:hAnsi="Tahoma" w:cs="Tahoma" w:hint="cs"/>
          <w:sz w:val="18"/>
          <w:szCs w:val="18"/>
          <w:rtl/>
        </w:rPr>
        <w:t>ל</w:t>
      </w:r>
      <w:r w:rsidRPr="00505C99">
        <w:rPr>
          <w:rFonts w:ascii="Tahoma" w:hAnsi="Tahoma" w:cs="Tahoma"/>
          <w:sz w:val="18"/>
          <w:szCs w:val="18"/>
          <w:rtl/>
        </w:rPr>
        <w:t xml:space="preserve">מגוון כמעט בלתי מוגבל של טובין במחירים שונים. </w:t>
      </w:r>
      <w:r w:rsidRPr="00505C99">
        <w:rPr>
          <w:rFonts w:ascii="Tahoma" w:hAnsi="Tahoma" w:cs="Tahoma" w:hint="cs"/>
          <w:sz w:val="18"/>
          <w:szCs w:val="18"/>
          <w:rtl/>
        </w:rPr>
        <w:t>ב</w:t>
      </w:r>
      <w:r w:rsidRPr="00505C99">
        <w:rPr>
          <w:rFonts w:ascii="Tahoma" w:hAnsi="Tahoma" w:cs="Tahoma"/>
          <w:sz w:val="18"/>
          <w:szCs w:val="18"/>
          <w:rtl/>
        </w:rPr>
        <w:t>משק בישראל</w:t>
      </w:r>
      <w:r w:rsidRPr="00505C99">
        <w:rPr>
          <w:rFonts w:ascii="Tahoma" w:hAnsi="Tahoma" w:cs="Tahoma" w:hint="cs"/>
          <w:sz w:val="18"/>
          <w:szCs w:val="18"/>
          <w:rtl/>
        </w:rPr>
        <w:t>,</w:t>
      </w:r>
      <w:r w:rsidRPr="00505C99">
        <w:rPr>
          <w:rFonts w:ascii="Tahoma" w:hAnsi="Tahoma" w:cs="Tahoma"/>
          <w:sz w:val="18"/>
          <w:szCs w:val="18"/>
          <w:rtl/>
        </w:rPr>
        <w:t xml:space="preserve"> </w:t>
      </w:r>
      <w:r w:rsidRPr="00505C99">
        <w:rPr>
          <w:rFonts w:ascii="Tahoma" w:hAnsi="Tahoma" w:cs="Tahoma" w:hint="cs"/>
          <w:sz w:val="18"/>
          <w:szCs w:val="18"/>
          <w:rtl/>
        </w:rPr>
        <w:t>ה</w:t>
      </w:r>
      <w:r w:rsidRPr="00505C99">
        <w:rPr>
          <w:rFonts w:ascii="Tahoma" w:hAnsi="Tahoma" w:cs="Tahoma"/>
          <w:sz w:val="18"/>
          <w:szCs w:val="18"/>
          <w:rtl/>
        </w:rPr>
        <w:t xml:space="preserve">מתאפיין בריכוזיות על-ענפית יתרה בהשוואה לשווקים אחרים, היבוא האישי הוא ערוץ להגברת </w:t>
      </w:r>
      <w:r w:rsidRPr="00505C99">
        <w:rPr>
          <w:rFonts w:ascii="Tahoma" w:hAnsi="Tahoma" w:cs="Tahoma" w:hint="cs"/>
          <w:sz w:val="18"/>
          <w:szCs w:val="18"/>
          <w:rtl/>
        </w:rPr>
        <w:t>ה</w:t>
      </w:r>
      <w:r w:rsidRPr="00505C99">
        <w:rPr>
          <w:rFonts w:ascii="Tahoma" w:hAnsi="Tahoma" w:cs="Tahoma"/>
          <w:sz w:val="18"/>
          <w:szCs w:val="18"/>
          <w:rtl/>
        </w:rPr>
        <w:t xml:space="preserve">תחרות ולהפחתת יוקר המחיה. </w:t>
      </w:r>
      <w:r w:rsidRPr="00505C99">
        <w:rPr>
          <w:rFonts w:ascii="Tahoma" w:hAnsi="Tahoma" w:cs="Tahoma" w:hint="cs"/>
          <w:sz w:val="18"/>
          <w:szCs w:val="18"/>
          <w:rtl/>
        </w:rPr>
        <w:t xml:space="preserve">לצד זאת </w:t>
      </w:r>
      <w:r w:rsidRPr="00505C99">
        <w:rPr>
          <w:rFonts w:ascii="Tahoma" w:hAnsi="Tahoma" w:cs="Tahoma"/>
          <w:sz w:val="18"/>
          <w:szCs w:val="18"/>
          <w:rtl/>
        </w:rPr>
        <w:t>הגידול במסחר המקוון מציב אתגרים לאומיים וגלובליים המחייבים בחינה מתמדת של האסדרה הקיימת, כדי להביא לשגשוג המשק כולו</w:t>
      </w:r>
      <w:r w:rsidRPr="006615C6">
        <w:rPr>
          <w:rFonts w:ascii="Tahoma" w:hAnsi="Tahoma" w:cs="Tahoma" w:hint="cs"/>
          <w:sz w:val="18"/>
          <w:szCs w:val="18"/>
          <w:rtl/>
        </w:rPr>
        <w:t xml:space="preserve">. </w:t>
      </w:r>
    </w:p>
    <w:p w:rsidR="003C65E9" w:rsidP="003C65E9" w14:paraId="3405E178" w14:textId="02C59F2C">
      <w:pPr>
        <w:spacing w:line="288" w:lineRule="auto"/>
        <w:rPr>
          <w:rFonts w:ascii="Tahoma" w:hAnsi="Tahoma" w:cs="Tahoma"/>
          <w:sz w:val="18"/>
          <w:szCs w:val="18"/>
          <w:rtl/>
        </w:rPr>
      </w:pPr>
      <w:r w:rsidRPr="00505C99">
        <w:rPr>
          <w:rFonts w:ascii="Tahoma" w:hAnsi="Tahoma" w:cs="Tahoma"/>
          <w:sz w:val="18"/>
          <w:szCs w:val="18"/>
          <w:rtl/>
        </w:rPr>
        <w:t>ביקורת המעקב העלתה כי חלק מהליקויים שנמצאו בדוח הקודם תוקנו</w:t>
      </w:r>
      <w:r w:rsidRPr="00505C99">
        <w:rPr>
          <w:rFonts w:ascii="Tahoma" w:hAnsi="Tahoma" w:cs="Tahoma" w:hint="cs"/>
          <w:sz w:val="18"/>
          <w:szCs w:val="18"/>
          <w:rtl/>
        </w:rPr>
        <w:t xml:space="preserve">; </w:t>
      </w:r>
      <w:r w:rsidRPr="00505C99">
        <w:rPr>
          <w:rFonts w:ascii="Tahoma" w:hAnsi="Tahoma" w:cs="Tahoma"/>
          <w:sz w:val="18"/>
          <w:szCs w:val="18"/>
          <w:rtl/>
        </w:rPr>
        <w:t xml:space="preserve">על משרדי הממשלה והגופים הרלוונטיים להשלים את תיקון הליקויים ויישום ההמלצות מהדוח הקודם. </w:t>
      </w:r>
      <w:r w:rsidRPr="00505C99">
        <w:rPr>
          <w:rFonts w:ascii="Tahoma" w:hAnsi="Tahoma" w:cs="Tahoma" w:hint="cs"/>
          <w:sz w:val="18"/>
          <w:szCs w:val="18"/>
          <w:rtl/>
        </w:rPr>
        <w:t>לנוכח</w:t>
      </w:r>
      <w:r w:rsidRPr="00505C99">
        <w:rPr>
          <w:rFonts w:ascii="Tahoma" w:hAnsi="Tahoma" w:cs="Tahoma"/>
          <w:sz w:val="18"/>
          <w:szCs w:val="18"/>
          <w:rtl/>
        </w:rPr>
        <w:t xml:space="preserve"> גל עליות המחירים במשק ו</w:t>
      </w:r>
      <w:r w:rsidRPr="00505C99">
        <w:rPr>
          <w:rFonts w:ascii="Tahoma" w:hAnsi="Tahoma" w:cs="Tahoma" w:hint="cs"/>
          <w:sz w:val="18"/>
          <w:szCs w:val="18"/>
          <w:rtl/>
        </w:rPr>
        <w:t>העלייה</w:t>
      </w:r>
      <w:r w:rsidRPr="00505C99">
        <w:rPr>
          <w:rFonts w:ascii="Tahoma" w:hAnsi="Tahoma" w:cs="Tahoma"/>
          <w:sz w:val="18"/>
          <w:szCs w:val="18"/>
          <w:rtl/>
        </w:rPr>
        <w:t xml:space="preserve"> ביוקר המחיה בישראל</w:t>
      </w:r>
      <w:r w:rsidRPr="00505C99">
        <w:rPr>
          <w:rFonts w:ascii="Tahoma" w:hAnsi="Tahoma" w:cs="Tahoma" w:hint="cs"/>
          <w:sz w:val="18"/>
          <w:szCs w:val="18"/>
          <w:rtl/>
        </w:rPr>
        <w:t>,</w:t>
      </w:r>
      <w:r w:rsidRPr="00505C99">
        <w:rPr>
          <w:rFonts w:ascii="Tahoma" w:hAnsi="Tahoma" w:cs="Tahoma"/>
          <w:sz w:val="18"/>
          <w:szCs w:val="18"/>
          <w:rtl/>
        </w:rPr>
        <w:t xml:space="preserve"> מומלץ כי משרד הכלכלה ומשרד האוצר</w:t>
      </w:r>
      <w:r w:rsidRPr="00505C99">
        <w:rPr>
          <w:rFonts w:ascii="Tahoma" w:hAnsi="Tahoma" w:cs="Tahoma" w:hint="cs"/>
          <w:sz w:val="18"/>
          <w:szCs w:val="18"/>
          <w:rtl/>
        </w:rPr>
        <w:t>,</w:t>
      </w:r>
      <w:r w:rsidRPr="00505C99">
        <w:rPr>
          <w:rFonts w:ascii="Tahoma" w:hAnsi="Tahoma" w:cs="Tahoma"/>
          <w:sz w:val="18"/>
          <w:szCs w:val="18"/>
          <w:rtl/>
        </w:rPr>
        <w:t xml:space="preserve"> המובילים את המאבק ביוקר המחיה, בהתייעצות עם רשות התחרות, יבחנו את השימוש בפטור ממ</w:t>
      </w:r>
      <w:r w:rsidRPr="00505C99">
        <w:rPr>
          <w:rFonts w:ascii="Tahoma" w:hAnsi="Tahoma" w:cs="Tahoma" w:hint="cs"/>
          <w:sz w:val="18"/>
          <w:szCs w:val="18"/>
          <w:rtl/>
        </w:rPr>
        <w:t>י</w:t>
      </w:r>
      <w:r w:rsidRPr="00505C99">
        <w:rPr>
          <w:rFonts w:ascii="Tahoma" w:hAnsi="Tahoma" w:cs="Tahoma"/>
          <w:sz w:val="18"/>
          <w:szCs w:val="18"/>
          <w:rtl/>
        </w:rPr>
        <w:t>סים ביבוא האישי ככלי נוסף במאבק</w:t>
      </w:r>
      <w:r w:rsidRPr="00505C99">
        <w:rPr>
          <w:rFonts w:ascii="Tahoma" w:hAnsi="Tahoma" w:cs="Tahoma" w:hint="cs"/>
          <w:sz w:val="18"/>
          <w:szCs w:val="18"/>
          <w:rtl/>
        </w:rPr>
        <w:t>,</w:t>
      </w:r>
      <w:r w:rsidRPr="00505C99">
        <w:rPr>
          <w:rFonts w:ascii="Tahoma" w:hAnsi="Tahoma" w:cs="Tahoma"/>
          <w:sz w:val="18"/>
          <w:szCs w:val="18"/>
          <w:rtl/>
        </w:rPr>
        <w:t xml:space="preserve"> תוך איזון הצורך להגן על חלקים מסוימים במגזר הקמעונאי</w:t>
      </w:r>
      <w:r w:rsidRPr="00505C99">
        <w:rPr>
          <w:rFonts w:ascii="Tahoma" w:hAnsi="Tahoma" w:cs="Tahoma" w:hint="cs"/>
          <w:sz w:val="18"/>
          <w:szCs w:val="18"/>
          <w:rtl/>
        </w:rPr>
        <w:t>.</w:t>
      </w:r>
      <w:r w:rsidRPr="00505C99">
        <w:rPr>
          <w:rFonts w:ascii="Tahoma" w:hAnsi="Tahoma" w:cs="Tahoma"/>
          <w:sz w:val="18"/>
          <w:szCs w:val="18"/>
          <w:rtl/>
        </w:rPr>
        <w:t xml:space="preserve"> בכלל זאת </w:t>
      </w:r>
      <w:r w:rsidRPr="00505C99">
        <w:rPr>
          <w:rFonts w:ascii="Tahoma" w:hAnsi="Tahoma" w:cs="Tahoma" w:hint="cs"/>
          <w:sz w:val="18"/>
          <w:szCs w:val="18"/>
          <w:rtl/>
        </w:rPr>
        <w:t xml:space="preserve">מומלץ </w:t>
      </w:r>
      <w:r w:rsidRPr="00505C99">
        <w:rPr>
          <w:rFonts w:ascii="Tahoma" w:hAnsi="Tahoma" w:cs="Tahoma"/>
          <w:sz w:val="18"/>
          <w:szCs w:val="18"/>
          <w:rtl/>
        </w:rPr>
        <w:t>אף לשקול הגדלת הפטור ממס</w:t>
      </w:r>
      <w:r w:rsidRPr="00505C99">
        <w:rPr>
          <w:rFonts w:ascii="Tahoma" w:hAnsi="Tahoma" w:cs="Tahoma" w:hint="cs"/>
          <w:sz w:val="18"/>
          <w:szCs w:val="18"/>
          <w:rtl/>
        </w:rPr>
        <w:t xml:space="preserve"> </w:t>
      </w:r>
      <w:r w:rsidRPr="00505C99">
        <w:rPr>
          <w:rFonts w:ascii="Tahoma" w:hAnsi="Tahoma" w:cs="Tahoma"/>
          <w:sz w:val="18"/>
          <w:szCs w:val="18"/>
          <w:rtl/>
        </w:rPr>
        <w:t>לגבי מוצרים ותחומים שבהם קיימים כשל שוק או ניצול לרעה וגביית מחיר מופרז של מונופולים או יבואנים בלעדיים בעלי כוח שוק משמעותי</w:t>
      </w:r>
      <w:r w:rsidRPr="006615C6">
        <w:rPr>
          <w:rFonts w:ascii="Tahoma" w:hAnsi="Tahoma" w:cs="Tahoma" w:hint="cs"/>
          <w:sz w:val="18"/>
          <w:szCs w:val="18"/>
          <w:rtl/>
        </w:rPr>
        <w:t xml:space="preserve">. </w:t>
      </w:r>
    </w:p>
    <w:p w:rsidR="00A12A5C" w:rsidP="003C65E9" w14:paraId="727818F3" w14:textId="04620471">
      <w:pPr>
        <w:spacing w:line="288" w:lineRule="auto"/>
        <w:rPr>
          <w:rFonts w:ascii="Tahoma" w:hAnsi="Tahoma" w:cs="Tahoma"/>
          <w:sz w:val="18"/>
          <w:szCs w:val="18"/>
          <w:rtl/>
        </w:rPr>
      </w:pPr>
    </w:p>
    <w:p w:rsidR="00A12A5C" w14:paraId="3F51054B" w14:textId="20FEAA41">
      <w:pPr>
        <w:bidi w:val="0"/>
        <w:spacing w:after="200" w:line="276" w:lineRule="auto"/>
        <w:rPr>
          <w:rFonts w:ascii="Tahoma" w:hAnsi="Tahoma" w:cs="Tahoma"/>
          <w:sz w:val="18"/>
          <w:szCs w:val="18"/>
          <w:rtl/>
        </w:rPr>
      </w:pPr>
      <w:r>
        <w:rPr>
          <w:rFonts w:ascii="Tahoma" w:hAnsi="Tahoma" w:cs="Tahoma"/>
          <w:sz w:val="18"/>
          <w:szCs w:val="18"/>
          <w:rtl/>
        </w:rPr>
        <w:br w:type="page"/>
      </w:r>
    </w:p>
    <w:p w:rsidR="00A12A5C" w:rsidP="003C65E9" w14:paraId="64D64C1E" w14:textId="1A3444B7">
      <w:pPr>
        <w:spacing w:line="288" w:lineRule="auto"/>
        <w:rPr>
          <w:rFonts w:ascii="Tahoma" w:hAnsi="Tahoma" w:cs="Tahoma"/>
          <w:sz w:val="18"/>
          <w:szCs w:val="18"/>
          <w:rtl/>
        </w:rPr>
      </w:pPr>
      <w:r>
        <w:rPr>
          <w:rFonts w:ascii="Tahoma" w:hAnsi="Tahoma" w:cs="Tahoma"/>
          <w:noProof/>
          <w:sz w:val="18"/>
          <w:szCs w:val="18"/>
          <w:rtl/>
          <w:lang w:val="he-IL"/>
        </w:rPr>
        <mc:AlternateContent>
          <mc:Choice Requires="wps">
            <w:drawing>
              <wp:anchor distT="0" distB="0" distL="114300" distR="114300" simplePos="0" relativeHeight="251718656" behindDoc="0" locked="0" layoutInCell="1" allowOverlap="1">
                <wp:simplePos x="0" y="0"/>
                <wp:positionH relativeFrom="column">
                  <wp:posOffset>-1447614</wp:posOffset>
                </wp:positionH>
                <wp:positionV relativeFrom="paragraph">
                  <wp:posOffset>-747472</wp:posOffset>
                </wp:positionV>
                <wp:extent cx="6735336" cy="8586439"/>
                <wp:effectExtent l="0" t="0" r="0" b="0"/>
                <wp:wrapNone/>
                <wp:docPr id="22" name="מלבן 22"/>
                <wp:cNvGraphicFramePr/>
                <a:graphic xmlns:a="http://schemas.openxmlformats.org/drawingml/2006/main">
                  <a:graphicData uri="http://schemas.microsoft.com/office/word/2010/wordprocessingShape">
                    <wps:wsp xmlns:wps="http://schemas.microsoft.com/office/word/2010/wordprocessingShape">
                      <wps:cNvSpPr/>
                      <wps:spPr>
                        <a:xfrm>
                          <a:off x="0" y="0"/>
                          <a:ext cx="6735336" cy="85864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22" o:spid="_x0000_s1050" style="width:530.35pt;height:676.1pt;margin-top:-58.85pt;margin-left:-114pt;mso-height-percent:0;mso-height-relative:margin;mso-width-percent:0;mso-width-relative:margin;mso-wrap-distance-bottom:0;mso-wrap-distance-left:9pt;mso-wrap-distance-right:9pt;mso-wrap-distance-top:0;mso-wrap-style:square;position:absolute;visibility:visible;v-text-anchor:middle;z-index:251719680" fillcolor="white" stroked="f" strokeweight="1.25pt"/>
            </w:pict>
          </mc:Fallback>
        </mc:AlternateContent>
      </w:r>
    </w:p>
    <w:sectPr w:rsidSect="00A12A5C">
      <w:headerReference w:type="even" r:id="rId31"/>
      <w:footerReference w:type="even" r:id="rId32"/>
      <w:pgSz w:w="11906" w:h="16838" w:code="9"/>
      <w:pgMar w:top="3062" w:right="2268" w:bottom="2552" w:left="2268" w:header="1134" w:footer="1361" w:gutter="0"/>
      <w:pgNumType w:start="81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E5B04" w14:paraId="4850338F" w14:textId="77777777">
      <w:pPr>
        <w:spacing w:line="240" w:lineRule="auto"/>
      </w:pPr>
      <w:r>
        <w:separator/>
      </w:r>
    </w:p>
    <w:p w:rsidR="000E5B04" w14:paraId="47D6C80B" w14:textId="77777777"/>
    <w:p w:rsidR="000E5B04" w14:paraId="15C538B2" w14:textId="77777777"/>
    <w:p w:rsidR="000E5B04" w14:paraId="4A1CD151" w14:textId="77777777"/>
  </w:endnote>
  <w:endnote w:type="continuationSeparator" w:id="1">
    <w:p w:rsidR="000E5B04" w14:paraId="0D9AB068" w14:textId="77777777">
      <w:pPr>
        <w:spacing w:line="240" w:lineRule="auto"/>
      </w:pPr>
      <w:r>
        <w:continuationSeparator/>
      </w:r>
    </w:p>
    <w:p w:rsidR="000E5B04" w14:paraId="026E3870" w14:textId="77777777"/>
    <w:p w:rsidR="000E5B04" w14:paraId="5977CC12" w14:textId="77777777"/>
    <w:p w:rsidR="000E5B04" w14:paraId="63DCAE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3" w:usb1="00000000" w:usb2="00000000" w:usb3="00000000" w:csb0="00000003"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ypoUpright BT">
    <w:panose1 w:val="020B0604020202020204"/>
    <w:charset w:val="00"/>
    <w:family w:val="script"/>
    <w:pitch w:val="variable"/>
    <w:sig w:usb0="800000AF" w:usb1="1000204A" w:usb2="00000000" w:usb3="00000000" w:csb0="0000001B" w:csb1="00000000"/>
  </w:font>
  <w:font w:name="Segoe MDL2 Assets">
    <w:altName w:val="Segoe UI"/>
    <w:panose1 w:val="020B0604020202020204"/>
    <w:charset w:val="00"/>
    <w:family w:val="roman"/>
    <w:pitch w:val="variable"/>
    <w:sig w:usb0="00000003" w:usb1="10000000" w:usb2="00000000" w:usb3="00000000" w:csb0="00000001"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233" w14:paraId="7E92DB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12A5C" w14:paraId="0C89F632" w14:textId="0BE5993A">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897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12A5C" w:rsidRPr="00A12A5C" w:rsidP="00A12A5C" w14:paraId="0234070A"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233" w14:paraId="1AF19CD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15DE" w:rsidP="006515DE" w14:paraId="7CB6EE6F" w14:textId="77777777">
    <w:pPr>
      <w:pStyle w:val="Footer"/>
      <w:spacing w:after="120" w:line="312" w:lineRule="auto"/>
      <w:ind w:left="-510"/>
      <w:jc w:val="left"/>
      <w:rPr>
        <w:rFonts w:ascii="Tahoma" w:hAnsi="Tahoma" w:cs="Tahoma"/>
        <w:sz w:val="18"/>
        <w:szCs w:val="18"/>
        <w:rtl/>
      </w:rPr>
    </w:pPr>
  </w:p>
  <w:p w:rsidR="006515DE" w:rsidP="006515DE" w14:paraId="10E605DF"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806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6515DE" w:rsidP="006515DE"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5B04" w:rsidP="00E7235E" w14:paraId="7E98E260" w14:textId="77777777">
      <w:pPr>
        <w:spacing w:line="240" w:lineRule="auto"/>
      </w:pPr>
      <w:r>
        <w:separator/>
      </w:r>
    </w:p>
  </w:footnote>
  <w:footnote w:type="continuationSeparator" w:id="1">
    <w:p w:rsidR="000E5B04" w:rsidP="00C23CC9" w14:paraId="665368B3" w14:textId="77777777">
      <w:pPr>
        <w:spacing w:line="240" w:lineRule="auto"/>
      </w:pPr>
      <w:r>
        <w:continuationSeparator/>
      </w:r>
    </w:p>
    <w:p w:rsidR="000E5B04" w14:paraId="28E487AD" w14:textId="77777777"/>
    <w:p w:rsidR="000E5B04" w14:paraId="6235B9DC" w14:textId="77777777"/>
    <w:p w:rsidR="000E5B04" w14:paraId="422807BC" w14:textId="77777777"/>
  </w:footnote>
  <w:footnote w:id="2">
    <w:p w:rsidR="002D5FD5" w:rsidRPr="00221246" w:rsidP="006A639B" w14:paraId="15BB91ED" w14:textId="01350A51">
      <w:pPr>
        <w:pStyle w:val="733"/>
        <w:rPr>
          <w:rtl/>
        </w:rPr>
      </w:pPr>
      <w:r w:rsidRPr="002D5FD5">
        <w:rPr>
          <w:rStyle w:val="7330"/>
        </w:rPr>
        <w:footnoteRef/>
      </w:r>
      <w:r w:rsidRPr="002D5FD5">
        <w:rPr>
          <w:rStyle w:val="7330"/>
          <w:rtl/>
        </w:rPr>
        <w:tab/>
        <w:t>מבקר המדינה, דוח שנתי 69א (2018),</w:t>
      </w:r>
      <w:r w:rsidRPr="00A04F9C">
        <w:rPr>
          <w:sz w:val="16"/>
          <w:szCs w:val="16"/>
          <w:rtl/>
        </w:rPr>
        <w:t xml:space="preserve"> </w:t>
      </w:r>
      <w:r w:rsidRPr="002D5FD5">
        <w:rPr>
          <w:rStyle w:val="7330"/>
          <w:rtl/>
        </w:rPr>
        <w:t>"</w:t>
      </w:r>
      <w:hyperlink r:id="rId1" w:history="1">
        <w:r w:rsidRPr="002D5FD5">
          <w:rPr>
            <w:rStyle w:val="7335"/>
            <w:rtl/>
          </w:rPr>
          <w:t>התמודדות ה</w:t>
        </w:r>
        <w:r w:rsidRPr="002D5FD5">
          <w:rPr>
            <w:rStyle w:val="7335"/>
            <w:rtl/>
          </w:rPr>
          <w:t>מ</w:t>
        </w:r>
        <w:r w:rsidRPr="002D5FD5">
          <w:rPr>
            <w:rStyle w:val="7335"/>
            <w:rtl/>
          </w:rPr>
          <w:t>משלה עם הגידול במסחר המקוון</w:t>
        </w:r>
      </w:hyperlink>
      <w:r w:rsidRPr="002D5FD5">
        <w:rPr>
          <w:rStyle w:val="7330"/>
          <w:rtl/>
        </w:rPr>
        <w:t>", עמ' 209.</w:t>
      </w:r>
      <w:r w:rsidRPr="00A04F9C">
        <w:rPr>
          <w:sz w:val="16"/>
          <w:szCs w:val="16"/>
          <w:rtl/>
        </w:rPr>
        <w:t xml:space="preserve"> </w:t>
      </w:r>
    </w:p>
  </w:footnote>
  <w:footnote w:id="3">
    <w:p w:rsidR="002D5FD5" w:rsidRPr="00B9186A" w:rsidP="006A639B" w14:paraId="4CCD5018" w14:textId="77777777">
      <w:pPr>
        <w:pStyle w:val="733"/>
        <w:rPr>
          <w:sz w:val="16"/>
          <w:szCs w:val="16"/>
        </w:rPr>
      </w:pPr>
      <w:r w:rsidRPr="006A639B">
        <w:footnoteRef/>
      </w:r>
      <w:r w:rsidRPr="006A639B">
        <w:rPr>
          <w:rtl/>
        </w:rPr>
        <w:t xml:space="preserve"> </w:t>
      </w:r>
      <w:r w:rsidRPr="00B9186A">
        <w:rPr>
          <w:sz w:val="16"/>
          <w:szCs w:val="16"/>
          <w:rtl/>
        </w:rPr>
        <w:tab/>
        <w:t>העוולות: המתנה ממושכת; קבלת מוצר פגום; חיוב מעבר לעלות המוצר או השירות; אי-קבלה של המוצר או השירות; סירוב לניסיון החזרה של מוצר; קושי להתנתק משירות; סירוב לקבל תשלום בתעודת זיכוי.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535799424"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99424"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0E103CB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2D5FD5" w:rsidR="002D5FD5">
                            <w:rPr>
                              <w:rFonts w:ascii="Tahoma" w:hAnsi="Tahoma" w:cs="Tahoma"/>
                              <w:b/>
                              <w:bCs/>
                              <w:rtl/>
                            </w:rPr>
                            <w:t>התמודדות הממשלה עם הגידול במסחר המקוון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0E103CB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2D5FD5" w:rsidR="002D5FD5">
                      <w:rPr>
                        <w:rFonts w:ascii="Tahoma" w:hAnsi="Tahoma" w:cs="Tahoma"/>
                        <w:b/>
                        <w:bCs/>
                        <w:rtl/>
                      </w:rPr>
                      <w:t>התמודדות הממשלה עם הגידול במסחר המקוון - ביקורת מעקב</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1B6FFE16">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DB179C" w:rsidR="00DB179C">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1B6FFE16">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DB179C" w:rsidR="00DB179C">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53579942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9942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142CA2D6">
                          <w:pPr>
                            <w:pStyle w:val="Heading1"/>
                            <w:spacing w:line="269" w:lineRule="auto"/>
                            <w:jc w:val="left"/>
                            <w:rPr>
                              <w:rFonts w:ascii="Tahoma" w:hAnsi="Tahoma" w:eastAsiaTheme="minorHAnsi" w:cs="Tahoma"/>
                              <w:bCs w:val="0"/>
                              <w:color w:val="0D0D0D" w:themeColor="text1" w:themeTint="F2"/>
                              <w:sz w:val="16"/>
                              <w:szCs w:val="16"/>
                              <w:u w:val="none"/>
                            </w:rPr>
                          </w:pPr>
                          <w:r w:rsidRPr="002D5FD5">
                            <w:rPr>
                              <w:rFonts w:ascii="Tahoma" w:hAnsi="Tahoma" w:eastAsiaTheme="minorHAnsi" w:cs="Tahoma"/>
                              <w:bCs w:val="0"/>
                              <w:color w:val="0D0D0D" w:themeColor="text1" w:themeTint="F2"/>
                              <w:sz w:val="16"/>
                              <w:szCs w:val="16"/>
                              <w:u w:val="none"/>
                              <w:rtl/>
                            </w:rPr>
                            <w:t>התמודדות הממשלה עם הגידול במסחר המקוון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142CA2D6">
                    <w:pPr>
                      <w:pStyle w:val="Heading1"/>
                      <w:spacing w:line="269" w:lineRule="auto"/>
                      <w:jc w:val="left"/>
                      <w:rPr>
                        <w:rFonts w:ascii="Tahoma" w:hAnsi="Tahoma" w:eastAsiaTheme="minorHAnsi" w:cs="Tahoma"/>
                        <w:bCs w:val="0"/>
                        <w:color w:val="0D0D0D" w:themeColor="text1" w:themeTint="F2"/>
                        <w:sz w:val="16"/>
                        <w:szCs w:val="16"/>
                        <w:u w:val="none"/>
                      </w:rPr>
                    </w:pPr>
                    <w:r w:rsidRPr="002D5FD5">
                      <w:rPr>
                        <w:rFonts w:ascii="Tahoma" w:hAnsi="Tahoma" w:eastAsiaTheme="minorHAnsi" w:cs="Tahoma"/>
                        <w:bCs w:val="0"/>
                        <w:color w:val="0D0D0D" w:themeColor="text1" w:themeTint="F2"/>
                        <w:sz w:val="16"/>
                        <w:szCs w:val="16"/>
                        <w:u w:val="none"/>
                        <w:rtl/>
                      </w:rPr>
                      <w:t>התמודדות הממשלה עם הגידול במסחר המקוון - ביקורת מעקב</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53579942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99426"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15DE" w:rsidP="006515DE" w14:paraId="074A582D" w14:textId="77777777">
    <w:pPr>
      <w:pStyle w:val="Header"/>
      <w:rPr>
        <w:rtl/>
      </w:rPr>
    </w:pPr>
    <w:r>
      <w:rPr>
        <w:noProof/>
        <w:rtl/>
        <w:lang w:val="he-IL"/>
      </w:rPr>
      <mc:AlternateContent>
        <mc:Choice Requires="wps">
          <w:drawing>
            <wp:anchor distT="0" distB="0" distL="114300" distR="114300" simplePos="0" relativeHeight="25168179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5"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6515DE" w:rsidRPr="00FD02CC" w:rsidP="006515DE"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3664" filled="f" strokecolor="#a5a5a5" strokeweight="0.25pt">
              <v:stroke dashstyle="longDash"/>
              <v:textbox>
                <w:txbxContent>
                  <w:p w:rsidR="006515DE" w:rsidRPr="00FD02CC" w:rsidP="006515DE" w14:paraId="4D06FA44"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6515DE" w:rsidP="006515DE" w14:paraId="4A257909" w14:textId="77777777">
    <w:pPr>
      <w:pStyle w:val="Header"/>
      <w:ind w:firstLine="720"/>
      <w:rPr>
        <w:rtl/>
      </w:rPr>
    </w:pPr>
  </w:p>
  <w:p w:rsidR="006515DE" w:rsidP="006515DE" w14:paraId="1AA11B13" w14:textId="77777777">
    <w:pPr>
      <w:pStyle w:val="Header"/>
      <w:rPr>
        <w:rtl/>
      </w:rPr>
    </w:pPr>
  </w:p>
  <w:p w:rsidR="006515DE" w:rsidP="006515DE" w14:paraId="31986259"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6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6515DE" w:rsidRPr="003D62C4" w:rsidP="006515DE"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2D5FD5">
                            <w:rPr>
                              <w:rFonts w:ascii="Tahoma" w:hAnsi="Tahoma" w:eastAsiaTheme="minorHAnsi" w:cs="Tahoma"/>
                              <w:bCs w:val="0"/>
                              <w:color w:val="0D0D0D" w:themeColor="text1" w:themeTint="F2"/>
                              <w:sz w:val="16"/>
                              <w:szCs w:val="16"/>
                              <w:u w:val="none"/>
                              <w:rtl/>
                            </w:rPr>
                            <w:t>התמודדות הממשלה עם הגידול במסחר המקוון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0768" stroked="f">
              <v:textbox style="mso-fit-shape-to-text:t">
                <w:txbxContent>
                  <w:p w:rsidR="006515DE" w:rsidRPr="003D62C4" w:rsidP="006515DE" w14:paraId="1FBBEB9B"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2D5FD5">
                      <w:rPr>
                        <w:rFonts w:ascii="Tahoma" w:hAnsi="Tahoma" w:eastAsiaTheme="minorHAnsi" w:cs="Tahoma"/>
                        <w:bCs w:val="0"/>
                        <w:color w:val="0D0D0D" w:themeColor="text1" w:themeTint="F2"/>
                        <w:sz w:val="16"/>
                        <w:szCs w:val="16"/>
                        <w:u w:val="none"/>
                        <w:rtl/>
                      </w:rPr>
                      <w:t>התמודדות הממשלה עם הגידול במסחר המקוון - ביקורת מעקב</w:t>
                    </w:r>
                  </w:p>
                </w:txbxContent>
              </v:textbox>
              <w10:wrap type="square"/>
            </v:shape>
          </w:pict>
        </mc:Fallback>
      </mc:AlternateContent>
    </w:r>
  </w:p>
  <w:p w:rsidR="006515DE" w:rsidP="006515DE" w14:paraId="3E01BDE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73370176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01760"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63"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78720" from="-109.7pt,27.8pt" to="367.9pt,27.8pt" strokecolor="#0d0d0d" strokeweight="0.25pt"/>
          </w:pict>
        </mc:Fallback>
      </mc:AlternateContent>
    </w:r>
  </w:p>
  <w:p w:rsidR="008B694B" w:rsidRPr="006515DE" w:rsidP="006515DE" w14:paraId="4E47EA6D" w14:textId="324E80B4">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9pt" o:bullet="t">
        <v:imagedata r:id="rId1" o:title="icon-menura copy"/>
      </v:shape>
    </w:pict>
  </w:numPicBullet>
  <w:numPicBullet w:numPicBulletId="1">
    <w:pict>
      <v:shape id="_x0000_i1027" type="#_x0000_t75" style="width:49pt;height:55.5pt" o:bullet="t">
        <v:imagedata r:id="rId2" o:title="yad-red"/>
      </v:shape>
    </w:pict>
  </w:numPicBullet>
  <w:numPicBullet w:numPicBulletId="2">
    <w:pict>
      <v:shape id="_x0000_i1028" type="#_x0000_t75" style="width:256pt;height:256pt" o:bullet="t">
        <v:imagedata r:id="rId3" o:title="light-bulb"/>
      </v:shape>
    </w:pict>
  </w:numPicBullet>
  <w:abstractNum w:abstractNumId="0">
    <w:nsid w:val="FFFFFF7C"/>
    <w:multiLevelType w:val="singleLevel"/>
    <w:tmpl w:val="9822F4CC"/>
    <w:lvl w:ilvl="0">
      <w:start w:val="1"/>
      <w:numFmt w:val="decimal"/>
      <w:lvlText w:val="%1."/>
      <w:lvlJc w:val="left"/>
      <w:pPr>
        <w:tabs>
          <w:tab w:val="num" w:pos="1492"/>
        </w:tabs>
        <w:ind w:left="1492" w:hanging="360"/>
      </w:pPr>
    </w:lvl>
  </w:abstractNum>
  <w:abstractNum w:abstractNumId="1">
    <w:nsid w:val="FFFFFF7D"/>
    <w:multiLevelType w:val="singleLevel"/>
    <w:tmpl w:val="D4404960"/>
    <w:lvl w:ilvl="0">
      <w:start w:val="1"/>
      <w:numFmt w:val="decimal"/>
      <w:lvlText w:val="%1."/>
      <w:lvlJc w:val="left"/>
      <w:pPr>
        <w:tabs>
          <w:tab w:val="num" w:pos="1209"/>
        </w:tabs>
        <w:ind w:left="1209" w:hanging="360"/>
      </w:pPr>
    </w:lvl>
  </w:abstractNum>
  <w:abstractNum w:abstractNumId="2">
    <w:nsid w:val="FFFFFF7F"/>
    <w:multiLevelType w:val="singleLevel"/>
    <w:tmpl w:val="544EB15E"/>
    <w:lvl w:ilvl="0">
      <w:start w:val="1"/>
      <w:numFmt w:val="decimal"/>
      <w:lvlText w:val="%1."/>
      <w:lvlJc w:val="left"/>
      <w:pPr>
        <w:tabs>
          <w:tab w:val="num" w:pos="643"/>
        </w:tabs>
        <w:ind w:left="643" w:hanging="360"/>
      </w:pPr>
    </w:lvl>
  </w:abstractNum>
  <w:abstractNum w:abstractNumId="3">
    <w:nsid w:val="FFFFFF80"/>
    <w:multiLevelType w:val="singleLevel"/>
    <w:tmpl w:val="11928A0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827AF52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B6A51B2"/>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9312C1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9222A9AC"/>
    <w:lvl w:ilvl="0">
      <w:start w:val="1"/>
      <w:numFmt w:val="bullet"/>
      <w:lvlText w:val=""/>
      <w:lvlJc w:val="left"/>
      <w:pPr>
        <w:tabs>
          <w:tab w:val="num" w:pos="360"/>
        </w:tabs>
        <w:ind w:left="360" w:hanging="360"/>
      </w:pPr>
      <w:rPr>
        <w:rFonts w:ascii="Symbol" w:hAnsi="Symbol" w:hint="default"/>
      </w:rPr>
    </w:lvl>
  </w:abstractNum>
  <w:abstractNum w:abstractNumId="8">
    <w:nsid w:val="0122245D"/>
    <w:multiLevelType w:val="hybridMultilevel"/>
    <w:tmpl w:val="16CC15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A43830"/>
    <w:multiLevelType w:val="hybridMultilevel"/>
    <w:tmpl w:val="24761F94"/>
    <w:lvl w:ilvl="0">
      <w:start w:val="1"/>
      <w:numFmt w:val="decimal"/>
      <w:lvlText w:val="%1."/>
      <w:lvlJc w:val="left"/>
      <w:pPr>
        <w:ind w:left="720" w:hanging="36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71E4D33"/>
    <w:multiLevelType w:val="hybridMultilevel"/>
    <w:tmpl w:val="39BE86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082F26DE"/>
    <w:multiLevelType w:val="hybridMultilevel"/>
    <w:tmpl w:val="A86CA12E"/>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A22593A"/>
    <w:multiLevelType w:val="hybridMultilevel"/>
    <w:tmpl w:val="EA7666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DDD178A"/>
    <w:multiLevelType w:val="hybridMultilevel"/>
    <w:tmpl w:val="FEFEF4F2"/>
    <w:lvl w:ilvl="0">
      <w:start w:val="1"/>
      <w:numFmt w:val="bullet"/>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17">
    <w:nsid w:val="10827DC5"/>
    <w:multiLevelType w:val="multilevel"/>
    <w:tmpl w:val="A784F8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12074133"/>
    <w:multiLevelType w:val="hybridMultilevel"/>
    <w:tmpl w:val="ED4C3644"/>
    <w:lvl w:ilvl="0">
      <w:start w:val="1"/>
      <w:numFmt w:val="bullet"/>
      <w:lvlText w:val=""/>
      <w:lvlPicBulletId w:val="0"/>
      <w:lvlJc w:val="left"/>
      <w:pPr>
        <w:ind w:left="760" w:hanging="403"/>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5226680"/>
    <w:multiLevelType w:val="hybridMultilevel"/>
    <w:tmpl w:val="7AD0E07A"/>
    <w:lvl w:ilvl="0">
      <w:start w:val="1"/>
      <w:numFmt w:val="decimal"/>
      <w:lvlText w:val="%1."/>
      <w:lvlJc w:val="left"/>
      <w:pPr>
        <w:ind w:left="642" w:hanging="360"/>
      </w:pPr>
      <w:rPr>
        <w:rFonts w:ascii="Times New Roman" w:hAnsi="Times New Roman" w:eastAsiaTheme="majorEastAsia" w:hint="default"/>
      </w:rPr>
    </w:lvl>
    <w:lvl w:ilvl="1" w:tentative="1">
      <w:start w:val="1"/>
      <w:numFmt w:val="lowerLetter"/>
      <w:lvlText w:val="%2."/>
      <w:lvlJc w:val="left"/>
      <w:pPr>
        <w:ind w:left="1362" w:hanging="360"/>
      </w:pPr>
    </w:lvl>
    <w:lvl w:ilvl="2" w:tentative="1">
      <w:start w:val="1"/>
      <w:numFmt w:val="lowerRoman"/>
      <w:lvlText w:val="%3."/>
      <w:lvlJc w:val="right"/>
      <w:pPr>
        <w:ind w:left="2082" w:hanging="180"/>
      </w:pPr>
    </w:lvl>
    <w:lvl w:ilvl="3" w:tentative="1">
      <w:start w:val="1"/>
      <w:numFmt w:val="decimal"/>
      <w:lvlText w:val="%4."/>
      <w:lvlJc w:val="left"/>
      <w:pPr>
        <w:ind w:left="2802" w:hanging="360"/>
      </w:pPr>
    </w:lvl>
    <w:lvl w:ilvl="4" w:tentative="1">
      <w:start w:val="1"/>
      <w:numFmt w:val="lowerLetter"/>
      <w:lvlText w:val="%5."/>
      <w:lvlJc w:val="left"/>
      <w:pPr>
        <w:ind w:left="3522" w:hanging="360"/>
      </w:pPr>
    </w:lvl>
    <w:lvl w:ilvl="5" w:tentative="1">
      <w:start w:val="1"/>
      <w:numFmt w:val="lowerRoman"/>
      <w:lvlText w:val="%6."/>
      <w:lvlJc w:val="right"/>
      <w:pPr>
        <w:ind w:left="4242" w:hanging="180"/>
      </w:pPr>
    </w:lvl>
    <w:lvl w:ilvl="6" w:tentative="1">
      <w:start w:val="1"/>
      <w:numFmt w:val="decimal"/>
      <w:lvlText w:val="%7."/>
      <w:lvlJc w:val="left"/>
      <w:pPr>
        <w:ind w:left="4962" w:hanging="360"/>
      </w:pPr>
    </w:lvl>
    <w:lvl w:ilvl="7" w:tentative="1">
      <w:start w:val="1"/>
      <w:numFmt w:val="lowerLetter"/>
      <w:lvlText w:val="%8."/>
      <w:lvlJc w:val="left"/>
      <w:pPr>
        <w:ind w:left="5682" w:hanging="360"/>
      </w:pPr>
    </w:lvl>
    <w:lvl w:ilvl="8" w:tentative="1">
      <w:start w:val="1"/>
      <w:numFmt w:val="lowerRoman"/>
      <w:lvlText w:val="%9."/>
      <w:lvlJc w:val="right"/>
      <w:pPr>
        <w:ind w:left="6402" w:hanging="180"/>
      </w:pPr>
    </w:lvl>
  </w:abstractNum>
  <w:abstractNum w:abstractNumId="20">
    <w:nsid w:val="163075E2"/>
    <w:multiLevelType w:val="hybridMultilevel"/>
    <w:tmpl w:val="7AFED3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3E739E"/>
    <w:multiLevelType w:val="hybridMultilevel"/>
    <w:tmpl w:val="384285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6957A34"/>
    <w:multiLevelType w:val="hybridMultilevel"/>
    <w:tmpl w:val="ABC4FD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AFF6EB5"/>
    <w:multiLevelType w:val="hybridMultilevel"/>
    <w:tmpl w:val="71B0DA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1DC24823"/>
    <w:multiLevelType w:val="hybridMultilevel"/>
    <w:tmpl w:val="769484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F7F7984"/>
    <w:multiLevelType w:val="multilevel"/>
    <w:tmpl w:val="A784F8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20422CF2"/>
    <w:multiLevelType w:val="hybridMultilevel"/>
    <w:tmpl w:val="7FD0CF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0AC1671"/>
    <w:multiLevelType w:val="hybridMultilevel"/>
    <w:tmpl w:val="403E0E7A"/>
    <w:lvl w:ilvl="0">
      <w:start w:val="1"/>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35F1CDB"/>
    <w:multiLevelType w:val="hybridMultilevel"/>
    <w:tmpl w:val="8284614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41D2A60"/>
    <w:multiLevelType w:val="hybridMultilevel"/>
    <w:tmpl w:val="9E7A1ADC"/>
    <w:lvl w:ilvl="0">
      <w:start w:val="1"/>
      <w:numFmt w:val="bullet"/>
      <w:lvlText w:val=""/>
      <w:lvlPicBulletId w:val="0"/>
      <w:lvlJc w:val="left"/>
      <w:pPr>
        <w:ind w:left="1117"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5030C92"/>
    <w:multiLevelType w:val="multilevel"/>
    <w:tmpl w:val="8EF831A6"/>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25597A29"/>
    <w:multiLevelType w:val="hybridMultilevel"/>
    <w:tmpl w:val="346EAC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AD264AB"/>
    <w:multiLevelType w:val="hybridMultilevel"/>
    <w:tmpl w:val="2CD2FAE8"/>
    <w:lvl w:ilvl="0">
      <w:start w:val="2"/>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B16139F"/>
    <w:multiLevelType w:val="hybridMultilevel"/>
    <w:tmpl w:val="D06C34BA"/>
    <w:lvl w:ilvl="0">
      <w:start w:val="1"/>
      <w:numFmt w:val="bullet"/>
      <w:lvlText w:val=""/>
      <w:lvlPicBulletId w:val="1"/>
      <w:lvlJc w:val="left"/>
      <w:pPr>
        <w:ind w:left="360" w:hanging="360"/>
      </w:pPr>
      <w:rPr>
        <w:rFonts w:ascii="Symbol" w:hAnsi="Symbol" w:hint="default"/>
        <w:color w:val="auto"/>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D5960CB"/>
    <w:multiLevelType w:val="multilevel"/>
    <w:tmpl w:val="7B3C14AC"/>
    <w:lvl w:ilvl="0">
      <w:start w:val="1"/>
      <w:numFmt w:val="hebrew1"/>
      <w:lvlText w:val="%1."/>
      <w:lvlJc w:val="right"/>
      <w:pPr>
        <w:ind w:left="680" w:hanging="340"/>
      </w:pPr>
      <w:rPr>
        <w:rFonts w:ascii="Tahoma" w:eastAsia="Times New Roman" w:hAnsi="Tahoma" w:cs="Tahoma"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7">
    <w:nsid w:val="2E6B7ED0"/>
    <w:multiLevelType w:val="hybridMultilevel"/>
    <w:tmpl w:val="324AB006"/>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E8320D3"/>
    <w:multiLevelType w:val="hybridMultilevel"/>
    <w:tmpl w:val="8C32E48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3993515"/>
    <w:multiLevelType w:val="hybridMultilevel"/>
    <w:tmpl w:val="4D9CC2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9220D5D"/>
    <w:multiLevelType w:val="hybridMultilevel"/>
    <w:tmpl w:val="CB9E0A9E"/>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3">
    <w:nsid w:val="3C68299D"/>
    <w:multiLevelType w:val="hybridMultilevel"/>
    <w:tmpl w:val="A1E8C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CFC53E9"/>
    <w:multiLevelType w:val="hybridMultilevel"/>
    <w:tmpl w:val="5E4CE8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DAC24A9"/>
    <w:multiLevelType w:val="hybridMultilevel"/>
    <w:tmpl w:val="F104AB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E2B314E"/>
    <w:multiLevelType w:val="hybridMultilevel"/>
    <w:tmpl w:val="D8F6051E"/>
    <w:lvl w:ilvl="0">
      <w:start w:val="1"/>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FD6457B"/>
    <w:multiLevelType w:val="hybridMultilevel"/>
    <w:tmpl w:val="344EDB6C"/>
    <w:lvl w:ilvl="0">
      <w:start w:val="1"/>
      <w:numFmt w:val="bullet"/>
      <w:lvlText w:val=""/>
      <w:lvlPicBulletId w:val="2"/>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419A64A6"/>
    <w:multiLevelType w:val="multilevel"/>
    <w:tmpl w:val="29E2391C"/>
    <w:lvl w:ilvl="0">
      <w:start w:val="1"/>
      <w:numFmt w:val="decimal"/>
      <w:lvlText w:val="%1."/>
      <w:lvlJc w:val="left"/>
      <w:pPr>
        <w:ind w:left="340" w:hanging="340"/>
      </w:pPr>
      <w:rPr>
        <w:rFonts w:hint="default"/>
      </w:rPr>
    </w:lvl>
    <w:lvl w:ilvl="1">
      <w:start w:val="1"/>
      <w:numFmt w:val="decimal"/>
      <w:lvlText w:val="(%2)"/>
      <w:lvlJc w:val="right"/>
      <w:pPr>
        <w:ind w:left="1069"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18"/>
        <w:szCs w:val="18"/>
        <w:lang w:val="en-US"/>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9">
    <w:nsid w:val="4213136F"/>
    <w:multiLevelType w:val="hybridMultilevel"/>
    <w:tmpl w:val="C930B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3CC3A2D"/>
    <w:multiLevelType w:val="hybridMultilevel"/>
    <w:tmpl w:val="398063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44D0E6C"/>
    <w:multiLevelType w:val="hybridMultilevel"/>
    <w:tmpl w:val="4E3256CE"/>
    <w:lvl w:ilvl="0">
      <w:start w:val="1"/>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50B73E9"/>
    <w:multiLevelType w:val="hybridMultilevel"/>
    <w:tmpl w:val="2BE07D0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4">
    <w:nsid w:val="47A26096"/>
    <w:multiLevelType w:val="multilevel"/>
    <w:tmpl w:val="3EE8B66C"/>
    <w:lvl w:ilvl="0">
      <w:start w:val="1"/>
      <w:numFmt w:val="decimal"/>
      <w:lvlText w:val="%1."/>
      <w:lvlJc w:val="left"/>
      <w:pPr>
        <w:ind w:left="340" w:hanging="340"/>
      </w:pPr>
      <w:rPr>
        <w:rFonts w:cs="David"/>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5">
    <w:nsid w:val="4D2601AB"/>
    <w:multiLevelType w:val="hybridMultilevel"/>
    <w:tmpl w:val="056A094C"/>
    <w:lvl w:ilvl="0">
      <w:start w:val="1"/>
      <w:numFmt w:val="bullet"/>
      <w:lvlText w:val=""/>
      <w:lvlPicBulletId w:val="0"/>
      <w:lvlJc w:val="left"/>
      <w:pPr>
        <w:ind w:left="1117"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4F9846F8"/>
    <w:multiLevelType w:val="hybridMultilevel"/>
    <w:tmpl w:val="928213E8"/>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06A3CFF"/>
    <w:multiLevelType w:val="hybridMultilevel"/>
    <w:tmpl w:val="8194AB34"/>
    <w:lvl w:ilvl="0">
      <w:start w:val="1"/>
      <w:numFmt w:val="decimal"/>
      <w:lvlText w:val="%1)"/>
      <w:lvlJc w:val="left"/>
      <w:pPr>
        <w:ind w:left="502" w:hanging="360"/>
      </w:pPr>
      <w:rPr>
        <w:rFonts w:ascii="Arial" w:hAnsi="Arial" w:cs="Arial" w:hint="default"/>
        <w:color w:val="000000"/>
        <w:sz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8">
    <w:nsid w:val="518E6EA9"/>
    <w:multiLevelType w:val="hybridMultilevel"/>
    <w:tmpl w:val="2A7AF3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3176901"/>
    <w:multiLevelType w:val="hybridMultilevel"/>
    <w:tmpl w:val="4F3AF294"/>
    <w:lvl w:ilvl="0">
      <w:start w:val="1"/>
      <w:numFmt w:val="bullet"/>
      <w:lvlText w:val=""/>
      <w:lvlPicBulletId w:val="1"/>
      <w:lvlJc w:val="left"/>
      <w:pPr>
        <w:ind w:left="720" w:hanging="360"/>
      </w:pPr>
      <w:rPr>
        <w:rFonts w:ascii="Symbol" w:hAnsi="Symbol" w:hint="default"/>
        <w:color w:val="auto"/>
        <w:sz w:val="30"/>
        <w:szCs w:val="3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55E578FC"/>
    <w:multiLevelType w:val="hybridMultilevel"/>
    <w:tmpl w:val="553C3790"/>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66F3AC7"/>
    <w:multiLevelType w:val="hybridMultilevel"/>
    <w:tmpl w:val="CF5A3FB8"/>
    <w:lvl w:ilvl="0">
      <w:start w:val="1"/>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571048E5"/>
    <w:multiLevelType w:val="hybridMultilevel"/>
    <w:tmpl w:val="E500F7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95B3F4C"/>
    <w:multiLevelType w:val="hybridMultilevel"/>
    <w:tmpl w:val="2BE07D0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9943F68"/>
    <w:multiLevelType w:val="hybridMultilevel"/>
    <w:tmpl w:val="238C21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A0C51A8"/>
    <w:multiLevelType w:val="hybridMultilevel"/>
    <w:tmpl w:val="3EA2272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BDB1926"/>
    <w:multiLevelType w:val="hybridMultilevel"/>
    <w:tmpl w:val="754A2A4C"/>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C295578"/>
    <w:multiLevelType w:val="hybridMultilevel"/>
    <w:tmpl w:val="475E41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9">
    <w:nsid w:val="5C7B26D7"/>
    <w:multiLevelType w:val="hybridMultilevel"/>
    <w:tmpl w:val="3F0070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E023CE6"/>
    <w:multiLevelType w:val="hybridMultilevel"/>
    <w:tmpl w:val="37F28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72">
    <w:nsid w:val="604C1578"/>
    <w:multiLevelType w:val="hybridMultilevel"/>
    <w:tmpl w:val="FCF280E6"/>
    <w:lvl w:ilvl="0">
      <w:start w:val="2"/>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4">
    <w:nsid w:val="6426528C"/>
    <w:multiLevelType w:val="hybridMultilevel"/>
    <w:tmpl w:val="854AF2FA"/>
    <w:lvl w:ilvl="0">
      <w:start w:val="3"/>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67A213C"/>
    <w:multiLevelType w:val="hybridMultilevel"/>
    <w:tmpl w:val="5E30BC0E"/>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7">
    <w:nsid w:val="6A8373E4"/>
    <w:multiLevelType w:val="hybridMultilevel"/>
    <w:tmpl w:val="54F01634"/>
    <w:lvl w:ilvl="0">
      <w:start w:val="1"/>
      <w:numFmt w:val="decimal"/>
      <w:lvlText w:val="%1."/>
      <w:lvlJc w:val="left"/>
      <w:pPr>
        <w:ind w:left="1080" w:hanging="360"/>
      </w:pPr>
      <w:rPr>
        <w:rFonts w:eastAsiaTheme="majorEastAsia"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6CC501F7"/>
    <w:multiLevelType w:val="hybridMultilevel"/>
    <w:tmpl w:val="41D027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DB6403D"/>
    <w:multiLevelType w:val="multilevel"/>
    <w:tmpl w:val="F7F86682"/>
    <w:lvl w:ilvl="0">
      <w:start w:val="1"/>
      <w:numFmt w:val="decimal"/>
      <w:lvlText w:val="%1."/>
      <w:lvlJc w:val="left"/>
      <w:pPr>
        <w:ind w:left="340" w:hanging="340"/>
      </w:pPr>
      <w:rPr>
        <w:rFonts w:hint="default"/>
        <w:b w:val="0"/>
        <w:bCs w:val="0"/>
      </w:rPr>
    </w:lvl>
    <w:lvl w:ilvl="1">
      <w:start w:val="3"/>
      <w:numFmt w:val="decimal"/>
      <w:lvlText w:val="%2."/>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0">
    <w:nsid w:val="6E5A4B46"/>
    <w:multiLevelType w:val="multilevel"/>
    <w:tmpl w:val="18BA1502"/>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81">
    <w:nsid w:val="6F304F73"/>
    <w:multiLevelType w:val="hybridMultilevel"/>
    <w:tmpl w:val="63123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845323A"/>
    <w:multiLevelType w:val="hybridMultilevel"/>
    <w:tmpl w:val="7BF4B4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9004680"/>
    <w:multiLevelType w:val="hybridMultilevel"/>
    <w:tmpl w:val="A288C9A0"/>
    <w:lvl w:ilvl="0">
      <w:start w:val="1"/>
      <w:numFmt w:val="decimal"/>
      <w:lvlText w:val="%1."/>
      <w:lvlJc w:val="left"/>
      <w:pPr>
        <w:ind w:left="720" w:hanging="360"/>
      </w:pPr>
      <w:rPr>
        <w:rFonts w:eastAsiaTheme="majorEastAs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9C97685"/>
    <w:multiLevelType w:val="hybridMultilevel"/>
    <w:tmpl w:val="DCC4E0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86">
    <w:nsid w:val="7FF113AC"/>
    <w:multiLevelType w:val="hybridMultilevel"/>
    <w:tmpl w:val="16B2F5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42"/>
  </w:num>
  <w:num w:numId="3">
    <w:abstractNumId w:val="79"/>
  </w:num>
  <w:num w:numId="4">
    <w:abstractNumId w:val="68"/>
  </w:num>
  <w:num w:numId="5">
    <w:abstractNumId w:val="36"/>
  </w:num>
  <w:num w:numId="6">
    <w:abstractNumId w:val="41"/>
  </w:num>
  <w:num w:numId="7">
    <w:abstractNumId w:val="85"/>
  </w:num>
  <w:num w:numId="8">
    <w:abstractNumId w:val="11"/>
  </w:num>
  <w:num w:numId="9">
    <w:abstractNumId w:val="53"/>
  </w:num>
  <w:num w:numId="10">
    <w:abstractNumId w:val="16"/>
  </w:num>
  <w:num w:numId="11">
    <w:abstractNumId w:val="71"/>
  </w:num>
  <w:num w:numId="12">
    <w:abstractNumId w:val="15"/>
  </w:num>
  <w:num w:numId="13">
    <w:abstractNumId w:val="33"/>
  </w:num>
  <w:num w:numId="14">
    <w:abstractNumId w:val="74"/>
  </w:num>
  <w:num w:numId="15">
    <w:abstractNumId w:val="60"/>
  </w:num>
  <w:num w:numId="16">
    <w:abstractNumId w:val="12"/>
  </w:num>
  <w:num w:numId="17">
    <w:abstractNumId w:val="56"/>
  </w:num>
  <w:num w:numId="18">
    <w:abstractNumId w:val="3"/>
  </w:num>
  <w:num w:numId="19">
    <w:abstractNumId w:val="4"/>
  </w:num>
  <w:num w:numId="20">
    <w:abstractNumId w:val="5"/>
  </w:num>
  <w:num w:numId="21">
    <w:abstractNumId w:val="6"/>
  </w:num>
  <w:num w:numId="22">
    <w:abstractNumId w:val="7"/>
  </w:num>
  <w:num w:numId="23">
    <w:abstractNumId w:val="0"/>
  </w:num>
  <w:num w:numId="24">
    <w:abstractNumId w:val="1"/>
  </w:num>
  <w:num w:numId="25">
    <w:abstractNumId w:val="2"/>
  </w:num>
  <w:num w:numId="26">
    <w:abstractNumId w:val="35"/>
  </w:num>
  <w:num w:numId="27">
    <w:abstractNumId w:val="48"/>
  </w:num>
  <w:num w:numId="28">
    <w:abstractNumId w:val="30"/>
  </w:num>
  <w:num w:numId="29">
    <w:abstractNumId w:val="55"/>
  </w:num>
  <w:num w:numId="30">
    <w:abstractNumId w:val="18"/>
  </w:num>
  <w:num w:numId="31">
    <w:abstractNumId w:val="59"/>
  </w:num>
  <w:num w:numId="32">
    <w:abstractNumId w:val="34"/>
  </w:num>
  <w:num w:numId="33">
    <w:abstractNumId w:val="29"/>
  </w:num>
  <w:num w:numId="34">
    <w:abstractNumId w:val="38"/>
  </w:num>
  <w:num w:numId="35">
    <w:abstractNumId w:val="22"/>
  </w:num>
  <w:num w:numId="36">
    <w:abstractNumId w:val="32"/>
  </w:num>
  <w:num w:numId="37">
    <w:abstractNumId w:val="69"/>
  </w:num>
  <w:num w:numId="38">
    <w:abstractNumId w:val="21"/>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num>
  <w:num w:numId="41">
    <w:abstractNumId w:val="78"/>
  </w:num>
  <w:num w:numId="42">
    <w:abstractNumId w:val="62"/>
  </w:num>
  <w:num w:numId="43">
    <w:abstractNumId w:val="10"/>
  </w:num>
  <w:num w:numId="44">
    <w:abstractNumId w:val="51"/>
  </w:num>
  <w:num w:numId="45">
    <w:abstractNumId w:val="46"/>
  </w:num>
  <w:num w:numId="46">
    <w:abstractNumId w:val="28"/>
  </w:num>
  <w:num w:numId="47">
    <w:abstractNumId w:val="61"/>
  </w:num>
  <w:num w:numId="48">
    <w:abstractNumId w:val="65"/>
  </w:num>
  <w:num w:numId="49">
    <w:abstractNumId w:val="70"/>
  </w:num>
  <w:num w:numId="50">
    <w:abstractNumId w:val="47"/>
  </w:num>
  <w:num w:numId="51">
    <w:abstractNumId w:val="76"/>
  </w:num>
  <w:num w:numId="52">
    <w:abstractNumId w:val="14"/>
  </w:num>
  <w:num w:numId="53">
    <w:abstractNumId w:val="73"/>
  </w:num>
  <w:num w:numId="54">
    <w:abstractNumId w:val="64"/>
  </w:num>
  <w:num w:numId="55">
    <w:abstractNumId w:val="29"/>
    <w:lvlOverride w:ilvl="0">
      <w:startOverride w:val="1"/>
    </w:lvlOverride>
  </w:num>
  <w:num w:numId="56">
    <w:abstractNumId w:val="9"/>
  </w:num>
  <w:num w:numId="57">
    <w:abstractNumId w:val="77"/>
  </w:num>
  <w:num w:numId="58">
    <w:abstractNumId w:val="83"/>
  </w:num>
  <w:num w:numId="59">
    <w:abstractNumId w:val="63"/>
  </w:num>
  <w:num w:numId="60">
    <w:abstractNumId w:val="20"/>
  </w:num>
  <w:num w:numId="61">
    <w:abstractNumId w:val="52"/>
  </w:num>
  <w:num w:numId="62">
    <w:abstractNumId w:val="45"/>
  </w:num>
  <w:num w:numId="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8"/>
  </w:num>
  <w:num w:numId="66">
    <w:abstractNumId w:val="50"/>
  </w:num>
  <w:num w:numId="67">
    <w:abstractNumId w:val="72"/>
  </w:num>
  <w:num w:numId="68">
    <w:abstractNumId w:val="13"/>
  </w:num>
  <w:num w:numId="69">
    <w:abstractNumId w:val="27"/>
  </w:num>
  <w:num w:numId="70">
    <w:abstractNumId w:val="39"/>
  </w:num>
  <w:num w:numId="71">
    <w:abstractNumId w:val="82"/>
  </w:num>
  <w:num w:numId="72">
    <w:abstractNumId w:val="67"/>
  </w:num>
  <w:num w:numId="73">
    <w:abstractNumId w:val="81"/>
  </w:num>
  <w:num w:numId="74">
    <w:abstractNumId w:val="80"/>
  </w:num>
  <w:num w:numId="75">
    <w:abstractNumId w:val="23"/>
  </w:num>
  <w:num w:numId="76">
    <w:abstractNumId w:val="44"/>
  </w:num>
  <w:num w:numId="77">
    <w:abstractNumId w:val="26"/>
  </w:num>
  <w:num w:numId="78">
    <w:abstractNumId w:val="19"/>
  </w:num>
  <w:num w:numId="79">
    <w:abstractNumId w:val="43"/>
  </w:num>
  <w:num w:numId="80">
    <w:abstractNumId w:val="54"/>
  </w:num>
  <w:num w:numId="81">
    <w:abstractNumId w:val="17"/>
  </w:num>
  <w:num w:numId="82">
    <w:abstractNumId w:val="31"/>
  </w:num>
  <w:num w:numId="83">
    <w:abstractNumId w:val="25"/>
  </w:num>
  <w:num w:numId="84">
    <w:abstractNumId w:val="49"/>
  </w:num>
  <w:num w:numId="85">
    <w:abstractNumId w:val="37"/>
  </w:num>
  <w:num w:numId="86">
    <w:abstractNumId w:val="40"/>
  </w:num>
  <w:num w:numId="87">
    <w:abstractNumId w:val="66"/>
  </w:num>
  <w:num w:numId="88">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88"/>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493"/>
    <w:rsid w:val="00021ED5"/>
    <w:rsid w:val="00021FFB"/>
    <w:rsid w:val="000224FF"/>
    <w:rsid w:val="00022A61"/>
    <w:rsid w:val="00023E81"/>
    <w:rsid w:val="000246D2"/>
    <w:rsid w:val="00024E0C"/>
    <w:rsid w:val="000251E2"/>
    <w:rsid w:val="0002526A"/>
    <w:rsid w:val="0002582E"/>
    <w:rsid w:val="000259C7"/>
    <w:rsid w:val="00026245"/>
    <w:rsid w:val="00026367"/>
    <w:rsid w:val="000264D7"/>
    <w:rsid w:val="00026738"/>
    <w:rsid w:val="000267B7"/>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517"/>
    <w:rsid w:val="000456D3"/>
    <w:rsid w:val="00046670"/>
    <w:rsid w:val="000470AE"/>
    <w:rsid w:val="00047976"/>
    <w:rsid w:val="00047A92"/>
    <w:rsid w:val="00047CF6"/>
    <w:rsid w:val="000501A4"/>
    <w:rsid w:val="00050419"/>
    <w:rsid w:val="00050995"/>
    <w:rsid w:val="00050BDE"/>
    <w:rsid w:val="00050DDE"/>
    <w:rsid w:val="000519A0"/>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0E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745"/>
    <w:rsid w:val="000E5834"/>
    <w:rsid w:val="000E5B0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2230"/>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91B"/>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992"/>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E29"/>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4C6E"/>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4CC5"/>
    <w:rsid w:val="002154D1"/>
    <w:rsid w:val="00215BEE"/>
    <w:rsid w:val="0021654E"/>
    <w:rsid w:val="00217B31"/>
    <w:rsid w:val="002202E4"/>
    <w:rsid w:val="0022072A"/>
    <w:rsid w:val="00220B3D"/>
    <w:rsid w:val="0022100A"/>
    <w:rsid w:val="00221160"/>
    <w:rsid w:val="00221246"/>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66B80"/>
    <w:rsid w:val="00267082"/>
    <w:rsid w:val="0027101D"/>
    <w:rsid w:val="0027121E"/>
    <w:rsid w:val="0027188F"/>
    <w:rsid w:val="002739B2"/>
    <w:rsid w:val="00273FDF"/>
    <w:rsid w:val="0027424D"/>
    <w:rsid w:val="00275141"/>
    <w:rsid w:val="002753C7"/>
    <w:rsid w:val="00275A79"/>
    <w:rsid w:val="002763F9"/>
    <w:rsid w:val="00276D55"/>
    <w:rsid w:val="00276E11"/>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8B8"/>
    <w:rsid w:val="00287BEF"/>
    <w:rsid w:val="00290C01"/>
    <w:rsid w:val="00290D96"/>
    <w:rsid w:val="00291775"/>
    <w:rsid w:val="002920D3"/>
    <w:rsid w:val="00292317"/>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05E"/>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C1F"/>
    <w:rsid w:val="002C3D55"/>
    <w:rsid w:val="002C4139"/>
    <w:rsid w:val="002C4302"/>
    <w:rsid w:val="002C4F9F"/>
    <w:rsid w:val="002C54FF"/>
    <w:rsid w:val="002C575F"/>
    <w:rsid w:val="002C58AD"/>
    <w:rsid w:val="002C65B3"/>
    <w:rsid w:val="002C6D22"/>
    <w:rsid w:val="002C70A2"/>
    <w:rsid w:val="002C7A5A"/>
    <w:rsid w:val="002C7D35"/>
    <w:rsid w:val="002C7FC3"/>
    <w:rsid w:val="002D083D"/>
    <w:rsid w:val="002D1688"/>
    <w:rsid w:val="002D1788"/>
    <w:rsid w:val="002D2963"/>
    <w:rsid w:val="002D3201"/>
    <w:rsid w:val="002D32B9"/>
    <w:rsid w:val="002D38CB"/>
    <w:rsid w:val="002D3AC8"/>
    <w:rsid w:val="002D42FC"/>
    <w:rsid w:val="002D4617"/>
    <w:rsid w:val="002D4D38"/>
    <w:rsid w:val="002D4E81"/>
    <w:rsid w:val="002D5209"/>
    <w:rsid w:val="002D555F"/>
    <w:rsid w:val="002D572F"/>
    <w:rsid w:val="002D5930"/>
    <w:rsid w:val="002D5D2C"/>
    <w:rsid w:val="002D5FD5"/>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18F1"/>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1"/>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098"/>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1C"/>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5E9"/>
    <w:rsid w:val="003C6AE0"/>
    <w:rsid w:val="003C6C20"/>
    <w:rsid w:val="003C6C2D"/>
    <w:rsid w:val="003C73F8"/>
    <w:rsid w:val="003C7457"/>
    <w:rsid w:val="003C7AD3"/>
    <w:rsid w:val="003C7B2D"/>
    <w:rsid w:val="003D04DB"/>
    <w:rsid w:val="003D0D6D"/>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96"/>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CE7"/>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371"/>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0BF9"/>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3F9"/>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AE5"/>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5C55"/>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C99"/>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265"/>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652"/>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638"/>
    <w:rsid w:val="00547C0F"/>
    <w:rsid w:val="00547D62"/>
    <w:rsid w:val="005500D2"/>
    <w:rsid w:val="00550A92"/>
    <w:rsid w:val="00550BA0"/>
    <w:rsid w:val="00550E94"/>
    <w:rsid w:val="005511EC"/>
    <w:rsid w:val="005512D8"/>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3DF"/>
    <w:rsid w:val="00575554"/>
    <w:rsid w:val="00575A1D"/>
    <w:rsid w:val="00575A7F"/>
    <w:rsid w:val="005764A9"/>
    <w:rsid w:val="00576529"/>
    <w:rsid w:val="00576867"/>
    <w:rsid w:val="00576D2C"/>
    <w:rsid w:val="00576EFD"/>
    <w:rsid w:val="005771BB"/>
    <w:rsid w:val="0057762F"/>
    <w:rsid w:val="00577BC4"/>
    <w:rsid w:val="005801AC"/>
    <w:rsid w:val="00580508"/>
    <w:rsid w:val="005806F9"/>
    <w:rsid w:val="00580C5C"/>
    <w:rsid w:val="00580DA8"/>
    <w:rsid w:val="00580F79"/>
    <w:rsid w:val="0058142E"/>
    <w:rsid w:val="005815C2"/>
    <w:rsid w:val="00581795"/>
    <w:rsid w:val="00581FED"/>
    <w:rsid w:val="00582A39"/>
    <w:rsid w:val="00583B95"/>
    <w:rsid w:val="00583CB8"/>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5BD4"/>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7FD"/>
    <w:rsid w:val="005C198B"/>
    <w:rsid w:val="005C23D7"/>
    <w:rsid w:val="005C2674"/>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52D"/>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2F"/>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6B7"/>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16C7"/>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54D"/>
    <w:rsid w:val="006229D3"/>
    <w:rsid w:val="006241BE"/>
    <w:rsid w:val="006244E5"/>
    <w:rsid w:val="0062456C"/>
    <w:rsid w:val="00625009"/>
    <w:rsid w:val="00625523"/>
    <w:rsid w:val="00625759"/>
    <w:rsid w:val="006259EF"/>
    <w:rsid w:val="00625B32"/>
    <w:rsid w:val="00625B8F"/>
    <w:rsid w:val="006266E5"/>
    <w:rsid w:val="00626E77"/>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0BB5"/>
    <w:rsid w:val="00642D42"/>
    <w:rsid w:val="00642E0E"/>
    <w:rsid w:val="00643044"/>
    <w:rsid w:val="006430ED"/>
    <w:rsid w:val="006434BE"/>
    <w:rsid w:val="00643B35"/>
    <w:rsid w:val="00644049"/>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5DE"/>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3C6"/>
    <w:rsid w:val="0067643D"/>
    <w:rsid w:val="0067675D"/>
    <w:rsid w:val="00676D38"/>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B5B"/>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565"/>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39B"/>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4FA"/>
    <w:rsid w:val="006B657B"/>
    <w:rsid w:val="006B709C"/>
    <w:rsid w:val="006B7AF5"/>
    <w:rsid w:val="006B7DE9"/>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09"/>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358"/>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D38"/>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4F4B"/>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06"/>
    <w:rsid w:val="007240CE"/>
    <w:rsid w:val="007244C8"/>
    <w:rsid w:val="00724A11"/>
    <w:rsid w:val="00724B22"/>
    <w:rsid w:val="00725154"/>
    <w:rsid w:val="007253B8"/>
    <w:rsid w:val="007255AF"/>
    <w:rsid w:val="007264A6"/>
    <w:rsid w:val="00726680"/>
    <w:rsid w:val="00726C56"/>
    <w:rsid w:val="00727068"/>
    <w:rsid w:val="007270D6"/>
    <w:rsid w:val="007271AA"/>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C1C"/>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6DB6"/>
    <w:rsid w:val="00787591"/>
    <w:rsid w:val="007877E8"/>
    <w:rsid w:val="00787AC0"/>
    <w:rsid w:val="00787EAD"/>
    <w:rsid w:val="0079055C"/>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A10"/>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14"/>
    <w:rsid w:val="007D4382"/>
    <w:rsid w:val="007D56D2"/>
    <w:rsid w:val="007D5A74"/>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1E44"/>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4D33"/>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5DEA"/>
    <w:rsid w:val="008303D0"/>
    <w:rsid w:val="00830B48"/>
    <w:rsid w:val="0083121F"/>
    <w:rsid w:val="00831AF4"/>
    <w:rsid w:val="00831C86"/>
    <w:rsid w:val="00831FC6"/>
    <w:rsid w:val="008327D7"/>
    <w:rsid w:val="00832A1F"/>
    <w:rsid w:val="00832EC9"/>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1D2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70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58B"/>
    <w:rsid w:val="008B3869"/>
    <w:rsid w:val="008B3966"/>
    <w:rsid w:val="008B3D4A"/>
    <w:rsid w:val="008B411B"/>
    <w:rsid w:val="008B4256"/>
    <w:rsid w:val="008B43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4F9D"/>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2E9"/>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274"/>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0F80"/>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5A2"/>
    <w:rsid w:val="0094287F"/>
    <w:rsid w:val="00942B51"/>
    <w:rsid w:val="009430E5"/>
    <w:rsid w:val="0094315F"/>
    <w:rsid w:val="009431A3"/>
    <w:rsid w:val="0094323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A41"/>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5F0"/>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20"/>
    <w:rsid w:val="009D33BC"/>
    <w:rsid w:val="009D41AC"/>
    <w:rsid w:val="009D55EE"/>
    <w:rsid w:val="009D576A"/>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620"/>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B3D"/>
    <w:rsid w:val="009F2CB1"/>
    <w:rsid w:val="009F3218"/>
    <w:rsid w:val="009F394C"/>
    <w:rsid w:val="009F3A44"/>
    <w:rsid w:val="009F3C20"/>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4F9C"/>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2A5C"/>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4E1D"/>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490"/>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D57"/>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BFF"/>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15A"/>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19"/>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6D1"/>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5F1"/>
    <w:rsid w:val="00B63937"/>
    <w:rsid w:val="00B65066"/>
    <w:rsid w:val="00B6668D"/>
    <w:rsid w:val="00B666B9"/>
    <w:rsid w:val="00B66A94"/>
    <w:rsid w:val="00B66F81"/>
    <w:rsid w:val="00B67145"/>
    <w:rsid w:val="00B677F1"/>
    <w:rsid w:val="00B67914"/>
    <w:rsid w:val="00B707AF"/>
    <w:rsid w:val="00B70882"/>
    <w:rsid w:val="00B709B8"/>
    <w:rsid w:val="00B7219C"/>
    <w:rsid w:val="00B72D75"/>
    <w:rsid w:val="00B72F97"/>
    <w:rsid w:val="00B741EF"/>
    <w:rsid w:val="00B747A2"/>
    <w:rsid w:val="00B75001"/>
    <w:rsid w:val="00B75086"/>
    <w:rsid w:val="00B7532D"/>
    <w:rsid w:val="00B75BA3"/>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56B5"/>
    <w:rsid w:val="00B862C0"/>
    <w:rsid w:val="00B863D9"/>
    <w:rsid w:val="00B864BA"/>
    <w:rsid w:val="00B86C03"/>
    <w:rsid w:val="00B86E98"/>
    <w:rsid w:val="00B90192"/>
    <w:rsid w:val="00B90A49"/>
    <w:rsid w:val="00B90B9B"/>
    <w:rsid w:val="00B90C7D"/>
    <w:rsid w:val="00B91455"/>
    <w:rsid w:val="00B9186A"/>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692"/>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36"/>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393"/>
    <w:rsid w:val="00C70669"/>
    <w:rsid w:val="00C70A37"/>
    <w:rsid w:val="00C70F72"/>
    <w:rsid w:val="00C713C7"/>
    <w:rsid w:val="00C715CB"/>
    <w:rsid w:val="00C71914"/>
    <w:rsid w:val="00C71A43"/>
    <w:rsid w:val="00C71DFF"/>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656"/>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0D"/>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D99"/>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0F7C"/>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F12"/>
    <w:rsid w:val="00D85054"/>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3E7"/>
    <w:rsid w:val="00DB07CA"/>
    <w:rsid w:val="00DB0823"/>
    <w:rsid w:val="00DB0A27"/>
    <w:rsid w:val="00DB0E2A"/>
    <w:rsid w:val="00DB0F0E"/>
    <w:rsid w:val="00DB111E"/>
    <w:rsid w:val="00DB179C"/>
    <w:rsid w:val="00DB19F5"/>
    <w:rsid w:val="00DB1A3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1667"/>
    <w:rsid w:val="00DC345A"/>
    <w:rsid w:val="00DC389B"/>
    <w:rsid w:val="00DC3904"/>
    <w:rsid w:val="00DC394C"/>
    <w:rsid w:val="00DC42A4"/>
    <w:rsid w:val="00DC42EA"/>
    <w:rsid w:val="00DC44C3"/>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668"/>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909"/>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6F8"/>
    <w:rsid w:val="00E47A8F"/>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3C5"/>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0F9"/>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4AE"/>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099"/>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37F"/>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19B"/>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4E"/>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0E2"/>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F1E44"/>
    <w:pPr>
      <w:keepNext/>
      <w:keepLines/>
      <w:pageBreakBefore/>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267082"/>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662020"/>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662020"/>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uiPriority w:val="99"/>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8"/>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267082"/>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267082"/>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267082"/>
    <w:rPr>
      <w:rFonts w:ascii="Tahoma" w:hAnsi="Tahoma" w:eastAsiaTheme="minorEastAsia" w:cs="Tahoma"/>
      <w:b w:val="0"/>
      <w:bCs/>
      <w:color w:val="00305F"/>
      <w:sz w:val="31"/>
      <w:szCs w:val="31"/>
    </w:rPr>
  </w:style>
  <w:style w:type="paragraph" w:customStyle="1" w:styleId="7329">
    <w:name w:val="73א כותרת 2"/>
    <w:link w:val="73210"/>
    <w:qFormat/>
    <w:rsid w:val="007F1E44"/>
    <w:pPr>
      <w:keepNext/>
      <w:keepLines/>
      <w:spacing w:before="360" w:after="240" w:line="240" w:lineRule="atLeast"/>
      <w:jc w:val="right"/>
      <w:outlineLvl w:val="1"/>
    </w:pPr>
    <w:rPr>
      <w:rFonts w:ascii="Tahoma" w:hAnsi="Tahoma" w:cs="Tahoma"/>
      <w:b/>
      <w:bCs/>
      <w:color w:val="00305F"/>
      <w:sz w:val="40"/>
      <w:szCs w:val="34"/>
    </w:rPr>
  </w:style>
  <w:style w:type="character" w:customStyle="1" w:styleId="73210">
    <w:name w:val="73א כותרת 2 תו"/>
    <w:basedOn w:val="DefaultParagraphFont"/>
    <w:link w:val="7329"/>
    <w:rsid w:val="007F1E44"/>
    <w:rPr>
      <w:rFonts w:ascii="Tahoma" w:hAnsi="Tahoma" w:cs="Tahoma"/>
      <w:b/>
      <w:bCs/>
      <w:color w:val="00305F"/>
      <w:sz w:val="40"/>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link w:val="128"/>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267082"/>
    <w:rPr>
      <w:color w:val="0D0D0D" w:themeColor="text1" w:themeTint="F2"/>
      <w:sz w:val="18"/>
    </w:rPr>
  </w:style>
  <w:style w:type="character" w:customStyle="1" w:styleId="7393">
    <w:name w:val="73א טקסט רץ 9 תו"/>
    <w:basedOn w:val="Char4"/>
    <w:link w:val="7392"/>
    <w:rsid w:val="00267082"/>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267082"/>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KOT5">
    <w:name w:val="KOT5"/>
    <w:basedOn w:val="Normal"/>
    <w:rsid w:val="001F4C6E"/>
    <w:pPr>
      <w:keepNext/>
      <w:spacing w:before="120" w:after="120" w:line="320" w:lineRule="exact"/>
      <w:ind w:right="2268"/>
      <w:jc w:val="left"/>
      <w:outlineLvl w:val="2"/>
    </w:pPr>
    <w:rPr>
      <w:rFonts w:ascii="Tahoma" w:hAnsi="Tahoma" w:eastAsiaTheme="majorEastAsia" w:cs="Tahoma"/>
      <w:color w:val="387026"/>
      <w:sz w:val="26"/>
      <w:szCs w:val="26"/>
    </w:rPr>
  </w:style>
  <w:style w:type="character" w:customStyle="1" w:styleId="127">
    <w:name w:val="אזכור לא מזוהה1"/>
    <w:basedOn w:val="DefaultParagraphFont"/>
    <w:uiPriority w:val="99"/>
    <w:semiHidden/>
    <w:unhideWhenUsed/>
    <w:rsid w:val="001F4C6E"/>
    <w:rPr>
      <w:color w:val="605E5C"/>
      <w:shd w:val="clear" w:color="auto" w:fill="E1DFDD"/>
    </w:rPr>
  </w:style>
  <w:style w:type="paragraph" w:customStyle="1" w:styleId="711">
    <w:name w:val="71ג הזחה ראשונה מספר"/>
    <w:basedOn w:val="ListParagraph"/>
    <w:qFormat/>
    <w:rsid w:val="001F4C6E"/>
    <w:pPr>
      <w:spacing w:after="180" w:line="260" w:lineRule="exact"/>
      <w:ind w:left="397" w:hanging="397"/>
      <w:contextualSpacing w:val="0"/>
    </w:pPr>
    <w:rPr>
      <w:rFonts w:ascii="Tahoma" w:hAnsi="Tahoma" w:cs="Tahoma"/>
      <w:color w:val="0D0D0D" w:themeColor="text1" w:themeTint="F2"/>
      <w:sz w:val="18"/>
      <w:szCs w:val="18"/>
    </w:rPr>
  </w:style>
  <w:style w:type="paragraph" w:customStyle="1" w:styleId="7110">
    <w:name w:val="71ג אותיות בתוך קוביה 1"/>
    <w:basedOn w:val="Normal"/>
    <w:qFormat/>
    <w:rsid w:val="001F4C6E"/>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765" w:right="227" w:hanging="340"/>
    </w:pPr>
    <w:rPr>
      <w:rFonts w:ascii="Tahoma" w:eastAsia="Times New Roman" w:hAnsi="Tahoma" w:cs="Tahoma"/>
      <w:color w:val="0D0D0D" w:themeColor="text1" w:themeTint="F2"/>
      <w:sz w:val="18"/>
      <w:szCs w:val="18"/>
      <w:lang w:eastAsia="he-IL"/>
    </w:rPr>
  </w:style>
  <w:style w:type="paragraph" w:customStyle="1" w:styleId="719">
    <w:name w:val="71ג טקסט רץ 9"/>
    <w:basedOn w:val="Normal"/>
    <w:link w:val="719Char"/>
    <w:qFormat/>
    <w:rsid w:val="001F4C6E"/>
    <w:pPr>
      <w:spacing w:after="180" w:line="260" w:lineRule="exact"/>
      <w:outlineLvl w:val="3"/>
    </w:pPr>
    <w:rPr>
      <w:rFonts w:ascii="Tahoma" w:hAnsi="Tahoma" w:cs="Tahoma"/>
      <w:color w:val="0D0D0D" w:themeColor="text1" w:themeTint="F2"/>
      <w:sz w:val="18"/>
      <w:szCs w:val="18"/>
    </w:rPr>
  </w:style>
  <w:style w:type="character" w:customStyle="1" w:styleId="719Char">
    <w:name w:val="71ג טקסט רץ 9 Char"/>
    <w:basedOn w:val="DefaultParagraphFont"/>
    <w:link w:val="719"/>
    <w:rsid w:val="001F4C6E"/>
    <w:rPr>
      <w:rFonts w:ascii="Tahoma" w:hAnsi="Tahoma" w:cs="Tahoma"/>
      <w:color w:val="0D0D0D" w:themeColor="text1" w:themeTint="F2"/>
      <w:sz w:val="18"/>
      <w:szCs w:val="18"/>
    </w:rPr>
  </w:style>
  <w:style w:type="paragraph" w:customStyle="1" w:styleId="717">
    <w:name w:val="71ג כותרת 7 בתוך טקסט"/>
    <w:basedOn w:val="711"/>
    <w:link w:val="717Char"/>
    <w:qFormat/>
    <w:rsid w:val="001F4C6E"/>
    <w:rPr>
      <w:bCs/>
    </w:rPr>
  </w:style>
  <w:style w:type="character" w:customStyle="1" w:styleId="717Char">
    <w:name w:val="71ג כותרת 7 בתוך טקסט Char"/>
    <w:basedOn w:val="DefaultParagraphFont"/>
    <w:link w:val="717"/>
    <w:rsid w:val="001F4C6E"/>
    <w:rPr>
      <w:rFonts w:ascii="Tahoma" w:hAnsi="Tahoma" w:cs="Tahoma"/>
      <w:bCs/>
      <w:color w:val="0D0D0D" w:themeColor="text1" w:themeTint="F2"/>
      <w:sz w:val="18"/>
      <w:szCs w:val="18"/>
    </w:rPr>
  </w:style>
  <w:style w:type="character" w:customStyle="1" w:styleId="Bodytext2115pt">
    <w:name w:val="Body text (2) + 11.5 pt"/>
    <w:aliases w:val="Bold"/>
    <w:basedOn w:val="Bodytext2"/>
    <w:rsid w:val="001F4C6E"/>
    <w:rPr>
      <w:rFonts w:ascii="David" w:eastAsia="David" w:hAnsi="David" w:cs="Times New Roman"/>
      <w:b/>
      <w:bCs/>
      <w:color w:val="000000"/>
      <w:spacing w:val="0"/>
      <w:w w:val="100"/>
      <w:position w:val="0"/>
      <w:sz w:val="23"/>
      <w:szCs w:val="23"/>
      <w:shd w:val="clear" w:color="auto" w:fill="FFFFFF"/>
      <w:lang w:val="he-IL" w:eastAsia="he-IL" w:bidi="he-IL"/>
    </w:rPr>
  </w:style>
  <w:style w:type="character" w:customStyle="1" w:styleId="128">
    <w:name w:val="סגנון1 תו"/>
    <w:basedOn w:val="DefaultParagraphFont"/>
    <w:link w:val="125"/>
    <w:rsid w:val="001F4C6E"/>
    <w:rPr>
      <w:b/>
      <w:bCs/>
      <w:i/>
      <w:color w:val="000000" w:themeColor="text1"/>
      <w:sz w:val="24"/>
    </w:rPr>
  </w:style>
  <w:style w:type="paragraph" w:customStyle="1" w:styleId="a35">
    <w:name w:val="תאריך הדוח"/>
    <w:qFormat/>
    <w:rsid w:val="009D576A"/>
    <w:pPr>
      <w:ind w:left="2268"/>
      <w:jc w:val="left"/>
    </w:pPr>
    <w:rPr>
      <w:rFonts w:ascii="Tahoma" w:hAnsi="Tahoma" w:cs="Tahoma"/>
      <w:sz w:val="18"/>
      <w:szCs w:val="18"/>
    </w:rPr>
  </w:style>
  <w:style w:type="paragraph" w:customStyle="1" w:styleId="a36">
    <w:name w:val="כותרת ראשית לדוח"/>
    <w:qFormat/>
    <w:rsid w:val="009D576A"/>
    <w:pPr>
      <w:spacing w:before="360" w:line="600" w:lineRule="exact"/>
      <w:ind w:left="2268"/>
      <w:jc w:val="left"/>
    </w:pPr>
    <w:rPr>
      <w:rFonts w:ascii="Tahoma" w:hAnsi="Tahoma" w:cs="Tahom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8.jpeg"/><Relationship Id="rId21" Type="http://schemas.openxmlformats.org/officeDocument/2006/relationships/hyperlink" Target="https://www.cbp.gov/trade/basic-import-export/internet-purchases" TargetMode="External"/><Relationship Id="rId3" Type="http://schemas.openxmlformats.org/officeDocument/2006/relationships/settings" Target="settings.xml"/><Relationship Id="rId34"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jpeg"/><Relationship Id="rId33" Type="http://schemas.openxmlformats.org/officeDocument/2006/relationships/theme" Target="theme/theme1.xml"/><Relationship Id="rId7" Type="http://schemas.openxmlformats.org/officeDocument/2006/relationships/customXml" Target="../customXml/item2.xml"/><Relationship Id="rId16" Type="http://schemas.openxmlformats.org/officeDocument/2006/relationships/header" Target="header3.xml"/><Relationship Id="rId2" Type="http://schemas.openxmlformats.org/officeDocument/2006/relationships/endnotes" Target="endnotes.xml"/><Relationship Id="rId20" Type="http://schemas.openxmlformats.org/officeDocument/2006/relationships/hyperlink" Target="https://www.abf.gov.au/buying-online/buying-online" TargetMode="External"/><Relationship Id="rId29" Type="http://schemas.openxmlformats.org/officeDocument/2006/relationships/image" Target="media/image11.jpeg"/><Relationship Id="rId1"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jpeg"/><Relationship Id="rId32" Type="http://schemas.openxmlformats.org/officeDocument/2006/relationships/footer" Target="footer4.xml"/><Relationship Id="rId6" Type="http://schemas.openxmlformats.org/officeDocument/2006/relationships/customXml" Target="../customXml/item1.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image" Target="media/image10.jpeg"/><Relationship Id="rId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jpeg"/><Relationship Id="rId31"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https://edit.mevaker.gov.il/sites/DigitalLibrary/Documents/69a/2018-69a-204-Mischar.docx?fireglass_rsn=true" TargetMode="External"/><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customXml" Target="../customXml/item4.xml"/><Relationship Id="rId8"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edit.mevaker.gov.il/sites/DigitalLibrary/Pages/Reports/246-5.aspx" TargetMode="External"/></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13.png" /><Relationship Id="rId2" Type="http://schemas.openxmlformats.org/officeDocument/2006/relationships/image" Target="media/image14.jpeg" /><Relationship Id="rId3" Type="http://schemas.openxmlformats.org/officeDocument/2006/relationships/image" Target="media/image15.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44E1876B-7935-4B31-ABCE-EED775F386B0}"/>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