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8"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9"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0"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B99DA7B">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3066430</wp:posOffset>
                </wp:positionH>
                <wp:positionV relativeFrom="paragraph">
                  <wp:posOffset>262498</wp:posOffset>
                </wp:positionV>
                <wp:extent cx="0" cy="3091815"/>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09181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45pt,20.65pt" to="241.45pt,264.1pt" strokecolor="white" strokeweight="4pt"/>
            </w:pict>
          </mc:Fallback>
        </mc:AlternateContent>
      </w:r>
      <w:r w:rsidR="00FF1C0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154939</wp:posOffset>
                </wp:positionH>
                <wp:positionV relativeFrom="paragraph">
                  <wp:posOffset>1937385</wp:posOffset>
                </wp:positionV>
                <wp:extent cx="2778125" cy="0"/>
                <wp:effectExtent l="12700" t="12700" r="317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81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2" style="flip:x;mso-height-percent:0;mso-height-relative:margin;mso-width-percent:0;mso-width-relative:margin;mso-wrap-distance-bottom:0;mso-wrap-distance-left:9pt;mso-wrap-distance-right:9pt;mso-wrap-distance-top:0;mso-wrap-style:square;position:absolute;visibility:visible;z-index:251669504" from="12.2pt,152.55pt" to="230.95pt,152.55pt" strokecolor="white" strokeweight="1.5pt"/>
            </w:pict>
          </mc:Fallback>
        </mc:AlternateContent>
      </w:r>
      <w:r w:rsidRPr="0030415A" w:rsidR="00C11BA3">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-85725</wp:posOffset>
                </wp:positionH>
                <wp:positionV relativeFrom="paragraph">
                  <wp:posOffset>347345</wp:posOffset>
                </wp:positionV>
                <wp:extent cx="4559935"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93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1378BF" w14:textId="6BE18E00">
                            <w:pPr>
                              <w:pStyle w:val="a41"/>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Pr="00E3767E" w:rsidR="00E3767E">
                              <w:rPr>
                                <w:rtl/>
                              </w:rPr>
                              <w:t>נובמבר</w:t>
                            </w:r>
                            <w:r w:rsidR="00E3767E">
                              <w:rPr>
                                <w:rFonts w:hint="cs"/>
                                <w:rtl/>
                              </w:rPr>
                              <w:t xml:space="preserve"> </w:t>
                            </w:r>
                            <w:r>
                              <w:rPr>
                                <w:rFonts w:hint="cs"/>
                                <w:rtl/>
                              </w:rPr>
                              <w:t xml:space="preserve">2022 </w:t>
                            </w:r>
                          </w:p>
                          <w:p w:rsidR="00F73EE0" w:rsidP="0052031E" w14:textId="4F5A48BD">
                            <w:pPr>
                              <w:ind w:left="2268"/>
                              <w:rPr>
                                <w:rtl/>
                              </w:rPr>
                            </w:pPr>
                          </w:p>
                          <w:p w:rsidR="00F01B25" w:rsidP="0052031E" w14:textId="77777777">
                            <w:pPr>
                              <w:ind w:left="2268"/>
                              <w:rPr>
                                <w:rtl/>
                              </w:rPr>
                            </w:pPr>
                          </w:p>
                          <w:p w:rsidR="00F73EE0" w:rsidP="0052031E" w14:textId="77777777">
                            <w:pPr>
                              <w:ind w:left="2268"/>
                              <w:rPr>
                                <w:rtl/>
                              </w:rPr>
                            </w:pPr>
                          </w:p>
                          <w:p w:rsidR="005D0F8C" w:rsidRPr="000A3ED4" w:rsidP="001378BF" w14:textId="6A88E450">
                            <w:pPr>
                              <w:pStyle w:val="-2"/>
                              <w:rPr>
                                <w:rtl/>
                              </w:rPr>
                            </w:pPr>
                            <w:r>
                              <w:rPr>
                                <w:rFonts w:hint="cs"/>
                                <w:rtl/>
                              </w:rPr>
                              <w:t xml:space="preserve">משרד </w:t>
                            </w:r>
                            <w:r w:rsidRPr="008A1E7F" w:rsidR="008A1E7F">
                              <w:rPr>
                                <w:rtl/>
                              </w:rPr>
                              <w:t>הכלכלה והתעשייה</w:t>
                            </w:r>
                          </w:p>
                          <w:p w:rsidR="00C30482" w:rsidRPr="001378BF" w:rsidP="002A72FD" w14:textId="64154675">
                            <w:pPr>
                              <w:pStyle w:val="a42"/>
                              <w:bidi/>
                              <w:spacing w:before="120"/>
                              <w:rPr>
                                <w:rtl/>
                              </w:rPr>
                            </w:pPr>
                            <w:r w:rsidRPr="00C11BA3">
                              <w:rPr>
                                <w:rtl/>
                              </w:rPr>
                              <w:t xml:space="preserve">סוגיות בהגנה </w:t>
                            </w:r>
                            <w:r>
                              <w:br/>
                            </w:r>
                            <w:r w:rsidRPr="00C11BA3">
                              <w:rPr>
                                <w:rtl/>
                              </w:rPr>
                              <w:t>על הצרכן</w:t>
                            </w:r>
                          </w:p>
                          <w:p w:rsidR="00C30482" w:rsidRPr="001F3363" w:rsidP="005D0F8C"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width:359.05pt;height:336.5pt;margin-top:27.35pt;margin-left:-6.7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1378BF" w14:paraId="6680A7A9" w14:textId="6BE18E00">
                      <w:pPr>
                        <w:pStyle w:val="a41"/>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Pr="00E3767E" w:rsidR="00E3767E">
                        <w:rPr>
                          <w:rtl/>
                        </w:rPr>
                        <w:t>נובמבר</w:t>
                      </w:r>
                      <w:r w:rsidR="00E3767E">
                        <w:rPr>
                          <w:rFonts w:hint="cs"/>
                          <w:rtl/>
                        </w:rPr>
                        <w:t xml:space="preserve"> </w:t>
                      </w:r>
                      <w:r>
                        <w:rPr>
                          <w:rFonts w:hint="cs"/>
                          <w:rtl/>
                        </w:rPr>
                        <w:t xml:space="preserve">2022 </w:t>
                      </w:r>
                    </w:p>
                    <w:p w:rsidR="00F73EE0" w:rsidP="0052031E" w14:paraId="7A4F68DA" w14:textId="4F5A48BD">
                      <w:pPr>
                        <w:ind w:left="2268"/>
                        <w:rPr>
                          <w:rtl/>
                        </w:rPr>
                      </w:pPr>
                    </w:p>
                    <w:p w:rsidR="00F01B25" w:rsidP="0052031E" w14:paraId="55A55087" w14:textId="77777777">
                      <w:pPr>
                        <w:ind w:left="2268"/>
                        <w:rPr>
                          <w:rtl/>
                        </w:rPr>
                      </w:pPr>
                    </w:p>
                    <w:p w:rsidR="00F73EE0" w:rsidP="0052031E" w14:paraId="537675A5" w14:textId="77777777">
                      <w:pPr>
                        <w:ind w:left="2268"/>
                        <w:rPr>
                          <w:rtl/>
                        </w:rPr>
                      </w:pPr>
                    </w:p>
                    <w:p w:rsidR="005D0F8C" w:rsidRPr="000A3ED4" w:rsidP="001378BF" w14:paraId="361EED1E" w14:textId="6A88E450">
                      <w:pPr>
                        <w:pStyle w:val="-2"/>
                        <w:rPr>
                          <w:rtl/>
                        </w:rPr>
                      </w:pPr>
                      <w:r>
                        <w:rPr>
                          <w:rFonts w:hint="cs"/>
                          <w:rtl/>
                        </w:rPr>
                        <w:t xml:space="preserve">משרד </w:t>
                      </w:r>
                      <w:r w:rsidRPr="008A1E7F" w:rsidR="008A1E7F">
                        <w:rPr>
                          <w:rtl/>
                        </w:rPr>
                        <w:t>הכלכלה והתעשייה</w:t>
                      </w:r>
                    </w:p>
                    <w:p w:rsidR="00C30482" w:rsidRPr="001378BF" w:rsidP="002A72FD" w14:paraId="005557EF" w14:textId="64154675">
                      <w:pPr>
                        <w:pStyle w:val="a42"/>
                        <w:bidi/>
                        <w:spacing w:before="120"/>
                        <w:rPr>
                          <w:rtl/>
                        </w:rPr>
                      </w:pPr>
                      <w:r w:rsidRPr="00C11BA3">
                        <w:rPr>
                          <w:rtl/>
                        </w:rPr>
                        <w:t xml:space="preserve">סוגיות בהגנה </w:t>
                      </w:r>
                      <w:r>
                        <w:br/>
                      </w:r>
                      <w:r w:rsidRPr="00C11BA3">
                        <w:rPr>
                          <w:rtl/>
                        </w:rPr>
                        <w:t>על הצרכן</w:t>
                      </w:r>
                    </w:p>
                    <w:p w:rsidR="00C30482" w:rsidRPr="001F3363" w:rsidP="005D0F8C" w14:paraId="5BE5E625"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-1546058</wp:posOffset>
                </wp:positionH>
                <wp:positionV relativeFrom="paragraph">
                  <wp:posOffset>-1443857</wp:posOffset>
                </wp:positionV>
                <wp:extent cx="7601578" cy="2156059"/>
                <wp:effectExtent l="0" t="0" r="6350" b="3175"/>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21560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style="width:598.55pt;height:169.75pt;margin-top:-113.7pt;margin-left:-121.7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F74F5D">
          <w:headerReference w:type="even" r:id="rId18"/>
          <w:pgSz w:w="11906" w:h="16838" w:code="9"/>
          <w:pgMar w:top="3062" w:right="2268" w:bottom="2552" w:left="2268" w:header="709" w:footer="709" w:gutter="0"/>
          <w:cols w:space="720"/>
          <w:bidi/>
          <w:rtlGutter/>
          <w:docGrid w:linePitch="272"/>
        </w:sectPr>
      </w:pPr>
    </w:p>
    <w:p w:rsidR="00B93C72" w:rsidRPr="001F3363" w:rsidP="008933D5" w14:paraId="4ED3AA37" w14:textId="2B5864E0">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3290169</wp:posOffset>
            </wp:positionH>
            <wp:positionV relativeFrom="paragraph">
              <wp:posOffset>664845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586851">
        <w:rPr>
          <w:noProof/>
          <w:rtl/>
        </w:rPr>
        <mc:AlternateContent>
          <mc:Choice Requires="wps">
            <w:drawing>
              <wp:anchor distT="0" distB="0" distL="114300" distR="114300" simplePos="0" relativeHeight="251675648"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5"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C11BA3" w:rsidR="00C11BA3">
        <w:rPr>
          <w:noProof/>
          <w:rtl/>
        </w:rPr>
        <w:t>סוגיות בהגנה על הצרכן</w:t>
      </w:r>
    </w:p>
    <w:p w:rsidR="00C661CF" w:rsidRPr="00C661CF" w:rsidP="00C661CF" w14:paraId="5FCDB534" w14:textId="77777777">
      <w:pPr>
        <w:pStyle w:val="7392"/>
        <w:spacing w:before="480"/>
        <w:rPr>
          <w:rtl/>
        </w:rPr>
      </w:pPr>
      <w:r w:rsidRPr="00C661CF">
        <w:rPr>
          <w:rtl/>
        </w:rPr>
        <w:t>ציבור הצרכנים בישראל, בעיקר צרכנים מקרב אוכלוסיות הראויות לקידום, כמו עולים חדשים, קשישים וקטינים, מצויים במקרים רבים בעמדת נחיתות מול בעלי העסקים. עקב כך נחקקו חוקים שנועדו להבטיח את זכויות הצרכנים והוקמה מערכת אסדרה ממשלתית להטמעת ההוראות של החוקים בנושאי הצרכנות ולאכיפתן.</w:t>
      </w:r>
    </w:p>
    <w:p w:rsidR="00C661CF" w:rsidRPr="00C661CF" w:rsidP="00C661CF" w14:paraId="71AD6906" w14:textId="77777777">
      <w:pPr>
        <w:pStyle w:val="7392"/>
        <w:rPr>
          <w:rtl/>
        </w:rPr>
      </w:pPr>
      <w:r w:rsidRPr="00C661CF">
        <w:rPr>
          <w:rtl/>
        </w:rPr>
        <w:t xml:space="preserve">החקיקה הצרכנית בישראל כוללת כמה חוקים, שהמרכזי שבהם הוא חוק הגנת הצרכן, התשמ"א-1981 (חוק הגנת הצרכן). החוק מטיל על בעלי העסקים חובות שעיקרן גילוי וסימון טובין והצגת מחירים על המוצרים, וכן הוא אוסר להטעות את הצרכן ולנצל את מצוקותיו. </w:t>
      </w:r>
    </w:p>
    <w:p w:rsidR="00C661CF" w:rsidRPr="00C661CF" w:rsidP="00C661CF" w14:paraId="24A302EB" w14:textId="77777777">
      <w:pPr>
        <w:pStyle w:val="7392"/>
        <w:rPr>
          <w:rtl/>
        </w:rPr>
      </w:pPr>
      <w:r w:rsidRPr="00C661CF">
        <w:rPr>
          <w:rtl/>
        </w:rPr>
        <w:t>שר או שרת הכלכלה והתעשייה (להלן: שר הכלכלה) מופקד על תחום הגנת הצרכן, והוא הגורם שאחראי ליישום הוראות חוק הגנת הצרכן וחוק המועצה הישראלית לצרכנות התשס"ח-2008 (חוק המועצה).</w:t>
      </w:r>
    </w:p>
    <w:p w:rsidR="00C661CF" w:rsidRPr="00C661CF" w:rsidP="00C661CF" w14:paraId="1CB3AF0A" w14:textId="77777777">
      <w:pPr>
        <w:pStyle w:val="7392"/>
        <w:rPr>
          <w:rtl/>
        </w:rPr>
      </w:pPr>
      <w:r w:rsidRPr="00C661CF">
        <w:rPr>
          <w:rtl/>
        </w:rPr>
        <w:t xml:space="preserve">מתוקף חוקים הוקמו גופים ממשלתיים שתפקידם לפקח ולאכוף על חוקי הגנת הצרכן ולשמור על זכויותיו: הרשות להגנת הצרכן והסחר ההוגן (להלן: הרשות להגנת הצרכן) היא רשות עצמאית שהוקמה על פי תיקון 20 לחוק הגנת הצרכן בשנת 2006, ותפקידה, בין היתר, לאכוף את הוראות החקיקה הצרכנית, ובראשה חוק הגנת הצרכן. המועצה הישראלית לצרכנות (המועצה לצרכנות) היא חברה ממשלתית, המשמשת ארגון צרכנים על פי חוק המועצה, ומטרתה בין היתר לפעול להגנת הצרכנים ולשמירת זכויותיהם. </w:t>
      </w:r>
    </w:p>
    <w:p w:rsidR="007F4A20" w:rsidRPr="00C661CF" w:rsidP="00C661CF" w14:paraId="0B41EED6" w14:textId="344ED8EB">
      <w:pPr>
        <w:pStyle w:val="7392"/>
        <w:rPr>
          <w:rtl/>
        </w:rPr>
      </w:pPr>
      <w:r w:rsidRPr="00C661CF">
        <w:rPr>
          <w:rtl/>
        </w:rPr>
        <w:t xml:space="preserve">בנוסף, בידי שר האוצר, שר המשפטים, בנק ישראל וכמה משרדי ממשלה, ובהם משרד הכלכלה והתעשייה, משרד התקשורת ומשרד </w:t>
      </w:r>
      <w:r w:rsidRPr="00C661CF">
        <w:rPr>
          <w:rtl/>
        </w:rPr>
        <w:t>האנרגייה</w:t>
      </w:r>
      <w:r w:rsidRPr="00C661CF">
        <w:rPr>
          <w:rtl/>
        </w:rPr>
        <w:t>, סמכויות וכלים שנועדו להבטחת זכויות הצרכנים</w:t>
      </w:r>
      <w:r w:rsidRPr="00C661CF" w:rsidR="0036097F">
        <w:rPr>
          <w:rFonts w:hint="cs"/>
          <w:rtl/>
        </w:rPr>
        <w:t>.</w:t>
      </w:r>
      <w:r w:rsidRPr="00C661CF"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237"/>
        <w:gridCol w:w="1530"/>
        <w:gridCol w:w="237"/>
        <w:gridCol w:w="1697"/>
        <w:gridCol w:w="268"/>
        <w:gridCol w:w="1686"/>
      </w:tblGrid>
      <w:tr w14:paraId="58B4726B" w14:textId="77777777" w:rsidTr="00166EF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3" w:type="pct"/>
            <w:tcBorders>
              <w:bottom w:val="single" w:sz="12" w:space="0" w:color="000000"/>
            </w:tcBorders>
            <w:vAlign w:val="bottom"/>
          </w:tcPr>
          <w:p w:rsidR="00420374" w:rsidRPr="004562F8" w:rsidP="00937056" w14:paraId="23EB689E" w14:textId="16A88C3E">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514</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b/>
                <w:bCs/>
                <w:color w:val="0D0D0D" w:themeColor="text1" w:themeTint="F2"/>
                <w:spacing w:val="-10"/>
                <w:sz w:val="26"/>
                <w:szCs w:val="26"/>
                <w:rtl/>
              </w:rPr>
              <w:br/>
            </w:r>
            <w:r>
              <w:rPr>
                <w:rFonts w:ascii="Tahoma" w:hAnsi="Tahoma" w:eastAsiaTheme="minorEastAsia" w:cs="Tahoma" w:hint="cs"/>
                <w:b/>
                <w:bCs/>
                <w:color w:val="0D0D0D" w:themeColor="text1" w:themeTint="F2"/>
                <w:spacing w:val="-10"/>
                <w:sz w:val="26"/>
                <w:szCs w:val="26"/>
                <w:rtl/>
              </w:rPr>
              <w:t>תיקי אכיפה</w:t>
            </w:r>
          </w:p>
        </w:tc>
        <w:tc>
          <w:tcPr>
            <w:tcW w:w="161" w:type="pct"/>
            <w:vAlign w:val="bottom"/>
          </w:tcPr>
          <w:p w:rsidR="00420374" w:rsidP="00937056" w14:paraId="19192EA5" w14:textId="77777777">
            <w:pPr>
              <w:spacing w:before="120" w:after="60" w:line="240" w:lineRule="auto"/>
              <w:rPr>
                <w:rtl/>
              </w:rPr>
            </w:pPr>
          </w:p>
        </w:tc>
        <w:tc>
          <w:tcPr>
            <w:tcW w:w="1038" w:type="pct"/>
            <w:tcBorders>
              <w:bottom w:val="single" w:sz="12" w:space="0" w:color="000000"/>
            </w:tcBorders>
            <w:vAlign w:val="bottom"/>
          </w:tcPr>
          <w:p w:rsidR="00420374" w:rsidRPr="005C7ABF" w:rsidP="00937056" w14:paraId="761F4116" w14:textId="5FA1B747">
            <w:pPr>
              <w:pStyle w:val="2021"/>
              <w:spacing w:before="0" w:after="60"/>
              <w:rPr>
                <w:spacing w:val="-10"/>
                <w:rtl/>
              </w:rPr>
            </w:pPr>
            <w:r>
              <w:rPr>
                <w:rFonts w:hint="cs"/>
                <w:spacing w:val="-10"/>
                <w:rtl/>
              </w:rPr>
              <w:t>31%</w:t>
            </w:r>
            <w:r>
              <w:rPr>
                <w:rFonts w:hint="cs"/>
                <w:spacing w:val="-10"/>
                <w:rtl/>
              </w:rPr>
              <w:t xml:space="preserve"> </w:t>
            </w:r>
            <w:r>
              <w:rPr>
                <w:rFonts w:hint="cs"/>
                <w:spacing w:val="-10"/>
                <w:sz w:val="26"/>
                <w:szCs w:val="26"/>
                <w:rtl/>
              </w:rPr>
              <w:t>בלבד</w:t>
            </w:r>
            <w:r w:rsidRPr="00411396">
              <w:rPr>
                <w:rFonts w:hint="cs"/>
                <w:spacing w:val="-10"/>
                <w:sz w:val="26"/>
                <w:szCs w:val="26"/>
                <w:rtl/>
              </w:rPr>
              <w:t xml:space="preserve"> </w:t>
            </w:r>
          </w:p>
        </w:tc>
        <w:tc>
          <w:tcPr>
            <w:tcW w:w="161" w:type="pct"/>
            <w:vAlign w:val="bottom"/>
          </w:tcPr>
          <w:p w:rsidR="00420374" w:rsidP="00937056" w14:paraId="2810DE55" w14:textId="77777777">
            <w:pPr>
              <w:spacing w:before="120" w:after="60" w:line="240" w:lineRule="auto"/>
              <w:rPr>
                <w:rtl/>
              </w:rPr>
            </w:pPr>
          </w:p>
        </w:tc>
        <w:tc>
          <w:tcPr>
            <w:tcW w:w="1151" w:type="pct"/>
            <w:tcBorders>
              <w:bottom w:val="single" w:sz="12" w:space="0" w:color="000000"/>
            </w:tcBorders>
            <w:vAlign w:val="bottom"/>
          </w:tcPr>
          <w:p w:rsidR="00420374" w:rsidRPr="00340353" w:rsidP="00937056" w14:paraId="2A2E27BD" w14:textId="327D1691">
            <w:pPr>
              <w:pStyle w:val="2021"/>
              <w:spacing w:before="0" w:after="60"/>
              <w:rPr>
                <w:b w:val="0"/>
                <w:bCs w:val="0"/>
                <w:spacing w:val="-20"/>
                <w:sz w:val="24"/>
                <w:rtl/>
              </w:rPr>
            </w:pPr>
            <w:r>
              <w:rPr>
                <w:rFonts w:hint="cs"/>
                <w:spacing w:val="-10"/>
                <w:rtl/>
              </w:rPr>
              <w:t xml:space="preserve">15 </w:t>
            </w:r>
            <w:r w:rsidRPr="00C661CF">
              <w:rPr>
                <w:rFonts w:hint="cs"/>
                <w:spacing w:val="-10"/>
                <w:sz w:val="26"/>
                <w:szCs w:val="26"/>
                <w:rtl/>
              </w:rPr>
              <w:t>תובענות ייצוגיות</w:t>
            </w:r>
            <w:r>
              <w:rPr>
                <w:rFonts w:hint="cs"/>
                <w:spacing w:val="-10"/>
                <w:rtl/>
              </w:rPr>
              <w:t xml:space="preserve"> </w:t>
            </w:r>
          </w:p>
        </w:tc>
        <w:tc>
          <w:tcPr>
            <w:tcW w:w="182" w:type="pct"/>
          </w:tcPr>
          <w:p w:rsidR="00420374" w:rsidP="00937056" w14:paraId="47B754BA" w14:textId="77777777">
            <w:pPr>
              <w:pStyle w:val="2021"/>
              <w:spacing w:before="0" w:after="60"/>
              <w:rPr>
                <w:spacing w:val="-10"/>
                <w:rtl/>
              </w:rPr>
            </w:pPr>
          </w:p>
        </w:tc>
        <w:tc>
          <w:tcPr>
            <w:tcW w:w="1145" w:type="pct"/>
            <w:tcBorders>
              <w:bottom w:val="single" w:sz="12" w:space="0" w:color="000000"/>
            </w:tcBorders>
            <w:vAlign w:val="bottom"/>
          </w:tcPr>
          <w:p w:rsidR="00420374" w:rsidP="00937056" w14:paraId="5F3A3FF5" w14:textId="12393C5C">
            <w:pPr>
              <w:pStyle w:val="2021"/>
              <w:spacing w:before="0" w:after="60"/>
              <w:rPr>
                <w:spacing w:val="-10"/>
                <w:rtl/>
              </w:rPr>
            </w:pPr>
            <w:r w:rsidRPr="00C661CF">
              <w:rPr>
                <w:rFonts w:hint="cs"/>
                <w:spacing w:val="-10"/>
                <w:sz w:val="26"/>
                <w:szCs w:val="26"/>
                <w:rtl/>
              </w:rPr>
              <w:t>מעל</w:t>
            </w:r>
            <w:r>
              <w:rPr>
                <w:rFonts w:hint="cs"/>
                <w:spacing w:val="-10"/>
                <w:rtl/>
              </w:rPr>
              <w:t xml:space="preserve"> 76% </w:t>
            </w:r>
            <w:r w:rsidRPr="00C661CF">
              <w:rPr>
                <w:rFonts w:hint="cs"/>
                <w:spacing w:val="-10"/>
                <w:sz w:val="26"/>
                <w:szCs w:val="26"/>
                <w:rtl/>
              </w:rPr>
              <w:t>מהציבור</w:t>
            </w:r>
            <w:r>
              <w:rPr>
                <w:rFonts w:hint="cs"/>
                <w:spacing w:val="-10"/>
                <w:rtl/>
              </w:rPr>
              <w:t xml:space="preserve"> </w:t>
            </w:r>
          </w:p>
        </w:tc>
      </w:tr>
      <w:tr w14:paraId="6DFAF81C" w14:textId="77777777" w:rsidTr="00166EF4">
        <w:tblPrEx>
          <w:tblW w:w="5000" w:type="pct"/>
          <w:tblLook w:val="04A0"/>
        </w:tblPrEx>
        <w:tc>
          <w:tcPr>
            <w:tcW w:w="1163" w:type="pct"/>
            <w:tcBorders>
              <w:top w:val="single" w:sz="12" w:space="0" w:color="000000"/>
            </w:tcBorders>
          </w:tcPr>
          <w:p w:rsidR="00420374" w:rsidRPr="00E52143" w:rsidP="00937056" w14:paraId="1D96599A" w14:textId="65194F81">
            <w:pPr>
              <w:pStyle w:val="732021"/>
              <w:spacing w:before="0"/>
              <w:rPr>
                <w:rtl/>
              </w:rPr>
            </w:pPr>
            <w:r w:rsidRPr="008F68FB">
              <w:rPr>
                <w:rtl/>
              </w:rPr>
              <w:t xml:space="preserve">פתחה הרשות להגנת הצרכן </w:t>
            </w:r>
            <w:r w:rsidR="00201BD4">
              <w:rPr>
                <w:rtl/>
              </w:rPr>
              <w:br/>
            </w:r>
            <w:r w:rsidRPr="008F68FB">
              <w:rPr>
                <w:rtl/>
              </w:rPr>
              <w:t>ב-2021 - הפחתה בשיעור של 50% לעומת שנת 2018. מתוכם נפתחו שלושה תיקים פליליים</w:t>
            </w:r>
          </w:p>
        </w:tc>
        <w:tc>
          <w:tcPr>
            <w:tcW w:w="161" w:type="pct"/>
          </w:tcPr>
          <w:p w:rsidR="00420374" w:rsidRPr="00E52143" w:rsidP="00937056" w14:paraId="2BF81D8C" w14:textId="77777777">
            <w:pPr>
              <w:pStyle w:val="732021"/>
              <w:spacing w:before="0"/>
              <w:rPr>
                <w:rtl/>
              </w:rPr>
            </w:pPr>
          </w:p>
        </w:tc>
        <w:tc>
          <w:tcPr>
            <w:tcW w:w="1038" w:type="pct"/>
            <w:tcBorders>
              <w:top w:val="single" w:sz="12" w:space="0" w:color="000000"/>
            </w:tcBorders>
          </w:tcPr>
          <w:p w:rsidR="00420374" w:rsidRPr="00E52143" w:rsidP="00C661CF" w14:paraId="68924AF7" w14:textId="24806BBD">
            <w:pPr>
              <w:pStyle w:val="732021"/>
              <w:spacing w:before="0" w:after="480"/>
              <w:rPr>
                <w:rtl/>
              </w:rPr>
            </w:pPr>
            <w:r w:rsidRPr="008F68FB">
              <w:rPr>
                <w:rtl/>
              </w:rPr>
              <w:t xml:space="preserve">שיעור הגבייה של העיצומים שהוטלו על עסקים ע"י הרשות להגנת הצרכן בשנים </w:t>
            </w:r>
            <w:r w:rsidR="00201BD4">
              <w:rPr>
                <w:rFonts w:hint="cs"/>
                <w:rtl/>
              </w:rPr>
              <w:t>2018 - 2021</w:t>
            </w:r>
            <w:r w:rsidRPr="008F68FB">
              <w:rPr>
                <w:rtl/>
              </w:rPr>
              <w:t xml:space="preserve"> (נגבו 37 מיליון ש"ח מתוך 119 מיליון ש"ח שהוטלו)</w:t>
            </w:r>
          </w:p>
        </w:tc>
        <w:tc>
          <w:tcPr>
            <w:tcW w:w="161" w:type="pct"/>
          </w:tcPr>
          <w:p w:rsidR="00420374" w:rsidRPr="00E52143" w:rsidP="00937056" w14:paraId="4F52CE08" w14:textId="77777777">
            <w:pPr>
              <w:pStyle w:val="732021"/>
              <w:spacing w:before="0"/>
              <w:rPr>
                <w:rtl/>
              </w:rPr>
            </w:pPr>
          </w:p>
        </w:tc>
        <w:tc>
          <w:tcPr>
            <w:tcW w:w="1151" w:type="pct"/>
            <w:tcBorders>
              <w:top w:val="single" w:sz="12" w:space="0" w:color="000000"/>
            </w:tcBorders>
          </w:tcPr>
          <w:p w:rsidR="00420374" w:rsidRPr="00E52143" w:rsidP="00C661CF" w14:paraId="203F9568" w14:textId="085CA457">
            <w:pPr>
              <w:pStyle w:val="732021"/>
              <w:spacing w:before="0"/>
              <w:rPr>
                <w:rtl/>
              </w:rPr>
            </w:pPr>
            <w:r w:rsidRPr="008F68FB">
              <w:rPr>
                <w:rtl/>
              </w:rPr>
              <w:t xml:space="preserve">הוגשו על ידי המועצה הישראלית לצרכנות בשנים </w:t>
            </w:r>
            <w:r w:rsidR="00201BD4">
              <w:rPr>
                <w:rFonts w:hint="cs"/>
                <w:rtl/>
              </w:rPr>
              <w:t>2019 - 2021</w:t>
            </w:r>
            <w:r w:rsidRPr="008F68FB">
              <w:rPr>
                <w:rtl/>
              </w:rPr>
              <w:t xml:space="preserve"> מתוך 1,603 כלל התובענות הייצוגיות שהוגשו בנושא צרכנות באותן שנים (כ- 1% בלבד)</w:t>
            </w:r>
          </w:p>
        </w:tc>
        <w:tc>
          <w:tcPr>
            <w:tcW w:w="182" w:type="pct"/>
          </w:tcPr>
          <w:p w:rsidR="00420374" w:rsidRPr="00E52143" w:rsidP="00937056" w14:paraId="42538096" w14:textId="77777777">
            <w:pPr>
              <w:pStyle w:val="732021"/>
              <w:spacing w:before="0"/>
              <w:rPr>
                <w:rtl/>
              </w:rPr>
            </w:pPr>
          </w:p>
        </w:tc>
        <w:tc>
          <w:tcPr>
            <w:tcW w:w="1145" w:type="pct"/>
            <w:tcBorders>
              <w:top w:val="single" w:sz="12" w:space="0" w:color="000000"/>
            </w:tcBorders>
          </w:tcPr>
          <w:p w:rsidR="00420374" w:rsidRPr="00E52143" w:rsidP="00937056" w14:paraId="1878D11D" w14:textId="5C9DB700">
            <w:pPr>
              <w:pStyle w:val="732021"/>
              <w:spacing w:before="0"/>
              <w:rPr>
                <w:rtl/>
              </w:rPr>
            </w:pPr>
            <w:r w:rsidRPr="008F68FB">
              <w:rPr>
                <w:rtl/>
              </w:rPr>
              <w:t>נגרמה להם עוולה צרכנית בשנים</w:t>
            </w:r>
            <w:r w:rsidR="00201BD4">
              <w:rPr>
                <w:rtl/>
              </w:rPr>
              <w:br/>
            </w:r>
            <w:r w:rsidR="00201BD4">
              <w:rPr>
                <w:rFonts w:hint="cs"/>
                <w:rtl/>
              </w:rPr>
              <w:t>2020 - 2021</w:t>
            </w:r>
            <w:r w:rsidRPr="008F68FB">
              <w:rPr>
                <w:rtl/>
              </w:rPr>
              <w:t xml:space="preserve"> (על פי ממצאי סקר שיתוף ציבור שערך משרד מבקר המדינה)</w:t>
            </w:r>
          </w:p>
        </w:tc>
      </w:tr>
      <w:tr w14:paraId="1BD5A20C" w14:textId="77777777" w:rsidTr="00166EF4">
        <w:tblPrEx>
          <w:tblW w:w="5000" w:type="pct"/>
          <w:tblLook w:val="04A0"/>
        </w:tblPrEx>
        <w:tc>
          <w:tcPr>
            <w:tcW w:w="1163" w:type="pct"/>
            <w:tcBorders>
              <w:bottom w:val="single" w:sz="12" w:space="0" w:color="000000"/>
            </w:tcBorders>
            <w:vAlign w:val="bottom"/>
          </w:tcPr>
          <w:p w:rsidR="00420374" w:rsidRPr="00411396" w:rsidP="00166EF4" w14:paraId="500D3B50" w14:textId="1408BBB2">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2.9 </w:t>
            </w:r>
            <w:r w:rsidR="005F0786">
              <w:rPr>
                <w:rFonts w:ascii="Tahoma" w:hAnsi="Tahoma" w:eastAsiaTheme="minorEastAsia" w:cs="Tahoma"/>
                <w:b/>
                <w:bCs/>
                <w:color w:val="0D0D0D" w:themeColor="text1" w:themeTint="F2"/>
                <w:spacing w:val="-10"/>
                <w:sz w:val="26"/>
                <w:szCs w:val="26"/>
                <w:rtl/>
              </w:rPr>
              <w:br/>
            </w:r>
            <w:r w:rsidRPr="00C661CF">
              <w:rPr>
                <w:rFonts w:ascii="Tahoma" w:hAnsi="Tahoma" w:eastAsiaTheme="minorEastAsia" w:cs="Tahoma" w:hint="cs"/>
                <w:b/>
                <w:bCs/>
                <w:color w:val="0D0D0D" w:themeColor="text1" w:themeTint="F2"/>
                <w:spacing w:val="-10"/>
                <w:sz w:val="26"/>
                <w:szCs w:val="26"/>
                <w:rtl/>
              </w:rPr>
              <w:t>מתוך</w:t>
            </w:r>
            <w:r>
              <w:rPr>
                <w:rFonts w:ascii="Tahoma" w:hAnsi="Tahoma" w:eastAsiaTheme="minorEastAsia" w:cs="Tahoma" w:hint="cs"/>
                <w:b/>
                <w:bCs/>
                <w:color w:val="0D0D0D" w:themeColor="text1" w:themeTint="F2"/>
                <w:spacing w:val="-10"/>
                <w:sz w:val="36"/>
                <w:szCs w:val="36"/>
                <w:rtl/>
              </w:rPr>
              <w:t xml:space="preserve"> 5</w:t>
            </w:r>
          </w:p>
        </w:tc>
        <w:tc>
          <w:tcPr>
            <w:tcW w:w="161" w:type="pct"/>
            <w:vAlign w:val="bottom"/>
          </w:tcPr>
          <w:p w:rsidR="00420374" w:rsidRPr="00E52143" w:rsidP="00166EF4"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cBorders>
            <w:vAlign w:val="bottom"/>
          </w:tcPr>
          <w:p w:rsidR="00420374" w:rsidRPr="008D750B" w:rsidP="00166EF4" w14:paraId="48896DF7" w14:textId="1B113671">
            <w:pPr>
              <w:pStyle w:val="2021"/>
              <w:spacing w:before="0" w:after="60"/>
              <w:rPr>
                <w:spacing w:val="-10"/>
                <w:rtl/>
              </w:rPr>
            </w:pPr>
            <w:r w:rsidRPr="00C661CF">
              <w:rPr>
                <w:rFonts w:hint="cs"/>
                <w:spacing w:val="-10"/>
                <w:sz w:val="26"/>
                <w:szCs w:val="26"/>
                <w:rtl/>
              </w:rPr>
              <w:t>כ-</w:t>
            </w:r>
            <w:r>
              <w:rPr>
                <w:rFonts w:hint="cs"/>
                <w:spacing w:val="-10"/>
                <w:rtl/>
              </w:rPr>
              <w:t xml:space="preserve">16.6 </w:t>
            </w:r>
            <w:r w:rsidRPr="00C661CF">
              <w:rPr>
                <w:rFonts w:hint="cs"/>
                <w:spacing w:val="-10"/>
                <w:sz w:val="26"/>
                <w:szCs w:val="26"/>
                <w:rtl/>
              </w:rPr>
              <w:t>מיליון ש״ח</w:t>
            </w:r>
          </w:p>
        </w:tc>
        <w:tc>
          <w:tcPr>
            <w:tcW w:w="161" w:type="pct"/>
            <w:vAlign w:val="bottom"/>
          </w:tcPr>
          <w:p w:rsidR="00420374" w:rsidP="00166EF4" w14:paraId="5B4C8A80" w14:textId="77777777">
            <w:pPr>
              <w:spacing w:after="60" w:line="240" w:lineRule="auto"/>
              <w:jc w:val="left"/>
              <w:rPr>
                <w:rtl/>
              </w:rPr>
            </w:pPr>
          </w:p>
        </w:tc>
        <w:tc>
          <w:tcPr>
            <w:tcW w:w="1151" w:type="pct"/>
            <w:tcBorders>
              <w:bottom w:val="single" w:sz="12" w:space="0" w:color="000000"/>
            </w:tcBorders>
            <w:vAlign w:val="bottom"/>
          </w:tcPr>
          <w:p w:rsidR="00420374" w:rsidRPr="0062456C" w:rsidP="00166EF4" w14:paraId="226A2E50" w14:textId="509FA5F9">
            <w:pPr>
              <w:spacing w:after="60" w:line="192" w:lineRule="auto"/>
              <w:rPr>
                <w:rFonts w:ascii="Tahoma" w:hAnsi="Tahoma" w:eastAsiaTheme="minorEastAsia" w:cs="Tahoma"/>
                <w:b/>
                <w:bCs/>
                <w:color w:val="0D0D0D" w:themeColor="text1" w:themeTint="F2"/>
                <w:spacing w:val="-10"/>
                <w:sz w:val="36"/>
                <w:szCs w:val="36"/>
                <w:rtl/>
              </w:rPr>
            </w:pPr>
            <w:r w:rsidRPr="00C661CF">
              <w:rPr>
                <w:rFonts w:ascii="Tahoma" w:hAnsi="Tahoma" w:eastAsiaTheme="minorEastAsia" w:cs="Tahoma" w:hint="cs"/>
                <w:b/>
                <w:bCs/>
                <w:color w:val="0D0D0D" w:themeColor="text1" w:themeTint="F2"/>
                <w:spacing w:val="-10"/>
                <w:sz w:val="26"/>
                <w:szCs w:val="26"/>
                <w:rtl/>
              </w:rPr>
              <w:t>כ-</w:t>
            </w:r>
            <w:r>
              <w:rPr>
                <w:rFonts w:ascii="Tahoma" w:hAnsi="Tahoma" w:eastAsiaTheme="minorEastAsia" w:cs="Tahoma" w:hint="cs"/>
                <w:b/>
                <w:bCs/>
                <w:color w:val="0D0D0D" w:themeColor="text1" w:themeTint="F2"/>
                <w:spacing w:val="-10"/>
                <w:sz w:val="36"/>
                <w:szCs w:val="36"/>
                <w:rtl/>
              </w:rPr>
              <w:t>77%</w:t>
            </w:r>
          </w:p>
        </w:tc>
        <w:tc>
          <w:tcPr>
            <w:tcW w:w="182" w:type="pct"/>
          </w:tcPr>
          <w:p w:rsidR="00420374" w:rsidP="00166EF4"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5" w:type="pct"/>
            <w:tcBorders>
              <w:bottom w:val="single" w:sz="12" w:space="0" w:color="000000"/>
            </w:tcBorders>
            <w:vAlign w:val="bottom"/>
          </w:tcPr>
          <w:p w:rsidR="00420374" w:rsidP="00166EF4" w14:paraId="5AEEF263" w14:textId="2E0F2426">
            <w:pPr>
              <w:spacing w:after="60" w:line="240" w:lineRule="auto"/>
              <w:rPr>
                <w:rFonts w:ascii="Tahoma" w:hAnsi="Tahoma" w:eastAsiaTheme="minorEastAsia" w:cs="Tahoma"/>
                <w:b/>
                <w:bCs/>
                <w:color w:val="0D0D0D" w:themeColor="text1" w:themeTint="F2"/>
                <w:spacing w:val="-10"/>
                <w:sz w:val="36"/>
                <w:szCs w:val="36"/>
                <w:rtl/>
              </w:rPr>
            </w:pPr>
            <w:r w:rsidRPr="00C661CF">
              <w:rPr>
                <w:rFonts w:ascii="Tahoma" w:hAnsi="Tahoma" w:eastAsiaTheme="minorEastAsia" w:cs="Tahoma" w:hint="cs"/>
                <w:b/>
                <w:bCs/>
                <w:color w:val="0D0D0D" w:themeColor="text1" w:themeTint="F2"/>
                <w:spacing w:val="-10"/>
                <w:sz w:val="26"/>
                <w:szCs w:val="26"/>
                <w:rtl/>
              </w:rPr>
              <w:t>כ-</w:t>
            </w:r>
            <w:r>
              <w:rPr>
                <w:rFonts w:ascii="Tahoma" w:hAnsi="Tahoma" w:eastAsiaTheme="minorEastAsia" w:cs="Tahoma" w:hint="cs"/>
                <w:b/>
                <w:bCs/>
                <w:color w:val="0D0D0D" w:themeColor="text1" w:themeTint="F2"/>
                <w:spacing w:val="-10"/>
                <w:sz w:val="36"/>
                <w:szCs w:val="36"/>
                <w:rtl/>
              </w:rPr>
              <w:t>20%</w:t>
            </w:r>
          </w:p>
        </w:tc>
      </w:tr>
      <w:tr w14:paraId="54154FA5" w14:textId="77777777" w:rsidTr="00166EF4">
        <w:tblPrEx>
          <w:tblW w:w="5000" w:type="pct"/>
          <w:tblLook w:val="04A0"/>
        </w:tblPrEx>
        <w:tc>
          <w:tcPr>
            <w:tcW w:w="1163" w:type="pct"/>
            <w:tcBorders>
              <w:top w:val="single" w:sz="12" w:space="0" w:color="000000"/>
            </w:tcBorders>
          </w:tcPr>
          <w:p w:rsidR="00420374" w:rsidRPr="004562F8" w:rsidP="00937056" w14:paraId="6DB67748" w14:textId="19A0D755">
            <w:pPr>
              <w:pStyle w:val="732021"/>
              <w:spacing w:before="0" w:after="0"/>
              <w:rPr>
                <w:rtl/>
              </w:rPr>
            </w:pPr>
            <w:r w:rsidRPr="008F68FB">
              <w:rPr>
                <w:rtl/>
              </w:rPr>
              <w:t>רמת שביעות הרצון של הפונים למועצה הישראלית לצרכנות מפנייתם אליה.</w:t>
            </w:r>
            <w:r w:rsidRPr="0070544B">
              <w:rPr>
                <w:rtl/>
              </w:rPr>
              <w:t xml:space="preserve"> </w:t>
            </w:r>
            <w:r w:rsidRPr="008F68FB">
              <w:rPr>
                <w:rtl/>
              </w:rPr>
              <w:t>מסקר שיתוף ציבור שביצע משרד מבקר המדינה עלה כי רמת שביעות הרצון הנמוכה מטיפול המועצה בפניותיהם היה - 40%</w:t>
            </w:r>
          </w:p>
        </w:tc>
        <w:tc>
          <w:tcPr>
            <w:tcW w:w="161" w:type="pct"/>
          </w:tcPr>
          <w:p w:rsidR="00420374" w:rsidRPr="008D750B" w:rsidP="00937056" w14:paraId="0C0AE598" w14:textId="77777777">
            <w:pPr>
              <w:pStyle w:val="732021"/>
              <w:spacing w:before="0" w:after="0"/>
              <w:rPr>
                <w:rtl/>
              </w:rPr>
            </w:pPr>
          </w:p>
        </w:tc>
        <w:tc>
          <w:tcPr>
            <w:tcW w:w="1038" w:type="pct"/>
            <w:tcBorders>
              <w:top w:val="single" w:sz="12" w:space="0" w:color="000000"/>
            </w:tcBorders>
          </w:tcPr>
          <w:p w:rsidR="00420374" w:rsidRPr="004562F8" w:rsidP="00C661CF" w14:paraId="1916A301" w14:textId="2210A4C1">
            <w:pPr>
              <w:pStyle w:val="732021"/>
              <w:spacing w:before="0" w:after="240"/>
              <w:rPr>
                <w:rtl/>
              </w:rPr>
            </w:pPr>
            <w:r w:rsidRPr="008F68FB">
              <w:rPr>
                <w:rtl/>
              </w:rPr>
              <w:t xml:space="preserve">אומדן השווי של שוברים אשר הצרכנים החברים במועדונים אינם מממשים מדי שנה. מהם כ-6.3 מיליון ש"ח - שווי השוברים שפג תוקפם, אשר מועדון הפיס </w:t>
            </w:r>
            <w:r w:rsidR="00201BD4">
              <w:rPr>
                <w:rtl/>
              </w:rPr>
              <w:br/>
            </w:r>
            <w:r w:rsidRPr="008F68FB">
              <w:rPr>
                <w:rtl/>
              </w:rPr>
              <w:t>(2.9 מיליו</w:t>
            </w:r>
            <w:r w:rsidR="00201BD4">
              <w:rPr>
                <w:rFonts w:hint="cs"/>
                <w:rtl/>
              </w:rPr>
              <w:t>ן</w:t>
            </w:r>
            <w:r w:rsidRPr="008F68FB">
              <w:rPr>
                <w:rtl/>
              </w:rPr>
              <w:t xml:space="preserve"> ש"ח) ומועדוני "טוב", "חבר" ו"ביחד בשבילך" לא החזירו לצרכנים שלא מימשו אותם</w:t>
            </w:r>
          </w:p>
        </w:tc>
        <w:tc>
          <w:tcPr>
            <w:tcW w:w="161" w:type="pct"/>
          </w:tcPr>
          <w:p w:rsidR="00420374" w:rsidP="00937056" w14:paraId="14782C57" w14:textId="77777777">
            <w:pPr>
              <w:pStyle w:val="732021"/>
              <w:spacing w:before="0" w:after="0"/>
              <w:rPr>
                <w:rtl/>
              </w:rPr>
            </w:pPr>
          </w:p>
        </w:tc>
        <w:tc>
          <w:tcPr>
            <w:tcW w:w="1151" w:type="pct"/>
            <w:tcBorders>
              <w:top w:val="single" w:sz="12" w:space="0" w:color="000000"/>
            </w:tcBorders>
          </w:tcPr>
          <w:p w:rsidR="00420374" w:rsidRPr="0062456C" w:rsidP="00937056" w14:paraId="6149CA50" w14:textId="7F8A48C9">
            <w:pPr>
              <w:pStyle w:val="732021"/>
              <w:spacing w:before="0" w:after="0"/>
              <w:rPr>
                <w:rtl/>
              </w:rPr>
            </w:pPr>
            <w:r w:rsidRPr="008F68FB">
              <w:rPr>
                <w:rtl/>
              </w:rPr>
              <w:t>מהצרכנים אינם מודעים לתנאים שבהם מותר לעצור תשלומים שנעשו בכרטיס אשראי</w:t>
            </w:r>
          </w:p>
        </w:tc>
        <w:tc>
          <w:tcPr>
            <w:tcW w:w="182" w:type="pct"/>
          </w:tcPr>
          <w:p w:rsidR="00420374" w:rsidRPr="00C92141" w:rsidP="00937056" w14:paraId="66E34E8E" w14:textId="77777777">
            <w:pPr>
              <w:pStyle w:val="732021"/>
              <w:spacing w:before="0" w:after="0"/>
              <w:rPr>
                <w:rtl/>
              </w:rPr>
            </w:pPr>
          </w:p>
        </w:tc>
        <w:tc>
          <w:tcPr>
            <w:tcW w:w="1145" w:type="pct"/>
            <w:tcBorders>
              <w:top w:val="single" w:sz="12" w:space="0" w:color="000000"/>
            </w:tcBorders>
          </w:tcPr>
          <w:p w:rsidR="00420374" w:rsidRPr="00C92141" w:rsidP="00937056" w14:paraId="39498237" w14:textId="0C438DEA">
            <w:pPr>
              <w:pStyle w:val="732021"/>
              <w:spacing w:before="0" w:after="0"/>
              <w:rPr>
                <w:rtl/>
              </w:rPr>
            </w:pPr>
            <w:r w:rsidRPr="008F68FB">
              <w:rPr>
                <w:rtl/>
              </w:rPr>
              <w:t>מהתלונות הפתוחות במועצה הישראלית לצרכנות באותה עת נסגרו כדי להקטין את מספר התלונות הלא מטופלות בשנים 2018 - 2020</w:t>
            </w:r>
          </w:p>
        </w:tc>
      </w:tr>
    </w:tbl>
    <w:p w:rsidR="00420374" w:rsidP="00C661CF" w14:paraId="509D5AB6" w14:textId="77777777">
      <w:pPr>
        <w:pStyle w:val="7317"/>
        <w:spacing w:after="120"/>
        <w:rPr>
          <w:sz w:val="10"/>
          <w:szCs w:val="10"/>
          <w:rtl/>
        </w:rPr>
      </w:pPr>
    </w:p>
    <w:p w:rsidR="00420374" w:rsidRPr="00C62692" w:rsidP="00420374" w14:paraId="3FADD5EE" w14:textId="77777777">
      <w:pPr>
        <w:pStyle w:val="73"/>
        <w:rPr>
          <w:rtl/>
        </w:rPr>
      </w:pPr>
      <w:r w:rsidRPr="00C62692">
        <w:rPr>
          <w:rtl/>
        </w:rPr>
        <w:t>פעולות הביקורת</w:t>
      </w:r>
    </w:p>
    <w:p w:rsidR="00C661CF" w:rsidRPr="00C661CF" w:rsidP="00C661CF" w14:paraId="73F21289" w14:textId="738D4917">
      <w:pPr>
        <w:pStyle w:val="7317"/>
        <w:rPr>
          <w:rtl/>
        </w:rPr>
      </w:pPr>
      <w:r w:rsidRPr="00C661CF">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1CF">
        <w:rPr>
          <w:rtl/>
        </w:rPr>
        <w:t>בחודשים יולי 2021 עד מרץ 2022 (להלן - תקופת הביקורת), בדק משרד מבקר המדינה את הפעולות שנקטו משרדי ממשלה וגופים נוספים בתחום הגנת הצרכן. הביקורת נערכה ברשות להגנת הצרכן, המועצה הישראלית לצרכנות, משרד הכלכלה, באגף התקציבים במשרד האוצר (אגף התקציבים) ובנק ישראל. בדיקות השלמה נעשו בהנהלת בתי המשפט, משרד המשפטים, פרקליטות המדינה, ברשות התחרות וברשות החברות הממשלתיות. כמו כן, פגישות עם מומחים וחוקרים מהאקדמיה, גופי צרכנות פרטיים, מועדון חבר לאנשי הקבע וגמלאי הצבא ומועדון חבר צרכנות, מועדון טוב תרבות ופנאי לעובדי המדינה (מועדון טוב), מועדון ביחד בשבילך, מועדון קרנות השוטרים -</w:t>
      </w:r>
      <w:r w:rsidR="00201BD4">
        <w:rPr>
          <w:rFonts w:hint="cs"/>
          <w:rtl/>
        </w:rPr>
        <w:t xml:space="preserve"> </w:t>
      </w:r>
      <w:r w:rsidRPr="00C661CF">
        <w:rPr>
          <w:rtl/>
        </w:rPr>
        <w:t>קודם כל בשבילך (קרנות השוטרים) ומועדון צרכנות פיס פלוס (מועדון מפעל הפיס).</w:t>
      </w:r>
    </w:p>
    <w:p w:rsidR="00420374" w:rsidRPr="00C661CF" w:rsidP="00C661CF" w14:paraId="0AF4CED3" w14:textId="1CF5841A">
      <w:pPr>
        <w:pStyle w:val="7317"/>
        <w:rPr>
          <w:rtl/>
        </w:rPr>
      </w:pPr>
      <w:r w:rsidRPr="00C661CF">
        <w:rPr>
          <w:rtl/>
        </w:rPr>
        <w:t>בדצמבר 2021 הביקורת ערכה סקר שיתוף ציבור הכלל למעלה מ-600 משיבים. השאלות בסקר עסקו בעוולות צרכניות וטיפול הרשויות בהן, התודעה הצרכנית ושיעור העוולות הצרכניות שחווה הציבור בשנתיים האחרונות ברכישות מוצרים ושירותים בתחומים שונים (להלן: סקר שיתוף ציבור</w:t>
      </w:r>
      <w:r w:rsidRPr="00C661CF">
        <w:rPr>
          <w:rFonts w:hint="cs"/>
          <w:rtl/>
        </w:rPr>
        <w:t xml:space="preserve">). </w:t>
      </w:r>
    </w:p>
    <w:p w:rsidR="002753C7" w:rsidRPr="00662020" w:rsidP="002753C7" w14:paraId="690F076D" w14:textId="1EDCC5A8">
      <w:pPr>
        <w:pStyle w:val="7327"/>
        <w:rPr>
          <w:rtl/>
        </w:rPr>
      </w:pPr>
      <w:r w:rsidRPr="00662020">
        <w:rPr>
          <w:rFonts w:hint="cs"/>
          <w:rtl/>
        </w:rPr>
        <w:t>תמונת המצב העולה מן הביקורת</w:t>
      </w:r>
    </w:p>
    <w:p w:rsidR="002753C7" w:rsidRPr="001F3363" w:rsidP="00C661CF" w14:paraId="0B2F822B" w14:textId="169792EE">
      <w:pPr>
        <w:pStyle w:val="7317"/>
        <w:spacing w:after="360"/>
        <w:rPr>
          <w:rtl/>
        </w:rPr>
      </w:pPr>
      <w:r w:rsidRPr="00362C00">
        <w:rPr>
          <w:noProof/>
          <w:rtl/>
        </w:rPr>
        <w:drawing>
          <wp:anchor distT="0" distB="0" distL="114300" distR="114300" simplePos="0" relativeHeight="251694080" behindDoc="0" locked="0" layoutInCell="1" allowOverlap="1">
            <wp:simplePos x="0" y="0"/>
            <wp:positionH relativeFrom="column">
              <wp:posOffset>2511358</wp:posOffset>
            </wp:positionH>
            <wp:positionV relativeFrom="paragraph">
              <wp:posOffset>47825</wp:posOffset>
            </wp:positionV>
            <wp:extent cx="2101215" cy="172085"/>
            <wp:effectExtent l="0" t="0" r="0" b="5715"/>
            <wp:wrapSquare wrapText="bothSides"/>
            <wp:docPr id="205277094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7"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5C1F8E" w14:paraId="18555822" w14:textId="74A91CD2">
      <w:pPr>
        <w:pStyle w:val="7392"/>
        <w:ind w:left="424"/>
        <w:rPr>
          <w:rtl/>
        </w:rPr>
      </w:pPr>
      <w:r w:rsidRPr="00B02658">
        <w:rPr>
          <w:rFonts w:hint="cs"/>
          <w:b/>
          <w:bCs/>
          <w:noProof/>
          <w:rtl/>
        </w:rPr>
        <w:drawing>
          <wp:anchor distT="0" distB="720090" distL="114300" distR="114300" simplePos="0" relativeHeight="251684864" behindDoc="1" locked="0" layoutInCell="1" allowOverlap="1">
            <wp:simplePos x="0" y="0"/>
            <wp:positionH relativeFrom="column">
              <wp:posOffset>4527078</wp:posOffset>
            </wp:positionH>
            <wp:positionV relativeFrom="paragraph">
              <wp:posOffset>29845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61CF" w:rsidR="00C661CF">
        <w:rPr>
          <w:b/>
          <w:bCs/>
          <w:rtl/>
        </w:rPr>
        <w:t>שביעות רצון הציבור מפעילות המועצה הישראלית לצרכנות והרשות להגנת הצרכן</w:t>
      </w:r>
      <w:r w:rsidRPr="008F68FB" w:rsidR="00C661CF">
        <w:rPr>
          <w:rtl/>
        </w:rPr>
        <w:t xml:space="preserve"> - מסקר שיתוף הציבור עלה כי רוב הציבור, 76% מהם, חוו עוולה צרכנית בשנים 2020 - 2021 25% מהמשיבים לסקר מסרו כי אינם מכירים את הגופים הצרכניים המרכזיים. עוד עלה כי יותר מ-60% מהפונים לגופים אלו קיבלו מענה (מהרשות להגנת הצרכן - 75%, ומהמועצה לצרכנות - 65%), אולם פחות מ-50% מהפונים היו מרוצים במידה רבה מהטיפול שקיבלו</w:t>
      </w:r>
      <w:r w:rsidRPr="0093709F">
        <w:rPr>
          <w:rtl/>
        </w:rPr>
        <w:t>.</w:t>
      </w:r>
    </w:p>
    <w:p w:rsidR="00420374" w:rsidRPr="0093709F" w:rsidP="005C1F8E" w14:paraId="1D22E15A" w14:textId="7B6AF542">
      <w:pPr>
        <w:pStyle w:val="7392"/>
        <w:ind w:left="424"/>
      </w:pPr>
      <w:r w:rsidRPr="00B02658">
        <w:rPr>
          <w:rFonts w:hint="cs"/>
          <w:b/>
          <w:bCs/>
          <w:noProof/>
          <w:rtl/>
        </w:rPr>
        <w:drawing>
          <wp:anchor distT="0" distB="720090" distL="114300" distR="114300" simplePos="0" relativeHeight="251685888" behindDoc="1" locked="0" layoutInCell="1" allowOverlap="1">
            <wp:simplePos x="0" y="0"/>
            <wp:positionH relativeFrom="column">
              <wp:posOffset>4527078</wp:posOffset>
            </wp:positionH>
            <wp:positionV relativeFrom="paragraph">
              <wp:posOffset>29845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61CF" w:rsidR="00C661CF">
        <w:rPr>
          <w:b/>
          <w:bCs/>
          <w:rtl/>
        </w:rPr>
        <w:t>היקף האכיפה של הרשות להגנת הצרכן</w:t>
      </w:r>
      <w:r w:rsidRPr="008F68FB" w:rsidR="00C661CF">
        <w:rPr>
          <w:rtl/>
        </w:rPr>
        <w:t xml:space="preserve"> - בשנת 2021 קיימה הרשות ביקורים ב-2,664 (כ-0.5%) מכלל בתי העסק שחוק הגנת הצרכן חל עליהם (600,000 במספר) ופתחה 514 תיקי אכיפה פעילים (הפחתה בשיעור 50% במספר התיקים בשנת 2018). היקף העיצומים ברי הגבייה שהוטל על העסקים בשנים אלו עמד על 119 מיליון ש"ח (לאחר הפחתה), ושיעור הגבייה מהם עומד על 31% בלבד (37 מתוך 119 מיליון ש"ח). עוד עלה כי הרשות ממעטת להשתמש בכלי האכיפה הפליליים שבידיה, כך נמצא כי הרשות פתחה שלושה תיקים פליליים בלבד בשנים 2020 - 2021, אף שבשנים אלה היו 13 חברות מעוולות </w:t>
      </w:r>
      <w:r w:rsidRPr="008F68FB" w:rsidR="00C661CF">
        <w:rPr>
          <w:rFonts w:hint="cs"/>
          <w:rtl/>
        </w:rPr>
        <w:t xml:space="preserve">נוספות </w:t>
      </w:r>
      <w:r w:rsidRPr="008F68FB" w:rsidR="00C661CF">
        <w:rPr>
          <w:rtl/>
        </w:rPr>
        <w:t>שהעיצום הכספי שלהן הוגדר כלא בר גבייה</w:t>
      </w:r>
      <w:r w:rsidRPr="008F68FB" w:rsidR="00C661CF">
        <w:rPr>
          <w:rFonts w:hint="cs"/>
          <w:rtl/>
        </w:rPr>
        <w:t xml:space="preserve"> ולהן לא נפחו תיקים פליליים</w:t>
      </w:r>
      <w:r w:rsidRPr="008F68FB" w:rsidR="00C661CF">
        <w:rPr>
          <w:rtl/>
        </w:rPr>
        <w:t>. לפיכך ייתכן שנפגעת יכולת ההרתעה של הרשות מול העסקים המפרים את חוקי הגנת הצרכן</w:t>
      </w:r>
      <w:r w:rsidRPr="0093709F">
        <w:rPr>
          <w:rFonts w:hint="cs"/>
          <w:rtl/>
        </w:rPr>
        <w:t xml:space="preserve">. </w:t>
      </w:r>
    </w:p>
    <w:p w:rsidR="00420374" w:rsidRPr="0093709F" w:rsidP="005C1F8E" w14:paraId="5E2BFABB" w14:textId="44CA6FFF">
      <w:pPr>
        <w:pStyle w:val="7392"/>
        <w:ind w:left="424"/>
        <w:rPr>
          <w:rtl/>
        </w:rPr>
      </w:pPr>
      <w:r w:rsidRPr="00B02658">
        <w:rPr>
          <w:rFonts w:hint="cs"/>
          <w:b/>
          <w:bCs/>
          <w:noProof/>
          <w:rtl/>
        </w:rPr>
        <w:drawing>
          <wp:anchor distT="0" distB="720090" distL="114300" distR="114300" simplePos="0" relativeHeight="251686912" behindDoc="1" locked="0" layoutInCell="1" allowOverlap="1">
            <wp:simplePos x="0" y="0"/>
            <wp:positionH relativeFrom="column">
              <wp:posOffset>4527078</wp:posOffset>
            </wp:positionH>
            <wp:positionV relativeFrom="paragraph">
              <wp:posOffset>29845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61CF" w:rsidR="00C661CF">
        <w:rPr>
          <w:b/>
          <w:bCs/>
          <w:rtl/>
        </w:rPr>
        <w:t>טיפול הרשות להגנת הצרכן בתלונות של צרכנים</w:t>
      </w:r>
      <w:r w:rsidRPr="008F68FB" w:rsidR="00C661CF">
        <w:rPr>
          <w:rtl/>
        </w:rPr>
        <w:t xml:space="preserve"> - ב-2020 גדל מספר הפניות לרשות להגנת הצרכן ב-58% לעומת שנת 2019: כ-19,450 פניות לעומת כ-12,300 בשנת 2019, אף על פי שבחוק הגנת הצרכן הוטל על הרשות לטפל בתלונות על הפרת החוק או על </w:t>
      </w:r>
      <w:r w:rsidRPr="008F68FB" w:rsidR="00C661CF">
        <w:rPr>
          <w:rtl/>
        </w:rPr>
        <w:t>פגיעה אחרת בצרכן, הרשות להגנת הצרכן אינה מטפלת בפניות אישיות ואינה מסייעת בהשבת כספים לצרכנים שנפגעו. מצב דברים זה, והמסקנות העולות מסקר שיתוף הציבור (ולפיהם 26% מהמשיבים דיווחו על שביעות רצון נמוכה מהמענה שקיבלו ו-30% דיווחו על שביעות רצון בינונית) מעלים חשש שלצרכנים אין אמון רב ברשות מפני שפעולותיה לטיפול בפניות פרטניות אינן ממוקדות דיין</w:t>
      </w:r>
      <w:r w:rsidRPr="0093709F">
        <w:rPr>
          <w:rFonts w:hint="cs"/>
          <w:rtl/>
        </w:rPr>
        <w:t>.</w:t>
      </w:r>
    </w:p>
    <w:p w:rsidR="00420374" w:rsidRPr="0093709F" w:rsidP="005C1F8E" w14:paraId="583ECB3F" w14:textId="0B3ABFE2">
      <w:pPr>
        <w:pStyle w:val="7392"/>
        <w:ind w:left="424"/>
      </w:pPr>
      <w:r w:rsidRPr="00B02658">
        <w:rPr>
          <w:rFonts w:hint="cs"/>
          <w:b/>
          <w:bCs/>
          <w:noProof/>
          <w:rtl/>
        </w:rPr>
        <w:drawing>
          <wp:anchor distT="0" distB="720090" distL="114300" distR="114300" simplePos="0" relativeHeight="251687936" behindDoc="1" locked="0" layoutInCell="1" allowOverlap="1">
            <wp:simplePos x="0" y="0"/>
            <wp:positionH relativeFrom="column">
              <wp:posOffset>4526752</wp:posOffset>
            </wp:positionH>
            <wp:positionV relativeFrom="paragraph">
              <wp:posOffset>29845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61CF" w:rsidR="00C661CF">
        <w:rPr>
          <w:b/>
          <w:bCs/>
          <w:rtl/>
        </w:rPr>
        <w:t>טיפול המועצה הישראלית לצרכנות בתלונות של צרכנים</w:t>
      </w:r>
      <w:r w:rsidRPr="008F68FB" w:rsidR="00C661CF">
        <w:rPr>
          <w:rtl/>
        </w:rPr>
        <w:t xml:space="preserve"> - מדוחות פעילות המועצה לשנים 2018 - 2020 עולה כי התקבלו כ-90,000 תלונות של צרכנים. עלה כי המועצה פעלה לסגור תלונות שהתחילה טיפול בהן, אולם מסיבות שונות לא הצליחה לקבל מענה לפניותיה מהגורמים המעורבים בתלונה במשך יותר מ-30 ימים. באופן זה נסגרו כ-5,300 תלונות בשנים 2018 - 2020 (המהווים כ-20% מהתלונות הפתוחות באותה עת). עוד עלה כי אף שהמועצה קבעה שיש להשיב על בקשה לייעוץ בתוך ארבעה ימים, עלה כי בממוצע, בשנים 2019 - 2021 נענו 46% מבקשות הייעוץ בתוך 30 יום. 13% מהבקשות נענו בתוך 60 יום, 8% נענו בתוך 90 יום, והיתר (כ-32%) - בפרק זמן העולה על 90 יום. פחות מאחוז אחד מבקשות הייעוץ נענו בתוך ארבעה ימים או פחות. כמו כן, מסקר שביעות רצון של המועצה הישראלית לצרכנות עלה כי רמת שביעות הרצון הממוצעת של הצרכנים מהמענה של המועצה הישראלית לצרכנות על תלונתם ב-2021 עמדה על 2.9 (מתוך 5). מסקר שיתוף ציבור עלה כי 40% העידו על שביעות רצון נמוכה ו-25% העידו על שביעות רצון בינונית מהטיפול בתלונותיהם</w:t>
      </w:r>
      <w:r w:rsidRPr="0093709F">
        <w:rPr>
          <w:rFonts w:hint="cs"/>
          <w:rtl/>
        </w:rPr>
        <w:t xml:space="preserve">. </w:t>
      </w:r>
    </w:p>
    <w:p w:rsidR="00420374" w:rsidRPr="0093709F" w:rsidP="005C1F8E" w14:paraId="7C081EA1" w14:textId="101D443E">
      <w:pPr>
        <w:pStyle w:val="7392"/>
        <w:ind w:left="424"/>
      </w:pPr>
      <w:r w:rsidRPr="00B02658">
        <w:rPr>
          <w:rFonts w:hint="cs"/>
          <w:b/>
          <w:bCs/>
          <w:noProof/>
          <w:rtl/>
        </w:rPr>
        <w:drawing>
          <wp:anchor distT="0" distB="720090" distL="114300" distR="114300" simplePos="0" relativeHeight="251688960" behindDoc="1" locked="0" layoutInCell="1" allowOverlap="1">
            <wp:simplePos x="0" y="0"/>
            <wp:positionH relativeFrom="column">
              <wp:posOffset>4526752</wp:posOffset>
            </wp:positionH>
            <wp:positionV relativeFrom="paragraph">
              <wp:posOffset>29845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61CF" w:rsidR="00C661CF">
        <w:rPr>
          <w:b/>
          <w:bCs/>
          <w:rtl/>
        </w:rPr>
        <w:t>שיתופי פעולה בין הרשות להגנת הצרכן והמועצה הישראלית לצרכנות</w:t>
      </w:r>
      <w:r w:rsidRPr="008F68FB" w:rsidR="00C661CF">
        <w:rPr>
          <w:rtl/>
        </w:rPr>
        <w:t xml:space="preserve"> - עלה כי אין נוהל מוסכם לעבודה משותפת של הרשות להגנת הצרכן והמועצה הישראלית לצרכנות, ושיתוף הפעולה ביניהן אינו מתנהל על פי הנחיות מוגדרות</w:t>
      </w:r>
      <w:r w:rsidRPr="0093709F">
        <w:rPr>
          <w:rFonts w:hint="cs"/>
          <w:rtl/>
        </w:rPr>
        <w:t xml:space="preserve">. </w:t>
      </w:r>
    </w:p>
    <w:p w:rsidR="00420374" w:rsidRPr="0093709F" w:rsidP="005C1F8E" w14:paraId="5E8BF229" w14:textId="7005C501">
      <w:pPr>
        <w:pStyle w:val="7392"/>
        <w:ind w:left="424"/>
        <w:rPr>
          <w:rtl/>
        </w:rPr>
      </w:pPr>
      <w:r w:rsidRPr="00B02658">
        <w:rPr>
          <w:rFonts w:hint="cs"/>
          <w:b/>
          <w:bCs/>
          <w:noProof/>
          <w:rtl/>
        </w:rPr>
        <w:drawing>
          <wp:anchor distT="0" distB="720090" distL="114300" distR="114300" simplePos="0" relativeHeight="251689984" behindDoc="1" locked="0" layoutInCell="1" allowOverlap="1">
            <wp:simplePos x="0" y="0"/>
            <wp:positionH relativeFrom="column">
              <wp:posOffset>4526752</wp:posOffset>
            </wp:positionH>
            <wp:positionV relativeFrom="paragraph">
              <wp:posOffset>29845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61CF" w:rsidR="00C661CF">
        <w:rPr>
          <w:b/>
          <w:bCs/>
          <w:rtl/>
        </w:rPr>
        <w:t>טיפול בנק ישראל בתלונות צרכנים, בהונאות ובשימוש לרעה בכרטיסי אשראי</w:t>
      </w:r>
      <w:r w:rsidRPr="008F68FB" w:rsidR="00C661CF">
        <w:rPr>
          <w:rtl/>
        </w:rPr>
        <w:t xml:space="preserve"> - בנק ישראל לא טיפל בתלונות שהעבירה אליו המועצה לצרכנות ובהן מידע על הטעיה של צרכנים באמצעות כרטיסי אשראי, לרבות בדבר הונאות קשישים. כמו כן, בנק ישראל לא בדק בכל הנוגע לתלונות אלו את פעולות חברות כרטיסי האשראי לעצירת סליקה של עוסקים שהטעו צרכנים או ביצעו הונאות באמצעות כרטיסי אשראי, לרבות של קשישים. עוד עלה כי בנק ישראל לא קבע רשימת "דגלים אדומים" וסעיפי התנהגות מדידים המאפיינים עסקים החשודים כמבצעים הונאה, ולא קבע פעולות שעל חברות האשראי לנקוט כדי לבסס חשד סביר לגביהם, כדי שניתן יהיה להפסיק את הסליקה במידת הצורך. הבנק גם לא ביקש דיווחים ולא ביצע ביקורות בחברות הסליקה לבחינת המשטר התאגידי שהנהיגו לעצירת סליקה לעסקים הפועלים תוך הונאה ועמידתן במשטר זה, ולא בחן את טיפול המנפיקים בבקשות צרכנים לביטולי עסקאות, לרבות מדיניותם, מערכותיהם, נוהליהם וטיפולם בסיכון האשראי הנובע מכך. עוד נמצא כי בנק ישראל לא הציב דרישות פיקוחיות פרטניות למנפיקים </w:t>
      </w:r>
      <w:r w:rsidRPr="008F68FB" w:rsidR="00C661CF">
        <w:rPr>
          <w:rtl/>
        </w:rPr>
        <w:t>ולסולקים</w:t>
      </w:r>
      <w:r w:rsidRPr="008F68FB" w:rsidR="00C661CF">
        <w:rPr>
          <w:rtl/>
        </w:rPr>
        <w:t xml:space="preserve"> בתחומים האמורים</w:t>
      </w:r>
      <w:r w:rsidRPr="0093709F">
        <w:rPr>
          <w:rFonts w:hint="cs"/>
          <w:rtl/>
        </w:rPr>
        <w:t>.</w:t>
      </w:r>
    </w:p>
    <w:p w:rsidR="00C661CF" w:rsidP="005C1F8E" w14:paraId="44D6E5A8" w14:textId="1574870C">
      <w:pPr>
        <w:pStyle w:val="7392"/>
        <w:ind w:left="424"/>
        <w:rPr>
          <w:noProof/>
        </w:rPr>
      </w:pPr>
      <w:r w:rsidRPr="00B02658">
        <w:rPr>
          <w:rFonts w:hint="cs"/>
          <w:b/>
          <w:bCs/>
          <w:noProof/>
          <w:rtl/>
        </w:rPr>
        <w:drawing>
          <wp:anchor distT="0" distB="720090" distL="114300" distR="114300" simplePos="0" relativeHeight="251691008" behindDoc="1" locked="0" layoutInCell="1" allowOverlap="1">
            <wp:simplePos x="0" y="0"/>
            <wp:positionH relativeFrom="column">
              <wp:posOffset>4526752</wp:posOffset>
            </wp:positionH>
            <wp:positionV relativeFrom="paragraph">
              <wp:posOffset>29845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61CF">
        <w:rPr>
          <w:rStyle w:val="7372"/>
          <w:rtl/>
        </w:rPr>
        <w:t>רגולציה לגבי קריאה להחזרה (</w:t>
      </w:r>
      <w:r w:rsidRPr="00C661CF">
        <w:rPr>
          <w:rStyle w:val="7372"/>
          <w:rtl/>
        </w:rPr>
        <w:t>ריקול</w:t>
      </w:r>
      <w:r w:rsidRPr="00C661CF">
        <w:rPr>
          <w:rStyle w:val="7372"/>
          <w:rtl/>
        </w:rPr>
        <w:t>)</w:t>
      </w:r>
      <w:r w:rsidRPr="008F68FB">
        <w:rPr>
          <w:rtl/>
        </w:rPr>
        <w:t xml:space="preserve"> - בישראל אין נוהל קריאה להחזרה של מוצרים שמסדיר את הכללים ואבני הדרך לאיסוף מוצרים אלה ולטיפול בהם, כפי שהדבר נעשה בתקן 10393 הבין-לאומי, ואין אחידות בהנחיות לקריאה להחזרה של המוצרים השונים. כמו כן, אין רגולציה המחייבת מתן סעד בעת קריאה להחזרה - העסק אינו מחויב לתת פיצוי לצרכן, ואופן איסוף המוצרים מהצרכנים אינו מוסדר. כמו כן, עלה כי קיימים בשוק מוצרים שתקן רשמי לא חל עליהם. במקרים אלה אין לממונה על התקינה סמכות לחייב </w:t>
      </w:r>
      <w:r w:rsidRPr="008F68FB">
        <w:rPr>
          <w:rtl/>
        </w:rPr>
        <w:t>את הספק לבצע קריאה להחזרה, והוא לא מפרסם מוצרים אלה באתר האינטרנט של משרד הכלכלה. במוצרים אלו הספק אינו מחויב בדיווח לממונה על התקינה ואין מי שמבטיח כי שיווק המוצר נפסק, שהמוצר נאסף ומושמד</w:t>
      </w:r>
      <w:r w:rsidR="00821B49">
        <w:rPr>
          <w:rFonts w:hint="cs"/>
          <w:rtl/>
        </w:rPr>
        <w:t>.</w:t>
      </w:r>
    </w:p>
    <w:p w:rsidR="00420374" w:rsidP="005C1F8E" w14:paraId="39D5E97C" w14:textId="326ED05A">
      <w:pPr>
        <w:pStyle w:val="7392"/>
        <w:ind w:left="424"/>
        <w:rPr>
          <w:noProof/>
        </w:rPr>
      </w:pPr>
      <w:r w:rsidRPr="00B02658">
        <w:rPr>
          <w:rFonts w:hint="cs"/>
          <w:b/>
          <w:bCs/>
          <w:noProof/>
          <w:rtl/>
        </w:rPr>
        <w:drawing>
          <wp:anchor distT="0" distB="720090" distL="114300" distR="114300" simplePos="0" relativeHeight="251692032" behindDoc="1" locked="0" layoutInCell="1" allowOverlap="1">
            <wp:simplePos x="0" y="0"/>
            <wp:positionH relativeFrom="column">
              <wp:posOffset>4526752</wp:posOffset>
            </wp:positionH>
            <wp:positionV relativeFrom="paragraph">
              <wp:posOffset>19685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5106662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F68FB" w:rsidR="00C661CF">
        <w:rPr>
          <w:b/>
          <w:bCs/>
          <w:rtl/>
        </w:rPr>
        <w:t>מודעות הצרכנים לזכויותיהם הצרכניות - מסקר שיתוף ציבור עלו בין היתר הממצאים הבאים: (א) ביטול תשלומים בכרטיס אשראי:</w:t>
      </w:r>
      <w:r w:rsidRPr="008F68FB" w:rsidR="00C661CF">
        <w:rPr>
          <w:rtl/>
        </w:rPr>
        <w:t xml:space="preserve"> כ-77% מהמשיבים אינם מודעים לתנאים המתירים להם לעצור תשלומים בכרטיסי אשראי, כ-34% מאלו שביקשו לבטל עסקה בכרטיס אשראי לא פנו לשום גוף, וכ-13% מהם לא ידעו למי לפנות או לא הכירו את זכויותיהם. </w:t>
      </w:r>
      <w:r w:rsidRPr="008F68FB" w:rsidR="00C661CF">
        <w:rPr>
          <w:rFonts w:hint="cs"/>
          <w:rtl/>
        </w:rPr>
        <w:t>כך נמצא כי</w:t>
      </w:r>
      <w:r w:rsidRPr="008F68FB" w:rsidR="00C661CF">
        <w:rPr>
          <w:rtl/>
        </w:rPr>
        <w:t xml:space="preserve">, לא פורסם לציבור באמצעי התקשורת מידע על פעילות היחידה לפניות הציבור בחטיבת הפיקוח על הבנקים שבבנק ישראל, בנושא "כשל תמורה" ו"הכחשת עסקה"; </w:t>
      </w:r>
      <w:r w:rsidRPr="008F68FB" w:rsidR="00C661CF">
        <w:rPr>
          <w:b/>
          <w:bCs/>
          <w:rtl/>
        </w:rPr>
        <w:t>(ב) התנתקות משירות:</w:t>
      </w:r>
      <w:r w:rsidRPr="008F68FB" w:rsidR="00C661CF">
        <w:rPr>
          <w:rtl/>
        </w:rPr>
        <w:t xml:space="preserve"> לרשות ולמועצה הוגשו כ-1,300 תלונות בנושא התנתקות משירות בשנים 2017 - 2021. בסקר שיתוף ציבור עלה כי 48% מהמשיבים אינם מודעים לזכויותיהם בנוגע להתנתקות משירות, ובכלל זאת האפשרות לקבלת סעדים ללא הוכחת נזק שבתי משפט רשאים לפסוק לטובתם; </w:t>
      </w:r>
      <w:r w:rsidRPr="008F68FB" w:rsidR="00C661CF">
        <w:rPr>
          <w:b/>
          <w:bCs/>
          <w:rtl/>
        </w:rPr>
        <w:t>(ג) "איחור בהגעת טכנאי":</w:t>
      </w:r>
      <w:r w:rsidRPr="008F68FB" w:rsidR="00C661CF">
        <w:rPr>
          <w:rtl/>
        </w:rPr>
        <w:t xml:space="preserve"> בסקר עלה כי 38% מהמשיבים אינם מודעים לזכויותיהם לקבלת סעדים במקרה של איחור בקבלת שירות. </w:t>
      </w:r>
      <w:r w:rsidRPr="008F68FB" w:rsidR="00C661CF">
        <w:rPr>
          <w:b/>
          <w:bCs/>
          <w:rtl/>
        </w:rPr>
        <w:t>(ד) זמן המתנה למענה טלפוני:</w:t>
      </w:r>
      <w:r w:rsidRPr="008F68FB" w:rsidR="00C661CF">
        <w:rPr>
          <w:rtl/>
        </w:rPr>
        <w:t xml:space="preserve"> בבדיקת צוות הביקורת עלה כי ספקי השירות בתחום האינטרנט לא עמדו בהוראות החוק למענה טלפוני ב-22% מהמקרים, וספקי השירות בתחום המים והביוב - ב25%. בסקר שיתוף ציבור עלה כי 65% מהמשיבים אינם מודעים לחובה לתת מענה אנושי בטלפון בתוך שש דקות</w:t>
      </w:r>
      <w:r w:rsidRPr="0093709F">
        <w:rPr>
          <w:rFonts w:hint="cs"/>
          <w:rtl/>
        </w:rPr>
        <w:t>.</w:t>
      </w:r>
    </w:p>
    <w:p w:rsidR="00C661CF" w:rsidP="005C1F8E" w14:paraId="28043AFE" w14:textId="44F254EA">
      <w:pPr>
        <w:pStyle w:val="7392"/>
        <w:ind w:left="424"/>
        <w:rPr>
          <w:noProof/>
          <w:rtl/>
        </w:rPr>
      </w:pPr>
      <w:r w:rsidRPr="00C661CF">
        <w:rPr>
          <w:rStyle w:val="7372"/>
          <w:rFonts w:hint="cs"/>
          <w:noProof/>
          <w:rtl/>
        </w:rPr>
        <w:drawing>
          <wp:anchor distT="0" distB="0" distL="114300" distR="114300" simplePos="0" relativeHeight="251681792" behindDoc="0" locked="0" layoutInCell="1" allowOverlap="1">
            <wp:simplePos x="0" y="0"/>
            <wp:positionH relativeFrom="column">
              <wp:posOffset>2453640</wp:posOffset>
            </wp:positionH>
            <wp:positionV relativeFrom="paragraph">
              <wp:posOffset>2093595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B02658" w:rsidR="005C1F8E">
        <w:rPr>
          <w:rFonts w:hint="cs"/>
          <w:b/>
          <w:bCs/>
          <w:noProof/>
          <w:rtl/>
        </w:rPr>
        <w:drawing>
          <wp:anchor distT="0" distB="720090" distL="114300" distR="114300" simplePos="0" relativeHeight="251693056" behindDoc="1" locked="0" layoutInCell="1" allowOverlap="1">
            <wp:simplePos x="0" y="0"/>
            <wp:positionH relativeFrom="column">
              <wp:posOffset>4526752</wp:posOffset>
            </wp:positionH>
            <wp:positionV relativeFrom="paragraph">
              <wp:posOffset>19685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4510666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661CF">
        <w:rPr>
          <w:b/>
          <w:bCs/>
          <w:rtl/>
        </w:rPr>
        <w:t>נגישות אתרי האינטרנט של הרשות להגנת הצרכן והמועצה לצרכנות ל</w:t>
      </w:r>
      <w:r w:rsidRPr="00C661CF">
        <w:rPr>
          <w:rFonts w:hint="cs"/>
          <w:b/>
          <w:bCs/>
          <w:rtl/>
        </w:rPr>
        <w:t>ציבור</w:t>
      </w:r>
      <w:r>
        <w:rPr>
          <w:rFonts w:hint="cs"/>
          <w:rtl/>
        </w:rPr>
        <w:t xml:space="preserve"> </w:t>
      </w:r>
      <w:r w:rsidRPr="008F68FB">
        <w:rPr>
          <w:rtl/>
        </w:rPr>
        <w:t>- מבדיקת משרד מבקר המדינה עלה קושי להגיש תלונות ע"י אנשים עם מוגבלות באתרי האינטרנט של הרשות להגנת הצרכן והמועצה לצרכנות. כך לדוגמה, עלה כי באתר הרשות יש קושי במילוי פרטי הפנייה ופרטי הפונה ובסיום הגשת התלונה לא ידע הפונה אם הצליח להגיש את הפנייה; באתר המועצה עלו קשיים להגיע עצמאית לעמוד שבו מגישים את התלונה המקוונת, ולהזין בטופס התלונה כמה שדות של פרטים אישיים. עוד עלה כי אתר המועצה אינו מותאם לגלישה באמצעות מכשירי טלפון ניידים. כמו כן, אתרי הרשות והמועצה מתורגמים לערבית באופן חלקי ואינם כוללים את מלוא המידע. בנוסף עלה כי אין אתר ממשלתי אחוד ומרכזי בו הצרכן יכול להגיש את תלונתו. מצב הדברים שבו לצרכן הישראלי אפשרות להגיש את התלונה לשני גופים ממשלתיים ויותר, שכל אחד מהם מחייב מילוי פרטים שונים על התלונה אינו מתיישב עם המדיניות של הממשלה להקטנת הנטל הבירוקרטי</w:t>
      </w:r>
    </w:p>
    <w:p w:rsidR="00420374" w:rsidRPr="00411396" w:rsidP="00420374" w14:paraId="5E6B04AD" w14:textId="31C0EDD3">
      <w:pPr>
        <w:pStyle w:val="7392"/>
        <w:spacing w:before="360"/>
        <w:rPr>
          <w:rtl/>
        </w:rPr>
      </w:pPr>
      <w:r w:rsidRPr="008F68FB">
        <w:rPr>
          <w:rtl/>
        </w:rPr>
        <w:t xml:space="preserve">בשבעת הענפים שבהם פעלה הרשות להגנת הצרכן היא </w:t>
      </w:r>
      <w:r w:rsidRPr="008F68FB">
        <w:rPr>
          <w:rtl/>
        </w:rPr>
        <w:t>אמדה</w:t>
      </w:r>
      <w:r w:rsidRPr="008F68FB">
        <w:rPr>
          <w:rtl/>
        </w:rPr>
        <w:t xml:space="preserve"> באופן מדיד את השפעת פעולותיה על העוסקים ומצאה כי ירדה שכיחות ההפרות, עלה רצון העוסקים לעבור לאכיפה עצמית ואף מוגרו תופעות של עוקץ</w:t>
      </w:r>
      <w:r w:rsidRPr="00411396">
        <w:rPr>
          <w:rtl/>
        </w:rPr>
        <w:t>.</w:t>
      </w:r>
    </w:p>
    <w:p w:rsidR="00420374" w:rsidRPr="00411396" w:rsidP="00420374" w14:paraId="4A9F3764" w14:textId="168B70FA">
      <w:pPr>
        <w:pStyle w:val="7392"/>
        <w:rPr>
          <w:rtl/>
        </w:rPr>
      </w:pPr>
      <w:r w:rsidRPr="008F68FB">
        <w:rPr>
          <w:rtl/>
        </w:rPr>
        <w:t>מועדון צרכנים קרנות השוטרים מבצע מיצוי זכויות אקטיבי ומחזיר לעמיתיו במועדון כספים בגין שוברים שלא מומשו על ידם</w:t>
      </w:r>
      <w:r w:rsidRPr="00411396">
        <w:rPr>
          <w:rFonts w:hint="cs"/>
          <w:rtl/>
        </w:rPr>
        <w:t>.</w:t>
      </w:r>
    </w:p>
    <w:p w:rsidR="002753C7" w:rsidRPr="00662020" w:rsidP="00CC2D4D" w14:paraId="7C748CCB" w14:textId="77777777">
      <w:pPr>
        <w:pStyle w:val="7327"/>
        <w:spacing w:before="480" w:after="240"/>
        <w:rPr>
          <w:rtl/>
        </w:rPr>
      </w:pPr>
      <w:r w:rsidRPr="00662020">
        <w:rPr>
          <w:rFonts w:hint="cs"/>
          <w:rtl/>
        </w:rPr>
        <w:t>עיקרי המלצות הביקורת</w:t>
      </w:r>
    </w:p>
    <w:p w:rsidR="0093709F" w:rsidP="00CC2D4D" w14:paraId="0466320B" w14:textId="6D221321">
      <w:pPr>
        <w:pStyle w:val="7317"/>
        <w:ind w:left="566"/>
      </w:pPr>
      <w:r w:rsidRPr="00B02658">
        <w:rPr>
          <w:rFonts w:hint="cs"/>
          <w:b/>
          <w:bCs/>
          <w:noProof/>
          <w:rtl/>
        </w:rPr>
        <w:drawing>
          <wp:anchor distT="0" distB="1440180" distL="107950" distR="114300" simplePos="0" relativeHeight="251695104" behindDoc="1" locked="0" layoutInCell="1" allowOverlap="1">
            <wp:simplePos x="0" y="0"/>
            <wp:positionH relativeFrom="column">
              <wp:posOffset>4503420</wp:posOffset>
            </wp:positionH>
            <wp:positionV relativeFrom="paragraph">
              <wp:posOffset>30986</wp:posOffset>
            </wp:positionV>
            <wp:extent cx="144000" cy="162000"/>
            <wp:effectExtent l="0" t="0" r="0" b="3175"/>
            <wp:wrapTight wrapText="bothSides">
              <wp:wrapPolygon>
                <wp:start x="1912" y="0"/>
                <wp:lineTo x="0" y="1694"/>
                <wp:lineTo x="0" y="20329"/>
                <wp:lineTo x="19115" y="20329"/>
                <wp:lineTo x="19115" y="0"/>
                <wp:lineTo x="1912" y="0"/>
              </wp:wrapPolygon>
            </wp:wrapTight>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68FB" w:rsidR="00C661CF">
        <w:rPr>
          <w:rtl/>
        </w:rPr>
        <w:t>נוכח רמת המודעות הנמוכה של הצרכנים לפעילות הרשות להגנת הצרכן (34%) ומהמועצה לצרכנות (37%), מוצע כי שר הכלכלה יבחן אילו צעדים לנקוט כדי להביא לידיעת הציבור את דבר פעילותן</w:t>
      </w:r>
      <w:r w:rsidRPr="008E57FE" w:rsidR="005D0F8C">
        <w:rPr>
          <w:rFonts w:hint="cs"/>
          <w:rtl/>
        </w:rPr>
        <w:t xml:space="preserve">. </w:t>
      </w:r>
    </w:p>
    <w:p w:rsidR="005D0F8C" w:rsidRPr="008E57FE" w:rsidP="00CC2D4D" w14:paraId="6C626C68" w14:textId="0E83A21D">
      <w:pPr>
        <w:pStyle w:val="7317"/>
        <w:ind w:left="566"/>
      </w:pPr>
      <w:r w:rsidRPr="00B02658">
        <w:rPr>
          <w:rFonts w:hint="cs"/>
          <w:b/>
          <w:bCs/>
          <w:noProof/>
          <w:rtl/>
        </w:rPr>
        <w:drawing>
          <wp:anchor distT="0" distB="1440180" distL="107950" distR="114300" simplePos="0" relativeHeight="251696128" behindDoc="1" locked="0" layoutInCell="1" allowOverlap="1">
            <wp:simplePos x="0" y="0"/>
            <wp:positionH relativeFrom="column">
              <wp:posOffset>4503420</wp:posOffset>
            </wp:positionH>
            <wp:positionV relativeFrom="paragraph">
              <wp:posOffset>30986</wp:posOffset>
            </wp:positionV>
            <wp:extent cx="144000" cy="162000"/>
            <wp:effectExtent l="0" t="0" r="0" b="3175"/>
            <wp:wrapTight wrapText="bothSides">
              <wp:wrapPolygon>
                <wp:start x="1912" y="0"/>
                <wp:lineTo x="0" y="1694"/>
                <wp:lineTo x="0" y="20329"/>
                <wp:lineTo x="19115" y="20329"/>
                <wp:lineTo x="19115" y="0"/>
                <wp:lineTo x="1912" y="0"/>
              </wp:wrapPolygon>
            </wp:wrapTight>
            <wp:docPr id="145106662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6"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68FB" w:rsidR="00C661CF">
        <w:rPr>
          <w:rtl/>
        </w:rPr>
        <w:t>מוצע כי הרשות והמועצה יבחנו את רמת שביעות הרצון הנמוכה באופן יחסי המשתקפת בסקרים שנעשו בעניין זה, ויפעלו לשיפור מתן השירות לצרכנים</w:t>
      </w:r>
      <w:r w:rsidRPr="008E57FE">
        <w:rPr>
          <w:rtl/>
        </w:rPr>
        <w:t xml:space="preserve">. </w:t>
      </w:r>
    </w:p>
    <w:p w:rsidR="005D0F8C" w:rsidP="00CC2D4D" w14:paraId="16E5BFEE" w14:textId="19134A41">
      <w:pPr>
        <w:pStyle w:val="7317"/>
        <w:ind w:left="566"/>
        <w:rPr>
          <w:rtl/>
        </w:rPr>
      </w:pPr>
      <w:r w:rsidRPr="00B02658">
        <w:rPr>
          <w:rFonts w:hint="cs"/>
          <w:b/>
          <w:bCs/>
          <w:noProof/>
          <w:rtl/>
        </w:rPr>
        <w:drawing>
          <wp:anchor distT="0" distB="1440180" distL="107950" distR="114300" simplePos="0" relativeHeight="251697152" behindDoc="1" locked="0" layoutInCell="1" allowOverlap="1">
            <wp:simplePos x="0" y="0"/>
            <wp:positionH relativeFrom="column">
              <wp:posOffset>4503420</wp:posOffset>
            </wp:positionH>
            <wp:positionV relativeFrom="paragraph">
              <wp:posOffset>30986</wp:posOffset>
            </wp:positionV>
            <wp:extent cx="144000" cy="162000"/>
            <wp:effectExtent l="0" t="0" r="0" b="3175"/>
            <wp:wrapTight wrapText="bothSides">
              <wp:wrapPolygon>
                <wp:start x="1912" y="0"/>
                <wp:lineTo x="0" y="1694"/>
                <wp:lineTo x="0" y="20329"/>
                <wp:lineTo x="19115" y="20329"/>
                <wp:lineTo x="19115" y="0"/>
                <wp:lineTo x="1912" y="0"/>
              </wp:wrapPolygon>
            </wp:wrapTight>
            <wp:docPr id="14510666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68FB" w:rsidR="00C661CF">
        <w:rPr>
          <w:rtl/>
        </w:rPr>
        <w:t>מומלץ כי הרשות להגנת הצרכן והמועצה לצרכנות יבחנו את היעדר התיאום ושיתוף הפעולה ביניהן, את אי-ההבחנה של הצרכנים ביניהן לגבי טיפול בתלונות, ואת מורכבותו של תהליך הגשת תלונה.</w:t>
      </w:r>
      <w:r w:rsidRPr="0070544B" w:rsidR="00C661CF">
        <w:rPr>
          <w:rtl/>
        </w:rPr>
        <w:t xml:space="preserve"> </w:t>
      </w:r>
      <w:r w:rsidRPr="008F68FB" w:rsidR="00C661CF">
        <w:rPr>
          <w:rtl/>
        </w:rPr>
        <w:t>עוד מומלץ כי שר הכלכלה, האמון על יישום חוק הגנת הצרכן וחוק המועצה, יוודא כי שיתוף פעולה זה מתקיים. על שר הכלכלה לבחון דרכים שיבטיחו שיתוף פעולה, תיאום ויצירת ממשקים בין הרשות, המועצה וגופי ממשלה אחרים, בין השאר מומלץ לבחון הקמת אתר אינטרנט אחוד לפניות הצרכנים</w:t>
      </w:r>
      <w:r w:rsidRPr="008E57FE">
        <w:rPr>
          <w:rFonts w:hint="cs"/>
          <w:rtl/>
        </w:rPr>
        <w:t>.</w:t>
      </w:r>
    </w:p>
    <w:p w:rsidR="00706096" w:rsidP="00CC2D4D" w14:paraId="3F6A2BE4" w14:textId="2AB01844">
      <w:pPr>
        <w:pStyle w:val="7317"/>
        <w:ind w:left="566"/>
        <w:rPr>
          <w:rtl/>
        </w:rPr>
      </w:pPr>
      <w:r w:rsidRPr="00B02658">
        <w:rPr>
          <w:rFonts w:hint="cs"/>
          <w:b/>
          <w:bCs/>
          <w:noProof/>
          <w:rtl/>
        </w:rPr>
        <w:drawing>
          <wp:anchor distT="0" distB="1440180" distL="107950" distR="114300" simplePos="0" relativeHeight="251698176" behindDoc="1" locked="0" layoutInCell="1" allowOverlap="1">
            <wp:simplePos x="0" y="0"/>
            <wp:positionH relativeFrom="column">
              <wp:posOffset>4503420</wp:posOffset>
            </wp:positionH>
            <wp:positionV relativeFrom="paragraph">
              <wp:posOffset>30986</wp:posOffset>
            </wp:positionV>
            <wp:extent cx="144000" cy="162000"/>
            <wp:effectExtent l="0" t="0" r="0" b="3175"/>
            <wp:wrapTight wrapText="bothSides">
              <wp:wrapPolygon>
                <wp:start x="1912" y="0"/>
                <wp:lineTo x="0" y="1694"/>
                <wp:lineTo x="0" y="20329"/>
                <wp:lineTo x="19115" y="20329"/>
                <wp:lineTo x="19115" y="0"/>
                <wp:lineTo x="1912"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68FB" w:rsidR="00C661CF">
        <w:rPr>
          <w:rtl/>
        </w:rPr>
        <w:t>מוצע שמועדון הפיס, מועדון "ביחד בשבילך", מועדון "טוב" ומועדון "חבר", ישקלו לנקוט בפעולות יזומות (אף אם אין הוראה חוקית מפורשת בחוק מלבד הוראות עשית עושר שאינו במשפט) במסגרת כללי ההגינות המסחרית, ולפעול באופן יזום להשבת לפחות חלק בכספים ששילמו העמיתים, הנאמדים בכ-6.3 מיליוני ש"ח, בגין שוברים שפג תוקפם</w:t>
      </w:r>
      <w:r w:rsidRPr="008E57FE">
        <w:rPr>
          <w:rFonts w:hint="cs"/>
          <w:rtl/>
        </w:rPr>
        <w:t>.</w:t>
      </w:r>
    </w:p>
    <w:p w:rsidR="00706096" w:rsidRPr="00662020" w:rsidP="00CC2D4D" w14:paraId="36B4D251" w14:textId="4DEFB228">
      <w:pPr>
        <w:pStyle w:val="ListParagraph"/>
        <w:widowControl w:val="0"/>
        <w:spacing w:after="180" w:line="276" w:lineRule="auto"/>
        <w:ind w:left="566"/>
        <w:rPr>
          <w:rFonts w:ascii="Tahoma" w:hAnsi="Tahoma" w:cs="Tahoma"/>
          <w:color w:val="0D0D0D" w:themeColor="text1" w:themeTint="F2"/>
          <w:sz w:val="18"/>
          <w:szCs w:val="18"/>
        </w:rPr>
      </w:pPr>
      <w:r w:rsidRPr="00B02658">
        <w:rPr>
          <w:rFonts w:hint="cs"/>
          <w:b/>
          <w:bCs/>
          <w:noProof/>
          <w:rtl/>
        </w:rPr>
        <w:drawing>
          <wp:anchor distT="0" distB="1440180" distL="107950" distR="114300" simplePos="0" relativeHeight="251699200" behindDoc="1" locked="0" layoutInCell="1" allowOverlap="1">
            <wp:simplePos x="0" y="0"/>
            <wp:positionH relativeFrom="column">
              <wp:posOffset>4503420</wp:posOffset>
            </wp:positionH>
            <wp:positionV relativeFrom="paragraph">
              <wp:posOffset>23366</wp:posOffset>
            </wp:positionV>
            <wp:extent cx="144000" cy="162000"/>
            <wp:effectExtent l="0" t="0" r="0" b="3175"/>
            <wp:wrapTight wrapText="bothSides">
              <wp:wrapPolygon>
                <wp:start x="1912" y="0"/>
                <wp:lineTo x="0" y="1694"/>
                <wp:lineTo x="0" y="20329"/>
                <wp:lineTo x="19115" y="20329"/>
                <wp:lineTo x="19115" y="0"/>
                <wp:lineTo x="1912" y="0"/>
              </wp:wrapPolygon>
            </wp:wrapTight>
            <wp:docPr id="14510666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68FB" w:rsidR="00C661CF">
        <w:rPr>
          <w:rFonts w:ascii="Tahoma" w:hAnsi="Tahoma" w:cs="Tahoma"/>
          <w:sz w:val="18"/>
          <w:szCs w:val="18"/>
          <w:rtl/>
        </w:rPr>
        <w:t xml:space="preserve">על בנק ישראל לפעול בכלים שעומדים לרשותו לטיפול בתלונות בדבר עצירת חיובים שמקורם בהונאות בכרטיסי אשראי, ובפרט במקרים של הונאה שיטתית כלפי קשישים ואוכלוסיות ראויות לקידום. מומלץ כי חטיבת הפיקוח על הבנקים תמסד ממשקים באופן עיתי עם המועצה לצרכנות והרשות להגנת הצרכן כדי לקבל מהן סיוע בבירור תלונות אלה ובטיפול בהן. מומלץ לבנק ישראל לבצע ביקורות יזומות אצל המנפיקים </w:t>
      </w:r>
      <w:r w:rsidRPr="008F68FB" w:rsidR="00C661CF">
        <w:rPr>
          <w:rFonts w:ascii="Tahoma" w:hAnsi="Tahoma" w:cs="Tahoma"/>
          <w:sz w:val="18"/>
          <w:szCs w:val="18"/>
          <w:rtl/>
        </w:rPr>
        <w:t>והסולקים</w:t>
      </w:r>
      <w:r w:rsidRPr="008F68FB" w:rsidR="00C661CF">
        <w:rPr>
          <w:rFonts w:ascii="Tahoma" w:hAnsi="Tahoma" w:cs="Tahoma"/>
          <w:sz w:val="18"/>
          <w:szCs w:val="18"/>
          <w:rtl/>
        </w:rPr>
        <w:t xml:space="preserve"> בנושא עצירת פעולות הסליקה לעסקים הפועלים להטעיה ולהונאה בכרטיסי אשראי</w:t>
      </w:r>
      <w:r w:rsidRPr="00662020">
        <w:rPr>
          <w:rFonts w:ascii="Tahoma" w:hAnsi="Tahoma" w:cs="Tahoma" w:hint="cs"/>
          <w:color w:val="0D0D0D" w:themeColor="text1" w:themeTint="F2"/>
          <w:sz w:val="18"/>
          <w:szCs w:val="18"/>
          <w:rtl/>
        </w:rPr>
        <w:t>.</w:t>
      </w:r>
    </w:p>
    <w:p w:rsidR="00706096" w:rsidP="00CC2D4D" w14:paraId="30F30DD7" w14:textId="1AD5C2A2">
      <w:pPr>
        <w:pStyle w:val="7317"/>
        <w:ind w:left="566"/>
        <w:rPr>
          <w:rtl/>
        </w:rPr>
      </w:pPr>
      <w:r w:rsidRPr="00B02658">
        <w:rPr>
          <w:rFonts w:hint="cs"/>
          <w:b/>
          <w:bCs/>
          <w:noProof/>
          <w:rtl/>
        </w:rPr>
        <w:drawing>
          <wp:anchor distT="0" distB="1440180" distL="107950" distR="114300" simplePos="0" relativeHeight="251700224" behindDoc="1" locked="0" layoutInCell="1" allowOverlap="1">
            <wp:simplePos x="0" y="0"/>
            <wp:positionH relativeFrom="column">
              <wp:posOffset>4503420</wp:posOffset>
            </wp:positionH>
            <wp:positionV relativeFrom="paragraph">
              <wp:posOffset>30986</wp:posOffset>
            </wp:positionV>
            <wp:extent cx="144000" cy="162000"/>
            <wp:effectExtent l="0" t="0" r="0" b="3175"/>
            <wp:wrapTight wrapText="bothSides">
              <wp:wrapPolygon>
                <wp:start x="1912" y="0"/>
                <wp:lineTo x="0" y="1694"/>
                <wp:lineTo x="0" y="20329"/>
                <wp:lineTo x="19115" y="20329"/>
                <wp:lineTo x="19115" y="0"/>
                <wp:lineTo x="1912" y="0"/>
              </wp:wrapPolygon>
            </wp:wrapTight>
            <wp:docPr id="14510666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F68FB" w:rsidR="00C661CF">
        <w:rPr>
          <w:rtl/>
        </w:rPr>
        <w:t>סימון המחירים הדיגיטלי עשוי לחסוך עלויות לקמעונאים ומקובל במדינות שונות בעולם. לצד זאת, מומלץ כי משרד הכלכלה, הרשות להגנת הצרכן והמועצה לצרכנות יוודאו שהמתכונת שתיקבע תשמור על אינטרס הצרכנים. עליהם לוודא כי שינוי שיטת הסימון לא יהיה כר פורה למניפולציות במחירים לרעת הצרכנים, וכי החיסכון בעלויות יגולגל גם לצרכנים. כמו כן נדרש לתת את הדעת על נגישות לכלל האוכלוסייה, ובפרט אוכלוסייה מבוגרת, אוכלוסייה שאינה דוברת עברית ואנשים עם מוגבלות. על משרד הכלכלה, הרשות להגנת הצרכן והמועצה לצרכנות להמשיך לוודא כי השינוי בשיטת סימון המחירים עומד בהוראות חוק שוויון זכויות ובפרט בכל הנוגע לנגישות אנשים עם מוגבלות</w:t>
      </w:r>
      <w:r w:rsidRPr="008E57FE">
        <w:rPr>
          <w:rFonts w:hint="cs"/>
          <w:rtl/>
        </w:rPr>
        <w:t>.</w:t>
      </w:r>
    </w:p>
    <w:p w:rsidR="00C661CF" w14:paraId="647E362E" w14:textId="77777777">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rsidR="005D0F8C" w:rsidP="00706096" w14:paraId="24125138" w14:textId="01F8E92B">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-71733</wp:posOffset>
            </wp:positionH>
            <wp:positionV relativeFrom="paragraph">
              <wp:posOffset>178762</wp:posOffset>
            </wp:positionV>
            <wp:extent cx="4731385" cy="763051"/>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5921" cy="76539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123759</wp:posOffset>
                </wp:positionH>
                <wp:positionV relativeFrom="paragraph">
                  <wp:posOffset>273358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7A30C25C">
                            <w:pPr>
                              <w:spacing w:line="240" w:lineRule="auto"/>
                              <w:ind w:right="113"/>
                              <w:suppressOverlap/>
                              <w:jc w:val="left"/>
                              <w:rPr>
                                <w:rFonts w:ascii="Tahoma" w:hAnsi="Tahoma" w:cs="Tahoma"/>
                                <w:b/>
                                <w:bCs/>
                                <w:color w:val="FFFFFF" w:themeColor="background1"/>
                                <w:spacing w:val="-4"/>
                                <w:sz w:val="22"/>
                                <w:szCs w:val="22"/>
                                <w:rtl/>
                              </w:rPr>
                            </w:pPr>
                            <w:r w:rsidRPr="00821B49">
                              <w:rPr>
                                <w:rFonts w:ascii="Tahoma" w:hAnsi="Tahoma" w:cs="Tahoma"/>
                                <w:b/>
                                <w:bCs/>
                                <w:color w:val="FFFFFF" w:themeColor="background1"/>
                                <w:spacing w:val="-4"/>
                                <w:sz w:val="22"/>
                                <w:szCs w:val="22"/>
                                <w:rtl/>
                              </w:rPr>
                              <w:t>הגופים שהציבור חושב שניתן לפנות אליהם לגבי עוולה צרכנית (באחוזים)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6" type="#_x0000_t202" style="width:349.35pt;height:34.25pt;margin-top:21.5pt;margin-left:9.7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7A30C25C">
                      <w:pPr>
                        <w:spacing w:line="240" w:lineRule="auto"/>
                        <w:ind w:right="113"/>
                        <w:suppressOverlap/>
                        <w:jc w:val="left"/>
                        <w:rPr>
                          <w:rFonts w:ascii="Tahoma" w:hAnsi="Tahoma" w:cs="Tahoma"/>
                          <w:b/>
                          <w:bCs/>
                          <w:color w:val="FFFFFF" w:themeColor="background1"/>
                          <w:spacing w:val="-4"/>
                          <w:sz w:val="22"/>
                          <w:szCs w:val="22"/>
                          <w:rtl/>
                        </w:rPr>
                      </w:pPr>
                      <w:r w:rsidRPr="00821B49">
                        <w:rPr>
                          <w:rFonts w:ascii="Tahoma" w:hAnsi="Tahoma" w:cs="Tahoma"/>
                          <w:b/>
                          <w:bCs/>
                          <w:color w:val="FFFFFF" w:themeColor="background1"/>
                          <w:spacing w:val="-4"/>
                          <w:sz w:val="22"/>
                          <w:szCs w:val="22"/>
                          <w:rtl/>
                        </w:rPr>
                        <w:t>הגופים שהציבור חושב שניתן לפנות אליהם לגבי עוולה צרכנית (באחוזים)</w:t>
                      </w:r>
                    </w:p>
                  </w:txbxContent>
                </v:textbox>
              </v:shape>
            </w:pict>
          </mc:Fallback>
        </mc:AlternateContent>
      </w:r>
    </w:p>
    <w:p w:rsidR="005D0F8C" w:rsidP="005D0F8C" w14:paraId="6DC28C4F" w14:textId="24CF69CC">
      <w:pPr>
        <w:pStyle w:val="7317"/>
        <w:rPr>
          <w:rtl/>
        </w:rPr>
      </w:pPr>
      <w:r>
        <w:rPr>
          <w:rtl/>
        </w:rPr>
        <w:t xml:space="preserve"> </w:t>
      </w:r>
    </w:p>
    <w:p w:rsidR="005D0F8C" w:rsidP="005D0F8C" w14:paraId="5B8DB107" w14:textId="441A8D5A">
      <w:pPr>
        <w:pStyle w:val="7317"/>
        <w:rPr>
          <w:rtl/>
        </w:rPr>
      </w:pPr>
      <w:r>
        <w:rPr>
          <w:noProof/>
          <w:rtl/>
          <w:lang w:val="he-IL"/>
        </w:rPr>
        <w:drawing>
          <wp:anchor distT="0" distB="0" distL="114300" distR="114300" simplePos="0" relativeHeight="251683840" behindDoc="0" locked="0" layoutInCell="1" allowOverlap="1">
            <wp:simplePos x="0" y="0"/>
            <wp:positionH relativeFrom="column">
              <wp:posOffset>-13970</wp:posOffset>
            </wp:positionH>
            <wp:positionV relativeFrom="paragraph">
              <wp:posOffset>466090</wp:posOffset>
            </wp:positionV>
            <wp:extent cx="4679315" cy="2662555"/>
            <wp:effectExtent l="0" t="0" r="0" b="0"/>
            <wp:wrapTopAndBottom/>
            <wp:docPr id="40" name="תמונה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תמונה 40"/>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679315" cy="2662555"/>
                    </a:xfrm>
                    <a:prstGeom prst="rect">
                      <a:avLst/>
                    </a:prstGeom>
                  </pic:spPr>
                </pic:pic>
              </a:graphicData>
            </a:graphic>
            <wp14:sizeRelH relativeFrom="page">
              <wp14:pctWidth>0</wp14:pctWidth>
            </wp14:sizeRelH>
            <wp14:sizeRelV relativeFrom="page">
              <wp14:pctHeight>0</wp14:pctHeight>
            </wp14:sizeRelV>
          </wp:anchor>
        </w:drawing>
      </w:r>
    </w:p>
    <w:p w:rsidR="005D0F8C" w:rsidP="005D0F8C" w14:paraId="0DA8F7B9" w14:textId="35AC9978">
      <w:pPr>
        <w:pStyle w:val="738"/>
        <w:spacing w:before="360" w:after="0"/>
        <w:rPr>
          <w:b/>
          <w:bCs/>
          <w:noProof/>
          <w:color w:val="FFFFFF" w:themeColor="background1"/>
          <w:sz w:val="22"/>
          <w:szCs w:val="22"/>
        </w:rPr>
      </w:pPr>
      <w:r w:rsidRPr="00B626AA">
        <w:rPr>
          <w:rFonts w:hint="cs"/>
          <w:rtl/>
        </w:rPr>
        <w:t>על פי נתוני סקר שיתוף ציבור, בעיבוד משרד מבקר המדינה</w:t>
      </w:r>
      <w:r w:rsidRPr="00BE0973">
        <w:rPr>
          <w:rFonts w:hint="cs"/>
          <w:rtl/>
        </w:rPr>
        <w:t>.</w:t>
      </w:r>
    </w:p>
    <w:p w:rsidR="000B31AA" w:rsidP="005D0F8C" w14:paraId="70881590" w14:textId="2FB01EF6">
      <w:pPr>
        <w:pStyle w:val="738"/>
        <w:spacing w:before="360" w:after="0"/>
        <w:rPr>
          <w:b/>
          <w:bCs/>
          <w:noProof/>
          <w:color w:val="FFFFFF" w:themeColor="background1"/>
          <w:sz w:val="22"/>
          <w:szCs w:val="22"/>
        </w:rPr>
      </w:pPr>
    </w:p>
    <w:p w:rsidR="000B31AA" w:rsidRPr="000B31AA" w:rsidP="00662020" w14:paraId="1001632A" w14:textId="7B75A101">
      <w:pPr>
        <w:pStyle w:val="738"/>
        <w:spacing w:before="0" w:after="0"/>
        <w:rPr>
          <w:rtl/>
        </w:rPr>
      </w:pPr>
    </w:p>
    <w:p w:rsidR="000B31AA" w:rsidRPr="003A253B" w:rsidP="000B31AA" w14:paraId="5C1AE375" w14:textId="00DDF82D">
      <w:pPr>
        <w:pStyle w:val="7317"/>
        <w:rPr>
          <w:rtl/>
        </w:rPr>
      </w:pPr>
    </w:p>
    <w:p w:rsidR="000B31AA" w:rsidRPr="00827841" w:rsidP="000B31AA" w14:paraId="0E94D97F" w14:textId="77777777">
      <w:pPr>
        <w:pStyle w:val="7317"/>
        <w:spacing w:before="360" w:after="360"/>
        <w:rPr>
          <w:rtl/>
        </w:rPr>
        <w:sectPr w:rsidSect="00335CA2">
          <w:footerReference w:type="even" r:id="rId28"/>
          <w:footerReference w:type="default" r:id="rId29"/>
          <w:headerReference w:type="first" r:id="rId30"/>
          <w:footerReference w:type="first" r:id="rId31"/>
          <w:pgSz w:w="11906" w:h="16838" w:code="9"/>
          <w:pgMar w:top="3062" w:right="2268" w:bottom="2552" w:left="2268" w:header="1134" w:footer="1361" w:gutter="0"/>
          <w:pgNumType w:start="897"/>
          <w:cols w:space="708"/>
          <w:bidi/>
          <w:rtlGutter/>
          <w:docGrid w:linePitch="360"/>
        </w:sectPr>
      </w:pPr>
    </w:p>
    <w:p w:rsidR="005D0F8C" w:rsidP="00520550" w14:paraId="3B41E678" w14:textId="7096B259">
      <w:pPr>
        <w:pStyle w:val="73"/>
        <w:rPr>
          <w:rtl/>
        </w:rPr>
      </w:pPr>
      <w:r w:rsidRPr="00EF3061">
        <w:rPr>
          <w:rFonts w:hint="cs"/>
          <w:rtl/>
        </w:rPr>
        <w:t>סיכום</w:t>
      </w:r>
    </w:p>
    <w:p w:rsidR="005B2BF5" w:rsidRPr="006615C6" w:rsidP="005B2BF5" w14:paraId="4937660D" w14:textId="6D9DA104">
      <w:pPr>
        <w:widowControl w:val="0"/>
        <w:spacing w:before="240" w:line="276" w:lineRule="auto"/>
        <w:ind w:left="-1"/>
        <w:rPr>
          <w:rFonts w:ascii="Tahoma" w:hAnsi="Tahoma" w:cs="Tahoma"/>
          <w:sz w:val="18"/>
          <w:szCs w:val="18"/>
          <w:rtl/>
        </w:rPr>
      </w:pPr>
      <w:r w:rsidRPr="008F68FB">
        <w:rPr>
          <w:rFonts w:ascii="Tahoma" w:hAnsi="Tahoma" w:cs="Tahoma"/>
          <w:sz w:val="18"/>
          <w:szCs w:val="18"/>
          <w:rtl/>
        </w:rPr>
        <w:t>ציבור הצרכנים מצוי במקרים רבים בעמדת נחיתות מול בעלי העסקים, בין היתר בשל אי-הכרת החוקים המגינים על זכויותיו והקושי לקבל סיוע מגופים שאחראים ליישום חוקים אלה</w:t>
      </w:r>
      <w:r w:rsidRPr="006615C6">
        <w:rPr>
          <w:rFonts w:ascii="Tahoma" w:hAnsi="Tahoma" w:cs="Tahoma" w:hint="cs"/>
          <w:sz w:val="18"/>
          <w:szCs w:val="18"/>
          <w:rtl/>
        </w:rPr>
        <w:t xml:space="preserve">. </w:t>
      </w:r>
    </w:p>
    <w:p w:rsidR="005B2BF5" w:rsidRPr="006615C6" w:rsidP="005B2BF5" w14:paraId="6D52DDEE" w14:textId="7053A893">
      <w:pPr>
        <w:widowControl w:val="0"/>
        <w:spacing w:before="240" w:line="276" w:lineRule="auto"/>
        <w:ind w:left="-1"/>
        <w:rPr>
          <w:rFonts w:ascii="Tahoma" w:hAnsi="Tahoma" w:cs="Tahoma"/>
          <w:sz w:val="18"/>
          <w:szCs w:val="18"/>
          <w:rtl/>
        </w:rPr>
      </w:pPr>
      <w:r w:rsidRPr="008F68FB">
        <w:rPr>
          <w:rFonts w:ascii="Tahoma" w:hAnsi="Tahoma" w:cs="Tahoma"/>
          <w:sz w:val="18"/>
          <w:szCs w:val="18"/>
          <w:rtl/>
        </w:rPr>
        <w:t>הביקורת העלתה ליקויים במגוון נושאים הנוגעים לשירות הניתן לצרכן ולאיכות המענה הניתן ע"י גופים ממשלתיים שונים במקרים של פגיעה בזכויותיו הצרכניות</w:t>
      </w:r>
      <w:r w:rsidRPr="006615C6">
        <w:rPr>
          <w:rFonts w:ascii="Tahoma" w:hAnsi="Tahoma" w:cs="Tahoma" w:hint="cs"/>
          <w:sz w:val="18"/>
          <w:szCs w:val="18"/>
          <w:rtl/>
        </w:rPr>
        <w:t xml:space="preserve">. </w:t>
      </w:r>
    </w:p>
    <w:p w:rsidR="002F44B2" w:rsidP="002F44B2" w14:paraId="6994F728" w14:textId="1B65B570">
      <w:pPr>
        <w:widowControl w:val="0"/>
        <w:tabs>
          <w:tab w:val="left" w:pos="9604"/>
        </w:tabs>
        <w:spacing w:before="240" w:line="276" w:lineRule="auto"/>
        <w:ind w:left="-1"/>
        <w:rPr>
          <w:rFonts w:ascii="Tahoma" w:hAnsi="Tahoma" w:cs="Tahoma"/>
          <w:sz w:val="18"/>
          <w:szCs w:val="18"/>
          <w:rtl/>
        </w:rPr>
      </w:pPr>
      <w:r w:rsidRPr="008F68FB">
        <w:rPr>
          <w:rFonts w:ascii="Tahoma" w:hAnsi="Tahoma" w:cs="Tahoma"/>
          <w:sz w:val="18"/>
          <w:szCs w:val="18"/>
          <w:rtl/>
        </w:rPr>
        <w:t>על הגורמים האמונים על סיוע והגנה לצרכנים, ובהם שר הכלכלה, הרשות להגנת הצרכן ולסחר הוגן, המועצה הישראלית לצרכנות ומשרד הכלכלה והתעשייה, לפעול לתיקון הליקויים המפורטים בדוח ולבחינת יישום ההמלצות לצורך מניעת פגיעה בצרכנים, שיפור השירות והעלאת רמת שביעות הרצון ורמת האמון מהגופים האחראים על הגנה על זכויותיהם</w:t>
      </w:r>
      <w:r w:rsidRPr="006615C6" w:rsidR="005B2BF5">
        <w:rPr>
          <w:rFonts w:ascii="Tahoma" w:hAnsi="Tahoma" w:cs="Tahoma" w:hint="cs"/>
          <w:sz w:val="18"/>
          <w:szCs w:val="18"/>
          <w:rtl/>
        </w:rPr>
        <w:t xml:space="preserve">. </w:t>
      </w:r>
    </w:p>
    <w:sectPr w:rsidSect="00454484">
      <w:headerReference w:type="even" r:id="rId32"/>
      <w:footerReference w:type="even" r:id="rId33"/>
      <w:pgSz w:w="11906" w:h="16838" w:code="9"/>
      <w:pgMar w:top="3062" w:right="2268" w:bottom="2552" w:left="2268" w:header="1134" w:footer="1361" w:gutter="0"/>
      <w:pgNumType w:start="90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72F98" w14:paraId="3CB5A0BF" w14:textId="77777777">
      <w:pPr>
        <w:spacing w:line="240" w:lineRule="auto"/>
      </w:pPr>
      <w:r>
        <w:separator/>
      </w:r>
    </w:p>
    <w:p w:rsidR="00872F98" w14:paraId="1EE48F43" w14:textId="77777777"/>
    <w:p w:rsidR="00872F98" w14:paraId="4158C8F1" w14:textId="77777777"/>
    <w:p w:rsidR="00872F98" w14:paraId="0621A9F5" w14:textId="77777777"/>
  </w:endnote>
  <w:endnote w:type="continuationSeparator" w:id="1">
    <w:p w:rsidR="00872F98" w14:paraId="154BD8FA" w14:textId="77777777">
      <w:pPr>
        <w:spacing w:line="240" w:lineRule="auto"/>
      </w:pPr>
      <w:r>
        <w:continuationSeparator/>
      </w:r>
    </w:p>
    <w:p w:rsidR="00872F98" w14:paraId="19CFA525" w14:textId="77777777"/>
    <w:p w:rsidR="00872F98" w14:paraId="4DFF4A5E" w14:textId="77777777"/>
    <w:p w:rsidR="00872F98" w14:paraId="55D4CE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1E7F" w14:paraId="27917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1E7F" w14:paraId="56CD925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337C4E" w14:paraId="0591AE04" w14:textId="77777777">
    <w:pPr>
      <w:pStyle w:val="Footer"/>
      <w:spacing w:after="120" w:line="312" w:lineRule="auto"/>
      <w:ind w:left="-510"/>
      <w:jc w:val="left"/>
      <w:rPr>
        <w:rFonts w:ascii="Tahoma" w:hAnsi="Tahoma" w:cs="Tahoma"/>
        <w:sz w:val="18"/>
        <w:szCs w:val="18"/>
        <w:rtl/>
      </w:rPr>
    </w:pPr>
  </w:p>
  <w:p w:rsidR="000B31AA" w:rsidP="00024391" w14:paraId="40CD8FF7"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0B31AA" w:rsidRPr="00F94EB4" w:rsidP="00337C4E" w14:paraId="2918DFA2" w14:textId="77777777">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024391" w14:paraId="78833D87"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B31AA" w:rsidP="00851F62" w14:paraId="5DDC5735" w14:textId="77777777">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D15500" w14:paraId="7EF16D20"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484" w:rsidP="00454484" w14:paraId="1B6F33C5" w14:textId="77777777">
    <w:pPr>
      <w:pStyle w:val="Footer"/>
      <w:spacing w:after="120" w:line="312" w:lineRule="auto"/>
      <w:ind w:left="-510"/>
      <w:jc w:val="left"/>
      <w:rPr>
        <w:rFonts w:ascii="Tahoma" w:hAnsi="Tahoma" w:cs="Tahoma"/>
        <w:sz w:val="18"/>
        <w:szCs w:val="18"/>
        <w:rtl/>
      </w:rPr>
    </w:pPr>
  </w:p>
  <w:p w:rsidR="00454484" w:rsidP="00454484" w14:paraId="1421D0D4"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902</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454484" w:rsidP="00454484"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72F98" w:rsidP="00E7235E" w14:paraId="0DDA1077" w14:textId="77777777">
      <w:pPr>
        <w:spacing w:line="240" w:lineRule="auto"/>
      </w:pPr>
      <w:r>
        <w:separator/>
      </w:r>
    </w:p>
  </w:footnote>
  <w:footnote w:type="continuationSeparator" w:id="1">
    <w:p w:rsidR="00872F98" w:rsidP="00C23CC9" w14:paraId="4EFC80D1" w14:textId="77777777">
      <w:pPr>
        <w:spacing w:line="240" w:lineRule="auto"/>
      </w:pPr>
      <w:r>
        <w:continuationSeparator/>
      </w:r>
    </w:p>
    <w:p w:rsidR="00872F98" w14:paraId="47E6B5A8" w14:textId="77777777"/>
    <w:p w:rsidR="00872F98" w14:paraId="78D3D5CE" w14:textId="77777777"/>
    <w:p w:rsidR="00872F98" w14:paraId="71BE2F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4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401A0AA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C11BA3" w:rsidR="00C11BA3">
                            <w:rPr>
                              <w:rFonts w:ascii="Tahoma" w:hAnsi="Tahoma" w:cs="Tahoma"/>
                              <w:b/>
                              <w:bCs/>
                              <w:rtl/>
                            </w:rPr>
                            <w:t>סוגיות בהגנה על הצרכן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401A0AA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C11BA3" w:rsidR="00C11BA3">
                      <w:rPr>
                        <w:rFonts w:ascii="Tahoma" w:hAnsi="Tahoma" w:cs="Tahoma"/>
                        <w:b/>
                        <w:bCs/>
                        <w:rtl/>
                      </w:rPr>
                      <w:t>סוגיות בהגנה על הצרכן</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66BA7B9A">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E3767E" w:rsidR="00E3767E">
                            <w:rPr>
                              <w:rFonts w:ascii="Tahoma" w:hAnsi="Tahoma" w:cs="Tahoma"/>
                              <w:color w:val="0D0D0D"/>
                              <w:sz w:val="16"/>
                              <w:szCs w:val="16"/>
                              <w:rtl/>
                            </w:rPr>
                            <w:t>נובמבר</w:t>
                          </w:r>
                          <w:r w:rsidR="00E3767E">
                            <w:rPr>
                              <w:rFonts w:ascii="Tahoma" w:hAnsi="Tahoma" w:cs="Tahoma" w:hint="cs"/>
                              <w:color w:val="0D0D0D"/>
                              <w:sz w:val="16"/>
                              <w:szCs w:val="16"/>
                              <w:rtl/>
                            </w:rPr>
                            <w:t xml:space="preserve">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66BA7B9A">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E3767E" w:rsidR="00E3767E">
                      <w:rPr>
                        <w:rFonts w:ascii="Tahoma" w:hAnsi="Tahoma" w:cs="Tahoma"/>
                        <w:color w:val="0D0D0D"/>
                        <w:sz w:val="16"/>
                        <w:szCs w:val="16"/>
                        <w:rtl/>
                      </w:rPr>
                      <w:t>נובמבר</w:t>
                    </w:r>
                    <w:r w:rsidR="00E3767E">
                      <w:rPr>
                        <w:rFonts w:ascii="Tahoma" w:hAnsi="Tahoma" w:cs="Tahoma" w:hint="cs"/>
                        <w:color w:val="0D0D0D"/>
                        <w:sz w:val="16"/>
                        <w:szCs w:val="16"/>
                        <w:rtl/>
                      </w:rPr>
                      <w:t xml:space="preserve">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45106663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09CCE899">
                          <w:pPr>
                            <w:pStyle w:val="Heading1"/>
                            <w:spacing w:line="269" w:lineRule="auto"/>
                            <w:jc w:val="left"/>
                            <w:rPr>
                              <w:rFonts w:ascii="Tahoma" w:hAnsi="Tahoma" w:eastAsiaTheme="minorHAnsi" w:cs="Tahoma"/>
                              <w:bCs w:val="0"/>
                              <w:color w:val="0D0D0D" w:themeColor="text1" w:themeTint="F2"/>
                              <w:sz w:val="16"/>
                              <w:szCs w:val="16"/>
                              <w:u w:val="none"/>
                            </w:rPr>
                          </w:pPr>
                          <w:r w:rsidRPr="00C11BA3">
                            <w:rPr>
                              <w:rFonts w:ascii="Tahoma" w:hAnsi="Tahoma" w:eastAsiaTheme="minorHAnsi" w:cs="Tahoma"/>
                              <w:bCs w:val="0"/>
                              <w:color w:val="0D0D0D" w:themeColor="text1" w:themeTint="F2"/>
                              <w:sz w:val="16"/>
                              <w:szCs w:val="16"/>
                              <w:u w:val="none"/>
                              <w:rtl/>
                            </w:rPr>
                            <w:t>סוגיות בהגנה על הצרכן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09CCE899">
                    <w:pPr>
                      <w:pStyle w:val="Heading1"/>
                      <w:spacing w:line="269" w:lineRule="auto"/>
                      <w:jc w:val="left"/>
                      <w:rPr>
                        <w:rFonts w:ascii="Tahoma" w:hAnsi="Tahoma" w:eastAsiaTheme="minorHAnsi" w:cs="Tahoma"/>
                        <w:bCs w:val="0"/>
                        <w:color w:val="0D0D0D" w:themeColor="text1" w:themeTint="F2"/>
                        <w:sz w:val="16"/>
                        <w:szCs w:val="16"/>
                        <w:u w:val="none"/>
                      </w:rPr>
                    </w:pPr>
                    <w:r w:rsidRPr="00C11BA3">
                      <w:rPr>
                        <w:rFonts w:ascii="Tahoma" w:hAnsi="Tahoma" w:eastAsiaTheme="minorHAnsi" w:cs="Tahoma"/>
                        <w:bCs w:val="0"/>
                        <w:color w:val="0D0D0D" w:themeColor="text1" w:themeTint="F2"/>
                        <w:sz w:val="16"/>
                        <w:szCs w:val="16"/>
                        <w:u w:val="none"/>
                        <w:rtl/>
                      </w:rPr>
                      <w:t>סוגיות בהגנה על הצרכן</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3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5"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5B4811" w14:paraId="5009AC3C"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81792"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4510666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79744"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0B31AA"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70"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0768" stroked="f">
              <v:textbox>
                <w:txbxContent>
                  <w:p w:rsidR="000B31AA" w:rsidRPr="005B4811" w:rsidP="005B4811" w14:paraId="620D61BD"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77696"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1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0B31AA"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78720" stroked="f">
              <v:textbox style="mso-fit-shape-to-text:t">
                <w:txbxContent>
                  <w:p w:rsidR="000B31AA" w:rsidRPr="005B4811" w:rsidP="005B4811" w14:paraId="556FBA7E"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82816"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451066637"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7"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484" w:rsidP="00454484" w14:paraId="621B0470" w14:textId="77777777">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54484" w:rsidRPr="00FD02CC" w:rsidP="00454484"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454484" w:rsidRPr="00FD02CC" w:rsidP="00454484" w14:paraId="35A67C9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54484" w:rsidP="00454484" w14:paraId="41861E78" w14:textId="77777777">
    <w:pPr>
      <w:pStyle w:val="Header"/>
      <w:ind w:firstLine="720"/>
      <w:rPr>
        <w:rtl/>
      </w:rPr>
    </w:pPr>
  </w:p>
  <w:p w:rsidR="00454484" w:rsidP="00454484" w14:paraId="514BBD01" w14:textId="77777777">
    <w:pPr>
      <w:pStyle w:val="Header"/>
      <w:rPr>
        <w:rtl/>
      </w:rPr>
    </w:pPr>
  </w:p>
  <w:p w:rsidR="00454484" w:rsidP="00454484" w14:paraId="619EC04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588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54484" w:rsidRPr="003D62C4" w:rsidP="00454484"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C11BA3">
                            <w:rPr>
                              <w:rFonts w:ascii="Tahoma" w:hAnsi="Tahoma" w:eastAsiaTheme="minorHAnsi" w:cs="Tahoma"/>
                              <w:bCs w:val="0"/>
                              <w:color w:val="0D0D0D" w:themeColor="text1" w:themeTint="F2"/>
                              <w:sz w:val="16"/>
                              <w:szCs w:val="16"/>
                              <w:u w:val="none"/>
                              <w:rtl/>
                            </w:rPr>
                            <w:t>סוגיות בהגנה על הצרכן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686912" stroked="f">
              <v:textbox style="mso-fit-shape-to-text:t">
                <w:txbxContent>
                  <w:p w:rsidR="00454484" w:rsidRPr="003D62C4" w:rsidP="00454484" w14:paraId="4F073221"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C11BA3">
                      <w:rPr>
                        <w:rFonts w:ascii="Tahoma" w:hAnsi="Tahoma" w:eastAsiaTheme="minorHAnsi" w:cs="Tahoma"/>
                        <w:bCs w:val="0"/>
                        <w:color w:val="0D0D0D" w:themeColor="text1" w:themeTint="F2"/>
                        <w:sz w:val="16"/>
                        <w:szCs w:val="16"/>
                        <w:u w:val="none"/>
                        <w:rtl/>
                      </w:rPr>
                      <w:t>סוגיות בהגנה על הצרכן</w:t>
                    </w:r>
                  </w:p>
                </w:txbxContent>
              </v:textbox>
              <w10:wrap type="square"/>
            </v:shape>
          </w:pict>
        </mc:Fallback>
      </mc:AlternateContent>
    </w:r>
  </w:p>
  <w:p w:rsidR="008B694B" w:rsidRPr="00454484" w:rsidP="00454484" w14:paraId="4E47EA6D" w14:textId="4DFA230E">
    <w:pPr>
      <w:pStyle w:val="Header"/>
      <w:rPr>
        <w:rtl/>
      </w:rPr>
    </w:pPr>
    <w:r>
      <w:rPr>
        <w:rFonts w:ascii="Tahoma" w:hAnsi="Tahoma" w:cs="Tahoma"/>
        <w:noProof/>
        <w:color w:val="002060"/>
        <w:sz w:val="18"/>
        <w:szCs w:val="18"/>
      </w:rPr>
      <w:drawing>
        <wp:anchor distT="0" distB="0" distL="114300" distR="114300" simplePos="0" relativeHeight="251689984"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3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9"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2" style="flip:x;mso-height-percent:0;mso-height-relative:margin;mso-width-percent:0;mso-width-relative:margin;mso-wrap-distance-bottom:0;mso-wrap-distance-left:9pt;mso-wrap-distance-right:9pt;mso-wrap-distance-top:0;mso-wrap-style:square;position:absolute;visibility:visible;z-index:251684864" from="-109.7pt,27.8pt" to="367.9pt,27.8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9pt" o:bullet="t">
        <v:imagedata r:id="rId1" o:title="icon-menura copy"/>
      </v:shape>
    </w:pict>
  </w:numPicBullet>
  <w:numPicBullet w:numPicBulletId="1">
    <w:pict>
      <v:shape id="_x0000_i1027" type="#_x0000_t75" style="width:49pt;height:55.5pt" o:bullet="t">
        <v:imagedata r:id="rId2" o:title="yad-red"/>
      </v:shape>
    </w:pict>
  </w:numPicBullet>
  <w:abstractNum w:abstractNumId="0">
    <w:nsid w:val="FFFFFF7C"/>
    <w:multiLevelType w:val="singleLevel"/>
    <w:tmpl w:val="20388AE2"/>
    <w:lvl w:ilvl="0">
      <w:start w:val="1"/>
      <w:numFmt w:val="decimal"/>
      <w:lvlText w:val="%1."/>
      <w:lvlJc w:val="left"/>
      <w:pPr>
        <w:tabs>
          <w:tab w:val="num" w:pos="1492"/>
        </w:tabs>
        <w:ind w:left="1492" w:hanging="360"/>
      </w:pPr>
    </w:lvl>
  </w:abstractNum>
  <w:abstractNum w:abstractNumId="1">
    <w:nsid w:val="FFFFFF7D"/>
    <w:multiLevelType w:val="singleLevel"/>
    <w:tmpl w:val="837C8A8A"/>
    <w:lvl w:ilvl="0">
      <w:start w:val="1"/>
      <w:numFmt w:val="decimal"/>
      <w:lvlText w:val="%1."/>
      <w:lvlJc w:val="left"/>
      <w:pPr>
        <w:tabs>
          <w:tab w:val="num" w:pos="1209"/>
        </w:tabs>
        <w:ind w:left="1209" w:hanging="360"/>
      </w:pPr>
    </w:lvl>
  </w:abstractNum>
  <w:abstractNum w:abstractNumId="2">
    <w:nsid w:val="FFFFFF7F"/>
    <w:multiLevelType w:val="singleLevel"/>
    <w:tmpl w:val="68B20AD2"/>
    <w:lvl w:ilvl="0">
      <w:start w:val="1"/>
      <w:numFmt w:val="decimal"/>
      <w:lvlText w:val="%1."/>
      <w:lvlJc w:val="left"/>
      <w:pPr>
        <w:tabs>
          <w:tab w:val="num" w:pos="643"/>
        </w:tabs>
        <w:ind w:left="643" w:hanging="360"/>
      </w:pPr>
    </w:lvl>
  </w:abstractNum>
  <w:abstractNum w:abstractNumId="3">
    <w:nsid w:val="FFFFFF80"/>
    <w:multiLevelType w:val="singleLevel"/>
    <w:tmpl w:val="8960CFF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98D8352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F83EF18C"/>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7BA5B1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6EEC820"/>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AF46B7C"/>
    <w:multiLevelType w:val="hybridMultilevel"/>
    <w:tmpl w:val="76F40A6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306DB1"/>
    <w:multiLevelType w:val="multilevel"/>
    <w:tmpl w:val="4E5238A4"/>
    <w:lvl w:ilvl="0">
      <w:start w:val="1"/>
      <w:numFmt w:val="decimal"/>
      <w:lvlText w:val="%1."/>
      <w:lvlJc w:val="left"/>
      <w:pPr>
        <w:ind w:left="357" w:hanging="357"/>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0C775944"/>
    <w:multiLevelType w:val="hybridMultilevel"/>
    <w:tmpl w:val="BE6252E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827BF8"/>
    <w:multiLevelType w:val="multilevel"/>
    <w:tmpl w:val="540E2FF8"/>
    <w:lvl w:ilvl="0">
      <w:start w:val="1"/>
      <w:numFmt w:val="hebrew1"/>
      <w:lvlText w:val="%1."/>
      <w:lvlJc w:val="left"/>
      <w:pPr>
        <w:ind w:left="794" w:hanging="43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3">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766108"/>
    <w:multiLevelType w:val="hybridMultilevel"/>
    <w:tmpl w:val="8B98AD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074133"/>
    <w:multiLevelType w:val="hybridMultilevel"/>
    <w:tmpl w:val="ED4C3644"/>
    <w:lvl w:ilvl="0">
      <w:start w:val="1"/>
      <w:numFmt w:val="bullet"/>
      <w:lvlText w:val=""/>
      <w:lvlPicBulletId w:val="0"/>
      <w:lvlJc w:val="left"/>
      <w:pPr>
        <w:ind w:left="760" w:hanging="403"/>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4594513"/>
    <w:multiLevelType w:val="hybridMultilevel"/>
    <w:tmpl w:val="5D9455B6"/>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1D56336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E55D56"/>
    <w:multiLevelType w:val="hybridMultilevel"/>
    <w:tmpl w:val="81E4866E"/>
    <w:lvl w:ilvl="0">
      <w:start w:val="1"/>
      <w:numFmt w:val="decimal"/>
      <w:pStyle w:val="a36"/>
      <w:suff w:val="nothing"/>
      <w:lvlText w:val="תרשים %1"/>
      <w:lvlJc w:val="left"/>
      <w:pPr>
        <w:ind w:left="717" w:hanging="360"/>
      </w:pPr>
      <w:rPr>
        <w:rFonts w:ascii="David" w:hAnsi="David" w:cs="David" w:hint="cs"/>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0E725C"/>
    <w:multiLevelType w:val="hybridMultilevel"/>
    <w:tmpl w:val="19ECF6E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6431FB"/>
    <w:multiLevelType w:val="hybridMultilevel"/>
    <w:tmpl w:val="74A413F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16139F"/>
    <w:multiLevelType w:val="hybridMultilevel"/>
    <w:tmpl w:val="D06C34BA"/>
    <w:lvl w:ilvl="0">
      <w:start w:val="1"/>
      <w:numFmt w:val="bullet"/>
      <w:lvlText w:val=""/>
      <w:lvlPicBulletId w:val="1"/>
      <w:lvlJc w:val="left"/>
      <w:pPr>
        <w:ind w:left="360" w:hanging="360"/>
      </w:pPr>
      <w:rPr>
        <w:rFonts w:ascii="Symbol" w:hAnsi="Symbol" w:hint="default"/>
        <w:color w:val="auto"/>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4">
    <w:nsid w:val="32F759F1"/>
    <w:multiLevelType w:val="multilevel"/>
    <w:tmpl w:val="26FCF626"/>
    <w:lvl w:ilvl="0">
      <w:start w:val="2"/>
      <w:numFmt w:val="decimal"/>
      <w:lvlText w:val="%1."/>
      <w:lvlJc w:val="left"/>
      <w:pPr>
        <w:ind w:left="357" w:hanging="357"/>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33B9777D"/>
    <w:multiLevelType w:val="multilevel"/>
    <w:tmpl w:val="2B107E10"/>
    <w:lvl w:ilvl="0">
      <w:start w:val="3"/>
      <w:numFmt w:val="decimal"/>
      <w:lvlText w:val="%1."/>
      <w:lvlJc w:val="left"/>
      <w:pPr>
        <w:ind w:left="357" w:hanging="35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6">
    <w:nsid w:val="3408562E"/>
    <w:multiLevelType w:val="hybridMultilevel"/>
    <w:tmpl w:val="B9E4FA0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5A1308A"/>
    <w:multiLevelType w:val="hybridMultilevel"/>
    <w:tmpl w:val="B0D4553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7B96AB7"/>
    <w:multiLevelType w:val="multilevel"/>
    <w:tmpl w:val="E1E49072"/>
    <w:lvl w:ilvl="0">
      <w:start w:val="2"/>
      <w:numFmt w:val="decimal"/>
      <w:lvlText w:val="%1."/>
      <w:lvlJc w:val="left"/>
      <w:pPr>
        <w:ind w:left="357" w:hanging="357"/>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3DFA711C"/>
    <w:multiLevelType w:val="hybridMultilevel"/>
    <w:tmpl w:val="3F04032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3">
    <w:nsid w:val="47D44D9A"/>
    <w:multiLevelType w:val="multilevel"/>
    <w:tmpl w:val="82EACF10"/>
    <w:lvl w:ilvl="0">
      <w:start w:val="1"/>
      <w:numFmt w:val="decimal"/>
      <w:lvlText w:val="%1."/>
      <w:lvlJc w:val="left"/>
      <w:pPr>
        <w:ind w:left="357" w:hanging="35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4">
    <w:nsid w:val="4B4963AE"/>
    <w:multiLevelType w:val="hybridMultilevel"/>
    <w:tmpl w:val="A1F49FA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C936D92"/>
    <w:multiLevelType w:val="hybridMultilevel"/>
    <w:tmpl w:val="A7CEF61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3435A3"/>
    <w:multiLevelType w:val="hybridMultilevel"/>
    <w:tmpl w:val="67F22A3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3F346DE"/>
    <w:multiLevelType w:val="multilevel"/>
    <w:tmpl w:val="1E3438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nsid w:val="59BD63E3"/>
    <w:multiLevelType w:val="hybridMultilevel"/>
    <w:tmpl w:val="DAF45F8C"/>
    <w:lvl w:ilvl="0">
      <w:start w:val="1"/>
      <w:numFmt w:val="decimal"/>
      <w:pStyle w:val="a37"/>
      <w:suff w:val="nothing"/>
      <w:lvlText w:val="לוח %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9C35C44"/>
    <w:multiLevelType w:val="hybridMultilevel"/>
    <w:tmpl w:val="B6429680"/>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A6171A5"/>
    <w:multiLevelType w:val="hybridMultilevel"/>
    <w:tmpl w:val="41E8BE80"/>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B4368E9"/>
    <w:multiLevelType w:val="hybridMultilevel"/>
    <w:tmpl w:val="ECDA1BB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3">
    <w:nsid w:val="5D0D7761"/>
    <w:multiLevelType w:val="hybridMultilevel"/>
    <w:tmpl w:val="0D92DFB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5">
    <w:nsid w:val="6CD159B6"/>
    <w:multiLevelType w:val="hybridMultilevel"/>
    <w:tmpl w:val="EAA42BE6"/>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E5B69CD"/>
    <w:multiLevelType w:val="multilevel"/>
    <w:tmpl w:val="5AE21E5E"/>
    <w:lvl w:ilvl="0">
      <w:start w:val="1"/>
      <w:numFmt w:val="hebrew1"/>
      <w:lvlText w:val="%1."/>
      <w:lvlJc w:val="left"/>
      <w:pPr>
        <w:ind w:left="794" w:hanging="43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7">
    <w:nsid w:val="71395542"/>
    <w:multiLevelType w:val="hybridMultilevel"/>
    <w:tmpl w:val="1EB6B80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32E74E8"/>
    <w:multiLevelType w:val="multilevel"/>
    <w:tmpl w:val="82EACF10"/>
    <w:lvl w:ilvl="0">
      <w:start w:val="1"/>
      <w:numFmt w:val="decimal"/>
      <w:lvlText w:val="%1."/>
      <w:lvlJc w:val="left"/>
      <w:pPr>
        <w:ind w:left="357" w:hanging="35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9">
    <w:nsid w:val="74E71FF0"/>
    <w:multiLevelType w:val="hybridMultilevel"/>
    <w:tmpl w:val="5C36DA2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C5C16A1"/>
    <w:multiLevelType w:val="hybridMultilevel"/>
    <w:tmpl w:val="945C2A7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7"/>
  </w:num>
  <w:num w:numId="2">
    <w:abstractNumId w:val="30"/>
  </w:num>
  <w:num w:numId="3">
    <w:abstractNumId w:val="42"/>
  </w:num>
  <w:num w:numId="4">
    <w:abstractNumId w:val="23"/>
  </w:num>
  <w:num w:numId="5">
    <w:abstractNumId w:val="29"/>
  </w:num>
  <w:num w:numId="6">
    <w:abstractNumId w:val="51"/>
  </w:num>
  <w:num w:numId="7">
    <w:abstractNumId w:val="8"/>
  </w:num>
  <w:num w:numId="8">
    <w:abstractNumId w:val="32"/>
  </w:num>
  <w:num w:numId="9">
    <w:abstractNumId w:val="44"/>
  </w:num>
  <w:num w:numId="10">
    <w:abstractNumId w:val="13"/>
  </w:num>
  <w:num w:numId="11">
    <w:abstractNumId w:val="15"/>
  </w:num>
  <w:num w:numId="12">
    <w:abstractNumId w:val="22"/>
  </w:num>
  <w:num w:numId="13">
    <w:abstractNumId w:val="19"/>
  </w:num>
  <w:num w:numId="14">
    <w:abstractNumId w:val="38"/>
  </w:num>
  <w:num w:numId="15">
    <w:abstractNumId w:val="18"/>
  </w:num>
  <w:num w:numId="16">
    <w:abstractNumId w:val="49"/>
  </w:num>
  <w:num w:numId="17">
    <w:abstractNumId w:val="50"/>
  </w:num>
  <w:num w:numId="18">
    <w:abstractNumId w:val="16"/>
  </w:num>
  <w:num w:numId="19">
    <w:abstractNumId w:val="40"/>
  </w:num>
  <w:num w:numId="20">
    <w:abstractNumId w:val="27"/>
  </w:num>
  <w:num w:numId="21">
    <w:abstractNumId w:val="20"/>
  </w:num>
  <w:num w:numId="22">
    <w:abstractNumId w:val="9"/>
  </w:num>
  <w:num w:numId="23">
    <w:abstractNumId w:val="14"/>
  </w:num>
  <w:num w:numId="24">
    <w:abstractNumId w:val="47"/>
  </w:num>
  <w:num w:numId="25">
    <w:abstractNumId w:val="39"/>
  </w:num>
  <w:num w:numId="26">
    <w:abstractNumId w:val="34"/>
  </w:num>
  <w:num w:numId="27">
    <w:abstractNumId w:val="41"/>
  </w:num>
  <w:num w:numId="28">
    <w:abstractNumId w:val="21"/>
  </w:num>
  <w:num w:numId="29">
    <w:abstractNumId w:val="31"/>
  </w:num>
  <w:num w:numId="30">
    <w:abstractNumId w:val="10"/>
  </w:num>
  <w:num w:numId="31">
    <w:abstractNumId w:val="24"/>
  </w:num>
  <w:num w:numId="32">
    <w:abstractNumId w:val="12"/>
  </w:num>
  <w:num w:numId="33">
    <w:abstractNumId w:val="25"/>
  </w:num>
  <w:num w:numId="34">
    <w:abstractNumId w:val="37"/>
  </w:num>
  <w:num w:numId="35">
    <w:abstractNumId w:val="28"/>
  </w:num>
  <w:num w:numId="36">
    <w:abstractNumId w:val="46"/>
  </w:num>
  <w:num w:numId="37">
    <w:abstractNumId w:val="33"/>
  </w:num>
  <w:num w:numId="38">
    <w:abstractNumId w:val="48"/>
  </w:num>
  <w:num w:numId="39">
    <w:abstractNumId w:val="36"/>
  </w:num>
  <w:num w:numId="40">
    <w:abstractNumId w:val="26"/>
  </w:num>
  <w:num w:numId="41">
    <w:abstractNumId w:val="35"/>
  </w:num>
  <w:num w:numId="42">
    <w:abstractNumId w:val="11"/>
  </w:num>
  <w:num w:numId="43">
    <w:abstractNumId w:val="45"/>
  </w:num>
  <w:num w:numId="44">
    <w:abstractNumId w:val="43"/>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9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38E"/>
    <w:rsid w:val="00011BFC"/>
    <w:rsid w:val="00011DF7"/>
    <w:rsid w:val="00012269"/>
    <w:rsid w:val="00012487"/>
    <w:rsid w:val="00012657"/>
    <w:rsid w:val="0001353D"/>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39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4BF"/>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53C"/>
    <w:rsid w:val="0004776F"/>
    <w:rsid w:val="00047976"/>
    <w:rsid w:val="00047A92"/>
    <w:rsid w:val="00047CF6"/>
    <w:rsid w:val="000501A4"/>
    <w:rsid w:val="00050419"/>
    <w:rsid w:val="00050995"/>
    <w:rsid w:val="00050BDE"/>
    <w:rsid w:val="00050DDE"/>
    <w:rsid w:val="0005135D"/>
    <w:rsid w:val="0005176F"/>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7B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D64"/>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79"/>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45"/>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95C"/>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BF"/>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7B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6EF4"/>
    <w:rsid w:val="001672B6"/>
    <w:rsid w:val="001674FF"/>
    <w:rsid w:val="001675AA"/>
    <w:rsid w:val="00167D07"/>
    <w:rsid w:val="00170230"/>
    <w:rsid w:val="00170320"/>
    <w:rsid w:val="00170625"/>
    <w:rsid w:val="00170764"/>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1F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6B21"/>
    <w:rsid w:val="001D713E"/>
    <w:rsid w:val="001D77E6"/>
    <w:rsid w:val="001E0306"/>
    <w:rsid w:val="001E09E8"/>
    <w:rsid w:val="001E0A7D"/>
    <w:rsid w:val="001E0D0D"/>
    <w:rsid w:val="001E1049"/>
    <w:rsid w:val="001E137A"/>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1BD4"/>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52F"/>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8BA"/>
    <w:rsid w:val="00236D0B"/>
    <w:rsid w:val="00236F10"/>
    <w:rsid w:val="002375D3"/>
    <w:rsid w:val="00237F59"/>
    <w:rsid w:val="0024001A"/>
    <w:rsid w:val="002401F3"/>
    <w:rsid w:val="00240887"/>
    <w:rsid w:val="00240A1C"/>
    <w:rsid w:val="00241142"/>
    <w:rsid w:val="00241958"/>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8CA"/>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2FD"/>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7DE"/>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A2"/>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56D"/>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3CA7"/>
    <w:rsid w:val="003E4AD0"/>
    <w:rsid w:val="003E4D21"/>
    <w:rsid w:val="003E4D5A"/>
    <w:rsid w:val="003E4EE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3DB"/>
    <w:rsid w:val="003F782E"/>
    <w:rsid w:val="003F7B2B"/>
    <w:rsid w:val="004002DD"/>
    <w:rsid w:val="00400D5E"/>
    <w:rsid w:val="004012B3"/>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245"/>
    <w:rsid w:val="0042151A"/>
    <w:rsid w:val="00421D2C"/>
    <w:rsid w:val="0042232C"/>
    <w:rsid w:val="00422BC0"/>
    <w:rsid w:val="004234FC"/>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484"/>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07A94"/>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0E4C"/>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B1F"/>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A4F"/>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C5B"/>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973"/>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60"/>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AC0"/>
    <w:rsid w:val="005B6CCC"/>
    <w:rsid w:val="005B71CE"/>
    <w:rsid w:val="005B757C"/>
    <w:rsid w:val="005B78A1"/>
    <w:rsid w:val="005B7F43"/>
    <w:rsid w:val="005C02D4"/>
    <w:rsid w:val="005C05FF"/>
    <w:rsid w:val="005C0644"/>
    <w:rsid w:val="005C0704"/>
    <w:rsid w:val="005C14A0"/>
    <w:rsid w:val="005C1622"/>
    <w:rsid w:val="005C198B"/>
    <w:rsid w:val="005C1F8E"/>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786"/>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C24"/>
    <w:rsid w:val="005F6D08"/>
    <w:rsid w:val="005F6F91"/>
    <w:rsid w:val="005F7321"/>
    <w:rsid w:val="005F7CC7"/>
    <w:rsid w:val="00600F74"/>
    <w:rsid w:val="00601269"/>
    <w:rsid w:val="00601459"/>
    <w:rsid w:val="00601C2F"/>
    <w:rsid w:val="00602063"/>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753"/>
    <w:rsid w:val="0066294A"/>
    <w:rsid w:val="0066318C"/>
    <w:rsid w:val="006637B9"/>
    <w:rsid w:val="00663AAC"/>
    <w:rsid w:val="00663AC4"/>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2703"/>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3AF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4D98"/>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44B"/>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68"/>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4C95"/>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286"/>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A87"/>
    <w:rsid w:val="00792B80"/>
    <w:rsid w:val="007938BB"/>
    <w:rsid w:val="00793EAA"/>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14"/>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6AC"/>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1B49"/>
    <w:rsid w:val="00822420"/>
    <w:rsid w:val="0082350D"/>
    <w:rsid w:val="00823E80"/>
    <w:rsid w:val="008245D8"/>
    <w:rsid w:val="008246BA"/>
    <w:rsid w:val="00824762"/>
    <w:rsid w:val="00824AA0"/>
    <w:rsid w:val="00824B1A"/>
    <w:rsid w:val="00825A14"/>
    <w:rsid w:val="00825A1B"/>
    <w:rsid w:val="00825AAA"/>
    <w:rsid w:val="00827841"/>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C9F"/>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62A"/>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2F98"/>
    <w:rsid w:val="008735BA"/>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3D5"/>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E7F"/>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0A9D"/>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1BB8"/>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E4A"/>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68FB"/>
    <w:rsid w:val="008F71B1"/>
    <w:rsid w:val="008F71BC"/>
    <w:rsid w:val="008F7246"/>
    <w:rsid w:val="008F7DE6"/>
    <w:rsid w:val="0090092B"/>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6CE"/>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169"/>
    <w:rsid w:val="0095355A"/>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1FC"/>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46"/>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3EF"/>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5F0C"/>
    <w:rsid w:val="00A96010"/>
    <w:rsid w:val="00A9684D"/>
    <w:rsid w:val="00A97402"/>
    <w:rsid w:val="00A97873"/>
    <w:rsid w:val="00AA0426"/>
    <w:rsid w:val="00AA0B30"/>
    <w:rsid w:val="00AA0CEA"/>
    <w:rsid w:val="00AA0EFF"/>
    <w:rsid w:val="00AA1D97"/>
    <w:rsid w:val="00AA1E6C"/>
    <w:rsid w:val="00AA23B0"/>
    <w:rsid w:val="00AA29DC"/>
    <w:rsid w:val="00AA2B4F"/>
    <w:rsid w:val="00AA2DCD"/>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2DC5"/>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2FF"/>
    <w:rsid w:val="00AE0712"/>
    <w:rsid w:val="00AE0764"/>
    <w:rsid w:val="00AE0967"/>
    <w:rsid w:val="00AE16D1"/>
    <w:rsid w:val="00AE1BC1"/>
    <w:rsid w:val="00AE1BD1"/>
    <w:rsid w:val="00AE1DBE"/>
    <w:rsid w:val="00AE276C"/>
    <w:rsid w:val="00AE3DF4"/>
    <w:rsid w:val="00AE404A"/>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2A1"/>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3E3"/>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DBE"/>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5D90"/>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6AA"/>
    <w:rsid w:val="00B627E7"/>
    <w:rsid w:val="00B6283F"/>
    <w:rsid w:val="00B62F33"/>
    <w:rsid w:val="00B630AC"/>
    <w:rsid w:val="00B63937"/>
    <w:rsid w:val="00B65066"/>
    <w:rsid w:val="00B6668D"/>
    <w:rsid w:val="00B666B9"/>
    <w:rsid w:val="00B66A94"/>
    <w:rsid w:val="00B66F81"/>
    <w:rsid w:val="00B6710E"/>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CA5"/>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9D0"/>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7F2"/>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478"/>
    <w:rsid w:val="00C0494D"/>
    <w:rsid w:val="00C0531C"/>
    <w:rsid w:val="00C05806"/>
    <w:rsid w:val="00C05FA3"/>
    <w:rsid w:val="00C06A1F"/>
    <w:rsid w:val="00C06D0D"/>
    <w:rsid w:val="00C07158"/>
    <w:rsid w:val="00C073A5"/>
    <w:rsid w:val="00C108A9"/>
    <w:rsid w:val="00C10D63"/>
    <w:rsid w:val="00C11BA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BCF"/>
    <w:rsid w:val="00C40C64"/>
    <w:rsid w:val="00C41011"/>
    <w:rsid w:val="00C42239"/>
    <w:rsid w:val="00C433C4"/>
    <w:rsid w:val="00C43B8B"/>
    <w:rsid w:val="00C43FBA"/>
    <w:rsid w:val="00C441CC"/>
    <w:rsid w:val="00C44475"/>
    <w:rsid w:val="00C44F87"/>
    <w:rsid w:val="00C451F2"/>
    <w:rsid w:val="00C45757"/>
    <w:rsid w:val="00C4609E"/>
    <w:rsid w:val="00C46807"/>
    <w:rsid w:val="00C46CAE"/>
    <w:rsid w:val="00C47D44"/>
    <w:rsid w:val="00C50B1E"/>
    <w:rsid w:val="00C51C72"/>
    <w:rsid w:val="00C51CB1"/>
    <w:rsid w:val="00C521B4"/>
    <w:rsid w:val="00C52914"/>
    <w:rsid w:val="00C539F2"/>
    <w:rsid w:val="00C544CC"/>
    <w:rsid w:val="00C546E7"/>
    <w:rsid w:val="00C55114"/>
    <w:rsid w:val="00C56262"/>
    <w:rsid w:val="00C57198"/>
    <w:rsid w:val="00C57716"/>
    <w:rsid w:val="00C578CE"/>
    <w:rsid w:val="00C6043F"/>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61CF"/>
    <w:rsid w:val="00C66B16"/>
    <w:rsid w:val="00C6774F"/>
    <w:rsid w:val="00C677AA"/>
    <w:rsid w:val="00C67EA3"/>
    <w:rsid w:val="00C70669"/>
    <w:rsid w:val="00C70A37"/>
    <w:rsid w:val="00C70F72"/>
    <w:rsid w:val="00C70FCB"/>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2CF2"/>
    <w:rsid w:val="00C93018"/>
    <w:rsid w:val="00C93F00"/>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467"/>
    <w:rsid w:val="00CB7873"/>
    <w:rsid w:val="00CC0309"/>
    <w:rsid w:val="00CC06C3"/>
    <w:rsid w:val="00CC07DB"/>
    <w:rsid w:val="00CC0A26"/>
    <w:rsid w:val="00CC0AB1"/>
    <w:rsid w:val="00CC129B"/>
    <w:rsid w:val="00CC1838"/>
    <w:rsid w:val="00CC1C5B"/>
    <w:rsid w:val="00CC2D4D"/>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488"/>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901"/>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5EF0"/>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1D04"/>
    <w:rsid w:val="00D920CA"/>
    <w:rsid w:val="00D927D8"/>
    <w:rsid w:val="00D92BFA"/>
    <w:rsid w:val="00D9350D"/>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345"/>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408"/>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73B"/>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2D"/>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67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1F9A"/>
    <w:rsid w:val="00E52143"/>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05B"/>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6D1E"/>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5E9C"/>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12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85B"/>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853"/>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47E1A"/>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5D"/>
    <w:rsid w:val="00F74F89"/>
    <w:rsid w:val="00F75A10"/>
    <w:rsid w:val="00F75D9F"/>
    <w:rsid w:val="00F76063"/>
    <w:rsid w:val="00F76D11"/>
    <w:rsid w:val="00F77276"/>
    <w:rsid w:val="00F77927"/>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D54"/>
    <w:rsid w:val="00F94EB4"/>
    <w:rsid w:val="00F9591A"/>
    <w:rsid w:val="00F95BD3"/>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C0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nhideWhenUsed/>
    <w:rsid w:val="00566629"/>
    <w:rPr>
      <w:vertAlign w:val="superscript"/>
    </w:rPr>
  </w:style>
  <w:style w:type="table" w:styleId="TableGrid">
    <w:name w:val="Table Grid"/>
    <w:basedOn w:val="TableNormal"/>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084D64"/>
    <w:pPr>
      <w:pageBreakBefore/>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95355A"/>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uiPriority w:val="99"/>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95355A"/>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95355A"/>
    <w:rPr>
      <w:rFonts w:ascii="Tahoma" w:hAnsi="Tahoma" w:eastAsiaTheme="minorEastAsia" w:cs="Tahoma"/>
      <w:b w:val="0"/>
      <w:bCs/>
      <w:color w:val="00305F"/>
      <w:sz w:val="31"/>
      <w:szCs w:val="31"/>
    </w:rPr>
  </w:style>
  <w:style w:type="paragraph" w:customStyle="1" w:styleId="7329">
    <w:name w:val="73א כותרת 2"/>
    <w:link w:val="73210"/>
    <w:qFormat/>
    <w:rsid w:val="00084D64"/>
    <w:pPr>
      <w:keepNext/>
      <w:keepLines/>
      <w:spacing w:before="360" w:after="240" w:line="240" w:lineRule="atLeast"/>
      <w:jc w:val="righ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084D64"/>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95355A"/>
    <w:rPr>
      <w:color w:val="0D0D0D" w:themeColor="text1" w:themeTint="F2"/>
      <w:sz w:val="18"/>
    </w:rPr>
  </w:style>
  <w:style w:type="character" w:customStyle="1" w:styleId="7393">
    <w:name w:val="73א טקסט רץ 9 תו"/>
    <w:basedOn w:val="Char4"/>
    <w:link w:val="7392"/>
    <w:rsid w:val="0095355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uiPriority w:val="99"/>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Hesber">
    <w:name w:val="Hesber"/>
    <w:basedOn w:val="Normal"/>
    <w:rsid w:val="005F0786"/>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chap-name">
    <w:name w:val="chap-name"/>
    <w:basedOn w:val="Footer"/>
    <w:qFormat/>
    <w:rsid w:val="005F0786"/>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4">
    <w:name w:val="KOT4"/>
    <w:basedOn w:val="Normal"/>
    <w:rsid w:val="005F0786"/>
    <w:pPr>
      <w:keepNext/>
      <w:spacing w:before="480" w:after="240" w:line="360" w:lineRule="exact"/>
      <w:jc w:val="left"/>
      <w:outlineLvl w:val="1"/>
    </w:pPr>
    <w:rPr>
      <w:rFonts w:ascii="Tahoma" w:eastAsia="Times New Roman" w:hAnsi="Tahoma" w:cs="Tahoma"/>
      <w:color w:val="009692"/>
      <w:sz w:val="32"/>
      <w:szCs w:val="32"/>
    </w:rPr>
  </w:style>
  <w:style w:type="paragraph" w:customStyle="1" w:styleId="KOT5">
    <w:name w:val="KOT5"/>
    <w:basedOn w:val="KOT4"/>
    <w:rsid w:val="005F0786"/>
    <w:pPr>
      <w:spacing w:line="320" w:lineRule="exact"/>
      <w:outlineLvl w:val="2"/>
    </w:pPr>
    <w:rPr>
      <w:rFonts w:eastAsiaTheme="majorEastAsia"/>
      <w:color w:val="387026"/>
      <w:sz w:val="26"/>
      <w:szCs w:val="26"/>
    </w:rPr>
  </w:style>
  <w:style w:type="paragraph" w:customStyle="1" w:styleId="KOT6">
    <w:name w:val="KOT6"/>
    <w:basedOn w:val="KOT5"/>
    <w:locked/>
    <w:rsid w:val="005F0786"/>
    <w:pPr>
      <w:outlineLvl w:val="3"/>
    </w:pPr>
    <w:rPr>
      <w:sz w:val="21"/>
      <w:szCs w:val="21"/>
    </w:rPr>
  </w:style>
  <w:style w:type="paragraph" w:customStyle="1" w:styleId="KOT7">
    <w:name w:val="KOT7"/>
    <w:basedOn w:val="KOT6"/>
    <w:locked/>
    <w:rsid w:val="005F0786"/>
    <w:pPr>
      <w:spacing w:before="240"/>
      <w:outlineLvl w:val="4"/>
    </w:pPr>
    <w:rPr>
      <w:sz w:val="20"/>
      <w:szCs w:val="20"/>
    </w:rPr>
  </w:style>
  <w:style w:type="paragraph" w:customStyle="1" w:styleId="KOT5T">
    <w:name w:val="KOT5T"/>
    <w:basedOn w:val="KOT5"/>
    <w:qFormat/>
    <w:rsid w:val="005F0786"/>
    <w:pPr>
      <w:spacing w:before="120" w:after="120"/>
      <w:ind w:right="2268"/>
      <w:jc w:val="center"/>
    </w:pPr>
    <w:rPr>
      <w:b/>
      <w:bCs/>
      <w:sz w:val="24"/>
      <w:szCs w:val="24"/>
      <w:u w:color="FF0000"/>
    </w:rPr>
  </w:style>
  <w:style w:type="paragraph" w:customStyle="1" w:styleId="takzir-text">
    <w:name w:val="takzir-text"/>
    <w:qFormat/>
    <w:rsid w:val="005F0786"/>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7"/>
    </w:rPr>
  </w:style>
  <w:style w:type="paragraph" w:customStyle="1" w:styleId="takzir">
    <w:name w:val="takzir"/>
    <w:basedOn w:val="Normal"/>
    <w:rsid w:val="005F0786"/>
    <w:pPr>
      <w:spacing w:after="120" w:line="240" w:lineRule="exact"/>
    </w:pPr>
    <w:rPr>
      <w:rFonts w:eastAsia="Times New Roman"/>
      <w:b/>
      <w:bCs/>
      <w:noProof/>
      <w:sz w:val="22"/>
      <w:szCs w:val="22"/>
      <w:lang w:eastAsia="he-IL"/>
    </w:rPr>
  </w:style>
  <w:style w:type="paragraph" w:customStyle="1" w:styleId="719">
    <w:name w:val="71ג טקסט רץ 9"/>
    <w:basedOn w:val="Normal"/>
    <w:link w:val="719Char"/>
    <w:qFormat/>
    <w:rsid w:val="005F0786"/>
    <w:pPr>
      <w:spacing w:after="180" w:line="260" w:lineRule="exact"/>
      <w:outlineLvl w:val="3"/>
    </w:pPr>
    <w:rPr>
      <w:rFonts w:ascii="Tahoma" w:hAnsi="Tahoma" w:cs="Tahoma"/>
      <w:color w:val="0D0D0D" w:themeColor="text1" w:themeTint="F2"/>
      <w:sz w:val="18"/>
      <w:szCs w:val="18"/>
    </w:rPr>
  </w:style>
  <w:style w:type="character" w:customStyle="1" w:styleId="719Char">
    <w:name w:val="71ג טקסט רץ 9 Char"/>
    <w:basedOn w:val="DefaultParagraphFont"/>
    <w:link w:val="719"/>
    <w:rsid w:val="005F0786"/>
    <w:rPr>
      <w:rFonts w:ascii="Tahoma" w:hAnsi="Tahoma" w:cs="Tahoma"/>
      <w:color w:val="0D0D0D" w:themeColor="text1" w:themeTint="F2"/>
      <w:sz w:val="18"/>
      <w:szCs w:val="18"/>
    </w:rPr>
  </w:style>
  <w:style w:type="paragraph" w:customStyle="1" w:styleId="71316">
    <w:name w:val="71ג כותרת 3_16"/>
    <w:basedOn w:val="Heading3"/>
    <w:link w:val="71316Char"/>
    <w:qFormat/>
    <w:rsid w:val="005F0786"/>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DefaultParagraphFont"/>
    <w:link w:val="71316"/>
    <w:rsid w:val="005F0786"/>
    <w:rPr>
      <w:rFonts w:ascii="Tahoma" w:eastAsia="Times New Roman" w:hAnsi="Tahoma" w:cs="Tahoma"/>
      <w:b/>
      <w:bCs/>
      <w:color w:val="00305F"/>
      <w:sz w:val="32"/>
      <w:szCs w:val="32"/>
    </w:rPr>
  </w:style>
  <w:style w:type="paragraph" w:customStyle="1" w:styleId="711">
    <w:name w:val="71ג קוביה רצה"/>
    <w:basedOn w:val="Normal"/>
    <w:link w:val="71Char"/>
    <w:qFormat/>
    <w:rsid w:val="005F0786"/>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284" w:right="227"/>
    </w:pPr>
    <w:rPr>
      <w:rFonts w:ascii="Tahoma" w:eastAsia="Times New Roman" w:hAnsi="Tahoma" w:cs="Tahoma"/>
      <w:color w:val="0D0D0D" w:themeColor="text1" w:themeTint="F2"/>
      <w:sz w:val="18"/>
      <w:szCs w:val="18"/>
      <w:lang w:eastAsia="he-IL"/>
    </w:rPr>
  </w:style>
  <w:style w:type="character" w:customStyle="1" w:styleId="71Char">
    <w:name w:val="71ג קוביה רצה Char"/>
    <w:basedOn w:val="DefaultParagraphFont"/>
    <w:link w:val="711"/>
    <w:rsid w:val="005F0786"/>
    <w:rPr>
      <w:rFonts w:ascii="Tahoma" w:eastAsia="Times New Roman" w:hAnsi="Tahoma" w:cs="Tahoma"/>
      <w:color w:val="0D0D0D" w:themeColor="text1" w:themeTint="F2"/>
      <w:sz w:val="18"/>
      <w:szCs w:val="18"/>
      <w:shd w:val="solid" w:color="CEEAF5" w:fill="auto"/>
      <w:lang w:eastAsia="he-IL"/>
    </w:rPr>
  </w:style>
  <w:style w:type="character" w:customStyle="1" w:styleId="Heading62">
    <w:name w:val="Heading #6 (2)"/>
    <w:basedOn w:val="DefaultParagraphFont"/>
    <w:rsid w:val="005F0786"/>
    <w:rPr>
      <w:rFonts w:ascii="Calibri" w:eastAsia="Calibri" w:hAnsi="Calibri" w:cs="Calibri"/>
      <w:b/>
      <w:bCs/>
      <w:i w:val="0"/>
      <w:iCs w:val="0"/>
      <w:smallCaps w:val="0"/>
      <w:strike w:val="0"/>
      <w:color w:val="000000"/>
      <w:spacing w:val="0"/>
      <w:w w:val="100"/>
      <w:position w:val="0"/>
      <w:sz w:val="28"/>
      <w:szCs w:val="28"/>
      <w:u w:val="none"/>
      <w:lang w:val="he-IL" w:eastAsia="he-IL" w:bidi="he-IL"/>
    </w:rPr>
  </w:style>
  <w:style w:type="character" w:customStyle="1" w:styleId="Heading60">
    <w:name w:val="Heading #6"/>
    <w:basedOn w:val="DefaultParagraphFont"/>
    <w:rsid w:val="005F0786"/>
    <w:rPr>
      <w:rFonts w:ascii="Calibri" w:eastAsia="Calibri" w:hAnsi="Calibri" w:cs="Calibri"/>
      <w:b/>
      <w:bCs/>
      <w:i w:val="0"/>
      <w:iCs w:val="0"/>
      <w:smallCaps w:val="0"/>
      <w:strike w:val="0"/>
      <w:color w:val="FFFFFF"/>
      <w:spacing w:val="0"/>
      <w:w w:val="66"/>
      <w:position w:val="0"/>
      <w:sz w:val="28"/>
      <w:szCs w:val="28"/>
      <w:u w:val="none"/>
      <w:lang w:val="he-IL" w:eastAsia="he-IL" w:bidi="he-IL"/>
    </w:rPr>
  </w:style>
  <w:style w:type="character" w:customStyle="1" w:styleId="jlqj4b">
    <w:name w:val="jlqj4b"/>
    <w:basedOn w:val="DefaultParagraphFont"/>
    <w:rsid w:val="005F0786"/>
  </w:style>
  <w:style w:type="paragraph" w:customStyle="1" w:styleId="TableBlock">
    <w:name w:val="Table Block"/>
    <w:basedOn w:val="Normal"/>
    <w:rsid w:val="005F0786"/>
    <w:pPr>
      <w:keepLines/>
      <w:widowControl w:val="0"/>
      <w:tabs>
        <w:tab w:val="left" w:pos="624"/>
        <w:tab w:val="left" w:pos="1247"/>
      </w:tabs>
      <w:autoSpaceDE w:val="0"/>
      <w:autoSpaceDN w:val="0"/>
      <w:adjustRightInd w:val="0"/>
      <w:snapToGrid w:val="0"/>
      <w:spacing w:line="360" w:lineRule="auto"/>
      <w:textAlignment w:val="center"/>
    </w:pPr>
    <w:rPr>
      <w:rFonts w:ascii="Arial" w:eastAsia="Arial Unicode MS" w:hAnsi="Arial"/>
      <w:snapToGrid w:val="0"/>
      <w:color w:val="000000"/>
      <w:szCs w:val="26"/>
      <w:lang w:eastAsia="ja-JP"/>
    </w:rPr>
  </w:style>
  <w:style w:type="paragraph" w:customStyle="1" w:styleId="TableBlockOutdent">
    <w:name w:val="Table BlockOutdent"/>
    <w:basedOn w:val="TableBlock"/>
    <w:rsid w:val="005F0786"/>
    <w:pPr>
      <w:ind w:left="624" w:hanging="624"/>
    </w:pPr>
  </w:style>
  <w:style w:type="paragraph" w:customStyle="1" w:styleId="HeadDivreiHesber">
    <w:name w:val="Head DivreiHesber"/>
    <w:basedOn w:val="Normal"/>
    <w:rsid w:val="005F0786"/>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Cs w:val="26"/>
      <w:lang w:eastAsia="ja-JP"/>
    </w:rPr>
  </w:style>
  <w:style w:type="character" w:customStyle="1" w:styleId="Footnote">
    <w:name w:val="Footnote_"/>
    <w:basedOn w:val="DefaultParagraphFont"/>
    <w:link w:val="Footnote0"/>
    <w:rsid w:val="005F0786"/>
    <w:rPr>
      <w:rFonts w:ascii="David" w:eastAsia="David" w:hAnsi="David"/>
      <w:sz w:val="19"/>
      <w:szCs w:val="19"/>
      <w:shd w:val="clear" w:color="auto" w:fill="FFFFFF"/>
    </w:rPr>
  </w:style>
  <w:style w:type="character" w:customStyle="1" w:styleId="Bodytext7NotBold">
    <w:name w:val="Body text (7) + Not Bold"/>
    <w:basedOn w:val="Bodytext7"/>
    <w:rsid w:val="005F0786"/>
    <w:rPr>
      <w:rFonts w:ascii="David" w:eastAsia="David" w:hAnsi="David" w:cs="Times New Roman"/>
      <w:b/>
      <w:bCs/>
      <w:color w:val="000000"/>
      <w:spacing w:val="0"/>
      <w:w w:val="100"/>
      <w:position w:val="0"/>
      <w:sz w:val="24"/>
      <w:szCs w:val="24"/>
      <w:shd w:val="clear" w:color="auto" w:fill="FFFFFF"/>
      <w:lang w:val="he-IL" w:eastAsia="he-IL" w:bidi="he-IL"/>
    </w:rPr>
  </w:style>
  <w:style w:type="character" w:customStyle="1" w:styleId="Bodytext8">
    <w:name w:val="Body text (8)_"/>
    <w:basedOn w:val="DefaultParagraphFont"/>
    <w:link w:val="Bodytext80"/>
    <w:rsid w:val="005F0786"/>
    <w:rPr>
      <w:rFonts w:ascii="David" w:eastAsia="David" w:hAnsi="David"/>
      <w:sz w:val="22"/>
      <w:szCs w:val="22"/>
      <w:shd w:val="clear" w:color="auto" w:fill="FFFFFF"/>
    </w:rPr>
  </w:style>
  <w:style w:type="character" w:customStyle="1" w:styleId="Bodytext812pt">
    <w:name w:val="Body text (8) + 12 pt"/>
    <w:basedOn w:val="Bodytext8"/>
    <w:rsid w:val="005F0786"/>
    <w:rPr>
      <w:rFonts w:ascii="David" w:eastAsia="David" w:hAnsi="David"/>
      <w:color w:val="000000"/>
      <w:spacing w:val="0"/>
      <w:w w:val="100"/>
      <w:position w:val="0"/>
      <w:sz w:val="24"/>
      <w:szCs w:val="24"/>
      <w:shd w:val="clear" w:color="auto" w:fill="FFFFFF"/>
      <w:lang w:val="he-IL" w:eastAsia="he-IL" w:bidi="he-IL"/>
    </w:rPr>
  </w:style>
  <w:style w:type="paragraph" w:customStyle="1" w:styleId="Footnote0">
    <w:name w:val="Footnote"/>
    <w:basedOn w:val="Normal"/>
    <w:link w:val="Footnote"/>
    <w:rsid w:val="005F0786"/>
    <w:pPr>
      <w:widowControl w:val="0"/>
      <w:shd w:val="clear" w:color="auto" w:fill="FFFFFF"/>
      <w:spacing w:line="197" w:lineRule="exact"/>
    </w:pPr>
    <w:rPr>
      <w:rFonts w:ascii="David" w:eastAsia="David" w:hAnsi="David"/>
      <w:sz w:val="19"/>
      <w:szCs w:val="19"/>
    </w:rPr>
  </w:style>
  <w:style w:type="paragraph" w:customStyle="1" w:styleId="Bodytext80">
    <w:name w:val="Body text (8)"/>
    <w:basedOn w:val="Normal"/>
    <w:link w:val="Bodytext8"/>
    <w:rsid w:val="005F0786"/>
    <w:pPr>
      <w:widowControl w:val="0"/>
      <w:shd w:val="clear" w:color="auto" w:fill="FFFFFF"/>
      <w:spacing w:line="350" w:lineRule="exact"/>
      <w:ind w:hanging="380"/>
    </w:pPr>
    <w:rPr>
      <w:rFonts w:ascii="David" w:eastAsia="David" w:hAnsi="David"/>
      <w:sz w:val="22"/>
      <w:szCs w:val="22"/>
    </w:rPr>
  </w:style>
  <w:style w:type="paragraph" w:customStyle="1" w:styleId="712">
    <w:name w:val="71ג הערות שוליים"/>
    <w:basedOn w:val="FootnoteText"/>
    <w:link w:val="71Char0"/>
    <w:qFormat/>
    <w:rsid w:val="005F0786"/>
    <w:pPr>
      <w:spacing w:after="60" w:line="220" w:lineRule="exact"/>
      <w:ind w:left="397" w:hanging="397"/>
    </w:pPr>
    <w:rPr>
      <w:rFonts w:ascii="Tahoma" w:hAnsi="Tahoma" w:cs="Tahoma"/>
      <w:color w:val="0D0D0D" w:themeColor="text1" w:themeTint="F2"/>
      <w:sz w:val="14"/>
      <w:szCs w:val="14"/>
    </w:rPr>
  </w:style>
  <w:style w:type="character" w:customStyle="1" w:styleId="71Char0">
    <w:name w:val="71ג הערות שוליים Char"/>
    <w:basedOn w:val="DefaultParagraphFont"/>
    <w:link w:val="712"/>
    <w:rsid w:val="005F0786"/>
    <w:rPr>
      <w:rFonts w:ascii="Tahoma" w:hAnsi="Tahoma" w:cs="Tahoma"/>
      <w:color w:val="0D0D0D" w:themeColor="text1" w:themeTint="F2"/>
      <w:sz w:val="14"/>
      <w:szCs w:val="14"/>
    </w:rPr>
  </w:style>
  <w:style w:type="paragraph" w:customStyle="1" w:styleId="xxmsolistparagraph">
    <w:name w:val="x_xmsolistparagraph"/>
    <w:basedOn w:val="Normal"/>
    <w:rsid w:val="005F0786"/>
    <w:pPr>
      <w:spacing w:line="240" w:lineRule="auto"/>
      <w:ind w:left="720"/>
      <w:jc w:val="left"/>
    </w:pPr>
    <w:rPr>
      <w:rFonts w:ascii="Calibri" w:hAnsi="Calibri" w:cs="Calibri"/>
      <w:sz w:val="22"/>
      <w:szCs w:val="22"/>
    </w:rPr>
  </w:style>
  <w:style w:type="character" w:customStyle="1" w:styleId="Bodytext2Exact">
    <w:name w:val="Body text (2) Exact"/>
    <w:basedOn w:val="Bodytext2"/>
    <w:rsid w:val="005F0786"/>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he-IL" w:eastAsia="he-IL" w:bidi="he-IL"/>
    </w:rPr>
  </w:style>
  <w:style w:type="character" w:customStyle="1" w:styleId="Heading50">
    <w:name w:val="Heading #5"/>
    <w:basedOn w:val="DefaultParagraphFont"/>
    <w:rsid w:val="005F0786"/>
    <w:rPr>
      <w:rFonts w:ascii="David" w:eastAsia="David" w:hAnsi="David" w:cs="David"/>
      <w:b/>
      <w:bCs/>
      <w:i w:val="0"/>
      <w:iCs w:val="0"/>
      <w:smallCaps w:val="0"/>
      <w:strike w:val="0"/>
      <w:color w:val="000000"/>
      <w:spacing w:val="0"/>
      <w:w w:val="100"/>
      <w:position w:val="0"/>
      <w:sz w:val="24"/>
      <w:szCs w:val="24"/>
      <w:u w:val="single"/>
      <w:lang w:val="he-IL" w:eastAsia="he-IL" w:bidi="he-IL"/>
    </w:rPr>
  </w:style>
  <w:style w:type="character" w:customStyle="1" w:styleId="Heading5Italic">
    <w:name w:val="Heading #5 + Italic"/>
    <w:aliases w:val="Spacing 0 pt"/>
    <w:basedOn w:val="DefaultParagraphFont"/>
    <w:rsid w:val="005F0786"/>
    <w:rPr>
      <w:rFonts w:ascii="David" w:eastAsia="David" w:hAnsi="David" w:cs="David"/>
      <w:b/>
      <w:bCs/>
      <w:i/>
      <w:iCs/>
      <w:smallCaps w:val="0"/>
      <w:strike w:val="0"/>
      <w:color w:val="000000"/>
      <w:spacing w:val="-10"/>
      <w:w w:val="100"/>
      <w:position w:val="0"/>
      <w:sz w:val="24"/>
      <w:szCs w:val="24"/>
      <w:u w:val="single"/>
      <w:lang w:val="he-IL" w:eastAsia="he-IL" w:bidi="he-IL"/>
    </w:rPr>
  </w:style>
  <w:style w:type="paragraph" w:styleId="Quote">
    <w:name w:val="Quote"/>
    <w:basedOn w:val="Heading2"/>
    <w:link w:val="a35"/>
    <w:qFormat/>
    <w:rsid w:val="005F0786"/>
    <w:pPr>
      <w:keepLines w:val="0"/>
      <w:spacing w:before="0" w:line="360" w:lineRule="auto"/>
      <w:ind w:left="926" w:right="1440"/>
      <w:jc w:val="both"/>
    </w:pPr>
    <w:rPr>
      <w:rFonts w:eastAsia="Times New Roman"/>
      <w:b/>
      <w:sz w:val="24"/>
      <w:szCs w:val="24"/>
      <w:lang w:eastAsia="he-IL"/>
    </w:rPr>
  </w:style>
  <w:style w:type="character" w:customStyle="1" w:styleId="a35">
    <w:name w:val="ציטוט תו"/>
    <w:basedOn w:val="DefaultParagraphFont"/>
    <w:link w:val="Quote"/>
    <w:rsid w:val="005F0786"/>
    <w:rPr>
      <w:rFonts w:eastAsia="Times New Roman"/>
      <w:b/>
      <w:bCs/>
      <w:sz w:val="24"/>
      <w:lang w:eastAsia="he-IL"/>
    </w:rPr>
  </w:style>
  <w:style w:type="table" w:customStyle="1" w:styleId="35">
    <w:name w:val="רשת טבלה3"/>
    <w:basedOn w:val="TableNormal"/>
    <w:next w:val="TableGrid"/>
    <w:uiPriority w:val="59"/>
    <w:rsid w:val="005F078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6">
    <w:name w:val="כותרת תרשים"/>
    <w:basedOn w:val="Normal"/>
    <w:next w:val="Normal"/>
    <w:link w:val="a38"/>
    <w:qFormat/>
    <w:rsid w:val="005F0786"/>
    <w:pPr>
      <w:keepNext/>
      <w:keepLines/>
      <w:numPr>
        <w:numId w:val="13"/>
      </w:numPr>
      <w:ind w:left="714" w:hanging="357"/>
      <w:jc w:val="center"/>
      <w:outlineLvl w:val="4"/>
    </w:pPr>
    <w:rPr>
      <w:bCs/>
    </w:rPr>
  </w:style>
  <w:style w:type="paragraph" w:customStyle="1" w:styleId="a37">
    <w:name w:val="כותרת לוח"/>
    <w:basedOn w:val="Normal"/>
    <w:next w:val="Normal"/>
    <w:link w:val="a39"/>
    <w:qFormat/>
    <w:rsid w:val="005F0786"/>
    <w:pPr>
      <w:keepNext/>
      <w:keepLines/>
      <w:numPr>
        <w:numId w:val="14"/>
      </w:numPr>
      <w:ind w:left="714" w:hanging="357"/>
      <w:jc w:val="center"/>
      <w:outlineLvl w:val="4"/>
    </w:pPr>
    <w:rPr>
      <w:bCs/>
    </w:rPr>
  </w:style>
  <w:style w:type="character" w:customStyle="1" w:styleId="a38">
    <w:name w:val="כותרת תרשים תו"/>
    <w:basedOn w:val="DefaultParagraphFont"/>
    <w:link w:val="a36"/>
    <w:rsid w:val="005F0786"/>
    <w:rPr>
      <w:bCs/>
    </w:rPr>
  </w:style>
  <w:style w:type="character" w:customStyle="1" w:styleId="a39">
    <w:name w:val="כותרת לוח תו"/>
    <w:basedOn w:val="DefaultParagraphFont"/>
    <w:link w:val="a37"/>
    <w:rsid w:val="005F0786"/>
    <w:rPr>
      <w:bCs/>
    </w:rPr>
  </w:style>
  <w:style w:type="character" w:customStyle="1" w:styleId="127">
    <w:name w:val="אזכור לא מזוהה1"/>
    <w:basedOn w:val="DefaultParagraphFont"/>
    <w:uiPriority w:val="99"/>
    <w:semiHidden/>
    <w:unhideWhenUsed/>
    <w:rsid w:val="005F0786"/>
    <w:rPr>
      <w:color w:val="605E5C"/>
      <w:shd w:val="clear" w:color="auto" w:fill="E1DFDD"/>
    </w:rPr>
  </w:style>
  <w:style w:type="character" w:customStyle="1" w:styleId="219">
    <w:name w:val="אזכור לא מזוהה2"/>
    <w:basedOn w:val="DefaultParagraphFont"/>
    <w:uiPriority w:val="99"/>
    <w:semiHidden/>
    <w:unhideWhenUsed/>
    <w:rsid w:val="005F0786"/>
    <w:rPr>
      <w:color w:val="605E5C"/>
      <w:shd w:val="clear" w:color="auto" w:fill="E1DFDD"/>
    </w:rPr>
  </w:style>
  <w:style w:type="paragraph" w:customStyle="1" w:styleId="a40">
    <w:name w:val="סגנון בסיס"/>
    <w:basedOn w:val="Normal"/>
    <w:rsid w:val="005F0786"/>
    <w:pPr>
      <w:spacing w:line="360" w:lineRule="auto"/>
      <w:ind w:right="360"/>
    </w:pPr>
    <w:rPr>
      <w:rFonts w:eastAsia="Times New Roman" w:cs="Narkisim"/>
      <w:sz w:val="24"/>
      <w:szCs w:val="25"/>
      <w:lang w:eastAsia="he-IL"/>
    </w:rPr>
  </w:style>
  <w:style w:type="paragraph" w:styleId="List">
    <w:name w:val="List"/>
    <w:basedOn w:val="Normal"/>
    <w:uiPriority w:val="99"/>
    <w:unhideWhenUsed/>
    <w:rsid w:val="005F0786"/>
    <w:pPr>
      <w:spacing w:after="200" w:line="276" w:lineRule="auto"/>
      <w:ind w:left="283" w:hanging="283"/>
      <w:contextualSpacing/>
      <w:jc w:val="left"/>
    </w:pPr>
    <w:rPr>
      <w:rFonts w:asciiTheme="minorHAnsi" w:hAnsiTheme="minorHAnsi" w:cstheme="minorBidi"/>
      <w:sz w:val="22"/>
      <w:szCs w:val="22"/>
    </w:rPr>
  </w:style>
  <w:style w:type="table" w:customStyle="1" w:styleId="42">
    <w:name w:val="רשת טבלה4"/>
    <w:basedOn w:val="TableNormal"/>
    <w:next w:val="TableGrid"/>
    <w:uiPriority w:val="59"/>
    <w:rsid w:val="005F078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רשת טבלה41"/>
    <w:basedOn w:val="TableNormal"/>
    <w:next w:val="TableGrid"/>
    <w:uiPriority w:val="59"/>
    <w:rsid w:val="005F078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5F0786"/>
    <w:pPr>
      <w:numPr>
        <w:numId w:val="15"/>
      </w:numPr>
    </w:pPr>
  </w:style>
  <w:style w:type="paragraph" w:customStyle="1" w:styleId="713">
    <w:name w:val="71ג מקרא+הערות לתרשים/לוח/תמונה"/>
    <w:basedOn w:val="Normal"/>
    <w:link w:val="71Char1"/>
    <w:qFormat/>
    <w:rsid w:val="002868CA"/>
    <w:pPr>
      <w:spacing w:before="120" w:after="240" w:line="260" w:lineRule="exact"/>
      <w:ind w:left="397" w:hanging="397"/>
    </w:pPr>
    <w:rPr>
      <w:rFonts w:ascii="Tahoma" w:hAnsi="Tahoma" w:cs="Tahoma"/>
      <w:color w:val="0D0D0D" w:themeColor="text1" w:themeTint="F2"/>
      <w:sz w:val="16"/>
      <w:szCs w:val="16"/>
    </w:rPr>
  </w:style>
  <w:style w:type="character" w:customStyle="1" w:styleId="71Char1">
    <w:name w:val="71ג מקרא+הערות לתרשים/לוח/תמונה Char"/>
    <w:basedOn w:val="DefaultParagraphFont"/>
    <w:link w:val="713"/>
    <w:rsid w:val="002868CA"/>
    <w:rPr>
      <w:rFonts w:ascii="Tahoma" w:hAnsi="Tahoma" w:cs="Tahoma"/>
      <w:color w:val="0D0D0D" w:themeColor="text1" w:themeTint="F2"/>
      <w:sz w:val="16"/>
      <w:szCs w:val="16"/>
    </w:rPr>
  </w:style>
  <w:style w:type="paragraph" w:customStyle="1" w:styleId="a41">
    <w:name w:val="תאריך הדוח"/>
    <w:qFormat/>
    <w:rsid w:val="001378BF"/>
    <w:pPr>
      <w:ind w:left="2268"/>
      <w:jc w:val="left"/>
    </w:pPr>
    <w:rPr>
      <w:rFonts w:ascii="Tahoma" w:hAnsi="Tahoma" w:cs="Tahoma"/>
      <w:sz w:val="18"/>
      <w:szCs w:val="18"/>
    </w:rPr>
  </w:style>
  <w:style w:type="paragraph" w:customStyle="1" w:styleId="a42">
    <w:name w:val="כותרת ראשית לדוח"/>
    <w:qFormat/>
    <w:rsid w:val="001378BF"/>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footer" Target="footer6.xml" /><Relationship Id="rId32" Type="http://schemas.openxmlformats.org/officeDocument/2006/relationships/header" Target="header6.xml" /><Relationship Id="rId33" Type="http://schemas.openxmlformats.org/officeDocument/2006/relationships/footer" Target="foot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13.jpeg" /><Relationship Id="rId2"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15.png" /><Relationship Id="rId2" Type="http://schemas.openxmlformats.org/officeDocument/2006/relationships/image" Target="media/image16.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C3244B5C-D139-4248-A527-3B12CC2572ED}"/>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