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8"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0"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1EB2D97">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225333</wp:posOffset>
                </wp:positionH>
                <wp:positionV relativeFrom="paragraph">
                  <wp:posOffset>1934845</wp:posOffset>
                </wp:positionV>
                <wp:extent cx="2713718" cy="0"/>
                <wp:effectExtent l="12700" t="12700" r="444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1371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7.75pt,152.35pt" to="231.45pt,152.35pt" strokecolor="white" strokeweight="1.5pt"/>
            </w:pict>
          </mc:Fallback>
        </mc:AlternateContent>
      </w:r>
      <w:r w:rsidRPr="0030415A" w:rsidR="00016A6F">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-85725</wp:posOffset>
                </wp:positionH>
                <wp:positionV relativeFrom="paragraph">
                  <wp:posOffset>347345</wp:posOffset>
                </wp:positionV>
                <wp:extent cx="455993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93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52A8E" w14:textId="375A9DE1">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Pr="008C5637" w:rsidR="008C5637">
                              <w:rPr>
                                <w:rtl/>
                              </w:rPr>
                              <w:t xml:space="preserve">נובמבר </w:t>
                            </w:r>
                            <w:r>
                              <w:rPr>
                                <w:rFonts w:hint="cs"/>
                                <w:rtl/>
                              </w:rPr>
                              <w:t xml:space="preserve">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5D0F8C" w:rsidRPr="005C43B9" w:rsidP="00052A8E" w14:textId="356C5E80">
                            <w:pPr>
                              <w:pStyle w:val="-2"/>
                              <w:rPr>
                                <w:spacing w:val="-4"/>
                                <w:rtl/>
                              </w:rPr>
                            </w:pPr>
                            <w:r w:rsidRPr="005C43B9">
                              <w:rPr>
                                <w:spacing w:val="-4"/>
                                <w:rtl/>
                              </w:rPr>
                              <w:t xml:space="preserve">משרד התחבורה והבטיחות בדרכים </w:t>
                            </w:r>
                          </w:p>
                          <w:p w:rsidR="00C30482" w:rsidRPr="00052A8E" w:rsidP="00910C99" w14:textId="27E4EE67">
                            <w:pPr>
                              <w:pStyle w:val="a36"/>
                              <w:bidi/>
                              <w:spacing w:before="120"/>
                              <w:rPr>
                                <w:rtl/>
                              </w:rPr>
                            </w:pPr>
                            <w:r w:rsidRPr="00016A6F">
                              <w:rPr>
                                <w:rtl/>
                              </w:rPr>
                              <w:t xml:space="preserve">התקדמות פרויקט הרכבת הקלה </w:t>
                            </w:r>
                            <w:r>
                              <w:br/>
                            </w:r>
                            <w:r w:rsidRPr="00016A6F">
                              <w:rPr>
                                <w:rtl/>
                              </w:rPr>
                              <w:t>בגוש דן</w:t>
                            </w:r>
                          </w:p>
                          <w:p w:rsidR="00C3048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width:359.05pt;height:336.5pt;margin-top:27.35pt;margin-left:-6.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52A8E" w14:paraId="6680A7A9" w14:textId="375A9DE1">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Pr="008C5637" w:rsidR="008C5637">
                        <w:rPr>
                          <w:rtl/>
                        </w:rPr>
                        <w:t xml:space="preserve">נובמבר </w:t>
                      </w:r>
                      <w:r>
                        <w:rPr>
                          <w:rFonts w:hint="cs"/>
                          <w:rtl/>
                        </w:rPr>
                        <w:t xml:space="preserve">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5D0F8C" w:rsidRPr="005C43B9" w:rsidP="00052A8E" w14:paraId="361EED1E" w14:textId="356C5E80">
                      <w:pPr>
                        <w:pStyle w:val="-2"/>
                        <w:rPr>
                          <w:spacing w:val="-4"/>
                          <w:rtl/>
                        </w:rPr>
                      </w:pPr>
                      <w:r w:rsidRPr="005C43B9">
                        <w:rPr>
                          <w:spacing w:val="-4"/>
                          <w:rtl/>
                        </w:rPr>
                        <w:t xml:space="preserve">משרד התחבורה והבטיחות בדרכים </w:t>
                      </w:r>
                    </w:p>
                    <w:p w:rsidR="00C30482" w:rsidRPr="00052A8E" w:rsidP="00910C99" w14:paraId="005557EF" w14:textId="27E4EE67">
                      <w:pPr>
                        <w:pStyle w:val="a36"/>
                        <w:bidi/>
                        <w:spacing w:before="120"/>
                        <w:rPr>
                          <w:rtl/>
                        </w:rPr>
                      </w:pPr>
                      <w:r w:rsidRPr="00016A6F">
                        <w:rPr>
                          <w:rtl/>
                        </w:rPr>
                        <w:t xml:space="preserve">התקדמות פרויקט הרכבת הקלה </w:t>
                      </w:r>
                      <w:r>
                        <w:br/>
                      </w:r>
                      <w:r w:rsidRPr="00016A6F">
                        <w:rPr>
                          <w:rtl/>
                        </w:rPr>
                        <w:t>בגוש דן</w:t>
                      </w:r>
                    </w:p>
                    <w:p w:rsidR="00C30482" w:rsidRPr="001F3363" w:rsidP="005D0F8C" w14:paraId="5BE5E62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262548</wp:posOffset>
                </wp:positionV>
                <wp:extent cx="45085" cy="3708205"/>
                <wp:effectExtent l="25400" t="12700" r="31115" b="2603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5085" cy="370820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3" style="mso-height-percent:0;mso-height-relative:margin;mso-width-percent:0;mso-width-relative:margin;mso-wrap-distance-bottom:0;mso-wrap-distance-left:9pt;mso-wrap-distance-right:9pt;mso-wrap-distance-top:0;mso-wrap-style:square;position:absolute;visibility:visible;z-index:251667456" from="241.4pt,20.65pt" to="244.95pt,312.6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55501F">
          <w:headerReference w:type="even" r:id="rId18"/>
          <w:pgSz w:w="11906" w:h="16838" w:code="9"/>
          <w:pgMar w:top="3062" w:right="2268" w:bottom="2552" w:left="2268" w:header="709" w:footer="709" w:gutter="0"/>
          <w:cols w:space="720"/>
          <w:bidi/>
          <w:rtlGutter/>
          <w:docGrid w:linePitch="272"/>
        </w:sectPr>
      </w:pPr>
    </w:p>
    <w:p w:rsidR="00B93C72" w:rsidRPr="001F3363" w:rsidP="00E925CB" w14:paraId="4ED3AA37" w14:textId="0AD5A57B">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583442</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5"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016A6F" w:rsidR="00016A6F">
        <w:rPr>
          <w:noProof/>
          <w:rtl/>
        </w:rPr>
        <w:t>התקדמות פרויקט הרכבת הקלה בגוש דן</w:t>
      </w:r>
    </w:p>
    <w:p w:rsidR="00091A9A" w:rsidRPr="00CD7E5A" w:rsidP="00091A9A" w14:paraId="39985617" w14:textId="77777777">
      <w:pPr>
        <w:pStyle w:val="7392"/>
        <w:spacing w:before="480"/>
        <w:rPr>
          <w:rtl/>
        </w:rPr>
      </w:pPr>
      <w:r w:rsidRPr="00CD7E5A">
        <w:rPr>
          <w:rtl/>
        </w:rPr>
        <w:t>מטרופולין תל אביב משתרעת על פני 1,500 קמ"ר בקירוב, כ-60 ק"מ מצפון לדרום וכ-30 ק"מ ממזרח למערב. מטרופולין תל אביב דומה בגודלה לערי מטרופולין מרכזיות באירופה. 80% עד 90% מהנסיעות בכלי רכב ממונעים בערי המטרופולין הגדולות בישראל (תל אביב, ירושלים וחיפה) נעשים בכלי רכב פרטיים. הנסיעות בתחבורה הציבורית מתפלגות באופן הזה: כ-767 מיליון נוסעים באוטובוס (כ-87%); כ-68 מיליון נוסעים ברכבת ישראל (כ-8%); וכ-45 מיליון נוסעים ברכבת הקלה (</w:t>
      </w:r>
      <w:r w:rsidRPr="00CD7E5A">
        <w:rPr>
          <w:rtl/>
        </w:rPr>
        <w:t>רק"ל</w:t>
      </w:r>
      <w:r w:rsidRPr="00CD7E5A">
        <w:rPr>
          <w:rtl/>
        </w:rPr>
        <w:t xml:space="preserve">) (כ-5%). </w:t>
      </w:r>
    </w:p>
    <w:p w:rsidR="00091A9A" w:rsidRPr="00CD7E5A" w:rsidP="00091A9A" w14:paraId="242B8999" w14:textId="77777777">
      <w:pPr>
        <w:pStyle w:val="7392"/>
        <w:rPr>
          <w:rtl/>
        </w:rPr>
      </w:pPr>
      <w:r w:rsidRPr="00CD7E5A">
        <w:rPr>
          <w:rtl/>
        </w:rPr>
        <w:t>על פי נתוני ארגון ה-</w:t>
      </w:r>
      <w:r w:rsidRPr="00CD7E5A">
        <w:t>OECD</w:t>
      </w:r>
      <w:r w:rsidRPr="00CD7E5A">
        <w:rPr>
          <w:rtl/>
        </w:rPr>
        <w:t>, היקפן של תשתיות התחבורה בישראל נאמד בסכום השווה לכ-50% מהתוצר הגולמי המקומי של מדינת ישראל לעומת כ-70% בממוצע במדינות החברות ב-</w:t>
      </w:r>
      <w:r w:rsidRPr="00CD7E5A">
        <w:t>OECD</w:t>
      </w:r>
      <w:r w:rsidRPr="00CD7E5A">
        <w:rPr>
          <w:rtl/>
        </w:rPr>
        <w:t>. לנוכח השימוש המועט בתחבורה הציבורית וההיקף הנמוך של תשתיות התחבורה בישראל, המדינה סובלת מגודש התנועה הגדול ביותר בקרב מדינות ה-</w:t>
      </w:r>
      <w:r w:rsidRPr="00CD7E5A">
        <w:t>OECD</w:t>
      </w:r>
      <w:r w:rsidRPr="00CD7E5A">
        <w:rPr>
          <w:rtl/>
        </w:rPr>
        <w:t>, ולפי ארגון ה-</w:t>
      </w:r>
      <w:r w:rsidRPr="00CD7E5A">
        <w:t>OECD</w:t>
      </w:r>
      <w:r w:rsidRPr="00CD7E5A">
        <w:rPr>
          <w:rtl/>
        </w:rPr>
        <w:t xml:space="preserve"> בשנת 2019 היה אובדן תוצר כתוצאה מהגודש 20 מיליארד ש"ח בקירוב. </w:t>
      </w:r>
    </w:p>
    <w:p w:rsidR="007F4A20" w:rsidRPr="00091A9A" w:rsidP="00091A9A" w14:paraId="0B41EED6" w14:textId="354A72DF">
      <w:pPr>
        <w:pStyle w:val="7392"/>
        <w:rPr>
          <w:rtl/>
        </w:rPr>
      </w:pPr>
      <w:r w:rsidRPr="00CD7E5A">
        <w:rPr>
          <w:rtl/>
        </w:rPr>
        <w:t>בשנים 2005 - 2016 קיבלו ממשלות ישראל כמה החלטות לקידום מערכת הסעת המונים שנועדו לשפר את הנגישות של התחבורה הציבורית ואת זמינותה. על פי התוכניות העדכניות מערכת הסעת ההמונים המתוכננת של מטרופולין תל אביב תורכב משלושה קווי רכבת קלה הנמצאים בשלבי הקמה שונים ומשלושה קווי מטרו הנמצאים בשלבי תכנון והסדרה תכנונית וחוקית. במועד הביקורת קווי הרכבת הקלה צפויים להיפתח לציבור בשנים 2022, 2026, 2027, בהדרגה, לאחר שהקמתם נדחתה כמה פעמים</w:t>
      </w:r>
      <w:r w:rsidRPr="00091A9A" w:rsidR="0036097F">
        <w:rPr>
          <w:rFonts w:hint="cs"/>
          <w:rtl/>
        </w:rPr>
        <w:t>.</w:t>
      </w:r>
      <w:r w:rsidRPr="00091A9A"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8"/>
        <w:gridCol w:w="239"/>
        <w:gridCol w:w="1474"/>
        <w:gridCol w:w="56"/>
        <w:gridCol w:w="181"/>
        <w:gridCol w:w="56"/>
        <w:gridCol w:w="1639"/>
        <w:gridCol w:w="56"/>
        <w:gridCol w:w="211"/>
        <w:gridCol w:w="56"/>
        <w:gridCol w:w="1629"/>
        <w:gridCol w:w="56"/>
      </w:tblGrid>
      <w:tr w14:paraId="58B4726B" w14:textId="77777777" w:rsidTr="00D624D0">
        <w:tblPrEx>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5" w:type="pct"/>
            <w:tcBorders>
              <w:bottom w:val="single" w:sz="12" w:space="0" w:color="000000"/>
            </w:tcBorders>
            <w:vAlign w:val="bottom"/>
          </w:tcPr>
          <w:p w:rsidR="00420374" w:rsidRPr="004562F8" w:rsidP="00937056" w14:paraId="23EB689E" w14:textId="60BF7AC2">
            <w:pPr>
              <w:spacing w:after="60" w:line="240" w:lineRule="auto"/>
              <w:rPr>
                <w:b/>
                <w:bCs/>
                <w:spacing w:val="-28"/>
                <w:rtl/>
              </w:rPr>
            </w:pPr>
            <w:r>
              <w:rPr>
                <w:rFonts w:ascii="Tahoma" w:hAnsi="Tahoma" w:eastAsiaTheme="minorEastAsia" w:cs="Tahoma"/>
                <w:b/>
                <w:bCs/>
                <w:color w:val="0D0D0D" w:themeColor="text1" w:themeTint="F2"/>
                <w:spacing w:val="-10"/>
                <w:sz w:val="36"/>
                <w:szCs w:val="36"/>
              </w:rPr>
              <w:t xml:space="preserve">48.1 </w:t>
            </w:r>
            <w:r>
              <w:rPr>
                <w:rFonts w:ascii="Tahoma" w:hAnsi="Tahoma" w:eastAsiaTheme="minorEastAsia" w:cs="Tahoma" w:hint="cs"/>
                <w:b/>
                <w:bCs/>
                <w:color w:val="0D0D0D" w:themeColor="text1" w:themeTint="F2"/>
                <w:spacing w:val="-10"/>
                <w:sz w:val="26"/>
                <w:szCs w:val="26"/>
                <w:rtl/>
              </w:rPr>
              <w:t>מיליארד ש״ח</w:t>
            </w:r>
          </w:p>
        </w:tc>
        <w:tc>
          <w:tcPr>
            <w:tcW w:w="162" w:type="pct"/>
            <w:vAlign w:val="bottom"/>
          </w:tcPr>
          <w:p w:rsidR="00420374" w:rsidP="00937056" w14:paraId="19192EA5" w14:textId="77777777">
            <w:pPr>
              <w:spacing w:before="120" w:after="60" w:line="240" w:lineRule="auto"/>
              <w:rPr>
                <w:rtl/>
              </w:rPr>
            </w:pPr>
          </w:p>
        </w:tc>
        <w:tc>
          <w:tcPr>
            <w:tcW w:w="1038" w:type="pct"/>
            <w:gridSpan w:val="2"/>
            <w:tcBorders>
              <w:bottom w:val="single" w:sz="12" w:space="0" w:color="000000"/>
            </w:tcBorders>
            <w:vAlign w:val="bottom"/>
          </w:tcPr>
          <w:p w:rsidR="00420374" w:rsidRPr="005C7ABF" w:rsidP="00937056" w14:paraId="761F4116" w14:textId="3F23A4AB">
            <w:pPr>
              <w:pStyle w:val="2021"/>
              <w:spacing w:before="0" w:after="60"/>
              <w:rPr>
                <w:spacing w:val="-10"/>
                <w:rtl/>
              </w:rPr>
            </w:pPr>
            <w:r>
              <w:rPr>
                <w:rFonts w:hint="cs"/>
                <w:spacing w:val="-10"/>
                <w:rtl/>
              </w:rPr>
              <w:t>18.71</w:t>
            </w:r>
            <w:r>
              <w:rPr>
                <w:rFonts w:hint="cs"/>
                <w:spacing w:val="-10"/>
                <w:rtl/>
              </w:rPr>
              <w:t xml:space="preserve"> </w:t>
            </w:r>
            <w:r w:rsidRPr="00411396">
              <w:rPr>
                <w:rFonts w:hint="cs"/>
                <w:spacing w:val="-10"/>
                <w:sz w:val="26"/>
                <w:szCs w:val="26"/>
                <w:rtl/>
              </w:rPr>
              <w:t>מיליארד ש״ח</w:t>
            </w:r>
          </w:p>
        </w:tc>
        <w:tc>
          <w:tcPr>
            <w:tcW w:w="161" w:type="pct"/>
            <w:gridSpan w:val="2"/>
            <w:vAlign w:val="bottom"/>
          </w:tcPr>
          <w:p w:rsidR="00420374" w:rsidP="00937056" w14:paraId="2810DE55" w14:textId="77777777">
            <w:pPr>
              <w:spacing w:before="120" w:after="60" w:line="240" w:lineRule="auto"/>
              <w:rPr>
                <w:rtl/>
              </w:rPr>
            </w:pPr>
          </w:p>
        </w:tc>
        <w:tc>
          <w:tcPr>
            <w:tcW w:w="1150" w:type="pct"/>
            <w:gridSpan w:val="2"/>
            <w:tcBorders>
              <w:bottom w:val="single" w:sz="12" w:space="0" w:color="000000"/>
            </w:tcBorders>
            <w:vAlign w:val="bottom"/>
          </w:tcPr>
          <w:p w:rsidR="00420374" w:rsidRPr="00340353" w:rsidP="00937056" w14:paraId="2A2E27BD" w14:textId="2FF1E82F">
            <w:pPr>
              <w:pStyle w:val="2021"/>
              <w:spacing w:before="0" w:after="60"/>
              <w:rPr>
                <w:b w:val="0"/>
                <w:bCs w:val="0"/>
                <w:spacing w:val="-20"/>
                <w:sz w:val="24"/>
                <w:rtl/>
              </w:rPr>
            </w:pPr>
            <w:r>
              <w:rPr>
                <w:rFonts w:hint="cs"/>
                <w:spacing w:val="-10"/>
                <w:rtl/>
              </w:rPr>
              <w:t>12</w:t>
            </w:r>
            <w:r>
              <w:rPr>
                <w:rFonts w:hint="cs"/>
                <w:spacing w:val="-10"/>
                <w:rtl/>
              </w:rPr>
              <w:t xml:space="preserve"> </w:t>
            </w:r>
          </w:p>
        </w:tc>
        <w:tc>
          <w:tcPr>
            <w:tcW w:w="181" w:type="pct"/>
            <w:gridSpan w:val="2"/>
          </w:tcPr>
          <w:p w:rsidR="00420374" w:rsidP="00937056" w14:paraId="47B754BA" w14:textId="77777777">
            <w:pPr>
              <w:pStyle w:val="2021"/>
              <w:spacing w:before="0" w:after="60"/>
              <w:rPr>
                <w:spacing w:val="-10"/>
                <w:rtl/>
              </w:rPr>
            </w:pPr>
          </w:p>
        </w:tc>
        <w:tc>
          <w:tcPr>
            <w:tcW w:w="1143" w:type="pct"/>
            <w:gridSpan w:val="2"/>
            <w:tcBorders>
              <w:bottom w:val="single" w:sz="12" w:space="0" w:color="000000"/>
            </w:tcBorders>
            <w:vAlign w:val="bottom"/>
          </w:tcPr>
          <w:p w:rsidR="00420374" w:rsidP="00937056" w14:paraId="5F3A3FF5" w14:textId="2FB44FBD">
            <w:pPr>
              <w:pStyle w:val="2021"/>
              <w:spacing w:before="0" w:after="60"/>
              <w:rPr>
                <w:spacing w:val="-10"/>
                <w:rtl/>
              </w:rPr>
            </w:pPr>
            <w:r>
              <w:rPr>
                <w:rFonts w:hint="cs"/>
                <w:spacing w:val="-10"/>
                <w:rtl/>
              </w:rPr>
              <w:t xml:space="preserve">5 </w:t>
            </w:r>
            <w:r w:rsidRPr="00091A9A">
              <w:rPr>
                <w:rFonts w:hint="cs"/>
                <w:spacing w:val="-10"/>
                <w:sz w:val="26"/>
                <w:szCs w:val="26"/>
                <w:rtl/>
              </w:rPr>
              <w:t>שנים</w:t>
            </w:r>
            <w:r>
              <w:rPr>
                <w:rFonts w:hint="cs"/>
                <w:spacing w:val="-10"/>
                <w:rtl/>
              </w:rPr>
              <w:t xml:space="preserve"> </w:t>
            </w:r>
          </w:p>
        </w:tc>
      </w:tr>
      <w:tr w14:paraId="6DFAF81C" w14:textId="77777777" w:rsidTr="00D624D0">
        <w:tblPrEx>
          <w:tblW w:w="5001" w:type="pct"/>
          <w:tblLook w:val="04A0"/>
        </w:tblPrEx>
        <w:trPr>
          <w:gridAfter w:val="1"/>
          <w:wAfter w:w="38" w:type="dxa"/>
        </w:trPr>
        <w:tc>
          <w:tcPr>
            <w:tcW w:w="1165" w:type="pct"/>
            <w:tcBorders>
              <w:top w:val="single" w:sz="12" w:space="0" w:color="000000"/>
            </w:tcBorders>
          </w:tcPr>
          <w:p w:rsidR="00420374" w:rsidRPr="00E52143" w:rsidP="00937056" w14:paraId="1D96599A" w14:textId="53C63880">
            <w:pPr>
              <w:pStyle w:val="732021"/>
              <w:spacing w:before="0"/>
              <w:rPr>
                <w:rtl/>
              </w:rPr>
            </w:pPr>
            <w:r w:rsidRPr="00CD7E5A">
              <w:rPr>
                <w:rFonts w:hint="cs"/>
                <w:rtl/>
              </w:rPr>
              <w:t xml:space="preserve">אומדן </w:t>
            </w:r>
            <w:r w:rsidRPr="00CD7E5A">
              <w:rPr>
                <w:rtl/>
              </w:rPr>
              <w:t xml:space="preserve">עלות </w:t>
            </w:r>
            <w:r w:rsidRPr="00CD7E5A">
              <w:rPr>
                <w:rFonts w:hint="cs"/>
                <w:rtl/>
              </w:rPr>
              <w:t>ההקמה של שלושה קווי הרכבת הקלה בגוש דן (האדום, הירוק והסגול</w:t>
            </w:r>
            <w:r>
              <w:rPr>
                <w:rFonts w:hint="cs"/>
                <w:rtl/>
              </w:rPr>
              <w:t>)</w:t>
            </w:r>
          </w:p>
        </w:tc>
        <w:tc>
          <w:tcPr>
            <w:tcW w:w="162" w:type="pct"/>
          </w:tcPr>
          <w:p w:rsidR="00420374" w:rsidRPr="00E52143" w:rsidP="00937056" w14:paraId="2BF81D8C" w14:textId="77777777">
            <w:pPr>
              <w:pStyle w:val="732021"/>
              <w:spacing w:before="0"/>
              <w:rPr>
                <w:rtl/>
              </w:rPr>
            </w:pPr>
          </w:p>
        </w:tc>
        <w:tc>
          <w:tcPr>
            <w:tcW w:w="1000" w:type="pct"/>
          </w:tcPr>
          <w:p w:rsidR="00420374" w:rsidRPr="00E52143" w:rsidP="00091A9A" w14:paraId="68924AF7" w14:textId="4B4A455C">
            <w:pPr>
              <w:pStyle w:val="732021"/>
              <w:spacing w:before="0" w:after="960"/>
              <w:rPr>
                <w:rtl/>
              </w:rPr>
            </w:pPr>
            <w:r w:rsidRPr="00CD7E5A">
              <w:rPr>
                <w:rFonts w:hint="cs"/>
                <w:rtl/>
              </w:rPr>
              <w:t>אומדן עלות ההקמה של הקו האדום מאוקטובר 2021 לעומת אומדן של 10.7 מיליארד ש"ח שהוצג לממשלה בדצמבר 2010</w:t>
            </w:r>
          </w:p>
        </w:tc>
        <w:tc>
          <w:tcPr>
            <w:tcW w:w="161" w:type="pct"/>
            <w:gridSpan w:val="2"/>
          </w:tcPr>
          <w:p w:rsidR="00420374" w:rsidRPr="00E52143" w:rsidP="00937056" w14:paraId="4F52CE08" w14:textId="77777777">
            <w:pPr>
              <w:pStyle w:val="732021"/>
              <w:spacing w:before="0"/>
              <w:rPr>
                <w:rtl/>
              </w:rPr>
            </w:pPr>
          </w:p>
        </w:tc>
        <w:tc>
          <w:tcPr>
            <w:tcW w:w="1150" w:type="pct"/>
            <w:gridSpan w:val="2"/>
          </w:tcPr>
          <w:p w:rsidR="00420374" w:rsidRPr="00E52143" w:rsidP="00937056" w14:paraId="203F9568" w14:textId="1220746F">
            <w:pPr>
              <w:pStyle w:val="732021"/>
              <w:spacing w:before="0"/>
              <w:rPr>
                <w:rtl/>
              </w:rPr>
            </w:pPr>
            <w:r w:rsidRPr="00CD7E5A">
              <w:rPr>
                <w:rFonts w:hint="cs"/>
                <w:rtl/>
              </w:rPr>
              <w:t xml:space="preserve">מספר העדכונים בתקציב הכולל ובסעיפי התקציב של הקו האדום מדצמבר 2010 עד אוקטובר 2021 </w:t>
            </w:r>
          </w:p>
        </w:tc>
        <w:tc>
          <w:tcPr>
            <w:tcW w:w="181" w:type="pct"/>
            <w:gridSpan w:val="2"/>
          </w:tcPr>
          <w:p w:rsidR="00420374" w:rsidRPr="00E52143" w:rsidP="00937056" w14:paraId="42538096" w14:textId="77777777">
            <w:pPr>
              <w:pStyle w:val="732021"/>
              <w:spacing w:before="0"/>
              <w:rPr>
                <w:rtl/>
              </w:rPr>
            </w:pPr>
          </w:p>
        </w:tc>
        <w:tc>
          <w:tcPr>
            <w:tcW w:w="1143" w:type="pct"/>
            <w:gridSpan w:val="2"/>
          </w:tcPr>
          <w:p w:rsidR="00420374" w:rsidRPr="00E52143" w:rsidP="00937056" w14:paraId="1878D11D" w14:textId="5C1980D6">
            <w:pPr>
              <w:pStyle w:val="732021"/>
              <w:spacing w:before="0"/>
              <w:rPr>
                <w:rtl/>
              </w:rPr>
            </w:pPr>
            <w:r w:rsidRPr="00CD7E5A">
              <w:rPr>
                <w:rFonts w:hint="cs"/>
                <w:rtl/>
              </w:rPr>
              <w:t>העיכוב במועד פתיחת הקו האדום מ-2017 ל-2022</w:t>
            </w:r>
          </w:p>
        </w:tc>
      </w:tr>
      <w:tr w14:paraId="1BD5A20C" w14:textId="77777777" w:rsidTr="00D624D0">
        <w:tblPrEx>
          <w:tblW w:w="5001" w:type="pct"/>
          <w:tblLook w:val="04A0"/>
        </w:tblPrEx>
        <w:tc>
          <w:tcPr>
            <w:tcW w:w="1165" w:type="pct"/>
            <w:tcBorders>
              <w:bottom w:val="single" w:sz="12" w:space="0" w:color="000000"/>
            </w:tcBorders>
            <w:vAlign w:val="bottom"/>
          </w:tcPr>
          <w:p w:rsidR="00420374" w:rsidRPr="00411396" w:rsidP="001C6E15" w14:paraId="500D3B50" w14:textId="450357AD">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11.2 </w:t>
            </w:r>
            <w:r w:rsidRPr="00091A9A">
              <w:rPr>
                <w:rFonts w:ascii="Tahoma" w:hAnsi="Tahoma" w:eastAsiaTheme="minorEastAsia" w:cs="Tahoma" w:hint="cs"/>
                <w:b/>
                <w:bCs/>
                <w:color w:val="0D0D0D" w:themeColor="text1" w:themeTint="F2"/>
                <w:spacing w:val="-10"/>
                <w:sz w:val="26"/>
                <w:szCs w:val="26"/>
                <w:rtl/>
              </w:rPr>
              <w:t>מיליארד ש״ח</w:t>
            </w:r>
          </w:p>
        </w:tc>
        <w:tc>
          <w:tcPr>
            <w:tcW w:w="162" w:type="pct"/>
            <w:vAlign w:val="bottom"/>
          </w:tcPr>
          <w:p w:rsidR="00420374" w:rsidRPr="00E52143" w:rsidP="001C6E15"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gridSpan w:val="2"/>
            <w:tcBorders>
              <w:bottom w:val="single" w:sz="12" w:space="0" w:color="000000"/>
            </w:tcBorders>
            <w:vAlign w:val="bottom"/>
          </w:tcPr>
          <w:p w:rsidR="00420374" w:rsidRPr="008D750B" w:rsidP="001C6E15" w14:paraId="48896DF7" w14:textId="68412774">
            <w:pPr>
              <w:pStyle w:val="2021"/>
              <w:spacing w:before="0" w:after="60"/>
              <w:rPr>
                <w:spacing w:val="-10"/>
                <w:rtl/>
              </w:rPr>
            </w:pPr>
            <w:r>
              <w:rPr>
                <w:rFonts w:hint="cs"/>
                <w:spacing w:val="-10"/>
                <w:rtl/>
              </w:rPr>
              <w:t xml:space="preserve">2026 </w:t>
            </w:r>
            <w:r>
              <w:rPr>
                <w:spacing w:val="-10"/>
                <w:rtl/>
              </w:rPr>
              <w:br/>
            </w:r>
            <w:r w:rsidRPr="00091A9A">
              <w:rPr>
                <w:rFonts w:hint="cs"/>
                <w:spacing w:val="-10"/>
                <w:sz w:val="26"/>
                <w:szCs w:val="26"/>
                <w:rtl/>
              </w:rPr>
              <w:t>ו-</w:t>
            </w:r>
            <w:r>
              <w:rPr>
                <w:rFonts w:hint="cs"/>
                <w:spacing w:val="-10"/>
                <w:rtl/>
              </w:rPr>
              <w:t>2027</w:t>
            </w:r>
          </w:p>
        </w:tc>
        <w:tc>
          <w:tcPr>
            <w:tcW w:w="161" w:type="pct"/>
            <w:gridSpan w:val="2"/>
            <w:vAlign w:val="bottom"/>
          </w:tcPr>
          <w:p w:rsidR="00420374" w:rsidRPr="00091A9A" w:rsidP="001C6E15" w14:paraId="5B4C8A80" w14:textId="77777777">
            <w:pPr>
              <w:pStyle w:val="2021"/>
              <w:spacing w:before="0" w:after="60"/>
              <w:rPr>
                <w:spacing w:val="-10"/>
                <w:rtl/>
              </w:rPr>
            </w:pPr>
          </w:p>
        </w:tc>
        <w:tc>
          <w:tcPr>
            <w:tcW w:w="1150" w:type="pct"/>
            <w:gridSpan w:val="2"/>
            <w:vAlign w:val="bottom"/>
          </w:tcPr>
          <w:p w:rsidR="00420374" w:rsidRPr="00091A9A" w:rsidP="001C6E15" w14:paraId="226A2E50" w14:textId="27E4F941">
            <w:pPr>
              <w:pStyle w:val="2021"/>
              <w:spacing w:before="0" w:after="60"/>
              <w:rPr>
                <w:spacing w:val="-10"/>
                <w:rtl/>
              </w:rPr>
            </w:pPr>
            <w:r>
              <w:rPr>
                <w:rFonts w:hint="cs"/>
                <w:spacing w:val="-10"/>
                <w:rtl/>
              </w:rPr>
              <w:t xml:space="preserve">1.14 </w:t>
            </w:r>
            <w:r w:rsidRPr="00091A9A">
              <w:rPr>
                <w:rFonts w:hint="cs"/>
                <w:spacing w:val="-10"/>
                <w:sz w:val="26"/>
                <w:szCs w:val="26"/>
                <w:rtl/>
              </w:rPr>
              <w:t>מיליארד ש״ח</w:t>
            </w:r>
          </w:p>
        </w:tc>
        <w:tc>
          <w:tcPr>
            <w:tcW w:w="181" w:type="pct"/>
            <w:gridSpan w:val="2"/>
          </w:tcPr>
          <w:p w:rsidR="00420374" w:rsidP="001C6E15"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3" w:type="pct"/>
            <w:gridSpan w:val="2"/>
            <w:tcBorders>
              <w:bottom w:val="single" w:sz="12" w:space="0" w:color="000000"/>
            </w:tcBorders>
            <w:vAlign w:val="bottom"/>
          </w:tcPr>
          <w:p w:rsidR="00420374" w:rsidP="001C6E15" w14:paraId="5AEEF263" w14:textId="74F7DC96">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98 </w:t>
            </w:r>
            <w:r w:rsidRPr="00091A9A">
              <w:rPr>
                <w:rFonts w:ascii="Tahoma" w:hAnsi="Tahoma" w:eastAsiaTheme="minorEastAsia" w:cs="Tahoma" w:hint="cs"/>
                <w:b/>
                <w:bCs/>
                <w:color w:val="0D0D0D" w:themeColor="text1" w:themeTint="F2"/>
                <w:spacing w:val="-10"/>
                <w:sz w:val="26"/>
                <w:szCs w:val="26"/>
                <w:rtl/>
              </w:rPr>
              <w:t xml:space="preserve">שעות </w:t>
            </w:r>
            <w:r w:rsidRPr="00091A9A">
              <w:rPr>
                <w:rFonts w:ascii="Tahoma" w:hAnsi="Tahoma" w:eastAsiaTheme="minorEastAsia" w:cs="Tahoma" w:hint="cs"/>
                <w:b/>
                <w:bCs/>
                <w:color w:val="0D0D0D" w:themeColor="text1" w:themeTint="F2"/>
                <w:spacing w:val="-14"/>
                <w:sz w:val="26"/>
                <w:szCs w:val="26"/>
                <w:rtl/>
              </w:rPr>
              <w:t>בשנה לנוסע</w:t>
            </w:r>
          </w:p>
        </w:tc>
      </w:tr>
      <w:tr w14:paraId="54154FA5" w14:textId="77777777" w:rsidTr="00D624D0">
        <w:tblPrEx>
          <w:tblW w:w="5001" w:type="pct"/>
          <w:tblLook w:val="04A0"/>
        </w:tblPrEx>
        <w:tc>
          <w:tcPr>
            <w:tcW w:w="1165" w:type="pct"/>
            <w:tcBorders>
              <w:top w:val="single" w:sz="12" w:space="0" w:color="000000"/>
            </w:tcBorders>
          </w:tcPr>
          <w:p w:rsidR="00420374" w:rsidRPr="004562F8" w:rsidP="00937056" w14:paraId="6DB67748" w14:textId="63B8DF8E">
            <w:pPr>
              <w:pStyle w:val="732021"/>
              <w:spacing w:before="0" w:after="0"/>
              <w:rPr>
                <w:rtl/>
              </w:rPr>
            </w:pPr>
            <w:r w:rsidRPr="00CD7E5A">
              <w:rPr>
                <w:rFonts w:hint="eastAsia"/>
                <w:rtl/>
              </w:rPr>
              <w:t>אומדן</w:t>
            </w:r>
            <w:r w:rsidRPr="00CD7E5A">
              <w:rPr>
                <w:rtl/>
              </w:rPr>
              <w:t xml:space="preserve"> </w:t>
            </w:r>
            <w:r w:rsidRPr="00CD7E5A">
              <w:rPr>
                <w:rFonts w:hint="eastAsia"/>
                <w:rtl/>
              </w:rPr>
              <w:t>העלות</w:t>
            </w:r>
            <w:r w:rsidRPr="00CD7E5A">
              <w:rPr>
                <w:rtl/>
              </w:rPr>
              <w:t xml:space="preserve"> </w:t>
            </w:r>
            <w:r w:rsidRPr="00CD7E5A">
              <w:rPr>
                <w:rFonts w:hint="eastAsia"/>
                <w:rtl/>
              </w:rPr>
              <w:t>הכוללת</w:t>
            </w:r>
            <w:r w:rsidRPr="00CD7E5A">
              <w:rPr>
                <w:rtl/>
              </w:rPr>
              <w:t xml:space="preserve"> </w:t>
            </w:r>
            <w:r w:rsidRPr="00CD7E5A">
              <w:rPr>
                <w:rFonts w:hint="eastAsia"/>
                <w:rtl/>
              </w:rPr>
              <w:t>של</w:t>
            </w:r>
            <w:r w:rsidRPr="00CD7E5A">
              <w:rPr>
                <w:rtl/>
              </w:rPr>
              <w:t xml:space="preserve"> </w:t>
            </w:r>
            <w:r w:rsidRPr="00CD7E5A">
              <w:rPr>
                <w:rFonts w:hint="eastAsia"/>
                <w:rtl/>
              </w:rPr>
              <w:t>הקו</w:t>
            </w:r>
            <w:r w:rsidRPr="00CD7E5A">
              <w:rPr>
                <w:rtl/>
              </w:rPr>
              <w:t xml:space="preserve"> </w:t>
            </w:r>
            <w:r w:rsidRPr="00CD7E5A">
              <w:rPr>
                <w:rFonts w:hint="eastAsia"/>
                <w:rtl/>
              </w:rPr>
              <w:t>הסגול</w:t>
            </w:r>
            <w:r w:rsidRPr="00CD7E5A">
              <w:rPr>
                <w:rtl/>
              </w:rPr>
              <w:t xml:space="preserve"> </w:t>
            </w:r>
            <w:r w:rsidRPr="00CD7E5A">
              <w:rPr>
                <w:rFonts w:hint="eastAsia"/>
                <w:rtl/>
              </w:rPr>
              <w:t>של</w:t>
            </w:r>
            <w:r w:rsidRPr="00CD7E5A">
              <w:rPr>
                <w:rtl/>
              </w:rPr>
              <w:t xml:space="preserve"> </w:t>
            </w:r>
            <w:r w:rsidRPr="00CD7E5A">
              <w:rPr>
                <w:rFonts w:hint="eastAsia"/>
                <w:rtl/>
              </w:rPr>
              <w:t>הרכבת</w:t>
            </w:r>
            <w:r w:rsidRPr="00CD7E5A">
              <w:rPr>
                <w:rtl/>
              </w:rPr>
              <w:t xml:space="preserve"> </w:t>
            </w:r>
            <w:r w:rsidRPr="00CD7E5A">
              <w:rPr>
                <w:rFonts w:hint="eastAsia"/>
                <w:rtl/>
              </w:rPr>
              <w:t>הקלה</w:t>
            </w:r>
            <w:r w:rsidRPr="00CD7E5A">
              <w:rPr>
                <w:rtl/>
              </w:rPr>
              <w:t xml:space="preserve"> </w:t>
            </w:r>
            <w:r w:rsidRPr="00CD7E5A">
              <w:rPr>
                <w:rFonts w:hint="eastAsia"/>
                <w:rtl/>
              </w:rPr>
              <w:t>בגוש</w:t>
            </w:r>
            <w:r w:rsidRPr="00CD7E5A">
              <w:rPr>
                <w:rtl/>
              </w:rPr>
              <w:t xml:space="preserve"> </w:t>
            </w:r>
            <w:r w:rsidRPr="00CD7E5A">
              <w:rPr>
                <w:rFonts w:hint="eastAsia"/>
                <w:rtl/>
              </w:rPr>
              <w:t>דן</w:t>
            </w:r>
            <w:r w:rsidRPr="00CD7E5A">
              <w:rPr>
                <w:rtl/>
              </w:rPr>
              <w:t xml:space="preserve">, </w:t>
            </w:r>
            <w:r w:rsidRPr="00CD7E5A">
              <w:rPr>
                <w:rFonts w:hint="eastAsia"/>
                <w:rtl/>
              </w:rPr>
              <w:t>שהם</w:t>
            </w:r>
            <w:r w:rsidRPr="00CD7E5A">
              <w:rPr>
                <w:rtl/>
              </w:rPr>
              <w:t xml:space="preserve"> </w:t>
            </w:r>
            <w:r w:rsidRPr="00CD7E5A">
              <w:rPr>
                <w:rFonts w:hint="eastAsia"/>
                <w:rtl/>
              </w:rPr>
              <w:t>כ</w:t>
            </w:r>
            <w:r w:rsidRPr="00CD7E5A">
              <w:rPr>
                <w:rtl/>
              </w:rPr>
              <w:t>-0.41 מיליארד ש"ח</w:t>
            </w:r>
            <w:r w:rsidRPr="00CD7E5A">
              <w:rPr>
                <w:rFonts w:hint="cs"/>
                <w:rtl/>
              </w:rPr>
              <w:t xml:space="preserve"> </w:t>
            </w:r>
            <w:r w:rsidRPr="00CD7E5A">
              <w:rPr>
                <w:rtl/>
              </w:rPr>
              <w:t xml:space="preserve">לק"מ - </w:t>
            </w:r>
            <w:r w:rsidRPr="00CD7E5A">
              <w:rPr>
                <w:rFonts w:hint="eastAsia"/>
                <w:rtl/>
              </w:rPr>
              <w:t>עלות</w:t>
            </w:r>
            <w:r w:rsidRPr="00CD7E5A">
              <w:rPr>
                <w:rtl/>
              </w:rPr>
              <w:t xml:space="preserve"> </w:t>
            </w:r>
            <w:r w:rsidRPr="00CD7E5A">
              <w:rPr>
                <w:rFonts w:hint="eastAsia"/>
                <w:rtl/>
              </w:rPr>
              <w:t>שגבוהה</w:t>
            </w:r>
            <w:r w:rsidRPr="00CD7E5A">
              <w:rPr>
                <w:rtl/>
              </w:rPr>
              <w:t xml:space="preserve"> </w:t>
            </w:r>
            <w:r w:rsidRPr="00CD7E5A">
              <w:rPr>
                <w:rFonts w:hint="eastAsia"/>
                <w:rtl/>
              </w:rPr>
              <w:t>בכ</w:t>
            </w:r>
            <w:r w:rsidRPr="00CD7E5A">
              <w:rPr>
                <w:rtl/>
              </w:rPr>
              <w:t xml:space="preserve">-28% </w:t>
            </w:r>
            <w:r w:rsidRPr="00CD7E5A">
              <w:rPr>
                <w:rFonts w:hint="eastAsia"/>
                <w:rtl/>
              </w:rPr>
              <w:t>מהעלות</w:t>
            </w:r>
            <w:r w:rsidRPr="00CD7E5A">
              <w:rPr>
                <w:rtl/>
              </w:rPr>
              <w:t xml:space="preserve"> המרבית של פרויקטים דומים במדינות אחרות (מתוך מחקר הבנק העולמי)</w:t>
            </w:r>
          </w:p>
        </w:tc>
        <w:tc>
          <w:tcPr>
            <w:tcW w:w="162" w:type="pct"/>
          </w:tcPr>
          <w:p w:rsidR="00420374" w:rsidRPr="008D750B" w:rsidP="00937056" w14:paraId="0C0AE598" w14:textId="77777777">
            <w:pPr>
              <w:pStyle w:val="732021"/>
              <w:spacing w:before="0" w:after="0"/>
              <w:rPr>
                <w:rtl/>
              </w:rPr>
            </w:pPr>
          </w:p>
        </w:tc>
        <w:tc>
          <w:tcPr>
            <w:tcW w:w="1038" w:type="pct"/>
            <w:gridSpan w:val="2"/>
            <w:tcBorders>
              <w:top w:val="single" w:sz="12" w:space="0" w:color="000000"/>
            </w:tcBorders>
          </w:tcPr>
          <w:p w:rsidR="00420374" w:rsidRPr="004562F8" w:rsidP="00937056" w14:paraId="1916A301" w14:textId="74829D30">
            <w:pPr>
              <w:pStyle w:val="732021"/>
              <w:spacing w:before="0" w:after="0"/>
              <w:rPr>
                <w:rtl/>
              </w:rPr>
            </w:pPr>
            <w:r w:rsidRPr="00CD7E5A">
              <w:rPr>
                <w:rFonts w:hint="cs"/>
                <w:rtl/>
              </w:rPr>
              <w:t xml:space="preserve">השנים שבהן הקו הסגול והירוק צפויים להיפתח בהתאמה. מדובר בדחייה של שנה עד שנתיים מהמועד שנקבע בתוכנית העבודה של </w:t>
            </w:r>
            <w:r w:rsidRPr="00CD7E5A">
              <w:rPr>
                <w:rFonts w:hint="cs"/>
                <w:rtl/>
              </w:rPr>
              <w:t>נת"ע</w:t>
            </w:r>
            <w:r w:rsidRPr="00CD7E5A">
              <w:rPr>
                <w:rFonts w:hint="cs"/>
                <w:rtl/>
              </w:rPr>
              <w:t xml:space="preserve"> ב-2018 (פתיחה בסוף שנת 2025). נכון לסיום הביקורת ייתכן</w:t>
            </w:r>
            <w:r w:rsidRPr="00CD7E5A">
              <w:rPr>
                <w:rtl/>
              </w:rPr>
              <w:t xml:space="preserve"> </w:t>
            </w:r>
            <w:r w:rsidRPr="00CD7E5A">
              <w:rPr>
                <w:rFonts w:hint="cs"/>
                <w:rtl/>
              </w:rPr>
              <w:t>שת</w:t>
            </w:r>
            <w:r w:rsidRPr="00CD7E5A">
              <w:rPr>
                <w:rtl/>
              </w:rPr>
              <w:t>חול דחייה נוספת</w:t>
            </w:r>
            <w:r w:rsidRPr="00CD7E5A">
              <w:rPr>
                <w:rFonts w:hint="cs"/>
                <w:rtl/>
              </w:rPr>
              <w:t xml:space="preserve"> בשני הקווים האלה</w:t>
            </w:r>
          </w:p>
        </w:tc>
        <w:tc>
          <w:tcPr>
            <w:tcW w:w="161" w:type="pct"/>
            <w:gridSpan w:val="2"/>
          </w:tcPr>
          <w:p w:rsidR="00420374" w:rsidP="00937056" w14:paraId="14782C57" w14:textId="77777777">
            <w:pPr>
              <w:pStyle w:val="732021"/>
              <w:spacing w:before="0" w:after="0"/>
              <w:rPr>
                <w:rtl/>
              </w:rPr>
            </w:pPr>
          </w:p>
        </w:tc>
        <w:tc>
          <w:tcPr>
            <w:tcW w:w="1150" w:type="pct"/>
            <w:gridSpan w:val="2"/>
            <w:tcBorders>
              <w:top w:val="single" w:sz="12" w:space="0" w:color="000000"/>
            </w:tcBorders>
          </w:tcPr>
          <w:p w:rsidR="00420374" w:rsidRPr="0062456C" w:rsidP="00937056" w14:paraId="6149CA50" w14:textId="717E2C04">
            <w:pPr>
              <w:pStyle w:val="732021"/>
              <w:spacing w:before="0" w:after="0"/>
              <w:rPr>
                <w:rtl/>
              </w:rPr>
            </w:pPr>
            <w:r w:rsidRPr="00CD7E5A">
              <w:rPr>
                <w:rFonts w:hint="cs"/>
                <w:rtl/>
              </w:rPr>
              <w:t>אומדן להפסד תועלת נקיה מעיכוב של שנה בפתיחת הקווים הסגול והירוק (במונחי שנת 2021 ובריבית היוון של 4%) לפי חישובי משרד האוצר ומשרד מבקר המדינה</w:t>
            </w:r>
          </w:p>
        </w:tc>
        <w:tc>
          <w:tcPr>
            <w:tcW w:w="181" w:type="pct"/>
            <w:gridSpan w:val="2"/>
          </w:tcPr>
          <w:p w:rsidR="00420374" w:rsidRPr="00C92141" w:rsidP="00937056" w14:paraId="66E34E8E" w14:textId="77777777">
            <w:pPr>
              <w:pStyle w:val="732021"/>
              <w:spacing w:before="0" w:after="0"/>
              <w:rPr>
                <w:rtl/>
              </w:rPr>
            </w:pPr>
          </w:p>
        </w:tc>
        <w:tc>
          <w:tcPr>
            <w:tcW w:w="1143" w:type="pct"/>
            <w:gridSpan w:val="2"/>
            <w:tcBorders>
              <w:top w:val="single" w:sz="12" w:space="0" w:color="000000"/>
            </w:tcBorders>
          </w:tcPr>
          <w:p w:rsidR="00420374" w:rsidRPr="00C92141" w:rsidP="00937056" w14:paraId="39498237" w14:textId="0AA55963">
            <w:pPr>
              <w:pStyle w:val="732021"/>
              <w:spacing w:before="0" w:after="0"/>
              <w:rPr>
                <w:rtl/>
              </w:rPr>
            </w:pPr>
            <w:r w:rsidRPr="00CD7E5A">
              <w:rPr>
                <w:rFonts w:hint="cs"/>
                <w:rtl/>
              </w:rPr>
              <w:t xml:space="preserve">אובדן הזמן עקב שהייה בכבישים בגודש התנועה בתל אביב לעומת 41 שעות במדריד ובאמסטרדם ו-69 שעות בברלין, </w:t>
            </w:r>
            <w:r w:rsidRPr="00CD7E5A">
              <w:rPr>
                <w:rFonts w:hint="eastAsia"/>
                <w:rtl/>
              </w:rPr>
              <w:t>נכון</w:t>
            </w:r>
            <w:r w:rsidRPr="00CD7E5A">
              <w:rPr>
                <w:rtl/>
              </w:rPr>
              <w:t xml:space="preserve"> </w:t>
            </w:r>
            <w:r w:rsidRPr="00CD7E5A">
              <w:rPr>
                <w:rFonts w:hint="eastAsia"/>
                <w:rtl/>
              </w:rPr>
              <w:t>ל</w:t>
            </w:r>
            <w:r w:rsidRPr="00CD7E5A">
              <w:rPr>
                <w:rFonts w:hint="cs"/>
                <w:rtl/>
              </w:rPr>
              <w:t>שנת 2021</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20374" w:rsidP="00420374" w14:paraId="0AF4CED3" w14:textId="517E3A85">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4543425</wp:posOffset>
            </wp:positionH>
            <wp:positionV relativeFrom="paragraph">
              <wp:posOffset>42144</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7E5A" w:rsidR="00091A9A">
        <w:rPr>
          <w:rtl/>
        </w:rPr>
        <w:t xml:space="preserve">בחודשים יולי 2021 - </w:t>
      </w:r>
      <w:r w:rsidRPr="00CD7E5A" w:rsidR="00091A9A">
        <w:rPr>
          <w:rFonts w:hint="cs"/>
          <w:rtl/>
        </w:rPr>
        <w:t>אפריל</w:t>
      </w:r>
      <w:r w:rsidRPr="00CD7E5A" w:rsidR="00091A9A">
        <w:rPr>
          <w:rtl/>
        </w:rPr>
        <w:t xml:space="preserve"> 2022 </w:t>
      </w:r>
      <w:r w:rsidRPr="00CD7E5A" w:rsidR="00091A9A">
        <w:rPr>
          <w:rFonts w:hint="cs"/>
          <w:rtl/>
        </w:rPr>
        <w:t>בדק</w:t>
      </w:r>
      <w:r w:rsidRPr="00CD7E5A" w:rsidR="00091A9A">
        <w:rPr>
          <w:rtl/>
        </w:rPr>
        <w:t xml:space="preserve"> משרד מבקר המדינה את התקדמות פרויקט ההקמה של קווי הרכבת הקלה - האדום, הסגול והירוק. הבדיקה נעשתה בחברת</w:t>
      </w:r>
      <w:r w:rsidRPr="00CD7E5A" w:rsidR="00091A9A">
        <w:rPr>
          <w:rFonts w:hint="cs"/>
          <w:rtl/>
        </w:rPr>
        <w:t xml:space="preserve"> נתיבי תחבורה עירוניים</w:t>
      </w:r>
      <w:r w:rsidRPr="00CD7E5A" w:rsidR="00091A9A">
        <w:rPr>
          <w:rtl/>
        </w:rPr>
        <w:t xml:space="preserve"> </w:t>
      </w:r>
      <w:r w:rsidRPr="00CD7E5A" w:rsidR="00091A9A">
        <w:rPr>
          <w:rFonts w:hint="cs"/>
          <w:rtl/>
        </w:rPr>
        <w:t>(</w:t>
      </w:r>
      <w:r w:rsidRPr="00CD7E5A" w:rsidR="00091A9A">
        <w:rPr>
          <w:rtl/>
        </w:rPr>
        <w:t>נת"ע</w:t>
      </w:r>
      <w:r w:rsidRPr="00CD7E5A" w:rsidR="00091A9A">
        <w:rPr>
          <w:rFonts w:hint="cs"/>
          <w:rtl/>
        </w:rPr>
        <w:t>)</w:t>
      </w:r>
      <w:r w:rsidRPr="00CD7E5A" w:rsidR="00091A9A">
        <w:rPr>
          <w:rtl/>
        </w:rPr>
        <w:t xml:space="preserve">, במשרד התחבורה ובמשרד האוצר. ביקורת משלימה נעשתה בעיריות תל אביב, רמת גן ובני ברק. </w:t>
      </w:r>
      <w:r w:rsidRPr="00CD7E5A" w:rsidR="00091A9A">
        <w:rPr>
          <w:rFonts w:hint="cs"/>
          <w:rtl/>
        </w:rPr>
        <w:t>דוח זה מצטרף לשורת דוחות מהשנים</w:t>
      </w:r>
      <w:r w:rsidRPr="00CD7E5A" w:rsidR="00091A9A">
        <w:rPr>
          <w:rtl/>
        </w:rPr>
        <w:t xml:space="preserve"> 2005, 2013, 2014 ו-2018</w:t>
      </w:r>
      <w:r w:rsidRPr="00CD7E5A" w:rsidR="00091A9A">
        <w:rPr>
          <w:rFonts w:hint="cs"/>
          <w:rtl/>
        </w:rPr>
        <w:t xml:space="preserve"> שבהן בדק משרד מבקר המדינה את פעילות </w:t>
      </w:r>
      <w:r w:rsidRPr="00CD7E5A" w:rsidR="00091A9A">
        <w:rPr>
          <w:rFonts w:hint="cs"/>
          <w:rtl/>
        </w:rPr>
        <w:t>נת"ע</w:t>
      </w:r>
      <w:r>
        <w:rPr>
          <w:rFonts w:hint="cs"/>
          <w:rtl/>
        </w:rPr>
        <w:t>.</w:t>
      </w:r>
      <w:r w:rsidRPr="001F3363">
        <w:rPr>
          <w:rFonts w:hint="cs"/>
          <w:rtl/>
        </w:rPr>
        <w:t xml:space="preserve"> </w:t>
      </w:r>
    </w:p>
    <w:p w:rsidR="002753C7" w:rsidRPr="00662020" w:rsidP="002753C7" w14:paraId="690F076D" w14:textId="0FB3E9E9">
      <w:pPr>
        <w:pStyle w:val="7327"/>
        <w:rPr>
          <w:rtl/>
        </w:rPr>
      </w:pPr>
      <w:r w:rsidRPr="00662020">
        <w:rPr>
          <w:rFonts w:hint="cs"/>
          <w:rtl/>
        </w:rPr>
        <w:t>תמונת המצב העולה מן הביקורת</w:t>
      </w:r>
    </w:p>
    <w:p w:rsidR="002753C7" w:rsidRPr="001F3363" w:rsidP="00091A9A" w14:paraId="0B2F822B" w14:textId="14BBEE70">
      <w:pPr>
        <w:pStyle w:val="7317"/>
        <w:spacing w:after="480"/>
        <w:rPr>
          <w:rtl/>
        </w:rPr>
      </w:pPr>
      <w:r w:rsidRPr="00362C00">
        <w:rPr>
          <w:noProof/>
          <w:rtl/>
        </w:rPr>
        <w:drawing>
          <wp:anchor distT="0" distB="0" distL="114300" distR="114300" simplePos="0" relativeHeight="251695104" behindDoc="0" locked="0" layoutInCell="1" allowOverlap="1">
            <wp:simplePos x="0" y="0"/>
            <wp:positionH relativeFrom="column">
              <wp:posOffset>2530475</wp:posOffset>
            </wp:positionH>
            <wp:positionV relativeFrom="paragraph">
              <wp:posOffset>76935</wp:posOffset>
            </wp:positionV>
            <wp:extent cx="2101215" cy="172085"/>
            <wp:effectExtent l="0" t="0" r="0" b="5715"/>
            <wp:wrapSquare wrapText="bothSides"/>
            <wp:docPr id="145106662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1C231E" w14:paraId="18555822" w14:textId="4AC80712">
      <w:pPr>
        <w:pStyle w:val="7392"/>
        <w:spacing w:after="240"/>
        <w:ind w:left="424"/>
        <w:rPr>
          <w:rtl/>
        </w:rPr>
      </w:pPr>
      <w:r w:rsidRPr="00B02658">
        <w:rPr>
          <w:rFonts w:hint="cs"/>
          <w:b/>
          <w:bCs/>
          <w:noProof/>
          <w:rtl/>
        </w:rPr>
        <w:drawing>
          <wp:anchor distT="0" distB="720090" distL="114300" distR="114300" simplePos="0" relativeHeight="251687936" behindDoc="1" locked="0" layoutInCell="1" allowOverlap="1">
            <wp:simplePos x="0" y="0"/>
            <wp:positionH relativeFrom="column">
              <wp:posOffset>4526280</wp:posOffset>
            </wp:positionH>
            <wp:positionV relativeFrom="paragraph">
              <wp:posOffset>18415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02658">
        <w:rPr>
          <w:rFonts w:hint="cs"/>
          <w:b/>
          <w:bCs/>
          <w:noProof/>
          <w:rtl/>
        </w:rPr>
        <w:drawing>
          <wp:anchor distT="0" distB="720090" distL="114300" distR="114300" simplePos="0" relativeHeight="251685888" behindDoc="1" locked="0" layoutInCell="1" allowOverlap="1">
            <wp:simplePos x="0" y="0"/>
            <wp:positionH relativeFrom="column">
              <wp:posOffset>4526280</wp:posOffset>
            </wp:positionH>
            <wp:positionV relativeFrom="paragraph">
              <wp:posOffset>2304415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91A9A" w:rsidR="00091A9A">
        <w:rPr>
          <w:b/>
          <w:bCs/>
          <w:rtl/>
        </w:rPr>
        <w:t xml:space="preserve">הסכם המסגרת בין משרדי התחבורה והאוצר לבין חברת </w:t>
      </w:r>
      <w:r w:rsidRPr="00091A9A" w:rsidR="00091A9A">
        <w:rPr>
          <w:b/>
          <w:bCs/>
          <w:rtl/>
        </w:rPr>
        <w:t>נת"ע</w:t>
      </w:r>
      <w:r w:rsidRPr="00CD7E5A" w:rsidR="00091A9A">
        <w:rPr>
          <w:rtl/>
        </w:rPr>
        <w:t xml:space="preserve"> - יותר מ-20 שנה ממועד הקמת החברה לא נחתם הסכם המסגרת בין משרדי התחבורה והאוצר לבין </w:t>
      </w:r>
      <w:r w:rsidRPr="00CD7E5A" w:rsidR="00091A9A">
        <w:rPr>
          <w:rtl/>
        </w:rPr>
        <w:t>נת"ע</w:t>
      </w:r>
      <w:r w:rsidRPr="00CD7E5A" w:rsidR="00091A9A">
        <w:rPr>
          <w:rtl/>
        </w:rPr>
        <w:t xml:space="preserve"> אף שהממשלה הורתה בהחלטותיה מהשנים 2010 ו-2016 לפעול לחתימה על הסכם ואף שמבקר המדינה המליץ בנושא זה בדוחות הביקורת שפורסמו בשנים 2013 ו-2018</w:t>
      </w:r>
      <w:r w:rsidRPr="0093709F">
        <w:rPr>
          <w:rtl/>
        </w:rPr>
        <w:t>.</w:t>
      </w:r>
    </w:p>
    <w:p w:rsidR="00420374" w:rsidRPr="0093709F" w:rsidP="001C231E" w14:paraId="1D22E15A" w14:textId="5F8F1D97">
      <w:pPr>
        <w:pStyle w:val="7392"/>
        <w:spacing w:after="240"/>
        <w:ind w:left="424"/>
      </w:pPr>
      <w:r w:rsidRPr="00B02658">
        <w:rPr>
          <w:rFonts w:hint="cs"/>
          <w:b/>
          <w:bCs/>
          <w:noProof/>
          <w:rtl/>
        </w:rPr>
        <w:drawing>
          <wp:anchor distT="0" distB="720090" distL="114300" distR="114300" simplePos="0" relativeHeight="251686912" behindDoc="1" locked="0" layoutInCell="1" allowOverlap="1">
            <wp:simplePos x="0" y="0"/>
            <wp:positionH relativeFrom="column">
              <wp:posOffset>4526280</wp:posOffset>
            </wp:positionH>
            <wp:positionV relativeFrom="paragraph">
              <wp:posOffset>18578</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91A9A" w:rsidR="00091A9A">
        <w:rPr>
          <w:b/>
          <w:bCs/>
          <w:rtl/>
        </w:rPr>
        <w:t>דחיות במועד הפעלת קווי הרכבת הקלה</w:t>
      </w:r>
      <w:r w:rsidRPr="00CD7E5A" w:rsidR="00091A9A">
        <w:rPr>
          <w:rtl/>
        </w:rPr>
        <w:t xml:space="preserve"> - מועד השלמת הקמת הקו האדום נדחה שש פעמים לפחות לתקופה מצטברת של חמש שנים בקירוב במצטבר (חמש מתוך שש הדחיות </w:t>
      </w:r>
      <w:r w:rsidRPr="00CD7E5A" w:rsidR="00091A9A">
        <w:rPr>
          <w:rtl/>
        </w:rPr>
        <w:t>ארעו</w:t>
      </w:r>
      <w:r w:rsidRPr="00CD7E5A" w:rsidR="00091A9A">
        <w:rPr>
          <w:rtl/>
        </w:rPr>
        <w:t xml:space="preserve"> בשנים 2010 עד 2013 לפני תחילת עיקר עבודות ההקמה שהחלו בשנת 2015): הממשלה לא קבעה בהחלטתה יעד למועד הפעלת הקווים הסגול והירוק, פתיחת הקו הסגול נדחתה מ-2025 ל-2026, ופתיחת הקו הירוק נדחתה מ-2025 ל-2027, ועשויה לחול דחייה של שנה נוספת לפחות לנוכח דחייה של ההכרזה על זוכה בפרויקט ה-</w:t>
      </w:r>
      <w:r w:rsidRPr="00CD7E5A" w:rsidR="00091A9A">
        <w:t>PPP</w:t>
      </w:r>
      <w:r w:rsidRPr="00CD7E5A" w:rsidR="00091A9A">
        <w:rPr>
          <w:rtl/>
        </w:rPr>
        <w:t xml:space="preserve"> ביותר משנה, שנבעה בעיקר מדחיית פינוי כפר שלם בשנה וחצי בקירוב - מאוגוסט 2020 לינואר 2022</w:t>
      </w:r>
      <w:r w:rsidRPr="0093709F">
        <w:rPr>
          <w:rFonts w:hint="cs"/>
          <w:rtl/>
        </w:rPr>
        <w:t xml:space="preserve">. </w:t>
      </w:r>
    </w:p>
    <w:p w:rsidR="00091A9A" w:rsidP="001C231E" w14:paraId="6E40D892" w14:textId="12C5FE5F">
      <w:pPr>
        <w:pStyle w:val="7392"/>
        <w:spacing w:after="240" w:line="288" w:lineRule="auto"/>
        <w:ind w:left="424"/>
      </w:pPr>
      <w:r w:rsidRPr="00091A9A">
        <w:rPr>
          <w:b/>
          <w:bCs/>
          <w:rtl/>
        </w:rPr>
        <w:t xml:space="preserve">גידול </w:t>
      </w:r>
      <w:r w:rsidRPr="00091A9A">
        <w:rPr>
          <w:b/>
          <w:bCs/>
          <w:rtl/>
        </w:rPr>
        <w:t>באומדן</w:t>
      </w:r>
      <w:r w:rsidRPr="00091A9A">
        <w:rPr>
          <w:b/>
          <w:bCs/>
          <w:rtl/>
        </w:rPr>
        <w:t xml:space="preserve"> העלויות פרויקט הקו האדום</w:t>
      </w:r>
      <w:r w:rsidRPr="00091A9A">
        <w:rPr>
          <w:rtl/>
        </w:rPr>
        <w:t xml:space="preserve"> - ממועד קביעת </w:t>
      </w:r>
      <w:r w:rsidRPr="00091A9A">
        <w:rPr>
          <w:rtl/>
        </w:rPr>
        <w:t>האומדן</w:t>
      </w:r>
      <w:r w:rsidRPr="00091A9A">
        <w:rPr>
          <w:rtl/>
        </w:rPr>
        <w:t xml:space="preserve"> הראשוני של העלות לפרויקט הקו האדום בהחלטת הממשלה מדצמבר 2010 בסך 10.7 מיליארד ש"ח בוצעו בו 12 עדכונים לכל הפחות, ולפחות בשמונה מהם עודכן אומדן עלות הפרויקט הכוללת. בעדכון האחרון באוקטובר 2021 היה אומדן העלות כ-18.71 מיליארד ש"ח, סכום הגבוה בכ-8 מיליארד ש"ח מאומדן העלות המקורי (כ-75%). בניכוי השפעת התייקרויות (הוספה של 0.671 מיליארד ש"ח) וירידה </w:t>
      </w:r>
      <w:r w:rsidRPr="00091A9A">
        <w:rPr>
          <w:rtl/>
        </w:rPr>
        <w:t>במע"ם</w:t>
      </w:r>
      <w:r w:rsidRPr="00091A9A">
        <w:rPr>
          <w:rtl/>
        </w:rPr>
        <w:t xml:space="preserve"> מ-18% ל-17% בשנת 2016 (ירידה של 0.128 מיליארד ש"ח) אומדן העלות גדל בכ-7.46 מיליארד ש"ח (כ-69.7%). לחריגה </w:t>
      </w:r>
      <w:r w:rsidRPr="00091A9A">
        <w:rPr>
          <w:rtl/>
        </w:rPr>
        <w:t>באומדן</w:t>
      </w:r>
      <w:r w:rsidRPr="00091A9A">
        <w:rPr>
          <w:rtl/>
        </w:rPr>
        <w:t xml:space="preserve"> עלות בקווי </w:t>
      </w:r>
      <w:r w:rsidRPr="00091A9A">
        <w:rPr>
          <w:rtl/>
        </w:rPr>
        <w:t>הרק"ל</w:t>
      </w:r>
      <w:r w:rsidRPr="00091A9A">
        <w:rPr>
          <w:rtl/>
        </w:rPr>
        <w:t xml:space="preserve"> שבהקמה, האדום, הירוק והסגול סיבות רבות ובהן: תקצוב </w:t>
      </w:r>
      <w:r w:rsidRPr="00091A9A">
        <w:rPr>
          <w:rtl/>
        </w:rPr>
        <w:t>בצ"ם</w:t>
      </w:r>
      <w:r w:rsidRPr="00091A9A">
        <w:rPr>
          <w:rtl/>
        </w:rPr>
        <w:t xml:space="preserve"> בחסר שלא לפי נוהל </w:t>
      </w:r>
      <w:r w:rsidRPr="00091A9A">
        <w:rPr>
          <w:rtl/>
        </w:rPr>
        <w:t>פר"ת</w:t>
      </w:r>
      <w:r w:rsidRPr="00091A9A">
        <w:rPr>
          <w:rtl/>
        </w:rPr>
        <w:t xml:space="preserve"> ואי-הכללת עלויות </w:t>
      </w:r>
      <w:r w:rsidRPr="00091A9A">
        <w:rPr>
          <w:rtl/>
        </w:rPr>
        <w:t>באומדן</w:t>
      </w:r>
      <w:r w:rsidRPr="00091A9A">
        <w:rPr>
          <w:rtl/>
        </w:rPr>
        <w:t xml:space="preserve"> העלות בעיקר בשלבים המוקדמים של הפרויקט; אי-הצמדה לסלי תשומות; מכלולים שלא נכללו </w:t>
      </w:r>
      <w:r w:rsidRPr="00091A9A">
        <w:rPr>
          <w:rtl/>
        </w:rPr>
        <w:t>באומדן</w:t>
      </w:r>
      <w:r w:rsidRPr="00091A9A">
        <w:rPr>
          <w:rtl/>
        </w:rPr>
        <w:t xml:space="preserve"> הפרויקט, מכלולים שלא תומחרו ומכלולים שתומחרו בחסר והביאו להסטות בין הסעיפים התקציביים השונים</w:t>
      </w:r>
      <w:r w:rsidRPr="0093709F" w:rsidR="00420374">
        <w:rPr>
          <w:rFonts w:hint="cs"/>
          <w:rtl/>
        </w:rPr>
        <w:t>.</w:t>
      </w:r>
    </w:p>
    <w:p w:rsidR="00091A9A" w:rsidRPr="00091A9A" w:rsidP="001C231E" w14:paraId="43158B81" w14:textId="4B4814DF">
      <w:pPr>
        <w:pStyle w:val="7392"/>
        <w:spacing w:after="240" w:line="288" w:lineRule="auto"/>
        <w:ind w:left="424"/>
      </w:pPr>
      <w:r w:rsidRPr="00B02658">
        <w:rPr>
          <w:rFonts w:hint="cs"/>
          <w:b/>
          <w:bCs/>
          <w:noProof/>
          <w:rtl/>
        </w:rPr>
        <w:drawing>
          <wp:anchor distT="0" distB="720090" distL="114300" distR="114300" simplePos="0" relativeHeight="251684864" behindDoc="1" locked="0" layoutInCell="1" allowOverlap="1">
            <wp:simplePos x="0" y="0"/>
            <wp:positionH relativeFrom="column">
              <wp:posOffset>4518025</wp:posOffset>
            </wp:positionH>
            <wp:positionV relativeFrom="paragraph">
              <wp:posOffset>1270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1A9A">
        <w:rPr>
          <w:b/>
          <w:bCs/>
          <w:rtl/>
        </w:rPr>
        <w:t>השוואה בין-לאומית של עלויות הקווים הירוק, הסגול והאדום</w:t>
      </w:r>
      <w:r w:rsidRPr="00091A9A">
        <w:rPr>
          <w:rtl/>
        </w:rPr>
        <w:t xml:space="preserve"> - עלה כי אומדן העלות של פרויקט </w:t>
      </w:r>
      <w:r w:rsidRPr="00091A9A">
        <w:rPr>
          <w:b/>
          <w:bCs/>
          <w:rtl/>
        </w:rPr>
        <w:t>הקו הסגול</w:t>
      </w:r>
      <w:r w:rsidRPr="00091A9A">
        <w:rPr>
          <w:rtl/>
        </w:rPr>
        <w:t xml:space="preserve"> של </w:t>
      </w:r>
      <w:r w:rsidRPr="00091A9A">
        <w:rPr>
          <w:rtl/>
        </w:rPr>
        <w:t>הרק"ל</w:t>
      </w:r>
      <w:r w:rsidRPr="00091A9A">
        <w:rPr>
          <w:rtl/>
        </w:rPr>
        <w:t xml:space="preserve"> גבוה ביחס למספרי ההשוואה במדינות אחרות במחירי שנת 2000 (מתוך נתוני מחקר הבנק העולמי) ולאחר תקנון אורך הקווים (השפעת המחיר): </w:t>
      </w:r>
    </w:p>
    <w:p w:rsidR="00091A9A" w:rsidRPr="00CD7E5A" w14:paraId="2C959D5F" w14:textId="5E69C80F">
      <w:pPr>
        <w:pStyle w:val="ListParagraph"/>
        <w:numPr>
          <w:ilvl w:val="0"/>
          <w:numId w:val="14"/>
        </w:numPr>
        <w:spacing w:after="240" w:line="288" w:lineRule="auto"/>
        <w:ind w:left="849" w:hanging="425"/>
        <w:contextualSpacing w:val="0"/>
        <w:rPr>
          <w:rFonts w:ascii="Tahoma" w:hAnsi="Tahoma" w:cs="Tahoma"/>
          <w:color w:val="0D0D0D" w:themeColor="text1" w:themeTint="F2"/>
          <w:sz w:val="18"/>
          <w:szCs w:val="18"/>
          <w:rtl/>
        </w:rPr>
      </w:pPr>
      <w:r w:rsidRPr="00091A9A">
        <w:rPr>
          <w:rFonts w:ascii="Tahoma" w:hAnsi="Tahoma" w:cs="Tahoma"/>
          <w:b/>
          <w:bCs/>
          <w:color w:val="0D0D0D" w:themeColor="text1" w:themeTint="F2"/>
          <w:sz w:val="18"/>
          <w:szCs w:val="18"/>
          <w:rtl/>
        </w:rPr>
        <w:t>אומדן עלות הקו הסגול</w:t>
      </w:r>
      <w:r w:rsidRPr="00CD7E5A">
        <w:rPr>
          <w:rFonts w:ascii="Tahoma" w:hAnsi="Tahoma" w:cs="Tahoma"/>
          <w:color w:val="0D0D0D" w:themeColor="text1" w:themeTint="F2"/>
          <w:sz w:val="18"/>
          <w:szCs w:val="18"/>
          <w:rtl/>
        </w:rPr>
        <w:t xml:space="preserve"> הוא כ-11.2 מיליארד ש"ח (כ-0.41 מיליארד ש"ח לק"מ) </w:t>
      </w:r>
      <w:r w:rsidR="0091379C">
        <w:rPr>
          <w:rFonts w:ascii="Tahoma" w:hAnsi="Tahoma" w:cs="Tahoma" w:hint="cs"/>
          <w:color w:val="0D0D0D" w:themeColor="text1" w:themeTint="F2"/>
          <w:sz w:val="18"/>
          <w:szCs w:val="18"/>
          <w:rtl/>
        </w:rPr>
        <w:t>ו</w:t>
      </w:r>
      <w:r w:rsidRPr="00CD7E5A">
        <w:rPr>
          <w:rFonts w:ascii="Tahoma" w:hAnsi="Tahoma" w:cs="Tahoma"/>
          <w:color w:val="0D0D0D" w:themeColor="text1" w:themeTint="F2"/>
          <w:sz w:val="18"/>
          <w:szCs w:val="18"/>
          <w:rtl/>
        </w:rPr>
        <w:t>במחירי 2000, כ-4.64 מיליארד ש"ח (0.17 מיליארד ש"ח), היה גבוה בכ-26.5% ובכ-133.5% מערכי המקסימום והמינימום בהתאמה לפי פרויקטים דומים במדינות אחרות. כלומר אומדן הקו הסגול העילי גבוה משמעותית ממספרי ההשוואה במחקר הבנק העולמי.</w:t>
      </w:r>
    </w:p>
    <w:p w:rsidR="00091A9A" w:rsidRPr="00CD7E5A" w14:paraId="02C30042" w14:textId="45842EB7">
      <w:pPr>
        <w:pStyle w:val="ListParagraph"/>
        <w:numPr>
          <w:ilvl w:val="0"/>
          <w:numId w:val="14"/>
        </w:numPr>
        <w:spacing w:after="240" w:line="288" w:lineRule="auto"/>
        <w:ind w:left="849" w:hanging="425"/>
        <w:contextualSpacing w:val="0"/>
        <w:rPr>
          <w:rFonts w:ascii="Tahoma" w:hAnsi="Tahoma" w:cs="Tahoma"/>
          <w:color w:val="0D0D0D" w:themeColor="text1" w:themeTint="F2"/>
          <w:sz w:val="18"/>
          <w:szCs w:val="18"/>
          <w:rtl/>
        </w:rPr>
      </w:pPr>
      <w:r w:rsidRPr="00091A9A">
        <w:rPr>
          <w:rFonts w:ascii="Tahoma" w:hAnsi="Tahoma" w:cs="Tahoma"/>
          <w:b/>
          <w:bCs/>
          <w:color w:val="0D0D0D" w:themeColor="text1" w:themeTint="F2"/>
          <w:sz w:val="18"/>
          <w:szCs w:val="18"/>
          <w:rtl/>
        </w:rPr>
        <w:t>אומדן עלות הקו הירוק</w:t>
      </w:r>
      <w:r w:rsidRPr="00CD7E5A">
        <w:rPr>
          <w:rFonts w:ascii="Tahoma" w:hAnsi="Tahoma" w:cs="Tahoma"/>
          <w:color w:val="0D0D0D" w:themeColor="text1" w:themeTint="F2"/>
          <w:sz w:val="18"/>
          <w:szCs w:val="18"/>
          <w:rtl/>
        </w:rPr>
        <w:t xml:space="preserve"> הוא כ-18.3 מיליארד ש"ח (כ-0.47 מיליארד ש"ח לק"מ) ובמחירי שנת 2000, כ-7.64 מיליארד ש"ח (0.2 מיליארד ש"ח לק"מ), היה נמוך בכ-5.5% וגבוה בכ-99.4% מערכי המקסימום והמינימום בהתאמה לפי פרויקטים דומים במדינות אחרות</w:t>
      </w:r>
      <w:r w:rsidR="00D605D8">
        <w:rPr>
          <w:rFonts w:ascii="Tahoma" w:hAnsi="Tahoma" w:cs="Tahoma" w:hint="cs"/>
          <w:color w:val="0D0D0D" w:themeColor="text1" w:themeTint="F2"/>
          <w:sz w:val="18"/>
          <w:szCs w:val="18"/>
          <w:rtl/>
        </w:rPr>
        <w:t>.</w:t>
      </w:r>
    </w:p>
    <w:p w:rsidR="00420374" w14:paraId="583ECB3F" w14:textId="1B2CD872">
      <w:pPr>
        <w:pStyle w:val="7392"/>
        <w:numPr>
          <w:ilvl w:val="0"/>
          <w:numId w:val="14"/>
        </w:numPr>
        <w:spacing w:after="240"/>
        <w:ind w:left="849" w:hanging="425"/>
      </w:pPr>
      <w:r w:rsidRPr="00091A9A">
        <w:rPr>
          <w:b/>
          <w:bCs/>
          <w:rtl/>
        </w:rPr>
        <w:t>אומדן עלות הקו האדום</w:t>
      </w:r>
      <w:r w:rsidRPr="00CD7E5A">
        <w:rPr>
          <w:rtl/>
        </w:rPr>
        <w:t xml:space="preserve"> הוא כ-18.7 מיליארד ש"ח (כ-0.78 מיליארד ש"ח לק"מ) </w:t>
      </w:r>
      <w:r w:rsidR="0091379C">
        <w:rPr>
          <w:rFonts w:hint="cs"/>
          <w:rtl/>
        </w:rPr>
        <w:t>ו</w:t>
      </w:r>
      <w:r w:rsidRPr="00CD7E5A">
        <w:rPr>
          <w:rtl/>
        </w:rPr>
        <w:t>במחירי 2000, כ-7.89 מיליארד ש"ח (0.33 מיליארד ש"ח לק"מ), היה בטווח העלויות של פרויקטים דומים במדינות אחרות, והיה נמוך בכ-23.7% וגבוה בכ-113.5% מערכי המקסימום והמינימום בהתאמה לפי פרויקטים דומים במדינות אחרות</w:t>
      </w:r>
      <w:r w:rsidRPr="0093709F">
        <w:rPr>
          <w:rFonts w:hint="cs"/>
          <w:rtl/>
        </w:rPr>
        <w:t xml:space="preserve">. </w:t>
      </w:r>
    </w:p>
    <w:p w:rsidR="00091A9A" w:rsidRPr="0093709F" w:rsidP="001C231E" w14:paraId="1AE530AE" w14:textId="6589491E">
      <w:pPr>
        <w:pStyle w:val="7392"/>
        <w:spacing w:after="240"/>
        <w:ind w:left="424"/>
      </w:pPr>
      <w:r w:rsidRPr="00CD7E5A">
        <w:rPr>
          <w:rtl/>
        </w:rPr>
        <w:t xml:space="preserve">כלומר, עלות ההקמה של פרויקט </w:t>
      </w:r>
      <w:r w:rsidRPr="00CD7E5A">
        <w:rPr>
          <w:rtl/>
        </w:rPr>
        <w:t>רק"ל</w:t>
      </w:r>
      <w:r w:rsidRPr="00CD7E5A">
        <w:rPr>
          <w:rtl/>
        </w:rPr>
        <w:t xml:space="preserve"> עילי בישראל גבוהה מעלות הקמת פרויקטים דומים במדינות אחרות, ועלות ההקמה של </w:t>
      </w:r>
      <w:r w:rsidRPr="00CD7E5A">
        <w:rPr>
          <w:rtl/>
        </w:rPr>
        <w:t>פרויקטי</w:t>
      </w:r>
      <w:r w:rsidRPr="00CD7E5A">
        <w:rPr>
          <w:rtl/>
        </w:rPr>
        <w:t xml:space="preserve"> </w:t>
      </w:r>
      <w:r w:rsidRPr="00CD7E5A">
        <w:rPr>
          <w:rtl/>
        </w:rPr>
        <w:t>רק"ל</w:t>
      </w:r>
      <w:r w:rsidRPr="00CD7E5A">
        <w:rPr>
          <w:rtl/>
        </w:rPr>
        <w:t xml:space="preserve"> מורכבים יותר שבהם מרכיב תת-קרקעי גדול, דומה יותר לעלות הקמתם במדינות אחרות</w:t>
      </w:r>
      <w:r w:rsidRPr="0093709F">
        <w:rPr>
          <w:rFonts w:hint="cs"/>
          <w:rtl/>
        </w:rPr>
        <w:t>.</w:t>
      </w:r>
    </w:p>
    <w:p w:rsidR="00420374" w:rsidRPr="0093709F" w:rsidP="001C231E" w14:paraId="5E8BF229" w14:textId="16E9C736">
      <w:pPr>
        <w:pStyle w:val="7392"/>
        <w:spacing w:after="240"/>
        <w:ind w:left="424"/>
        <w:rPr>
          <w:rtl/>
        </w:rPr>
      </w:pPr>
      <w:r w:rsidRPr="00B02658">
        <w:rPr>
          <w:rFonts w:hint="cs"/>
          <w:b/>
          <w:bCs/>
          <w:noProof/>
          <w:rtl/>
        </w:rPr>
        <w:drawing>
          <wp:anchor distT="1800225" distB="720090" distL="114300" distR="114300" simplePos="0" relativeHeight="251691008" behindDoc="1" locked="0" layoutInCell="1" allowOverlap="1">
            <wp:simplePos x="0" y="0"/>
            <wp:positionH relativeFrom="column">
              <wp:posOffset>4525645</wp:posOffset>
            </wp:positionH>
            <wp:positionV relativeFrom="paragraph">
              <wp:posOffset>28103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1A9A" w:rsidR="00091A9A">
        <w:rPr>
          <w:b/>
          <w:bCs/>
          <w:rtl/>
        </w:rPr>
        <w:t>תיעוד השינויים בתקציבי ההקמה של הפרויקטים</w:t>
      </w:r>
      <w:r w:rsidRPr="00CD7E5A" w:rsidR="00091A9A">
        <w:rPr>
          <w:rtl/>
        </w:rPr>
        <w:t xml:space="preserve"> - מתוך תשעה עדכוני אומדן של הקו האדום שביצעה </w:t>
      </w:r>
      <w:r w:rsidRPr="00CD7E5A" w:rsidR="00091A9A">
        <w:rPr>
          <w:rtl/>
        </w:rPr>
        <w:t>נת"ע</w:t>
      </w:r>
      <w:r w:rsidRPr="00CD7E5A" w:rsidR="00091A9A">
        <w:rPr>
          <w:rtl/>
        </w:rPr>
        <w:t xml:space="preserve"> בשנים 2014 - 2020 שנבדקו בביקורת, נמצא פירוט לנסיבות השינויים עבור חמישה עדכונים (כ-56%). לא נמצא תיעוד לנסיבות של ארבעה עדכונים (כ-44%). לשניים מחמשת האישורים צורף פירוט מלא, ולגבי שלושה אחרים התקבלו אישורים בדוא"ל ממשרדי התחבורה והאוצר. בנובמבר 2020 אושר </w:t>
      </w:r>
      <w:r w:rsidRPr="00CD7E5A" w:rsidR="00091A9A">
        <w:rPr>
          <w:rtl/>
        </w:rPr>
        <w:t>בנת"ע</w:t>
      </w:r>
      <w:r w:rsidRPr="00CD7E5A" w:rsidR="00091A9A">
        <w:rPr>
          <w:rtl/>
        </w:rPr>
        <w:t xml:space="preserve"> נוהל מפורט לניהול ולעדכון של תקציב הפרויקטים בתחום </w:t>
      </w:r>
      <w:r w:rsidRPr="00CD7E5A" w:rsidR="00091A9A">
        <w:rPr>
          <w:rtl/>
        </w:rPr>
        <w:t>הרק"ל</w:t>
      </w:r>
      <w:r w:rsidRPr="00CD7E5A" w:rsidR="00091A9A">
        <w:rPr>
          <w:rtl/>
        </w:rPr>
        <w:t xml:space="preserve">. הנוהל מגדיר את מדרג אישורי התקציב </w:t>
      </w:r>
      <w:r w:rsidRPr="00CD7E5A" w:rsidR="00091A9A">
        <w:rPr>
          <w:rtl/>
        </w:rPr>
        <w:t>בנת"ע</w:t>
      </w:r>
      <w:r w:rsidRPr="00CD7E5A" w:rsidR="00091A9A">
        <w:rPr>
          <w:rtl/>
        </w:rPr>
        <w:t>, אולם אין בו הנחיות לדיווח על השינויים התקציביים למשרדי התחבורה והאוצר</w:t>
      </w:r>
      <w:r w:rsidRPr="0093709F">
        <w:rPr>
          <w:rFonts w:hint="cs"/>
          <w:rtl/>
        </w:rPr>
        <w:t>.</w:t>
      </w:r>
    </w:p>
    <w:p w:rsidR="00091A9A" w:rsidP="001C231E" w14:paraId="3A3BEC5D" w14:textId="47D63FF1">
      <w:pPr>
        <w:pStyle w:val="7392"/>
        <w:spacing w:after="240"/>
        <w:ind w:left="424"/>
        <w:rPr>
          <w:noProof/>
        </w:rPr>
      </w:pPr>
      <w:r w:rsidRPr="00B02658">
        <w:rPr>
          <w:rFonts w:hint="cs"/>
          <w:b/>
          <w:bCs/>
          <w:noProof/>
          <w:rtl/>
        </w:rPr>
        <w:drawing>
          <wp:anchor distT="0" distB="720090" distL="114300" distR="114300" simplePos="0" relativeHeight="251689984" behindDoc="1" locked="0" layoutInCell="1" allowOverlap="1">
            <wp:simplePos x="0" y="0"/>
            <wp:positionH relativeFrom="column">
              <wp:posOffset>4525645</wp:posOffset>
            </wp:positionH>
            <wp:positionV relativeFrom="paragraph">
              <wp:posOffset>28103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1A9A">
        <w:rPr>
          <w:b/>
          <w:bCs/>
          <w:rtl/>
        </w:rPr>
        <w:t>זמן הקמת קווי רכבת קלה בישראל בהשוואה בין-לאומית</w:t>
      </w:r>
      <w:r w:rsidRPr="00CD7E5A">
        <w:rPr>
          <w:rtl/>
        </w:rPr>
        <w:t xml:space="preserve"> - זמן הקמת קו </w:t>
      </w:r>
      <w:r w:rsidRPr="00CD7E5A">
        <w:rPr>
          <w:rtl/>
        </w:rPr>
        <w:t>הרק"ל</w:t>
      </w:r>
      <w:r w:rsidRPr="00CD7E5A">
        <w:rPr>
          <w:rtl/>
        </w:rPr>
        <w:t xml:space="preserve"> העילי הסגול במטרופולין תל אביב צפוי להיות ארוך במידה רבה מזמן ההקמה של רוב הקווים שנבדקו עם מאפיינים דומים במדינות אחרות: כ-3.7 חודשים לק"מ בקו הסגול בישראל (סה"כ כ-8 שנים) לעומת כ-2.5 חודשים לק"מ בממוצע במדינות אחרות (כ-48% יותר מהממוצע בקווים במדינות אחרות</w:t>
      </w:r>
      <w:r>
        <w:rPr>
          <w:rFonts w:hint="cs"/>
          <w:rtl/>
        </w:rPr>
        <w:t>)</w:t>
      </w:r>
      <w:r w:rsidRPr="0093709F" w:rsidR="00420374">
        <w:rPr>
          <w:rFonts w:hint="cs"/>
          <w:rtl/>
        </w:rPr>
        <w:t>.</w:t>
      </w:r>
    </w:p>
    <w:p w:rsidR="00091A9A" w:rsidP="001C231E" w14:paraId="779B7AB8" w14:textId="09F41DCE">
      <w:pPr>
        <w:pStyle w:val="7392"/>
        <w:spacing w:after="240"/>
        <w:ind w:left="424"/>
        <w:rPr>
          <w:noProof/>
        </w:rPr>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4525645</wp:posOffset>
            </wp:positionH>
            <wp:positionV relativeFrom="paragraph">
              <wp:posOffset>28103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1A9A">
        <w:rPr>
          <w:b/>
          <w:bCs/>
          <w:rtl/>
        </w:rPr>
        <w:t xml:space="preserve">רשות תחבורה </w:t>
      </w:r>
      <w:r w:rsidRPr="00091A9A">
        <w:rPr>
          <w:b/>
          <w:bCs/>
          <w:rtl/>
        </w:rPr>
        <w:t>מטרופולינית</w:t>
      </w:r>
      <w:r w:rsidRPr="00CD7E5A">
        <w:rPr>
          <w:rtl/>
        </w:rPr>
        <w:t xml:space="preserve"> - אף שכל אחד מקווי </w:t>
      </w:r>
      <w:r w:rsidRPr="00CD7E5A">
        <w:rPr>
          <w:rtl/>
        </w:rPr>
        <w:t>הרק"ל</w:t>
      </w:r>
      <w:r w:rsidRPr="00CD7E5A">
        <w:rPr>
          <w:rtl/>
        </w:rPr>
        <w:t xml:space="preserve"> עובר בשטחן של רשויות רבות במטרופולין וקשרי התחבורה ביניהן הדוקים, אין במטרופולין רשות תחבורה </w:t>
      </w:r>
      <w:r w:rsidRPr="00CD7E5A">
        <w:rPr>
          <w:rtl/>
        </w:rPr>
        <w:t>מטרופולינית</w:t>
      </w:r>
      <w:r w:rsidRPr="00CD7E5A">
        <w:rPr>
          <w:rtl/>
        </w:rPr>
        <w:t xml:space="preserve"> ואף אין בה מִנהלת פרויקט </w:t>
      </w:r>
      <w:r w:rsidRPr="00CD7E5A">
        <w:rPr>
          <w:rtl/>
        </w:rPr>
        <w:t>רק"ל</w:t>
      </w:r>
      <w:r w:rsidRPr="00CD7E5A">
        <w:rPr>
          <w:rtl/>
        </w:rPr>
        <w:t xml:space="preserve"> שתרכז את כל אשר קשור לפרויקט. הקמתן של רשויות תחבורה </w:t>
      </w:r>
      <w:r w:rsidRPr="00CD7E5A">
        <w:rPr>
          <w:rtl/>
        </w:rPr>
        <w:t>מטרופוליניות</w:t>
      </w:r>
      <w:r w:rsidRPr="00CD7E5A">
        <w:rPr>
          <w:rtl/>
        </w:rPr>
        <w:t xml:space="preserve"> חשובה לקידום ראייה כוללת בעניין מתן פתרונות תחבורתיים, למתן מענה יעיל לצרכים כוללים ומקומיים, לביצוע תיאומים בין רשויות מקומיות וליצירת שיתופי פעולה לצורך קידום מיזמים הקשורים לתחבורה הציבורית</w:t>
      </w:r>
      <w:r>
        <w:rPr>
          <w:rFonts w:hint="cs"/>
          <w:rtl/>
        </w:rPr>
        <w:t>.</w:t>
      </w:r>
    </w:p>
    <w:p w:rsidR="00091A9A" w:rsidP="001C231E" w14:paraId="5F6DFC58" w14:textId="638BE927">
      <w:pPr>
        <w:pStyle w:val="7392"/>
        <w:spacing w:after="240"/>
        <w:ind w:left="424"/>
        <w:rPr>
          <w:noProof/>
        </w:rPr>
      </w:pPr>
      <w:r w:rsidRPr="00B02658">
        <w:rPr>
          <w:rFonts w:hint="cs"/>
          <w:b/>
          <w:bCs/>
          <w:noProof/>
          <w:rtl/>
        </w:rPr>
        <w:drawing>
          <wp:anchor distT="0" distB="720090" distL="114300" distR="114300" simplePos="0" relativeHeight="251692032" behindDoc="1" locked="0" layoutInCell="1" allowOverlap="1">
            <wp:simplePos x="0" y="0"/>
            <wp:positionH relativeFrom="column">
              <wp:posOffset>4526752</wp:posOffset>
            </wp:positionH>
            <wp:positionV relativeFrom="paragraph">
              <wp:posOffset>28575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1A9A">
        <w:rPr>
          <w:b/>
          <w:bCs/>
          <w:rtl/>
        </w:rPr>
        <w:t xml:space="preserve">חתימה על הסכמים והבדלים בהסכמים הקיימים בין </w:t>
      </w:r>
      <w:r w:rsidRPr="00091A9A">
        <w:rPr>
          <w:b/>
          <w:bCs/>
          <w:rtl/>
        </w:rPr>
        <w:t>נת"ע</w:t>
      </w:r>
      <w:r w:rsidRPr="00091A9A">
        <w:rPr>
          <w:b/>
          <w:bCs/>
          <w:rtl/>
        </w:rPr>
        <w:t>, משרדי התחבורה והאוצר לבין הרשויות המקומיות</w:t>
      </w:r>
      <w:r w:rsidRPr="00CD7E5A">
        <w:rPr>
          <w:rtl/>
        </w:rPr>
        <w:t xml:space="preserve"> - נחתמו הסכמים עם הרשויות המקומיות בתוואי הקו האדום, למעט רמת גן. נמצא כי נערכו טיוטות אך טרם נחתמו הסכמים עם הרשויות המקומיות בתוואי הקו הירוק - חולון, ראשון לציון והרצלייה. כמו כן, נמצא כי לא נערכו הסכמים עם הרשויות בתוואי הקו הסגול. נמצאו הבדלים בהסכמים בין </w:t>
      </w:r>
      <w:r w:rsidRPr="00CD7E5A">
        <w:rPr>
          <w:rtl/>
        </w:rPr>
        <w:t>נת"ע</w:t>
      </w:r>
      <w:r w:rsidRPr="00CD7E5A">
        <w:rPr>
          <w:rtl/>
        </w:rPr>
        <w:t xml:space="preserve">, משרדי התחבורה והאוצר לבין הרשויות המקומיות, בין היתר בנושאים האלה: הבדלים בשיעור ההשתתפות של </w:t>
      </w:r>
      <w:r w:rsidRPr="00CD7E5A">
        <w:rPr>
          <w:rtl/>
        </w:rPr>
        <w:t>נת"ע</w:t>
      </w:r>
      <w:r w:rsidRPr="00CD7E5A">
        <w:rPr>
          <w:rtl/>
        </w:rPr>
        <w:t xml:space="preserve"> במימון העתקת תשתיות ובפיתוח הסביבתי ברשויות השונות (כגון מימון של 85% מעלות העתקת התשתיות בפתח תקווה, מימון של 100% מעלות העתקת התשתיות בתחנות </w:t>
      </w:r>
      <w:r w:rsidRPr="00CD7E5A">
        <w:rPr>
          <w:rtl/>
        </w:rPr>
        <w:t>רק"ל</w:t>
      </w:r>
      <w:r w:rsidRPr="00CD7E5A">
        <w:rPr>
          <w:rtl/>
        </w:rPr>
        <w:t xml:space="preserve"> בבני ברק ו-50% בין התחנות בה ואי קביעת שיעור המימון של </w:t>
      </w:r>
      <w:r w:rsidRPr="00CD7E5A">
        <w:rPr>
          <w:rtl/>
        </w:rPr>
        <w:t>נת"ע</w:t>
      </w:r>
      <w:r w:rsidRPr="00CD7E5A">
        <w:rPr>
          <w:rtl/>
        </w:rPr>
        <w:t xml:space="preserve"> בהסכמים מול רשויות אחרות</w:t>
      </w:r>
      <w:r>
        <w:rPr>
          <w:rFonts w:hint="cs"/>
          <w:rtl/>
        </w:rPr>
        <w:t>).</w:t>
      </w:r>
    </w:p>
    <w:p w:rsidR="00091A9A" w:rsidP="001C231E" w14:paraId="24343FC6" w14:textId="1CC7F0A7">
      <w:pPr>
        <w:pStyle w:val="7392"/>
        <w:spacing w:after="240"/>
        <w:ind w:left="424"/>
        <w:rPr>
          <w:noProof/>
        </w:rPr>
      </w:pPr>
      <w:r w:rsidRPr="00B02658">
        <w:rPr>
          <w:rFonts w:hint="cs"/>
          <w:b/>
          <w:bCs/>
          <w:noProof/>
          <w:rtl/>
        </w:rPr>
        <w:drawing>
          <wp:anchor distT="0" distB="720090" distL="114300" distR="114300" simplePos="0" relativeHeight="251693056" behindDoc="1" locked="0" layoutInCell="1" allowOverlap="1">
            <wp:simplePos x="0" y="0"/>
            <wp:positionH relativeFrom="column">
              <wp:posOffset>4526752</wp:posOffset>
            </wp:positionH>
            <wp:positionV relativeFrom="paragraph">
              <wp:posOffset>28575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1A9A">
        <w:rPr>
          <w:b/>
          <w:bCs/>
          <w:rtl/>
        </w:rPr>
        <w:t>סיוע לעסקים בתוואי הרכבת הקלה</w:t>
      </w:r>
      <w:r w:rsidRPr="00CD7E5A">
        <w:rPr>
          <w:rtl/>
        </w:rPr>
        <w:t xml:space="preserve"> - עסקים הסמוכים למקטע התת-קרקעי של הקו האדום בתחום רמת גן ובני ברק אינם נהנים מקרן דומה לזו שהקימה עיריית תל אביב בשיתוף משרד האוצר, והם ואינם יכולים לקבל סיוע שלו זכאים עסקים בתל אביב, וזאת אף שחלק מתקציב הקרן הוא תקציב מדינה המוקצה על ידי משרד האוצר. נובע מכך חוסר שוויון בין עסקים בתחומים מוניציפליים שונים</w:t>
      </w:r>
      <w:r>
        <w:rPr>
          <w:rFonts w:hint="cs"/>
          <w:rtl/>
        </w:rPr>
        <w:t>.</w:t>
      </w:r>
    </w:p>
    <w:p w:rsidR="00420374" w:rsidP="001C231E" w14:paraId="39D5E97C" w14:textId="51603883">
      <w:pPr>
        <w:pStyle w:val="7392"/>
        <w:spacing w:after="240"/>
        <w:ind w:left="424"/>
        <w:rPr>
          <w:noProof/>
          <w:rtl/>
        </w:rPr>
      </w:pPr>
      <w:r w:rsidRPr="00091A9A">
        <w:rPr>
          <w:rFonts w:hint="cs"/>
          <w:noProof/>
          <w:rtl/>
        </w:rPr>
        <w:drawing>
          <wp:anchor distT="0" distB="0" distL="114300" distR="114300" simplePos="0" relativeHeight="251681792" behindDoc="0" locked="0" layoutInCell="1" allowOverlap="1">
            <wp:simplePos x="0" y="0"/>
            <wp:positionH relativeFrom="column">
              <wp:posOffset>2460385</wp:posOffset>
            </wp:positionH>
            <wp:positionV relativeFrom="paragraph">
              <wp:posOffset>1136015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B02658" w:rsidR="001C231E">
        <w:rPr>
          <w:rFonts w:hint="cs"/>
          <w:b/>
          <w:bCs/>
          <w:noProof/>
          <w:rtl/>
        </w:rPr>
        <w:drawing>
          <wp:anchor distT="0" distB="720090" distL="114300" distR="114300" simplePos="0" relativeHeight="251694080" behindDoc="1" locked="0" layoutInCell="1" allowOverlap="1">
            <wp:simplePos x="0" y="0"/>
            <wp:positionH relativeFrom="column">
              <wp:posOffset>4526752</wp:posOffset>
            </wp:positionH>
            <wp:positionV relativeFrom="paragraph">
              <wp:posOffset>28575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510666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91A9A" w:rsidR="00091A9A">
        <w:rPr>
          <w:b/>
          <w:bCs/>
          <w:rtl/>
        </w:rPr>
        <w:t xml:space="preserve">קשיים וחסמים בממשק בין חברות תשתית לחברת </w:t>
      </w:r>
      <w:r w:rsidRPr="00091A9A" w:rsidR="00091A9A">
        <w:rPr>
          <w:b/>
          <w:bCs/>
          <w:rtl/>
        </w:rPr>
        <w:t>נת"ע</w:t>
      </w:r>
      <w:r w:rsidRPr="00CD7E5A" w:rsidR="00091A9A">
        <w:rPr>
          <w:rtl/>
        </w:rPr>
        <w:t xml:space="preserve"> - קשיים בתיאום התשתיות בין </w:t>
      </w:r>
      <w:r w:rsidRPr="00CD7E5A" w:rsidR="00091A9A">
        <w:rPr>
          <w:rtl/>
        </w:rPr>
        <w:t>נת"ע</w:t>
      </w:r>
      <w:r w:rsidRPr="00CD7E5A" w:rsidR="00091A9A">
        <w:rPr>
          <w:rtl/>
        </w:rPr>
        <w:t xml:space="preserve"> לחברת החשמל לישראל (</w:t>
      </w:r>
      <w:r w:rsidRPr="00CD7E5A" w:rsidR="00091A9A">
        <w:rPr>
          <w:rtl/>
        </w:rPr>
        <w:t>חח"י</w:t>
      </w:r>
      <w:r w:rsidRPr="00CD7E5A" w:rsidR="00091A9A">
        <w:rPr>
          <w:rtl/>
        </w:rPr>
        <w:t xml:space="preserve">) וחברות תשתית אחרות עוברים כחוט השני בפורומים ובדיווחים שונים על התקדמות הקו האדום בשנים האחרונות, וכיום גם על התקדמות הקווים הירוק והסגול. ממועד אישור הממשלה לביצוע הקו האדום על ידי </w:t>
      </w:r>
      <w:r w:rsidRPr="00CD7E5A" w:rsidR="00091A9A">
        <w:rPr>
          <w:rtl/>
        </w:rPr>
        <w:t>נת"ע</w:t>
      </w:r>
      <w:r w:rsidRPr="00CD7E5A" w:rsidR="00091A9A">
        <w:rPr>
          <w:rtl/>
        </w:rPr>
        <w:t xml:space="preserve"> ב-2010 ועד מועד סיום הביקורת באפריל 2022 לא נחתמו הסכמי אמנת שירות בין </w:t>
      </w:r>
      <w:r w:rsidRPr="00CD7E5A" w:rsidR="00091A9A">
        <w:rPr>
          <w:rtl/>
        </w:rPr>
        <w:t>חח"י</w:t>
      </w:r>
      <w:r w:rsidRPr="00CD7E5A" w:rsidR="00091A9A">
        <w:rPr>
          <w:rtl/>
        </w:rPr>
        <w:t xml:space="preserve"> וחברות התשתיות אחרות, שחלקן חברות ממשלתיות, לבין </w:t>
      </w:r>
      <w:r w:rsidRPr="00CD7E5A" w:rsidR="00091A9A">
        <w:rPr>
          <w:rtl/>
        </w:rPr>
        <w:t>נת"ע</w:t>
      </w:r>
      <w:r w:rsidR="00091A9A">
        <w:rPr>
          <w:rFonts w:hint="cs"/>
          <w:rtl/>
        </w:rPr>
        <w:t>.</w:t>
      </w:r>
      <w:r w:rsidRPr="0093709F">
        <w:rPr>
          <w:rFonts w:hint="cs"/>
          <w:rtl/>
        </w:rPr>
        <w:t xml:space="preserve"> </w:t>
      </w:r>
    </w:p>
    <w:p w:rsidR="00420374" w:rsidRPr="00411396" w:rsidP="00420374" w14:paraId="5E6B04AD" w14:textId="311BA873">
      <w:pPr>
        <w:pStyle w:val="7392"/>
        <w:spacing w:before="360"/>
        <w:rPr>
          <w:rtl/>
        </w:rPr>
      </w:pPr>
      <w:r w:rsidRPr="00CD7E5A">
        <w:rPr>
          <w:rtl/>
        </w:rPr>
        <w:t xml:space="preserve">בנובמבר 2020 אושר </w:t>
      </w:r>
      <w:r w:rsidRPr="00CD7E5A">
        <w:rPr>
          <w:rtl/>
        </w:rPr>
        <w:t>בנת"ע</w:t>
      </w:r>
      <w:r w:rsidRPr="00CD7E5A">
        <w:rPr>
          <w:rtl/>
        </w:rPr>
        <w:t xml:space="preserve"> נוהל מפורט לניהול ולעדכון של תקציב הפרויקטים בתחום </w:t>
      </w:r>
      <w:r w:rsidRPr="00CD7E5A">
        <w:rPr>
          <w:rtl/>
        </w:rPr>
        <w:t>הרק"ל</w:t>
      </w:r>
      <w:r w:rsidRPr="00411396">
        <w:rPr>
          <w:rtl/>
        </w:rPr>
        <w:t>.</w:t>
      </w:r>
    </w:p>
    <w:p w:rsidR="00420374" w:rsidRPr="00411396" w:rsidP="00420374" w14:paraId="4A9F3764" w14:textId="1D5BF8D2">
      <w:pPr>
        <w:pStyle w:val="7392"/>
        <w:rPr>
          <w:rtl/>
        </w:rPr>
      </w:pPr>
      <w:r w:rsidRPr="00CD7E5A">
        <w:rPr>
          <w:rtl/>
        </w:rPr>
        <w:t xml:space="preserve">משרד התחבורה נערך להתאמת שירות האוטובוסים לקראת הפעלת הקו האדום של </w:t>
      </w:r>
      <w:r w:rsidRPr="00CD7E5A">
        <w:rPr>
          <w:rtl/>
        </w:rPr>
        <w:t>הרק"ל</w:t>
      </w:r>
      <w:r w:rsidRPr="00411396">
        <w:rPr>
          <w:rFonts w:hint="cs"/>
          <w:rtl/>
        </w:rPr>
        <w:t>.</w:t>
      </w:r>
    </w:p>
    <w:p w:rsidR="002753C7" w:rsidRPr="00662020" w:rsidP="00566A68" w14:paraId="7C748CCB" w14:textId="52E89A5B">
      <w:pPr>
        <w:pStyle w:val="7327"/>
        <w:spacing w:before="480" w:after="240"/>
        <w:rPr>
          <w:rtl/>
        </w:rPr>
      </w:pPr>
      <w:r w:rsidRPr="00662020">
        <w:rPr>
          <w:rFonts w:hint="cs"/>
          <w:rtl/>
        </w:rPr>
        <w:t>עיקרי המלצות הביקורת</w:t>
      </w:r>
    </w:p>
    <w:p w:rsidR="0093709F" w:rsidP="00566A68" w14:paraId="0466320B" w14:textId="40766468">
      <w:pPr>
        <w:pStyle w:val="7317"/>
        <w:ind w:left="566"/>
      </w:pPr>
      <w:r w:rsidRPr="00B02658">
        <w:rPr>
          <w:rFonts w:hint="cs"/>
          <w:b/>
          <w:bCs/>
          <w:noProof/>
          <w:rtl/>
        </w:rPr>
        <w:drawing>
          <wp:anchor distT="0" distB="1440180" distL="107950" distR="114300" simplePos="0" relativeHeight="251696128" behindDoc="1" locked="0" layoutInCell="1" allowOverlap="1">
            <wp:simplePos x="0" y="0"/>
            <wp:positionH relativeFrom="column">
              <wp:posOffset>4511675</wp:posOffset>
            </wp:positionH>
            <wp:positionV relativeFrom="paragraph">
              <wp:posOffset>18544</wp:posOffset>
            </wp:positionV>
            <wp:extent cx="143510" cy="161925"/>
            <wp:effectExtent l="0" t="0" r="0" b="3175"/>
            <wp:wrapTight wrapText="bothSides">
              <wp:wrapPolygon>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D7E5A" w:rsidR="00091A9A">
        <w:rPr>
          <w:rtl/>
        </w:rPr>
        <w:t xml:space="preserve">מומלץ כי </w:t>
      </w:r>
      <w:r w:rsidRPr="00CD7E5A" w:rsidR="00091A9A">
        <w:rPr>
          <w:rtl/>
        </w:rPr>
        <w:t>נת"ע</w:t>
      </w:r>
      <w:r w:rsidRPr="00CD7E5A" w:rsidR="00091A9A">
        <w:rPr>
          <w:rtl/>
        </w:rPr>
        <w:t xml:space="preserve">, משרד התחבורה ומשרד האוצר יפעלו לחתימה על הסכם המסגרת ביניהם ויקבעו נוהלי עבודה לעדכון התקציב ולוחות הזמנים ולדיווח עליהם. עוד מומלץ שמשרד התחבורה, </w:t>
      </w:r>
      <w:r w:rsidRPr="00CD7E5A" w:rsidR="00091A9A">
        <w:rPr>
          <w:rtl/>
        </w:rPr>
        <w:t>נת"ע</w:t>
      </w:r>
      <w:r w:rsidRPr="00CD7E5A" w:rsidR="00091A9A">
        <w:rPr>
          <w:rtl/>
        </w:rPr>
        <w:t xml:space="preserve"> והרשויות המקומיות בתוואי הקווים הסגול והירוק - חולון, ראשון לציון, הרצלייה, יהוד-מונוסון, אור יהודה, קריית אונו, גבעת שמואל, רמת גן, גבעתיים - </w:t>
      </w:r>
      <w:r w:rsidRPr="00CD7E5A" w:rsidR="00091A9A">
        <w:rPr>
          <w:rtl/>
        </w:rPr>
        <w:t>שטרם חתמו על הסכמים להעברת זכות שימוש במקרקעין, יפעלו לחתימה על ההסכמים ביניהם</w:t>
      </w:r>
      <w:r w:rsidRPr="008E57FE" w:rsidR="005D0F8C">
        <w:rPr>
          <w:rFonts w:hint="cs"/>
          <w:rtl/>
        </w:rPr>
        <w:t xml:space="preserve">. </w:t>
      </w:r>
    </w:p>
    <w:p w:rsidR="005D0F8C" w:rsidRPr="008E57FE" w:rsidP="00566A68" w14:paraId="6C626C68" w14:textId="47A3B295">
      <w:pPr>
        <w:pStyle w:val="7317"/>
        <w:ind w:left="566"/>
      </w:pPr>
      <w:r w:rsidRPr="00B02658">
        <w:rPr>
          <w:rFonts w:hint="cs"/>
          <w:b/>
          <w:bCs/>
          <w:noProof/>
          <w:rtl/>
        </w:rPr>
        <w:drawing>
          <wp:anchor distT="0" distB="1440180" distL="107950" distR="114300" simplePos="0" relativeHeight="251697152" behindDoc="1" locked="0" layoutInCell="1" allowOverlap="1">
            <wp:simplePos x="0" y="0"/>
            <wp:positionH relativeFrom="column">
              <wp:posOffset>4511675</wp:posOffset>
            </wp:positionH>
            <wp:positionV relativeFrom="paragraph">
              <wp:posOffset>26670</wp:posOffset>
            </wp:positionV>
            <wp:extent cx="144000" cy="162000"/>
            <wp:effectExtent l="0" t="0" r="0" b="3175"/>
            <wp:wrapTight wrapText="bothSides">
              <wp:wrapPolygon>
                <wp:start x="1912" y="0"/>
                <wp:lineTo x="0" y="1694"/>
                <wp:lineTo x="0" y="20329"/>
                <wp:lineTo x="19115" y="20329"/>
                <wp:lineTo x="19115" y="0"/>
                <wp:lineTo x="1912" y="0"/>
              </wp:wrapPolygon>
            </wp:wrapTight>
            <wp:docPr id="20527709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7E5A" w:rsidR="00091A9A">
        <w:rPr>
          <w:rtl/>
        </w:rPr>
        <w:t xml:space="preserve">מומלץ כי משרד התחבורה יפעל לשילוב לוחות הזמנים ומנגנוני פיקוח עליהם בהחלטות הממשלה על פרויקטים בתחום התחבורה. עוד מומלץ </w:t>
      </w:r>
      <w:r w:rsidRPr="00CD7E5A" w:rsidR="00091A9A">
        <w:rPr>
          <w:rtl/>
        </w:rPr>
        <w:t>שנת"ע</w:t>
      </w:r>
      <w:r w:rsidRPr="00CD7E5A" w:rsidR="00091A9A">
        <w:rPr>
          <w:rtl/>
        </w:rPr>
        <w:t xml:space="preserve"> ומשרדי התחבורה והאוצר יפעלו לעמידה בלוחות הזמנים ולמניעת דחיות בהפעלת הקווים הירוק והסגול הן כדי לנצל את התועלות מפעילות הקווים והן כדי לחסוך בעלויות נוספות בשל עיכובים בלוחות הזמנים. כמו כן מומלץ לבחון כיצד ניתן לקצר את תהליכי העבודה לביצוע </w:t>
      </w:r>
      <w:r w:rsidRPr="00CD7E5A" w:rsidR="00091A9A">
        <w:rPr>
          <w:rtl/>
        </w:rPr>
        <w:t>פרויקטי</w:t>
      </w:r>
      <w:r w:rsidRPr="00CD7E5A" w:rsidR="00091A9A">
        <w:rPr>
          <w:rtl/>
        </w:rPr>
        <w:t xml:space="preserve"> </w:t>
      </w:r>
      <w:r w:rsidRPr="00CD7E5A" w:rsidR="00091A9A">
        <w:rPr>
          <w:rtl/>
        </w:rPr>
        <w:t>הרק"ל</w:t>
      </w:r>
      <w:r w:rsidRPr="00CD7E5A" w:rsidR="00091A9A">
        <w:rPr>
          <w:rtl/>
        </w:rPr>
        <w:t xml:space="preserve"> במטרופולין</w:t>
      </w:r>
      <w:r w:rsidRPr="008E57FE">
        <w:rPr>
          <w:rtl/>
        </w:rPr>
        <w:t xml:space="preserve">. </w:t>
      </w:r>
    </w:p>
    <w:p w:rsidR="005D0F8C" w:rsidP="00566A68" w14:paraId="16E5BFEE" w14:textId="14A5D017">
      <w:pPr>
        <w:pStyle w:val="7317"/>
        <w:ind w:left="566"/>
        <w:rPr>
          <w:rtl/>
        </w:rPr>
      </w:pPr>
      <w:r w:rsidRPr="00B02658">
        <w:rPr>
          <w:rFonts w:hint="cs"/>
          <w:b/>
          <w:bCs/>
          <w:noProof/>
          <w:rtl/>
        </w:rPr>
        <w:drawing>
          <wp:anchor distT="0" distB="1440180" distL="107950" distR="114300" simplePos="0" relativeHeight="251698176" behindDoc="1" locked="0" layoutInCell="1" allowOverlap="1">
            <wp:simplePos x="0" y="0"/>
            <wp:positionH relativeFrom="column">
              <wp:posOffset>4511675</wp:posOffset>
            </wp:positionH>
            <wp:positionV relativeFrom="paragraph">
              <wp:posOffset>26670</wp:posOffset>
            </wp:positionV>
            <wp:extent cx="144000" cy="162000"/>
            <wp:effectExtent l="0" t="0" r="0" b="3175"/>
            <wp:wrapTight wrapText="bothSides">
              <wp:wrapPolygon>
                <wp:start x="1912" y="0"/>
                <wp:lineTo x="0" y="1694"/>
                <wp:lineTo x="0" y="20329"/>
                <wp:lineTo x="19115" y="20329"/>
                <wp:lineTo x="19115" y="0"/>
                <wp:lineTo x="1912" y="0"/>
              </wp:wrapPolygon>
            </wp:wrapTight>
            <wp:docPr id="20527709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7E5A" w:rsidR="00091A9A">
        <w:rPr>
          <w:rtl/>
        </w:rPr>
        <w:t xml:space="preserve">מומלץ </w:t>
      </w:r>
      <w:r w:rsidRPr="00CD7E5A" w:rsidR="00091A9A">
        <w:rPr>
          <w:rtl/>
        </w:rPr>
        <w:t>שנת"ע</w:t>
      </w:r>
      <w:r w:rsidRPr="00CD7E5A" w:rsidR="00091A9A">
        <w:rPr>
          <w:rtl/>
        </w:rPr>
        <w:t xml:space="preserve"> תפעל להצגת אומדן תקציב מדויק ככל הניתן כדי לאפשר לממשלה לקבל החלטות תקציביות על בסיס נתונים נאותים שיאפשרו לה לבחון את הכדאיות הכלכלית של הפרויקטים ולהקצות להם משאבים בהתאם לבחינה</w:t>
      </w:r>
      <w:r w:rsidRPr="008E57FE">
        <w:rPr>
          <w:rFonts w:hint="cs"/>
          <w:rtl/>
        </w:rPr>
        <w:t>.</w:t>
      </w:r>
    </w:p>
    <w:p w:rsidR="00706096" w:rsidP="00566A68" w14:paraId="3F6A2BE4" w14:textId="1EE5C92B">
      <w:pPr>
        <w:pStyle w:val="7317"/>
        <w:ind w:left="566"/>
        <w:rPr>
          <w:rtl/>
        </w:rPr>
      </w:pPr>
      <w:r w:rsidRPr="00B02658">
        <w:rPr>
          <w:rFonts w:hint="cs"/>
          <w:b/>
          <w:bCs/>
          <w:noProof/>
          <w:rtl/>
        </w:rPr>
        <w:drawing>
          <wp:anchor distT="0" distB="1440180" distL="107950" distR="114300" simplePos="0" relativeHeight="251699200" behindDoc="1" locked="0" layoutInCell="1" allowOverlap="1">
            <wp:simplePos x="0" y="0"/>
            <wp:positionH relativeFrom="column">
              <wp:posOffset>4511675</wp:posOffset>
            </wp:positionH>
            <wp:positionV relativeFrom="paragraph">
              <wp:posOffset>26670</wp:posOffset>
            </wp:positionV>
            <wp:extent cx="144000" cy="162000"/>
            <wp:effectExtent l="0" t="0" r="0" b="3175"/>
            <wp:wrapTight wrapText="bothSides">
              <wp:wrapPolygon>
                <wp:start x="1912" y="0"/>
                <wp:lineTo x="0" y="1694"/>
                <wp:lineTo x="0" y="20329"/>
                <wp:lineTo x="19115" y="20329"/>
                <wp:lineTo x="19115" y="0"/>
                <wp:lineTo x="1912" y="0"/>
              </wp:wrapPolygon>
            </wp:wrapTight>
            <wp:docPr id="205277094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7E5A" w:rsidR="00091A9A">
        <w:rPr>
          <w:rtl/>
        </w:rPr>
        <w:t xml:space="preserve">כדי לקדם את פרויקט הרכבת הקלה ולצמצם את הפגיעה בתושבים בתוואי הפרויקט, מומלץ שמשרד התחבורה יקדם הקמת רשות </w:t>
      </w:r>
      <w:r w:rsidRPr="00CD7E5A" w:rsidR="00091A9A">
        <w:rPr>
          <w:rtl/>
        </w:rPr>
        <w:t>מטרופולינית</w:t>
      </w:r>
      <w:r w:rsidRPr="00CD7E5A" w:rsidR="00091A9A">
        <w:rPr>
          <w:rtl/>
        </w:rPr>
        <w:t xml:space="preserve"> לתחבורה בעלת סמכויות במטרופולין תל אביב ועד אז יבחן דרכים חלופיות לפתרונות ביניים להסרת החסמים הקיימים, לדוגמה</w:t>
      </w:r>
      <w:r w:rsidR="002F34D8">
        <w:rPr>
          <w:rFonts w:hint="cs"/>
          <w:rtl/>
        </w:rPr>
        <w:t xml:space="preserve"> ישקול</w:t>
      </w:r>
      <w:r w:rsidRPr="00CD7E5A" w:rsidR="00091A9A">
        <w:rPr>
          <w:rtl/>
        </w:rPr>
        <w:t xml:space="preserve"> להקים מנגנון ליישוב מחלוקות בין הרשויות לבין משרד התחבורה </w:t>
      </w:r>
      <w:r w:rsidRPr="00CD7E5A" w:rsidR="00091A9A">
        <w:rPr>
          <w:rtl/>
        </w:rPr>
        <w:t>ונת"ע</w:t>
      </w:r>
      <w:r w:rsidRPr="00CD7E5A" w:rsidR="00091A9A">
        <w:rPr>
          <w:rtl/>
        </w:rPr>
        <w:t xml:space="preserve"> ולמנות לשם כך פורום קבוע בהשתתפות נציגי כל הצדדים. עוד מומלץ </w:t>
      </w:r>
      <w:r w:rsidRPr="00CD7E5A" w:rsidR="00091A9A">
        <w:rPr>
          <w:rtl/>
        </w:rPr>
        <w:t>שנת"ע</w:t>
      </w:r>
      <w:r w:rsidRPr="00CD7E5A" w:rsidR="00091A9A">
        <w:rPr>
          <w:rtl/>
        </w:rPr>
        <w:t xml:space="preserve"> תקדם הסכמי אמנת שירות עם </w:t>
      </w:r>
      <w:r w:rsidRPr="00CD7E5A" w:rsidR="00091A9A">
        <w:rPr>
          <w:rtl/>
        </w:rPr>
        <w:t>חח"י</w:t>
      </w:r>
      <w:r w:rsidRPr="00CD7E5A" w:rsidR="00091A9A">
        <w:rPr>
          <w:rtl/>
        </w:rPr>
        <w:t xml:space="preserve"> ועם חברות תשתית נוספות שיסייעו בקידום הפרויקט</w:t>
      </w:r>
      <w:r w:rsidRPr="008E57FE">
        <w:rPr>
          <w:rFonts w:hint="cs"/>
          <w:rtl/>
        </w:rPr>
        <w:t>.</w:t>
      </w:r>
    </w:p>
    <w:p w:rsidR="00706096" w:rsidRPr="00662020" w:rsidP="00566A68" w14:paraId="36B4D251" w14:textId="50994C88">
      <w:pPr>
        <w:pStyle w:val="ListParagraph"/>
        <w:widowControl w:val="0"/>
        <w:spacing w:after="60" w:line="276" w:lineRule="auto"/>
        <w:ind w:left="566"/>
        <w:rPr>
          <w:rFonts w:ascii="Tahoma" w:hAnsi="Tahoma" w:cs="Tahoma"/>
          <w:color w:val="0D0D0D" w:themeColor="text1" w:themeTint="F2"/>
          <w:sz w:val="18"/>
          <w:szCs w:val="18"/>
        </w:rPr>
      </w:pPr>
      <w:r w:rsidRPr="00B02658">
        <w:rPr>
          <w:rFonts w:hint="cs"/>
          <w:b/>
          <w:bCs/>
          <w:noProof/>
          <w:rtl/>
        </w:rPr>
        <w:drawing>
          <wp:anchor distT="0" distB="1440180" distL="107950" distR="114300" simplePos="0" relativeHeight="251700224" behindDoc="1" locked="0" layoutInCell="1" allowOverlap="1">
            <wp:simplePos x="0" y="0"/>
            <wp:positionH relativeFrom="column">
              <wp:posOffset>4511675</wp:posOffset>
            </wp:positionH>
            <wp:positionV relativeFrom="paragraph">
              <wp:posOffset>19050</wp:posOffset>
            </wp:positionV>
            <wp:extent cx="144000" cy="162000"/>
            <wp:effectExtent l="0" t="0" r="0" b="3175"/>
            <wp:wrapTight wrapText="bothSides">
              <wp:wrapPolygon>
                <wp:start x="1912" y="0"/>
                <wp:lineTo x="0" y="1694"/>
                <wp:lineTo x="0" y="20329"/>
                <wp:lineTo x="19115" y="20329"/>
                <wp:lineTo x="19115" y="0"/>
                <wp:lineTo x="1912" y="0"/>
              </wp:wrapPolygon>
            </wp:wrapTight>
            <wp:docPr id="20527709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7E5A" w:rsidR="00091A9A">
        <w:rPr>
          <w:rFonts w:ascii="Tahoma" w:hAnsi="Tahoma" w:cs="Tahoma"/>
          <w:sz w:val="18"/>
          <w:szCs w:val="18"/>
          <w:rtl/>
        </w:rPr>
        <w:t xml:space="preserve">מומלץ כי משרדי התחבורה והאוצר יבחנו את הפערים בעלויות הפרויקטים של </w:t>
      </w:r>
      <w:r w:rsidRPr="00CD7E5A" w:rsidR="00091A9A">
        <w:rPr>
          <w:rFonts w:ascii="Tahoma" w:hAnsi="Tahoma" w:cs="Tahoma"/>
          <w:sz w:val="18"/>
          <w:szCs w:val="18"/>
          <w:rtl/>
        </w:rPr>
        <w:t>רק"ל</w:t>
      </w:r>
      <w:r w:rsidRPr="00CD7E5A" w:rsidR="00091A9A">
        <w:rPr>
          <w:rFonts w:ascii="Tahoma" w:hAnsi="Tahoma" w:cs="Tahoma"/>
          <w:sz w:val="18"/>
          <w:szCs w:val="18"/>
          <w:rtl/>
        </w:rPr>
        <w:t xml:space="preserve"> בתוואי העילי ביחס למדינות אחרות, יבחנו כיצד ניתן למזער את הפערים האלה ולהשתמש בניתוח שיבוצע ככלי התומך בהחלטות לגבי חלופות לפרויקטים תחבורתיים עתידיים לרבות בחירת תוואי הקרקע של הפרויקט</w:t>
      </w:r>
      <w:r w:rsidRPr="00662020">
        <w:rPr>
          <w:rFonts w:ascii="Tahoma" w:hAnsi="Tahoma" w:cs="Tahoma" w:hint="cs"/>
          <w:color w:val="0D0D0D" w:themeColor="text1" w:themeTint="F2"/>
          <w:sz w:val="18"/>
          <w:szCs w:val="18"/>
          <w:rtl/>
        </w:rPr>
        <w:t>.</w:t>
      </w:r>
    </w:p>
    <w:p w:rsidR="00091A9A" w:rsidP="00091A9A" w14:paraId="11AC0AF4" w14:textId="356CD86C">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091A9A" w:rsidRPr="00091A9A" w:rsidP="00091A9A" w14:paraId="58A6CA42" w14:textId="59369493">
      <w:pPr>
        <w:bidi w:val="0"/>
        <w:spacing w:after="200" w:line="276" w:lineRule="auto"/>
        <w:rPr>
          <w:rFonts w:ascii="Tahoma" w:hAnsi="Tahoma" w:cs="Tahoma"/>
          <w:color w:val="0D0D0D" w:themeColor="text1" w:themeTint="F2"/>
          <w:sz w:val="18"/>
          <w:szCs w:val="18"/>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122555</wp:posOffset>
                </wp:positionH>
                <wp:positionV relativeFrom="paragraph">
                  <wp:posOffset>29210</wp:posOffset>
                </wp:positionV>
                <wp:extent cx="4436745" cy="3460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46075"/>
                        </a:xfrm>
                        <a:prstGeom prst="rect">
                          <a:avLst/>
                        </a:prstGeom>
                        <a:solidFill>
                          <a:srgbClr val="F05260"/>
                        </a:solidFill>
                        <a:ln w="9525">
                          <a:noFill/>
                          <a:miter lim="800000"/>
                          <a:headEnd/>
                          <a:tailEnd/>
                        </a:ln>
                      </wps:spPr>
                      <wps:txbx>
                        <w:txbxContent>
                          <w:p w:rsidR="005D0F8C" w:rsidRPr="00091A9A" w:rsidP="00091A9A" w14:textId="2B9CE2B8">
                            <w:pPr>
                              <w:spacing w:line="240" w:lineRule="auto"/>
                              <w:ind w:right="113"/>
                              <w:jc w:val="left"/>
                              <w:rPr>
                                <w:rFonts w:ascii="Tahoma" w:hAnsi="Tahoma" w:cs="Tahoma"/>
                                <w:b/>
                                <w:bCs/>
                                <w:color w:val="FFFFFF" w:themeColor="background1"/>
                                <w:spacing w:val="-4"/>
                                <w:sz w:val="22"/>
                                <w:szCs w:val="22"/>
                                <w:rtl/>
                              </w:rPr>
                            </w:pPr>
                            <w:r w:rsidRPr="00CD7E5A">
                              <w:rPr>
                                <w:rFonts w:ascii="Tahoma" w:hAnsi="Tahoma" w:cs="Tahoma" w:hint="cs"/>
                                <w:b/>
                                <w:bCs/>
                                <w:color w:val="FFFFFF" w:themeColor="background1"/>
                                <w:spacing w:val="-4"/>
                                <w:sz w:val="22"/>
                                <w:szCs w:val="22"/>
                                <w:rtl/>
                              </w:rPr>
                              <w:t>מערכת הסעת ההמונים המתוכננת במטרופולין תל אביב</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27.25pt;margin-top:2.3pt;margin-left:9.6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091A9A" w:rsidP="00091A9A" w14:paraId="1D5D7976" w14:textId="2B9CE2B8">
                      <w:pPr>
                        <w:spacing w:line="240" w:lineRule="auto"/>
                        <w:ind w:right="113"/>
                        <w:jc w:val="left"/>
                        <w:rPr>
                          <w:rFonts w:ascii="Tahoma" w:hAnsi="Tahoma" w:cs="Tahoma"/>
                          <w:b/>
                          <w:bCs/>
                          <w:color w:val="FFFFFF" w:themeColor="background1"/>
                          <w:spacing w:val="-4"/>
                          <w:sz w:val="22"/>
                          <w:szCs w:val="22"/>
                          <w:rtl/>
                        </w:rPr>
                      </w:pPr>
                      <w:r w:rsidRPr="00CD7E5A">
                        <w:rPr>
                          <w:rFonts w:ascii="Tahoma" w:hAnsi="Tahoma" w:cs="Tahoma" w:hint="cs"/>
                          <w:b/>
                          <w:bCs/>
                          <w:color w:val="FFFFFF" w:themeColor="background1"/>
                          <w:spacing w:val="-4"/>
                          <w:sz w:val="22"/>
                          <w:szCs w:val="22"/>
                          <w:rtl/>
                        </w:rPr>
                        <w:t>מערכת הסעת ההמונים המתוכננת במטרופולין תל אביב</w:t>
                      </w:r>
                    </w:p>
                  </w:txbxContent>
                </v:textbox>
              </v:shape>
            </w:pict>
          </mc:Fallback>
        </mc:AlternateContent>
      </w:r>
      <w:r w:rsidRPr="00D527BD">
        <w:rPr>
          <w:noProof/>
          <w:szCs w:val="20"/>
          <w:rtl/>
        </w:rPr>
        <w:drawing>
          <wp:anchor distT="0" distB="0" distL="114300" distR="114300" simplePos="0" relativeHeight="251678720" behindDoc="0" locked="0" layoutInCell="1" allowOverlap="1">
            <wp:simplePos x="0" y="0"/>
            <wp:positionH relativeFrom="column">
              <wp:posOffset>-68580</wp:posOffset>
            </wp:positionH>
            <wp:positionV relativeFrom="paragraph">
              <wp:posOffset>-66183</wp:posOffset>
            </wp:positionV>
            <wp:extent cx="4728807" cy="64155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8807" cy="641555"/>
                    </a:xfrm>
                    <a:prstGeom prst="rect">
                      <a:avLst/>
                    </a:prstGeom>
                  </pic:spPr>
                </pic:pic>
              </a:graphicData>
            </a:graphic>
            <wp14:sizeRelV relativeFrom="margin">
              <wp14:pctHeight>0</wp14:pctHeight>
            </wp14:sizeRelV>
          </wp:anchor>
        </w:drawing>
      </w:r>
    </w:p>
    <w:p w:rsidR="00091A9A" w:rsidP="005D0F8C" w14:paraId="48AFCE49" w14:textId="1E10B14F">
      <w:pPr>
        <w:pStyle w:val="738"/>
        <w:spacing w:before="360" w:after="0"/>
        <w:rPr>
          <w:rtl/>
        </w:rPr>
      </w:pPr>
      <w:r w:rsidRPr="00C73D30">
        <w:rPr>
          <w:noProof/>
        </w:rPr>
        <w:drawing>
          <wp:anchor distT="0" distB="0" distL="114300" distR="114300" simplePos="0" relativeHeight="251683840" behindDoc="0" locked="0" layoutInCell="1" allowOverlap="1">
            <wp:simplePos x="0" y="0"/>
            <wp:positionH relativeFrom="column">
              <wp:posOffset>436245</wp:posOffset>
            </wp:positionH>
            <wp:positionV relativeFrom="paragraph">
              <wp:posOffset>369570</wp:posOffset>
            </wp:positionV>
            <wp:extent cx="3773805" cy="5338445"/>
            <wp:effectExtent l="0" t="0" r="0" b="0"/>
            <wp:wrapTopAndBottom/>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17"/>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73805" cy="5338445"/>
                    </a:xfrm>
                    <a:prstGeom prst="rect">
                      <a:avLst/>
                    </a:prstGeom>
                  </pic:spPr>
                </pic:pic>
              </a:graphicData>
            </a:graphic>
            <wp14:sizeRelH relativeFrom="page">
              <wp14:pctWidth>0</wp14:pctWidth>
            </wp14:sizeRelH>
            <wp14:sizeRelV relativeFrom="page">
              <wp14:pctHeight>0</wp14:pctHeight>
            </wp14:sizeRelV>
          </wp:anchor>
        </w:drawing>
      </w:r>
    </w:p>
    <w:p w:rsidR="000B31AA" w:rsidP="005D0F8C" w14:paraId="70881590" w14:textId="1568FBB6">
      <w:pPr>
        <w:pStyle w:val="738"/>
        <w:spacing w:before="360" w:after="0"/>
        <w:rPr>
          <w:b/>
          <w:bCs/>
          <w:noProof/>
          <w:color w:val="FFFFFF" w:themeColor="background1"/>
          <w:sz w:val="22"/>
          <w:szCs w:val="22"/>
        </w:rPr>
      </w:pPr>
      <w:r w:rsidRPr="00CD7E5A">
        <w:rPr>
          <w:rtl/>
        </w:rPr>
        <w:t xml:space="preserve">המקור: </w:t>
      </w:r>
      <w:r w:rsidRPr="00CD7E5A">
        <w:rPr>
          <w:rtl/>
        </w:rPr>
        <w:t>נת"ע</w:t>
      </w:r>
      <w:r w:rsidRPr="00CD7E5A">
        <w:rPr>
          <w:rtl/>
        </w:rPr>
        <w:t xml:space="preserve"> - נתיבי תחבורה עירוניים בע"מ</w:t>
      </w:r>
      <w:r>
        <w:rPr>
          <w:rFonts w:hint="cs"/>
          <w:rtl/>
        </w:rPr>
        <w:t>.</w:t>
      </w:r>
    </w:p>
    <w:p w:rsidR="000B31AA" w:rsidRPr="000B31AA" w:rsidP="00662020" w14:paraId="1001632A" w14:textId="778D41EA">
      <w:pPr>
        <w:pStyle w:val="738"/>
        <w:spacing w:before="0" w:after="0"/>
        <w:rPr>
          <w:rtl/>
        </w:rPr>
      </w:pPr>
    </w:p>
    <w:p w:rsidR="000B31AA" w:rsidRPr="003A253B" w:rsidP="000B31AA" w14:paraId="5C1AE375" w14:textId="00DDF82D">
      <w:pPr>
        <w:pStyle w:val="7317"/>
        <w:rPr>
          <w:rtl/>
        </w:rPr>
      </w:pPr>
    </w:p>
    <w:p w:rsidR="000B31AA" w:rsidRPr="00827841" w:rsidP="000B31AA" w14:paraId="0E94D97F" w14:textId="77777777">
      <w:pPr>
        <w:pStyle w:val="7317"/>
        <w:spacing w:before="360" w:after="360"/>
        <w:rPr>
          <w:rtl/>
        </w:rPr>
        <w:sectPr w:rsidSect="00552048">
          <w:footerReference w:type="even" r:id="rId28"/>
          <w:footerReference w:type="default" r:id="rId29"/>
          <w:headerReference w:type="first" r:id="rId30"/>
          <w:footerReference w:type="first" r:id="rId31"/>
          <w:pgSz w:w="11906" w:h="16838" w:code="9"/>
          <w:pgMar w:top="3062" w:right="2268" w:bottom="2552" w:left="2268" w:header="1134" w:footer="1361" w:gutter="0"/>
          <w:pgNumType w:start="1067"/>
          <w:cols w:space="708"/>
          <w:bidi/>
          <w:rtlGutter/>
          <w:docGrid w:linePitch="360"/>
        </w:sectPr>
      </w:pPr>
    </w:p>
    <w:p w:rsidR="005D0F8C" w:rsidP="00520550" w14:paraId="3B41E678" w14:textId="7096B259">
      <w:pPr>
        <w:pStyle w:val="73"/>
        <w:rPr>
          <w:rtl/>
        </w:rPr>
      </w:pPr>
      <w:r w:rsidRPr="00EF3061">
        <w:rPr>
          <w:rFonts w:hint="cs"/>
          <w:rtl/>
        </w:rPr>
        <w:t>סיכום</w:t>
      </w:r>
    </w:p>
    <w:p w:rsidR="00091A9A" w:rsidRPr="00091A9A" w:rsidP="00091A9A" w14:paraId="56D5D642" w14:textId="77777777">
      <w:pPr>
        <w:pStyle w:val="7392"/>
        <w:rPr>
          <w:rtl/>
        </w:rPr>
      </w:pPr>
      <w:r w:rsidRPr="00091A9A">
        <w:rPr>
          <w:rtl/>
        </w:rPr>
        <w:t xml:space="preserve">ישראל נתונה בעיצומו של שדרוג המערכות להסעת המונים באמצעות שילוב קווי </w:t>
      </w:r>
      <w:r w:rsidRPr="00091A9A">
        <w:rPr>
          <w:rtl/>
        </w:rPr>
        <w:t>רק"ל</w:t>
      </w:r>
      <w:r w:rsidRPr="00091A9A">
        <w:rPr>
          <w:rtl/>
        </w:rPr>
        <w:t xml:space="preserve"> </w:t>
      </w:r>
      <w:r w:rsidRPr="00091A9A">
        <w:rPr>
          <w:rtl/>
        </w:rPr>
        <w:t>במטרופולינים</w:t>
      </w:r>
      <w:r w:rsidRPr="00091A9A">
        <w:rPr>
          <w:rtl/>
        </w:rPr>
        <w:t xml:space="preserve"> הגדולים תל אביב וירושלים. </w:t>
      </w:r>
    </w:p>
    <w:p w:rsidR="0056270E" w:rsidP="00091A9A" w14:paraId="43C982FD" w14:textId="17C675B8">
      <w:pPr>
        <w:pStyle w:val="7392"/>
        <w:rPr>
          <w:rtl/>
        </w:rPr>
      </w:pPr>
      <w:r w:rsidRPr="00091A9A">
        <w:rPr>
          <w:rtl/>
        </w:rPr>
        <w:t xml:space="preserve">הביקורת מצאה ליקויים בקידום פרויקט </w:t>
      </w:r>
      <w:r w:rsidRPr="00091A9A">
        <w:rPr>
          <w:rtl/>
        </w:rPr>
        <w:t>הרק"ל</w:t>
      </w:r>
      <w:r w:rsidRPr="00091A9A">
        <w:rPr>
          <w:rtl/>
        </w:rPr>
        <w:t xml:space="preserve"> במטרופולין תל אביב: מועד השלמת הקמת הקו האדום נדחה שש פעמים בחמש שנים בקירוב במצטבר (חמש מתוך שש הדחיות אירעו בשנים 2010 עד 2013 לפני תחילת עיקר עבודות ההקמה שהחלו בשנת 2015) ; פתיחת הקו הסגול נדחתה מ-2025 ל-2026, ופתיחת הקו הירוק נדחתה מ-2025 ל-2027 ועשויה לחול דחייה של שנה נוספת בשני הקווים האלה; בפרויקט הקו האדום בוצעו 12 עדכונים לכל הפחות </w:t>
      </w:r>
      <w:r w:rsidRPr="00091A9A">
        <w:rPr>
          <w:rtl/>
        </w:rPr>
        <w:t>באומדן</w:t>
      </w:r>
      <w:r w:rsidRPr="00091A9A">
        <w:rPr>
          <w:rtl/>
        </w:rPr>
        <w:t xml:space="preserve"> הפרויקט, ולפחות בשמונה מהם עודכנה עלות הפרויקט הכוללת; בעדכון האחרון היה אומדן העלות כ-18.71 מיליארד ש"ח, סכום הגבוה בכ-8 מיליארד ש"ח מאומדן העלות המקורי (75%) ובניכוי השפעת התייקרויות ושינוי </w:t>
      </w:r>
      <w:r w:rsidRPr="00091A9A">
        <w:rPr>
          <w:rtl/>
        </w:rPr>
        <w:t>במע"ם</w:t>
      </w:r>
      <w:r w:rsidRPr="00091A9A">
        <w:rPr>
          <w:rtl/>
        </w:rPr>
        <w:t xml:space="preserve"> גבוה בכ-7.5 מיליארד ש"ח (כ-70%)</w:t>
      </w:r>
      <w:r>
        <w:rPr>
          <w:vertAlign w:val="superscript"/>
          <w:rtl/>
        </w:rPr>
        <w:footnoteReference w:id="2"/>
      </w:r>
      <w:r w:rsidRPr="00091A9A">
        <w:rPr>
          <w:vertAlign w:val="superscript"/>
          <w:rtl/>
        </w:rPr>
        <w:t>;</w:t>
      </w:r>
      <w:r w:rsidRPr="00091A9A">
        <w:rPr>
          <w:rtl/>
        </w:rPr>
        <w:t xml:space="preserve"> בקווים הירוק והסגול נעשו שינויים רבים בהיקף של מאות מיליוני ש"ח הן </w:t>
      </w:r>
      <w:r w:rsidRPr="00091A9A">
        <w:rPr>
          <w:rtl/>
        </w:rPr>
        <w:t>באומדן</w:t>
      </w:r>
      <w:r w:rsidRPr="00091A9A">
        <w:rPr>
          <w:rtl/>
        </w:rPr>
        <w:t xml:space="preserve"> הכולל והן בסעיפים התקציביים העיקריים של הפרויקט; חלק מהשינויים אינם מתועדים ולא דווחו למשרדי התחבורה והאוצר</w:t>
      </w:r>
      <w:r w:rsidRPr="00091A9A">
        <w:t xml:space="preserve"> ;</w:t>
      </w:r>
      <w:r w:rsidRPr="00091A9A">
        <w:rPr>
          <w:rtl/>
        </w:rPr>
        <w:t xml:space="preserve">נמצאו הבדלים בשיעור ההשתתפות של </w:t>
      </w:r>
      <w:r w:rsidRPr="00091A9A">
        <w:rPr>
          <w:rtl/>
        </w:rPr>
        <w:t>נת"ע</w:t>
      </w:r>
      <w:r w:rsidRPr="00091A9A">
        <w:rPr>
          <w:rtl/>
        </w:rPr>
        <w:t xml:space="preserve"> במימון העתקת תשתיות ובפיתוח הסביבתי ברשויות השונות; נמצאו הבדלים בכלים לסיוע לעסקים הסמוכים למקטעים התת-קרקעיים ברשויות מקומיות שונות; אין הסכמי אמנת שירות בין חברות התשתיות לבין </w:t>
      </w:r>
      <w:r w:rsidRPr="00091A9A">
        <w:rPr>
          <w:rtl/>
        </w:rPr>
        <w:t>נת"ע</w:t>
      </w:r>
      <w:r w:rsidRPr="00091A9A">
        <w:rPr>
          <w:rtl/>
        </w:rPr>
        <w:t xml:space="preserve">. בחינת </w:t>
      </w:r>
      <w:r w:rsidRPr="00091A9A">
        <w:rPr>
          <w:rtl/>
        </w:rPr>
        <w:t>אומדני</w:t>
      </w:r>
      <w:r w:rsidRPr="00091A9A">
        <w:rPr>
          <w:rtl/>
        </w:rPr>
        <w:t xml:space="preserve"> העלות של הקווים הירוק, האדום והסגול מול מספרי השוואה בין-לאומיים מעלה כי עלות הקמה של פרויקט </w:t>
      </w:r>
      <w:r w:rsidRPr="00091A9A">
        <w:rPr>
          <w:rtl/>
        </w:rPr>
        <w:t>רק"ל</w:t>
      </w:r>
      <w:r w:rsidRPr="00091A9A">
        <w:rPr>
          <w:rtl/>
        </w:rPr>
        <w:t xml:space="preserve"> עילי בישראל גבוהה מעלות הקמתו במדינות אחרות, ועלות הקמת </w:t>
      </w:r>
      <w:r w:rsidRPr="00091A9A">
        <w:rPr>
          <w:rtl/>
        </w:rPr>
        <w:t>פרויקטי</w:t>
      </w:r>
      <w:r w:rsidRPr="00091A9A">
        <w:rPr>
          <w:rtl/>
        </w:rPr>
        <w:t xml:space="preserve"> </w:t>
      </w:r>
      <w:r w:rsidRPr="00091A9A">
        <w:rPr>
          <w:rtl/>
        </w:rPr>
        <w:t>רק"ל</w:t>
      </w:r>
      <w:r w:rsidRPr="00091A9A">
        <w:rPr>
          <w:rtl/>
        </w:rPr>
        <w:t xml:space="preserve"> מורכבים יותר, שבהם מרכיב תת-קרקעי גדול, דומה יותר לעלות הקמתם במדינות אחרות. תיקון הליקויים שהועלו בדוח זה עשוי לשפר את איכות החיים של משתמשי התחבורה הציבורית במטרופולין תל אביב, לצמצם את הקשיים שחווים תושבי המטרופולין בתוואי הקווים בשלב ההקמה ולחסוך עלויות גבוהות למשק. מומלץ שמשרדי התחבורה והאוצר יקיימו תהליכי הפקת לקחים מהחלקים שבוצעו </w:t>
      </w:r>
      <w:r w:rsidRPr="00091A9A">
        <w:rPr>
          <w:rtl/>
        </w:rPr>
        <w:t>בפרוייקט</w:t>
      </w:r>
      <w:r w:rsidRPr="00091A9A">
        <w:rPr>
          <w:rtl/>
        </w:rPr>
        <w:t xml:space="preserve"> </w:t>
      </w:r>
      <w:r w:rsidRPr="00091A9A">
        <w:rPr>
          <w:rtl/>
        </w:rPr>
        <w:t>הרק"ל</w:t>
      </w:r>
      <w:r w:rsidRPr="00091A9A">
        <w:rPr>
          <w:rtl/>
        </w:rPr>
        <w:t xml:space="preserve"> ויישמו אותם בחלקים המתוכננים של </w:t>
      </w:r>
      <w:r w:rsidRPr="00091A9A">
        <w:rPr>
          <w:rtl/>
        </w:rPr>
        <w:t>הרק"ל</w:t>
      </w:r>
      <w:r w:rsidRPr="00091A9A">
        <w:rPr>
          <w:rtl/>
        </w:rPr>
        <w:t xml:space="preserve"> ובפרויקטים עתידיים להסעת המונים כגון המטרו. עוד מומלץ כי בעת הבאת פרויקטים תחבורתיים לאישור הממשלה או לאישור שינויים תקציביים בפרויקטים מסוג זה משרדי התחבורה והאוצר יציגו הפקת לקחים מפרויקטים דומים</w:t>
      </w:r>
      <w:r w:rsidRPr="00091A9A" w:rsidR="005D0F8C">
        <w:rPr>
          <w:rtl/>
        </w:rPr>
        <w:t>.</w:t>
      </w:r>
    </w:p>
    <w:sectPr w:rsidSect="00253C88">
      <w:headerReference w:type="even" r:id="rId32"/>
      <w:footerReference w:type="even" r:id="rId33"/>
      <w:pgSz w:w="11906" w:h="16838" w:code="9"/>
      <w:pgMar w:top="3062" w:right="2268" w:bottom="2552" w:left="2268" w:header="1134" w:footer="1361" w:gutter="0"/>
      <w:pgNumType w:start="107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423FE" w14:paraId="4AEF3A14" w14:textId="77777777">
      <w:pPr>
        <w:spacing w:line="240" w:lineRule="auto"/>
      </w:pPr>
      <w:r>
        <w:separator/>
      </w:r>
    </w:p>
    <w:p w:rsidR="008423FE" w14:paraId="5693EC74" w14:textId="77777777"/>
    <w:p w:rsidR="008423FE" w14:paraId="03E2FA28" w14:textId="77777777"/>
    <w:p w:rsidR="008423FE" w14:paraId="35A3861B" w14:textId="77777777"/>
  </w:endnote>
  <w:endnote w:type="continuationSeparator" w:id="1">
    <w:p w:rsidR="008423FE" w14:paraId="42DE4162" w14:textId="77777777">
      <w:pPr>
        <w:spacing w:line="240" w:lineRule="auto"/>
      </w:pPr>
      <w:r>
        <w:continuationSeparator/>
      </w:r>
    </w:p>
    <w:p w:rsidR="008423FE" w14:paraId="637F2551" w14:textId="77777777"/>
    <w:p w:rsidR="008423FE" w14:paraId="1FC770AA" w14:textId="77777777"/>
    <w:p w:rsidR="008423FE" w14:paraId="4139F4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B06" w14:paraId="37211F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B06" w14:paraId="76ECCE0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337C4E" w14:paraId="0591AE04" w14:textId="77777777">
    <w:pPr>
      <w:pStyle w:val="Footer"/>
      <w:spacing w:after="120" w:line="312" w:lineRule="auto"/>
      <w:ind w:left="-510"/>
      <w:jc w:val="left"/>
      <w:rPr>
        <w:rFonts w:ascii="Tahoma" w:hAnsi="Tahoma" w:cs="Tahoma"/>
        <w:sz w:val="18"/>
        <w:szCs w:val="18"/>
        <w:rtl/>
      </w:rPr>
    </w:pPr>
  </w:p>
  <w:p w:rsidR="000B31AA" w:rsidP="00024391" w14:paraId="40CD8FF7"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0B31AA" w:rsidRPr="00F94EB4" w:rsidP="00337C4E" w14:paraId="2918DFA2"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024391" w14:paraId="78833D8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B31AA" w:rsidP="00851F62" w14:paraId="5DDC5735"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D15500" w14:paraId="7EF16D20"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080" w:rsidP="00691080" w14:paraId="5D212B85" w14:textId="77777777">
    <w:pPr>
      <w:pStyle w:val="Footer"/>
      <w:spacing w:after="120" w:line="312" w:lineRule="auto"/>
      <w:ind w:left="-510"/>
      <w:jc w:val="left"/>
      <w:rPr>
        <w:rFonts w:ascii="Tahoma" w:hAnsi="Tahoma" w:cs="Tahoma"/>
        <w:sz w:val="18"/>
        <w:szCs w:val="18"/>
        <w:rtl/>
      </w:rPr>
    </w:pPr>
  </w:p>
  <w:p w:rsidR="00691080" w:rsidP="00691080" w14:paraId="5C8F6CB3"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691080" w:rsidP="00691080"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23FE" w:rsidP="00E7235E" w14:paraId="05186169" w14:textId="77777777">
      <w:pPr>
        <w:spacing w:line="240" w:lineRule="auto"/>
      </w:pPr>
      <w:r>
        <w:separator/>
      </w:r>
    </w:p>
  </w:footnote>
  <w:footnote w:type="continuationSeparator" w:id="1">
    <w:p w:rsidR="008423FE" w:rsidP="00C23CC9" w14:paraId="0E7D015D" w14:textId="77777777">
      <w:pPr>
        <w:spacing w:line="240" w:lineRule="auto"/>
      </w:pPr>
      <w:r>
        <w:continuationSeparator/>
      </w:r>
    </w:p>
    <w:p w:rsidR="008423FE" w14:paraId="6CAA0D99" w14:textId="77777777"/>
    <w:p w:rsidR="008423FE" w14:paraId="52D884FE" w14:textId="77777777"/>
    <w:p w:rsidR="008423FE" w14:paraId="5772D904" w14:textId="77777777"/>
  </w:footnote>
  <w:footnote w:id="2">
    <w:p w:rsidR="00091A9A" w:rsidRPr="00C73D30" w:rsidP="00102E25" w14:paraId="094313E5" w14:textId="77777777">
      <w:pPr>
        <w:pStyle w:val="733"/>
        <w:rPr>
          <w:rtl/>
        </w:rPr>
      </w:pPr>
      <w:r w:rsidRPr="0063661C">
        <w:footnoteRef/>
      </w:r>
      <w:r w:rsidRPr="0063661C">
        <w:rPr>
          <w:rtl/>
        </w:rPr>
        <w:t xml:space="preserve"> </w:t>
      </w:r>
      <w:r w:rsidRPr="00C73D30">
        <w:rPr>
          <w:rtl/>
        </w:rPr>
        <w:tab/>
        <w:t>הצמדות והפרשי שער בפרויקט הסתכמו ב-0.671 מיליארד ש"ח בקירוב וירידה במע"מ מ-18% ל-17% בשנת 2016 הסתכמה בכ-0.128 מיליארד ש"ח. אומדן העלות בניכוי השפעת התייקרויות ומע"מ גדל בכ-7.5 מיליארד ש"ח (כ-70%)</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22D5825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16A6F" w:rsidR="00016A6F">
                            <w:rPr>
                              <w:rFonts w:ascii="Tahoma" w:hAnsi="Tahoma" w:cs="Tahoma"/>
                              <w:b/>
                              <w:bCs/>
                              <w:rtl/>
                            </w:rPr>
                            <w:t>התקדמות פרויקט הרכבת הקלה בגוש דן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22D5825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16A6F" w:rsidR="00016A6F">
                      <w:rPr>
                        <w:rFonts w:ascii="Tahoma" w:hAnsi="Tahoma" w:cs="Tahoma"/>
                        <w:b/>
                        <w:bCs/>
                        <w:rtl/>
                      </w:rPr>
                      <w:t>התקדמות פרויקט הרכבת הקלה בגוש דן</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08F3DAC3">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8C5637" w:rsidR="008C5637">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3" type="#_x0000_t202" style="width:351.16pt;height:23.27pt;margin-top:27.7pt;margin-left:21.41pt;mso-height-percent:0;mso-height-relative:margin;mso-width-percent:0;mso-width-relative:margin;mso-wrap-distance-bottom:3.6pt;mso-wrap-distance-left:9pt;mso-wrap-distance-right:9pt;mso-wrap-distance-top:3.6pt;position:absolute;v-text-anchor:top;z-index:251658240" fillcolor="white" stroked="t" strokecolor="white" strokeweight="0.75pt">
              <v:textbox>
                <w:txbxContent>
                  <w:p w:rsidR="00F73EE0" w:rsidRPr="00136A3E" w:rsidP="00B244B0" w14:paraId="1CF273F4" w14:textId="08F3DAC3">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8C5637" w:rsidR="008C5637">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3D2974D7">
                          <w:pPr>
                            <w:pStyle w:val="Heading1"/>
                            <w:spacing w:line="269" w:lineRule="auto"/>
                            <w:jc w:val="left"/>
                            <w:rPr>
                              <w:rFonts w:ascii="Tahoma" w:hAnsi="Tahoma" w:eastAsiaTheme="minorHAnsi" w:cs="Tahoma"/>
                              <w:bCs w:val="0"/>
                              <w:color w:val="0D0D0D" w:themeColor="text1" w:themeTint="F2"/>
                              <w:sz w:val="16"/>
                              <w:szCs w:val="16"/>
                              <w:u w:val="none"/>
                            </w:rPr>
                          </w:pPr>
                          <w:r w:rsidRPr="00016A6F">
                            <w:rPr>
                              <w:rFonts w:ascii="Tahoma" w:hAnsi="Tahoma" w:eastAsiaTheme="minorHAnsi" w:cs="Tahoma"/>
                              <w:bCs w:val="0"/>
                              <w:color w:val="0D0D0D" w:themeColor="text1" w:themeTint="F2"/>
                              <w:sz w:val="16"/>
                              <w:szCs w:val="16"/>
                              <w:u w:val="none"/>
                              <w:rtl/>
                            </w:rPr>
                            <w:t>התקדמות פרויקט הרכבת הקלה בגוש דן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3D2974D7">
                    <w:pPr>
                      <w:pStyle w:val="Heading1"/>
                      <w:spacing w:line="269" w:lineRule="auto"/>
                      <w:jc w:val="left"/>
                      <w:rPr>
                        <w:rFonts w:ascii="Tahoma" w:hAnsi="Tahoma" w:eastAsiaTheme="minorHAnsi" w:cs="Tahoma"/>
                        <w:bCs w:val="0"/>
                        <w:color w:val="0D0D0D" w:themeColor="text1" w:themeTint="F2"/>
                        <w:sz w:val="16"/>
                        <w:szCs w:val="16"/>
                        <w:u w:val="none"/>
                      </w:rPr>
                    </w:pPr>
                    <w:r w:rsidRPr="00016A6F">
                      <w:rPr>
                        <w:rFonts w:ascii="Tahoma" w:hAnsi="Tahoma" w:eastAsiaTheme="minorHAnsi" w:cs="Tahoma"/>
                        <w:bCs w:val="0"/>
                        <w:color w:val="0D0D0D" w:themeColor="text1" w:themeTint="F2"/>
                        <w:sz w:val="16"/>
                        <w:szCs w:val="16"/>
                        <w:u w:val="none"/>
                        <w:rtl/>
                      </w:rPr>
                      <w:t>התקדמות פרויקט הרכבת הקלה בגוש דן</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5B4811" w14:paraId="5009AC3C"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81792"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79744"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0B31A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stroked="f">
              <v:textbox>
                <w:txbxContent>
                  <w:p w:rsidR="000B31AA" w:rsidRPr="005B4811" w:rsidP="005B4811" w14:paraId="620D61BD"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77696"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0B31A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78720" stroked="f">
              <v:textbox style="mso-fit-shape-to-text:t">
                <w:txbxContent>
                  <w:p w:rsidR="000B31AA" w:rsidRPr="005B4811" w:rsidP="005B4811" w14:paraId="556FBA7E"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82816"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080" w:rsidP="00691080" w14:paraId="214FF6D9"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5277095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91080" w:rsidRPr="00FD02CC" w:rsidP="00691080"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691080" w:rsidRPr="00FD02CC" w:rsidP="00691080" w14:paraId="015F3181"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691080" w:rsidP="00691080" w14:paraId="13BDB40F" w14:textId="77777777">
    <w:pPr>
      <w:pStyle w:val="Header"/>
      <w:ind w:firstLine="720"/>
      <w:rPr>
        <w:rtl/>
      </w:rPr>
    </w:pPr>
  </w:p>
  <w:p w:rsidR="00691080" w:rsidP="00691080" w14:paraId="6FB15307" w14:textId="77777777">
    <w:pPr>
      <w:pStyle w:val="Header"/>
      <w:rPr>
        <w:rtl/>
      </w:rPr>
    </w:pPr>
  </w:p>
  <w:p w:rsidR="00691080" w:rsidP="00691080" w14:paraId="00CB1A80"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20527709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691080" w:rsidRPr="003D62C4" w:rsidP="00691080"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016A6F">
                            <w:rPr>
                              <w:rFonts w:ascii="Tahoma" w:hAnsi="Tahoma" w:eastAsiaTheme="minorHAnsi" w:cs="Tahoma"/>
                              <w:bCs w:val="0"/>
                              <w:color w:val="0D0D0D" w:themeColor="text1" w:themeTint="F2"/>
                              <w:sz w:val="16"/>
                              <w:szCs w:val="16"/>
                              <w:u w:val="none"/>
                              <w:rtl/>
                            </w:rPr>
                            <w:t>התקדמות פרויקט הרכבת הקלה בגוש דן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86912" stroked="f">
              <v:textbox style="mso-fit-shape-to-text:t">
                <w:txbxContent>
                  <w:p w:rsidR="00691080" w:rsidRPr="003D62C4" w:rsidP="00691080" w14:paraId="3BFAD87D"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016A6F">
                      <w:rPr>
                        <w:rFonts w:ascii="Tahoma" w:hAnsi="Tahoma" w:eastAsiaTheme="minorHAnsi" w:cs="Tahoma"/>
                        <w:bCs w:val="0"/>
                        <w:color w:val="0D0D0D" w:themeColor="text1" w:themeTint="F2"/>
                        <w:sz w:val="16"/>
                        <w:szCs w:val="16"/>
                        <w:u w:val="none"/>
                        <w:rtl/>
                      </w:rPr>
                      <w:t>התקדמות פרויקט הרכבת הקלה בגוש דן</w:t>
                    </w:r>
                  </w:p>
                </w:txbxContent>
              </v:textbox>
              <w10:wrap type="square"/>
            </v:shape>
          </w:pict>
        </mc:Fallback>
      </mc:AlternateContent>
    </w:r>
  </w:p>
  <w:p w:rsidR="00691080" w:rsidP="00691080" w14:paraId="0AC443CB" w14:textId="77777777">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095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4"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052770953"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p w:rsidR="008B694B" w:rsidRPr="00691080" w:rsidP="00691080" w14:paraId="4E47EA6D" w14:textId="324E80B4">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25.5pt;height:25pt" o:bullet="t">
        <v:imagedata r:id="rId2" o:title="hand"/>
      </v:shape>
    </w:pict>
  </w:numPicBullet>
  <w:abstractNum w:abstractNumId="0">
    <w:nsid w:val="FFFFFF7C"/>
    <w:multiLevelType w:val="singleLevel"/>
    <w:tmpl w:val="77B4BAB6"/>
    <w:lvl w:ilvl="0">
      <w:start w:val="1"/>
      <w:numFmt w:val="decimal"/>
      <w:lvlText w:val="%1."/>
      <w:lvlJc w:val="left"/>
      <w:pPr>
        <w:tabs>
          <w:tab w:val="num" w:pos="1492"/>
        </w:tabs>
        <w:ind w:left="1492" w:hanging="360"/>
      </w:pPr>
    </w:lvl>
  </w:abstractNum>
  <w:abstractNum w:abstractNumId="1">
    <w:nsid w:val="FFFFFF7D"/>
    <w:multiLevelType w:val="singleLevel"/>
    <w:tmpl w:val="64F2259E"/>
    <w:lvl w:ilvl="0">
      <w:start w:val="1"/>
      <w:numFmt w:val="decimal"/>
      <w:lvlText w:val="%1."/>
      <w:lvlJc w:val="left"/>
      <w:pPr>
        <w:tabs>
          <w:tab w:val="num" w:pos="1209"/>
        </w:tabs>
        <w:ind w:left="1209" w:hanging="360"/>
      </w:pPr>
    </w:lvl>
  </w:abstractNum>
  <w:abstractNum w:abstractNumId="2">
    <w:nsid w:val="FFFFFF7F"/>
    <w:multiLevelType w:val="singleLevel"/>
    <w:tmpl w:val="A0B007A0"/>
    <w:lvl w:ilvl="0">
      <w:start w:val="1"/>
      <w:numFmt w:val="decimal"/>
      <w:lvlText w:val="%1."/>
      <w:lvlJc w:val="left"/>
      <w:pPr>
        <w:tabs>
          <w:tab w:val="num" w:pos="643"/>
        </w:tabs>
        <w:ind w:left="643" w:hanging="360"/>
      </w:pPr>
    </w:lvl>
  </w:abstractNum>
  <w:abstractNum w:abstractNumId="3">
    <w:nsid w:val="FFFFFF80"/>
    <w:multiLevelType w:val="singleLevel"/>
    <w:tmpl w:val="B18A76C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CEA6FF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F4CA15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8D987B7C"/>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A4165DA8"/>
    <w:lvl w:ilvl="0">
      <w:start w:val="1"/>
      <w:numFmt w:val="bullet"/>
      <w:lvlText w:val=""/>
      <w:lvlJc w:val="left"/>
      <w:pPr>
        <w:tabs>
          <w:tab w:val="num" w:pos="360"/>
        </w:tabs>
        <w:ind w:left="360" w:hanging="360"/>
      </w:pPr>
      <w:rPr>
        <w:rFonts w:ascii="Symbol" w:hAnsi="Symbol" w:hint="default"/>
      </w:rPr>
    </w:lvl>
  </w:abstractNum>
  <w:abstractNum w:abstractNumId="8">
    <w:nsid w:val="045D05E1"/>
    <w:multiLevelType w:val="hybridMultilevel"/>
    <w:tmpl w:val="51EE89D0"/>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960565F"/>
    <w:multiLevelType w:val="hybridMultilevel"/>
    <w:tmpl w:val="87484B94"/>
    <w:lvl w:ilvl="0">
      <w:start w:val="2"/>
      <w:numFmt w:val="decimal"/>
      <w:lvlText w:val="%1."/>
      <w:lvlJc w:val="left"/>
      <w:pPr>
        <w:ind w:left="357" w:hanging="35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074133"/>
    <w:multiLevelType w:val="hybridMultilevel"/>
    <w:tmpl w:val="ED4C3644"/>
    <w:lvl w:ilvl="0">
      <w:start w:val="1"/>
      <w:numFmt w:val="bullet"/>
      <w:lvlText w:val=""/>
      <w:lvlPicBulletId w:val="0"/>
      <w:lvlJc w:val="left"/>
      <w:pPr>
        <w:ind w:left="760" w:hanging="403"/>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B16139F"/>
    <w:multiLevelType w:val="hybridMultilevel"/>
    <w:tmpl w:val="D06C34BA"/>
    <w:lvl w:ilvl="0">
      <w:start w:val="1"/>
      <w:numFmt w:val="bullet"/>
      <w:lvlText w:val=""/>
      <w:lvlPicBulletId w:val="0"/>
      <w:lvlJc w:val="left"/>
      <w:pPr>
        <w:ind w:left="360"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BD00CAA"/>
    <w:multiLevelType w:val="hybridMultilevel"/>
    <w:tmpl w:val="0010C9CA"/>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nsid w:val="384C722B"/>
    <w:multiLevelType w:val="hybridMultilevel"/>
    <w:tmpl w:val="B792FB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9121CF7"/>
    <w:multiLevelType w:val="hybridMultilevel"/>
    <w:tmpl w:val="7B68C6E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9B56D91"/>
    <w:multiLevelType w:val="hybridMultilevel"/>
    <w:tmpl w:val="B92C7A56"/>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E256C8"/>
    <w:multiLevelType w:val="hybridMultilevel"/>
    <w:tmpl w:val="F17E286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nsid w:val="5F7B478C"/>
    <w:multiLevelType w:val="hybridMultilevel"/>
    <w:tmpl w:val="A62EE212"/>
    <w:lvl w:ilvl="0">
      <w:start w:val="1"/>
      <w:numFmt w:val="bullet"/>
      <w:lvlText w:val=""/>
      <w:lvlPicBulletId w:val="1"/>
      <w:lvlJc w:val="left"/>
      <w:pPr>
        <w:ind w:left="644"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56B7AE0"/>
    <w:multiLevelType w:val="hybridMultilevel"/>
    <w:tmpl w:val="86C25A06"/>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1D2042"/>
    <w:multiLevelType w:val="hybridMultilevel"/>
    <w:tmpl w:val="80F6BF9C"/>
    <w:lvl w:ilvl="0">
      <w:start w:val="1"/>
      <w:numFmt w:val="bullet"/>
      <w:lvlText w:val=""/>
      <w:lvlJc w:val="left"/>
      <w:pPr>
        <w:ind w:left="360" w:hanging="360"/>
      </w:pPr>
      <w:rPr>
        <w:rFonts w:ascii="Symbol" w:hAnsi="Symbol" w:hint="default"/>
        <w:b/>
        <w:i w:val="0"/>
        <w:caps w:val="0"/>
        <w:strike w:val="0"/>
        <w:dstrike w:val="0"/>
        <w:vanish w:val="0"/>
        <w:color w:val="C0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0">
    <w:nsid w:val="7E3D32FE"/>
    <w:multiLevelType w:val="hybridMultilevel"/>
    <w:tmpl w:val="9F589D02"/>
    <w:lvl w:ilvl="0">
      <w:start w:val="1"/>
      <w:numFmt w:val="decimal"/>
      <w:lvlText w:val="%1."/>
      <w:lvlJc w:val="left"/>
      <w:pPr>
        <w:ind w:left="357" w:hanging="35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20"/>
  </w:num>
  <w:num w:numId="3">
    <w:abstractNumId w:val="24"/>
  </w:num>
  <w:num w:numId="4">
    <w:abstractNumId w:val="16"/>
  </w:num>
  <w:num w:numId="5">
    <w:abstractNumId w:val="19"/>
  </w:num>
  <w:num w:numId="6">
    <w:abstractNumId w:val="29"/>
  </w:num>
  <w:num w:numId="7">
    <w:abstractNumId w:val="9"/>
  </w:num>
  <w:num w:numId="8">
    <w:abstractNumId w:val="21"/>
  </w:num>
  <w:num w:numId="9">
    <w:abstractNumId w:val="25"/>
  </w:num>
  <w:num w:numId="10">
    <w:abstractNumId w:val="11"/>
  </w:num>
  <w:num w:numId="11">
    <w:abstractNumId w:val="12"/>
  </w:num>
  <w:num w:numId="12">
    <w:abstractNumId w:val="14"/>
  </w:num>
  <w:num w:numId="13">
    <w:abstractNumId w:val="26"/>
  </w:num>
  <w:num w:numId="14">
    <w:abstractNumId w:val="28"/>
  </w:num>
  <w:num w:numId="15">
    <w:abstractNumId w:val="18"/>
  </w:num>
  <w:num w:numId="16">
    <w:abstractNumId w:val="17"/>
  </w:num>
  <w:num w:numId="17">
    <w:abstractNumId w:val="27"/>
  </w:num>
  <w:num w:numId="18">
    <w:abstractNumId w:val="23"/>
  </w:num>
  <w:num w:numId="19">
    <w:abstractNumId w:val="30"/>
  </w:num>
  <w:num w:numId="20">
    <w:abstractNumId w:val="10"/>
  </w:num>
  <w:num w:numId="21">
    <w:abstractNumId w:val="22"/>
  </w:num>
  <w:num w:numId="22">
    <w:abstractNumId w:val="8"/>
  </w:num>
  <w:num w:numId="23">
    <w:abstractNumId w:val="15"/>
  </w:num>
  <w:num w:numId="24">
    <w:abstractNumId w:val="3"/>
  </w:num>
  <w:num w:numId="25">
    <w:abstractNumId w:val="4"/>
  </w:num>
  <w:num w:numId="26">
    <w:abstractNumId w:val="5"/>
  </w:num>
  <w:num w:numId="27">
    <w:abstractNumId w:val="6"/>
  </w:num>
  <w:num w:numId="28">
    <w:abstractNumId w:val="7"/>
  </w:num>
  <w:num w:numId="29">
    <w:abstractNumId w:val="0"/>
  </w:num>
  <w:num w:numId="30">
    <w:abstractNumId w:val="1"/>
  </w:num>
  <w:num w:numId="3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1"/>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0F43"/>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6A6F"/>
    <w:rsid w:val="0001735B"/>
    <w:rsid w:val="00020441"/>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8E"/>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8A3"/>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538"/>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2B11"/>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1A9A"/>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0ADE"/>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0D5C"/>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7E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3663"/>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2E25"/>
    <w:rsid w:val="0010413A"/>
    <w:rsid w:val="00104FBC"/>
    <w:rsid w:val="00105970"/>
    <w:rsid w:val="00106A59"/>
    <w:rsid w:val="00107175"/>
    <w:rsid w:val="0010747A"/>
    <w:rsid w:val="00107A35"/>
    <w:rsid w:val="00107D4A"/>
    <w:rsid w:val="0011021D"/>
    <w:rsid w:val="00111411"/>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FCD"/>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6FF8"/>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EB"/>
    <w:rsid w:val="001643E4"/>
    <w:rsid w:val="00164534"/>
    <w:rsid w:val="001648F4"/>
    <w:rsid w:val="00164B64"/>
    <w:rsid w:val="00164C99"/>
    <w:rsid w:val="00165294"/>
    <w:rsid w:val="00166364"/>
    <w:rsid w:val="00166477"/>
    <w:rsid w:val="00166722"/>
    <w:rsid w:val="0016692C"/>
    <w:rsid w:val="00166D27"/>
    <w:rsid w:val="001672B6"/>
    <w:rsid w:val="001674FF"/>
    <w:rsid w:val="001675AA"/>
    <w:rsid w:val="00167D07"/>
    <w:rsid w:val="00170230"/>
    <w:rsid w:val="00170320"/>
    <w:rsid w:val="00170625"/>
    <w:rsid w:val="0017091D"/>
    <w:rsid w:val="00170DB5"/>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919"/>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752"/>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A25"/>
    <w:rsid w:val="001B5DFF"/>
    <w:rsid w:val="001B65B8"/>
    <w:rsid w:val="001B6F86"/>
    <w:rsid w:val="001B70CA"/>
    <w:rsid w:val="001B75F0"/>
    <w:rsid w:val="001C00D8"/>
    <w:rsid w:val="001C057E"/>
    <w:rsid w:val="001C1B42"/>
    <w:rsid w:val="001C231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E15"/>
    <w:rsid w:val="001C6FC8"/>
    <w:rsid w:val="001C72B2"/>
    <w:rsid w:val="001D0073"/>
    <w:rsid w:val="001D0955"/>
    <w:rsid w:val="001D1192"/>
    <w:rsid w:val="001D223A"/>
    <w:rsid w:val="001D2243"/>
    <w:rsid w:val="001D2793"/>
    <w:rsid w:val="001D2F2A"/>
    <w:rsid w:val="001D3679"/>
    <w:rsid w:val="001D3912"/>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350"/>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4A"/>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3915"/>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3C8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45A"/>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C51"/>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503"/>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4D8"/>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084D"/>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C98"/>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7C2"/>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2AB"/>
    <w:rsid w:val="003D3533"/>
    <w:rsid w:val="003D3F08"/>
    <w:rsid w:val="003D415E"/>
    <w:rsid w:val="003D4194"/>
    <w:rsid w:val="003D43B8"/>
    <w:rsid w:val="003D5549"/>
    <w:rsid w:val="003D590C"/>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4AF8"/>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4F02"/>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2F41"/>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B55"/>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35B"/>
    <w:rsid w:val="004E776C"/>
    <w:rsid w:val="004E7906"/>
    <w:rsid w:val="004E7A25"/>
    <w:rsid w:val="004E7F0D"/>
    <w:rsid w:val="004F01B0"/>
    <w:rsid w:val="004F05C6"/>
    <w:rsid w:val="004F1244"/>
    <w:rsid w:val="004F17C3"/>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BE9"/>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4F6"/>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36D"/>
    <w:rsid w:val="00550A92"/>
    <w:rsid w:val="00550BA0"/>
    <w:rsid w:val="00550E94"/>
    <w:rsid w:val="005511EC"/>
    <w:rsid w:val="00551544"/>
    <w:rsid w:val="00551B42"/>
    <w:rsid w:val="00551DB7"/>
    <w:rsid w:val="00552048"/>
    <w:rsid w:val="00553469"/>
    <w:rsid w:val="00553B66"/>
    <w:rsid w:val="00553BCE"/>
    <w:rsid w:val="0055459A"/>
    <w:rsid w:val="00554A8A"/>
    <w:rsid w:val="00554AAD"/>
    <w:rsid w:val="0055501F"/>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6A68"/>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347"/>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62"/>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B9"/>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44"/>
    <w:rsid w:val="005D5DA2"/>
    <w:rsid w:val="005D5EAC"/>
    <w:rsid w:val="005D66B0"/>
    <w:rsid w:val="005D6BA1"/>
    <w:rsid w:val="005D6C63"/>
    <w:rsid w:val="005D6E99"/>
    <w:rsid w:val="005D7598"/>
    <w:rsid w:val="005E009F"/>
    <w:rsid w:val="005E0C21"/>
    <w:rsid w:val="005E0C8C"/>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A2F"/>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61C"/>
    <w:rsid w:val="00636D65"/>
    <w:rsid w:val="00636EAC"/>
    <w:rsid w:val="006370A1"/>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C32"/>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4C36"/>
    <w:rsid w:val="006659DD"/>
    <w:rsid w:val="00665B84"/>
    <w:rsid w:val="006662AD"/>
    <w:rsid w:val="006668CA"/>
    <w:rsid w:val="00666E99"/>
    <w:rsid w:val="0066760C"/>
    <w:rsid w:val="00667ABB"/>
    <w:rsid w:val="006708C9"/>
    <w:rsid w:val="00670B88"/>
    <w:rsid w:val="00670E84"/>
    <w:rsid w:val="0067240D"/>
    <w:rsid w:val="006726E0"/>
    <w:rsid w:val="00672D11"/>
    <w:rsid w:val="006742C5"/>
    <w:rsid w:val="00674A96"/>
    <w:rsid w:val="00674D18"/>
    <w:rsid w:val="006750F1"/>
    <w:rsid w:val="00675A81"/>
    <w:rsid w:val="00675D56"/>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7D4"/>
    <w:rsid w:val="00686E12"/>
    <w:rsid w:val="0069093D"/>
    <w:rsid w:val="00690E56"/>
    <w:rsid w:val="00691080"/>
    <w:rsid w:val="00691B4D"/>
    <w:rsid w:val="00692151"/>
    <w:rsid w:val="0069225F"/>
    <w:rsid w:val="006923B1"/>
    <w:rsid w:val="0069249C"/>
    <w:rsid w:val="00692613"/>
    <w:rsid w:val="00692D8D"/>
    <w:rsid w:val="0069335D"/>
    <w:rsid w:val="00693EE2"/>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10"/>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0488"/>
    <w:rsid w:val="006F10E1"/>
    <w:rsid w:val="006F11DD"/>
    <w:rsid w:val="006F161B"/>
    <w:rsid w:val="006F19AA"/>
    <w:rsid w:val="006F19AB"/>
    <w:rsid w:val="006F26FB"/>
    <w:rsid w:val="006F281D"/>
    <w:rsid w:val="006F285F"/>
    <w:rsid w:val="006F2A71"/>
    <w:rsid w:val="006F3142"/>
    <w:rsid w:val="006F347B"/>
    <w:rsid w:val="006F3536"/>
    <w:rsid w:val="006F364D"/>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584A"/>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015"/>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089"/>
    <w:rsid w:val="007452B3"/>
    <w:rsid w:val="007467DE"/>
    <w:rsid w:val="0074683C"/>
    <w:rsid w:val="00746F21"/>
    <w:rsid w:val="00746F99"/>
    <w:rsid w:val="0074714A"/>
    <w:rsid w:val="007474F0"/>
    <w:rsid w:val="007477A9"/>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77DCF"/>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1F8D"/>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3F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1D"/>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AFD"/>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42"/>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2A0"/>
    <w:rsid w:val="00825A14"/>
    <w:rsid w:val="00825A1B"/>
    <w:rsid w:val="00825AAA"/>
    <w:rsid w:val="00827841"/>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3FE"/>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765"/>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637"/>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3FB"/>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7DD"/>
    <w:rsid w:val="008E4F24"/>
    <w:rsid w:val="008E5512"/>
    <w:rsid w:val="008E57FE"/>
    <w:rsid w:val="008E59C0"/>
    <w:rsid w:val="008E5F4E"/>
    <w:rsid w:val="008E5FCD"/>
    <w:rsid w:val="008E6511"/>
    <w:rsid w:val="008E6EF3"/>
    <w:rsid w:val="008E75D6"/>
    <w:rsid w:val="008E76F8"/>
    <w:rsid w:val="008F0475"/>
    <w:rsid w:val="008F058D"/>
    <w:rsid w:val="008F06BB"/>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0C99"/>
    <w:rsid w:val="00911371"/>
    <w:rsid w:val="009117BF"/>
    <w:rsid w:val="009120C5"/>
    <w:rsid w:val="00912796"/>
    <w:rsid w:val="0091293D"/>
    <w:rsid w:val="00912CB8"/>
    <w:rsid w:val="00912D42"/>
    <w:rsid w:val="0091379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4B0"/>
    <w:rsid w:val="009715BE"/>
    <w:rsid w:val="0097174E"/>
    <w:rsid w:val="00971BE0"/>
    <w:rsid w:val="00971EFA"/>
    <w:rsid w:val="0097253D"/>
    <w:rsid w:val="009725A2"/>
    <w:rsid w:val="00972CE5"/>
    <w:rsid w:val="00973313"/>
    <w:rsid w:val="00973381"/>
    <w:rsid w:val="00973E62"/>
    <w:rsid w:val="00974130"/>
    <w:rsid w:val="0097414B"/>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427"/>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22B"/>
    <w:rsid w:val="009A4788"/>
    <w:rsid w:val="009A4A6E"/>
    <w:rsid w:val="009A58E6"/>
    <w:rsid w:val="009A5FDB"/>
    <w:rsid w:val="009A6B3F"/>
    <w:rsid w:val="009A78AB"/>
    <w:rsid w:val="009B03D5"/>
    <w:rsid w:val="009B0A9C"/>
    <w:rsid w:val="009B10AE"/>
    <w:rsid w:val="009B1240"/>
    <w:rsid w:val="009B1412"/>
    <w:rsid w:val="009B1690"/>
    <w:rsid w:val="009B18D7"/>
    <w:rsid w:val="009B23EE"/>
    <w:rsid w:val="009B257E"/>
    <w:rsid w:val="009B3610"/>
    <w:rsid w:val="009B37D3"/>
    <w:rsid w:val="009B4C61"/>
    <w:rsid w:val="009B4CB0"/>
    <w:rsid w:val="009B4CE0"/>
    <w:rsid w:val="009B54C2"/>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598"/>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58"/>
    <w:rsid w:val="00A11E8D"/>
    <w:rsid w:val="00A11F7F"/>
    <w:rsid w:val="00A1206E"/>
    <w:rsid w:val="00A12648"/>
    <w:rsid w:val="00A13130"/>
    <w:rsid w:val="00A136A9"/>
    <w:rsid w:val="00A13738"/>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59A"/>
    <w:rsid w:val="00AB4DCD"/>
    <w:rsid w:val="00AB4F87"/>
    <w:rsid w:val="00AB5377"/>
    <w:rsid w:val="00AB5B77"/>
    <w:rsid w:val="00AB763D"/>
    <w:rsid w:val="00AB7891"/>
    <w:rsid w:val="00AB7B94"/>
    <w:rsid w:val="00AB7D08"/>
    <w:rsid w:val="00AB7F83"/>
    <w:rsid w:val="00AC03E0"/>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C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27BBF"/>
    <w:rsid w:val="00B308E1"/>
    <w:rsid w:val="00B30FEF"/>
    <w:rsid w:val="00B312FD"/>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B06"/>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A05"/>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4B1"/>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0D"/>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A80"/>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C80"/>
    <w:rsid w:val="00C72D01"/>
    <w:rsid w:val="00C72F2F"/>
    <w:rsid w:val="00C73290"/>
    <w:rsid w:val="00C736A7"/>
    <w:rsid w:val="00C73D30"/>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18"/>
    <w:rsid w:val="00C97E8D"/>
    <w:rsid w:val="00C97F02"/>
    <w:rsid w:val="00CA0083"/>
    <w:rsid w:val="00CA04C0"/>
    <w:rsid w:val="00CA0837"/>
    <w:rsid w:val="00CA0BD9"/>
    <w:rsid w:val="00CA11E9"/>
    <w:rsid w:val="00CA12B2"/>
    <w:rsid w:val="00CA14DD"/>
    <w:rsid w:val="00CA2FBE"/>
    <w:rsid w:val="00CA4064"/>
    <w:rsid w:val="00CA417D"/>
    <w:rsid w:val="00CA41D2"/>
    <w:rsid w:val="00CA4753"/>
    <w:rsid w:val="00CA4D91"/>
    <w:rsid w:val="00CA4F20"/>
    <w:rsid w:val="00CA5080"/>
    <w:rsid w:val="00CA5908"/>
    <w:rsid w:val="00CA5A5A"/>
    <w:rsid w:val="00CA5D21"/>
    <w:rsid w:val="00CA5F84"/>
    <w:rsid w:val="00CA630E"/>
    <w:rsid w:val="00CA6512"/>
    <w:rsid w:val="00CA7491"/>
    <w:rsid w:val="00CA7A61"/>
    <w:rsid w:val="00CA7BF2"/>
    <w:rsid w:val="00CB0A21"/>
    <w:rsid w:val="00CB0C16"/>
    <w:rsid w:val="00CB1327"/>
    <w:rsid w:val="00CB1366"/>
    <w:rsid w:val="00CB144F"/>
    <w:rsid w:val="00CB149F"/>
    <w:rsid w:val="00CB14D2"/>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D7E5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655"/>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0C75"/>
    <w:rsid w:val="00D41051"/>
    <w:rsid w:val="00D410F8"/>
    <w:rsid w:val="00D417AE"/>
    <w:rsid w:val="00D419F5"/>
    <w:rsid w:val="00D41B6F"/>
    <w:rsid w:val="00D41D33"/>
    <w:rsid w:val="00D42651"/>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5D8"/>
    <w:rsid w:val="00D606FC"/>
    <w:rsid w:val="00D60B6B"/>
    <w:rsid w:val="00D60D72"/>
    <w:rsid w:val="00D60D80"/>
    <w:rsid w:val="00D61918"/>
    <w:rsid w:val="00D61CAC"/>
    <w:rsid w:val="00D624D0"/>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AAA"/>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9F8"/>
    <w:rsid w:val="00DB4D6A"/>
    <w:rsid w:val="00DB52B9"/>
    <w:rsid w:val="00DB532F"/>
    <w:rsid w:val="00DB53D6"/>
    <w:rsid w:val="00DB5641"/>
    <w:rsid w:val="00DB5CC0"/>
    <w:rsid w:val="00DB5FBA"/>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1466"/>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871"/>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0E2"/>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21A"/>
    <w:rsid w:val="00E21906"/>
    <w:rsid w:val="00E221AF"/>
    <w:rsid w:val="00E224BF"/>
    <w:rsid w:val="00E22732"/>
    <w:rsid w:val="00E22B39"/>
    <w:rsid w:val="00E2398E"/>
    <w:rsid w:val="00E23A5C"/>
    <w:rsid w:val="00E2406F"/>
    <w:rsid w:val="00E24570"/>
    <w:rsid w:val="00E2459F"/>
    <w:rsid w:val="00E24B98"/>
    <w:rsid w:val="00E24EE5"/>
    <w:rsid w:val="00E2527D"/>
    <w:rsid w:val="00E262A9"/>
    <w:rsid w:val="00E2688C"/>
    <w:rsid w:val="00E2693C"/>
    <w:rsid w:val="00E26F87"/>
    <w:rsid w:val="00E2710F"/>
    <w:rsid w:val="00E3047D"/>
    <w:rsid w:val="00E3066D"/>
    <w:rsid w:val="00E30AF9"/>
    <w:rsid w:val="00E31080"/>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5CB"/>
    <w:rsid w:val="00E92604"/>
    <w:rsid w:val="00E927A2"/>
    <w:rsid w:val="00E928ED"/>
    <w:rsid w:val="00E936C2"/>
    <w:rsid w:val="00E93B8A"/>
    <w:rsid w:val="00E942AE"/>
    <w:rsid w:val="00E949C6"/>
    <w:rsid w:val="00E94CDE"/>
    <w:rsid w:val="00E9505B"/>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395"/>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2BD2"/>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2B86"/>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78"/>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6F0"/>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20"/>
    <w:rsid w:val="00FB34E4"/>
    <w:rsid w:val="00FB38ED"/>
    <w:rsid w:val="00FB3DE3"/>
    <w:rsid w:val="00FB3DE5"/>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47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נספח 2 מתוקן,פיסקת bullets"/>
    <w:basedOn w:val="Normal"/>
    <w:link w:val="a2"/>
    <w:uiPriority w:val="34"/>
    <w:qFormat/>
    <w:rsid w:val="003F6D65"/>
    <w:pPr>
      <w:ind w:left="720"/>
      <w:contextualSpacing/>
    </w:pPr>
  </w:style>
  <w:style w:type="paragraph" w:customStyle="1" w:styleId="731">
    <w:name w:val="73א כותרת 1"/>
    <w:qFormat/>
    <w:rsid w:val="00675D56"/>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7"/>
    <w:qFormat/>
    <w:rsid w:val="007F3AFD"/>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6">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נספח 2 מתוקן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8">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9"/>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9">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12"/>
    <w:unhideWhenUsed/>
    <w:rsid w:val="00114E4E"/>
    <w:pPr>
      <w:spacing w:after="120"/>
    </w:pPr>
  </w:style>
  <w:style w:type="character" w:customStyle="1" w:styleId="212">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4">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5">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6">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5"/>
    <w:rsid w:val="00454096"/>
    <w:rPr>
      <w:rFonts w:ascii="Tahoma" w:hAnsi="Tahoma" w:eastAsiaTheme="minorEastAsia" w:cs="Tahoma"/>
      <w:b/>
      <w:bCs/>
      <w:color w:val="00305F"/>
      <w:sz w:val="34"/>
      <w:szCs w:val="32"/>
    </w:rPr>
  </w:style>
  <w:style w:type="paragraph" w:customStyle="1" w:styleId="217">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6"/>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7"/>
    <w:rsid w:val="00454096"/>
    <w:rPr>
      <w:rFonts w:ascii="Tahoma" w:hAnsi="Tahoma" w:eastAsiaTheme="minorEastAsia" w:cs="Tahoma"/>
      <w:b w:val="0"/>
      <w:bCs/>
      <w:color w:val="00305F"/>
      <w:sz w:val="32"/>
      <w:szCs w:val="32"/>
    </w:rPr>
  </w:style>
  <w:style w:type="paragraph" w:customStyle="1" w:styleId="219">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7"/>
    <w:link w:val="7328"/>
    <w:qFormat/>
    <w:rsid w:val="007F3AFD"/>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7F3AFD"/>
    <w:rPr>
      <w:rFonts w:ascii="Tahoma" w:hAnsi="Tahoma" w:eastAsiaTheme="minorEastAsia" w:cs="Tahoma"/>
      <w:b w:val="0"/>
      <w:bCs/>
      <w:color w:val="00305F"/>
      <w:sz w:val="31"/>
      <w:szCs w:val="31"/>
    </w:rPr>
  </w:style>
  <w:style w:type="paragraph" w:customStyle="1" w:styleId="7329">
    <w:name w:val="73א כותרת 2"/>
    <w:link w:val="73210"/>
    <w:qFormat/>
    <w:rsid w:val="006867D4"/>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6867D4"/>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9"/>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9"/>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20">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F3AFD"/>
    <w:rPr>
      <w:color w:val="0D0D0D" w:themeColor="text1" w:themeTint="F2"/>
      <w:sz w:val="18"/>
    </w:rPr>
  </w:style>
  <w:style w:type="character" w:customStyle="1" w:styleId="7393">
    <w:name w:val="73א טקסט רץ 9 תו"/>
    <w:basedOn w:val="Char4"/>
    <w:link w:val="7392"/>
    <w:rsid w:val="007F3AF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table" w:styleId="GridTable1LightAccent1">
    <w:name w:val="Grid Table 1 Light Accent 1"/>
    <w:basedOn w:val="TableNormal"/>
    <w:uiPriority w:val="46"/>
    <w:rsid w:val="00091A9A"/>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1A9A"/>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91A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1A9A"/>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1A9A"/>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91A9A"/>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dTableLight">
    <w:name w:val="Grid Table Light"/>
    <w:basedOn w:val="TableNormal"/>
    <w:uiPriority w:val="40"/>
    <w:rsid w:val="00091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711">
    <w:name w:val="71ג מקרא+הערות לתרשים/לוח/תמונה"/>
    <w:basedOn w:val="Normal"/>
    <w:link w:val="71Char"/>
    <w:qFormat/>
    <w:rsid w:val="00111411"/>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111411"/>
    <w:rPr>
      <w:rFonts w:ascii="Tahoma" w:hAnsi="Tahoma" w:cs="Tahoma"/>
      <w:color w:val="0D0D0D" w:themeColor="text1" w:themeTint="F2"/>
      <w:sz w:val="16"/>
      <w:szCs w:val="16"/>
    </w:rPr>
  </w:style>
  <w:style w:type="table" w:styleId="PlainTable2">
    <w:name w:val="Plain Table 2"/>
    <w:basedOn w:val="TableNormal"/>
    <w:uiPriority w:val="42"/>
    <w:rsid w:val="00CB13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35">
    <w:name w:val="תאריך הדוח"/>
    <w:qFormat/>
    <w:rsid w:val="00052A8E"/>
    <w:pPr>
      <w:ind w:left="2268"/>
      <w:jc w:val="left"/>
    </w:pPr>
    <w:rPr>
      <w:rFonts w:ascii="Tahoma" w:hAnsi="Tahoma" w:cs="Tahoma"/>
      <w:sz w:val="18"/>
      <w:szCs w:val="18"/>
    </w:rPr>
  </w:style>
  <w:style w:type="paragraph" w:customStyle="1" w:styleId="a36">
    <w:name w:val="כותרת ראשית לדוח"/>
    <w:qFormat/>
    <w:rsid w:val="00052A8E"/>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6.xml" /><Relationship Id="rId32" Type="http://schemas.openxmlformats.org/officeDocument/2006/relationships/header" Target="header6.xml" /><Relationship Id="rId33" Type="http://schemas.openxmlformats.org/officeDocument/2006/relationships/footer" Target="foot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 Id="rId2"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 Id="rId2" Type="http://schemas.openxmlformats.org/officeDocument/2006/relationships/image" Target="media/image16.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95551B-A268-4FB8-91CD-376101B8B756}"/>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