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1.xml" ContentType="application/xml"/>
  <Override PartName="/customXml/item2.xml" ContentType="application/xml"/>
  <Override PartName="/customXml/item3.xml" ContentType="application/xml"/>
  <Override PartName="/customXml/item4.xml" ContentType="application/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2.0 -->
  <w:background w:color="ffffff">
    <v:background id="_x0000_s1025" filled="t"/>
  </w:background>
  <w:body>
    <w:bookmarkStart w:id="0" w:name="_Hlk63775048"/>
    <w:bookmarkEnd w:id="0"/>
    <w:p w:rsidR="008B2E28" w:rsidP="001F3363" w14:paraId="1815C0C8" w14:textId="21250BD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8" style="flip:x;mso-height-percent:0;mso-height-relative:margin;mso-width-percent:0;mso-width-relative:margin;mso-wrap-distance-bottom:0;mso-wrap-distance-left:9pt;mso-wrap-distance-right:9pt;mso-wrap-distance-top:0;mso-wrap-style:square;position:absolute;visibility:visible;z-index:-251642880" from="-46.45pt,-19.2pt" to="482.8pt,-19.2pt"/>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9"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30"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5BEC9B98">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262239</wp:posOffset>
                </wp:positionH>
                <wp:positionV relativeFrom="paragraph">
                  <wp:posOffset>1933916</wp:posOffset>
                </wp:positionV>
                <wp:extent cx="2675285" cy="0"/>
                <wp:effectExtent l="12700" t="12700" r="4445"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67528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1" style="flip:x;mso-height-percent:0;mso-height-relative:margin;mso-width-percent:0;mso-width-relative:margin;mso-wrap-distance-bottom:0;mso-wrap-distance-left:9pt;mso-wrap-distance-right:9pt;mso-wrap-distance-top:0;mso-wrap-style:square;position:absolute;visibility:visible;z-index:251669504" from="20.65pt,152.3pt" to="231.3pt,152.3pt" strokecolor="white" strokeweight="1.5pt"/>
            </w:pict>
          </mc:Fallback>
        </mc:AlternateContent>
      </w:r>
      <w:r w:rsidR="00C30482">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3063582</wp:posOffset>
                </wp:positionH>
                <wp:positionV relativeFrom="paragraph">
                  <wp:posOffset>262236</wp:posOffset>
                </wp:positionV>
                <wp:extent cx="34020" cy="2797791"/>
                <wp:effectExtent l="25400" t="12700" r="29845" b="34925"/>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34020" cy="2797791"/>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32" style="mso-height-percent:0;mso-height-relative:margin;mso-width-percent:0;mso-width-relative:margin;mso-wrap-distance-bottom:0;mso-wrap-distance-left:9pt;mso-wrap-distance-right:9pt;mso-wrap-distance-top:0;mso-wrap-style:square;position:absolute;visibility:visible;z-index:251667456" from="241.25pt,20.65pt" to="243.95pt,240.95pt" strokecolor="white" strokeweight="4pt"/>
            </w:pict>
          </mc:Fallback>
        </mc:AlternateContent>
      </w:r>
      <w:r w:rsidRPr="0030415A" w:rsidR="006F4F50">
        <w:rPr>
          <w:rFonts w:ascii="Tahoma" w:hAnsi="Tahoma" w:cs="Tahoma"/>
          <w:noProof/>
          <w:sz w:val="22"/>
          <w:szCs w:val="22"/>
          <w:rtl/>
        </w:rPr>
        <mc:AlternateContent>
          <mc:Choice Requires="wps">
            <w:drawing>
              <wp:anchor distT="45720" distB="45720" distL="114300" distR="114300" simplePos="0" relativeHeight="251663360" behindDoc="0" locked="0" layoutInCell="1" allowOverlap="1">
                <wp:simplePos x="0" y="0"/>
                <wp:positionH relativeFrom="column">
                  <wp:posOffset>-525780</wp:posOffset>
                </wp:positionH>
                <wp:positionV relativeFrom="paragraph">
                  <wp:posOffset>345440</wp:posOffset>
                </wp:positionV>
                <wp:extent cx="5000625" cy="4273550"/>
                <wp:effectExtent l="0" t="0" r="3175" b="6350"/>
                <wp:wrapSquare wrapText="bothSides"/>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000625"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136A3E" w:rsidRPr="0052031E" w:rsidP="001711E3" w14:textId="2634C92B">
                            <w:pPr>
                              <w:pStyle w:val="a37"/>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C30482">
                              <w:rPr>
                                <w:rFonts w:hint="cs"/>
                                <w:rtl/>
                              </w:rPr>
                              <w:t>חשוון</w:t>
                            </w:r>
                            <w:r>
                              <w:rPr>
                                <w:rFonts w:hint="cs"/>
                                <w:rtl/>
                              </w:rPr>
                              <w:t xml:space="preserve"> </w:t>
                            </w:r>
                            <w:r>
                              <w:rPr>
                                <w:rFonts w:hint="cs"/>
                                <w:rtl/>
                              </w:rPr>
                              <w:t>התשפ״</w:t>
                            </w:r>
                            <w:r w:rsidR="00C30482">
                              <w:rPr>
                                <w:rFonts w:hint="cs"/>
                                <w:rtl/>
                              </w:rPr>
                              <w:t>ג</w:t>
                            </w:r>
                            <w:r w:rsidR="001C1B42">
                              <w:rPr>
                                <w:rFonts w:hint="cs"/>
                                <w:rtl/>
                              </w:rPr>
                              <w:t xml:space="preserve"> </w:t>
                            </w:r>
                            <w:r w:rsidRPr="0052031E">
                              <w:rPr>
                                <w:rtl/>
                              </w:rPr>
                              <w:t>|</w:t>
                            </w:r>
                            <w:r>
                              <w:rPr>
                                <w:rFonts w:hint="cs"/>
                                <w:rtl/>
                              </w:rPr>
                              <w:t xml:space="preserve"> </w:t>
                            </w:r>
                            <w:r w:rsidRPr="002D7C60" w:rsidR="002D7C60">
                              <w:rPr>
                                <w:rtl/>
                              </w:rPr>
                              <w:t xml:space="preserve">נובמבר </w:t>
                            </w:r>
                            <w:r>
                              <w:rPr>
                                <w:rFonts w:hint="cs"/>
                                <w:rtl/>
                              </w:rPr>
                              <w:t xml:space="preserve">2022 </w:t>
                            </w:r>
                          </w:p>
                          <w:p w:rsidR="00F73EE0" w:rsidP="0052031E" w14:textId="4F5A48BD">
                            <w:pPr>
                              <w:ind w:left="2268"/>
                              <w:rPr>
                                <w:rtl/>
                              </w:rPr>
                            </w:pPr>
                          </w:p>
                          <w:p w:rsidR="00F01B25" w:rsidP="0052031E" w14:textId="77777777">
                            <w:pPr>
                              <w:ind w:left="2268"/>
                              <w:rPr>
                                <w:rtl/>
                              </w:rPr>
                            </w:pPr>
                          </w:p>
                          <w:p w:rsidR="00F73EE0" w:rsidP="0052031E" w14:textId="77777777">
                            <w:pPr>
                              <w:ind w:left="2268"/>
                              <w:rPr>
                                <w:rtl/>
                              </w:rPr>
                            </w:pPr>
                          </w:p>
                          <w:p w:rsidR="005D0F8C" w:rsidRPr="000A3ED4" w:rsidP="001711E3" w14:textId="6F060ADF">
                            <w:pPr>
                              <w:pStyle w:val="-2"/>
                              <w:rPr>
                                <w:rtl/>
                              </w:rPr>
                            </w:pPr>
                            <w:r>
                              <w:rPr>
                                <w:rFonts w:hint="cs"/>
                                <w:rtl/>
                              </w:rPr>
                              <w:t>בנק ישראל</w:t>
                            </w:r>
                            <w:r w:rsidR="00C30482">
                              <w:rPr>
                                <w:rFonts w:hint="cs"/>
                                <w:rtl/>
                              </w:rPr>
                              <w:t xml:space="preserve"> </w:t>
                            </w:r>
                          </w:p>
                          <w:p w:rsidR="00C30482" w:rsidRPr="001711E3" w:rsidP="001B712C" w14:textId="0F3039F0">
                            <w:pPr>
                              <w:pStyle w:val="a38"/>
                              <w:bidi/>
                              <w:spacing w:before="120"/>
                              <w:rPr>
                                <w:rtl/>
                              </w:rPr>
                            </w:pPr>
                            <w:r w:rsidRPr="0093327C">
                              <w:rPr>
                                <w:rtl/>
                              </w:rPr>
                              <w:t>בנקאות דיגיטלית</w:t>
                            </w:r>
                          </w:p>
                          <w:p w:rsidR="00C30482" w:rsidRPr="001F3363" w:rsidP="005D0F8C" w14:textId="77777777">
                            <w:pPr>
                              <w:spacing w:before="360" w:line="600" w:lineRule="exact"/>
                              <w:ind w:left="2268"/>
                              <w:jc w:val="left"/>
                              <w:rPr>
                                <w:rFonts w:ascii="Tahoma" w:hAnsi="Tahoma" w:cs="Tahoma"/>
                                <w:b/>
                                <w:bCs/>
                                <w:color w:val="FFFFFF" w:themeColor="background1"/>
                                <w:sz w:val="44"/>
                                <w:szCs w:val="44"/>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width:393.75pt;height:336.5pt;margin-top:27.2pt;margin-left:-41.4pt;mso-height-percent:0;mso-height-relative:margin;mso-width-percent:0;mso-width-relative:margin;mso-wrap-distance-bottom:3.6pt;mso-wrap-distance-left:9pt;mso-wrap-distance-right:9pt;mso-wrap-distance-top:3.6pt;position:absolute;v-text-anchor:top;z-index:251662336" fillcolor="#00305f" stroked="f" strokeweight="0.75pt">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136A3E" w:rsidRPr="0052031E" w:rsidP="001711E3" w14:paraId="6680A7A9" w14:textId="2634C92B">
                      <w:pPr>
                        <w:pStyle w:val="a37"/>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C30482">
                        <w:rPr>
                          <w:rFonts w:hint="cs"/>
                          <w:rtl/>
                        </w:rPr>
                        <w:t>חשוון</w:t>
                      </w:r>
                      <w:r>
                        <w:rPr>
                          <w:rFonts w:hint="cs"/>
                          <w:rtl/>
                        </w:rPr>
                        <w:t xml:space="preserve"> </w:t>
                      </w:r>
                      <w:r>
                        <w:rPr>
                          <w:rFonts w:hint="cs"/>
                          <w:rtl/>
                        </w:rPr>
                        <w:t>התשפ״</w:t>
                      </w:r>
                      <w:r w:rsidR="00C30482">
                        <w:rPr>
                          <w:rFonts w:hint="cs"/>
                          <w:rtl/>
                        </w:rPr>
                        <w:t>ג</w:t>
                      </w:r>
                      <w:r w:rsidR="001C1B42">
                        <w:rPr>
                          <w:rFonts w:hint="cs"/>
                          <w:rtl/>
                        </w:rPr>
                        <w:t xml:space="preserve"> </w:t>
                      </w:r>
                      <w:r w:rsidRPr="0052031E">
                        <w:rPr>
                          <w:rtl/>
                        </w:rPr>
                        <w:t>|</w:t>
                      </w:r>
                      <w:r>
                        <w:rPr>
                          <w:rFonts w:hint="cs"/>
                          <w:rtl/>
                        </w:rPr>
                        <w:t xml:space="preserve"> </w:t>
                      </w:r>
                      <w:r w:rsidRPr="002D7C60" w:rsidR="002D7C60">
                        <w:rPr>
                          <w:rtl/>
                        </w:rPr>
                        <w:t xml:space="preserve">נובמבר </w:t>
                      </w:r>
                      <w:r>
                        <w:rPr>
                          <w:rFonts w:hint="cs"/>
                          <w:rtl/>
                        </w:rPr>
                        <w:t xml:space="preserve">2022 </w:t>
                      </w:r>
                    </w:p>
                    <w:p w:rsidR="00F73EE0" w:rsidP="0052031E" w14:paraId="7A4F68DA" w14:textId="4F5A48BD">
                      <w:pPr>
                        <w:ind w:left="2268"/>
                        <w:rPr>
                          <w:rtl/>
                        </w:rPr>
                      </w:pPr>
                    </w:p>
                    <w:p w:rsidR="00F01B25" w:rsidP="0052031E" w14:paraId="55A55087" w14:textId="77777777">
                      <w:pPr>
                        <w:ind w:left="2268"/>
                        <w:rPr>
                          <w:rtl/>
                        </w:rPr>
                      </w:pPr>
                    </w:p>
                    <w:p w:rsidR="00F73EE0" w:rsidP="0052031E" w14:paraId="537675A5" w14:textId="77777777">
                      <w:pPr>
                        <w:ind w:left="2268"/>
                        <w:rPr>
                          <w:rtl/>
                        </w:rPr>
                      </w:pPr>
                    </w:p>
                    <w:p w:rsidR="005D0F8C" w:rsidRPr="000A3ED4" w:rsidP="001711E3" w14:paraId="361EED1E" w14:textId="6F060ADF">
                      <w:pPr>
                        <w:pStyle w:val="-2"/>
                        <w:rPr>
                          <w:rtl/>
                        </w:rPr>
                      </w:pPr>
                      <w:r>
                        <w:rPr>
                          <w:rFonts w:hint="cs"/>
                          <w:rtl/>
                        </w:rPr>
                        <w:t>בנק ישראל</w:t>
                      </w:r>
                      <w:r w:rsidR="00C30482">
                        <w:rPr>
                          <w:rFonts w:hint="cs"/>
                          <w:rtl/>
                        </w:rPr>
                        <w:t xml:space="preserve"> </w:t>
                      </w:r>
                    </w:p>
                    <w:p w:rsidR="00C30482" w:rsidRPr="001711E3" w:rsidP="001B712C" w14:paraId="005557EF" w14:textId="0F3039F0">
                      <w:pPr>
                        <w:pStyle w:val="a38"/>
                        <w:bidi/>
                        <w:spacing w:before="120"/>
                        <w:rPr>
                          <w:rtl/>
                        </w:rPr>
                      </w:pPr>
                      <w:r w:rsidRPr="0093327C">
                        <w:rPr>
                          <w:rtl/>
                        </w:rPr>
                        <w:t>בנקאות דיגיטלית</w:t>
                      </w:r>
                    </w:p>
                    <w:p w:rsidR="00C30482" w:rsidRPr="001F3363" w:rsidP="005D0F8C" w14:paraId="5BE5E625" w14:textId="77777777">
                      <w:pPr>
                        <w:spacing w:before="360" w:line="600" w:lineRule="exact"/>
                        <w:ind w:left="2268"/>
                        <w:jc w:val="left"/>
                        <w:rPr>
                          <w:rFonts w:ascii="Tahoma" w:hAnsi="Tahoma" w:cs="Tahoma"/>
                          <w:b/>
                          <w:bCs/>
                          <w:color w:val="FFFFFF" w:themeColor="background1"/>
                          <w:sz w:val="44"/>
                          <w:szCs w:val="44"/>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4A1467E9">
      <w:pPr>
        <w:spacing w:line="240" w:lineRule="atLeast"/>
        <w:jc w:val="center"/>
        <w:rPr>
          <w:rFonts w:ascii="Tahoma" w:hAnsi="Tahoma" w:cs="Tahoma"/>
          <w:sz w:val="22"/>
          <w:szCs w:val="22"/>
          <w:rtl/>
        </w:rPr>
      </w:pPr>
    </w:p>
    <w:p w:rsidR="00E35DF9" w:rsidRPr="00406E80" w:rsidP="008D2388" w14:paraId="5F398D7B" w14:textId="4F30E2B5">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7EB27B86">
      <w:pPr>
        <w:spacing w:line="240" w:lineRule="atLeast"/>
        <w:jc w:val="center"/>
        <w:rPr>
          <w:rFonts w:ascii="Tahoma" w:hAnsi="Tahoma" w:cs="Tahoma"/>
          <w:sz w:val="22"/>
          <w:szCs w:val="22"/>
          <w:rtl/>
        </w:rPr>
      </w:pPr>
    </w:p>
    <w:p w:rsidR="00E35DF9" w:rsidP="008D2388" w14:paraId="1081EBD1" w14:textId="1102587C">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default" r:id="rId14"/>
          <w:headerReference w:type="first" r:id="rId15"/>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-1469056</wp:posOffset>
                </wp:positionH>
                <wp:positionV relativeFrom="paragraph">
                  <wp:posOffset>-1222475</wp:posOffset>
                </wp:positionV>
                <wp:extent cx="7601578" cy="1742172"/>
                <wp:effectExtent l="0" t="0" r="635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74217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4" style="width:598.55pt;height:137.2pt;margin-top:-96.25pt;margin-left:-115.65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P="000E64A1" w14:paraId="291315C1" w14:textId="514133F9">
      <w:pPr>
        <w:jc w:val="left"/>
        <w:rPr>
          <w:rFonts w:ascii="Tahoma" w:hAnsi="Tahoma" w:cs="Tahoma"/>
          <w:sz w:val="22"/>
          <w:szCs w:val="22"/>
          <w:rtl/>
        </w:rPr>
        <w:sectPr w:rsidSect="00BF772E">
          <w:headerReference w:type="even" r:id="rId16"/>
          <w:pgSz w:w="11906" w:h="16838" w:code="9"/>
          <w:pgMar w:top="3062" w:right="2268" w:bottom="2552" w:left="2268" w:header="709" w:footer="709" w:gutter="0"/>
          <w:cols w:space="720"/>
          <w:bidi/>
          <w:rtlGutter/>
          <w:docGrid w:linePitch="272"/>
        </w:sectPr>
      </w:pPr>
    </w:p>
    <w:p w:rsidR="00B93C72" w:rsidRPr="001F3363" w:rsidP="00935CFD" w14:paraId="4ED3AA37" w14:textId="268D7075">
      <w:pPr>
        <w:pStyle w:val="7329"/>
        <w:bidi/>
        <w:jc w:val="left"/>
        <w:rPr>
          <w:rtl/>
        </w:rPr>
      </w:pPr>
      <w:r w:rsidRPr="001F3363">
        <w:rPr>
          <w:noProof/>
          <w:rtl/>
        </w:rPr>
        <w:drawing>
          <wp:anchor distT="0" distB="0" distL="114300" distR="114300" simplePos="0" relativeHeight="251674624" behindDoc="0" locked="0" layoutInCell="1" allowOverlap="1">
            <wp:simplePos x="0" y="0"/>
            <wp:positionH relativeFrom="column">
              <wp:posOffset>3291573</wp:posOffset>
            </wp:positionH>
            <wp:positionV relativeFrom="paragraph">
              <wp:posOffset>633095</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1F3363" w:rsidR="00586851">
        <w:rPr>
          <w:noProof/>
          <w:rtl/>
        </w:rPr>
        <mc:AlternateContent>
          <mc:Choice Requires="wps">
            <w:drawing>
              <wp:anchor distT="0" distB="0" distL="114300" distR="114300" simplePos="0" relativeHeight="251675648" behindDoc="0" locked="0" layoutInCell="1" allowOverlap="1">
                <wp:simplePos x="0" y="0"/>
                <wp:positionH relativeFrom="column">
                  <wp:posOffset>-652595</wp:posOffset>
                </wp:positionH>
                <wp:positionV relativeFrom="paragraph">
                  <wp:posOffset>318268</wp:posOffset>
                </wp:positionV>
                <wp:extent cx="194310" cy="5570397"/>
                <wp:effectExtent l="0" t="0" r="0" b="5080"/>
                <wp:wrapNone/>
                <wp:docPr id="21"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310" cy="5570397"/>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5" style="width:15.3pt;height:438.6pt;margin-top:25.05pt;margin-left:-51.4pt;flip:y;mso-height-percent:0;mso-height-relative:margin;mso-width-percent:0;mso-width-relative:margin;mso-wrap-distance-bottom:0;mso-wrap-distance-left:9pt;mso-wrap-distance-right:9pt;mso-wrap-distance-top:0;mso-wrap-style:square;position:absolute;visibility:visible;v-text-anchor:middle;z-index:251676672" fillcolor="#00305f" stroked="f" strokeweight="1.25pt"/>
            </w:pict>
          </mc:Fallback>
        </mc:AlternateContent>
      </w:r>
      <w:r w:rsidRPr="0093327C" w:rsidR="0093327C">
        <w:rPr>
          <w:noProof/>
          <w:rtl/>
        </w:rPr>
        <w:t>בנקאות דיגיטלית</w:t>
      </w:r>
    </w:p>
    <w:p w:rsidR="0093327C" w:rsidRPr="00EB4739" w:rsidP="0093327C" w14:paraId="5ECEBFD9" w14:textId="77777777">
      <w:pPr>
        <w:pStyle w:val="7392"/>
        <w:spacing w:before="480"/>
        <w:rPr>
          <w:rtl/>
        </w:rPr>
      </w:pPr>
      <w:r w:rsidRPr="00EB4739">
        <w:rPr>
          <w:rFonts w:hint="eastAsia"/>
          <w:rtl/>
        </w:rPr>
        <w:t>המערכת</w:t>
      </w:r>
      <w:r w:rsidRPr="00EB4739">
        <w:rPr>
          <w:rtl/>
        </w:rPr>
        <w:t xml:space="preserve"> </w:t>
      </w:r>
      <w:r w:rsidRPr="00EB4739">
        <w:rPr>
          <w:rFonts w:hint="eastAsia"/>
          <w:rtl/>
        </w:rPr>
        <w:t>הפיננסית</w:t>
      </w:r>
      <w:r w:rsidRPr="00EB4739">
        <w:rPr>
          <w:rtl/>
        </w:rPr>
        <w:t xml:space="preserve"> </w:t>
      </w:r>
      <w:r w:rsidRPr="00EB4739">
        <w:rPr>
          <w:rFonts w:hint="eastAsia"/>
          <w:rtl/>
        </w:rPr>
        <w:t>בעולם</w:t>
      </w:r>
      <w:r w:rsidRPr="00EB4739">
        <w:rPr>
          <w:rtl/>
        </w:rPr>
        <w:t xml:space="preserve"> </w:t>
      </w:r>
      <w:r w:rsidRPr="00EB4739">
        <w:rPr>
          <w:rFonts w:hint="eastAsia"/>
          <w:rtl/>
        </w:rPr>
        <w:t>עוברת</w:t>
      </w:r>
      <w:r w:rsidRPr="00EB4739">
        <w:rPr>
          <w:rtl/>
        </w:rPr>
        <w:t xml:space="preserve"> </w:t>
      </w:r>
      <w:r w:rsidRPr="00EB4739">
        <w:rPr>
          <w:rFonts w:hint="eastAsia"/>
          <w:rtl/>
        </w:rPr>
        <w:t>בשנים</w:t>
      </w:r>
      <w:r w:rsidRPr="00EB4739">
        <w:rPr>
          <w:rtl/>
        </w:rPr>
        <w:t xml:space="preserve"> </w:t>
      </w:r>
      <w:r w:rsidRPr="00EB4739">
        <w:rPr>
          <w:rFonts w:hint="eastAsia"/>
          <w:rtl/>
        </w:rPr>
        <w:t>האחרונות</w:t>
      </w:r>
      <w:r w:rsidRPr="00EB4739">
        <w:rPr>
          <w:rtl/>
        </w:rPr>
        <w:t xml:space="preserve"> </w:t>
      </w:r>
      <w:r w:rsidRPr="00EB4739">
        <w:rPr>
          <w:rFonts w:hint="eastAsia"/>
          <w:rtl/>
        </w:rPr>
        <w:t>שינויים</w:t>
      </w:r>
      <w:r w:rsidRPr="00EB4739">
        <w:rPr>
          <w:rtl/>
        </w:rPr>
        <w:t xml:space="preserve"> </w:t>
      </w:r>
      <w:r w:rsidRPr="00EB4739">
        <w:rPr>
          <w:rFonts w:hint="eastAsia"/>
          <w:rtl/>
        </w:rPr>
        <w:t>מבניים</w:t>
      </w:r>
      <w:r w:rsidRPr="00EB4739">
        <w:rPr>
          <w:rtl/>
        </w:rPr>
        <w:t xml:space="preserve"> </w:t>
      </w:r>
      <w:r w:rsidRPr="00EB4739">
        <w:rPr>
          <w:rFonts w:hint="eastAsia"/>
          <w:rtl/>
        </w:rPr>
        <w:t>רבים</w:t>
      </w:r>
      <w:r w:rsidRPr="00EB4739">
        <w:rPr>
          <w:rtl/>
        </w:rPr>
        <w:t xml:space="preserve"> </w:t>
      </w:r>
      <w:r w:rsidRPr="00EB4739">
        <w:rPr>
          <w:rFonts w:hint="eastAsia"/>
          <w:rtl/>
        </w:rPr>
        <w:t>שמקורם</w:t>
      </w:r>
      <w:r w:rsidRPr="00EB4739">
        <w:rPr>
          <w:rtl/>
        </w:rPr>
        <w:t xml:space="preserve"> </w:t>
      </w:r>
      <w:r w:rsidRPr="00EB4739">
        <w:rPr>
          <w:rFonts w:hint="eastAsia"/>
          <w:rtl/>
        </w:rPr>
        <w:t>בהתפתחויות</w:t>
      </w:r>
      <w:r w:rsidRPr="00EB4739">
        <w:rPr>
          <w:rtl/>
        </w:rPr>
        <w:t xml:space="preserve"> </w:t>
      </w:r>
      <w:r w:rsidRPr="00EB4739">
        <w:rPr>
          <w:rFonts w:hint="eastAsia"/>
          <w:rtl/>
        </w:rPr>
        <w:t>טכנולוגיות</w:t>
      </w:r>
      <w:r w:rsidRPr="00EB4739">
        <w:rPr>
          <w:rtl/>
        </w:rPr>
        <w:t xml:space="preserve"> </w:t>
      </w:r>
      <w:r w:rsidRPr="00EB4739">
        <w:rPr>
          <w:rFonts w:hint="eastAsia"/>
          <w:rtl/>
        </w:rPr>
        <w:t>משמעותיות</w:t>
      </w:r>
      <w:r w:rsidRPr="00EB4739">
        <w:rPr>
          <w:rtl/>
        </w:rPr>
        <w:t xml:space="preserve">, </w:t>
      </w:r>
      <w:r w:rsidRPr="00EB4739">
        <w:rPr>
          <w:rFonts w:hint="eastAsia"/>
          <w:rtl/>
        </w:rPr>
        <w:t>התפתחויות</w:t>
      </w:r>
      <w:r w:rsidRPr="00EB4739">
        <w:rPr>
          <w:rtl/>
        </w:rPr>
        <w:t xml:space="preserve"> </w:t>
      </w:r>
      <w:r w:rsidRPr="00EB4739">
        <w:rPr>
          <w:rFonts w:hint="eastAsia"/>
          <w:rtl/>
        </w:rPr>
        <w:t>המעודדות</w:t>
      </w:r>
      <w:r w:rsidRPr="00EB4739">
        <w:rPr>
          <w:rtl/>
        </w:rPr>
        <w:t xml:space="preserve"> </w:t>
      </w:r>
      <w:r w:rsidRPr="00EB4739">
        <w:rPr>
          <w:rFonts w:hint="eastAsia"/>
          <w:rtl/>
        </w:rPr>
        <w:t>טרנספורמציה</w:t>
      </w:r>
      <w:r w:rsidRPr="00EB4739">
        <w:rPr>
          <w:rtl/>
        </w:rPr>
        <w:t xml:space="preserve"> </w:t>
      </w:r>
      <w:r w:rsidRPr="00EB4739">
        <w:rPr>
          <w:rFonts w:hint="eastAsia"/>
          <w:rtl/>
        </w:rPr>
        <w:t>דיגיטלית</w:t>
      </w:r>
      <w:r w:rsidRPr="00EB4739">
        <w:rPr>
          <w:rtl/>
        </w:rPr>
        <w:t xml:space="preserve"> (דיגיטציה). </w:t>
      </w:r>
      <w:r w:rsidRPr="00EB4739">
        <w:rPr>
          <w:rFonts w:hint="eastAsia"/>
          <w:rtl/>
        </w:rPr>
        <w:t>הדיגיטציה</w:t>
      </w:r>
      <w:r w:rsidRPr="00EB4739">
        <w:rPr>
          <w:rtl/>
        </w:rPr>
        <w:t xml:space="preserve"> </w:t>
      </w:r>
      <w:r w:rsidRPr="00EB4739">
        <w:rPr>
          <w:rFonts w:hint="eastAsia"/>
          <w:rtl/>
        </w:rPr>
        <w:t>מאפשרת</w:t>
      </w:r>
      <w:r w:rsidRPr="00EB4739">
        <w:rPr>
          <w:rtl/>
        </w:rPr>
        <w:t xml:space="preserve"> </w:t>
      </w:r>
      <w:r w:rsidRPr="00EB4739">
        <w:rPr>
          <w:rFonts w:hint="eastAsia"/>
          <w:rtl/>
        </w:rPr>
        <w:t>למגוון</w:t>
      </w:r>
      <w:r w:rsidRPr="00EB4739">
        <w:rPr>
          <w:rtl/>
        </w:rPr>
        <w:t xml:space="preserve"> </w:t>
      </w:r>
      <w:r w:rsidRPr="00EB4739">
        <w:rPr>
          <w:rFonts w:hint="eastAsia"/>
          <w:rtl/>
        </w:rPr>
        <w:t>גופים</w:t>
      </w:r>
      <w:r w:rsidRPr="00EB4739">
        <w:rPr>
          <w:rtl/>
        </w:rPr>
        <w:t xml:space="preserve"> </w:t>
      </w:r>
      <w:r w:rsidRPr="00EB4739">
        <w:rPr>
          <w:rFonts w:hint="eastAsia"/>
          <w:rtl/>
        </w:rPr>
        <w:t>לספק</w:t>
      </w:r>
      <w:r w:rsidRPr="00EB4739">
        <w:rPr>
          <w:rtl/>
        </w:rPr>
        <w:t xml:space="preserve"> </w:t>
      </w:r>
      <w:r w:rsidRPr="00EB4739">
        <w:rPr>
          <w:rFonts w:hint="eastAsia"/>
          <w:rtl/>
        </w:rPr>
        <w:t>שירותים</w:t>
      </w:r>
      <w:r w:rsidRPr="00EB4739">
        <w:rPr>
          <w:rtl/>
        </w:rPr>
        <w:t xml:space="preserve"> </w:t>
      </w:r>
      <w:r w:rsidRPr="00EB4739">
        <w:rPr>
          <w:rFonts w:hint="eastAsia"/>
          <w:rtl/>
        </w:rPr>
        <w:t>פיננסיים</w:t>
      </w:r>
      <w:r w:rsidRPr="00EB4739">
        <w:rPr>
          <w:rtl/>
        </w:rPr>
        <w:t xml:space="preserve">, </w:t>
      </w:r>
      <w:r w:rsidRPr="00EB4739">
        <w:rPr>
          <w:rFonts w:hint="eastAsia"/>
          <w:rtl/>
        </w:rPr>
        <w:t>כאלה</w:t>
      </w:r>
      <w:r w:rsidRPr="00EB4739">
        <w:rPr>
          <w:rtl/>
        </w:rPr>
        <w:t xml:space="preserve"> </w:t>
      </w:r>
      <w:r w:rsidRPr="00EB4739">
        <w:rPr>
          <w:rFonts w:hint="eastAsia"/>
          <w:rtl/>
        </w:rPr>
        <w:t>שאת</w:t>
      </w:r>
      <w:r w:rsidRPr="00EB4739">
        <w:rPr>
          <w:rtl/>
        </w:rPr>
        <w:t xml:space="preserve"> </w:t>
      </w:r>
      <w:r w:rsidRPr="00EB4739">
        <w:rPr>
          <w:rFonts w:hint="eastAsia"/>
          <w:rtl/>
        </w:rPr>
        <w:t>מרביתם</w:t>
      </w:r>
      <w:r w:rsidRPr="00EB4739">
        <w:rPr>
          <w:rtl/>
        </w:rPr>
        <w:t xml:space="preserve"> </w:t>
      </w:r>
      <w:r w:rsidRPr="00EB4739">
        <w:rPr>
          <w:rFonts w:hint="eastAsia"/>
          <w:rtl/>
        </w:rPr>
        <w:t>נתנו</w:t>
      </w:r>
      <w:r w:rsidRPr="00EB4739">
        <w:rPr>
          <w:rtl/>
        </w:rPr>
        <w:t xml:space="preserve"> </w:t>
      </w:r>
      <w:r w:rsidRPr="00EB4739">
        <w:rPr>
          <w:rFonts w:hint="eastAsia"/>
          <w:rtl/>
        </w:rPr>
        <w:t>בעבר</w:t>
      </w:r>
      <w:r w:rsidRPr="00EB4739">
        <w:rPr>
          <w:rtl/>
        </w:rPr>
        <w:t xml:space="preserve"> </w:t>
      </w:r>
      <w:r w:rsidRPr="00EB4739">
        <w:rPr>
          <w:rFonts w:hint="eastAsia"/>
          <w:rtl/>
        </w:rPr>
        <w:t>התאגידים</w:t>
      </w:r>
      <w:r w:rsidRPr="00EB4739">
        <w:rPr>
          <w:rtl/>
        </w:rPr>
        <w:t xml:space="preserve"> </w:t>
      </w:r>
      <w:r w:rsidRPr="00EB4739">
        <w:rPr>
          <w:rFonts w:hint="eastAsia"/>
          <w:rtl/>
        </w:rPr>
        <w:t>הבנקאיים</w:t>
      </w:r>
      <w:r w:rsidRPr="00EB4739">
        <w:rPr>
          <w:rtl/>
        </w:rPr>
        <w:t xml:space="preserve">, </w:t>
      </w:r>
      <w:r w:rsidRPr="00EB4739">
        <w:rPr>
          <w:rFonts w:hint="eastAsia"/>
          <w:rtl/>
        </w:rPr>
        <w:t>ומרחיבה</w:t>
      </w:r>
      <w:r w:rsidRPr="00EB4739">
        <w:rPr>
          <w:rtl/>
        </w:rPr>
        <w:t xml:space="preserve"> </w:t>
      </w:r>
      <w:r w:rsidRPr="00EB4739">
        <w:rPr>
          <w:rFonts w:hint="eastAsia"/>
          <w:rtl/>
        </w:rPr>
        <w:t>את</w:t>
      </w:r>
      <w:r w:rsidRPr="00EB4739">
        <w:rPr>
          <w:rtl/>
        </w:rPr>
        <w:t xml:space="preserve"> </w:t>
      </w:r>
      <w:r w:rsidRPr="00EB4739">
        <w:rPr>
          <w:rFonts w:hint="eastAsia"/>
          <w:rtl/>
        </w:rPr>
        <w:t>התחרות</w:t>
      </w:r>
      <w:r w:rsidRPr="00EB4739">
        <w:rPr>
          <w:rtl/>
        </w:rPr>
        <w:t xml:space="preserve"> </w:t>
      </w:r>
      <w:r w:rsidRPr="00EB4739">
        <w:rPr>
          <w:rFonts w:hint="eastAsia"/>
          <w:rtl/>
        </w:rPr>
        <w:t>למגוון</w:t>
      </w:r>
      <w:r w:rsidRPr="00EB4739">
        <w:rPr>
          <w:rtl/>
        </w:rPr>
        <w:t xml:space="preserve"> </w:t>
      </w:r>
      <w:r w:rsidRPr="00EB4739">
        <w:rPr>
          <w:rFonts w:hint="eastAsia"/>
          <w:rtl/>
        </w:rPr>
        <w:t>גופים</w:t>
      </w:r>
      <w:r w:rsidRPr="00EB4739">
        <w:rPr>
          <w:rtl/>
        </w:rPr>
        <w:t xml:space="preserve"> </w:t>
      </w:r>
      <w:r w:rsidRPr="00EB4739">
        <w:rPr>
          <w:rFonts w:hint="eastAsia"/>
          <w:rtl/>
        </w:rPr>
        <w:t>ממגוון</w:t>
      </w:r>
      <w:r w:rsidRPr="00EB4739">
        <w:rPr>
          <w:rtl/>
        </w:rPr>
        <w:t xml:space="preserve"> </w:t>
      </w:r>
      <w:r w:rsidRPr="00EB4739">
        <w:rPr>
          <w:rFonts w:hint="eastAsia"/>
          <w:rtl/>
        </w:rPr>
        <w:t>מגזרים</w:t>
      </w:r>
      <w:r w:rsidRPr="00EB4739">
        <w:rPr>
          <w:rtl/>
        </w:rPr>
        <w:t xml:space="preserve">, </w:t>
      </w:r>
      <w:r w:rsidRPr="00EB4739">
        <w:rPr>
          <w:rFonts w:hint="eastAsia"/>
          <w:rtl/>
        </w:rPr>
        <w:t>וכך</w:t>
      </w:r>
      <w:r w:rsidRPr="00EB4739">
        <w:rPr>
          <w:rtl/>
        </w:rPr>
        <w:t xml:space="preserve"> </w:t>
      </w:r>
      <w:r w:rsidRPr="00EB4739">
        <w:rPr>
          <w:rFonts w:hint="eastAsia"/>
          <w:rtl/>
        </w:rPr>
        <w:t>מביאה</w:t>
      </w:r>
      <w:r w:rsidRPr="00EB4739">
        <w:rPr>
          <w:rtl/>
        </w:rPr>
        <w:t xml:space="preserve"> </w:t>
      </w:r>
      <w:r w:rsidRPr="00EB4739">
        <w:rPr>
          <w:rFonts w:hint="eastAsia"/>
          <w:rtl/>
        </w:rPr>
        <w:t>לחדשנות</w:t>
      </w:r>
      <w:r w:rsidRPr="00EB4739">
        <w:rPr>
          <w:rtl/>
        </w:rPr>
        <w:t xml:space="preserve"> </w:t>
      </w:r>
      <w:r w:rsidRPr="00EB4739">
        <w:rPr>
          <w:rFonts w:hint="eastAsia"/>
          <w:rtl/>
        </w:rPr>
        <w:t>ולהתייעלות</w:t>
      </w:r>
      <w:r w:rsidRPr="00EB4739">
        <w:rPr>
          <w:rtl/>
        </w:rPr>
        <w:t xml:space="preserve"> </w:t>
      </w:r>
      <w:r w:rsidRPr="00EB4739">
        <w:rPr>
          <w:rFonts w:hint="eastAsia"/>
          <w:rtl/>
        </w:rPr>
        <w:t>בענף</w:t>
      </w:r>
      <w:r w:rsidRPr="00EB4739">
        <w:rPr>
          <w:rtl/>
        </w:rPr>
        <w:t xml:space="preserve"> </w:t>
      </w:r>
      <w:r w:rsidRPr="00EB4739">
        <w:rPr>
          <w:rFonts w:hint="eastAsia"/>
          <w:rtl/>
        </w:rPr>
        <w:t>הבנקאות</w:t>
      </w:r>
      <w:r w:rsidRPr="00EB4739">
        <w:rPr>
          <w:rtl/>
        </w:rPr>
        <w:t>.</w:t>
      </w:r>
    </w:p>
    <w:p w:rsidR="007F4A20" w:rsidP="0093327C" w14:paraId="0B41EED6" w14:textId="77E456EF">
      <w:pPr>
        <w:pStyle w:val="7392"/>
        <w:rPr>
          <w:rtl/>
        </w:rPr>
      </w:pPr>
      <w:r w:rsidRPr="00EB4739">
        <w:rPr>
          <w:rFonts w:hint="eastAsia"/>
          <w:rtl/>
        </w:rPr>
        <w:t>בנקאות</w:t>
      </w:r>
      <w:r w:rsidRPr="00EB4739">
        <w:rPr>
          <w:rtl/>
        </w:rPr>
        <w:t xml:space="preserve"> </w:t>
      </w:r>
      <w:r w:rsidRPr="00EB4739">
        <w:rPr>
          <w:rFonts w:hint="eastAsia"/>
          <w:rtl/>
        </w:rPr>
        <w:t>דיגיטלית</w:t>
      </w:r>
      <w:r w:rsidRPr="00EB4739">
        <w:rPr>
          <w:rtl/>
        </w:rPr>
        <w:t xml:space="preserve"> </w:t>
      </w:r>
      <w:r w:rsidRPr="00EB4739">
        <w:rPr>
          <w:rFonts w:hint="eastAsia"/>
          <w:rtl/>
        </w:rPr>
        <w:t>משתמשת</w:t>
      </w:r>
      <w:r w:rsidRPr="00EB4739">
        <w:rPr>
          <w:rtl/>
        </w:rPr>
        <w:t xml:space="preserve"> </w:t>
      </w:r>
      <w:r w:rsidRPr="00EB4739">
        <w:rPr>
          <w:rFonts w:hint="eastAsia"/>
          <w:rtl/>
        </w:rPr>
        <w:t>במגוון</w:t>
      </w:r>
      <w:r w:rsidRPr="00EB4739">
        <w:rPr>
          <w:rtl/>
        </w:rPr>
        <w:t xml:space="preserve"> </w:t>
      </w:r>
      <w:r w:rsidRPr="00EB4739">
        <w:rPr>
          <w:rFonts w:hint="eastAsia"/>
          <w:rtl/>
        </w:rPr>
        <w:t>כלים</w:t>
      </w:r>
      <w:r w:rsidRPr="00EB4739">
        <w:rPr>
          <w:rtl/>
        </w:rPr>
        <w:t xml:space="preserve"> </w:t>
      </w:r>
      <w:r w:rsidRPr="00EB4739">
        <w:rPr>
          <w:rFonts w:hint="eastAsia"/>
          <w:rtl/>
        </w:rPr>
        <w:t>ופתרונות</w:t>
      </w:r>
      <w:r w:rsidRPr="00EB4739">
        <w:rPr>
          <w:rtl/>
        </w:rPr>
        <w:t xml:space="preserve"> </w:t>
      </w:r>
      <w:r w:rsidRPr="00EB4739">
        <w:rPr>
          <w:rFonts w:hint="eastAsia"/>
          <w:rtl/>
        </w:rPr>
        <w:t>שנועדו</w:t>
      </w:r>
      <w:r w:rsidRPr="00EB4739">
        <w:rPr>
          <w:rtl/>
        </w:rPr>
        <w:t xml:space="preserve"> </w:t>
      </w:r>
      <w:r w:rsidRPr="00EB4739">
        <w:rPr>
          <w:rFonts w:hint="eastAsia"/>
          <w:rtl/>
        </w:rPr>
        <w:t>להטיב</w:t>
      </w:r>
      <w:r w:rsidRPr="00EB4739">
        <w:rPr>
          <w:rtl/>
        </w:rPr>
        <w:t xml:space="preserve"> </w:t>
      </w:r>
      <w:r w:rsidRPr="00EB4739">
        <w:rPr>
          <w:rFonts w:hint="eastAsia"/>
          <w:rtl/>
        </w:rPr>
        <w:t>עם</w:t>
      </w:r>
      <w:r w:rsidRPr="00EB4739">
        <w:rPr>
          <w:rtl/>
        </w:rPr>
        <w:t xml:space="preserve"> </w:t>
      </w:r>
      <w:r w:rsidRPr="00EB4739">
        <w:rPr>
          <w:rFonts w:hint="eastAsia"/>
          <w:rtl/>
        </w:rPr>
        <w:t>צרכנים</w:t>
      </w:r>
      <w:r w:rsidRPr="00EB4739">
        <w:rPr>
          <w:rtl/>
        </w:rPr>
        <w:t xml:space="preserve"> </w:t>
      </w:r>
      <w:r w:rsidRPr="00EB4739">
        <w:rPr>
          <w:rFonts w:hint="eastAsia"/>
          <w:rtl/>
        </w:rPr>
        <w:t>באמצעות</w:t>
      </w:r>
      <w:r w:rsidRPr="00EB4739">
        <w:rPr>
          <w:rtl/>
        </w:rPr>
        <w:t xml:space="preserve"> </w:t>
      </w:r>
      <w:r w:rsidRPr="00EB4739">
        <w:rPr>
          <w:rFonts w:hint="eastAsia"/>
          <w:rtl/>
        </w:rPr>
        <w:t>צריכת</w:t>
      </w:r>
      <w:r w:rsidRPr="00EB4739">
        <w:rPr>
          <w:rtl/>
        </w:rPr>
        <w:t xml:space="preserve"> </w:t>
      </w:r>
      <w:r w:rsidRPr="00EB4739">
        <w:rPr>
          <w:rFonts w:hint="eastAsia"/>
          <w:rtl/>
        </w:rPr>
        <w:t>שירותים</w:t>
      </w:r>
      <w:r w:rsidRPr="00EB4739">
        <w:rPr>
          <w:rtl/>
        </w:rPr>
        <w:t xml:space="preserve"> </w:t>
      </w:r>
      <w:r w:rsidRPr="00EB4739">
        <w:rPr>
          <w:rFonts w:hint="eastAsia"/>
          <w:rtl/>
        </w:rPr>
        <w:t>בנקאיים</w:t>
      </w:r>
      <w:r w:rsidRPr="00EB4739">
        <w:rPr>
          <w:rtl/>
        </w:rPr>
        <w:t xml:space="preserve"> </w:t>
      </w:r>
      <w:r w:rsidRPr="00EB4739">
        <w:rPr>
          <w:rFonts w:hint="eastAsia"/>
          <w:rtl/>
        </w:rPr>
        <w:t>בערוצים</w:t>
      </w:r>
      <w:r w:rsidRPr="00EB4739">
        <w:rPr>
          <w:rtl/>
        </w:rPr>
        <w:t xml:space="preserve"> </w:t>
      </w:r>
      <w:r w:rsidRPr="00EB4739">
        <w:rPr>
          <w:rFonts w:hint="eastAsia"/>
          <w:rtl/>
        </w:rPr>
        <w:t>דיגיטליים</w:t>
      </w:r>
      <w:r w:rsidRPr="00EB4739">
        <w:t xml:space="preserve"> - </w:t>
      </w:r>
      <w:r w:rsidRPr="00EB4739">
        <w:rPr>
          <w:rFonts w:hint="eastAsia"/>
          <w:rtl/>
        </w:rPr>
        <w:t>בטלפון</w:t>
      </w:r>
      <w:r w:rsidRPr="00EB4739">
        <w:rPr>
          <w:rtl/>
        </w:rPr>
        <w:t xml:space="preserve"> </w:t>
      </w:r>
      <w:r w:rsidRPr="00EB4739">
        <w:rPr>
          <w:rFonts w:hint="eastAsia"/>
          <w:rtl/>
        </w:rPr>
        <w:t>הנייד</w:t>
      </w:r>
      <w:r w:rsidRPr="00EB4739">
        <w:rPr>
          <w:rtl/>
        </w:rPr>
        <w:t xml:space="preserve"> </w:t>
      </w:r>
      <w:r w:rsidRPr="00EB4739">
        <w:rPr>
          <w:rFonts w:hint="eastAsia"/>
          <w:rtl/>
        </w:rPr>
        <w:t>ובמרשתת</w:t>
      </w:r>
      <w:r w:rsidRPr="00EB4739">
        <w:rPr>
          <w:rtl/>
        </w:rPr>
        <w:t xml:space="preserve"> (</w:t>
      </w:r>
      <w:r w:rsidRPr="00EB4739">
        <w:rPr>
          <w:rFonts w:hint="eastAsia"/>
          <w:rtl/>
        </w:rPr>
        <w:t>אינטרנט</w:t>
      </w:r>
      <w:r w:rsidRPr="00EB4739">
        <w:rPr>
          <w:rtl/>
        </w:rPr>
        <w:t xml:space="preserve">). </w:t>
      </w:r>
      <w:r w:rsidRPr="00EB4739">
        <w:rPr>
          <w:rFonts w:hint="eastAsia"/>
          <w:rtl/>
        </w:rPr>
        <w:t>היתרונות</w:t>
      </w:r>
      <w:r w:rsidRPr="00EB4739">
        <w:rPr>
          <w:rtl/>
        </w:rPr>
        <w:t xml:space="preserve"> </w:t>
      </w:r>
      <w:r w:rsidRPr="00EB4739">
        <w:rPr>
          <w:rFonts w:hint="eastAsia"/>
          <w:rtl/>
        </w:rPr>
        <w:t>המרכזיים</w:t>
      </w:r>
      <w:r w:rsidRPr="00EB4739">
        <w:rPr>
          <w:rtl/>
        </w:rPr>
        <w:t xml:space="preserve"> </w:t>
      </w:r>
      <w:r w:rsidRPr="00EB4739">
        <w:rPr>
          <w:rFonts w:hint="eastAsia"/>
          <w:rtl/>
        </w:rPr>
        <w:t>הגלומים</w:t>
      </w:r>
      <w:r w:rsidRPr="00EB4739">
        <w:rPr>
          <w:rtl/>
        </w:rPr>
        <w:t xml:space="preserve"> </w:t>
      </w:r>
      <w:r w:rsidRPr="00EB4739">
        <w:rPr>
          <w:rFonts w:hint="eastAsia"/>
          <w:rtl/>
        </w:rPr>
        <w:t>במעבר</w:t>
      </w:r>
      <w:r w:rsidRPr="00EB4739">
        <w:rPr>
          <w:rtl/>
        </w:rPr>
        <w:t xml:space="preserve"> </w:t>
      </w:r>
      <w:r w:rsidRPr="00EB4739">
        <w:rPr>
          <w:rFonts w:hint="eastAsia"/>
          <w:rtl/>
        </w:rPr>
        <w:t>לבנקאות</w:t>
      </w:r>
      <w:r w:rsidRPr="00EB4739">
        <w:rPr>
          <w:rtl/>
        </w:rPr>
        <w:t xml:space="preserve"> </w:t>
      </w:r>
      <w:r w:rsidRPr="00EB4739">
        <w:rPr>
          <w:rFonts w:hint="eastAsia"/>
          <w:rtl/>
        </w:rPr>
        <w:t>דיגיטלית</w:t>
      </w:r>
      <w:r w:rsidRPr="00EB4739">
        <w:rPr>
          <w:rtl/>
        </w:rPr>
        <w:t xml:space="preserve"> </w:t>
      </w:r>
      <w:r w:rsidRPr="00EB4739">
        <w:rPr>
          <w:rFonts w:hint="eastAsia"/>
          <w:rtl/>
        </w:rPr>
        <w:t>הם</w:t>
      </w:r>
      <w:r w:rsidRPr="00EB4739">
        <w:rPr>
          <w:rtl/>
        </w:rPr>
        <w:t xml:space="preserve"> </w:t>
      </w:r>
      <w:r w:rsidRPr="00EB4739">
        <w:rPr>
          <w:rFonts w:hint="eastAsia"/>
          <w:rtl/>
        </w:rPr>
        <w:t>שיפור</w:t>
      </w:r>
      <w:r w:rsidRPr="00EB4739">
        <w:rPr>
          <w:rtl/>
        </w:rPr>
        <w:t xml:space="preserve"> </w:t>
      </w:r>
      <w:r w:rsidRPr="00EB4739">
        <w:rPr>
          <w:rFonts w:hint="eastAsia"/>
          <w:rtl/>
        </w:rPr>
        <w:t>הנוחות</w:t>
      </w:r>
      <w:r w:rsidRPr="00EB4739">
        <w:rPr>
          <w:rtl/>
        </w:rPr>
        <w:t xml:space="preserve">, </w:t>
      </w:r>
      <w:r w:rsidRPr="00EB4739">
        <w:rPr>
          <w:rFonts w:hint="eastAsia"/>
          <w:rtl/>
        </w:rPr>
        <w:t>המהירות</w:t>
      </w:r>
      <w:r w:rsidRPr="00EB4739">
        <w:rPr>
          <w:rtl/>
        </w:rPr>
        <w:t xml:space="preserve"> </w:t>
      </w:r>
      <w:r w:rsidRPr="00EB4739">
        <w:rPr>
          <w:rFonts w:hint="eastAsia"/>
          <w:rtl/>
        </w:rPr>
        <w:t>והנגישות</w:t>
      </w:r>
      <w:r w:rsidRPr="00EB4739">
        <w:rPr>
          <w:rtl/>
        </w:rPr>
        <w:t xml:space="preserve"> </w:t>
      </w:r>
      <w:r w:rsidRPr="00EB4739">
        <w:rPr>
          <w:rFonts w:hint="eastAsia"/>
          <w:rtl/>
        </w:rPr>
        <w:t>לצרכנים</w:t>
      </w:r>
      <w:r w:rsidRPr="00EB4739">
        <w:rPr>
          <w:rtl/>
        </w:rPr>
        <w:t xml:space="preserve">, </w:t>
      </w:r>
      <w:r w:rsidRPr="00EB4739">
        <w:rPr>
          <w:rFonts w:hint="eastAsia"/>
          <w:rtl/>
        </w:rPr>
        <w:t>התאמת</w:t>
      </w:r>
      <w:r w:rsidRPr="00EB4739">
        <w:rPr>
          <w:rtl/>
        </w:rPr>
        <w:t xml:space="preserve"> </w:t>
      </w:r>
      <w:r w:rsidRPr="00EB4739">
        <w:rPr>
          <w:rFonts w:hint="eastAsia"/>
          <w:rtl/>
        </w:rPr>
        <w:t>השירותים</w:t>
      </w:r>
      <w:r w:rsidRPr="00EB4739">
        <w:rPr>
          <w:rtl/>
        </w:rPr>
        <w:t xml:space="preserve"> </w:t>
      </w:r>
      <w:r w:rsidRPr="00EB4739">
        <w:rPr>
          <w:rFonts w:hint="eastAsia"/>
          <w:rtl/>
        </w:rPr>
        <w:t>הבנקאיים</w:t>
      </w:r>
      <w:r w:rsidRPr="00EB4739">
        <w:rPr>
          <w:rtl/>
        </w:rPr>
        <w:t xml:space="preserve"> </w:t>
      </w:r>
      <w:r w:rsidRPr="00EB4739">
        <w:rPr>
          <w:rFonts w:hint="eastAsia"/>
          <w:rtl/>
        </w:rPr>
        <w:t>לאופן</w:t>
      </w:r>
      <w:r w:rsidRPr="00EB4739">
        <w:rPr>
          <w:rtl/>
        </w:rPr>
        <w:t xml:space="preserve"> </w:t>
      </w:r>
      <w:r w:rsidRPr="00EB4739">
        <w:rPr>
          <w:rFonts w:hint="eastAsia"/>
          <w:rtl/>
        </w:rPr>
        <w:t>הצריכה</w:t>
      </w:r>
      <w:r w:rsidRPr="00EB4739">
        <w:rPr>
          <w:rtl/>
        </w:rPr>
        <w:t xml:space="preserve"> </w:t>
      </w:r>
      <w:r w:rsidRPr="00EB4739">
        <w:rPr>
          <w:rFonts w:hint="eastAsia"/>
          <w:rtl/>
        </w:rPr>
        <w:t>המועדף</w:t>
      </w:r>
      <w:r w:rsidRPr="00EB4739">
        <w:rPr>
          <w:rtl/>
        </w:rPr>
        <w:t xml:space="preserve"> </w:t>
      </w:r>
      <w:r w:rsidRPr="00EB4739">
        <w:rPr>
          <w:rFonts w:hint="eastAsia"/>
          <w:rtl/>
        </w:rPr>
        <w:t>על</w:t>
      </w:r>
      <w:r w:rsidRPr="00EB4739">
        <w:rPr>
          <w:rtl/>
        </w:rPr>
        <w:t xml:space="preserve"> </w:t>
      </w:r>
      <w:r w:rsidRPr="00EB4739">
        <w:rPr>
          <w:rFonts w:hint="eastAsia"/>
          <w:rtl/>
        </w:rPr>
        <w:t>הצרכנים</w:t>
      </w:r>
      <w:r w:rsidRPr="00EB4739">
        <w:rPr>
          <w:rtl/>
        </w:rPr>
        <w:t xml:space="preserve">, </w:t>
      </w:r>
      <w:r w:rsidRPr="00EB4739">
        <w:rPr>
          <w:rFonts w:hint="eastAsia"/>
          <w:rtl/>
        </w:rPr>
        <w:t>ניצול</w:t>
      </w:r>
      <w:r w:rsidRPr="00EB4739">
        <w:rPr>
          <w:rtl/>
        </w:rPr>
        <w:t xml:space="preserve"> </w:t>
      </w:r>
      <w:r w:rsidRPr="00EB4739">
        <w:rPr>
          <w:rFonts w:hint="eastAsia"/>
          <w:rtl/>
        </w:rPr>
        <w:t>מבנה</w:t>
      </w:r>
      <w:r w:rsidRPr="00EB4739">
        <w:rPr>
          <w:rtl/>
        </w:rPr>
        <w:t xml:space="preserve"> </w:t>
      </w:r>
      <w:r w:rsidRPr="00EB4739">
        <w:rPr>
          <w:rFonts w:hint="eastAsia"/>
          <w:rtl/>
        </w:rPr>
        <w:t>רזה</w:t>
      </w:r>
      <w:r w:rsidRPr="00EB4739">
        <w:rPr>
          <w:rtl/>
        </w:rPr>
        <w:t xml:space="preserve"> </w:t>
      </w:r>
      <w:r w:rsidRPr="00EB4739">
        <w:rPr>
          <w:rFonts w:hint="eastAsia"/>
          <w:rtl/>
        </w:rPr>
        <w:t>של</w:t>
      </w:r>
      <w:r w:rsidRPr="00EB4739">
        <w:rPr>
          <w:rtl/>
        </w:rPr>
        <w:t xml:space="preserve"> </w:t>
      </w:r>
      <w:r w:rsidRPr="00EB4739">
        <w:rPr>
          <w:rFonts w:hint="eastAsia"/>
          <w:rtl/>
        </w:rPr>
        <w:t>הפעילות</w:t>
      </w:r>
      <w:r w:rsidRPr="00EB4739">
        <w:rPr>
          <w:rtl/>
        </w:rPr>
        <w:t xml:space="preserve"> </w:t>
      </w:r>
      <w:r w:rsidRPr="00EB4739">
        <w:rPr>
          <w:rFonts w:hint="eastAsia"/>
          <w:rtl/>
        </w:rPr>
        <w:t>להוזלת</w:t>
      </w:r>
      <w:r w:rsidRPr="00EB4739">
        <w:rPr>
          <w:rtl/>
        </w:rPr>
        <w:t xml:space="preserve"> </w:t>
      </w:r>
      <w:r w:rsidRPr="00EB4739">
        <w:rPr>
          <w:rFonts w:hint="eastAsia"/>
          <w:rtl/>
        </w:rPr>
        <w:t>תעריפים</w:t>
      </w:r>
      <w:r w:rsidRPr="00EB4739">
        <w:rPr>
          <w:rtl/>
        </w:rPr>
        <w:t xml:space="preserve">, </w:t>
      </w:r>
      <w:r w:rsidRPr="00EB4739">
        <w:rPr>
          <w:rFonts w:hint="eastAsia"/>
          <w:rtl/>
        </w:rPr>
        <w:t>הגברת</w:t>
      </w:r>
      <w:r w:rsidRPr="00EB4739">
        <w:rPr>
          <w:rtl/>
        </w:rPr>
        <w:t xml:space="preserve"> </w:t>
      </w:r>
      <w:r w:rsidRPr="00EB4739">
        <w:rPr>
          <w:rFonts w:hint="eastAsia"/>
          <w:rtl/>
        </w:rPr>
        <w:t>התחרות</w:t>
      </w:r>
      <w:r w:rsidRPr="00EB4739">
        <w:rPr>
          <w:rtl/>
        </w:rPr>
        <w:t xml:space="preserve">, </w:t>
      </w:r>
      <w:r w:rsidRPr="00EB4739">
        <w:rPr>
          <w:rFonts w:hint="eastAsia"/>
          <w:rtl/>
        </w:rPr>
        <w:t>היעילות</w:t>
      </w:r>
      <w:r w:rsidRPr="00EB4739">
        <w:rPr>
          <w:rtl/>
        </w:rPr>
        <w:t xml:space="preserve"> </w:t>
      </w:r>
      <w:r w:rsidRPr="00EB4739">
        <w:rPr>
          <w:rFonts w:hint="eastAsia"/>
          <w:rtl/>
        </w:rPr>
        <w:t>והבטיחות</w:t>
      </w:r>
      <w:r w:rsidRPr="00EB4739">
        <w:rPr>
          <w:rtl/>
        </w:rPr>
        <w:t xml:space="preserve"> </w:t>
      </w:r>
      <w:r w:rsidRPr="00EB4739">
        <w:rPr>
          <w:rFonts w:hint="eastAsia"/>
          <w:rtl/>
        </w:rPr>
        <w:t>של</w:t>
      </w:r>
      <w:r w:rsidRPr="00EB4739">
        <w:rPr>
          <w:rtl/>
        </w:rPr>
        <w:t xml:space="preserve"> </w:t>
      </w:r>
      <w:r w:rsidRPr="00EB4739">
        <w:rPr>
          <w:rFonts w:hint="eastAsia"/>
          <w:rtl/>
        </w:rPr>
        <w:t>מערך</w:t>
      </w:r>
      <w:r w:rsidRPr="00EB4739">
        <w:rPr>
          <w:rtl/>
        </w:rPr>
        <w:t xml:space="preserve"> </w:t>
      </w:r>
      <w:r w:rsidRPr="00EB4739">
        <w:rPr>
          <w:rFonts w:hint="eastAsia"/>
          <w:rtl/>
        </w:rPr>
        <w:t>התשלומים</w:t>
      </w:r>
      <w:r w:rsidRPr="00EB4739">
        <w:rPr>
          <w:rtl/>
        </w:rPr>
        <w:t xml:space="preserve">, </w:t>
      </w:r>
      <w:r w:rsidRPr="00EB4739">
        <w:rPr>
          <w:rFonts w:hint="eastAsia"/>
          <w:rtl/>
        </w:rPr>
        <w:t>וכן</w:t>
      </w:r>
      <w:r w:rsidRPr="00EB4739">
        <w:rPr>
          <w:rtl/>
        </w:rPr>
        <w:t xml:space="preserve"> </w:t>
      </w:r>
      <w:r w:rsidRPr="00EB4739">
        <w:rPr>
          <w:rFonts w:hint="eastAsia"/>
          <w:rtl/>
        </w:rPr>
        <w:t>האפשרות</w:t>
      </w:r>
      <w:r w:rsidRPr="00EB4739">
        <w:rPr>
          <w:rtl/>
        </w:rPr>
        <w:t xml:space="preserve"> </w:t>
      </w:r>
      <w:r w:rsidRPr="00EB4739">
        <w:rPr>
          <w:rFonts w:hint="eastAsia"/>
          <w:rtl/>
        </w:rPr>
        <w:t>לצמצם</w:t>
      </w:r>
      <w:r w:rsidRPr="00EB4739">
        <w:rPr>
          <w:rtl/>
        </w:rPr>
        <w:t xml:space="preserve"> </w:t>
      </w:r>
      <w:r w:rsidRPr="00EB4739">
        <w:rPr>
          <w:rFonts w:hint="eastAsia"/>
          <w:rtl/>
        </w:rPr>
        <w:t>את</w:t>
      </w:r>
      <w:r w:rsidRPr="00EB4739">
        <w:rPr>
          <w:rtl/>
        </w:rPr>
        <w:t xml:space="preserve"> </w:t>
      </w:r>
      <w:r w:rsidRPr="00EB4739">
        <w:rPr>
          <w:rFonts w:hint="eastAsia"/>
          <w:rtl/>
        </w:rPr>
        <w:t>השימוש</w:t>
      </w:r>
      <w:r w:rsidRPr="00EB4739">
        <w:rPr>
          <w:rtl/>
        </w:rPr>
        <w:t xml:space="preserve"> </w:t>
      </w:r>
      <w:r w:rsidRPr="00EB4739">
        <w:rPr>
          <w:rFonts w:hint="eastAsia"/>
          <w:rtl/>
        </w:rPr>
        <w:t>במזומן</w:t>
      </w:r>
      <w:r w:rsidRPr="00EB4739">
        <w:rPr>
          <w:rtl/>
        </w:rPr>
        <w:t xml:space="preserve"> </w:t>
      </w:r>
      <w:r w:rsidRPr="00EB4739">
        <w:rPr>
          <w:rFonts w:hint="eastAsia"/>
          <w:rtl/>
        </w:rPr>
        <w:t>ואת</w:t>
      </w:r>
      <w:r w:rsidRPr="00EB4739">
        <w:rPr>
          <w:rtl/>
        </w:rPr>
        <w:t xml:space="preserve"> </w:t>
      </w:r>
      <w:r w:rsidRPr="00EB4739">
        <w:rPr>
          <w:rFonts w:hint="eastAsia"/>
          <w:rtl/>
        </w:rPr>
        <w:t>הכלכלה</w:t>
      </w:r>
      <w:r w:rsidRPr="00EB4739">
        <w:rPr>
          <w:rtl/>
        </w:rPr>
        <w:t xml:space="preserve"> </w:t>
      </w:r>
      <w:r w:rsidRPr="00EB4739">
        <w:rPr>
          <w:rFonts w:hint="eastAsia"/>
          <w:rtl/>
        </w:rPr>
        <w:t>השחורה</w:t>
      </w:r>
      <w:r w:rsidRPr="001F3363" w:rsidR="0036097F">
        <w:rPr>
          <w:rFonts w:hint="cs"/>
          <w:rtl/>
        </w:rPr>
        <w:t>.</w:t>
      </w:r>
      <w:r w:rsidRPr="001F3363" w:rsidR="00B61DE7">
        <w:rPr>
          <w:rtl/>
        </w:rPr>
        <w:t xml:space="preserve"> </w:t>
      </w:r>
    </w:p>
    <w:p w:rsidR="007F4A20" w14:paraId="37B9E65E" w14:textId="77777777">
      <w:pPr>
        <w:bidi w:val="0"/>
        <w:spacing w:after="200" w:line="276" w:lineRule="auto"/>
        <w:rPr>
          <w:rFonts w:ascii="Tahoma" w:hAnsi="Tahoma" w:cs="Tahoma"/>
          <w:color w:val="0D0D0D" w:themeColor="text1" w:themeTint="F2"/>
          <w:sz w:val="18"/>
          <w:szCs w:val="18"/>
          <w:rtl/>
        </w:rPr>
      </w:pPr>
      <w:r>
        <w:rPr>
          <w:rtl/>
        </w:rPr>
        <w:br w:type="page"/>
      </w:r>
    </w:p>
    <w:p w:rsidR="005D0F8C" w:rsidP="007F4A20" w14:paraId="087C7BAD" w14:textId="0A8743A0">
      <w:pPr>
        <w:pStyle w:val="7392"/>
        <w:spacing w:before="360"/>
        <w:rPr>
          <w:b/>
          <w:bCs/>
          <w:color w:val="00305F"/>
          <w:sz w:val="32"/>
          <w:szCs w:val="32"/>
          <w:rtl/>
        </w:rPr>
      </w:pPr>
      <w:r w:rsidRPr="001F3363">
        <w:rPr>
          <w:noProof/>
          <w:rtl/>
        </w:rPr>
        <w:drawing>
          <wp:anchor distT="0" distB="0" distL="114300" distR="114300" simplePos="0" relativeHeight="251677696"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15"/>
        <w:gridCol w:w="237"/>
        <w:gridCol w:w="1530"/>
        <w:gridCol w:w="237"/>
        <w:gridCol w:w="1697"/>
        <w:gridCol w:w="268"/>
        <w:gridCol w:w="1686"/>
      </w:tblGrid>
      <w:tr w14:paraId="58B4726B" w14:textId="77777777" w:rsidTr="00D94345">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163" w:type="pct"/>
            <w:tcBorders>
              <w:bottom w:val="single" w:sz="12" w:space="0" w:color="000000"/>
            </w:tcBorders>
            <w:vAlign w:val="bottom"/>
          </w:tcPr>
          <w:p w:rsidR="00420374" w:rsidRPr="004562F8" w:rsidP="00937056" w14:paraId="23EB689E" w14:textId="607C04A7">
            <w:pPr>
              <w:spacing w:after="60" w:line="240" w:lineRule="auto"/>
              <w:rPr>
                <w:b/>
                <w:bCs/>
                <w:spacing w:val="-28"/>
                <w:rtl/>
              </w:rPr>
            </w:pPr>
            <w:r>
              <w:rPr>
                <w:rFonts w:ascii="Tahoma" w:hAnsi="Tahoma" w:eastAsiaTheme="minorEastAsia" w:cs="Tahoma"/>
                <w:b/>
                <w:bCs/>
                <w:color w:val="0D0D0D" w:themeColor="text1" w:themeTint="F2"/>
                <w:spacing w:val="-10"/>
                <w:sz w:val="36"/>
                <w:szCs w:val="36"/>
              </w:rPr>
              <w:t>1</w:t>
            </w:r>
          </w:p>
        </w:tc>
        <w:tc>
          <w:tcPr>
            <w:tcW w:w="161" w:type="pct"/>
            <w:vAlign w:val="bottom"/>
          </w:tcPr>
          <w:p w:rsidR="00420374" w:rsidP="00937056" w14:paraId="19192EA5" w14:textId="77777777">
            <w:pPr>
              <w:spacing w:before="120" w:after="60" w:line="240" w:lineRule="auto"/>
              <w:rPr>
                <w:rtl/>
              </w:rPr>
            </w:pPr>
          </w:p>
        </w:tc>
        <w:tc>
          <w:tcPr>
            <w:tcW w:w="1038" w:type="pct"/>
            <w:tcBorders>
              <w:bottom w:val="single" w:sz="12" w:space="0" w:color="000000"/>
            </w:tcBorders>
            <w:vAlign w:val="bottom"/>
          </w:tcPr>
          <w:p w:rsidR="00420374" w:rsidRPr="005C7ABF" w:rsidP="00937056" w14:paraId="761F4116" w14:textId="53361511">
            <w:pPr>
              <w:pStyle w:val="2021"/>
              <w:spacing w:before="0" w:after="60"/>
              <w:rPr>
                <w:spacing w:val="-10"/>
                <w:rtl/>
              </w:rPr>
            </w:pPr>
            <w:r>
              <w:rPr>
                <w:rFonts w:hint="cs"/>
                <w:spacing w:val="-10"/>
                <w:rtl/>
              </w:rPr>
              <w:t>11.4%</w:t>
            </w:r>
          </w:p>
        </w:tc>
        <w:tc>
          <w:tcPr>
            <w:tcW w:w="161" w:type="pct"/>
            <w:vAlign w:val="bottom"/>
          </w:tcPr>
          <w:p w:rsidR="00420374" w:rsidP="00937056" w14:paraId="2810DE55" w14:textId="77777777">
            <w:pPr>
              <w:spacing w:before="120" w:after="60" w:line="240" w:lineRule="auto"/>
              <w:rPr>
                <w:rtl/>
              </w:rPr>
            </w:pPr>
          </w:p>
        </w:tc>
        <w:tc>
          <w:tcPr>
            <w:tcW w:w="1151" w:type="pct"/>
            <w:tcBorders>
              <w:bottom w:val="single" w:sz="12" w:space="0" w:color="000000"/>
            </w:tcBorders>
            <w:vAlign w:val="bottom"/>
          </w:tcPr>
          <w:p w:rsidR="00420374" w:rsidRPr="00340353" w:rsidP="00937056" w14:paraId="2A2E27BD" w14:textId="2960DE4A">
            <w:pPr>
              <w:pStyle w:val="2021"/>
              <w:spacing w:before="0" w:after="60"/>
              <w:rPr>
                <w:b w:val="0"/>
                <w:bCs w:val="0"/>
                <w:spacing w:val="-20"/>
                <w:sz w:val="24"/>
                <w:rtl/>
              </w:rPr>
            </w:pPr>
            <w:r w:rsidRPr="0093327C">
              <w:rPr>
                <w:rFonts w:hint="cs"/>
                <w:spacing w:val="-10"/>
                <w:sz w:val="26"/>
                <w:szCs w:val="26"/>
                <w:rtl/>
              </w:rPr>
              <w:t>רק</w:t>
            </w:r>
            <w:r>
              <w:rPr>
                <w:rFonts w:hint="cs"/>
                <w:spacing w:val="-10"/>
                <w:rtl/>
              </w:rPr>
              <w:t xml:space="preserve"> 2</w:t>
            </w:r>
            <w:r>
              <w:rPr>
                <w:rFonts w:hint="cs"/>
                <w:spacing w:val="-10"/>
                <w:rtl/>
              </w:rPr>
              <w:t xml:space="preserve"> </w:t>
            </w:r>
          </w:p>
        </w:tc>
        <w:tc>
          <w:tcPr>
            <w:tcW w:w="182" w:type="pct"/>
          </w:tcPr>
          <w:p w:rsidR="00420374" w:rsidP="00937056" w14:paraId="47B754BA" w14:textId="77777777">
            <w:pPr>
              <w:pStyle w:val="2021"/>
              <w:spacing w:before="0" w:after="60"/>
              <w:rPr>
                <w:spacing w:val="-10"/>
                <w:rtl/>
              </w:rPr>
            </w:pPr>
          </w:p>
        </w:tc>
        <w:tc>
          <w:tcPr>
            <w:tcW w:w="1145" w:type="pct"/>
            <w:tcBorders>
              <w:bottom w:val="single" w:sz="12" w:space="0" w:color="000000"/>
            </w:tcBorders>
            <w:vAlign w:val="bottom"/>
          </w:tcPr>
          <w:p w:rsidR="00420374" w:rsidP="00937056" w14:paraId="5F3A3FF5" w14:textId="3D229CA2">
            <w:pPr>
              <w:pStyle w:val="2021"/>
              <w:spacing w:before="0" w:after="60"/>
              <w:rPr>
                <w:spacing w:val="-10"/>
                <w:rtl/>
              </w:rPr>
            </w:pPr>
            <w:r>
              <w:rPr>
                <w:rFonts w:hint="cs"/>
                <w:spacing w:val="-10"/>
                <w:rtl/>
              </w:rPr>
              <w:t>16</w:t>
            </w:r>
            <w:r>
              <w:rPr>
                <w:rFonts w:hint="cs"/>
                <w:spacing w:val="-10"/>
                <w:rtl/>
              </w:rPr>
              <w:t xml:space="preserve"> </w:t>
            </w:r>
          </w:p>
        </w:tc>
      </w:tr>
      <w:tr w14:paraId="6DFAF81C" w14:textId="77777777" w:rsidTr="00D94345">
        <w:tblPrEx>
          <w:tblW w:w="5000" w:type="pct"/>
          <w:tblLook w:val="04A0"/>
        </w:tblPrEx>
        <w:tc>
          <w:tcPr>
            <w:tcW w:w="1163" w:type="pct"/>
            <w:tcBorders>
              <w:top w:val="single" w:sz="12" w:space="0" w:color="000000"/>
            </w:tcBorders>
          </w:tcPr>
          <w:p w:rsidR="00420374" w:rsidRPr="00E52143" w:rsidP="004949A5" w14:paraId="1D96599A" w14:textId="0C11F747">
            <w:pPr>
              <w:pStyle w:val="732021"/>
              <w:spacing w:before="0" w:after="360"/>
              <w:rPr>
                <w:rtl/>
              </w:rPr>
            </w:pPr>
            <w:r w:rsidRPr="00EB4739">
              <w:rPr>
                <w:rFonts w:hint="cs"/>
                <w:rtl/>
              </w:rPr>
              <w:t>תאגיד בנקאי חדש אחד הוקם מאז שנות השבעים של המאה העשרים. זהו התאגיד הבנקאי הדיגיטלי היחיד שפועל בישראל</w:t>
            </w:r>
          </w:p>
        </w:tc>
        <w:tc>
          <w:tcPr>
            <w:tcW w:w="161" w:type="pct"/>
          </w:tcPr>
          <w:p w:rsidR="00420374" w:rsidRPr="00E52143" w:rsidP="004949A5" w14:paraId="2BF81D8C" w14:textId="77777777">
            <w:pPr>
              <w:pStyle w:val="732021"/>
              <w:spacing w:before="0" w:after="360"/>
              <w:rPr>
                <w:rtl/>
              </w:rPr>
            </w:pPr>
          </w:p>
        </w:tc>
        <w:tc>
          <w:tcPr>
            <w:tcW w:w="1038" w:type="pct"/>
            <w:tcBorders>
              <w:top w:val="single" w:sz="12" w:space="0" w:color="000000"/>
            </w:tcBorders>
          </w:tcPr>
          <w:p w:rsidR="00420374" w:rsidRPr="00E52143" w:rsidP="004949A5" w14:paraId="68924AF7" w14:textId="2326428B">
            <w:pPr>
              <w:pStyle w:val="732021"/>
              <w:spacing w:before="0" w:after="360"/>
              <w:rPr>
                <w:rtl/>
              </w:rPr>
            </w:pPr>
            <w:r w:rsidRPr="00EB4739">
              <w:rPr>
                <w:rFonts w:hint="cs"/>
                <w:rtl/>
              </w:rPr>
              <w:t>הגידול השנתי הממוצע ברווח חמש הקבוצות הבנקאיות הגדולות בניכוי הפרשה להפסדי אשראי בשנים 2014 - 2021. הרווח השנתי גדל מ-10.4 מיליארד ש"ח ב-2014 ל-22.1 מיליארד ש"ח ב-2021</w:t>
            </w:r>
          </w:p>
        </w:tc>
        <w:tc>
          <w:tcPr>
            <w:tcW w:w="161" w:type="pct"/>
          </w:tcPr>
          <w:p w:rsidR="00420374" w:rsidRPr="00E52143" w:rsidP="004949A5" w14:paraId="4F52CE08" w14:textId="77777777">
            <w:pPr>
              <w:pStyle w:val="732021"/>
              <w:spacing w:before="0" w:after="360"/>
              <w:rPr>
                <w:rtl/>
              </w:rPr>
            </w:pPr>
          </w:p>
        </w:tc>
        <w:tc>
          <w:tcPr>
            <w:tcW w:w="1151" w:type="pct"/>
            <w:tcBorders>
              <w:top w:val="single" w:sz="12" w:space="0" w:color="000000"/>
            </w:tcBorders>
          </w:tcPr>
          <w:p w:rsidR="00420374" w:rsidRPr="00E52143" w:rsidP="004949A5" w14:paraId="203F9568" w14:textId="1815F944">
            <w:pPr>
              <w:pStyle w:val="732021"/>
              <w:spacing w:before="0" w:after="360"/>
              <w:rPr>
                <w:rtl/>
              </w:rPr>
            </w:pPr>
            <w:r w:rsidRPr="00EB4739">
              <w:rPr>
                <w:rFonts w:hint="cs"/>
                <w:rtl/>
              </w:rPr>
              <w:t>מספר הגופים שצפויים לקבל שירות מלשכת שירותי מחשוב בנקאיים, שהוקמה בעלות של 105 עד 200 מיליון ש"ח, ונועדה לעודד תחרות בשירותים פיננסיים באמצעות כניסת שחקנים נוספים</w:t>
            </w:r>
            <w:r w:rsidRPr="00E52143">
              <w:rPr>
                <w:rFonts w:hint="cs"/>
                <w:rtl/>
              </w:rPr>
              <w:t xml:space="preserve"> </w:t>
            </w:r>
          </w:p>
        </w:tc>
        <w:tc>
          <w:tcPr>
            <w:tcW w:w="182" w:type="pct"/>
          </w:tcPr>
          <w:p w:rsidR="00420374" w:rsidRPr="00E52143" w:rsidP="004949A5" w14:paraId="42538096" w14:textId="77777777">
            <w:pPr>
              <w:pStyle w:val="732021"/>
              <w:spacing w:before="0" w:after="360"/>
              <w:rPr>
                <w:rtl/>
              </w:rPr>
            </w:pPr>
          </w:p>
        </w:tc>
        <w:tc>
          <w:tcPr>
            <w:tcW w:w="1145" w:type="pct"/>
            <w:tcBorders>
              <w:top w:val="single" w:sz="12" w:space="0" w:color="000000"/>
            </w:tcBorders>
          </w:tcPr>
          <w:p w:rsidR="00420374" w:rsidRPr="00E52143" w:rsidP="004949A5" w14:paraId="1878D11D" w14:textId="28B3D470">
            <w:pPr>
              <w:pStyle w:val="732021"/>
              <w:spacing w:before="0" w:after="360"/>
              <w:rPr>
                <w:rtl/>
              </w:rPr>
            </w:pPr>
            <w:r w:rsidRPr="00EB4739">
              <w:rPr>
                <w:rFonts w:hint="cs"/>
                <w:rtl/>
              </w:rPr>
              <w:t>הדירוג שקיבלה ישראל בתחום השירותים הדיגיטליים בסקר שביעות רצון לקוחות הבנקים מתוך 28 שווקים מובילים. עם זאת הציון הכללי בו דורגה ישראל היה 27 - דירוג אחד לפני האחרון</w:t>
            </w:r>
          </w:p>
        </w:tc>
      </w:tr>
      <w:tr w14:paraId="1BD5A20C" w14:textId="77777777" w:rsidTr="00D94345">
        <w:tblPrEx>
          <w:tblW w:w="5000" w:type="pct"/>
          <w:tblLook w:val="04A0"/>
        </w:tblPrEx>
        <w:tc>
          <w:tcPr>
            <w:tcW w:w="1163" w:type="pct"/>
            <w:tcBorders>
              <w:bottom w:val="single" w:sz="12" w:space="0" w:color="000000"/>
            </w:tcBorders>
            <w:vAlign w:val="bottom"/>
          </w:tcPr>
          <w:p w:rsidR="00420374" w:rsidRPr="00411396" w:rsidP="000F469C" w14:paraId="500D3B50" w14:textId="524FC013">
            <w:pPr>
              <w:spacing w:after="60" w:line="240" w:lineRule="auto"/>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47.2</w:t>
            </w:r>
            <w:r>
              <w:rPr>
                <w:rFonts w:ascii="Tahoma" w:hAnsi="Tahoma" w:eastAsiaTheme="minorEastAsia" w:cs="Tahoma" w:hint="cs"/>
                <w:b/>
                <w:bCs/>
                <w:color w:val="0D0D0D" w:themeColor="text1" w:themeTint="F2"/>
                <w:spacing w:val="-10"/>
                <w:sz w:val="36"/>
                <w:szCs w:val="36"/>
                <w:rtl/>
              </w:rPr>
              <w:t>%</w:t>
            </w:r>
          </w:p>
        </w:tc>
        <w:tc>
          <w:tcPr>
            <w:tcW w:w="161" w:type="pct"/>
            <w:vAlign w:val="bottom"/>
          </w:tcPr>
          <w:p w:rsidR="00420374" w:rsidRPr="00E52143" w:rsidP="000F469C" w14:paraId="26A950B1" w14:textId="77777777">
            <w:pPr>
              <w:spacing w:after="60"/>
              <w:jc w:val="left"/>
              <w:rPr>
                <w:rFonts w:ascii="Tahoma" w:hAnsi="Tahoma" w:eastAsiaTheme="minorEastAsia" w:cs="Tahoma"/>
                <w:b/>
                <w:bCs/>
                <w:color w:val="0D0D0D" w:themeColor="text1" w:themeTint="F2"/>
                <w:spacing w:val="-10"/>
                <w:sz w:val="36"/>
                <w:szCs w:val="36"/>
                <w:rtl/>
              </w:rPr>
            </w:pPr>
          </w:p>
        </w:tc>
        <w:tc>
          <w:tcPr>
            <w:tcW w:w="1038" w:type="pct"/>
            <w:tcBorders>
              <w:bottom w:val="single" w:sz="12" w:space="0" w:color="000000"/>
            </w:tcBorders>
            <w:vAlign w:val="bottom"/>
          </w:tcPr>
          <w:p w:rsidR="00420374" w:rsidRPr="008D750B" w:rsidP="000F469C" w14:paraId="48896DF7" w14:textId="2A9B4597">
            <w:pPr>
              <w:pStyle w:val="2021"/>
              <w:spacing w:before="0" w:after="60"/>
              <w:rPr>
                <w:spacing w:val="-10"/>
                <w:rtl/>
              </w:rPr>
            </w:pPr>
            <w:r>
              <w:rPr>
                <w:rFonts w:hint="cs"/>
                <w:spacing w:val="-10"/>
                <w:rtl/>
              </w:rPr>
              <w:t xml:space="preserve">240 </w:t>
            </w:r>
            <w:r w:rsidRPr="0093327C">
              <w:rPr>
                <w:rFonts w:hint="cs"/>
                <w:spacing w:val="-10"/>
                <w:sz w:val="26"/>
                <w:szCs w:val="26"/>
                <w:rtl/>
              </w:rPr>
              <w:t>מיליון ש״ח</w:t>
            </w:r>
          </w:p>
        </w:tc>
        <w:tc>
          <w:tcPr>
            <w:tcW w:w="161" w:type="pct"/>
            <w:vAlign w:val="bottom"/>
          </w:tcPr>
          <w:p w:rsidR="00420374" w:rsidP="000F469C" w14:paraId="5B4C8A80" w14:textId="77777777">
            <w:pPr>
              <w:spacing w:after="60" w:line="240" w:lineRule="auto"/>
              <w:jc w:val="left"/>
              <w:rPr>
                <w:rtl/>
              </w:rPr>
            </w:pPr>
          </w:p>
        </w:tc>
        <w:tc>
          <w:tcPr>
            <w:tcW w:w="1151" w:type="pct"/>
            <w:tcBorders>
              <w:bottom w:val="single" w:sz="12" w:space="0" w:color="000000"/>
            </w:tcBorders>
            <w:vAlign w:val="bottom"/>
          </w:tcPr>
          <w:p w:rsidR="00420374" w:rsidRPr="0062456C" w:rsidP="000F469C" w14:paraId="226A2E50" w14:textId="3EC35B0D">
            <w:pPr>
              <w:spacing w:after="60" w:line="192" w:lineRule="auto"/>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69%</w:t>
            </w:r>
          </w:p>
        </w:tc>
        <w:tc>
          <w:tcPr>
            <w:tcW w:w="182" w:type="pct"/>
          </w:tcPr>
          <w:p w:rsidR="00420374" w:rsidP="000F469C" w14:paraId="5E7F766C" w14:textId="77777777">
            <w:pPr>
              <w:spacing w:after="60" w:line="240" w:lineRule="auto"/>
              <w:rPr>
                <w:rFonts w:ascii="Tahoma" w:hAnsi="Tahoma" w:eastAsiaTheme="minorEastAsia" w:cs="Tahoma"/>
                <w:b/>
                <w:bCs/>
                <w:color w:val="0D0D0D" w:themeColor="text1" w:themeTint="F2"/>
                <w:spacing w:val="-10"/>
                <w:sz w:val="36"/>
                <w:szCs w:val="36"/>
                <w:rtl/>
              </w:rPr>
            </w:pPr>
          </w:p>
        </w:tc>
        <w:tc>
          <w:tcPr>
            <w:tcW w:w="1145" w:type="pct"/>
            <w:tcBorders>
              <w:bottom w:val="single" w:sz="12" w:space="0" w:color="000000"/>
            </w:tcBorders>
            <w:vAlign w:val="bottom"/>
          </w:tcPr>
          <w:p w:rsidR="00420374" w:rsidP="000F469C" w14:paraId="5AEEF263" w14:textId="2C29311A">
            <w:pPr>
              <w:spacing w:after="60" w:line="240" w:lineRule="auto"/>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96%</w:t>
            </w:r>
          </w:p>
        </w:tc>
      </w:tr>
      <w:tr w14:paraId="54154FA5" w14:textId="77777777" w:rsidTr="00D94345">
        <w:tblPrEx>
          <w:tblW w:w="5000" w:type="pct"/>
          <w:tblLook w:val="04A0"/>
        </w:tblPrEx>
        <w:tc>
          <w:tcPr>
            <w:tcW w:w="1163" w:type="pct"/>
            <w:tcBorders>
              <w:top w:val="single" w:sz="12" w:space="0" w:color="000000"/>
            </w:tcBorders>
          </w:tcPr>
          <w:p w:rsidR="00420374" w:rsidRPr="004562F8" w:rsidP="00937056" w14:paraId="6DB67748" w14:textId="44730A17">
            <w:pPr>
              <w:pStyle w:val="732021"/>
              <w:spacing w:before="0" w:after="0"/>
              <w:rPr>
                <w:rtl/>
              </w:rPr>
            </w:pPr>
            <w:r w:rsidRPr="00EB4739">
              <w:rPr>
                <w:rFonts w:hint="cs"/>
                <w:rtl/>
              </w:rPr>
              <w:t>שיעור העסקות החכמות</w:t>
            </w:r>
            <w:r>
              <w:rPr>
                <w:vertAlign w:val="superscript"/>
                <w:rtl/>
              </w:rPr>
              <w:footnoteReference w:id="2"/>
            </w:r>
            <w:r w:rsidRPr="00EB4739">
              <w:rPr>
                <w:rFonts w:hint="cs"/>
                <w:rtl/>
              </w:rPr>
              <w:t xml:space="preserve"> מכלל העסקות במערכת התשלומים של שב"א בנובמבר 2021</w:t>
            </w:r>
            <w:r w:rsidRPr="00EB4739">
              <w:rPr>
                <w:rtl/>
              </w:rPr>
              <w:t>.</w:t>
            </w:r>
            <w:r w:rsidRPr="00EB4739">
              <w:rPr>
                <w:rFonts w:hint="cs"/>
                <w:rtl/>
              </w:rPr>
              <w:t xml:space="preserve"> שיעור העסקות החכמות מכלל העסקות בכרטיסי חיוב בעול</w:t>
            </w:r>
            <w:r w:rsidRPr="00EB4739">
              <w:rPr>
                <w:rFonts w:hint="eastAsia"/>
                <w:rtl/>
              </w:rPr>
              <w:t>ם</w:t>
            </w:r>
            <w:r w:rsidRPr="00EB4739">
              <w:rPr>
                <w:rFonts w:hint="cs"/>
                <w:rtl/>
              </w:rPr>
              <w:t xml:space="preserve"> נאמד ב-88.6% ברבעון השני של 2021</w:t>
            </w:r>
          </w:p>
        </w:tc>
        <w:tc>
          <w:tcPr>
            <w:tcW w:w="161" w:type="pct"/>
          </w:tcPr>
          <w:p w:rsidR="00420374" w:rsidRPr="008D750B" w:rsidP="00937056" w14:paraId="0C0AE598" w14:textId="77777777">
            <w:pPr>
              <w:pStyle w:val="732021"/>
              <w:spacing w:before="0" w:after="0"/>
              <w:rPr>
                <w:rtl/>
              </w:rPr>
            </w:pPr>
          </w:p>
        </w:tc>
        <w:tc>
          <w:tcPr>
            <w:tcW w:w="1038" w:type="pct"/>
            <w:tcBorders>
              <w:top w:val="single" w:sz="12" w:space="0" w:color="000000"/>
            </w:tcBorders>
          </w:tcPr>
          <w:p w:rsidR="00420374" w:rsidRPr="004562F8" w:rsidP="00937056" w14:paraId="1916A301" w14:textId="6A5CF81F">
            <w:pPr>
              <w:pStyle w:val="732021"/>
              <w:spacing w:before="0" w:after="0"/>
              <w:rPr>
                <w:rtl/>
              </w:rPr>
            </w:pPr>
            <w:r w:rsidRPr="00EB4739">
              <w:rPr>
                <w:rFonts w:hint="eastAsia"/>
                <w:rtl/>
              </w:rPr>
              <w:t>אומדן</w:t>
            </w:r>
            <w:r w:rsidRPr="00EB4739">
              <w:rPr>
                <w:rtl/>
              </w:rPr>
              <w:t xml:space="preserve"> עלות הקמת מערכת ניידות בין בנקים מתוך מקורות המערכת הבנקאית</w:t>
            </w:r>
          </w:p>
        </w:tc>
        <w:tc>
          <w:tcPr>
            <w:tcW w:w="161" w:type="pct"/>
          </w:tcPr>
          <w:p w:rsidR="00420374" w:rsidP="00937056" w14:paraId="14782C57" w14:textId="77777777">
            <w:pPr>
              <w:pStyle w:val="732021"/>
              <w:spacing w:before="0" w:after="0"/>
              <w:rPr>
                <w:rtl/>
              </w:rPr>
            </w:pPr>
          </w:p>
        </w:tc>
        <w:tc>
          <w:tcPr>
            <w:tcW w:w="1151" w:type="pct"/>
            <w:tcBorders>
              <w:top w:val="single" w:sz="12" w:space="0" w:color="000000"/>
            </w:tcBorders>
          </w:tcPr>
          <w:p w:rsidR="00420374" w:rsidRPr="0062456C" w:rsidP="00937056" w14:paraId="6149CA50" w14:textId="0859AFDD">
            <w:pPr>
              <w:pStyle w:val="732021"/>
              <w:spacing w:before="0" w:after="0"/>
              <w:rPr>
                <w:rtl/>
              </w:rPr>
            </w:pPr>
            <w:r w:rsidRPr="00EB4739">
              <w:rPr>
                <w:rFonts w:hint="cs"/>
                <w:rtl/>
              </w:rPr>
              <w:t>שיעור ההוזלה הממוצע של תעריף ביצוע פעולה במערכת הבנקאית בערוץ ישיר, ביחס לביצועה בידי פקיד</w:t>
            </w:r>
          </w:p>
        </w:tc>
        <w:tc>
          <w:tcPr>
            <w:tcW w:w="182" w:type="pct"/>
          </w:tcPr>
          <w:p w:rsidR="00420374" w:rsidRPr="00C92141" w:rsidP="00937056" w14:paraId="66E34E8E" w14:textId="77777777">
            <w:pPr>
              <w:pStyle w:val="732021"/>
              <w:spacing w:before="0" w:after="0"/>
              <w:rPr>
                <w:rtl/>
              </w:rPr>
            </w:pPr>
          </w:p>
        </w:tc>
        <w:tc>
          <w:tcPr>
            <w:tcW w:w="1145" w:type="pct"/>
            <w:tcBorders>
              <w:top w:val="single" w:sz="12" w:space="0" w:color="000000"/>
            </w:tcBorders>
          </w:tcPr>
          <w:p w:rsidR="00420374" w:rsidRPr="00C92141" w:rsidP="00937056" w14:paraId="39498237" w14:textId="1C864209">
            <w:pPr>
              <w:pStyle w:val="732021"/>
              <w:spacing w:before="0" w:after="0"/>
              <w:rPr>
                <w:rtl/>
              </w:rPr>
            </w:pPr>
            <w:r w:rsidRPr="00EB4739">
              <w:rPr>
                <w:rtl/>
              </w:rPr>
              <w:t>שיעור בקשות סגירת הסניפים שאושרו בשנים 2016 - 2021 בחמשת הבנקים הגדולים</w:t>
            </w:r>
          </w:p>
        </w:tc>
      </w:tr>
    </w:tbl>
    <w:p w:rsidR="00420374" w:rsidP="00420374" w14:paraId="509D5AB6" w14:textId="3635E7B0">
      <w:pPr>
        <w:pStyle w:val="7317"/>
        <w:spacing w:after="0"/>
        <w:rPr>
          <w:sz w:val="10"/>
          <w:szCs w:val="10"/>
          <w:rtl/>
        </w:rPr>
      </w:pPr>
    </w:p>
    <w:p w:rsidR="0093327C" w:rsidP="00420374" w14:paraId="4D062573" w14:textId="663439D7">
      <w:pPr>
        <w:pStyle w:val="7317"/>
        <w:spacing w:after="0"/>
        <w:rPr>
          <w:sz w:val="10"/>
          <w:szCs w:val="10"/>
          <w:rtl/>
        </w:rPr>
      </w:pPr>
    </w:p>
    <w:p w:rsidR="0093327C" w:rsidP="00420374" w14:paraId="7C9BE9C8" w14:textId="77777777">
      <w:pPr>
        <w:pStyle w:val="7317"/>
        <w:spacing w:after="0"/>
        <w:rPr>
          <w:sz w:val="10"/>
          <w:szCs w:val="10"/>
          <w:rtl/>
        </w:rPr>
      </w:pPr>
    </w:p>
    <w:p w:rsidR="00420374" w:rsidRPr="00C62692" w:rsidP="00420374" w14:paraId="3FADD5EE" w14:textId="54B24109">
      <w:pPr>
        <w:pStyle w:val="73"/>
        <w:rPr>
          <w:rtl/>
        </w:rPr>
      </w:pPr>
      <w:r w:rsidRPr="00C62692">
        <w:rPr>
          <w:rtl/>
        </w:rPr>
        <w:t>פעולות הביקורת</w:t>
      </w:r>
    </w:p>
    <w:p w:rsidR="00420374" w:rsidP="00420374" w14:paraId="0AF4CED3" w14:textId="28B6F7AD">
      <w:pPr>
        <w:pStyle w:val="7317"/>
        <w:rPr>
          <w:rtl/>
        </w:rPr>
      </w:pPr>
      <w:r w:rsidRPr="001F3363">
        <w:rPr>
          <w:noProof/>
        </w:rPr>
        <w:drawing>
          <wp:anchor distT="0" distB="0" distL="114300" distR="114300" simplePos="0" relativeHeight="251682816" behindDoc="0" locked="0" layoutInCell="1" allowOverlap="1">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4739" w:rsidR="0093327C">
        <w:rPr>
          <w:rtl/>
        </w:rPr>
        <w:t>בחודשי</w:t>
      </w:r>
      <w:r w:rsidRPr="00EB4739" w:rsidR="0093327C">
        <w:rPr>
          <w:rFonts w:hint="cs"/>
          <w:rtl/>
        </w:rPr>
        <w:t>ם אוקטובר</w:t>
      </w:r>
      <w:r w:rsidRPr="00EB4739" w:rsidR="0093327C">
        <w:rPr>
          <w:rtl/>
        </w:rPr>
        <w:t xml:space="preserve"> </w:t>
      </w:r>
      <w:r w:rsidRPr="00EB4739" w:rsidR="0093327C">
        <w:rPr>
          <w:rFonts w:hint="cs"/>
          <w:rtl/>
        </w:rPr>
        <w:t>2021 עד פברואר 2022</w:t>
      </w:r>
      <w:r w:rsidRPr="00EB4739" w:rsidR="0093327C">
        <w:rPr>
          <w:rtl/>
        </w:rPr>
        <w:t xml:space="preserve"> בדק משרד מבקר המדינה </w:t>
      </w:r>
      <w:r w:rsidRPr="00EB4739" w:rsidR="0093327C">
        <w:rPr>
          <w:rFonts w:hint="cs"/>
          <w:rtl/>
        </w:rPr>
        <w:t xml:space="preserve">היבטים שונים הנוגעים להתפתחות הבנקאות הדיגיטלית, ובהם חסמים להטמעת טכנולוגיות חדשות ולכניסת שחקנים חדשים, בפרט בנקים דיגיטליים, ורפורמות שקודמו להגברת התחרות בשירותים פיננסיים ובנקאיים. הבדיקה התמקדה גם בהשפעה של המעבר לבנקאות דיגיטלית על הציבור, בבחינת היקפה, טיב השירות הניתן באמצעותה, דרכי הגישה אליה ועלותה. </w:t>
      </w:r>
      <w:r w:rsidRPr="00EB4739" w:rsidR="0093327C">
        <w:rPr>
          <w:rtl/>
        </w:rPr>
        <w:t xml:space="preserve">הבדיקה </w:t>
      </w:r>
      <w:r w:rsidRPr="00EB4739" w:rsidR="0093327C">
        <w:rPr>
          <w:rFonts w:hint="cs"/>
          <w:rtl/>
        </w:rPr>
        <w:t xml:space="preserve">התמקדה </w:t>
      </w:r>
      <w:r w:rsidRPr="00EB4739" w:rsidR="0093327C">
        <w:rPr>
          <w:rFonts w:hint="eastAsia"/>
          <w:rtl/>
        </w:rPr>
        <w:t>ב</w:t>
      </w:r>
      <w:r w:rsidRPr="00EB4739" w:rsidR="0093327C">
        <w:rPr>
          <w:rFonts w:hint="cs"/>
          <w:rtl/>
        </w:rPr>
        <w:t xml:space="preserve">בנק ישראל, ובמיוחד בחטיבת הפיקוח על הבנקים בתוכו. </w:t>
      </w:r>
      <w:r w:rsidRPr="00EB4739" w:rsidR="0093327C">
        <w:rPr>
          <w:rtl/>
        </w:rPr>
        <w:t>בדיקות השלמה נע</w:t>
      </w:r>
      <w:r w:rsidRPr="00EB4739" w:rsidR="0093327C">
        <w:rPr>
          <w:rFonts w:hint="cs"/>
          <w:rtl/>
        </w:rPr>
        <w:t>רכו</w:t>
      </w:r>
      <w:r w:rsidRPr="00EB4739" w:rsidR="0093327C">
        <w:rPr>
          <w:rtl/>
        </w:rPr>
        <w:t xml:space="preserve"> </w:t>
      </w:r>
      <w:r w:rsidRPr="00EB4739" w:rsidR="0093327C">
        <w:rPr>
          <w:rFonts w:hint="eastAsia"/>
          <w:rtl/>
        </w:rPr>
        <w:t>ברשות</w:t>
      </w:r>
      <w:r w:rsidRPr="00EB4739" w:rsidR="0093327C">
        <w:rPr>
          <w:rFonts w:hint="cs"/>
          <w:rtl/>
        </w:rPr>
        <w:t xml:space="preserve"> שוק ההון, ביטוח וחיסכון (רשות שוק ההון), ברשות ניירות ערך (רשות ני"ע), באגף התקציבים במשרד האוצר ובסוכנות לעסקים קטנים ובינוניים במשרד הכלכלה</w:t>
      </w:r>
      <w:r>
        <w:rPr>
          <w:rFonts w:hint="cs"/>
          <w:rtl/>
        </w:rPr>
        <w:t>.</w:t>
      </w:r>
      <w:r w:rsidRPr="001F3363">
        <w:rPr>
          <w:rFonts w:hint="cs"/>
          <w:rtl/>
        </w:rPr>
        <w:t xml:space="preserve"> </w:t>
      </w:r>
    </w:p>
    <w:p w:rsidR="0093327C" w:rsidP="0093327C" w14:paraId="694CFF8F" w14:textId="398ADDBB">
      <w:pPr>
        <w:pStyle w:val="7317"/>
        <w:spacing w:after="120"/>
        <w:ind w:firstLine="284"/>
        <w:rPr>
          <w:rtl/>
        </w:rPr>
      </w:pPr>
    </w:p>
    <w:p w:rsidR="0093327C" w:rsidRPr="00662020" w:rsidP="0093327C" w14:paraId="1F9EAD7E" w14:textId="75DF8151">
      <w:pPr>
        <w:pStyle w:val="7327"/>
        <w:rPr>
          <w:rtl/>
        </w:rPr>
      </w:pPr>
      <w:r w:rsidRPr="00662020">
        <w:rPr>
          <w:rFonts w:hint="cs"/>
          <w:rtl/>
        </w:rPr>
        <w:t>תמונת המצב העולה מן הביקורת</w:t>
      </w:r>
    </w:p>
    <w:p w:rsidR="0093327C" w:rsidRPr="001F3363" w:rsidP="00420374" w14:paraId="1F692434" w14:textId="1A70E954">
      <w:pPr>
        <w:pStyle w:val="7317"/>
        <w:rPr>
          <w:rtl/>
        </w:rPr>
      </w:pPr>
      <w:r w:rsidRPr="00362C00">
        <w:rPr>
          <w:noProof/>
          <w:rtl/>
        </w:rPr>
        <w:drawing>
          <wp:anchor distT="0" distB="0" distL="114300" distR="114300" simplePos="0" relativeHeight="251683840" behindDoc="0" locked="0" layoutInCell="1" allowOverlap="1">
            <wp:simplePos x="0" y="0"/>
            <wp:positionH relativeFrom="column">
              <wp:posOffset>2475865</wp:posOffset>
            </wp:positionH>
            <wp:positionV relativeFrom="paragraph">
              <wp:posOffset>3175</wp:posOffset>
            </wp:positionV>
            <wp:extent cx="2183130" cy="178435"/>
            <wp:effectExtent l="0" t="0" r="127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2183130" cy="178435"/>
                    </a:xfrm>
                    <a:prstGeom prst="rect">
                      <a:avLst/>
                    </a:prstGeom>
                  </pic:spPr>
                </pic:pic>
              </a:graphicData>
            </a:graphic>
            <wp14:sizeRelH relativeFrom="margin">
              <wp14:pctWidth>0</wp14:pctWidth>
            </wp14:sizeRelH>
            <wp14:sizeRelV relativeFrom="margin">
              <wp14:pctHeight>0</wp14:pctHeight>
            </wp14:sizeRelV>
          </wp:anchor>
        </w:drawing>
      </w:r>
    </w:p>
    <w:p w:rsidR="00420374" w:rsidRPr="0093709F" w:rsidP="000E1DB2" w14:paraId="18555822" w14:textId="3656AD57">
      <w:pPr>
        <w:pStyle w:val="7392"/>
        <w:rPr>
          <w:rtl/>
        </w:rPr>
      </w:pPr>
      <w:r w:rsidRPr="00B02658">
        <w:rPr>
          <w:rFonts w:hint="cs"/>
          <w:b/>
          <w:bCs/>
          <w:noProof/>
          <w:rtl/>
        </w:rPr>
        <w:drawing>
          <wp:anchor distT="0" distB="1800225" distL="114300" distR="114300" simplePos="0" relativeHeight="251684864" behindDoc="1" locked="0" layoutInCell="1" allowOverlap="1">
            <wp:simplePos x="0" y="0"/>
            <wp:positionH relativeFrom="column">
              <wp:posOffset>4579620</wp:posOffset>
            </wp:positionH>
            <wp:positionV relativeFrom="paragraph">
              <wp:posOffset>28738</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949A5" w:rsidR="0093327C">
        <w:rPr>
          <w:rFonts w:hint="cs"/>
          <w:b/>
          <w:bCs/>
          <w:spacing w:val="-4"/>
          <w:rtl/>
        </w:rPr>
        <w:t>רפורמת הניידות בין בנקים</w:t>
      </w:r>
      <w:r w:rsidRPr="00EB4739" w:rsidR="0093327C">
        <w:rPr>
          <w:rFonts w:hint="cs"/>
          <w:spacing w:val="-4"/>
          <w:rtl/>
        </w:rPr>
        <w:t xml:space="preserve"> - רפורמת הניידות בין בנקים מסייעת במעבר בין חשבונות בנק ועשויה להגדיל את כוח המיקוח של הצרכן ואת היכולת של שחקנים חדשים להיכנס לשוק. עם זאת, המסמכים ששימשו לקידומה לא הצביעו על חסם בירוקרטי מובהק במעבר בין חשבונות בנק, ששיעורו בישראל הוא 2.5% ותואם למקובל בעולם. זאת ועוד, משרד האוצר ובנק ישראל קידמו את הרפורמה בלא התייחסות לטיפול בחסמים שונים המקשים על הציבור לעשות שימוש אפקטיבי במערכת הניוד, בהם החסם הפסיכולוגי, חינוך פיננסי ירוד והיעדר הבדלים מהותיים בין הבנקים</w:t>
      </w:r>
      <w:r w:rsidRPr="0093709F">
        <w:rPr>
          <w:rtl/>
        </w:rPr>
        <w:t>.</w:t>
      </w:r>
    </w:p>
    <w:p w:rsidR="00420374" w:rsidRPr="0093709F" w:rsidP="000E1DB2" w14:paraId="1D22E15A" w14:textId="3A464BBA">
      <w:pPr>
        <w:pStyle w:val="7392"/>
        <w:ind w:left="360"/>
      </w:pPr>
      <w:r w:rsidRPr="00B02658">
        <w:rPr>
          <w:rFonts w:hint="cs"/>
          <w:b/>
          <w:bCs/>
          <w:noProof/>
          <w:rtl/>
        </w:rPr>
        <w:drawing>
          <wp:anchor distT="0" distB="720090" distL="114300" distR="114300" simplePos="0" relativeHeight="251685888" behindDoc="1" locked="0" layoutInCell="1" allowOverlap="1">
            <wp:simplePos x="0" y="0"/>
            <wp:positionH relativeFrom="column">
              <wp:posOffset>4580092</wp:posOffset>
            </wp:positionH>
            <wp:positionV relativeFrom="paragraph">
              <wp:posOffset>19685</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11357588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2"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949A5" w:rsidR="0093327C">
        <w:rPr>
          <w:rFonts w:hint="cs"/>
          <w:b/>
          <w:bCs/>
          <w:spacing w:val="-4"/>
          <w:rtl/>
        </w:rPr>
        <w:t>הקמת בנקים דיגיטליים בישראל</w:t>
      </w:r>
      <w:r w:rsidRPr="00EB4739" w:rsidR="0093327C">
        <w:rPr>
          <w:rFonts w:hint="cs"/>
          <w:spacing w:val="-4"/>
          <w:rtl/>
        </w:rPr>
        <w:t xml:space="preserve"> - </w:t>
      </w:r>
      <w:r w:rsidRPr="00EB4739" w:rsidR="0093327C">
        <w:rPr>
          <w:spacing w:val="-4"/>
          <w:rtl/>
        </w:rPr>
        <w:t>עלה כי בשנים 2017 - 2021 נפח הפעילות המצטבר של ארבעת הבנקים הדיגיטליים המובילים בעולם גדל מ-5.25 מיליון משתמשים לכ-75 מיליון משתמשים</w:t>
      </w:r>
      <w:r w:rsidRPr="00EB4739" w:rsidR="0093327C">
        <w:rPr>
          <w:rFonts w:hint="cs"/>
          <w:spacing w:val="-4"/>
          <w:rtl/>
        </w:rPr>
        <w:t>,</w:t>
      </w:r>
      <w:r w:rsidRPr="00EB4739" w:rsidR="0093327C">
        <w:rPr>
          <w:spacing w:val="-4"/>
          <w:rtl/>
        </w:rPr>
        <w:t xml:space="preserve"> וכי הכנסותיהם המצטברות גדלו בשנים 2018 - 2020 מ-484 מיליוני דולרים ל-1,570 מיליוני דולרים. </w:t>
      </w:r>
      <w:r w:rsidRPr="00EB4739" w:rsidR="0093327C">
        <w:rPr>
          <w:rFonts w:hint="cs"/>
          <w:spacing w:val="-4"/>
          <w:rtl/>
        </w:rPr>
        <w:t xml:space="preserve">נכון לסוף שנת 2021 לא פעלו בישראל בנקים דיגיטליים עצמאיים. עם זאת, תאגידים קיימים שדרגו את מערכותיהם לתמיכה במגוון שירותים ופעולות באתר </w:t>
      </w:r>
      <w:r w:rsidRPr="00EB4739" w:rsidR="0093327C">
        <w:rPr>
          <w:rFonts w:hint="cs"/>
          <w:spacing w:val="-4"/>
          <w:rtl/>
        </w:rPr>
        <w:t>וביישומונים</w:t>
      </w:r>
      <w:r w:rsidRPr="00EB4739" w:rsidR="0093327C">
        <w:rPr>
          <w:rFonts w:hint="cs"/>
          <w:spacing w:val="-4"/>
          <w:rtl/>
        </w:rPr>
        <w:t xml:space="preserve">. </w:t>
      </w:r>
      <w:r w:rsidRPr="00EB4739" w:rsidR="0093327C">
        <w:rPr>
          <w:spacing w:val="-4"/>
          <w:rtl/>
        </w:rPr>
        <w:t xml:space="preserve">כמו כן, ביוני 2017 </w:t>
      </w:r>
      <w:r w:rsidRPr="00EB4739" w:rsidR="0093327C">
        <w:rPr>
          <w:rFonts w:hint="cs"/>
          <w:spacing w:val="-4"/>
          <w:rtl/>
        </w:rPr>
        <w:t>הקים</w:t>
      </w:r>
      <w:r w:rsidRPr="00EB4739" w:rsidR="0093327C">
        <w:rPr>
          <w:spacing w:val="-4"/>
          <w:rtl/>
        </w:rPr>
        <w:t xml:space="preserve"> תאגיד בנקאי גדול </w:t>
      </w:r>
      <w:r w:rsidRPr="00EB4739" w:rsidR="0093327C">
        <w:rPr>
          <w:rFonts w:hint="cs"/>
          <w:spacing w:val="-4"/>
          <w:rtl/>
        </w:rPr>
        <w:t xml:space="preserve">פלטפורמה </w:t>
      </w:r>
      <w:r w:rsidRPr="00EB4739" w:rsidR="0093327C">
        <w:rPr>
          <w:spacing w:val="-4"/>
          <w:rtl/>
        </w:rPr>
        <w:t>בנק</w:t>
      </w:r>
      <w:r w:rsidRPr="00EB4739" w:rsidR="0093327C">
        <w:rPr>
          <w:rFonts w:hint="cs"/>
          <w:spacing w:val="-4"/>
          <w:rtl/>
        </w:rPr>
        <w:t>אית</w:t>
      </w:r>
      <w:r w:rsidRPr="00EB4739" w:rsidR="0093327C">
        <w:rPr>
          <w:spacing w:val="-4"/>
          <w:rtl/>
        </w:rPr>
        <w:t xml:space="preserve"> דיגיטלי</w:t>
      </w:r>
      <w:r w:rsidRPr="00EB4739" w:rsidR="0093327C">
        <w:rPr>
          <w:rFonts w:hint="cs"/>
          <w:spacing w:val="-4"/>
          <w:rtl/>
        </w:rPr>
        <w:t>ת הפועלת באמצעות יישומון</w:t>
      </w:r>
      <w:r w:rsidRPr="00EB4739" w:rsidR="0093327C">
        <w:rPr>
          <w:spacing w:val="-4"/>
          <w:rtl/>
        </w:rPr>
        <w:t>,</w:t>
      </w:r>
      <w:r w:rsidRPr="00EB4739" w:rsidR="0093327C">
        <w:rPr>
          <w:rFonts w:hint="cs"/>
          <w:spacing w:val="-4"/>
          <w:rtl/>
        </w:rPr>
        <w:t xml:space="preserve"> הפועלת מכוח ההיתר לסניף דיגיטלי שהתאגיד הבנקאי קיבל מהפיקוח על הבנקים</w:t>
      </w:r>
      <w:r w:rsidRPr="00EB4739" w:rsidR="0093327C">
        <w:rPr>
          <w:spacing w:val="-4"/>
          <w:rtl/>
        </w:rPr>
        <w:t xml:space="preserve">. </w:t>
      </w:r>
      <w:r w:rsidRPr="00EB4739" w:rsidR="0093327C">
        <w:rPr>
          <w:rFonts w:hint="cs"/>
          <w:spacing w:val="-4"/>
          <w:rtl/>
        </w:rPr>
        <w:t>פלטפורמה</w:t>
      </w:r>
      <w:r w:rsidRPr="00EB4739" w:rsidR="0093327C">
        <w:rPr>
          <w:spacing w:val="-4"/>
          <w:rtl/>
        </w:rPr>
        <w:t xml:space="preserve"> ז</w:t>
      </w:r>
      <w:r w:rsidRPr="00EB4739" w:rsidR="0093327C">
        <w:rPr>
          <w:rFonts w:hint="cs"/>
          <w:spacing w:val="-4"/>
          <w:rtl/>
        </w:rPr>
        <w:t>ו</w:t>
      </w:r>
      <w:r w:rsidRPr="00EB4739" w:rsidR="0093327C">
        <w:rPr>
          <w:spacing w:val="-4"/>
          <w:rtl/>
        </w:rPr>
        <w:t xml:space="preserve"> נועד</w:t>
      </w:r>
      <w:r w:rsidRPr="00EB4739" w:rsidR="0093327C">
        <w:rPr>
          <w:rFonts w:hint="cs"/>
          <w:spacing w:val="-4"/>
          <w:rtl/>
        </w:rPr>
        <w:t>ה</w:t>
      </w:r>
      <w:r w:rsidRPr="00EB4739" w:rsidR="0093327C">
        <w:rPr>
          <w:spacing w:val="-4"/>
          <w:rtl/>
        </w:rPr>
        <w:t xml:space="preserve"> לשרת בעיקר קהל לקוחות צעיר בביצוע פעולות בנקאיות ברובד הבסיסי בלבד</w:t>
      </w:r>
      <w:r w:rsidRPr="00EB4739" w:rsidR="0093327C">
        <w:rPr>
          <w:rFonts w:hint="cs"/>
          <w:spacing w:val="-4"/>
          <w:rtl/>
        </w:rPr>
        <w:t>,</w:t>
      </w:r>
      <w:r w:rsidRPr="00EB4739" w:rsidR="0093327C">
        <w:rPr>
          <w:spacing w:val="-4"/>
          <w:rtl/>
        </w:rPr>
        <w:t xml:space="preserve"> </w:t>
      </w:r>
      <w:r w:rsidRPr="00EB4739" w:rsidR="0093327C">
        <w:rPr>
          <w:rFonts w:hint="cs"/>
          <w:spacing w:val="-4"/>
          <w:rtl/>
        </w:rPr>
        <w:t>אך</w:t>
      </w:r>
      <w:r w:rsidRPr="00EB4739" w:rsidR="0093327C">
        <w:rPr>
          <w:spacing w:val="-4"/>
          <w:rtl/>
        </w:rPr>
        <w:t xml:space="preserve"> צפויה להתרחב להספקת מגוון שירותים ומוצרים נוספים בהמשך</w:t>
      </w:r>
      <w:r w:rsidRPr="00EB4739" w:rsidR="0093327C">
        <w:rPr>
          <w:rFonts w:hint="cs"/>
          <w:spacing w:val="-4"/>
          <w:rtl/>
        </w:rPr>
        <w:t xml:space="preserve">. עוד </w:t>
      </w:r>
      <w:r w:rsidRPr="00EB4739" w:rsidR="0093327C">
        <w:rPr>
          <w:spacing w:val="-4"/>
          <w:rtl/>
        </w:rPr>
        <w:t xml:space="preserve">עלה כי משך זמן הקמת </w:t>
      </w:r>
      <w:r w:rsidRPr="00EB4739" w:rsidR="0093327C">
        <w:rPr>
          <w:rFonts w:hint="cs"/>
          <w:spacing w:val="-4"/>
          <w:rtl/>
        </w:rPr>
        <w:t>ה</w:t>
      </w:r>
      <w:r w:rsidRPr="00EB4739" w:rsidR="0093327C">
        <w:rPr>
          <w:spacing w:val="-4"/>
          <w:rtl/>
        </w:rPr>
        <w:t xml:space="preserve">תאגיד </w:t>
      </w:r>
      <w:r w:rsidRPr="00EB4739" w:rsidR="0093327C">
        <w:rPr>
          <w:rFonts w:hint="cs"/>
          <w:spacing w:val="-4"/>
          <w:rtl/>
        </w:rPr>
        <w:t>ה</w:t>
      </w:r>
      <w:r w:rsidRPr="00EB4739" w:rsidR="0093327C">
        <w:rPr>
          <w:spacing w:val="-4"/>
          <w:rtl/>
        </w:rPr>
        <w:t>בנקאי</w:t>
      </w:r>
      <w:r w:rsidRPr="00EB4739" w:rsidR="0093327C">
        <w:rPr>
          <w:rFonts w:hint="cs"/>
          <w:spacing w:val="-4"/>
          <w:rtl/>
        </w:rPr>
        <w:t xml:space="preserve"> הדיגיטלי</w:t>
      </w:r>
      <w:r w:rsidRPr="00EB4739" w:rsidR="0093327C">
        <w:rPr>
          <w:spacing w:val="-4"/>
          <w:rtl/>
        </w:rPr>
        <w:t xml:space="preserve"> </w:t>
      </w:r>
      <w:r w:rsidRPr="00EB4739" w:rsidR="0093327C">
        <w:rPr>
          <w:rFonts w:hint="cs"/>
          <w:spacing w:val="-4"/>
          <w:rtl/>
        </w:rPr>
        <w:t>ה</w:t>
      </w:r>
      <w:r w:rsidRPr="00EB4739" w:rsidR="0093327C">
        <w:rPr>
          <w:spacing w:val="-4"/>
          <w:rtl/>
        </w:rPr>
        <w:t xml:space="preserve">חדש </w:t>
      </w:r>
      <w:r w:rsidRPr="00EB4739" w:rsidR="0093327C">
        <w:rPr>
          <w:rFonts w:hint="cs"/>
          <w:spacing w:val="-4"/>
          <w:rtl/>
        </w:rPr>
        <w:t>היה</w:t>
      </w:r>
      <w:r w:rsidRPr="00EB4739" w:rsidR="0093327C">
        <w:rPr>
          <w:spacing w:val="-4"/>
          <w:rtl/>
        </w:rPr>
        <w:t xml:space="preserve"> 24 חודשים ממועד מתן רישיון בנק מוגבל שאינו בתוקף ועד לקבלת הרישיון בינואר 2022</w:t>
      </w:r>
      <w:r w:rsidRPr="0093709F">
        <w:rPr>
          <w:rFonts w:hint="cs"/>
          <w:rtl/>
        </w:rPr>
        <w:t xml:space="preserve">. </w:t>
      </w:r>
    </w:p>
    <w:p w:rsidR="00420374" w:rsidRPr="0093709F" w:rsidP="000E1DB2" w14:paraId="5E2BFABB" w14:textId="78EBB6E0">
      <w:pPr>
        <w:pStyle w:val="7392"/>
        <w:ind w:left="360"/>
        <w:rPr>
          <w:rtl/>
        </w:rPr>
      </w:pPr>
      <w:r w:rsidRPr="00B02658">
        <w:rPr>
          <w:rFonts w:hint="cs"/>
          <w:b/>
          <w:bCs/>
          <w:noProof/>
          <w:rtl/>
        </w:rPr>
        <w:drawing>
          <wp:anchor distT="0" distB="720090" distL="114300" distR="114300" simplePos="0" relativeHeight="251686912" behindDoc="1" locked="0" layoutInCell="1" allowOverlap="1">
            <wp:simplePos x="0" y="0"/>
            <wp:positionH relativeFrom="column">
              <wp:posOffset>4580092</wp:posOffset>
            </wp:positionH>
            <wp:positionV relativeFrom="paragraph">
              <wp:posOffset>19685</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11357588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7"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949A5" w:rsidR="0093327C">
        <w:rPr>
          <w:rFonts w:hint="cs"/>
          <w:b/>
          <w:bCs/>
          <w:spacing w:val="-4"/>
          <w:rtl/>
        </w:rPr>
        <w:t>מערכת תשלומים מיידיים</w:t>
      </w:r>
      <w:r w:rsidRPr="00EB4739" w:rsidR="0093327C">
        <w:rPr>
          <w:rFonts w:hint="cs"/>
          <w:spacing w:val="-4"/>
          <w:rtl/>
        </w:rPr>
        <w:t xml:space="preserve"> - </w:t>
      </w:r>
      <w:r w:rsidRPr="00EB4739" w:rsidR="0093327C">
        <w:rPr>
          <w:spacing w:val="-4"/>
          <w:rtl/>
        </w:rPr>
        <w:t>על פי נתוני ה-</w:t>
      </w:r>
      <w:r w:rsidRPr="00EB4739" w:rsidR="0093327C">
        <w:rPr>
          <w:spacing w:val="-4"/>
        </w:rPr>
        <w:t xml:space="preserve"> BIS</w:t>
      </w:r>
      <w:r w:rsidRPr="00EB4739" w:rsidR="0093327C">
        <w:rPr>
          <w:rFonts w:hint="cs"/>
          <w:spacing w:val="-4"/>
          <w:rtl/>
        </w:rPr>
        <w:t>(</w:t>
      </w:r>
      <w:r w:rsidRPr="00EB4739" w:rsidR="0093327C">
        <w:rPr>
          <w:rFonts w:hint="cs"/>
          <w:spacing w:val="-4"/>
        </w:rPr>
        <w:t>B</w:t>
      </w:r>
      <w:r w:rsidRPr="00EB4739" w:rsidR="0093327C">
        <w:rPr>
          <w:spacing w:val="-4"/>
        </w:rPr>
        <w:t xml:space="preserve">ank for International </w:t>
      </w:r>
      <w:r w:rsidRPr="00EB4739" w:rsidR="0093327C">
        <w:rPr>
          <w:rFonts w:hint="cs"/>
          <w:spacing w:val="-4"/>
        </w:rPr>
        <w:t>S</w:t>
      </w:r>
      <w:r w:rsidRPr="00EB4739" w:rsidR="0093327C">
        <w:rPr>
          <w:spacing w:val="-4"/>
        </w:rPr>
        <w:t>ettlements</w:t>
      </w:r>
      <w:r w:rsidRPr="00EB4739" w:rsidR="0093327C">
        <w:rPr>
          <w:rFonts w:hint="cs"/>
          <w:spacing w:val="-4"/>
          <w:rtl/>
        </w:rPr>
        <w:t>)</w:t>
      </w:r>
      <w:r w:rsidRPr="00EB4739" w:rsidR="0093327C">
        <w:rPr>
          <w:spacing w:val="-4"/>
          <w:rtl/>
        </w:rPr>
        <w:t xml:space="preserve">, נכון לשנת 2021 יש </w:t>
      </w:r>
      <w:r w:rsidRPr="00EB4739" w:rsidR="0093327C">
        <w:rPr>
          <w:rFonts w:hint="cs"/>
          <w:spacing w:val="-4"/>
          <w:rtl/>
        </w:rPr>
        <w:t xml:space="preserve">בעולם </w:t>
      </w:r>
      <w:r w:rsidRPr="00EB4739" w:rsidR="0093327C">
        <w:rPr>
          <w:spacing w:val="-4"/>
          <w:rtl/>
        </w:rPr>
        <w:t xml:space="preserve">יותר מ-60 מערכות תשלומים מהירות, ויש כמה מדינות המתכננות ליישם מערכות כאלה בשנים הקרובות. נמצא כי אף שמשתתפי מערכת שירות התשלום המיידי עמדו בהוראת בנק ישראל ונערכו לקלוט תשלומים באמצעותה, במועד סיום הביקורת 2 מתוך 11 </w:t>
      </w:r>
      <w:r w:rsidRPr="00EB4739" w:rsidR="0093327C">
        <w:rPr>
          <w:spacing w:val="-4"/>
          <w:rtl/>
        </w:rPr>
        <w:t>בנקים הפועלים בישראל מאפשרים ללקוחותיהם לבצע תשלומים באמצעותה.</w:t>
      </w:r>
      <w:r w:rsidRPr="00EB4739" w:rsidR="0093327C">
        <w:rPr>
          <w:rFonts w:hint="cs"/>
          <w:spacing w:val="-4"/>
          <w:rtl/>
        </w:rPr>
        <w:t xml:space="preserve"> </w:t>
      </w:r>
      <w:r w:rsidRPr="00EB4739" w:rsidR="0093327C">
        <w:rPr>
          <w:spacing w:val="-4"/>
          <w:rtl/>
        </w:rPr>
        <w:t>מערכת תשלומים מיידיים מגדילה את היתירות בביצוע תשלומים מהירים וסופיים במשק. המערכת מאפשרת סליקה של טריליוני שקלים מדי שנה באמצעי תשלום מתקדמים ומגבירה את הנוחות, המהירות והיעילות לציבור אגב צמצום השימוש במזומן ותמיכה בביצוע תשלומים בסכומים נמוכים, ואולם היקף השימוש במערכת עומד על 3.62% מכלל הפעילות במערכת "זיכויים, חיובים והעברות תשלומים" ונמוך ביחס לפוטנציאל השימוש בה</w:t>
      </w:r>
      <w:r w:rsidRPr="0093709F">
        <w:rPr>
          <w:rFonts w:hint="cs"/>
          <w:rtl/>
        </w:rPr>
        <w:t>.</w:t>
      </w:r>
    </w:p>
    <w:p w:rsidR="00420374" w:rsidRPr="0093709F" w:rsidP="000E1DB2" w14:paraId="583ECB3F" w14:textId="21C27294">
      <w:pPr>
        <w:pStyle w:val="7392"/>
        <w:ind w:left="360"/>
      </w:pPr>
      <w:r w:rsidRPr="00B02658">
        <w:rPr>
          <w:rFonts w:hint="cs"/>
          <w:b/>
          <w:bCs/>
          <w:noProof/>
          <w:rtl/>
        </w:rPr>
        <w:drawing>
          <wp:anchor distT="0" distB="720090" distL="114300" distR="114300" simplePos="0" relativeHeight="251687936" behindDoc="1" locked="0" layoutInCell="1" allowOverlap="1">
            <wp:simplePos x="0" y="0"/>
            <wp:positionH relativeFrom="column">
              <wp:posOffset>4568988</wp:posOffset>
            </wp:positionH>
            <wp:positionV relativeFrom="paragraph">
              <wp:posOffset>39370</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11357588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8"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949A5" w:rsidR="0093327C">
        <w:rPr>
          <w:rFonts w:hint="cs"/>
          <w:b/>
          <w:bCs/>
          <w:spacing w:val="-4"/>
          <w:rtl/>
        </w:rPr>
        <w:t xml:space="preserve">טכנולוגית </w:t>
      </w:r>
      <w:r w:rsidRPr="004949A5" w:rsidR="0093327C">
        <w:rPr>
          <w:rFonts w:hint="cs"/>
          <w:b/>
          <w:bCs/>
          <w:spacing w:val="-4"/>
        </w:rPr>
        <w:t>EMV</w:t>
      </w:r>
      <w:r w:rsidRPr="00EB4739" w:rsidR="0093327C">
        <w:rPr>
          <w:rFonts w:hint="cs"/>
          <w:spacing w:val="-4"/>
          <w:rtl/>
        </w:rPr>
        <w:t xml:space="preserve"> - טכנולוגית</w:t>
      </w:r>
      <w:r w:rsidRPr="00EB4739" w:rsidR="0093327C">
        <w:rPr>
          <w:spacing w:val="-4"/>
          <w:rtl/>
        </w:rPr>
        <w:t xml:space="preserve"> </w:t>
      </w:r>
      <w:r w:rsidRPr="00EB4739" w:rsidR="0093327C">
        <w:rPr>
          <w:spacing w:val="-4"/>
        </w:rPr>
        <w:t>EMV</w:t>
      </w:r>
      <w:r w:rsidRPr="00EB4739" w:rsidR="0093327C">
        <w:rPr>
          <w:spacing w:val="-4"/>
          <w:rtl/>
        </w:rPr>
        <w:t xml:space="preserve"> משמש</w:t>
      </w:r>
      <w:r w:rsidRPr="00EB4739" w:rsidR="0093327C">
        <w:rPr>
          <w:rFonts w:hint="cs"/>
          <w:spacing w:val="-4"/>
          <w:rtl/>
        </w:rPr>
        <w:t>ת</w:t>
      </w:r>
      <w:r w:rsidRPr="00EB4739" w:rsidR="0093327C">
        <w:rPr>
          <w:spacing w:val="-4"/>
          <w:rtl/>
        </w:rPr>
        <w:t xml:space="preserve"> לאבטחת עסקות באמצעות שימוש בכרטיסי חיוב חכמים ונועד</w:t>
      </w:r>
      <w:r w:rsidRPr="00EB4739" w:rsidR="0093327C">
        <w:rPr>
          <w:rFonts w:hint="cs"/>
          <w:spacing w:val="-4"/>
          <w:rtl/>
        </w:rPr>
        <w:t>ה</w:t>
      </w:r>
      <w:r w:rsidRPr="00EB4739" w:rsidR="0093327C">
        <w:rPr>
          <w:spacing w:val="-4"/>
          <w:rtl/>
        </w:rPr>
        <w:t xml:space="preserve"> להחליף את הטכנולוגיה הישנה (פס מגנטי).</w:t>
      </w:r>
      <w:r w:rsidRPr="00EB4739" w:rsidR="0093327C">
        <w:rPr>
          <w:rFonts w:hint="cs"/>
          <w:spacing w:val="-4"/>
        </w:rPr>
        <w:t xml:space="preserve"> </w:t>
      </w:r>
      <w:r w:rsidRPr="00EB4739" w:rsidR="0093327C">
        <w:rPr>
          <w:spacing w:val="-4"/>
          <w:rtl/>
        </w:rPr>
        <w:t xml:space="preserve">הטמעת הטכנולוגיה </w:t>
      </w:r>
      <w:r w:rsidRPr="00EB4739" w:rsidR="0093327C">
        <w:rPr>
          <w:spacing w:val="-4"/>
        </w:rPr>
        <w:t>EMV</w:t>
      </w:r>
      <w:r w:rsidRPr="00EB4739" w:rsidR="0093327C">
        <w:rPr>
          <w:spacing w:val="-4"/>
          <w:rtl/>
        </w:rPr>
        <w:t xml:space="preserve"> במדינת ישראל נמוכה יחסית למקובל בעולם (פער של כ-54 </w:t>
      </w:r>
      <w:r w:rsidRPr="00EB4739" w:rsidR="0093327C">
        <w:rPr>
          <w:rFonts w:hint="cs"/>
          <w:spacing w:val="-4"/>
          <w:rtl/>
        </w:rPr>
        <w:t xml:space="preserve">נקודות האחוז </w:t>
      </w:r>
      <w:r w:rsidRPr="00EB4739" w:rsidR="0093327C">
        <w:rPr>
          <w:spacing w:val="-4"/>
          <w:rtl/>
        </w:rPr>
        <w:t>מהרמה הממוצעת בעולם נכון ל</w:t>
      </w:r>
      <w:r w:rsidRPr="00EB4739" w:rsidR="0093327C">
        <w:rPr>
          <w:rFonts w:hint="cs"/>
          <w:spacing w:val="-4"/>
          <w:rtl/>
        </w:rPr>
        <w:t>ממוצע ה</w:t>
      </w:r>
      <w:r w:rsidRPr="00EB4739" w:rsidR="0093327C">
        <w:rPr>
          <w:spacing w:val="-4"/>
          <w:rtl/>
        </w:rPr>
        <w:t>רבעון השני של 2021) אף שגורמים בבנק ישראל ומחוץ לו דיווחו בעשור האחרון שיש לקדם אותה. עיכובים בהטמעת הטכנולוגיה הובילו לעיכובים ביישום טכנולוגיות תשלום חדשות הנהוגות זה שנים במדינות רבות ומיטיבות עם הצרכנים, במיוחד שימוש בארנקים דיגיטליים. יצוין כי ממרץ 2020 צומצם הפער בעקבות מתווה להאצת יישום התקן שפרסם הפיקוח על הבנקים</w:t>
      </w:r>
      <w:r w:rsidRPr="00EB4739" w:rsidR="0093327C">
        <w:rPr>
          <w:rFonts w:hint="cs"/>
          <w:spacing w:val="-4"/>
          <w:rtl/>
        </w:rPr>
        <w:t>,</w:t>
      </w:r>
      <w:r w:rsidRPr="00EB4739" w:rsidR="0093327C">
        <w:rPr>
          <w:spacing w:val="-4"/>
          <w:rtl/>
        </w:rPr>
        <w:t xml:space="preserve"> ונכון לנובמבר 2021 כ-73% מהעסקות במערכת </w:t>
      </w:r>
      <w:r w:rsidRPr="00EB4739" w:rsidR="0093327C">
        <w:rPr>
          <w:spacing w:val="-4"/>
        </w:rPr>
        <w:t>EMV</w:t>
      </w:r>
      <w:r w:rsidRPr="00EB4739" w:rsidR="0093327C">
        <w:rPr>
          <w:spacing w:val="-4"/>
          <w:rtl/>
        </w:rPr>
        <w:t xml:space="preserve"> הן עסקות חכמות וכ-47% מהעסקות במערכת התשלומים של</w:t>
      </w:r>
      <w:r w:rsidRPr="00EB4739" w:rsidR="0093327C">
        <w:rPr>
          <w:rFonts w:hint="cs"/>
          <w:spacing w:val="-4"/>
          <w:rtl/>
        </w:rPr>
        <w:t xml:space="preserve"> חברת שירותי בנק אוטומטיים</w:t>
      </w:r>
      <w:r w:rsidRPr="00EB4739" w:rsidR="0093327C">
        <w:rPr>
          <w:spacing w:val="-4"/>
          <w:rtl/>
        </w:rPr>
        <w:t xml:space="preserve"> </w:t>
      </w:r>
      <w:r w:rsidRPr="00EB4739" w:rsidR="0093327C">
        <w:rPr>
          <w:rFonts w:hint="cs"/>
          <w:spacing w:val="-4"/>
          <w:rtl/>
        </w:rPr>
        <w:t>(</w:t>
      </w:r>
      <w:r w:rsidRPr="00EB4739" w:rsidR="0093327C">
        <w:rPr>
          <w:spacing w:val="-4"/>
          <w:rtl/>
        </w:rPr>
        <w:t>שב"א</w:t>
      </w:r>
      <w:r w:rsidRPr="00EB4739" w:rsidR="0093327C">
        <w:rPr>
          <w:rFonts w:hint="cs"/>
          <w:spacing w:val="-4"/>
          <w:rtl/>
        </w:rPr>
        <w:t>)</w:t>
      </w:r>
      <w:r w:rsidRPr="00EB4739" w:rsidR="0093327C">
        <w:rPr>
          <w:spacing w:val="-4"/>
          <w:rtl/>
        </w:rPr>
        <w:t xml:space="preserve"> הן עסקות חכמות</w:t>
      </w:r>
      <w:r w:rsidRPr="0093709F">
        <w:rPr>
          <w:rFonts w:hint="cs"/>
          <w:rtl/>
        </w:rPr>
        <w:t xml:space="preserve">. </w:t>
      </w:r>
    </w:p>
    <w:p w:rsidR="00420374" w:rsidRPr="0093709F" w:rsidP="000E1DB2" w14:paraId="7C081EA1" w14:textId="6A9BC3A1">
      <w:pPr>
        <w:pStyle w:val="7392"/>
        <w:ind w:left="360"/>
      </w:pPr>
      <w:r w:rsidRPr="00B02658">
        <w:rPr>
          <w:rFonts w:hint="cs"/>
          <w:b/>
          <w:bCs/>
          <w:noProof/>
          <w:rtl/>
        </w:rPr>
        <w:drawing>
          <wp:anchor distT="0" distB="720090" distL="114300" distR="114300" simplePos="0" relativeHeight="251688960" behindDoc="1" locked="0" layoutInCell="1" allowOverlap="1">
            <wp:simplePos x="0" y="0"/>
            <wp:positionH relativeFrom="column">
              <wp:posOffset>4568988</wp:posOffset>
            </wp:positionH>
            <wp:positionV relativeFrom="paragraph">
              <wp:posOffset>39370</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11357588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9"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949A5" w:rsidR="0093327C">
        <w:rPr>
          <w:rFonts w:hint="cs"/>
          <w:b/>
          <w:bCs/>
          <w:spacing w:val="-4"/>
          <w:rtl/>
        </w:rPr>
        <w:t xml:space="preserve">איסוף מידע בארנקים דיגיטליים </w:t>
      </w:r>
      <w:r w:rsidRPr="004949A5" w:rsidR="0093327C">
        <w:rPr>
          <w:rFonts w:hint="cs"/>
          <w:b/>
          <w:bCs/>
          <w:spacing w:val="-4"/>
          <w:rtl/>
        </w:rPr>
        <w:t>וביישומוני</w:t>
      </w:r>
      <w:r w:rsidRPr="004949A5" w:rsidR="0093327C">
        <w:rPr>
          <w:rFonts w:hint="cs"/>
          <w:b/>
          <w:bCs/>
          <w:spacing w:val="-4"/>
          <w:rtl/>
        </w:rPr>
        <w:t xml:space="preserve"> תשלום</w:t>
      </w:r>
      <w:r w:rsidRPr="00EB4739" w:rsidR="0093327C">
        <w:rPr>
          <w:rFonts w:hint="cs"/>
          <w:spacing w:val="-4"/>
          <w:rtl/>
        </w:rPr>
        <w:t xml:space="preserve"> - </w:t>
      </w:r>
      <w:r w:rsidRPr="00EB4739" w:rsidR="0093327C">
        <w:rPr>
          <w:spacing w:val="-4"/>
          <w:rtl/>
        </w:rPr>
        <w:t xml:space="preserve">לפי נתוני חברת שב"א, ערך העסקות המתבצעות בארנקים דיגיטליים </w:t>
      </w:r>
      <w:r w:rsidRPr="00EB4739" w:rsidR="0093327C">
        <w:rPr>
          <w:spacing w:val="-4"/>
          <w:rtl/>
        </w:rPr>
        <w:t>וביישומוני</w:t>
      </w:r>
      <w:r w:rsidRPr="00EB4739" w:rsidR="0093327C">
        <w:rPr>
          <w:spacing w:val="-4"/>
          <w:rtl/>
        </w:rPr>
        <w:t xml:space="preserve"> התשלום גדל מכ-2.4 מיליארד ש"ח ברבעון הראשון של 2020 לכ-5.4 מיליארד ש"ח ברבעון השלישי של 2021. עם זאת, סוגיית איסוף המידע על הלקוחות ואופן השימוש בו אינה מוסדרת בכל הגופים המפעילים ארנקים דיגיטליים, ובפרט באלה שעיסוקם בתחום הקמעונאות</w:t>
      </w:r>
      <w:r w:rsidRPr="0093709F">
        <w:rPr>
          <w:rFonts w:hint="cs"/>
          <w:rtl/>
        </w:rPr>
        <w:t xml:space="preserve">. </w:t>
      </w:r>
    </w:p>
    <w:p w:rsidR="00420374" w:rsidRPr="0093709F" w:rsidP="000E1DB2" w14:paraId="5E8BF229" w14:textId="4C4868BB">
      <w:pPr>
        <w:pStyle w:val="7392"/>
        <w:ind w:left="360"/>
        <w:rPr>
          <w:rtl/>
        </w:rPr>
      </w:pPr>
      <w:r w:rsidRPr="00B02658">
        <w:rPr>
          <w:rFonts w:hint="cs"/>
          <w:b/>
          <w:bCs/>
          <w:noProof/>
          <w:rtl/>
        </w:rPr>
        <w:drawing>
          <wp:anchor distT="0" distB="720090" distL="114300" distR="114300" simplePos="0" relativeHeight="251689984" behindDoc="1" locked="0" layoutInCell="1" allowOverlap="1">
            <wp:simplePos x="0" y="0"/>
            <wp:positionH relativeFrom="column">
              <wp:posOffset>4568988</wp:posOffset>
            </wp:positionH>
            <wp:positionV relativeFrom="paragraph">
              <wp:posOffset>39370</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11357589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90"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949A5" w:rsidR="0093327C">
        <w:rPr>
          <w:rFonts w:hint="cs"/>
          <w:b/>
          <w:bCs/>
          <w:spacing w:val="-4"/>
          <w:rtl/>
        </w:rPr>
        <w:t>אוריינות דיגיטלית</w:t>
      </w:r>
      <w:r w:rsidRPr="00EB4739" w:rsidR="0093327C">
        <w:rPr>
          <w:rFonts w:hint="cs"/>
          <w:spacing w:val="-4"/>
          <w:rtl/>
        </w:rPr>
        <w:t xml:space="preserve"> - </w:t>
      </w:r>
      <w:r w:rsidRPr="00EB4739" w:rsidR="0093327C">
        <w:rPr>
          <w:spacing w:val="-4"/>
          <w:rtl/>
        </w:rPr>
        <w:t>נמצא כי שליש מהישראלים בני ה-20 ומעלה בקירוב אינם מצליחים לבצע פעולות בנקאיות בערוצים ישירים ללא עזרת פקיד</w:t>
      </w:r>
      <w:r w:rsidRPr="00EB4739" w:rsidR="0093327C">
        <w:rPr>
          <w:rFonts w:hint="cs"/>
          <w:spacing w:val="-4"/>
          <w:rtl/>
        </w:rPr>
        <w:t xml:space="preserve"> בנק</w:t>
      </w:r>
      <w:r w:rsidRPr="00EB4739" w:rsidR="0093327C">
        <w:rPr>
          <w:spacing w:val="-4"/>
          <w:rtl/>
        </w:rPr>
        <w:t>. שיעורי הצלחה נמוכים תועדו בקרב האוכלוסייה המבוגרת (יותר ממחצית בני ה-65 ומעלה), במגזר הערבי יחסית למגזר היהודי (פער של 20</w:t>
      </w:r>
      <w:r w:rsidRPr="00EB4739" w:rsidR="0093327C">
        <w:rPr>
          <w:rFonts w:hint="cs"/>
          <w:spacing w:val="-4"/>
          <w:rtl/>
        </w:rPr>
        <w:t xml:space="preserve"> נקודות האחוז</w:t>
      </w:r>
      <w:r w:rsidRPr="00EB4739" w:rsidR="0093327C">
        <w:rPr>
          <w:spacing w:val="-4"/>
          <w:rtl/>
        </w:rPr>
        <w:t>; יותר ממחצית המגזר הערבי) ובקרב נשים יחסית לגברים (פער של 9</w:t>
      </w:r>
      <w:r w:rsidRPr="00EB4739" w:rsidR="0093327C">
        <w:rPr>
          <w:rFonts w:hint="cs"/>
          <w:spacing w:val="-4"/>
          <w:rtl/>
        </w:rPr>
        <w:t xml:space="preserve"> נקודות האחוז</w:t>
      </w:r>
      <w:r w:rsidR="0093327C">
        <w:rPr>
          <w:rFonts w:hint="cs"/>
          <w:rtl/>
        </w:rPr>
        <w:t>)</w:t>
      </w:r>
      <w:r w:rsidRPr="0093709F">
        <w:rPr>
          <w:rFonts w:hint="cs"/>
          <w:rtl/>
        </w:rPr>
        <w:t>.</w:t>
      </w:r>
    </w:p>
    <w:p w:rsidR="0093327C" w:rsidP="000E1DB2" w14:paraId="7FD4E5CE" w14:textId="1EDDA193">
      <w:pPr>
        <w:pStyle w:val="7392"/>
        <w:ind w:left="360"/>
        <w:rPr>
          <w:noProof/>
        </w:rPr>
      </w:pPr>
      <w:r w:rsidRPr="00B02658">
        <w:rPr>
          <w:rFonts w:hint="cs"/>
          <w:b/>
          <w:bCs/>
          <w:noProof/>
          <w:rtl/>
        </w:rPr>
        <w:drawing>
          <wp:anchor distT="0" distB="720090" distL="114300" distR="114300" simplePos="0" relativeHeight="251691008" behindDoc="1" locked="0" layoutInCell="1" allowOverlap="1">
            <wp:simplePos x="0" y="0"/>
            <wp:positionH relativeFrom="column">
              <wp:posOffset>4568988</wp:posOffset>
            </wp:positionH>
            <wp:positionV relativeFrom="paragraph">
              <wp:posOffset>48260</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11357589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93"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949A5">
        <w:rPr>
          <w:rFonts w:hint="cs"/>
          <w:b/>
          <w:bCs/>
          <w:spacing w:val="-4"/>
          <w:rtl/>
        </w:rPr>
        <w:t xml:space="preserve">סגירת סניפים </w:t>
      </w:r>
      <w:r w:rsidRPr="004949A5">
        <w:rPr>
          <w:rFonts w:hint="eastAsia"/>
          <w:b/>
          <w:bCs/>
          <w:spacing w:val="-4"/>
          <w:rtl/>
        </w:rPr>
        <w:t>בבנקים</w:t>
      </w:r>
      <w:r w:rsidRPr="004949A5">
        <w:rPr>
          <w:b/>
          <w:bCs/>
          <w:spacing w:val="-4"/>
          <w:rtl/>
        </w:rPr>
        <w:t xml:space="preserve"> </w:t>
      </w:r>
      <w:r w:rsidRPr="004949A5">
        <w:rPr>
          <w:rFonts w:hint="eastAsia"/>
          <w:b/>
          <w:bCs/>
          <w:spacing w:val="-4"/>
          <w:rtl/>
        </w:rPr>
        <w:t>מסחריים</w:t>
      </w:r>
      <w:r w:rsidRPr="0093327C">
        <w:rPr>
          <w:rFonts w:hint="cs"/>
          <w:rtl/>
        </w:rPr>
        <w:t xml:space="preserve"> - </w:t>
      </w:r>
      <w:r w:rsidRPr="0093327C">
        <w:rPr>
          <w:rtl/>
        </w:rPr>
        <w:t>התופעה של סגירת סניפים אופיינית גם למדינות ה-</w:t>
      </w:r>
      <w:r w:rsidRPr="0093327C">
        <w:t>OECD</w:t>
      </w:r>
      <w:r w:rsidRPr="0093327C">
        <w:rPr>
          <w:rtl/>
        </w:rPr>
        <w:t>. מגמת הירידה במספר סניפי הבנק המסחריים לכל 100</w:t>
      </w:r>
      <w:r w:rsidRPr="0093327C">
        <w:rPr>
          <w:rFonts w:hint="cs"/>
          <w:rtl/>
        </w:rPr>
        <w:t>,000</w:t>
      </w:r>
      <w:r w:rsidRPr="0093327C">
        <w:rPr>
          <w:rtl/>
        </w:rPr>
        <w:t xml:space="preserve"> מבוגרים במדינות ה-</w:t>
      </w:r>
      <w:r w:rsidRPr="0093327C">
        <w:t>OECD</w:t>
      </w:r>
      <w:r w:rsidRPr="0093327C">
        <w:rPr>
          <w:rtl/>
        </w:rPr>
        <w:t xml:space="preserve"> נמשכת תקופה ארוכה יותר מאשר בישראל, אולם </w:t>
      </w:r>
      <w:r w:rsidRPr="0093327C">
        <w:rPr>
          <w:rFonts w:hint="cs"/>
          <w:rtl/>
        </w:rPr>
        <w:t>כמות</w:t>
      </w:r>
      <w:r w:rsidRPr="0093327C">
        <w:rPr>
          <w:rtl/>
        </w:rPr>
        <w:t xml:space="preserve"> הסניפים בישראל לכל 100</w:t>
      </w:r>
      <w:r w:rsidRPr="0093327C">
        <w:rPr>
          <w:rFonts w:hint="cs"/>
          <w:rtl/>
        </w:rPr>
        <w:t>,000</w:t>
      </w:r>
      <w:r w:rsidRPr="0093327C">
        <w:rPr>
          <w:rtl/>
        </w:rPr>
        <w:t xml:space="preserve"> מבוגרים הייתה נמוכה בהשוואה ל</w:t>
      </w:r>
      <w:r w:rsidRPr="0093327C">
        <w:rPr>
          <w:rFonts w:hint="cs"/>
          <w:rtl/>
        </w:rPr>
        <w:t>כמות</w:t>
      </w:r>
      <w:r w:rsidRPr="0093327C">
        <w:rPr>
          <w:rtl/>
        </w:rPr>
        <w:t xml:space="preserve"> הסניפים הממוצעת במדינות ה-</w:t>
      </w:r>
      <w:r w:rsidRPr="0093327C">
        <w:t>OECD</w:t>
      </w:r>
      <w:r w:rsidRPr="0093327C">
        <w:rPr>
          <w:rtl/>
        </w:rPr>
        <w:t xml:space="preserve"> לכל אורך העשור האחרון. כך בשנת 2020 בישראל היו 16.2 סניפים לכל 100,000 מבוגרים מול 18.3 בממוצע מדינות ה-</w:t>
      </w:r>
      <w:r w:rsidRPr="0093327C">
        <w:t>OECD</w:t>
      </w:r>
      <w:r w:rsidRPr="0093709F" w:rsidR="00420374">
        <w:rPr>
          <w:rFonts w:hint="cs"/>
          <w:rtl/>
        </w:rPr>
        <w:t>.</w:t>
      </w:r>
    </w:p>
    <w:p w:rsidR="00420374" w:rsidRPr="0093327C" w:rsidP="000E1DB2" w14:paraId="39D5E97C" w14:textId="18F38233">
      <w:pPr>
        <w:pStyle w:val="7392"/>
        <w:ind w:left="360"/>
        <w:rPr>
          <w:noProof/>
        </w:rPr>
      </w:pPr>
      <w:r w:rsidRPr="00B02658">
        <w:rPr>
          <w:rFonts w:hint="cs"/>
          <w:b/>
          <w:bCs/>
          <w:noProof/>
          <w:rtl/>
        </w:rPr>
        <w:drawing>
          <wp:anchor distT="0" distB="720090" distL="114300" distR="114300" simplePos="0" relativeHeight="251692032" behindDoc="1" locked="0" layoutInCell="1" allowOverlap="1">
            <wp:simplePos x="0" y="0"/>
            <wp:positionH relativeFrom="column">
              <wp:posOffset>4568988</wp:posOffset>
            </wp:positionH>
            <wp:positionV relativeFrom="paragraph">
              <wp:posOffset>39370</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11357589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94"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949A5" w:rsidR="0093327C">
        <w:rPr>
          <w:rFonts w:hint="cs"/>
          <w:b/>
          <w:bCs/>
          <w:spacing w:val="-4"/>
          <w:rtl/>
        </w:rPr>
        <w:t>רווחיות המערכת הבנקאית והתועלות לציבור</w:t>
      </w:r>
      <w:r w:rsidRPr="00EB4739" w:rsidR="0093327C">
        <w:rPr>
          <w:rFonts w:hint="cs"/>
          <w:spacing w:val="-4"/>
          <w:rtl/>
        </w:rPr>
        <w:t xml:space="preserve"> </w:t>
      </w:r>
      <w:r w:rsidRPr="00EB4739" w:rsidR="0093327C">
        <w:rPr>
          <w:spacing w:val="-4"/>
          <w:rtl/>
        </w:rPr>
        <w:t>- הדיגיטציה תרמה רבות לשיפור גיוון השירות הבנקאי וליעילותו לצרכנים וכן הפחיתה את העלויות שמשלם הציבור על עמלות. עם זאת, הדיגיטציה אשר הפחיתה את עלויות המשכורות וההוצאות הנלוות של הבנקים</w:t>
      </w:r>
      <w:r w:rsidRPr="00EB4739" w:rsidR="0093327C">
        <w:rPr>
          <w:rFonts w:hint="cs"/>
          <w:spacing w:val="-4"/>
          <w:rtl/>
        </w:rPr>
        <w:t xml:space="preserve"> ותרמה לגידול של 10% ברווח חמש הבנקים הגדולים בשנים 2014 - 2021</w:t>
      </w:r>
      <w:r w:rsidRPr="00EB4739" w:rsidR="0093327C">
        <w:rPr>
          <w:spacing w:val="-4"/>
          <w:rtl/>
        </w:rPr>
        <w:t>, לא תרמה לירידה במרווחי האשראי ורווחי</w:t>
      </w:r>
      <w:r w:rsidRPr="00EB4739" w:rsidR="0093327C">
        <w:rPr>
          <w:rFonts w:hint="cs"/>
          <w:spacing w:val="-4"/>
          <w:rtl/>
        </w:rPr>
        <w:t>הם</w:t>
      </w:r>
      <w:r w:rsidRPr="00EB4739" w:rsidR="0093327C">
        <w:rPr>
          <w:spacing w:val="-4"/>
          <w:rtl/>
        </w:rPr>
        <w:t xml:space="preserve"> במהלך השנים האחרונות גדלו בעקביות מ- 10.4 מיליארדי ש"ח בשנת 2014 ל-22.1 מיליארדי ש"ח בשנת 2021, בהתאם לגידול בתיק האשראי הבנקאי. הדבר מצביע על הריכוזיות בענף הבנקאות ועל היעדר תחרות מספקת, מטיל ספק אם ההתייעלות הדיגיטלית </w:t>
      </w:r>
      <w:r w:rsidRPr="00EB4739" w:rsidR="0093327C">
        <w:rPr>
          <w:spacing w:val="-4"/>
          <w:rtl/>
        </w:rPr>
        <w:t>התגלגלה במלואה לציבור ומחדד את הצורך של בנק ישראל והפיקוח על הבנקים</w:t>
      </w:r>
      <w:r w:rsidRPr="00EB4739" w:rsidR="0093327C">
        <w:rPr>
          <w:rFonts w:hint="cs"/>
          <w:spacing w:val="-4"/>
        </w:rPr>
        <w:t xml:space="preserve"> </w:t>
      </w:r>
      <w:r w:rsidRPr="00EB4739" w:rsidR="0093327C">
        <w:rPr>
          <w:rFonts w:hint="cs"/>
          <w:spacing w:val="-4"/>
          <w:rtl/>
        </w:rPr>
        <w:t>בתוכו</w:t>
      </w:r>
      <w:r w:rsidRPr="00EB4739" w:rsidR="0093327C">
        <w:rPr>
          <w:spacing w:val="-4"/>
          <w:rtl/>
        </w:rPr>
        <w:t xml:space="preserve"> ליזום פעולות בעידן הדיגיטלי להגברת התחרות בענף הבנקאות, </w:t>
      </w:r>
      <w:r w:rsidRPr="00EB4739" w:rsidR="0093327C">
        <w:rPr>
          <w:rFonts w:hint="eastAsia"/>
          <w:spacing w:val="-4"/>
          <w:rtl/>
        </w:rPr>
        <w:t>על</w:t>
      </w:r>
      <w:r w:rsidRPr="00EB4739" w:rsidR="0093327C">
        <w:rPr>
          <w:spacing w:val="-4"/>
          <w:rtl/>
        </w:rPr>
        <w:t xml:space="preserve"> </w:t>
      </w:r>
      <w:r w:rsidRPr="00EB4739" w:rsidR="0093327C">
        <w:rPr>
          <w:rFonts w:hint="eastAsia"/>
          <w:spacing w:val="-4"/>
          <w:rtl/>
        </w:rPr>
        <w:t>מנת</w:t>
      </w:r>
      <w:r w:rsidRPr="00EB4739" w:rsidR="0093327C">
        <w:rPr>
          <w:spacing w:val="-4"/>
          <w:rtl/>
        </w:rPr>
        <w:t xml:space="preserve"> </w:t>
      </w:r>
      <w:r w:rsidRPr="00EB4739" w:rsidR="0093327C">
        <w:rPr>
          <w:rFonts w:hint="eastAsia"/>
          <w:spacing w:val="-4"/>
          <w:rtl/>
        </w:rPr>
        <w:t>שההתייעלות</w:t>
      </w:r>
      <w:r w:rsidRPr="00EB4739" w:rsidR="0093327C">
        <w:rPr>
          <w:spacing w:val="-4"/>
          <w:rtl/>
        </w:rPr>
        <w:t xml:space="preserve"> </w:t>
      </w:r>
      <w:r w:rsidRPr="00EB4739" w:rsidR="0093327C">
        <w:rPr>
          <w:rFonts w:hint="eastAsia"/>
          <w:spacing w:val="-4"/>
          <w:rtl/>
        </w:rPr>
        <w:t>הדיגיטלית</w:t>
      </w:r>
      <w:r w:rsidRPr="00EB4739" w:rsidR="0093327C">
        <w:rPr>
          <w:spacing w:val="-4"/>
          <w:rtl/>
        </w:rPr>
        <w:t xml:space="preserve"> </w:t>
      </w:r>
      <w:r w:rsidRPr="00EB4739" w:rsidR="0093327C">
        <w:rPr>
          <w:rFonts w:hint="eastAsia"/>
          <w:spacing w:val="-4"/>
          <w:rtl/>
        </w:rPr>
        <w:t>תבוא</w:t>
      </w:r>
      <w:r w:rsidRPr="00EB4739" w:rsidR="0093327C">
        <w:rPr>
          <w:spacing w:val="-4"/>
          <w:rtl/>
        </w:rPr>
        <w:t xml:space="preserve"> </w:t>
      </w:r>
      <w:r w:rsidRPr="00EB4739" w:rsidR="0093327C">
        <w:rPr>
          <w:rFonts w:hint="eastAsia"/>
          <w:spacing w:val="-4"/>
          <w:rtl/>
        </w:rPr>
        <w:t>לידי</w:t>
      </w:r>
      <w:r w:rsidRPr="00EB4739" w:rsidR="0093327C">
        <w:rPr>
          <w:spacing w:val="-4"/>
          <w:rtl/>
        </w:rPr>
        <w:t xml:space="preserve"> </w:t>
      </w:r>
      <w:r w:rsidRPr="00EB4739" w:rsidR="0093327C">
        <w:rPr>
          <w:rFonts w:hint="eastAsia"/>
          <w:spacing w:val="-4"/>
          <w:rtl/>
        </w:rPr>
        <w:t>ביטוי</w:t>
      </w:r>
      <w:r w:rsidRPr="00EB4739" w:rsidR="0093327C">
        <w:rPr>
          <w:spacing w:val="-4"/>
          <w:rtl/>
        </w:rPr>
        <w:t xml:space="preserve"> </w:t>
      </w:r>
      <w:r w:rsidRPr="00EB4739" w:rsidR="0093327C">
        <w:rPr>
          <w:rFonts w:hint="eastAsia"/>
          <w:spacing w:val="-4"/>
          <w:rtl/>
        </w:rPr>
        <w:t>באופן</w:t>
      </w:r>
      <w:r w:rsidRPr="00EB4739" w:rsidR="0093327C">
        <w:rPr>
          <w:spacing w:val="-4"/>
          <w:rtl/>
        </w:rPr>
        <w:t xml:space="preserve"> </w:t>
      </w:r>
      <w:r w:rsidRPr="00EB4739" w:rsidR="0093327C">
        <w:rPr>
          <w:rFonts w:hint="eastAsia"/>
          <w:spacing w:val="-4"/>
          <w:rtl/>
        </w:rPr>
        <w:t>משמעותי</w:t>
      </w:r>
      <w:r w:rsidRPr="00EB4739" w:rsidR="0093327C">
        <w:rPr>
          <w:spacing w:val="-4"/>
          <w:rtl/>
        </w:rPr>
        <w:t xml:space="preserve"> </w:t>
      </w:r>
      <w:r w:rsidRPr="00EB4739" w:rsidR="0093327C">
        <w:rPr>
          <w:rFonts w:hint="eastAsia"/>
          <w:spacing w:val="-4"/>
          <w:rtl/>
        </w:rPr>
        <w:t>יותר</w:t>
      </w:r>
      <w:r w:rsidRPr="00EB4739" w:rsidR="0093327C">
        <w:rPr>
          <w:spacing w:val="-4"/>
          <w:rtl/>
        </w:rPr>
        <w:t xml:space="preserve"> </w:t>
      </w:r>
      <w:r w:rsidRPr="00EB4739" w:rsidR="0093327C">
        <w:rPr>
          <w:rFonts w:hint="eastAsia"/>
          <w:spacing w:val="-4"/>
          <w:rtl/>
        </w:rPr>
        <w:t>בהפחתת</w:t>
      </w:r>
      <w:r w:rsidRPr="00EB4739" w:rsidR="0093327C">
        <w:rPr>
          <w:spacing w:val="-4"/>
          <w:rtl/>
        </w:rPr>
        <w:t xml:space="preserve"> </w:t>
      </w:r>
      <w:r w:rsidRPr="00EB4739" w:rsidR="0093327C">
        <w:rPr>
          <w:rFonts w:hint="eastAsia"/>
          <w:spacing w:val="-4"/>
          <w:rtl/>
        </w:rPr>
        <w:t>העלויות</w:t>
      </w:r>
      <w:r w:rsidRPr="00EB4739" w:rsidR="0093327C">
        <w:rPr>
          <w:spacing w:val="-4"/>
          <w:rtl/>
        </w:rPr>
        <w:t xml:space="preserve"> </w:t>
      </w:r>
      <w:r w:rsidRPr="00EB4739" w:rsidR="0093327C">
        <w:rPr>
          <w:rFonts w:hint="eastAsia"/>
          <w:spacing w:val="-4"/>
          <w:rtl/>
        </w:rPr>
        <w:t>לצרכן</w:t>
      </w:r>
      <w:r w:rsidR="0093327C">
        <w:rPr>
          <w:rFonts w:hint="cs"/>
          <w:spacing w:val="-4"/>
          <w:rtl/>
        </w:rPr>
        <w:t>.</w:t>
      </w:r>
    </w:p>
    <w:p w:rsidR="0093327C" w:rsidP="000E1DB2" w14:paraId="34F6700F" w14:textId="295D528B">
      <w:pPr>
        <w:pStyle w:val="7392"/>
        <w:ind w:left="360"/>
        <w:rPr>
          <w:noProof/>
          <w:rtl/>
        </w:rPr>
      </w:pPr>
      <w:r w:rsidRPr="004949A5">
        <w:rPr>
          <w:rFonts w:hint="cs"/>
          <w:noProof/>
          <w:spacing w:val="-4"/>
          <w:rtl/>
        </w:rPr>
        <w:drawing>
          <wp:anchor distT="0" distB="0" distL="114300" distR="114300" simplePos="0" relativeHeight="251681792" behindDoc="0" locked="0" layoutInCell="1" allowOverlap="1">
            <wp:simplePos x="0" y="0"/>
            <wp:positionH relativeFrom="column">
              <wp:posOffset>2412365</wp:posOffset>
            </wp:positionH>
            <wp:positionV relativeFrom="paragraph">
              <wp:posOffset>1193800</wp:posOffset>
            </wp:positionV>
            <wp:extent cx="2199640" cy="180340"/>
            <wp:effectExtent l="0" t="0" r="0" b="0"/>
            <wp:wrapTopAndBottom/>
            <wp:docPr id="2052770957"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Pr="00B02658" w:rsidR="000E1DB2">
        <w:rPr>
          <w:rFonts w:hint="cs"/>
          <w:b/>
          <w:bCs/>
          <w:noProof/>
          <w:rtl/>
        </w:rPr>
        <w:drawing>
          <wp:anchor distT="0" distB="720090" distL="114300" distR="114300" simplePos="0" relativeHeight="251693056" behindDoc="1" locked="0" layoutInCell="1" allowOverlap="1">
            <wp:simplePos x="0" y="0"/>
            <wp:positionH relativeFrom="column">
              <wp:posOffset>4570567</wp:posOffset>
            </wp:positionH>
            <wp:positionV relativeFrom="paragraph">
              <wp:posOffset>20320</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111357589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95"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4949A5">
        <w:rPr>
          <w:rFonts w:hint="cs"/>
          <w:b/>
          <w:bCs/>
          <w:spacing w:val="-4"/>
          <w:rtl/>
        </w:rPr>
        <w:t>שביעות רצון הציבור מהשירותים הדיגיטליים</w:t>
      </w:r>
      <w:r w:rsidRPr="00EB4739">
        <w:rPr>
          <w:rFonts w:hint="cs"/>
          <w:spacing w:val="-4"/>
          <w:rtl/>
        </w:rPr>
        <w:t xml:space="preserve"> - </w:t>
      </w:r>
      <w:r w:rsidRPr="00EB4739">
        <w:rPr>
          <w:spacing w:val="-4"/>
          <w:rtl/>
        </w:rPr>
        <w:t>הציבור בישראל שבע רצון מהשירותים הדיגיטליים גם בהשוואה בין-לאומית, ובכל הבנקים תועדו שיעורי שביעות רצון גבוהים (91% בממוצע). אף על פי כן, ההתייעלות הדיגיטלית לא הגבירה את מידת ההוגנות שהציבור מייחס למערכת הבנקאית המקומית, והציבור עדיין אינו שבע רצון ממנה, והדבר עולה משיעורי שביעות רצון נמוכים במיוחד מיוזמת הבנקאים בהצעת שירותים להוזלת עלויות (35.5% בממוצע) ובפתרונות יצירתיים התואמים לצורכי הלקוחות (33.5% בממוצע</w:t>
      </w:r>
      <w:r>
        <w:rPr>
          <w:rFonts w:hint="cs"/>
          <w:noProof/>
          <w:rtl/>
        </w:rPr>
        <w:t>).</w:t>
      </w:r>
    </w:p>
    <w:p w:rsidR="0093327C" w:rsidP="0093327C" w14:paraId="52EB25B6" w14:textId="77777777">
      <w:pPr>
        <w:pStyle w:val="7392"/>
        <w:spacing w:before="360"/>
        <w:rPr>
          <w:rtl/>
        </w:rPr>
      </w:pPr>
      <w:r w:rsidRPr="00EB4739">
        <w:rPr>
          <w:spacing w:val="-4"/>
          <w:rtl/>
        </w:rPr>
        <w:t xml:space="preserve">משרד מבקר המדינה מציין לחיוב את יוזמות הפיקוח על הבנקים </w:t>
      </w:r>
      <w:r w:rsidRPr="00EB4739">
        <w:rPr>
          <w:rFonts w:hint="cs"/>
          <w:spacing w:val="-4"/>
          <w:rtl/>
        </w:rPr>
        <w:t xml:space="preserve">הן להקמת התשתית לקידום הבנקאות הפתוחה, הן </w:t>
      </w:r>
      <w:r w:rsidRPr="00EB4739">
        <w:rPr>
          <w:spacing w:val="-4"/>
          <w:rtl/>
        </w:rPr>
        <w:t>לזיהוי חסמי כניסה ולהסרתם אגב התאמת הרגולציה כך שתתמוך בהקמת בנקים חדשים, ובפרט בבנקים דיגיטליים</w:t>
      </w:r>
      <w:r w:rsidRPr="00EB4739">
        <w:rPr>
          <w:rFonts w:hint="cs"/>
          <w:spacing w:val="-4"/>
          <w:rtl/>
        </w:rPr>
        <w:t xml:space="preserve">, והן </w:t>
      </w:r>
      <w:r w:rsidRPr="00EB4739">
        <w:rPr>
          <w:spacing w:val="-4"/>
          <w:rtl/>
        </w:rPr>
        <w:t>להגברת החינוך הפיננסי והאוריינות הדיגיטלית בציבור באמצעות המערכת הבנקאית וקידום שיתופי פעולה עם גורמים ממשלתיים שונים</w:t>
      </w:r>
      <w:r w:rsidRPr="00411396" w:rsidR="00420374">
        <w:rPr>
          <w:rtl/>
        </w:rPr>
        <w:t>.</w:t>
      </w:r>
    </w:p>
    <w:p w:rsidR="0093327C" w:rsidP="0093327C" w14:paraId="3D66D7A4" w14:textId="77777777">
      <w:pPr>
        <w:pStyle w:val="7392"/>
        <w:spacing w:after="0"/>
        <w:rPr>
          <w:rtl/>
        </w:rPr>
      </w:pPr>
    </w:p>
    <w:p w:rsidR="00706096" w:rsidRPr="0093709F" w:rsidP="0093327C" w14:paraId="01D52D46" w14:textId="121AFA03">
      <w:pPr>
        <w:pStyle w:val="7327"/>
        <w:spacing w:after="360"/>
        <w:rPr>
          <w:rtl/>
        </w:rPr>
      </w:pPr>
      <w:r w:rsidRPr="00662020">
        <w:rPr>
          <w:rFonts w:hint="cs"/>
          <w:rtl/>
        </w:rPr>
        <w:t>עיקרי המלצות הביקורת</w:t>
      </w:r>
      <w:r w:rsidRPr="0093709F">
        <w:rPr>
          <w:rtl/>
        </w:rPr>
        <w:t xml:space="preserve"> </w:t>
      </w:r>
    </w:p>
    <w:p w:rsidR="005D0F8C" w:rsidRPr="008E57FE" w:rsidP="002C6508" w14:paraId="74996E08" w14:textId="06B26C6A">
      <w:pPr>
        <w:pStyle w:val="7317"/>
        <w:ind w:left="566"/>
        <w:rPr>
          <w:rtl/>
        </w:rPr>
      </w:pPr>
      <w:r w:rsidRPr="00B02658">
        <w:rPr>
          <w:rFonts w:hint="cs"/>
          <w:b/>
          <w:bCs/>
          <w:noProof/>
          <w:rtl/>
        </w:rPr>
        <w:drawing>
          <wp:anchor distT="0" distB="1440180" distL="107950" distR="114300" simplePos="0" relativeHeight="251698176" behindDoc="1" locked="0" layoutInCell="1" allowOverlap="1">
            <wp:simplePos x="0" y="0"/>
            <wp:positionH relativeFrom="column">
              <wp:posOffset>4512181</wp:posOffset>
            </wp:positionH>
            <wp:positionV relativeFrom="paragraph">
              <wp:posOffset>18415</wp:posOffset>
            </wp:positionV>
            <wp:extent cx="144000" cy="162000"/>
            <wp:effectExtent l="0" t="0" r="0" b="3175"/>
            <wp:wrapTight wrapText="bothSides">
              <wp:wrapPolygon>
                <wp:start x="1912" y="0"/>
                <wp:lineTo x="0" y="1694"/>
                <wp:lineTo x="0" y="20329"/>
                <wp:lineTo x="19115" y="20329"/>
                <wp:lineTo x="19115" y="0"/>
                <wp:lineTo x="1912" y="0"/>
              </wp:wrapPolygon>
            </wp:wrapTight>
            <wp:docPr id="3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9"/>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EB4739" w:rsidR="0093327C">
        <w:rPr>
          <w:rtl/>
        </w:rPr>
        <w:t>מומלץ כי משרד</w:t>
      </w:r>
      <w:r w:rsidRPr="00EB4739" w:rsidR="0093327C">
        <w:rPr>
          <w:rFonts w:hint="cs"/>
          <w:rtl/>
        </w:rPr>
        <w:t>י</w:t>
      </w:r>
      <w:r w:rsidRPr="00EB4739" w:rsidR="0093327C">
        <w:rPr>
          <w:rtl/>
        </w:rPr>
        <w:t xml:space="preserve"> האוצר</w:t>
      </w:r>
      <w:r w:rsidRPr="00EB4739" w:rsidR="0093327C">
        <w:rPr>
          <w:rFonts w:hint="cs"/>
          <w:rtl/>
        </w:rPr>
        <w:t xml:space="preserve"> והמשפטים</w:t>
      </w:r>
      <w:r w:rsidRPr="00EB4739" w:rsidR="0093327C">
        <w:rPr>
          <w:rtl/>
        </w:rPr>
        <w:t>, בנק ישראל וחברי ועדות, האמונים על קידום התחרות והחדשנות בענף הבנקאות, יתחשבו במכלול הצעדים שהמערכת הבנקאית נדרשת ליישם בבואם להחליט על צעדים חדשים, זאת כדי להבטיח שישתלבו ביעילות. עוד מומלץ כי הפיקוח על הבנקים יגבש תוכנית תקופתית מקיפה עם לוחות זמנים ליישום הצעדים לקידום התחרות והחדשנות בענף הבנקאות בשיתוף התאגידים הבנקאיים, שתפורסם לציבור, תבטא את דרישות החקיקה והאסדרה ותתמוך בהיערכות המערכת הבנקאית</w:t>
      </w:r>
      <w:r w:rsidRPr="008E57FE">
        <w:rPr>
          <w:rFonts w:hint="cs"/>
          <w:rtl/>
        </w:rPr>
        <w:t>.</w:t>
      </w:r>
    </w:p>
    <w:p w:rsidR="0093709F" w:rsidP="002C6508" w14:paraId="0466320B" w14:textId="05F5CCF8">
      <w:pPr>
        <w:pStyle w:val="7317"/>
        <w:ind w:left="566"/>
      </w:pPr>
      <w:r w:rsidRPr="00B02658">
        <w:rPr>
          <w:rFonts w:hint="cs"/>
          <w:b/>
          <w:bCs/>
          <w:noProof/>
          <w:rtl/>
        </w:rPr>
        <w:drawing>
          <wp:anchor distT="0" distB="1440180" distL="107950" distR="114300" simplePos="0" relativeHeight="251699200" behindDoc="1" locked="0" layoutInCell="1" allowOverlap="1">
            <wp:simplePos x="0" y="0"/>
            <wp:positionH relativeFrom="column">
              <wp:posOffset>4512181</wp:posOffset>
            </wp:positionH>
            <wp:positionV relativeFrom="paragraph">
              <wp:posOffset>10160</wp:posOffset>
            </wp:positionV>
            <wp:extent cx="143510" cy="161925"/>
            <wp:effectExtent l="0" t="0" r="0" b="3175"/>
            <wp:wrapTight wrapText="bothSides">
              <wp:wrapPolygon>
                <wp:start x="1912" y="0"/>
                <wp:lineTo x="0" y="1694"/>
                <wp:lineTo x="0" y="20329"/>
                <wp:lineTo x="19115" y="20329"/>
                <wp:lineTo x="19115" y="0"/>
                <wp:lineTo x="1912" y="0"/>
              </wp:wrapPolygon>
            </wp:wrapTight>
            <wp:docPr id="4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9"/>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EB4739" w:rsidR="0093327C">
        <w:rPr>
          <w:rFonts w:hint="eastAsia"/>
          <w:rtl/>
        </w:rPr>
        <w:t>נוכח</w:t>
      </w:r>
      <w:r w:rsidRPr="00EB4739" w:rsidR="0093327C">
        <w:rPr>
          <w:rtl/>
        </w:rPr>
        <w:t xml:space="preserve"> </w:t>
      </w:r>
      <w:r w:rsidRPr="00EB4739" w:rsidR="0093327C">
        <w:rPr>
          <w:rFonts w:hint="eastAsia"/>
          <w:rtl/>
        </w:rPr>
        <w:t>התמשכות</w:t>
      </w:r>
      <w:r w:rsidRPr="00EB4739" w:rsidR="0093327C">
        <w:rPr>
          <w:rtl/>
        </w:rPr>
        <w:t xml:space="preserve"> </w:t>
      </w:r>
      <w:r w:rsidRPr="00EB4739" w:rsidR="0093327C">
        <w:rPr>
          <w:rFonts w:hint="eastAsia"/>
          <w:rtl/>
        </w:rPr>
        <w:t>ההליכים</w:t>
      </w:r>
      <w:r w:rsidRPr="00EB4739" w:rsidR="0093327C">
        <w:rPr>
          <w:rtl/>
        </w:rPr>
        <w:t xml:space="preserve"> </w:t>
      </w:r>
      <w:r w:rsidRPr="00EB4739" w:rsidR="0093327C">
        <w:rPr>
          <w:rFonts w:hint="eastAsia"/>
          <w:rtl/>
        </w:rPr>
        <w:t>להסדרת</w:t>
      </w:r>
      <w:r w:rsidRPr="00EB4739" w:rsidR="0093327C">
        <w:rPr>
          <w:rtl/>
        </w:rPr>
        <w:t xml:space="preserve"> </w:t>
      </w:r>
      <w:r w:rsidRPr="00EB4739" w:rsidR="0093327C">
        <w:rPr>
          <w:rFonts w:hint="eastAsia"/>
          <w:rtl/>
        </w:rPr>
        <w:t>העיסוק</w:t>
      </w:r>
      <w:r w:rsidRPr="00EB4739" w:rsidR="0093327C">
        <w:rPr>
          <w:rtl/>
        </w:rPr>
        <w:t xml:space="preserve"> </w:t>
      </w:r>
      <w:r w:rsidRPr="00EB4739" w:rsidR="0093327C">
        <w:rPr>
          <w:rFonts w:hint="eastAsia"/>
          <w:rtl/>
        </w:rPr>
        <w:t>בשירותי</w:t>
      </w:r>
      <w:r w:rsidRPr="00EB4739" w:rsidR="0093327C">
        <w:rPr>
          <w:rtl/>
        </w:rPr>
        <w:t xml:space="preserve"> </w:t>
      </w:r>
      <w:r w:rsidRPr="00EB4739" w:rsidR="0093327C">
        <w:rPr>
          <w:rFonts w:hint="eastAsia"/>
          <w:rtl/>
        </w:rPr>
        <w:t>תשלום</w:t>
      </w:r>
      <w:r w:rsidRPr="00EB4739" w:rsidR="0093327C">
        <w:rPr>
          <w:rtl/>
        </w:rPr>
        <w:t xml:space="preserve">, </w:t>
      </w:r>
      <w:r w:rsidRPr="00EB4739" w:rsidR="0093327C">
        <w:rPr>
          <w:rFonts w:hint="eastAsia"/>
          <w:rtl/>
        </w:rPr>
        <w:t>ובכלל</w:t>
      </w:r>
      <w:r w:rsidRPr="00EB4739" w:rsidR="0093327C">
        <w:rPr>
          <w:rtl/>
        </w:rPr>
        <w:t xml:space="preserve"> זה </w:t>
      </w:r>
      <w:r w:rsidRPr="00EB4739" w:rsidR="0093327C">
        <w:rPr>
          <w:rFonts w:hint="eastAsia"/>
          <w:rtl/>
        </w:rPr>
        <w:t>העיכוב</w:t>
      </w:r>
      <w:r w:rsidRPr="00EB4739" w:rsidR="0093327C">
        <w:rPr>
          <w:rtl/>
        </w:rPr>
        <w:t xml:space="preserve"> </w:t>
      </w:r>
      <w:r w:rsidRPr="00EB4739" w:rsidR="0093327C">
        <w:rPr>
          <w:rFonts w:hint="eastAsia"/>
          <w:rtl/>
        </w:rPr>
        <w:t>בפרסום</w:t>
      </w:r>
      <w:r w:rsidRPr="00EB4739" w:rsidR="0093327C">
        <w:rPr>
          <w:rtl/>
        </w:rPr>
        <w:t xml:space="preserve"> </w:t>
      </w:r>
      <w:r w:rsidRPr="00EB4739" w:rsidR="0093327C">
        <w:rPr>
          <w:rFonts w:hint="eastAsia"/>
          <w:rtl/>
        </w:rPr>
        <w:t>מסקנות</w:t>
      </w:r>
      <w:r w:rsidRPr="00EB4739" w:rsidR="0093327C">
        <w:rPr>
          <w:rtl/>
        </w:rPr>
        <w:t xml:space="preserve"> </w:t>
      </w:r>
      <w:r w:rsidRPr="00EB4739" w:rsidR="0093327C">
        <w:rPr>
          <w:rFonts w:hint="eastAsia"/>
          <w:rtl/>
        </w:rPr>
        <w:t>הוועדה</w:t>
      </w:r>
      <w:r w:rsidRPr="00EB4739" w:rsidR="0093327C">
        <w:rPr>
          <w:rtl/>
        </w:rPr>
        <w:t xml:space="preserve"> </w:t>
      </w:r>
      <w:r w:rsidRPr="00EB4739" w:rsidR="0093327C">
        <w:rPr>
          <w:rFonts w:hint="eastAsia"/>
          <w:rtl/>
        </w:rPr>
        <w:t>לבחינת</w:t>
      </w:r>
      <w:r w:rsidRPr="00EB4739" w:rsidR="0093327C">
        <w:rPr>
          <w:rtl/>
        </w:rPr>
        <w:t xml:space="preserve"> </w:t>
      </w:r>
      <w:r w:rsidRPr="00EB4739" w:rsidR="0093327C">
        <w:rPr>
          <w:rFonts w:hint="eastAsia"/>
          <w:rtl/>
        </w:rPr>
        <w:t>מבנה</w:t>
      </w:r>
      <w:r w:rsidRPr="00EB4739" w:rsidR="0093327C">
        <w:rPr>
          <w:rtl/>
        </w:rPr>
        <w:t xml:space="preserve"> </w:t>
      </w:r>
      <w:r w:rsidRPr="00EB4739" w:rsidR="0093327C">
        <w:rPr>
          <w:rFonts w:hint="eastAsia"/>
          <w:rtl/>
        </w:rPr>
        <w:t>הפיקוח</w:t>
      </w:r>
      <w:r w:rsidRPr="00EB4739" w:rsidR="0093327C">
        <w:rPr>
          <w:rtl/>
        </w:rPr>
        <w:t xml:space="preserve"> </w:t>
      </w:r>
      <w:r w:rsidRPr="00EB4739" w:rsidR="0093327C">
        <w:rPr>
          <w:rFonts w:hint="eastAsia"/>
          <w:rtl/>
        </w:rPr>
        <w:t>הפיננסי</w:t>
      </w:r>
      <w:r w:rsidRPr="00EB4739" w:rsidR="0093327C">
        <w:rPr>
          <w:rtl/>
        </w:rPr>
        <w:t xml:space="preserve">, </w:t>
      </w:r>
      <w:r w:rsidRPr="00EB4739" w:rsidR="0093327C">
        <w:rPr>
          <w:rFonts w:hint="eastAsia"/>
          <w:rtl/>
        </w:rPr>
        <w:t>שפועלת</w:t>
      </w:r>
      <w:r w:rsidRPr="00EB4739" w:rsidR="0093327C">
        <w:rPr>
          <w:rtl/>
        </w:rPr>
        <w:t xml:space="preserve"> </w:t>
      </w:r>
      <w:r w:rsidRPr="00EB4739" w:rsidR="0093327C">
        <w:rPr>
          <w:rFonts w:hint="eastAsia"/>
          <w:rtl/>
        </w:rPr>
        <w:t>בימים</w:t>
      </w:r>
      <w:r w:rsidRPr="00EB4739" w:rsidR="0093327C">
        <w:rPr>
          <w:rtl/>
        </w:rPr>
        <w:t xml:space="preserve"> </w:t>
      </w:r>
      <w:r w:rsidRPr="00EB4739" w:rsidR="0093327C">
        <w:rPr>
          <w:rFonts w:hint="eastAsia"/>
          <w:rtl/>
        </w:rPr>
        <w:t>אלה</w:t>
      </w:r>
      <w:r w:rsidRPr="00EB4739" w:rsidR="0093327C">
        <w:rPr>
          <w:rtl/>
        </w:rPr>
        <w:t xml:space="preserve"> ונדרשת בין היתר לטפל בתחום </w:t>
      </w:r>
      <w:r w:rsidRPr="00EB4739" w:rsidR="0093327C">
        <w:rPr>
          <w:rFonts w:hint="eastAsia"/>
          <w:rtl/>
        </w:rPr>
        <w:t>זה</w:t>
      </w:r>
      <w:r w:rsidRPr="00EB4739" w:rsidR="0093327C">
        <w:rPr>
          <w:rtl/>
        </w:rPr>
        <w:t xml:space="preserve">, לצד </w:t>
      </w:r>
      <w:r w:rsidRPr="00EB4739" w:rsidR="0093327C">
        <w:rPr>
          <w:rFonts w:hint="eastAsia"/>
          <w:rtl/>
        </w:rPr>
        <w:t>הפיגור</w:t>
      </w:r>
      <w:r w:rsidRPr="00EB4739" w:rsidR="0093327C">
        <w:rPr>
          <w:rtl/>
        </w:rPr>
        <w:t xml:space="preserve"> </w:t>
      </w:r>
      <w:r w:rsidRPr="00EB4739" w:rsidR="0093327C">
        <w:rPr>
          <w:rFonts w:hint="eastAsia"/>
          <w:rtl/>
        </w:rPr>
        <w:t>בהשוואה</w:t>
      </w:r>
      <w:r w:rsidRPr="00EB4739" w:rsidR="0093327C">
        <w:rPr>
          <w:rtl/>
        </w:rPr>
        <w:t xml:space="preserve"> לנהוג בעולם ב</w:t>
      </w:r>
      <w:r w:rsidRPr="00EB4739" w:rsidR="0093327C">
        <w:rPr>
          <w:rFonts w:hint="eastAsia"/>
          <w:rtl/>
        </w:rPr>
        <w:t>הסדרת</w:t>
      </w:r>
      <w:r w:rsidRPr="00EB4739" w:rsidR="0093327C">
        <w:rPr>
          <w:rtl/>
        </w:rPr>
        <w:t xml:space="preserve"> </w:t>
      </w:r>
      <w:r w:rsidRPr="00EB4739" w:rsidR="0093327C">
        <w:rPr>
          <w:rFonts w:hint="eastAsia"/>
          <w:rtl/>
        </w:rPr>
        <w:t>פעילותם</w:t>
      </w:r>
      <w:r w:rsidRPr="00EB4739" w:rsidR="0093327C">
        <w:rPr>
          <w:rtl/>
        </w:rPr>
        <w:t xml:space="preserve"> </w:t>
      </w:r>
      <w:r w:rsidRPr="00EB4739" w:rsidR="0093327C">
        <w:rPr>
          <w:rFonts w:hint="eastAsia"/>
          <w:rtl/>
        </w:rPr>
        <w:t>של</w:t>
      </w:r>
      <w:r w:rsidRPr="00EB4739" w:rsidR="0093327C">
        <w:rPr>
          <w:rtl/>
        </w:rPr>
        <w:t xml:space="preserve"> </w:t>
      </w:r>
      <w:r w:rsidRPr="00EB4739" w:rsidR="0093327C">
        <w:rPr>
          <w:rFonts w:hint="eastAsia"/>
          <w:rtl/>
        </w:rPr>
        <w:t>נותני</w:t>
      </w:r>
      <w:r w:rsidRPr="00EB4739" w:rsidR="0093327C">
        <w:rPr>
          <w:rtl/>
        </w:rPr>
        <w:t xml:space="preserve"> </w:t>
      </w:r>
      <w:r w:rsidRPr="00EB4739" w:rsidR="0093327C">
        <w:rPr>
          <w:rFonts w:hint="eastAsia"/>
          <w:rtl/>
        </w:rPr>
        <w:t>שירותי</w:t>
      </w:r>
      <w:r w:rsidRPr="00EB4739" w:rsidR="0093327C">
        <w:rPr>
          <w:rtl/>
        </w:rPr>
        <w:t xml:space="preserve"> </w:t>
      </w:r>
      <w:r w:rsidRPr="00EB4739" w:rsidR="0093327C">
        <w:rPr>
          <w:rFonts w:hint="eastAsia"/>
          <w:rtl/>
        </w:rPr>
        <w:t>התשלום</w:t>
      </w:r>
      <w:r w:rsidRPr="00EB4739" w:rsidR="0093327C">
        <w:rPr>
          <w:rtl/>
        </w:rPr>
        <w:t xml:space="preserve"> </w:t>
      </w:r>
      <w:r w:rsidRPr="00EB4739" w:rsidR="0093327C">
        <w:rPr>
          <w:rFonts w:hint="eastAsia"/>
          <w:rtl/>
        </w:rPr>
        <w:t>וההשלכות</w:t>
      </w:r>
      <w:r w:rsidRPr="00EB4739" w:rsidR="0093327C">
        <w:rPr>
          <w:rtl/>
        </w:rPr>
        <w:t xml:space="preserve"> </w:t>
      </w:r>
      <w:r w:rsidRPr="00EB4739" w:rsidR="0093327C">
        <w:rPr>
          <w:rFonts w:hint="eastAsia"/>
          <w:rtl/>
        </w:rPr>
        <w:t>הנובעות</w:t>
      </w:r>
      <w:r w:rsidRPr="00EB4739" w:rsidR="0093327C">
        <w:rPr>
          <w:rtl/>
        </w:rPr>
        <w:t xml:space="preserve"> </w:t>
      </w:r>
      <w:r w:rsidRPr="00EB4739" w:rsidR="0093327C">
        <w:rPr>
          <w:rFonts w:hint="eastAsia"/>
          <w:rtl/>
        </w:rPr>
        <w:t>מכך</w:t>
      </w:r>
      <w:r w:rsidRPr="00EB4739" w:rsidR="0093327C">
        <w:rPr>
          <w:rtl/>
        </w:rPr>
        <w:t xml:space="preserve"> </w:t>
      </w:r>
      <w:r w:rsidRPr="00EB4739" w:rsidR="0093327C">
        <w:rPr>
          <w:rFonts w:hint="eastAsia"/>
          <w:rtl/>
        </w:rPr>
        <w:t>בהיבטי</w:t>
      </w:r>
      <w:r w:rsidRPr="00EB4739" w:rsidR="0093327C">
        <w:rPr>
          <w:rtl/>
        </w:rPr>
        <w:t xml:space="preserve"> </w:t>
      </w:r>
      <w:r w:rsidRPr="00EB4739" w:rsidR="0093327C">
        <w:rPr>
          <w:rFonts w:hint="eastAsia"/>
          <w:rtl/>
        </w:rPr>
        <w:t>התחרות</w:t>
      </w:r>
      <w:r w:rsidRPr="00EB4739" w:rsidR="0093327C">
        <w:rPr>
          <w:rtl/>
        </w:rPr>
        <w:t xml:space="preserve">, </w:t>
      </w:r>
      <w:r w:rsidRPr="00EB4739" w:rsidR="0093327C">
        <w:rPr>
          <w:rFonts w:hint="eastAsia"/>
          <w:rtl/>
        </w:rPr>
        <w:t>החדשנות</w:t>
      </w:r>
      <w:r w:rsidRPr="00EB4739" w:rsidR="0093327C">
        <w:rPr>
          <w:rtl/>
        </w:rPr>
        <w:t xml:space="preserve"> ו</w:t>
      </w:r>
      <w:r w:rsidRPr="00EB4739" w:rsidR="0093327C">
        <w:rPr>
          <w:rFonts w:hint="eastAsia"/>
          <w:rtl/>
        </w:rPr>
        <w:t>היעילות</w:t>
      </w:r>
      <w:r w:rsidRPr="00EB4739" w:rsidR="0093327C">
        <w:rPr>
          <w:rtl/>
        </w:rPr>
        <w:t xml:space="preserve"> של מערך התשלומים, </w:t>
      </w:r>
      <w:r w:rsidRPr="00EB4739" w:rsidR="0093327C">
        <w:rPr>
          <w:rFonts w:hint="eastAsia"/>
          <w:rtl/>
        </w:rPr>
        <w:t>מומלץ</w:t>
      </w:r>
      <w:r w:rsidRPr="00EB4739" w:rsidR="0093327C">
        <w:rPr>
          <w:rtl/>
        </w:rPr>
        <w:t xml:space="preserve"> </w:t>
      </w:r>
      <w:r w:rsidRPr="00EB4739" w:rsidR="0093327C">
        <w:rPr>
          <w:rFonts w:hint="eastAsia"/>
          <w:rtl/>
        </w:rPr>
        <w:t>כי</w:t>
      </w:r>
      <w:r w:rsidRPr="00EB4739" w:rsidR="0093327C">
        <w:rPr>
          <w:rtl/>
        </w:rPr>
        <w:t xml:space="preserve"> משרד האוצר ימשיך ל</w:t>
      </w:r>
      <w:r w:rsidRPr="00EB4739" w:rsidR="0093327C">
        <w:rPr>
          <w:rFonts w:hint="eastAsia"/>
          <w:rtl/>
        </w:rPr>
        <w:t>פעול</w:t>
      </w:r>
      <w:r w:rsidRPr="00EB4739" w:rsidR="0093327C">
        <w:rPr>
          <w:rtl/>
        </w:rPr>
        <w:t xml:space="preserve"> </w:t>
      </w:r>
      <w:r w:rsidRPr="00EB4739" w:rsidR="0093327C">
        <w:rPr>
          <w:rFonts w:hint="eastAsia"/>
          <w:rtl/>
        </w:rPr>
        <w:t>לקידום</w:t>
      </w:r>
      <w:r w:rsidRPr="00EB4739" w:rsidR="0093327C">
        <w:rPr>
          <w:rtl/>
        </w:rPr>
        <w:t xml:space="preserve"> </w:t>
      </w:r>
      <w:r w:rsidRPr="00EB4739" w:rsidR="0093327C">
        <w:rPr>
          <w:rFonts w:hint="eastAsia"/>
          <w:rtl/>
        </w:rPr>
        <w:t>האסדר</w:t>
      </w:r>
      <w:r w:rsidRPr="00EB4739" w:rsidR="0093327C">
        <w:rPr>
          <w:rFonts w:hint="cs"/>
          <w:rtl/>
        </w:rPr>
        <w:t>ה</w:t>
      </w:r>
      <w:r w:rsidRPr="008E57FE" w:rsidR="005D0F8C">
        <w:rPr>
          <w:rFonts w:hint="cs"/>
          <w:rtl/>
        </w:rPr>
        <w:t xml:space="preserve">. </w:t>
      </w:r>
    </w:p>
    <w:p w:rsidR="005D0F8C" w:rsidRPr="008E57FE" w:rsidP="002C6508" w14:paraId="6C626C68" w14:textId="67CCE93A">
      <w:pPr>
        <w:pStyle w:val="7317"/>
        <w:ind w:left="566"/>
      </w:pPr>
      <w:r w:rsidRPr="00B02658">
        <w:rPr>
          <w:rFonts w:hint="cs"/>
          <w:b/>
          <w:bCs/>
          <w:noProof/>
          <w:rtl/>
        </w:rPr>
        <w:drawing>
          <wp:anchor distT="0" distB="1440180" distL="107950" distR="114300" simplePos="0" relativeHeight="251700224" behindDoc="1" locked="0" layoutInCell="1" allowOverlap="1">
            <wp:simplePos x="0" y="0"/>
            <wp:positionH relativeFrom="column">
              <wp:posOffset>4512181</wp:posOffset>
            </wp:positionH>
            <wp:positionV relativeFrom="paragraph">
              <wp:posOffset>21590</wp:posOffset>
            </wp:positionV>
            <wp:extent cx="144000" cy="162000"/>
            <wp:effectExtent l="0" t="0" r="0" b="3175"/>
            <wp:wrapTight wrapText="bothSides">
              <wp:wrapPolygon>
                <wp:start x="1912" y="0"/>
                <wp:lineTo x="0" y="1694"/>
                <wp:lineTo x="0" y="20329"/>
                <wp:lineTo x="19115" y="20329"/>
                <wp:lineTo x="19115" y="0"/>
                <wp:lineTo x="1912" y="0"/>
              </wp:wrapPolygon>
            </wp:wrapTight>
            <wp:docPr id="4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59"/>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EB4739" w:rsidR="0093327C">
        <w:rPr>
          <w:rtl/>
        </w:rPr>
        <w:t>מומלץ כי הפיקוח על הבנקים ימשיך לפעול ל</w:t>
      </w:r>
      <w:r w:rsidRPr="00EB4739" w:rsidR="0093327C">
        <w:rPr>
          <w:rFonts w:hint="cs"/>
          <w:rtl/>
        </w:rPr>
        <w:t>הסרת חסמים הנוגעים ל</w:t>
      </w:r>
      <w:r w:rsidRPr="00EB4739" w:rsidR="0093327C">
        <w:rPr>
          <w:rtl/>
        </w:rPr>
        <w:t>הקמת בנקים</w:t>
      </w:r>
      <w:r w:rsidRPr="00EB4739" w:rsidR="0093327C">
        <w:rPr>
          <w:rFonts w:hint="cs"/>
        </w:rPr>
        <w:t xml:space="preserve"> </w:t>
      </w:r>
      <w:r w:rsidRPr="00EB4739" w:rsidR="0093327C">
        <w:rPr>
          <w:rFonts w:hint="cs"/>
          <w:rtl/>
        </w:rPr>
        <w:t>דיגיטליים חדשים בישראל ובכלל זה יבחן</w:t>
      </w:r>
      <w:r w:rsidRPr="00EB4739" w:rsidR="0093327C">
        <w:rPr>
          <w:rtl/>
        </w:rPr>
        <w:t xml:space="preserve"> בשיתוף </w:t>
      </w:r>
      <w:r w:rsidRPr="00EB4739" w:rsidR="0093327C">
        <w:rPr>
          <w:rtl/>
        </w:rPr>
        <w:t>המאסדרים</w:t>
      </w:r>
      <w:r w:rsidRPr="00EB4739" w:rsidR="0093327C">
        <w:rPr>
          <w:rtl/>
        </w:rPr>
        <w:t xml:space="preserve"> הרל</w:t>
      </w:r>
      <w:r w:rsidRPr="00EB4739" w:rsidR="0093327C">
        <w:rPr>
          <w:rFonts w:hint="cs"/>
          <w:rtl/>
        </w:rPr>
        <w:t>וו</w:t>
      </w:r>
      <w:r w:rsidRPr="00EB4739" w:rsidR="0093327C">
        <w:rPr>
          <w:rtl/>
        </w:rPr>
        <w:t>נטיים</w:t>
      </w:r>
      <w:r w:rsidRPr="00EB4739" w:rsidR="0093327C">
        <w:rPr>
          <w:rFonts w:hint="cs"/>
          <w:rtl/>
        </w:rPr>
        <w:t xml:space="preserve">, </w:t>
      </w:r>
      <w:r w:rsidRPr="00EB4739" w:rsidR="0093327C">
        <w:rPr>
          <w:rtl/>
        </w:rPr>
        <w:t>הרשות לאיסור הלבנת הון</w:t>
      </w:r>
      <w:r w:rsidRPr="00EB4739" w:rsidR="0093327C">
        <w:rPr>
          <w:rFonts w:hint="cs"/>
          <w:rtl/>
        </w:rPr>
        <w:t xml:space="preserve"> ומימון טרור</w:t>
      </w:r>
      <w:r w:rsidRPr="00EB4739" w:rsidR="0093327C">
        <w:rPr>
          <w:rtl/>
        </w:rPr>
        <w:t xml:space="preserve"> </w:t>
      </w:r>
      <w:r w:rsidRPr="00EB4739" w:rsidR="0093327C">
        <w:rPr>
          <w:rFonts w:hint="eastAsia"/>
          <w:rtl/>
        </w:rPr>
        <w:t>ו</w:t>
      </w:r>
      <w:r w:rsidRPr="00EB4739" w:rsidR="0093327C">
        <w:rPr>
          <w:rtl/>
        </w:rPr>
        <w:t>הבנקים הדיגיטליים הזרים</w:t>
      </w:r>
      <w:r w:rsidRPr="00EB4739" w:rsidR="0093327C">
        <w:rPr>
          <w:rFonts w:hint="cs"/>
          <w:rtl/>
        </w:rPr>
        <w:t>,</w:t>
      </w:r>
      <w:r w:rsidRPr="00EB4739" w:rsidR="0093327C">
        <w:rPr>
          <w:rtl/>
        </w:rPr>
        <w:t xml:space="preserve"> את החסמים הרגולטורי</w:t>
      </w:r>
      <w:r w:rsidRPr="00EB4739" w:rsidR="0093327C">
        <w:rPr>
          <w:rFonts w:hint="cs"/>
          <w:rtl/>
        </w:rPr>
        <w:t>י</w:t>
      </w:r>
      <w:r w:rsidRPr="00EB4739" w:rsidR="0093327C">
        <w:rPr>
          <w:rtl/>
        </w:rPr>
        <w:t>ם המונעים את כניסתם</w:t>
      </w:r>
      <w:r w:rsidRPr="00EB4739" w:rsidR="0093327C">
        <w:rPr>
          <w:rFonts w:hint="cs"/>
          <w:rtl/>
        </w:rPr>
        <w:t xml:space="preserve"> של האחרונים</w:t>
      </w:r>
      <w:r w:rsidRPr="00EB4739" w:rsidR="0093327C">
        <w:rPr>
          <w:rtl/>
        </w:rPr>
        <w:t xml:space="preserve"> לישראל</w:t>
      </w:r>
      <w:r w:rsidRPr="00EB4739" w:rsidR="0093327C">
        <w:rPr>
          <w:rFonts w:hint="cs"/>
          <w:rtl/>
        </w:rPr>
        <w:t xml:space="preserve"> ואת הדרכים להפחתתם,</w:t>
      </w:r>
      <w:r w:rsidRPr="00EB4739" w:rsidR="0093327C">
        <w:rPr>
          <w:rtl/>
        </w:rPr>
        <w:t xml:space="preserve"> לטובת הרחבת התחרות בשוק המקומי</w:t>
      </w:r>
      <w:r w:rsidRPr="008E57FE">
        <w:rPr>
          <w:rtl/>
        </w:rPr>
        <w:t xml:space="preserve">. </w:t>
      </w:r>
    </w:p>
    <w:p w:rsidR="005D0F8C" w:rsidP="002C6508" w14:paraId="16E5BFEE" w14:textId="6749A05C">
      <w:pPr>
        <w:pStyle w:val="7317"/>
        <w:ind w:left="566"/>
        <w:rPr>
          <w:rtl/>
        </w:rPr>
      </w:pPr>
      <w:r w:rsidRPr="00B02658">
        <w:rPr>
          <w:rFonts w:hint="cs"/>
          <w:b/>
          <w:bCs/>
          <w:noProof/>
          <w:rtl/>
        </w:rPr>
        <w:drawing>
          <wp:anchor distT="0" distB="1440180" distL="107950" distR="114300" simplePos="0" relativeHeight="251701248" behindDoc="1" locked="0" layoutInCell="1" allowOverlap="1">
            <wp:simplePos x="0" y="0"/>
            <wp:positionH relativeFrom="column">
              <wp:posOffset>4511675</wp:posOffset>
            </wp:positionH>
            <wp:positionV relativeFrom="paragraph">
              <wp:posOffset>21719</wp:posOffset>
            </wp:positionV>
            <wp:extent cx="144000" cy="162000"/>
            <wp:effectExtent l="0" t="0" r="0" b="3175"/>
            <wp:wrapTight wrapText="bothSides">
              <wp:wrapPolygon>
                <wp:start x="1912" y="0"/>
                <wp:lineTo x="0" y="1694"/>
                <wp:lineTo x="0" y="20329"/>
                <wp:lineTo x="19115" y="20329"/>
                <wp:lineTo x="19115" y="0"/>
                <wp:lineTo x="1912" y="0"/>
              </wp:wrapPolygon>
            </wp:wrapTight>
            <wp:docPr id="145106662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4" name="Picture 59"/>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EB4739" w:rsidR="0093327C">
        <w:rPr>
          <w:rtl/>
        </w:rPr>
        <w:t xml:space="preserve">מומלץ כי </w:t>
      </w:r>
      <w:r w:rsidRPr="00EB4739" w:rsidR="0093327C">
        <w:rPr>
          <w:rFonts w:hint="cs"/>
          <w:rtl/>
        </w:rPr>
        <w:t>בנק ישראל</w:t>
      </w:r>
      <w:r w:rsidRPr="00EB4739" w:rsidR="0093327C">
        <w:rPr>
          <w:rtl/>
        </w:rPr>
        <w:t xml:space="preserve"> ימשיך בפעולותיו לקידום הטמעת תקן </w:t>
      </w:r>
      <w:r w:rsidRPr="00EB4739" w:rsidR="0093327C">
        <w:t>EMV</w:t>
      </w:r>
      <w:r w:rsidRPr="00EB4739" w:rsidR="0093327C">
        <w:rPr>
          <w:rtl/>
        </w:rPr>
        <w:t xml:space="preserve"> במשק</w:t>
      </w:r>
      <w:r w:rsidRPr="00EB4739" w:rsidR="0093327C">
        <w:rPr>
          <w:rFonts w:hint="cs"/>
          <w:rtl/>
        </w:rPr>
        <w:t xml:space="preserve"> בתיאום עם הפעולות שמקדמים משרד האוצר ומשרד הכלכלה</w:t>
      </w:r>
      <w:r w:rsidRPr="00EB4739" w:rsidR="0093327C">
        <w:rPr>
          <w:rtl/>
        </w:rPr>
        <w:t xml:space="preserve"> כדי לצמצם את הפער </w:t>
      </w:r>
      <w:r w:rsidRPr="00EB4739" w:rsidR="0093327C">
        <w:rPr>
          <w:rFonts w:hint="cs"/>
          <w:rtl/>
        </w:rPr>
        <w:t>בין ישראל ל</w:t>
      </w:r>
      <w:r w:rsidRPr="00EB4739" w:rsidR="0093327C">
        <w:rPr>
          <w:rtl/>
        </w:rPr>
        <w:t>מדינות אחרות ולתמוך בכניסתם של אמצעי תשלום מתקדמים</w:t>
      </w:r>
      <w:r w:rsidRPr="008E57FE">
        <w:rPr>
          <w:rFonts w:hint="cs"/>
          <w:rtl/>
        </w:rPr>
        <w:t>.</w:t>
      </w:r>
    </w:p>
    <w:p w:rsidR="00706096" w:rsidP="002C6508" w14:paraId="3F6A2BE4" w14:textId="3C2C32A8">
      <w:pPr>
        <w:pStyle w:val="7317"/>
        <w:ind w:left="566"/>
        <w:rPr>
          <w:rtl/>
        </w:rPr>
      </w:pPr>
      <w:r w:rsidRPr="00B02658">
        <w:rPr>
          <w:rFonts w:hint="cs"/>
          <w:b/>
          <w:bCs/>
          <w:noProof/>
          <w:rtl/>
        </w:rPr>
        <w:drawing>
          <wp:anchor distT="0" distB="1440180" distL="107950" distR="114300" simplePos="0" relativeHeight="251702272" behindDoc="1" locked="0" layoutInCell="1" allowOverlap="1">
            <wp:simplePos x="0" y="0"/>
            <wp:positionH relativeFrom="column">
              <wp:posOffset>4511675</wp:posOffset>
            </wp:positionH>
            <wp:positionV relativeFrom="paragraph">
              <wp:posOffset>21719</wp:posOffset>
            </wp:positionV>
            <wp:extent cx="144000" cy="162000"/>
            <wp:effectExtent l="0" t="0" r="0" b="3175"/>
            <wp:wrapTight wrapText="bothSides">
              <wp:wrapPolygon>
                <wp:start x="1912" y="0"/>
                <wp:lineTo x="0" y="1694"/>
                <wp:lineTo x="0" y="20329"/>
                <wp:lineTo x="19115" y="20329"/>
                <wp:lineTo x="19115" y="0"/>
                <wp:lineTo x="1912" y="0"/>
              </wp:wrapPolygon>
            </wp:wrapTight>
            <wp:docPr id="14510666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5" name="Picture 59"/>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EB4739" w:rsidR="0093327C">
        <w:rPr>
          <w:rtl/>
        </w:rPr>
        <w:t>מומלץ כי משרד האוצר ורשות שוק ההון יפעלו לקידום החינוך הפיננסי בישראל באמצעות פתרון כולל, שבמסגרתו תיקבע תוכנית מפורטת ויוגדרו המשאבים העומדים לרשות הגורם המאסדר. לנוכח השיעור הגבוה של מתקשים בביצוע פעולות בערוצים ישירים (31%) ושיעור חסרי האוריינות הדיגיטלית בקרב מבוגרים בישראל (16%), מומלץ כי הפיקוח על הבנקים יבחן בשיתוף המערכת הבנקאית את החסמים העומדים בדרכם לביצוע פעולות אלה וינחה את הבנקים לתת סיוע ממוקד ללקוחות המתקשים. במסגרת זו מומלץ לבחון שהמערכות לביצוע פעולות ידידותיות למשתמשים וקלות להפעלה גם בעבור בעלי אוריינות דיגיטלית חלקית בלבד</w:t>
      </w:r>
      <w:r w:rsidRPr="008E57FE">
        <w:rPr>
          <w:rFonts w:hint="cs"/>
          <w:rtl/>
        </w:rPr>
        <w:t>.</w:t>
      </w:r>
    </w:p>
    <w:p w:rsidR="00706096" w:rsidRPr="00662020" w:rsidP="002C6508" w14:paraId="36B4D251" w14:textId="351EAA1E">
      <w:pPr>
        <w:pStyle w:val="ListParagraph"/>
        <w:widowControl w:val="0"/>
        <w:spacing w:after="60" w:line="276" w:lineRule="auto"/>
        <w:ind w:left="566"/>
        <w:rPr>
          <w:rFonts w:ascii="Tahoma" w:hAnsi="Tahoma" w:cs="Tahoma"/>
          <w:color w:val="0D0D0D" w:themeColor="text1" w:themeTint="F2"/>
          <w:sz w:val="18"/>
          <w:szCs w:val="18"/>
        </w:rPr>
      </w:pPr>
      <w:r w:rsidRPr="00B02658">
        <w:rPr>
          <w:rFonts w:hint="cs"/>
          <w:b/>
          <w:bCs/>
          <w:noProof/>
          <w:rtl/>
        </w:rPr>
        <w:drawing>
          <wp:anchor distT="0" distB="1440180" distL="107950" distR="114300" simplePos="0" relativeHeight="251703296" behindDoc="1" locked="0" layoutInCell="1" allowOverlap="1">
            <wp:simplePos x="0" y="0"/>
            <wp:positionH relativeFrom="column">
              <wp:posOffset>4511675</wp:posOffset>
            </wp:positionH>
            <wp:positionV relativeFrom="paragraph">
              <wp:posOffset>14099</wp:posOffset>
            </wp:positionV>
            <wp:extent cx="144000" cy="162000"/>
            <wp:effectExtent l="0" t="0" r="0" b="3175"/>
            <wp:wrapTight wrapText="bothSides">
              <wp:wrapPolygon>
                <wp:start x="1912" y="0"/>
                <wp:lineTo x="0" y="1694"/>
                <wp:lineTo x="0" y="20329"/>
                <wp:lineTo x="19115" y="20329"/>
                <wp:lineTo x="19115" y="0"/>
                <wp:lineTo x="1912" y="0"/>
              </wp:wrapPolygon>
            </wp:wrapTight>
            <wp:docPr id="145106662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6" name="Picture 59"/>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EB4739" w:rsidR="0093327C">
        <w:rPr>
          <w:rFonts w:ascii="Tahoma" w:hAnsi="Tahoma" w:cs="Tahoma"/>
          <w:color w:val="0D0D0D" w:themeColor="text1" w:themeTint="F2"/>
          <w:sz w:val="18"/>
          <w:szCs w:val="18"/>
          <w:rtl/>
        </w:rPr>
        <w:t xml:space="preserve">לנוכח החשיבות הגלומה בהיבט הצרכני במערכת הבנקאית, ובכלל זה מידת ההגינות כלפי הלקוחות, מומלץ כי הפיקוח על הבנקים יקבע לוחות זמנים להטמעת פרויקט הערכת ההגינות בכלל המערכת הבנקאית. עוד מומלץ </w:t>
      </w:r>
      <w:r w:rsidRPr="00EB4739" w:rsidR="0093327C">
        <w:rPr>
          <w:rFonts w:ascii="Tahoma" w:hAnsi="Tahoma" w:cs="Tahoma" w:hint="cs"/>
          <w:color w:val="0D0D0D" w:themeColor="text1" w:themeTint="F2"/>
          <w:sz w:val="18"/>
          <w:szCs w:val="18"/>
          <w:rtl/>
        </w:rPr>
        <w:t>כי הפיקוח על הבנקים יפנה</w:t>
      </w:r>
      <w:r w:rsidRPr="00EB4739" w:rsidR="0093327C">
        <w:rPr>
          <w:rFonts w:ascii="Tahoma" w:hAnsi="Tahoma" w:cs="Tahoma"/>
          <w:color w:val="0D0D0D" w:themeColor="text1" w:themeTint="F2"/>
          <w:sz w:val="18"/>
          <w:szCs w:val="18"/>
          <w:rtl/>
        </w:rPr>
        <w:t xml:space="preserve"> לגופים המרכזים נתונים ומידע בסוגיות צרכניות הנוגעות למערכת הבנקאות ו</w:t>
      </w:r>
      <w:r w:rsidRPr="00EB4739" w:rsidR="0093327C">
        <w:rPr>
          <w:rFonts w:ascii="Tahoma" w:hAnsi="Tahoma" w:cs="Tahoma" w:hint="cs"/>
          <w:color w:val="0D0D0D" w:themeColor="text1" w:themeTint="F2"/>
          <w:sz w:val="18"/>
          <w:szCs w:val="18"/>
          <w:rtl/>
        </w:rPr>
        <w:t xml:space="preserve">יבחן את </w:t>
      </w:r>
      <w:r w:rsidRPr="00EB4739" w:rsidR="0093327C">
        <w:rPr>
          <w:rFonts w:ascii="Tahoma" w:hAnsi="Tahoma" w:cs="Tahoma"/>
          <w:color w:val="0D0D0D" w:themeColor="text1" w:themeTint="F2"/>
          <w:sz w:val="18"/>
          <w:szCs w:val="18"/>
          <w:rtl/>
        </w:rPr>
        <w:t>ש</w:t>
      </w:r>
      <w:r w:rsidRPr="00EB4739" w:rsidR="0093327C">
        <w:rPr>
          <w:rFonts w:ascii="Tahoma" w:hAnsi="Tahoma" w:cs="Tahoma" w:hint="cs"/>
          <w:color w:val="0D0D0D" w:themeColor="text1" w:themeTint="F2"/>
          <w:sz w:val="18"/>
          <w:szCs w:val="18"/>
          <w:rtl/>
        </w:rPr>
        <w:t>י</w:t>
      </w:r>
      <w:r w:rsidRPr="00EB4739" w:rsidR="0093327C">
        <w:rPr>
          <w:rFonts w:ascii="Tahoma" w:hAnsi="Tahoma" w:cs="Tahoma"/>
          <w:color w:val="0D0D0D" w:themeColor="text1" w:themeTint="F2"/>
          <w:sz w:val="18"/>
          <w:szCs w:val="18"/>
          <w:rtl/>
        </w:rPr>
        <w:t>ל</w:t>
      </w:r>
      <w:r w:rsidRPr="00EB4739" w:rsidR="0093327C">
        <w:rPr>
          <w:rFonts w:ascii="Tahoma" w:hAnsi="Tahoma" w:cs="Tahoma" w:hint="cs"/>
          <w:color w:val="0D0D0D" w:themeColor="text1" w:themeTint="F2"/>
          <w:sz w:val="18"/>
          <w:szCs w:val="18"/>
          <w:rtl/>
        </w:rPr>
        <w:t>ו</w:t>
      </w:r>
      <w:r w:rsidRPr="00EB4739" w:rsidR="0093327C">
        <w:rPr>
          <w:rFonts w:ascii="Tahoma" w:hAnsi="Tahoma" w:cs="Tahoma"/>
          <w:color w:val="0D0D0D" w:themeColor="text1" w:themeTint="F2"/>
          <w:sz w:val="18"/>
          <w:szCs w:val="18"/>
          <w:rtl/>
        </w:rPr>
        <w:t xml:space="preserve">ב </w:t>
      </w:r>
      <w:r w:rsidRPr="00EB4739" w:rsidR="0093327C">
        <w:rPr>
          <w:rFonts w:ascii="Tahoma" w:hAnsi="Tahoma" w:cs="Tahoma" w:hint="cs"/>
          <w:color w:val="0D0D0D" w:themeColor="text1" w:themeTint="F2"/>
          <w:sz w:val="18"/>
          <w:szCs w:val="18"/>
          <w:rtl/>
        </w:rPr>
        <w:t>ה</w:t>
      </w:r>
      <w:r w:rsidRPr="00EB4739" w:rsidR="0093327C">
        <w:rPr>
          <w:rFonts w:ascii="Tahoma" w:hAnsi="Tahoma" w:cs="Tahoma"/>
          <w:color w:val="0D0D0D" w:themeColor="text1" w:themeTint="F2"/>
          <w:sz w:val="18"/>
          <w:szCs w:val="18"/>
          <w:rtl/>
        </w:rPr>
        <w:t xml:space="preserve">מידע </w:t>
      </w:r>
      <w:r w:rsidRPr="00EB4739" w:rsidR="0093327C">
        <w:rPr>
          <w:rFonts w:ascii="Tahoma" w:hAnsi="Tahoma" w:cs="Tahoma" w:hint="cs"/>
          <w:color w:val="0D0D0D" w:themeColor="text1" w:themeTint="F2"/>
          <w:sz w:val="18"/>
          <w:szCs w:val="18"/>
          <w:rtl/>
        </w:rPr>
        <w:t>ה</w:t>
      </w:r>
      <w:r w:rsidRPr="00EB4739" w:rsidR="0093327C">
        <w:rPr>
          <w:rFonts w:ascii="Tahoma" w:hAnsi="Tahoma" w:cs="Tahoma"/>
          <w:color w:val="0D0D0D" w:themeColor="text1" w:themeTint="F2"/>
          <w:sz w:val="18"/>
          <w:szCs w:val="18"/>
          <w:rtl/>
        </w:rPr>
        <w:t>זה בהערכה כדי לטייב את התהליך</w:t>
      </w:r>
      <w:r w:rsidRPr="00662020">
        <w:rPr>
          <w:rFonts w:ascii="Tahoma" w:hAnsi="Tahoma" w:cs="Tahoma" w:hint="cs"/>
          <w:color w:val="0D0D0D" w:themeColor="text1" w:themeTint="F2"/>
          <w:sz w:val="18"/>
          <w:szCs w:val="18"/>
          <w:rtl/>
        </w:rPr>
        <w:t>.</w:t>
      </w:r>
    </w:p>
    <w:p w:rsidR="00706096" w:rsidP="005D0F8C" w14:paraId="1FE82C78" w14:textId="169074FD">
      <w:pPr>
        <w:pStyle w:val="7317"/>
        <w:rPr>
          <w:rtl/>
        </w:rPr>
      </w:pPr>
    </w:p>
    <w:p w:rsidR="005D0F8C" w:rsidP="00706096" w14:paraId="24125138" w14:textId="3E083F9D">
      <w:pPr>
        <w:tabs>
          <w:tab w:val="right" w:pos="7370"/>
        </w:tabs>
        <w:bidi w:val="0"/>
        <w:spacing w:after="200" w:line="276" w:lineRule="auto"/>
        <w:rPr>
          <w:rtl/>
        </w:rPr>
      </w:pPr>
      <w:r w:rsidRPr="00D527BD">
        <w:rPr>
          <w:noProof/>
          <w:szCs w:val="20"/>
          <w:rtl/>
        </w:rPr>
        <mc:AlternateContent>
          <mc:Choice Requires="wps">
            <w:drawing>
              <wp:anchor distT="0" distB="0" distL="114300" distR="114300" simplePos="0" relativeHeight="251679744" behindDoc="0" locked="0" layoutInCell="1" allowOverlap="1">
                <wp:simplePos x="0" y="0"/>
                <wp:positionH relativeFrom="column">
                  <wp:posOffset>95250</wp:posOffset>
                </wp:positionH>
                <wp:positionV relativeFrom="paragraph">
                  <wp:posOffset>177800</wp:posOffset>
                </wp:positionV>
                <wp:extent cx="4401232" cy="750570"/>
                <wp:effectExtent l="0" t="0" r="5715" b="0"/>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01232" cy="750570"/>
                        </a:xfrm>
                        <a:prstGeom prst="rect">
                          <a:avLst/>
                        </a:prstGeom>
                        <a:solidFill>
                          <a:srgbClr val="F05260"/>
                        </a:solidFill>
                        <a:ln w="9525">
                          <a:noFill/>
                          <a:miter lim="800000"/>
                          <a:headEnd/>
                          <a:tailEnd/>
                        </a:ln>
                      </wps:spPr>
                      <wps:txbx>
                        <w:txbxContent>
                          <w:p w:rsidR="005D0F8C" w:rsidRPr="0093327C" w:rsidP="0093327C" w14:textId="2B8A141B">
                            <w:pPr>
                              <w:pStyle w:val="7332"/>
                              <w:spacing w:before="0"/>
                              <w:ind w:left="57" w:right="0"/>
                              <w:rPr>
                                <w:spacing w:val="-4"/>
                                <w:rtl/>
                              </w:rPr>
                            </w:pPr>
                            <w:r w:rsidRPr="0093327C">
                              <w:rPr>
                                <w:rFonts w:hint="cs"/>
                                <w:spacing w:val="-4"/>
                                <w:rtl/>
                              </w:rPr>
                              <w:t>השינוי בהכנסות, בהוצאות וברווח של חמש הקבוצות הבנקאיות הגדולות יחד ומידת ההשפעה של הגורמים שהשפיעו על השינוי ברווח המצטבר, 2014 - 2021 (במיליארדי ש"ח)</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6" type="#_x0000_t202" style="width:346.55pt;height:59.1pt;margin-top:14pt;margin-left:7.5pt;mso-height-percent:0;mso-height-relative:margin;mso-width-percent:0;mso-width-relative:margin;mso-wrap-distance-bottom:0;mso-wrap-distance-left:9pt;mso-wrap-distance-right:9pt;mso-wrap-distance-top:0;mso-wrap-style:square;position:absolute;visibility:visible;v-text-anchor:middle;z-index:251680768" fillcolor="#f05260" stroked="f">
                <v:textbox>
                  <w:txbxContent>
                    <w:p w:rsidR="005D0F8C" w:rsidRPr="0093327C" w:rsidP="0093327C" w14:paraId="1D5D7976" w14:textId="2B8A141B">
                      <w:pPr>
                        <w:pStyle w:val="7332"/>
                        <w:spacing w:before="0"/>
                        <w:ind w:left="57" w:right="0"/>
                        <w:rPr>
                          <w:spacing w:val="-4"/>
                          <w:rtl/>
                        </w:rPr>
                      </w:pPr>
                      <w:r w:rsidRPr="0093327C">
                        <w:rPr>
                          <w:rFonts w:hint="cs"/>
                          <w:spacing w:val="-4"/>
                          <w:rtl/>
                        </w:rPr>
                        <w:t>השינוי בהכנסות, בהוצאות וברווח של חמש הקבוצות הבנקאיות הגדולות יחד ומידת ההשפעה של הגורמים שהשפיעו על השינוי ברווח המצטבר, 2014 - 2021 (במיליארדי ש"ח)</w:t>
                      </w:r>
                    </w:p>
                  </w:txbxContent>
                </v:textbox>
              </v:shape>
            </w:pict>
          </mc:Fallback>
        </mc:AlternateContent>
      </w:r>
      <w:r w:rsidRPr="00D527BD" w:rsidR="00197151">
        <w:rPr>
          <w:noProof/>
          <w:szCs w:val="20"/>
          <w:rtl/>
        </w:rPr>
        <w:drawing>
          <wp:anchor distT="0" distB="0" distL="114300" distR="114300" simplePos="0" relativeHeight="251678720" behindDoc="0" locked="0" layoutInCell="1" allowOverlap="1">
            <wp:simplePos x="0" y="0"/>
            <wp:positionH relativeFrom="column">
              <wp:posOffset>-109855</wp:posOffset>
            </wp:positionH>
            <wp:positionV relativeFrom="paragraph">
              <wp:posOffset>83185</wp:posOffset>
            </wp:positionV>
            <wp:extent cx="4718224" cy="1166495"/>
            <wp:effectExtent l="0" t="0" r="0" b="0"/>
            <wp:wrapNone/>
            <wp:docPr id="145106664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21"/>
                    <pic:cNvPicPr>
                      <a:picLocks noChangeAspect="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18224" cy="1166495"/>
                    </a:xfrm>
                    <a:prstGeom prst="rect">
                      <a:avLst/>
                    </a:prstGeom>
                  </pic:spPr>
                </pic:pic>
              </a:graphicData>
            </a:graphic>
            <wp14:sizeRelH relativeFrom="margin">
              <wp14:pctWidth>0</wp14:pctWidth>
            </wp14:sizeRelH>
            <wp14:sizeRelV relativeFrom="margin">
              <wp14:pctHeight>0</wp14:pctHeight>
            </wp14:sizeRelV>
          </wp:anchor>
        </w:drawing>
      </w:r>
    </w:p>
    <w:p w:rsidR="005D0F8C" w:rsidP="005D0F8C" w14:paraId="6DC28C4F" w14:textId="5F7DCA69">
      <w:pPr>
        <w:pStyle w:val="7317"/>
        <w:rPr>
          <w:rtl/>
        </w:rPr>
      </w:pPr>
      <w:r>
        <w:rPr>
          <w:rtl/>
        </w:rPr>
        <w:t xml:space="preserve"> </w:t>
      </w:r>
    </w:p>
    <w:p w:rsidR="005D0F8C" w:rsidP="005D0F8C" w14:paraId="5B8DB107" w14:textId="171E2B3F">
      <w:pPr>
        <w:pStyle w:val="7317"/>
        <w:rPr>
          <w:rtl/>
        </w:rPr>
      </w:pPr>
    </w:p>
    <w:p w:rsidR="0093327C" w14:paraId="2044C0A7" w14:textId="155D75A7">
      <w:pPr>
        <w:bidi w:val="0"/>
        <w:spacing w:after="200" w:line="276" w:lineRule="auto"/>
        <w:rPr>
          <w:rFonts w:ascii="Tahoma" w:hAnsi="Tahoma" w:cs="Tahoma"/>
          <w:sz w:val="16"/>
          <w:szCs w:val="16"/>
          <w:rtl/>
        </w:rPr>
      </w:pPr>
      <w:r>
        <w:rPr>
          <w:noProof/>
          <w:rtl/>
          <w:lang w:val="he-IL"/>
        </w:rPr>
        <w:drawing>
          <wp:anchor distT="0" distB="0" distL="114300" distR="114300" simplePos="0" relativeHeight="251694080" behindDoc="0" locked="0" layoutInCell="1" allowOverlap="1">
            <wp:simplePos x="0" y="0"/>
            <wp:positionH relativeFrom="column">
              <wp:posOffset>-106680</wp:posOffset>
            </wp:positionH>
            <wp:positionV relativeFrom="paragraph">
              <wp:posOffset>416560</wp:posOffset>
            </wp:positionV>
            <wp:extent cx="4679950" cy="2130425"/>
            <wp:effectExtent l="0" t="0" r="0" b="0"/>
            <wp:wrapSquare wrapText="bothSides"/>
            <wp:docPr id="1113575927" name="תמונה 1113575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27" name="תמונה 1113575927"/>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4679950" cy="2130425"/>
                    </a:xfrm>
                    <a:prstGeom prst="rect">
                      <a:avLst/>
                    </a:prstGeom>
                  </pic:spPr>
                </pic:pic>
              </a:graphicData>
            </a:graphic>
            <wp14:sizeRelH relativeFrom="page">
              <wp14:pctWidth>0</wp14:pctWidth>
            </wp14:sizeRelH>
            <wp14:sizeRelV relativeFrom="page">
              <wp14:pctHeight>0</wp14:pctHeight>
            </wp14:sizeRelV>
          </wp:anchor>
        </w:drawing>
      </w:r>
    </w:p>
    <w:p w:rsidR="000B31AA" w:rsidP="000B31AA" w14:paraId="172C7964" w14:textId="093019E1">
      <w:pPr>
        <w:pStyle w:val="7317"/>
        <w:spacing w:before="360" w:after="360"/>
        <w:rPr>
          <w:rtl/>
        </w:rPr>
      </w:pPr>
    </w:p>
    <w:p w:rsidR="00197151" w:rsidRPr="004D5483" w:rsidP="004D5483" w14:paraId="64226D9F" w14:textId="7F369791">
      <w:pPr>
        <w:pStyle w:val="7317"/>
        <w:spacing w:before="600" w:after="360"/>
        <w:rPr>
          <w:rtl/>
        </w:rPr>
      </w:pPr>
      <w:r w:rsidRPr="004D5483">
        <w:rPr>
          <w:noProof/>
          <w:sz w:val="16"/>
          <w:szCs w:val="16"/>
          <w:rtl/>
          <w:lang w:val="he-IL"/>
        </w:rPr>
        <w:drawing>
          <wp:anchor distT="0" distB="0" distL="114300" distR="114300" simplePos="0" relativeHeight="251697152" behindDoc="0" locked="0" layoutInCell="1" allowOverlap="1">
            <wp:simplePos x="0" y="0"/>
            <wp:positionH relativeFrom="column">
              <wp:posOffset>-167640</wp:posOffset>
            </wp:positionH>
            <wp:positionV relativeFrom="paragraph">
              <wp:posOffset>4480560</wp:posOffset>
            </wp:positionV>
            <wp:extent cx="4679950" cy="2270125"/>
            <wp:effectExtent l="0" t="0" r="0" b="0"/>
            <wp:wrapSquare wrapText="bothSides"/>
            <wp:docPr id="1113575930" name="תמונה 1113575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30" name="תמונה 1113575930"/>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4679950" cy="2270125"/>
                    </a:xfrm>
                    <a:prstGeom prst="rect">
                      <a:avLst/>
                    </a:prstGeom>
                  </pic:spPr>
                </pic:pic>
              </a:graphicData>
            </a:graphic>
            <wp14:sizeRelH relativeFrom="page">
              <wp14:pctWidth>0</wp14:pctWidth>
            </wp14:sizeRelH>
            <wp14:sizeRelV relativeFrom="page">
              <wp14:pctHeight>0</wp14:pctHeight>
            </wp14:sizeRelV>
          </wp:anchor>
        </w:drawing>
      </w:r>
      <w:r w:rsidRPr="004D5483">
        <w:rPr>
          <w:noProof/>
          <w:sz w:val="16"/>
          <w:szCs w:val="16"/>
          <w:rtl/>
          <w:lang w:val="he-IL"/>
        </w:rPr>
        <w:drawing>
          <wp:anchor distT="0" distB="0" distL="114300" distR="114300" simplePos="0" relativeHeight="251696128" behindDoc="0" locked="0" layoutInCell="1" allowOverlap="1">
            <wp:simplePos x="0" y="0"/>
            <wp:positionH relativeFrom="column">
              <wp:posOffset>-167640</wp:posOffset>
            </wp:positionH>
            <wp:positionV relativeFrom="paragraph">
              <wp:posOffset>2057400</wp:posOffset>
            </wp:positionV>
            <wp:extent cx="4679950" cy="2219325"/>
            <wp:effectExtent l="0" t="0" r="0" b="0"/>
            <wp:wrapSquare wrapText="bothSides"/>
            <wp:docPr id="1113575929" name="תמונה 1113575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29" name="תמונה 1113575929"/>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4679950" cy="2219325"/>
                    </a:xfrm>
                    <a:prstGeom prst="rect">
                      <a:avLst/>
                    </a:prstGeom>
                  </pic:spPr>
                </pic:pic>
              </a:graphicData>
            </a:graphic>
            <wp14:sizeRelH relativeFrom="page">
              <wp14:pctWidth>0</wp14:pctWidth>
            </wp14:sizeRelH>
            <wp14:sizeRelV relativeFrom="page">
              <wp14:pctHeight>0</wp14:pctHeight>
            </wp14:sizeRelV>
          </wp:anchor>
        </w:drawing>
      </w:r>
      <w:r w:rsidRPr="004D5483">
        <w:rPr>
          <w:noProof/>
          <w:sz w:val="16"/>
          <w:szCs w:val="16"/>
          <w:rtl/>
          <w:lang w:val="he-IL"/>
        </w:rPr>
        <w:drawing>
          <wp:anchor distT="0" distB="0" distL="114300" distR="114300" simplePos="0" relativeHeight="251695104" behindDoc="0" locked="0" layoutInCell="1" allowOverlap="1">
            <wp:simplePos x="0" y="0"/>
            <wp:positionH relativeFrom="column">
              <wp:posOffset>-251460</wp:posOffset>
            </wp:positionH>
            <wp:positionV relativeFrom="paragraph">
              <wp:posOffset>-1746250</wp:posOffset>
            </wp:positionV>
            <wp:extent cx="4679950" cy="1877060"/>
            <wp:effectExtent l="0" t="0" r="0" b="0"/>
            <wp:wrapSquare wrapText="bothSides"/>
            <wp:docPr id="1113575928" name="תמונה 1113575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28" name="תמונה 1113575928"/>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4679950" cy="1877060"/>
                    </a:xfrm>
                    <a:prstGeom prst="rect">
                      <a:avLst/>
                    </a:prstGeom>
                  </pic:spPr>
                </pic:pic>
              </a:graphicData>
            </a:graphic>
            <wp14:sizeRelH relativeFrom="page">
              <wp14:pctWidth>0</wp14:pctWidth>
            </wp14:sizeRelH>
            <wp14:sizeRelV relativeFrom="page">
              <wp14:pctHeight>0</wp14:pctHeight>
            </wp14:sizeRelV>
          </wp:anchor>
        </w:drawing>
      </w:r>
      <w:r w:rsidRPr="004D5483" w:rsidR="004D5483">
        <w:rPr>
          <w:rFonts w:hint="cs"/>
          <w:sz w:val="16"/>
          <w:szCs w:val="16"/>
          <w:rtl/>
        </w:rPr>
        <w:t>על פי נתוני הפיקוח על הבנקים, בעיבוד משרד מבקר המדינה</w:t>
      </w:r>
      <w:r w:rsidRPr="004D5483" w:rsidR="004D5483">
        <w:rPr>
          <w:sz w:val="16"/>
          <w:szCs w:val="16"/>
        </w:rPr>
        <w:t>.</w:t>
      </w:r>
    </w:p>
    <w:p w:rsidR="004D5483" w:rsidRPr="00827841" w:rsidP="000B31AA" w14:paraId="0E94D97F" w14:textId="7DD15E7A">
      <w:pPr>
        <w:pStyle w:val="7317"/>
        <w:spacing w:before="360" w:after="360"/>
        <w:rPr>
          <w:rtl/>
        </w:rPr>
        <w:sectPr w:rsidSect="008A20C9">
          <w:footerReference w:type="even" r:id="rId29"/>
          <w:footerReference w:type="default" r:id="rId30"/>
          <w:headerReference w:type="first" r:id="rId31"/>
          <w:footerReference w:type="first" r:id="rId32"/>
          <w:pgSz w:w="11906" w:h="16838" w:code="9"/>
          <w:pgMar w:top="3062" w:right="2268" w:bottom="2552" w:left="2268" w:header="1134" w:footer="1361" w:gutter="0"/>
          <w:pgNumType w:start="1289"/>
          <w:cols w:space="708"/>
          <w:bidi/>
          <w:rtlGutter/>
          <w:docGrid w:linePitch="360"/>
        </w:sectPr>
      </w:pPr>
    </w:p>
    <w:p w:rsidR="005D0F8C" w:rsidP="00520550" w14:paraId="3B41E678" w14:textId="7096B259">
      <w:pPr>
        <w:pStyle w:val="73"/>
        <w:rPr>
          <w:rtl/>
        </w:rPr>
      </w:pPr>
      <w:r w:rsidRPr="00EF3061">
        <w:rPr>
          <w:rFonts w:hint="cs"/>
          <w:rtl/>
        </w:rPr>
        <w:t>סיכום</w:t>
      </w:r>
    </w:p>
    <w:p w:rsidR="005B2BF5" w:rsidRPr="006615C6" w:rsidP="005B2BF5" w14:paraId="4937660D" w14:textId="7DAB5B68">
      <w:pPr>
        <w:widowControl w:val="0"/>
        <w:spacing w:before="240" w:line="276" w:lineRule="auto"/>
        <w:ind w:left="-1"/>
        <w:rPr>
          <w:rFonts w:ascii="Tahoma" w:hAnsi="Tahoma" w:cs="Tahoma"/>
          <w:sz w:val="18"/>
          <w:szCs w:val="18"/>
          <w:rtl/>
        </w:rPr>
      </w:pPr>
      <w:r w:rsidRPr="00EB4739">
        <w:rPr>
          <w:rFonts w:ascii="Tahoma" w:hAnsi="Tahoma" w:cs="Tahoma" w:hint="cs"/>
          <w:sz w:val="18"/>
          <w:szCs w:val="18"/>
          <w:rtl/>
        </w:rPr>
        <w:t xml:space="preserve">בנקאות דיגיטלית כוללת מגוון כלים ופתרונות שנועדו להיטיב עם צרכנים באמצעות הנגשה של השירותים הבנקאיים בנוחות, במהירות ובאופן מאובטח בערוצים דיגיטליים. לפיכך יש להבטיח שהמעבר לבנקאות דיגיטלית ייעשה בשים לב לאוכלוסיות </w:t>
      </w:r>
      <w:r w:rsidRPr="00EB4739">
        <w:rPr>
          <w:rFonts w:ascii="Tahoma" w:hAnsi="Tahoma" w:cs="Tahoma" w:hint="eastAsia"/>
          <w:sz w:val="18"/>
          <w:szCs w:val="18"/>
          <w:rtl/>
        </w:rPr>
        <w:t>ראויות</w:t>
      </w:r>
      <w:r w:rsidRPr="00EB4739">
        <w:rPr>
          <w:rFonts w:ascii="Tahoma" w:hAnsi="Tahoma" w:cs="Tahoma"/>
          <w:sz w:val="18"/>
          <w:szCs w:val="18"/>
          <w:rtl/>
        </w:rPr>
        <w:t xml:space="preserve"> </w:t>
      </w:r>
      <w:r w:rsidRPr="00EB4739">
        <w:rPr>
          <w:rFonts w:ascii="Tahoma" w:hAnsi="Tahoma" w:cs="Tahoma" w:hint="eastAsia"/>
          <w:sz w:val="18"/>
          <w:szCs w:val="18"/>
          <w:rtl/>
        </w:rPr>
        <w:t>לקידום</w:t>
      </w:r>
      <w:r w:rsidRPr="00EB4739">
        <w:rPr>
          <w:rFonts w:ascii="Tahoma" w:hAnsi="Tahoma" w:cs="Tahoma" w:hint="cs"/>
          <w:sz w:val="18"/>
          <w:szCs w:val="18"/>
          <w:rtl/>
        </w:rPr>
        <w:t xml:space="preserve">, שאין להן את האוריינות הנדרשת להתמצא בעולם הפיננסי והדיגיטלי. השינויים התכופים במערכת הפיננסית, שמקורם בהתפתחויות טכנולוגיות משמעותיות, מחייבים התאמה של האסדרה. על האסדרה להיות כוללת, עניינית וגמישה כדי לקדם חדשנות, להסיר חסמים וליצור ודאות. בנקאות דיגיטלית מזמנת פוטנציאל הגברה של התחרות בשוק שמרן וריכוזי וצמצום של הכלכלה השחורה. מומלץ כי בנק ישראל ומשרד האוצר יפעלו לנתבה כך שתעודד כניסה של שחקנים מקומיים ובין-לאומיים כדי לייעל את הענף ולהיטיב עם הצרכנים </w:t>
      </w:r>
      <w:r w:rsidRPr="00EB4739">
        <w:rPr>
          <w:rFonts w:ascii="Tahoma" w:hAnsi="Tahoma" w:cs="Tahoma" w:hint="eastAsia"/>
          <w:sz w:val="18"/>
          <w:szCs w:val="18"/>
          <w:rtl/>
        </w:rPr>
        <w:t>ולתרום</w:t>
      </w:r>
      <w:r w:rsidRPr="00EB4739">
        <w:rPr>
          <w:rFonts w:ascii="Tahoma" w:hAnsi="Tahoma" w:cs="Tahoma"/>
          <w:sz w:val="18"/>
          <w:szCs w:val="18"/>
          <w:rtl/>
        </w:rPr>
        <w:t xml:space="preserve"> </w:t>
      </w:r>
      <w:r w:rsidRPr="00EB4739">
        <w:rPr>
          <w:rFonts w:ascii="Tahoma" w:hAnsi="Tahoma" w:cs="Tahoma" w:hint="eastAsia"/>
          <w:sz w:val="18"/>
          <w:szCs w:val="18"/>
          <w:rtl/>
        </w:rPr>
        <w:t>יותר</w:t>
      </w:r>
      <w:r w:rsidRPr="00EB4739">
        <w:rPr>
          <w:rFonts w:ascii="Tahoma" w:hAnsi="Tahoma" w:cs="Tahoma"/>
          <w:sz w:val="18"/>
          <w:szCs w:val="18"/>
          <w:rtl/>
        </w:rPr>
        <w:t xml:space="preserve"> </w:t>
      </w:r>
      <w:r w:rsidRPr="00EB4739">
        <w:rPr>
          <w:rFonts w:ascii="Tahoma" w:hAnsi="Tahoma" w:cs="Tahoma" w:hint="eastAsia"/>
          <w:sz w:val="18"/>
          <w:szCs w:val="18"/>
          <w:rtl/>
        </w:rPr>
        <w:t>להפחתת</w:t>
      </w:r>
      <w:r w:rsidRPr="00EB4739">
        <w:rPr>
          <w:rFonts w:ascii="Tahoma" w:hAnsi="Tahoma" w:cs="Tahoma"/>
          <w:sz w:val="18"/>
          <w:szCs w:val="18"/>
          <w:rtl/>
        </w:rPr>
        <w:t xml:space="preserve"> </w:t>
      </w:r>
      <w:r w:rsidRPr="00EB4739">
        <w:rPr>
          <w:rFonts w:ascii="Tahoma" w:hAnsi="Tahoma" w:cs="Tahoma" w:hint="eastAsia"/>
          <w:sz w:val="18"/>
          <w:szCs w:val="18"/>
          <w:rtl/>
        </w:rPr>
        <w:t>יוקר</w:t>
      </w:r>
      <w:r w:rsidRPr="00EB4739">
        <w:rPr>
          <w:rFonts w:ascii="Tahoma" w:hAnsi="Tahoma" w:cs="Tahoma"/>
          <w:sz w:val="18"/>
          <w:szCs w:val="18"/>
          <w:rtl/>
        </w:rPr>
        <w:t xml:space="preserve"> </w:t>
      </w:r>
      <w:r w:rsidRPr="00EB4739">
        <w:rPr>
          <w:rFonts w:ascii="Tahoma" w:hAnsi="Tahoma" w:cs="Tahoma" w:hint="cs"/>
          <w:sz w:val="18"/>
          <w:szCs w:val="18"/>
          <w:rtl/>
        </w:rPr>
        <w:t>ה</w:t>
      </w:r>
      <w:r w:rsidRPr="00EB4739">
        <w:rPr>
          <w:rFonts w:ascii="Tahoma" w:hAnsi="Tahoma" w:cs="Tahoma" w:hint="eastAsia"/>
          <w:sz w:val="18"/>
          <w:szCs w:val="18"/>
          <w:rtl/>
        </w:rPr>
        <w:t>מחיה</w:t>
      </w:r>
      <w:r w:rsidRPr="00EB4739">
        <w:rPr>
          <w:rFonts w:ascii="Tahoma" w:hAnsi="Tahoma" w:cs="Tahoma"/>
          <w:sz w:val="18"/>
          <w:szCs w:val="18"/>
          <w:rtl/>
        </w:rPr>
        <w:t xml:space="preserve"> </w:t>
      </w:r>
      <w:r w:rsidRPr="00EB4739">
        <w:rPr>
          <w:rFonts w:ascii="Tahoma" w:hAnsi="Tahoma" w:cs="Tahoma" w:hint="eastAsia"/>
          <w:sz w:val="18"/>
          <w:szCs w:val="18"/>
          <w:rtl/>
        </w:rPr>
        <w:t>בישראל</w:t>
      </w:r>
      <w:r w:rsidRPr="006615C6">
        <w:rPr>
          <w:rFonts w:ascii="Tahoma" w:hAnsi="Tahoma" w:cs="Tahoma" w:hint="cs"/>
          <w:sz w:val="18"/>
          <w:szCs w:val="18"/>
          <w:rtl/>
        </w:rPr>
        <w:t xml:space="preserve">. </w:t>
      </w:r>
    </w:p>
    <w:p w:rsidR="00AB1717" w:rsidP="00ED025B" w14:paraId="13D9F146" w14:textId="77777777">
      <w:pPr>
        <w:rPr>
          <w:rtl/>
        </w:rPr>
      </w:pPr>
    </w:p>
    <w:sectPr w:rsidSect="00B82AC5">
      <w:headerReference w:type="even" r:id="rId33"/>
      <w:footerReference w:type="even" r:id="rId34"/>
      <w:pgSz w:w="11906" w:h="16838" w:code="9"/>
      <w:pgMar w:top="3062" w:right="2268" w:bottom="2552" w:left="2268" w:header="1134" w:footer="1361" w:gutter="0"/>
      <w:pgNumType w:start="1296"/>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925CA1" w14:paraId="4E1370F0" w14:textId="77777777">
      <w:pPr>
        <w:spacing w:line="240" w:lineRule="auto"/>
      </w:pPr>
      <w:r>
        <w:separator/>
      </w:r>
    </w:p>
    <w:p w:rsidR="00925CA1" w14:paraId="5AE086F2" w14:textId="77777777"/>
    <w:p w:rsidR="00925CA1" w14:paraId="72A5D0FF" w14:textId="77777777"/>
    <w:p w:rsidR="00925CA1" w14:paraId="5E4FB3BB" w14:textId="77777777"/>
  </w:endnote>
  <w:endnote w:type="continuationSeparator" w:id="1">
    <w:p w:rsidR="00925CA1" w14:paraId="7D89EC8F" w14:textId="77777777">
      <w:pPr>
        <w:spacing w:line="240" w:lineRule="auto"/>
      </w:pPr>
      <w:r>
        <w:continuationSeparator/>
      </w:r>
    </w:p>
    <w:p w:rsidR="00925CA1" w14:paraId="2F453218" w14:textId="77777777"/>
    <w:p w:rsidR="00925CA1" w14:paraId="0C9F9E36" w14:textId="77777777"/>
    <w:p w:rsidR="00925CA1" w14:paraId="628528C6"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w Cen MT">
    <w:panose1 w:val="020B0602020104020603"/>
    <w:charset w:val="00"/>
    <w:family w:val="swiss"/>
    <w:pitch w:val="variable"/>
    <w:sig w:usb0="00000003" w:usb1="00000000" w:usb2="00000000" w:usb3="00000000" w:csb0="00000003" w:csb1="00000000"/>
  </w:font>
  <w:font w:name="David">
    <w:panose1 w:val="020E0502060401010101"/>
    <w:charset w:val="B1"/>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TypoUpright BT">
    <w:panose1 w:val="020B0604020202020204"/>
    <w:charset w:val="00"/>
    <w:family w:val="script"/>
    <w:pitch w:val="variable"/>
    <w:sig w:usb0="800000AF" w:usb1="1000204A" w:usb2="00000000" w:usb3="00000000" w:csb0="0000001B"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9A1489" w14:paraId="78F1745A" w14:textId="77777777">
    <w:pPr>
      <w:pStyle w:val="Footer"/>
      <w:pBdr>
        <w:top w:val="single" w:sz="4" w:space="0" w:color="1CADE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F73EE0" w:rsidRPr="006668CA" w:rsidP="006668CA" w14:paraId="0C89F632" w14:textId="3FBAB653">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31AA" w:rsidP="00337C4E" w14:paraId="0591AE04" w14:textId="77777777">
    <w:pPr>
      <w:pStyle w:val="Footer"/>
      <w:spacing w:after="120" w:line="312" w:lineRule="auto"/>
      <w:ind w:left="-510"/>
      <w:jc w:val="left"/>
      <w:rPr>
        <w:rFonts w:ascii="Tahoma" w:hAnsi="Tahoma" w:cs="Tahoma"/>
        <w:sz w:val="18"/>
        <w:szCs w:val="18"/>
        <w:rtl/>
      </w:rPr>
    </w:pPr>
  </w:p>
  <w:p w:rsidR="000B31AA" w:rsidP="00024391" w14:paraId="40CD8FF7" w14:textId="77777777">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0B31AA" w:rsidRPr="00F94EB4" w:rsidP="00337C4E" w14:paraId="2918DFA2" w14:textId="77777777">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31AA" w:rsidP="00024391" w14:paraId="78833D87" w14:textId="77777777">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0B31AA" w:rsidP="00851F62" w14:paraId="5DDC5735" w14:textId="77777777">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31AA" w:rsidRPr="00D15500" w:rsidP="00D15500" w14:paraId="7EF16D20" w14:textId="77777777">
    <w:pPr>
      <w:pStyle w:val="Footer"/>
      <w:spacing w:after="120" w:line="312" w:lineRule="auto"/>
      <w:jc w:val="right"/>
      <w:rPr>
        <w:rFonts w:ascii="Tahoma" w:hAnsi="Tahoma" w:cs="Tahoma"/>
        <w:color w:val="002060"/>
        <w:sz w:val="18"/>
        <w:szCs w:val="18"/>
      </w:rPr>
    </w:pPr>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D257E" w:rsidP="00BD257E" w14:paraId="228FFEE1" w14:textId="77777777">
    <w:pPr>
      <w:pStyle w:val="Footer"/>
      <w:spacing w:after="120" w:line="312" w:lineRule="auto"/>
      <w:ind w:left="-510"/>
      <w:jc w:val="left"/>
      <w:rPr>
        <w:rFonts w:ascii="Tahoma" w:hAnsi="Tahoma" w:cs="Tahoma"/>
        <w:sz w:val="18"/>
        <w:szCs w:val="18"/>
        <w:rtl/>
      </w:rPr>
    </w:pPr>
  </w:p>
  <w:p w:rsidR="00BD257E" w:rsidP="00BD257E" w14:paraId="0931C6A6" w14:textId="77777777">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1288</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8B694B" w:rsidRPr="00BD257E" w:rsidP="00BD257E" w14:paraId="71472E75" w14:textId="77777777">
    <w:pPr>
      <w:pStyle w:val="Footer"/>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925CA1" w:rsidP="00E7235E" w14:paraId="440BFDC8" w14:textId="77777777">
      <w:pPr>
        <w:spacing w:line="240" w:lineRule="auto"/>
      </w:pPr>
      <w:r>
        <w:separator/>
      </w:r>
    </w:p>
  </w:footnote>
  <w:footnote w:type="continuationSeparator" w:id="1">
    <w:p w:rsidR="00925CA1" w:rsidP="00C23CC9" w14:paraId="5D635BF3" w14:textId="77777777">
      <w:pPr>
        <w:spacing w:line="240" w:lineRule="auto"/>
      </w:pPr>
      <w:r>
        <w:continuationSeparator/>
      </w:r>
    </w:p>
    <w:p w:rsidR="00925CA1" w14:paraId="47CB4EC5" w14:textId="77777777"/>
    <w:p w:rsidR="00925CA1" w14:paraId="5D99BF12" w14:textId="77777777"/>
    <w:p w:rsidR="00925CA1" w14:paraId="6E43F7C4" w14:textId="77777777"/>
  </w:footnote>
  <w:footnote w:id="2">
    <w:p w:rsidR="0093327C" w:rsidRPr="0093327C" w:rsidP="004949A5" w14:paraId="0C56DB04" w14:textId="77777777">
      <w:pPr>
        <w:pStyle w:val="733"/>
      </w:pPr>
      <w:r w:rsidRPr="0093327C">
        <w:rPr>
          <w:rStyle w:val="FootnoteReference0"/>
          <w:vertAlign w:val="baseline"/>
        </w:rPr>
        <w:footnoteRef/>
      </w:r>
      <w:r w:rsidRPr="0093327C">
        <w:rPr>
          <w:rtl/>
        </w:rPr>
        <w:t xml:space="preserve"> </w:t>
      </w:r>
      <w:r w:rsidRPr="0093327C">
        <w:rPr>
          <w:rtl/>
        </w:rPr>
        <w:tab/>
        <w:t>עסקות בכרטיסי חיוב</w:t>
      </w:r>
      <w:r w:rsidRPr="0093327C">
        <w:rPr>
          <w:rFonts w:hint="cs"/>
          <w:rtl/>
        </w:rPr>
        <w:t xml:space="preserve"> חכמים </w:t>
      </w:r>
      <w:r w:rsidRPr="0093327C">
        <w:rPr>
          <w:rtl/>
        </w:rPr>
        <w:t>שמוטמע בהם שבב חכם ועליו מידע המיוחס לכרטיס שעליו הוא מותקן בלבד.</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P="0093327C" w14:textId="6E735CD7">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93327C" w:rsidR="0093327C">
                            <w:rPr>
                              <w:rFonts w:ascii="Tahoma" w:hAnsi="Tahoma" w:cs="Tahoma"/>
                              <w:b/>
                              <w:bCs/>
                              <w:rtl/>
                            </w:rPr>
                            <w:t>בנקאות דיגיטלית</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F73EE0" w:rsidRPr="009B7D1B" w:rsidP="0093327C" w14:paraId="77809697" w14:textId="6E735CD7">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93327C" w:rsidR="0093327C">
                      <w:rPr>
                        <w:rFonts w:ascii="Tahoma" w:hAnsi="Tahoma" w:cs="Tahoma"/>
                        <w:b/>
                        <w:bCs/>
                        <w:rtl/>
                      </w:rPr>
                      <w:t>בנקאות דיגיטלית</w:t>
                    </w: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F73EE0" w:rsidRPr="00136A3E" w:rsidP="00B244B0" w14:textId="10120453">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sidRPr="002D7C60" w:rsidR="002D7C60">
                            <w:rPr>
                              <w:rFonts w:ascii="Tahoma" w:hAnsi="Tahoma" w:cs="Tahoma"/>
                              <w:color w:val="0D0D0D"/>
                              <w:sz w:val="16"/>
                              <w:szCs w:val="16"/>
                              <w:rtl/>
                            </w:rPr>
                            <w:t xml:space="preserve">נובמבר </w:t>
                          </w:r>
                          <w:r w:rsidRPr="00A80DC3">
                            <w:rPr>
                              <w:rFonts w:ascii="Tahoma" w:hAnsi="Tahoma" w:cs="Tahoma"/>
                              <w:color w:val="0D0D0D"/>
                              <w:sz w:val="16"/>
                              <w:szCs w:val="16"/>
                              <w:rtl/>
                            </w:rPr>
                            <w:t>2022</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F73EE0" w:rsidRPr="00136A3E" w:rsidP="00B244B0" w14:paraId="1CF273F4" w14:textId="10120453">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sidRPr="002D7C60" w:rsidR="002D7C60">
                      <w:rPr>
                        <w:rFonts w:ascii="Tahoma" w:hAnsi="Tahoma" w:cs="Tahoma"/>
                        <w:color w:val="0D0D0D"/>
                        <w:sz w:val="16"/>
                        <w:szCs w:val="16"/>
                        <w:rtl/>
                      </w:rPr>
                      <w:t xml:space="preserve">נובמבר </w:t>
                    </w:r>
                    <w:r w:rsidRPr="00A80DC3">
                      <w:rPr>
                        <w:rFonts w:ascii="Tahoma" w:hAnsi="Tahoma" w:cs="Tahoma"/>
                        <w:color w:val="0D0D0D"/>
                        <w:sz w:val="16"/>
                        <w:szCs w:val="16"/>
                        <w:rtl/>
                      </w:rPr>
                      <w:t>2022</w:t>
                    </w: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14:paraId="1D98C7A5" w14:textId="721B4D03">
    <w:pPr>
      <w:pStyle w:val="Header"/>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1C8F1805">
                          <w:pPr>
                            <w:pStyle w:val="Heading1"/>
                            <w:spacing w:line="269" w:lineRule="auto"/>
                            <w:jc w:val="left"/>
                            <w:rPr>
                              <w:rFonts w:ascii="Tahoma" w:hAnsi="Tahoma" w:eastAsiaTheme="minorHAnsi" w:cs="Tahoma"/>
                              <w:bCs w:val="0"/>
                              <w:color w:val="0D0D0D" w:themeColor="text1" w:themeTint="F2"/>
                              <w:sz w:val="16"/>
                              <w:szCs w:val="16"/>
                              <w:u w:val="none"/>
                            </w:rPr>
                          </w:pPr>
                          <w:r w:rsidRPr="0093327C">
                            <w:rPr>
                              <w:rFonts w:ascii="Tahoma" w:hAnsi="Tahoma" w:eastAsiaTheme="minorHAnsi" w:cs="Tahoma"/>
                              <w:bCs w:val="0"/>
                              <w:color w:val="0D0D0D" w:themeColor="text1" w:themeTint="F2"/>
                              <w:sz w:val="16"/>
                              <w:szCs w:val="16"/>
                              <w:u w:val="none"/>
                              <w:rtl/>
                            </w:rPr>
                            <w:t>בנקאות דיגיטלית</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1552" stroked="f">
              <v:textbox style="mso-fit-shape-to-text:t">
                <w:txbxContent>
                  <w:p w:rsidR="00F73EE0" w:rsidRPr="003D62C4" w:rsidP="00F559D6" w14:paraId="111D0894" w14:textId="1C8F1805">
                    <w:pPr>
                      <w:pStyle w:val="Heading1"/>
                      <w:spacing w:line="269" w:lineRule="auto"/>
                      <w:jc w:val="left"/>
                      <w:rPr>
                        <w:rFonts w:ascii="Tahoma" w:hAnsi="Tahoma" w:eastAsiaTheme="minorHAnsi" w:cs="Tahoma"/>
                        <w:bCs w:val="0"/>
                        <w:color w:val="0D0D0D" w:themeColor="text1" w:themeTint="F2"/>
                        <w:sz w:val="16"/>
                        <w:szCs w:val="16"/>
                        <w:u w:val="none"/>
                      </w:rPr>
                    </w:pPr>
                    <w:r w:rsidRPr="0093327C">
                      <w:rPr>
                        <w:rFonts w:ascii="Tahoma" w:hAnsi="Tahoma" w:eastAsiaTheme="minorHAnsi" w:cs="Tahoma"/>
                        <w:bCs w:val="0"/>
                        <w:color w:val="0D0D0D" w:themeColor="text1" w:themeTint="F2"/>
                        <w:sz w:val="16"/>
                        <w:szCs w:val="16"/>
                        <w:u w:val="none"/>
                        <w:rtl/>
                      </w:rPr>
                      <w:t>בנקאות דיגיטלית</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31AA" w:rsidRPr="00D15500" w:rsidP="005B4811" w14:paraId="5009AC3C" w14:textId="77777777">
    <w:pPr>
      <w:pStyle w:val="Header"/>
      <w:tabs>
        <w:tab w:val="center" w:pos="457"/>
        <w:tab w:val="clear" w:pos="4153"/>
        <w:tab w:val="clear" w:pos="8306"/>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81792"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evaker-semel.new-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79744"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170" name="תיבת טקסט 1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0B31AA" w:rsidRPr="005B4811" w:rsidP="005B4811"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170" o:spid="_x0000_s2058"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80768" stroked="f">
              <v:textbox>
                <w:txbxContent>
                  <w:p w:rsidR="000B31AA" w:rsidRPr="005B4811" w:rsidP="005B4811" w14:paraId="620D61BD"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77696"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17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0B31AA" w:rsidRPr="005B4811" w:rsidP="005B4811" w14:textId="77777777">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תיבת טקסט 2" o:spid="_x0000_s2059"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678720" stroked="f">
              <v:textbox style="mso-fit-shape-to-text:t">
                <w:txbxContent>
                  <w:p w:rsidR="000B31AA" w:rsidRPr="005B4811" w:rsidP="005B4811" w14:paraId="556FBA7E"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82816"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37"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srael-blue.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D257E" w:rsidP="00BD257E" w14:paraId="5901A60A" w14:textId="77777777">
    <w:pPr>
      <w:pStyle w:val="Header"/>
      <w:rPr>
        <w:rtl/>
      </w:rPr>
    </w:pPr>
    <w:r>
      <w:rPr>
        <w:noProof/>
        <w:rtl/>
        <w:lang w:val="he-IL"/>
      </w:rPr>
      <mc:AlternateContent>
        <mc:Choice Requires="wps">
          <w:drawing>
            <wp:anchor distT="0" distB="0" distL="114300" distR="114300" simplePos="0" relativeHeight="25168793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1451066627"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BD257E" w:rsidRPr="00FD02CC" w:rsidP="00BD257E"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0"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7520" filled="f" strokecolor="#a5a5a5" strokeweight="0.25pt">
              <v:stroke dashstyle="longDash"/>
              <v:textbox>
                <w:txbxContent>
                  <w:p w:rsidR="00BD257E" w:rsidRPr="00FD02CC" w:rsidP="00BD257E" w14:paraId="2BFF7DE3"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BD257E" w:rsidP="00BD257E" w14:paraId="2F4BB556" w14:textId="77777777">
    <w:pPr>
      <w:pStyle w:val="Header"/>
      <w:ind w:firstLine="720"/>
      <w:rPr>
        <w:rtl/>
      </w:rPr>
    </w:pPr>
  </w:p>
  <w:p w:rsidR="00BD257E" w:rsidP="00BD257E" w14:paraId="067866B5" w14:textId="77777777">
    <w:pPr>
      <w:pStyle w:val="Header"/>
      <w:rPr>
        <w:rtl/>
      </w:rPr>
    </w:pPr>
  </w:p>
  <w:p w:rsidR="00BD257E" w:rsidP="00BD257E" w14:paraId="5408E5A6"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588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145106662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BD257E" w:rsidRPr="003D62C4" w:rsidP="00BD257E" w14:textId="77777777">
                          <w:pPr>
                            <w:pStyle w:val="Heading1"/>
                            <w:spacing w:line="269" w:lineRule="auto"/>
                            <w:jc w:val="left"/>
                            <w:rPr>
                              <w:rFonts w:ascii="Tahoma" w:hAnsi="Tahoma" w:eastAsiaTheme="minorHAnsi" w:cs="Tahoma"/>
                              <w:bCs w:val="0"/>
                              <w:color w:val="0D0D0D" w:themeColor="text1" w:themeTint="F2"/>
                              <w:sz w:val="16"/>
                              <w:szCs w:val="16"/>
                              <w:u w:val="none"/>
                            </w:rPr>
                          </w:pPr>
                          <w:r w:rsidRPr="0093327C">
                            <w:rPr>
                              <w:rFonts w:ascii="Tahoma" w:hAnsi="Tahoma" w:eastAsiaTheme="minorHAnsi" w:cs="Tahoma"/>
                              <w:bCs w:val="0"/>
                              <w:color w:val="0D0D0D" w:themeColor="text1" w:themeTint="F2"/>
                              <w:sz w:val="16"/>
                              <w:szCs w:val="16"/>
                              <w:u w:val="none"/>
                              <w:rtl/>
                            </w:rPr>
                            <w:t>בנקאות דיגיטלית</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61" type="#_x0000_t202" style="width:357.2pt;height:22.1pt;margin-top:16.15pt;margin-left:-8.4pt;mso-width-percent:0;mso-width-relative:margin;mso-wrap-distance-bottom:0;mso-wrap-distance-left:9pt;mso-wrap-distance-right:9pt;mso-wrap-distance-top:0;mso-wrap-style:square;position:absolute;visibility:visible;v-text-anchor:top;z-index:251686912" stroked="f">
              <v:textbox style="mso-fit-shape-to-text:t">
                <w:txbxContent>
                  <w:p w:rsidR="00BD257E" w:rsidRPr="003D62C4" w:rsidP="00BD257E" w14:paraId="038D2644" w14:textId="77777777">
                    <w:pPr>
                      <w:pStyle w:val="Heading1"/>
                      <w:spacing w:line="269" w:lineRule="auto"/>
                      <w:jc w:val="left"/>
                      <w:rPr>
                        <w:rFonts w:ascii="Tahoma" w:hAnsi="Tahoma" w:eastAsiaTheme="minorHAnsi" w:cs="Tahoma"/>
                        <w:bCs w:val="0"/>
                        <w:color w:val="0D0D0D" w:themeColor="text1" w:themeTint="F2"/>
                        <w:sz w:val="16"/>
                        <w:szCs w:val="16"/>
                        <w:u w:val="none"/>
                      </w:rPr>
                    </w:pPr>
                    <w:r w:rsidRPr="0093327C">
                      <w:rPr>
                        <w:rFonts w:ascii="Tahoma" w:hAnsi="Tahoma" w:eastAsiaTheme="minorHAnsi" w:cs="Tahoma"/>
                        <w:bCs w:val="0"/>
                        <w:color w:val="0D0D0D" w:themeColor="text1" w:themeTint="F2"/>
                        <w:sz w:val="16"/>
                        <w:szCs w:val="16"/>
                        <w:u w:val="none"/>
                        <w:rtl/>
                      </w:rPr>
                      <w:t>בנקאות דיגיטלית</w:t>
                    </w:r>
                  </w:p>
                </w:txbxContent>
              </v:textbox>
              <w10:wrap type="square"/>
            </v:shape>
          </w:pict>
        </mc:Fallback>
      </mc:AlternateContent>
    </w:r>
  </w:p>
  <w:p w:rsidR="008B694B" w:rsidRPr="00BD257E" w:rsidP="00BD257E" w14:paraId="4E47EA6D" w14:textId="1F97AAA6">
    <w:pPr>
      <w:pStyle w:val="Header"/>
      <w:rPr>
        <w:rtl/>
      </w:rPr>
    </w:pPr>
    <w:r>
      <w:rPr>
        <w:rFonts w:ascii="Tahoma" w:hAnsi="Tahoma" w:cs="Tahoma"/>
        <w:noProof/>
        <w:color w:val="002060"/>
        <w:sz w:val="18"/>
        <w:szCs w:val="18"/>
      </w:rPr>
      <w:drawing>
        <wp:anchor distT="0" distB="0" distL="114300" distR="114300" simplePos="0" relativeHeight="251689984"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145106663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1"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3840"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1451066630"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2" style="flip:x;mso-height-percent:0;mso-height-relative:margin;mso-width-percent:0;mso-width-relative:margin;mso-wrap-distance-bottom:0;mso-wrap-distance-left:9pt;mso-wrap-distance-right:9pt;mso-wrap-distance-top:0;mso-wrap-style:square;position:absolute;visibility:visible;z-index:251684864" from="-109.7pt,27.8pt" to="367.9pt,27.8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2.5pt;height:59pt" o:bullet="t">
        <v:imagedata r:id="rId1" o:title="icon-menura copy"/>
      </v:shape>
    </w:pict>
  </w:numPicBullet>
  <w:numPicBullet w:numPicBulletId="1">
    <w:pict>
      <v:shape id="_x0000_i1027" type="#_x0000_t75" style="width:49pt;height:55.5pt" o:bullet="t">
        <v:imagedata r:id="rId2" o:title="yad-red"/>
      </v:shape>
    </w:pict>
  </w:numPicBullet>
  <w:abstractNum w:abstractNumId="0">
    <w:nsid w:val="FFFFFF7C"/>
    <w:multiLevelType w:val="singleLevel"/>
    <w:tmpl w:val="831E90F4"/>
    <w:lvl w:ilvl="0">
      <w:start w:val="1"/>
      <w:numFmt w:val="decimal"/>
      <w:lvlText w:val="%1."/>
      <w:lvlJc w:val="left"/>
      <w:pPr>
        <w:tabs>
          <w:tab w:val="num" w:pos="1492"/>
        </w:tabs>
        <w:ind w:left="1492" w:hanging="360"/>
      </w:pPr>
    </w:lvl>
  </w:abstractNum>
  <w:abstractNum w:abstractNumId="1">
    <w:nsid w:val="FFFFFF7D"/>
    <w:multiLevelType w:val="singleLevel"/>
    <w:tmpl w:val="48DC9748"/>
    <w:lvl w:ilvl="0">
      <w:start w:val="1"/>
      <w:numFmt w:val="decimal"/>
      <w:lvlText w:val="%1."/>
      <w:lvlJc w:val="left"/>
      <w:pPr>
        <w:tabs>
          <w:tab w:val="num" w:pos="1209"/>
        </w:tabs>
        <w:ind w:left="1209" w:hanging="360"/>
      </w:pPr>
    </w:lvl>
  </w:abstractNum>
  <w:abstractNum w:abstractNumId="2">
    <w:nsid w:val="FFFFFF7F"/>
    <w:multiLevelType w:val="singleLevel"/>
    <w:tmpl w:val="4F165CDC"/>
    <w:lvl w:ilvl="0">
      <w:start w:val="1"/>
      <w:numFmt w:val="decimal"/>
      <w:lvlText w:val="%1."/>
      <w:lvlJc w:val="left"/>
      <w:pPr>
        <w:tabs>
          <w:tab w:val="num" w:pos="643"/>
        </w:tabs>
        <w:ind w:left="643" w:hanging="360"/>
      </w:pPr>
    </w:lvl>
  </w:abstractNum>
  <w:abstractNum w:abstractNumId="3">
    <w:nsid w:val="FFFFFF80"/>
    <w:multiLevelType w:val="singleLevel"/>
    <w:tmpl w:val="D286DE44"/>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899C9C78"/>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17CA16D4"/>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35A80076"/>
    <w:lvl w:ilvl="0">
      <w:start w:val="1"/>
      <w:numFmt w:val="bullet"/>
      <w:lvlText w:val=""/>
      <w:lvlJc w:val="left"/>
      <w:pPr>
        <w:tabs>
          <w:tab w:val="num" w:pos="643"/>
        </w:tabs>
        <w:ind w:left="643" w:hanging="360"/>
      </w:pPr>
      <w:rPr>
        <w:rFonts w:ascii="Symbol" w:hAnsi="Symbol" w:hint="default"/>
      </w:rPr>
    </w:lvl>
  </w:abstractNum>
  <w:abstractNum w:abstractNumId="7">
    <w:nsid w:val="FFFFFF89"/>
    <w:multiLevelType w:val="singleLevel"/>
    <w:tmpl w:val="189C7FC0"/>
    <w:lvl w:ilvl="0">
      <w:start w:val="1"/>
      <w:numFmt w:val="bullet"/>
      <w:lvlText w:val=""/>
      <w:lvlJc w:val="left"/>
      <w:pPr>
        <w:tabs>
          <w:tab w:val="num" w:pos="360"/>
        </w:tabs>
        <w:ind w:left="360" w:hanging="360"/>
      </w:pPr>
      <w:rPr>
        <w:rFonts w:ascii="Symbol" w:hAnsi="Symbol" w:hint="default"/>
      </w:rPr>
    </w:lvl>
  </w:abstractNum>
  <w:abstractNum w:abstractNumId="8">
    <w:nsid w:val="00C11D1D"/>
    <w:multiLevelType w:val="hybridMultilevel"/>
    <w:tmpl w:val="57501E36"/>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nsid w:val="082F26DE"/>
    <w:multiLevelType w:val="hybridMultilevel"/>
    <w:tmpl w:val="A86CA12E"/>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0A436C1C"/>
    <w:multiLevelType w:val="hybridMultilevel"/>
    <w:tmpl w:val="470284A6"/>
    <w:lvl w:ilvl="0">
      <w:start w:val="1"/>
      <w:numFmt w:val="bullet"/>
      <w:lvlText w:val=""/>
      <w:lvlJc w:val="left"/>
      <w:pPr>
        <w:ind w:left="720" w:hanging="360"/>
      </w:pPr>
      <w:rPr>
        <w:rFonts w:ascii="Symbol" w:hAnsi="Symbol"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0DDD178A"/>
    <w:multiLevelType w:val="hybridMultilevel"/>
    <w:tmpl w:val="FEFEF4F2"/>
    <w:lvl w:ilvl="0">
      <w:start w:val="1"/>
      <w:numFmt w:val="bullet"/>
      <w:lvlText w:val=""/>
      <w:lvlJc w:val="left"/>
      <w:pPr>
        <w:ind w:left="1414" w:hanging="360"/>
      </w:pPr>
      <w:rPr>
        <w:rFonts w:ascii="Symbol" w:hAnsi="Symbol" w:hint="default"/>
      </w:rPr>
    </w:lvl>
    <w:lvl w:ilvl="1" w:tentative="1">
      <w:start w:val="1"/>
      <w:numFmt w:val="bullet"/>
      <w:lvlText w:val="o"/>
      <w:lvlJc w:val="left"/>
      <w:pPr>
        <w:ind w:left="2134" w:hanging="360"/>
      </w:pPr>
      <w:rPr>
        <w:rFonts w:ascii="Courier New" w:hAnsi="Courier New" w:cs="Courier New" w:hint="default"/>
      </w:rPr>
    </w:lvl>
    <w:lvl w:ilvl="2" w:tentative="1">
      <w:start w:val="1"/>
      <w:numFmt w:val="bullet"/>
      <w:lvlText w:val=""/>
      <w:lvlJc w:val="left"/>
      <w:pPr>
        <w:ind w:left="2854" w:hanging="360"/>
      </w:pPr>
      <w:rPr>
        <w:rFonts w:ascii="Wingdings" w:hAnsi="Wingdings" w:hint="default"/>
      </w:rPr>
    </w:lvl>
    <w:lvl w:ilvl="3" w:tentative="1">
      <w:start w:val="1"/>
      <w:numFmt w:val="bullet"/>
      <w:lvlText w:val=""/>
      <w:lvlJc w:val="left"/>
      <w:pPr>
        <w:ind w:left="3574" w:hanging="360"/>
      </w:pPr>
      <w:rPr>
        <w:rFonts w:ascii="Symbol" w:hAnsi="Symbol" w:hint="default"/>
      </w:rPr>
    </w:lvl>
    <w:lvl w:ilvl="4" w:tentative="1">
      <w:start w:val="1"/>
      <w:numFmt w:val="bullet"/>
      <w:lvlText w:val="o"/>
      <w:lvlJc w:val="left"/>
      <w:pPr>
        <w:ind w:left="4294" w:hanging="360"/>
      </w:pPr>
      <w:rPr>
        <w:rFonts w:ascii="Courier New" w:hAnsi="Courier New" w:cs="Courier New" w:hint="default"/>
      </w:rPr>
    </w:lvl>
    <w:lvl w:ilvl="5" w:tentative="1">
      <w:start w:val="1"/>
      <w:numFmt w:val="bullet"/>
      <w:lvlText w:val=""/>
      <w:lvlJc w:val="left"/>
      <w:pPr>
        <w:ind w:left="5014" w:hanging="360"/>
      </w:pPr>
      <w:rPr>
        <w:rFonts w:ascii="Wingdings" w:hAnsi="Wingdings" w:hint="default"/>
      </w:rPr>
    </w:lvl>
    <w:lvl w:ilvl="6" w:tentative="1">
      <w:start w:val="1"/>
      <w:numFmt w:val="bullet"/>
      <w:lvlText w:val=""/>
      <w:lvlJc w:val="left"/>
      <w:pPr>
        <w:ind w:left="5734" w:hanging="360"/>
      </w:pPr>
      <w:rPr>
        <w:rFonts w:ascii="Symbol" w:hAnsi="Symbol" w:hint="default"/>
      </w:rPr>
    </w:lvl>
    <w:lvl w:ilvl="7" w:tentative="1">
      <w:start w:val="1"/>
      <w:numFmt w:val="bullet"/>
      <w:lvlText w:val="o"/>
      <w:lvlJc w:val="left"/>
      <w:pPr>
        <w:ind w:left="6454" w:hanging="360"/>
      </w:pPr>
      <w:rPr>
        <w:rFonts w:ascii="Courier New" w:hAnsi="Courier New" w:cs="Courier New" w:hint="default"/>
      </w:rPr>
    </w:lvl>
    <w:lvl w:ilvl="8" w:tentative="1">
      <w:start w:val="1"/>
      <w:numFmt w:val="bullet"/>
      <w:lvlText w:val=""/>
      <w:lvlJc w:val="left"/>
      <w:pPr>
        <w:ind w:left="7174" w:hanging="360"/>
      </w:pPr>
      <w:rPr>
        <w:rFonts w:ascii="Wingdings" w:hAnsi="Wingdings" w:hint="default"/>
      </w:rPr>
    </w:lvl>
  </w:abstractNum>
  <w:abstractNum w:abstractNumId="14">
    <w:nsid w:val="11646502"/>
    <w:multiLevelType w:val="hybridMultilevel"/>
    <w:tmpl w:val="3398A992"/>
    <w:lvl w:ilvl="0">
      <w:start w:val="1"/>
      <w:numFmt w:val="decimal"/>
      <w:lvlText w:val="%1."/>
      <w:lvlJc w:val="left"/>
      <w:pPr>
        <w:ind w:left="720" w:hanging="360"/>
      </w:pPr>
      <w:rPr>
        <w:rFonts w:eastAsiaTheme="majorEastAsia"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12074133"/>
    <w:multiLevelType w:val="hybridMultilevel"/>
    <w:tmpl w:val="ED4C3644"/>
    <w:lvl w:ilvl="0">
      <w:start w:val="1"/>
      <w:numFmt w:val="bullet"/>
      <w:lvlText w:val=""/>
      <w:lvlPicBulletId w:val="0"/>
      <w:lvlJc w:val="left"/>
      <w:pPr>
        <w:ind w:left="760" w:hanging="403"/>
      </w:pPr>
      <w:rPr>
        <w:rFonts w:ascii="Symbol" w:hAnsi="Symbol" w:hint="default"/>
        <w:color w:val="auto"/>
        <w:sz w:val="28"/>
        <w:szCs w:val="2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1CCB5BF3"/>
    <w:multiLevelType w:val="multilevel"/>
    <w:tmpl w:val="646C0440"/>
    <w:lvl w:ilvl="0">
      <w:start w:val="1"/>
      <w:numFmt w:val="decimal"/>
      <w:lvlText w:val="%1."/>
      <w:lvlJc w:val="left"/>
      <w:pPr>
        <w:ind w:left="340" w:hanging="340"/>
      </w:pPr>
      <w:rPr>
        <w:rFonts w:hint="default"/>
      </w:rPr>
    </w:lvl>
    <w:lvl w:ilvl="1">
      <w:start w:val="1"/>
      <w:numFmt w:val="none"/>
      <w:pStyle w:val="737"/>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nsid w:val="241D2A60"/>
    <w:multiLevelType w:val="hybridMultilevel"/>
    <w:tmpl w:val="9E7A1ADC"/>
    <w:lvl w:ilvl="0">
      <w:start w:val="1"/>
      <w:numFmt w:val="bullet"/>
      <w:lvlText w:val=""/>
      <w:lvlPicBulletId w:val="0"/>
      <w:lvlJc w:val="left"/>
      <w:pPr>
        <w:ind w:left="1117"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28975C3E"/>
    <w:multiLevelType w:val="hybridMultilevel"/>
    <w:tmpl w:val="0FF6A07C"/>
    <w:lvl w:ilvl="0">
      <w:start w:val="1"/>
      <w:numFmt w:val="decimal"/>
      <w:lvlText w:val="%1."/>
      <w:lvlJc w:val="left"/>
      <w:pPr>
        <w:ind w:left="340" w:hanging="34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2AD264AB"/>
    <w:multiLevelType w:val="hybridMultilevel"/>
    <w:tmpl w:val="2CD2FAE8"/>
    <w:lvl w:ilvl="0">
      <w:start w:val="2"/>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2B16139F"/>
    <w:multiLevelType w:val="hybridMultilevel"/>
    <w:tmpl w:val="9D4CE49A"/>
    <w:lvl w:ilvl="0">
      <w:start w:val="1"/>
      <w:numFmt w:val="bullet"/>
      <w:lvlText w:val=""/>
      <w:lvlPicBulletId w:val="1"/>
      <w:lvlJc w:val="left"/>
      <w:pPr>
        <w:ind w:left="360" w:hanging="360"/>
      </w:pPr>
      <w:rPr>
        <w:rFonts w:ascii="Symbol" w:hAnsi="Symbol" w:hint="default"/>
        <w:color w:val="auto"/>
        <w:sz w:val="30"/>
        <w:szCs w:val="30"/>
        <w:lang w:bidi="he-IL"/>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1">
    <w:nsid w:val="2D5960CB"/>
    <w:multiLevelType w:val="multilevel"/>
    <w:tmpl w:val="7B3C14AC"/>
    <w:lvl w:ilvl="0">
      <w:start w:val="1"/>
      <w:numFmt w:val="hebrew1"/>
      <w:lvlText w:val="%1."/>
      <w:lvlJc w:val="right"/>
      <w:pPr>
        <w:ind w:left="680" w:hanging="340"/>
      </w:pPr>
      <w:rPr>
        <w:rFonts w:ascii="Tahoma" w:eastAsia="Times New Roman" w:hAnsi="Tahoma" w:cs="Tahoma"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2">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23">
    <w:nsid w:val="2FAD2F67"/>
    <w:multiLevelType w:val="hybridMultilevel"/>
    <w:tmpl w:val="68144802"/>
    <w:lvl w:ilvl="0">
      <w:start w:val="1"/>
      <w:numFmt w:val="decimal"/>
      <w:lvlText w:val="%1."/>
      <w:lvlJc w:val="left"/>
      <w:pPr>
        <w:ind w:left="340" w:hanging="34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37F32192"/>
    <w:multiLevelType w:val="hybridMultilevel"/>
    <w:tmpl w:val="990257B8"/>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6">
    <w:nsid w:val="3BC1088C"/>
    <w:multiLevelType w:val="multilevel"/>
    <w:tmpl w:val="1EAC27C8"/>
    <w:lvl w:ilvl="0">
      <w:start w:val="1"/>
      <w:numFmt w:val="decimal"/>
      <w:pStyle w:val="73110"/>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pStyle w:val="73110"/>
      <w:lvlText w:val="%2."/>
      <w:lvlJc w:val="left"/>
      <w:pPr>
        <w:ind w:left="765" w:hanging="340"/>
      </w:pPr>
      <w:rPr>
        <w:rFonts w:hint="default"/>
        <w:lang w:val="en-US"/>
      </w:rPr>
    </w:lvl>
    <w:lvl w:ilvl="2">
      <w:start w:val="1"/>
      <w:numFmt w:val="decimal"/>
      <w:pStyle w:val="a3"/>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7">
    <w:nsid w:val="3F93199F"/>
    <w:multiLevelType w:val="hybridMultilevel"/>
    <w:tmpl w:val="7EC4B170"/>
    <w:lvl w:ilvl="0">
      <w:start w:val="1"/>
      <w:numFmt w:val="decimal"/>
      <w:lvlText w:val="%1."/>
      <w:lvlJc w:val="left"/>
      <w:pPr>
        <w:ind w:left="862" w:hanging="360"/>
      </w:pPr>
      <w:rPr>
        <w:rFonts w:hint="default"/>
        <w:sz w:val="24"/>
      </w:rPr>
    </w:lvl>
    <w:lvl w:ilvl="1" w:tentative="1">
      <w:start w:val="1"/>
      <w:numFmt w:val="lowerLetter"/>
      <w:lvlText w:val="%2."/>
      <w:lvlJc w:val="left"/>
      <w:pPr>
        <w:ind w:left="1582" w:hanging="360"/>
      </w:pPr>
    </w:lvl>
    <w:lvl w:ilvl="2" w:tentative="1">
      <w:start w:val="1"/>
      <w:numFmt w:val="lowerRoman"/>
      <w:lvlText w:val="%3."/>
      <w:lvlJc w:val="right"/>
      <w:pPr>
        <w:ind w:left="2302" w:hanging="180"/>
      </w:pPr>
    </w:lvl>
    <w:lvl w:ilvl="3" w:tentative="1">
      <w:start w:val="1"/>
      <w:numFmt w:val="decimal"/>
      <w:lvlText w:val="%4."/>
      <w:lvlJc w:val="left"/>
      <w:pPr>
        <w:ind w:left="3022" w:hanging="360"/>
      </w:pPr>
    </w:lvl>
    <w:lvl w:ilvl="4" w:tentative="1">
      <w:start w:val="1"/>
      <w:numFmt w:val="lowerLetter"/>
      <w:lvlText w:val="%5."/>
      <w:lvlJc w:val="left"/>
      <w:pPr>
        <w:ind w:left="3742" w:hanging="360"/>
      </w:pPr>
    </w:lvl>
    <w:lvl w:ilvl="5" w:tentative="1">
      <w:start w:val="1"/>
      <w:numFmt w:val="lowerRoman"/>
      <w:lvlText w:val="%6."/>
      <w:lvlJc w:val="right"/>
      <w:pPr>
        <w:ind w:left="4462" w:hanging="180"/>
      </w:pPr>
    </w:lvl>
    <w:lvl w:ilvl="6" w:tentative="1">
      <w:start w:val="1"/>
      <w:numFmt w:val="decimal"/>
      <w:lvlText w:val="%7."/>
      <w:lvlJc w:val="left"/>
      <w:pPr>
        <w:ind w:left="5182" w:hanging="360"/>
      </w:pPr>
    </w:lvl>
    <w:lvl w:ilvl="7" w:tentative="1">
      <w:start w:val="1"/>
      <w:numFmt w:val="lowerLetter"/>
      <w:lvlText w:val="%8."/>
      <w:lvlJc w:val="left"/>
      <w:pPr>
        <w:ind w:left="5902" w:hanging="360"/>
      </w:pPr>
    </w:lvl>
    <w:lvl w:ilvl="8" w:tentative="1">
      <w:start w:val="1"/>
      <w:numFmt w:val="lowerRoman"/>
      <w:lvlText w:val="%9."/>
      <w:lvlJc w:val="right"/>
      <w:pPr>
        <w:ind w:left="6622" w:hanging="180"/>
      </w:pPr>
    </w:lvl>
  </w:abstractNum>
  <w:abstractNum w:abstractNumId="28">
    <w:nsid w:val="419A64A6"/>
    <w:multiLevelType w:val="multilevel"/>
    <w:tmpl w:val="29E2391C"/>
    <w:lvl w:ilvl="0">
      <w:start w:val="1"/>
      <w:numFmt w:val="decimal"/>
      <w:lvlText w:val="%1."/>
      <w:lvlJc w:val="left"/>
      <w:pPr>
        <w:ind w:left="340" w:hanging="340"/>
      </w:pPr>
      <w:rPr>
        <w:rFonts w:hint="default"/>
      </w:rPr>
    </w:lvl>
    <w:lvl w:ilvl="1">
      <w:start w:val="1"/>
      <w:numFmt w:val="decimal"/>
      <w:lvlText w:val="(%2)"/>
      <w:lvlJc w:val="right"/>
      <w:pPr>
        <w:ind w:left="106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3)"/>
      <w:lvlJc w:val="left"/>
      <w:pPr>
        <w:ind w:left="1077" w:hanging="397"/>
      </w:pPr>
      <w:rPr>
        <w:rFonts w:hint="default"/>
        <w:sz w:val="18"/>
        <w:szCs w:val="18"/>
        <w:lang w:val="en-US"/>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9">
    <w:nsid w:val="42765934"/>
    <w:multiLevelType w:val="hybridMultilevel"/>
    <w:tmpl w:val="E138BD00"/>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1">
    <w:nsid w:val="485A70B7"/>
    <w:multiLevelType w:val="hybridMultilevel"/>
    <w:tmpl w:val="E4FE67AC"/>
    <w:lvl w:ilvl="0">
      <w:start w:val="1"/>
      <w:numFmt w:val="decimal"/>
      <w:lvlText w:val="%1."/>
      <w:lvlJc w:val="left"/>
      <w:pPr>
        <w:ind w:left="340" w:hanging="34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4B067742"/>
    <w:multiLevelType w:val="hybridMultilevel"/>
    <w:tmpl w:val="16CC0076"/>
    <w:lvl w:ilvl="0">
      <w:start w:val="1"/>
      <w:numFmt w:val="decimal"/>
      <w:lvlText w:val="%1."/>
      <w:lvlJc w:val="left"/>
      <w:pPr>
        <w:ind w:left="510" w:hanging="360"/>
      </w:pPr>
      <w:rPr>
        <w:rFonts w:ascii="Times New Roman" w:hAnsi="Times New Roman" w:eastAsiaTheme="minorHAnsi" w:cs="David"/>
      </w:rPr>
    </w:lvl>
    <w:lvl w:ilvl="1" w:tentative="1">
      <w:start w:val="1"/>
      <w:numFmt w:val="lowerLetter"/>
      <w:lvlText w:val="%2."/>
      <w:lvlJc w:val="left"/>
      <w:pPr>
        <w:ind w:left="1230" w:hanging="360"/>
      </w:pPr>
    </w:lvl>
    <w:lvl w:ilvl="2" w:tentative="1">
      <w:start w:val="1"/>
      <w:numFmt w:val="lowerRoman"/>
      <w:lvlText w:val="%3."/>
      <w:lvlJc w:val="right"/>
      <w:pPr>
        <w:ind w:left="1950" w:hanging="180"/>
      </w:pPr>
    </w:lvl>
    <w:lvl w:ilvl="3" w:tentative="1">
      <w:start w:val="1"/>
      <w:numFmt w:val="decimal"/>
      <w:lvlText w:val="%4."/>
      <w:lvlJc w:val="left"/>
      <w:pPr>
        <w:ind w:left="2670" w:hanging="360"/>
      </w:pPr>
    </w:lvl>
    <w:lvl w:ilvl="4" w:tentative="1">
      <w:start w:val="1"/>
      <w:numFmt w:val="lowerLetter"/>
      <w:lvlText w:val="%5."/>
      <w:lvlJc w:val="left"/>
      <w:pPr>
        <w:ind w:left="3390" w:hanging="360"/>
      </w:pPr>
    </w:lvl>
    <w:lvl w:ilvl="5" w:tentative="1">
      <w:start w:val="1"/>
      <w:numFmt w:val="lowerRoman"/>
      <w:lvlText w:val="%6."/>
      <w:lvlJc w:val="right"/>
      <w:pPr>
        <w:ind w:left="4110" w:hanging="180"/>
      </w:pPr>
    </w:lvl>
    <w:lvl w:ilvl="6" w:tentative="1">
      <w:start w:val="1"/>
      <w:numFmt w:val="decimal"/>
      <w:lvlText w:val="%7."/>
      <w:lvlJc w:val="left"/>
      <w:pPr>
        <w:ind w:left="4830" w:hanging="360"/>
      </w:pPr>
    </w:lvl>
    <w:lvl w:ilvl="7" w:tentative="1">
      <w:start w:val="1"/>
      <w:numFmt w:val="lowerLetter"/>
      <w:lvlText w:val="%8."/>
      <w:lvlJc w:val="left"/>
      <w:pPr>
        <w:ind w:left="5550" w:hanging="360"/>
      </w:pPr>
    </w:lvl>
    <w:lvl w:ilvl="8" w:tentative="1">
      <w:start w:val="1"/>
      <w:numFmt w:val="lowerRoman"/>
      <w:lvlText w:val="%9."/>
      <w:lvlJc w:val="right"/>
      <w:pPr>
        <w:ind w:left="6270" w:hanging="180"/>
      </w:pPr>
    </w:lvl>
  </w:abstractNum>
  <w:abstractNum w:abstractNumId="33">
    <w:nsid w:val="4D2601AB"/>
    <w:multiLevelType w:val="hybridMultilevel"/>
    <w:tmpl w:val="056A094C"/>
    <w:lvl w:ilvl="0">
      <w:start w:val="1"/>
      <w:numFmt w:val="bullet"/>
      <w:lvlText w:val=""/>
      <w:lvlPicBulletId w:val="0"/>
      <w:lvlJc w:val="left"/>
      <w:pPr>
        <w:ind w:left="1117" w:hanging="360"/>
      </w:pPr>
      <w:rPr>
        <w:rFonts w:ascii="Symbol" w:hAnsi="Symbol" w:hint="default"/>
        <w:color w:val="auto"/>
        <w:sz w:val="28"/>
        <w:szCs w:val="2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4F9846F8"/>
    <w:multiLevelType w:val="hybridMultilevel"/>
    <w:tmpl w:val="928213E8"/>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53176901"/>
    <w:multiLevelType w:val="hybridMultilevel"/>
    <w:tmpl w:val="4F3AF294"/>
    <w:lvl w:ilvl="0">
      <w:start w:val="1"/>
      <w:numFmt w:val="bullet"/>
      <w:lvlText w:val=""/>
      <w:lvlPicBulletId w:val="1"/>
      <w:lvlJc w:val="left"/>
      <w:pPr>
        <w:ind w:left="720" w:hanging="360"/>
      </w:pPr>
      <w:rPr>
        <w:rFonts w:ascii="Symbol" w:hAnsi="Symbol" w:hint="default"/>
        <w:color w:val="auto"/>
        <w:sz w:val="30"/>
        <w:szCs w:val="3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55E578FC"/>
    <w:multiLevelType w:val="hybridMultilevel"/>
    <w:tmpl w:val="553C3790"/>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38">
    <w:nsid w:val="5CDE69EE"/>
    <w:multiLevelType w:val="hybridMultilevel"/>
    <w:tmpl w:val="1F3497B6"/>
    <w:lvl w:ilvl="0">
      <w:start w:val="1"/>
      <w:numFmt w:val="decimal"/>
      <w:lvlText w:val="%1."/>
      <w:lvlJc w:val="left"/>
      <w:pPr>
        <w:ind w:left="340" w:hanging="34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5F743717"/>
    <w:multiLevelType w:val="multilevel"/>
    <w:tmpl w:val="54B40DD4"/>
    <w:lvl w:ilvl="0">
      <w:start w:val="1"/>
      <w:numFmt w:val="decimal"/>
      <w:pStyle w:val="a2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40">
    <w:nsid w:val="5FB73F41"/>
    <w:multiLevelType w:val="hybridMultilevel"/>
    <w:tmpl w:val="022CC822"/>
    <w:lvl w:ilvl="0">
      <w:start w:val="1"/>
      <w:numFmt w:val="decimal"/>
      <w:lvlText w:val="%1."/>
      <w:lvlJc w:val="left"/>
      <w:pPr>
        <w:ind w:left="720" w:hanging="360"/>
      </w:pPr>
      <w:rPr>
        <w:rFonts w:eastAsiaTheme="majorEastAsia"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6426528C"/>
    <w:multiLevelType w:val="hybridMultilevel"/>
    <w:tmpl w:val="854AF2FA"/>
    <w:lvl w:ilvl="0">
      <w:start w:val="3"/>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675D1AF5"/>
    <w:multiLevelType w:val="hybridMultilevel"/>
    <w:tmpl w:val="3A74F9D8"/>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6DB6403D"/>
    <w:multiLevelType w:val="multilevel"/>
    <w:tmpl w:val="F7F86682"/>
    <w:lvl w:ilvl="0">
      <w:start w:val="1"/>
      <w:numFmt w:val="decimal"/>
      <w:lvlText w:val="%1."/>
      <w:lvlJc w:val="left"/>
      <w:pPr>
        <w:ind w:left="340" w:hanging="340"/>
      </w:pPr>
      <w:rPr>
        <w:rFonts w:hint="default"/>
        <w:b w:val="0"/>
        <w:bCs w:val="0"/>
      </w:rPr>
    </w:lvl>
    <w:lvl w:ilvl="1">
      <w:start w:val="3"/>
      <w:numFmt w:val="decimal"/>
      <w:lvlText w:val="%2."/>
      <w:lvlJc w:val="left"/>
      <w:pPr>
        <w:ind w:left="357" w:hanging="357"/>
      </w:pPr>
      <w:rPr>
        <w:rFonts w:hint="default"/>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4">
    <w:nsid w:val="7112005C"/>
    <w:multiLevelType w:val="hybridMultilevel"/>
    <w:tmpl w:val="B49A0BD2"/>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7B3331C5"/>
    <w:multiLevelType w:val="hybridMultilevel"/>
    <w:tmpl w:val="99F4D204"/>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6"/>
  </w:num>
  <w:num w:numId="2">
    <w:abstractNumId w:val="26"/>
  </w:num>
  <w:num w:numId="3">
    <w:abstractNumId w:val="43"/>
  </w:num>
  <w:num w:numId="4">
    <w:abstractNumId w:val="37"/>
  </w:num>
  <w:num w:numId="5">
    <w:abstractNumId w:val="22"/>
  </w:num>
  <w:num w:numId="6">
    <w:abstractNumId w:val="25"/>
  </w:num>
  <w:num w:numId="7">
    <w:abstractNumId w:val="46"/>
  </w:num>
  <w:num w:numId="8">
    <w:abstractNumId w:val="9"/>
  </w:num>
  <w:num w:numId="9">
    <w:abstractNumId w:val="30"/>
  </w:num>
  <w:num w:numId="10">
    <w:abstractNumId w:val="13"/>
  </w:num>
  <w:num w:numId="11">
    <w:abstractNumId w:val="39"/>
  </w:num>
  <w:num w:numId="12">
    <w:abstractNumId w:val="12"/>
  </w:num>
  <w:num w:numId="13">
    <w:abstractNumId w:val="19"/>
  </w:num>
  <w:num w:numId="14">
    <w:abstractNumId w:val="41"/>
  </w:num>
  <w:num w:numId="15">
    <w:abstractNumId w:val="36"/>
  </w:num>
  <w:num w:numId="16">
    <w:abstractNumId w:val="10"/>
  </w:num>
  <w:num w:numId="17">
    <w:abstractNumId w:val="34"/>
  </w:num>
  <w:num w:numId="18">
    <w:abstractNumId w:val="3"/>
  </w:num>
  <w:num w:numId="19">
    <w:abstractNumId w:val="4"/>
  </w:num>
  <w:num w:numId="20">
    <w:abstractNumId w:val="5"/>
  </w:num>
  <w:num w:numId="21">
    <w:abstractNumId w:val="6"/>
  </w:num>
  <w:num w:numId="22">
    <w:abstractNumId w:val="7"/>
  </w:num>
  <w:num w:numId="23">
    <w:abstractNumId w:val="0"/>
  </w:num>
  <w:num w:numId="24">
    <w:abstractNumId w:val="1"/>
  </w:num>
  <w:num w:numId="25">
    <w:abstractNumId w:val="2"/>
  </w:num>
  <w:num w:numId="26">
    <w:abstractNumId w:val="21"/>
  </w:num>
  <w:num w:numId="27">
    <w:abstractNumId w:val="28"/>
  </w:num>
  <w:num w:numId="28">
    <w:abstractNumId w:val="17"/>
  </w:num>
  <w:num w:numId="29">
    <w:abstractNumId w:val="33"/>
  </w:num>
  <w:num w:numId="30">
    <w:abstractNumId w:val="15"/>
  </w:num>
  <w:num w:numId="31">
    <w:abstractNumId w:val="35"/>
  </w:num>
  <w:num w:numId="32">
    <w:abstractNumId w:val="20"/>
  </w:num>
  <w:num w:numId="33">
    <w:abstractNumId w:val="40"/>
  </w:num>
  <w:num w:numId="34">
    <w:abstractNumId w:val="32"/>
  </w:num>
  <w:num w:numId="35">
    <w:abstractNumId w:val="8"/>
  </w:num>
  <w:num w:numId="36">
    <w:abstractNumId w:val="45"/>
  </w:num>
  <w:num w:numId="37">
    <w:abstractNumId w:val="24"/>
  </w:num>
  <w:num w:numId="38">
    <w:abstractNumId w:val="14"/>
  </w:num>
  <w:num w:numId="39">
    <w:abstractNumId w:val="27"/>
  </w:num>
  <w:num w:numId="40">
    <w:abstractNumId w:val="44"/>
  </w:num>
  <w:num w:numId="41">
    <w:abstractNumId w:val="29"/>
  </w:num>
  <w:num w:numId="42">
    <w:abstractNumId w:val="11"/>
  </w:num>
  <w:num w:numId="43">
    <w:abstractNumId w:val="18"/>
  </w:num>
  <w:num w:numId="44">
    <w:abstractNumId w:val="23"/>
  </w:num>
  <w:num w:numId="45">
    <w:abstractNumId w:val="38"/>
  </w:num>
  <w:num w:numId="46">
    <w:abstractNumId w:val="42"/>
  </w:num>
  <w:num w:numId="47">
    <w:abstractNumId w:val="3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71"/>
  <w:displayBackgroundShape/>
  <w:gutterAtTop/>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A6F"/>
    <w:rsid w:val="00011BFC"/>
    <w:rsid w:val="00011DF7"/>
    <w:rsid w:val="00012269"/>
    <w:rsid w:val="00012487"/>
    <w:rsid w:val="00012657"/>
    <w:rsid w:val="00013641"/>
    <w:rsid w:val="00013BC3"/>
    <w:rsid w:val="0001431C"/>
    <w:rsid w:val="0001482C"/>
    <w:rsid w:val="00014D29"/>
    <w:rsid w:val="000155F0"/>
    <w:rsid w:val="000157CF"/>
    <w:rsid w:val="00015A22"/>
    <w:rsid w:val="000166CA"/>
    <w:rsid w:val="000168DE"/>
    <w:rsid w:val="0001735B"/>
    <w:rsid w:val="00020441"/>
    <w:rsid w:val="000206F1"/>
    <w:rsid w:val="00021298"/>
    <w:rsid w:val="00021ED5"/>
    <w:rsid w:val="00021FFB"/>
    <w:rsid w:val="000224FF"/>
    <w:rsid w:val="00023E81"/>
    <w:rsid w:val="0002439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731"/>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349C"/>
    <w:rsid w:val="00093E30"/>
    <w:rsid w:val="00093E9D"/>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DB2"/>
    <w:rsid w:val="000E1FBD"/>
    <w:rsid w:val="000E2359"/>
    <w:rsid w:val="000E23EA"/>
    <w:rsid w:val="000E2715"/>
    <w:rsid w:val="000E2B2C"/>
    <w:rsid w:val="000E3022"/>
    <w:rsid w:val="000E3828"/>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F158C"/>
    <w:rsid w:val="000F1DEA"/>
    <w:rsid w:val="000F23C7"/>
    <w:rsid w:val="000F2408"/>
    <w:rsid w:val="000F2A10"/>
    <w:rsid w:val="000F2E36"/>
    <w:rsid w:val="000F2F7E"/>
    <w:rsid w:val="000F3700"/>
    <w:rsid w:val="000F441E"/>
    <w:rsid w:val="000F4578"/>
    <w:rsid w:val="000F469C"/>
    <w:rsid w:val="000F4B6E"/>
    <w:rsid w:val="000F4C79"/>
    <w:rsid w:val="000F53C2"/>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816"/>
    <w:rsid w:val="00116E1B"/>
    <w:rsid w:val="00117066"/>
    <w:rsid w:val="001172DF"/>
    <w:rsid w:val="00117408"/>
    <w:rsid w:val="00117C0E"/>
    <w:rsid w:val="00117DC2"/>
    <w:rsid w:val="00120071"/>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4C9"/>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1E3"/>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151"/>
    <w:rsid w:val="0019758B"/>
    <w:rsid w:val="00197B6F"/>
    <w:rsid w:val="00197B8A"/>
    <w:rsid w:val="00197CC1"/>
    <w:rsid w:val="001A0135"/>
    <w:rsid w:val="001A0ACA"/>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1ED"/>
    <w:rsid w:val="001A6276"/>
    <w:rsid w:val="001A72F6"/>
    <w:rsid w:val="001A7D06"/>
    <w:rsid w:val="001A7DFE"/>
    <w:rsid w:val="001B1655"/>
    <w:rsid w:val="001B17FB"/>
    <w:rsid w:val="001B1C9C"/>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12C"/>
    <w:rsid w:val="001B75F0"/>
    <w:rsid w:val="001C00D8"/>
    <w:rsid w:val="001C057E"/>
    <w:rsid w:val="001C1B42"/>
    <w:rsid w:val="001C2CAD"/>
    <w:rsid w:val="001C308D"/>
    <w:rsid w:val="001C3187"/>
    <w:rsid w:val="001C3232"/>
    <w:rsid w:val="001C34D5"/>
    <w:rsid w:val="001C3ED9"/>
    <w:rsid w:val="001C450A"/>
    <w:rsid w:val="001C45D9"/>
    <w:rsid w:val="001C49B8"/>
    <w:rsid w:val="001C5A02"/>
    <w:rsid w:val="001C5BF5"/>
    <w:rsid w:val="001C5C3E"/>
    <w:rsid w:val="001C5C9D"/>
    <w:rsid w:val="001C5EB7"/>
    <w:rsid w:val="001C5FEF"/>
    <w:rsid w:val="001C6FC8"/>
    <w:rsid w:val="001C72B2"/>
    <w:rsid w:val="001D0073"/>
    <w:rsid w:val="001D0955"/>
    <w:rsid w:val="001D1192"/>
    <w:rsid w:val="001D223A"/>
    <w:rsid w:val="001D2243"/>
    <w:rsid w:val="001D2793"/>
    <w:rsid w:val="001D2F2A"/>
    <w:rsid w:val="001D3679"/>
    <w:rsid w:val="001D3CC2"/>
    <w:rsid w:val="001D4406"/>
    <w:rsid w:val="001D461F"/>
    <w:rsid w:val="001D46D3"/>
    <w:rsid w:val="001D4B02"/>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8C"/>
    <w:rsid w:val="00214BC0"/>
    <w:rsid w:val="00214CAA"/>
    <w:rsid w:val="002154D1"/>
    <w:rsid w:val="00215BEE"/>
    <w:rsid w:val="0021654E"/>
    <w:rsid w:val="00217B31"/>
    <w:rsid w:val="002202E4"/>
    <w:rsid w:val="0022072A"/>
    <w:rsid w:val="00220B3D"/>
    <w:rsid w:val="0022100A"/>
    <w:rsid w:val="00221160"/>
    <w:rsid w:val="002213EE"/>
    <w:rsid w:val="00221922"/>
    <w:rsid w:val="00221B94"/>
    <w:rsid w:val="00221E3A"/>
    <w:rsid w:val="00222AAD"/>
    <w:rsid w:val="002237A5"/>
    <w:rsid w:val="00224723"/>
    <w:rsid w:val="002248C1"/>
    <w:rsid w:val="00224C04"/>
    <w:rsid w:val="00224EF7"/>
    <w:rsid w:val="002251A4"/>
    <w:rsid w:val="00225489"/>
    <w:rsid w:val="00225718"/>
    <w:rsid w:val="00225B8F"/>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5021"/>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2E92"/>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8D3"/>
    <w:rsid w:val="002C2B0E"/>
    <w:rsid w:val="002C316A"/>
    <w:rsid w:val="002C3B87"/>
    <w:rsid w:val="002C3D55"/>
    <w:rsid w:val="002C4139"/>
    <w:rsid w:val="002C4302"/>
    <w:rsid w:val="002C43A3"/>
    <w:rsid w:val="002C4F9F"/>
    <w:rsid w:val="002C54FF"/>
    <w:rsid w:val="002C58AD"/>
    <w:rsid w:val="002C5C9D"/>
    <w:rsid w:val="002C6508"/>
    <w:rsid w:val="002C65B3"/>
    <w:rsid w:val="002C6D22"/>
    <w:rsid w:val="002C70A2"/>
    <w:rsid w:val="002C7A5A"/>
    <w:rsid w:val="002C7D35"/>
    <w:rsid w:val="002C7FC3"/>
    <w:rsid w:val="002D083D"/>
    <w:rsid w:val="002D0EBA"/>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C60"/>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B5E"/>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22B"/>
    <w:rsid w:val="003266D3"/>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53"/>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2387"/>
    <w:rsid w:val="00362E1B"/>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2D6E"/>
    <w:rsid w:val="003B30AD"/>
    <w:rsid w:val="003B437E"/>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396"/>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91D"/>
    <w:rsid w:val="00437CB8"/>
    <w:rsid w:val="00437D9B"/>
    <w:rsid w:val="00440A6B"/>
    <w:rsid w:val="00440C19"/>
    <w:rsid w:val="004413C7"/>
    <w:rsid w:val="004414E6"/>
    <w:rsid w:val="004417D2"/>
    <w:rsid w:val="00441D68"/>
    <w:rsid w:val="004424B2"/>
    <w:rsid w:val="004428A8"/>
    <w:rsid w:val="00442E2D"/>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08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774"/>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D9D"/>
    <w:rsid w:val="0049015A"/>
    <w:rsid w:val="004902C9"/>
    <w:rsid w:val="00490D8B"/>
    <w:rsid w:val="00490E40"/>
    <w:rsid w:val="00491199"/>
    <w:rsid w:val="00491607"/>
    <w:rsid w:val="004919A3"/>
    <w:rsid w:val="00491D1E"/>
    <w:rsid w:val="00492A59"/>
    <w:rsid w:val="00492B5D"/>
    <w:rsid w:val="00492B6B"/>
    <w:rsid w:val="00492D47"/>
    <w:rsid w:val="004930AA"/>
    <w:rsid w:val="004939B6"/>
    <w:rsid w:val="00493AE1"/>
    <w:rsid w:val="00493CBE"/>
    <w:rsid w:val="004945A4"/>
    <w:rsid w:val="004949A5"/>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483"/>
    <w:rsid w:val="004D550E"/>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709"/>
    <w:rsid w:val="00517AA9"/>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5FA8"/>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44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57B"/>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F44"/>
    <w:rsid w:val="005B20D0"/>
    <w:rsid w:val="005B21E1"/>
    <w:rsid w:val="005B2AC2"/>
    <w:rsid w:val="005B2BF5"/>
    <w:rsid w:val="005B2DAB"/>
    <w:rsid w:val="005B3425"/>
    <w:rsid w:val="005B3945"/>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05E"/>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223F"/>
    <w:rsid w:val="006125B0"/>
    <w:rsid w:val="00612C20"/>
    <w:rsid w:val="00612E61"/>
    <w:rsid w:val="00612FC6"/>
    <w:rsid w:val="00613D28"/>
    <w:rsid w:val="0061404F"/>
    <w:rsid w:val="0061424C"/>
    <w:rsid w:val="0061431D"/>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5C6"/>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CC5"/>
    <w:rsid w:val="006C4D54"/>
    <w:rsid w:val="006C58DF"/>
    <w:rsid w:val="006C6452"/>
    <w:rsid w:val="006C6CE3"/>
    <w:rsid w:val="006C6D27"/>
    <w:rsid w:val="006C7199"/>
    <w:rsid w:val="006C7422"/>
    <w:rsid w:val="006D0087"/>
    <w:rsid w:val="006D04D2"/>
    <w:rsid w:val="006D09D9"/>
    <w:rsid w:val="006D167F"/>
    <w:rsid w:val="006D176D"/>
    <w:rsid w:val="006D2416"/>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F50"/>
    <w:rsid w:val="006F66C9"/>
    <w:rsid w:val="006F6C0C"/>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2F99"/>
    <w:rsid w:val="0074450C"/>
    <w:rsid w:val="00744632"/>
    <w:rsid w:val="00744A32"/>
    <w:rsid w:val="00744A94"/>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118"/>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850"/>
    <w:rsid w:val="00783CD9"/>
    <w:rsid w:val="00784D2F"/>
    <w:rsid w:val="00784F53"/>
    <w:rsid w:val="00785D0A"/>
    <w:rsid w:val="00786364"/>
    <w:rsid w:val="00787591"/>
    <w:rsid w:val="007877E8"/>
    <w:rsid w:val="00787AC0"/>
    <w:rsid w:val="00787EAD"/>
    <w:rsid w:val="0079068D"/>
    <w:rsid w:val="00790A1C"/>
    <w:rsid w:val="00790BF1"/>
    <w:rsid w:val="00790E6B"/>
    <w:rsid w:val="00791581"/>
    <w:rsid w:val="00792B80"/>
    <w:rsid w:val="007938BB"/>
    <w:rsid w:val="00795121"/>
    <w:rsid w:val="00795C02"/>
    <w:rsid w:val="00795E68"/>
    <w:rsid w:val="00795F23"/>
    <w:rsid w:val="00796843"/>
    <w:rsid w:val="0079764A"/>
    <w:rsid w:val="00797A48"/>
    <w:rsid w:val="00797D0E"/>
    <w:rsid w:val="00797D14"/>
    <w:rsid w:val="00797DAD"/>
    <w:rsid w:val="007A0926"/>
    <w:rsid w:val="007A130F"/>
    <w:rsid w:val="007A1E36"/>
    <w:rsid w:val="007A2FCF"/>
    <w:rsid w:val="007A3AB1"/>
    <w:rsid w:val="007A3DF5"/>
    <w:rsid w:val="007A3F08"/>
    <w:rsid w:val="007A42DD"/>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D01B9"/>
    <w:rsid w:val="007D0632"/>
    <w:rsid w:val="007D0E2D"/>
    <w:rsid w:val="007D15AE"/>
    <w:rsid w:val="007D16B5"/>
    <w:rsid w:val="007D1726"/>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70B5"/>
    <w:rsid w:val="007D7181"/>
    <w:rsid w:val="007D7206"/>
    <w:rsid w:val="007D72D2"/>
    <w:rsid w:val="007D760B"/>
    <w:rsid w:val="007D77AF"/>
    <w:rsid w:val="007D7996"/>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27841"/>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6E5A"/>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522"/>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3999"/>
    <w:rsid w:val="008747C9"/>
    <w:rsid w:val="00874EB6"/>
    <w:rsid w:val="00875402"/>
    <w:rsid w:val="00875449"/>
    <w:rsid w:val="00875858"/>
    <w:rsid w:val="00876359"/>
    <w:rsid w:val="00876705"/>
    <w:rsid w:val="00876A88"/>
    <w:rsid w:val="00877544"/>
    <w:rsid w:val="0087756C"/>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070"/>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0C9"/>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F0B"/>
    <w:rsid w:val="008E1159"/>
    <w:rsid w:val="008E1580"/>
    <w:rsid w:val="008E1A9C"/>
    <w:rsid w:val="008E20F1"/>
    <w:rsid w:val="008E2F17"/>
    <w:rsid w:val="008E3175"/>
    <w:rsid w:val="008E32CE"/>
    <w:rsid w:val="008E3CC4"/>
    <w:rsid w:val="008E3DDC"/>
    <w:rsid w:val="008E417F"/>
    <w:rsid w:val="008E4F24"/>
    <w:rsid w:val="008E5512"/>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172"/>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2C8"/>
    <w:rsid w:val="009234D0"/>
    <w:rsid w:val="00923A33"/>
    <w:rsid w:val="00923DB7"/>
    <w:rsid w:val="009252F5"/>
    <w:rsid w:val="00925CA1"/>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27C"/>
    <w:rsid w:val="009336A3"/>
    <w:rsid w:val="00933910"/>
    <w:rsid w:val="00933A3E"/>
    <w:rsid w:val="00934D39"/>
    <w:rsid w:val="00934DEB"/>
    <w:rsid w:val="00935456"/>
    <w:rsid w:val="0093548A"/>
    <w:rsid w:val="00935CFD"/>
    <w:rsid w:val="00935F94"/>
    <w:rsid w:val="00936381"/>
    <w:rsid w:val="00936B1D"/>
    <w:rsid w:val="00936DD1"/>
    <w:rsid w:val="00936F5C"/>
    <w:rsid w:val="00936F84"/>
    <w:rsid w:val="00937056"/>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13A"/>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841"/>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0A21"/>
    <w:rsid w:val="009C12CC"/>
    <w:rsid w:val="009C161A"/>
    <w:rsid w:val="009C1DAD"/>
    <w:rsid w:val="009C1E60"/>
    <w:rsid w:val="009C3C12"/>
    <w:rsid w:val="009C4088"/>
    <w:rsid w:val="009C47BA"/>
    <w:rsid w:val="009C48ED"/>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3CBB"/>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7B0"/>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01C"/>
    <w:rsid w:val="00A23211"/>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0E46"/>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915F4"/>
    <w:rsid w:val="00A916EF"/>
    <w:rsid w:val="00A917A9"/>
    <w:rsid w:val="00A91C36"/>
    <w:rsid w:val="00A91D41"/>
    <w:rsid w:val="00A926F4"/>
    <w:rsid w:val="00A93F51"/>
    <w:rsid w:val="00A940CD"/>
    <w:rsid w:val="00A94153"/>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12"/>
    <w:rsid w:val="00AE0764"/>
    <w:rsid w:val="00AE0967"/>
    <w:rsid w:val="00AE16D1"/>
    <w:rsid w:val="00AE1BC1"/>
    <w:rsid w:val="00AE1BD1"/>
    <w:rsid w:val="00AE1DBE"/>
    <w:rsid w:val="00AE276C"/>
    <w:rsid w:val="00AE38DF"/>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4BEA"/>
    <w:rsid w:val="00B1523B"/>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3A"/>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DE7"/>
    <w:rsid w:val="00B61FBA"/>
    <w:rsid w:val="00B62189"/>
    <w:rsid w:val="00B627E7"/>
    <w:rsid w:val="00B6283F"/>
    <w:rsid w:val="00B62F33"/>
    <w:rsid w:val="00B630AC"/>
    <w:rsid w:val="00B63937"/>
    <w:rsid w:val="00B64C58"/>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AC5"/>
    <w:rsid w:val="00B82FF5"/>
    <w:rsid w:val="00B83A38"/>
    <w:rsid w:val="00B83D46"/>
    <w:rsid w:val="00B850CE"/>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0A3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6FF4"/>
    <w:rsid w:val="00BC717C"/>
    <w:rsid w:val="00BC75B3"/>
    <w:rsid w:val="00BC7B04"/>
    <w:rsid w:val="00BC7E15"/>
    <w:rsid w:val="00BC7E36"/>
    <w:rsid w:val="00BD020B"/>
    <w:rsid w:val="00BD024E"/>
    <w:rsid w:val="00BD09B1"/>
    <w:rsid w:val="00BD0FE8"/>
    <w:rsid w:val="00BD16D6"/>
    <w:rsid w:val="00BD1B72"/>
    <w:rsid w:val="00BD257E"/>
    <w:rsid w:val="00BD277F"/>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3"/>
    <w:rsid w:val="00BF71E4"/>
    <w:rsid w:val="00BF772E"/>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26D"/>
    <w:rsid w:val="00C323BD"/>
    <w:rsid w:val="00C32DB9"/>
    <w:rsid w:val="00C33180"/>
    <w:rsid w:val="00C33462"/>
    <w:rsid w:val="00C33A33"/>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C64"/>
    <w:rsid w:val="00C41011"/>
    <w:rsid w:val="00C42239"/>
    <w:rsid w:val="00C42C0E"/>
    <w:rsid w:val="00C433C4"/>
    <w:rsid w:val="00C43B8B"/>
    <w:rsid w:val="00C43FBA"/>
    <w:rsid w:val="00C441CC"/>
    <w:rsid w:val="00C44475"/>
    <w:rsid w:val="00C44F87"/>
    <w:rsid w:val="00C451F2"/>
    <w:rsid w:val="00C45757"/>
    <w:rsid w:val="00C4609E"/>
    <w:rsid w:val="00C46807"/>
    <w:rsid w:val="00C47D44"/>
    <w:rsid w:val="00C50B1E"/>
    <w:rsid w:val="00C51C72"/>
    <w:rsid w:val="00C51CB1"/>
    <w:rsid w:val="00C521B4"/>
    <w:rsid w:val="00C52914"/>
    <w:rsid w:val="00C539F2"/>
    <w:rsid w:val="00C544CC"/>
    <w:rsid w:val="00C546E7"/>
    <w:rsid w:val="00C55114"/>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1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840"/>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4D6"/>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957"/>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2FB"/>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345"/>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4E9"/>
    <w:rsid w:val="00DA0755"/>
    <w:rsid w:val="00DA08A5"/>
    <w:rsid w:val="00DA1D77"/>
    <w:rsid w:val="00DA23AB"/>
    <w:rsid w:val="00DA2B4B"/>
    <w:rsid w:val="00DA4512"/>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734"/>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2D85"/>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17E9"/>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27F"/>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07"/>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5DB0"/>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0BF"/>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5CF9"/>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C22"/>
    <w:rsid w:val="00EB1ED2"/>
    <w:rsid w:val="00EB22C0"/>
    <w:rsid w:val="00EB396F"/>
    <w:rsid w:val="00EB400B"/>
    <w:rsid w:val="00EB4739"/>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9D4"/>
    <w:rsid w:val="00ED1F4F"/>
    <w:rsid w:val="00ED33A3"/>
    <w:rsid w:val="00ED353C"/>
    <w:rsid w:val="00ED36F0"/>
    <w:rsid w:val="00ED3E4C"/>
    <w:rsid w:val="00ED41B5"/>
    <w:rsid w:val="00ED41CA"/>
    <w:rsid w:val="00ED41DC"/>
    <w:rsid w:val="00ED42A0"/>
    <w:rsid w:val="00ED44CE"/>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3CE8"/>
    <w:rsid w:val="00EF45CF"/>
    <w:rsid w:val="00EF4B52"/>
    <w:rsid w:val="00EF5517"/>
    <w:rsid w:val="00EF596F"/>
    <w:rsid w:val="00EF5CDA"/>
    <w:rsid w:val="00EF63E5"/>
    <w:rsid w:val="00EF6DC4"/>
    <w:rsid w:val="00EF70BA"/>
    <w:rsid w:val="00EF7D72"/>
    <w:rsid w:val="00F0000A"/>
    <w:rsid w:val="00F002A4"/>
    <w:rsid w:val="00F0031B"/>
    <w:rsid w:val="00F005E5"/>
    <w:rsid w:val="00F0071E"/>
    <w:rsid w:val="00F00878"/>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ED6"/>
    <w:rsid w:val="00F15F5B"/>
    <w:rsid w:val="00F16210"/>
    <w:rsid w:val="00F164D5"/>
    <w:rsid w:val="00F16BE1"/>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059"/>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C3C"/>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11"/>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94C"/>
    <w:rsid w:val="00F73C40"/>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0F3"/>
    <w:rsid w:val="00F864FC"/>
    <w:rsid w:val="00F86808"/>
    <w:rsid w:val="00F87387"/>
    <w:rsid w:val="00F8741E"/>
    <w:rsid w:val="00F8760E"/>
    <w:rsid w:val="00F87620"/>
    <w:rsid w:val="00F8773E"/>
    <w:rsid w:val="00F9082B"/>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1321"/>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0AA"/>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Dell,FooterText,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EF7D72"/>
    <w:pPr>
      <w:keepNext/>
      <w:keepLines/>
      <w:pageBreakBefore/>
      <w:spacing w:before="360" w:after="240" w:line="440" w:lineRule="exact"/>
      <w:jc w:val="center"/>
      <w:outlineLvl w:val="0"/>
    </w:pPr>
    <w:rPr>
      <w:rFonts w:ascii="Tahoma" w:hAnsi="Tahoma" w:cs="Tahoma"/>
      <w:b/>
      <w:bCs/>
      <w:noProof/>
      <w:color w:val="00305F"/>
      <w:sz w:val="40"/>
      <w:szCs w:val="36"/>
    </w:rPr>
  </w:style>
  <w:style w:type="paragraph" w:customStyle="1" w:styleId="73">
    <w:name w:val="73א פעולות ביקורת"/>
    <w:basedOn w:val="216"/>
    <w:qFormat/>
    <w:rsid w:val="00873999"/>
    <w:pPr>
      <w:pBdr>
        <w:top w:val="double" w:sz="12" w:space="5" w:color="auto"/>
      </w:pBdr>
      <w:spacing w:before="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FF6AD9"/>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styleId="Emphasis">
    <w:name w:val="Emphasis"/>
    <w:basedOn w:val="DefaultParagraphFont"/>
    <w:uiPriority w:val="20"/>
    <w:qFormat/>
    <w:rsid w:val="00417266"/>
    <w:rPr>
      <w:i/>
      <w:iCs/>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1F3363"/>
    <w:pPr>
      <w:spacing w:before="360" w:after="180" w:line="240" w:lineRule="atLeast"/>
      <w:jc w:val="left"/>
    </w:pPr>
    <w:rPr>
      <w:rFonts w:ascii="Tahoma" w:eastAsia="Times New Roman" w:hAnsi="Tahoma" w:cs="Tahoma"/>
      <w:b/>
      <w:color w:val="00305F"/>
      <w:sz w:val="32"/>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1F3363"/>
    <w:rPr>
      <w:rFonts w:ascii="Tahoma" w:eastAsia="Times New Roman" w:hAnsi="Tahoma" w:cs="Tahoma"/>
      <w:b/>
      <w:bCs/>
      <w:color w:val="00305F"/>
      <w:sz w:val="32"/>
      <w:szCs w:val="31"/>
      <w:u w:val="single"/>
    </w:rPr>
  </w:style>
  <w:style w:type="paragraph" w:customStyle="1" w:styleId="733">
    <w:name w:val="73א הערות שוליים"/>
    <w:basedOn w:val="FootnoteText"/>
    <w:link w:val="7330"/>
    <w:qFormat/>
    <w:rsid w:val="001F3363"/>
    <w:pPr>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662020"/>
    <w:pPr>
      <w:keepNext/>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Dell תו,FooterText תו,LP1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35">
    <w:name w:val="73א הזחה ראשונה מספר"/>
    <w:basedOn w:val="ListParagraph"/>
    <w:link w:val="7337"/>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662020"/>
    <w:pPr>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520550"/>
    <w:pPr>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numPr>
        <w:ilvl w:val="2"/>
        <w:numId w:val="2"/>
      </w:numPr>
      <w:spacing w:after="12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3570AC"/>
    <w:pPr>
      <w:ind w:left="397"/>
    </w:pPr>
  </w:style>
  <w:style w:type="paragraph" w:customStyle="1" w:styleId="7318">
    <w:name w:val="73א קוביה רצה"/>
    <w:basedOn w:val="7310"/>
    <w:link w:val="732"/>
    <w:qFormat/>
    <w:rsid w:val="00FF6AD9"/>
    <w:pPr>
      <w:ind w:left="227"/>
    </w:pPr>
  </w:style>
  <w:style w:type="paragraph" w:customStyle="1" w:styleId="73414">
    <w:name w:val="73א כותרת 4_14"/>
    <w:basedOn w:val="Heading4"/>
    <w:qFormat/>
    <w:rsid w:val="001F3363"/>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1F3363"/>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11">
    <w:name w:val="הפניה להערת שוליים1"/>
    <w:unhideWhenUsed/>
    <w:rsid w:val="002516DF"/>
    <w:rPr>
      <w:vertAlign w:val="superscript"/>
    </w:rPr>
  </w:style>
  <w:style w:type="paragraph" w:customStyle="1" w:styleId="112">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3">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3"/>
    <w:uiPriority w:val="99"/>
    <w:semiHidden/>
    <w:rsid w:val="002516DF"/>
    <w:rPr>
      <w:rFonts w:ascii="Tahoma" w:eastAsia="Calibri" w:hAnsi="Tahoma" w:cs="Tahoma"/>
      <w:sz w:val="18"/>
      <w:szCs w:val="18"/>
    </w:rPr>
  </w:style>
  <w:style w:type="paragraph" w:customStyle="1" w:styleId="114">
    <w:name w:val="גוף טקסט1"/>
    <w:basedOn w:val="Normal"/>
    <w:link w:val="115"/>
    <w:uiPriority w:val="99"/>
    <w:rsid w:val="002516DF"/>
    <w:pPr>
      <w:spacing w:before="180" w:after="120" w:line="230" w:lineRule="exact"/>
    </w:pPr>
    <w:rPr>
      <w:rFonts w:eastAsia="Times New Roman" w:cs="FrankRuehl"/>
      <w:sz w:val="22"/>
      <w:szCs w:val="22"/>
    </w:rPr>
  </w:style>
  <w:style w:type="character" w:customStyle="1" w:styleId="a12">
    <w:name w:val="גוף טקסט תו"/>
    <w:basedOn w:val="DefaultParagraphFont"/>
    <w:rsid w:val="002516DF"/>
  </w:style>
  <w:style w:type="character" w:customStyle="1" w:styleId="115">
    <w:name w:val="גוף טקסט תו1"/>
    <w:link w:val="114"/>
    <w:uiPriority w:val="99"/>
    <w:rsid w:val="002516DF"/>
    <w:rPr>
      <w:rFonts w:eastAsia="Times New Roman" w:cs="FrankRuehl"/>
      <w:sz w:val="22"/>
      <w:szCs w:val="22"/>
    </w:rPr>
  </w:style>
  <w:style w:type="character" w:customStyle="1" w:styleId="116">
    <w:name w:val="כותרת תחתונה תו1"/>
    <w:uiPriority w:val="99"/>
    <w:rsid w:val="002516DF"/>
    <w:rPr>
      <w:rFonts w:cs="David"/>
      <w:sz w:val="24"/>
      <w:szCs w:val="24"/>
    </w:rPr>
  </w:style>
  <w:style w:type="character" w:customStyle="1" w:styleId="117">
    <w:name w:val="טקסט הערת שוליים תו1"/>
    <w:aliases w:val="Sharp - Footnote Text1 Char תו"/>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8">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19">
    <w:name w:val="הפניה להערה1"/>
    <w:uiPriority w:val="99"/>
    <w:semiHidden/>
    <w:unhideWhenUsed/>
    <w:rsid w:val="002516DF"/>
    <w:rPr>
      <w:sz w:val="16"/>
      <w:szCs w:val="16"/>
    </w:rPr>
  </w:style>
  <w:style w:type="paragraph" w:customStyle="1" w:styleId="120">
    <w:name w:val="טקסט הערה1"/>
    <w:basedOn w:val="Normal"/>
    <w:link w:val="a13"/>
    <w:uiPriority w:val="99"/>
    <w:unhideWhenUsed/>
    <w:rsid w:val="002516DF"/>
    <w:pPr>
      <w:spacing w:line="240" w:lineRule="auto"/>
    </w:pPr>
    <w:rPr>
      <w:rFonts w:eastAsia="Calibri"/>
      <w:szCs w:val="20"/>
    </w:rPr>
  </w:style>
  <w:style w:type="character" w:customStyle="1" w:styleId="a13">
    <w:name w:val="טקסט הערה תו"/>
    <w:link w:val="120"/>
    <w:uiPriority w:val="99"/>
    <w:rsid w:val="002516DF"/>
    <w:rPr>
      <w:rFonts w:eastAsia="Calibri"/>
      <w:szCs w:val="20"/>
    </w:rPr>
  </w:style>
  <w:style w:type="paragraph" w:customStyle="1" w:styleId="122">
    <w:name w:val="נושא הערה1"/>
    <w:basedOn w:val="120"/>
    <w:next w:val="120"/>
    <w:link w:val="a14"/>
    <w:uiPriority w:val="99"/>
    <w:semiHidden/>
    <w:unhideWhenUsed/>
    <w:rsid w:val="002516DF"/>
    <w:rPr>
      <w:b/>
      <w:bCs/>
    </w:rPr>
  </w:style>
  <w:style w:type="character" w:customStyle="1" w:styleId="a14">
    <w:name w:val="נושא הערה תו"/>
    <w:link w:val="122"/>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23">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8"/>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5">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28"/>
    <w:unhideWhenUsed/>
    <w:rsid w:val="00114E4E"/>
    <w:pPr>
      <w:spacing w:after="120"/>
    </w:pPr>
  </w:style>
  <w:style w:type="character" w:customStyle="1" w:styleId="28">
    <w:name w:val="גוף טקסט תו2"/>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6"/>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6">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7"/>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7">
    <w:name w:val="ללא מרווח תו"/>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8">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a19">
    <w:name w:val="אורח"/>
    <w:basedOn w:val="Normal"/>
    <w:next w:val="Normal"/>
    <w:rsid w:val="00CF1EB5"/>
    <w:pPr>
      <w:spacing w:line="240" w:lineRule="exact"/>
    </w:pPr>
    <w:rPr>
      <w:rFonts w:ascii="David" w:eastAsia="Times New Roman" w:hAnsi="David"/>
      <w:sz w:val="24"/>
      <w:u w:val="single"/>
    </w:rPr>
  </w:style>
  <w:style w:type="paragraph" w:customStyle="1" w:styleId="a20">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21">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2"/>
    <w:locked/>
    <w:rsid w:val="00CF1EB5"/>
    <w:rPr>
      <w:bCs/>
      <w:noProof/>
      <w:sz w:val="24"/>
      <w:lang w:eastAsia="he-IL"/>
    </w:rPr>
  </w:style>
  <w:style w:type="paragraph" w:customStyle="1" w:styleId="a22">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2">
    <w:name w:val="73א כותרת 6_12"/>
    <w:basedOn w:val="73512"/>
    <w:link w:val="736120"/>
    <w:qFormat/>
    <w:rsid w:val="001F3363"/>
    <w:pPr>
      <w:outlineLvl w:val="5"/>
    </w:pPr>
    <w:rPr>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4">
    <w:name w:val="כותרת טקסט1"/>
    <w:basedOn w:val="DefaultParagraphFont"/>
    <w:rsid w:val="00D81F77"/>
  </w:style>
  <w:style w:type="paragraph" w:customStyle="1" w:styleId="a23">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4">
    <w:name w:val="טקסט רץ"/>
    <w:basedOn w:val="100"/>
    <w:link w:val="Char4"/>
    <w:qFormat/>
    <w:rsid w:val="00D17911"/>
    <w:pPr>
      <w:spacing w:after="180" w:line="260" w:lineRule="exact"/>
    </w:pPr>
    <w:rPr>
      <w:color w:val="0D0D0D"/>
      <w:szCs w:val="18"/>
    </w:rPr>
  </w:style>
  <w:style w:type="paragraph" w:customStyle="1" w:styleId="213">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4"/>
    <w:rsid w:val="00D17911"/>
    <w:rPr>
      <w:rFonts w:ascii="Tahoma" w:hAnsi="Tahoma" w:cs="Tahoma"/>
      <w:color w:val="0D0D0D"/>
      <w:szCs w:val="18"/>
    </w:rPr>
  </w:style>
  <w:style w:type="character" w:customStyle="1" w:styleId="21Char">
    <w:name w:val="הערות שוליים 21 Char"/>
    <w:basedOn w:val="3"/>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25">
    <w:name w:val="אייקון טורקיז רקע"/>
    <w:basedOn w:val="121"/>
    <w:link w:val="Char5"/>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5">
    <w:name w:val="אייקון טורקיז רקע Char"/>
    <w:basedOn w:val="121Char"/>
    <w:link w:val="a25"/>
    <w:rsid w:val="00C51CB1"/>
    <w:rPr>
      <w:rFonts w:ascii="Tahoma" w:hAnsi="Tahoma" w:eastAsiaTheme="minorEastAsi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4">
    <w:name w:val="סיכום תקציר 21"/>
    <w:basedOn w:val="Normal"/>
    <w:link w:val="21Char0"/>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5">
    <w:name w:val="עיקרי המלצות הביקורת 21"/>
    <w:basedOn w:val="Normal"/>
    <w:link w:val="21Char1"/>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0">
    <w:name w:val="סיכום תקציר 21 Char"/>
    <w:basedOn w:val="DefaultParagraphFont"/>
    <w:link w:val="214"/>
    <w:rsid w:val="00454096"/>
    <w:rPr>
      <w:rFonts w:ascii="Tahoma" w:hAnsi="Tahoma" w:eastAsiaTheme="minorEastAsia" w:cs="Tahoma"/>
      <w:b/>
      <w:bCs/>
      <w:color w:val="00305F"/>
      <w:sz w:val="34"/>
      <w:szCs w:val="32"/>
    </w:rPr>
  </w:style>
  <w:style w:type="paragraph" w:customStyle="1" w:styleId="216">
    <w:name w:val="פעולות הביקורת 21"/>
    <w:basedOn w:val="Normal"/>
    <w:link w:val="21Char2"/>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1">
    <w:name w:val="עיקרי המלצות הביקורת 21 Char"/>
    <w:basedOn w:val="DefaultParagraphFont"/>
    <w:link w:val="215"/>
    <w:rsid w:val="00454096"/>
    <w:rPr>
      <w:rFonts w:ascii="Tahoma" w:hAnsi="Tahoma" w:eastAsiaTheme="minorEastAsia" w:cs="Tahoma"/>
      <w:b/>
      <w:bCs/>
      <w:color w:val="002E5F"/>
      <w:sz w:val="34"/>
      <w:szCs w:val="32"/>
    </w:rPr>
  </w:style>
  <w:style w:type="character" w:customStyle="1" w:styleId="21Char2">
    <w:name w:val="פעולות הביקורת 21 Char"/>
    <w:basedOn w:val="DefaultParagraphFont"/>
    <w:link w:val="216"/>
    <w:rsid w:val="00454096"/>
    <w:rPr>
      <w:rFonts w:ascii="Tahoma" w:hAnsi="Tahoma" w:eastAsiaTheme="minorEastAsia" w:cs="Tahoma"/>
      <w:b w:val="0"/>
      <w:bCs/>
      <w:color w:val="00305F"/>
      <w:sz w:val="32"/>
      <w:szCs w:val="32"/>
    </w:rPr>
  </w:style>
  <w:style w:type="paragraph" w:customStyle="1" w:styleId="217">
    <w:name w:val="פעולות הביקורת21"/>
    <w:basedOn w:val="Normal"/>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6">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9E3CBB"/>
    <w:pPr>
      <w:pageBreakBefore/>
    </w:pPr>
    <w:rPr>
      <w:b w:val="0"/>
      <w:sz w:val="31"/>
    </w:rPr>
  </w:style>
  <w:style w:type="paragraph" w:customStyle="1" w:styleId="7327">
    <w:name w:val="73א תמונת המצב העולה מן הביקורת"/>
    <w:basedOn w:val="216"/>
    <w:link w:val="7328"/>
    <w:qFormat/>
    <w:rsid w:val="00873999"/>
    <w:pPr>
      <w:keepNext/>
      <w:keepLines/>
      <w:pBdr>
        <w:top w:val="single" w:sz="12" w:space="5" w:color="auto"/>
      </w:pBdr>
      <w:spacing w:before="360"/>
      <w:outlineLvl w:val="9"/>
    </w:pPr>
    <w:rPr>
      <w:sz w:val="31"/>
      <w:szCs w:val="31"/>
    </w:rPr>
  </w:style>
  <w:style w:type="character" w:customStyle="1" w:styleId="7328">
    <w:name w:val="73א תמונת המצב העולה מן הביקורת תו"/>
    <w:basedOn w:val="21Char2"/>
    <w:link w:val="7327"/>
    <w:rsid w:val="00873999"/>
    <w:rPr>
      <w:rFonts w:ascii="Tahoma" w:hAnsi="Tahoma" w:eastAsiaTheme="minorEastAsia" w:cs="Tahoma"/>
      <w:b w:val="0"/>
      <w:bCs/>
      <w:color w:val="00305F"/>
      <w:sz w:val="31"/>
      <w:szCs w:val="31"/>
    </w:rPr>
  </w:style>
  <w:style w:type="paragraph" w:customStyle="1" w:styleId="7329">
    <w:name w:val="73א כותרת 2"/>
    <w:link w:val="73210"/>
    <w:qFormat/>
    <w:rsid w:val="00EF7D72"/>
    <w:pPr>
      <w:keepNext/>
      <w:keepLines/>
      <w:spacing w:before="360" w:after="240" w:line="240" w:lineRule="atLeast"/>
      <w:jc w:val="right"/>
      <w:outlineLvl w:val="1"/>
    </w:pPr>
    <w:rPr>
      <w:rFonts w:ascii="Tahoma" w:hAnsi="Tahoma" w:cs="Tahoma"/>
      <w:b/>
      <w:bCs/>
      <w:color w:val="00305F"/>
      <w:sz w:val="40"/>
      <w:szCs w:val="34"/>
    </w:rPr>
  </w:style>
  <w:style w:type="character" w:customStyle="1" w:styleId="73210">
    <w:name w:val="73א כותרת 2 תו"/>
    <w:basedOn w:val="DefaultParagraphFont"/>
    <w:link w:val="7329"/>
    <w:rsid w:val="00EF7D72"/>
    <w:rPr>
      <w:rFonts w:ascii="Tahoma" w:hAnsi="Tahoma" w:cs="Tahoma"/>
      <w:b/>
      <w:bCs/>
      <w:color w:val="00305F"/>
      <w:sz w:val="40"/>
      <w:szCs w:val="34"/>
    </w:rPr>
  </w:style>
  <w:style w:type="character" w:customStyle="1" w:styleId="7330">
    <w:name w:val="73א הערות שוליים תו"/>
    <w:basedOn w:val="3"/>
    <w:link w:val="733"/>
    <w:rsid w:val="001F3363"/>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662020"/>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DefaultParagraphFont"/>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7">
    <w:name w:val="כותרת לבנה בתוך תבנית אדומה בתקציר"/>
    <w:basedOn w:val="Normal"/>
    <w:link w:val="Char6"/>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7"/>
    <w:link w:val="7333"/>
    <w:qFormat/>
    <w:rsid w:val="009D41AC"/>
  </w:style>
  <w:style w:type="character" w:customStyle="1" w:styleId="Char6">
    <w:name w:val="כותרת לבנה בתוך תבנית אדומה בתקציר Char"/>
    <w:basedOn w:val="DefaultParagraphFont"/>
    <w:link w:val="a27"/>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6"/>
    <w:link w:val="7332"/>
    <w:rsid w:val="009D41AC"/>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334">
    <w:name w:val="73א היפרלינק"/>
    <w:basedOn w:val="733"/>
    <w:link w:val="7335"/>
    <w:qFormat/>
    <w:rsid w:val="00973E62"/>
    <w:pPr>
      <w:bidi w:val="0"/>
    </w:pPr>
    <w:rPr>
      <w:color w:val="0000FF"/>
      <w:u w:val="single"/>
    </w:rPr>
  </w:style>
  <w:style w:type="character" w:customStyle="1" w:styleId="7335">
    <w:name w:val="73א היפרלינק תו"/>
    <w:basedOn w:val="7330"/>
    <w:link w:val="7334"/>
    <w:rsid w:val="00973E62"/>
    <w:rPr>
      <w:rFonts w:ascii="Tahoma" w:hAnsi="Tahoma" w:cs="Tahoma"/>
      <w:color w:val="0000FF"/>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BE57E3"/>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2E6467"/>
    <w:rPr>
      <w:bCs/>
    </w:rPr>
  </w:style>
  <w:style w:type="character" w:customStyle="1" w:styleId="7371">
    <w:name w:val="73א כותרת 7 בתוך טקסט תו"/>
    <w:basedOn w:val="7337"/>
    <w:link w:val="7370"/>
    <w:rsid w:val="002E6467"/>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8">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9">
    <w:name w:val="נבנצאל תו"/>
    <w:basedOn w:val="DefaultParagraphFont"/>
    <w:link w:val="a30"/>
    <w:uiPriority w:val="99"/>
    <w:locked/>
    <w:rsid w:val="00905FB1"/>
    <w:rPr>
      <w:szCs w:val="20"/>
    </w:rPr>
  </w:style>
  <w:style w:type="paragraph" w:customStyle="1" w:styleId="a30">
    <w:name w:val="נבנצאל"/>
    <w:basedOn w:val="Normal"/>
    <w:next w:val="Normal"/>
    <w:link w:val="a29"/>
    <w:uiPriority w:val="99"/>
    <w:rsid w:val="00905FB1"/>
    <w:pPr>
      <w:ind w:left="-567"/>
    </w:pPr>
    <w:rPr>
      <w:szCs w:val="20"/>
    </w:rPr>
  </w:style>
  <w:style w:type="paragraph" w:styleId="DocumentMap">
    <w:name w:val="Document Map"/>
    <w:basedOn w:val="Normal"/>
    <w:link w:val="a31"/>
    <w:uiPriority w:val="99"/>
    <w:semiHidden/>
    <w:unhideWhenUsed/>
    <w:rsid w:val="0030451F"/>
    <w:pPr>
      <w:spacing w:line="240" w:lineRule="auto"/>
    </w:pPr>
    <w:rPr>
      <w:rFonts w:ascii="Tahoma" w:hAnsi="Tahoma" w:cs="Tahoma"/>
      <w:sz w:val="16"/>
      <w:szCs w:val="16"/>
    </w:rPr>
  </w:style>
  <w:style w:type="character" w:customStyle="1" w:styleId="a31">
    <w:name w:val="מפת מסמך תו"/>
    <w:basedOn w:val="DefaultParagraphFont"/>
    <w:link w:val="DocumentMap"/>
    <w:uiPriority w:val="99"/>
    <w:semiHidden/>
    <w:rsid w:val="0030451F"/>
    <w:rPr>
      <w:rFonts w:ascii="Tahoma" w:hAnsi="Tahoma" w:cs="Tahoma"/>
      <w:sz w:val="16"/>
      <w:szCs w:val="16"/>
    </w:rPr>
  </w:style>
  <w:style w:type="paragraph" w:customStyle="1" w:styleId="125">
    <w:name w:val="סגנון1"/>
    <w:basedOn w:val="Caption"/>
    <w:qFormat/>
    <w:rsid w:val="0030451F"/>
    <w:pPr>
      <w:jc w:val="center"/>
    </w:pPr>
    <w:rPr>
      <w:b/>
      <w:bCs/>
      <w:iCs w:val="0"/>
      <w:color w:val="000000" w:themeColor="text1"/>
      <w:sz w:val="24"/>
      <w:szCs w:val="24"/>
    </w:rPr>
  </w:style>
  <w:style w:type="paragraph" w:customStyle="1" w:styleId="29">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32">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1F3363"/>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1F3363"/>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3">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Normal"/>
    <w:qFormat/>
    <w:rsid w:val="003570AC"/>
    <w:pPr>
      <w:ind w:left="2268"/>
    </w:pPr>
    <w:rPr>
      <w:rFonts w:ascii="Tahoma" w:hAnsi="Tahoma" w:cs="Tahoma"/>
      <w:sz w:val="18"/>
      <w:szCs w:val="18"/>
    </w:rPr>
  </w:style>
  <w:style w:type="paragraph" w:customStyle="1" w:styleId="-2">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3">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4">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4"/>
    <w:link w:val="7393"/>
    <w:qFormat/>
    <w:rsid w:val="00873999"/>
    <w:rPr>
      <w:color w:val="0D0D0D" w:themeColor="text1" w:themeTint="F2"/>
      <w:sz w:val="18"/>
    </w:rPr>
  </w:style>
  <w:style w:type="character" w:customStyle="1" w:styleId="7393">
    <w:name w:val="73א טקסט רץ 9 תו"/>
    <w:basedOn w:val="Char4"/>
    <w:link w:val="7392"/>
    <w:rsid w:val="00873999"/>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20">
    <w:name w:val="73א כותרת 6_12 תו"/>
    <w:basedOn w:val="DefaultParagraphFont"/>
    <w:link w:val="73612"/>
    <w:rsid w:val="001F3363"/>
    <w:rPr>
      <w:rFonts w:ascii="Tahoma" w:hAnsi="Tahoma" w:cs="Tahoma"/>
      <w:b/>
      <w:bCs/>
      <w:color w:val="00305F"/>
      <w:sz w:val="24"/>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6">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table" w:styleId="PlainTable2">
    <w:name w:val="Plain Table 2"/>
    <w:basedOn w:val="TableNormal"/>
    <w:uiPriority w:val="42"/>
    <w:rsid w:val="004949A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949A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4949A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Light">
    <w:name w:val="Grid Table Light"/>
    <w:basedOn w:val="TableNormal"/>
    <w:uiPriority w:val="40"/>
    <w:rsid w:val="004949A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46"/>
    <w:rsid w:val="004949A5"/>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4949A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
    <w:name w:val="Grid Table 4"/>
    <w:basedOn w:val="TableNormal"/>
    <w:uiPriority w:val="49"/>
    <w:rsid w:val="004949A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35">
    <w:name w:val="מקור לתרשים"/>
    <w:basedOn w:val="Normal"/>
    <w:link w:val="a36"/>
    <w:qFormat/>
    <w:rsid w:val="004949A5"/>
    <w:pPr>
      <w:keepNext/>
      <w:keepLines/>
      <w:spacing w:line="360" w:lineRule="auto"/>
    </w:pPr>
    <w:rPr>
      <w:sz w:val="18"/>
      <w:szCs w:val="22"/>
    </w:rPr>
  </w:style>
  <w:style w:type="character" w:customStyle="1" w:styleId="a36">
    <w:name w:val="מקור לתרשים תו"/>
    <w:basedOn w:val="DefaultParagraphFont"/>
    <w:link w:val="a35"/>
    <w:rsid w:val="004949A5"/>
    <w:rPr>
      <w:sz w:val="18"/>
      <w:szCs w:val="22"/>
    </w:rPr>
  </w:style>
  <w:style w:type="paragraph" w:customStyle="1" w:styleId="711">
    <w:name w:val="71ג מקרא+הערות לתרשים/לוח/תמונה"/>
    <w:basedOn w:val="Normal"/>
    <w:link w:val="71Char"/>
    <w:qFormat/>
    <w:rsid w:val="004949A5"/>
    <w:pPr>
      <w:spacing w:before="120" w:after="240" w:line="260" w:lineRule="exact"/>
      <w:ind w:left="397" w:hanging="397"/>
    </w:pPr>
    <w:rPr>
      <w:rFonts w:ascii="Tahoma" w:hAnsi="Tahoma" w:cs="Tahoma"/>
      <w:color w:val="0D0D0D" w:themeColor="text1" w:themeTint="F2"/>
      <w:sz w:val="16"/>
      <w:szCs w:val="16"/>
    </w:rPr>
  </w:style>
  <w:style w:type="character" w:customStyle="1" w:styleId="71Char">
    <w:name w:val="71ג מקרא+הערות לתרשים/לוח/תמונה Char"/>
    <w:basedOn w:val="DefaultParagraphFont"/>
    <w:link w:val="711"/>
    <w:rsid w:val="004949A5"/>
    <w:rPr>
      <w:rFonts w:ascii="Tahoma" w:hAnsi="Tahoma" w:cs="Tahoma"/>
      <w:color w:val="0D0D0D" w:themeColor="text1" w:themeTint="F2"/>
      <w:sz w:val="16"/>
      <w:szCs w:val="16"/>
    </w:rPr>
  </w:style>
  <w:style w:type="paragraph" w:customStyle="1" w:styleId="a37">
    <w:name w:val="תאריך הדוח"/>
    <w:qFormat/>
    <w:rsid w:val="001711E3"/>
    <w:pPr>
      <w:ind w:left="2268"/>
      <w:jc w:val="left"/>
    </w:pPr>
    <w:rPr>
      <w:rFonts w:ascii="Tahoma" w:hAnsi="Tahoma" w:cs="Tahoma"/>
      <w:sz w:val="18"/>
      <w:szCs w:val="18"/>
    </w:rPr>
  </w:style>
  <w:style w:type="paragraph" w:customStyle="1" w:styleId="a38">
    <w:name w:val="כותרת ראשית לדוח"/>
    <w:qFormat/>
    <w:rsid w:val="001711E3"/>
    <w:pPr>
      <w:spacing w:before="360" w:line="600" w:lineRule="exact"/>
      <w:ind w:left="2268"/>
      <w:jc w:val="left"/>
    </w:pPr>
    <w:rPr>
      <w:rFonts w:ascii="Tahoma" w:hAnsi="Tahoma" w:cs="Tahoma"/>
      <w:b/>
      <w:bCs/>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header" Target="header3.xml" /><Relationship Id="rId16" Type="http://schemas.openxmlformats.org/officeDocument/2006/relationships/header" Target="header4.xml" /><Relationship Id="rId17" Type="http://schemas.openxmlformats.org/officeDocument/2006/relationships/image" Target="media/image4.jpeg" /><Relationship Id="rId18" Type="http://schemas.openxmlformats.org/officeDocument/2006/relationships/image" Target="media/image5.jpeg" /><Relationship Id="rId19" Type="http://schemas.openxmlformats.org/officeDocument/2006/relationships/image" Target="media/image6.jpeg" /><Relationship Id="rId2" Type="http://schemas.openxmlformats.org/officeDocument/2006/relationships/endnotes" Target="endnotes.xml" /><Relationship Id="rId20" Type="http://schemas.openxmlformats.org/officeDocument/2006/relationships/image" Target="media/image7.jpeg" /><Relationship Id="rId21" Type="http://schemas.openxmlformats.org/officeDocument/2006/relationships/image" Target="media/image8.jpeg" /><Relationship Id="rId22" Type="http://schemas.openxmlformats.org/officeDocument/2006/relationships/image" Target="media/image9.jpeg" /><Relationship Id="rId23" Type="http://schemas.openxmlformats.org/officeDocument/2006/relationships/image" Target="media/image10.jpeg" /><Relationship Id="rId24" Type="http://schemas.openxmlformats.org/officeDocument/2006/relationships/image" Target="media/image11.jpeg" /><Relationship Id="rId25" Type="http://schemas.openxmlformats.org/officeDocument/2006/relationships/image" Target="media/image12.emf" /><Relationship Id="rId26" Type="http://schemas.openxmlformats.org/officeDocument/2006/relationships/image" Target="media/image13.emf" /><Relationship Id="rId27" Type="http://schemas.openxmlformats.org/officeDocument/2006/relationships/image" Target="media/image14.emf" /><Relationship Id="rId28" Type="http://schemas.openxmlformats.org/officeDocument/2006/relationships/image" Target="media/image15.emf" /><Relationship Id="rId29" Type="http://schemas.openxmlformats.org/officeDocument/2006/relationships/footer" Target="footer2.xml" /><Relationship Id="rId3" Type="http://schemas.openxmlformats.org/officeDocument/2006/relationships/settings" Target="settings.xml" /><Relationship Id="rId30" Type="http://schemas.openxmlformats.org/officeDocument/2006/relationships/footer" Target="footer3.xml" /><Relationship Id="rId31" Type="http://schemas.openxmlformats.org/officeDocument/2006/relationships/header" Target="header5.xml" /><Relationship Id="rId32" Type="http://schemas.openxmlformats.org/officeDocument/2006/relationships/footer" Target="footer4.xml" /><Relationship Id="rId33" Type="http://schemas.openxmlformats.org/officeDocument/2006/relationships/header" Target="header6.xml" /><Relationship Id="rId34" Type="http://schemas.openxmlformats.org/officeDocument/2006/relationships/footer" Target="footer5.xml" /><Relationship Id="rId35" Type="http://schemas.openxmlformats.org/officeDocument/2006/relationships/theme" Target="theme/theme1.xml" /><Relationship Id="rId36" Type="http://schemas.openxmlformats.org/officeDocument/2006/relationships/numbering" Target="numbering.xml" /><Relationship Id="rId37" Type="http://schemas.openxmlformats.org/officeDocument/2006/relationships/styles" Target="style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16.jpeg" /><Relationship Id="rId2" Type="http://schemas.openxmlformats.org/officeDocument/2006/relationships/image" Target="media/image17.jpeg" /></Relationships>
</file>

<file path=word/_rels/header6.xml.rels><?xml version="1.0" encoding="utf-8" standalone="yes"?><Relationships xmlns="http://schemas.openxmlformats.org/package/2006/relationships"><Relationship Id="rId1" Type="http://schemas.openxmlformats.org/officeDocument/2006/relationships/image" Target="media/image3.jpeg" /></Relationships>
</file>

<file path=word/_rels/numbering.xml.rels><?xml version="1.0" encoding="utf-8" standalone="yes"?><Relationships xmlns="http://schemas.openxmlformats.org/package/2006/relationships"><Relationship Id="rId1" Type="http://schemas.openxmlformats.org/officeDocument/2006/relationships/image" Target="media/image18.png" /><Relationship Id="rId2" Type="http://schemas.openxmlformats.org/officeDocument/2006/relationships/image" Target="media/image19.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20.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967C626F-7A68-430E-A49E-5340A2411BC4}"/>
</file>

<file path=customXml/itemProps4.xml><?xml version="1.0" encoding="utf-8"?>
<ds:datastoreItem xmlns:ds="http://schemas.openxmlformats.org/officeDocument/2006/customXml" ds:itemID="{EF14C8F3-99B9-42DE-920E-5707BD78BD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